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eastAsiaTheme="minorEastAsia"/>
          <w:sz w:val="52"/>
          <w:szCs w:val="52"/>
        </w:rPr>
      </w:pPr>
      <w:r>
        <w:rPr>
          <w:rFonts w:hint="eastAsia" w:asciiTheme="minorEastAsia" w:hAnsiTheme="minorEastAsia" w:eastAsiaTheme="minorEastAsia"/>
          <w:sz w:val="52"/>
          <w:szCs w:val="52"/>
        </w:rPr>
        <w:t>建安区</w:t>
      </w:r>
      <w:r>
        <w:rPr>
          <w:rFonts w:asciiTheme="minorEastAsia" w:hAnsiTheme="minorEastAsia" w:eastAsiaTheme="minorEastAsia"/>
          <w:sz w:val="52"/>
          <w:szCs w:val="52"/>
        </w:rPr>
        <w:t>建设工程</w:t>
      </w:r>
    </w:p>
    <w:p>
      <w:pPr>
        <w:jc w:val="center"/>
        <w:rPr>
          <w:rFonts w:asciiTheme="minorEastAsia" w:hAnsiTheme="minorEastAsia" w:eastAsiaTheme="minorEastAsia"/>
          <w:sz w:val="56"/>
          <w:szCs w:val="56"/>
        </w:rPr>
      </w:pPr>
    </w:p>
    <w:p>
      <w:pPr>
        <w:jc w:val="center"/>
        <w:rPr>
          <w:rFonts w:asciiTheme="minorEastAsia" w:hAnsiTheme="minorEastAsia" w:eastAsiaTheme="minorEastAsia"/>
          <w:sz w:val="52"/>
          <w:szCs w:val="52"/>
        </w:rPr>
      </w:pPr>
    </w:p>
    <w:p>
      <w:pPr>
        <w:rPr>
          <w:rFonts w:asciiTheme="minorEastAsia" w:hAnsiTheme="minorEastAsia" w:eastAsiaTheme="minorEastAsia"/>
          <w:sz w:val="52"/>
          <w:szCs w:val="52"/>
        </w:rPr>
      </w:pPr>
    </w:p>
    <w:p>
      <w:pPr>
        <w:jc w:val="center"/>
        <w:rPr>
          <w:rFonts w:asciiTheme="minorEastAsia" w:hAnsiTheme="minorEastAsia" w:eastAsiaTheme="minorEastAsia"/>
          <w:sz w:val="52"/>
          <w:szCs w:val="52"/>
        </w:rPr>
      </w:pPr>
      <w:r>
        <w:rPr>
          <w:rFonts w:asciiTheme="minorEastAsia" w:hAnsiTheme="minorEastAsia" w:eastAsiaTheme="minorEastAsia"/>
          <w:sz w:val="52"/>
          <w:szCs w:val="52"/>
        </w:rPr>
        <w:t>招</w:t>
      </w:r>
    </w:p>
    <w:p>
      <w:pPr>
        <w:jc w:val="center"/>
        <w:rPr>
          <w:rFonts w:asciiTheme="minorEastAsia" w:hAnsiTheme="minorEastAsia" w:eastAsiaTheme="minorEastAsia"/>
          <w:sz w:val="52"/>
          <w:szCs w:val="52"/>
        </w:rPr>
      </w:pPr>
      <w:r>
        <w:rPr>
          <w:rFonts w:asciiTheme="minorEastAsia" w:hAnsiTheme="minorEastAsia" w:eastAsiaTheme="minorEastAsia"/>
          <w:sz w:val="52"/>
          <w:szCs w:val="52"/>
        </w:rPr>
        <w:t>标</w:t>
      </w:r>
    </w:p>
    <w:p>
      <w:pPr>
        <w:jc w:val="center"/>
        <w:rPr>
          <w:rFonts w:asciiTheme="minorEastAsia" w:hAnsiTheme="minorEastAsia" w:eastAsiaTheme="minorEastAsia"/>
          <w:sz w:val="52"/>
          <w:szCs w:val="52"/>
        </w:rPr>
      </w:pPr>
      <w:r>
        <w:rPr>
          <w:rFonts w:asciiTheme="minorEastAsia" w:hAnsiTheme="minorEastAsia" w:eastAsiaTheme="minorEastAsia"/>
          <w:sz w:val="52"/>
          <w:szCs w:val="52"/>
        </w:rPr>
        <w:t>文</w:t>
      </w:r>
    </w:p>
    <w:p>
      <w:pPr>
        <w:jc w:val="center"/>
        <w:rPr>
          <w:rFonts w:asciiTheme="minorEastAsia" w:hAnsiTheme="minorEastAsia" w:eastAsiaTheme="minorEastAsia"/>
          <w:sz w:val="52"/>
          <w:szCs w:val="52"/>
        </w:rPr>
      </w:pPr>
      <w:r>
        <w:rPr>
          <w:rFonts w:asciiTheme="minorEastAsia" w:hAnsiTheme="minorEastAsia" w:eastAsiaTheme="minorEastAsia"/>
          <w:sz w:val="52"/>
          <w:szCs w:val="52"/>
        </w:rPr>
        <w:t>件</w:t>
      </w:r>
    </w:p>
    <w:p>
      <w:pPr>
        <w:jc w:val="center"/>
        <w:rPr>
          <w:rFonts w:asciiTheme="minorEastAsia" w:hAnsiTheme="minorEastAsia" w:eastAsiaTheme="minorEastAsia"/>
          <w:sz w:val="32"/>
          <w:szCs w:val="32"/>
        </w:rPr>
      </w:pPr>
    </w:p>
    <w:p>
      <w:pPr>
        <w:tabs>
          <w:tab w:val="left" w:pos="1476"/>
        </w:tabs>
        <w:jc w:val="center"/>
        <w:rPr>
          <w:rFonts w:asciiTheme="minorEastAsia" w:hAnsiTheme="minorEastAsia" w:eastAsiaTheme="minorEastAsia"/>
          <w:sz w:val="32"/>
          <w:szCs w:val="32"/>
        </w:rPr>
      </w:pPr>
    </w:p>
    <w:p>
      <w:pPr>
        <w:jc w:val="center"/>
        <w:rPr>
          <w:rFonts w:asciiTheme="minorEastAsia" w:hAnsiTheme="minorEastAsia" w:eastAsiaTheme="minorEastAsia"/>
          <w:sz w:val="32"/>
          <w:szCs w:val="32"/>
        </w:rPr>
      </w:pPr>
    </w:p>
    <w:p>
      <w:pPr>
        <w:jc w:val="center"/>
        <w:rPr>
          <w:rFonts w:asciiTheme="minorEastAsia" w:hAnsiTheme="minorEastAsia" w:eastAsiaTheme="minorEastAsia"/>
          <w:sz w:val="32"/>
          <w:szCs w:val="32"/>
        </w:rPr>
      </w:pPr>
    </w:p>
    <w:p>
      <w:pPr>
        <w:ind w:firstLine="1920" w:firstLineChars="600"/>
        <w:jc w:val="left"/>
        <w:rPr>
          <w:rFonts w:asciiTheme="minorEastAsia" w:hAnsiTheme="minorEastAsia" w:eastAsiaTheme="minorEastAsia"/>
          <w:sz w:val="32"/>
          <w:szCs w:val="32"/>
        </w:rPr>
      </w:pPr>
      <w:r>
        <w:rPr>
          <w:rFonts w:hint="eastAsia" w:asciiTheme="minorEastAsia" w:hAnsiTheme="minorEastAsia" w:eastAsiaTheme="minorEastAsia"/>
          <w:sz w:val="32"/>
          <w:szCs w:val="32"/>
        </w:rPr>
        <w:t>项目编号：建安建工公字〔201</w:t>
      </w:r>
      <w:r>
        <w:rPr>
          <w:rFonts w:hint="eastAsia" w:asciiTheme="minorEastAsia" w:hAnsiTheme="minorEastAsia" w:eastAsiaTheme="minorEastAsia"/>
          <w:sz w:val="32"/>
          <w:szCs w:val="32"/>
          <w:lang w:val="en-US" w:eastAsia="zh-CN"/>
        </w:rPr>
        <w:t>9</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val="en-US" w:eastAsia="zh-CN"/>
        </w:rPr>
        <w:t>67</w:t>
      </w:r>
      <w:r>
        <w:rPr>
          <w:rFonts w:hint="eastAsia" w:asciiTheme="minorEastAsia" w:hAnsiTheme="minorEastAsia" w:eastAsiaTheme="minorEastAsia"/>
          <w:sz w:val="32"/>
          <w:szCs w:val="32"/>
        </w:rPr>
        <w:t>号</w:t>
      </w:r>
    </w:p>
    <w:p>
      <w:pPr>
        <w:ind w:left="2877" w:leftChars="564" w:hanging="960" w:hangingChars="300"/>
        <w:jc w:val="left"/>
        <w:rPr>
          <w:rFonts w:hint="eastAsia" w:asciiTheme="minorEastAsia" w:hAnsiTheme="minorEastAsia" w:eastAsiaTheme="minorEastAsia"/>
          <w:sz w:val="32"/>
          <w:szCs w:val="32"/>
          <w:lang w:val="en-US" w:eastAsia="zh-CN"/>
        </w:rPr>
      </w:pPr>
      <w:r>
        <w:rPr>
          <w:rFonts w:asciiTheme="minorEastAsia" w:hAnsiTheme="minorEastAsia" w:eastAsiaTheme="minorEastAsia"/>
          <w:sz w:val="32"/>
          <w:szCs w:val="32"/>
        </w:rPr>
        <w:t>项目名称：</w:t>
      </w:r>
      <w:r>
        <w:rPr>
          <w:rFonts w:hint="eastAsia" w:asciiTheme="minorEastAsia" w:hAnsiTheme="minorEastAsia" w:eastAsiaTheme="minorEastAsia"/>
          <w:sz w:val="32"/>
          <w:szCs w:val="32"/>
          <w:lang w:val="en-US" w:eastAsia="zh-CN"/>
        </w:rPr>
        <w:t>新元大道污水厂管道环通工程（高铁北站）</w:t>
      </w:r>
    </w:p>
    <w:p>
      <w:pPr>
        <w:ind w:firstLine="1920" w:firstLineChars="600"/>
        <w:jc w:val="left"/>
        <w:rPr>
          <w:rFonts w:hint="eastAsia" w:asciiTheme="minorEastAsia" w:hAnsiTheme="minorEastAsia" w:eastAsiaTheme="minorEastAsia"/>
          <w:sz w:val="32"/>
          <w:szCs w:val="32"/>
          <w:lang w:eastAsia="zh-CN"/>
        </w:rPr>
      </w:pPr>
      <w:r>
        <w:rPr>
          <w:rFonts w:asciiTheme="minorEastAsia" w:hAnsiTheme="minorEastAsia" w:eastAsiaTheme="minorEastAsia"/>
          <w:sz w:val="32"/>
          <w:szCs w:val="32"/>
        </w:rPr>
        <w:t>招 标 人：</w:t>
      </w:r>
      <w:r>
        <w:rPr>
          <w:rFonts w:hint="eastAsia" w:asciiTheme="minorEastAsia" w:hAnsiTheme="minorEastAsia" w:eastAsiaTheme="minorEastAsia"/>
          <w:sz w:val="32"/>
          <w:szCs w:val="32"/>
          <w:lang w:eastAsia="zh-CN"/>
        </w:rPr>
        <w:t>许昌市建安区住房和城乡建设局</w:t>
      </w:r>
    </w:p>
    <w:p>
      <w:pPr>
        <w:ind w:firstLine="1920" w:firstLineChars="600"/>
        <w:jc w:val="left"/>
        <w:rPr>
          <w:rFonts w:asciiTheme="minorEastAsia" w:hAnsiTheme="minorEastAsia" w:eastAsiaTheme="minorEastAsia"/>
          <w:sz w:val="32"/>
          <w:szCs w:val="32"/>
        </w:rPr>
      </w:pPr>
      <w:r>
        <w:rPr>
          <w:rFonts w:asciiTheme="minorEastAsia" w:hAnsiTheme="minorEastAsia" w:eastAsiaTheme="minorEastAsia"/>
          <w:sz w:val="32"/>
          <w:szCs w:val="32"/>
        </w:rPr>
        <w:t>代理机构：</w:t>
      </w:r>
      <w:r>
        <w:rPr>
          <w:rFonts w:hint="eastAsia" w:asciiTheme="minorEastAsia" w:hAnsiTheme="minorEastAsia" w:eastAsiaTheme="minorEastAsia"/>
          <w:sz w:val="32"/>
          <w:szCs w:val="32"/>
        </w:rPr>
        <w:t>河南天扬工程项目管理有限公司</w:t>
      </w:r>
    </w:p>
    <w:p>
      <w:pPr>
        <w:ind w:firstLine="3840" w:firstLineChars="1200"/>
        <w:rPr>
          <w:rFonts w:asciiTheme="minorEastAsia" w:hAnsiTheme="minorEastAsia" w:eastAsiaTheme="minorEastAsia"/>
          <w:sz w:val="16"/>
        </w:rPr>
      </w:pPr>
      <w:r>
        <w:rPr>
          <w:rFonts w:hint="eastAsia" w:asciiTheme="minorEastAsia" w:hAnsiTheme="minorEastAsia" w:eastAsiaTheme="minorEastAsia"/>
          <w:sz w:val="32"/>
          <w:szCs w:val="32"/>
        </w:rPr>
        <w:t>二〇一</w:t>
      </w:r>
      <w:r>
        <w:rPr>
          <w:rFonts w:hint="eastAsia" w:asciiTheme="minorEastAsia" w:hAnsiTheme="minorEastAsia" w:eastAsiaTheme="minorEastAsia"/>
          <w:sz w:val="32"/>
          <w:szCs w:val="32"/>
          <w:lang w:val="en-US" w:eastAsia="zh-CN"/>
        </w:rPr>
        <w:t>九</w:t>
      </w:r>
      <w:r>
        <w:rPr>
          <w:rFonts w:hint="eastAsia" w:asciiTheme="minorEastAsia" w:hAnsiTheme="minorEastAsia" w:eastAsiaTheme="minorEastAsia"/>
          <w:sz w:val="32"/>
          <w:szCs w:val="32"/>
        </w:rPr>
        <w:t>年</w:t>
      </w:r>
      <w:r>
        <w:rPr>
          <w:rFonts w:hint="eastAsia" w:asciiTheme="minorEastAsia" w:hAnsiTheme="minorEastAsia" w:eastAsiaTheme="minorEastAsia"/>
          <w:sz w:val="32"/>
          <w:szCs w:val="32"/>
          <w:lang w:val="en-US" w:eastAsia="zh-CN"/>
        </w:rPr>
        <w:t>五</w:t>
      </w:r>
      <w:r>
        <w:rPr>
          <w:rFonts w:hint="eastAsia" w:asciiTheme="minorEastAsia" w:hAnsiTheme="minorEastAsia" w:eastAsiaTheme="minorEastAsia"/>
          <w:sz w:val="32"/>
          <w:szCs w:val="32"/>
        </w:rPr>
        <w:t>月</w:t>
      </w:r>
    </w:p>
    <w:p>
      <w:pPr>
        <w:rPr>
          <w:rFonts w:ascii="黑体" w:hAnsi="宋体" w:eastAsia="黑体"/>
          <w:b/>
          <w:sz w:val="44"/>
        </w:rPr>
        <w:sectPr>
          <w:headerReference r:id="rId4" w:type="first"/>
          <w:footerReference r:id="rId6" w:type="first"/>
          <w:headerReference r:id="rId3" w:type="default"/>
          <w:footerReference r:id="rId5" w:type="default"/>
          <w:pgSz w:w="11906" w:h="16838"/>
          <w:pgMar w:top="1304" w:right="1134" w:bottom="1304" w:left="1134" w:header="851" w:footer="992" w:gutter="0"/>
          <w:pgNumType w:start="0"/>
          <w:cols w:space="720" w:num="1"/>
          <w:docGrid w:type="linesAndChars" w:linePitch="312" w:charSpace="0"/>
        </w:sectPr>
      </w:pPr>
    </w:p>
    <w:p>
      <w:pPr>
        <w:ind w:firstLine="4400" w:firstLineChars="1000"/>
        <w:rPr>
          <w:rFonts w:ascii="黑体" w:hAnsi="宋体" w:eastAsia="黑体"/>
          <w:b/>
          <w:sz w:val="44"/>
        </w:rPr>
      </w:pPr>
      <w:r>
        <w:rPr>
          <w:rFonts w:hint="eastAsia" w:ascii="黑体" w:hAnsi="宋体" w:eastAsia="黑体"/>
          <w:b/>
          <w:sz w:val="44"/>
        </w:rPr>
        <w:t>目  录</w:t>
      </w:r>
    </w:p>
    <w:p>
      <w:pPr>
        <w:jc w:val="center"/>
        <w:rPr>
          <w:rFonts w:hAnsi="宋体"/>
          <w:b/>
          <w:sz w:val="32"/>
        </w:rPr>
      </w:pPr>
    </w:p>
    <w:p>
      <w:pPr>
        <w:numPr>
          <w:ilvl w:val="0"/>
          <w:numId w:val="1"/>
        </w:num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szCs w:val="28"/>
        </w:rPr>
        <w:t xml:space="preserve"> 招标公告</w:t>
      </w:r>
    </w:p>
    <w:p>
      <w:pPr>
        <w:numPr>
          <w:ilvl w:val="0"/>
          <w:numId w:val="1"/>
        </w:num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lang w:val="en-US" w:eastAsia="zh-CN"/>
        </w:rPr>
        <w:t xml:space="preserve"> </w:t>
      </w:r>
      <w:r>
        <w:rPr>
          <w:rFonts w:hint="eastAsia" w:ascii="黑体" w:hAnsi="宋体" w:eastAsia="黑体"/>
          <w:b/>
          <w:sz w:val="28"/>
        </w:rPr>
        <w:t>投标人须知</w:t>
      </w: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rPr>
        <w:t>第三章  评标办法</w:t>
      </w: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rPr>
        <w:t>第四章  合同条款及格式</w:t>
      </w: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rPr>
        <w:t>第五章  工程量清单</w:t>
      </w: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rPr>
        <w:t>第六章  技术标准和要求</w:t>
      </w: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rPr>
        <w:t>第七章  投标文件格式</w:t>
      </w:r>
    </w:p>
    <w:p>
      <w:pPr>
        <w:rPr>
          <w:rFonts w:hAnsi="宋体" w:cs="黑体"/>
          <w:b/>
          <w:sz w:val="32"/>
          <w:szCs w:val="32"/>
        </w:rPr>
      </w:pPr>
    </w:p>
    <w:p>
      <w:pPr>
        <w:ind w:firstLine="3465" w:firstLineChars="1083"/>
        <w:rPr>
          <w:rFonts w:hAnsi="宋体" w:cs="黑体"/>
          <w:b/>
          <w:sz w:val="32"/>
          <w:szCs w:val="32"/>
        </w:rPr>
      </w:pPr>
    </w:p>
    <w:p>
      <w:pPr>
        <w:rPr>
          <w:b/>
          <w:sz w:val="48"/>
          <w:szCs w:val="48"/>
        </w:rPr>
      </w:pPr>
    </w:p>
    <w:p>
      <w:pPr>
        <w:rPr>
          <w:rFonts w:hAnsi="宋体" w:cs="黑体"/>
          <w:b/>
          <w:sz w:val="32"/>
          <w:szCs w:val="32"/>
        </w:rPr>
      </w:pPr>
    </w:p>
    <w:p>
      <w:pPr>
        <w:ind w:firstLine="4765" w:firstLineChars="1083"/>
        <w:rPr>
          <w:rFonts w:ascii="黑体" w:hAnsi="宋体" w:eastAsia="黑体"/>
          <w:b/>
          <w:sz w:val="44"/>
        </w:rPr>
        <w:sectPr>
          <w:footerReference r:id="rId7" w:type="default"/>
          <w:pgSz w:w="11906" w:h="16838"/>
          <w:pgMar w:top="1304" w:right="1134" w:bottom="1304" w:left="1134" w:header="851" w:footer="992" w:gutter="0"/>
          <w:pgNumType w:start="1"/>
          <w:cols w:space="720" w:num="1"/>
          <w:docGrid w:type="linesAndChars" w:linePitch="312" w:charSpace="0"/>
        </w:sectPr>
      </w:pPr>
    </w:p>
    <w:p>
      <w:pPr>
        <w:ind w:firstLine="3465" w:firstLineChars="1083"/>
        <w:rPr>
          <w:rFonts w:hAnsi="宋体" w:cs="黑体"/>
          <w:b/>
          <w:sz w:val="32"/>
          <w:szCs w:val="32"/>
        </w:rPr>
      </w:pPr>
    </w:p>
    <w:p>
      <w:pPr>
        <w:tabs>
          <w:tab w:val="left" w:pos="3185"/>
          <w:tab w:val="center" w:pos="5452"/>
        </w:tabs>
        <w:snapToGrid w:val="0"/>
        <w:spacing w:beforeLines="50"/>
        <w:jc w:val="left"/>
        <w:rPr>
          <w:rFonts w:hAnsi="宋体" w:cs="黑体"/>
          <w:b/>
          <w:sz w:val="36"/>
          <w:szCs w:val="36"/>
        </w:rPr>
      </w:pPr>
      <w:bookmarkStart w:id="0" w:name="_Toc215282124"/>
    </w:p>
    <w:p>
      <w:pPr>
        <w:tabs>
          <w:tab w:val="left" w:pos="3185"/>
          <w:tab w:val="center" w:pos="5452"/>
        </w:tabs>
        <w:snapToGrid w:val="0"/>
        <w:spacing w:beforeLines="50"/>
        <w:jc w:val="left"/>
        <w:rPr>
          <w:rFonts w:hAnsi="宋体" w:cs="黑体"/>
          <w:b/>
          <w:sz w:val="36"/>
          <w:szCs w:val="36"/>
        </w:rPr>
        <w:sectPr>
          <w:type w:val="continuous"/>
          <w:pgSz w:w="11906" w:h="16838"/>
          <w:pgMar w:top="1304" w:right="1134" w:bottom="1304" w:left="1134" w:header="851" w:footer="992" w:gutter="0"/>
          <w:cols w:space="720" w:num="1"/>
          <w:titlePg/>
          <w:docGrid w:type="linesAndChars" w:linePitch="312" w:charSpace="0"/>
        </w:sectPr>
      </w:pPr>
    </w:p>
    <w:p>
      <w:pPr>
        <w:numPr>
          <w:ilvl w:val="0"/>
          <w:numId w:val="2"/>
        </w:numPr>
        <w:tabs>
          <w:tab w:val="left" w:pos="3185"/>
          <w:tab w:val="center" w:pos="5452"/>
        </w:tabs>
        <w:snapToGrid w:val="0"/>
        <w:spacing w:beforeLines="50"/>
        <w:jc w:val="center"/>
        <w:rPr>
          <w:rFonts w:hAnsi="宋体" w:cs="黑体"/>
          <w:b/>
          <w:sz w:val="36"/>
          <w:szCs w:val="36"/>
        </w:rPr>
      </w:pPr>
      <w:r>
        <w:rPr>
          <w:rFonts w:hint="eastAsia" w:hAnsi="宋体" w:cs="黑体"/>
          <w:b/>
          <w:sz w:val="36"/>
          <w:szCs w:val="36"/>
        </w:rPr>
        <w:t xml:space="preserve"> 招标公告</w:t>
      </w:r>
    </w:p>
    <w:p>
      <w:pPr>
        <w:keepNext w:val="0"/>
        <w:keepLines w:val="0"/>
        <w:pageBreakBefore w:val="0"/>
        <w:widowControl w:val="0"/>
        <w:kinsoku/>
        <w:wordWrap/>
        <w:overflowPunct/>
        <w:topLinePunct w:val="0"/>
        <w:autoSpaceDE w:val="0"/>
        <w:autoSpaceDN w:val="0"/>
        <w:bidi w:val="0"/>
        <w:adjustRightInd w:val="0"/>
        <w:snapToGrid/>
        <w:spacing w:line="520" w:lineRule="exact"/>
        <w:ind w:firstLine="480" w:firstLineChars="200"/>
        <w:jc w:val="center"/>
        <w:textAlignment w:val="auto"/>
        <w:outlineLvl w:val="0"/>
        <w:rPr>
          <w:rFonts w:hAnsi="宋体" w:cs="宋体"/>
          <w:sz w:val="24"/>
          <w:szCs w:val="24"/>
        </w:rPr>
      </w:pPr>
      <w:r>
        <w:rPr>
          <w:rFonts w:hint="eastAsia" w:hAnsi="宋体" w:cs="宋体"/>
          <w:sz w:val="24"/>
          <w:szCs w:val="24"/>
        </w:rPr>
        <w:t>建安建工公字〔201</w:t>
      </w:r>
      <w:r>
        <w:rPr>
          <w:rFonts w:hint="eastAsia" w:hAnsi="宋体" w:cs="宋体"/>
          <w:sz w:val="24"/>
          <w:szCs w:val="24"/>
          <w:lang w:val="en-US" w:eastAsia="zh-CN"/>
        </w:rPr>
        <w:t>9</w:t>
      </w:r>
      <w:r>
        <w:rPr>
          <w:rFonts w:hint="eastAsia" w:hAnsi="宋体" w:cs="宋体"/>
          <w:sz w:val="24"/>
          <w:szCs w:val="24"/>
        </w:rPr>
        <w:t>〕</w:t>
      </w:r>
      <w:r>
        <w:rPr>
          <w:rFonts w:hint="eastAsia" w:hAnsi="宋体" w:cs="宋体"/>
          <w:sz w:val="24"/>
          <w:szCs w:val="24"/>
          <w:lang w:val="en-US" w:eastAsia="zh-CN"/>
        </w:rPr>
        <w:t>67</w:t>
      </w:r>
      <w:r>
        <w:rPr>
          <w:rFonts w:hint="eastAsia" w:hAnsi="宋体" w:cs="宋体"/>
          <w:sz w:val="24"/>
          <w:szCs w:val="24"/>
        </w:rPr>
        <w:t>号</w:t>
      </w:r>
    </w:p>
    <w:p>
      <w:pPr>
        <w:keepNext w:val="0"/>
        <w:keepLines w:val="0"/>
        <w:pageBreakBefore w:val="0"/>
        <w:widowControl w:val="0"/>
        <w:kinsoku/>
        <w:wordWrap/>
        <w:overflowPunct/>
        <w:topLinePunct w:val="0"/>
        <w:autoSpaceDE w:val="0"/>
        <w:autoSpaceDN w:val="0"/>
        <w:bidi w:val="0"/>
        <w:adjustRightInd w:val="0"/>
        <w:snapToGrid/>
        <w:spacing w:line="520" w:lineRule="exact"/>
        <w:ind w:firstLine="480" w:firstLineChars="200"/>
        <w:jc w:val="center"/>
        <w:textAlignment w:val="auto"/>
        <w:outlineLvl w:val="0"/>
        <w:rPr>
          <w:rFonts w:hint="eastAsia" w:hAnsi="宋体" w:eastAsia="宋体" w:cs="宋体"/>
          <w:sz w:val="24"/>
          <w:szCs w:val="24"/>
          <w:lang w:eastAsia="zh-CN"/>
        </w:rPr>
      </w:pPr>
      <w:r>
        <w:rPr>
          <w:rFonts w:hint="eastAsia" w:hAnsi="宋体" w:cs="宋体"/>
          <w:sz w:val="24"/>
          <w:szCs w:val="24"/>
          <w:lang w:eastAsia="zh-CN"/>
        </w:rPr>
        <w:t>许昌市建安区住房和城乡建设局</w:t>
      </w:r>
    </w:p>
    <w:p>
      <w:pPr>
        <w:keepNext w:val="0"/>
        <w:keepLines w:val="0"/>
        <w:pageBreakBefore w:val="0"/>
        <w:widowControl w:val="0"/>
        <w:kinsoku/>
        <w:wordWrap/>
        <w:overflowPunct/>
        <w:topLinePunct w:val="0"/>
        <w:autoSpaceDE w:val="0"/>
        <w:autoSpaceDN w:val="0"/>
        <w:bidi w:val="0"/>
        <w:adjustRightInd w:val="0"/>
        <w:snapToGrid/>
        <w:spacing w:line="520" w:lineRule="exact"/>
        <w:ind w:firstLine="480" w:firstLineChars="200"/>
        <w:jc w:val="center"/>
        <w:textAlignment w:val="auto"/>
        <w:outlineLvl w:val="0"/>
        <w:rPr>
          <w:rFonts w:hint="eastAsia" w:hAnsi="宋体" w:cs="宋体"/>
          <w:sz w:val="24"/>
          <w:szCs w:val="24"/>
          <w:lang w:val="en-US" w:eastAsia="zh-CN"/>
        </w:rPr>
      </w:pPr>
      <w:r>
        <w:rPr>
          <w:rFonts w:hint="eastAsia" w:hAnsi="宋体" w:cs="宋体"/>
          <w:sz w:val="24"/>
          <w:szCs w:val="24"/>
          <w:lang w:val="en-US" w:eastAsia="zh-CN"/>
        </w:rPr>
        <w:t>新元大道污水厂管道环通工程（高铁北站）</w:t>
      </w:r>
    </w:p>
    <w:p>
      <w:pPr>
        <w:keepNext w:val="0"/>
        <w:keepLines w:val="0"/>
        <w:pageBreakBefore w:val="0"/>
        <w:widowControl w:val="0"/>
        <w:kinsoku/>
        <w:wordWrap/>
        <w:overflowPunct/>
        <w:topLinePunct w:val="0"/>
        <w:autoSpaceDE w:val="0"/>
        <w:autoSpaceDN w:val="0"/>
        <w:bidi w:val="0"/>
        <w:adjustRightInd w:val="0"/>
        <w:snapToGrid/>
        <w:spacing w:line="520" w:lineRule="exact"/>
        <w:ind w:firstLine="480" w:firstLineChars="200"/>
        <w:jc w:val="center"/>
        <w:textAlignment w:val="auto"/>
        <w:outlineLvl w:val="0"/>
        <w:rPr>
          <w:rFonts w:hAnsi="宋体" w:cs="宋体"/>
          <w:sz w:val="28"/>
          <w:szCs w:val="28"/>
        </w:rPr>
      </w:pPr>
      <w:r>
        <w:rPr>
          <w:rFonts w:hAnsi="宋体" w:cs="宋体"/>
          <w:sz w:val="24"/>
          <w:szCs w:val="24"/>
        </w:rPr>
        <w:t>公开招标公告</w:t>
      </w:r>
    </w:p>
    <w:p>
      <w:pPr>
        <w:autoSpaceDE w:val="0"/>
        <w:autoSpaceDN w:val="0"/>
        <w:adjustRightInd w:val="0"/>
        <w:spacing w:line="420" w:lineRule="exact"/>
        <w:jc w:val="left"/>
        <w:outlineLvl w:val="0"/>
        <w:rPr>
          <w:rFonts w:hAnsi="宋体" w:cs="宋体"/>
          <w:sz w:val="24"/>
          <w:szCs w:val="24"/>
        </w:rPr>
      </w:pPr>
      <w:r>
        <w:rPr>
          <w:rFonts w:hint="eastAsia" w:hAnsi="宋体" w:cs="宋体"/>
          <w:b/>
          <w:bCs/>
          <w:sz w:val="24"/>
          <w:szCs w:val="24"/>
        </w:rPr>
        <w:t xml:space="preserve"> 一、</w:t>
      </w:r>
      <w:r>
        <w:rPr>
          <w:rFonts w:hAnsi="宋体" w:cs="宋体"/>
          <w:b/>
          <w:bCs/>
          <w:sz w:val="24"/>
          <w:szCs w:val="24"/>
        </w:rPr>
        <w:t>项目概况</w:t>
      </w:r>
    </w:p>
    <w:p>
      <w:pPr>
        <w:autoSpaceDE w:val="0"/>
        <w:autoSpaceDN w:val="0"/>
        <w:adjustRightInd w:val="0"/>
        <w:spacing w:line="420" w:lineRule="exact"/>
        <w:ind w:firstLine="480" w:firstLineChars="200"/>
        <w:outlineLvl w:val="0"/>
        <w:rPr>
          <w:rFonts w:hAnsi="宋体" w:cs="宋体"/>
          <w:sz w:val="24"/>
          <w:szCs w:val="22"/>
        </w:rPr>
      </w:pPr>
      <w:r>
        <w:rPr>
          <w:rFonts w:hint="eastAsia" w:hAnsi="宋体" w:cs="宋体"/>
          <w:sz w:val="24"/>
          <w:szCs w:val="22"/>
        </w:rPr>
        <w:t>1、项目编号：建安建工公字〔201</w:t>
      </w:r>
      <w:r>
        <w:rPr>
          <w:rFonts w:hint="eastAsia" w:hAnsi="宋体" w:cs="宋体"/>
          <w:sz w:val="24"/>
          <w:szCs w:val="22"/>
          <w:lang w:val="en-US" w:eastAsia="zh-CN"/>
        </w:rPr>
        <w:t>9</w:t>
      </w:r>
      <w:r>
        <w:rPr>
          <w:rFonts w:hint="eastAsia" w:hAnsi="宋体" w:cs="宋体"/>
          <w:sz w:val="24"/>
          <w:szCs w:val="22"/>
        </w:rPr>
        <w:t>〕</w:t>
      </w:r>
      <w:r>
        <w:rPr>
          <w:rFonts w:hint="eastAsia" w:hAnsi="宋体" w:cs="宋体"/>
          <w:sz w:val="24"/>
          <w:szCs w:val="22"/>
          <w:lang w:val="en-US" w:eastAsia="zh-CN"/>
        </w:rPr>
        <w:t>67</w:t>
      </w:r>
      <w:r>
        <w:rPr>
          <w:rFonts w:hint="eastAsia" w:hAnsi="宋体" w:cs="宋体"/>
          <w:sz w:val="24"/>
          <w:szCs w:val="22"/>
        </w:rPr>
        <w:t>号。</w:t>
      </w:r>
    </w:p>
    <w:p>
      <w:pPr>
        <w:autoSpaceDE w:val="0"/>
        <w:autoSpaceDN w:val="0"/>
        <w:adjustRightInd w:val="0"/>
        <w:spacing w:line="420" w:lineRule="exact"/>
        <w:ind w:firstLine="480" w:firstLineChars="200"/>
        <w:jc w:val="both"/>
        <w:outlineLvl w:val="0"/>
      </w:pPr>
      <w:r>
        <w:rPr>
          <w:rFonts w:hint="eastAsia" w:hAnsi="宋体" w:cs="宋体"/>
          <w:sz w:val="24"/>
          <w:szCs w:val="24"/>
        </w:rPr>
        <w:t>2、</w:t>
      </w:r>
      <w:r>
        <w:rPr>
          <w:rFonts w:hAnsi="宋体" w:cs="宋体"/>
          <w:sz w:val="24"/>
          <w:szCs w:val="24"/>
        </w:rPr>
        <w:t>项目名称：</w:t>
      </w:r>
      <w:r>
        <w:rPr>
          <w:rFonts w:hint="eastAsia" w:hAnsi="宋体" w:cs="宋体"/>
          <w:sz w:val="24"/>
          <w:szCs w:val="24"/>
          <w:lang w:val="en-US" w:eastAsia="zh-CN"/>
        </w:rPr>
        <w:t>新元大道污水厂管道环通工程（高铁北站）</w:t>
      </w:r>
      <w:r>
        <w:rPr>
          <w:rFonts w:hint="eastAsia" w:hAnsi="宋体" w:cs="宋体"/>
          <w:sz w:val="24"/>
          <w:szCs w:val="24"/>
        </w:rPr>
        <w:t>。</w:t>
      </w:r>
    </w:p>
    <w:p>
      <w:pPr>
        <w:autoSpaceDE w:val="0"/>
        <w:autoSpaceDN w:val="0"/>
        <w:adjustRightInd w:val="0"/>
        <w:spacing w:line="420" w:lineRule="exact"/>
        <w:ind w:firstLine="480" w:firstLineChars="200"/>
        <w:outlineLvl w:val="0"/>
        <w:rPr>
          <w:rFonts w:hAnsi="宋体" w:cs="宋体"/>
          <w:sz w:val="24"/>
          <w:szCs w:val="22"/>
        </w:rPr>
      </w:pPr>
      <w:r>
        <w:rPr>
          <w:rFonts w:hint="eastAsia" w:hAnsi="宋体" w:cs="宋体"/>
          <w:sz w:val="24"/>
          <w:szCs w:val="22"/>
        </w:rPr>
        <w:t>3、招标单位：</w:t>
      </w:r>
      <w:r>
        <w:rPr>
          <w:rFonts w:hint="eastAsia" w:hAnsi="宋体" w:cs="宋体"/>
          <w:sz w:val="24"/>
          <w:szCs w:val="22"/>
          <w:lang w:eastAsia="zh-CN"/>
        </w:rPr>
        <w:t>许昌市建安区住房和城乡建设局</w:t>
      </w:r>
      <w:r>
        <w:rPr>
          <w:rFonts w:hint="eastAsia" w:hAnsi="宋体" w:cs="宋体"/>
          <w:sz w:val="24"/>
          <w:szCs w:val="22"/>
        </w:rPr>
        <w:t>。</w:t>
      </w:r>
    </w:p>
    <w:p>
      <w:pPr>
        <w:autoSpaceDE w:val="0"/>
        <w:autoSpaceDN w:val="0"/>
        <w:adjustRightInd w:val="0"/>
        <w:spacing w:line="420" w:lineRule="exact"/>
        <w:ind w:firstLine="480" w:firstLineChars="200"/>
        <w:outlineLvl w:val="0"/>
        <w:rPr>
          <w:rFonts w:hint="eastAsia" w:hAnsi="宋体" w:cs="宋体"/>
          <w:sz w:val="24"/>
          <w:szCs w:val="22"/>
        </w:rPr>
      </w:pPr>
      <w:r>
        <w:rPr>
          <w:rFonts w:hint="eastAsia" w:hAnsi="宋体" w:cs="宋体"/>
          <w:sz w:val="24"/>
          <w:szCs w:val="22"/>
        </w:rPr>
        <w:t>4、工程概况：</w:t>
      </w:r>
      <w:r>
        <w:rPr>
          <w:rFonts w:hint="eastAsia" w:hAnsi="宋体" w:cs="宋体"/>
          <w:sz w:val="24"/>
          <w:szCs w:val="22"/>
          <w:lang w:val="en-US" w:eastAsia="zh-CN"/>
        </w:rPr>
        <w:t>该工程位于许昌市建安区新元大道与污水厂之间，主要工程内容为新建DN1500管径的污水管、新建2座矩形污水检查井、施工沿线降水等 。</w:t>
      </w:r>
    </w:p>
    <w:p>
      <w:pPr>
        <w:autoSpaceDE w:val="0"/>
        <w:autoSpaceDN w:val="0"/>
        <w:adjustRightInd w:val="0"/>
        <w:spacing w:line="420" w:lineRule="exact"/>
        <w:ind w:firstLine="480" w:firstLineChars="200"/>
        <w:outlineLvl w:val="0"/>
        <w:rPr>
          <w:rFonts w:hint="eastAsia" w:hAnsi="宋体" w:eastAsia="宋体" w:cs="宋体"/>
          <w:sz w:val="24"/>
          <w:szCs w:val="22"/>
          <w:lang w:eastAsia="zh-CN"/>
        </w:rPr>
      </w:pPr>
      <w:r>
        <w:rPr>
          <w:rFonts w:hint="eastAsia" w:hAnsi="宋体" w:cs="宋体"/>
          <w:sz w:val="24"/>
          <w:szCs w:val="22"/>
        </w:rPr>
        <w:t>5、招标范围：招标文件、施工图纸、工程量清单、设计变更（如有）及答疑纪要（如有）范围内的所有工程内容</w:t>
      </w:r>
      <w:r>
        <w:rPr>
          <w:rFonts w:hint="eastAsia" w:hAnsi="宋体" w:cs="宋体"/>
          <w:sz w:val="24"/>
          <w:szCs w:val="22"/>
          <w:lang w:eastAsia="zh-CN"/>
        </w:rPr>
        <w:t>。</w:t>
      </w:r>
    </w:p>
    <w:p>
      <w:pPr>
        <w:autoSpaceDE w:val="0"/>
        <w:autoSpaceDN w:val="0"/>
        <w:adjustRightInd w:val="0"/>
        <w:spacing w:line="420" w:lineRule="exact"/>
        <w:ind w:firstLine="480" w:firstLineChars="200"/>
        <w:outlineLvl w:val="0"/>
        <w:rPr>
          <w:rFonts w:hAnsi="宋体" w:cs="宋体"/>
          <w:sz w:val="24"/>
          <w:szCs w:val="22"/>
        </w:rPr>
      </w:pPr>
      <w:r>
        <w:rPr>
          <w:rFonts w:hint="eastAsia" w:hAnsi="宋体" w:cs="宋体"/>
          <w:sz w:val="24"/>
          <w:szCs w:val="22"/>
        </w:rPr>
        <w:t>6、标段划分：共分为一个标段。</w:t>
      </w:r>
    </w:p>
    <w:p>
      <w:pPr>
        <w:autoSpaceDE w:val="0"/>
        <w:autoSpaceDN w:val="0"/>
        <w:adjustRightInd w:val="0"/>
        <w:spacing w:line="420" w:lineRule="exact"/>
        <w:ind w:firstLine="480" w:firstLineChars="200"/>
        <w:outlineLvl w:val="0"/>
        <w:rPr>
          <w:rFonts w:hAnsi="宋体" w:cs="宋体"/>
          <w:sz w:val="24"/>
          <w:szCs w:val="22"/>
        </w:rPr>
      </w:pPr>
      <w:r>
        <w:rPr>
          <w:rFonts w:hint="eastAsia" w:hAnsi="宋体" w:cs="宋体"/>
          <w:sz w:val="24"/>
          <w:szCs w:val="24"/>
        </w:rPr>
        <w:t>7</w:t>
      </w:r>
      <w:r>
        <w:rPr>
          <w:rFonts w:hAnsi="宋体" w:cs="宋体"/>
          <w:sz w:val="24"/>
          <w:szCs w:val="24"/>
        </w:rPr>
        <w:t>、</w:t>
      </w:r>
      <w:r>
        <w:rPr>
          <w:rFonts w:hint="eastAsia" w:hAnsi="宋体" w:cs="宋体"/>
          <w:sz w:val="24"/>
          <w:szCs w:val="22"/>
        </w:rPr>
        <w:t>资金预算：</w:t>
      </w:r>
      <w:r>
        <w:rPr>
          <w:rFonts w:hint="eastAsia" w:hAnsi="宋体" w:cs="宋体"/>
          <w:sz w:val="24"/>
          <w:szCs w:val="22"/>
          <w:lang w:val="en-US" w:eastAsia="zh-CN"/>
        </w:rPr>
        <w:t>753712.75</w:t>
      </w:r>
      <w:r>
        <w:rPr>
          <w:rFonts w:hint="eastAsia" w:hAnsi="宋体" w:cs="宋体"/>
          <w:sz w:val="24"/>
          <w:szCs w:val="22"/>
        </w:rPr>
        <w:t>元。</w:t>
      </w:r>
    </w:p>
    <w:p>
      <w:pPr>
        <w:autoSpaceDE w:val="0"/>
        <w:autoSpaceDN w:val="0"/>
        <w:adjustRightInd w:val="0"/>
        <w:spacing w:line="420" w:lineRule="exact"/>
        <w:ind w:firstLine="480" w:firstLineChars="200"/>
        <w:jc w:val="left"/>
        <w:outlineLvl w:val="0"/>
        <w:rPr>
          <w:rFonts w:hAnsi="宋体" w:cs="宋体"/>
          <w:sz w:val="24"/>
          <w:szCs w:val="24"/>
        </w:rPr>
      </w:pPr>
      <w:r>
        <w:rPr>
          <w:rFonts w:hint="eastAsia" w:hAnsi="宋体" w:cs="宋体"/>
          <w:sz w:val="24"/>
          <w:szCs w:val="24"/>
        </w:rPr>
        <w:t>8、</w:t>
      </w:r>
      <w:r>
        <w:rPr>
          <w:rFonts w:hAnsi="宋体" w:cs="宋体"/>
          <w:sz w:val="24"/>
          <w:szCs w:val="24"/>
        </w:rPr>
        <w:t>计划工期</w:t>
      </w:r>
      <w:r>
        <w:rPr>
          <w:rFonts w:hAnsi="宋体" w:cs="宋体"/>
          <w:color w:val="auto"/>
          <w:sz w:val="24"/>
          <w:szCs w:val="24"/>
        </w:rPr>
        <w:t>：</w:t>
      </w:r>
      <w:r>
        <w:rPr>
          <w:rFonts w:hint="eastAsia" w:hAnsi="宋体" w:cs="宋体"/>
          <w:color w:val="auto"/>
          <w:sz w:val="24"/>
          <w:szCs w:val="24"/>
          <w:lang w:val="en-US" w:eastAsia="zh-CN"/>
        </w:rPr>
        <w:t>45</w:t>
      </w:r>
      <w:r>
        <w:rPr>
          <w:rFonts w:hint="eastAsia" w:hAnsi="宋体" w:cs="宋体"/>
          <w:color w:val="auto"/>
          <w:sz w:val="24"/>
          <w:szCs w:val="24"/>
        </w:rPr>
        <w:t>日历天。</w:t>
      </w:r>
    </w:p>
    <w:p>
      <w:pPr>
        <w:autoSpaceDE w:val="0"/>
        <w:autoSpaceDN w:val="0"/>
        <w:adjustRightInd w:val="0"/>
        <w:spacing w:line="420" w:lineRule="exact"/>
        <w:ind w:firstLine="480" w:firstLineChars="200"/>
        <w:jc w:val="left"/>
        <w:outlineLvl w:val="0"/>
        <w:rPr>
          <w:rFonts w:hAnsi="宋体" w:cs="宋体"/>
          <w:sz w:val="24"/>
          <w:szCs w:val="24"/>
        </w:rPr>
      </w:pPr>
      <w:r>
        <w:rPr>
          <w:rFonts w:hint="eastAsia" w:hAnsi="宋体" w:cs="宋体"/>
          <w:sz w:val="24"/>
          <w:szCs w:val="24"/>
        </w:rPr>
        <w:t>9、质量要求：达到国家建设工程质量验收的规范和标准(合格)。</w:t>
      </w:r>
    </w:p>
    <w:p>
      <w:pPr>
        <w:autoSpaceDE w:val="0"/>
        <w:autoSpaceDN w:val="0"/>
        <w:adjustRightInd w:val="0"/>
        <w:spacing w:line="420" w:lineRule="exact"/>
        <w:jc w:val="left"/>
        <w:outlineLvl w:val="0"/>
        <w:rPr>
          <w:rFonts w:hAnsi="宋体" w:cs="宋体"/>
          <w:b/>
          <w:bCs/>
          <w:sz w:val="24"/>
          <w:szCs w:val="24"/>
        </w:rPr>
      </w:pPr>
      <w:r>
        <w:rPr>
          <w:rFonts w:hAnsi="宋体" w:cs="宋体"/>
          <w:b/>
          <w:bCs/>
          <w:sz w:val="24"/>
          <w:szCs w:val="24"/>
        </w:rPr>
        <w:t>二、投标人资格要求</w:t>
      </w:r>
    </w:p>
    <w:p>
      <w:pPr>
        <w:autoSpaceDE w:val="0"/>
        <w:autoSpaceDN w:val="0"/>
        <w:adjustRightInd w:val="0"/>
        <w:spacing w:line="420" w:lineRule="exact"/>
        <w:ind w:firstLine="480" w:firstLineChars="200"/>
        <w:jc w:val="left"/>
        <w:outlineLvl w:val="0"/>
        <w:rPr>
          <w:rFonts w:hint="eastAsia" w:ascii="宋体" w:hAnsi="宋体" w:eastAsia="宋体" w:cs="仿宋_GB2312"/>
          <w:color w:val="000000" w:themeColor="text1"/>
          <w:kern w:val="2"/>
          <w:sz w:val="24"/>
          <w:szCs w:val="24"/>
          <w:highlight w:val="none"/>
          <w:shd w:val="clear" w:color="auto" w:fill="FFFFFF"/>
          <w:lang w:val="en-US" w:eastAsia="zh-CN" w:bidi="ar-SA"/>
          <w14:textFill>
            <w14:solidFill>
              <w14:schemeClr w14:val="tx1"/>
            </w14:solidFill>
          </w14:textFill>
        </w:rPr>
      </w:pPr>
      <w:r>
        <w:rPr>
          <w:rFonts w:hint="eastAsia" w:hAnsi="宋体" w:cs="仿宋_GB2312"/>
          <w:color w:val="000000" w:themeColor="text1"/>
          <w:kern w:val="2"/>
          <w:sz w:val="24"/>
          <w:szCs w:val="24"/>
          <w:highlight w:val="none"/>
          <w:shd w:val="clear" w:color="auto" w:fill="FFFFFF"/>
          <w:lang w:val="en-US" w:eastAsia="zh-CN" w:bidi="ar-SA"/>
          <w14:textFill>
            <w14:solidFill>
              <w14:schemeClr w14:val="tx1"/>
            </w14:solidFill>
          </w14:textFill>
        </w:rPr>
        <w:t>1、</w:t>
      </w:r>
      <w:r>
        <w:rPr>
          <w:rFonts w:hint="eastAsia" w:ascii="宋体" w:hAnsi="宋体" w:cs="宋体"/>
          <w:color w:val="000000" w:themeColor="text1"/>
          <w:kern w:val="0"/>
          <w:sz w:val="24"/>
          <w:szCs w:val="24"/>
          <w:lang w:val="en-US" w:eastAsia="zh-CN"/>
          <w14:textFill>
            <w14:solidFill>
              <w14:schemeClr w14:val="tx1"/>
            </w14:solidFill>
          </w14:textFill>
        </w:rPr>
        <w:t>要求投标人</w:t>
      </w:r>
      <w:r>
        <w:rPr>
          <w:rFonts w:hint="eastAsia" w:ascii="宋体" w:hAnsi="宋体" w:cs="宋体"/>
          <w:color w:val="000000" w:themeColor="text1"/>
          <w:kern w:val="0"/>
          <w:sz w:val="24"/>
          <w:szCs w:val="24"/>
          <w14:textFill>
            <w14:solidFill>
              <w14:schemeClr w14:val="tx1"/>
            </w14:solidFill>
          </w14:textFill>
        </w:rPr>
        <w:t>须具备独立的法人资格；须具备建设行政主管部门颁发的市政公用工程施工总承包</w:t>
      </w:r>
      <w:r>
        <w:rPr>
          <w:rFonts w:hint="eastAsia" w:hAnsi="宋体" w:cs="宋体"/>
          <w:color w:val="000000" w:themeColor="text1"/>
          <w:kern w:val="0"/>
          <w:sz w:val="24"/>
          <w:szCs w:val="24"/>
          <w:lang w:val="en-US" w:eastAsia="zh-CN"/>
          <w14:textFill>
            <w14:solidFill>
              <w14:schemeClr w14:val="tx1"/>
            </w14:solidFill>
          </w14:textFill>
        </w:rPr>
        <w:t>叁</w:t>
      </w:r>
      <w:r>
        <w:rPr>
          <w:rFonts w:hint="eastAsia" w:ascii="宋体" w:hAnsi="宋体" w:cs="宋体"/>
          <w:color w:val="000000" w:themeColor="text1"/>
          <w:kern w:val="0"/>
          <w:sz w:val="24"/>
          <w:szCs w:val="24"/>
          <w14:textFill>
            <w14:solidFill>
              <w14:schemeClr w14:val="tx1"/>
            </w14:solidFill>
          </w14:textFill>
        </w:rPr>
        <w:t>级及以上资质，且具备有效的安全生产许可证</w:t>
      </w:r>
      <w:r>
        <w:rPr>
          <w:rFonts w:hint="eastAsia" w:ascii="宋体" w:hAnsi="宋体" w:cs="宋体"/>
          <w:color w:val="000000" w:themeColor="text1"/>
          <w:kern w:val="0"/>
          <w:sz w:val="24"/>
          <w:szCs w:val="24"/>
          <w:lang w:eastAsia="zh-CN"/>
          <w14:textFill>
            <w14:solidFill>
              <w14:schemeClr w14:val="tx1"/>
            </w14:solidFill>
          </w14:textFill>
        </w:rPr>
        <w:t>。</w:t>
      </w:r>
    </w:p>
    <w:p>
      <w:pPr>
        <w:autoSpaceDE w:val="0"/>
        <w:autoSpaceDN w:val="0"/>
        <w:adjustRightInd w:val="0"/>
        <w:spacing w:line="420" w:lineRule="exact"/>
        <w:ind w:firstLine="480" w:firstLineChars="200"/>
        <w:jc w:val="both"/>
        <w:outlineLvl w:val="0"/>
        <w:rPr>
          <w:rFonts w:hAnsi="宋体" w:cs="宋体"/>
          <w:color w:val="000000" w:themeColor="text1"/>
          <w:sz w:val="24"/>
          <w:szCs w:val="24"/>
          <w:highlight w:val="red"/>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2、拟派项目经理须具备</w:t>
      </w:r>
      <w:r>
        <w:rPr>
          <w:rFonts w:hint="eastAsia" w:hAnsi="宋体" w:cs="宋体"/>
          <w:color w:val="000000" w:themeColor="text1"/>
          <w:sz w:val="24"/>
          <w:szCs w:val="24"/>
          <w:highlight w:val="none"/>
          <w:lang w:val="en-US" w:eastAsia="zh-CN"/>
          <w14:textFill>
            <w14:solidFill>
              <w14:schemeClr w14:val="tx1"/>
            </w14:solidFill>
          </w14:textFill>
        </w:rPr>
        <w:t>市政公用</w:t>
      </w:r>
      <w:r>
        <w:rPr>
          <w:rFonts w:hint="eastAsia" w:hAnsi="宋体" w:cs="宋体"/>
          <w:color w:val="000000" w:themeColor="text1"/>
          <w:sz w:val="24"/>
          <w:szCs w:val="24"/>
          <w:highlight w:val="none"/>
          <w14:textFill>
            <w14:solidFill>
              <w14:schemeClr w14:val="tx1"/>
            </w14:solidFill>
          </w14:textFill>
        </w:rPr>
        <w:t>工程专业</w:t>
      </w:r>
      <w:r>
        <w:rPr>
          <w:rFonts w:hint="eastAsia" w:hAnsi="宋体" w:cs="宋体"/>
          <w:color w:val="000000" w:themeColor="text1"/>
          <w:sz w:val="24"/>
          <w:szCs w:val="24"/>
          <w:highlight w:val="none"/>
          <w:lang w:val="en-US" w:eastAsia="zh-CN"/>
          <w14:textFill>
            <w14:solidFill>
              <w14:schemeClr w14:val="tx1"/>
            </w14:solidFill>
          </w14:textFill>
        </w:rPr>
        <w:t>贰</w:t>
      </w:r>
      <w:r>
        <w:rPr>
          <w:rFonts w:hint="eastAsia" w:hAnsi="宋体" w:cs="宋体"/>
          <w:color w:val="000000" w:themeColor="text1"/>
          <w:sz w:val="24"/>
          <w:szCs w:val="24"/>
          <w:highlight w:val="none"/>
          <w14:textFill>
            <w14:solidFill>
              <w14:schemeClr w14:val="tx1"/>
            </w14:solidFill>
          </w14:textFill>
        </w:rPr>
        <w:t>级</w:t>
      </w:r>
      <w:r>
        <w:rPr>
          <w:rFonts w:hint="eastAsia" w:hAnsi="宋体" w:cs="宋体"/>
          <w:color w:val="000000" w:themeColor="text1"/>
          <w:sz w:val="24"/>
          <w:szCs w:val="24"/>
          <w:highlight w:val="none"/>
          <w:lang w:val="en-US" w:eastAsia="zh-CN"/>
          <w14:textFill>
            <w14:solidFill>
              <w14:schemeClr w14:val="tx1"/>
            </w14:solidFill>
          </w14:textFill>
        </w:rPr>
        <w:t>及以上</w:t>
      </w:r>
      <w:r>
        <w:rPr>
          <w:rFonts w:hint="eastAsia" w:hAnsi="宋体" w:cs="宋体"/>
          <w:color w:val="000000" w:themeColor="text1"/>
          <w:sz w:val="24"/>
          <w:szCs w:val="24"/>
          <w:highlight w:val="none"/>
          <w14:textFill>
            <w14:solidFill>
              <w14:schemeClr w14:val="tx1"/>
            </w14:solidFill>
          </w14:textFill>
        </w:rPr>
        <w:t>注册建造师资格</w:t>
      </w:r>
      <w:r>
        <w:rPr>
          <w:rFonts w:hint="eastAsia" w:hAnsi="宋体" w:cs="宋体"/>
          <w:color w:val="000000" w:themeColor="text1"/>
          <w:sz w:val="24"/>
          <w:szCs w:val="24"/>
          <w:highlight w:val="none"/>
          <w:lang w:val="en-US" w:eastAsia="zh-CN"/>
          <w14:textFill>
            <w14:solidFill>
              <w14:schemeClr w14:val="tx1"/>
            </w14:solidFill>
          </w14:textFill>
        </w:rPr>
        <w:t>，</w:t>
      </w:r>
      <w:r>
        <w:rPr>
          <w:rFonts w:hint="eastAsia" w:hAnsi="宋体" w:cs="宋体"/>
          <w:color w:val="000000" w:themeColor="text1"/>
          <w:sz w:val="24"/>
          <w:szCs w:val="24"/>
          <w:highlight w:val="none"/>
          <w14:textFill>
            <w14:solidFill>
              <w14:schemeClr w14:val="tx1"/>
            </w14:solidFill>
          </w14:textFill>
        </w:rPr>
        <w:t>且具有有效的安全生产考核合格证，</w:t>
      </w:r>
      <w:r>
        <w:rPr>
          <w:rFonts w:hint="eastAsia" w:hAnsi="宋体" w:cs="宋体"/>
          <w:color w:val="000000" w:themeColor="text1"/>
          <w:sz w:val="24"/>
          <w:szCs w:val="24"/>
          <w:highlight w:val="none"/>
          <w:lang w:val="en-US" w:eastAsia="zh-CN"/>
          <w14:textFill>
            <w14:solidFill>
              <w14:schemeClr w14:val="tx1"/>
            </w14:solidFill>
          </w14:textFill>
        </w:rPr>
        <w:t>并</w:t>
      </w:r>
      <w:r>
        <w:rPr>
          <w:rFonts w:hint="eastAsia" w:hAnsi="宋体" w:cs="宋体"/>
          <w:color w:val="000000" w:themeColor="text1"/>
          <w:sz w:val="24"/>
          <w:szCs w:val="24"/>
          <w:highlight w:val="none"/>
          <w14:textFill>
            <w14:solidFill>
              <w14:schemeClr w14:val="tx1"/>
            </w14:solidFill>
          </w14:textFill>
        </w:rPr>
        <w:t>未承担其他在施建设工程</w:t>
      </w:r>
      <w:r>
        <w:rPr>
          <w:rFonts w:hint="eastAsia" w:hAnsi="宋体" w:cs="宋体"/>
          <w:color w:val="000000" w:themeColor="text1"/>
          <w:sz w:val="24"/>
          <w:szCs w:val="24"/>
          <w:highlight w:val="none"/>
          <w:lang w:val="en-US" w:eastAsia="zh-CN"/>
          <w14:textFill>
            <w14:solidFill>
              <w14:schemeClr w14:val="tx1"/>
            </w14:solidFill>
          </w14:textFill>
        </w:rPr>
        <w:t>项目</w:t>
      </w:r>
      <w:r>
        <w:rPr>
          <w:rFonts w:hint="eastAsia" w:hAnsi="宋体" w:cs="宋体"/>
          <w:color w:val="000000" w:themeColor="text1"/>
          <w:sz w:val="24"/>
          <w:szCs w:val="24"/>
          <w:highlight w:val="none"/>
          <w14:textFill>
            <w14:solidFill>
              <w14:schemeClr w14:val="tx1"/>
            </w14:solidFill>
          </w14:textFill>
        </w:rPr>
        <w:t>的项目经理。</w:t>
      </w:r>
    </w:p>
    <w:p>
      <w:pPr>
        <w:autoSpaceDE w:val="0"/>
        <w:autoSpaceDN w:val="0"/>
        <w:adjustRightInd w:val="0"/>
        <w:spacing w:line="420" w:lineRule="exact"/>
        <w:ind w:firstLine="480" w:firstLineChars="200"/>
        <w:jc w:val="left"/>
        <w:outlineLvl w:val="0"/>
        <w:rPr>
          <w:rFonts w:hint="eastAsia" w:hAnsi="宋体" w:cs="仿宋_GB2312"/>
          <w:color w:val="auto"/>
          <w:kern w:val="2"/>
          <w:sz w:val="24"/>
          <w:szCs w:val="24"/>
          <w:highlight w:val="none"/>
          <w:shd w:val="clear" w:color="auto" w:fill="FFFFFF"/>
          <w:lang w:val="en-US" w:eastAsia="zh-CN" w:bidi="ar-SA"/>
        </w:rPr>
      </w:pPr>
      <w:r>
        <w:rPr>
          <w:rFonts w:hint="eastAsia" w:hAnsi="宋体" w:cs="仿宋_GB2312"/>
          <w:color w:val="auto"/>
          <w:kern w:val="2"/>
          <w:sz w:val="24"/>
          <w:szCs w:val="24"/>
          <w:highlight w:val="none"/>
          <w:shd w:val="clear" w:color="auto" w:fill="FFFFFF"/>
          <w:lang w:val="en-US" w:eastAsia="zh-CN" w:bidi="ar-SA"/>
        </w:rPr>
        <w:t>3、不接受投标人被“信用中国”和“信用河南”网站信用信息栏列入黑名单，以及被“国家企业信用信息公示系统”列入经营异常名录或严重失信黑名单的投标。</w:t>
      </w:r>
    </w:p>
    <w:p>
      <w:pPr>
        <w:autoSpaceDE w:val="0"/>
        <w:autoSpaceDN w:val="0"/>
        <w:adjustRightInd w:val="0"/>
        <w:spacing w:line="420" w:lineRule="exact"/>
        <w:ind w:firstLine="480" w:firstLineChars="200"/>
        <w:jc w:val="left"/>
        <w:outlineLvl w:val="0"/>
        <w:rPr>
          <w:rFonts w:hint="eastAsia" w:hAnsi="宋体" w:cs="仿宋_GB2312"/>
          <w:color w:val="auto"/>
          <w:kern w:val="2"/>
          <w:sz w:val="21"/>
          <w:szCs w:val="21"/>
          <w:highlight w:val="none"/>
          <w:shd w:val="clear" w:color="auto" w:fill="FFFFFF"/>
          <w:lang w:val="en-US" w:eastAsia="zh-CN" w:bidi="ar-SA"/>
        </w:rPr>
      </w:pPr>
      <w:r>
        <w:rPr>
          <w:rFonts w:hint="eastAsia" w:hAnsi="宋体" w:cs="仿宋_GB2312"/>
          <w:color w:val="auto"/>
          <w:kern w:val="2"/>
          <w:sz w:val="24"/>
          <w:szCs w:val="24"/>
          <w:highlight w:val="none"/>
          <w:shd w:val="clear" w:color="auto" w:fill="FFFFFF"/>
          <w:lang w:val="en-US" w:eastAsia="zh-CN" w:bidi="ar-SA"/>
        </w:rPr>
        <w:t>4、不接受联合体投标</w:t>
      </w:r>
      <w:r>
        <w:rPr>
          <w:rFonts w:hint="eastAsia" w:hAnsi="宋体" w:cs="仿宋_GB2312"/>
          <w:color w:val="auto"/>
          <w:kern w:val="2"/>
          <w:sz w:val="21"/>
          <w:szCs w:val="21"/>
          <w:highlight w:val="none"/>
          <w:shd w:val="clear" w:color="auto" w:fill="FFFFFF"/>
          <w:lang w:val="en-US" w:eastAsia="zh-CN" w:bidi="ar-SA"/>
        </w:rPr>
        <w:t>。</w:t>
      </w:r>
    </w:p>
    <w:p>
      <w:pPr>
        <w:autoSpaceDE w:val="0"/>
        <w:autoSpaceDN w:val="0"/>
        <w:adjustRightInd w:val="0"/>
        <w:spacing w:line="420" w:lineRule="exact"/>
        <w:ind w:firstLine="480" w:firstLineChars="200"/>
        <w:jc w:val="left"/>
        <w:outlineLvl w:val="0"/>
        <w:rPr>
          <w:rFonts w:hAnsi="宋体" w:cs="宋体"/>
          <w:sz w:val="24"/>
          <w:szCs w:val="24"/>
        </w:rPr>
      </w:pPr>
      <w:r>
        <w:rPr>
          <w:rFonts w:hint="eastAsia" w:hAnsi="宋体" w:cs="宋体"/>
          <w:sz w:val="24"/>
          <w:szCs w:val="24"/>
        </w:rPr>
        <w:t>5、本次招标实行资格后审。</w:t>
      </w:r>
    </w:p>
    <w:p>
      <w:pPr>
        <w:autoSpaceDE w:val="0"/>
        <w:autoSpaceDN w:val="0"/>
        <w:adjustRightInd w:val="0"/>
        <w:spacing w:line="420" w:lineRule="exact"/>
        <w:jc w:val="left"/>
        <w:outlineLvl w:val="0"/>
        <w:rPr>
          <w:rFonts w:hAnsi="宋体" w:cs="宋体"/>
          <w:b/>
          <w:bCs/>
          <w:sz w:val="24"/>
          <w:szCs w:val="24"/>
        </w:rPr>
      </w:pPr>
      <w:r>
        <w:rPr>
          <w:rFonts w:hAnsi="宋体" w:cs="宋体"/>
          <w:b/>
          <w:bCs/>
          <w:sz w:val="24"/>
          <w:szCs w:val="24"/>
        </w:rPr>
        <w:t>三、投标报名</w:t>
      </w:r>
      <w:r>
        <w:rPr>
          <w:rFonts w:hint="eastAsia" w:hAnsi="宋体" w:cs="宋体"/>
          <w:b/>
          <w:bCs/>
          <w:sz w:val="24"/>
          <w:szCs w:val="24"/>
        </w:rPr>
        <w:t>时间及方式</w:t>
      </w:r>
    </w:p>
    <w:p>
      <w:pPr>
        <w:autoSpaceDE w:val="0"/>
        <w:autoSpaceDN w:val="0"/>
        <w:adjustRightInd w:val="0"/>
        <w:spacing w:line="420" w:lineRule="exact"/>
        <w:ind w:firstLine="480" w:firstLineChars="200"/>
        <w:jc w:val="left"/>
        <w:outlineLvl w:val="0"/>
        <w:rPr>
          <w:rFonts w:hAnsi="宋体" w:cs="宋体"/>
          <w:sz w:val="24"/>
          <w:szCs w:val="24"/>
        </w:rPr>
      </w:pPr>
      <w:r>
        <w:rPr>
          <w:rFonts w:hint="eastAsia" w:hAnsi="宋体" w:cs="宋体"/>
          <w:sz w:val="24"/>
          <w:szCs w:val="24"/>
          <w:lang w:val="en-US" w:eastAsia="zh-CN"/>
        </w:rPr>
        <w:t>1</w:t>
      </w:r>
      <w:r>
        <w:rPr>
          <w:rFonts w:hint="eastAsia" w:hAnsi="宋体" w:cs="宋体"/>
          <w:sz w:val="24"/>
          <w:szCs w:val="24"/>
        </w:rPr>
        <w:t>、持CA数字认证证书，登录【全国公共资源交易平台（河南省·许昌市）】“系统用户注册”入口（http://221.14.6.70:8088/ggzy/eps/public/RegistAllJcxx.html）进行免费注册登记（详见“常见问题解答-诚信库网上注册相关资料下载”）；</w:t>
      </w:r>
    </w:p>
    <w:p>
      <w:pPr>
        <w:autoSpaceDE w:val="0"/>
        <w:autoSpaceDN w:val="0"/>
        <w:adjustRightInd w:val="0"/>
        <w:spacing w:line="420" w:lineRule="exact"/>
        <w:ind w:firstLine="480" w:firstLineChars="200"/>
        <w:jc w:val="left"/>
        <w:outlineLvl w:val="0"/>
        <w:rPr>
          <w:rFonts w:hAnsi="宋体" w:cs="宋体"/>
          <w:sz w:val="24"/>
          <w:szCs w:val="24"/>
        </w:rPr>
      </w:pPr>
      <w:r>
        <w:rPr>
          <w:rFonts w:hint="eastAsia" w:hAnsi="宋体" w:cs="宋体"/>
          <w:sz w:val="24"/>
          <w:szCs w:val="24"/>
          <w:lang w:val="en-US" w:eastAsia="zh-CN"/>
        </w:rPr>
        <w:t>2</w:t>
      </w:r>
      <w:r>
        <w:rPr>
          <w:rFonts w:hint="eastAsia" w:hAnsi="宋体" w:cs="宋体"/>
          <w:sz w:val="24"/>
          <w:szCs w:val="24"/>
        </w:rPr>
        <w:t>、在投标截止时间前均可登录【全国公共资源交易平台（河南省·许昌市）】“投标人/供应商登录”入口（http://221.14.6.70:8088/ggzy/）自行下载招标文件等（详见“常见问题解答-交易系统操作手册”）。</w:t>
      </w:r>
    </w:p>
    <w:p>
      <w:pPr>
        <w:autoSpaceDE w:val="0"/>
        <w:autoSpaceDN w:val="0"/>
        <w:adjustRightInd w:val="0"/>
        <w:spacing w:line="360" w:lineRule="auto"/>
        <w:rPr>
          <w:rFonts w:hAnsi="宋体"/>
          <w:b/>
          <w:sz w:val="24"/>
        </w:rPr>
      </w:pPr>
      <w:r>
        <w:rPr>
          <w:rFonts w:hint="eastAsia" w:hAnsi="宋体" w:cs="宋体"/>
          <w:b/>
          <w:bCs/>
          <w:sz w:val="24"/>
          <w:szCs w:val="24"/>
        </w:rPr>
        <w:t xml:space="preserve">四、招标文件的获取  </w:t>
      </w:r>
    </w:p>
    <w:p>
      <w:pPr>
        <w:spacing w:line="440" w:lineRule="exact"/>
        <w:ind w:firstLine="480" w:firstLineChars="200"/>
        <w:jc w:val="left"/>
        <w:rPr>
          <w:rFonts w:hAnsi="宋体" w:cs="宋体"/>
          <w:sz w:val="24"/>
          <w:szCs w:val="24"/>
        </w:rPr>
      </w:pPr>
      <w:r>
        <w:rPr>
          <w:rFonts w:hint="eastAsia" w:hAnsi="宋体" w:cs="宋体"/>
          <w:sz w:val="24"/>
          <w:szCs w:val="24"/>
        </w:rPr>
        <w:t>4.1招标文件和工程量清单的获取：投标人于投标文件递交截止时间前均可登录《全国公共资源交易平台(河南省▪许昌市)》（</w:t>
      </w:r>
      <w:r>
        <w:fldChar w:fldCharType="begin"/>
      </w:r>
      <w:r>
        <w:instrText xml:space="preserve"> HYPERLINK "http://www.xczbtb.com/" </w:instrText>
      </w:r>
      <w:r>
        <w:fldChar w:fldCharType="separate"/>
      </w:r>
      <w:r>
        <w:rPr>
          <w:rFonts w:hint="eastAsia" w:hAnsi="宋体" w:cs="宋体"/>
          <w:sz w:val="24"/>
          <w:szCs w:val="24"/>
        </w:rPr>
        <w:t>http://www.xcggzy.gov.cn/</w:t>
      </w:r>
      <w:r>
        <w:rPr>
          <w:rFonts w:hint="eastAsia" w:hAnsi="宋体" w:cs="宋体"/>
          <w:sz w:val="24"/>
          <w:szCs w:val="24"/>
        </w:rPr>
        <w:fldChar w:fldCharType="end"/>
      </w:r>
      <w:r>
        <w:rPr>
          <w:rFonts w:hint="eastAsia" w:hAnsi="宋体" w:cs="宋体"/>
          <w:sz w:val="24"/>
          <w:szCs w:val="24"/>
        </w:rPr>
        <w:t>），通过“投标人/供应商登录” 入口自行下载。</w:t>
      </w:r>
    </w:p>
    <w:p>
      <w:pPr>
        <w:spacing w:line="440" w:lineRule="exact"/>
        <w:ind w:firstLine="480" w:firstLineChars="200"/>
        <w:jc w:val="left"/>
        <w:rPr>
          <w:rFonts w:hint="eastAsia" w:hAnsi="宋体" w:cs="宋体"/>
          <w:sz w:val="24"/>
          <w:szCs w:val="24"/>
          <w:lang w:val="en-US" w:eastAsia="zh-CN"/>
        </w:rPr>
      </w:pPr>
      <w:r>
        <w:rPr>
          <w:rFonts w:hint="eastAsia" w:hAnsi="宋体" w:cs="宋体"/>
          <w:sz w:val="24"/>
          <w:szCs w:val="24"/>
          <w:lang w:val="en-US" w:eastAsia="zh-CN"/>
        </w:rPr>
        <w:t xml:space="preserve">4.2图纸获取地址：链接: https://pan.baidu.com/s/1qpjp4oCdPbKdu7a-pM5p8A 提取码: 8kfw </w:t>
      </w:r>
    </w:p>
    <w:p>
      <w:pPr>
        <w:spacing w:line="440" w:lineRule="exact"/>
        <w:ind w:firstLine="480" w:firstLineChars="200"/>
        <w:jc w:val="left"/>
        <w:rPr>
          <w:rFonts w:hAnsi="宋体" w:cs="宋体"/>
          <w:sz w:val="24"/>
          <w:szCs w:val="24"/>
        </w:rPr>
      </w:pPr>
      <w:r>
        <w:rPr>
          <w:rFonts w:hint="eastAsia" w:hAnsi="宋体" w:cs="宋体"/>
          <w:sz w:val="24"/>
          <w:szCs w:val="24"/>
        </w:rPr>
        <w:t>4.</w:t>
      </w:r>
      <w:r>
        <w:rPr>
          <w:rFonts w:hint="eastAsia" w:hAnsi="宋体" w:cs="宋体"/>
          <w:sz w:val="24"/>
          <w:szCs w:val="24"/>
          <w:lang w:val="en-US" w:eastAsia="zh-CN"/>
        </w:rPr>
        <w:t>3</w:t>
      </w:r>
      <w:r>
        <w:rPr>
          <w:rFonts w:hint="eastAsia" w:hAnsi="宋体" w:cs="宋体"/>
          <w:sz w:val="24"/>
          <w:szCs w:val="24"/>
        </w:rPr>
        <w:t>招标文件每套售价300元，于递交投标文件时缴纳给招标代理机构，售后不退。</w:t>
      </w:r>
    </w:p>
    <w:p>
      <w:pPr>
        <w:autoSpaceDE w:val="0"/>
        <w:autoSpaceDN w:val="0"/>
        <w:adjustRightInd w:val="0"/>
        <w:spacing w:line="360" w:lineRule="auto"/>
        <w:rPr>
          <w:rFonts w:hAnsi="宋体" w:cs="宋体"/>
          <w:b/>
          <w:bCs/>
          <w:sz w:val="24"/>
          <w:szCs w:val="24"/>
        </w:rPr>
      </w:pPr>
      <w:r>
        <w:rPr>
          <w:rFonts w:hint="eastAsia" w:hAnsi="宋体" w:cs="宋体"/>
          <w:b/>
          <w:bCs/>
          <w:sz w:val="24"/>
          <w:szCs w:val="24"/>
        </w:rPr>
        <w:t>五、投标文件的递交</w:t>
      </w:r>
    </w:p>
    <w:p>
      <w:pPr>
        <w:spacing w:line="440" w:lineRule="exact"/>
        <w:ind w:firstLine="480" w:firstLineChars="200"/>
        <w:jc w:val="left"/>
        <w:rPr>
          <w:rFonts w:hAnsi="宋体" w:cs="宋体"/>
          <w:sz w:val="24"/>
          <w:szCs w:val="24"/>
        </w:rPr>
      </w:pPr>
      <w:r>
        <w:rPr>
          <w:rFonts w:hint="eastAsia" w:hAnsi="宋体" w:cs="宋体"/>
          <w:sz w:val="24"/>
          <w:szCs w:val="24"/>
        </w:rPr>
        <w:t>5.1 本项目为全流程电子化交易项目，须提交电子投标文件和纸质投标文件（正本1份、副本1份）。</w:t>
      </w:r>
    </w:p>
    <w:p>
      <w:pPr>
        <w:spacing w:line="440" w:lineRule="exact"/>
        <w:ind w:firstLine="480" w:firstLineChars="200"/>
        <w:jc w:val="left"/>
        <w:rPr>
          <w:rFonts w:hAnsi="宋体" w:cs="宋体"/>
          <w:sz w:val="24"/>
          <w:szCs w:val="24"/>
        </w:rPr>
      </w:pPr>
      <w:r>
        <w:rPr>
          <w:rFonts w:hint="eastAsia" w:hAnsi="宋体" w:cs="宋体"/>
          <w:sz w:val="24"/>
          <w:szCs w:val="24"/>
        </w:rPr>
        <w:t>5.2 投标文件提交的截止时间及开标时间：201</w:t>
      </w:r>
      <w:r>
        <w:rPr>
          <w:rFonts w:hint="eastAsia" w:hAnsi="宋体" w:cs="宋体"/>
          <w:sz w:val="24"/>
          <w:szCs w:val="24"/>
          <w:lang w:val="en-US" w:eastAsia="zh-CN"/>
        </w:rPr>
        <w:t>9</w:t>
      </w:r>
      <w:r>
        <w:rPr>
          <w:rFonts w:hint="eastAsia" w:hAnsi="宋体" w:cs="宋体"/>
          <w:sz w:val="24"/>
          <w:szCs w:val="24"/>
        </w:rPr>
        <w:t>年</w:t>
      </w:r>
      <w:r>
        <w:rPr>
          <w:rFonts w:hint="eastAsia" w:hAnsi="宋体" w:cs="宋体"/>
          <w:sz w:val="24"/>
          <w:szCs w:val="24"/>
          <w:lang w:val="en-US" w:eastAsia="zh-CN"/>
        </w:rPr>
        <w:t>5</w:t>
      </w:r>
      <w:r>
        <w:rPr>
          <w:rFonts w:hint="eastAsia" w:hAnsi="宋体" w:cs="宋体"/>
          <w:sz w:val="24"/>
          <w:szCs w:val="24"/>
        </w:rPr>
        <w:t>月</w:t>
      </w:r>
      <w:r>
        <w:rPr>
          <w:rFonts w:hint="eastAsia" w:hAnsi="宋体" w:cs="宋体"/>
          <w:sz w:val="24"/>
          <w:szCs w:val="24"/>
          <w:lang w:val="en-US" w:eastAsia="zh-CN"/>
        </w:rPr>
        <w:t>29</w:t>
      </w:r>
      <w:r>
        <w:rPr>
          <w:rFonts w:hint="eastAsia" w:hAnsi="宋体" w:cs="宋体"/>
          <w:sz w:val="24"/>
          <w:szCs w:val="24"/>
        </w:rPr>
        <w:t>日</w:t>
      </w:r>
      <w:r>
        <w:rPr>
          <w:rFonts w:hint="eastAsia" w:hAnsi="宋体" w:cs="宋体"/>
          <w:sz w:val="24"/>
          <w:szCs w:val="24"/>
          <w:lang w:val="en-US" w:eastAsia="zh-CN"/>
        </w:rPr>
        <w:t>9</w:t>
      </w:r>
      <w:r>
        <w:rPr>
          <w:rFonts w:hint="eastAsia" w:hAnsi="宋体" w:cs="宋体"/>
          <w:sz w:val="24"/>
          <w:szCs w:val="24"/>
        </w:rPr>
        <w:t>时30分。</w:t>
      </w:r>
    </w:p>
    <w:p>
      <w:pPr>
        <w:spacing w:line="440" w:lineRule="exact"/>
        <w:ind w:firstLine="480" w:firstLineChars="200"/>
        <w:jc w:val="left"/>
        <w:rPr>
          <w:rFonts w:hAnsi="宋体" w:cs="宋体"/>
          <w:sz w:val="24"/>
          <w:szCs w:val="24"/>
        </w:rPr>
      </w:pPr>
      <w:r>
        <w:rPr>
          <w:rFonts w:hint="eastAsia" w:hAnsi="宋体" w:cs="宋体"/>
          <w:sz w:val="24"/>
          <w:szCs w:val="24"/>
        </w:rPr>
        <w:t>5.3电子投标文件的提交：电子投标文件应在投标文件提交截止时间（开标时间）之前成功提交至《全国公共资源交易平台(河南省▪许昌市)》公共资源交易系统，并随纸质投标文件同时提交1份使用电子介质存储的备份文件。</w:t>
      </w:r>
    </w:p>
    <w:p>
      <w:pPr>
        <w:spacing w:line="440" w:lineRule="exact"/>
        <w:ind w:firstLine="480" w:firstLineChars="200"/>
        <w:jc w:val="left"/>
        <w:rPr>
          <w:rFonts w:hAnsi="宋体" w:cs="宋体"/>
          <w:sz w:val="24"/>
          <w:szCs w:val="24"/>
        </w:rPr>
      </w:pPr>
      <w:r>
        <w:rPr>
          <w:rFonts w:hint="eastAsia" w:hAnsi="宋体" w:cs="宋体"/>
          <w:sz w:val="24"/>
          <w:szCs w:val="24"/>
        </w:rPr>
        <w:t>5.4纸质投标文件提交地点：许昌市建安区新元大道兴业大厦4楼</w:t>
      </w:r>
      <w:r>
        <w:rPr>
          <w:rFonts w:hint="eastAsia" w:hAnsi="宋体" w:cs="宋体"/>
          <w:sz w:val="24"/>
          <w:szCs w:val="24"/>
          <w:lang w:val="en-US" w:eastAsia="zh-CN"/>
        </w:rPr>
        <w:t>开标一室</w:t>
      </w:r>
      <w:r>
        <w:rPr>
          <w:rFonts w:hint="eastAsia" w:hAnsi="宋体" w:cs="宋体"/>
          <w:sz w:val="24"/>
          <w:szCs w:val="24"/>
        </w:rPr>
        <w:t>。</w:t>
      </w:r>
    </w:p>
    <w:p>
      <w:pPr>
        <w:spacing w:line="440" w:lineRule="exact"/>
        <w:ind w:firstLine="480" w:firstLineChars="200"/>
        <w:jc w:val="left"/>
        <w:rPr>
          <w:rFonts w:hAnsi="宋体" w:cs="宋体"/>
          <w:sz w:val="24"/>
          <w:szCs w:val="24"/>
        </w:rPr>
      </w:pPr>
      <w:r>
        <w:rPr>
          <w:rFonts w:hint="eastAsia" w:hAnsi="宋体" w:cs="宋体"/>
          <w:sz w:val="24"/>
          <w:szCs w:val="24"/>
        </w:rPr>
        <w:t>5.5逾期送达的或者未送达指定地点的纸质投标文件、及仅提供纸质投标文件的，招标人不予受理。</w:t>
      </w:r>
    </w:p>
    <w:p>
      <w:pPr>
        <w:widowControl/>
        <w:spacing w:line="312" w:lineRule="auto"/>
        <w:rPr>
          <w:rFonts w:hAnsi="宋体"/>
          <w:b/>
          <w:sz w:val="24"/>
        </w:rPr>
      </w:pPr>
      <w:r>
        <w:rPr>
          <w:rFonts w:hint="eastAsia" w:hAnsi="宋体"/>
          <w:b/>
          <w:sz w:val="24"/>
        </w:rPr>
        <w:t>六、发布公告的媒介</w:t>
      </w:r>
    </w:p>
    <w:p>
      <w:pPr>
        <w:spacing w:line="440" w:lineRule="exact"/>
        <w:ind w:firstLine="480" w:firstLineChars="200"/>
        <w:jc w:val="left"/>
        <w:rPr>
          <w:rFonts w:hAnsi="宋体" w:cs="宋体"/>
          <w:sz w:val="24"/>
          <w:szCs w:val="24"/>
        </w:rPr>
      </w:pPr>
      <w:r>
        <w:rPr>
          <w:rFonts w:hint="eastAsia" w:hAnsi="宋体" w:cs="宋体"/>
          <w:sz w:val="24"/>
          <w:szCs w:val="24"/>
        </w:rPr>
        <w:t>本公告同时在《全国公共资源交易平台(河南省▪许昌市)》、《河南省电子招标投标公共服务平台》上发布。</w:t>
      </w:r>
    </w:p>
    <w:p>
      <w:pPr>
        <w:widowControl/>
        <w:spacing w:line="312" w:lineRule="auto"/>
        <w:rPr>
          <w:rFonts w:hAnsi="宋体"/>
          <w:b/>
          <w:sz w:val="24"/>
          <w:szCs w:val="22"/>
        </w:rPr>
      </w:pPr>
      <w:r>
        <w:rPr>
          <w:rFonts w:hint="eastAsia" w:hAnsi="宋体"/>
          <w:b/>
          <w:sz w:val="24"/>
          <w:szCs w:val="22"/>
        </w:rPr>
        <w:t>七、联系方式</w:t>
      </w:r>
    </w:p>
    <w:p>
      <w:pPr>
        <w:spacing w:line="440" w:lineRule="exact"/>
        <w:ind w:firstLine="480" w:firstLineChars="200"/>
        <w:jc w:val="left"/>
        <w:rPr>
          <w:rFonts w:hint="eastAsia" w:hAnsi="宋体" w:eastAsia="宋体" w:cs="宋体"/>
          <w:sz w:val="24"/>
          <w:szCs w:val="24"/>
          <w:lang w:eastAsia="zh-CN"/>
        </w:rPr>
      </w:pPr>
      <w:r>
        <w:rPr>
          <w:rFonts w:hint="eastAsia" w:hAnsi="宋体" w:cs="宋体"/>
          <w:sz w:val="24"/>
          <w:szCs w:val="24"/>
        </w:rPr>
        <w:t>招 标 人：</w:t>
      </w:r>
      <w:r>
        <w:rPr>
          <w:rFonts w:hint="eastAsia" w:hAnsi="宋体" w:cs="宋体"/>
          <w:sz w:val="24"/>
          <w:szCs w:val="24"/>
          <w:lang w:eastAsia="zh-CN"/>
        </w:rPr>
        <w:t>许昌市建安区住房和城乡建设局</w:t>
      </w:r>
    </w:p>
    <w:p>
      <w:pPr>
        <w:spacing w:line="440" w:lineRule="exact"/>
        <w:ind w:firstLine="480" w:firstLineChars="200"/>
        <w:jc w:val="left"/>
        <w:rPr>
          <w:rFonts w:hAnsi="宋体" w:cs="宋体"/>
          <w:sz w:val="24"/>
          <w:szCs w:val="24"/>
        </w:rPr>
      </w:pPr>
      <w:r>
        <w:rPr>
          <w:rFonts w:hint="eastAsia" w:hAnsi="宋体" w:cs="宋体"/>
          <w:sz w:val="24"/>
          <w:szCs w:val="24"/>
        </w:rPr>
        <w:t>项目</w:t>
      </w:r>
      <w:r>
        <w:rPr>
          <w:rFonts w:hint="eastAsia" w:hAnsi="宋体" w:cs="宋体"/>
          <w:sz w:val="24"/>
          <w:szCs w:val="24"/>
          <w:lang w:val="en-US" w:eastAsia="zh-CN"/>
        </w:rPr>
        <w:t>负责人</w:t>
      </w:r>
      <w:r>
        <w:rPr>
          <w:rFonts w:hint="eastAsia" w:hAnsi="宋体" w:cs="宋体"/>
          <w:sz w:val="24"/>
          <w:szCs w:val="24"/>
        </w:rPr>
        <w:t>：杨会芳</w:t>
      </w:r>
    </w:p>
    <w:p>
      <w:pPr>
        <w:spacing w:line="440" w:lineRule="exact"/>
        <w:ind w:firstLine="480" w:firstLineChars="200"/>
        <w:jc w:val="left"/>
        <w:rPr>
          <w:rFonts w:hAnsi="宋体" w:cs="宋体"/>
          <w:sz w:val="24"/>
          <w:szCs w:val="24"/>
        </w:rPr>
      </w:pPr>
      <w:r>
        <w:rPr>
          <w:rFonts w:hint="eastAsia" w:hAnsi="宋体" w:cs="宋体"/>
          <w:sz w:val="24"/>
          <w:szCs w:val="24"/>
        </w:rPr>
        <w:t>电    话：13849880890</w:t>
      </w:r>
    </w:p>
    <w:p>
      <w:pPr>
        <w:spacing w:line="440" w:lineRule="exact"/>
        <w:ind w:firstLine="480" w:firstLineChars="200"/>
        <w:jc w:val="left"/>
        <w:rPr>
          <w:rFonts w:hAnsi="宋体" w:cs="宋体"/>
          <w:sz w:val="24"/>
          <w:szCs w:val="24"/>
        </w:rPr>
      </w:pPr>
      <w:r>
        <w:rPr>
          <w:rFonts w:hint="eastAsia" w:hAnsi="宋体" w:cs="宋体"/>
          <w:sz w:val="24"/>
          <w:szCs w:val="24"/>
        </w:rPr>
        <w:t>代理机构：河南天扬工程项目管理有限公司</w:t>
      </w:r>
    </w:p>
    <w:p>
      <w:pPr>
        <w:spacing w:line="440" w:lineRule="exact"/>
        <w:ind w:firstLine="480" w:firstLineChars="200"/>
        <w:jc w:val="left"/>
        <w:rPr>
          <w:rFonts w:hint="eastAsia" w:hAnsi="宋体" w:eastAsia="宋体" w:cs="宋体"/>
          <w:sz w:val="24"/>
          <w:szCs w:val="24"/>
          <w:lang w:val="en-US" w:eastAsia="zh-CN"/>
        </w:rPr>
      </w:pPr>
      <w:r>
        <w:rPr>
          <w:rFonts w:hint="eastAsia" w:hAnsi="宋体" w:cs="宋体"/>
          <w:sz w:val="24"/>
          <w:szCs w:val="24"/>
        </w:rPr>
        <w:t>项目</w:t>
      </w:r>
      <w:r>
        <w:rPr>
          <w:rFonts w:hint="eastAsia" w:hAnsi="宋体" w:cs="宋体"/>
          <w:sz w:val="24"/>
          <w:szCs w:val="24"/>
          <w:lang w:val="en-US" w:eastAsia="zh-CN"/>
        </w:rPr>
        <w:t>负责人</w:t>
      </w:r>
      <w:r>
        <w:rPr>
          <w:rFonts w:hint="eastAsia" w:hAnsi="宋体" w:cs="宋体"/>
          <w:sz w:val="24"/>
          <w:szCs w:val="24"/>
        </w:rPr>
        <w:t>：</w:t>
      </w:r>
      <w:r>
        <w:rPr>
          <w:rFonts w:hint="eastAsia" w:hAnsi="宋体" w:cs="宋体"/>
          <w:sz w:val="24"/>
          <w:szCs w:val="24"/>
          <w:lang w:val="en-US" w:eastAsia="zh-CN"/>
        </w:rPr>
        <w:t>齐小换</w:t>
      </w:r>
    </w:p>
    <w:p>
      <w:pPr>
        <w:spacing w:line="440" w:lineRule="exact"/>
        <w:ind w:firstLine="480" w:firstLineChars="200"/>
        <w:jc w:val="left"/>
        <w:rPr>
          <w:rFonts w:hint="default" w:hAnsi="宋体" w:eastAsia="宋体" w:cs="宋体"/>
          <w:sz w:val="24"/>
          <w:szCs w:val="24"/>
          <w:lang w:val="en-US" w:eastAsia="zh-CN"/>
        </w:rPr>
      </w:pPr>
      <w:r>
        <w:rPr>
          <w:rFonts w:hint="eastAsia" w:hAnsi="宋体" w:cs="宋体"/>
          <w:sz w:val="24"/>
          <w:szCs w:val="24"/>
        </w:rPr>
        <w:t>电 </w:t>
      </w:r>
      <w:r>
        <w:rPr>
          <w:rFonts w:hint="eastAsia" w:hAnsi="宋体" w:cs="宋体"/>
          <w:sz w:val="24"/>
          <w:szCs w:val="24"/>
          <w:lang w:val="en-US" w:eastAsia="zh-CN"/>
        </w:rPr>
        <w:t xml:space="preserve"> </w:t>
      </w:r>
      <w:r>
        <w:rPr>
          <w:rFonts w:hint="eastAsia" w:hAnsi="宋体" w:cs="宋体"/>
          <w:sz w:val="24"/>
          <w:szCs w:val="24"/>
        </w:rPr>
        <w:t xml:space="preserve"> 话：</w:t>
      </w:r>
      <w:r>
        <w:rPr>
          <w:rFonts w:hint="eastAsia" w:hAnsi="宋体" w:cs="宋体"/>
          <w:sz w:val="24"/>
          <w:szCs w:val="24"/>
          <w:lang w:val="en-US" w:eastAsia="zh-CN"/>
        </w:rPr>
        <w:t>13938775087</w:t>
      </w:r>
    </w:p>
    <w:p>
      <w:pPr>
        <w:pStyle w:val="2"/>
        <w:spacing w:after="0" w:line="400" w:lineRule="exact"/>
        <w:ind w:firstLine="4560" w:firstLineChars="1900"/>
        <w:rPr>
          <w:rFonts w:hAnsi="宋体" w:cs="宋体"/>
          <w:sz w:val="24"/>
          <w:szCs w:val="24"/>
        </w:rPr>
      </w:pPr>
    </w:p>
    <w:p>
      <w:pPr>
        <w:pStyle w:val="2"/>
        <w:spacing w:after="0" w:line="400" w:lineRule="exact"/>
        <w:ind w:firstLine="4560" w:firstLineChars="1900"/>
        <w:rPr>
          <w:rFonts w:hAnsi="宋体" w:cs="宋体"/>
          <w:sz w:val="24"/>
          <w:szCs w:val="24"/>
        </w:rPr>
      </w:pPr>
    </w:p>
    <w:p>
      <w:pPr>
        <w:pStyle w:val="2"/>
        <w:ind w:firstLine="5280" w:firstLineChars="2200"/>
        <w:rPr>
          <w:rFonts w:hint="eastAsia" w:hAnsi="宋体" w:eastAsia="宋体" w:cs="宋体"/>
          <w:sz w:val="24"/>
          <w:szCs w:val="24"/>
          <w:lang w:eastAsia="zh-CN"/>
        </w:rPr>
      </w:pPr>
      <w:r>
        <w:rPr>
          <w:rFonts w:hint="eastAsia" w:hAnsi="宋体" w:cs="宋体"/>
          <w:sz w:val="24"/>
          <w:szCs w:val="24"/>
          <w:lang w:eastAsia="zh-CN"/>
        </w:rPr>
        <w:t>许昌市建安区住房和城乡建设局</w:t>
      </w:r>
    </w:p>
    <w:p>
      <w:pPr>
        <w:pStyle w:val="2"/>
        <w:ind w:firstLine="6720" w:firstLineChars="2800"/>
        <w:rPr>
          <w:rFonts w:hAnsi="宋体" w:cs="宋体"/>
          <w:sz w:val="24"/>
          <w:szCs w:val="24"/>
        </w:rPr>
      </w:pPr>
      <w:r>
        <w:rPr>
          <w:rFonts w:hint="eastAsia" w:hAnsi="宋体" w:cs="宋体"/>
          <w:sz w:val="24"/>
          <w:szCs w:val="24"/>
        </w:rPr>
        <w:t>201</w:t>
      </w:r>
      <w:r>
        <w:rPr>
          <w:rFonts w:hint="eastAsia" w:hAnsi="宋体" w:cs="宋体"/>
          <w:sz w:val="24"/>
          <w:szCs w:val="24"/>
          <w:lang w:val="en-US" w:eastAsia="zh-CN"/>
        </w:rPr>
        <w:t>9</w:t>
      </w:r>
      <w:r>
        <w:rPr>
          <w:rFonts w:hint="eastAsia" w:hAnsi="宋体" w:cs="宋体"/>
          <w:sz w:val="24"/>
          <w:szCs w:val="24"/>
        </w:rPr>
        <w:t>年</w:t>
      </w:r>
      <w:r>
        <w:rPr>
          <w:rFonts w:hint="eastAsia" w:hAnsi="宋体" w:cs="宋体"/>
          <w:sz w:val="24"/>
          <w:szCs w:val="24"/>
          <w:lang w:val="en-US" w:eastAsia="zh-CN"/>
        </w:rPr>
        <w:t>5</w:t>
      </w:r>
      <w:r>
        <w:rPr>
          <w:rFonts w:hint="eastAsia" w:hAnsi="宋体" w:cs="宋体"/>
          <w:sz w:val="24"/>
          <w:szCs w:val="24"/>
        </w:rPr>
        <w:t>月</w:t>
      </w:r>
      <w:r>
        <w:rPr>
          <w:rFonts w:hint="eastAsia" w:hAnsi="宋体" w:cs="宋体"/>
          <w:sz w:val="24"/>
          <w:szCs w:val="24"/>
          <w:lang w:val="en-US" w:eastAsia="zh-CN"/>
        </w:rPr>
        <w:t>7</w:t>
      </w:r>
      <w:r>
        <w:rPr>
          <w:rFonts w:hint="eastAsia" w:hAnsi="宋体" w:cs="宋体"/>
          <w:sz w:val="24"/>
          <w:szCs w:val="24"/>
        </w:rPr>
        <w:t xml:space="preserve">日 </w:t>
      </w:r>
    </w:p>
    <w:p>
      <w:pPr>
        <w:widowControl/>
        <w:spacing w:line="312" w:lineRule="auto"/>
        <w:rPr>
          <w:rFonts w:hint="eastAsia" w:hAnsi="宋体"/>
          <w:b/>
          <w:sz w:val="28"/>
          <w:szCs w:val="21"/>
        </w:rPr>
      </w:pPr>
    </w:p>
    <w:p>
      <w:pPr>
        <w:widowControl/>
        <w:spacing w:line="312" w:lineRule="auto"/>
        <w:rPr>
          <w:rFonts w:hAnsi="宋体"/>
          <w:b/>
          <w:sz w:val="28"/>
          <w:szCs w:val="21"/>
        </w:rPr>
      </w:pPr>
      <w:r>
        <w:rPr>
          <w:rFonts w:hint="eastAsia" w:hAnsi="宋体"/>
          <w:b/>
          <w:sz w:val="28"/>
          <w:szCs w:val="21"/>
        </w:rPr>
        <w:t>温馨提示：</w:t>
      </w:r>
    </w:p>
    <w:p>
      <w:pPr>
        <w:widowControl/>
        <w:spacing w:line="312" w:lineRule="auto"/>
        <w:ind w:firstLine="140" w:firstLineChars="50"/>
        <w:rPr>
          <w:rFonts w:hAnsi="宋体"/>
          <w:b/>
          <w:sz w:val="24"/>
        </w:rPr>
      </w:pPr>
      <w:r>
        <w:rPr>
          <w:rFonts w:hint="eastAsia" w:hAnsi="宋体"/>
          <w:b/>
          <w:sz w:val="28"/>
          <w:szCs w:val="21"/>
        </w:rPr>
        <w:t>本项目为全流程电子化交易项目，请认真阅读招标文件，并注意以下事项。</w:t>
      </w:r>
    </w:p>
    <w:p>
      <w:pPr>
        <w:snapToGrid w:val="0"/>
        <w:spacing w:line="540" w:lineRule="exact"/>
        <w:ind w:left="-170" w:leftChars="-50" w:right="-170" w:rightChars="-50" w:firstLine="480" w:firstLineChars="200"/>
        <w:rPr>
          <w:rFonts w:hAnsi="宋体" w:cs="宋体"/>
          <w:b/>
          <w:bCs/>
          <w:sz w:val="24"/>
          <w:szCs w:val="24"/>
        </w:rPr>
      </w:pPr>
      <w:r>
        <w:rPr>
          <w:rFonts w:hint="eastAsia" w:hAnsi="宋体" w:cs="宋体"/>
          <w:b/>
          <w:bCs/>
          <w:sz w:val="24"/>
          <w:szCs w:val="24"/>
        </w:rPr>
        <w:t>1.投标人应按招标文件规定下载、编制、提交电子投标文件和纸质投标文件。开、评标现场不接受投标人递交的电子投标文件和纸质投标文件以外的其他资料。</w:t>
      </w:r>
    </w:p>
    <w:p>
      <w:pPr>
        <w:snapToGrid w:val="0"/>
        <w:spacing w:line="540" w:lineRule="exact"/>
        <w:ind w:left="-170" w:leftChars="-50" w:right="-170" w:rightChars="-50" w:firstLine="480" w:firstLineChars="200"/>
        <w:rPr>
          <w:rFonts w:hAnsi="宋体" w:cs="宋体"/>
          <w:b/>
          <w:bCs/>
          <w:sz w:val="24"/>
          <w:szCs w:val="24"/>
        </w:rPr>
      </w:pPr>
      <w:r>
        <w:rPr>
          <w:rFonts w:hint="eastAsia" w:hAnsi="宋体" w:cs="宋体"/>
          <w:b/>
          <w:bCs/>
          <w:sz w:val="24"/>
          <w:szCs w:val="24"/>
        </w:rPr>
        <w:t>2.电子文件下载、制作、提交期间和开标（电子投标文件的解密）环节，投标人须使用CA数字证书。</w:t>
      </w:r>
    </w:p>
    <w:p>
      <w:pPr>
        <w:snapToGrid w:val="0"/>
        <w:spacing w:line="540" w:lineRule="exact"/>
        <w:ind w:left="-170" w:leftChars="-50" w:right="-170" w:rightChars="-50" w:firstLine="480" w:firstLineChars="200"/>
        <w:rPr>
          <w:rFonts w:hAnsi="宋体" w:cs="宋体"/>
          <w:b/>
          <w:bCs/>
          <w:sz w:val="24"/>
          <w:szCs w:val="24"/>
        </w:rPr>
      </w:pPr>
      <w:r>
        <w:rPr>
          <w:rFonts w:hint="eastAsia" w:hAnsi="宋体" w:cs="宋体"/>
          <w:b/>
          <w:bCs/>
          <w:sz w:val="24"/>
          <w:szCs w:val="24"/>
        </w:rPr>
        <w:t>3.电子投标文件的制作</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3.1 投标人登录《全国公共资源交易平台(河南省▪许昌市)》公共资源交易系统（</w:t>
      </w:r>
      <w:r>
        <w:fldChar w:fldCharType="begin"/>
      </w:r>
      <w:r>
        <w:instrText xml:space="preserve"> HYPERLINK "http://221.14.6.70:8088/ggzy/" </w:instrText>
      </w:r>
      <w:r>
        <w:fldChar w:fldCharType="separate"/>
      </w:r>
      <w:r>
        <w:rPr>
          <w:rFonts w:hint="eastAsia" w:hAnsi="宋体" w:cs="宋体"/>
          <w:sz w:val="24"/>
          <w:szCs w:val="24"/>
        </w:rPr>
        <w:t>http://221.14.6.70:8088/ggzy/</w:t>
      </w:r>
      <w:r>
        <w:rPr>
          <w:rFonts w:hint="eastAsia" w:hAnsi="宋体" w:cs="宋体"/>
          <w:sz w:val="24"/>
          <w:szCs w:val="24"/>
        </w:rPr>
        <w:fldChar w:fldCharType="end"/>
      </w:r>
      <w:r>
        <w:rPr>
          <w:rFonts w:hint="eastAsia" w:hAnsi="宋体" w:cs="宋体"/>
          <w:sz w:val="24"/>
          <w:szCs w:val="24"/>
        </w:rPr>
        <w:t>）下载“许昌投标文件制作系统SEARUN V1.</w:t>
      </w:r>
      <w:r>
        <w:rPr>
          <w:rFonts w:hint="eastAsia" w:hAnsi="宋体" w:cs="宋体"/>
          <w:sz w:val="24"/>
          <w:szCs w:val="24"/>
          <w:lang w:val="en-US" w:eastAsia="zh-CN"/>
        </w:rPr>
        <w:t>1</w:t>
      </w:r>
      <w:r>
        <w:rPr>
          <w:rFonts w:hint="eastAsia" w:hAnsi="宋体" w:cs="宋体"/>
          <w:sz w:val="24"/>
          <w:szCs w:val="24"/>
        </w:rPr>
        <w:t>”，按招标文件要求制作电子投标文件。</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电子投标文件的制作，参考《全国公共资源交易平台(河南省▪许昌市)》公共资源交易系统——组件下载——交易系统操作手册（投标人、供应商）。</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3.2 投标人须将招标文件要求的资质、业绩、荣誉及相关人员证明材料等资料原件扫描件（或图片）制作到所提交的电子投标文件中。</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3.3投标人对同一项目多个标段进行投标的，应分别下载所投标段的招标文件，按标段制作电子投标文件，并按招标文件要求在相应位置加盖投标人电子印章和法人电子印章。</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一个标段对应生成一个文件夹（xxxx项目xx标段）, 其中包含2个文件和1个文件夹。后缀名为“.file”的文件用于电子投标使用，后缀名为“.PDF”的文件用于打印纸质投标文件，“备份文件夹”使用电子介质存储，供开标现场备用。</w:t>
      </w:r>
    </w:p>
    <w:p>
      <w:pPr>
        <w:snapToGrid w:val="0"/>
        <w:spacing w:line="540" w:lineRule="exact"/>
        <w:ind w:left="-170" w:leftChars="-50" w:right="-170" w:rightChars="-50" w:firstLine="480" w:firstLineChars="200"/>
        <w:rPr>
          <w:rFonts w:hAnsi="宋体" w:cs="宋体"/>
          <w:b/>
          <w:bCs/>
          <w:sz w:val="24"/>
          <w:szCs w:val="24"/>
        </w:rPr>
      </w:pPr>
      <w:r>
        <w:rPr>
          <w:rFonts w:hint="eastAsia" w:hAnsi="宋体" w:cs="宋体"/>
          <w:b/>
          <w:bCs/>
          <w:sz w:val="24"/>
          <w:szCs w:val="24"/>
        </w:rPr>
        <w:t>4.电子投标文件的提交</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 xml:space="preserve"> 4.1电子投标文件应在招标文件规定的投标文件提交截止时间（开标时间）之前成功提交至《全国公共资源交易平台(河南省▪许昌市)》公共资源交易系统（</w:t>
      </w:r>
      <w:r>
        <w:fldChar w:fldCharType="begin"/>
      </w:r>
      <w:r>
        <w:instrText xml:space="preserve"> HYPERLINK "http://221.14.6.70:8088/ggzy/" </w:instrText>
      </w:r>
      <w:r>
        <w:fldChar w:fldCharType="separate"/>
      </w:r>
      <w:r>
        <w:rPr>
          <w:rFonts w:hint="eastAsia" w:hAnsi="宋体" w:cs="宋体"/>
          <w:sz w:val="24"/>
          <w:szCs w:val="24"/>
        </w:rPr>
        <w:t>http://221.14.6.70:8088/ggzy/</w:t>
      </w:r>
      <w:r>
        <w:rPr>
          <w:rFonts w:hint="eastAsia" w:hAnsi="宋体" w:cs="宋体"/>
          <w:sz w:val="24"/>
          <w:szCs w:val="24"/>
        </w:rPr>
        <w:fldChar w:fldCharType="end"/>
      </w:r>
      <w:r>
        <w:rPr>
          <w:rFonts w:hint="eastAsia" w:hAnsi="宋体" w:cs="宋体"/>
          <w:sz w:val="24"/>
          <w:szCs w:val="24"/>
        </w:rPr>
        <w:t>）。</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投标人应充分考虑并预留技术处理和上传数据所需时间。</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4.2 投标人对同一项目多个标段进行投标的，电子投标文件应按标段分别提交。</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4.3 电子投标文件成功提交后，投标人应打印“投标文件提交回执单”，供开标现场备查。</w:t>
      </w:r>
    </w:p>
    <w:p>
      <w:pPr>
        <w:snapToGrid w:val="0"/>
        <w:spacing w:line="540" w:lineRule="exact"/>
        <w:ind w:left="-170" w:leftChars="-50" w:right="-170" w:rightChars="-50" w:firstLine="480" w:firstLineChars="200"/>
        <w:rPr>
          <w:rFonts w:hAnsi="宋体" w:cs="宋体"/>
          <w:b/>
          <w:bCs/>
          <w:sz w:val="24"/>
          <w:szCs w:val="24"/>
        </w:rPr>
      </w:pPr>
      <w:r>
        <w:rPr>
          <w:rFonts w:hint="eastAsia" w:hAnsi="宋体" w:cs="宋体"/>
          <w:b/>
          <w:bCs/>
          <w:sz w:val="24"/>
          <w:szCs w:val="24"/>
        </w:rPr>
        <w:t>5.评标依据</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5.1采用全流程电子化交易评标时，评标委员会以电子投标文件为依据评标。</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5.2全流程电子化交易如因系统异常情况无法完成，将以人工方式进行。评标委员会以纸质投标文件为依据评标。</w:t>
      </w:r>
    </w:p>
    <w:p>
      <w:pPr>
        <w:snapToGrid w:val="0"/>
        <w:spacing w:line="540" w:lineRule="exact"/>
        <w:ind w:left="-170" w:leftChars="-50" w:right="-170" w:rightChars="-50" w:firstLine="480" w:firstLineChars="200"/>
        <w:rPr>
          <w:rFonts w:hAnsi="宋体" w:cs="宋体"/>
          <w:sz w:val="24"/>
          <w:szCs w:val="24"/>
        </w:rPr>
      </w:pPr>
    </w:p>
    <w:p>
      <w:pPr>
        <w:snapToGrid w:val="0"/>
        <w:spacing w:line="540" w:lineRule="exact"/>
        <w:ind w:left="-170" w:leftChars="-50" w:right="-170" w:rightChars="-50" w:firstLine="480" w:firstLineChars="200"/>
        <w:rPr>
          <w:rFonts w:hAnsi="宋体" w:cs="宋体"/>
          <w:sz w:val="24"/>
          <w:szCs w:val="24"/>
        </w:rPr>
      </w:pPr>
    </w:p>
    <w:p>
      <w:pPr>
        <w:snapToGrid w:val="0"/>
        <w:spacing w:line="540" w:lineRule="exact"/>
        <w:ind w:left="-170" w:leftChars="-50" w:right="-170" w:rightChars="-50" w:firstLine="480" w:firstLineChars="200"/>
        <w:rPr>
          <w:rFonts w:hAnsi="宋体" w:cs="宋体"/>
          <w:sz w:val="24"/>
          <w:szCs w:val="24"/>
        </w:rPr>
      </w:pPr>
    </w:p>
    <w:p>
      <w:pPr>
        <w:snapToGrid w:val="0"/>
        <w:spacing w:line="540" w:lineRule="exact"/>
        <w:ind w:left="-170" w:leftChars="-50" w:right="-170" w:rightChars="-50" w:firstLine="480" w:firstLineChars="200"/>
        <w:rPr>
          <w:rFonts w:hAnsi="宋体" w:cs="宋体"/>
          <w:sz w:val="24"/>
          <w:szCs w:val="24"/>
        </w:rPr>
      </w:pPr>
    </w:p>
    <w:p>
      <w:pPr>
        <w:snapToGrid w:val="0"/>
        <w:spacing w:line="540" w:lineRule="exact"/>
        <w:ind w:left="-170" w:leftChars="-50" w:right="-170" w:rightChars="-50" w:firstLine="480" w:firstLineChars="200"/>
        <w:rPr>
          <w:rFonts w:hAnsi="宋体" w:cs="宋体"/>
          <w:sz w:val="24"/>
          <w:szCs w:val="24"/>
        </w:rPr>
      </w:pPr>
    </w:p>
    <w:p>
      <w:pPr>
        <w:snapToGrid w:val="0"/>
        <w:spacing w:line="540" w:lineRule="exact"/>
        <w:ind w:left="-170" w:leftChars="-50" w:right="-170" w:rightChars="-50" w:firstLine="480" w:firstLineChars="200"/>
        <w:rPr>
          <w:rFonts w:hAnsi="宋体" w:cs="宋体"/>
          <w:sz w:val="24"/>
          <w:szCs w:val="24"/>
        </w:rPr>
      </w:pPr>
    </w:p>
    <w:p>
      <w:pPr>
        <w:snapToGrid w:val="0"/>
        <w:spacing w:line="540" w:lineRule="exact"/>
        <w:ind w:left="-170" w:leftChars="-50" w:right="-170" w:rightChars="-50" w:firstLine="480" w:firstLineChars="200"/>
        <w:rPr>
          <w:rFonts w:hAnsi="宋体" w:cs="宋体"/>
          <w:sz w:val="24"/>
          <w:szCs w:val="24"/>
        </w:rPr>
      </w:pPr>
    </w:p>
    <w:p>
      <w:pPr>
        <w:snapToGrid w:val="0"/>
        <w:spacing w:line="540" w:lineRule="exact"/>
        <w:ind w:left="-170" w:leftChars="-50" w:right="-170" w:rightChars="-50" w:firstLine="480" w:firstLineChars="200"/>
        <w:rPr>
          <w:rFonts w:hAnsi="宋体" w:cs="宋体"/>
          <w:sz w:val="24"/>
          <w:szCs w:val="24"/>
        </w:rPr>
      </w:pPr>
    </w:p>
    <w:p>
      <w:pPr>
        <w:snapToGrid w:val="0"/>
        <w:spacing w:line="540" w:lineRule="exact"/>
        <w:ind w:left="-170" w:leftChars="-50" w:right="-170" w:rightChars="-50" w:firstLine="480" w:firstLineChars="200"/>
        <w:rPr>
          <w:rFonts w:hAnsi="宋体" w:cs="宋体"/>
          <w:sz w:val="24"/>
          <w:szCs w:val="24"/>
        </w:rPr>
      </w:pPr>
    </w:p>
    <w:p>
      <w:pPr>
        <w:widowControl/>
        <w:spacing w:line="360" w:lineRule="auto"/>
        <w:rPr>
          <w:rFonts w:hAnsi="宋体"/>
          <w:sz w:val="24"/>
        </w:rPr>
      </w:pPr>
    </w:p>
    <w:p>
      <w:pPr>
        <w:widowControl/>
        <w:spacing w:line="360" w:lineRule="auto"/>
        <w:rPr>
          <w:rFonts w:hAnsi="宋体"/>
          <w:sz w:val="24"/>
        </w:rPr>
      </w:pPr>
    </w:p>
    <w:p>
      <w:pPr>
        <w:widowControl/>
        <w:spacing w:line="360" w:lineRule="auto"/>
        <w:rPr>
          <w:rFonts w:hAnsi="宋体"/>
          <w:sz w:val="24"/>
        </w:rPr>
      </w:pPr>
    </w:p>
    <w:p>
      <w:pPr>
        <w:widowControl/>
        <w:spacing w:line="360" w:lineRule="auto"/>
        <w:rPr>
          <w:rFonts w:hAnsi="宋体"/>
          <w:sz w:val="24"/>
        </w:rPr>
      </w:pPr>
    </w:p>
    <w:p>
      <w:pPr>
        <w:widowControl/>
        <w:spacing w:line="360" w:lineRule="auto"/>
        <w:rPr>
          <w:rFonts w:hAnsi="宋体"/>
          <w:sz w:val="24"/>
        </w:rPr>
      </w:pPr>
    </w:p>
    <w:p>
      <w:pPr>
        <w:widowControl/>
        <w:spacing w:line="360" w:lineRule="auto"/>
        <w:rPr>
          <w:rFonts w:hAnsi="宋体"/>
          <w:sz w:val="24"/>
        </w:rPr>
      </w:pPr>
    </w:p>
    <w:p>
      <w:pPr>
        <w:widowControl/>
        <w:spacing w:line="360" w:lineRule="auto"/>
        <w:rPr>
          <w:rFonts w:hAnsi="宋体"/>
          <w:sz w:val="24"/>
        </w:rPr>
      </w:pPr>
    </w:p>
    <w:p>
      <w:pPr>
        <w:widowControl/>
        <w:spacing w:line="360" w:lineRule="auto"/>
        <w:rPr>
          <w:rFonts w:hAnsi="宋体"/>
          <w:sz w:val="24"/>
        </w:rPr>
      </w:pPr>
    </w:p>
    <w:p>
      <w:pPr>
        <w:widowControl/>
        <w:spacing w:line="360" w:lineRule="auto"/>
        <w:rPr>
          <w:rFonts w:hAnsi="宋体"/>
          <w:sz w:val="24"/>
        </w:rPr>
      </w:pPr>
    </w:p>
    <w:p>
      <w:pPr>
        <w:widowControl/>
        <w:spacing w:line="360" w:lineRule="auto"/>
        <w:rPr>
          <w:rFonts w:hAnsi="宋体"/>
          <w:sz w:val="24"/>
        </w:rPr>
      </w:pPr>
    </w:p>
    <w:p>
      <w:pPr>
        <w:widowControl/>
        <w:spacing w:line="360" w:lineRule="auto"/>
        <w:rPr>
          <w:rFonts w:hAnsi="宋体"/>
          <w:color w:val="0000FF"/>
          <w:sz w:val="24"/>
        </w:rPr>
      </w:pPr>
    </w:p>
    <w:p>
      <w:pPr>
        <w:tabs>
          <w:tab w:val="left" w:pos="4140"/>
          <w:tab w:val="left" w:pos="4260"/>
        </w:tabs>
        <w:spacing w:line="360" w:lineRule="auto"/>
        <w:ind w:right="-578" w:rightChars="-170"/>
        <w:jc w:val="both"/>
        <w:rPr>
          <w:rFonts w:hint="eastAsia" w:hAnsi="宋体" w:cs="黑体"/>
          <w:b/>
          <w:sz w:val="36"/>
          <w:szCs w:val="36"/>
        </w:rPr>
      </w:pPr>
    </w:p>
    <w:p>
      <w:pPr>
        <w:tabs>
          <w:tab w:val="left" w:pos="4140"/>
          <w:tab w:val="left" w:pos="4260"/>
        </w:tabs>
        <w:spacing w:line="360" w:lineRule="auto"/>
        <w:ind w:right="-578" w:rightChars="-170" w:firstLine="360" w:firstLineChars="100"/>
        <w:jc w:val="center"/>
        <w:rPr>
          <w:rFonts w:hint="eastAsia" w:hAnsi="宋体" w:cs="黑体"/>
          <w:b/>
          <w:sz w:val="36"/>
          <w:szCs w:val="36"/>
        </w:rPr>
      </w:pPr>
    </w:p>
    <w:p>
      <w:pPr>
        <w:tabs>
          <w:tab w:val="left" w:pos="4140"/>
          <w:tab w:val="left" w:pos="4260"/>
        </w:tabs>
        <w:spacing w:line="360" w:lineRule="auto"/>
        <w:ind w:right="-578" w:rightChars="-170" w:firstLine="360" w:firstLineChars="100"/>
        <w:jc w:val="center"/>
        <w:rPr>
          <w:rFonts w:hint="eastAsia" w:hAnsi="宋体" w:cs="黑体"/>
          <w:b/>
          <w:sz w:val="36"/>
          <w:szCs w:val="36"/>
        </w:rPr>
      </w:pPr>
    </w:p>
    <w:p>
      <w:pPr>
        <w:tabs>
          <w:tab w:val="left" w:pos="4140"/>
          <w:tab w:val="left" w:pos="4260"/>
        </w:tabs>
        <w:spacing w:line="360" w:lineRule="auto"/>
        <w:ind w:right="-578" w:rightChars="-170" w:firstLine="360" w:firstLineChars="100"/>
        <w:jc w:val="center"/>
        <w:rPr>
          <w:rFonts w:hAnsi="宋体" w:cs="黑体"/>
          <w:b/>
          <w:sz w:val="36"/>
          <w:szCs w:val="36"/>
        </w:rPr>
      </w:pPr>
      <w:r>
        <w:rPr>
          <w:rFonts w:hint="eastAsia" w:hAnsi="宋体" w:cs="黑体"/>
          <w:b/>
          <w:sz w:val="36"/>
          <w:szCs w:val="36"/>
        </w:rPr>
        <w:t xml:space="preserve">第二章  </w:t>
      </w:r>
      <w:bookmarkEnd w:id="0"/>
      <w:r>
        <w:rPr>
          <w:rFonts w:hint="eastAsia" w:hAnsi="宋体" w:cs="黑体"/>
          <w:b/>
          <w:sz w:val="36"/>
          <w:szCs w:val="36"/>
        </w:rPr>
        <w:t>投标人须知</w:t>
      </w:r>
    </w:p>
    <w:p>
      <w:pPr>
        <w:autoSpaceDE w:val="0"/>
        <w:autoSpaceDN w:val="0"/>
        <w:adjustRightInd w:val="0"/>
        <w:outlineLvl w:val="0"/>
        <w:rPr>
          <w:rFonts w:hAnsi="宋体" w:cs="黑体"/>
          <w:b/>
          <w:sz w:val="28"/>
          <w:szCs w:val="28"/>
        </w:rPr>
      </w:pPr>
      <w:bookmarkStart w:id="1" w:name="_Toc283559940"/>
      <w:r>
        <w:rPr>
          <w:rFonts w:hint="eastAsia" w:hAnsi="宋体" w:cs="黑体"/>
          <w:b/>
          <w:sz w:val="28"/>
          <w:szCs w:val="28"/>
        </w:rPr>
        <w:t>投标人须知前附表</w:t>
      </w:r>
      <w:bookmarkEnd w:id="1"/>
    </w:p>
    <w:tbl>
      <w:tblPr>
        <w:tblStyle w:val="29"/>
        <w:tblW w:w="98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3"/>
        <w:gridCol w:w="74"/>
        <w:gridCol w:w="1571"/>
        <w:gridCol w:w="209"/>
        <w:gridCol w:w="70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360" w:lineRule="auto"/>
              <w:jc w:val="center"/>
              <w:rPr>
                <w:rFonts w:hAnsi="宋体" w:cs="仿宋_GB2312"/>
                <w:b/>
                <w:sz w:val="24"/>
              </w:rPr>
            </w:pPr>
            <w:r>
              <w:rPr>
                <w:rFonts w:hint="eastAsia" w:hAnsi="宋体" w:cs="仿宋_GB2312"/>
                <w:b/>
                <w:sz w:val="24"/>
              </w:rPr>
              <w:t>条款号</w:t>
            </w:r>
          </w:p>
        </w:tc>
        <w:tc>
          <w:tcPr>
            <w:tcW w:w="1854" w:type="dxa"/>
            <w:gridSpan w:val="3"/>
            <w:vAlign w:val="center"/>
          </w:tcPr>
          <w:p>
            <w:pPr>
              <w:autoSpaceDE w:val="0"/>
              <w:autoSpaceDN w:val="0"/>
              <w:adjustRightInd w:val="0"/>
              <w:spacing w:line="420" w:lineRule="exact"/>
              <w:jc w:val="center"/>
              <w:rPr>
                <w:rFonts w:hAnsi="宋体" w:cs="仿宋_GB2312"/>
                <w:b/>
                <w:sz w:val="24"/>
              </w:rPr>
            </w:pPr>
            <w:r>
              <w:rPr>
                <w:rFonts w:hint="eastAsia" w:hAnsi="宋体" w:cs="仿宋_GB2312"/>
                <w:b/>
                <w:sz w:val="24"/>
              </w:rPr>
              <w:t>条款名称</w:t>
            </w:r>
          </w:p>
        </w:tc>
        <w:tc>
          <w:tcPr>
            <w:tcW w:w="7017" w:type="dxa"/>
            <w:vAlign w:val="center"/>
          </w:tcPr>
          <w:p>
            <w:pPr>
              <w:autoSpaceDE w:val="0"/>
              <w:autoSpaceDN w:val="0"/>
              <w:adjustRightInd w:val="0"/>
              <w:spacing w:line="420" w:lineRule="exact"/>
              <w:jc w:val="center"/>
              <w:rPr>
                <w:rFonts w:hAnsi="宋体" w:cs="仿宋_GB2312"/>
                <w:b/>
                <w:sz w:val="24"/>
              </w:rPr>
            </w:pPr>
            <w:r>
              <w:rPr>
                <w:rFonts w:hint="eastAsia" w:hAnsi="宋体" w:cs="仿宋_GB2312"/>
                <w:b/>
                <w:sz w:val="24"/>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1" w:hRule="atLeast"/>
          <w:jc w:val="center"/>
        </w:trPr>
        <w:tc>
          <w:tcPr>
            <w:tcW w:w="1003" w:type="dxa"/>
            <w:vAlign w:val="center"/>
          </w:tcPr>
          <w:p>
            <w:pPr>
              <w:autoSpaceDE w:val="0"/>
              <w:autoSpaceDN w:val="0"/>
              <w:adjustRightInd w:val="0"/>
              <w:jc w:val="center"/>
              <w:rPr>
                <w:rFonts w:hAnsi="宋体" w:cs="黑体"/>
                <w:sz w:val="24"/>
              </w:rPr>
            </w:pPr>
            <w:r>
              <w:rPr>
                <w:rFonts w:hAnsi="宋体" w:cs="TimesNewRomanPSMT"/>
                <w:sz w:val="24"/>
              </w:rPr>
              <w:t>1.1.</w:t>
            </w:r>
            <w:r>
              <w:rPr>
                <w:rFonts w:hint="eastAsia" w:hAnsi="宋体" w:cs="TimesNewRomanPSMT"/>
                <w:sz w:val="24"/>
              </w:rPr>
              <w:t>1</w:t>
            </w:r>
          </w:p>
        </w:tc>
        <w:tc>
          <w:tcPr>
            <w:tcW w:w="1854"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招标人</w:t>
            </w:r>
          </w:p>
        </w:tc>
        <w:tc>
          <w:tcPr>
            <w:tcW w:w="7017" w:type="dxa"/>
            <w:vAlign w:val="center"/>
          </w:tcPr>
          <w:p>
            <w:pPr>
              <w:autoSpaceDE w:val="0"/>
              <w:autoSpaceDN w:val="0"/>
              <w:adjustRightInd w:val="0"/>
              <w:spacing w:line="320" w:lineRule="exact"/>
              <w:rPr>
                <w:rFonts w:hint="eastAsia" w:hAnsi="宋体" w:eastAsia="宋体"/>
                <w:sz w:val="24"/>
                <w:szCs w:val="22"/>
                <w:lang w:eastAsia="zh-CN"/>
              </w:rPr>
            </w:pPr>
            <w:r>
              <w:rPr>
                <w:rFonts w:hint="eastAsia" w:hAnsi="宋体"/>
                <w:sz w:val="24"/>
                <w:szCs w:val="22"/>
                <w:lang w:val="zh-CN"/>
              </w:rPr>
              <w:t>招 标 人：</w:t>
            </w:r>
            <w:r>
              <w:rPr>
                <w:rFonts w:hint="eastAsia" w:hAnsi="宋体" w:cs="宋体"/>
                <w:sz w:val="24"/>
                <w:szCs w:val="24"/>
                <w:lang w:eastAsia="zh-CN"/>
              </w:rPr>
              <w:t>许昌市建安区住房和城乡建设局</w:t>
            </w:r>
          </w:p>
          <w:p>
            <w:pPr>
              <w:autoSpaceDE w:val="0"/>
              <w:autoSpaceDN w:val="0"/>
              <w:adjustRightInd w:val="0"/>
              <w:spacing w:line="320" w:lineRule="exact"/>
              <w:rPr>
                <w:rFonts w:hAnsi="宋体"/>
                <w:sz w:val="24"/>
                <w:szCs w:val="22"/>
              </w:rPr>
            </w:pPr>
            <w:r>
              <w:rPr>
                <w:rFonts w:hint="eastAsia" w:hAnsi="宋体"/>
                <w:sz w:val="24"/>
                <w:szCs w:val="22"/>
              </w:rPr>
              <w:t>地    址：</w:t>
            </w:r>
            <w:r>
              <w:rPr>
                <w:rFonts w:hint="eastAsia" w:hAnsi="宋体" w:cs="宋体"/>
                <w:sz w:val="24"/>
                <w:szCs w:val="24"/>
              </w:rPr>
              <w:t>许昌市建安区兴业大厦3楼</w:t>
            </w:r>
          </w:p>
          <w:p>
            <w:pPr>
              <w:autoSpaceDE w:val="0"/>
              <w:autoSpaceDN w:val="0"/>
              <w:adjustRightInd w:val="0"/>
              <w:spacing w:line="320" w:lineRule="exact"/>
              <w:rPr>
                <w:rFonts w:hAnsi="宋体"/>
                <w:sz w:val="24"/>
                <w:szCs w:val="22"/>
              </w:rPr>
            </w:pPr>
            <w:r>
              <w:rPr>
                <w:rFonts w:hint="eastAsia" w:hAnsi="宋体"/>
                <w:sz w:val="24"/>
                <w:szCs w:val="22"/>
              </w:rPr>
              <w:t>联 系 人：杨会芳</w:t>
            </w:r>
          </w:p>
          <w:p>
            <w:pPr>
              <w:autoSpaceDE w:val="0"/>
              <w:autoSpaceDN w:val="0"/>
              <w:adjustRightInd w:val="0"/>
              <w:spacing w:line="320" w:lineRule="exact"/>
              <w:rPr>
                <w:rFonts w:hAnsi="宋体"/>
                <w:bCs/>
                <w:sz w:val="24"/>
              </w:rPr>
            </w:pPr>
            <w:r>
              <w:rPr>
                <w:rFonts w:hint="eastAsia" w:hAnsi="宋体"/>
                <w:sz w:val="24"/>
                <w:szCs w:val="22"/>
              </w:rPr>
              <w:t>联系电话：13849880890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jc w:val="center"/>
        </w:trPr>
        <w:tc>
          <w:tcPr>
            <w:tcW w:w="1003" w:type="dxa"/>
            <w:vAlign w:val="center"/>
          </w:tcPr>
          <w:p>
            <w:pPr>
              <w:autoSpaceDE w:val="0"/>
              <w:autoSpaceDN w:val="0"/>
              <w:adjustRightInd w:val="0"/>
              <w:jc w:val="center"/>
              <w:rPr>
                <w:rFonts w:hAnsi="宋体" w:cs="TimesNewRomanPSMT"/>
                <w:sz w:val="24"/>
              </w:rPr>
            </w:pPr>
            <w:r>
              <w:rPr>
                <w:rFonts w:hint="eastAsia" w:hAnsi="宋体" w:cs="TimesNewRomanPSMT"/>
                <w:sz w:val="24"/>
              </w:rPr>
              <w:t>1.1.2</w:t>
            </w:r>
          </w:p>
        </w:tc>
        <w:tc>
          <w:tcPr>
            <w:tcW w:w="1854"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代理机构</w:t>
            </w:r>
          </w:p>
        </w:tc>
        <w:tc>
          <w:tcPr>
            <w:tcW w:w="7017" w:type="dxa"/>
            <w:vAlign w:val="center"/>
          </w:tcPr>
          <w:p>
            <w:pPr>
              <w:autoSpaceDE w:val="0"/>
              <w:autoSpaceDN w:val="0"/>
              <w:adjustRightInd w:val="0"/>
              <w:spacing w:line="320" w:lineRule="exact"/>
              <w:rPr>
                <w:rFonts w:hAnsi="宋体"/>
                <w:sz w:val="24"/>
              </w:rPr>
            </w:pPr>
            <w:r>
              <w:rPr>
                <w:rFonts w:hint="eastAsia" w:hAnsi="宋体"/>
                <w:sz w:val="24"/>
              </w:rPr>
              <w:t>代理机构：河南天扬工程项目管理有限公司</w:t>
            </w:r>
          </w:p>
          <w:p>
            <w:pPr>
              <w:autoSpaceDE w:val="0"/>
              <w:autoSpaceDN w:val="0"/>
              <w:adjustRightInd w:val="0"/>
              <w:spacing w:line="320" w:lineRule="exact"/>
              <w:rPr>
                <w:rFonts w:hint="eastAsia" w:hAnsi="宋体" w:eastAsia="宋体"/>
                <w:sz w:val="24"/>
                <w:lang w:val="en-US" w:eastAsia="zh-CN"/>
              </w:rPr>
            </w:pPr>
            <w:r>
              <w:rPr>
                <w:rFonts w:hint="eastAsia" w:hAnsi="宋体"/>
                <w:sz w:val="24"/>
              </w:rPr>
              <w:t>联 系 人：</w:t>
            </w:r>
            <w:r>
              <w:rPr>
                <w:rFonts w:hint="eastAsia" w:hAnsi="宋体"/>
                <w:sz w:val="24"/>
                <w:lang w:val="en-US" w:eastAsia="zh-CN"/>
              </w:rPr>
              <w:t>齐小换</w:t>
            </w:r>
          </w:p>
          <w:p>
            <w:pPr>
              <w:autoSpaceDE w:val="0"/>
              <w:autoSpaceDN w:val="0"/>
              <w:adjustRightInd w:val="0"/>
              <w:spacing w:line="320" w:lineRule="exact"/>
              <w:rPr>
                <w:rFonts w:hint="default" w:hAnsi="宋体" w:eastAsia="宋体"/>
                <w:sz w:val="24"/>
                <w:lang w:val="en-US" w:eastAsia="zh-CN"/>
              </w:rPr>
            </w:pPr>
            <w:r>
              <w:rPr>
                <w:rFonts w:hint="eastAsia" w:hAnsi="宋体"/>
                <w:sz w:val="24"/>
              </w:rPr>
              <w:t>联系电话：</w:t>
            </w:r>
            <w:r>
              <w:rPr>
                <w:rFonts w:hint="eastAsia" w:hAnsi="宋体"/>
                <w:sz w:val="24"/>
                <w:lang w:val="en-US" w:eastAsia="zh-CN"/>
              </w:rPr>
              <w:t>13938775087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1.1.</w:t>
            </w:r>
            <w:r>
              <w:rPr>
                <w:rFonts w:hint="eastAsia" w:hAnsi="宋体" w:cs="TimesNewRomanPSMT"/>
                <w:sz w:val="24"/>
              </w:rPr>
              <w:t>4</w:t>
            </w:r>
          </w:p>
        </w:tc>
        <w:tc>
          <w:tcPr>
            <w:tcW w:w="1854" w:type="dxa"/>
            <w:gridSpan w:val="3"/>
            <w:vAlign w:val="center"/>
          </w:tcPr>
          <w:p>
            <w:pPr>
              <w:autoSpaceDE w:val="0"/>
              <w:autoSpaceDN w:val="0"/>
              <w:adjustRightInd w:val="0"/>
              <w:spacing w:line="320" w:lineRule="exact"/>
              <w:jc w:val="center"/>
              <w:rPr>
                <w:rFonts w:hAnsi="宋体"/>
                <w:sz w:val="24"/>
              </w:rPr>
            </w:pPr>
            <w:r>
              <w:rPr>
                <w:rFonts w:hint="eastAsia" w:hAnsi="宋体"/>
                <w:sz w:val="24"/>
              </w:rPr>
              <w:t>项目名称</w:t>
            </w:r>
          </w:p>
        </w:tc>
        <w:tc>
          <w:tcPr>
            <w:tcW w:w="7017" w:type="dxa"/>
            <w:vAlign w:val="center"/>
          </w:tcPr>
          <w:p>
            <w:pPr>
              <w:autoSpaceDE w:val="0"/>
              <w:autoSpaceDN w:val="0"/>
              <w:adjustRightInd w:val="0"/>
              <w:spacing w:line="320" w:lineRule="exact"/>
              <w:jc w:val="left"/>
              <w:rPr>
                <w:rFonts w:hint="eastAsia" w:hAnsi="宋体" w:eastAsia="宋体"/>
                <w:b/>
                <w:sz w:val="24"/>
                <w:lang w:val="en-US" w:eastAsia="zh-CN"/>
              </w:rPr>
            </w:pPr>
            <w:r>
              <w:rPr>
                <w:rFonts w:hint="eastAsia" w:hAnsi="宋体" w:cs="宋体"/>
                <w:sz w:val="24"/>
                <w:szCs w:val="24"/>
                <w:lang w:val="en-US" w:eastAsia="zh-CN"/>
              </w:rPr>
              <w:t>新元大道污水厂管道环通工程（高铁北站）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1.1.</w:t>
            </w:r>
            <w:r>
              <w:rPr>
                <w:rFonts w:hint="eastAsia" w:hAnsi="宋体" w:cs="TimesNewRomanPSMT"/>
                <w:sz w:val="24"/>
              </w:rPr>
              <w:t>5</w:t>
            </w:r>
          </w:p>
        </w:tc>
        <w:tc>
          <w:tcPr>
            <w:tcW w:w="1854"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建设地点</w:t>
            </w:r>
          </w:p>
        </w:tc>
        <w:tc>
          <w:tcPr>
            <w:tcW w:w="7017" w:type="dxa"/>
            <w:vAlign w:val="center"/>
          </w:tcPr>
          <w:p>
            <w:pPr>
              <w:spacing w:line="320" w:lineRule="exact"/>
              <w:jc w:val="left"/>
              <w:rPr>
                <w:rFonts w:hint="eastAsia" w:hAnsi="宋体" w:eastAsia="宋体" w:cs="仿宋_GB2312"/>
                <w:sz w:val="24"/>
                <w:szCs w:val="24"/>
                <w:lang w:val="en-US" w:eastAsia="zh-CN"/>
              </w:rPr>
            </w:pPr>
            <w:r>
              <w:rPr>
                <w:rFonts w:hint="eastAsia" w:hAnsi="宋体"/>
                <w:sz w:val="24"/>
              </w:rPr>
              <w:t>许昌市建安区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9"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1.2.1</w:t>
            </w:r>
          </w:p>
        </w:tc>
        <w:tc>
          <w:tcPr>
            <w:tcW w:w="1854"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资金来源</w:t>
            </w:r>
          </w:p>
        </w:tc>
        <w:tc>
          <w:tcPr>
            <w:tcW w:w="7017" w:type="dxa"/>
            <w:vAlign w:val="center"/>
          </w:tcPr>
          <w:p>
            <w:pPr>
              <w:autoSpaceDE w:val="0"/>
              <w:autoSpaceDN w:val="0"/>
              <w:adjustRightInd w:val="0"/>
              <w:spacing w:line="320" w:lineRule="exact"/>
              <w:jc w:val="left"/>
              <w:rPr>
                <w:rFonts w:hAnsi="宋体" w:cs="黑体"/>
                <w:sz w:val="24"/>
              </w:rPr>
            </w:pPr>
            <w:r>
              <w:rPr>
                <w:rFonts w:hint="eastAsia" w:hAnsi="宋体" w:cs="黑体"/>
                <w:sz w:val="24"/>
              </w:rPr>
              <w:t>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1.2.2</w:t>
            </w:r>
          </w:p>
        </w:tc>
        <w:tc>
          <w:tcPr>
            <w:tcW w:w="1854"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出资比例</w:t>
            </w:r>
          </w:p>
        </w:tc>
        <w:tc>
          <w:tcPr>
            <w:tcW w:w="7017" w:type="dxa"/>
            <w:vAlign w:val="center"/>
          </w:tcPr>
          <w:p>
            <w:pPr>
              <w:autoSpaceDE w:val="0"/>
              <w:autoSpaceDN w:val="0"/>
              <w:adjustRightInd w:val="0"/>
              <w:spacing w:line="320" w:lineRule="exact"/>
              <w:jc w:val="left"/>
              <w:rPr>
                <w:rFonts w:hAnsi="宋体" w:cs="黑体"/>
                <w:sz w:val="24"/>
              </w:rPr>
            </w:pPr>
            <w:r>
              <w:rPr>
                <w:rFonts w:hint="eastAsia" w:hAnsi="宋体" w:cs="仿宋_GB2312"/>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1.2.3</w:t>
            </w:r>
          </w:p>
        </w:tc>
        <w:tc>
          <w:tcPr>
            <w:tcW w:w="1854"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资金落实情况</w:t>
            </w:r>
          </w:p>
        </w:tc>
        <w:tc>
          <w:tcPr>
            <w:tcW w:w="7017" w:type="dxa"/>
            <w:vAlign w:val="center"/>
          </w:tcPr>
          <w:p>
            <w:pPr>
              <w:autoSpaceDE w:val="0"/>
              <w:autoSpaceDN w:val="0"/>
              <w:adjustRightInd w:val="0"/>
              <w:spacing w:line="320" w:lineRule="exact"/>
              <w:jc w:val="left"/>
              <w:rPr>
                <w:rFonts w:hAnsi="宋体" w:cs="黑体"/>
                <w:sz w:val="24"/>
              </w:rPr>
            </w:pPr>
            <w:r>
              <w:rPr>
                <w:rFonts w:hint="eastAsia" w:hAnsi="宋体" w:cs="黑体"/>
                <w:sz w:val="24"/>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1.3.1</w:t>
            </w:r>
          </w:p>
        </w:tc>
        <w:tc>
          <w:tcPr>
            <w:tcW w:w="1854"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招标范围</w:t>
            </w:r>
          </w:p>
        </w:tc>
        <w:tc>
          <w:tcPr>
            <w:tcW w:w="7017" w:type="dxa"/>
            <w:tcBorders>
              <w:bottom w:val="single" w:color="auto" w:sz="4" w:space="0"/>
            </w:tcBorders>
          </w:tcPr>
          <w:p>
            <w:pPr>
              <w:autoSpaceDE w:val="0"/>
              <w:autoSpaceDN w:val="0"/>
              <w:adjustRightInd w:val="0"/>
              <w:spacing w:line="320" w:lineRule="exact"/>
            </w:pPr>
            <w:r>
              <w:rPr>
                <w:rFonts w:hint="eastAsia" w:hAnsi="宋体"/>
                <w:sz w:val="24"/>
                <w:szCs w:val="22"/>
              </w:rPr>
              <w:t>招标文件、工程量清单、施工图纸、答疑纪要和补充文件（如有）范围内的所有建设内容。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1.3.2</w:t>
            </w:r>
          </w:p>
        </w:tc>
        <w:tc>
          <w:tcPr>
            <w:tcW w:w="1854" w:type="dxa"/>
            <w:gridSpan w:val="3"/>
            <w:tcBorders>
              <w:right w:val="single" w:color="auto" w:sz="4" w:space="0"/>
            </w:tcBorders>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计划工期</w:t>
            </w:r>
          </w:p>
        </w:tc>
        <w:tc>
          <w:tcPr>
            <w:tcW w:w="701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left"/>
              <w:rPr>
                <w:rFonts w:hAnsi="宋体" w:cs="黑体"/>
                <w:sz w:val="24"/>
              </w:rPr>
            </w:pPr>
            <w:r>
              <w:rPr>
                <w:rFonts w:hint="eastAsia" w:hAnsi="宋体" w:cs="仿宋_GB2312"/>
                <w:color w:val="auto"/>
                <w:sz w:val="24"/>
                <w:lang w:val="en-US" w:eastAsia="zh-CN"/>
              </w:rPr>
              <w:t>45</w:t>
            </w:r>
            <w:r>
              <w:rPr>
                <w:rFonts w:hint="eastAsia" w:hAnsi="宋体" w:cs="仿宋_GB2312"/>
                <w:color w:val="auto"/>
                <w:sz w:val="24"/>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1.3.3</w:t>
            </w:r>
          </w:p>
        </w:tc>
        <w:tc>
          <w:tcPr>
            <w:tcW w:w="1854"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质量要求</w:t>
            </w:r>
          </w:p>
        </w:tc>
        <w:tc>
          <w:tcPr>
            <w:tcW w:w="7017" w:type="dxa"/>
            <w:tcBorders>
              <w:top w:val="single" w:color="auto" w:sz="4" w:space="0"/>
            </w:tcBorders>
            <w:vAlign w:val="center"/>
          </w:tcPr>
          <w:p>
            <w:pPr>
              <w:autoSpaceDE w:val="0"/>
              <w:autoSpaceDN w:val="0"/>
              <w:adjustRightInd w:val="0"/>
              <w:spacing w:line="320" w:lineRule="exact"/>
              <w:rPr>
                <w:rFonts w:hAnsi="宋体" w:cs="黑体"/>
                <w:sz w:val="24"/>
              </w:rPr>
            </w:pPr>
            <w:r>
              <w:rPr>
                <w:rFonts w:hint="eastAsia" w:hAnsi="宋体" w:cs="宋体"/>
                <w:sz w:val="24"/>
                <w:szCs w:val="24"/>
              </w:rPr>
              <w:t>达到国家建设工程质量验收的规范和标准(合格)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1"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1.4.1</w:t>
            </w:r>
          </w:p>
        </w:tc>
        <w:tc>
          <w:tcPr>
            <w:tcW w:w="1854" w:type="dxa"/>
            <w:gridSpan w:val="3"/>
            <w:vAlign w:val="center"/>
          </w:tcPr>
          <w:p>
            <w:pPr>
              <w:autoSpaceDE w:val="0"/>
              <w:autoSpaceDN w:val="0"/>
              <w:adjustRightInd w:val="0"/>
              <w:spacing w:line="320" w:lineRule="exact"/>
              <w:jc w:val="center"/>
              <w:rPr>
                <w:rFonts w:hAnsi="宋体" w:cs="黑体"/>
                <w:sz w:val="24"/>
              </w:rPr>
            </w:pPr>
            <w:r>
              <w:rPr>
                <w:rFonts w:hint="eastAsia" w:hAnsi="宋体" w:cs="黑体"/>
                <w:sz w:val="24"/>
              </w:rPr>
              <w:t>投标人资质条件</w:t>
            </w:r>
          </w:p>
        </w:tc>
        <w:tc>
          <w:tcPr>
            <w:tcW w:w="7017" w:type="dxa"/>
          </w:tcPr>
          <w:p>
            <w:pPr>
              <w:autoSpaceDE w:val="0"/>
              <w:autoSpaceDN w:val="0"/>
              <w:adjustRightInd w:val="0"/>
              <w:spacing w:line="420" w:lineRule="exact"/>
              <w:jc w:val="left"/>
              <w:outlineLvl w:val="0"/>
              <w:rPr>
                <w:rFonts w:hint="eastAsia" w:hAnsi="宋体" w:cs="宋体"/>
                <w:color w:val="000000" w:themeColor="text1"/>
                <w:sz w:val="24"/>
                <w:szCs w:val="24"/>
                <w:highlight w:val="none"/>
                <w:lang w:val="en-US" w:eastAsia="zh-CN"/>
                <w14:textFill>
                  <w14:solidFill>
                    <w14:schemeClr w14:val="tx1"/>
                  </w14:solidFill>
                </w14:textFill>
              </w:rPr>
            </w:pPr>
            <w:r>
              <w:rPr>
                <w:rFonts w:hint="eastAsia" w:hAnsi="宋体" w:cs="宋体"/>
                <w:color w:val="000000" w:themeColor="text1"/>
                <w:sz w:val="24"/>
                <w:szCs w:val="24"/>
                <w:highlight w:val="none"/>
                <w:lang w:val="en-US" w:eastAsia="zh-CN"/>
                <w14:textFill>
                  <w14:solidFill>
                    <w14:schemeClr w14:val="tx1"/>
                  </w14:solidFill>
                </w14:textFill>
              </w:rPr>
              <w:t>1、</w:t>
            </w:r>
            <w:r>
              <w:rPr>
                <w:rFonts w:hint="eastAsia" w:ascii="宋体" w:hAnsi="宋体" w:cs="宋体"/>
                <w:color w:val="000000" w:themeColor="text1"/>
                <w:kern w:val="0"/>
                <w:sz w:val="24"/>
                <w:szCs w:val="24"/>
                <w:lang w:val="en-US" w:eastAsia="zh-CN"/>
                <w14:textFill>
                  <w14:solidFill>
                    <w14:schemeClr w14:val="tx1"/>
                  </w14:solidFill>
                </w14:textFill>
              </w:rPr>
              <w:t>要求投标人</w:t>
            </w:r>
            <w:r>
              <w:rPr>
                <w:rFonts w:hint="eastAsia" w:ascii="宋体" w:hAnsi="宋体" w:cs="宋体"/>
                <w:color w:val="000000" w:themeColor="text1"/>
                <w:kern w:val="0"/>
                <w:sz w:val="24"/>
                <w:szCs w:val="24"/>
                <w14:textFill>
                  <w14:solidFill>
                    <w14:schemeClr w14:val="tx1"/>
                  </w14:solidFill>
                </w14:textFill>
              </w:rPr>
              <w:t>须具备独立的法人资格；须具备建设行政主管部门颁发的市政公用工程施工总承包</w:t>
            </w:r>
            <w:r>
              <w:rPr>
                <w:rFonts w:hint="eastAsia" w:hAnsi="宋体" w:cs="宋体"/>
                <w:color w:val="000000" w:themeColor="text1"/>
                <w:kern w:val="0"/>
                <w:sz w:val="24"/>
                <w:szCs w:val="24"/>
                <w:lang w:val="en-US" w:eastAsia="zh-CN"/>
                <w14:textFill>
                  <w14:solidFill>
                    <w14:schemeClr w14:val="tx1"/>
                  </w14:solidFill>
                </w14:textFill>
              </w:rPr>
              <w:t>叁</w:t>
            </w:r>
            <w:r>
              <w:rPr>
                <w:rFonts w:hint="eastAsia" w:ascii="宋体" w:hAnsi="宋体" w:cs="宋体"/>
                <w:color w:val="000000" w:themeColor="text1"/>
                <w:kern w:val="0"/>
                <w:sz w:val="24"/>
                <w:szCs w:val="24"/>
                <w14:textFill>
                  <w14:solidFill>
                    <w14:schemeClr w14:val="tx1"/>
                  </w14:solidFill>
                </w14:textFill>
              </w:rPr>
              <w:t>级及以上资质，且具备有效的安全生产许可证</w:t>
            </w:r>
            <w:r>
              <w:rPr>
                <w:rFonts w:hint="eastAsia" w:ascii="宋体" w:hAnsi="宋体" w:cs="宋体"/>
                <w:color w:val="000000" w:themeColor="text1"/>
                <w:kern w:val="0"/>
                <w:sz w:val="24"/>
                <w:szCs w:val="24"/>
                <w:lang w:eastAsia="zh-CN"/>
                <w14:textFill>
                  <w14:solidFill>
                    <w14:schemeClr w14:val="tx1"/>
                  </w14:solidFill>
                </w14:textFill>
              </w:rPr>
              <w:t>。</w:t>
            </w:r>
          </w:p>
          <w:p>
            <w:pPr>
              <w:autoSpaceDE w:val="0"/>
              <w:autoSpaceDN w:val="0"/>
              <w:adjustRightInd w:val="0"/>
              <w:spacing w:line="420" w:lineRule="exact"/>
              <w:jc w:val="left"/>
              <w:outlineLvl w:val="0"/>
              <w:rPr>
                <w:rFonts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2、拟派项目经理须具备</w:t>
            </w:r>
            <w:r>
              <w:rPr>
                <w:rFonts w:hint="eastAsia" w:hAnsi="宋体" w:cs="宋体"/>
                <w:color w:val="000000" w:themeColor="text1"/>
                <w:sz w:val="24"/>
                <w:szCs w:val="24"/>
                <w:highlight w:val="none"/>
                <w:lang w:val="en-US" w:eastAsia="zh-CN"/>
                <w14:textFill>
                  <w14:solidFill>
                    <w14:schemeClr w14:val="tx1"/>
                  </w14:solidFill>
                </w14:textFill>
              </w:rPr>
              <w:t>市政公用</w:t>
            </w:r>
            <w:r>
              <w:rPr>
                <w:rFonts w:hint="eastAsia" w:hAnsi="宋体" w:cs="宋体"/>
                <w:color w:val="000000" w:themeColor="text1"/>
                <w:sz w:val="24"/>
                <w:szCs w:val="24"/>
                <w:highlight w:val="none"/>
                <w14:textFill>
                  <w14:solidFill>
                    <w14:schemeClr w14:val="tx1"/>
                  </w14:solidFill>
                </w14:textFill>
              </w:rPr>
              <w:t>工程专业</w:t>
            </w:r>
            <w:r>
              <w:rPr>
                <w:rFonts w:hint="eastAsia" w:hAnsi="宋体" w:cs="宋体"/>
                <w:color w:val="000000" w:themeColor="text1"/>
                <w:sz w:val="24"/>
                <w:szCs w:val="24"/>
                <w:highlight w:val="none"/>
                <w:lang w:val="en-US" w:eastAsia="zh-CN"/>
                <w14:textFill>
                  <w14:solidFill>
                    <w14:schemeClr w14:val="tx1"/>
                  </w14:solidFill>
                </w14:textFill>
              </w:rPr>
              <w:t>贰</w:t>
            </w:r>
            <w:r>
              <w:rPr>
                <w:rFonts w:hint="eastAsia" w:hAnsi="宋体" w:cs="宋体"/>
                <w:color w:val="000000" w:themeColor="text1"/>
                <w:sz w:val="24"/>
                <w:szCs w:val="24"/>
                <w:highlight w:val="none"/>
                <w14:textFill>
                  <w14:solidFill>
                    <w14:schemeClr w14:val="tx1"/>
                  </w14:solidFill>
                </w14:textFill>
              </w:rPr>
              <w:t>级</w:t>
            </w:r>
            <w:r>
              <w:rPr>
                <w:rFonts w:hint="eastAsia" w:hAnsi="宋体" w:cs="宋体"/>
                <w:color w:val="000000" w:themeColor="text1"/>
                <w:sz w:val="24"/>
                <w:szCs w:val="24"/>
                <w:highlight w:val="none"/>
                <w:lang w:val="en-US" w:eastAsia="zh-CN"/>
                <w14:textFill>
                  <w14:solidFill>
                    <w14:schemeClr w14:val="tx1"/>
                  </w14:solidFill>
                </w14:textFill>
              </w:rPr>
              <w:t>及以上</w:t>
            </w:r>
            <w:r>
              <w:rPr>
                <w:rFonts w:hint="eastAsia" w:hAnsi="宋体" w:cs="宋体"/>
                <w:color w:val="000000" w:themeColor="text1"/>
                <w:sz w:val="24"/>
                <w:szCs w:val="24"/>
                <w:highlight w:val="none"/>
                <w14:textFill>
                  <w14:solidFill>
                    <w14:schemeClr w14:val="tx1"/>
                  </w14:solidFill>
                </w14:textFill>
              </w:rPr>
              <w:t>注册建造师资格，且具有有效的安全生产考核合格证，</w:t>
            </w:r>
            <w:r>
              <w:rPr>
                <w:rFonts w:hint="eastAsia" w:hAnsi="宋体" w:cs="宋体"/>
                <w:color w:val="000000" w:themeColor="text1"/>
                <w:sz w:val="24"/>
                <w:szCs w:val="24"/>
                <w:highlight w:val="none"/>
                <w:lang w:val="en-US" w:eastAsia="zh-CN"/>
                <w14:textFill>
                  <w14:solidFill>
                    <w14:schemeClr w14:val="tx1"/>
                  </w14:solidFill>
                </w14:textFill>
              </w:rPr>
              <w:t>并</w:t>
            </w:r>
            <w:r>
              <w:rPr>
                <w:rFonts w:hint="eastAsia" w:hAnsi="宋体" w:cs="宋体"/>
                <w:color w:val="000000" w:themeColor="text1"/>
                <w:sz w:val="24"/>
                <w:szCs w:val="24"/>
                <w:highlight w:val="none"/>
                <w14:textFill>
                  <w14:solidFill>
                    <w14:schemeClr w14:val="tx1"/>
                  </w14:solidFill>
                </w14:textFill>
              </w:rPr>
              <w:t>未承担其他在施建设工程</w:t>
            </w:r>
            <w:r>
              <w:rPr>
                <w:rFonts w:hint="eastAsia" w:hAnsi="宋体" w:cs="宋体"/>
                <w:color w:val="000000" w:themeColor="text1"/>
                <w:sz w:val="24"/>
                <w:szCs w:val="24"/>
                <w:highlight w:val="none"/>
                <w:lang w:val="en-US" w:eastAsia="zh-CN"/>
                <w14:textFill>
                  <w14:solidFill>
                    <w14:schemeClr w14:val="tx1"/>
                  </w14:solidFill>
                </w14:textFill>
              </w:rPr>
              <w:t>项目</w:t>
            </w:r>
            <w:r>
              <w:rPr>
                <w:rFonts w:hint="eastAsia" w:hAnsi="宋体" w:cs="宋体"/>
                <w:color w:val="000000" w:themeColor="text1"/>
                <w:sz w:val="24"/>
                <w:szCs w:val="24"/>
                <w:highlight w:val="none"/>
                <w14:textFill>
                  <w14:solidFill>
                    <w14:schemeClr w14:val="tx1"/>
                  </w14:solidFill>
                </w14:textFill>
              </w:rPr>
              <w:t>的项目经理。</w:t>
            </w:r>
          </w:p>
          <w:p>
            <w:pPr>
              <w:autoSpaceDE w:val="0"/>
              <w:autoSpaceDN w:val="0"/>
              <w:adjustRightInd w:val="0"/>
              <w:spacing w:line="420" w:lineRule="exact"/>
              <w:jc w:val="left"/>
              <w:outlineLvl w:val="0"/>
              <w:rPr>
                <w:rFonts w:hint="eastAsia" w:hAnsi="宋体" w:cs="仿宋_GB2312"/>
                <w:color w:val="auto"/>
                <w:kern w:val="2"/>
                <w:sz w:val="24"/>
                <w:szCs w:val="24"/>
                <w:highlight w:val="none"/>
                <w:shd w:val="clear" w:color="auto" w:fill="FFFFFF"/>
                <w:lang w:val="en-US" w:eastAsia="zh-CN" w:bidi="ar-SA"/>
              </w:rPr>
            </w:pPr>
            <w:r>
              <w:rPr>
                <w:rFonts w:hint="eastAsia" w:hAnsi="宋体" w:cs="宋体"/>
                <w:color w:val="000000" w:themeColor="text1"/>
                <w:sz w:val="24"/>
                <w:szCs w:val="24"/>
                <w:highlight w:val="none"/>
                <w14:textFill>
                  <w14:solidFill>
                    <w14:schemeClr w14:val="tx1"/>
                  </w14:solidFill>
                </w14:textFill>
              </w:rPr>
              <w:t>3、</w:t>
            </w:r>
            <w:r>
              <w:rPr>
                <w:rFonts w:hint="eastAsia" w:hAnsi="宋体" w:cs="仿宋_GB2312"/>
                <w:color w:val="000000" w:themeColor="text1"/>
                <w:kern w:val="2"/>
                <w:sz w:val="24"/>
                <w:szCs w:val="24"/>
                <w:highlight w:val="none"/>
                <w:shd w:val="clear" w:color="auto" w:fill="FFFFFF"/>
                <w:lang w:val="en-US" w:eastAsia="zh-CN" w:bidi="ar-SA"/>
                <w14:textFill>
                  <w14:solidFill>
                    <w14:schemeClr w14:val="tx1"/>
                  </w14:solidFill>
                </w14:textFill>
              </w:rPr>
              <w:t>不接受投标人被“信用中</w:t>
            </w:r>
            <w:r>
              <w:rPr>
                <w:rFonts w:hint="eastAsia" w:hAnsi="宋体" w:cs="仿宋_GB2312"/>
                <w:color w:val="auto"/>
                <w:kern w:val="2"/>
                <w:sz w:val="24"/>
                <w:szCs w:val="24"/>
                <w:highlight w:val="none"/>
                <w:shd w:val="clear" w:color="auto" w:fill="FFFFFF"/>
                <w:lang w:val="en-US" w:eastAsia="zh-CN" w:bidi="ar-SA"/>
              </w:rPr>
              <w:t>国”和“信用河南”网站信用信息栏列入黑名单，以及被“国家企业信用信息公示系统”列入经营异常名录或严重失信黑名单的投标。</w:t>
            </w:r>
          </w:p>
          <w:p>
            <w:pPr>
              <w:autoSpaceDE w:val="0"/>
              <w:autoSpaceDN w:val="0"/>
              <w:adjustRightInd w:val="0"/>
              <w:spacing w:line="420" w:lineRule="exact"/>
              <w:jc w:val="left"/>
              <w:outlineLvl w:val="0"/>
              <w:rPr>
                <w:rFonts w:hAnsi="宋体" w:cs="宋体"/>
                <w:sz w:val="24"/>
                <w:szCs w:val="24"/>
              </w:rPr>
            </w:pPr>
            <w:r>
              <w:rPr>
                <w:rFonts w:hint="eastAsia" w:hAnsi="宋体" w:cs="宋体"/>
                <w:sz w:val="24"/>
                <w:szCs w:val="24"/>
              </w:rPr>
              <w:t>4、不接受联合体投标。</w:t>
            </w:r>
          </w:p>
          <w:p>
            <w:pPr>
              <w:autoSpaceDE w:val="0"/>
              <w:autoSpaceDN w:val="0"/>
              <w:adjustRightInd w:val="0"/>
              <w:spacing w:line="420" w:lineRule="exact"/>
              <w:jc w:val="left"/>
              <w:outlineLvl w:val="0"/>
              <w:rPr>
                <w:rFonts w:hAnsi="宋体"/>
                <w:b/>
                <w:sz w:val="24"/>
              </w:rPr>
            </w:pPr>
            <w:r>
              <w:rPr>
                <w:rFonts w:hint="eastAsia" w:hAnsi="宋体" w:cs="宋体"/>
                <w:sz w:val="24"/>
                <w:szCs w:val="24"/>
              </w:rPr>
              <w:t>5、本次招标实行资格后审。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1.4.2</w:t>
            </w:r>
          </w:p>
        </w:tc>
        <w:tc>
          <w:tcPr>
            <w:tcW w:w="1854" w:type="dxa"/>
            <w:gridSpan w:val="3"/>
            <w:vAlign w:val="center"/>
          </w:tcPr>
          <w:p>
            <w:pPr>
              <w:autoSpaceDE w:val="0"/>
              <w:autoSpaceDN w:val="0"/>
              <w:adjustRightInd w:val="0"/>
              <w:spacing w:line="320" w:lineRule="exact"/>
              <w:jc w:val="center"/>
              <w:rPr>
                <w:rFonts w:hAnsi="宋体" w:cs="黑体"/>
                <w:sz w:val="24"/>
              </w:rPr>
            </w:pPr>
            <w:r>
              <w:rPr>
                <w:rFonts w:hint="eastAsia" w:hAnsi="宋体" w:cs="仿宋_GB2312"/>
                <w:sz w:val="24"/>
              </w:rPr>
              <w:t>是否接受联合体投标</w:t>
            </w:r>
          </w:p>
        </w:tc>
        <w:tc>
          <w:tcPr>
            <w:tcW w:w="7017" w:type="dxa"/>
            <w:vAlign w:val="center"/>
          </w:tcPr>
          <w:p>
            <w:pPr>
              <w:autoSpaceDE w:val="0"/>
              <w:autoSpaceDN w:val="0"/>
              <w:adjustRightInd w:val="0"/>
              <w:spacing w:line="320" w:lineRule="exact"/>
              <w:rPr>
                <w:rFonts w:hAnsi="宋体" w:cs="黑体"/>
                <w:sz w:val="24"/>
              </w:rPr>
            </w:pPr>
            <w:r>
              <w:rPr>
                <w:rFonts w:hint="eastAsia" w:hAnsi="宋体" w:cs="仿宋_GB2312"/>
                <w:sz w:val="24"/>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w:t>
            </w:r>
            <w:r>
              <w:rPr>
                <w:rFonts w:hint="eastAsia" w:hAnsi="宋体" w:cs="TimesNewRomanPSMT"/>
                <w:sz w:val="24"/>
              </w:rPr>
              <w:t>9</w:t>
            </w:r>
            <w:r>
              <w:rPr>
                <w:rFonts w:hAnsi="宋体" w:cs="TimesNewRomanPSMT"/>
                <w:sz w:val="24"/>
              </w:rPr>
              <w:t>.1</w:t>
            </w:r>
          </w:p>
        </w:tc>
        <w:tc>
          <w:tcPr>
            <w:tcW w:w="1854" w:type="dxa"/>
            <w:gridSpan w:val="3"/>
            <w:vAlign w:val="center"/>
          </w:tcPr>
          <w:p>
            <w:pPr>
              <w:autoSpaceDE w:val="0"/>
              <w:autoSpaceDN w:val="0"/>
              <w:adjustRightInd w:val="0"/>
              <w:spacing w:line="320" w:lineRule="exact"/>
              <w:jc w:val="center"/>
              <w:rPr>
                <w:rFonts w:hAnsi="宋体" w:cs="黑体"/>
                <w:sz w:val="24"/>
              </w:rPr>
            </w:pPr>
            <w:r>
              <w:rPr>
                <w:rFonts w:hint="eastAsia" w:hAnsi="宋体" w:cs="仿宋_GB2312"/>
                <w:sz w:val="24"/>
              </w:rPr>
              <w:t>踏勘现场</w:t>
            </w:r>
          </w:p>
        </w:tc>
        <w:tc>
          <w:tcPr>
            <w:tcW w:w="7017" w:type="dxa"/>
          </w:tcPr>
          <w:p>
            <w:pPr>
              <w:autoSpaceDE w:val="0"/>
              <w:autoSpaceDN w:val="0"/>
              <w:adjustRightInd w:val="0"/>
              <w:spacing w:line="320" w:lineRule="exact"/>
              <w:jc w:val="left"/>
              <w:rPr>
                <w:rFonts w:hAnsi="宋体" w:cs="仿宋_GB2312"/>
                <w:sz w:val="24"/>
              </w:rPr>
            </w:pPr>
            <w:r>
              <w:rPr>
                <w:rFonts w:hint="eastAsia" w:hAnsi="宋体" w:cs="仿宋_GB2312"/>
                <w:sz w:val="24"/>
              </w:rPr>
              <w:t>不组织，由投标人自行勘察现场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w:t>
            </w:r>
            <w:r>
              <w:rPr>
                <w:rFonts w:hint="eastAsia" w:hAnsi="宋体" w:cs="TimesNewRomanPSMT"/>
                <w:sz w:val="24"/>
              </w:rPr>
              <w:t>10</w:t>
            </w:r>
            <w:r>
              <w:rPr>
                <w:rFonts w:hAnsi="宋体" w:cs="TimesNewRomanPSMT"/>
                <w:sz w:val="24"/>
              </w:rPr>
              <w:t>.1</w:t>
            </w:r>
          </w:p>
        </w:tc>
        <w:tc>
          <w:tcPr>
            <w:tcW w:w="1854" w:type="dxa"/>
            <w:gridSpan w:val="3"/>
            <w:vAlign w:val="center"/>
          </w:tcPr>
          <w:p>
            <w:pPr>
              <w:autoSpaceDE w:val="0"/>
              <w:autoSpaceDN w:val="0"/>
              <w:adjustRightInd w:val="0"/>
              <w:spacing w:line="320" w:lineRule="exact"/>
              <w:jc w:val="center"/>
              <w:rPr>
                <w:rFonts w:hint="eastAsia" w:hAnsi="宋体" w:cs="仿宋_GB2312"/>
                <w:sz w:val="24"/>
                <w:szCs w:val="22"/>
              </w:rPr>
            </w:pPr>
            <w:r>
              <w:rPr>
                <w:rFonts w:hint="eastAsia" w:hAnsi="宋体" w:cs="仿宋_GB2312"/>
                <w:sz w:val="24"/>
                <w:szCs w:val="22"/>
              </w:rPr>
              <w:t>投标预备会</w:t>
            </w:r>
          </w:p>
        </w:tc>
        <w:tc>
          <w:tcPr>
            <w:tcW w:w="7017" w:type="dxa"/>
            <w:vAlign w:val="center"/>
          </w:tcPr>
          <w:p>
            <w:pPr>
              <w:autoSpaceDE w:val="0"/>
              <w:autoSpaceDN w:val="0"/>
              <w:adjustRightInd w:val="0"/>
              <w:spacing w:line="320" w:lineRule="exact"/>
              <w:jc w:val="left"/>
              <w:rPr>
                <w:rFonts w:hint="eastAsia" w:hAnsi="宋体" w:cs="仿宋_GB2312"/>
                <w:sz w:val="24"/>
                <w:szCs w:val="22"/>
              </w:rPr>
            </w:pPr>
            <w:r>
              <w:rPr>
                <w:rFonts w:hint="eastAsia" w:hAnsi="宋体" w:cs="仿宋_GB2312"/>
                <w:sz w:val="24"/>
                <w:szCs w:val="22"/>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5" w:hRule="atLeast"/>
          <w:jc w:val="center"/>
        </w:trPr>
        <w:tc>
          <w:tcPr>
            <w:tcW w:w="1003" w:type="dxa"/>
            <w:vAlign w:val="center"/>
          </w:tcPr>
          <w:p>
            <w:pPr>
              <w:autoSpaceDE w:val="0"/>
              <w:autoSpaceDN w:val="0"/>
              <w:adjustRightInd w:val="0"/>
              <w:spacing w:line="420" w:lineRule="exact"/>
              <w:jc w:val="center"/>
              <w:rPr>
                <w:rFonts w:hAnsi="宋体" w:cs="TimesNewRomanPSMT"/>
                <w:sz w:val="24"/>
              </w:rPr>
            </w:pPr>
            <w:r>
              <w:rPr>
                <w:rFonts w:hAnsi="宋体" w:cs="TimesNewRomanPSMT"/>
                <w:sz w:val="24"/>
              </w:rPr>
              <w:t>1</w:t>
            </w:r>
            <w:r>
              <w:rPr>
                <w:rFonts w:hint="eastAsia" w:hAnsi="宋体" w:cs="TimesNewRomanPSMT"/>
                <w:sz w:val="24"/>
              </w:rPr>
              <w:t>.10</w:t>
            </w:r>
            <w:r>
              <w:rPr>
                <w:rFonts w:hAnsi="宋体" w:cs="TimesNewRomanPSMT"/>
                <w:sz w:val="24"/>
              </w:rPr>
              <w:t>.</w:t>
            </w:r>
            <w:r>
              <w:rPr>
                <w:rFonts w:hint="eastAsia" w:hAnsi="宋体" w:cs="TimesNewRomanPSMT"/>
                <w:sz w:val="24"/>
              </w:rPr>
              <w:t>2</w:t>
            </w:r>
          </w:p>
        </w:tc>
        <w:tc>
          <w:tcPr>
            <w:tcW w:w="1854"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投标人提出问题的截止时间</w:t>
            </w:r>
          </w:p>
        </w:tc>
        <w:tc>
          <w:tcPr>
            <w:tcW w:w="7017" w:type="dxa"/>
            <w:vAlign w:val="center"/>
          </w:tcPr>
          <w:p>
            <w:pPr>
              <w:spacing w:line="320" w:lineRule="exact"/>
              <w:rPr>
                <w:rFonts w:hAnsi="宋体"/>
                <w:sz w:val="24"/>
              </w:rPr>
            </w:pPr>
            <w:r>
              <w:rPr>
                <w:rFonts w:hint="eastAsia" w:hAnsi="宋体"/>
                <w:sz w:val="24"/>
              </w:rPr>
              <w:t>投标截止时间10日</w:t>
            </w:r>
            <w:r>
              <w:rPr>
                <w:rFonts w:hAnsi="宋体"/>
                <w:sz w:val="24"/>
              </w:rPr>
              <w:t>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003" w:type="dxa"/>
            <w:vAlign w:val="center"/>
          </w:tcPr>
          <w:p>
            <w:pPr>
              <w:jc w:val="center"/>
              <w:rPr>
                <w:rFonts w:hAnsi="宋体"/>
                <w:sz w:val="24"/>
              </w:rPr>
            </w:pPr>
            <w:r>
              <w:rPr>
                <w:rFonts w:hint="eastAsia" w:hAnsi="宋体"/>
                <w:sz w:val="24"/>
              </w:rPr>
              <w:t>1.10.3</w:t>
            </w:r>
          </w:p>
        </w:tc>
        <w:tc>
          <w:tcPr>
            <w:tcW w:w="1854" w:type="dxa"/>
            <w:gridSpan w:val="3"/>
            <w:vAlign w:val="center"/>
          </w:tcPr>
          <w:p>
            <w:pPr>
              <w:spacing w:line="340" w:lineRule="exact"/>
              <w:jc w:val="center"/>
              <w:rPr>
                <w:rFonts w:hAnsi="宋体"/>
                <w:sz w:val="24"/>
              </w:rPr>
            </w:pPr>
            <w:r>
              <w:rPr>
                <w:rFonts w:hint="eastAsia" w:hAnsi="宋体"/>
                <w:sz w:val="24"/>
              </w:rPr>
              <w:t>招标人澄清的时间</w:t>
            </w:r>
          </w:p>
        </w:tc>
        <w:tc>
          <w:tcPr>
            <w:tcW w:w="7017" w:type="dxa"/>
            <w:vAlign w:val="center"/>
          </w:tcPr>
          <w:p>
            <w:pPr>
              <w:spacing w:line="340" w:lineRule="exact"/>
              <w:rPr>
                <w:rFonts w:hAnsi="宋体"/>
                <w:sz w:val="24"/>
              </w:rPr>
            </w:pPr>
            <w:r>
              <w:rPr>
                <w:rFonts w:hint="eastAsia" w:hAnsi="宋体"/>
                <w:sz w:val="24"/>
              </w:rPr>
              <w:t>投标截止时间15日</w:t>
            </w:r>
            <w:r>
              <w:rPr>
                <w:rFonts w:hAnsi="宋体"/>
                <w:sz w:val="24"/>
              </w:rPr>
              <w:t>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w:t>
            </w:r>
            <w:r>
              <w:rPr>
                <w:rFonts w:hint="eastAsia" w:hAnsi="宋体" w:cs="TimesNewRomanPSMT"/>
                <w:sz w:val="24"/>
              </w:rPr>
              <w:t>11</w:t>
            </w:r>
          </w:p>
        </w:tc>
        <w:tc>
          <w:tcPr>
            <w:tcW w:w="1854" w:type="dxa"/>
            <w:gridSpan w:val="3"/>
            <w:vAlign w:val="center"/>
          </w:tcPr>
          <w:p>
            <w:pPr>
              <w:autoSpaceDE w:val="0"/>
              <w:autoSpaceDN w:val="0"/>
              <w:adjustRightInd w:val="0"/>
              <w:spacing w:line="340" w:lineRule="exact"/>
              <w:jc w:val="center"/>
              <w:rPr>
                <w:rFonts w:hAnsi="宋体" w:cs="黑体"/>
                <w:sz w:val="24"/>
              </w:rPr>
            </w:pPr>
            <w:r>
              <w:rPr>
                <w:rFonts w:hint="eastAsia" w:hAnsi="宋体" w:cs="仿宋_GB2312"/>
                <w:sz w:val="24"/>
              </w:rPr>
              <w:t>分包</w:t>
            </w:r>
          </w:p>
        </w:tc>
        <w:tc>
          <w:tcPr>
            <w:tcW w:w="7017" w:type="dxa"/>
            <w:vAlign w:val="center"/>
          </w:tcPr>
          <w:p>
            <w:pPr>
              <w:autoSpaceDE w:val="0"/>
              <w:autoSpaceDN w:val="0"/>
              <w:adjustRightInd w:val="0"/>
              <w:spacing w:line="340" w:lineRule="exact"/>
              <w:jc w:val="left"/>
              <w:rPr>
                <w:rFonts w:hAnsi="宋体" w:cs="黑体"/>
                <w:sz w:val="24"/>
              </w:rPr>
            </w:pPr>
            <w:r>
              <w:rPr>
                <w:rFonts w:hint="eastAsia" w:hAnsi="宋体" w:cs="仿宋_GB2312"/>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1.1</w:t>
            </w:r>
            <w:r>
              <w:rPr>
                <w:rFonts w:hint="eastAsia" w:hAnsi="宋体" w:cs="TimesNewRomanPSMT"/>
                <w:sz w:val="24"/>
              </w:rPr>
              <w:t>2</w:t>
            </w:r>
          </w:p>
        </w:tc>
        <w:tc>
          <w:tcPr>
            <w:tcW w:w="1854" w:type="dxa"/>
            <w:gridSpan w:val="3"/>
            <w:vAlign w:val="center"/>
          </w:tcPr>
          <w:p>
            <w:pPr>
              <w:autoSpaceDE w:val="0"/>
              <w:autoSpaceDN w:val="0"/>
              <w:adjustRightInd w:val="0"/>
              <w:spacing w:line="340" w:lineRule="exact"/>
              <w:jc w:val="center"/>
              <w:rPr>
                <w:rFonts w:hAnsi="宋体" w:cs="黑体"/>
                <w:sz w:val="24"/>
              </w:rPr>
            </w:pPr>
            <w:r>
              <w:rPr>
                <w:rFonts w:hint="eastAsia" w:hAnsi="宋体" w:cs="仿宋_GB2312"/>
                <w:sz w:val="24"/>
              </w:rPr>
              <w:t>偏离</w:t>
            </w:r>
          </w:p>
        </w:tc>
        <w:tc>
          <w:tcPr>
            <w:tcW w:w="7017" w:type="dxa"/>
            <w:vAlign w:val="center"/>
          </w:tcPr>
          <w:p>
            <w:pPr>
              <w:autoSpaceDE w:val="0"/>
              <w:autoSpaceDN w:val="0"/>
              <w:adjustRightInd w:val="0"/>
              <w:spacing w:line="340" w:lineRule="exact"/>
              <w:jc w:val="left"/>
              <w:rPr>
                <w:rFonts w:hAnsi="宋体" w:cs="黑体"/>
                <w:sz w:val="24"/>
              </w:rPr>
            </w:pPr>
            <w:r>
              <w:rPr>
                <w:rFonts w:hint="eastAsia" w:hAnsi="宋体" w:cs="仿宋_GB2312"/>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9"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 xml:space="preserve">2.1 </w:t>
            </w:r>
          </w:p>
        </w:tc>
        <w:tc>
          <w:tcPr>
            <w:tcW w:w="1854" w:type="dxa"/>
            <w:gridSpan w:val="3"/>
            <w:vAlign w:val="center"/>
          </w:tcPr>
          <w:p>
            <w:pPr>
              <w:autoSpaceDE w:val="0"/>
              <w:autoSpaceDN w:val="0"/>
              <w:adjustRightInd w:val="0"/>
              <w:spacing w:line="340" w:lineRule="exact"/>
              <w:jc w:val="center"/>
              <w:rPr>
                <w:rFonts w:hAnsi="宋体" w:cs="仿宋_GB2312"/>
                <w:sz w:val="24"/>
                <w:szCs w:val="22"/>
              </w:rPr>
            </w:pPr>
            <w:r>
              <w:rPr>
                <w:rFonts w:hint="eastAsia" w:hAnsi="宋体" w:cs="仿宋_GB2312"/>
                <w:sz w:val="24"/>
                <w:szCs w:val="22"/>
              </w:rPr>
              <w:t>招标文件的获取</w:t>
            </w:r>
          </w:p>
        </w:tc>
        <w:tc>
          <w:tcPr>
            <w:tcW w:w="7017" w:type="dxa"/>
          </w:tcPr>
          <w:p>
            <w:pPr>
              <w:autoSpaceDE w:val="0"/>
              <w:autoSpaceDN w:val="0"/>
              <w:adjustRightInd w:val="0"/>
              <w:spacing w:line="340" w:lineRule="exact"/>
              <w:rPr>
                <w:rFonts w:hAnsi="宋体" w:cs="仿宋_GB2312"/>
                <w:sz w:val="24"/>
                <w:szCs w:val="22"/>
              </w:rPr>
            </w:pPr>
            <w:r>
              <w:rPr>
                <w:rFonts w:hint="eastAsia" w:hAnsi="宋体" w:cs="仿宋_GB2312"/>
                <w:sz w:val="24"/>
                <w:szCs w:val="22"/>
              </w:rPr>
              <w:t>招标文件和工程量清单的获取：投标人于投标文件递交截止时间前均可登录《全国公共资源交易平台(河南省▪许昌市)》（</w:t>
            </w:r>
            <w:r>
              <w:fldChar w:fldCharType="begin"/>
            </w:r>
            <w:r>
              <w:instrText xml:space="preserve"> HYPERLINK "http://www.xczbtb.com/" </w:instrText>
            </w:r>
            <w:r>
              <w:fldChar w:fldCharType="separate"/>
            </w:r>
            <w:r>
              <w:rPr>
                <w:rFonts w:hint="eastAsia" w:hAnsi="宋体" w:cs="仿宋_GB2312"/>
                <w:sz w:val="24"/>
                <w:szCs w:val="22"/>
              </w:rPr>
              <w:t>http://www.xcggzy.gov.cn/</w:t>
            </w:r>
            <w:r>
              <w:rPr>
                <w:rFonts w:hint="eastAsia" w:hAnsi="宋体" w:cs="仿宋_GB2312"/>
                <w:sz w:val="24"/>
                <w:szCs w:val="22"/>
              </w:rPr>
              <w:fldChar w:fldCharType="end"/>
            </w:r>
            <w:r>
              <w:rPr>
                <w:rFonts w:hint="eastAsia" w:hAnsi="宋体" w:cs="仿宋_GB2312"/>
                <w:sz w:val="24"/>
                <w:szCs w:val="22"/>
              </w:rPr>
              <w:t>），通过“投标人/供应商登录”后自行下载。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2.1.1</w:t>
            </w:r>
          </w:p>
        </w:tc>
        <w:tc>
          <w:tcPr>
            <w:tcW w:w="1854" w:type="dxa"/>
            <w:gridSpan w:val="3"/>
            <w:vAlign w:val="center"/>
          </w:tcPr>
          <w:p>
            <w:pPr>
              <w:autoSpaceDE w:val="0"/>
              <w:autoSpaceDN w:val="0"/>
              <w:adjustRightInd w:val="0"/>
              <w:spacing w:line="340" w:lineRule="exact"/>
              <w:jc w:val="center"/>
              <w:rPr>
                <w:rFonts w:hAnsi="宋体" w:cs="仿宋_GB2312"/>
                <w:sz w:val="24"/>
              </w:rPr>
            </w:pPr>
            <w:r>
              <w:rPr>
                <w:rFonts w:hint="eastAsia" w:hAnsi="宋体" w:cs="仿宋_GB2312"/>
                <w:sz w:val="24"/>
              </w:rPr>
              <w:t>构成招标文件的其他材料</w:t>
            </w:r>
          </w:p>
        </w:tc>
        <w:tc>
          <w:tcPr>
            <w:tcW w:w="7017" w:type="dxa"/>
            <w:vAlign w:val="center"/>
          </w:tcPr>
          <w:p>
            <w:pPr>
              <w:autoSpaceDE w:val="0"/>
              <w:autoSpaceDN w:val="0"/>
              <w:adjustRightInd w:val="0"/>
              <w:spacing w:line="340" w:lineRule="exact"/>
              <w:rPr>
                <w:rFonts w:hAnsi="宋体" w:cs="仿宋_GB2312"/>
                <w:sz w:val="24"/>
              </w:rPr>
            </w:pPr>
            <w:r>
              <w:rPr>
                <w:rFonts w:hint="eastAsia" w:hAnsi="宋体" w:cs="仿宋_GB2312"/>
                <w:sz w:val="24"/>
              </w:rPr>
              <w:t>经备案的招标文件补充和修改文件（如有）。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2.2.1</w:t>
            </w:r>
          </w:p>
        </w:tc>
        <w:tc>
          <w:tcPr>
            <w:tcW w:w="1854" w:type="dxa"/>
            <w:gridSpan w:val="3"/>
            <w:vAlign w:val="center"/>
          </w:tcPr>
          <w:p>
            <w:pPr>
              <w:autoSpaceDE w:val="0"/>
              <w:autoSpaceDN w:val="0"/>
              <w:adjustRightInd w:val="0"/>
              <w:spacing w:line="340" w:lineRule="exact"/>
              <w:jc w:val="center"/>
              <w:rPr>
                <w:rFonts w:hAnsi="宋体" w:cs="黑体"/>
                <w:sz w:val="24"/>
              </w:rPr>
            </w:pPr>
            <w:r>
              <w:rPr>
                <w:rFonts w:hint="eastAsia" w:hAnsi="宋体" w:cs="仿宋_GB2312"/>
                <w:sz w:val="24"/>
              </w:rPr>
              <w:t>投标人要求澄清招标文件的截止时间</w:t>
            </w:r>
          </w:p>
        </w:tc>
        <w:tc>
          <w:tcPr>
            <w:tcW w:w="7017" w:type="dxa"/>
            <w:vAlign w:val="center"/>
          </w:tcPr>
          <w:p>
            <w:pPr>
              <w:autoSpaceDE w:val="0"/>
              <w:autoSpaceDN w:val="0"/>
              <w:adjustRightInd w:val="0"/>
              <w:spacing w:line="340" w:lineRule="exact"/>
              <w:rPr>
                <w:rFonts w:hAnsi="宋体" w:cs="黑体"/>
                <w:sz w:val="24"/>
              </w:rPr>
            </w:pPr>
            <w:r>
              <w:rPr>
                <w:rFonts w:hint="eastAsia" w:hAnsi="宋体"/>
                <w:bCs/>
                <w:color w:val="000000" w:themeColor="text1"/>
                <w:sz w:val="24"/>
                <w14:textFill>
                  <w14:solidFill>
                    <w14:schemeClr w14:val="tx1"/>
                  </w14:solidFill>
                </w14:textFill>
              </w:rPr>
              <w:t>潜在投标人或者其他利害关系人对招标文件有异议的，应当在投标截止时间10日前提出。招标人应当自收到异议之日起3日内作出答复。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2.2.2</w:t>
            </w:r>
          </w:p>
        </w:tc>
        <w:tc>
          <w:tcPr>
            <w:tcW w:w="1854" w:type="dxa"/>
            <w:gridSpan w:val="3"/>
            <w:vAlign w:val="center"/>
          </w:tcPr>
          <w:p>
            <w:pPr>
              <w:autoSpaceDE w:val="0"/>
              <w:autoSpaceDN w:val="0"/>
              <w:adjustRightInd w:val="0"/>
              <w:spacing w:line="340" w:lineRule="exact"/>
              <w:jc w:val="center"/>
              <w:rPr>
                <w:rFonts w:hAnsi="宋体"/>
                <w:bCs/>
                <w:color w:val="000000" w:themeColor="text1"/>
                <w:sz w:val="24"/>
                <w:szCs w:val="22"/>
                <w14:textFill>
                  <w14:solidFill>
                    <w14:schemeClr w14:val="tx1"/>
                  </w14:solidFill>
                </w14:textFill>
              </w:rPr>
            </w:pPr>
            <w:r>
              <w:rPr>
                <w:rFonts w:hint="eastAsia" w:hAnsi="宋体"/>
                <w:bCs/>
                <w:color w:val="000000" w:themeColor="text1"/>
                <w:sz w:val="24"/>
                <w:szCs w:val="22"/>
                <w14:textFill>
                  <w14:solidFill>
                    <w14:schemeClr w14:val="tx1"/>
                  </w14:solidFill>
                </w14:textFill>
              </w:rPr>
              <w:t>投标截止时间</w:t>
            </w:r>
          </w:p>
        </w:tc>
        <w:tc>
          <w:tcPr>
            <w:tcW w:w="7017" w:type="dxa"/>
            <w:vAlign w:val="center"/>
          </w:tcPr>
          <w:p>
            <w:pPr>
              <w:autoSpaceDE w:val="0"/>
              <w:autoSpaceDN w:val="0"/>
              <w:adjustRightInd w:val="0"/>
              <w:spacing w:line="340" w:lineRule="exact"/>
              <w:jc w:val="both"/>
              <w:rPr>
                <w:rFonts w:hAnsi="宋体"/>
                <w:bCs/>
                <w:color w:val="000000" w:themeColor="text1"/>
                <w:sz w:val="24"/>
                <w:szCs w:val="22"/>
                <w14:textFill>
                  <w14:solidFill>
                    <w14:schemeClr w14:val="tx1"/>
                  </w14:solidFill>
                </w14:textFill>
              </w:rPr>
            </w:pPr>
            <w:r>
              <w:rPr>
                <w:rFonts w:hint="eastAsia" w:hAnsi="宋体"/>
                <w:bCs/>
                <w:sz w:val="24"/>
                <w:szCs w:val="22"/>
              </w:rPr>
              <w:t>201</w:t>
            </w:r>
            <w:r>
              <w:rPr>
                <w:rFonts w:hint="eastAsia" w:hAnsi="宋体"/>
                <w:bCs/>
                <w:sz w:val="24"/>
                <w:szCs w:val="22"/>
                <w:lang w:val="en-US" w:eastAsia="zh-CN"/>
              </w:rPr>
              <w:t>9</w:t>
            </w:r>
            <w:r>
              <w:rPr>
                <w:rFonts w:hint="eastAsia" w:hAnsi="宋体"/>
                <w:bCs/>
                <w:sz w:val="24"/>
                <w:szCs w:val="22"/>
              </w:rPr>
              <w:t>年</w:t>
            </w:r>
            <w:r>
              <w:rPr>
                <w:rFonts w:hint="eastAsia" w:hAnsi="宋体"/>
                <w:bCs/>
                <w:sz w:val="24"/>
                <w:szCs w:val="22"/>
                <w:lang w:val="en-US" w:eastAsia="zh-CN"/>
              </w:rPr>
              <w:t>5</w:t>
            </w:r>
            <w:r>
              <w:rPr>
                <w:rFonts w:hint="eastAsia" w:hAnsi="宋体"/>
                <w:bCs/>
                <w:sz w:val="24"/>
                <w:szCs w:val="22"/>
              </w:rPr>
              <w:t>月</w:t>
            </w:r>
            <w:r>
              <w:rPr>
                <w:rFonts w:hint="eastAsia" w:hAnsi="宋体"/>
                <w:bCs/>
                <w:sz w:val="24"/>
                <w:szCs w:val="22"/>
                <w:lang w:val="en-US" w:eastAsia="zh-CN"/>
              </w:rPr>
              <w:t>29</w:t>
            </w:r>
            <w:r>
              <w:rPr>
                <w:rFonts w:hint="eastAsia" w:hAnsi="宋体"/>
                <w:bCs/>
                <w:sz w:val="24"/>
                <w:szCs w:val="22"/>
              </w:rPr>
              <w:t>日</w:t>
            </w:r>
            <w:r>
              <w:rPr>
                <w:rFonts w:hint="eastAsia" w:hAnsi="宋体"/>
                <w:bCs/>
                <w:sz w:val="24"/>
                <w:szCs w:val="22"/>
                <w:lang w:val="en-US" w:eastAsia="zh-CN"/>
              </w:rPr>
              <w:t>9</w:t>
            </w:r>
            <w:r>
              <w:rPr>
                <w:rFonts w:hint="eastAsia" w:hAnsi="宋体"/>
                <w:bCs/>
                <w:sz w:val="24"/>
                <w:szCs w:val="22"/>
              </w:rPr>
              <w:t>时30分（北京时间）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0"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2.2.3</w:t>
            </w:r>
          </w:p>
        </w:tc>
        <w:tc>
          <w:tcPr>
            <w:tcW w:w="1854" w:type="dxa"/>
            <w:gridSpan w:val="3"/>
            <w:vAlign w:val="center"/>
          </w:tcPr>
          <w:p>
            <w:pPr>
              <w:autoSpaceDE w:val="0"/>
              <w:autoSpaceDN w:val="0"/>
              <w:adjustRightInd w:val="0"/>
              <w:spacing w:line="340" w:lineRule="exact"/>
              <w:jc w:val="center"/>
              <w:rPr>
                <w:rFonts w:hAnsi="宋体" w:cs="黑体"/>
                <w:sz w:val="24"/>
              </w:rPr>
            </w:pPr>
            <w:r>
              <w:rPr>
                <w:rFonts w:hint="eastAsia" w:hAnsi="宋体" w:cs="仿宋_GB2312"/>
                <w:sz w:val="24"/>
              </w:rPr>
              <w:t>投标人确认收到招标文件澄清的时间</w:t>
            </w:r>
          </w:p>
        </w:tc>
        <w:tc>
          <w:tcPr>
            <w:tcW w:w="7017" w:type="dxa"/>
            <w:vAlign w:val="center"/>
          </w:tcPr>
          <w:p>
            <w:pPr>
              <w:autoSpaceDE w:val="0"/>
              <w:autoSpaceDN w:val="0"/>
              <w:adjustRightInd w:val="0"/>
              <w:spacing w:line="340" w:lineRule="exact"/>
              <w:rPr>
                <w:rFonts w:hAnsi="宋体" w:cs="黑体"/>
                <w:sz w:val="24"/>
              </w:rPr>
            </w:pPr>
            <w:r>
              <w:rPr>
                <w:rFonts w:hint="eastAsia" w:hAnsi="宋体" w:cs="黑体"/>
                <w:sz w:val="24"/>
              </w:rPr>
              <w:t>无要求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2.</w:t>
            </w:r>
            <w:r>
              <w:rPr>
                <w:rFonts w:hint="eastAsia" w:hAnsi="宋体" w:cs="TimesNewRomanPSMT"/>
                <w:sz w:val="24"/>
              </w:rPr>
              <w:t>3</w:t>
            </w:r>
            <w:r>
              <w:rPr>
                <w:rFonts w:hAnsi="宋体" w:cs="TimesNewRomanPSMT"/>
                <w:sz w:val="24"/>
              </w:rPr>
              <w:t>.</w:t>
            </w:r>
            <w:r>
              <w:rPr>
                <w:rFonts w:hint="eastAsia" w:hAnsi="宋体" w:cs="TimesNewRomanPSMT"/>
                <w:sz w:val="24"/>
              </w:rPr>
              <w:t>1</w:t>
            </w:r>
          </w:p>
        </w:tc>
        <w:tc>
          <w:tcPr>
            <w:tcW w:w="1854" w:type="dxa"/>
            <w:gridSpan w:val="3"/>
            <w:vAlign w:val="center"/>
          </w:tcPr>
          <w:p>
            <w:pPr>
              <w:autoSpaceDE w:val="0"/>
              <w:autoSpaceDN w:val="0"/>
              <w:adjustRightInd w:val="0"/>
              <w:spacing w:line="340" w:lineRule="exact"/>
              <w:jc w:val="center"/>
              <w:rPr>
                <w:rFonts w:hAnsi="宋体" w:cs="黑体"/>
                <w:sz w:val="24"/>
              </w:rPr>
            </w:pPr>
            <w:r>
              <w:rPr>
                <w:rFonts w:hint="eastAsia" w:hAnsi="宋体" w:cs="仿宋_GB2312"/>
                <w:sz w:val="24"/>
              </w:rPr>
              <w:t>投标人确认收到招标文件修改的时间</w:t>
            </w:r>
          </w:p>
        </w:tc>
        <w:tc>
          <w:tcPr>
            <w:tcW w:w="7017" w:type="dxa"/>
            <w:vAlign w:val="center"/>
          </w:tcPr>
          <w:p>
            <w:pPr>
              <w:autoSpaceDE w:val="0"/>
              <w:autoSpaceDN w:val="0"/>
              <w:adjustRightInd w:val="0"/>
              <w:spacing w:line="340" w:lineRule="exact"/>
              <w:rPr>
                <w:rFonts w:hAnsi="宋体" w:cs="黑体"/>
                <w:sz w:val="24"/>
              </w:rPr>
            </w:pPr>
            <w:r>
              <w:rPr>
                <w:rFonts w:hint="eastAsia" w:hAnsi="宋体" w:cs="黑体"/>
                <w:sz w:val="24"/>
              </w:rPr>
              <w:t>无要求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3.1.1</w:t>
            </w:r>
          </w:p>
        </w:tc>
        <w:tc>
          <w:tcPr>
            <w:tcW w:w="1854" w:type="dxa"/>
            <w:gridSpan w:val="3"/>
            <w:vAlign w:val="center"/>
          </w:tcPr>
          <w:p>
            <w:pPr>
              <w:autoSpaceDE w:val="0"/>
              <w:autoSpaceDN w:val="0"/>
              <w:adjustRightInd w:val="0"/>
              <w:spacing w:line="340" w:lineRule="exact"/>
              <w:jc w:val="center"/>
              <w:rPr>
                <w:rFonts w:hAnsi="宋体" w:cs="黑体"/>
                <w:sz w:val="24"/>
              </w:rPr>
            </w:pPr>
            <w:r>
              <w:rPr>
                <w:rFonts w:hint="eastAsia" w:hAnsi="宋体" w:cs="仿宋_GB2312"/>
                <w:sz w:val="24"/>
              </w:rPr>
              <w:t>构成投标文件的其他材料</w:t>
            </w:r>
          </w:p>
        </w:tc>
        <w:tc>
          <w:tcPr>
            <w:tcW w:w="7017" w:type="dxa"/>
          </w:tcPr>
          <w:p>
            <w:pPr>
              <w:autoSpaceDE w:val="0"/>
              <w:autoSpaceDN w:val="0"/>
              <w:adjustRightInd w:val="0"/>
              <w:spacing w:line="340" w:lineRule="exact"/>
              <w:jc w:val="left"/>
              <w:rPr>
                <w:rFonts w:hAnsi="宋体" w:cs="黑体"/>
                <w:sz w:val="24"/>
              </w:rPr>
            </w:pPr>
            <w:r>
              <w:rPr>
                <w:rFonts w:hint="eastAsia" w:hAnsi="宋体" w:cs="黑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3</w:t>
            </w:r>
            <w:r>
              <w:rPr>
                <w:rFonts w:hint="eastAsia" w:hAnsi="宋体" w:cs="TimesNewRomanPSMT"/>
                <w:sz w:val="24"/>
              </w:rPr>
              <w:t>.3</w:t>
            </w:r>
            <w:r>
              <w:rPr>
                <w:rFonts w:hAnsi="宋体" w:cs="TimesNewRomanPSMT"/>
                <w:sz w:val="24"/>
              </w:rPr>
              <w:t>.</w:t>
            </w:r>
            <w:r>
              <w:rPr>
                <w:rFonts w:hint="eastAsia" w:hAnsi="宋体" w:cs="TimesNewRomanPSMT"/>
                <w:sz w:val="24"/>
              </w:rPr>
              <w:t>1</w:t>
            </w:r>
          </w:p>
        </w:tc>
        <w:tc>
          <w:tcPr>
            <w:tcW w:w="1854" w:type="dxa"/>
            <w:gridSpan w:val="3"/>
            <w:vAlign w:val="center"/>
          </w:tcPr>
          <w:p>
            <w:pPr>
              <w:autoSpaceDE w:val="0"/>
              <w:autoSpaceDN w:val="0"/>
              <w:adjustRightInd w:val="0"/>
              <w:spacing w:line="340" w:lineRule="exact"/>
              <w:jc w:val="center"/>
              <w:rPr>
                <w:rFonts w:hAnsi="宋体" w:cs="黑体"/>
                <w:sz w:val="24"/>
              </w:rPr>
            </w:pPr>
            <w:r>
              <w:rPr>
                <w:rFonts w:hint="eastAsia" w:hAnsi="宋体" w:cs="仿宋_GB2312"/>
                <w:sz w:val="24"/>
              </w:rPr>
              <w:t>投标有效期</w:t>
            </w:r>
          </w:p>
        </w:tc>
        <w:tc>
          <w:tcPr>
            <w:tcW w:w="7017" w:type="dxa"/>
          </w:tcPr>
          <w:p>
            <w:pPr>
              <w:autoSpaceDE w:val="0"/>
              <w:autoSpaceDN w:val="0"/>
              <w:adjustRightInd w:val="0"/>
              <w:spacing w:line="340" w:lineRule="exact"/>
              <w:jc w:val="left"/>
              <w:rPr>
                <w:rFonts w:hAnsi="宋体" w:cs="黑体"/>
                <w:sz w:val="24"/>
              </w:rPr>
            </w:pPr>
            <w:r>
              <w:rPr>
                <w:rFonts w:hint="eastAsia" w:hAnsi="宋体" w:cs="仿宋_GB2312"/>
                <w:sz w:val="24"/>
              </w:rPr>
              <w:t>60日历天（自投标截止之日算起）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1" w:hRule="atLeast"/>
          <w:jc w:val="center"/>
        </w:trPr>
        <w:tc>
          <w:tcPr>
            <w:tcW w:w="1003" w:type="dxa"/>
            <w:vAlign w:val="center"/>
          </w:tcPr>
          <w:p>
            <w:pPr>
              <w:autoSpaceDE w:val="0"/>
              <w:autoSpaceDN w:val="0"/>
              <w:adjustRightInd w:val="0"/>
              <w:spacing w:line="420" w:lineRule="exact"/>
              <w:jc w:val="center"/>
              <w:rPr>
                <w:rFonts w:hAnsi="宋体" w:cs="黑体"/>
                <w:sz w:val="24"/>
              </w:rPr>
            </w:pPr>
            <w:bookmarkStart w:id="2" w:name="_Hlk424659721"/>
            <w:bookmarkStart w:id="3" w:name="OLE_LINK4" w:colFirst="0" w:colLast="2"/>
            <w:bookmarkStart w:id="4" w:name="OLE_LINK3" w:colFirst="0" w:colLast="2"/>
            <w:r>
              <w:rPr>
                <w:rFonts w:hAnsi="宋体" w:cs="TimesNewRomanPSMT"/>
                <w:sz w:val="24"/>
              </w:rPr>
              <w:t>3.4.1</w:t>
            </w:r>
          </w:p>
        </w:tc>
        <w:tc>
          <w:tcPr>
            <w:tcW w:w="1854" w:type="dxa"/>
            <w:gridSpan w:val="3"/>
            <w:vAlign w:val="center"/>
          </w:tcPr>
          <w:p>
            <w:pPr>
              <w:autoSpaceDE w:val="0"/>
              <w:autoSpaceDN w:val="0"/>
              <w:adjustRightInd w:val="0"/>
              <w:spacing w:line="340" w:lineRule="exact"/>
              <w:jc w:val="center"/>
              <w:rPr>
                <w:rFonts w:hAnsi="宋体" w:cs="黑体"/>
                <w:sz w:val="24"/>
              </w:rPr>
            </w:pPr>
            <w:r>
              <w:rPr>
                <w:rFonts w:hint="eastAsia" w:hAnsi="宋体" w:cs="仿宋_GB2312"/>
                <w:sz w:val="24"/>
              </w:rPr>
              <w:t>投标保证金</w:t>
            </w:r>
          </w:p>
        </w:tc>
        <w:tc>
          <w:tcPr>
            <w:tcW w:w="7017" w:type="dxa"/>
            <w:vAlign w:val="center"/>
          </w:tcPr>
          <w:p>
            <w:pPr>
              <w:spacing w:line="360" w:lineRule="auto"/>
              <w:rPr>
                <w:rFonts w:hAnsi="宋体" w:cs="宋体"/>
                <w:sz w:val="24"/>
                <w:szCs w:val="24"/>
              </w:rPr>
            </w:pPr>
            <w:r>
              <w:rPr>
                <w:rFonts w:hint="eastAsia" w:hAnsi="宋体" w:cs="宋体"/>
                <w:sz w:val="24"/>
                <w:szCs w:val="24"/>
              </w:rPr>
              <w:t>见附表一</w:t>
            </w:r>
          </w:p>
        </w:tc>
      </w:tr>
      <w:bookmarkEnd w:id="2"/>
      <w:bookmarkEnd w:id="3"/>
      <w:bookmarkEnd w:id="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jc w:val="center"/>
        </w:trPr>
        <w:tc>
          <w:tcPr>
            <w:tcW w:w="1003" w:type="dxa"/>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3.5.2</w:t>
            </w:r>
          </w:p>
        </w:tc>
        <w:tc>
          <w:tcPr>
            <w:tcW w:w="1854" w:type="dxa"/>
            <w:gridSpan w:val="3"/>
            <w:vAlign w:val="center"/>
          </w:tcPr>
          <w:p>
            <w:pPr>
              <w:jc w:val="center"/>
              <w:rPr>
                <w:sz w:val="24"/>
              </w:rPr>
            </w:pPr>
            <w:r>
              <w:rPr>
                <w:rFonts w:hint="eastAsia"/>
                <w:sz w:val="24"/>
              </w:rPr>
              <w:t>近年财务状况要求</w:t>
            </w:r>
          </w:p>
        </w:tc>
        <w:tc>
          <w:tcPr>
            <w:tcW w:w="7017" w:type="dxa"/>
            <w:vAlign w:val="center"/>
          </w:tcPr>
          <w:p>
            <w:pPr>
              <w:autoSpaceDE w:val="0"/>
              <w:autoSpaceDN w:val="0"/>
              <w:adjustRightInd w:val="0"/>
              <w:spacing w:line="420" w:lineRule="exact"/>
              <w:jc w:val="left"/>
              <w:rPr>
                <w:rFonts w:hAnsi="宋体" w:cs="仿宋_GB2312"/>
                <w:b/>
                <w:szCs w:val="21"/>
              </w:rPr>
            </w:pPr>
            <w:r>
              <w:rPr>
                <w:rFonts w:hint="eastAsia" w:hAnsi="宋体" w:cs="仿宋_GB2312"/>
                <w:sz w:val="24"/>
              </w:rPr>
              <w:t>近年，指2015、2016、2017年。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jc w:val="center"/>
        </w:trPr>
        <w:tc>
          <w:tcPr>
            <w:tcW w:w="1003" w:type="dxa"/>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3.5.3</w:t>
            </w:r>
          </w:p>
        </w:tc>
        <w:tc>
          <w:tcPr>
            <w:tcW w:w="1854" w:type="dxa"/>
            <w:gridSpan w:val="3"/>
            <w:vAlign w:val="center"/>
          </w:tcPr>
          <w:p>
            <w:pPr>
              <w:autoSpaceDE w:val="0"/>
              <w:autoSpaceDN w:val="0"/>
              <w:adjustRightInd w:val="0"/>
              <w:jc w:val="center"/>
              <w:rPr>
                <w:rFonts w:hAnsi="宋体" w:cs="仿宋_GB2312"/>
                <w:sz w:val="24"/>
              </w:rPr>
            </w:pPr>
            <w:r>
              <w:rPr>
                <w:rFonts w:hint="eastAsia" w:hAnsi="宋体" w:cs="仿宋_GB2312"/>
                <w:sz w:val="24"/>
              </w:rPr>
              <w:t>近年完成的</w:t>
            </w:r>
          </w:p>
          <w:p>
            <w:pPr>
              <w:autoSpaceDE w:val="0"/>
              <w:autoSpaceDN w:val="0"/>
              <w:adjustRightInd w:val="0"/>
              <w:jc w:val="center"/>
              <w:rPr>
                <w:rFonts w:hAnsi="宋体" w:cs="仿宋_GB2312"/>
                <w:sz w:val="24"/>
              </w:rPr>
            </w:pPr>
            <w:r>
              <w:rPr>
                <w:rFonts w:hint="eastAsia" w:hAnsi="宋体" w:cs="仿宋_GB2312"/>
                <w:sz w:val="24"/>
              </w:rPr>
              <w:t>类似项目</w:t>
            </w:r>
          </w:p>
        </w:tc>
        <w:tc>
          <w:tcPr>
            <w:tcW w:w="7017" w:type="dxa"/>
            <w:vAlign w:val="center"/>
          </w:tcPr>
          <w:p>
            <w:pPr>
              <w:autoSpaceDE w:val="0"/>
              <w:autoSpaceDN w:val="0"/>
              <w:adjustRightInd w:val="0"/>
              <w:rPr>
                <w:rFonts w:hAnsi="宋体" w:cs="TimesNewRomanPSMT"/>
                <w:sz w:val="24"/>
              </w:rPr>
            </w:pPr>
            <w:r>
              <w:rPr>
                <w:rFonts w:hint="eastAsia" w:hAnsi="宋体" w:cs="TimesNewRomanPSMT"/>
                <w:sz w:val="24"/>
              </w:rPr>
              <w:t>近年，指201</w:t>
            </w:r>
            <w:r>
              <w:rPr>
                <w:rFonts w:hint="eastAsia" w:hAnsi="宋体" w:cs="TimesNewRomanPSMT"/>
                <w:sz w:val="24"/>
                <w:lang w:val="en-US" w:eastAsia="zh-CN"/>
              </w:rPr>
              <w:t>6</w:t>
            </w:r>
            <w:r>
              <w:rPr>
                <w:rFonts w:hint="eastAsia" w:hAnsi="宋体" w:cs="TimesNewRomanPSMT"/>
                <w:sz w:val="24"/>
              </w:rPr>
              <w:t>年1月1日至今。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jc w:val="center"/>
        </w:trPr>
        <w:tc>
          <w:tcPr>
            <w:tcW w:w="1003" w:type="dxa"/>
            <w:vAlign w:val="center"/>
          </w:tcPr>
          <w:p>
            <w:pPr>
              <w:autoSpaceDE w:val="0"/>
              <w:autoSpaceDN w:val="0"/>
              <w:adjustRightInd w:val="0"/>
              <w:jc w:val="center"/>
              <w:rPr>
                <w:rFonts w:hAnsi="宋体" w:cs="仿宋_GB2312"/>
                <w:sz w:val="24"/>
              </w:rPr>
            </w:pPr>
            <w:r>
              <w:rPr>
                <w:rFonts w:hint="eastAsia" w:hAnsi="宋体" w:cs="仿宋_GB2312"/>
                <w:sz w:val="24"/>
              </w:rPr>
              <w:t>3.5.4</w:t>
            </w:r>
          </w:p>
        </w:tc>
        <w:tc>
          <w:tcPr>
            <w:tcW w:w="1854" w:type="dxa"/>
            <w:gridSpan w:val="3"/>
            <w:vAlign w:val="center"/>
          </w:tcPr>
          <w:p>
            <w:pPr>
              <w:autoSpaceDE w:val="0"/>
              <w:autoSpaceDN w:val="0"/>
              <w:adjustRightInd w:val="0"/>
              <w:jc w:val="center"/>
              <w:rPr>
                <w:rFonts w:hAnsi="宋体" w:cs="仿宋_GB2312"/>
                <w:sz w:val="24"/>
              </w:rPr>
            </w:pPr>
            <w:r>
              <w:rPr>
                <w:rFonts w:hint="eastAsia" w:hAnsi="宋体" w:cs="仿宋_GB2312"/>
                <w:sz w:val="24"/>
              </w:rPr>
              <w:t>近年发生的诉讼及仲裁情况的年份要求</w:t>
            </w:r>
          </w:p>
        </w:tc>
        <w:tc>
          <w:tcPr>
            <w:tcW w:w="7017" w:type="dxa"/>
            <w:vAlign w:val="center"/>
          </w:tcPr>
          <w:p>
            <w:pPr>
              <w:autoSpaceDE w:val="0"/>
              <w:autoSpaceDN w:val="0"/>
              <w:adjustRightInd w:val="0"/>
              <w:rPr>
                <w:rFonts w:hAnsi="宋体" w:cs="仿宋_GB2312"/>
                <w:sz w:val="24"/>
              </w:rPr>
            </w:pPr>
            <w:r>
              <w:rPr>
                <w:rFonts w:hint="eastAsia" w:hAnsi="宋体" w:cs="仿宋_GB2312"/>
                <w:sz w:val="24"/>
              </w:rPr>
              <w:t>无要求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003" w:type="dxa"/>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3.6</w:t>
            </w:r>
          </w:p>
        </w:tc>
        <w:tc>
          <w:tcPr>
            <w:tcW w:w="1854" w:type="dxa"/>
            <w:gridSpan w:val="3"/>
            <w:vAlign w:val="center"/>
          </w:tcPr>
          <w:p>
            <w:pPr>
              <w:autoSpaceDE w:val="0"/>
              <w:autoSpaceDN w:val="0"/>
              <w:adjustRightInd w:val="0"/>
              <w:jc w:val="center"/>
              <w:rPr>
                <w:rFonts w:hAnsi="宋体" w:cs="黑体"/>
                <w:sz w:val="24"/>
              </w:rPr>
            </w:pPr>
            <w:r>
              <w:rPr>
                <w:rFonts w:hint="eastAsia" w:hAnsi="宋体" w:cs="仿宋_GB2312"/>
                <w:sz w:val="24"/>
              </w:rPr>
              <w:t>是否允许递交备选投标方案</w:t>
            </w:r>
          </w:p>
        </w:tc>
        <w:tc>
          <w:tcPr>
            <w:tcW w:w="7017" w:type="dxa"/>
            <w:vAlign w:val="center"/>
          </w:tcPr>
          <w:p>
            <w:pPr>
              <w:autoSpaceDE w:val="0"/>
              <w:autoSpaceDN w:val="0"/>
              <w:adjustRightInd w:val="0"/>
              <w:rPr>
                <w:rFonts w:hAnsi="宋体" w:cs="仿宋_GB2312"/>
                <w:sz w:val="24"/>
              </w:rPr>
            </w:pPr>
            <w:r>
              <w:rPr>
                <w:rFonts w:hint="eastAsia" w:hAnsi="宋体" w:cs="仿宋_GB2312"/>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9"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3.7.3</w:t>
            </w:r>
          </w:p>
        </w:tc>
        <w:tc>
          <w:tcPr>
            <w:tcW w:w="1854" w:type="dxa"/>
            <w:gridSpan w:val="3"/>
            <w:vAlign w:val="center"/>
          </w:tcPr>
          <w:p>
            <w:pPr>
              <w:autoSpaceDE w:val="0"/>
              <w:autoSpaceDN w:val="0"/>
              <w:adjustRightInd w:val="0"/>
              <w:spacing w:line="420" w:lineRule="exact"/>
              <w:jc w:val="center"/>
              <w:rPr>
                <w:rFonts w:hint="eastAsia" w:hAnsi="宋体" w:cs="仿宋_GB2312"/>
                <w:sz w:val="24"/>
              </w:rPr>
            </w:pPr>
            <w:r>
              <w:rPr>
                <w:rFonts w:hint="eastAsia" w:hAnsi="宋体" w:cs="仿宋_GB2312"/>
                <w:sz w:val="24"/>
              </w:rPr>
              <w:t>签字或盖章</w:t>
            </w:r>
          </w:p>
          <w:p>
            <w:pPr>
              <w:autoSpaceDE w:val="0"/>
              <w:autoSpaceDN w:val="0"/>
              <w:adjustRightInd w:val="0"/>
              <w:spacing w:line="420" w:lineRule="exact"/>
              <w:jc w:val="center"/>
              <w:rPr>
                <w:rFonts w:hAnsi="宋体" w:cs="黑体"/>
                <w:sz w:val="24"/>
              </w:rPr>
            </w:pPr>
            <w:r>
              <w:rPr>
                <w:rFonts w:hint="eastAsia" w:hAnsi="宋体" w:cs="仿宋_GB2312"/>
                <w:sz w:val="24"/>
              </w:rPr>
              <w:t>要求</w:t>
            </w:r>
          </w:p>
        </w:tc>
        <w:tc>
          <w:tcPr>
            <w:tcW w:w="7017" w:type="dxa"/>
            <w:vAlign w:val="center"/>
          </w:tcPr>
          <w:p>
            <w:pPr>
              <w:autoSpaceDE w:val="0"/>
              <w:autoSpaceDN w:val="0"/>
              <w:adjustRightInd w:val="0"/>
              <w:rPr>
                <w:rFonts w:hAnsi="宋体" w:cs="TimesNewRomanPSMT"/>
                <w:sz w:val="24"/>
              </w:rPr>
            </w:pPr>
            <w:r>
              <w:rPr>
                <w:rFonts w:hint="eastAsia" w:hAnsi="宋体" w:cs="TimesNewRomanPSMT"/>
                <w:sz w:val="24"/>
              </w:rPr>
              <w:t>纸质投标文件：正本按招标文件要求签字盖章（无需逐页签字盖章），副本应与正本保持一致（可为正本的复印件）。正本与副本不一致的，以正本为准。</w:t>
            </w:r>
          </w:p>
          <w:p>
            <w:pPr>
              <w:autoSpaceDE w:val="0"/>
              <w:autoSpaceDN w:val="0"/>
              <w:adjustRightInd w:val="0"/>
              <w:rPr>
                <w:rFonts w:hAnsi="宋体" w:cs="仿宋_GB2312"/>
                <w:sz w:val="24"/>
              </w:rPr>
            </w:pPr>
            <w:r>
              <w:rPr>
                <w:rFonts w:hint="eastAsia" w:hAnsi="宋体" w:cs="TimesNewRomanPSMT"/>
                <w:b/>
                <w:bCs/>
                <w:sz w:val="24"/>
              </w:rPr>
              <w:t>电子投标文件：按招标文件要求加盖</w:t>
            </w:r>
            <w:r>
              <w:rPr>
                <w:rFonts w:hint="eastAsia" w:hAnsi="宋体" w:cs="TimesNewRomanPSMT"/>
                <w:b/>
                <w:bCs/>
                <w:sz w:val="24"/>
                <w:lang w:val="zh-CN"/>
              </w:rPr>
              <w:t>电子印章和法人电子印章</w:t>
            </w:r>
            <w:r>
              <w:rPr>
                <w:rFonts w:hint="eastAsia" w:hAnsi="宋体" w:cs="TimesNewRomanPSMT"/>
                <w:b/>
                <w:bCs/>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3.7.4</w:t>
            </w:r>
          </w:p>
        </w:tc>
        <w:tc>
          <w:tcPr>
            <w:tcW w:w="1854"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投标文件份数</w:t>
            </w:r>
          </w:p>
        </w:tc>
        <w:tc>
          <w:tcPr>
            <w:tcW w:w="7017" w:type="dxa"/>
            <w:vAlign w:val="center"/>
          </w:tcPr>
          <w:p>
            <w:pPr>
              <w:autoSpaceDE w:val="0"/>
              <w:autoSpaceDN w:val="0"/>
              <w:adjustRightInd w:val="0"/>
              <w:spacing w:line="420" w:lineRule="exact"/>
              <w:rPr>
                <w:rFonts w:ascii="新宋体" w:hAnsi="新宋体" w:eastAsia="新宋体"/>
                <w:sz w:val="24"/>
                <w:szCs w:val="22"/>
                <w:lang w:val="zh-CN"/>
              </w:rPr>
            </w:pPr>
            <w:r>
              <w:rPr>
                <w:rFonts w:hint="eastAsia" w:ascii="新宋体" w:hAnsi="新宋体" w:eastAsia="新宋体"/>
                <w:sz w:val="24"/>
                <w:szCs w:val="22"/>
                <w:lang w:val="zh-CN"/>
              </w:rPr>
              <w:t>1、电子投标文件</w:t>
            </w:r>
          </w:p>
          <w:p>
            <w:pPr>
              <w:autoSpaceDE w:val="0"/>
              <w:autoSpaceDN w:val="0"/>
              <w:adjustRightInd w:val="0"/>
              <w:spacing w:line="400" w:lineRule="exact"/>
              <w:rPr>
                <w:rFonts w:ascii="新宋体" w:hAnsi="新宋体" w:eastAsia="新宋体"/>
                <w:sz w:val="24"/>
                <w:szCs w:val="22"/>
                <w:lang w:val="zh-CN"/>
              </w:rPr>
            </w:pPr>
            <w:r>
              <w:rPr>
                <w:rFonts w:hint="eastAsia" w:ascii="新宋体" w:hAnsi="新宋体" w:eastAsia="新宋体"/>
                <w:sz w:val="24"/>
                <w:szCs w:val="22"/>
                <w:lang w:val="zh-CN"/>
              </w:rPr>
              <w:t>（1）成功上传至【全国公共资源交易平台（河南省·许昌市）】公共资源交易系统电子投标文件1份（文件格式为：XX公司XXX项目编号.file）。</w:t>
            </w:r>
          </w:p>
          <w:p>
            <w:pPr>
              <w:autoSpaceDE w:val="0"/>
              <w:autoSpaceDN w:val="0"/>
              <w:adjustRightInd w:val="0"/>
              <w:spacing w:line="400" w:lineRule="exact"/>
              <w:rPr>
                <w:rFonts w:ascii="新宋体" w:hAnsi="新宋体" w:eastAsia="新宋体"/>
                <w:sz w:val="24"/>
                <w:szCs w:val="22"/>
                <w:lang w:val="zh-CN"/>
              </w:rPr>
            </w:pPr>
            <w:r>
              <w:rPr>
                <w:rFonts w:hint="eastAsia" w:ascii="新宋体" w:hAnsi="新宋体" w:eastAsia="新宋体"/>
                <w:sz w:val="24"/>
                <w:szCs w:val="22"/>
                <w:lang w:val="zh-CN"/>
              </w:rPr>
              <w:t>（2）使用电子介质存储的投标文件1份文件格式为：xxx公司XXX（项目编号）.bin）。</w:t>
            </w:r>
          </w:p>
          <w:p>
            <w:pPr>
              <w:autoSpaceDE w:val="0"/>
              <w:autoSpaceDN w:val="0"/>
              <w:adjustRightInd w:val="0"/>
              <w:spacing w:line="400" w:lineRule="exact"/>
              <w:rPr>
                <w:rFonts w:ascii="新宋体" w:hAnsi="新宋体" w:eastAsia="新宋体"/>
                <w:sz w:val="24"/>
                <w:szCs w:val="22"/>
                <w:lang w:val="zh-CN"/>
              </w:rPr>
            </w:pPr>
            <w:r>
              <w:rPr>
                <w:rFonts w:hint="eastAsia" w:ascii="新宋体" w:hAnsi="新宋体" w:eastAsia="新宋体"/>
                <w:sz w:val="24"/>
                <w:szCs w:val="22"/>
                <w:lang w:val="zh-CN"/>
              </w:rPr>
              <w:t>2、纸质投标文件</w:t>
            </w:r>
          </w:p>
          <w:p>
            <w:pPr>
              <w:autoSpaceDE w:val="0"/>
              <w:autoSpaceDN w:val="0"/>
              <w:adjustRightInd w:val="0"/>
              <w:spacing w:line="400" w:lineRule="exact"/>
              <w:rPr>
                <w:rFonts w:ascii="新宋体" w:hAnsi="新宋体" w:eastAsia="新宋体"/>
                <w:sz w:val="24"/>
                <w:szCs w:val="22"/>
                <w:lang w:val="zh-CN"/>
              </w:rPr>
            </w:pPr>
            <w:r>
              <w:rPr>
                <w:rFonts w:hint="eastAsia" w:ascii="新宋体" w:hAnsi="新宋体" w:eastAsia="新宋体"/>
                <w:sz w:val="24"/>
                <w:szCs w:val="22"/>
                <w:lang w:val="zh-CN"/>
              </w:rPr>
              <w:t>商务标：正本1份，副本</w:t>
            </w:r>
            <w:r>
              <w:rPr>
                <w:rFonts w:hint="eastAsia" w:ascii="新宋体" w:hAnsi="新宋体" w:eastAsia="新宋体"/>
                <w:sz w:val="24"/>
                <w:szCs w:val="22"/>
              </w:rPr>
              <w:t>1</w:t>
            </w:r>
            <w:r>
              <w:rPr>
                <w:rFonts w:hint="eastAsia" w:ascii="新宋体" w:hAnsi="新宋体" w:eastAsia="新宋体"/>
                <w:sz w:val="24"/>
                <w:szCs w:val="22"/>
                <w:lang w:val="zh-CN"/>
              </w:rPr>
              <w:t>份；</w:t>
            </w:r>
          </w:p>
          <w:p>
            <w:pPr>
              <w:autoSpaceDE w:val="0"/>
              <w:autoSpaceDN w:val="0"/>
              <w:adjustRightInd w:val="0"/>
              <w:spacing w:line="400" w:lineRule="exact"/>
              <w:rPr>
                <w:rFonts w:ascii="新宋体" w:hAnsi="新宋体" w:eastAsia="新宋体"/>
                <w:sz w:val="24"/>
                <w:szCs w:val="22"/>
                <w:lang w:val="zh-CN"/>
              </w:rPr>
            </w:pPr>
            <w:r>
              <w:rPr>
                <w:rFonts w:hint="eastAsia" w:ascii="新宋体" w:hAnsi="新宋体" w:eastAsia="新宋体"/>
                <w:sz w:val="24"/>
                <w:szCs w:val="22"/>
                <w:lang w:val="zh-CN"/>
              </w:rPr>
              <w:t>综合（信用）标：正本1份，副本</w:t>
            </w:r>
            <w:r>
              <w:rPr>
                <w:rFonts w:hint="eastAsia" w:ascii="新宋体" w:hAnsi="新宋体" w:eastAsia="新宋体"/>
                <w:sz w:val="24"/>
                <w:szCs w:val="22"/>
              </w:rPr>
              <w:t>1</w:t>
            </w:r>
            <w:r>
              <w:rPr>
                <w:rFonts w:hint="eastAsia" w:ascii="新宋体" w:hAnsi="新宋体" w:eastAsia="新宋体"/>
                <w:sz w:val="24"/>
                <w:szCs w:val="22"/>
                <w:lang w:val="zh-CN"/>
              </w:rPr>
              <w:t xml:space="preserve">份； </w:t>
            </w:r>
          </w:p>
          <w:p>
            <w:pPr>
              <w:autoSpaceDE w:val="0"/>
              <w:autoSpaceDN w:val="0"/>
              <w:adjustRightInd w:val="0"/>
              <w:spacing w:line="400" w:lineRule="exact"/>
              <w:rPr>
                <w:rFonts w:ascii="新宋体" w:hAnsi="新宋体" w:eastAsia="新宋体"/>
                <w:sz w:val="24"/>
                <w:szCs w:val="22"/>
                <w:lang w:val="zh-CN"/>
              </w:rPr>
            </w:pPr>
            <w:r>
              <w:rPr>
                <w:rFonts w:hint="eastAsia" w:ascii="新宋体" w:hAnsi="新宋体" w:eastAsia="新宋体"/>
                <w:sz w:val="24"/>
                <w:szCs w:val="22"/>
                <w:lang w:val="zh-CN"/>
              </w:rPr>
              <w:t>技术标：正本1份，副本</w:t>
            </w:r>
            <w:r>
              <w:rPr>
                <w:rFonts w:hint="eastAsia" w:ascii="新宋体" w:hAnsi="新宋体" w:eastAsia="新宋体"/>
                <w:sz w:val="24"/>
                <w:szCs w:val="22"/>
              </w:rPr>
              <w:t>1</w:t>
            </w:r>
            <w:r>
              <w:rPr>
                <w:rFonts w:hint="eastAsia" w:ascii="新宋体" w:hAnsi="新宋体" w:eastAsia="新宋体"/>
                <w:sz w:val="24"/>
                <w:szCs w:val="22"/>
                <w:lang w:val="zh-CN"/>
              </w:rPr>
              <w:t>份。</w:t>
            </w:r>
          </w:p>
          <w:p>
            <w:pPr>
              <w:autoSpaceDE w:val="0"/>
              <w:autoSpaceDN w:val="0"/>
              <w:adjustRightInd w:val="0"/>
              <w:spacing w:line="400" w:lineRule="exact"/>
              <w:rPr>
                <w:rFonts w:ascii="新宋体" w:hAnsi="新宋体" w:eastAsia="新宋体"/>
                <w:sz w:val="24"/>
                <w:szCs w:val="22"/>
              </w:rPr>
            </w:pPr>
            <w:r>
              <w:rPr>
                <w:rFonts w:hint="eastAsia" w:ascii="新宋体" w:hAnsi="新宋体" w:eastAsia="新宋体"/>
                <w:sz w:val="24"/>
                <w:szCs w:val="22"/>
                <w:lang w:val="zh-CN"/>
              </w:rPr>
              <w:t>3、电子投标文件和纸质投标文件的内容、格式、水印码、电子签章应一致。</w:t>
            </w:r>
          </w:p>
          <w:p>
            <w:pPr>
              <w:spacing w:line="460" w:lineRule="exact"/>
              <w:rPr>
                <w:rFonts w:hAnsi="宋体" w:cs="仿宋_GB2312"/>
                <w:sz w:val="24"/>
              </w:rPr>
            </w:pPr>
            <w:r>
              <w:rPr>
                <w:rFonts w:hint="eastAsia" w:ascii="等线" w:hAnsi="等线" w:eastAsia="等线"/>
                <w:b/>
                <w:sz w:val="24"/>
                <w:szCs w:val="24"/>
              </w:rPr>
              <w:t>注:</w:t>
            </w:r>
            <w:r>
              <w:rPr>
                <w:rFonts w:hint="eastAsia" w:hAnsi="宋体"/>
                <w:b/>
                <w:sz w:val="24"/>
                <w:szCs w:val="24"/>
              </w:rPr>
              <w:t>投标人提交的电子投标文件，必须是通过</w:t>
            </w:r>
            <w:r>
              <w:rPr>
                <w:rFonts w:hint="eastAsia" w:ascii="等线" w:hAnsi="等线" w:eastAsia="等线"/>
                <w:b/>
                <w:sz w:val="24"/>
                <w:szCs w:val="24"/>
              </w:rPr>
              <w:t>“</w:t>
            </w:r>
            <w:r>
              <w:rPr>
                <w:rFonts w:hint="eastAsia" w:hAnsi="宋体"/>
                <w:b/>
                <w:color w:val="000000"/>
                <w:sz w:val="24"/>
                <w:szCs w:val="24"/>
              </w:rPr>
              <w:t>许昌投标文件制作系统SEARUNV1.</w:t>
            </w:r>
            <w:r>
              <w:rPr>
                <w:rFonts w:hint="eastAsia" w:hAnsi="宋体"/>
                <w:b/>
                <w:color w:val="000000"/>
                <w:sz w:val="24"/>
                <w:szCs w:val="24"/>
                <w:lang w:val="en-US" w:eastAsia="zh-CN"/>
              </w:rPr>
              <w:t>1</w:t>
            </w:r>
            <w:r>
              <w:rPr>
                <w:rFonts w:hint="eastAsia" w:ascii="等线" w:hAnsi="等线" w:eastAsia="等线"/>
                <w:b/>
                <w:color w:val="000000"/>
                <w:sz w:val="24"/>
                <w:szCs w:val="24"/>
              </w:rPr>
              <w:t>”</w:t>
            </w:r>
            <w:r>
              <w:rPr>
                <w:rFonts w:hint="eastAsia" w:hAnsi="宋体"/>
                <w:b/>
                <w:sz w:val="24"/>
                <w:szCs w:val="24"/>
              </w:rPr>
              <w:t>制作，</w:t>
            </w:r>
            <w:r>
              <w:rPr>
                <w:rFonts w:hint="eastAsia" w:ascii="等线" w:hAnsi="等线" w:eastAsia="等线"/>
                <w:b/>
                <w:sz w:val="24"/>
                <w:szCs w:val="24"/>
              </w:rPr>
              <w:t>并</w:t>
            </w:r>
            <w:r>
              <w:rPr>
                <w:rFonts w:hint="eastAsia" w:hAnsi="宋体"/>
                <w:b/>
                <w:sz w:val="24"/>
                <w:szCs w:val="24"/>
              </w:rPr>
              <w:t>经过签章和加密后生成的电子投标文件。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3.7.5</w:t>
            </w:r>
          </w:p>
        </w:tc>
        <w:tc>
          <w:tcPr>
            <w:tcW w:w="1854"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装订要求</w:t>
            </w:r>
          </w:p>
        </w:tc>
        <w:tc>
          <w:tcPr>
            <w:tcW w:w="7017" w:type="dxa"/>
            <w:vAlign w:val="center"/>
          </w:tcPr>
          <w:p>
            <w:pPr>
              <w:autoSpaceDE w:val="0"/>
              <w:autoSpaceDN w:val="0"/>
              <w:adjustRightInd w:val="0"/>
              <w:spacing w:line="420" w:lineRule="exact"/>
              <w:rPr>
                <w:rFonts w:ascii="新宋体" w:hAnsi="新宋体" w:eastAsia="新宋体"/>
                <w:sz w:val="24"/>
              </w:rPr>
            </w:pPr>
            <w:r>
              <w:rPr>
                <w:rFonts w:hint="eastAsia" w:ascii="新宋体" w:hAnsi="新宋体" w:eastAsia="新宋体"/>
                <w:sz w:val="24"/>
              </w:rPr>
              <w:t>按照投标人须知第3.1项规定的投标文件组成内容，投标文件应按以下要求装订：</w:t>
            </w:r>
          </w:p>
          <w:p>
            <w:pPr>
              <w:autoSpaceDE w:val="0"/>
              <w:autoSpaceDN w:val="0"/>
              <w:adjustRightInd w:val="0"/>
              <w:spacing w:line="420" w:lineRule="exact"/>
              <w:rPr>
                <w:rFonts w:ascii="新宋体" w:hAnsi="新宋体" w:eastAsia="新宋体"/>
                <w:sz w:val="24"/>
              </w:rPr>
            </w:pPr>
            <w:r>
              <w:rPr>
                <w:rFonts w:hint="eastAsia" w:ascii="新宋体" w:hAnsi="新宋体" w:eastAsia="新宋体"/>
                <w:sz w:val="24"/>
              </w:rPr>
              <w:t>共分</w:t>
            </w:r>
            <w:r>
              <w:rPr>
                <w:rFonts w:hint="eastAsia" w:ascii="新宋体" w:hAnsi="新宋体" w:eastAsia="新宋体"/>
                <w:sz w:val="24"/>
                <w:u w:val="single"/>
              </w:rPr>
              <w:t xml:space="preserve"> 三 </w:t>
            </w:r>
            <w:r>
              <w:rPr>
                <w:rFonts w:hint="eastAsia" w:ascii="新宋体" w:hAnsi="新宋体" w:eastAsia="新宋体"/>
                <w:sz w:val="24"/>
              </w:rPr>
              <w:t>种标书，分别为：商务标、技术标和综合（信用）标。</w:t>
            </w:r>
          </w:p>
          <w:p>
            <w:pPr>
              <w:autoSpaceDE w:val="0"/>
              <w:autoSpaceDN w:val="0"/>
              <w:adjustRightInd w:val="0"/>
              <w:spacing w:line="420" w:lineRule="exact"/>
              <w:rPr>
                <w:rFonts w:ascii="新宋体" w:hAnsi="新宋体" w:eastAsia="新宋体"/>
                <w:sz w:val="24"/>
              </w:rPr>
            </w:pPr>
            <w:r>
              <w:rPr>
                <w:rFonts w:hint="eastAsia" w:ascii="新宋体" w:hAnsi="新宋体" w:eastAsia="新宋体"/>
                <w:sz w:val="24"/>
              </w:rPr>
              <w:t>三种标书均采用</w:t>
            </w:r>
            <w:r>
              <w:rPr>
                <w:rFonts w:hint="eastAsia" w:ascii="新宋体" w:hAnsi="新宋体" w:eastAsia="新宋体"/>
                <w:sz w:val="24"/>
                <w:u w:val="single"/>
              </w:rPr>
              <w:t xml:space="preserve"> 胶装 </w:t>
            </w:r>
            <w:r>
              <w:rPr>
                <w:rFonts w:hint="eastAsia" w:ascii="新宋体" w:hAnsi="新宋体" w:eastAsia="新宋体"/>
                <w:sz w:val="24"/>
              </w:rPr>
              <w:t>方式装订，装订应牢固、不易拆散和换页，不得采用活页装订。</w:t>
            </w:r>
          </w:p>
          <w:p>
            <w:pPr>
              <w:autoSpaceDE w:val="0"/>
              <w:autoSpaceDN w:val="0"/>
              <w:adjustRightInd w:val="0"/>
              <w:spacing w:line="420" w:lineRule="exact"/>
              <w:rPr>
                <w:rFonts w:hAnsi="宋体" w:cs="宋体"/>
                <w:sz w:val="24"/>
              </w:rPr>
            </w:pPr>
            <w:r>
              <w:rPr>
                <w:rFonts w:hint="eastAsia" w:hAnsi="宋体" w:cs="宋体"/>
                <w:sz w:val="24"/>
              </w:rPr>
              <w:t>投标文件须印刷书脊，并在书脊上注明正副本字样、项目名称和投标人名称。</w:t>
            </w:r>
          </w:p>
          <w:p>
            <w:pPr>
              <w:autoSpaceDE w:val="0"/>
              <w:autoSpaceDN w:val="0"/>
              <w:adjustRightInd w:val="0"/>
              <w:spacing w:line="420" w:lineRule="exact"/>
              <w:rPr>
                <w:rFonts w:ascii="新宋体" w:hAnsi="新宋体" w:eastAsia="新宋体"/>
                <w:sz w:val="24"/>
              </w:rPr>
            </w:pPr>
            <w:r>
              <w:rPr>
                <w:rFonts w:hint="eastAsia" w:hAnsi="宋体" w:cs="宋体"/>
                <w:sz w:val="24"/>
              </w:rPr>
              <w:t>使用电子介质存储的投标文件单独密封、盖章，并随纸质投标文件一并提交。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26"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4.1.2</w:t>
            </w:r>
          </w:p>
        </w:tc>
        <w:tc>
          <w:tcPr>
            <w:tcW w:w="1854"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封套上写明</w:t>
            </w:r>
          </w:p>
        </w:tc>
        <w:tc>
          <w:tcPr>
            <w:tcW w:w="7017" w:type="dxa"/>
          </w:tcPr>
          <w:p>
            <w:pPr>
              <w:autoSpaceDE w:val="0"/>
              <w:autoSpaceDN w:val="0"/>
              <w:adjustRightInd w:val="0"/>
              <w:spacing w:line="420" w:lineRule="exact"/>
              <w:jc w:val="left"/>
              <w:rPr>
                <w:rFonts w:hAnsi="宋体"/>
                <w:sz w:val="24"/>
              </w:rPr>
            </w:pPr>
            <w:r>
              <w:rPr>
                <w:rFonts w:hint="eastAsia" w:hAnsi="宋体" w:cs="仿宋_GB2312"/>
                <w:sz w:val="24"/>
              </w:rPr>
              <w:t>招标人</w:t>
            </w:r>
            <w:r>
              <w:rPr>
                <w:rFonts w:hint="eastAsia"/>
                <w:sz w:val="24"/>
              </w:rPr>
              <w:t>地址：</w:t>
            </w:r>
          </w:p>
          <w:p>
            <w:pPr>
              <w:rPr>
                <w:rFonts w:ascii="楷体_GB2312" w:hAnsi="楷体_GB2312" w:eastAsia="楷体_GB2312" w:cs="楷体_GB2312"/>
                <w:sz w:val="28"/>
                <w:szCs w:val="28"/>
              </w:rPr>
            </w:pPr>
            <w:r>
              <w:rPr>
                <w:rFonts w:hint="eastAsia"/>
                <w:sz w:val="24"/>
              </w:rPr>
              <w:t>招标人名称：</w:t>
            </w:r>
          </w:p>
          <w:p>
            <w:pPr>
              <w:autoSpaceDE w:val="0"/>
              <w:autoSpaceDN w:val="0"/>
              <w:adjustRightInd w:val="0"/>
              <w:spacing w:line="420" w:lineRule="exact"/>
              <w:jc w:val="left"/>
              <w:rPr>
                <w:rFonts w:hAnsi="宋体"/>
                <w:sz w:val="24"/>
              </w:rPr>
            </w:pPr>
            <w:r>
              <w:rPr>
                <w:rFonts w:hint="eastAsia"/>
                <w:sz w:val="24"/>
              </w:rPr>
              <w:t>项目名称：</w:t>
            </w:r>
          </w:p>
          <w:p>
            <w:pPr>
              <w:spacing w:line="288" w:lineRule="auto"/>
              <w:ind w:left="1200" w:hanging="1200" w:hangingChars="500"/>
              <w:rPr>
                <w:rFonts w:hAnsi="宋体" w:cs="仿宋_GB2312"/>
                <w:sz w:val="24"/>
              </w:rPr>
            </w:pPr>
            <w:r>
              <w:rPr>
                <w:rFonts w:hint="eastAsia" w:hAnsi="宋体" w:cs="仿宋_GB2312"/>
                <w:sz w:val="24"/>
              </w:rPr>
              <w:t>投标人名称：（盖章）</w:t>
            </w:r>
          </w:p>
          <w:p>
            <w:pPr>
              <w:autoSpaceDE w:val="0"/>
              <w:autoSpaceDN w:val="0"/>
              <w:adjustRightInd w:val="0"/>
              <w:spacing w:line="420" w:lineRule="exact"/>
              <w:jc w:val="left"/>
              <w:rPr>
                <w:rFonts w:hAnsi="宋体" w:cs="黑体"/>
                <w:sz w:val="24"/>
              </w:rPr>
            </w:pPr>
            <w:r>
              <w:rPr>
                <w:rFonts w:hint="eastAsia"/>
                <w:sz w:val="24"/>
              </w:rPr>
              <w:t>投标文件</w:t>
            </w:r>
            <w:r>
              <w:rPr>
                <w:rFonts w:hint="eastAsia" w:hAnsi="宋体" w:cs="仿宋_GB2312"/>
                <w:sz w:val="24"/>
              </w:rPr>
              <w:t>在201</w:t>
            </w:r>
            <w:r>
              <w:rPr>
                <w:rFonts w:hint="eastAsia" w:hAnsi="宋体" w:cs="仿宋_GB2312"/>
                <w:sz w:val="24"/>
                <w:lang w:val="en-US" w:eastAsia="zh-CN"/>
              </w:rPr>
              <w:t>9</w:t>
            </w:r>
            <w:r>
              <w:rPr>
                <w:rFonts w:hint="eastAsia" w:hAnsi="宋体" w:cs="仿宋_GB2312"/>
                <w:sz w:val="24"/>
              </w:rPr>
              <w:t>年</w:t>
            </w:r>
            <w:r>
              <w:rPr>
                <w:rFonts w:hint="eastAsia" w:hAnsi="宋体" w:cs="仿宋_GB2312"/>
                <w:sz w:val="24"/>
                <w:lang w:val="en-US" w:eastAsia="zh-CN"/>
              </w:rPr>
              <w:t>5</w:t>
            </w:r>
            <w:r>
              <w:rPr>
                <w:rFonts w:hint="eastAsia" w:hAnsi="宋体" w:cs="仿宋_GB2312"/>
                <w:sz w:val="24"/>
              </w:rPr>
              <w:t>月</w:t>
            </w:r>
            <w:r>
              <w:rPr>
                <w:rFonts w:hint="eastAsia" w:hAnsi="宋体" w:cs="仿宋_GB2312"/>
                <w:sz w:val="24"/>
                <w:lang w:val="en-US" w:eastAsia="zh-CN"/>
              </w:rPr>
              <w:t>29</w:t>
            </w:r>
            <w:r>
              <w:rPr>
                <w:rFonts w:hint="eastAsia" w:hAnsi="宋体" w:cs="仿宋_GB2312"/>
                <w:sz w:val="24"/>
              </w:rPr>
              <w:t>日</w:t>
            </w:r>
            <w:r>
              <w:rPr>
                <w:rFonts w:hint="eastAsia" w:hAnsi="宋体" w:cs="仿宋_GB2312"/>
                <w:sz w:val="24"/>
                <w:lang w:val="en-US" w:eastAsia="zh-CN"/>
              </w:rPr>
              <w:t>9</w:t>
            </w:r>
            <w:r>
              <w:rPr>
                <w:rFonts w:hint="eastAsia" w:hAnsi="宋体" w:cs="仿宋_GB2312"/>
                <w:sz w:val="24"/>
              </w:rPr>
              <w:t>时30分前不得开启。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4.2.2</w:t>
            </w:r>
          </w:p>
        </w:tc>
        <w:tc>
          <w:tcPr>
            <w:tcW w:w="1854"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递交投标文件地点</w:t>
            </w:r>
          </w:p>
        </w:tc>
        <w:tc>
          <w:tcPr>
            <w:tcW w:w="7017" w:type="dxa"/>
            <w:vAlign w:val="center"/>
          </w:tcPr>
          <w:p>
            <w:pPr>
              <w:numPr>
                <w:ilvl w:val="0"/>
                <w:numId w:val="3"/>
              </w:numPr>
              <w:tabs>
                <w:tab w:val="left" w:pos="0"/>
                <w:tab w:val="clear" w:pos="360"/>
              </w:tabs>
              <w:spacing w:line="288" w:lineRule="auto"/>
              <w:ind w:left="0" w:hanging="648"/>
              <w:rPr>
                <w:sz w:val="24"/>
                <w:u w:val="single"/>
              </w:rPr>
            </w:pPr>
            <w:r>
              <w:rPr>
                <w:rFonts w:hint="eastAsia" w:hAnsi="宋体" w:cs="宋体"/>
                <w:sz w:val="24"/>
                <w:szCs w:val="22"/>
              </w:rPr>
              <w:t>许昌市建安区新元大道兴业大厦</w:t>
            </w:r>
            <w:r>
              <w:rPr>
                <w:rFonts w:hint="eastAsia" w:hAnsi="宋体" w:cs="宋体"/>
                <w:color w:val="auto"/>
                <w:sz w:val="24"/>
                <w:szCs w:val="22"/>
              </w:rPr>
              <w:t>4楼</w:t>
            </w:r>
            <w:r>
              <w:rPr>
                <w:rFonts w:hint="eastAsia" w:hAnsi="宋体" w:cs="宋体"/>
                <w:color w:val="auto"/>
                <w:sz w:val="24"/>
                <w:szCs w:val="22"/>
                <w:lang w:val="en-US" w:eastAsia="zh-CN"/>
              </w:rPr>
              <w:t>开标一</w:t>
            </w:r>
            <w:r>
              <w:rPr>
                <w:rFonts w:hint="eastAsia" w:hAnsi="宋体" w:cs="宋体"/>
                <w:color w:val="auto"/>
                <w:sz w:val="24"/>
                <w:szCs w:val="22"/>
              </w:rPr>
              <w:t>室</w:t>
            </w:r>
            <w:r>
              <w:rPr>
                <w:rFonts w:hint="eastAsia" w:hAnsi="宋体" w:cs="宋体"/>
                <w:sz w:val="24"/>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4.2.3</w:t>
            </w:r>
          </w:p>
        </w:tc>
        <w:tc>
          <w:tcPr>
            <w:tcW w:w="1854"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是否退还投标文件</w:t>
            </w:r>
          </w:p>
        </w:tc>
        <w:tc>
          <w:tcPr>
            <w:tcW w:w="7017" w:type="dxa"/>
            <w:vAlign w:val="center"/>
          </w:tcPr>
          <w:p>
            <w:pPr>
              <w:autoSpaceDE w:val="0"/>
              <w:autoSpaceDN w:val="0"/>
              <w:adjustRightInd w:val="0"/>
              <w:spacing w:line="420" w:lineRule="exact"/>
              <w:rPr>
                <w:rFonts w:hAnsi="宋体" w:cs="仿宋_GB2312"/>
                <w:sz w:val="24"/>
              </w:rPr>
            </w:pPr>
            <w:r>
              <w:rPr>
                <w:rFonts w:hint="eastAsia" w:hAnsi="宋体" w:cs="仿宋_GB2312"/>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5.1</w:t>
            </w:r>
          </w:p>
        </w:tc>
        <w:tc>
          <w:tcPr>
            <w:tcW w:w="1854" w:type="dxa"/>
            <w:gridSpan w:val="3"/>
            <w:vAlign w:val="center"/>
          </w:tcPr>
          <w:p>
            <w:pPr>
              <w:autoSpaceDE w:val="0"/>
              <w:autoSpaceDN w:val="0"/>
              <w:adjustRightInd w:val="0"/>
              <w:spacing w:line="420" w:lineRule="exact"/>
              <w:jc w:val="center"/>
              <w:rPr>
                <w:rFonts w:hint="eastAsia" w:hAnsi="宋体" w:cs="仿宋_GB2312"/>
                <w:sz w:val="24"/>
              </w:rPr>
            </w:pPr>
            <w:r>
              <w:rPr>
                <w:rFonts w:hint="eastAsia" w:hAnsi="宋体" w:cs="仿宋_GB2312"/>
                <w:sz w:val="24"/>
              </w:rPr>
              <w:t>开标</w:t>
            </w:r>
          </w:p>
          <w:p>
            <w:pPr>
              <w:autoSpaceDE w:val="0"/>
              <w:autoSpaceDN w:val="0"/>
              <w:adjustRightInd w:val="0"/>
              <w:spacing w:line="420" w:lineRule="exact"/>
              <w:jc w:val="center"/>
              <w:rPr>
                <w:rFonts w:hAnsi="宋体" w:cs="黑体"/>
                <w:sz w:val="24"/>
              </w:rPr>
            </w:pPr>
            <w:r>
              <w:rPr>
                <w:rFonts w:hint="eastAsia" w:hAnsi="宋体" w:cs="仿宋_GB2312"/>
                <w:sz w:val="24"/>
              </w:rPr>
              <w:t>时间和地点</w:t>
            </w:r>
          </w:p>
        </w:tc>
        <w:tc>
          <w:tcPr>
            <w:tcW w:w="7017" w:type="dxa"/>
          </w:tcPr>
          <w:p>
            <w:pPr>
              <w:autoSpaceDE w:val="0"/>
              <w:autoSpaceDN w:val="0"/>
              <w:adjustRightInd w:val="0"/>
              <w:spacing w:line="420" w:lineRule="exact"/>
              <w:jc w:val="left"/>
              <w:rPr>
                <w:rFonts w:hAnsi="宋体" w:cs="仿宋_GB2312"/>
                <w:sz w:val="24"/>
              </w:rPr>
            </w:pPr>
            <w:r>
              <w:rPr>
                <w:rFonts w:hint="eastAsia" w:hAnsi="宋体" w:cs="仿宋_GB2312"/>
                <w:sz w:val="24"/>
              </w:rPr>
              <w:t>开标时间：同投标截止时间</w:t>
            </w:r>
          </w:p>
          <w:p>
            <w:pPr>
              <w:autoSpaceDE w:val="0"/>
              <w:autoSpaceDN w:val="0"/>
              <w:adjustRightInd w:val="0"/>
              <w:spacing w:line="420" w:lineRule="exact"/>
              <w:jc w:val="left"/>
              <w:rPr>
                <w:rFonts w:hAnsi="宋体" w:cs="黑体"/>
                <w:sz w:val="24"/>
              </w:rPr>
            </w:pPr>
            <w:r>
              <w:rPr>
                <w:rFonts w:hint="eastAsia" w:hAnsi="宋体" w:cs="仿宋_GB2312"/>
                <w:sz w:val="24"/>
              </w:rPr>
              <w:t>开标地点：</w:t>
            </w:r>
            <w:r>
              <w:rPr>
                <w:rFonts w:hint="eastAsia" w:hAnsi="宋体" w:cs="仿宋_GB2312"/>
                <w:sz w:val="24"/>
                <w:szCs w:val="22"/>
              </w:rPr>
              <w:t>许昌市建安区新元大道兴业大厦</w:t>
            </w:r>
            <w:r>
              <w:rPr>
                <w:rFonts w:hint="eastAsia" w:hAnsi="宋体" w:cs="仿宋_GB2312"/>
                <w:color w:val="auto"/>
                <w:sz w:val="24"/>
                <w:szCs w:val="22"/>
              </w:rPr>
              <w:t>4楼</w:t>
            </w:r>
            <w:r>
              <w:rPr>
                <w:rFonts w:hint="eastAsia" w:hAnsi="宋体" w:cs="仿宋_GB2312"/>
                <w:color w:val="auto"/>
                <w:sz w:val="24"/>
                <w:szCs w:val="22"/>
                <w:lang w:val="en-US" w:eastAsia="zh-CN"/>
              </w:rPr>
              <w:t>开标一</w:t>
            </w:r>
            <w:r>
              <w:rPr>
                <w:rFonts w:hint="eastAsia" w:hAnsi="宋体" w:cs="仿宋_GB2312"/>
                <w:color w:val="auto"/>
                <w:sz w:val="24"/>
                <w:szCs w:val="22"/>
              </w:rPr>
              <w:t>室</w:t>
            </w:r>
            <w:r>
              <w:rPr>
                <w:rFonts w:hint="eastAsia" w:hAnsi="宋体" w:cs="仿宋_GB2312"/>
                <w:sz w:val="24"/>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 xml:space="preserve">5.2 </w:t>
            </w:r>
          </w:p>
        </w:tc>
        <w:tc>
          <w:tcPr>
            <w:tcW w:w="1854"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开标程序</w:t>
            </w:r>
          </w:p>
        </w:tc>
        <w:tc>
          <w:tcPr>
            <w:tcW w:w="7017" w:type="dxa"/>
          </w:tcPr>
          <w:p>
            <w:pPr>
              <w:autoSpaceDE w:val="0"/>
              <w:autoSpaceDN w:val="0"/>
              <w:adjustRightInd w:val="0"/>
              <w:spacing w:line="420" w:lineRule="exact"/>
              <w:jc w:val="left"/>
              <w:rPr>
                <w:rFonts w:hAnsi="宋体" w:cs="黑体"/>
                <w:sz w:val="24"/>
              </w:rPr>
            </w:pPr>
            <w:r>
              <w:rPr>
                <w:rFonts w:hint="eastAsia" w:hAnsi="宋体" w:cs="仿宋_GB2312"/>
                <w:sz w:val="24"/>
              </w:rPr>
              <w:t>见招标文件第二章投标人须知第5.2条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6.1.</w:t>
            </w:r>
            <w:r>
              <w:rPr>
                <w:rFonts w:hint="eastAsia" w:hAnsi="宋体" w:cs="TimesNewRomanPSMT"/>
                <w:sz w:val="24"/>
              </w:rPr>
              <w:t>1</w:t>
            </w:r>
          </w:p>
        </w:tc>
        <w:tc>
          <w:tcPr>
            <w:tcW w:w="1854"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评标委员会的组建</w:t>
            </w:r>
          </w:p>
        </w:tc>
        <w:tc>
          <w:tcPr>
            <w:tcW w:w="7017" w:type="dxa"/>
            <w:vAlign w:val="center"/>
          </w:tcPr>
          <w:p>
            <w:pPr>
              <w:spacing w:line="288" w:lineRule="auto"/>
              <w:rPr>
                <w:sz w:val="24"/>
              </w:rPr>
            </w:pPr>
            <w:r>
              <w:rPr>
                <w:rFonts w:hint="eastAsia" w:ascii="新宋体" w:hAnsi="新宋体" w:eastAsia="新宋体"/>
                <w:color w:val="000000" w:themeColor="text1"/>
                <w:sz w:val="24"/>
                <w14:textFill>
                  <w14:solidFill>
                    <w14:schemeClr w14:val="tx1"/>
                  </w14:solidFill>
                </w14:textFill>
              </w:rPr>
              <w:t>评标委员会构成：5人，从河南省综合评标专家库中随机抽取4人和招标人代表1人（其中注册造价工程师不少于2人</w:t>
            </w:r>
            <w:r>
              <w:rPr>
                <w:rFonts w:hint="eastAsia" w:ascii="新宋体" w:hAnsi="新宋体" w:eastAsia="新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7.1</w:t>
            </w:r>
          </w:p>
        </w:tc>
        <w:tc>
          <w:tcPr>
            <w:tcW w:w="1854" w:type="dxa"/>
            <w:gridSpan w:val="3"/>
            <w:vAlign w:val="center"/>
          </w:tcPr>
          <w:p>
            <w:pPr>
              <w:autoSpaceDE w:val="0"/>
              <w:autoSpaceDN w:val="0"/>
              <w:adjustRightInd w:val="0"/>
              <w:jc w:val="center"/>
              <w:rPr>
                <w:rFonts w:hAnsi="宋体" w:cs="黑体"/>
                <w:sz w:val="24"/>
              </w:rPr>
            </w:pPr>
            <w:r>
              <w:rPr>
                <w:rFonts w:hint="eastAsia" w:hAnsi="宋体" w:cs="仿宋_GB2312"/>
                <w:sz w:val="24"/>
              </w:rPr>
              <w:t>是否授权评标委员会确定中标人</w:t>
            </w:r>
          </w:p>
        </w:tc>
        <w:tc>
          <w:tcPr>
            <w:tcW w:w="7017" w:type="dxa"/>
            <w:vAlign w:val="center"/>
          </w:tcPr>
          <w:p>
            <w:pPr>
              <w:autoSpaceDE w:val="0"/>
              <w:autoSpaceDN w:val="0"/>
              <w:adjustRightInd w:val="0"/>
              <w:spacing w:line="420" w:lineRule="exact"/>
              <w:rPr>
                <w:rFonts w:hAnsi="宋体" w:cs="黑体"/>
                <w:sz w:val="24"/>
              </w:rPr>
            </w:pPr>
            <w:r>
              <w:rPr>
                <w:rFonts w:hint="eastAsia" w:hAnsi="宋体" w:cs="仿宋_GB2312"/>
                <w:sz w:val="24"/>
              </w:rPr>
              <w:t>否，推荐的中标候选人数：</w:t>
            </w:r>
            <w:r>
              <w:rPr>
                <w:rFonts w:hint="eastAsia" w:ascii="新宋体" w:hAnsi="新宋体" w:eastAsia="新宋体" w:cs="仿宋_GB2312"/>
                <w:sz w:val="24"/>
              </w:rPr>
              <w:t>1-3名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003" w:type="dxa"/>
            <w:vAlign w:val="center"/>
          </w:tcPr>
          <w:p>
            <w:pPr>
              <w:autoSpaceDE w:val="0"/>
              <w:autoSpaceDN w:val="0"/>
              <w:adjustRightInd w:val="0"/>
              <w:spacing w:line="420" w:lineRule="exact"/>
              <w:jc w:val="center"/>
              <w:rPr>
                <w:rFonts w:hint="eastAsia" w:hAnsi="宋体" w:eastAsia="宋体" w:cs="TimesNewRomanPSMT"/>
                <w:sz w:val="24"/>
                <w:lang w:val="en-US" w:eastAsia="zh-CN"/>
              </w:rPr>
            </w:pPr>
            <w:r>
              <w:rPr>
                <w:rFonts w:hint="eastAsia" w:hAnsi="宋体" w:cs="TimesNewRomanPSMT"/>
                <w:sz w:val="24"/>
                <w:lang w:val="en-US" w:eastAsia="zh-CN"/>
              </w:rPr>
              <w:t>7.4</w:t>
            </w:r>
          </w:p>
        </w:tc>
        <w:tc>
          <w:tcPr>
            <w:tcW w:w="1854" w:type="dxa"/>
            <w:gridSpan w:val="3"/>
            <w:vAlign w:val="center"/>
          </w:tcPr>
          <w:p>
            <w:pPr>
              <w:autoSpaceDE w:val="0"/>
              <w:autoSpaceDN w:val="0"/>
              <w:adjustRightInd w:val="0"/>
              <w:jc w:val="center"/>
              <w:rPr>
                <w:rFonts w:hint="eastAsia" w:hAnsi="宋体" w:eastAsia="宋体" w:cs="仿宋_GB2312"/>
                <w:sz w:val="24"/>
                <w:lang w:val="en-US" w:eastAsia="zh-CN"/>
              </w:rPr>
            </w:pPr>
            <w:r>
              <w:rPr>
                <w:rFonts w:hint="eastAsia" w:hAnsi="宋体" w:cs="仿宋_GB2312"/>
                <w:sz w:val="24"/>
                <w:lang w:val="en-US" w:eastAsia="zh-CN"/>
              </w:rPr>
              <w:t>履约保证金</w:t>
            </w:r>
          </w:p>
        </w:tc>
        <w:tc>
          <w:tcPr>
            <w:tcW w:w="7017" w:type="dxa"/>
            <w:vAlign w:val="center"/>
          </w:tcPr>
          <w:p>
            <w:pPr>
              <w:autoSpaceDE w:val="0"/>
              <w:autoSpaceDN w:val="0"/>
              <w:adjustRightInd w:val="0"/>
              <w:spacing w:line="420" w:lineRule="exact"/>
              <w:rPr>
                <w:rFonts w:hint="eastAsia" w:hAnsi="宋体" w:cs="仿宋_GB2312"/>
                <w:sz w:val="24"/>
              </w:rPr>
            </w:pPr>
            <w:r>
              <w:rPr>
                <w:rFonts w:hint="eastAsia" w:hAnsi="宋体" w:cs="仿宋_GB2312"/>
                <w:sz w:val="24"/>
                <w:szCs w:val="22"/>
              </w:rPr>
              <w:t>不得超过中标合同金额的10%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9874" w:type="dxa"/>
            <w:gridSpan w:val="5"/>
            <w:vAlign w:val="center"/>
          </w:tcPr>
          <w:p>
            <w:pPr>
              <w:autoSpaceDE w:val="0"/>
              <w:autoSpaceDN w:val="0"/>
              <w:adjustRightInd w:val="0"/>
              <w:spacing w:line="420" w:lineRule="exact"/>
              <w:jc w:val="left"/>
              <w:rPr>
                <w:rFonts w:hAnsi="宋体" w:cs="仿宋_GB2312"/>
                <w:sz w:val="24"/>
              </w:rPr>
            </w:pPr>
            <w:r>
              <w:rPr>
                <w:rFonts w:hint="eastAsia" w:hAnsi="宋体" w:cs="TimesNewRomanPSMT"/>
                <w:sz w:val="24"/>
              </w:rPr>
              <w:t>10.需要补充的其他内容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9874" w:type="dxa"/>
            <w:gridSpan w:val="5"/>
            <w:vAlign w:val="center"/>
          </w:tcPr>
          <w:p>
            <w:pPr>
              <w:autoSpaceDE w:val="0"/>
              <w:autoSpaceDN w:val="0"/>
              <w:adjustRightInd w:val="0"/>
              <w:spacing w:line="420" w:lineRule="exact"/>
              <w:jc w:val="left"/>
              <w:rPr>
                <w:rFonts w:hAnsi="宋体" w:cs="TimesNewRomanPSMT"/>
                <w:sz w:val="24"/>
              </w:rPr>
            </w:pPr>
            <w:r>
              <w:rPr>
                <w:rFonts w:hint="eastAsia" w:hAnsi="宋体" w:cs="TimesNewRomanPSMT"/>
                <w:sz w:val="24"/>
              </w:rPr>
              <w:t>10.1词语定义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jc w:val="center"/>
        </w:trPr>
        <w:tc>
          <w:tcPr>
            <w:tcW w:w="1077" w:type="dxa"/>
            <w:gridSpan w:val="2"/>
            <w:vAlign w:val="center"/>
          </w:tcPr>
          <w:p>
            <w:pPr>
              <w:autoSpaceDE w:val="0"/>
              <w:autoSpaceDN w:val="0"/>
              <w:adjustRightInd w:val="0"/>
              <w:spacing w:line="420" w:lineRule="exact"/>
              <w:jc w:val="left"/>
              <w:rPr>
                <w:rFonts w:hAnsi="宋体" w:cs="TimesNewRomanPSMT"/>
                <w:sz w:val="24"/>
              </w:rPr>
            </w:pPr>
            <w:r>
              <w:rPr>
                <w:rFonts w:hint="eastAsia" w:hAnsi="宋体" w:cs="TimesNewRomanPSMT"/>
                <w:sz w:val="24"/>
              </w:rPr>
              <w:t>10.1.1</w:t>
            </w:r>
          </w:p>
        </w:tc>
        <w:tc>
          <w:tcPr>
            <w:tcW w:w="1571" w:type="dxa"/>
            <w:vAlign w:val="center"/>
          </w:tcPr>
          <w:p>
            <w:pPr>
              <w:autoSpaceDE w:val="0"/>
              <w:autoSpaceDN w:val="0"/>
              <w:adjustRightInd w:val="0"/>
              <w:spacing w:line="420" w:lineRule="exact"/>
              <w:jc w:val="center"/>
              <w:rPr>
                <w:rFonts w:hAnsi="宋体" w:cs="TimesNewRomanPSMT"/>
                <w:color w:val="auto"/>
                <w:sz w:val="24"/>
                <w:highlight w:val="yellow"/>
              </w:rPr>
            </w:pPr>
            <w:r>
              <w:rPr>
                <w:rFonts w:hint="eastAsia" w:hAnsi="宋体" w:cs="TimesNewRomanPSMT"/>
                <w:color w:val="auto"/>
                <w:sz w:val="24"/>
                <w:highlight w:val="none"/>
                <w:shd w:val="clear"/>
              </w:rPr>
              <w:t>类似工程</w:t>
            </w:r>
          </w:p>
        </w:tc>
        <w:tc>
          <w:tcPr>
            <w:tcW w:w="7226" w:type="dxa"/>
            <w:gridSpan w:val="2"/>
            <w:vAlign w:val="center"/>
          </w:tcPr>
          <w:p>
            <w:pPr>
              <w:autoSpaceDE w:val="0"/>
              <w:autoSpaceDN w:val="0"/>
              <w:adjustRightInd w:val="0"/>
              <w:spacing w:line="420" w:lineRule="exact"/>
              <w:jc w:val="left"/>
              <w:rPr>
                <w:rFonts w:hint="eastAsia" w:hAnsi="宋体" w:eastAsia="宋体" w:cs="仿宋_GB2312"/>
                <w:color w:val="auto"/>
                <w:sz w:val="24"/>
                <w:highlight w:val="yellow"/>
                <w:lang w:val="en-US" w:eastAsia="zh-CN"/>
              </w:rPr>
            </w:pPr>
            <w:r>
              <w:rPr>
                <w:rFonts w:hint="eastAsia" w:hAnsi="宋体" w:cs="仿宋_GB2312"/>
                <w:color w:val="auto"/>
                <w:sz w:val="24"/>
                <w:szCs w:val="22"/>
                <w:lang w:val="en-US" w:eastAsia="zh-CN"/>
              </w:rPr>
              <w:t>类似市政工程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jc w:val="center"/>
        </w:trPr>
        <w:tc>
          <w:tcPr>
            <w:tcW w:w="9874" w:type="dxa"/>
            <w:gridSpan w:val="5"/>
            <w:vAlign w:val="center"/>
          </w:tcPr>
          <w:p>
            <w:pPr>
              <w:autoSpaceDE w:val="0"/>
              <w:autoSpaceDN w:val="0"/>
              <w:adjustRightInd w:val="0"/>
              <w:spacing w:line="420" w:lineRule="exact"/>
              <w:jc w:val="left"/>
              <w:rPr>
                <w:rFonts w:hAnsi="宋体" w:cs="仿宋_GB2312"/>
                <w:sz w:val="24"/>
              </w:rPr>
            </w:pPr>
            <w:r>
              <w:rPr>
                <w:rFonts w:hint="eastAsia" w:hAnsi="宋体" w:cs="TimesNewRomanPSMT"/>
                <w:sz w:val="24"/>
              </w:rPr>
              <w:t>10.2招标控制价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1003" w:type="dxa"/>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10.2.1</w:t>
            </w:r>
          </w:p>
        </w:tc>
        <w:tc>
          <w:tcPr>
            <w:tcW w:w="1854" w:type="dxa"/>
            <w:gridSpan w:val="3"/>
            <w:vAlign w:val="center"/>
          </w:tcPr>
          <w:p>
            <w:pPr>
              <w:autoSpaceDE w:val="0"/>
              <w:autoSpaceDN w:val="0"/>
              <w:adjustRightInd w:val="0"/>
              <w:spacing w:line="420" w:lineRule="exact"/>
              <w:jc w:val="center"/>
              <w:rPr>
                <w:rFonts w:hAnsi="宋体" w:cs="TimesNewRomanPSMT"/>
                <w:sz w:val="24"/>
              </w:rPr>
            </w:pPr>
            <w:r>
              <w:rPr>
                <w:rFonts w:hint="eastAsia" w:ascii="新宋体" w:hAnsi="新宋体" w:eastAsia="新宋体"/>
                <w:b/>
                <w:sz w:val="24"/>
              </w:rPr>
              <w:t>招标控制价</w:t>
            </w:r>
          </w:p>
        </w:tc>
        <w:tc>
          <w:tcPr>
            <w:tcW w:w="7017" w:type="dxa"/>
            <w:vAlign w:val="center"/>
          </w:tcPr>
          <w:tbl>
            <w:tblPr>
              <w:tblStyle w:val="29"/>
              <w:tblW w:w="708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7085" w:type="dxa"/>
                  <w:vAlign w:val="center"/>
                </w:tcPr>
                <w:p>
                  <w:pPr>
                    <w:spacing w:line="440" w:lineRule="exact"/>
                    <w:jc w:val="left"/>
                    <w:rPr>
                      <w:rFonts w:hAnsi="宋体" w:cs="宋体"/>
                      <w:b/>
                      <w:bCs/>
                      <w:sz w:val="24"/>
                      <w:szCs w:val="24"/>
                    </w:rPr>
                  </w:pPr>
                  <w:r>
                    <w:rPr>
                      <w:rFonts w:hint="eastAsia" w:hAnsi="宋体" w:cs="宋体"/>
                      <w:b/>
                      <w:bCs/>
                      <w:sz w:val="24"/>
                      <w:szCs w:val="24"/>
                    </w:rPr>
                    <w:t>招标控制价：</w:t>
                  </w:r>
                </w:p>
                <w:p>
                  <w:pPr>
                    <w:spacing w:line="440" w:lineRule="exact"/>
                    <w:jc w:val="left"/>
                    <w:rPr>
                      <w:rFonts w:hAnsi="宋体" w:cs="宋体"/>
                      <w:b/>
                      <w:bCs/>
                      <w:sz w:val="24"/>
                      <w:szCs w:val="24"/>
                    </w:rPr>
                  </w:pPr>
                  <w:r>
                    <w:rPr>
                      <w:rFonts w:hint="eastAsia" w:hAnsi="宋体" w:cs="宋体"/>
                      <w:b/>
                      <w:bCs/>
                      <w:sz w:val="24"/>
                      <w:szCs w:val="24"/>
                    </w:rPr>
                    <w:t>大写：</w:t>
                  </w:r>
                  <w:r>
                    <w:rPr>
                      <w:rFonts w:hint="eastAsia" w:hAnsi="宋体" w:cs="宋体"/>
                      <w:b/>
                      <w:bCs/>
                      <w:sz w:val="24"/>
                      <w:szCs w:val="24"/>
                      <w:lang w:val="en-US" w:eastAsia="zh-CN"/>
                    </w:rPr>
                    <w:fldChar w:fldCharType="begin"/>
                  </w:r>
                  <w:r>
                    <w:rPr>
                      <w:rFonts w:hint="eastAsia" w:hAnsi="宋体" w:cs="宋体"/>
                      <w:b/>
                      <w:bCs/>
                      <w:sz w:val="24"/>
                      <w:szCs w:val="24"/>
                      <w:lang w:val="en-US" w:eastAsia="zh-CN"/>
                    </w:rPr>
                    <w:instrText xml:space="preserve"> = 753712 \* CHINESENUM2 \* MERGEFORMAT </w:instrText>
                  </w:r>
                  <w:r>
                    <w:rPr>
                      <w:rFonts w:hint="eastAsia" w:hAnsi="宋体" w:cs="宋体"/>
                      <w:b/>
                      <w:bCs/>
                      <w:sz w:val="24"/>
                      <w:szCs w:val="24"/>
                      <w:lang w:val="en-US" w:eastAsia="zh-CN"/>
                    </w:rPr>
                    <w:fldChar w:fldCharType="separate"/>
                  </w:r>
                  <w:r>
                    <w:rPr>
                      <w:rFonts w:hint="eastAsia" w:hAnsi="宋体" w:cs="宋体"/>
                      <w:b/>
                      <w:bCs/>
                      <w:sz w:val="24"/>
                      <w:szCs w:val="24"/>
                    </w:rPr>
                    <w:t>柒拾伍万叁仟柒佰壹拾贰</w:t>
                  </w:r>
                  <w:r>
                    <w:rPr>
                      <w:rFonts w:hint="eastAsia" w:hAnsi="宋体" w:cs="宋体"/>
                      <w:b/>
                      <w:bCs/>
                      <w:sz w:val="24"/>
                      <w:szCs w:val="24"/>
                      <w:lang w:val="en-US" w:eastAsia="zh-CN"/>
                    </w:rPr>
                    <w:fldChar w:fldCharType="end"/>
                  </w:r>
                  <w:r>
                    <w:rPr>
                      <w:rFonts w:hint="eastAsia" w:hAnsi="宋体" w:cs="宋体"/>
                      <w:b/>
                      <w:bCs/>
                      <w:sz w:val="24"/>
                      <w:szCs w:val="24"/>
                      <w:lang w:val="en-US" w:eastAsia="zh-CN"/>
                    </w:rPr>
                    <w:t>元柒角</w:t>
                  </w:r>
                  <w:r>
                    <w:rPr>
                      <w:rFonts w:hint="eastAsia" w:hAnsi="宋体" w:cs="宋体"/>
                      <w:b/>
                      <w:bCs/>
                      <w:sz w:val="24"/>
                      <w:szCs w:val="24"/>
                    </w:rPr>
                    <w:t>伍</w:t>
                  </w:r>
                  <w:r>
                    <w:rPr>
                      <w:rFonts w:hint="eastAsia" w:hAnsi="宋体" w:cs="宋体"/>
                      <w:b/>
                      <w:bCs/>
                      <w:sz w:val="24"/>
                      <w:szCs w:val="24"/>
                      <w:lang w:val="en-US" w:eastAsia="zh-CN"/>
                    </w:rPr>
                    <w:t>分</w:t>
                  </w:r>
                  <w:r>
                    <w:rPr>
                      <w:rFonts w:hint="eastAsia" w:hAnsi="宋体" w:cs="宋体"/>
                      <w:b/>
                      <w:bCs/>
                      <w:sz w:val="24"/>
                      <w:szCs w:val="24"/>
                    </w:rPr>
                    <w:t>（含规费、税金、安全文明措施费）；</w:t>
                  </w:r>
                </w:p>
                <w:p>
                  <w:pPr>
                    <w:spacing w:line="440" w:lineRule="exact"/>
                    <w:jc w:val="left"/>
                    <w:rPr>
                      <w:rFonts w:hAnsi="宋体" w:cs="宋体"/>
                      <w:b/>
                      <w:bCs/>
                      <w:sz w:val="24"/>
                      <w:szCs w:val="24"/>
                    </w:rPr>
                  </w:pPr>
                  <w:r>
                    <w:rPr>
                      <w:rFonts w:hint="eastAsia" w:hAnsi="宋体" w:cs="宋体"/>
                      <w:b/>
                      <w:bCs/>
                      <w:sz w:val="24"/>
                      <w:szCs w:val="24"/>
                    </w:rPr>
                    <w:t>小写：</w:t>
                  </w:r>
                  <w:r>
                    <w:rPr>
                      <w:rFonts w:hint="eastAsia" w:hAnsi="宋体" w:cs="宋体"/>
                      <w:b/>
                      <w:bCs/>
                      <w:sz w:val="24"/>
                      <w:szCs w:val="24"/>
                      <w:lang w:val="en-US" w:eastAsia="zh-CN"/>
                    </w:rPr>
                    <w:t>753712.75</w:t>
                  </w:r>
                  <w:r>
                    <w:rPr>
                      <w:rFonts w:hint="eastAsia" w:hAnsi="宋体" w:cs="宋体"/>
                      <w:b/>
                      <w:bCs/>
                      <w:sz w:val="24"/>
                      <w:szCs w:val="24"/>
                    </w:rPr>
                    <w:t>元。</w:t>
                  </w:r>
                </w:p>
                <w:p>
                  <w:pPr>
                    <w:spacing w:line="440" w:lineRule="exact"/>
                    <w:jc w:val="left"/>
                    <w:rPr>
                      <w:rFonts w:hAnsi="宋体" w:cs="宋体"/>
                      <w:sz w:val="24"/>
                      <w:szCs w:val="24"/>
                    </w:rPr>
                  </w:pPr>
                  <w:r>
                    <w:rPr>
                      <w:rFonts w:hint="eastAsia" w:hAnsi="宋体" w:cs="宋体"/>
                      <w:sz w:val="24"/>
                      <w:szCs w:val="24"/>
                    </w:rPr>
                    <w:t>国有资金投资的建设工程采用工程量清单方式招标，必须编制招标控制价。招标控制价（招标控制价的总价、以及各单位工程的分部分项工程费、措施项目费、其他项目费、规费和税金）在招标时公布。</w:t>
                  </w:r>
                </w:p>
                <w:p>
                  <w:pPr>
                    <w:spacing w:line="440" w:lineRule="exact"/>
                    <w:jc w:val="left"/>
                    <w:rPr>
                      <w:rFonts w:hAnsi="宋体" w:cs="宋体"/>
                      <w:sz w:val="24"/>
                      <w:szCs w:val="24"/>
                    </w:rPr>
                  </w:pPr>
                  <w:r>
                    <w:rPr>
                      <w:rFonts w:hint="eastAsia" w:hAnsi="宋体" w:cs="宋体"/>
                      <w:sz w:val="24"/>
                      <w:szCs w:val="24"/>
                    </w:rPr>
                    <w:t>招标控制价由招标人依据国家计价规范、《河南省建设工程工程量清单招标控制价管理规定》、河南省现行计价依据的规定编制。</w:t>
                  </w:r>
                </w:p>
                <w:p>
                  <w:pPr>
                    <w:spacing w:line="440" w:lineRule="exact"/>
                    <w:jc w:val="left"/>
                    <w:rPr>
                      <w:rFonts w:hAnsi="宋体" w:cs="宋体"/>
                      <w:sz w:val="24"/>
                      <w:szCs w:val="24"/>
                    </w:rPr>
                  </w:pPr>
                  <w:r>
                    <w:rPr>
                      <w:rFonts w:hint="eastAsia" w:hAnsi="宋体" w:cs="宋体"/>
                      <w:sz w:val="24"/>
                      <w:szCs w:val="24"/>
                    </w:rPr>
                    <w:t>特别说明：</w:t>
                  </w:r>
                </w:p>
                <w:p>
                  <w:pPr>
                    <w:spacing w:line="440" w:lineRule="exact"/>
                    <w:ind w:firstLine="480" w:firstLineChars="200"/>
                    <w:rPr>
                      <w:rFonts w:hAnsi="宋体" w:cs="宋体"/>
                      <w:b/>
                      <w:bCs/>
                      <w:sz w:val="22"/>
                      <w:szCs w:val="22"/>
                    </w:rPr>
                  </w:pPr>
                  <w:r>
                    <w:rPr>
                      <w:rFonts w:hint="eastAsia" w:hAnsi="宋体" w:cs="宋体"/>
                      <w:b/>
                      <w:bCs/>
                      <w:sz w:val="24"/>
                      <w:szCs w:val="24"/>
                    </w:rPr>
                    <w:t>1、凡投标人的投标报价高于招标控制价（不含等于“招标控制价”）的，该投标人的投标文件应予拒绝。</w:t>
                  </w:r>
                </w:p>
                <w:p>
                  <w:pPr>
                    <w:spacing w:line="440" w:lineRule="exact"/>
                    <w:ind w:firstLine="480" w:firstLineChars="200"/>
                    <w:jc w:val="left"/>
                    <w:rPr>
                      <w:rFonts w:hAnsi="宋体" w:cs="宋体"/>
                      <w:sz w:val="24"/>
                      <w:szCs w:val="24"/>
                    </w:rPr>
                  </w:pPr>
                  <w:r>
                    <w:rPr>
                      <w:rFonts w:hint="eastAsia" w:hAnsi="宋体" w:cs="宋体"/>
                      <w:sz w:val="24"/>
                      <w:szCs w:val="24"/>
                    </w:rPr>
                    <w:t>2、投标人对招标控制价有异议时，应在开标5日前，向招投标监督机构和工程造价管理机构投诉。经投诉受理机关复核，误差超过±3%的，原招标控制价无效，责成招标人修改并重新公布。因复核影响开标的，开标时间顺延。</w:t>
                  </w:r>
                </w:p>
                <w:p>
                  <w:pPr>
                    <w:autoSpaceDE w:val="0"/>
                    <w:autoSpaceDN w:val="0"/>
                    <w:adjustRightInd w:val="0"/>
                    <w:spacing w:line="276" w:lineRule="auto"/>
                    <w:ind w:firstLine="480" w:firstLineChars="200"/>
                    <w:rPr>
                      <w:rFonts w:hAnsi="宋体" w:cs="TimesNewRomanPSMT"/>
                      <w:sz w:val="24"/>
                    </w:rPr>
                  </w:pPr>
                  <w:r>
                    <w:rPr>
                      <w:rFonts w:hint="eastAsia" w:hAnsi="宋体" w:cs="宋体"/>
                      <w:sz w:val="24"/>
                      <w:szCs w:val="24"/>
                    </w:rPr>
                    <w:t>3、潜在投标人应仔细阅读招标文件、工程量清单和图纸，若出现图纸于工程量清单不符（如漏、错项或工程量误差超过±3%等），请在规定时间内在许昌公共资源交易系统平台上提出，招标人修改工程量清单并重新公布。</w:t>
                  </w:r>
                  <w:r>
                    <w:rPr>
                      <w:rFonts w:hint="eastAsia" w:hAnsi="宋体" w:cs="宋体"/>
                      <w:b/>
                      <w:bCs/>
                      <w:sz w:val="24"/>
                      <w:szCs w:val="24"/>
                    </w:rPr>
                    <w:t>若不提出，则</w:t>
                  </w:r>
                  <w:r>
                    <w:rPr>
                      <w:rFonts w:hint="eastAsia" w:hAnsi="宋体" w:cs="宋体"/>
                      <w:b/>
                      <w:bCs/>
                      <w:sz w:val="24"/>
                      <w:szCs w:val="24"/>
                      <w:lang w:val="en-US" w:eastAsia="zh-CN"/>
                    </w:rPr>
                    <w:t>视</w:t>
                  </w:r>
                  <w:r>
                    <w:rPr>
                      <w:rFonts w:hint="eastAsia" w:hAnsi="宋体" w:cs="宋体"/>
                      <w:b/>
                      <w:bCs/>
                      <w:sz w:val="24"/>
                      <w:szCs w:val="24"/>
                    </w:rPr>
                    <w:t>为投标人对招标人公布的工程量清单无异议，中标后因此造成的工程量的增加，由中标人承担。</w:t>
                  </w:r>
                </w:p>
              </w:tc>
            </w:tr>
          </w:tbl>
          <w:p>
            <w:pPr>
              <w:autoSpaceDE w:val="0"/>
              <w:autoSpaceDN w:val="0"/>
              <w:adjustRightInd w:val="0"/>
              <w:spacing w:line="276" w:lineRule="auto"/>
              <w:ind w:firstLine="480" w:firstLineChars="200"/>
              <w:rPr>
                <w:rFonts w:hAnsi="宋体" w:cs="TimesNewRomanPSMT"/>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4" w:type="dxa"/>
            <w:gridSpan w:val="5"/>
            <w:vAlign w:val="center"/>
          </w:tcPr>
          <w:p>
            <w:pPr>
              <w:spacing w:line="312" w:lineRule="auto"/>
              <w:rPr>
                <w:sz w:val="24"/>
              </w:rPr>
            </w:pPr>
            <w:r>
              <w:rPr>
                <w:rFonts w:hint="eastAsia"/>
                <w:sz w:val="24"/>
              </w:rPr>
              <w:t>10.3“</w:t>
            </w:r>
            <w:r>
              <w:rPr>
                <w:rFonts w:hint="eastAsia" w:hAnsi="宋体" w:cs="宋体"/>
                <w:sz w:val="24"/>
              </w:rPr>
              <w:t>暗标</w:t>
            </w:r>
            <w:r>
              <w:rPr>
                <w:rFonts w:ascii="Times New Roman"/>
                <w:sz w:val="24"/>
              </w:rPr>
              <w:t>”</w:t>
            </w:r>
            <w:r>
              <w:rPr>
                <w:rFonts w:hint="eastAsia" w:hAnsi="宋体" w:cs="宋体"/>
                <w:sz w:val="24"/>
              </w:rPr>
              <w:t>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003" w:type="dxa"/>
            <w:vAlign w:val="center"/>
          </w:tcPr>
          <w:p>
            <w:pPr>
              <w:spacing w:line="312" w:lineRule="auto"/>
              <w:rPr>
                <w:sz w:val="24"/>
              </w:rPr>
            </w:pPr>
          </w:p>
        </w:tc>
        <w:tc>
          <w:tcPr>
            <w:tcW w:w="1854" w:type="dxa"/>
            <w:gridSpan w:val="3"/>
            <w:vAlign w:val="center"/>
          </w:tcPr>
          <w:p>
            <w:pPr>
              <w:spacing w:line="260" w:lineRule="exact"/>
              <w:jc w:val="center"/>
              <w:rPr>
                <w:sz w:val="24"/>
              </w:rPr>
            </w:pPr>
            <w:r>
              <w:rPr>
                <w:rFonts w:hint="eastAsia" w:hAnsi="宋体" w:cs="宋体"/>
                <w:sz w:val="24"/>
              </w:rPr>
              <w:t>技术标是否采用</w:t>
            </w:r>
            <w:r>
              <w:rPr>
                <w:rFonts w:ascii="Times New Roman"/>
                <w:sz w:val="24"/>
              </w:rPr>
              <w:t>“</w:t>
            </w:r>
            <w:r>
              <w:rPr>
                <w:rFonts w:hint="eastAsia" w:hAnsi="宋体" w:cs="宋体"/>
                <w:sz w:val="24"/>
              </w:rPr>
              <w:t>暗标</w:t>
            </w:r>
            <w:r>
              <w:rPr>
                <w:rFonts w:ascii="Times New Roman"/>
                <w:sz w:val="24"/>
              </w:rPr>
              <w:t>”</w:t>
            </w:r>
            <w:r>
              <w:rPr>
                <w:rFonts w:hint="eastAsia" w:hAnsi="宋体" w:cs="宋体"/>
                <w:sz w:val="24"/>
              </w:rPr>
              <w:t>评审方式</w:t>
            </w:r>
          </w:p>
        </w:tc>
        <w:tc>
          <w:tcPr>
            <w:tcW w:w="7017" w:type="dxa"/>
            <w:vAlign w:val="center"/>
          </w:tcPr>
          <w:p>
            <w:pPr>
              <w:spacing w:line="312" w:lineRule="auto"/>
              <w:rPr>
                <w:sz w:val="24"/>
              </w:rPr>
            </w:pPr>
            <w:r>
              <w:rPr>
                <w:rFonts w:hint="eastAsia" w:hAnsi="宋体" w:cs="宋体"/>
                <w:sz w:val="24"/>
              </w:rPr>
              <w:t>不采用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4" w:type="dxa"/>
            <w:gridSpan w:val="5"/>
            <w:vAlign w:val="center"/>
          </w:tcPr>
          <w:p>
            <w:pPr>
              <w:spacing w:line="312" w:lineRule="auto"/>
              <w:ind w:left="240" w:hanging="240" w:hangingChars="100"/>
              <w:rPr>
                <w:sz w:val="24"/>
              </w:rPr>
            </w:pPr>
            <w:r>
              <w:rPr>
                <w:rFonts w:hint="eastAsia"/>
                <w:sz w:val="24"/>
              </w:rPr>
              <w:t>10.4</w:t>
            </w:r>
            <w:r>
              <w:rPr>
                <w:rFonts w:hint="eastAsia" w:hAnsi="宋体" w:cs="宋体"/>
                <w:sz w:val="24"/>
              </w:rPr>
              <w:t>投标人代表出席开标会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jc w:val="center"/>
        </w:trPr>
        <w:tc>
          <w:tcPr>
            <w:tcW w:w="1003" w:type="dxa"/>
            <w:vAlign w:val="center"/>
          </w:tcPr>
          <w:p>
            <w:pPr>
              <w:spacing w:line="312" w:lineRule="auto"/>
              <w:rPr>
                <w:rFonts w:ascii="新宋体" w:hAnsi="新宋体" w:eastAsia="新宋体"/>
                <w:b/>
                <w:sz w:val="24"/>
              </w:rPr>
            </w:pPr>
          </w:p>
        </w:tc>
        <w:tc>
          <w:tcPr>
            <w:tcW w:w="8871" w:type="dxa"/>
            <w:gridSpan w:val="4"/>
            <w:vAlign w:val="center"/>
          </w:tcPr>
          <w:p>
            <w:pPr>
              <w:spacing w:line="312" w:lineRule="auto"/>
              <w:rPr>
                <w:rFonts w:ascii="新宋体" w:hAnsi="新宋体" w:eastAsia="新宋体"/>
                <w:b/>
                <w:sz w:val="24"/>
              </w:rPr>
            </w:pPr>
            <w:r>
              <w:rPr>
                <w:rFonts w:hint="eastAsia" w:ascii="新宋体" w:hAnsi="新宋体" w:eastAsia="新宋体"/>
                <w:b/>
                <w:sz w:val="24"/>
              </w:rPr>
              <w:t>开标时各投标人的法定代表人或授权委托人持身份证及授权委托书，到开标现场签到，缺席或逾期不到者视为放弃。各投标单位参加会议人数不得多于二人。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4" w:type="dxa"/>
            <w:gridSpan w:val="5"/>
            <w:vAlign w:val="center"/>
          </w:tcPr>
          <w:p>
            <w:pPr>
              <w:rPr>
                <w:sz w:val="24"/>
              </w:rPr>
            </w:pPr>
            <w:r>
              <w:rPr>
                <w:rFonts w:hint="eastAsia"/>
                <w:sz w:val="24"/>
              </w:rPr>
              <w:t>10.5</w:t>
            </w:r>
            <w:r>
              <w:rPr>
                <w:rFonts w:hint="eastAsia" w:hAnsi="宋体" w:cs="宋体"/>
                <w:sz w:val="24"/>
              </w:rPr>
              <w:t>中标公示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1003" w:type="dxa"/>
            <w:vAlign w:val="center"/>
          </w:tcPr>
          <w:p>
            <w:pPr>
              <w:spacing w:line="312" w:lineRule="auto"/>
              <w:rPr>
                <w:sz w:val="24"/>
              </w:rPr>
            </w:pPr>
          </w:p>
        </w:tc>
        <w:tc>
          <w:tcPr>
            <w:tcW w:w="8871" w:type="dxa"/>
            <w:gridSpan w:val="4"/>
            <w:vAlign w:val="center"/>
          </w:tcPr>
          <w:p>
            <w:pPr>
              <w:spacing w:line="440" w:lineRule="exact"/>
              <w:rPr>
                <w:rFonts w:hAnsi="宋体" w:cs="仿宋_GB2312"/>
                <w:sz w:val="24"/>
              </w:rPr>
            </w:pPr>
            <w:r>
              <w:rPr>
                <w:rFonts w:hint="eastAsia" w:hAnsi="宋体" w:cs="仿宋_GB2312"/>
                <w:sz w:val="24"/>
              </w:rPr>
              <w:t>1、在中标通知书发出前，招标人将中标候选人的情况在《全国公共资源交易平台(河南省▪许昌市)》、《河南省电子招标投标公共服务平台》予以公示，公示期不少于3日。</w:t>
            </w:r>
          </w:p>
          <w:p>
            <w:pPr>
              <w:spacing w:line="440" w:lineRule="exact"/>
              <w:rPr>
                <w:rFonts w:ascii="新宋体" w:hAnsi="新宋体" w:eastAsia="新宋体"/>
                <w:b/>
                <w:sz w:val="24"/>
              </w:rPr>
            </w:pPr>
            <w:r>
              <w:rPr>
                <w:rFonts w:hint="eastAsia" w:ascii="新宋体" w:hAnsi="新宋体" w:eastAsia="新宋体"/>
                <w:b/>
                <w:sz w:val="24"/>
              </w:rPr>
              <w:t>2、根据</w:t>
            </w:r>
            <w:r>
              <w:rPr>
                <w:rFonts w:hint="eastAsia" w:hAnsi="宋体" w:cs="仿宋_GB2312"/>
                <w:b/>
                <w:sz w:val="24"/>
              </w:rPr>
              <w:t>《关于在招标投标活动中全面开展行贿犯罪档案查询的通知》（高检会{2015}3号）要求，工程建设交易项目评标结果公示期满前，招标人对所有中标候选人的行贿犯罪档案进行查询，有行贿犯罪档案记录的取消中标资格，并将结果书面告知行政主管部门和公共资源交易中心，依据相关规定作出相应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4" w:type="dxa"/>
            <w:gridSpan w:val="5"/>
            <w:vAlign w:val="center"/>
          </w:tcPr>
          <w:p>
            <w:pPr>
              <w:spacing w:line="312" w:lineRule="auto"/>
              <w:rPr>
                <w:rFonts w:ascii="新宋体" w:hAnsi="新宋体" w:eastAsia="新宋体"/>
                <w:sz w:val="24"/>
              </w:rPr>
            </w:pPr>
            <w:r>
              <w:rPr>
                <w:rFonts w:hint="eastAsia" w:ascii="新宋体" w:hAnsi="新宋体" w:eastAsia="新宋体"/>
                <w:sz w:val="24"/>
              </w:rPr>
              <w:t>10.6 知识产权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03" w:type="dxa"/>
            <w:vAlign w:val="center"/>
          </w:tcPr>
          <w:p>
            <w:pPr>
              <w:spacing w:line="312" w:lineRule="auto"/>
              <w:rPr>
                <w:rFonts w:ascii="新宋体" w:hAnsi="新宋体" w:eastAsia="新宋体"/>
                <w:sz w:val="24"/>
              </w:rPr>
            </w:pPr>
          </w:p>
        </w:tc>
        <w:tc>
          <w:tcPr>
            <w:tcW w:w="8871" w:type="dxa"/>
            <w:gridSpan w:val="4"/>
            <w:vAlign w:val="center"/>
          </w:tcPr>
          <w:p>
            <w:pPr>
              <w:spacing w:line="312" w:lineRule="auto"/>
              <w:rPr>
                <w:rFonts w:ascii="新宋体" w:hAnsi="新宋体" w:eastAsia="新宋体"/>
                <w:sz w:val="24"/>
              </w:rPr>
            </w:pPr>
            <w:r>
              <w:rPr>
                <w:rFonts w:hint="eastAsia" w:ascii="新宋体" w:hAnsi="新宋体" w:eastAsia="新宋体"/>
                <w:sz w:val="24"/>
              </w:rPr>
              <w:t>构成本招标文件各个组成部分的招标文件，未经招标人书面同意，投标人不得擅自复印和用于非本招标项目所需的其他目的。招标人全部或部分使用未中标人投标文件中的技术成果或技术方案时，需征得其书面同意，并不得擅自复印或提供给其他第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4" w:type="dxa"/>
            <w:gridSpan w:val="5"/>
            <w:vAlign w:val="center"/>
          </w:tcPr>
          <w:p>
            <w:pPr>
              <w:spacing w:line="312" w:lineRule="auto"/>
              <w:rPr>
                <w:sz w:val="24"/>
              </w:rPr>
            </w:pPr>
            <w:r>
              <w:rPr>
                <w:rFonts w:hint="eastAsia" w:ascii="新宋体" w:hAnsi="新宋体" w:eastAsia="新宋体"/>
                <w:sz w:val="24"/>
              </w:rPr>
              <w:t>10.7重新招标的其他情形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03" w:type="dxa"/>
            <w:vAlign w:val="center"/>
          </w:tcPr>
          <w:p>
            <w:pPr>
              <w:spacing w:line="312" w:lineRule="auto"/>
              <w:rPr>
                <w:rFonts w:ascii="新宋体" w:hAnsi="新宋体" w:eastAsia="新宋体"/>
                <w:sz w:val="24"/>
              </w:rPr>
            </w:pPr>
          </w:p>
        </w:tc>
        <w:tc>
          <w:tcPr>
            <w:tcW w:w="8871" w:type="dxa"/>
            <w:gridSpan w:val="4"/>
            <w:vAlign w:val="center"/>
          </w:tcPr>
          <w:p>
            <w:pPr>
              <w:spacing w:line="312" w:lineRule="auto"/>
              <w:rPr>
                <w:rFonts w:ascii="新宋体" w:hAnsi="新宋体" w:eastAsia="新宋体"/>
                <w:sz w:val="24"/>
              </w:rPr>
            </w:pPr>
            <w:r>
              <w:rPr>
                <w:rFonts w:hint="eastAsia" w:ascii="新宋体" w:hAnsi="新宋体" w:eastAsia="新宋体"/>
                <w:sz w:val="24"/>
              </w:rPr>
              <w:t>除投标人须知正文第8条规定的情形外，除非已经产生中标候选人，在投标有效期内同意延长投标有效期的投标人少于三个的，招标人应当依法重新招标。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8" w:hRule="atLeast"/>
          <w:jc w:val="center"/>
        </w:trPr>
        <w:tc>
          <w:tcPr>
            <w:tcW w:w="9874" w:type="dxa"/>
            <w:gridSpan w:val="5"/>
            <w:vAlign w:val="center"/>
          </w:tcPr>
          <w:p>
            <w:pPr>
              <w:spacing w:line="312" w:lineRule="auto"/>
              <w:rPr>
                <w:rFonts w:ascii="新宋体" w:hAnsi="新宋体" w:eastAsia="新宋体"/>
                <w:sz w:val="24"/>
              </w:rPr>
            </w:pPr>
            <w:r>
              <w:rPr>
                <w:rFonts w:hint="eastAsia" w:ascii="新宋体" w:hAnsi="新宋体" w:eastAsia="新宋体"/>
                <w:sz w:val="24"/>
              </w:rPr>
              <w:t>10.8 同义词语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1" w:hRule="atLeast"/>
          <w:jc w:val="center"/>
        </w:trPr>
        <w:tc>
          <w:tcPr>
            <w:tcW w:w="1003" w:type="dxa"/>
            <w:vAlign w:val="center"/>
          </w:tcPr>
          <w:p>
            <w:pPr>
              <w:spacing w:line="312" w:lineRule="auto"/>
              <w:rPr>
                <w:sz w:val="24"/>
              </w:rPr>
            </w:pPr>
          </w:p>
        </w:tc>
        <w:tc>
          <w:tcPr>
            <w:tcW w:w="8871" w:type="dxa"/>
            <w:gridSpan w:val="4"/>
            <w:vAlign w:val="center"/>
          </w:tcPr>
          <w:p>
            <w:pPr>
              <w:spacing w:line="360" w:lineRule="auto"/>
              <w:rPr>
                <w:rFonts w:ascii="新宋体" w:hAnsi="新宋体" w:eastAsia="新宋体"/>
                <w:sz w:val="24"/>
              </w:rPr>
            </w:pPr>
            <w:r>
              <w:rPr>
                <w:rFonts w:hint="eastAsia" w:ascii="新宋体" w:hAnsi="新宋体" w:eastAsia="新宋体"/>
                <w:sz w:val="24"/>
              </w:rPr>
              <w:t>构成投标文件组成部分的“通用合同条款”、“专用合同条款”、“技术标准和要求”和“工程量清单”等章节中出现的措辞“发包人”和“承包人”，在招标投标阶段应当分别按“招标人”和“投标人”进行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874" w:type="dxa"/>
            <w:gridSpan w:val="5"/>
            <w:vAlign w:val="center"/>
          </w:tcPr>
          <w:p>
            <w:pPr>
              <w:spacing w:line="360" w:lineRule="auto"/>
              <w:rPr>
                <w:rFonts w:ascii="新宋体" w:hAnsi="新宋体" w:eastAsia="新宋体"/>
                <w:sz w:val="24"/>
              </w:rPr>
            </w:pPr>
            <w:r>
              <w:rPr>
                <w:rFonts w:hint="eastAsia" w:ascii="新宋体" w:hAnsi="新宋体" w:eastAsia="新宋体"/>
                <w:sz w:val="24"/>
              </w:rPr>
              <w:t>10.9监  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0" w:hRule="atLeast"/>
          <w:jc w:val="center"/>
        </w:trPr>
        <w:tc>
          <w:tcPr>
            <w:tcW w:w="1003" w:type="dxa"/>
            <w:vAlign w:val="center"/>
          </w:tcPr>
          <w:p>
            <w:pPr>
              <w:spacing w:line="312" w:lineRule="auto"/>
              <w:rPr>
                <w:sz w:val="24"/>
              </w:rPr>
            </w:pPr>
          </w:p>
        </w:tc>
        <w:tc>
          <w:tcPr>
            <w:tcW w:w="8871" w:type="dxa"/>
            <w:gridSpan w:val="4"/>
            <w:vAlign w:val="center"/>
          </w:tcPr>
          <w:p>
            <w:pPr>
              <w:spacing w:line="360" w:lineRule="auto"/>
              <w:rPr>
                <w:rFonts w:ascii="新宋体" w:hAnsi="新宋体" w:eastAsia="新宋体"/>
                <w:sz w:val="24"/>
              </w:rPr>
            </w:pPr>
            <w:r>
              <w:rPr>
                <w:rFonts w:hint="eastAsia" w:ascii="新宋体" w:hAnsi="新宋体" w:eastAsia="新宋体"/>
                <w:sz w:val="24"/>
              </w:rPr>
              <w:t>本项目的招标投标活动及其相关当事人应当接受有管辖权的建设工程招标投标行政监督部门依法实施的监督。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4" w:type="dxa"/>
            <w:gridSpan w:val="5"/>
            <w:vAlign w:val="center"/>
          </w:tcPr>
          <w:p>
            <w:pPr>
              <w:spacing w:line="312" w:lineRule="auto"/>
              <w:rPr>
                <w:rFonts w:ascii="新宋体" w:hAnsi="新宋体" w:eastAsia="新宋体"/>
                <w:sz w:val="24"/>
              </w:rPr>
            </w:pPr>
            <w:r>
              <w:rPr>
                <w:rFonts w:hint="eastAsia" w:hAnsi="宋体" w:cs="仿宋_GB2312"/>
                <w:sz w:val="24"/>
              </w:rPr>
              <w:t>10.10 解释权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03" w:type="dxa"/>
            <w:vAlign w:val="center"/>
          </w:tcPr>
          <w:p>
            <w:pPr>
              <w:spacing w:line="312" w:lineRule="auto"/>
              <w:rPr>
                <w:sz w:val="24"/>
              </w:rPr>
            </w:pPr>
          </w:p>
        </w:tc>
        <w:tc>
          <w:tcPr>
            <w:tcW w:w="8871" w:type="dxa"/>
            <w:gridSpan w:val="4"/>
            <w:vAlign w:val="center"/>
          </w:tcPr>
          <w:p>
            <w:pPr>
              <w:adjustRightInd w:val="0"/>
              <w:snapToGrid w:val="0"/>
              <w:spacing w:line="420" w:lineRule="exact"/>
              <w:rPr>
                <w:rFonts w:hAnsi="宋体" w:cs="仿宋_GB2312"/>
                <w:sz w:val="24"/>
              </w:rPr>
            </w:pPr>
            <w:r>
              <w:rPr>
                <w:rFonts w:hint="eastAsia" w:hAnsi="宋体" w:cs="仿宋_GB2312"/>
                <w:sz w:val="24"/>
              </w:rPr>
              <w:t>构成本招标文件的各个组成文件应互为解释，互为说明；</w:t>
            </w:r>
          </w:p>
          <w:p>
            <w:pPr>
              <w:adjustRightInd w:val="0"/>
              <w:snapToGrid w:val="0"/>
              <w:spacing w:line="420" w:lineRule="exact"/>
              <w:rPr>
                <w:rFonts w:ascii="新宋体" w:hAnsi="新宋体" w:eastAsia="新宋体"/>
                <w:sz w:val="24"/>
              </w:rPr>
            </w:pPr>
            <w:r>
              <w:rPr>
                <w:rFonts w:hint="eastAsia" w:ascii="新宋体" w:hAnsi="新宋体" w:eastAsia="新宋体"/>
                <w:sz w:val="24"/>
              </w:rPr>
              <w:t>1、如有不明确或不一致，构成合同文件组成内容，以合同文件约定内容为准，且以专用合同条款约定的合同文件优先顺序解释；</w:t>
            </w:r>
          </w:p>
          <w:p>
            <w:pPr>
              <w:adjustRightInd w:val="0"/>
              <w:snapToGrid w:val="0"/>
              <w:spacing w:line="420" w:lineRule="exact"/>
              <w:rPr>
                <w:rFonts w:ascii="新宋体" w:hAnsi="新宋体" w:eastAsia="新宋体"/>
                <w:sz w:val="24"/>
              </w:rPr>
            </w:pPr>
            <w:r>
              <w:rPr>
                <w:rFonts w:hint="eastAsia" w:ascii="新宋体" w:hAnsi="新宋体" w:eastAsia="新宋体"/>
                <w:sz w:val="24"/>
              </w:rPr>
              <w:t>2、除招标文件中有特别规定外，仅适用于招标投标阶段的规定，按招标公告（投标邀请书）、投标人须知、评标办法、投标文件格式的先后顺序解释；</w:t>
            </w:r>
          </w:p>
          <w:p>
            <w:pPr>
              <w:adjustRightInd w:val="0"/>
              <w:snapToGrid w:val="0"/>
              <w:spacing w:line="420" w:lineRule="exact"/>
              <w:rPr>
                <w:rFonts w:ascii="新宋体" w:hAnsi="新宋体" w:eastAsia="新宋体"/>
                <w:sz w:val="24"/>
              </w:rPr>
            </w:pPr>
            <w:r>
              <w:rPr>
                <w:rFonts w:hint="eastAsia" w:ascii="新宋体" w:hAnsi="新宋体" w:eastAsia="新宋体"/>
                <w:sz w:val="24"/>
              </w:rPr>
              <w:t>3、同一组成文件中就同一事项的规定或约定不一致的，以编排顺序在后者为准；</w:t>
            </w:r>
          </w:p>
          <w:p>
            <w:pPr>
              <w:adjustRightInd w:val="0"/>
              <w:snapToGrid w:val="0"/>
              <w:spacing w:line="420" w:lineRule="exact"/>
              <w:rPr>
                <w:rFonts w:ascii="新宋体" w:hAnsi="新宋体" w:eastAsia="新宋体"/>
                <w:sz w:val="24"/>
              </w:rPr>
            </w:pPr>
            <w:r>
              <w:rPr>
                <w:rFonts w:hint="eastAsia" w:ascii="新宋体" w:hAnsi="新宋体" w:eastAsia="新宋体"/>
                <w:sz w:val="24"/>
              </w:rPr>
              <w:t>4、同一组成文件不同版本之间有不一致的，以形成时间在后者为准。</w:t>
            </w:r>
          </w:p>
          <w:p>
            <w:pPr>
              <w:adjustRightInd w:val="0"/>
              <w:snapToGrid w:val="0"/>
              <w:spacing w:line="420" w:lineRule="exact"/>
              <w:rPr>
                <w:rFonts w:ascii="新宋体" w:hAnsi="新宋体" w:eastAsia="新宋体"/>
                <w:sz w:val="24"/>
              </w:rPr>
            </w:pPr>
            <w:r>
              <w:rPr>
                <w:rFonts w:hint="eastAsia" w:ascii="新宋体" w:hAnsi="新宋体" w:eastAsia="新宋体"/>
                <w:sz w:val="24"/>
              </w:rPr>
              <w:t>按本款前述规定仍不能形成结论的，由招标人负</w:t>
            </w:r>
            <w:r>
              <w:rPr>
                <w:rFonts w:hint="eastAsia" w:hAnsi="宋体" w:cs="仿宋_GB2312"/>
                <w:sz w:val="24"/>
              </w:rPr>
              <w:t>责解释。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1" w:hRule="atLeast"/>
          <w:jc w:val="center"/>
        </w:trPr>
        <w:tc>
          <w:tcPr>
            <w:tcW w:w="9874" w:type="dxa"/>
            <w:gridSpan w:val="5"/>
            <w:vAlign w:val="center"/>
          </w:tcPr>
          <w:p>
            <w:pPr>
              <w:adjustRightInd w:val="0"/>
              <w:snapToGrid w:val="0"/>
              <w:spacing w:line="420" w:lineRule="exact"/>
              <w:rPr>
                <w:rFonts w:hAnsi="宋体" w:cs="仿宋_GB2312"/>
                <w:b/>
                <w:sz w:val="24"/>
              </w:rPr>
            </w:pPr>
            <w:r>
              <w:rPr>
                <w:rFonts w:hint="eastAsia" w:hAnsi="宋体" w:cs="仿宋_GB2312"/>
                <w:b/>
                <w:sz w:val="24"/>
              </w:rPr>
              <w:t>10.11招标人补充的其他内容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4" w:type="dxa"/>
            <w:gridSpan w:val="5"/>
            <w:vAlign w:val="center"/>
          </w:tcPr>
          <w:p>
            <w:pPr>
              <w:adjustRightInd w:val="0"/>
              <w:snapToGrid w:val="0"/>
              <w:spacing w:line="420" w:lineRule="exact"/>
              <w:rPr>
                <w:rFonts w:hAnsi="宋体" w:cs="仿宋_GB2312"/>
                <w:sz w:val="24"/>
              </w:rPr>
            </w:pPr>
            <w:bookmarkStart w:id="5" w:name="_Toc225243456"/>
            <w:bookmarkStart w:id="6" w:name="_Toc283559965"/>
            <w:r>
              <w:rPr>
                <w:rFonts w:hint="eastAsia" w:hAnsi="宋体" w:cs="宋体"/>
                <w:sz w:val="24"/>
              </w:rPr>
              <w:t>10.11.1 投标文件的拒收</w:t>
            </w:r>
            <w:bookmarkEnd w:id="5"/>
            <w:bookmarkEnd w:id="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03" w:type="dxa"/>
            <w:vAlign w:val="center"/>
          </w:tcPr>
          <w:p>
            <w:pPr>
              <w:spacing w:line="312" w:lineRule="auto"/>
              <w:rPr>
                <w:sz w:val="24"/>
              </w:rPr>
            </w:pPr>
          </w:p>
        </w:tc>
        <w:tc>
          <w:tcPr>
            <w:tcW w:w="8871" w:type="dxa"/>
            <w:gridSpan w:val="4"/>
            <w:vAlign w:val="center"/>
          </w:tcPr>
          <w:p>
            <w:pPr>
              <w:adjustRightInd w:val="0"/>
              <w:snapToGrid w:val="0"/>
              <w:spacing w:line="420" w:lineRule="exact"/>
              <w:rPr>
                <w:rFonts w:ascii="新宋体" w:hAnsi="新宋体" w:eastAsia="新宋体"/>
                <w:sz w:val="24"/>
                <w:szCs w:val="22"/>
              </w:rPr>
            </w:pPr>
            <w:r>
              <w:rPr>
                <w:rFonts w:hint="eastAsia" w:ascii="新宋体" w:hAnsi="新宋体" w:eastAsia="新宋体"/>
                <w:sz w:val="24"/>
                <w:szCs w:val="22"/>
              </w:rPr>
              <w:t>1、逾期送达的或者未送达指定地点的纸质投标文件；</w:t>
            </w:r>
          </w:p>
          <w:p>
            <w:pPr>
              <w:adjustRightInd w:val="0"/>
              <w:snapToGrid w:val="0"/>
              <w:spacing w:line="420" w:lineRule="exact"/>
              <w:rPr>
                <w:rFonts w:ascii="新宋体" w:hAnsi="新宋体" w:eastAsia="新宋体"/>
                <w:sz w:val="24"/>
                <w:szCs w:val="22"/>
              </w:rPr>
            </w:pPr>
            <w:r>
              <w:rPr>
                <w:rFonts w:hint="eastAsia" w:ascii="新宋体" w:hAnsi="新宋体" w:eastAsia="新宋体"/>
                <w:sz w:val="24"/>
                <w:szCs w:val="22"/>
              </w:rPr>
              <w:t>2、纸质投标文件、电子介质存储的投标文件未按招标文件要求密封的；</w:t>
            </w:r>
          </w:p>
          <w:p>
            <w:pPr>
              <w:adjustRightInd w:val="0"/>
              <w:snapToGrid w:val="0"/>
              <w:spacing w:line="420" w:lineRule="exact"/>
              <w:rPr>
                <w:rFonts w:ascii="新宋体" w:hAnsi="新宋体" w:eastAsia="新宋体"/>
                <w:sz w:val="24"/>
                <w:szCs w:val="22"/>
              </w:rPr>
            </w:pPr>
            <w:r>
              <w:rPr>
                <w:rFonts w:hint="eastAsia" w:ascii="新宋体" w:hAnsi="新宋体" w:eastAsia="新宋体"/>
                <w:sz w:val="24"/>
                <w:szCs w:val="22"/>
              </w:rPr>
              <w:t>3、未按招标文件要求缴纳投标保证金的；</w:t>
            </w:r>
          </w:p>
          <w:p>
            <w:pPr>
              <w:adjustRightInd w:val="0"/>
              <w:snapToGrid w:val="0"/>
              <w:spacing w:line="420" w:lineRule="exact"/>
              <w:rPr>
                <w:rFonts w:ascii="新宋体" w:hAnsi="新宋体" w:eastAsia="新宋体"/>
                <w:sz w:val="24"/>
                <w:szCs w:val="22"/>
              </w:rPr>
            </w:pPr>
            <w:r>
              <w:rPr>
                <w:rFonts w:hint="eastAsia" w:ascii="新宋体" w:hAnsi="新宋体" w:eastAsia="新宋体"/>
                <w:sz w:val="24"/>
                <w:szCs w:val="22"/>
              </w:rPr>
              <w:t>4、开标时法人或授权委托人（持有效的授权委托书）未携带本人身份证到开标现场并签到的；</w:t>
            </w:r>
          </w:p>
          <w:p>
            <w:pPr>
              <w:adjustRightInd w:val="0"/>
              <w:snapToGrid w:val="0"/>
              <w:spacing w:line="420" w:lineRule="exact"/>
            </w:pPr>
            <w:r>
              <w:rPr>
                <w:rFonts w:hint="eastAsia" w:ascii="新宋体" w:hAnsi="新宋体" w:eastAsia="新宋体"/>
                <w:sz w:val="24"/>
                <w:szCs w:val="22"/>
              </w:rPr>
              <w:t>5、未按照规定支付招标文件费用的。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4" w:type="dxa"/>
            <w:gridSpan w:val="5"/>
            <w:vAlign w:val="center"/>
          </w:tcPr>
          <w:p>
            <w:pPr>
              <w:adjustRightInd w:val="0"/>
              <w:snapToGrid w:val="0"/>
              <w:spacing w:line="420" w:lineRule="exact"/>
              <w:rPr>
                <w:rFonts w:ascii="新宋体" w:hAnsi="新宋体" w:eastAsia="新宋体"/>
                <w:sz w:val="24"/>
                <w:szCs w:val="22"/>
              </w:rPr>
            </w:pPr>
            <w:r>
              <w:rPr>
                <w:rFonts w:hint="eastAsia" w:ascii="新宋体" w:hAnsi="新宋体" w:eastAsia="新宋体"/>
                <w:sz w:val="24"/>
                <w:szCs w:val="22"/>
              </w:rPr>
              <w:t>10.11.2  相关费用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03" w:type="dxa"/>
            <w:vAlign w:val="center"/>
          </w:tcPr>
          <w:p>
            <w:pPr>
              <w:spacing w:line="312" w:lineRule="auto"/>
              <w:rPr>
                <w:sz w:val="24"/>
              </w:rPr>
            </w:pPr>
          </w:p>
        </w:tc>
        <w:tc>
          <w:tcPr>
            <w:tcW w:w="8871" w:type="dxa"/>
            <w:gridSpan w:val="4"/>
            <w:vAlign w:val="center"/>
          </w:tcPr>
          <w:p>
            <w:pPr>
              <w:tabs>
                <w:tab w:val="left" w:pos="1213"/>
              </w:tabs>
              <w:adjustRightInd w:val="0"/>
              <w:snapToGrid w:val="0"/>
              <w:spacing w:line="420" w:lineRule="exact"/>
              <w:rPr>
                <w:rFonts w:ascii="新宋体" w:hAnsi="新宋体" w:eastAsia="新宋体"/>
                <w:sz w:val="24"/>
                <w:szCs w:val="22"/>
              </w:rPr>
            </w:pPr>
            <w:r>
              <w:rPr>
                <w:rFonts w:hint="eastAsia" w:hAnsi="宋体" w:cs="宋体"/>
                <w:b/>
                <w:bCs/>
                <w:sz w:val="22"/>
                <w:szCs w:val="22"/>
              </w:rPr>
              <w:t>本项目招标代理费由中标人支付，收费标准参照国家计委印发的计价格（2002）1980号文件规定。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4" w:type="dxa"/>
            <w:gridSpan w:val="5"/>
            <w:vAlign w:val="center"/>
          </w:tcPr>
          <w:p>
            <w:pPr>
              <w:autoSpaceDE w:val="0"/>
              <w:autoSpaceDN w:val="0"/>
              <w:adjustRightInd w:val="0"/>
              <w:snapToGrid w:val="0"/>
              <w:spacing w:line="420" w:lineRule="exact"/>
              <w:jc w:val="left"/>
              <w:outlineLvl w:val="0"/>
              <w:rPr>
                <w:rFonts w:hAnsi="宋体" w:cs="仿宋_GB2312"/>
                <w:sz w:val="24"/>
              </w:rPr>
            </w:pPr>
            <w:r>
              <w:rPr>
                <w:rFonts w:hint="eastAsia" w:hAnsi="宋体" w:cs="宋体"/>
                <w:b/>
                <w:bCs/>
                <w:sz w:val="24"/>
              </w:rPr>
              <w:t>10.12 特别提示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03" w:type="dxa"/>
            <w:vAlign w:val="center"/>
          </w:tcPr>
          <w:p>
            <w:pPr>
              <w:spacing w:line="312" w:lineRule="auto"/>
              <w:rPr>
                <w:sz w:val="24"/>
              </w:rPr>
            </w:pPr>
          </w:p>
        </w:tc>
        <w:tc>
          <w:tcPr>
            <w:tcW w:w="8871" w:type="dxa"/>
            <w:gridSpan w:val="4"/>
            <w:vAlign w:val="center"/>
          </w:tcPr>
          <w:p>
            <w:pPr>
              <w:keepNext w:val="0"/>
              <w:keepLines w:val="0"/>
              <w:pageBreakBefore w:val="0"/>
              <w:widowControl w:val="0"/>
              <w:kinsoku/>
              <w:wordWrap/>
              <w:overflowPunct/>
              <w:topLinePunct w:val="0"/>
              <w:autoSpaceDE w:val="0"/>
              <w:autoSpaceDN w:val="0"/>
              <w:bidi w:val="0"/>
              <w:spacing w:line="350" w:lineRule="exact"/>
              <w:jc w:val="left"/>
              <w:textAlignment w:val="auto"/>
              <w:outlineLvl w:val="0"/>
              <w:rPr>
                <w:rFonts w:hAnsi="宋体" w:cs="宋体"/>
                <w:sz w:val="24"/>
              </w:rPr>
            </w:pPr>
            <w:r>
              <w:rPr>
                <w:rFonts w:hint="eastAsia" w:hAnsi="宋体" w:cs="宋体"/>
                <w:sz w:val="24"/>
              </w:rPr>
              <w:t>1、潜在投标人应仔细阅读招标文件、工程量清单，若发现工程量清单中项目特征描述错误等或工程量清单与图纸存在差异，请在规定时间内在《全国公共资源交易平台（河南省·许昌市）》公共资源交易系统中提出。若投标人未提出异议，视为投标总价已经包含了为完成图纸对应工程总量的全部工程价款，即便项目实施过程中发现招标工程量清单存在错项、漏项，竣工结算不再调整。因招标工程量清单错项、漏项导致中标工程竣工工程量与施工图纸不一致的，应由承包人承担相应的价款风险。</w:t>
            </w:r>
          </w:p>
          <w:p>
            <w:pPr>
              <w:keepNext w:val="0"/>
              <w:keepLines w:val="0"/>
              <w:pageBreakBefore w:val="0"/>
              <w:widowControl w:val="0"/>
              <w:kinsoku/>
              <w:wordWrap/>
              <w:overflowPunct/>
              <w:topLinePunct w:val="0"/>
              <w:autoSpaceDE w:val="0"/>
              <w:autoSpaceDN w:val="0"/>
              <w:bidi w:val="0"/>
              <w:spacing w:line="350" w:lineRule="exact"/>
              <w:jc w:val="left"/>
              <w:textAlignment w:val="auto"/>
              <w:outlineLvl w:val="0"/>
              <w:rPr>
                <w:rFonts w:hAnsi="宋体" w:cs="宋体"/>
                <w:sz w:val="24"/>
              </w:rPr>
            </w:pPr>
            <w:r>
              <w:rPr>
                <w:rFonts w:hint="eastAsia" w:hAnsi="宋体" w:cs="宋体"/>
                <w:sz w:val="24"/>
              </w:rPr>
              <w:t>2、潜在投标人如对招标文件有异议，请在规定时间内在《全国公共资源交易平台（河南省·许昌市）》公共资源交易系统中提出，以其他方式递交的异议不予接受。</w:t>
            </w:r>
          </w:p>
          <w:p>
            <w:pPr>
              <w:keepNext w:val="0"/>
              <w:keepLines w:val="0"/>
              <w:pageBreakBefore w:val="0"/>
              <w:widowControl w:val="0"/>
              <w:kinsoku/>
              <w:wordWrap/>
              <w:overflowPunct/>
              <w:topLinePunct w:val="0"/>
              <w:autoSpaceDE w:val="0"/>
              <w:autoSpaceDN w:val="0"/>
              <w:bidi w:val="0"/>
              <w:spacing w:line="350" w:lineRule="exact"/>
              <w:jc w:val="left"/>
              <w:textAlignment w:val="auto"/>
              <w:outlineLvl w:val="0"/>
              <w:rPr>
                <w:rFonts w:hAnsi="宋体" w:cs="宋体"/>
                <w:sz w:val="24"/>
              </w:rPr>
            </w:pPr>
            <w:r>
              <w:rPr>
                <w:rFonts w:hint="eastAsia" w:hAnsi="宋体" w:cs="宋体"/>
                <w:sz w:val="24"/>
              </w:rPr>
              <w:t>3、投标人在投标截止时间前应随时关注《全国公共资源交易平台（河南省·许昌市）》公共资源交易系统发出的有关本项目的答疑、修改等相关内容。</w:t>
            </w:r>
          </w:p>
          <w:p>
            <w:pPr>
              <w:keepNext w:val="0"/>
              <w:keepLines w:val="0"/>
              <w:pageBreakBefore w:val="0"/>
              <w:widowControl w:val="0"/>
              <w:kinsoku/>
              <w:wordWrap/>
              <w:overflowPunct/>
              <w:topLinePunct w:val="0"/>
              <w:autoSpaceDE w:val="0"/>
              <w:autoSpaceDN w:val="0"/>
              <w:bidi w:val="0"/>
              <w:spacing w:line="350" w:lineRule="exact"/>
              <w:jc w:val="left"/>
              <w:textAlignment w:val="auto"/>
              <w:outlineLvl w:val="0"/>
              <w:rPr>
                <w:rFonts w:ascii="新宋体" w:hAnsi="新宋体" w:eastAsia="新宋体"/>
                <w:sz w:val="24"/>
              </w:rPr>
            </w:pPr>
            <w:r>
              <w:rPr>
                <w:rFonts w:hint="eastAsia" w:hAnsi="宋体" w:cs="宋体"/>
                <w:sz w:val="24"/>
              </w:rPr>
              <w:t>4、</w:t>
            </w:r>
            <w:r>
              <w:rPr>
                <w:rFonts w:hint="eastAsia" w:ascii="新宋体" w:hAnsi="新宋体" w:eastAsia="新宋体"/>
                <w:sz w:val="24"/>
              </w:rPr>
              <w:t>本项目试行全流程电子化交易，如因交易系统异常情况无法完成，将以人工方式进行。</w:t>
            </w:r>
          </w:p>
          <w:p>
            <w:pPr>
              <w:keepNext w:val="0"/>
              <w:keepLines w:val="0"/>
              <w:pageBreakBefore w:val="0"/>
              <w:widowControl w:val="0"/>
              <w:kinsoku/>
              <w:wordWrap/>
              <w:overflowPunct/>
              <w:topLinePunct w:val="0"/>
              <w:autoSpaceDE w:val="0"/>
              <w:autoSpaceDN w:val="0"/>
              <w:bidi w:val="0"/>
              <w:spacing w:line="350" w:lineRule="exact"/>
              <w:jc w:val="left"/>
              <w:textAlignment w:val="auto"/>
              <w:outlineLvl w:val="0"/>
              <w:rPr>
                <w:rFonts w:hAnsi="宋体" w:cs="宋体"/>
                <w:sz w:val="24"/>
              </w:rPr>
            </w:pPr>
            <w:r>
              <w:rPr>
                <w:rFonts w:hint="eastAsia" w:hAnsi="宋体" w:cs="宋体"/>
                <w:sz w:val="24"/>
              </w:rPr>
              <w:t>5、投标文件依据最终的招标文件进行编制。如果招标文件发生变更，投标人应以招标人最终发出的电子招标文件为准，编制投标文件，务请投标人随时关注项目变更信息。</w:t>
            </w:r>
          </w:p>
          <w:p>
            <w:pPr>
              <w:keepNext w:val="0"/>
              <w:keepLines w:val="0"/>
              <w:pageBreakBefore w:val="0"/>
              <w:widowControl w:val="0"/>
              <w:tabs>
                <w:tab w:val="left" w:pos="7095"/>
              </w:tabs>
              <w:kinsoku/>
              <w:wordWrap/>
              <w:overflowPunct/>
              <w:topLinePunct w:val="0"/>
              <w:bidi w:val="0"/>
              <w:spacing w:line="350" w:lineRule="exact"/>
              <w:textAlignment w:val="auto"/>
              <w:rPr>
                <w:rFonts w:hAnsi="宋体" w:cs="宋体"/>
                <w:sz w:val="24"/>
              </w:rPr>
            </w:pPr>
            <w:r>
              <w:rPr>
                <w:rFonts w:hint="eastAsia" w:hAnsi="宋体" w:cs="宋体"/>
                <w:sz w:val="24"/>
              </w:rPr>
              <w:t>6、投标人电子投标文件成功提交后，应打印“投标文件提交回执单”，供开标现场备查。</w:t>
            </w:r>
          </w:p>
          <w:p>
            <w:pPr>
              <w:keepNext w:val="0"/>
              <w:keepLines w:val="0"/>
              <w:pageBreakBefore w:val="0"/>
              <w:widowControl w:val="0"/>
              <w:kinsoku/>
              <w:wordWrap/>
              <w:overflowPunct/>
              <w:topLinePunct w:val="0"/>
              <w:autoSpaceDE w:val="0"/>
              <w:autoSpaceDN w:val="0"/>
              <w:bidi w:val="0"/>
              <w:spacing w:line="350" w:lineRule="exact"/>
              <w:jc w:val="left"/>
              <w:textAlignment w:val="auto"/>
              <w:outlineLvl w:val="0"/>
              <w:rPr>
                <w:rFonts w:hAnsi="宋体" w:cs="宋体"/>
                <w:sz w:val="24"/>
              </w:rPr>
            </w:pPr>
            <w:r>
              <w:rPr>
                <w:rFonts w:hint="eastAsia" w:hAnsi="宋体" w:cs="宋体"/>
                <w:sz w:val="24"/>
              </w:rPr>
              <w:t>7、商务标投标文件制作注意事项：</w:t>
            </w:r>
          </w:p>
          <w:p>
            <w:pPr>
              <w:keepNext w:val="0"/>
              <w:keepLines w:val="0"/>
              <w:pageBreakBefore w:val="0"/>
              <w:widowControl w:val="0"/>
              <w:kinsoku/>
              <w:wordWrap/>
              <w:overflowPunct/>
              <w:topLinePunct w:val="0"/>
              <w:autoSpaceDE w:val="0"/>
              <w:autoSpaceDN w:val="0"/>
              <w:bidi w:val="0"/>
              <w:spacing w:line="350" w:lineRule="exact"/>
              <w:jc w:val="left"/>
              <w:textAlignment w:val="auto"/>
              <w:outlineLvl w:val="0"/>
              <w:rPr>
                <w:rFonts w:hAnsi="宋体" w:cs="宋体"/>
                <w:sz w:val="24"/>
              </w:rPr>
            </w:pPr>
            <w:r>
              <w:rPr>
                <w:rFonts w:hint="eastAsia" w:hAnsi="宋体" w:cs="宋体"/>
                <w:sz w:val="24"/>
              </w:rPr>
              <w:t>7.1 投标人登录《全国公共资源交易平台（河南省·许昌市）》公共资源交易系统下载“许昌投标文件制作系统SEARUN V1.</w:t>
            </w:r>
            <w:r>
              <w:rPr>
                <w:rFonts w:hint="eastAsia" w:hAnsi="宋体" w:cs="宋体"/>
                <w:sz w:val="24"/>
                <w:lang w:val="en-US" w:eastAsia="zh-CN"/>
              </w:rPr>
              <w:t>1</w:t>
            </w:r>
            <w:r>
              <w:rPr>
                <w:rFonts w:hint="eastAsia" w:hAnsi="宋体" w:cs="宋体"/>
                <w:sz w:val="24"/>
              </w:rPr>
              <w:t>” 和操作手册（工程项目），按招标文件要求制作商务标投标文件。</w:t>
            </w:r>
          </w:p>
          <w:p>
            <w:pPr>
              <w:keepNext w:val="0"/>
              <w:keepLines w:val="0"/>
              <w:pageBreakBefore w:val="0"/>
              <w:widowControl w:val="0"/>
              <w:kinsoku/>
              <w:wordWrap/>
              <w:overflowPunct/>
              <w:topLinePunct w:val="0"/>
              <w:autoSpaceDE w:val="0"/>
              <w:autoSpaceDN w:val="0"/>
              <w:bidi w:val="0"/>
              <w:adjustRightInd w:val="0"/>
              <w:snapToGrid w:val="0"/>
              <w:spacing w:line="350" w:lineRule="exact"/>
              <w:jc w:val="left"/>
              <w:textAlignment w:val="auto"/>
              <w:outlineLvl w:val="0"/>
              <w:rPr>
                <w:rFonts w:hAnsi="宋体" w:cs="仿宋_GB2312"/>
                <w:sz w:val="24"/>
              </w:rPr>
            </w:pPr>
            <w:r>
              <w:rPr>
                <w:rFonts w:hint="eastAsia" w:hAnsi="宋体" w:cs="宋体"/>
                <w:sz w:val="24"/>
              </w:rPr>
              <w:t>7.2 商务标投标文件制作技术咨询：0374-2961598。</w:t>
            </w:r>
          </w:p>
        </w:tc>
      </w:tr>
    </w:tbl>
    <w:p>
      <w:pPr>
        <w:autoSpaceDE w:val="0"/>
        <w:autoSpaceDN w:val="0"/>
        <w:spacing w:line="440" w:lineRule="exact"/>
        <w:jc w:val="left"/>
        <w:outlineLvl w:val="0"/>
        <w:rPr>
          <w:rFonts w:hAnsi="宋体" w:cs="宋体"/>
          <w:b/>
          <w:sz w:val="28"/>
          <w:szCs w:val="28"/>
        </w:rPr>
      </w:pPr>
      <w:bookmarkStart w:id="7" w:name="_Toc283559947"/>
      <w:r>
        <w:rPr>
          <w:rFonts w:hint="eastAsia" w:hAnsi="宋体" w:cs="宋体"/>
          <w:b/>
          <w:sz w:val="28"/>
          <w:szCs w:val="28"/>
        </w:rPr>
        <w:t>1. 总则</w:t>
      </w:r>
    </w:p>
    <w:p>
      <w:pPr>
        <w:autoSpaceDE w:val="0"/>
        <w:autoSpaceDN w:val="0"/>
        <w:spacing w:line="440" w:lineRule="exact"/>
        <w:jc w:val="left"/>
        <w:outlineLvl w:val="0"/>
        <w:rPr>
          <w:rFonts w:hAnsi="宋体" w:cs="宋体"/>
          <w:b/>
          <w:sz w:val="24"/>
        </w:rPr>
      </w:pPr>
      <w:r>
        <w:rPr>
          <w:rFonts w:hint="eastAsia" w:hAnsi="宋体" w:cs="宋体"/>
          <w:b/>
          <w:sz w:val="24"/>
        </w:rPr>
        <w:t>1.1 项目概况</w:t>
      </w:r>
      <w:r>
        <w:rPr>
          <w:rFonts w:hint="eastAsia" w:hAnsi="宋体" w:cs="宋体"/>
          <w:b/>
          <w:sz w:val="24"/>
        </w:rPr>
        <w:tab/>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1.1.1根据《中华人民共和国招标投标法》等有关法律、法规和规章的规定，本招标项目已具备招标条件，现对本工程进行招标。</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1.1.2 本招标项目招标人：见投标人须知前附表。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1.1.4 本招标项目地点：见投标人须知前附表。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1.1.5 本标段建设地点：见申请人须知前附表。</w:t>
      </w:r>
    </w:p>
    <w:p>
      <w:pPr>
        <w:autoSpaceDE w:val="0"/>
        <w:autoSpaceDN w:val="0"/>
        <w:spacing w:line="440" w:lineRule="exact"/>
        <w:jc w:val="left"/>
        <w:outlineLvl w:val="0"/>
        <w:rPr>
          <w:rFonts w:hAnsi="宋体" w:cs="宋体"/>
          <w:b/>
          <w:sz w:val="24"/>
        </w:rPr>
      </w:pPr>
      <w:r>
        <w:rPr>
          <w:rFonts w:hint="eastAsia" w:hAnsi="宋体" w:cs="宋体"/>
          <w:b/>
          <w:sz w:val="24"/>
        </w:rPr>
        <w:t>1.2 资金来源和落实情况</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1.2.1 本招标项目的资金来源：见投标人须知前附表。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1.2.2 本招标项目的出资比例：见投标人须知前附表。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1.2.2本招标项目的资金落实情况：见投标人须知前附表。</w:t>
      </w:r>
    </w:p>
    <w:p>
      <w:pPr>
        <w:autoSpaceDE w:val="0"/>
        <w:autoSpaceDN w:val="0"/>
        <w:spacing w:line="440" w:lineRule="exact"/>
        <w:jc w:val="left"/>
        <w:outlineLvl w:val="0"/>
        <w:rPr>
          <w:rFonts w:hAnsi="宋体" w:cs="宋体"/>
          <w:b/>
          <w:sz w:val="24"/>
        </w:rPr>
      </w:pPr>
      <w:r>
        <w:rPr>
          <w:rFonts w:hint="eastAsia" w:hAnsi="宋体" w:cs="宋体"/>
          <w:b/>
          <w:sz w:val="24"/>
        </w:rPr>
        <w:t>1.3 招标范围、工期和质量要求</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1.3.1 本招标项目的招标范围：见投标人须知前附表。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1.3.2 本招标项目的工期要求：见投标人须知前附表。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1.3.3 本招标项目的质量要求：见投标人须知前附表。</w:t>
      </w:r>
    </w:p>
    <w:p>
      <w:pPr>
        <w:autoSpaceDE w:val="0"/>
        <w:autoSpaceDN w:val="0"/>
        <w:spacing w:line="440" w:lineRule="exact"/>
        <w:jc w:val="left"/>
        <w:outlineLvl w:val="0"/>
        <w:rPr>
          <w:rFonts w:hAnsi="宋体" w:cs="宋体"/>
          <w:b/>
          <w:sz w:val="24"/>
        </w:rPr>
      </w:pPr>
      <w:r>
        <w:rPr>
          <w:rFonts w:hint="eastAsia" w:hAnsi="宋体" w:cs="宋体"/>
          <w:b/>
          <w:sz w:val="24"/>
        </w:rPr>
        <w:t>1.4 投标人及项目经理资格要求</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1.4.1投标人、</w:t>
      </w:r>
      <w:r>
        <w:rPr>
          <w:rFonts w:hint="eastAsia"/>
          <w:sz w:val="24"/>
        </w:rPr>
        <w:t>项目经理</w:t>
      </w:r>
      <w:r>
        <w:rPr>
          <w:rFonts w:hint="eastAsia" w:hAnsi="宋体" w:cs="仿宋_GB2312"/>
          <w:sz w:val="24"/>
        </w:rPr>
        <w:t>资格要求：见投标人须知前附表。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1.4.2 投标人资格要求（详见投标人须知前附表）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投标人不得存在下列情形之一：</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 xml:space="preserve">（1）为招标人不具有独立法人资格的附属机构（单位）； </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 xml:space="preserve">（2）为本标段前期准备提供设计或咨询服务的； </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（3）为本标段的监理人；</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 xml:space="preserve">（4）为本标段的代建人； </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 xml:space="preserve">（5）为本标段提供招标代理服务的； </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（6）与本标段的监理人或代建人或招标代理机构同为一个法定代表人的；</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（7）与本标段的监理人或代建人或招标代理机构相互控股或参股的；</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（8）与本标段的监理人或代建人或招标代理机构相互任职或工作的；</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 xml:space="preserve">（9）被责令停业的； </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 xml:space="preserve">（10）被暂停或取消投标资格的； </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（11）财产被接管或冻结的；</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（12）在最近三年内有骗取中标或严重违约或重大工程质量问题的。</w:t>
      </w:r>
    </w:p>
    <w:p>
      <w:pPr>
        <w:autoSpaceDE w:val="0"/>
        <w:autoSpaceDN w:val="0"/>
        <w:spacing w:line="440" w:lineRule="exact"/>
        <w:jc w:val="left"/>
        <w:outlineLvl w:val="0"/>
        <w:rPr>
          <w:rFonts w:hAnsi="宋体" w:cs="宋体"/>
          <w:b/>
          <w:sz w:val="24"/>
        </w:rPr>
      </w:pPr>
      <w:bookmarkStart w:id="8" w:name="_Toc144974503"/>
      <w:bookmarkStart w:id="9" w:name="_Toc152042311"/>
      <w:bookmarkStart w:id="10" w:name="_Toc179632552"/>
      <w:bookmarkStart w:id="11" w:name="_Toc152045535"/>
      <w:r>
        <w:rPr>
          <w:rFonts w:hint="eastAsia" w:hAnsi="宋体" w:cs="宋体"/>
          <w:b/>
          <w:sz w:val="24"/>
        </w:rPr>
        <w:t>1.5 费用承担</w:t>
      </w:r>
      <w:bookmarkEnd w:id="8"/>
      <w:bookmarkEnd w:id="9"/>
      <w:bookmarkEnd w:id="10"/>
      <w:bookmarkEnd w:id="11"/>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投标人准备和参加投标活动发生的费用自理。</w:t>
      </w:r>
    </w:p>
    <w:p>
      <w:pPr>
        <w:autoSpaceDE w:val="0"/>
        <w:autoSpaceDN w:val="0"/>
        <w:spacing w:line="440" w:lineRule="exact"/>
        <w:jc w:val="left"/>
        <w:outlineLvl w:val="0"/>
        <w:rPr>
          <w:rFonts w:hAnsi="宋体" w:cs="宋体"/>
          <w:b/>
          <w:sz w:val="24"/>
        </w:rPr>
      </w:pPr>
      <w:bookmarkStart w:id="12" w:name="_Toc179632553"/>
      <w:bookmarkStart w:id="13" w:name="_Toc152042312"/>
      <w:bookmarkStart w:id="14" w:name="_Toc144974504"/>
      <w:bookmarkStart w:id="15" w:name="_Toc152045536"/>
      <w:r>
        <w:rPr>
          <w:rFonts w:hint="eastAsia" w:hAnsi="宋体" w:cs="宋体"/>
          <w:b/>
          <w:sz w:val="24"/>
        </w:rPr>
        <w:t>1.6 保密</w:t>
      </w:r>
      <w:bookmarkEnd w:id="12"/>
      <w:bookmarkEnd w:id="13"/>
      <w:bookmarkEnd w:id="14"/>
      <w:bookmarkEnd w:id="15"/>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 xml:space="preserve">参与招标投标活动的各方应对招标文件和投标文件中的商业和技术等秘密保密，违者应对由此造成的后果承担法律责任。 </w:t>
      </w:r>
    </w:p>
    <w:p>
      <w:pPr>
        <w:autoSpaceDE w:val="0"/>
        <w:autoSpaceDN w:val="0"/>
        <w:spacing w:line="440" w:lineRule="exact"/>
        <w:jc w:val="left"/>
        <w:outlineLvl w:val="0"/>
        <w:rPr>
          <w:rFonts w:hAnsi="宋体" w:cs="宋体"/>
          <w:b/>
          <w:sz w:val="24"/>
        </w:rPr>
      </w:pPr>
      <w:bookmarkStart w:id="16" w:name="_Toc144974505"/>
      <w:bookmarkStart w:id="17" w:name="_Toc152045537"/>
      <w:bookmarkStart w:id="18" w:name="_Toc152042313"/>
      <w:bookmarkStart w:id="19" w:name="_Toc179632554"/>
      <w:r>
        <w:rPr>
          <w:rFonts w:hint="eastAsia" w:hAnsi="宋体" w:cs="宋体"/>
          <w:b/>
          <w:sz w:val="24"/>
        </w:rPr>
        <w:t>1.7 语言</w:t>
      </w:r>
      <w:bookmarkEnd w:id="16"/>
      <w:r>
        <w:rPr>
          <w:rFonts w:hint="eastAsia" w:hAnsi="宋体" w:cs="宋体"/>
          <w:b/>
          <w:sz w:val="24"/>
        </w:rPr>
        <w:t>文字</w:t>
      </w:r>
      <w:bookmarkEnd w:id="17"/>
      <w:bookmarkEnd w:id="18"/>
      <w:bookmarkEnd w:id="19"/>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除专用术语外，与招标投标有关的语言均使用中文。必要时专用术语应附有中文注释。</w:t>
      </w:r>
    </w:p>
    <w:p>
      <w:pPr>
        <w:autoSpaceDE w:val="0"/>
        <w:autoSpaceDN w:val="0"/>
        <w:spacing w:line="440" w:lineRule="exact"/>
        <w:jc w:val="left"/>
        <w:outlineLvl w:val="0"/>
        <w:rPr>
          <w:rFonts w:hAnsi="宋体" w:cs="宋体"/>
          <w:b/>
          <w:sz w:val="24"/>
        </w:rPr>
      </w:pPr>
      <w:bookmarkStart w:id="20" w:name="_Toc144974506"/>
      <w:bookmarkStart w:id="21" w:name="_Toc152045538"/>
      <w:bookmarkStart w:id="22" w:name="_Toc152042314"/>
      <w:bookmarkStart w:id="23" w:name="_Toc179632555"/>
      <w:r>
        <w:rPr>
          <w:rFonts w:hint="eastAsia" w:hAnsi="宋体" w:cs="宋体"/>
          <w:b/>
          <w:sz w:val="24"/>
        </w:rPr>
        <w:t>1.8 计量单位</w:t>
      </w:r>
      <w:bookmarkEnd w:id="20"/>
      <w:bookmarkEnd w:id="21"/>
      <w:bookmarkEnd w:id="22"/>
      <w:bookmarkEnd w:id="23"/>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所有计量均采用中华人民共和国法定计量单位。</w:t>
      </w:r>
    </w:p>
    <w:p>
      <w:pPr>
        <w:autoSpaceDE w:val="0"/>
        <w:autoSpaceDN w:val="0"/>
        <w:spacing w:line="440" w:lineRule="exact"/>
        <w:jc w:val="left"/>
        <w:outlineLvl w:val="0"/>
        <w:rPr>
          <w:rFonts w:hAnsi="宋体" w:cs="宋体"/>
          <w:b/>
          <w:sz w:val="24"/>
        </w:rPr>
      </w:pPr>
      <w:r>
        <w:rPr>
          <w:rFonts w:hAnsi="宋体" w:cs="宋体"/>
          <w:b/>
          <w:sz w:val="24"/>
        </w:rPr>
        <w:t xml:space="preserve">1.9 </w:t>
      </w:r>
      <w:r>
        <w:rPr>
          <w:rFonts w:hint="eastAsia" w:hAnsi="宋体" w:cs="宋体"/>
          <w:b/>
          <w:sz w:val="24"/>
        </w:rPr>
        <w:t>踏勘现场</w:t>
      </w:r>
      <w:bookmarkEnd w:id="7"/>
    </w:p>
    <w:p>
      <w:pPr>
        <w:autoSpaceDE w:val="0"/>
        <w:autoSpaceDN w:val="0"/>
        <w:spacing w:line="440" w:lineRule="exact"/>
        <w:ind w:firstLine="480" w:firstLineChars="200"/>
        <w:jc w:val="left"/>
        <w:outlineLvl w:val="0"/>
        <w:rPr>
          <w:rFonts w:hAnsi="宋体" w:cs="仿宋_GB2312"/>
          <w:sz w:val="24"/>
        </w:rPr>
      </w:pPr>
      <w:r>
        <w:rPr>
          <w:rFonts w:hAnsi="宋体" w:cs="宋体"/>
          <w:sz w:val="24"/>
        </w:rPr>
        <w:t xml:space="preserve">1.9.1 </w:t>
      </w:r>
      <w:r>
        <w:rPr>
          <w:rFonts w:hint="eastAsia" w:hAnsi="宋体" w:cs="宋体"/>
          <w:sz w:val="24"/>
        </w:rPr>
        <w:t>不</w:t>
      </w:r>
      <w:r>
        <w:rPr>
          <w:rFonts w:hint="eastAsia" w:hAnsi="宋体" w:cs="仿宋_GB2312"/>
          <w:sz w:val="24"/>
        </w:rPr>
        <w:t xml:space="preserve">组织。          </w:t>
      </w:r>
    </w:p>
    <w:p>
      <w:pPr>
        <w:autoSpaceDE w:val="0"/>
        <w:autoSpaceDN w:val="0"/>
        <w:spacing w:line="440" w:lineRule="exact"/>
        <w:ind w:firstLine="480" w:firstLineChars="200"/>
        <w:jc w:val="left"/>
        <w:outlineLvl w:val="0"/>
        <w:rPr>
          <w:rFonts w:hAnsi="宋体" w:cs="宋体"/>
          <w:sz w:val="24"/>
        </w:rPr>
      </w:pPr>
      <w:r>
        <w:rPr>
          <w:rFonts w:hAnsi="宋体" w:cs="宋体"/>
          <w:sz w:val="24"/>
        </w:rPr>
        <w:t xml:space="preserve">1.9.2 </w:t>
      </w:r>
      <w:r>
        <w:rPr>
          <w:rFonts w:hint="eastAsia" w:hAnsi="宋体" w:cs="宋体"/>
          <w:sz w:val="24"/>
        </w:rPr>
        <w:t>投标人踏勘现场发生的费用自理。</w:t>
      </w:r>
    </w:p>
    <w:p>
      <w:pPr>
        <w:autoSpaceDE w:val="0"/>
        <w:autoSpaceDN w:val="0"/>
        <w:spacing w:line="440" w:lineRule="exact"/>
        <w:ind w:firstLine="480" w:firstLineChars="200"/>
        <w:jc w:val="left"/>
        <w:outlineLvl w:val="0"/>
        <w:rPr>
          <w:rFonts w:hAnsi="宋体" w:cs="宋体"/>
          <w:sz w:val="24"/>
        </w:rPr>
      </w:pPr>
      <w:r>
        <w:rPr>
          <w:rFonts w:hAnsi="宋体" w:cs="宋体"/>
          <w:sz w:val="24"/>
        </w:rPr>
        <w:t xml:space="preserve">1.9.3 </w:t>
      </w:r>
      <w:r>
        <w:rPr>
          <w:rFonts w:hint="eastAsia" w:hAnsi="宋体" w:cs="宋体"/>
          <w:sz w:val="24"/>
        </w:rPr>
        <w:t>除招标人的原因外，投标人自行负责在踏勘现场中所发生的人员伤亡和财产损失。</w:t>
      </w:r>
    </w:p>
    <w:p>
      <w:pPr>
        <w:autoSpaceDE w:val="0"/>
        <w:autoSpaceDN w:val="0"/>
        <w:spacing w:line="440" w:lineRule="exact"/>
        <w:ind w:firstLine="480" w:firstLineChars="200"/>
        <w:jc w:val="left"/>
        <w:outlineLvl w:val="0"/>
        <w:rPr>
          <w:rFonts w:hAnsi="宋体" w:cs="宋体"/>
          <w:sz w:val="24"/>
        </w:rPr>
      </w:pPr>
      <w:r>
        <w:rPr>
          <w:rFonts w:hAnsi="宋体" w:cs="宋体"/>
          <w:sz w:val="24"/>
        </w:rPr>
        <w:t xml:space="preserve">1.9.4 </w:t>
      </w:r>
      <w:r>
        <w:rPr>
          <w:rFonts w:hint="eastAsia" w:hAnsi="宋体" w:cs="宋体"/>
          <w:sz w:val="24"/>
        </w:rPr>
        <w:t>招标人在踏勘现场中介绍的工程场地和相关的周边环境情况，供投标人在编制投标文件时参考，招标人不对投标人据此作出的判断和决策负责。</w:t>
      </w:r>
    </w:p>
    <w:p>
      <w:pPr>
        <w:autoSpaceDE w:val="0"/>
        <w:autoSpaceDN w:val="0"/>
        <w:spacing w:line="440" w:lineRule="exact"/>
        <w:jc w:val="left"/>
        <w:outlineLvl w:val="0"/>
        <w:rPr>
          <w:rFonts w:hAnsi="宋体" w:cs="宋体"/>
          <w:b/>
          <w:sz w:val="24"/>
        </w:rPr>
      </w:pPr>
      <w:bookmarkStart w:id="24" w:name="_Toc283559948"/>
      <w:r>
        <w:rPr>
          <w:rFonts w:hAnsi="宋体" w:cs="宋体"/>
          <w:b/>
          <w:sz w:val="24"/>
        </w:rPr>
        <w:t xml:space="preserve">1.10 </w:t>
      </w:r>
      <w:r>
        <w:rPr>
          <w:rFonts w:hint="eastAsia" w:hAnsi="宋体" w:cs="宋体"/>
          <w:b/>
          <w:sz w:val="24"/>
        </w:rPr>
        <w:t>投标预备会</w:t>
      </w:r>
      <w:bookmarkEnd w:id="24"/>
    </w:p>
    <w:p>
      <w:pPr>
        <w:autoSpaceDE w:val="0"/>
        <w:autoSpaceDN w:val="0"/>
        <w:spacing w:line="450" w:lineRule="exact"/>
        <w:ind w:firstLine="480" w:firstLineChars="200"/>
        <w:jc w:val="left"/>
        <w:outlineLvl w:val="0"/>
        <w:rPr>
          <w:rFonts w:hAnsi="宋体" w:cs="宋体"/>
          <w:b/>
          <w:sz w:val="24"/>
        </w:rPr>
      </w:pPr>
      <w:r>
        <w:rPr>
          <w:rFonts w:hAnsi="宋体" w:cs="宋体"/>
          <w:sz w:val="24"/>
        </w:rPr>
        <w:t>1.</w:t>
      </w:r>
      <w:r>
        <w:rPr>
          <w:rFonts w:hint="eastAsia" w:hAnsi="宋体" w:cs="宋体"/>
          <w:sz w:val="24"/>
        </w:rPr>
        <w:t>10</w:t>
      </w:r>
      <w:r>
        <w:rPr>
          <w:rFonts w:hAnsi="宋体" w:cs="宋体"/>
          <w:sz w:val="24"/>
        </w:rPr>
        <w:t>.</w:t>
      </w:r>
      <w:r>
        <w:rPr>
          <w:rFonts w:hint="eastAsia" w:hAnsi="宋体" w:cs="宋体"/>
          <w:sz w:val="24"/>
        </w:rPr>
        <w:t>1 招标人不召开投标预备会。</w:t>
      </w:r>
    </w:p>
    <w:p>
      <w:pPr>
        <w:autoSpaceDE w:val="0"/>
        <w:autoSpaceDN w:val="0"/>
        <w:spacing w:line="450" w:lineRule="exact"/>
        <w:ind w:firstLine="480" w:firstLineChars="200"/>
        <w:jc w:val="left"/>
        <w:outlineLvl w:val="0"/>
        <w:rPr>
          <w:rFonts w:hAnsi="宋体" w:cs="宋体"/>
          <w:sz w:val="24"/>
        </w:rPr>
      </w:pPr>
      <w:r>
        <w:rPr>
          <w:rFonts w:hAnsi="宋体" w:cs="宋体"/>
          <w:sz w:val="24"/>
        </w:rPr>
        <w:t>1.</w:t>
      </w:r>
      <w:r>
        <w:rPr>
          <w:rFonts w:hint="eastAsia" w:hAnsi="宋体" w:cs="宋体"/>
          <w:sz w:val="24"/>
        </w:rPr>
        <w:t>10</w:t>
      </w:r>
      <w:r>
        <w:rPr>
          <w:rFonts w:hAnsi="宋体" w:cs="宋体"/>
          <w:sz w:val="24"/>
        </w:rPr>
        <w:t>.</w:t>
      </w:r>
      <w:r>
        <w:rPr>
          <w:rFonts w:hint="eastAsia" w:hAnsi="宋体" w:cs="宋体"/>
          <w:sz w:val="24"/>
        </w:rPr>
        <w:t>2 投标人应在投标人须知前附表规定的时间前，将问题在</w:t>
      </w:r>
      <w:r>
        <w:rPr>
          <w:rFonts w:hint="eastAsia" w:ascii="新宋体" w:hAnsi="新宋体" w:eastAsia="新宋体" w:cs="仿宋_GB2312"/>
          <w:sz w:val="24"/>
        </w:rPr>
        <w:t>公共资源交易系统电子平台</w:t>
      </w:r>
      <w:r>
        <w:rPr>
          <w:rFonts w:hint="eastAsia" w:hAnsi="宋体" w:cs="宋体"/>
          <w:sz w:val="24"/>
        </w:rPr>
        <w:t>上提出。</w:t>
      </w:r>
    </w:p>
    <w:p>
      <w:pPr>
        <w:autoSpaceDE w:val="0"/>
        <w:autoSpaceDN w:val="0"/>
        <w:spacing w:line="450" w:lineRule="exact"/>
        <w:ind w:firstLine="480" w:firstLineChars="200"/>
        <w:jc w:val="left"/>
        <w:outlineLvl w:val="0"/>
        <w:rPr>
          <w:rFonts w:hAnsi="宋体" w:cs="宋体"/>
          <w:sz w:val="24"/>
        </w:rPr>
      </w:pPr>
      <w:r>
        <w:rPr>
          <w:rFonts w:hAnsi="宋体" w:cs="宋体"/>
          <w:sz w:val="24"/>
        </w:rPr>
        <w:t>1.</w:t>
      </w:r>
      <w:r>
        <w:rPr>
          <w:rFonts w:hint="eastAsia" w:hAnsi="宋体" w:cs="宋体"/>
          <w:sz w:val="24"/>
        </w:rPr>
        <w:t>10</w:t>
      </w:r>
      <w:r>
        <w:rPr>
          <w:rFonts w:hAnsi="宋体" w:cs="宋体"/>
          <w:sz w:val="24"/>
        </w:rPr>
        <w:t>.3</w:t>
      </w:r>
      <w:r>
        <w:rPr>
          <w:rFonts w:hint="eastAsia" w:hAnsi="宋体" w:cs="宋体"/>
          <w:sz w:val="24"/>
        </w:rPr>
        <w:t xml:space="preserve"> 招标人在投标人须知前附表规定的时间内，将对投标人所提问题的澄清，在</w:t>
      </w:r>
      <w:r>
        <w:rPr>
          <w:rFonts w:hint="eastAsia" w:ascii="新宋体" w:hAnsi="新宋体" w:eastAsia="新宋体" w:cs="仿宋_GB2312"/>
          <w:sz w:val="24"/>
        </w:rPr>
        <w:t>公共资源交易系统电子平台</w:t>
      </w:r>
      <w:r>
        <w:rPr>
          <w:rFonts w:hint="eastAsia" w:hAnsi="宋体" w:cs="宋体"/>
          <w:sz w:val="24"/>
        </w:rPr>
        <w:t>上予以澄清。该澄清内容为招标文件的组成部分。</w:t>
      </w:r>
    </w:p>
    <w:p>
      <w:pPr>
        <w:autoSpaceDE w:val="0"/>
        <w:autoSpaceDN w:val="0"/>
        <w:spacing w:line="450" w:lineRule="exact"/>
        <w:jc w:val="left"/>
        <w:outlineLvl w:val="0"/>
        <w:rPr>
          <w:rFonts w:hAnsi="宋体" w:cs="宋体"/>
          <w:b/>
          <w:sz w:val="24"/>
        </w:rPr>
      </w:pPr>
      <w:bookmarkStart w:id="25" w:name="_Toc283559949"/>
      <w:r>
        <w:rPr>
          <w:rFonts w:hAnsi="宋体" w:cs="宋体"/>
          <w:b/>
          <w:sz w:val="24"/>
        </w:rPr>
        <w:t xml:space="preserve">1.11 </w:t>
      </w:r>
      <w:r>
        <w:rPr>
          <w:rFonts w:hint="eastAsia" w:hAnsi="宋体" w:cs="宋体"/>
          <w:b/>
          <w:sz w:val="24"/>
        </w:rPr>
        <w:t>分包</w:t>
      </w:r>
      <w:bookmarkEnd w:id="25"/>
    </w:p>
    <w:p>
      <w:pPr>
        <w:autoSpaceDE w:val="0"/>
        <w:autoSpaceDN w:val="0"/>
        <w:spacing w:line="450" w:lineRule="exact"/>
        <w:ind w:firstLine="480" w:firstLineChars="200"/>
        <w:jc w:val="left"/>
        <w:outlineLvl w:val="0"/>
        <w:rPr>
          <w:rFonts w:hAnsi="宋体" w:cs="宋体"/>
          <w:b/>
          <w:sz w:val="24"/>
        </w:rPr>
      </w:pPr>
      <w:r>
        <w:rPr>
          <w:rFonts w:hint="eastAsia" w:hAnsi="宋体" w:cs="仿宋_GB2312"/>
          <w:sz w:val="24"/>
        </w:rPr>
        <w:t>不允许</w:t>
      </w:r>
      <w:r>
        <w:rPr>
          <w:rFonts w:hint="eastAsia"/>
          <w:sz w:val="24"/>
        </w:rPr>
        <w:t>。</w:t>
      </w:r>
    </w:p>
    <w:p>
      <w:pPr>
        <w:autoSpaceDE w:val="0"/>
        <w:autoSpaceDN w:val="0"/>
        <w:adjustRightInd w:val="0"/>
        <w:spacing w:line="450" w:lineRule="exact"/>
        <w:jc w:val="left"/>
        <w:outlineLvl w:val="0"/>
        <w:rPr>
          <w:rFonts w:hAnsi="宋体" w:cs="宋体"/>
          <w:b/>
          <w:sz w:val="24"/>
        </w:rPr>
      </w:pPr>
      <w:bookmarkStart w:id="26" w:name="_Toc283559950"/>
      <w:r>
        <w:rPr>
          <w:rFonts w:hAnsi="宋体" w:cs="宋体"/>
          <w:b/>
          <w:sz w:val="24"/>
        </w:rPr>
        <w:t xml:space="preserve">1.12 </w:t>
      </w:r>
      <w:r>
        <w:rPr>
          <w:rFonts w:hint="eastAsia" w:hAnsi="宋体" w:cs="宋体"/>
          <w:b/>
          <w:sz w:val="24"/>
        </w:rPr>
        <w:t>偏离</w:t>
      </w:r>
      <w:bookmarkEnd w:id="26"/>
    </w:p>
    <w:p>
      <w:pPr>
        <w:autoSpaceDE w:val="0"/>
        <w:autoSpaceDN w:val="0"/>
        <w:adjustRightInd w:val="0"/>
        <w:spacing w:line="450" w:lineRule="exact"/>
        <w:ind w:firstLine="480" w:firstLineChars="200"/>
        <w:jc w:val="left"/>
        <w:outlineLvl w:val="0"/>
        <w:rPr>
          <w:rFonts w:hAnsi="宋体" w:cs="宋体"/>
          <w:b/>
          <w:sz w:val="24"/>
        </w:rPr>
      </w:pPr>
      <w:r>
        <w:rPr>
          <w:rFonts w:hint="eastAsia"/>
          <w:sz w:val="24"/>
        </w:rPr>
        <w:t>投标人须知前附表允许投标文件偏离招标文件某些要求的，偏离应当符合招标文件规定的偏离范围和幅度。</w:t>
      </w:r>
    </w:p>
    <w:p>
      <w:pPr>
        <w:pStyle w:val="67"/>
        <w:spacing w:line="450" w:lineRule="exact"/>
        <w:jc w:val="both"/>
        <w:outlineLvl w:val="0"/>
        <w:rPr>
          <w:rFonts w:hAnsi="宋体"/>
          <w:b/>
          <w:color w:val="auto"/>
        </w:rPr>
      </w:pPr>
      <w:bookmarkStart w:id="27" w:name="_Toc283559951"/>
      <w:r>
        <w:rPr>
          <w:rFonts w:hAnsi="宋体"/>
          <w:b/>
          <w:color w:val="auto"/>
        </w:rPr>
        <w:t xml:space="preserve">2. </w:t>
      </w:r>
      <w:r>
        <w:rPr>
          <w:rFonts w:hint="eastAsia" w:hAnsi="宋体"/>
          <w:b/>
          <w:color w:val="auto"/>
        </w:rPr>
        <w:t>招标文件</w:t>
      </w:r>
      <w:bookmarkEnd w:id="27"/>
    </w:p>
    <w:p>
      <w:pPr>
        <w:autoSpaceDE w:val="0"/>
        <w:autoSpaceDN w:val="0"/>
        <w:spacing w:line="450" w:lineRule="exact"/>
        <w:jc w:val="left"/>
        <w:outlineLvl w:val="0"/>
        <w:rPr>
          <w:rFonts w:hAnsi="宋体" w:cs="宋体"/>
          <w:b/>
          <w:sz w:val="24"/>
        </w:rPr>
      </w:pPr>
      <w:bookmarkStart w:id="28" w:name="_Toc283559952"/>
      <w:r>
        <w:rPr>
          <w:rFonts w:hAnsi="宋体" w:cs="宋体"/>
          <w:b/>
          <w:sz w:val="24"/>
        </w:rPr>
        <w:t xml:space="preserve">2.1 </w:t>
      </w:r>
      <w:r>
        <w:rPr>
          <w:rFonts w:hint="eastAsia" w:hAnsi="宋体" w:cs="宋体"/>
          <w:b/>
          <w:sz w:val="24"/>
        </w:rPr>
        <w:t>招标文件的组成</w:t>
      </w:r>
      <w:bookmarkEnd w:id="28"/>
    </w:p>
    <w:p>
      <w:pPr>
        <w:autoSpaceDE w:val="0"/>
        <w:autoSpaceDN w:val="0"/>
        <w:spacing w:line="450" w:lineRule="exact"/>
        <w:ind w:firstLine="480" w:firstLineChars="200"/>
        <w:jc w:val="left"/>
        <w:outlineLvl w:val="0"/>
        <w:rPr>
          <w:rFonts w:hAnsi="宋体" w:cs="宋体"/>
          <w:sz w:val="24"/>
        </w:rPr>
      </w:pPr>
      <w:r>
        <w:rPr>
          <w:rFonts w:hint="eastAsia" w:hAnsi="宋体" w:cs="宋体"/>
          <w:sz w:val="24"/>
        </w:rPr>
        <w:t>本招标文件包括：</w:t>
      </w:r>
    </w:p>
    <w:p>
      <w:pPr>
        <w:spacing w:line="450" w:lineRule="exact"/>
        <w:ind w:firstLine="410" w:firstLineChars="171"/>
        <w:rPr>
          <w:sz w:val="24"/>
        </w:rPr>
      </w:pPr>
      <w:r>
        <w:rPr>
          <w:rFonts w:hint="eastAsia"/>
          <w:sz w:val="24"/>
        </w:rPr>
        <w:t>（1）招标公告；</w:t>
      </w:r>
    </w:p>
    <w:p>
      <w:pPr>
        <w:spacing w:line="450" w:lineRule="exact"/>
        <w:ind w:firstLine="410" w:firstLineChars="171"/>
        <w:rPr>
          <w:sz w:val="24"/>
        </w:rPr>
      </w:pPr>
      <w:r>
        <w:rPr>
          <w:rFonts w:hint="eastAsia"/>
          <w:sz w:val="24"/>
        </w:rPr>
        <w:t>（2）投标人须知；</w:t>
      </w:r>
    </w:p>
    <w:p>
      <w:pPr>
        <w:spacing w:line="450" w:lineRule="exact"/>
        <w:ind w:firstLine="410" w:firstLineChars="171"/>
        <w:rPr>
          <w:sz w:val="24"/>
        </w:rPr>
      </w:pPr>
      <w:r>
        <w:rPr>
          <w:rFonts w:hint="eastAsia"/>
          <w:sz w:val="24"/>
        </w:rPr>
        <w:t>（3）评标办法；</w:t>
      </w:r>
    </w:p>
    <w:p>
      <w:pPr>
        <w:spacing w:line="450" w:lineRule="exact"/>
        <w:ind w:firstLine="410" w:firstLineChars="171"/>
        <w:rPr>
          <w:sz w:val="24"/>
        </w:rPr>
      </w:pPr>
      <w:r>
        <w:rPr>
          <w:rFonts w:hint="eastAsia"/>
          <w:sz w:val="24"/>
        </w:rPr>
        <w:t>（4）合同条款及格式；</w:t>
      </w:r>
    </w:p>
    <w:p>
      <w:pPr>
        <w:spacing w:line="450" w:lineRule="exact"/>
        <w:ind w:firstLine="410" w:firstLineChars="171"/>
        <w:rPr>
          <w:sz w:val="24"/>
        </w:rPr>
      </w:pPr>
      <w:r>
        <w:rPr>
          <w:rFonts w:hint="eastAsia"/>
          <w:sz w:val="24"/>
        </w:rPr>
        <w:t xml:space="preserve">（5）工程量清单； </w:t>
      </w:r>
    </w:p>
    <w:p>
      <w:pPr>
        <w:spacing w:line="450" w:lineRule="exact"/>
        <w:ind w:firstLine="410" w:firstLineChars="171"/>
        <w:rPr>
          <w:sz w:val="24"/>
        </w:rPr>
      </w:pPr>
      <w:r>
        <w:rPr>
          <w:rFonts w:hint="eastAsia"/>
          <w:sz w:val="24"/>
        </w:rPr>
        <w:t>（6）技术标准和要求；</w:t>
      </w:r>
    </w:p>
    <w:p>
      <w:pPr>
        <w:spacing w:line="450" w:lineRule="exact"/>
        <w:ind w:firstLine="410" w:firstLineChars="171"/>
        <w:rPr>
          <w:sz w:val="24"/>
        </w:rPr>
      </w:pPr>
      <w:r>
        <w:rPr>
          <w:rFonts w:hint="eastAsia"/>
          <w:sz w:val="24"/>
        </w:rPr>
        <w:t>（7）投标文件格式；</w:t>
      </w:r>
    </w:p>
    <w:p>
      <w:pPr>
        <w:spacing w:line="450" w:lineRule="exact"/>
        <w:ind w:firstLine="410" w:firstLineChars="171"/>
        <w:rPr>
          <w:sz w:val="24"/>
        </w:rPr>
      </w:pPr>
      <w:r>
        <w:rPr>
          <w:rFonts w:hint="eastAsia"/>
          <w:sz w:val="24"/>
        </w:rPr>
        <w:t>（8）投标人须知前附表规定的其他材料；</w:t>
      </w:r>
    </w:p>
    <w:p>
      <w:pPr>
        <w:autoSpaceDE w:val="0"/>
        <w:autoSpaceDN w:val="0"/>
        <w:spacing w:line="450" w:lineRule="exact"/>
        <w:ind w:firstLine="480" w:firstLineChars="200"/>
        <w:jc w:val="left"/>
        <w:outlineLvl w:val="0"/>
        <w:rPr>
          <w:rFonts w:hAnsi="宋体" w:cs="宋体"/>
          <w:sz w:val="24"/>
        </w:rPr>
      </w:pPr>
      <w:r>
        <w:rPr>
          <w:rFonts w:hint="eastAsia" w:hAnsi="宋体" w:cs="宋体"/>
          <w:sz w:val="24"/>
        </w:rPr>
        <w:t>根据本章第</w:t>
      </w:r>
      <w:r>
        <w:rPr>
          <w:rFonts w:hAnsi="宋体" w:cs="宋体"/>
          <w:sz w:val="24"/>
        </w:rPr>
        <w:t xml:space="preserve">2.2 </w:t>
      </w:r>
      <w:r>
        <w:rPr>
          <w:rFonts w:hint="eastAsia" w:hAnsi="宋体" w:cs="宋体"/>
          <w:sz w:val="24"/>
        </w:rPr>
        <w:t>款和第</w:t>
      </w:r>
      <w:r>
        <w:rPr>
          <w:rFonts w:hAnsi="宋体" w:cs="宋体"/>
          <w:sz w:val="24"/>
        </w:rPr>
        <w:t xml:space="preserve">2.3 </w:t>
      </w:r>
      <w:r>
        <w:rPr>
          <w:rFonts w:hint="eastAsia" w:hAnsi="宋体" w:cs="宋体"/>
          <w:sz w:val="24"/>
        </w:rPr>
        <w:t>款对招标文件所作的澄清、修改，构成招标文件的组成部分。</w:t>
      </w:r>
    </w:p>
    <w:p>
      <w:pPr>
        <w:autoSpaceDE w:val="0"/>
        <w:autoSpaceDN w:val="0"/>
        <w:spacing w:line="450" w:lineRule="exact"/>
        <w:jc w:val="left"/>
        <w:outlineLvl w:val="0"/>
        <w:rPr>
          <w:rFonts w:hAnsi="宋体" w:cs="宋体"/>
          <w:b/>
          <w:sz w:val="24"/>
        </w:rPr>
      </w:pPr>
      <w:bookmarkStart w:id="29" w:name="_Toc283559953"/>
      <w:r>
        <w:rPr>
          <w:rFonts w:hAnsi="宋体" w:cs="宋体"/>
          <w:b/>
          <w:sz w:val="24"/>
        </w:rPr>
        <w:t xml:space="preserve">2.2 </w:t>
      </w:r>
      <w:r>
        <w:rPr>
          <w:rFonts w:hint="eastAsia" w:hAnsi="宋体" w:cs="宋体"/>
          <w:b/>
          <w:sz w:val="24"/>
        </w:rPr>
        <w:t>招标文件的澄清</w:t>
      </w:r>
      <w:bookmarkEnd w:id="29"/>
    </w:p>
    <w:p>
      <w:pPr>
        <w:spacing w:line="450" w:lineRule="exact"/>
        <w:ind w:firstLine="410" w:firstLineChars="171"/>
        <w:rPr>
          <w:sz w:val="24"/>
        </w:rPr>
      </w:pPr>
      <w:bookmarkStart w:id="30" w:name="_Toc283559954"/>
      <w:r>
        <w:rPr>
          <w:rFonts w:hint="eastAsia"/>
          <w:sz w:val="24"/>
        </w:rPr>
        <w:t>2.2.1 投标人应仔细阅读和检查招标文件的全部内容。如发现缺页或附件不全，应及时向招标人提出，以便补齐。如有疑问，应在投标人须知前附表规定的时间要求招标人对招标文件予以澄清。</w:t>
      </w:r>
      <w:r>
        <w:rPr>
          <w:rFonts w:hint="eastAsia"/>
          <w:b/>
          <w:bCs/>
          <w:sz w:val="24"/>
        </w:rPr>
        <w:t>如未提出异议，视为全面接受。</w:t>
      </w:r>
    </w:p>
    <w:p>
      <w:pPr>
        <w:spacing w:line="450" w:lineRule="exact"/>
        <w:ind w:firstLine="410" w:firstLineChars="171"/>
        <w:rPr>
          <w:sz w:val="24"/>
        </w:rPr>
      </w:pPr>
      <w:r>
        <w:rPr>
          <w:rFonts w:hint="eastAsia"/>
          <w:sz w:val="24"/>
        </w:rPr>
        <w:t>2.2.2 招标文件的澄清将在投标人须知前附表规定的投标截止时间15天前通过【全国公共资源交易平台（河南省·许昌市）】公共资源交易系统发出，但不指明澄清问题的来源。如果澄清发出的时间距投标截止时间不足15天，相应延长投标截止时间。</w:t>
      </w:r>
    </w:p>
    <w:p>
      <w:pPr>
        <w:spacing w:line="450" w:lineRule="exact"/>
        <w:ind w:firstLine="410" w:firstLineChars="171"/>
        <w:rPr>
          <w:sz w:val="24"/>
        </w:rPr>
      </w:pPr>
      <w:r>
        <w:rPr>
          <w:rFonts w:hint="eastAsia"/>
          <w:sz w:val="24"/>
        </w:rPr>
        <w:t>2.2.3 所有澄清、答疑全部以【全国公共资源交易平台（河南省·许昌市）】公共资源交易系统发出的为准，不再接受书面形式的递交。</w:t>
      </w:r>
    </w:p>
    <w:p>
      <w:pPr>
        <w:autoSpaceDE w:val="0"/>
        <w:autoSpaceDN w:val="0"/>
        <w:spacing w:line="450" w:lineRule="exact"/>
        <w:jc w:val="left"/>
        <w:outlineLvl w:val="0"/>
        <w:rPr>
          <w:rFonts w:hAnsi="宋体" w:cs="宋体"/>
          <w:b/>
          <w:sz w:val="24"/>
        </w:rPr>
      </w:pPr>
      <w:r>
        <w:rPr>
          <w:rFonts w:hAnsi="宋体" w:cs="宋体"/>
          <w:b/>
          <w:sz w:val="24"/>
        </w:rPr>
        <w:t xml:space="preserve">2.3 </w:t>
      </w:r>
      <w:r>
        <w:rPr>
          <w:rFonts w:hint="eastAsia" w:hAnsi="宋体" w:cs="宋体"/>
          <w:b/>
          <w:sz w:val="24"/>
        </w:rPr>
        <w:t>招标文件的修改</w:t>
      </w:r>
      <w:bookmarkEnd w:id="30"/>
    </w:p>
    <w:p>
      <w:pPr>
        <w:autoSpaceDE w:val="0"/>
        <w:autoSpaceDN w:val="0"/>
        <w:spacing w:line="420" w:lineRule="exact"/>
        <w:ind w:firstLine="480" w:firstLineChars="200"/>
        <w:jc w:val="left"/>
        <w:outlineLvl w:val="0"/>
        <w:rPr>
          <w:rFonts w:hAnsi="宋体" w:cs="宋体"/>
          <w:sz w:val="24"/>
        </w:rPr>
      </w:pPr>
      <w:r>
        <w:rPr>
          <w:rFonts w:hAnsi="宋体" w:cs="宋体"/>
          <w:sz w:val="24"/>
        </w:rPr>
        <w:t xml:space="preserve">2.3.1 </w:t>
      </w:r>
      <w:r>
        <w:rPr>
          <w:rFonts w:hint="eastAsia" w:hAnsi="宋体" w:cs="宋体"/>
          <w:sz w:val="24"/>
        </w:rPr>
        <w:t>在投标截止时间</w:t>
      </w:r>
      <w:r>
        <w:rPr>
          <w:rFonts w:hAnsi="宋体" w:cs="宋体"/>
          <w:sz w:val="24"/>
        </w:rPr>
        <w:t>15</w:t>
      </w:r>
      <w:r>
        <w:rPr>
          <w:rFonts w:hint="eastAsia" w:hAnsi="宋体" w:cs="宋体"/>
          <w:sz w:val="24"/>
        </w:rPr>
        <w:t>天前，招标人可以通过公共资源交易系统电子平台修改招标文件，如果修改招标文件的时间距投标截止时间不足</w:t>
      </w:r>
      <w:r>
        <w:rPr>
          <w:rFonts w:hAnsi="宋体" w:cs="宋体"/>
          <w:sz w:val="24"/>
        </w:rPr>
        <w:t xml:space="preserve">15 </w:t>
      </w:r>
      <w:r>
        <w:rPr>
          <w:rFonts w:hint="eastAsia" w:hAnsi="宋体" w:cs="宋体"/>
          <w:sz w:val="24"/>
        </w:rPr>
        <w:t>天，相应延长投标截止时间。</w:t>
      </w:r>
    </w:p>
    <w:p>
      <w:pPr>
        <w:autoSpaceDE w:val="0"/>
        <w:autoSpaceDN w:val="0"/>
        <w:spacing w:line="420" w:lineRule="exact"/>
        <w:ind w:firstLine="480" w:firstLineChars="200"/>
        <w:jc w:val="left"/>
        <w:outlineLvl w:val="0"/>
        <w:rPr>
          <w:rFonts w:hAnsi="宋体" w:cs="宋体"/>
          <w:sz w:val="24"/>
        </w:rPr>
      </w:pPr>
      <w:r>
        <w:rPr>
          <w:rFonts w:hAnsi="宋体" w:cs="宋体"/>
          <w:sz w:val="24"/>
        </w:rPr>
        <w:t xml:space="preserve">2.3.2 </w:t>
      </w:r>
      <w:r>
        <w:rPr>
          <w:rFonts w:hint="eastAsia" w:hAnsi="宋体" w:cs="宋体"/>
          <w:sz w:val="24"/>
        </w:rPr>
        <w:t>当招标文件、补充通知、答疑纪要，内容相互矛盾时，以最后发出的通知或纪要为准。</w:t>
      </w:r>
    </w:p>
    <w:p>
      <w:pPr>
        <w:autoSpaceDE w:val="0"/>
        <w:autoSpaceDN w:val="0"/>
        <w:spacing w:line="420" w:lineRule="exact"/>
        <w:jc w:val="left"/>
        <w:outlineLvl w:val="0"/>
        <w:rPr>
          <w:rFonts w:hAnsi="宋体" w:cs="宋体"/>
          <w:b/>
          <w:sz w:val="24"/>
        </w:rPr>
      </w:pPr>
      <w:bookmarkStart w:id="31" w:name="_Toc152045546"/>
      <w:bookmarkStart w:id="32" w:name="_Toc179632564"/>
      <w:bookmarkStart w:id="33" w:name="_Toc152042322"/>
      <w:bookmarkStart w:id="34" w:name="_Toc144974514"/>
      <w:r>
        <w:rPr>
          <w:rFonts w:hint="eastAsia" w:hAnsi="宋体" w:cs="宋体"/>
          <w:b/>
          <w:sz w:val="24"/>
        </w:rPr>
        <w:t>3. 投标文件</w:t>
      </w:r>
      <w:bookmarkEnd w:id="31"/>
      <w:bookmarkEnd w:id="32"/>
      <w:bookmarkEnd w:id="33"/>
      <w:bookmarkEnd w:id="34"/>
    </w:p>
    <w:p>
      <w:pPr>
        <w:autoSpaceDE w:val="0"/>
        <w:autoSpaceDN w:val="0"/>
        <w:spacing w:line="420" w:lineRule="exact"/>
        <w:jc w:val="left"/>
        <w:outlineLvl w:val="0"/>
        <w:rPr>
          <w:rFonts w:hAnsi="宋体" w:cs="宋体"/>
          <w:b/>
          <w:sz w:val="24"/>
        </w:rPr>
      </w:pPr>
      <w:bookmarkStart w:id="35" w:name="_Toc278443453"/>
      <w:r>
        <w:rPr>
          <w:rFonts w:hint="eastAsia" w:hAnsi="宋体" w:cs="宋体"/>
          <w:b/>
          <w:sz w:val="24"/>
        </w:rPr>
        <w:t>3.1投标文件由商务标、综合（信用）标和技术标三部分组成。</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3.1.1 商务标组成：</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已标价工程量清单。</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3.1.2 综合（信用）标组成：</w:t>
      </w:r>
    </w:p>
    <w:p>
      <w:pPr>
        <w:autoSpaceDE w:val="0"/>
        <w:autoSpaceDN w:val="0"/>
        <w:spacing w:line="420" w:lineRule="exact"/>
        <w:ind w:firstLine="480" w:firstLineChars="200"/>
        <w:jc w:val="left"/>
        <w:outlineLvl w:val="0"/>
        <w:rPr>
          <w:rFonts w:hint="eastAsia" w:hAnsi="宋体" w:cs="宋体"/>
          <w:sz w:val="24"/>
          <w:szCs w:val="22"/>
        </w:rPr>
      </w:pPr>
      <w:r>
        <w:rPr>
          <w:rFonts w:hint="eastAsia" w:hAnsi="宋体" w:cs="宋体"/>
          <w:sz w:val="24"/>
          <w:szCs w:val="22"/>
          <w:lang w:eastAsia="zh-CN"/>
        </w:rPr>
        <w:t>（</w:t>
      </w:r>
      <w:r>
        <w:rPr>
          <w:rFonts w:hint="eastAsia" w:hAnsi="宋体" w:cs="宋体"/>
          <w:sz w:val="24"/>
          <w:szCs w:val="22"/>
          <w:lang w:val="en-US" w:eastAsia="zh-CN"/>
        </w:rPr>
        <w:t>1</w:t>
      </w:r>
      <w:r>
        <w:rPr>
          <w:rFonts w:hint="eastAsia" w:hAnsi="宋体" w:cs="宋体"/>
          <w:sz w:val="24"/>
          <w:szCs w:val="22"/>
          <w:lang w:eastAsia="zh-CN"/>
        </w:rPr>
        <w:t>）</w:t>
      </w:r>
      <w:r>
        <w:rPr>
          <w:rFonts w:hint="eastAsia" w:hAnsi="宋体" w:cs="宋体"/>
          <w:sz w:val="24"/>
          <w:szCs w:val="22"/>
        </w:rPr>
        <w:t>投标函；</w:t>
      </w:r>
    </w:p>
    <w:p>
      <w:pPr>
        <w:autoSpaceDE w:val="0"/>
        <w:autoSpaceDN w:val="0"/>
        <w:spacing w:line="420" w:lineRule="exact"/>
        <w:ind w:firstLine="480" w:firstLineChars="200"/>
        <w:jc w:val="left"/>
        <w:outlineLvl w:val="0"/>
        <w:rPr>
          <w:rFonts w:hint="eastAsia" w:hAnsi="宋体" w:cs="宋体"/>
          <w:sz w:val="24"/>
          <w:szCs w:val="22"/>
        </w:rPr>
      </w:pPr>
      <w:r>
        <w:rPr>
          <w:rFonts w:hint="eastAsia" w:hAnsi="宋体" w:cs="宋体"/>
          <w:sz w:val="24"/>
          <w:szCs w:val="22"/>
          <w:lang w:val="en-US" w:eastAsia="zh-CN"/>
        </w:rPr>
        <w:t>（2）</w:t>
      </w:r>
      <w:r>
        <w:rPr>
          <w:rFonts w:hint="eastAsia" w:hAnsi="宋体" w:cs="宋体"/>
          <w:sz w:val="24"/>
          <w:szCs w:val="22"/>
        </w:rPr>
        <w:t>投标函附录；</w:t>
      </w:r>
    </w:p>
    <w:p>
      <w:pPr>
        <w:autoSpaceDE w:val="0"/>
        <w:autoSpaceDN w:val="0"/>
        <w:spacing w:line="420" w:lineRule="exact"/>
        <w:ind w:firstLine="480" w:firstLineChars="200"/>
        <w:jc w:val="left"/>
        <w:outlineLvl w:val="0"/>
        <w:rPr>
          <w:rFonts w:hint="eastAsia" w:hAnsi="宋体" w:cs="宋体"/>
          <w:sz w:val="24"/>
          <w:szCs w:val="22"/>
        </w:rPr>
      </w:pPr>
      <w:r>
        <w:rPr>
          <w:rFonts w:hint="eastAsia" w:hAnsi="宋体" w:cs="宋体"/>
          <w:sz w:val="24"/>
          <w:szCs w:val="22"/>
          <w:lang w:eastAsia="zh-CN"/>
        </w:rPr>
        <w:t>（</w:t>
      </w:r>
      <w:r>
        <w:rPr>
          <w:rFonts w:hint="eastAsia" w:hAnsi="宋体" w:cs="宋体"/>
          <w:sz w:val="24"/>
          <w:szCs w:val="22"/>
          <w:lang w:val="en-US" w:eastAsia="zh-CN"/>
        </w:rPr>
        <w:t>3</w:t>
      </w:r>
      <w:r>
        <w:rPr>
          <w:rFonts w:hint="eastAsia" w:hAnsi="宋体" w:cs="宋体"/>
          <w:sz w:val="24"/>
          <w:szCs w:val="22"/>
          <w:lang w:eastAsia="zh-CN"/>
        </w:rPr>
        <w:t>）</w:t>
      </w:r>
      <w:r>
        <w:rPr>
          <w:rFonts w:hint="eastAsia" w:hAnsi="宋体" w:cs="宋体"/>
          <w:sz w:val="24"/>
          <w:szCs w:val="22"/>
        </w:rPr>
        <w:t>法定代表人身份证明、授权委托书；</w:t>
      </w:r>
    </w:p>
    <w:p>
      <w:pPr>
        <w:autoSpaceDE w:val="0"/>
        <w:autoSpaceDN w:val="0"/>
        <w:spacing w:line="420" w:lineRule="exact"/>
        <w:ind w:firstLine="480" w:firstLineChars="200"/>
        <w:jc w:val="left"/>
        <w:outlineLvl w:val="0"/>
        <w:rPr>
          <w:rFonts w:hint="eastAsia" w:hAnsi="宋体" w:cs="宋体"/>
          <w:sz w:val="24"/>
          <w:szCs w:val="22"/>
        </w:rPr>
      </w:pPr>
      <w:r>
        <w:rPr>
          <w:rFonts w:hint="eastAsia" w:hAnsi="宋体" w:cs="宋体"/>
          <w:sz w:val="24"/>
          <w:szCs w:val="22"/>
          <w:lang w:eastAsia="zh-CN"/>
        </w:rPr>
        <w:t>（</w:t>
      </w:r>
      <w:r>
        <w:rPr>
          <w:rFonts w:hint="eastAsia" w:hAnsi="宋体" w:cs="宋体"/>
          <w:sz w:val="24"/>
          <w:szCs w:val="22"/>
          <w:lang w:val="en-US" w:eastAsia="zh-CN"/>
        </w:rPr>
        <w:t>4</w:t>
      </w:r>
      <w:r>
        <w:rPr>
          <w:rFonts w:hint="eastAsia" w:hAnsi="宋体" w:cs="宋体"/>
          <w:sz w:val="24"/>
          <w:szCs w:val="22"/>
          <w:lang w:eastAsia="zh-CN"/>
        </w:rPr>
        <w:t>）</w:t>
      </w:r>
      <w:r>
        <w:rPr>
          <w:rFonts w:hint="eastAsia" w:hAnsi="宋体" w:cs="宋体"/>
          <w:sz w:val="24"/>
          <w:szCs w:val="22"/>
        </w:rPr>
        <w:t>投标保证金；</w:t>
      </w:r>
    </w:p>
    <w:p>
      <w:pPr>
        <w:autoSpaceDE w:val="0"/>
        <w:autoSpaceDN w:val="0"/>
        <w:spacing w:line="420" w:lineRule="exact"/>
        <w:ind w:firstLine="480" w:firstLineChars="200"/>
        <w:jc w:val="left"/>
        <w:outlineLvl w:val="0"/>
        <w:rPr>
          <w:rFonts w:hint="eastAsia" w:hAnsi="宋体" w:cs="宋体"/>
          <w:sz w:val="24"/>
          <w:szCs w:val="22"/>
        </w:rPr>
      </w:pPr>
      <w:r>
        <w:rPr>
          <w:rFonts w:hint="eastAsia" w:hAnsi="宋体" w:cs="宋体"/>
          <w:sz w:val="24"/>
          <w:szCs w:val="22"/>
          <w:lang w:eastAsia="zh-CN"/>
        </w:rPr>
        <w:t>（</w:t>
      </w:r>
      <w:r>
        <w:rPr>
          <w:rFonts w:hint="eastAsia" w:hAnsi="宋体" w:cs="宋体"/>
          <w:sz w:val="24"/>
          <w:szCs w:val="22"/>
          <w:lang w:val="en-US" w:eastAsia="zh-CN"/>
        </w:rPr>
        <w:t>5</w:t>
      </w:r>
      <w:r>
        <w:rPr>
          <w:rFonts w:hint="eastAsia" w:hAnsi="宋体" w:cs="宋体"/>
          <w:sz w:val="24"/>
          <w:szCs w:val="22"/>
          <w:lang w:eastAsia="zh-CN"/>
        </w:rPr>
        <w:t>）</w:t>
      </w:r>
      <w:r>
        <w:rPr>
          <w:rFonts w:hint="eastAsia" w:hAnsi="宋体" w:cs="宋体"/>
          <w:sz w:val="24"/>
          <w:szCs w:val="22"/>
        </w:rPr>
        <w:t>项目管理机构配备情况；</w:t>
      </w:r>
    </w:p>
    <w:p>
      <w:pPr>
        <w:autoSpaceDE w:val="0"/>
        <w:autoSpaceDN w:val="0"/>
        <w:spacing w:line="420" w:lineRule="exact"/>
        <w:ind w:firstLine="480" w:firstLineChars="200"/>
        <w:jc w:val="left"/>
        <w:outlineLvl w:val="0"/>
        <w:rPr>
          <w:rFonts w:hint="eastAsia" w:hAnsi="宋体" w:eastAsia="宋体" w:cs="宋体"/>
          <w:sz w:val="24"/>
          <w:szCs w:val="22"/>
          <w:lang w:eastAsia="zh-CN"/>
        </w:rPr>
      </w:pPr>
      <w:r>
        <w:rPr>
          <w:rFonts w:hint="eastAsia" w:hAnsi="宋体" w:cs="宋体"/>
          <w:sz w:val="24"/>
          <w:szCs w:val="22"/>
          <w:lang w:eastAsia="zh-CN"/>
        </w:rPr>
        <w:t>（</w:t>
      </w:r>
      <w:r>
        <w:rPr>
          <w:rFonts w:hint="eastAsia" w:hAnsi="宋体" w:cs="宋体"/>
          <w:sz w:val="24"/>
          <w:szCs w:val="22"/>
          <w:lang w:val="en-US" w:eastAsia="zh-CN"/>
        </w:rPr>
        <w:t>6</w:t>
      </w:r>
      <w:r>
        <w:rPr>
          <w:rFonts w:hint="eastAsia" w:hAnsi="宋体" w:cs="宋体"/>
          <w:sz w:val="24"/>
          <w:szCs w:val="22"/>
          <w:lang w:eastAsia="zh-CN"/>
        </w:rPr>
        <w:t>）</w:t>
      </w:r>
      <w:r>
        <w:rPr>
          <w:rFonts w:hint="eastAsia" w:hAnsi="宋体" w:cs="宋体"/>
          <w:sz w:val="24"/>
          <w:szCs w:val="22"/>
        </w:rPr>
        <w:t>投标单位基本信息表</w:t>
      </w:r>
      <w:r>
        <w:rPr>
          <w:rFonts w:hint="eastAsia" w:hAnsi="宋体" w:cs="宋体"/>
          <w:sz w:val="24"/>
          <w:szCs w:val="22"/>
          <w:lang w:eastAsia="zh-CN"/>
        </w:rPr>
        <w:t>；</w:t>
      </w:r>
    </w:p>
    <w:p>
      <w:pPr>
        <w:autoSpaceDE w:val="0"/>
        <w:autoSpaceDN w:val="0"/>
        <w:spacing w:line="420" w:lineRule="exact"/>
        <w:ind w:firstLine="480" w:firstLineChars="200"/>
        <w:jc w:val="left"/>
        <w:outlineLvl w:val="0"/>
        <w:rPr>
          <w:rFonts w:hint="eastAsia" w:hAnsi="宋体" w:cs="宋体"/>
          <w:sz w:val="24"/>
          <w:szCs w:val="22"/>
        </w:rPr>
      </w:pPr>
      <w:r>
        <w:rPr>
          <w:rFonts w:hint="eastAsia" w:hAnsi="宋体" w:cs="宋体"/>
          <w:sz w:val="24"/>
          <w:szCs w:val="22"/>
          <w:lang w:eastAsia="zh-CN"/>
        </w:rPr>
        <w:t>（</w:t>
      </w:r>
      <w:r>
        <w:rPr>
          <w:rFonts w:hint="eastAsia" w:hAnsi="宋体" w:cs="宋体"/>
          <w:sz w:val="24"/>
          <w:szCs w:val="22"/>
          <w:lang w:val="en-US" w:eastAsia="zh-CN"/>
        </w:rPr>
        <w:t>7</w:t>
      </w:r>
      <w:r>
        <w:rPr>
          <w:rFonts w:hint="eastAsia" w:hAnsi="宋体" w:cs="宋体"/>
          <w:sz w:val="24"/>
          <w:szCs w:val="22"/>
          <w:lang w:eastAsia="zh-CN"/>
        </w:rPr>
        <w:t>）</w:t>
      </w:r>
      <w:r>
        <w:rPr>
          <w:rFonts w:hint="eastAsia" w:hAnsi="宋体" w:cs="宋体"/>
          <w:sz w:val="24"/>
          <w:szCs w:val="22"/>
        </w:rPr>
        <w:t>资格证明文件；</w:t>
      </w:r>
    </w:p>
    <w:p>
      <w:pPr>
        <w:autoSpaceDE w:val="0"/>
        <w:autoSpaceDN w:val="0"/>
        <w:spacing w:line="420" w:lineRule="exact"/>
        <w:ind w:firstLine="480" w:firstLineChars="200"/>
        <w:jc w:val="left"/>
        <w:outlineLvl w:val="0"/>
        <w:rPr>
          <w:rFonts w:hint="eastAsia" w:hAnsi="宋体" w:cs="宋体"/>
          <w:sz w:val="24"/>
          <w:szCs w:val="22"/>
        </w:rPr>
      </w:pPr>
      <w:r>
        <w:rPr>
          <w:rFonts w:hint="eastAsia" w:hAnsi="宋体" w:cs="宋体"/>
          <w:sz w:val="24"/>
          <w:szCs w:val="22"/>
          <w:lang w:eastAsia="zh-CN"/>
        </w:rPr>
        <w:t>（</w:t>
      </w:r>
      <w:r>
        <w:rPr>
          <w:rFonts w:hint="eastAsia" w:hAnsi="宋体" w:cs="宋体"/>
          <w:sz w:val="24"/>
          <w:szCs w:val="22"/>
          <w:lang w:val="en-US" w:eastAsia="zh-CN"/>
        </w:rPr>
        <w:t>8</w:t>
      </w:r>
      <w:r>
        <w:rPr>
          <w:rFonts w:hint="eastAsia" w:hAnsi="宋体" w:cs="宋体"/>
          <w:sz w:val="24"/>
          <w:szCs w:val="22"/>
          <w:lang w:eastAsia="zh-CN"/>
        </w:rPr>
        <w:t>）</w:t>
      </w:r>
      <w:r>
        <w:rPr>
          <w:rFonts w:hint="eastAsia" w:hAnsi="宋体" w:cs="宋体"/>
          <w:sz w:val="24"/>
          <w:szCs w:val="22"/>
        </w:rPr>
        <w:t>正在施工的和新承接的项目情况；</w:t>
      </w:r>
    </w:p>
    <w:p>
      <w:pPr>
        <w:autoSpaceDE w:val="0"/>
        <w:autoSpaceDN w:val="0"/>
        <w:spacing w:line="420" w:lineRule="exact"/>
        <w:ind w:firstLine="480" w:firstLineChars="200"/>
        <w:jc w:val="left"/>
        <w:outlineLvl w:val="0"/>
        <w:rPr>
          <w:rFonts w:hint="eastAsia" w:hAnsi="宋体" w:eastAsia="宋体" w:cs="宋体"/>
          <w:sz w:val="24"/>
          <w:szCs w:val="22"/>
          <w:lang w:eastAsia="zh-CN"/>
        </w:rPr>
      </w:pPr>
      <w:r>
        <w:rPr>
          <w:rFonts w:hint="eastAsia" w:hAnsi="宋体" w:cs="宋体"/>
          <w:sz w:val="24"/>
          <w:szCs w:val="22"/>
          <w:lang w:eastAsia="zh-CN"/>
        </w:rPr>
        <w:t>（</w:t>
      </w:r>
      <w:r>
        <w:rPr>
          <w:rFonts w:hint="eastAsia" w:hAnsi="宋体" w:cs="宋体"/>
          <w:sz w:val="24"/>
          <w:szCs w:val="22"/>
          <w:lang w:val="en-US" w:eastAsia="zh-CN"/>
        </w:rPr>
        <w:t>9</w:t>
      </w:r>
      <w:r>
        <w:rPr>
          <w:rFonts w:hint="eastAsia" w:hAnsi="宋体" w:cs="宋体"/>
          <w:sz w:val="24"/>
          <w:szCs w:val="22"/>
          <w:lang w:eastAsia="zh-CN"/>
        </w:rPr>
        <w:t>）</w:t>
      </w:r>
      <w:r>
        <w:rPr>
          <w:rFonts w:hint="eastAsia" w:hAnsi="宋体" w:cs="宋体"/>
          <w:sz w:val="24"/>
          <w:szCs w:val="22"/>
        </w:rPr>
        <w:t>其它材料</w:t>
      </w:r>
      <w:r>
        <w:rPr>
          <w:rFonts w:hint="eastAsia" w:hAnsi="宋体" w:cs="宋体"/>
          <w:sz w:val="24"/>
          <w:szCs w:val="22"/>
          <w:lang w:eastAsia="zh-CN"/>
        </w:rPr>
        <w:t>。</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3.1.3 技术标组成：</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（1）内容完整性和编制水平；</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（2）施工方案和技术措施；</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（3）质量管理体系与措施；</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（4）安全管理体系与措施；</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（5）环境保护管理体系与措施；</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（6）工程进度计划与措施；</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（7）拟投入资源配备计划；</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（8）施工进度表或施工网络图；</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（9）施工总平面布置图；</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（10）在节能减排、绿色施工（含扬尘治理）、工艺创新方面针对本工程有具体措施或企业自有创新技术；</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（11）新工艺、新技术、新设备、新材料的采用程度，其在确保质量、降低成本、缩短工期、减轻劳动强度、提高工效等方面的作用；</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（12）企业具备信息化管理平台，能够使工程管理者对现场实施监控和数据处理。</w:t>
      </w:r>
    </w:p>
    <w:p>
      <w:pPr>
        <w:autoSpaceDE w:val="0"/>
        <w:autoSpaceDN w:val="0"/>
        <w:spacing w:line="420" w:lineRule="exact"/>
        <w:jc w:val="left"/>
        <w:outlineLvl w:val="0"/>
        <w:rPr>
          <w:rFonts w:hAnsi="宋体" w:cs="宋体"/>
          <w:b/>
          <w:bCs/>
          <w:sz w:val="24"/>
        </w:rPr>
      </w:pPr>
      <w:r>
        <w:rPr>
          <w:rFonts w:hint="eastAsia" w:hAnsi="宋体" w:cs="宋体"/>
          <w:b/>
          <w:bCs/>
          <w:sz w:val="24"/>
        </w:rPr>
        <w:t>3.2 投标报价</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3.2.1 投标人应按第五章“工程量清单”的要求填写相应表格。</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3.2.2 投标人在投标截止时间前修改投标函中的投标总报价，应同时修改第五章“工程量清单”中的相应报价。此修改须符合本章第4.3款的有关要求。</w:t>
      </w:r>
    </w:p>
    <w:p>
      <w:pPr>
        <w:tabs>
          <w:tab w:val="left" w:pos="1260"/>
        </w:tabs>
        <w:autoSpaceDE w:val="0"/>
        <w:autoSpaceDN w:val="0"/>
        <w:adjustRightInd w:val="0"/>
        <w:spacing w:line="460" w:lineRule="exact"/>
        <w:ind w:firstLine="480" w:firstLineChars="200"/>
        <w:jc w:val="left"/>
        <w:rPr>
          <w:rFonts w:hAnsi="宋体" w:cs="宋体"/>
          <w:b/>
          <w:sz w:val="24"/>
          <w:szCs w:val="24"/>
        </w:rPr>
      </w:pPr>
      <w:bookmarkStart w:id="36" w:name="OLE_LINK21"/>
      <w:r>
        <w:rPr>
          <w:rFonts w:hint="eastAsia" w:hAnsi="宋体" w:cs="宋体"/>
          <w:b/>
          <w:sz w:val="24"/>
          <w:szCs w:val="24"/>
        </w:rPr>
        <w:t>3.2.3“规费和税金”的规定按照住建部《建设工程工程量清单计价规范》（GB50500-2013）及省住建厅有关规定，规费和税金应按规定费（税）率足额计取，即费（税）率不可竞争。规费、税金、安全文明施工措施费计入投标总报价，并在投标函、投标函附录中单列，不参与商务标评审。</w:t>
      </w:r>
    </w:p>
    <w:p>
      <w:pPr>
        <w:tabs>
          <w:tab w:val="left" w:pos="1260"/>
        </w:tabs>
        <w:autoSpaceDE w:val="0"/>
        <w:autoSpaceDN w:val="0"/>
        <w:adjustRightInd w:val="0"/>
        <w:spacing w:line="460" w:lineRule="exact"/>
        <w:ind w:firstLine="481"/>
        <w:jc w:val="left"/>
        <w:rPr>
          <w:rFonts w:hAnsi="宋体" w:cs="宋体"/>
          <w:b/>
          <w:sz w:val="24"/>
          <w:szCs w:val="24"/>
        </w:rPr>
      </w:pPr>
      <w:r>
        <w:rPr>
          <w:rFonts w:hint="eastAsia" w:hAnsi="宋体" w:cs="宋体"/>
          <w:b/>
          <w:sz w:val="24"/>
          <w:szCs w:val="24"/>
        </w:rPr>
        <w:t>3.2.4 根据《关于调整河南省建设工程安全文明施工措施费计取办法的通知》（豫建设标【2014】57号）规定，“安全文明施工措施费”是不可竞争费，即费率不可竞争；投标人编制投标报价时，应按省级主管部门规定的计价标准计取;根据建设部《建筑工程安全防护、文明施工措施费用及使用管理规定》（建办【2005】89号）要求，投标人在计取安全文明施工措施费时，不得高于招标控制价中安全文明施工措施费费用总额且不得低于90%。</w:t>
      </w:r>
    </w:p>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投标人编制投标报价时，同一投标文件综合工日应前后保持一致。</w:t>
      </w:r>
    </w:p>
    <w:p>
      <w:pPr>
        <w:tabs>
          <w:tab w:val="left" w:pos="1260"/>
        </w:tabs>
        <w:autoSpaceDE w:val="0"/>
        <w:autoSpaceDN w:val="0"/>
        <w:adjustRightInd w:val="0"/>
        <w:spacing w:line="460" w:lineRule="exact"/>
        <w:ind w:firstLine="481"/>
        <w:jc w:val="left"/>
        <w:rPr>
          <w:rFonts w:hAnsi="宋体" w:cs="宋体"/>
          <w:b/>
          <w:sz w:val="24"/>
          <w:szCs w:val="24"/>
        </w:rPr>
      </w:pPr>
      <w:r>
        <w:rPr>
          <w:rFonts w:hint="eastAsia" w:hAnsi="宋体" w:cs="宋体"/>
          <w:b/>
          <w:sz w:val="24"/>
          <w:szCs w:val="24"/>
        </w:rPr>
        <w:t>不按照以上要求编制投标报价的，视为违反《许昌市建设工程工程量清单招标评标办法（试行）》第八条第3款之规定，按废标处理。</w:t>
      </w:r>
    </w:p>
    <w:bookmarkEnd w:id="36"/>
    <w:p>
      <w:pPr>
        <w:autoSpaceDE w:val="0"/>
        <w:autoSpaceDN w:val="0"/>
        <w:spacing w:line="420" w:lineRule="exact"/>
        <w:jc w:val="left"/>
        <w:outlineLvl w:val="0"/>
        <w:rPr>
          <w:rFonts w:hAnsi="宋体" w:cs="宋体"/>
          <w:b/>
          <w:bCs/>
          <w:sz w:val="24"/>
        </w:rPr>
      </w:pPr>
      <w:r>
        <w:rPr>
          <w:rFonts w:hint="eastAsia" w:hAnsi="宋体" w:cs="宋体"/>
          <w:b/>
          <w:bCs/>
          <w:sz w:val="24"/>
        </w:rPr>
        <w:t>3.3 投标有效期</w:t>
      </w:r>
      <w:bookmarkEnd w:id="35"/>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ascii="新宋体" w:hAnsi="新宋体" w:eastAsia="新宋体" w:cs="仿宋_GB2312"/>
          <w:sz w:val="24"/>
        </w:rPr>
        <w:t>3.3.1</w:t>
      </w:r>
      <w:r>
        <w:rPr>
          <w:rFonts w:hint="eastAsia" w:ascii="新宋体" w:hAnsi="新宋体" w:eastAsia="新宋体" w:cs="仿宋_GB2312"/>
          <w:sz w:val="24"/>
        </w:rPr>
        <w:t xml:space="preserve"> 在投标人须知前附表规定的投标有效期内，投标人不得要求撤销或修改其投标文件。</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ascii="新宋体" w:hAnsi="新宋体" w:eastAsia="新宋体" w:cs="仿宋_GB2312"/>
          <w:sz w:val="24"/>
        </w:rPr>
        <w:t>3.3.2</w:t>
      </w:r>
      <w:r>
        <w:rPr>
          <w:rFonts w:hint="eastAsia" w:ascii="新宋体" w:hAnsi="新宋体" w:eastAsia="新宋体" w:cs="仿宋_GB2312"/>
          <w:sz w:val="24"/>
        </w:rPr>
        <w:t xml:space="preserve"> 出现特殊情况需要延长投标有效期的，</w:t>
      </w:r>
      <w:r>
        <w:rPr>
          <w:rFonts w:hint="eastAsia" w:ascii="新宋体" w:hAnsi="新宋体" w:eastAsia="新宋体"/>
          <w:sz w:val="24"/>
        </w:rPr>
        <w:t>招标人在公共资源交易系统电子平台发出延长投标有效期的通知</w:t>
      </w:r>
      <w:r>
        <w:rPr>
          <w:rFonts w:hint="eastAsia" w:ascii="新宋体" w:hAnsi="新宋体" w:eastAsia="新宋体" w:cs="仿宋_GB2312"/>
          <w:sz w:val="24"/>
        </w:rPr>
        <w:t>。投标人同意延长的，应相应延长其投标保证金的有效期，但不得要求或被允许修改或撤销其投标文件；投标人拒绝延长的，其投标失效，但投标人有权收回其投标保证金。</w:t>
      </w:r>
    </w:p>
    <w:p>
      <w:pPr>
        <w:widowControl/>
        <w:autoSpaceDE w:val="0"/>
        <w:autoSpaceDN w:val="0"/>
        <w:adjustRightInd w:val="0"/>
        <w:spacing w:line="400" w:lineRule="exact"/>
        <w:jc w:val="left"/>
        <w:outlineLvl w:val="0"/>
        <w:rPr>
          <w:rFonts w:hAnsi="宋体" w:cs="宋体"/>
          <w:b/>
          <w:bCs/>
          <w:sz w:val="24"/>
        </w:rPr>
      </w:pPr>
      <w:r>
        <w:rPr>
          <w:rFonts w:hint="eastAsia" w:hAnsi="宋体" w:cs="宋体"/>
          <w:b/>
          <w:bCs/>
          <w:sz w:val="24"/>
        </w:rPr>
        <w:t>3.4 投标保证金</w:t>
      </w:r>
      <w:r>
        <w:rPr>
          <w:rFonts w:hint="eastAsia" w:hAnsi="宋体" w:cs="宋体"/>
          <w:b/>
          <w:bCs/>
          <w:sz w:val="24"/>
          <w:szCs w:val="22"/>
        </w:rPr>
        <w:t>（见附表）</w:t>
      </w:r>
    </w:p>
    <w:p>
      <w:pPr>
        <w:spacing w:line="380" w:lineRule="exact"/>
        <w:ind w:firstLine="480" w:firstLineChars="200"/>
        <w:rPr>
          <w:rFonts w:hAnsi="宋体" w:cs="宋体"/>
          <w:sz w:val="24"/>
        </w:rPr>
      </w:pPr>
      <w:bookmarkStart w:id="37" w:name="_Toc283559960"/>
      <w:r>
        <w:rPr>
          <w:rFonts w:hint="eastAsia" w:hAnsi="宋体" w:cs="宋体"/>
          <w:sz w:val="24"/>
        </w:rPr>
        <w:t>1、 投标保证金的退还：</w:t>
      </w:r>
    </w:p>
    <w:p>
      <w:pPr>
        <w:spacing w:line="380" w:lineRule="exact"/>
        <w:ind w:firstLine="480" w:firstLineChars="200"/>
        <w:rPr>
          <w:rFonts w:hAnsi="宋体" w:cs="宋体"/>
          <w:sz w:val="24"/>
        </w:rPr>
      </w:pPr>
      <w:r>
        <w:rPr>
          <w:rFonts w:hint="eastAsia" w:hAnsi="宋体" w:cs="宋体"/>
          <w:sz w:val="24"/>
        </w:rPr>
        <w:t>（1）中标公告发出后，5个工作日内退还非中标候选人投标保证金及银行同期活期存款利息。</w:t>
      </w:r>
    </w:p>
    <w:p>
      <w:pPr>
        <w:spacing w:line="380" w:lineRule="exact"/>
        <w:ind w:firstLine="480" w:firstLineChars="200"/>
        <w:rPr>
          <w:rFonts w:hAnsi="宋体" w:cs="宋体"/>
          <w:sz w:val="24"/>
        </w:rPr>
      </w:pPr>
      <w:r>
        <w:rPr>
          <w:rFonts w:hint="eastAsia" w:hAnsi="宋体" w:cs="宋体"/>
          <w:sz w:val="24"/>
        </w:rPr>
        <w:t>（2）在法定期限内签订书面合同，中标人执投标保证金退还申请表（单位加盖行政公章）及合同原件</w:t>
      </w:r>
      <w:r>
        <w:rPr>
          <w:rFonts w:hint="eastAsia" w:hAnsi="宋体" w:cs="宋体"/>
          <w:sz w:val="24"/>
          <w:lang w:eastAsia="zh-CN"/>
        </w:rPr>
        <w:t>、</w:t>
      </w:r>
      <w:r>
        <w:rPr>
          <w:rFonts w:hint="eastAsia" w:hAnsi="宋体" w:cs="宋体"/>
          <w:sz w:val="24"/>
          <w:lang w:val="en-US" w:eastAsia="zh-CN"/>
        </w:rPr>
        <w:t>履约保证金转帐凭证</w:t>
      </w:r>
      <w:r>
        <w:rPr>
          <w:rFonts w:hint="eastAsia" w:hAnsi="宋体" w:cs="宋体"/>
          <w:sz w:val="24"/>
        </w:rPr>
        <w:t>到中心业务部室办理退款手续，中心在5个工作日内向中标人和其他中标候选人退还投标保证金及银行同期活期存款利息。</w:t>
      </w:r>
    </w:p>
    <w:p>
      <w:pPr>
        <w:spacing w:line="380" w:lineRule="exact"/>
        <w:ind w:firstLine="480" w:firstLineChars="200"/>
        <w:rPr>
          <w:rFonts w:hAnsi="宋体" w:cs="宋体"/>
          <w:sz w:val="24"/>
        </w:rPr>
      </w:pPr>
      <w:r>
        <w:rPr>
          <w:rFonts w:hint="eastAsia" w:hAnsi="宋体" w:cs="宋体"/>
          <w:sz w:val="24"/>
        </w:rPr>
        <w:t>（3）项目废标或招标人终止招标的，在此后5个工作日内退还投标保证金及银行同期活期存利息。</w:t>
      </w:r>
    </w:p>
    <w:p>
      <w:pPr>
        <w:spacing w:line="380" w:lineRule="exact"/>
        <w:ind w:firstLine="480" w:firstLineChars="200"/>
        <w:rPr>
          <w:rFonts w:hAnsi="宋体" w:cs="宋体"/>
          <w:sz w:val="24"/>
        </w:rPr>
      </w:pPr>
      <w:r>
        <w:rPr>
          <w:rFonts w:hint="eastAsia" w:hAnsi="宋体" w:cs="宋体"/>
          <w:sz w:val="24"/>
        </w:rPr>
        <w:t>（4）投标活动中出现质疑、投诉的，中标候选人、质疑人和被质疑人、投诉人和被投诉人的投标保证金暂停退还。</w:t>
      </w:r>
    </w:p>
    <w:p>
      <w:pPr>
        <w:spacing w:line="380" w:lineRule="exact"/>
        <w:ind w:firstLine="480" w:firstLineChars="200"/>
        <w:rPr>
          <w:rFonts w:hAnsi="宋体" w:cs="宋体"/>
          <w:sz w:val="24"/>
        </w:rPr>
      </w:pPr>
      <w:r>
        <w:rPr>
          <w:rFonts w:hint="eastAsia" w:hAnsi="宋体" w:cs="宋体"/>
          <w:sz w:val="24"/>
        </w:rPr>
        <w:t>（5）相关投标人有违法违规行为的项目，其投标保证金暂不退还，待行政监督部门对相关情况处置后，按照有关规定办理。</w:t>
      </w:r>
    </w:p>
    <w:p>
      <w:pPr>
        <w:spacing w:line="380" w:lineRule="exact"/>
        <w:ind w:firstLine="480" w:firstLineChars="200"/>
        <w:rPr>
          <w:rFonts w:hAnsi="宋体" w:cs="宋体"/>
          <w:sz w:val="24"/>
        </w:rPr>
      </w:pPr>
      <w:r>
        <w:rPr>
          <w:rFonts w:hint="eastAsia" w:hAnsi="宋体" w:cs="宋体"/>
          <w:sz w:val="24"/>
        </w:rPr>
        <w:t>（6）退还投标保证金，除另有规定外，一般以转账方式一次性退还至投标保证金的原提交账户。</w:t>
      </w:r>
    </w:p>
    <w:p>
      <w:pPr>
        <w:spacing w:line="380" w:lineRule="exact"/>
        <w:ind w:firstLine="480" w:firstLineChars="200"/>
        <w:rPr>
          <w:rFonts w:hAnsi="宋体" w:cs="宋体"/>
          <w:sz w:val="24"/>
        </w:rPr>
      </w:pPr>
      <w:r>
        <w:rPr>
          <w:rFonts w:hint="eastAsia" w:hAnsi="宋体" w:cs="宋体"/>
          <w:sz w:val="24"/>
        </w:rPr>
        <w:t>2、投标人有下列情形之一的，不予退还投标保证金：</w:t>
      </w:r>
    </w:p>
    <w:p>
      <w:pPr>
        <w:spacing w:line="380" w:lineRule="exact"/>
        <w:ind w:firstLine="480" w:firstLineChars="200"/>
        <w:rPr>
          <w:rFonts w:hAnsi="宋体" w:cs="宋体"/>
          <w:sz w:val="24"/>
        </w:rPr>
      </w:pPr>
      <w:r>
        <w:rPr>
          <w:rFonts w:hint="eastAsia" w:hAnsi="宋体" w:cs="宋体"/>
          <w:sz w:val="24"/>
        </w:rPr>
        <w:t xml:space="preserve">（一）在招标文件要求提交投标文件的截止时间后至投标文件有效期满前撤回投标的； </w:t>
      </w:r>
    </w:p>
    <w:p>
      <w:pPr>
        <w:spacing w:line="380" w:lineRule="exact"/>
        <w:ind w:firstLine="480" w:firstLineChars="200"/>
        <w:rPr>
          <w:rFonts w:hAnsi="宋体" w:cs="宋体"/>
          <w:sz w:val="24"/>
        </w:rPr>
      </w:pPr>
      <w:r>
        <w:rPr>
          <w:rFonts w:hint="eastAsia" w:hAnsi="宋体" w:cs="宋体"/>
          <w:sz w:val="24"/>
        </w:rPr>
        <w:t xml:space="preserve">（二）中标通知书发出后，中标人无故放弃中标项目或无正当理由在规定时间内不与招标人签订合同或未按招标文件规定提交履约担保的； </w:t>
      </w:r>
    </w:p>
    <w:p>
      <w:pPr>
        <w:spacing w:line="380" w:lineRule="exact"/>
        <w:ind w:firstLine="480" w:firstLineChars="200"/>
        <w:rPr>
          <w:rFonts w:hAnsi="宋体" w:cs="宋体"/>
          <w:sz w:val="24"/>
        </w:rPr>
      </w:pPr>
      <w:r>
        <w:rPr>
          <w:rFonts w:hint="eastAsia" w:hAnsi="宋体" w:cs="宋体"/>
          <w:sz w:val="24"/>
        </w:rPr>
        <w:t xml:space="preserve">（三）将中标项目转让给他人，或者在投标文件中未说明，且未经招标人同意，将中标项目分包给他人的； </w:t>
      </w:r>
    </w:p>
    <w:p>
      <w:pPr>
        <w:spacing w:line="380" w:lineRule="exact"/>
        <w:ind w:firstLine="480" w:firstLineChars="200"/>
        <w:rPr>
          <w:rFonts w:hAnsi="宋体" w:cs="宋体"/>
          <w:sz w:val="24"/>
        </w:rPr>
      </w:pPr>
      <w:r>
        <w:rPr>
          <w:rFonts w:hint="eastAsia" w:hAnsi="宋体" w:cs="宋体"/>
          <w:sz w:val="24"/>
        </w:rPr>
        <w:t xml:space="preserve">（四）投标人在招投标活动中弄虚作假、围标串标，骗取中标并经招投标行政监督部门调查核实的； </w:t>
      </w:r>
    </w:p>
    <w:p>
      <w:pPr>
        <w:spacing w:line="380" w:lineRule="exact"/>
        <w:ind w:firstLine="480" w:firstLineChars="200"/>
        <w:rPr>
          <w:rFonts w:hAnsi="宋体" w:cs="宋体"/>
          <w:sz w:val="24"/>
        </w:rPr>
      </w:pPr>
      <w:r>
        <w:rPr>
          <w:rFonts w:hint="eastAsia" w:hAnsi="宋体" w:cs="宋体"/>
          <w:sz w:val="24"/>
        </w:rPr>
        <w:t>（五）拒绝履行合同义务的；</w:t>
      </w:r>
    </w:p>
    <w:p>
      <w:pPr>
        <w:spacing w:line="380" w:lineRule="exact"/>
        <w:ind w:firstLine="480" w:firstLineChars="200"/>
        <w:rPr>
          <w:rFonts w:hAnsi="宋体" w:cs="宋体"/>
          <w:sz w:val="24"/>
        </w:rPr>
      </w:pPr>
      <w:r>
        <w:rPr>
          <w:rFonts w:hint="eastAsia" w:hAnsi="宋体" w:cs="宋体"/>
          <w:sz w:val="24"/>
        </w:rPr>
        <w:t>（六）相关法律、法规规定不予退还的其它情形。</w:t>
      </w:r>
    </w:p>
    <w:p>
      <w:pPr>
        <w:spacing w:line="380" w:lineRule="exact"/>
        <w:ind w:firstLine="480" w:firstLineChars="200"/>
        <w:rPr>
          <w:rFonts w:hAnsi="宋体" w:cs="宋体"/>
          <w:sz w:val="24"/>
        </w:rPr>
      </w:pPr>
      <w:r>
        <w:rPr>
          <w:rFonts w:hint="eastAsia" w:hAnsi="宋体" w:cs="宋体"/>
          <w:sz w:val="24"/>
        </w:rPr>
        <w:t>（七）自2018年1月2日起，凡投标人投标保证金交纳至同一标段相同子账号的，保证金暂不予退还，并依照《许昌市公共资源交易当事人不良行为管理暂行办法》（许公管委〔2017〕1号）规定，进行调查、认定、记录、并予以公示公告。对是否涉嫌串通投标，经调查核实后，记录不良行为，移交有关部门进行查处，不予退还的保证金上缴国库。</w:t>
      </w:r>
    </w:p>
    <w:p>
      <w:pPr>
        <w:tabs>
          <w:tab w:val="left" w:pos="1260"/>
        </w:tabs>
        <w:autoSpaceDE w:val="0"/>
        <w:autoSpaceDN w:val="0"/>
        <w:adjustRightInd w:val="0"/>
        <w:spacing w:line="460" w:lineRule="exact"/>
        <w:jc w:val="left"/>
        <w:rPr>
          <w:rFonts w:hAnsi="宋体" w:cs="宋体"/>
          <w:b/>
          <w:sz w:val="24"/>
        </w:rPr>
      </w:pPr>
      <w:r>
        <w:rPr>
          <w:rFonts w:hint="eastAsia" w:hAnsi="宋体" w:cs="宋体"/>
          <w:b/>
          <w:sz w:val="24"/>
        </w:rPr>
        <w:t>3.5 资格审查资料</w:t>
      </w:r>
    </w:p>
    <w:p>
      <w:pPr>
        <w:tabs>
          <w:tab w:val="left" w:pos="1260"/>
        </w:tabs>
        <w:autoSpaceDE w:val="0"/>
        <w:autoSpaceDN w:val="0"/>
        <w:adjustRightInd w:val="0"/>
        <w:spacing w:line="460" w:lineRule="exact"/>
        <w:ind w:firstLine="480" w:firstLineChars="200"/>
        <w:jc w:val="left"/>
        <w:rPr>
          <w:rFonts w:hAnsi="宋体" w:cs="宋体"/>
          <w:sz w:val="24"/>
          <w:lang w:val="zh-CN"/>
        </w:rPr>
      </w:pPr>
      <w:r>
        <w:rPr>
          <w:rFonts w:hint="eastAsia" w:hAnsi="宋体" w:cs="宋体"/>
          <w:sz w:val="24"/>
          <w:lang w:val="zh-CN"/>
        </w:rPr>
        <w:t>3.5.1 “投标人基本情况表”应附投标人营业执照副本等材料的原件扫描件。</w:t>
      </w:r>
    </w:p>
    <w:p>
      <w:pPr>
        <w:tabs>
          <w:tab w:val="left" w:pos="1260"/>
        </w:tabs>
        <w:autoSpaceDE w:val="0"/>
        <w:autoSpaceDN w:val="0"/>
        <w:adjustRightInd w:val="0"/>
        <w:spacing w:line="460" w:lineRule="exact"/>
        <w:ind w:firstLine="480" w:firstLineChars="200"/>
        <w:jc w:val="left"/>
        <w:rPr>
          <w:rFonts w:hAnsi="宋体" w:cs="宋体"/>
          <w:sz w:val="24"/>
          <w:lang w:val="zh-CN"/>
        </w:rPr>
      </w:pPr>
      <w:r>
        <w:rPr>
          <w:rFonts w:hint="eastAsia" w:hAnsi="宋体" w:cs="宋体"/>
          <w:sz w:val="24"/>
          <w:lang w:val="zh-CN"/>
        </w:rPr>
        <w:t>3.5.2 “近年财务状况表”应附经会计师事务所或审计机构审计的财务会计报表，包括资产负债表、现金流量表、利润表和财务情况说明书的原件扫描件，具体年份要求见投标人须知前附表。</w:t>
      </w:r>
    </w:p>
    <w:p>
      <w:pPr>
        <w:tabs>
          <w:tab w:val="left" w:pos="1260"/>
        </w:tabs>
        <w:autoSpaceDE w:val="0"/>
        <w:autoSpaceDN w:val="0"/>
        <w:adjustRightInd w:val="0"/>
        <w:spacing w:line="460" w:lineRule="exact"/>
        <w:ind w:firstLine="480" w:firstLineChars="200"/>
        <w:jc w:val="left"/>
        <w:rPr>
          <w:rFonts w:hAnsi="宋体" w:cs="宋体"/>
          <w:sz w:val="24"/>
          <w:lang w:val="zh-CN"/>
        </w:rPr>
      </w:pPr>
      <w:r>
        <w:rPr>
          <w:rFonts w:hint="eastAsia" w:hAnsi="宋体" w:cs="宋体"/>
          <w:sz w:val="24"/>
          <w:lang w:val="zh-CN"/>
        </w:rPr>
        <w:t xml:space="preserve"> 3.5.3 “近年完成的类似项目情况表”应附中标通知书和合同协议书或合同协议书和工程竣工验收备案表（或工程竣工验收证书）的原件扫描件，具体年份要求见投标人须知前附表。每张表格只填写一个项目，并标明序号。</w:t>
      </w:r>
    </w:p>
    <w:p>
      <w:pPr>
        <w:tabs>
          <w:tab w:val="left" w:pos="1260"/>
        </w:tabs>
        <w:autoSpaceDE w:val="0"/>
        <w:autoSpaceDN w:val="0"/>
        <w:adjustRightInd w:val="0"/>
        <w:spacing w:line="460" w:lineRule="exact"/>
        <w:ind w:firstLine="480" w:firstLineChars="200"/>
        <w:jc w:val="left"/>
        <w:rPr>
          <w:rFonts w:hAnsi="宋体" w:cs="宋体"/>
          <w:sz w:val="24"/>
          <w:lang w:val="zh-CN"/>
        </w:rPr>
      </w:pPr>
      <w:r>
        <w:rPr>
          <w:rFonts w:hint="eastAsia" w:hAnsi="宋体" w:cs="宋体"/>
          <w:sz w:val="24"/>
          <w:lang w:val="zh-CN"/>
        </w:rPr>
        <w:t xml:space="preserve"> 3.5.4 “正在施工和新承接的项目情况表”应附合同协议书的原件扫描件。每张表格只填写一个项目，并标明序号。</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hAnsi="宋体" w:cs="宋体"/>
          <w:sz w:val="24"/>
          <w:lang w:val="zh-CN"/>
        </w:rPr>
        <w:t xml:space="preserve"> 3.5.5 “近年发生的诉讼及仲裁情况”应说明相关情况，并附法院或仲裁机构作出的判决、裁决等有关法律文书原件扫描件，具体年份要求见投标人须知前附表。</w:t>
      </w:r>
    </w:p>
    <w:p>
      <w:pPr>
        <w:autoSpaceDE w:val="0"/>
        <w:autoSpaceDN w:val="0"/>
        <w:spacing w:line="440" w:lineRule="exact"/>
        <w:jc w:val="left"/>
        <w:rPr>
          <w:rFonts w:hAnsi="宋体" w:cs="宋体"/>
          <w:b/>
          <w:sz w:val="24"/>
        </w:rPr>
      </w:pPr>
      <w:r>
        <w:rPr>
          <w:rFonts w:hint="eastAsia" w:hAnsi="宋体" w:cs="宋体"/>
          <w:b/>
          <w:sz w:val="24"/>
        </w:rPr>
        <w:t xml:space="preserve">3.6 </w:t>
      </w:r>
      <w:bookmarkStart w:id="38" w:name="_Toc152045553"/>
      <w:bookmarkStart w:id="39" w:name="_Toc144974521"/>
      <w:bookmarkStart w:id="40" w:name="_Toc179632571"/>
      <w:bookmarkStart w:id="41" w:name="_Toc152042329"/>
      <w:r>
        <w:rPr>
          <w:rFonts w:hint="eastAsia" w:hAnsi="宋体" w:cs="宋体"/>
          <w:b/>
          <w:sz w:val="24"/>
        </w:rPr>
        <w:t>备选投标方案</w:t>
      </w:r>
    </w:p>
    <w:bookmarkEnd w:id="38"/>
    <w:bookmarkEnd w:id="39"/>
    <w:bookmarkEnd w:id="40"/>
    <w:bookmarkEnd w:id="41"/>
    <w:p>
      <w:pPr>
        <w:autoSpaceDE w:val="0"/>
        <w:autoSpaceDN w:val="0"/>
        <w:spacing w:line="440" w:lineRule="exact"/>
        <w:ind w:firstLine="480" w:firstLineChars="200"/>
        <w:jc w:val="left"/>
        <w:outlineLvl w:val="0"/>
        <w:rPr>
          <w:rFonts w:hAnsi="宋体" w:cs="宋体"/>
          <w:sz w:val="24"/>
        </w:rPr>
      </w:pPr>
      <w:r>
        <w:rPr>
          <w:rFonts w:hint="eastAsia" w:hAnsi="宋体" w:cs="宋体"/>
          <w:sz w:val="24"/>
        </w:rPr>
        <w:t>除投标人须知前附表另有规定外，投标人不得递交备选投标方案。允许投标人递交备选投标方案的，只有中标人所提交的备选方案方可予以考虑。评标委员会认为中标人的备选方案优于其按照招标文件要求编制的投标方案的，招标人可以接受该备选投标方案。</w:t>
      </w:r>
    </w:p>
    <w:bookmarkEnd w:id="37"/>
    <w:p>
      <w:pPr>
        <w:autoSpaceDE w:val="0"/>
        <w:autoSpaceDN w:val="0"/>
        <w:spacing w:line="440" w:lineRule="exact"/>
        <w:jc w:val="left"/>
        <w:rPr>
          <w:rFonts w:hAnsi="宋体" w:cs="宋体"/>
          <w:b/>
          <w:sz w:val="24"/>
        </w:rPr>
      </w:pPr>
      <w:bookmarkStart w:id="42" w:name="_Toc283559961"/>
      <w:r>
        <w:rPr>
          <w:rFonts w:hint="eastAsia" w:hAnsi="宋体" w:cs="宋体"/>
          <w:b/>
          <w:sz w:val="24"/>
        </w:rPr>
        <w:t>3.7 投标文件的编制</w:t>
      </w:r>
    </w:p>
    <w:p>
      <w:pPr>
        <w:spacing w:line="400" w:lineRule="exact"/>
        <w:ind w:firstLine="480" w:firstLineChars="200"/>
        <w:rPr>
          <w:rFonts w:hAnsi="宋体" w:cs="宋体"/>
          <w:sz w:val="24"/>
        </w:rPr>
      </w:pPr>
      <w:r>
        <w:rPr>
          <w:rFonts w:hint="eastAsia" w:hAnsi="宋体" w:cs="宋体"/>
          <w:sz w:val="24"/>
        </w:rPr>
        <w:t>3.7.1 投标文件应按第七章“投标文件格式”进行编写，如有必要，可以增加附页，作为投标文件的组成部分。其中，投标函附录在满足招标文件要求的基础上，可以提出比招标文件要求更有利于招标人的承诺。投标人编制的投标文件应当满足招标文件规定的基本格式要求。</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3.7.2 投标文件应当对招标文件有关工期、投标有效期、质量要求、招标范围作出响应。</w:t>
      </w:r>
    </w:p>
    <w:p>
      <w:pPr>
        <w:tabs>
          <w:tab w:val="left" w:pos="7095"/>
        </w:tabs>
        <w:spacing w:line="360" w:lineRule="auto"/>
        <w:ind w:firstLine="480" w:firstLineChars="200"/>
        <w:rPr>
          <w:rFonts w:hAnsi="宋体" w:cs="宋体"/>
          <w:sz w:val="24"/>
        </w:rPr>
      </w:pPr>
      <w:r>
        <w:rPr>
          <w:rFonts w:hint="eastAsia" w:hAnsi="宋体" w:cs="宋体"/>
          <w:sz w:val="24"/>
        </w:rPr>
        <w:t>3.7.3 投标人编制的投标文件应分为商务标、综合（信用）标和技术标。</w:t>
      </w:r>
    </w:p>
    <w:p>
      <w:pPr>
        <w:tabs>
          <w:tab w:val="left" w:pos="7095"/>
        </w:tabs>
        <w:spacing w:line="360" w:lineRule="auto"/>
        <w:ind w:firstLine="480" w:firstLineChars="200"/>
        <w:rPr>
          <w:rFonts w:hAnsi="宋体"/>
          <w:color w:val="000000"/>
          <w:sz w:val="24"/>
          <w:szCs w:val="24"/>
        </w:rPr>
      </w:pPr>
      <w:r>
        <w:rPr>
          <w:rFonts w:hint="eastAsia" w:hAnsi="宋体" w:cs="宋体"/>
          <w:sz w:val="24"/>
        </w:rPr>
        <w:t xml:space="preserve">3.7.4 </w:t>
      </w:r>
      <w:r>
        <w:rPr>
          <w:rFonts w:hint="eastAsia" w:hAnsi="宋体"/>
          <w:color w:val="000000"/>
          <w:sz w:val="24"/>
          <w:szCs w:val="24"/>
        </w:rPr>
        <w:t>投标人登录许昌公共资源交易系统下载“许昌投标文件制作系统SEARUN V1.</w:t>
      </w:r>
      <w:r>
        <w:rPr>
          <w:rFonts w:hint="eastAsia" w:hAnsi="宋体"/>
          <w:color w:val="000000"/>
          <w:sz w:val="24"/>
          <w:szCs w:val="24"/>
          <w:lang w:val="en-US" w:eastAsia="zh-CN"/>
        </w:rPr>
        <w:t>1</w:t>
      </w:r>
      <w:r>
        <w:rPr>
          <w:rFonts w:hint="eastAsia" w:hAnsi="宋体"/>
          <w:color w:val="000000"/>
          <w:sz w:val="24"/>
          <w:szCs w:val="24"/>
        </w:rPr>
        <w:t>”，按招标文件要求制作电子投标文件（包括含工程量清单的商务标投标文件）。</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3.7.5 使用电子介质存储的备份文件1份。</w:t>
      </w:r>
    </w:p>
    <w:p>
      <w:pPr>
        <w:autoSpaceDE w:val="0"/>
        <w:autoSpaceDN w:val="0"/>
        <w:spacing w:line="440" w:lineRule="exact"/>
        <w:ind w:firstLine="480" w:firstLineChars="200"/>
        <w:jc w:val="left"/>
        <w:outlineLvl w:val="0"/>
        <w:rPr>
          <w:rFonts w:hAnsi="宋体" w:cs="宋体"/>
          <w:b/>
          <w:sz w:val="24"/>
        </w:rPr>
      </w:pPr>
      <w:r>
        <w:rPr>
          <w:rFonts w:hint="eastAsia" w:hAnsi="宋体" w:cs="宋体"/>
          <w:sz w:val="24"/>
        </w:rPr>
        <w:t>3.7.6 同时生成与电子投标文件内容、水印码、</w:t>
      </w:r>
      <w:r>
        <w:rPr>
          <w:rFonts w:hint="eastAsia" w:hAnsi="宋体" w:cs="宋体"/>
          <w:b/>
          <w:sz w:val="24"/>
        </w:rPr>
        <w:t>电子签章</w:t>
      </w:r>
      <w:r>
        <w:rPr>
          <w:rFonts w:hint="eastAsia" w:hAnsi="宋体" w:cs="宋体"/>
          <w:sz w:val="24"/>
        </w:rPr>
        <w:t>一致的PDF文件,用于打印纸质文件。</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3.7.7 纸质投标文件应用不褪色的材料书写或打印，并由投标人的法定代表人或其委托代理人签字或盖单位章。委托代理人签字的，应附法定代表人签署的授权委托书。纸质投标文件应尽量避免涂改、行间插字或删除。如果出现上述情况，</w:t>
      </w:r>
      <w:r>
        <w:rPr>
          <w:rFonts w:hint="eastAsia" w:hAnsi="宋体" w:cs="宋体"/>
          <w:b/>
          <w:bCs/>
          <w:sz w:val="24"/>
        </w:rPr>
        <w:t>改动之处应加盖单位公章或由投标人的法定代表人或其授权的代理人签字确认。</w:t>
      </w:r>
      <w:r>
        <w:rPr>
          <w:rFonts w:hint="eastAsia" w:hAnsi="宋体" w:cs="宋体"/>
          <w:sz w:val="24"/>
        </w:rPr>
        <w:t>签字或盖章的具体要求见投标人须知前附表。</w:t>
      </w:r>
    </w:p>
    <w:p>
      <w:pPr>
        <w:autoSpaceDE w:val="0"/>
        <w:autoSpaceDN w:val="0"/>
        <w:adjustRightInd w:val="0"/>
        <w:spacing w:line="360" w:lineRule="auto"/>
        <w:ind w:firstLine="480"/>
        <w:rPr>
          <w:rFonts w:hAnsi="宋体" w:cs="宋体"/>
          <w:bCs/>
          <w:sz w:val="24"/>
        </w:rPr>
      </w:pPr>
      <w:r>
        <w:rPr>
          <w:rFonts w:hint="eastAsia" w:hAnsi="宋体" w:cs="宋体"/>
          <w:sz w:val="24"/>
        </w:rPr>
        <w:t>3.7.8 纸质投标文件的份数见投标人须知前附表，在正本和副本的封面上应清楚地标明“正本”、“副本”字样。正本按招标文件要求签字盖章（无需逐页签字盖章）。副本应与正本保持一致（可为正本的复印件）。当副本和正本不一致时，以正本为准。当正本中大小写不一致时，以大写为准。</w:t>
      </w:r>
    </w:p>
    <w:p>
      <w:pPr>
        <w:autoSpaceDE w:val="0"/>
        <w:autoSpaceDN w:val="0"/>
        <w:adjustRightInd w:val="0"/>
        <w:spacing w:line="460" w:lineRule="exact"/>
        <w:ind w:firstLine="480" w:firstLineChars="200"/>
        <w:jc w:val="left"/>
        <w:rPr>
          <w:rFonts w:hAnsi="宋体" w:cs="宋体"/>
          <w:sz w:val="24"/>
        </w:rPr>
      </w:pPr>
      <w:r>
        <w:rPr>
          <w:rFonts w:hint="eastAsia" w:hAnsi="宋体" w:cs="宋体"/>
          <w:sz w:val="24"/>
        </w:rPr>
        <w:t>3.7.</w:t>
      </w:r>
      <w:r>
        <w:rPr>
          <w:rFonts w:hint="eastAsia" w:hAnsi="宋体" w:cs="宋体"/>
          <w:sz w:val="24"/>
          <w:lang w:val="en-US" w:eastAsia="zh-CN"/>
        </w:rPr>
        <w:t>9</w:t>
      </w:r>
      <w:r>
        <w:rPr>
          <w:rFonts w:hint="eastAsia" w:hAnsi="宋体" w:cs="宋体"/>
          <w:sz w:val="24"/>
        </w:rPr>
        <w:t xml:space="preserve"> 纸质投标文件的正本与副本应分别装订成册，并编制目录，具体装订要求见投标人须知前附表规定。</w:t>
      </w:r>
    </w:p>
    <w:p>
      <w:pPr>
        <w:autoSpaceDE w:val="0"/>
        <w:autoSpaceDN w:val="0"/>
        <w:spacing w:line="440" w:lineRule="exact"/>
        <w:jc w:val="left"/>
        <w:rPr>
          <w:rFonts w:hAnsi="宋体" w:cs="宋体"/>
          <w:b/>
          <w:sz w:val="24"/>
        </w:rPr>
      </w:pPr>
      <w:r>
        <w:rPr>
          <w:rFonts w:hint="eastAsia" w:hAnsi="宋体" w:cs="宋体"/>
          <w:b/>
          <w:sz w:val="24"/>
        </w:rPr>
        <w:t xml:space="preserve">    3.7.</w:t>
      </w:r>
      <w:r>
        <w:rPr>
          <w:rFonts w:hint="eastAsia" w:hAnsi="宋体" w:cs="宋体"/>
          <w:b/>
          <w:sz w:val="24"/>
          <w:lang w:val="en-US" w:eastAsia="zh-CN"/>
        </w:rPr>
        <w:t>10</w:t>
      </w:r>
      <w:r>
        <w:rPr>
          <w:rFonts w:hint="eastAsia" w:hAnsi="宋体" w:cs="宋体"/>
          <w:b/>
          <w:sz w:val="24"/>
        </w:rPr>
        <w:t xml:space="preserve"> 商务标投标文件制作注意事项：</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3.7.</w:t>
      </w:r>
      <w:r>
        <w:rPr>
          <w:rFonts w:hint="eastAsia" w:hAnsi="宋体" w:cs="宋体"/>
          <w:sz w:val="24"/>
          <w:lang w:val="en-US" w:eastAsia="zh-CN"/>
        </w:rPr>
        <w:t>10</w:t>
      </w:r>
      <w:r>
        <w:rPr>
          <w:rFonts w:hint="eastAsia" w:hAnsi="宋体" w:cs="宋体"/>
          <w:sz w:val="24"/>
        </w:rPr>
        <w:t>.1 投标人登录【全国公共资源交易平台（河南省·许昌市）】公共资源交易系统下载“许昌投标文件制作系统SEARUN V1.</w:t>
      </w:r>
      <w:r>
        <w:rPr>
          <w:rFonts w:hint="eastAsia" w:hAnsi="宋体" w:cs="宋体"/>
          <w:sz w:val="24"/>
          <w:lang w:val="en-US" w:eastAsia="zh-CN"/>
        </w:rPr>
        <w:t>1</w:t>
      </w:r>
      <w:r>
        <w:rPr>
          <w:rFonts w:hint="eastAsia" w:hAnsi="宋体" w:cs="宋体"/>
          <w:sz w:val="24"/>
        </w:rPr>
        <w:t>” 和操作手册（工程项目），按招标文件要求制作商务标投标文件。</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3.7.</w:t>
      </w:r>
      <w:r>
        <w:rPr>
          <w:rFonts w:hint="eastAsia" w:hAnsi="宋体" w:cs="宋体"/>
          <w:sz w:val="24"/>
          <w:lang w:val="en-US" w:eastAsia="zh-CN"/>
        </w:rPr>
        <w:t>10</w:t>
      </w:r>
      <w:r>
        <w:rPr>
          <w:rFonts w:hint="eastAsia" w:hAnsi="宋体" w:cs="宋体"/>
          <w:sz w:val="24"/>
        </w:rPr>
        <w:t>.2 商务标投标文件制作技术咨询：0374-2961598。</w:t>
      </w:r>
    </w:p>
    <w:p>
      <w:pPr>
        <w:pStyle w:val="67"/>
        <w:spacing w:line="480" w:lineRule="exact"/>
        <w:jc w:val="both"/>
        <w:outlineLvl w:val="0"/>
        <w:rPr>
          <w:rFonts w:hAnsi="宋体"/>
          <w:b/>
          <w:color w:val="auto"/>
        </w:rPr>
      </w:pPr>
      <w:r>
        <w:rPr>
          <w:rFonts w:hAnsi="宋体"/>
          <w:b/>
          <w:color w:val="auto"/>
        </w:rPr>
        <w:t xml:space="preserve">4. </w:t>
      </w:r>
      <w:r>
        <w:rPr>
          <w:rFonts w:hint="eastAsia" w:hAnsi="宋体"/>
          <w:b/>
          <w:color w:val="auto"/>
        </w:rPr>
        <w:t>投标</w:t>
      </w:r>
      <w:bookmarkEnd w:id="42"/>
    </w:p>
    <w:p>
      <w:pPr>
        <w:autoSpaceDE w:val="0"/>
        <w:autoSpaceDN w:val="0"/>
        <w:adjustRightInd w:val="0"/>
        <w:spacing w:line="440" w:lineRule="exact"/>
        <w:jc w:val="left"/>
        <w:outlineLvl w:val="0"/>
        <w:rPr>
          <w:rFonts w:hAnsi="宋体" w:cs="宋体"/>
          <w:b/>
          <w:sz w:val="24"/>
        </w:rPr>
      </w:pPr>
      <w:bookmarkStart w:id="43" w:name="_Toc283559962"/>
      <w:r>
        <w:rPr>
          <w:rFonts w:hAnsi="宋体" w:cs="宋体"/>
          <w:b/>
          <w:sz w:val="24"/>
        </w:rPr>
        <w:t xml:space="preserve">4.1 </w:t>
      </w:r>
      <w:r>
        <w:rPr>
          <w:rFonts w:hint="eastAsia" w:hAnsi="宋体" w:cs="宋体"/>
          <w:b/>
          <w:sz w:val="24"/>
        </w:rPr>
        <w:t>投标文件的密封和标记</w:t>
      </w:r>
      <w:bookmarkEnd w:id="43"/>
    </w:p>
    <w:p>
      <w:pPr>
        <w:autoSpaceDE w:val="0"/>
        <w:autoSpaceDN w:val="0"/>
        <w:spacing w:line="440" w:lineRule="exact"/>
        <w:ind w:firstLine="480" w:firstLineChars="200"/>
        <w:jc w:val="left"/>
        <w:outlineLvl w:val="0"/>
        <w:rPr>
          <w:rFonts w:hAnsi="宋体" w:cs="宋体"/>
          <w:sz w:val="24"/>
        </w:rPr>
      </w:pPr>
      <w:bookmarkStart w:id="44" w:name="_Toc283559963"/>
      <w:r>
        <w:rPr>
          <w:rFonts w:hint="eastAsia" w:hAnsi="宋体" w:cs="宋体"/>
          <w:sz w:val="24"/>
        </w:rPr>
        <w:t>4.1.1 纸质投标文件的正本、副本应分开包装，最后把包装好的正本与副本包装在一个包装内，加贴封条，并在封套的封口处加盖投标人公章，</w:t>
      </w:r>
      <w:r>
        <w:rPr>
          <w:rFonts w:hint="eastAsia" w:hAnsi="宋体" w:cs="宋体"/>
          <w:sz w:val="24"/>
          <w:szCs w:val="22"/>
        </w:rPr>
        <w:t>法定代表人或委托代理人签名,</w:t>
      </w:r>
      <w:r>
        <w:rPr>
          <w:rFonts w:hint="eastAsia" w:hAnsi="宋体" w:cs="宋体"/>
          <w:sz w:val="24"/>
        </w:rPr>
        <w:t>密封不符合要求的不予受理。</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4.1.2 投标文件的封套上应写明的其他内容见投标人须知前附表。</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4.1.3 使用电子介质存储的投标文件应单独密封，封套上写明“投标人名称、项目名称、标段，在  年  月  日  时  分前不得开启”，并加盖单位公章，法定代表人或委托代理人签名，在投标截止时间前随纸质投标文件一并递交。</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4.1.4 未按本章第4.1.1项、第4.1.2项、第4.1.3项要求密封和加写标记的投标文件，招标人不予受理。</w:t>
      </w:r>
    </w:p>
    <w:p>
      <w:pPr>
        <w:autoSpaceDE w:val="0"/>
        <w:autoSpaceDN w:val="0"/>
        <w:spacing w:line="440" w:lineRule="exact"/>
        <w:jc w:val="left"/>
        <w:outlineLvl w:val="0"/>
        <w:rPr>
          <w:rFonts w:hAnsi="宋体" w:cs="宋体"/>
          <w:b/>
          <w:sz w:val="24"/>
        </w:rPr>
      </w:pPr>
      <w:r>
        <w:rPr>
          <w:rFonts w:hAnsi="宋体" w:cs="宋体"/>
          <w:b/>
          <w:sz w:val="24"/>
        </w:rPr>
        <w:t xml:space="preserve">4.2 </w:t>
      </w:r>
      <w:r>
        <w:rPr>
          <w:rFonts w:hint="eastAsia" w:hAnsi="宋体" w:cs="宋体"/>
          <w:b/>
          <w:sz w:val="24"/>
        </w:rPr>
        <w:t>投标文件的提交</w:t>
      </w:r>
      <w:bookmarkEnd w:id="44"/>
    </w:p>
    <w:p>
      <w:pPr>
        <w:autoSpaceDE w:val="0"/>
        <w:autoSpaceDN w:val="0"/>
        <w:spacing w:line="440" w:lineRule="exact"/>
        <w:ind w:firstLine="480" w:firstLineChars="200"/>
        <w:jc w:val="left"/>
        <w:outlineLvl w:val="0"/>
        <w:rPr>
          <w:rFonts w:hAnsi="宋体" w:cs="宋体"/>
          <w:sz w:val="24"/>
        </w:rPr>
      </w:pPr>
      <w:bookmarkStart w:id="45" w:name="_Toc283559964"/>
      <w:r>
        <w:rPr>
          <w:rFonts w:hint="eastAsia" w:hAnsi="宋体" w:cs="宋体"/>
          <w:sz w:val="24"/>
        </w:rPr>
        <w:t>4.2.1 投标人应在投标人须知前附表中规定的投标截止时间前成功上传电子投标文件和现场提交纸质投标文件、电子介质存储的投标文件。</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4.2.2 投标人提交纸质投标文件及电子介质存储的投标文件地点：见投标人须知前附表。</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4.2.3 除投标人须知前附表另有规定外，投标人所提交的电子投标文件、纸质投标文件及电子介质存储的投标文件不予退还。</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4.2.4 逾期送达的或者未送达指定地点的纸质投标文件、电子介质存储的投标文件，招标人不予受理。</w:t>
      </w:r>
    </w:p>
    <w:p>
      <w:pPr>
        <w:autoSpaceDE w:val="0"/>
        <w:autoSpaceDN w:val="0"/>
        <w:spacing w:line="440" w:lineRule="exact"/>
        <w:jc w:val="left"/>
        <w:outlineLvl w:val="0"/>
        <w:rPr>
          <w:rFonts w:hAnsi="宋体" w:cs="宋体"/>
          <w:b/>
          <w:sz w:val="24"/>
        </w:rPr>
      </w:pPr>
      <w:r>
        <w:rPr>
          <w:rFonts w:hAnsi="宋体" w:cs="宋体"/>
          <w:b/>
          <w:sz w:val="24"/>
        </w:rPr>
        <w:t xml:space="preserve">4.3 </w:t>
      </w:r>
      <w:r>
        <w:rPr>
          <w:rFonts w:hint="eastAsia" w:hAnsi="宋体" w:cs="宋体"/>
          <w:b/>
          <w:sz w:val="24"/>
        </w:rPr>
        <w:t>投标文件的修改与撤回</w:t>
      </w:r>
      <w:bookmarkEnd w:id="45"/>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4.3.1 在本章第2.2.2 项规定的投标截止时间前，投标人可以修改或撤回已提交的投标文件，纸质投标文件的修改或撤回应以书面形式通知招标人。</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4.3.2 投标人修改或撤回已提交纸质投标文件的书面通知应按照投标人须知前附表第3.7.3 项的要求签字或盖章。招标人收到书面通知后，向投标人出具签收凭证。</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4.3.3 修改的内容为投标文件的组成部分。修改的纸质投标文件应按照本章第3条、第4条规定进行编制、密封、标记和提交，并标明“修改”字样。</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4.3.4 投标人应当在投标截止时间前完成电子投标文件的提交，可以补充、修改或撤回。投标截止时间前未完成电子投标文件提交、取得“投标文件提交回执单”的，视为撤回投标文件。</w:t>
      </w:r>
    </w:p>
    <w:p>
      <w:pPr>
        <w:pStyle w:val="67"/>
        <w:spacing w:line="440" w:lineRule="exact"/>
        <w:jc w:val="both"/>
        <w:outlineLvl w:val="0"/>
        <w:rPr>
          <w:rFonts w:hAnsi="宋体"/>
          <w:b/>
          <w:color w:val="auto"/>
        </w:rPr>
      </w:pPr>
      <w:bookmarkStart w:id="46" w:name="_Toc283559967"/>
      <w:r>
        <w:rPr>
          <w:rFonts w:hAnsi="宋体"/>
          <w:b/>
          <w:color w:val="auto"/>
        </w:rPr>
        <w:t xml:space="preserve">5. </w:t>
      </w:r>
      <w:r>
        <w:rPr>
          <w:rFonts w:hint="eastAsia" w:hAnsi="宋体"/>
          <w:b/>
          <w:color w:val="auto"/>
        </w:rPr>
        <w:t>开标</w:t>
      </w:r>
      <w:bookmarkEnd w:id="46"/>
    </w:p>
    <w:p>
      <w:pPr>
        <w:autoSpaceDE w:val="0"/>
        <w:autoSpaceDN w:val="0"/>
        <w:adjustRightInd w:val="0"/>
        <w:spacing w:line="440" w:lineRule="exact"/>
        <w:jc w:val="left"/>
        <w:outlineLvl w:val="0"/>
        <w:rPr>
          <w:rFonts w:hAnsi="宋体" w:cs="宋体"/>
          <w:b/>
          <w:sz w:val="24"/>
        </w:rPr>
      </w:pPr>
      <w:bookmarkStart w:id="47" w:name="_Toc283559968"/>
      <w:r>
        <w:rPr>
          <w:rFonts w:hAnsi="宋体" w:cs="宋体"/>
          <w:b/>
          <w:sz w:val="24"/>
        </w:rPr>
        <w:t xml:space="preserve">5.1 </w:t>
      </w:r>
      <w:r>
        <w:rPr>
          <w:rFonts w:hint="eastAsia" w:hAnsi="宋体" w:cs="宋体"/>
          <w:b/>
          <w:sz w:val="24"/>
        </w:rPr>
        <w:t>开标时间和地点</w:t>
      </w:r>
      <w:bookmarkEnd w:id="47"/>
    </w:p>
    <w:p>
      <w:pPr>
        <w:spacing w:line="400" w:lineRule="exact"/>
        <w:ind w:firstLine="480" w:firstLineChars="200"/>
        <w:rPr>
          <w:rFonts w:hAnsi="宋体" w:cs="宋体"/>
          <w:b/>
          <w:sz w:val="24"/>
        </w:rPr>
      </w:pPr>
      <w:r>
        <w:rPr>
          <w:rFonts w:hint="eastAsia"/>
          <w:sz w:val="24"/>
        </w:rPr>
        <w:t>招标人在投标人须知前附表第2.2.2项规定的投标截止时间（开标时间）和投标人须知前附表规定的地点公开开标，并邀请所有投标人的法定代表人或授权委托人准时参加。</w:t>
      </w:r>
    </w:p>
    <w:p>
      <w:pPr>
        <w:autoSpaceDE w:val="0"/>
        <w:autoSpaceDN w:val="0"/>
        <w:adjustRightInd w:val="0"/>
        <w:spacing w:line="440" w:lineRule="exact"/>
        <w:jc w:val="left"/>
        <w:rPr>
          <w:rFonts w:hAnsi="宋体" w:cs="宋体"/>
          <w:b/>
          <w:sz w:val="24"/>
        </w:rPr>
      </w:pPr>
      <w:bookmarkStart w:id="48" w:name="_Toc283559970"/>
      <w:r>
        <w:rPr>
          <w:rFonts w:hint="eastAsia" w:hAnsi="宋体" w:cs="宋体"/>
          <w:b/>
          <w:sz w:val="24"/>
        </w:rPr>
        <w:t>5.2 开标、解密、唱标程序</w:t>
      </w:r>
    </w:p>
    <w:p>
      <w:pPr>
        <w:spacing w:line="400" w:lineRule="exact"/>
        <w:ind w:firstLine="480" w:firstLineChars="200"/>
        <w:rPr>
          <w:rFonts w:hAnsi="宋体" w:cs="宋体"/>
          <w:sz w:val="24"/>
        </w:rPr>
      </w:pPr>
      <w:r>
        <w:rPr>
          <w:rFonts w:hint="eastAsia" w:hAnsi="宋体" w:cs="宋体"/>
          <w:sz w:val="24"/>
        </w:rPr>
        <w:t>5.2.1主持人按下列程序进行开标：</w:t>
      </w:r>
    </w:p>
    <w:p>
      <w:pPr>
        <w:spacing w:line="400" w:lineRule="exact"/>
        <w:ind w:firstLine="480" w:firstLineChars="200"/>
        <w:rPr>
          <w:rFonts w:hAnsi="宋体" w:cs="宋体"/>
          <w:sz w:val="24"/>
        </w:rPr>
      </w:pPr>
      <w:r>
        <w:rPr>
          <w:rFonts w:hint="eastAsia" w:hAnsi="宋体" w:cs="宋体"/>
          <w:sz w:val="24"/>
        </w:rPr>
        <w:t>（1）宣布投标截止时间，并公布招标人、代理机构、监督部门名称；</w:t>
      </w:r>
    </w:p>
    <w:p>
      <w:pPr>
        <w:spacing w:line="400" w:lineRule="exact"/>
        <w:ind w:firstLine="480" w:firstLineChars="200"/>
        <w:rPr>
          <w:rFonts w:hAnsi="宋体" w:cs="宋体"/>
          <w:sz w:val="24"/>
        </w:rPr>
      </w:pPr>
      <w:r>
        <w:rPr>
          <w:rFonts w:hint="eastAsia" w:hAnsi="宋体" w:cs="宋体"/>
          <w:sz w:val="24"/>
        </w:rPr>
        <w:t>（2）宣布开标纪律；</w:t>
      </w:r>
    </w:p>
    <w:p>
      <w:pPr>
        <w:spacing w:line="400" w:lineRule="exact"/>
        <w:ind w:firstLine="480" w:firstLineChars="200"/>
        <w:rPr>
          <w:rFonts w:hAnsi="宋体" w:cs="宋体"/>
          <w:sz w:val="24"/>
        </w:rPr>
      </w:pPr>
      <w:r>
        <w:rPr>
          <w:rFonts w:hint="eastAsia" w:hAnsi="宋体" w:cs="宋体"/>
          <w:sz w:val="24"/>
        </w:rPr>
        <w:t>（3）公布在投标截止时间前递交投标文件的投标人名称和投标保证金缴纳情况。</w:t>
      </w:r>
    </w:p>
    <w:p>
      <w:pPr>
        <w:spacing w:line="400" w:lineRule="exact"/>
        <w:ind w:firstLine="480" w:firstLineChars="200"/>
        <w:rPr>
          <w:rFonts w:hAnsi="宋体" w:cs="宋体"/>
          <w:sz w:val="24"/>
        </w:rPr>
      </w:pPr>
      <w:r>
        <w:rPr>
          <w:rFonts w:hint="eastAsia" w:hAnsi="宋体" w:cs="宋体"/>
          <w:sz w:val="24"/>
        </w:rPr>
        <w:t>（4）电子投标文件解密</w:t>
      </w:r>
    </w:p>
    <w:p>
      <w:pPr>
        <w:spacing w:line="400" w:lineRule="exact"/>
        <w:ind w:firstLine="480" w:firstLineChars="200"/>
        <w:rPr>
          <w:rFonts w:hAnsi="宋体" w:cs="宋体"/>
          <w:sz w:val="24"/>
        </w:rPr>
      </w:pPr>
      <w:r>
        <w:rPr>
          <w:rFonts w:hint="eastAsia" w:hAnsi="宋体" w:cs="宋体"/>
          <w:sz w:val="24"/>
        </w:rPr>
        <w:t>（</w:t>
      </w:r>
      <w:r>
        <w:rPr>
          <w:rFonts w:hAnsi="宋体" w:cs="宋体"/>
          <w:sz w:val="24"/>
        </w:rPr>
        <w:t>5</w:t>
      </w:r>
      <w:r>
        <w:rPr>
          <w:rFonts w:hint="eastAsia" w:hAnsi="宋体" w:cs="宋体"/>
          <w:sz w:val="24"/>
        </w:rPr>
        <w:t>）宣布唱标顺序，按已定顺序唱标，唱标内容为：投标人名称、投标报价、质量目标、工期及其他内容，并记录；</w:t>
      </w:r>
    </w:p>
    <w:p>
      <w:pPr>
        <w:spacing w:line="400" w:lineRule="exact"/>
        <w:ind w:firstLine="480" w:firstLineChars="200"/>
        <w:rPr>
          <w:rFonts w:hAnsi="宋体" w:cs="宋体"/>
          <w:sz w:val="24"/>
        </w:rPr>
      </w:pPr>
      <w:r>
        <w:rPr>
          <w:rFonts w:hint="eastAsia" w:hAnsi="宋体" w:cs="宋体"/>
          <w:sz w:val="24"/>
        </w:rPr>
        <w:t>（</w:t>
      </w:r>
      <w:r>
        <w:rPr>
          <w:rFonts w:hAnsi="宋体" w:cs="宋体"/>
          <w:sz w:val="24"/>
        </w:rPr>
        <w:t>6</w:t>
      </w:r>
      <w:r>
        <w:rPr>
          <w:rFonts w:hint="eastAsia" w:hAnsi="宋体" w:cs="宋体"/>
          <w:sz w:val="24"/>
        </w:rPr>
        <w:t>）现场抽取参与计算评标基准价的K值并宣布，同时公布招标控制价；</w:t>
      </w:r>
    </w:p>
    <w:p>
      <w:pPr>
        <w:spacing w:line="400" w:lineRule="exact"/>
        <w:ind w:firstLine="480" w:firstLineChars="200"/>
        <w:rPr>
          <w:rFonts w:hAnsi="宋体" w:cs="宋体"/>
          <w:sz w:val="24"/>
        </w:rPr>
      </w:pPr>
      <w:r>
        <w:rPr>
          <w:rFonts w:hint="eastAsia" w:hAnsi="宋体" w:cs="宋体"/>
          <w:sz w:val="24"/>
        </w:rPr>
        <w:t>（</w:t>
      </w:r>
      <w:r>
        <w:rPr>
          <w:rFonts w:hAnsi="宋体" w:cs="宋体"/>
          <w:sz w:val="24"/>
        </w:rPr>
        <w:t>7</w:t>
      </w:r>
      <w:r>
        <w:rPr>
          <w:rFonts w:hint="eastAsia" w:hAnsi="宋体" w:cs="宋体"/>
          <w:sz w:val="24"/>
        </w:rPr>
        <w:t>）投标人代表、招标人代表、监标人、记录人等有关人员在开标记录上签字确认；</w:t>
      </w:r>
    </w:p>
    <w:p>
      <w:pPr>
        <w:spacing w:line="400" w:lineRule="exact"/>
        <w:ind w:firstLine="480" w:firstLineChars="200"/>
        <w:rPr>
          <w:rFonts w:hAnsi="宋体" w:cs="宋体"/>
          <w:sz w:val="24"/>
        </w:rPr>
      </w:pPr>
      <w:r>
        <w:rPr>
          <w:rFonts w:hint="eastAsia" w:hAnsi="宋体" w:cs="宋体"/>
          <w:sz w:val="24"/>
        </w:rPr>
        <w:t>（</w:t>
      </w:r>
      <w:r>
        <w:rPr>
          <w:rFonts w:hAnsi="宋体" w:cs="宋体"/>
          <w:sz w:val="24"/>
        </w:rPr>
        <w:t>8</w:t>
      </w:r>
      <w:r>
        <w:rPr>
          <w:rFonts w:hint="eastAsia" w:hAnsi="宋体" w:cs="宋体"/>
          <w:sz w:val="24"/>
        </w:rPr>
        <w:t>）开标结束。</w:t>
      </w:r>
    </w:p>
    <w:p>
      <w:pPr>
        <w:ind w:firstLine="480" w:firstLineChars="200"/>
        <w:rPr>
          <w:rFonts w:hAnsi="宋体"/>
          <w:sz w:val="24"/>
          <w:szCs w:val="24"/>
        </w:rPr>
      </w:pPr>
      <w:r>
        <w:rPr>
          <w:rFonts w:hint="eastAsia" w:hAnsi="宋体"/>
          <w:sz w:val="24"/>
          <w:szCs w:val="24"/>
        </w:rPr>
        <w:t>5.</w:t>
      </w:r>
      <w:r>
        <w:rPr>
          <w:rFonts w:hAnsi="宋体"/>
          <w:sz w:val="24"/>
          <w:szCs w:val="24"/>
        </w:rPr>
        <w:t>2</w:t>
      </w:r>
      <w:r>
        <w:rPr>
          <w:rFonts w:hint="eastAsia" w:hAnsi="宋体"/>
          <w:sz w:val="24"/>
          <w:szCs w:val="24"/>
        </w:rPr>
        <w:t>.2 电子投标文件的解密</w:t>
      </w:r>
    </w:p>
    <w:p>
      <w:pPr>
        <w:spacing w:line="360" w:lineRule="auto"/>
        <w:ind w:firstLine="480" w:firstLineChars="200"/>
        <w:rPr>
          <w:rFonts w:hAnsi="宋体" w:cs="宋体"/>
          <w:sz w:val="24"/>
        </w:rPr>
      </w:pPr>
      <w:r>
        <w:rPr>
          <w:rFonts w:hint="eastAsia" w:hAnsi="宋体"/>
          <w:sz w:val="24"/>
          <w:szCs w:val="24"/>
        </w:rPr>
        <w:t>5.2.2.1本项目为全流程电子化交易项目，电子投标文件采用双重加密。在投标截止时间到达后，</w:t>
      </w:r>
      <w:r>
        <w:rPr>
          <w:rFonts w:hint="eastAsia" w:hAnsi="宋体" w:cs="宋体"/>
          <w:sz w:val="24"/>
        </w:rPr>
        <w:t>分标段进行解密。</w:t>
      </w:r>
    </w:p>
    <w:p>
      <w:pPr>
        <w:spacing w:line="360" w:lineRule="auto"/>
        <w:ind w:firstLine="480" w:firstLineChars="200"/>
        <w:rPr>
          <w:rFonts w:hAnsi="宋体" w:cs="宋体"/>
          <w:sz w:val="24"/>
        </w:rPr>
      </w:pPr>
      <w:r>
        <w:rPr>
          <w:rFonts w:hint="eastAsia" w:hAnsi="宋体" w:cs="宋体"/>
          <w:sz w:val="24"/>
        </w:rPr>
        <w:t>(1)投标人解密：投标人使用本单位CA数字证书远程或现场进行解密。</w:t>
      </w:r>
      <w:r>
        <w:rPr>
          <w:rFonts w:hint="eastAsia" w:hAnsi="宋体"/>
          <w:sz w:val="24"/>
          <w:szCs w:val="24"/>
        </w:rPr>
        <w:t>需现场使用一体机进行解密的，请在代理机构引导下进行。</w:t>
      </w:r>
    </w:p>
    <w:p>
      <w:pPr>
        <w:spacing w:line="360" w:lineRule="auto"/>
        <w:ind w:firstLine="480" w:firstLineChars="200"/>
        <w:rPr>
          <w:rFonts w:hAnsi="宋体" w:cs="宋体"/>
          <w:sz w:val="24"/>
        </w:rPr>
      </w:pPr>
      <w:r>
        <w:rPr>
          <w:rFonts w:hint="eastAsia" w:hAnsi="宋体" w:cs="宋体"/>
          <w:sz w:val="24"/>
        </w:rPr>
        <w:t>(2)代理机构解密：代理机构</w:t>
      </w:r>
      <w:r>
        <w:rPr>
          <w:rFonts w:hAnsi="宋体" w:cs="宋体"/>
          <w:sz w:val="24"/>
        </w:rPr>
        <w:t>按</w:t>
      </w:r>
      <w:r>
        <w:rPr>
          <w:rFonts w:hint="eastAsia" w:hAnsi="宋体" w:cs="宋体"/>
          <w:sz w:val="24"/>
        </w:rPr>
        <w:t>电子</w:t>
      </w:r>
      <w:r>
        <w:rPr>
          <w:rFonts w:hAnsi="宋体" w:cs="宋体"/>
          <w:sz w:val="24"/>
        </w:rPr>
        <w:t>投标</w:t>
      </w:r>
      <w:r>
        <w:rPr>
          <w:rFonts w:hint="eastAsia" w:hAnsi="宋体" w:cs="宋体"/>
          <w:sz w:val="24"/>
        </w:rPr>
        <w:t>文件到达交易系统</w:t>
      </w:r>
      <w:r>
        <w:rPr>
          <w:rFonts w:hAnsi="宋体" w:cs="宋体"/>
          <w:sz w:val="24"/>
        </w:rPr>
        <w:t>的先后顺序</w:t>
      </w:r>
      <w:r>
        <w:rPr>
          <w:rFonts w:hint="eastAsia" w:hAnsi="宋体" w:cs="宋体"/>
          <w:sz w:val="24"/>
        </w:rPr>
        <w:t>，使用本单位CA数字证书进行再次解密。</w:t>
      </w:r>
    </w:p>
    <w:p>
      <w:pPr>
        <w:spacing w:line="360" w:lineRule="auto"/>
        <w:ind w:firstLine="480" w:firstLineChars="200"/>
        <w:rPr>
          <w:rFonts w:hAnsi="宋体"/>
          <w:sz w:val="24"/>
          <w:szCs w:val="24"/>
        </w:rPr>
      </w:pPr>
      <w:r>
        <w:rPr>
          <w:rFonts w:hint="eastAsia" w:hAnsi="宋体"/>
          <w:sz w:val="24"/>
          <w:szCs w:val="24"/>
        </w:rPr>
        <w:t>5.2.2.2电子投标文件解密异常情况处理</w:t>
      </w:r>
    </w:p>
    <w:p>
      <w:pPr>
        <w:spacing w:line="360" w:lineRule="auto"/>
        <w:ind w:firstLine="480" w:firstLineChars="200"/>
        <w:rPr>
          <w:rFonts w:hAnsi="宋体"/>
          <w:sz w:val="24"/>
          <w:szCs w:val="24"/>
        </w:rPr>
      </w:pPr>
      <w:r>
        <w:rPr>
          <w:rFonts w:hint="eastAsia" w:hAnsi="宋体"/>
          <w:sz w:val="24"/>
          <w:szCs w:val="24"/>
        </w:rPr>
        <w:t>（</w:t>
      </w:r>
      <w:r>
        <w:rPr>
          <w:rFonts w:hAnsi="宋体"/>
          <w:sz w:val="24"/>
          <w:szCs w:val="24"/>
        </w:rPr>
        <w:t>1</w:t>
      </w:r>
      <w:r>
        <w:rPr>
          <w:rFonts w:hint="eastAsia" w:hAnsi="宋体"/>
          <w:sz w:val="24"/>
          <w:szCs w:val="24"/>
        </w:rPr>
        <w:t>）因电子交易系统异常无法解密电子投标文件的，使用纸质投标文件，以人工方式进行。</w:t>
      </w:r>
    </w:p>
    <w:p>
      <w:pPr>
        <w:spacing w:line="360" w:lineRule="auto"/>
        <w:ind w:firstLine="480" w:firstLineChars="200"/>
        <w:rPr>
          <w:rFonts w:hAnsi="宋体"/>
          <w:sz w:val="24"/>
          <w:szCs w:val="24"/>
        </w:rPr>
      </w:pPr>
      <w:r>
        <w:rPr>
          <w:rFonts w:hint="eastAsia" w:hAnsi="宋体"/>
          <w:sz w:val="24"/>
          <w:szCs w:val="24"/>
        </w:rPr>
        <w:t>（2）因投标人原因电子投标文件解密失败的，</w:t>
      </w:r>
      <w:r>
        <w:rPr>
          <w:rFonts w:hint="eastAsia" w:hAnsi="宋体" w:cs="宋体"/>
          <w:sz w:val="24"/>
        </w:rPr>
        <w:t>由系统技术人员协助投标人将备份文件（电子介质储存）导入系统。若备份文件（电子介质存储）无法导入系统或导入系统仍无法解密的，视为</w:t>
      </w:r>
      <w:r>
        <w:rPr>
          <w:rFonts w:hint="eastAsia" w:hAnsi="宋体"/>
          <w:sz w:val="24"/>
          <w:szCs w:val="24"/>
        </w:rPr>
        <w:t>投标人撤销其投标文件。</w:t>
      </w:r>
    </w:p>
    <w:p>
      <w:pPr>
        <w:pStyle w:val="67"/>
        <w:spacing w:line="440" w:lineRule="exact"/>
        <w:jc w:val="both"/>
        <w:outlineLvl w:val="0"/>
        <w:rPr>
          <w:rFonts w:hAnsi="宋体"/>
          <w:b/>
          <w:color w:val="auto"/>
        </w:rPr>
      </w:pPr>
      <w:r>
        <w:rPr>
          <w:rFonts w:hAnsi="宋体"/>
          <w:b/>
          <w:color w:val="auto"/>
        </w:rPr>
        <w:t xml:space="preserve">6. </w:t>
      </w:r>
      <w:r>
        <w:rPr>
          <w:rFonts w:hint="eastAsia" w:hAnsi="宋体"/>
          <w:b/>
          <w:color w:val="auto"/>
        </w:rPr>
        <w:t>评标</w:t>
      </w:r>
      <w:bookmarkEnd w:id="48"/>
    </w:p>
    <w:p>
      <w:pPr>
        <w:autoSpaceDE w:val="0"/>
        <w:autoSpaceDN w:val="0"/>
        <w:adjustRightInd w:val="0"/>
        <w:spacing w:line="440" w:lineRule="exact"/>
        <w:jc w:val="left"/>
        <w:outlineLvl w:val="0"/>
        <w:rPr>
          <w:rFonts w:hAnsi="宋体" w:cs="宋体"/>
          <w:b/>
          <w:sz w:val="24"/>
        </w:rPr>
      </w:pPr>
      <w:bookmarkStart w:id="49" w:name="_Toc283559971"/>
      <w:r>
        <w:rPr>
          <w:rFonts w:hAnsi="宋体" w:cs="宋体"/>
          <w:b/>
          <w:sz w:val="24"/>
        </w:rPr>
        <w:t xml:space="preserve">6.1 </w:t>
      </w:r>
      <w:r>
        <w:rPr>
          <w:rFonts w:hint="eastAsia" w:hAnsi="宋体" w:cs="宋体"/>
          <w:b/>
          <w:sz w:val="24"/>
        </w:rPr>
        <w:t>评标委员会</w:t>
      </w:r>
      <w:bookmarkEnd w:id="49"/>
    </w:p>
    <w:p>
      <w:pPr>
        <w:autoSpaceDE w:val="0"/>
        <w:autoSpaceDN w:val="0"/>
        <w:spacing w:line="440" w:lineRule="exact"/>
        <w:ind w:firstLine="480" w:firstLineChars="200"/>
        <w:jc w:val="left"/>
        <w:outlineLvl w:val="0"/>
        <w:rPr>
          <w:rFonts w:hAnsi="宋体" w:cs="宋体"/>
          <w:sz w:val="24"/>
        </w:rPr>
      </w:pPr>
      <w:r>
        <w:rPr>
          <w:rFonts w:hAnsi="宋体" w:cs="宋体"/>
          <w:sz w:val="24"/>
        </w:rPr>
        <w:t xml:space="preserve">6.1.1 </w:t>
      </w:r>
      <w:r>
        <w:rPr>
          <w:rFonts w:hint="eastAsia" w:hAnsi="宋体" w:cs="宋体"/>
          <w:sz w:val="24"/>
        </w:rPr>
        <w:t>评标由招标人依法组建的评标委员会负责。评标委员会成员由相关技术、经济等方面的专家组成，组成人数见投标人须知前附表。</w:t>
      </w:r>
    </w:p>
    <w:p>
      <w:pPr>
        <w:autoSpaceDE w:val="0"/>
        <w:autoSpaceDN w:val="0"/>
        <w:spacing w:line="440" w:lineRule="exact"/>
        <w:ind w:firstLine="480" w:firstLineChars="200"/>
        <w:jc w:val="left"/>
        <w:outlineLvl w:val="0"/>
        <w:rPr>
          <w:rFonts w:hAnsi="宋体" w:cs="宋体"/>
          <w:sz w:val="24"/>
        </w:rPr>
      </w:pPr>
      <w:r>
        <w:rPr>
          <w:rFonts w:hAnsi="宋体" w:cs="宋体"/>
          <w:sz w:val="24"/>
        </w:rPr>
        <w:t xml:space="preserve">6.1.2 </w:t>
      </w:r>
      <w:r>
        <w:rPr>
          <w:rFonts w:hint="eastAsia" w:hAnsi="宋体" w:cs="宋体"/>
          <w:sz w:val="24"/>
        </w:rPr>
        <w:t>评标委员会成员有下列情形之一的，应当回避：</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w:t>
      </w:r>
      <w:r>
        <w:rPr>
          <w:rFonts w:hAnsi="宋体" w:cs="宋体"/>
          <w:sz w:val="24"/>
        </w:rPr>
        <w:t>1</w:t>
      </w:r>
      <w:r>
        <w:rPr>
          <w:rFonts w:hint="eastAsia" w:hAnsi="宋体" w:cs="宋体"/>
          <w:sz w:val="24"/>
        </w:rPr>
        <w:t>）招标人或投标人的主要负责人的近亲属；</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w:t>
      </w:r>
      <w:r>
        <w:rPr>
          <w:rFonts w:hAnsi="宋体" w:cs="宋体"/>
          <w:sz w:val="24"/>
        </w:rPr>
        <w:t>2</w:t>
      </w:r>
      <w:r>
        <w:rPr>
          <w:rFonts w:hint="eastAsia" w:hAnsi="宋体" w:cs="宋体"/>
          <w:sz w:val="24"/>
        </w:rPr>
        <w:t>）项目主管部门或者行政监督部门的人员；</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w:t>
      </w:r>
      <w:r>
        <w:rPr>
          <w:rFonts w:hAnsi="宋体" w:cs="宋体"/>
          <w:sz w:val="24"/>
        </w:rPr>
        <w:t>3</w:t>
      </w:r>
      <w:r>
        <w:rPr>
          <w:rFonts w:hint="eastAsia" w:hAnsi="宋体" w:cs="宋体"/>
          <w:sz w:val="24"/>
        </w:rPr>
        <w:t>）与投标人有经济利益关系，可能影响对投标公正评审的；</w:t>
      </w:r>
    </w:p>
    <w:p>
      <w:pPr>
        <w:autoSpaceDE w:val="0"/>
        <w:autoSpaceDN w:val="0"/>
        <w:spacing w:line="440" w:lineRule="exact"/>
        <w:ind w:firstLine="480" w:firstLineChars="200"/>
        <w:jc w:val="left"/>
        <w:outlineLvl w:val="0"/>
        <w:rPr>
          <w:rFonts w:hAnsi="宋体" w:cs="宋体"/>
          <w:color w:val="0000FF"/>
          <w:sz w:val="24"/>
        </w:rPr>
      </w:pPr>
      <w:r>
        <w:rPr>
          <w:rFonts w:hint="eastAsia" w:hAnsi="宋体" w:cs="宋体"/>
          <w:sz w:val="24"/>
        </w:rPr>
        <w:t>（</w:t>
      </w:r>
      <w:r>
        <w:rPr>
          <w:rFonts w:hAnsi="宋体" w:cs="宋体"/>
          <w:sz w:val="24"/>
        </w:rPr>
        <w:t>4</w:t>
      </w:r>
      <w:r>
        <w:rPr>
          <w:rFonts w:hint="eastAsia" w:hAnsi="宋体" w:cs="宋体"/>
          <w:sz w:val="24"/>
        </w:rPr>
        <w:t>）曾因在招标、评标以及其他与招标投标有关活动中从事违法行为而受过行政处罚或刑事处罚的。</w:t>
      </w:r>
    </w:p>
    <w:p>
      <w:pPr>
        <w:autoSpaceDE w:val="0"/>
        <w:autoSpaceDN w:val="0"/>
        <w:spacing w:line="440" w:lineRule="exact"/>
        <w:jc w:val="left"/>
        <w:outlineLvl w:val="0"/>
        <w:rPr>
          <w:rFonts w:hAnsi="宋体" w:cs="宋体"/>
          <w:b/>
          <w:sz w:val="24"/>
        </w:rPr>
      </w:pPr>
      <w:bookmarkStart w:id="50" w:name="_Toc283559972"/>
      <w:r>
        <w:rPr>
          <w:rFonts w:hAnsi="宋体" w:cs="宋体"/>
          <w:b/>
          <w:sz w:val="24"/>
        </w:rPr>
        <w:t xml:space="preserve">6.2 </w:t>
      </w:r>
      <w:r>
        <w:rPr>
          <w:rFonts w:hint="eastAsia" w:hAnsi="宋体" w:cs="宋体"/>
          <w:b/>
          <w:sz w:val="24"/>
        </w:rPr>
        <w:t>评标原则</w:t>
      </w:r>
      <w:bookmarkEnd w:id="50"/>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评标活动遵循公平、公正、科学和择优的原则。</w:t>
      </w:r>
    </w:p>
    <w:p>
      <w:pPr>
        <w:autoSpaceDE w:val="0"/>
        <w:autoSpaceDN w:val="0"/>
        <w:spacing w:line="440" w:lineRule="exact"/>
        <w:jc w:val="left"/>
        <w:outlineLvl w:val="0"/>
        <w:rPr>
          <w:rFonts w:hAnsi="宋体" w:cs="宋体"/>
          <w:b/>
          <w:sz w:val="24"/>
        </w:rPr>
      </w:pPr>
      <w:bookmarkStart w:id="51" w:name="_Toc283559973"/>
      <w:r>
        <w:rPr>
          <w:rFonts w:hAnsi="宋体" w:cs="宋体"/>
          <w:b/>
          <w:sz w:val="24"/>
        </w:rPr>
        <w:t xml:space="preserve">6.3 </w:t>
      </w:r>
      <w:r>
        <w:rPr>
          <w:rFonts w:hint="eastAsia" w:hAnsi="宋体" w:cs="宋体"/>
          <w:b/>
          <w:sz w:val="24"/>
        </w:rPr>
        <w:t>评标</w:t>
      </w:r>
      <w:bookmarkEnd w:id="51"/>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评标委员会按照第三章“评标办法”规定的方法、评审因素、标准和程序对投标文件进行评审。第三章“评标办法”没有规定的方法、评审因素和标准，不作为评标依据。</w:t>
      </w:r>
    </w:p>
    <w:p>
      <w:pPr>
        <w:pStyle w:val="67"/>
        <w:spacing w:line="440" w:lineRule="exact"/>
        <w:jc w:val="both"/>
        <w:outlineLvl w:val="0"/>
        <w:rPr>
          <w:rFonts w:hAnsi="宋体"/>
          <w:b/>
          <w:color w:val="auto"/>
        </w:rPr>
      </w:pPr>
      <w:bookmarkStart w:id="52" w:name="_Toc283559974"/>
      <w:r>
        <w:rPr>
          <w:rFonts w:hAnsi="宋体"/>
          <w:b/>
          <w:color w:val="auto"/>
        </w:rPr>
        <w:t xml:space="preserve">7. </w:t>
      </w:r>
      <w:r>
        <w:rPr>
          <w:rFonts w:hint="eastAsia" w:hAnsi="宋体"/>
          <w:b/>
          <w:color w:val="auto"/>
        </w:rPr>
        <w:t>合同授予</w:t>
      </w:r>
      <w:bookmarkEnd w:id="52"/>
    </w:p>
    <w:p>
      <w:pPr>
        <w:autoSpaceDE w:val="0"/>
        <w:autoSpaceDN w:val="0"/>
        <w:spacing w:line="440" w:lineRule="exact"/>
        <w:jc w:val="left"/>
        <w:outlineLvl w:val="0"/>
        <w:rPr>
          <w:rFonts w:hAnsi="宋体" w:cs="宋体"/>
          <w:b/>
          <w:sz w:val="24"/>
        </w:rPr>
      </w:pPr>
      <w:bookmarkStart w:id="53" w:name="_Toc283559975"/>
      <w:r>
        <w:rPr>
          <w:rFonts w:hAnsi="宋体" w:cs="宋体"/>
          <w:b/>
          <w:sz w:val="24"/>
        </w:rPr>
        <w:t xml:space="preserve">7.1 </w:t>
      </w:r>
      <w:r>
        <w:rPr>
          <w:rFonts w:hint="eastAsia" w:hAnsi="宋体" w:cs="宋体"/>
          <w:b/>
          <w:sz w:val="24"/>
        </w:rPr>
        <w:t>定标方式</w:t>
      </w:r>
      <w:bookmarkEnd w:id="53"/>
    </w:p>
    <w:p>
      <w:pPr>
        <w:spacing w:line="400" w:lineRule="exact"/>
        <w:ind w:firstLine="480" w:firstLineChars="200"/>
        <w:rPr>
          <w:sz w:val="24"/>
        </w:rPr>
      </w:pPr>
      <w:r>
        <w:rPr>
          <w:rFonts w:hint="eastAsia"/>
          <w:sz w:val="24"/>
        </w:rPr>
        <w:t>除投标人须知前附表规定评标委员会直接确定中标人外，招标人依据评标委员会推荐的中标候选人确定中标人，评标委员会推荐中标候选人的人数见投标人须知前附表。</w:t>
      </w:r>
    </w:p>
    <w:p>
      <w:pPr>
        <w:autoSpaceDE w:val="0"/>
        <w:autoSpaceDN w:val="0"/>
        <w:spacing w:line="440" w:lineRule="exact"/>
        <w:jc w:val="left"/>
        <w:outlineLvl w:val="0"/>
        <w:rPr>
          <w:rFonts w:hAnsi="宋体" w:cs="宋体"/>
          <w:b/>
          <w:sz w:val="24"/>
        </w:rPr>
      </w:pPr>
      <w:bookmarkStart w:id="54" w:name="_Toc283559976"/>
      <w:r>
        <w:rPr>
          <w:rFonts w:hAnsi="宋体" w:cs="宋体"/>
          <w:b/>
          <w:sz w:val="24"/>
        </w:rPr>
        <w:t>7.</w:t>
      </w:r>
      <w:r>
        <w:rPr>
          <w:rFonts w:hint="eastAsia" w:hAnsi="宋体" w:cs="宋体"/>
          <w:b/>
          <w:sz w:val="24"/>
        </w:rPr>
        <w:t>2中标通知</w:t>
      </w:r>
      <w:bookmarkEnd w:id="54"/>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在本章第</w:t>
      </w:r>
      <w:r>
        <w:rPr>
          <w:rFonts w:hAnsi="宋体" w:cs="宋体"/>
          <w:sz w:val="24"/>
        </w:rPr>
        <w:t xml:space="preserve">3.3 </w:t>
      </w:r>
      <w:r>
        <w:rPr>
          <w:rFonts w:hint="eastAsia" w:hAnsi="宋体" w:cs="宋体"/>
          <w:sz w:val="24"/>
        </w:rPr>
        <w:t>款规定的投标有效期内，招标人以书面形式向中标人发出中标通知书，同时将中标结果通知未中标的投标人。</w:t>
      </w:r>
      <w:bookmarkStart w:id="55" w:name="_Toc152045569"/>
      <w:bookmarkStart w:id="56" w:name="_Toc179632587"/>
      <w:bookmarkStart w:id="57" w:name="_Toc152042345"/>
      <w:bookmarkStart w:id="58" w:name="_Toc144974537"/>
    </w:p>
    <w:bookmarkEnd w:id="55"/>
    <w:bookmarkEnd w:id="56"/>
    <w:bookmarkEnd w:id="57"/>
    <w:bookmarkEnd w:id="58"/>
    <w:p>
      <w:pPr>
        <w:autoSpaceDE w:val="0"/>
        <w:autoSpaceDN w:val="0"/>
        <w:spacing w:line="440" w:lineRule="exact"/>
        <w:jc w:val="left"/>
        <w:outlineLvl w:val="0"/>
        <w:rPr>
          <w:rFonts w:hAnsi="宋体" w:cs="宋体"/>
          <w:b/>
          <w:sz w:val="24"/>
        </w:rPr>
      </w:pPr>
      <w:r>
        <w:rPr>
          <w:rFonts w:hint="eastAsia" w:hAnsi="宋体" w:cs="宋体"/>
          <w:b/>
          <w:sz w:val="24"/>
        </w:rPr>
        <w:t>7.3 签订合同</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7.3.1 招标人和中标人应当自中标通知书发出之日起30天内，根据招标文件和中标人的投标文件订立书面合同。招标人和中标人不得再订立背离合同实质性内容及其他协议。中标人无正当理由拒签合同的，招标人取消其中标资格，其投标保证金不予退还；给招标人造成的损失超过投标保证金数额的，中标人还应当对超过部分予以赔偿。</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7.3.2 发出中标通知书后，招标人无正当理由拒签合同的，招标人向中标人退还投标保证金；给中标人造成损失的，还应当赔偿损失。</w:t>
      </w:r>
    </w:p>
    <w:p>
      <w:pPr>
        <w:autoSpaceDE w:val="0"/>
        <w:autoSpaceDN w:val="0"/>
        <w:spacing w:line="440" w:lineRule="exact"/>
        <w:jc w:val="left"/>
        <w:outlineLvl w:val="0"/>
        <w:rPr>
          <w:rFonts w:hint="eastAsia" w:hAnsi="宋体" w:cs="宋体"/>
          <w:b/>
          <w:sz w:val="24"/>
          <w:lang w:val="en-US" w:eastAsia="zh-CN"/>
        </w:rPr>
      </w:pPr>
      <w:bookmarkStart w:id="59" w:name="_Toc283559978"/>
      <w:r>
        <w:rPr>
          <w:rFonts w:hint="eastAsia" w:hAnsi="宋体" w:cs="宋体"/>
          <w:b/>
          <w:sz w:val="24"/>
          <w:lang w:val="en-US" w:eastAsia="zh-CN"/>
        </w:rPr>
        <w:t>7.4履约保证金</w:t>
      </w:r>
    </w:p>
    <w:p>
      <w:pPr>
        <w:autoSpaceDE w:val="0"/>
        <w:autoSpaceDN w:val="0"/>
        <w:spacing w:line="440" w:lineRule="exact"/>
        <w:ind w:firstLine="480" w:firstLineChars="200"/>
        <w:jc w:val="left"/>
        <w:outlineLvl w:val="0"/>
        <w:rPr>
          <w:rFonts w:hint="eastAsia" w:hAnsi="宋体" w:cs="宋体"/>
          <w:sz w:val="24"/>
          <w:szCs w:val="22"/>
        </w:rPr>
      </w:pPr>
      <w:r>
        <w:rPr>
          <w:rFonts w:hint="eastAsia" w:hAnsi="宋体" w:cs="宋体"/>
          <w:sz w:val="24"/>
          <w:szCs w:val="22"/>
          <w:lang w:val="en-US" w:eastAsia="zh-CN"/>
        </w:rPr>
        <w:t>7.4.1</w:t>
      </w:r>
      <w:r>
        <w:rPr>
          <w:rFonts w:hint="eastAsia" w:hAnsi="宋体" w:cs="宋体"/>
          <w:sz w:val="24"/>
          <w:szCs w:val="22"/>
        </w:rPr>
        <w:t xml:space="preserve">履约保证金提交方式 </w:t>
      </w:r>
    </w:p>
    <w:p>
      <w:pPr>
        <w:autoSpaceDE w:val="0"/>
        <w:autoSpaceDN w:val="0"/>
        <w:spacing w:line="440" w:lineRule="exact"/>
        <w:ind w:firstLine="480" w:firstLineChars="200"/>
        <w:jc w:val="left"/>
        <w:outlineLvl w:val="0"/>
        <w:rPr>
          <w:rFonts w:hint="eastAsia" w:hAnsi="宋体" w:cs="宋体"/>
          <w:sz w:val="24"/>
          <w:szCs w:val="22"/>
        </w:rPr>
      </w:pPr>
      <w:r>
        <w:rPr>
          <w:rFonts w:hint="eastAsia" w:hAnsi="宋体" w:cs="宋体"/>
          <w:sz w:val="24"/>
          <w:szCs w:val="22"/>
        </w:rPr>
        <w:t xml:space="preserve">1、以网银、银行转账支票、银行电汇方式提交。  </w:t>
      </w:r>
    </w:p>
    <w:p>
      <w:pPr>
        <w:autoSpaceDE w:val="0"/>
        <w:autoSpaceDN w:val="0"/>
        <w:spacing w:line="440" w:lineRule="exact"/>
        <w:ind w:firstLine="480" w:firstLineChars="200"/>
        <w:jc w:val="left"/>
        <w:outlineLvl w:val="0"/>
        <w:rPr>
          <w:rFonts w:hint="eastAsia" w:hAnsi="宋体" w:cs="宋体"/>
          <w:sz w:val="24"/>
          <w:szCs w:val="22"/>
        </w:rPr>
      </w:pPr>
      <w:r>
        <w:rPr>
          <w:rFonts w:hint="eastAsia" w:hAnsi="宋体" w:cs="宋体"/>
          <w:sz w:val="24"/>
          <w:szCs w:val="22"/>
        </w:rPr>
        <w:t xml:space="preserve">2、现金支票和现金不得作为履约保证金提交方式。  </w:t>
      </w:r>
    </w:p>
    <w:p>
      <w:pPr>
        <w:autoSpaceDE w:val="0"/>
        <w:autoSpaceDN w:val="0"/>
        <w:spacing w:line="440" w:lineRule="exact"/>
        <w:ind w:firstLine="480" w:firstLineChars="200"/>
        <w:jc w:val="left"/>
        <w:outlineLvl w:val="0"/>
        <w:rPr>
          <w:rFonts w:hint="eastAsia" w:hAnsi="宋体" w:cs="宋体"/>
          <w:sz w:val="24"/>
          <w:szCs w:val="22"/>
        </w:rPr>
      </w:pPr>
      <w:r>
        <w:rPr>
          <w:rFonts w:hint="eastAsia" w:hAnsi="宋体" w:cs="宋体"/>
          <w:sz w:val="24"/>
          <w:szCs w:val="22"/>
        </w:rPr>
        <w:t>3、中标人必须通过其公司账户按照规定的方式提交，其名称应与中标单位的名称一致。</w:t>
      </w:r>
    </w:p>
    <w:p>
      <w:pPr>
        <w:autoSpaceDE w:val="0"/>
        <w:autoSpaceDN w:val="0"/>
        <w:spacing w:line="440" w:lineRule="exact"/>
        <w:ind w:firstLine="480" w:firstLineChars="200"/>
        <w:jc w:val="left"/>
        <w:outlineLvl w:val="0"/>
        <w:rPr>
          <w:rFonts w:hint="default" w:hAnsi="宋体" w:cs="宋体"/>
          <w:sz w:val="24"/>
          <w:szCs w:val="22"/>
          <w:lang w:val="en-US" w:eastAsia="zh-CN"/>
        </w:rPr>
      </w:pPr>
      <w:r>
        <w:rPr>
          <w:rFonts w:hint="eastAsia" w:hAnsi="宋体" w:cs="宋体"/>
          <w:sz w:val="24"/>
          <w:szCs w:val="22"/>
          <w:lang w:val="en-US" w:eastAsia="zh-CN"/>
        </w:rPr>
        <w:t>4、中标人在缴纳履约保证金时必须在附言、备注和用途栏注明“项目编号及标段”，否则可能造成延迟退还。</w:t>
      </w:r>
    </w:p>
    <w:p>
      <w:pPr>
        <w:autoSpaceDE w:val="0"/>
        <w:autoSpaceDN w:val="0"/>
        <w:spacing w:line="440" w:lineRule="exact"/>
        <w:ind w:firstLine="480" w:firstLineChars="200"/>
        <w:jc w:val="left"/>
        <w:outlineLvl w:val="0"/>
        <w:rPr>
          <w:rFonts w:hint="eastAsia" w:hAnsi="宋体" w:cs="宋体"/>
          <w:sz w:val="24"/>
          <w:szCs w:val="22"/>
        </w:rPr>
      </w:pPr>
      <w:r>
        <w:rPr>
          <w:rFonts w:hint="eastAsia" w:hAnsi="宋体" w:cs="宋体"/>
          <w:sz w:val="24"/>
          <w:szCs w:val="22"/>
          <w:lang w:val="en-US" w:eastAsia="zh-CN"/>
        </w:rPr>
        <w:t>7.4.2</w:t>
      </w:r>
      <w:r>
        <w:rPr>
          <w:rFonts w:hint="eastAsia" w:hAnsi="宋体" w:cs="宋体"/>
          <w:sz w:val="24"/>
          <w:szCs w:val="22"/>
        </w:rPr>
        <w:t xml:space="preserve">履约保证金提交比例和数额 </w:t>
      </w:r>
    </w:p>
    <w:p>
      <w:pPr>
        <w:autoSpaceDE w:val="0"/>
        <w:autoSpaceDN w:val="0"/>
        <w:spacing w:line="440" w:lineRule="exact"/>
        <w:ind w:firstLine="480" w:firstLineChars="200"/>
        <w:jc w:val="left"/>
        <w:outlineLvl w:val="0"/>
        <w:rPr>
          <w:rFonts w:hint="eastAsia" w:hAnsi="宋体" w:cs="宋体"/>
          <w:sz w:val="24"/>
          <w:szCs w:val="22"/>
        </w:rPr>
      </w:pPr>
      <w:r>
        <w:rPr>
          <w:rFonts w:hint="eastAsia" w:hAnsi="宋体" w:cs="宋体"/>
          <w:sz w:val="24"/>
          <w:szCs w:val="22"/>
        </w:rPr>
        <w:t>履约保证金数额不得超过中标合同金额的10%。</w:t>
      </w:r>
    </w:p>
    <w:p>
      <w:pPr>
        <w:autoSpaceDE w:val="0"/>
        <w:autoSpaceDN w:val="0"/>
        <w:spacing w:line="440" w:lineRule="exact"/>
        <w:ind w:firstLine="480" w:firstLineChars="200"/>
        <w:jc w:val="left"/>
        <w:outlineLvl w:val="0"/>
        <w:rPr>
          <w:rFonts w:hint="eastAsia" w:hAnsi="宋体" w:cs="宋体"/>
          <w:sz w:val="24"/>
          <w:szCs w:val="22"/>
        </w:rPr>
      </w:pPr>
      <w:r>
        <w:rPr>
          <w:rFonts w:hint="eastAsia" w:hAnsi="宋体" w:cs="宋体"/>
          <w:sz w:val="24"/>
          <w:szCs w:val="22"/>
          <w:lang w:val="en-US" w:eastAsia="zh-CN"/>
        </w:rPr>
        <w:t>7.4.3</w:t>
      </w:r>
      <w:r>
        <w:rPr>
          <w:rFonts w:hint="eastAsia" w:hAnsi="宋体" w:cs="宋体"/>
          <w:sz w:val="24"/>
          <w:szCs w:val="22"/>
        </w:rPr>
        <w:t xml:space="preserve">履约保证金的退还 </w:t>
      </w:r>
    </w:p>
    <w:p>
      <w:pPr>
        <w:autoSpaceDE w:val="0"/>
        <w:autoSpaceDN w:val="0"/>
        <w:spacing w:line="440" w:lineRule="exact"/>
        <w:ind w:firstLine="480" w:firstLineChars="200"/>
        <w:jc w:val="left"/>
        <w:outlineLvl w:val="0"/>
        <w:rPr>
          <w:rFonts w:hint="eastAsia" w:hAnsi="宋体" w:cs="宋体"/>
          <w:sz w:val="24"/>
          <w:szCs w:val="22"/>
        </w:rPr>
      </w:pPr>
      <w:r>
        <w:rPr>
          <w:rFonts w:hint="eastAsia" w:hAnsi="宋体" w:cs="宋体"/>
          <w:sz w:val="24"/>
          <w:szCs w:val="22"/>
        </w:rPr>
        <w:t xml:space="preserve">1、项目完工后，由招标人出具《履约保证金退还通知单》，中心财务凭《履约保证金退还通知单》在五个工作日内退还履约保证金及银行同期活期存款利息至中标人账户。  </w:t>
      </w:r>
    </w:p>
    <w:p>
      <w:pPr>
        <w:autoSpaceDE w:val="0"/>
        <w:autoSpaceDN w:val="0"/>
        <w:spacing w:line="440" w:lineRule="exact"/>
        <w:ind w:firstLine="480" w:firstLineChars="200"/>
        <w:jc w:val="left"/>
        <w:outlineLvl w:val="0"/>
        <w:rPr>
          <w:rFonts w:hint="eastAsia" w:hAnsi="宋体" w:cs="宋体"/>
          <w:sz w:val="24"/>
          <w:szCs w:val="22"/>
          <w:lang w:val="en-US" w:eastAsia="zh-CN"/>
        </w:rPr>
      </w:pPr>
      <w:r>
        <w:rPr>
          <w:rFonts w:hint="eastAsia" w:hAnsi="宋体" w:cs="宋体"/>
          <w:sz w:val="24"/>
          <w:szCs w:val="22"/>
        </w:rPr>
        <w:t>2、中标人因发生质疑、投诉、举报或有关部门立案调查的，中心依据相关行政监督部门的意见暂停退还或没收其履约保证金，待行政监督部门对相关情况处置后，按照有关规定办理。</w:t>
      </w:r>
      <w:r>
        <w:rPr>
          <w:rFonts w:ascii="Arial" w:hAnsi="Arial" w:eastAsia="宋体" w:cs="Arial"/>
          <w:color w:val="000000"/>
          <w:kern w:val="0"/>
          <w:szCs w:val="21"/>
        </w:rPr>
        <w:t xml:space="preserve"> </w:t>
      </w:r>
    </w:p>
    <w:p>
      <w:pPr>
        <w:autoSpaceDE w:val="0"/>
        <w:autoSpaceDN w:val="0"/>
        <w:spacing w:line="440" w:lineRule="exact"/>
        <w:jc w:val="left"/>
        <w:outlineLvl w:val="0"/>
        <w:rPr>
          <w:rFonts w:hAnsi="宋体" w:cs="宋体"/>
          <w:b/>
          <w:sz w:val="24"/>
        </w:rPr>
      </w:pPr>
      <w:r>
        <w:rPr>
          <w:rFonts w:hAnsi="宋体" w:cs="宋体"/>
          <w:b/>
          <w:sz w:val="24"/>
        </w:rPr>
        <w:t xml:space="preserve">8. </w:t>
      </w:r>
      <w:r>
        <w:rPr>
          <w:rFonts w:hint="eastAsia" w:hAnsi="宋体" w:cs="宋体"/>
          <w:b/>
          <w:sz w:val="24"/>
        </w:rPr>
        <w:t>重新招标和不再招标</w:t>
      </w:r>
      <w:bookmarkEnd w:id="59"/>
    </w:p>
    <w:p>
      <w:pPr>
        <w:autoSpaceDE w:val="0"/>
        <w:autoSpaceDN w:val="0"/>
        <w:adjustRightInd w:val="0"/>
        <w:spacing w:line="440" w:lineRule="exact"/>
        <w:jc w:val="left"/>
        <w:outlineLvl w:val="0"/>
        <w:rPr>
          <w:rFonts w:hAnsi="宋体" w:cs="宋体"/>
          <w:b/>
          <w:sz w:val="24"/>
        </w:rPr>
      </w:pPr>
      <w:bookmarkStart w:id="60" w:name="_Toc283559979"/>
      <w:r>
        <w:rPr>
          <w:rFonts w:hAnsi="宋体" w:cs="宋体"/>
          <w:b/>
          <w:sz w:val="24"/>
        </w:rPr>
        <w:t xml:space="preserve">8.1 </w:t>
      </w:r>
      <w:r>
        <w:rPr>
          <w:rFonts w:hint="eastAsia" w:hAnsi="宋体" w:cs="宋体"/>
          <w:b/>
          <w:sz w:val="24"/>
        </w:rPr>
        <w:t>重新招标</w:t>
      </w:r>
      <w:bookmarkEnd w:id="60"/>
    </w:p>
    <w:p>
      <w:pPr>
        <w:autoSpaceDE w:val="0"/>
        <w:autoSpaceDN w:val="0"/>
        <w:adjustRightInd w:val="0"/>
        <w:spacing w:line="440" w:lineRule="exact"/>
        <w:ind w:firstLine="420" w:firstLineChars="175"/>
        <w:jc w:val="left"/>
        <w:rPr>
          <w:rFonts w:hAnsi="宋体" w:cs="宋体"/>
          <w:sz w:val="24"/>
        </w:rPr>
      </w:pPr>
      <w:r>
        <w:rPr>
          <w:rFonts w:hint="eastAsia" w:hAnsi="宋体" w:cs="宋体"/>
          <w:sz w:val="24"/>
        </w:rPr>
        <w:t>有下列情形之一的，招标人将重新招标：</w:t>
      </w:r>
    </w:p>
    <w:p>
      <w:pPr>
        <w:autoSpaceDE w:val="0"/>
        <w:autoSpaceDN w:val="0"/>
        <w:adjustRightInd w:val="0"/>
        <w:spacing w:line="440" w:lineRule="exact"/>
        <w:ind w:firstLine="420" w:firstLineChars="175"/>
        <w:jc w:val="left"/>
        <w:rPr>
          <w:rFonts w:hAnsi="宋体" w:cs="宋体"/>
          <w:sz w:val="24"/>
        </w:rPr>
      </w:pPr>
      <w:r>
        <w:rPr>
          <w:rFonts w:hint="eastAsia" w:hAnsi="宋体" w:cs="宋体"/>
          <w:sz w:val="24"/>
        </w:rPr>
        <w:t>（</w:t>
      </w:r>
      <w:r>
        <w:rPr>
          <w:rFonts w:hAnsi="宋体" w:cs="宋体"/>
          <w:sz w:val="24"/>
        </w:rPr>
        <w:t>1</w:t>
      </w:r>
      <w:r>
        <w:rPr>
          <w:rFonts w:hint="eastAsia" w:hAnsi="宋体" w:cs="宋体"/>
          <w:sz w:val="24"/>
        </w:rPr>
        <w:t>）投标截止时间止，投标人少于</w:t>
      </w:r>
      <w:r>
        <w:rPr>
          <w:rFonts w:hAnsi="宋体" w:cs="宋体"/>
          <w:sz w:val="24"/>
        </w:rPr>
        <w:t>3</w:t>
      </w:r>
      <w:r>
        <w:rPr>
          <w:rFonts w:hint="eastAsia" w:hAnsi="宋体" w:cs="宋体"/>
          <w:sz w:val="24"/>
        </w:rPr>
        <w:t>个的；</w:t>
      </w:r>
    </w:p>
    <w:p>
      <w:pPr>
        <w:autoSpaceDE w:val="0"/>
        <w:autoSpaceDN w:val="0"/>
        <w:adjustRightInd w:val="0"/>
        <w:spacing w:line="440" w:lineRule="exact"/>
        <w:ind w:firstLine="420" w:firstLineChars="175"/>
        <w:jc w:val="left"/>
        <w:rPr>
          <w:rFonts w:hAnsi="宋体" w:cs="宋体"/>
          <w:sz w:val="24"/>
        </w:rPr>
      </w:pPr>
      <w:r>
        <w:rPr>
          <w:rFonts w:hint="eastAsia" w:hAnsi="宋体" w:cs="宋体"/>
          <w:sz w:val="24"/>
        </w:rPr>
        <w:t>（</w:t>
      </w:r>
      <w:r>
        <w:rPr>
          <w:rFonts w:hAnsi="宋体" w:cs="宋体"/>
          <w:sz w:val="24"/>
        </w:rPr>
        <w:t>2</w:t>
      </w:r>
      <w:r>
        <w:rPr>
          <w:rFonts w:hint="eastAsia" w:hAnsi="宋体" w:cs="宋体"/>
          <w:sz w:val="24"/>
        </w:rPr>
        <w:t>）经评标委员会评审后否决所有投标的。</w:t>
      </w:r>
    </w:p>
    <w:p>
      <w:pPr>
        <w:autoSpaceDE w:val="0"/>
        <w:autoSpaceDN w:val="0"/>
        <w:adjustRightInd w:val="0"/>
        <w:spacing w:line="440" w:lineRule="exact"/>
        <w:jc w:val="left"/>
        <w:outlineLvl w:val="0"/>
        <w:rPr>
          <w:rFonts w:hAnsi="宋体" w:cs="宋体"/>
          <w:b/>
          <w:sz w:val="24"/>
        </w:rPr>
      </w:pPr>
      <w:bookmarkStart w:id="61" w:name="_Toc283559980"/>
      <w:r>
        <w:rPr>
          <w:rFonts w:hAnsi="宋体" w:cs="宋体"/>
          <w:b/>
          <w:sz w:val="24"/>
        </w:rPr>
        <w:t xml:space="preserve">8.2 </w:t>
      </w:r>
      <w:r>
        <w:rPr>
          <w:rFonts w:hint="eastAsia" w:hAnsi="宋体" w:cs="宋体"/>
          <w:b/>
          <w:sz w:val="24"/>
        </w:rPr>
        <w:t>不再招标</w:t>
      </w:r>
      <w:bookmarkEnd w:id="61"/>
    </w:p>
    <w:p>
      <w:pPr>
        <w:autoSpaceDE w:val="0"/>
        <w:autoSpaceDN w:val="0"/>
        <w:adjustRightInd w:val="0"/>
        <w:spacing w:line="440" w:lineRule="exact"/>
        <w:ind w:firstLine="540" w:firstLineChars="225"/>
        <w:jc w:val="left"/>
        <w:rPr>
          <w:rFonts w:hAnsi="宋体" w:cs="宋体"/>
          <w:sz w:val="24"/>
        </w:rPr>
      </w:pPr>
      <w:r>
        <w:rPr>
          <w:rFonts w:hint="eastAsia" w:hAnsi="宋体" w:cs="宋体"/>
          <w:sz w:val="24"/>
        </w:rPr>
        <w:t>重新招标后投标人仍少于</w:t>
      </w:r>
      <w:r>
        <w:rPr>
          <w:rFonts w:hAnsi="宋体" w:cs="宋体"/>
          <w:sz w:val="24"/>
        </w:rPr>
        <w:t>3</w:t>
      </w:r>
      <w:r>
        <w:rPr>
          <w:rFonts w:hint="eastAsia" w:hAnsi="宋体" w:cs="宋体"/>
          <w:sz w:val="24"/>
        </w:rPr>
        <w:t>个，属于必须审批或核准的工程建设项目，经原审批或核准部门批准后不再进行招标。</w:t>
      </w:r>
    </w:p>
    <w:p>
      <w:pPr>
        <w:pStyle w:val="67"/>
        <w:spacing w:line="440" w:lineRule="exact"/>
        <w:jc w:val="both"/>
        <w:outlineLvl w:val="0"/>
        <w:rPr>
          <w:rFonts w:hAnsi="宋体"/>
          <w:b/>
          <w:color w:val="auto"/>
        </w:rPr>
      </w:pPr>
      <w:bookmarkStart w:id="62" w:name="_Toc283559981"/>
      <w:r>
        <w:rPr>
          <w:rFonts w:hAnsi="宋体"/>
          <w:b/>
          <w:color w:val="auto"/>
        </w:rPr>
        <w:t xml:space="preserve">9. </w:t>
      </w:r>
      <w:r>
        <w:rPr>
          <w:rFonts w:hint="eastAsia" w:hAnsi="宋体"/>
          <w:b/>
          <w:color w:val="auto"/>
        </w:rPr>
        <w:t>纪律和监督</w:t>
      </w:r>
      <w:bookmarkEnd w:id="62"/>
    </w:p>
    <w:p>
      <w:pPr>
        <w:autoSpaceDE w:val="0"/>
        <w:autoSpaceDN w:val="0"/>
        <w:adjustRightInd w:val="0"/>
        <w:spacing w:line="440" w:lineRule="exact"/>
        <w:jc w:val="left"/>
        <w:outlineLvl w:val="0"/>
        <w:rPr>
          <w:rFonts w:hAnsi="宋体" w:cs="宋体"/>
          <w:b/>
          <w:sz w:val="24"/>
        </w:rPr>
      </w:pPr>
      <w:bookmarkStart w:id="63" w:name="_Toc283559982"/>
      <w:r>
        <w:rPr>
          <w:rFonts w:hAnsi="宋体" w:cs="宋体"/>
          <w:b/>
          <w:sz w:val="24"/>
        </w:rPr>
        <w:t xml:space="preserve">9.1 </w:t>
      </w:r>
      <w:r>
        <w:rPr>
          <w:rFonts w:hint="eastAsia" w:hAnsi="宋体" w:cs="宋体"/>
          <w:b/>
          <w:sz w:val="24"/>
        </w:rPr>
        <w:t>对招标人的纪律要求</w:t>
      </w:r>
      <w:bookmarkEnd w:id="63"/>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招标人不得泄漏招标投标活动中应当保密的情况和资料，不得与投标人串通损害国家利益、社会公共利益或者他人合法权益。</w:t>
      </w:r>
    </w:p>
    <w:p>
      <w:pPr>
        <w:autoSpaceDE w:val="0"/>
        <w:autoSpaceDN w:val="0"/>
        <w:adjustRightInd w:val="0"/>
        <w:spacing w:line="440" w:lineRule="exact"/>
        <w:jc w:val="left"/>
        <w:outlineLvl w:val="0"/>
        <w:rPr>
          <w:rFonts w:hAnsi="宋体" w:cs="宋体"/>
          <w:b/>
          <w:sz w:val="24"/>
        </w:rPr>
      </w:pPr>
      <w:bookmarkStart w:id="64" w:name="_Toc283559983"/>
      <w:r>
        <w:rPr>
          <w:rFonts w:hAnsi="宋体" w:cs="宋体"/>
          <w:b/>
          <w:sz w:val="24"/>
        </w:rPr>
        <w:t xml:space="preserve">9.2 </w:t>
      </w:r>
      <w:r>
        <w:rPr>
          <w:rFonts w:hint="eastAsia" w:hAnsi="宋体" w:cs="宋体"/>
          <w:b/>
          <w:sz w:val="24"/>
        </w:rPr>
        <w:t>对投标人的纪律要求</w:t>
      </w:r>
      <w:bookmarkEnd w:id="64"/>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pPr>
        <w:autoSpaceDE w:val="0"/>
        <w:autoSpaceDN w:val="0"/>
        <w:adjustRightInd w:val="0"/>
        <w:spacing w:line="440" w:lineRule="exact"/>
        <w:jc w:val="left"/>
        <w:outlineLvl w:val="0"/>
        <w:rPr>
          <w:rFonts w:hAnsi="宋体" w:cs="宋体"/>
          <w:b/>
          <w:sz w:val="24"/>
        </w:rPr>
      </w:pPr>
      <w:bookmarkStart w:id="65" w:name="_Toc283559984"/>
      <w:r>
        <w:rPr>
          <w:rFonts w:hAnsi="宋体" w:cs="宋体"/>
          <w:b/>
          <w:sz w:val="24"/>
        </w:rPr>
        <w:t xml:space="preserve">9.3 </w:t>
      </w:r>
      <w:r>
        <w:rPr>
          <w:rFonts w:hint="eastAsia" w:hAnsi="宋体" w:cs="宋体"/>
          <w:b/>
          <w:sz w:val="24"/>
        </w:rPr>
        <w:t>对评标委员会成员的纪律要求</w:t>
      </w:r>
      <w:bookmarkEnd w:id="65"/>
    </w:p>
    <w:p>
      <w:pPr>
        <w:keepNext w:val="0"/>
        <w:keepLines w:val="0"/>
        <w:pageBreakBefore w:val="0"/>
        <w:widowControl w:val="0"/>
        <w:kinsoku/>
        <w:wordWrap/>
        <w:overflowPunct/>
        <w:topLinePunct w:val="0"/>
        <w:autoSpaceDE w:val="0"/>
        <w:autoSpaceDN w:val="0"/>
        <w:bidi w:val="0"/>
        <w:adjustRightInd w:val="0"/>
        <w:snapToGrid/>
        <w:spacing w:line="400" w:lineRule="exact"/>
        <w:ind w:firstLine="480" w:firstLineChars="200"/>
        <w:jc w:val="left"/>
        <w:textAlignment w:val="auto"/>
        <w:outlineLvl w:val="9"/>
        <w:rPr>
          <w:rFonts w:hAnsi="宋体" w:cs="宋体"/>
          <w:sz w:val="24"/>
        </w:rPr>
      </w:pPr>
      <w:r>
        <w:rPr>
          <w:rFonts w:hint="eastAsia" w:hAnsi="宋体" w:cs="宋体"/>
          <w:sz w:val="24"/>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pPr>
        <w:autoSpaceDE w:val="0"/>
        <w:autoSpaceDN w:val="0"/>
        <w:adjustRightInd w:val="0"/>
        <w:spacing w:line="440" w:lineRule="exact"/>
        <w:jc w:val="left"/>
        <w:outlineLvl w:val="0"/>
        <w:rPr>
          <w:rFonts w:hAnsi="宋体" w:cs="宋体"/>
          <w:b/>
          <w:sz w:val="24"/>
        </w:rPr>
      </w:pPr>
      <w:bookmarkStart w:id="66" w:name="_Toc283559985"/>
      <w:r>
        <w:rPr>
          <w:rFonts w:hAnsi="宋体" w:cs="宋体"/>
          <w:b/>
          <w:sz w:val="24"/>
        </w:rPr>
        <w:t xml:space="preserve">9.4 </w:t>
      </w:r>
      <w:r>
        <w:rPr>
          <w:rFonts w:hint="eastAsia" w:hAnsi="宋体" w:cs="宋体"/>
          <w:b/>
          <w:sz w:val="24"/>
        </w:rPr>
        <w:t>对与评标活动有关的工作人员的纪律要求</w:t>
      </w:r>
      <w:bookmarkEnd w:id="66"/>
    </w:p>
    <w:p>
      <w:pPr>
        <w:keepNext w:val="0"/>
        <w:keepLines w:val="0"/>
        <w:pageBreakBefore w:val="0"/>
        <w:widowControl w:val="0"/>
        <w:kinsoku/>
        <w:wordWrap/>
        <w:overflowPunct/>
        <w:topLinePunct w:val="0"/>
        <w:autoSpaceDE w:val="0"/>
        <w:autoSpaceDN w:val="0"/>
        <w:bidi w:val="0"/>
        <w:adjustRightInd w:val="0"/>
        <w:snapToGrid/>
        <w:spacing w:line="400" w:lineRule="exact"/>
        <w:ind w:firstLine="480" w:firstLineChars="200"/>
        <w:jc w:val="left"/>
        <w:textAlignment w:val="auto"/>
        <w:outlineLvl w:val="9"/>
        <w:rPr>
          <w:rFonts w:hint="eastAsia" w:hAnsi="宋体" w:cs="宋体"/>
          <w:sz w:val="24"/>
          <w:szCs w:val="22"/>
        </w:rPr>
      </w:pPr>
      <w:r>
        <w:rPr>
          <w:rFonts w:hint="eastAsia" w:hAnsi="宋体" w:cs="宋体"/>
          <w:sz w:val="24"/>
          <w:szCs w:val="22"/>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autoSpaceDE w:val="0"/>
        <w:autoSpaceDN w:val="0"/>
        <w:adjustRightInd w:val="0"/>
        <w:spacing w:line="440" w:lineRule="exact"/>
        <w:jc w:val="left"/>
        <w:outlineLvl w:val="0"/>
        <w:rPr>
          <w:rFonts w:hAnsi="宋体" w:cs="宋体"/>
          <w:b/>
          <w:sz w:val="24"/>
        </w:rPr>
      </w:pPr>
      <w:bookmarkStart w:id="67" w:name="_Toc283559986"/>
      <w:r>
        <w:rPr>
          <w:rFonts w:hAnsi="宋体" w:cs="宋体"/>
          <w:b/>
          <w:sz w:val="24"/>
        </w:rPr>
        <w:t xml:space="preserve">9.5 </w:t>
      </w:r>
      <w:r>
        <w:rPr>
          <w:rFonts w:hint="eastAsia" w:hAnsi="宋体" w:cs="宋体"/>
          <w:b/>
          <w:sz w:val="24"/>
        </w:rPr>
        <w:t>投诉</w:t>
      </w:r>
      <w:bookmarkEnd w:id="67"/>
    </w:p>
    <w:p>
      <w:pPr>
        <w:keepNext w:val="0"/>
        <w:keepLines w:val="0"/>
        <w:pageBreakBefore w:val="0"/>
        <w:widowControl w:val="0"/>
        <w:kinsoku/>
        <w:wordWrap/>
        <w:overflowPunct/>
        <w:topLinePunct w:val="0"/>
        <w:autoSpaceDE w:val="0"/>
        <w:autoSpaceDN w:val="0"/>
        <w:bidi w:val="0"/>
        <w:adjustRightInd w:val="0"/>
        <w:snapToGrid/>
        <w:spacing w:line="400" w:lineRule="exact"/>
        <w:ind w:firstLine="480" w:firstLineChars="200"/>
        <w:jc w:val="left"/>
        <w:textAlignment w:val="auto"/>
        <w:outlineLvl w:val="9"/>
        <w:rPr>
          <w:rFonts w:hint="eastAsia" w:hAnsi="宋体" w:cs="宋体"/>
          <w:sz w:val="24"/>
          <w:szCs w:val="22"/>
        </w:rPr>
      </w:pPr>
      <w:r>
        <w:rPr>
          <w:rFonts w:hint="eastAsia" w:hAnsi="宋体" w:cs="宋体"/>
          <w:sz w:val="24"/>
          <w:szCs w:val="22"/>
        </w:rPr>
        <w:t>投标人和其他利害关系人认为本次招标活动违反法律、法规和规章规定的，有权向有关行政监督部门投诉。</w:t>
      </w:r>
    </w:p>
    <w:p>
      <w:pPr>
        <w:pStyle w:val="67"/>
        <w:spacing w:line="440" w:lineRule="exact"/>
        <w:jc w:val="both"/>
        <w:outlineLvl w:val="0"/>
        <w:rPr>
          <w:rFonts w:hAnsi="宋体"/>
          <w:b/>
          <w:color w:val="auto"/>
        </w:rPr>
      </w:pPr>
      <w:bookmarkStart w:id="68" w:name="_Toc283559987"/>
      <w:r>
        <w:rPr>
          <w:rFonts w:hAnsi="宋体"/>
          <w:b/>
          <w:color w:val="auto"/>
        </w:rPr>
        <w:t xml:space="preserve">10. </w:t>
      </w:r>
      <w:r>
        <w:rPr>
          <w:rFonts w:hint="eastAsia" w:hAnsi="宋体"/>
          <w:b/>
          <w:color w:val="auto"/>
        </w:rPr>
        <w:t>需要补充的其他内容</w:t>
      </w:r>
      <w:bookmarkEnd w:id="68"/>
    </w:p>
    <w:p>
      <w:pPr>
        <w:autoSpaceDE w:val="0"/>
        <w:autoSpaceDN w:val="0"/>
        <w:adjustRightInd w:val="0"/>
        <w:spacing w:line="440" w:lineRule="exact"/>
        <w:ind w:firstLine="480" w:firstLineChars="200"/>
        <w:jc w:val="left"/>
        <w:rPr>
          <w:rFonts w:hint="eastAsia" w:hAnsi="宋体" w:cs="宋体"/>
          <w:sz w:val="24"/>
        </w:rPr>
      </w:pPr>
      <w:r>
        <w:rPr>
          <w:rFonts w:hint="eastAsia" w:hAnsi="宋体" w:cs="宋体"/>
          <w:sz w:val="24"/>
        </w:rPr>
        <w:t>需要补充的其他内容：见投标人须知前附表。</w:t>
      </w:r>
      <w:bookmarkStart w:id="69" w:name="_Toc283559990"/>
    </w:p>
    <w:p>
      <w:pPr>
        <w:autoSpaceDE w:val="0"/>
        <w:autoSpaceDN w:val="0"/>
        <w:adjustRightInd w:val="0"/>
        <w:spacing w:line="440" w:lineRule="exact"/>
        <w:ind w:firstLine="480" w:firstLineChars="200"/>
        <w:jc w:val="left"/>
        <w:rPr>
          <w:rFonts w:hint="eastAsia" w:hAnsi="宋体" w:cs="宋体"/>
          <w:b/>
          <w:bCs/>
          <w:sz w:val="24"/>
        </w:rPr>
      </w:pPr>
    </w:p>
    <w:p>
      <w:pPr>
        <w:autoSpaceDE w:val="0"/>
        <w:autoSpaceDN w:val="0"/>
        <w:adjustRightInd w:val="0"/>
        <w:spacing w:line="440" w:lineRule="exact"/>
        <w:ind w:firstLine="480" w:firstLineChars="200"/>
        <w:jc w:val="left"/>
        <w:rPr>
          <w:rFonts w:hint="eastAsia" w:hAnsi="宋体" w:cs="宋体"/>
          <w:b/>
          <w:bCs/>
          <w:sz w:val="24"/>
        </w:rPr>
      </w:pPr>
    </w:p>
    <w:p>
      <w:pPr>
        <w:autoSpaceDE w:val="0"/>
        <w:autoSpaceDN w:val="0"/>
        <w:adjustRightInd w:val="0"/>
        <w:spacing w:line="440" w:lineRule="exact"/>
        <w:ind w:firstLine="480" w:firstLineChars="200"/>
        <w:jc w:val="left"/>
        <w:rPr>
          <w:rFonts w:hint="eastAsia" w:hAnsi="宋体" w:cs="宋体"/>
          <w:b/>
          <w:bCs/>
          <w:sz w:val="24"/>
        </w:rPr>
      </w:pPr>
    </w:p>
    <w:p>
      <w:pPr>
        <w:autoSpaceDE w:val="0"/>
        <w:autoSpaceDN w:val="0"/>
        <w:adjustRightInd w:val="0"/>
        <w:spacing w:line="440" w:lineRule="exact"/>
        <w:ind w:firstLine="480" w:firstLineChars="200"/>
        <w:jc w:val="left"/>
        <w:rPr>
          <w:rFonts w:hint="eastAsia" w:hAnsi="宋体" w:cs="宋体"/>
          <w:b/>
          <w:bCs/>
          <w:sz w:val="24"/>
        </w:rPr>
      </w:pPr>
    </w:p>
    <w:p>
      <w:pPr>
        <w:autoSpaceDE w:val="0"/>
        <w:autoSpaceDN w:val="0"/>
        <w:adjustRightInd w:val="0"/>
        <w:spacing w:line="440" w:lineRule="exact"/>
        <w:ind w:firstLine="480" w:firstLineChars="200"/>
        <w:jc w:val="left"/>
        <w:rPr>
          <w:rFonts w:hint="eastAsia" w:hAnsi="宋体" w:cs="宋体"/>
          <w:b/>
          <w:bCs/>
          <w:sz w:val="24"/>
        </w:rPr>
      </w:pPr>
    </w:p>
    <w:p>
      <w:pPr>
        <w:autoSpaceDE w:val="0"/>
        <w:autoSpaceDN w:val="0"/>
        <w:adjustRightInd w:val="0"/>
        <w:spacing w:line="440" w:lineRule="exact"/>
        <w:ind w:firstLine="480" w:firstLineChars="200"/>
        <w:jc w:val="left"/>
        <w:rPr>
          <w:rFonts w:hint="eastAsia" w:hAnsi="宋体" w:cs="宋体"/>
          <w:b/>
          <w:bCs/>
          <w:sz w:val="24"/>
        </w:rPr>
      </w:pPr>
    </w:p>
    <w:p>
      <w:pPr>
        <w:autoSpaceDE w:val="0"/>
        <w:autoSpaceDN w:val="0"/>
        <w:adjustRightInd w:val="0"/>
        <w:spacing w:line="440" w:lineRule="exact"/>
        <w:ind w:firstLine="480" w:firstLineChars="200"/>
        <w:jc w:val="left"/>
        <w:rPr>
          <w:rFonts w:hint="eastAsia" w:hAnsi="宋体" w:cs="宋体"/>
          <w:b/>
          <w:bCs/>
          <w:sz w:val="24"/>
        </w:rPr>
      </w:pPr>
    </w:p>
    <w:p>
      <w:pPr>
        <w:autoSpaceDE w:val="0"/>
        <w:autoSpaceDN w:val="0"/>
        <w:adjustRightInd w:val="0"/>
        <w:spacing w:line="440" w:lineRule="exact"/>
        <w:ind w:firstLine="480" w:firstLineChars="200"/>
        <w:jc w:val="left"/>
        <w:rPr>
          <w:rFonts w:hint="eastAsia" w:hAnsi="宋体" w:cs="宋体"/>
          <w:b/>
          <w:bCs/>
          <w:sz w:val="24"/>
        </w:rPr>
      </w:pPr>
    </w:p>
    <w:p>
      <w:pPr>
        <w:autoSpaceDE w:val="0"/>
        <w:autoSpaceDN w:val="0"/>
        <w:adjustRightInd w:val="0"/>
        <w:spacing w:line="440" w:lineRule="exact"/>
        <w:ind w:firstLine="480" w:firstLineChars="200"/>
        <w:jc w:val="left"/>
        <w:rPr>
          <w:rFonts w:hint="eastAsia" w:hAnsi="宋体" w:cs="宋体"/>
          <w:b/>
          <w:bCs/>
          <w:sz w:val="24"/>
        </w:rPr>
      </w:pPr>
    </w:p>
    <w:p>
      <w:pPr>
        <w:autoSpaceDE w:val="0"/>
        <w:autoSpaceDN w:val="0"/>
        <w:adjustRightInd w:val="0"/>
        <w:spacing w:line="440" w:lineRule="exact"/>
        <w:ind w:firstLine="480" w:firstLineChars="200"/>
        <w:jc w:val="left"/>
        <w:rPr>
          <w:rFonts w:hint="eastAsia" w:hAnsi="宋体" w:cs="宋体"/>
          <w:b/>
          <w:bCs/>
          <w:sz w:val="24"/>
        </w:rPr>
      </w:pPr>
    </w:p>
    <w:p>
      <w:pPr>
        <w:autoSpaceDE w:val="0"/>
        <w:autoSpaceDN w:val="0"/>
        <w:adjustRightInd w:val="0"/>
        <w:spacing w:line="440" w:lineRule="exact"/>
        <w:ind w:firstLine="480" w:firstLineChars="200"/>
        <w:jc w:val="left"/>
        <w:rPr>
          <w:rFonts w:hint="eastAsia" w:hAnsi="宋体" w:cs="宋体"/>
          <w:b/>
          <w:bCs/>
          <w:sz w:val="24"/>
        </w:rPr>
      </w:pPr>
    </w:p>
    <w:p>
      <w:pPr>
        <w:autoSpaceDE w:val="0"/>
        <w:autoSpaceDN w:val="0"/>
        <w:adjustRightInd w:val="0"/>
        <w:spacing w:line="440" w:lineRule="exact"/>
        <w:ind w:firstLine="480" w:firstLineChars="200"/>
        <w:jc w:val="left"/>
        <w:rPr>
          <w:rFonts w:hint="eastAsia" w:hAnsi="宋体" w:cs="宋体"/>
          <w:b/>
          <w:bCs/>
          <w:sz w:val="24"/>
        </w:rPr>
      </w:pPr>
    </w:p>
    <w:p>
      <w:pPr>
        <w:autoSpaceDE w:val="0"/>
        <w:autoSpaceDN w:val="0"/>
        <w:adjustRightInd w:val="0"/>
        <w:spacing w:line="440" w:lineRule="exact"/>
        <w:ind w:firstLine="480" w:firstLineChars="200"/>
        <w:jc w:val="left"/>
        <w:rPr>
          <w:rFonts w:hint="eastAsia" w:hAnsi="宋体" w:cs="宋体"/>
          <w:b/>
          <w:bCs/>
          <w:sz w:val="24"/>
        </w:rPr>
      </w:pPr>
    </w:p>
    <w:p>
      <w:pPr>
        <w:autoSpaceDE w:val="0"/>
        <w:autoSpaceDN w:val="0"/>
        <w:adjustRightInd w:val="0"/>
        <w:spacing w:line="440" w:lineRule="exact"/>
        <w:jc w:val="left"/>
        <w:rPr>
          <w:rFonts w:hint="eastAsia" w:hAnsi="宋体" w:cs="宋体"/>
          <w:b/>
          <w:bCs/>
          <w:sz w:val="24"/>
        </w:rPr>
      </w:pPr>
    </w:p>
    <w:p>
      <w:pPr>
        <w:autoSpaceDE w:val="0"/>
        <w:autoSpaceDN w:val="0"/>
        <w:adjustRightInd w:val="0"/>
        <w:spacing w:line="440" w:lineRule="exact"/>
        <w:ind w:firstLine="480" w:firstLineChars="200"/>
        <w:jc w:val="left"/>
        <w:rPr>
          <w:rFonts w:hint="eastAsia" w:hAnsi="宋体" w:cs="宋体"/>
          <w:b/>
          <w:bCs/>
          <w:sz w:val="24"/>
        </w:rPr>
      </w:pPr>
    </w:p>
    <w:p>
      <w:pPr>
        <w:autoSpaceDE w:val="0"/>
        <w:autoSpaceDN w:val="0"/>
        <w:adjustRightInd w:val="0"/>
        <w:spacing w:line="440" w:lineRule="exact"/>
        <w:ind w:firstLine="480" w:firstLineChars="200"/>
        <w:jc w:val="left"/>
        <w:rPr>
          <w:rFonts w:hAnsi="宋体" w:cs="宋体"/>
          <w:b/>
          <w:bCs/>
          <w:sz w:val="24"/>
        </w:rPr>
      </w:pPr>
      <w:r>
        <w:rPr>
          <w:rFonts w:hint="eastAsia" w:hAnsi="宋体" w:cs="宋体"/>
          <w:b/>
          <w:bCs/>
          <w:sz w:val="24"/>
        </w:rPr>
        <w:t>附表一：</w:t>
      </w:r>
    </w:p>
    <w:p>
      <w:pPr>
        <w:spacing w:beforeLines="100" w:afterLines="100" w:line="400" w:lineRule="exact"/>
        <w:jc w:val="center"/>
        <w:rPr>
          <w:rFonts w:hAnsi="宋体" w:cs="宋体"/>
          <w:sz w:val="28"/>
          <w:szCs w:val="28"/>
        </w:rPr>
      </w:pPr>
      <w:r>
        <w:rPr>
          <w:rFonts w:hint="eastAsia" w:hAnsi="宋体" w:cs="宋体"/>
          <w:sz w:val="28"/>
          <w:szCs w:val="28"/>
        </w:rPr>
        <w:t>问题澄清通知</w:t>
      </w:r>
    </w:p>
    <w:p>
      <w:pPr>
        <w:spacing w:line="400" w:lineRule="exact"/>
        <w:ind w:firstLine="6120" w:firstLineChars="2550"/>
        <w:rPr>
          <w:rFonts w:hAnsi="宋体" w:cs="宋体"/>
          <w:sz w:val="24"/>
          <w:u w:val="single"/>
        </w:rPr>
      </w:pPr>
      <w:r>
        <w:rPr>
          <w:rFonts w:hint="eastAsia" w:hAnsi="宋体" w:cs="宋体"/>
          <w:sz w:val="24"/>
        </w:rPr>
        <w:t>编号：</w:t>
      </w:r>
    </w:p>
    <w:p>
      <w:pPr>
        <w:spacing w:line="480" w:lineRule="exact"/>
        <w:ind w:firstLine="480" w:firstLineChars="200"/>
        <w:rPr>
          <w:rFonts w:hAnsi="宋体" w:cs="宋体"/>
          <w:sz w:val="24"/>
        </w:rPr>
      </w:pPr>
      <w:r>
        <w:rPr>
          <w:rFonts w:hint="eastAsia" w:hAnsi="宋体" w:cs="宋体"/>
          <w:sz w:val="24"/>
        </w:rPr>
        <w:t>（投标人名称）：</w:t>
      </w:r>
    </w:p>
    <w:p>
      <w:pPr>
        <w:spacing w:line="480" w:lineRule="exact"/>
        <w:ind w:firstLine="480" w:firstLineChars="200"/>
        <w:rPr>
          <w:rFonts w:hAnsi="宋体" w:cs="宋体"/>
          <w:sz w:val="24"/>
        </w:rPr>
      </w:pPr>
      <w:r>
        <w:rPr>
          <w:rFonts w:hint="eastAsia" w:hAnsi="宋体" w:cs="宋体"/>
          <w:sz w:val="24"/>
        </w:rPr>
        <w:t>（项目名称）招标的评标委员会，对你方的投标文件进行了仔细的审查，现需你方对本通知所附质疑问卷中的问题以书面形式予以澄清、说明或者补正。</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r>
        <w:rPr>
          <w:rFonts w:hint="eastAsia" w:hAnsi="宋体" w:cs="宋体"/>
          <w:sz w:val="24"/>
        </w:rPr>
        <w:t>1.</w:t>
      </w:r>
    </w:p>
    <w:p>
      <w:pPr>
        <w:spacing w:line="480" w:lineRule="exact"/>
        <w:ind w:firstLine="480" w:firstLineChars="200"/>
        <w:rPr>
          <w:rFonts w:hAnsi="宋体" w:cs="宋体"/>
          <w:sz w:val="24"/>
        </w:rPr>
      </w:pPr>
      <w:r>
        <w:rPr>
          <w:rFonts w:hint="eastAsia" w:hAnsi="宋体" w:cs="宋体"/>
          <w:sz w:val="24"/>
        </w:rPr>
        <w:t>2.</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r>
        <w:rPr>
          <w:rFonts w:hint="eastAsia" w:hAnsi="宋体" w:cs="宋体"/>
          <w:sz w:val="24"/>
        </w:rPr>
        <w:t>……</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r>
        <w:rPr>
          <w:rFonts w:hint="eastAsia" w:hAnsi="宋体" w:cs="宋体"/>
          <w:sz w:val="24"/>
        </w:rPr>
        <w:t>请将上述问题的澄清、说明或者补正于年月日时前密封递交至 （详细地址）。</w:t>
      </w:r>
    </w:p>
    <w:p>
      <w:pPr>
        <w:spacing w:line="480" w:lineRule="exact"/>
        <w:rPr>
          <w:rFonts w:hAnsi="宋体" w:cs="宋体"/>
          <w:sz w:val="24"/>
        </w:rPr>
      </w:pPr>
    </w:p>
    <w:p>
      <w:pPr>
        <w:spacing w:line="480" w:lineRule="exact"/>
        <w:rPr>
          <w:rFonts w:hAnsi="宋体" w:cs="宋体"/>
          <w:sz w:val="24"/>
        </w:rPr>
      </w:pPr>
      <w:r>
        <w:rPr>
          <w:rFonts w:hint="eastAsia" w:hAnsi="宋体" w:cs="宋体"/>
          <w:sz w:val="24"/>
        </w:rPr>
        <w:t>附件：质疑问卷</w:t>
      </w:r>
    </w:p>
    <w:p>
      <w:pPr>
        <w:spacing w:line="480" w:lineRule="exact"/>
        <w:ind w:firstLine="4080" w:firstLineChars="1700"/>
        <w:rPr>
          <w:rFonts w:hAnsi="宋体" w:cs="宋体"/>
          <w:sz w:val="24"/>
          <w:u w:val="single"/>
        </w:rPr>
      </w:pPr>
    </w:p>
    <w:p>
      <w:pPr>
        <w:spacing w:line="480" w:lineRule="exact"/>
        <w:ind w:firstLine="4080" w:firstLineChars="1700"/>
        <w:rPr>
          <w:rFonts w:hAnsi="宋体" w:cs="宋体"/>
          <w:sz w:val="24"/>
          <w:u w:val="single"/>
        </w:rPr>
      </w:pPr>
    </w:p>
    <w:p>
      <w:pPr>
        <w:spacing w:line="480" w:lineRule="exact"/>
        <w:ind w:firstLine="4080" w:firstLineChars="1700"/>
        <w:rPr>
          <w:rFonts w:hAnsi="宋体" w:cs="宋体"/>
          <w:sz w:val="24"/>
          <w:u w:val="single"/>
        </w:rPr>
      </w:pPr>
    </w:p>
    <w:p>
      <w:pPr>
        <w:spacing w:line="480" w:lineRule="exact"/>
        <w:rPr>
          <w:rFonts w:hAnsi="宋体" w:cs="宋体"/>
          <w:sz w:val="24"/>
          <w:u w:val="single"/>
        </w:rPr>
      </w:pPr>
    </w:p>
    <w:p>
      <w:pPr>
        <w:spacing w:line="480" w:lineRule="exact"/>
        <w:ind w:firstLine="4080" w:firstLineChars="1700"/>
        <w:rPr>
          <w:rFonts w:hAnsi="宋体" w:cs="宋体"/>
          <w:sz w:val="24"/>
          <w:u w:val="single"/>
        </w:rPr>
      </w:pPr>
    </w:p>
    <w:p>
      <w:pPr>
        <w:spacing w:line="480" w:lineRule="exact"/>
        <w:ind w:firstLine="4080" w:firstLineChars="1700"/>
        <w:rPr>
          <w:color w:val="000000"/>
          <w:sz w:val="24"/>
        </w:rPr>
      </w:pPr>
      <w:r>
        <w:rPr>
          <w:rFonts w:hint="eastAsia"/>
          <w:color w:val="000000"/>
          <w:sz w:val="24"/>
        </w:rPr>
        <w:t xml:space="preserve"> （项目名称）</w:t>
      </w:r>
      <w:r>
        <w:rPr>
          <w:rFonts w:hint="eastAsia" w:hAnsi="宋体" w:cs="宋体"/>
          <w:color w:val="000000"/>
          <w:sz w:val="24"/>
        </w:rPr>
        <w:t>招标评标委员会</w:t>
      </w:r>
    </w:p>
    <w:p>
      <w:pPr>
        <w:spacing w:line="480" w:lineRule="exact"/>
        <w:ind w:firstLine="2880" w:firstLineChars="1200"/>
        <w:rPr>
          <w:color w:val="000000"/>
          <w:sz w:val="24"/>
        </w:rPr>
      </w:pPr>
      <w:r>
        <w:rPr>
          <w:rFonts w:hint="eastAsia"/>
          <w:color w:val="000000"/>
          <w:sz w:val="24"/>
        </w:rPr>
        <w:t>（经评标委员会授权的招标人代表签字或招标人加盖单位章）</w:t>
      </w:r>
    </w:p>
    <w:p>
      <w:pPr>
        <w:spacing w:line="480" w:lineRule="exact"/>
        <w:ind w:firstLine="5280" w:firstLineChars="2200"/>
        <w:jc w:val="right"/>
        <w:rPr>
          <w:rFonts w:hAnsi="宋体" w:cs="宋体"/>
          <w:sz w:val="24"/>
        </w:rPr>
      </w:pPr>
      <w:r>
        <w:rPr>
          <w:rFonts w:hint="eastAsia"/>
          <w:color w:val="000000"/>
          <w:sz w:val="24"/>
        </w:rPr>
        <w:t>年月日</w:t>
      </w:r>
    </w:p>
    <w:p>
      <w:pPr>
        <w:spacing w:line="400" w:lineRule="exact"/>
        <w:ind w:firstLine="480" w:firstLineChars="200"/>
        <w:rPr>
          <w:rFonts w:ascii="新宋体" w:hAnsi="新宋体" w:eastAsia="新宋体"/>
          <w:b/>
          <w:sz w:val="24"/>
        </w:rPr>
      </w:pPr>
    </w:p>
    <w:p>
      <w:pPr>
        <w:spacing w:line="400" w:lineRule="exact"/>
        <w:ind w:firstLine="480" w:firstLineChars="200"/>
        <w:rPr>
          <w:rFonts w:ascii="新宋体" w:hAnsi="新宋体" w:eastAsia="新宋体"/>
          <w:b/>
          <w:sz w:val="24"/>
        </w:rPr>
      </w:pPr>
    </w:p>
    <w:p>
      <w:pPr>
        <w:spacing w:line="400" w:lineRule="exact"/>
        <w:ind w:firstLine="480" w:firstLineChars="200"/>
        <w:rPr>
          <w:rFonts w:ascii="新宋体" w:hAnsi="新宋体" w:eastAsia="新宋体"/>
          <w:b/>
          <w:sz w:val="24"/>
        </w:rPr>
      </w:pPr>
    </w:p>
    <w:p>
      <w:pPr>
        <w:spacing w:line="400" w:lineRule="exact"/>
        <w:ind w:firstLine="480" w:firstLineChars="200"/>
        <w:rPr>
          <w:rFonts w:ascii="新宋体" w:hAnsi="新宋体" w:eastAsia="新宋体"/>
          <w:b/>
          <w:sz w:val="24"/>
        </w:rPr>
      </w:pPr>
    </w:p>
    <w:p>
      <w:pPr>
        <w:pStyle w:val="2"/>
        <w:ind w:firstLine="0" w:firstLineChars="0"/>
      </w:pPr>
    </w:p>
    <w:p>
      <w:pPr>
        <w:spacing w:line="400" w:lineRule="exact"/>
        <w:ind w:firstLine="480" w:firstLineChars="200"/>
        <w:rPr>
          <w:rFonts w:hint="eastAsia" w:hAnsi="宋体" w:cs="宋体"/>
          <w:b/>
          <w:bCs/>
          <w:sz w:val="24"/>
        </w:rPr>
      </w:pPr>
    </w:p>
    <w:p>
      <w:pPr>
        <w:spacing w:line="400" w:lineRule="exact"/>
        <w:ind w:firstLine="480" w:firstLineChars="200"/>
        <w:rPr>
          <w:rFonts w:hAnsi="宋体" w:cs="宋体"/>
          <w:b/>
          <w:bCs/>
          <w:sz w:val="24"/>
        </w:rPr>
      </w:pPr>
      <w:r>
        <w:rPr>
          <w:rFonts w:hint="eastAsia" w:hAnsi="宋体" w:cs="宋体"/>
          <w:b/>
          <w:bCs/>
          <w:sz w:val="24"/>
        </w:rPr>
        <w:t>附表二：问题的澄清</w:t>
      </w:r>
    </w:p>
    <w:p>
      <w:pPr>
        <w:spacing w:beforeLines="100" w:afterLines="100" w:line="480" w:lineRule="exact"/>
        <w:jc w:val="center"/>
        <w:rPr>
          <w:rFonts w:hAnsi="宋体" w:cs="宋体"/>
          <w:sz w:val="28"/>
          <w:szCs w:val="28"/>
        </w:rPr>
      </w:pPr>
      <w:r>
        <w:rPr>
          <w:rFonts w:hint="eastAsia" w:hAnsi="宋体" w:cs="宋体"/>
          <w:sz w:val="28"/>
          <w:szCs w:val="28"/>
        </w:rPr>
        <w:t>问题的澄清、说明或补正</w:t>
      </w:r>
    </w:p>
    <w:p>
      <w:pPr>
        <w:spacing w:line="400" w:lineRule="exact"/>
        <w:ind w:firstLine="6120" w:firstLineChars="2550"/>
        <w:rPr>
          <w:rFonts w:hAnsi="宋体" w:cs="宋体"/>
          <w:sz w:val="24"/>
          <w:u w:val="single"/>
        </w:rPr>
      </w:pPr>
      <w:r>
        <w:rPr>
          <w:rFonts w:hint="eastAsia" w:hAnsi="宋体" w:cs="宋体"/>
          <w:sz w:val="24"/>
        </w:rPr>
        <w:t>编号：</w:t>
      </w:r>
    </w:p>
    <w:p>
      <w:pPr>
        <w:spacing w:line="480" w:lineRule="exact"/>
        <w:rPr>
          <w:rFonts w:hAnsi="宋体" w:cs="宋体"/>
          <w:sz w:val="24"/>
        </w:rPr>
      </w:pPr>
      <w:r>
        <w:rPr>
          <w:rFonts w:hint="eastAsia" w:hAnsi="宋体" w:cs="宋体"/>
          <w:sz w:val="24"/>
        </w:rPr>
        <w:t>（项目名称）招标评标委员会：</w:t>
      </w:r>
    </w:p>
    <w:p>
      <w:pPr>
        <w:spacing w:line="480" w:lineRule="exact"/>
        <w:ind w:firstLine="480" w:firstLineChars="200"/>
        <w:rPr>
          <w:rFonts w:hAnsi="宋体" w:cs="宋体"/>
          <w:sz w:val="24"/>
        </w:rPr>
      </w:pPr>
      <w:r>
        <w:rPr>
          <w:rFonts w:hint="eastAsia" w:hAnsi="宋体" w:cs="宋体"/>
          <w:sz w:val="24"/>
        </w:rPr>
        <w:t>问题澄清通知（编号：）已收悉，现澄清、说明或者补正如下：</w:t>
      </w:r>
    </w:p>
    <w:p>
      <w:pPr>
        <w:spacing w:line="480" w:lineRule="exact"/>
        <w:ind w:firstLine="480" w:firstLineChars="200"/>
        <w:rPr>
          <w:rFonts w:hAnsi="宋体" w:cs="宋体"/>
          <w:sz w:val="24"/>
        </w:rPr>
      </w:pPr>
      <w:r>
        <w:rPr>
          <w:rFonts w:hint="eastAsia" w:hAnsi="宋体" w:cs="宋体"/>
          <w:sz w:val="24"/>
        </w:rPr>
        <w:t>1.</w:t>
      </w:r>
    </w:p>
    <w:p>
      <w:pPr>
        <w:spacing w:line="480" w:lineRule="exact"/>
        <w:ind w:firstLine="480" w:firstLineChars="200"/>
        <w:rPr>
          <w:rFonts w:hAnsi="宋体" w:cs="宋体"/>
          <w:sz w:val="24"/>
        </w:rPr>
      </w:pPr>
      <w:r>
        <w:rPr>
          <w:rFonts w:hint="eastAsia" w:hAnsi="宋体" w:cs="宋体"/>
          <w:sz w:val="24"/>
        </w:rPr>
        <w:t>2.</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r>
        <w:rPr>
          <w:rFonts w:hint="eastAsia" w:hAnsi="宋体" w:cs="宋体"/>
          <w:sz w:val="24"/>
        </w:rPr>
        <w:t>……</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wordWrap w:val="0"/>
        <w:spacing w:line="480" w:lineRule="exact"/>
        <w:ind w:firstLine="480" w:firstLineChars="200"/>
        <w:jc w:val="right"/>
        <w:rPr>
          <w:rFonts w:hAnsi="宋体" w:cs="宋体"/>
          <w:sz w:val="24"/>
        </w:rPr>
      </w:pPr>
      <w:r>
        <w:rPr>
          <w:rFonts w:hint="eastAsia" w:hAnsi="宋体" w:cs="宋体"/>
          <w:sz w:val="24"/>
        </w:rPr>
        <w:t xml:space="preserve">投标人：（盖单位章） </w:t>
      </w:r>
    </w:p>
    <w:p>
      <w:pPr>
        <w:wordWrap w:val="0"/>
        <w:spacing w:beforeLines="50" w:afterLines="50" w:line="480" w:lineRule="exact"/>
        <w:ind w:right="210"/>
        <w:jc w:val="right"/>
        <w:rPr>
          <w:rFonts w:hAnsi="宋体" w:cs="宋体"/>
          <w:sz w:val="24"/>
        </w:rPr>
      </w:pPr>
      <w:r>
        <w:rPr>
          <w:rFonts w:hint="eastAsia" w:hAnsi="宋体" w:cs="宋体"/>
          <w:sz w:val="24"/>
        </w:rPr>
        <w:t xml:space="preserve">法定代表人或其委托代理人：（签字） </w:t>
      </w:r>
    </w:p>
    <w:p>
      <w:pPr>
        <w:spacing w:line="480" w:lineRule="exact"/>
        <w:ind w:firstLine="7200" w:firstLineChars="3000"/>
        <w:rPr>
          <w:rFonts w:hAnsi="宋体" w:cs="宋体"/>
          <w:sz w:val="24"/>
        </w:rPr>
      </w:pPr>
      <w:r>
        <w:rPr>
          <w:rFonts w:hint="eastAsia" w:hAnsi="宋体" w:cs="宋体"/>
          <w:sz w:val="24"/>
        </w:rPr>
        <w:t>年月日</w:t>
      </w:r>
    </w:p>
    <w:p>
      <w:pPr>
        <w:spacing w:line="480" w:lineRule="exact"/>
        <w:rPr>
          <w:sz w:val="24"/>
        </w:rPr>
      </w:pPr>
    </w:p>
    <w:p>
      <w:pPr>
        <w:spacing w:line="480" w:lineRule="exact"/>
        <w:rPr>
          <w:sz w:val="24"/>
        </w:rPr>
      </w:pPr>
    </w:p>
    <w:p>
      <w:pPr>
        <w:spacing w:line="480" w:lineRule="exact"/>
        <w:rPr>
          <w:sz w:val="24"/>
        </w:rPr>
      </w:pPr>
    </w:p>
    <w:p>
      <w:pPr>
        <w:spacing w:line="480" w:lineRule="exact"/>
        <w:rPr>
          <w:sz w:val="24"/>
        </w:rPr>
      </w:pPr>
    </w:p>
    <w:p>
      <w:pPr>
        <w:pStyle w:val="2"/>
        <w:ind w:firstLine="340"/>
      </w:pPr>
    </w:p>
    <w:p>
      <w:pPr>
        <w:spacing w:line="420" w:lineRule="exact"/>
        <w:rPr>
          <w:rFonts w:hint="eastAsia" w:hAnsi="宋体"/>
          <w:b/>
          <w:sz w:val="36"/>
          <w:szCs w:val="36"/>
        </w:rPr>
      </w:pPr>
      <w:bookmarkStart w:id="632" w:name="_GoBack"/>
      <w:bookmarkEnd w:id="632"/>
    </w:p>
    <w:p>
      <w:pPr>
        <w:spacing w:line="420" w:lineRule="exact"/>
        <w:ind w:firstLine="2160" w:firstLineChars="600"/>
        <w:rPr>
          <w:rFonts w:ascii="新宋体" w:hAnsi="新宋体" w:eastAsia="新宋体" w:cs="新宋体"/>
          <w:b/>
          <w:bCs/>
          <w:sz w:val="36"/>
          <w:szCs w:val="36"/>
        </w:rPr>
      </w:pPr>
      <w:r>
        <w:rPr>
          <w:rFonts w:hint="eastAsia" w:hAnsi="宋体"/>
          <w:b/>
          <w:sz w:val="36"/>
          <w:szCs w:val="36"/>
        </w:rPr>
        <w:t>第三章   评标办法</w:t>
      </w:r>
      <w:r>
        <w:rPr>
          <w:rFonts w:hint="eastAsia" w:ascii="新宋体" w:hAnsi="新宋体" w:eastAsia="新宋体" w:cs="新宋体"/>
          <w:b/>
          <w:bCs/>
          <w:sz w:val="36"/>
          <w:szCs w:val="36"/>
        </w:rPr>
        <w:t>（综合计分法）</w:t>
      </w:r>
    </w:p>
    <w:p>
      <w:pPr>
        <w:snapToGrid w:val="0"/>
        <w:spacing w:line="420" w:lineRule="exact"/>
        <w:rPr>
          <w:rFonts w:hAnsi="宋体"/>
          <w:b/>
          <w:sz w:val="18"/>
          <w:szCs w:val="18"/>
        </w:rPr>
      </w:pPr>
      <w:r>
        <w:rPr>
          <w:rFonts w:hint="eastAsia" w:ascii="新宋体" w:hAnsi="新宋体" w:eastAsia="新宋体" w:cs="新宋体"/>
          <w:b/>
          <w:bCs/>
          <w:sz w:val="24"/>
        </w:rPr>
        <w:t>评标依据：《许昌市建设工程工程量清单招标评标办法（试行）》（许公管委[2016]1号）。</w:t>
      </w:r>
    </w:p>
    <w:p>
      <w:pPr>
        <w:spacing w:line="360" w:lineRule="auto"/>
        <w:ind w:firstLine="480" w:firstLineChars="200"/>
        <w:rPr>
          <w:rFonts w:ascii="新宋体" w:hAnsi="新宋体" w:eastAsia="新宋体"/>
          <w:sz w:val="24"/>
        </w:rPr>
      </w:pPr>
      <w:r>
        <w:rPr>
          <w:rFonts w:hint="eastAsia" w:ascii="新宋体" w:hAnsi="新宋体" w:eastAsia="新宋体"/>
          <w:sz w:val="24"/>
        </w:rPr>
        <w:t>一、评标应遵循公正、公平、择优的原则严格按照招标文件进行。</w:t>
      </w:r>
    </w:p>
    <w:p>
      <w:pPr>
        <w:spacing w:line="360" w:lineRule="auto"/>
        <w:ind w:firstLine="480" w:firstLineChars="200"/>
        <w:rPr>
          <w:rFonts w:ascii="新宋体" w:hAnsi="新宋体" w:eastAsia="新宋体"/>
          <w:sz w:val="24"/>
        </w:rPr>
      </w:pPr>
      <w:r>
        <w:rPr>
          <w:rFonts w:hint="eastAsia" w:ascii="新宋体" w:hAnsi="新宋体" w:eastAsia="新宋体"/>
          <w:sz w:val="24"/>
        </w:rPr>
        <w:t>二、评标委员会构成：5人，从河南省综合评标专家库中随机抽取4人和招标人代表1人（其中注册造价工程师不少于2人）。</w:t>
      </w:r>
    </w:p>
    <w:p>
      <w:pPr>
        <w:spacing w:line="360" w:lineRule="auto"/>
        <w:ind w:firstLine="480" w:firstLineChars="200"/>
        <w:rPr>
          <w:rFonts w:ascii="新宋体" w:hAnsi="新宋体" w:eastAsia="新宋体"/>
          <w:sz w:val="24"/>
        </w:rPr>
      </w:pPr>
      <w:r>
        <w:rPr>
          <w:rFonts w:hint="eastAsia" w:ascii="新宋体" w:hAnsi="新宋体" w:eastAsia="新宋体"/>
          <w:sz w:val="24"/>
        </w:rPr>
        <w:t>三、评标采用综合计分法，是指评标委员会根据招标文件要求，应从技术标、商务标、综合（信用）标三部分进行综合评审。</w:t>
      </w:r>
    </w:p>
    <w:p>
      <w:pPr>
        <w:spacing w:line="360" w:lineRule="auto"/>
        <w:ind w:firstLine="480" w:firstLineChars="200"/>
        <w:rPr>
          <w:rFonts w:ascii="新宋体" w:hAnsi="新宋体" w:eastAsia="新宋体"/>
          <w:sz w:val="24"/>
        </w:rPr>
      </w:pPr>
      <w:r>
        <w:rPr>
          <w:rFonts w:hint="eastAsia" w:ascii="新宋体" w:hAnsi="新宋体" w:eastAsia="新宋体"/>
          <w:sz w:val="24"/>
        </w:rPr>
        <w:t>四、评标程序为：</w:t>
      </w:r>
    </w:p>
    <w:p>
      <w:pPr>
        <w:spacing w:line="360" w:lineRule="auto"/>
        <w:ind w:firstLine="480" w:firstLineChars="200"/>
        <w:rPr>
          <w:rFonts w:ascii="新宋体" w:hAnsi="新宋体" w:eastAsia="新宋体" w:cs="新宋体"/>
          <w:sz w:val="24"/>
        </w:rPr>
      </w:pPr>
      <w:r>
        <w:rPr>
          <w:rFonts w:hint="eastAsia" w:ascii="新宋体" w:hAnsi="新宋体" w:eastAsia="新宋体" w:cs="新宋体"/>
          <w:sz w:val="24"/>
        </w:rPr>
        <w:t>（一）清标；</w:t>
      </w:r>
    </w:p>
    <w:p>
      <w:pPr>
        <w:spacing w:line="360" w:lineRule="auto"/>
        <w:ind w:firstLine="480" w:firstLineChars="200"/>
        <w:rPr>
          <w:rFonts w:ascii="新宋体" w:hAnsi="新宋体" w:eastAsia="新宋体" w:cs="新宋体"/>
          <w:sz w:val="24"/>
        </w:rPr>
      </w:pPr>
      <w:r>
        <w:rPr>
          <w:rFonts w:hint="eastAsia" w:ascii="新宋体" w:hAnsi="新宋体" w:eastAsia="新宋体" w:cs="新宋体"/>
          <w:sz w:val="24"/>
        </w:rPr>
        <w:t>（二）初步评审；</w:t>
      </w:r>
    </w:p>
    <w:p>
      <w:pPr>
        <w:spacing w:line="360" w:lineRule="auto"/>
        <w:ind w:firstLine="480" w:firstLineChars="200"/>
        <w:rPr>
          <w:rFonts w:ascii="新宋体" w:hAnsi="新宋体" w:eastAsia="新宋体" w:cs="新宋体"/>
          <w:sz w:val="24"/>
        </w:rPr>
      </w:pPr>
      <w:r>
        <w:rPr>
          <w:rFonts w:hint="eastAsia" w:ascii="新宋体" w:hAnsi="新宋体" w:eastAsia="新宋体" w:cs="新宋体"/>
          <w:sz w:val="24"/>
        </w:rPr>
        <w:t>（三）详细评审；</w:t>
      </w:r>
    </w:p>
    <w:p>
      <w:pPr>
        <w:spacing w:line="360" w:lineRule="auto"/>
        <w:ind w:firstLine="480" w:firstLineChars="200"/>
        <w:rPr>
          <w:rFonts w:ascii="新宋体" w:hAnsi="新宋体" w:eastAsia="新宋体" w:cs="新宋体"/>
          <w:sz w:val="24"/>
        </w:rPr>
      </w:pPr>
      <w:r>
        <w:rPr>
          <w:rFonts w:hint="eastAsia" w:ascii="新宋体" w:hAnsi="新宋体" w:eastAsia="新宋体" w:cs="新宋体"/>
          <w:sz w:val="24"/>
        </w:rPr>
        <w:t>（四）问题的澄清、说明或补正；</w:t>
      </w:r>
    </w:p>
    <w:p>
      <w:pPr>
        <w:spacing w:line="360" w:lineRule="auto"/>
        <w:ind w:firstLine="480" w:firstLineChars="200"/>
        <w:rPr>
          <w:rFonts w:ascii="新宋体" w:hAnsi="新宋体" w:eastAsia="新宋体" w:cs="新宋体"/>
          <w:sz w:val="24"/>
        </w:rPr>
      </w:pPr>
      <w:r>
        <w:rPr>
          <w:rFonts w:hint="eastAsia" w:ascii="新宋体" w:hAnsi="新宋体" w:eastAsia="新宋体" w:cs="新宋体"/>
          <w:sz w:val="24"/>
        </w:rPr>
        <w:t>（五）推荐中标候选人；</w:t>
      </w:r>
    </w:p>
    <w:p>
      <w:pPr>
        <w:spacing w:line="360" w:lineRule="auto"/>
        <w:ind w:firstLine="480" w:firstLineChars="200"/>
        <w:rPr>
          <w:rFonts w:ascii="新宋体" w:hAnsi="新宋体" w:eastAsia="新宋体"/>
          <w:sz w:val="24"/>
        </w:rPr>
      </w:pPr>
      <w:r>
        <w:rPr>
          <w:rFonts w:hint="eastAsia" w:ascii="新宋体" w:hAnsi="新宋体" w:eastAsia="新宋体"/>
          <w:sz w:val="24"/>
        </w:rPr>
        <w:t>（六）评标现场宣布中标候选人确定结果并在指定媒体上进行公示。</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五、清标</w:t>
      </w:r>
    </w:p>
    <w:p>
      <w:pPr>
        <w:spacing w:line="360" w:lineRule="auto"/>
        <w:ind w:firstLine="480" w:firstLineChars="200"/>
        <w:rPr>
          <w:rFonts w:ascii="新宋体" w:hAnsi="新宋体" w:eastAsia="新宋体"/>
          <w:b/>
          <w:color w:val="000000"/>
          <w:sz w:val="24"/>
        </w:rPr>
      </w:pPr>
      <w:r>
        <w:rPr>
          <w:rFonts w:hint="eastAsia" w:ascii="新宋体" w:hAnsi="新宋体" w:eastAsia="新宋体"/>
          <w:b/>
          <w:color w:val="000000"/>
          <w:sz w:val="24"/>
        </w:rPr>
        <w:t>先由评标委员会在商务标清标系统的辅助下对投标文件进行基础性数据分析和整理（清标内容见下表），形成清标成果。”</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出现否定事项的，评标委员会不再对其质询，直接作为无效投标处理（但法律法规规定的细微偏差除外）。</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细微偏差是指投标文件在实质上响应招标文件要求，但在个别地方存在漏项或者提供了不完整的技术信息和数据等情况，并且补正这些漏项或者不完整不会对其他投标人造成不公平的结果。细微偏差不影响投标文件的有效性。</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评标委员会应当书面要求存在细微偏差的投标人在评标结束前予以补正。拒不补正的，评标委员会可否决其投标。</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投标文件存在下列情形之一的，按废标处理：</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 xml:space="preserve">（1）未按招标文件规定编制各项报价的； </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 xml:space="preserve">（2）投标总报价与其组成部分、工程量清单项目合价与综合单价、综合单价与人材机用量相互矛盾，致使评标委员会无法正常评审判定的； </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 xml:space="preserve">（3）规费和税金、安全文明施工措施费违背工程造价管理规定的； </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 xml:space="preserve">（4）分部分项工程项目、措施项目报价中的项目编码、项目名称、项目特征、计量单位和工程量与招标文件的清单不一致的； </w:t>
      </w:r>
    </w:p>
    <w:p>
      <w:pPr>
        <w:spacing w:line="360" w:lineRule="auto"/>
        <w:ind w:firstLine="480" w:firstLineChars="200"/>
        <w:rPr>
          <w:rFonts w:ascii="新宋体" w:hAnsi="新宋体" w:eastAsia="新宋体"/>
          <w:b/>
          <w:sz w:val="24"/>
        </w:rPr>
      </w:pPr>
      <w:r>
        <w:rPr>
          <w:rFonts w:hint="eastAsia" w:ascii="新宋体" w:hAnsi="新宋体" w:eastAsia="新宋体"/>
          <w:bCs/>
          <w:sz w:val="24"/>
        </w:rPr>
        <w:t>（5）未按照暂列金额或者暂估价编制投标报价的。</w:t>
      </w:r>
    </w:p>
    <w:p>
      <w:pPr>
        <w:spacing w:line="440" w:lineRule="exact"/>
        <w:rPr>
          <w:rFonts w:ascii="新宋体" w:hAnsi="新宋体" w:eastAsia="新宋体"/>
          <w:b/>
          <w:sz w:val="24"/>
        </w:rPr>
      </w:pPr>
      <w:r>
        <w:rPr>
          <w:rFonts w:hint="eastAsia" w:ascii="新宋体" w:hAnsi="新宋体" w:eastAsia="新宋体"/>
          <w:b/>
          <w:sz w:val="24"/>
        </w:rPr>
        <w:t>清标内容：</w:t>
      </w:r>
    </w:p>
    <w:tbl>
      <w:tblPr>
        <w:tblStyle w:val="29"/>
        <w:tblW w:w="94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600"/>
        <w:gridCol w:w="3120"/>
        <w:gridCol w:w="4110"/>
        <w:gridCol w:w="600"/>
        <w:gridCol w:w="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8"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序号</w:t>
            </w:r>
          </w:p>
        </w:tc>
        <w:tc>
          <w:tcPr>
            <w:tcW w:w="312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清标项目</w:t>
            </w:r>
          </w:p>
        </w:tc>
        <w:tc>
          <w:tcPr>
            <w:tcW w:w="411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清标内容</w:t>
            </w:r>
          </w:p>
        </w:tc>
        <w:tc>
          <w:tcPr>
            <w:tcW w:w="112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清标结果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8"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Times New Roman"/>
                <w:sz w:val="20"/>
              </w:rPr>
            </w:pPr>
          </w:p>
        </w:tc>
        <w:tc>
          <w:tcPr>
            <w:tcW w:w="3120"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sz w:val="20"/>
              </w:rPr>
            </w:pPr>
          </w:p>
        </w:tc>
        <w:tc>
          <w:tcPr>
            <w:tcW w:w="4110"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sz w:val="20"/>
              </w:rPr>
            </w:pP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是</w:t>
            </w: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1</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1.1</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项目总报价</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是否等于各单项工程造价之和</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1.2</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单项工程费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是否等于各单位工程造价之和</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1.3</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单位工程费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是否等于分部分项工程费+措施项目费+其它项目费+规费+税金之和</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2</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2.1</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分部分项工程费及单价措施费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是否等于各分部分项清单费之和</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2.2</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分部分项及单价措施项目编码</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2.3</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分部分项及单价措施项目名称</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2.4</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分部分项及单价措施项目特征</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2.5</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分部分项及单价措施项目计量单位</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6"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2.6</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分部分项及单价措施项目工程数量</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5"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2.7</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分部分项工程费及单价措施费清单单价</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综合单价=人工费+材料费+机械费+管理费+利润之和；</w:t>
            </w:r>
          </w:p>
          <w:p>
            <w:pPr>
              <w:jc w:val="center"/>
              <w:rPr>
                <w:rFonts w:ascii="新宋体" w:hAnsi="新宋体" w:eastAsia="新宋体" w:cs="新宋体"/>
                <w:b/>
                <w:sz w:val="21"/>
                <w:szCs w:val="21"/>
              </w:rPr>
            </w:pPr>
            <w:r>
              <w:rPr>
                <w:rFonts w:hint="eastAsia" w:ascii="新宋体" w:hAnsi="新宋体" w:eastAsia="新宋体" w:cs="新宋体"/>
                <w:b/>
                <w:sz w:val="21"/>
                <w:szCs w:val="21"/>
              </w:rPr>
              <w:t>偏差不大于招标控制价相应项目单价的±12％</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2.8</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材料单价</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材料表中的单价与组成清单单价中的单价必须一致</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3</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3.1</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安全文明费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必须按河南省计价依据规定计算</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3.2</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总价措施项目</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根据招标文件要求自主报价</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4</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4.1</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其他项目费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必须等于各组成部分之和（暂列金额+专业暂估价+计日工费+总承包服务费）</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4.2</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暂列金额</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必须与招标人</w:t>
            </w:r>
            <w:r>
              <w:rPr>
                <w:rFonts w:hint="eastAsia" w:ascii="新宋体" w:hAnsi="新宋体" w:eastAsia="新宋体" w:cs="新宋体"/>
                <w:b/>
                <w:sz w:val="21"/>
                <w:szCs w:val="21"/>
                <w:lang w:val="en-US" w:eastAsia="zh-CN"/>
              </w:rPr>
              <w:t>价格</w:t>
            </w:r>
            <w:r>
              <w:rPr>
                <w:rFonts w:hint="eastAsia" w:ascii="新宋体" w:hAnsi="新宋体" w:eastAsia="新宋体" w:cs="新宋体"/>
                <w:b/>
                <w:sz w:val="21"/>
                <w:szCs w:val="21"/>
              </w:rPr>
              <w:t>一致</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4.3</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专业暂估价</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必须与招标人</w:t>
            </w:r>
            <w:r>
              <w:rPr>
                <w:rFonts w:hint="eastAsia" w:ascii="新宋体" w:hAnsi="新宋体" w:eastAsia="新宋体" w:cs="新宋体"/>
                <w:b/>
                <w:sz w:val="21"/>
                <w:szCs w:val="21"/>
                <w:lang w:val="en-US" w:eastAsia="zh-CN"/>
              </w:rPr>
              <w:t>价格</w:t>
            </w:r>
            <w:r>
              <w:rPr>
                <w:rFonts w:hint="eastAsia" w:ascii="新宋体" w:hAnsi="新宋体" w:eastAsia="新宋体" w:cs="新宋体"/>
                <w:b/>
                <w:sz w:val="21"/>
                <w:szCs w:val="21"/>
              </w:rPr>
              <w:t>一致</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4.4</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计日工</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必须与招标人数量一致</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r>
              <w:rPr>
                <w:rFonts w:hint="eastAsia" w:ascii="新宋体" w:hAnsi="新宋体" w:eastAsia="新宋体" w:cs="新宋体"/>
                <w:b/>
                <w:sz w:val="21"/>
                <w:szCs w:val="21"/>
              </w:rPr>
              <w:t>4.5</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总承包服务费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是否按招标文件要求计算</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5</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5</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规费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必须按河南省及许昌市计价依据规定计算</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6</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6</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税金</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必须按河南省及许昌市计价依据规定计算</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7</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7</w:t>
            </w:r>
          </w:p>
        </w:tc>
        <w:tc>
          <w:tcPr>
            <w:tcW w:w="723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r>
              <w:rPr>
                <w:rFonts w:hint="eastAsia" w:ascii="新宋体" w:hAnsi="新宋体" w:eastAsia="新宋体" w:cs="新宋体"/>
                <w:b/>
                <w:sz w:val="21"/>
                <w:szCs w:val="21"/>
              </w:rPr>
              <w:t>不违反法律、法规、规章、规范性文件规定的其它情况</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sz w:val="21"/>
                <w:szCs w:val="21"/>
              </w:rPr>
            </w:pPr>
          </w:p>
        </w:tc>
      </w:tr>
    </w:tbl>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1、“规费和税金”的规定按照住建部《建设工程工程量清单计价规范》（GB50500-2013）及省住建厅有关规定，规费和税金应按规定费（税）率足额计取，即费（税）率不可竞争。规费、税金、安全文明施工措施费计入投标总报价，并在投标函、投标函附录中单列，不参与商务标评审。</w:t>
      </w:r>
    </w:p>
    <w:p>
      <w:pPr>
        <w:tabs>
          <w:tab w:val="left" w:pos="1260"/>
        </w:tabs>
        <w:autoSpaceDE w:val="0"/>
        <w:autoSpaceDN w:val="0"/>
        <w:adjustRightInd w:val="0"/>
        <w:spacing w:line="460" w:lineRule="exact"/>
        <w:ind w:firstLine="481"/>
        <w:jc w:val="left"/>
        <w:rPr>
          <w:rFonts w:hAnsi="宋体" w:cs="宋体"/>
          <w:b/>
          <w:sz w:val="24"/>
          <w:szCs w:val="24"/>
        </w:rPr>
      </w:pPr>
      <w:r>
        <w:rPr>
          <w:rFonts w:hint="eastAsia" w:hAnsi="宋体" w:cs="宋体"/>
          <w:b/>
          <w:sz w:val="24"/>
          <w:szCs w:val="24"/>
        </w:rPr>
        <w:t>2、根据《关于调整河南省建设工程安全文明施工措施费计取办法的通知》（豫建设标【2014】57号）规定，“安全文明施工措施费”是不可竞争费，即费率不可竞争；投标人编制投标报价时，应按省级主管部门规定的计价标准计取;根据建设部《建筑工程安全防护、文明施工措施费用及使用管理规定》（建办【2005】89号）要求，投标人在计取安全文明施工措施费时，不得高于招标控制价中安全文明施工措施费费用总额且不得低于90%。</w:t>
      </w:r>
    </w:p>
    <w:p>
      <w:pPr>
        <w:tabs>
          <w:tab w:val="left" w:pos="1260"/>
        </w:tabs>
        <w:autoSpaceDE w:val="0"/>
        <w:autoSpaceDN w:val="0"/>
        <w:adjustRightInd w:val="0"/>
        <w:spacing w:line="460" w:lineRule="exact"/>
        <w:ind w:firstLine="481"/>
        <w:jc w:val="left"/>
        <w:rPr>
          <w:rFonts w:hAnsi="宋体" w:cs="宋体"/>
          <w:b/>
          <w:sz w:val="24"/>
          <w:szCs w:val="24"/>
        </w:rPr>
      </w:pPr>
      <w:r>
        <w:rPr>
          <w:rFonts w:hint="eastAsia" w:hAnsi="宋体" w:cs="宋体"/>
          <w:b/>
          <w:sz w:val="24"/>
          <w:szCs w:val="24"/>
        </w:rPr>
        <w:t>投标人编制投标报价时，同一投标文件综合工日应前后保持一致。</w:t>
      </w:r>
    </w:p>
    <w:p>
      <w:pPr>
        <w:tabs>
          <w:tab w:val="left" w:pos="1260"/>
        </w:tabs>
        <w:autoSpaceDE w:val="0"/>
        <w:autoSpaceDN w:val="0"/>
        <w:adjustRightInd w:val="0"/>
        <w:spacing w:line="460" w:lineRule="exact"/>
        <w:ind w:firstLine="481"/>
        <w:jc w:val="left"/>
        <w:rPr>
          <w:rFonts w:ascii="新宋体" w:hAnsi="新宋体" w:eastAsia="新宋体"/>
          <w:b/>
          <w:sz w:val="24"/>
        </w:rPr>
      </w:pPr>
      <w:r>
        <w:rPr>
          <w:rFonts w:hint="eastAsia" w:hAnsi="宋体" w:cs="宋体"/>
          <w:b/>
          <w:sz w:val="24"/>
          <w:szCs w:val="24"/>
        </w:rPr>
        <w:t>不按照以上要求编制投标报价的，视为违反《许昌市建设工程工程量清单招标评标办法（试行）》第八条第3款之规定，按废标处理。</w:t>
      </w:r>
    </w:p>
    <w:p>
      <w:pPr>
        <w:spacing w:line="440" w:lineRule="exact"/>
        <w:ind w:firstLine="480" w:firstLineChars="200"/>
        <w:rPr>
          <w:rFonts w:ascii="新宋体" w:hAnsi="新宋体" w:eastAsia="新宋体"/>
          <w:b/>
          <w:sz w:val="24"/>
        </w:rPr>
      </w:pPr>
      <w:r>
        <w:rPr>
          <w:rFonts w:hint="eastAsia" w:ascii="新宋体" w:hAnsi="新宋体" w:eastAsia="新宋体"/>
          <w:b/>
          <w:sz w:val="24"/>
        </w:rPr>
        <w:t>六、初步评审</w:t>
      </w:r>
    </w:p>
    <w:p>
      <w:pPr>
        <w:spacing w:line="360" w:lineRule="auto"/>
        <w:ind w:firstLine="468" w:firstLineChars="195"/>
        <w:rPr>
          <w:rFonts w:ascii="新宋体" w:hAnsi="新宋体" w:eastAsia="新宋体" w:cs="宋体"/>
          <w:bCs/>
          <w:sz w:val="24"/>
        </w:rPr>
      </w:pPr>
      <w:r>
        <w:rPr>
          <w:rFonts w:hint="eastAsia" w:ascii="新宋体" w:hAnsi="新宋体" w:eastAsia="新宋体" w:cs="宋体"/>
          <w:bCs/>
          <w:sz w:val="24"/>
        </w:rPr>
        <w:t xml:space="preserve">评标委员会按招标文件要求对所有投标文件真实性、符合性、响应性和重大偏差逐一评审，经审查不符合招标文件要求的，不再进入详细评审阶段。初步评审主要包括以下内容：  </w:t>
      </w:r>
    </w:p>
    <w:p>
      <w:pPr>
        <w:spacing w:line="360" w:lineRule="auto"/>
        <w:ind w:firstLine="480" w:firstLineChars="200"/>
        <w:rPr>
          <w:rFonts w:hAnsi="宋体" w:cs="仿宋_GB2312"/>
          <w:sz w:val="24"/>
        </w:rPr>
      </w:pPr>
      <w:r>
        <w:rPr>
          <w:rFonts w:hint="eastAsia" w:ascii="新宋体" w:hAnsi="新宋体" w:eastAsia="新宋体" w:cs="宋体"/>
          <w:bCs/>
          <w:sz w:val="24"/>
        </w:rPr>
        <w:t>（1）</w:t>
      </w:r>
      <w:r>
        <w:rPr>
          <w:rFonts w:hint="eastAsia" w:hAnsi="宋体" w:cs="仿宋_GB2312"/>
          <w:sz w:val="24"/>
        </w:rPr>
        <w:t>投标文件是否按招标文件要求签字盖章；</w:t>
      </w:r>
    </w:p>
    <w:p>
      <w:pPr>
        <w:spacing w:line="360" w:lineRule="auto"/>
        <w:ind w:firstLine="480" w:firstLineChars="200"/>
        <w:rPr>
          <w:rFonts w:ascii="新宋体" w:hAnsi="新宋体" w:eastAsia="新宋体" w:cs="宋体"/>
          <w:bCs/>
          <w:sz w:val="24"/>
        </w:rPr>
      </w:pPr>
      <w:r>
        <w:rPr>
          <w:rFonts w:hint="eastAsia" w:ascii="新宋体" w:hAnsi="新宋体" w:eastAsia="新宋体" w:cs="宋体"/>
          <w:bCs/>
          <w:sz w:val="24"/>
        </w:rPr>
        <w:t>（2）投标联合体是否提交共同投标协议（允许联合体投标的）；</w:t>
      </w:r>
    </w:p>
    <w:p>
      <w:pPr>
        <w:spacing w:line="360" w:lineRule="auto"/>
        <w:ind w:firstLine="480" w:firstLineChars="200"/>
        <w:rPr>
          <w:rFonts w:ascii="新宋体" w:hAnsi="新宋体" w:eastAsia="新宋体" w:cs="宋体"/>
          <w:bCs/>
          <w:sz w:val="24"/>
        </w:rPr>
      </w:pPr>
      <w:r>
        <w:rPr>
          <w:rFonts w:hint="eastAsia" w:ascii="新宋体" w:hAnsi="新宋体" w:eastAsia="新宋体" w:cs="宋体"/>
          <w:bCs/>
          <w:sz w:val="24"/>
        </w:rPr>
        <w:t>（3）投标人是否符合国家或者招标文件规定的资格条件；</w:t>
      </w:r>
    </w:p>
    <w:p>
      <w:pPr>
        <w:spacing w:line="360" w:lineRule="auto"/>
        <w:ind w:firstLine="480" w:firstLineChars="200"/>
        <w:rPr>
          <w:rFonts w:ascii="新宋体" w:hAnsi="新宋体" w:eastAsia="新宋体" w:cs="宋体"/>
          <w:bCs/>
          <w:sz w:val="24"/>
        </w:rPr>
      </w:pPr>
      <w:r>
        <w:rPr>
          <w:rFonts w:hint="eastAsia" w:ascii="新宋体" w:hAnsi="新宋体" w:eastAsia="新宋体" w:cs="宋体"/>
          <w:bCs/>
          <w:sz w:val="24"/>
        </w:rPr>
        <w:t xml:space="preserve">（4）同一投标人是否提交两个以上不同的投标文件或者投标报价，但招标文件要求提交备选投标的除外； </w:t>
      </w:r>
    </w:p>
    <w:p>
      <w:pPr>
        <w:spacing w:line="360" w:lineRule="auto"/>
        <w:ind w:firstLine="480" w:firstLineChars="200"/>
        <w:rPr>
          <w:rFonts w:ascii="新宋体" w:hAnsi="新宋体" w:eastAsia="新宋体" w:cs="宋体"/>
          <w:bCs/>
          <w:sz w:val="24"/>
        </w:rPr>
      </w:pPr>
      <w:r>
        <w:rPr>
          <w:rFonts w:hint="eastAsia" w:ascii="新宋体" w:hAnsi="新宋体" w:eastAsia="新宋体" w:cs="宋体"/>
          <w:bCs/>
          <w:sz w:val="24"/>
        </w:rPr>
        <w:t>（5）投标报价是否高于招标文件设定的最高投标限价；</w:t>
      </w:r>
    </w:p>
    <w:p>
      <w:pPr>
        <w:spacing w:line="360" w:lineRule="auto"/>
        <w:ind w:firstLine="480" w:firstLineChars="200"/>
        <w:rPr>
          <w:rFonts w:ascii="新宋体" w:hAnsi="新宋体" w:eastAsia="新宋体" w:cs="宋体"/>
          <w:bCs/>
          <w:sz w:val="24"/>
        </w:rPr>
      </w:pPr>
      <w:r>
        <w:rPr>
          <w:rFonts w:hint="eastAsia" w:ascii="新宋体" w:hAnsi="新宋体" w:eastAsia="新宋体" w:cs="宋体"/>
          <w:bCs/>
          <w:sz w:val="24"/>
        </w:rPr>
        <w:t>（6）投标范围、工期、工程质量、投标有效期是否符合招标文件规定；</w:t>
      </w:r>
    </w:p>
    <w:p>
      <w:pPr>
        <w:spacing w:line="360" w:lineRule="auto"/>
        <w:ind w:firstLine="480" w:firstLineChars="200"/>
        <w:rPr>
          <w:rFonts w:ascii="新宋体" w:hAnsi="新宋体" w:eastAsia="新宋体" w:cs="宋体"/>
          <w:bCs/>
          <w:sz w:val="24"/>
        </w:rPr>
      </w:pPr>
      <w:r>
        <w:rPr>
          <w:rFonts w:hint="eastAsia" w:ascii="新宋体" w:hAnsi="新宋体" w:eastAsia="新宋体" w:cs="宋体"/>
          <w:bCs/>
          <w:sz w:val="24"/>
        </w:rPr>
        <w:t>（7）投标人是否有串通投标、弄虚作假、行贿等违法行为。</w:t>
      </w:r>
    </w:p>
    <w:p>
      <w:pPr>
        <w:spacing w:line="360" w:lineRule="auto"/>
        <w:ind w:firstLine="480" w:firstLineChars="200"/>
        <w:rPr>
          <w:rFonts w:ascii="新宋体" w:hAnsi="新宋体" w:eastAsia="新宋体" w:cs="宋体"/>
          <w:bCs/>
          <w:sz w:val="24"/>
        </w:rPr>
      </w:pPr>
      <w:r>
        <w:rPr>
          <w:rFonts w:hint="eastAsia" w:ascii="新宋体" w:hAnsi="新宋体" w:eastAsia="新宋体" w:cs="新宋体"/>
          <w:sz w:val="24"/>
        </w:rPr>
        <w:t>初步评审经审查后应写出评审意见</w:t>
      </w:r>
      <w:r>
        <w:rPr>
          <w:rFonts w:hint="eastAsia" w:ascii="新宋体" w:hAnsi="新宋体" w:eastAsia="新宋体" w:cs="宋体"/>
          <w:bCs/>
          <w:sz w:val="24"/>
        </w:rPr>
        <w:t>。</w:t>
      </w:r>
    </w:p>
    <w:p>
      <w:pPr>
        <w:spacing w:line="400" w:lineRule="exact"/>
        <w:ind w:firstLine="480" w:firstLineChars="200"/>
        <w:rPr>
          <w:rFonts w:ascii="新宋体" w:hAnsi="新宋体" w:eastAsia="新宋体" w:cs="宋体"/>
          <w:b/>
          <w:sz w:val="24"/>
        </w:rPr>
      </w:pPr>
      <w:r>
        <w:rPr>
          <w:rFonts w:hint="eastAsia" w:ascii="新宋体" w:hAnsi="新宋体" w:eastAsia="新宋体" w:cs="宋体"/>
          <w:b/>
          <w:sz w:val="24"/>
        </w:rPr>
        <w:t>七、详细评审</w:t>
      </w:r>
    </w:p>
    <w:p>
      <w:pPr>
        <w:spacing w:line="400" w:lineRule="exact"/>
        <w:ind w:firstLine="480" w:firstLineChars="200"/>
        <w:rPr>
          <w:rFonts w:ascii="新宋体" w:hAnsi="新宋体" w:eastAsia="新宋体" w:cs="宋体"/>
          <w:bCs/>
          <w:sz w:val="24"/>
        </w:rPr>
      </w:pPr>
      <w:r>
        <w:rPr>
          <w:rFonts w:hint="eastAsia" w:ascii="新宋体" w:hAnsi="新宋体" w:eastAsia="新宋体" w:cs="宋体"/>
          <w:bCs/>
          <w:sz w:val="24"/>
        </w:rPr>
        <w:t>评标委员会根据招标文件要求应从技术标、商务标、综合（信用）标三部分进行综合评审。技术标的权重占20%，商务标的权重占60%，综合（信用）标的权重占20%。</w:t>
      </w:r>
    </w:p>
    <w:p>
      <w:pPr>
        <w:spacing w:line="440" w:lineRule="exact"/>
        <w:rPr>
          <w:rFonts w:hAnsi="宋体" w:cs="宋体"/>
          <w:b/>
          <w:bCs/>
          <w:sz w:val="24"/>
          <w:szCs w:val="24"/>
        </w:rPr>
      </w:pPr>
      <w:r>
        <w:rPr>
          <w:rFonts w:hint="eastAsia" w:hAnsi="宋体" w:cs="宋体"/>
          <w:b/>
          <w:bCs/>
          <w:sz w:val="24"/>
          <w:szCs w:val="24"/>
        </w:rPr>
        <w:t>（一）工程量清单总报价评标基准价按下列公式确定：</w:t>
      </w:r>
    </w:p>
    <w:p>
      <w:pPr>
        <w:spacing w:line="440" w:lineRule="exact"/>
        <w:ind w:firstLine="480" w:firstLineChars="200"/>
        <w:rPr>
          <w:rFonts w:ascii="新宋体" w:hAnsi="新宋体" w:eastAsia="新宋体"/>
          <w:sz w:val="24"/>
        </w:rPr>
      </w:pPr>
      <w:bookmarkStart w:id="70" w:name="_Toc5078"/>
      <w:r>
        <w:rPr>
          <w:rFonts w:hint="eastAsia" w:ascii="新宋体" w:hAnsi="新宋体" w:eastAsia="新宋体"/>
          <w:sz w:val="24"/>
        </w:rPr>
        <w:t>评标基准价＝招标控制价×K+投标总报价×（1－K）</w:t>
      </w:r>
    </w:p>
    <w:p>
      <w:pPr>
        <w:spacing w:line="440" w:lineRule="exact"/>
        <w:ind w:firstLine="480" w:firstLineChars="200"/>
        <w:rPr>
          <w:rFonts w:ascii="新宋体" w:hAnsi="新宋体" w:eastAsia="新宋体"/>
          <w:sz w:val="24"/>
        </w:rPr>
      </w:pPr>
      <w:r>
        <w:rPr>
          <w:rFonts w:hint="eastAsia" w:ascii="新宋体" w:hAnsi="新宋体" w:eastAsia="新宋体"/>
          <w:sz w:val="24"/>
        </w:rPr>
        <w:t>其中：投标总报价为各投标人有效投标总报价（不含规费、税金、安全文明施工措施费，下同），去掉一个最高和一个最低报价后的算术平均值。当有效投标少于5家时（不含5家），则以所有有效投标总报价的算术平均值作为投标总报价。</w:t>
      </w:r>
    </w:p>
    <w:p>
      <w:pPr>
        <w:spacing w:line="440" w:lineRule="exact"/>
        <w:ind w:firstLine="480" w:firstLineChars="200"/>
        <w:rPr>
          <w:rFonts w:ascii="新宋体" w:hAnsi="新宋体" w:eastAsia="新宋体"/>
          <w:sz w:val="24"/>
        </w:rPr>
      </w:pPr>
      <w:r>
        <w:rPr>
          <w:rFonts w:hint="eastAsia" w:ascii="新宋体" w:hAnsi="新宋体" w:eastAsia="新宋体"/>
          <w:sz w:val="24"/>
        </w:rPr>
        <w:t>注：①有效投标人指通过清标和初步评审的投标人；</w:t>
      </w:r>
    </w:p>
    <w:p>
      <w:pPr>
        <w:spacing w:line="440" w:lineRule="exact"/>
        <w:ind w:firstLine="480" w:firstLineChars="200"/>
        <w:rPr>
          <w:rFonts w:ascii="新宋体" w:hAnsi="新宋体" w:eastAsia="新宋体"/>
          <w:sz w:val="24"/>
        </w:rPr>
      </w:pPr>
      <w:r>
        <w:rPr>
          <w:rFonts w:hint="eastAsia" w:ascii="新宋体" w:hAnsi="新宋体" w:eastAsia="新宋体"/>
          <w:sz w:val="24"/>
        </w:rPr>
        <w:t xml:space="preserve">    ②K为招标控制价权重系数，0.1≤K≤0.5（K的取值：0.1、0.2、0.3、0.4、0.5），在开标现场随机抽取。</w:t>
      </w:r>
    </w:p>
    <w:bookmarkEnd w:id="70"/>
    <w:p>
      <w:pPr>
        <w:snapToGrid w:val="0"/>
        <w:spacing w:line="360" w:lineRule="auto"/>
        <w:rPr>
          <w:rFonts w:hAnsi="宋体" w:cs="宋体"/>
          <w:b/>
          <w:sz w:val="24"/>
        </w:rPr>
      </w:pPr>
      <w:r>
        <w:rPr>
          <w:rFonts w:hint="eastAsia" w:hAnsi="宋体" w:cs="宋体"/>
          <w:b/>
          <w:sz w:val="24"/>
        </w:rPr>
        <w:t>（二）技术标（20分）</w:t>
      </w:r>
    </w:p>
    <w:tbl>
      <w:tblPr>
        <w:tblStyle w:val="29"/>
        <w:tblW w:w="92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86"/>
        <w:gridCol w:w="2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440" w:lineRule="exact"/>
              <w:ind w:firstLine="480" w:firstLineChars="200"/>
              <w:rPr>
                <w:rFonts w:ascii="新宋体" w:hAnsi="新宋体" w:eastAsia="新宋体"/>
                <w:sz w:val="24"/>
              </w:rPr>
            </w:pPr>
            <w:bookmarkStart w:id="71" w:name="_Toc273546398"/>
            <w:bookmarkStart w:id="72" w:name="_Toc270931534"/>
            <w:bookmarkStart w:id="73" w:name="_Toc295572535"/>
            <w:bookmarkStart w:id="74" w:name="_Toc272833453"/>
            <w:r>
              <w:rPr>
                <w:rFonts w:ascii="新宋体" w:hAnsi="新宋体" w:eastAsia="新宋体"/>
                <w:sz w:val="24"/>
              </w:rPr>
              <w:t> 评审内容</w:t>
            </w:r>
          </w:p>
        </w:tc>
        <w:tc>
          <w:tcPr>
            <w:tcW w:w="2814" w:type="dxa"/>
          </w:tcPr>
          <w:p>
            <w:pPr>
              <w:spacing w:line="440" w:lineRule="exact"/>
              <w:ind w:firstLine="480" w:firstLineChars="200"/>
              <w:rPr>
                <w:rFonts w:ascii="新宋体" w:hAnsi="新宋体" w:eastAsia="新宋体"/>
                <w:sz w:val="24"/>
              </w:rPr>
            </w:pPr>
            <w:r>
              <w:rPr>
                <w:rFonts w:ascii="新宋体" w:hAnsi="新宋体" w:eastAsia="新宋体"/>
                <w:sz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（1）内容完整性和编制水平；</w:t>
            </w:r>
          </w:p>
        </w:tc>
        <w:tc>
          <w:tcPr>
            <w:tcW w:w="2814" w:type="dxa"/>
          </w:tcPr>
          <w:p>
            <w:pPr>
              <w:spacing w:line="440" w:lineRule="exact"/>
              <w:ind w:firstLine="480" w:firstLineChars="200"/>
              <w:rPr>
                <w:rFonts w:ascii="新宋体" w:hAnsi="新宋体" w:eastAsia="新宋体"/>
                <w:sz w:val="24"/>
              </w:rPr>
            </w:pPr>
            <w:r>
              <w:rPr>
                <w:rFonts w:ascii="新宋体" w:hAnsi="新宋体" w:eastAsia="新宋体"/>
                <w:sz w:val="24"/>
              </w:rPr>
              <w:t>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（2）施工方案和技术措施；</w:t>
            </w:r>
          </w:p>
        </w:tc>
        <w:tc>
          <w:tcPr>
            <w:tcW w:w="2814" w:type="dxa"/>
          </w:tcPr>
          <w:p>
            <w:pPr>
              <w:spacing w:line="440" w:lineRule="exact"/>
              <w:ind w:firstLine="480" w:firstLineChars="200"/>
              <w:rPr>
                <w:rFonts w:ascii="新宋体" w:hAnsi="新宋体" w:eastAsia="新宋体"/>
                <w:sz w:val="24"/>
              </w:rPr>
            </w:pPr>
            <w:r>
              <w:rPr>
                <w:rFonts w:hint="eastAsia" w:ascii="新宋体" w:hAnsi="新宋体" w:eastAsia="新宋体"/>
                <w:sz w:val="24"/>
              </w:rPr>
              <w:t>1</w:t>
            </w:r>
            <w:r>
              <w:rPr>
                <w:rFonts w:ascii="新宋体" w:hAnsi="新宋体" w:eastAsia="新宋体"/>
                <w:sz w:val="24"/>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 xml:space="preserve">（3）质量管理体系与措施；              </w:t>
            </w:r>
          </w:p>
        </w:tc>
        <w:tc>
          <w:tcPr>
            <w:tcW w:w="2814" w:type="dxa"/>
          </w:tcPr>
          <w:p>
            <w:pPr>
              <w:spacing w:line="440" w:lineRule="exact"/>
              <w:ind w:firstLine="480" w:firstLineChars="200"/>
              <w:rPr>
                <w:rFonts w:ascii="新宋体" w:hAnsi="新宋体" w:eastAsia="新宋体"/>
                <w:sz w:val="24"/>
              </w:rPr>
            </w:pPr>
            <w:r>
              <w:rPr>
                <w:rFonts w:hint="eastAsia" w:ascii="新宋体" w:hAnsi="新宋体" w:eastAsia="新宋体"/>
                <w:sz w:val="24"/>
              </w:rPr>
              <w:t>1</w:t>
            </w:r>
            <w:r>
              <w:rPr>
                <w:rFonts w:ascii="新宋体" w:hAnsi="新宋体" w:eastAsia="新宋体"/>
                <w:sz w:val="24"/>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 xml:space="preserve">（4）安全管理体系与措施；              </w:t>
            </w:r>
          </w:p>
        </w:tc>
        <w:tc>
          <w:tcPr>
            <w:tcW w:w="2814" w:type="dxa"/>
          </w:tcPr>
          <w:p>
            <w:pPr>
              <w:spacing w:line="440" w:lineRule="exact"/>
              <w:ind w:firstLine="480" w:firstLineChars="200"/>
              <w:rPr>
                <w:rFonts w:ascii="新宋体" w:hAnsi="新宋体" w:eastAsia="新宋体"/>
                <w:sz w:val="24"/>
              </w:rPr>
            </w:pPr>
            <w:r>
              <w:rPr>
                <w:rFonts w:hint="eastAsia" w:ascii="新宋体" w:hAnsi="新宋体" w:eastAsia="新宋体"/>
                <w:sz w:val="24"/>
              </w:rPr>
              <w:t>1</w:t>
            </w:r>
            <w:r>
              <w:rPr>
                <w:rFonts w:ascii="新宋体" w:hAnsi="新宋体" w:eastAsia="新宋体"/>
                <w:sz w:val="24"/>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（5）环境保护管理体系与措施；</w:t>
            </w:r>
          </w:p>
        </w:tc>
        <w:tc>
          <w:tcPr>
            <w:tcW w:w="2814" w:type="dxa"/>
          </w:tcPr>
          <w:p>
            <w:pPr>
              <w:spacing w:line="440" w:lineRule="exact"/>
              <w:ind w:firstLine="480" w:firstLineChars="200"/>
              <w:rPr>
                <w:rFonts w:ascii="新宋体" w:hAnsi="新宋体" w:eastAsia="新宋体"/>
                <w:sz w:val="24"/>
              </w:rPr>
            </w:pPr>
            <w:r>
              <w:rPr>
                <w:rFonts w:hint="eastAsia" w:ascii="新宋体" w:hAnsi="新宋体" w:eastAsia="新宋体"/>
                <w:sz w:val="24"/>
              </w:rPr>
              <w:t>1</w:t>
            </w:r>
            <w:r>
              <w:rPr>
                <w:rFonts w:ascii="新宋体" w:hAnsi="新宋体" w:eastAsia="新宋体"/>
                <w:sz w:val="24"/>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（6）工程进度计划与措施；</w:t>
            </w:r>
          </w:p>
        </w:tc>
        <w:tc>
          <w:tcPr>
            <w:tcW w:w="2814" w:type="dxa"/>
          </w:tcPr>
          <w:p>
            <w:pPr>
              <w:spacing w:line="440" w:lineRule="exact"/>
              <w:ind w:firstLine="480" w:firstLineChars="200"/>
              <w:rPr>
                <w:rFonts w:ascii="新宋体" w:hAnsi="新宋体" w:eastAsia="新宋体"/>
                <w:sz w:val="24"/>
              </w:rPr>
            </w:pPr>
            <w:r>
              <w:rPr>
                <w:rFonts w:ascii="新宋体" w:hAnsi="新宋体" w:eastAsia="新宋体"/>
                <w:sz w:val="24"/>
              </w:rPr>
              <w:t>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（7）拟投入资源配备计划……；</w:t>
            </w:r>
          </w:p>
        </w:tc>
        <w:tc>
          <w:tcPr>
            <w:tcW w:w="2814" w:type="dxa"/>
          </w:tcPr>
          <w:p>
            <w:pPr>
              <w:spacing w:line="440" w:lineRule="exact"/>
              <w:ind w:firstLine="480" w:firstLineChars="200"/>
              <w:rPr>
                <w:rFonts w:ascii="新宋体" w:hAnsi="新宋体" w:eastAsia="新宋体"/>
                <w:sz w:val="24"/>
              </w:rPr>
            </w:pPr>
            <w:r>
              <w:rPr>
                <w:rFonts w:hint="eastAsia" w:ascii="新宋体" w:hAnsi="新宋体" w:eastAsia="新宋体"/>
                <w:sz w:val="24"/>
              </w:rPr>
              <w:t>1</w:t>
            </w:r>
            <w:r>
              <w:rPr>
                <w:rFonts w:ascii="新宋体" w:hAnsi="新宋体" w:eastAsia="新宋体"/>
                <w:sz w:val="24"/>
              </w:rPr>
              <w:t>-</w:t>
            </w:r>
            <w:r>
              <w:rPr>
                <w:rFonts w:hint="eastAsia" w:ascii="新宋体" w:hAnsi="新宋体" w:eastAsia="新宋体"/>
                <w:sz w:val="24"/>
              </w:rPr>
              <w:t>2</w:t>
            </w:r>
            <w:r>
              <w:rPr>
                <w:rFonts w:ascii="新宋体" w:hAnsi="新宋体" w:eastAsia="新宋体"/>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 xml:space="preserve">（8）施工进度表或施工网络图；    </w:t>
            </w:r>
          </w:p>
        </w:tc>
        <w:tc>
          <w:tcPr>
            <w:tcW w:w="2814" w:type="dxa"/>
          </w:tcPr>
          <w:p>
            <w:pPr>
              <w:spacing w:line="440" w:lineRule="exact"/>
              <w:ind w:firstLine="480" w:firstLineChars="200"/>
              <w:rPr>
                <w:rFonts w:ascii="新宋体" w:hAnsi="新宋体" w:eastAsia="新宋体"/>
                <w:sz w:val="24"/>
              </w:rPr>
            </w:pPr>
            <w:r>
              <w:rPr>
                <w:rFonts w:ascii="新宋体" w:hAnsi="新宋体" w:eastAsia="新宋体"/>
                <w:sz w:val="24"/>
              </w:rPr>
              <w:t>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（9）</w:t>
            </w:r>
            <w:r>
              <w:rPr>
                <w:rFonts w:hint="eastAsia" w:ascii="新宋体" w:hAnsi="新宋体" w:eastAsia="新宋体"/>
                <w:sz w:val="24"/>
              </w:rPr>
              <w:t>施工总平面布置图</w:t>
            </w:r>
            <w:r>
              <w:rPr>
                <w:rFonts w:ascii="新宋体" w:hAnsi="新宋体" w:eastAsia="新宋体"/>
                <w:sz w:val="24"/>
              </w:rPr>
              <w:t>；</w:t>
            </w:r>
          </w:p>
        </w:tc>
        <w:tc>
          <w:tcPr>
            <w:tcW w:w="2814" w:type="dxa"/>
          </w:tcPr>
          <w:p>
            <w:pPr>
              <w:spacing w:line="440" w:lineRule="exact"/>
              <w:ind w:firstLine="480" w:firstLineChars="200"/>
              <w:rPr>
                <w:rFonts w:ascii="新宋体" w:hAnsi="新宋体" w:eastAsia="新宋体"/>
                <w:sz w:val="24"/>
              </w:rPr>
            </w:pPr>
            <w:r>
              <w:rPr>
                <w:rFonts w:ascii="新宋体" w:hAnsi="新宋体" w:eastAsia="新宋体"/>
                <w:sz w:val="24"/>
              </w:rPr>
              <w:t>0-</w:t>
            </w:r>
            <w:r>
              <w:rPr>
                <w:rFonts w:hint="eastAsia" w:ascii="新宋体" w:hAnsi="新宋体" w:eastAsia="新宋体"/>
                <w:sz w:val="24"/>
              </w:rPr>
              <w:t>1</w:t>
            </w:r>
            <w:r>
              <w:rPr>
                <w:rFonts w:ascii="新宋体" w:hAnsi="新宋体" w:eastAsia="新宋体"/>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8"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（10）在节能减排、绿色施工（含扬尘治理）、工艺创新方面针对本工程有具体措施或企业自有创新技术；</w:t>
            </w:r>
          </w:p>
        </w:tc>
        <w:tc>
          <w:tcPr>
            <w:tcW w:w="2814" w:type="dxa"/>
          </w:tcPr>
          <w:p>
            <w:pPr>
              <w:spacing w:line="440" w:lineRule="exact"/>
              <w:ind w:firstLine="480" w:firstLineChars="200"/>
              <w:rPr>
                <w:rFonts w:ascii="新宋体" w:hAnsi="新宋体" w:eastAsia="新宋体"/>
                <w:sz w:val="24"/>
              </w:rPr>
            </w:pPr>
            <w:r>
              <w:rPr>
                <w:rFonts w:hint="eastAsia" w:ascii="新宋体" w:hAnsi="新宋体" w:eastAsia="新宋体"/>
                <w:sz w:val="24"/>
              </w:rPr>
              <w:t>1</w:t>
            </w:r>
            <w:r>
              <w:rPr>
                <w:rFonts w:ascii="新宋体" w:hAnsi="新宋体" w:eastAsia="新宋体"/>
                <w:sz w:val="24"/>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8"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（11）新工艺、新技术、新设备、新材料的采用程度，其在确保质量、降低成本、缩短工期、减轻劳动强度、提高工效等方面的作用；</w:t>
            </w:r>
          </w:p>
        </w:tc>
        <w:tc>
          <w:tcPr>
            <w:tcW w:w="2814" w:type="dxa"/>
          </w:tcPr>
          <w:p>
            <w:pPr>
              <w:spacing w:line="440" w:lineRule="exact"/>
              <w:ind w:firstLine="480" w:firstLineChars="200"/>
              <w:rPr>
                <w:rFonts w:ascii="新宋体" w:hAnsi="新宋体" w:eastAsia="新宋体"/>
                <w:sz w:val="24"/>
              </w:rPr>
            </w:pPr>
            <w:r>
              <w:rPr>
                <w:rFonts w:hint="eastAsia" w:ascii="新宋体" w:hAnsi="新宋体" w:eastAsia="新宋体"/>
                <w:sz w:val="24"/>
              </w:rPr>
              <w:t>1</w:t>
            </w:r>
            <w:r>
              <w:rPr>
                <w:rFonts w:ascii="新宋体" w:hAnsi="新宋体" w:eastAsia="新宋体"/>
                <w:sz w:val="24"/>
              </w:rPr>
              <w:t>-</w:t>
            </w:r>
            <w:r>
              <w:rPr>
                <w:rFonts w:hint="eastAsia" w:ascii="新宋体" w:hAnsi="新宋体" w:eastAsia="新宋体"/>
                <w:sz w:val="24"/>
              </w:rPr>
              <w:t>2</w:t>
            </w:r>
            <w:r>
              <w:rPr>
                <w:rFonts w:ascii="新宋体" w:hAnsi="新宋体" w:eastAsia="新宋体"/>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5" w:hRule="atLeast"/>
        </w:trPr>
        <w:tc>
          <w:tcPr>
            <w:tcW w:w="6386" w:type="dxa"/>
          </w:tcPr>
          <w:p>
            <w:pPr>
              <w:spacing w:line="440" w:lineRule="exact"/>
              <w:ind w:firstLine="480" w:firstLineChars="200"/>
              <w:rPr>
                <w:rFonts w:ascii="新宋体" w:hAnsi="新宋体" w:eastAsia="新宋体"/>
                <w:sz w:val="24"/>
              </w:rPr>
            </w:pPr>
            <w:r>
              <w:rPr>
                <w:rFonts w:ascii="新宋体" w:hAnsi="新宋体" w:eastAsia="新宋体"/>
                <w:sz w:val="24"/>
              </w:rPr>
              <w:t>（12）企业具备信息化管理平台，能够使工程管理者对现场实施监控和数据处理。</w:t>
            </w:r>
          </w:p>
        </w:tc>
        <w:tc>
          <w:tcPr>
            <w:tcW w:w="2814" w:type="dxa"/>
          </w:tcPr>
          <w:p>
            <w:pPr>
              <w:spacing w:line="440" w:lineRule="exact"/>
              <w:ind w:firstLine="480" w:firstLineChars="200"/>
              <w:rPr>
                <w:rFonts w:ascii="新宋体" w:hAnsi="新宋体" w:eastAsia="新宋体"/>
                <w:sz w:val="24"/>
              </w:rPr>
            </w:pPr>
            <w:r>
              <w:rPr>
                <w:rFonts w:hint="eastAsia" w:ascii="新宋体" w:hAnsi="新宋体" w:eastAsia="新宋体"/>
                <w:sz w:val="24"/>
              </w:rPr>
              <w:t>1</w:t>
            </w:r>
            <w:r>
              <w:rPr>
                <w:rFonts w:ascii="新宋体" w:hAnsi="新宋体" w:eastAsia="新宋体"/>
                <w:sz w:val="24"/>
              </w:rPr>
              <w:t>-2分</w:t>
            </w:r>
          </w:p>
        </w:tc>
      </w:tr>
    </w:tbl>
    <w:p>
      <w:pPr>
        <w:snapToGrid w:val="0"/>
        <w:spacing w:line="360" w:lineRule="auto"/>
        <w:ind w:firstLine="481"/>
        <w:rPr>
          <w:rFonts w:hAnsi="宋体" w:cs="宋体"/>
          <w:sz w:val="24"/>
          <w:szCs w:val="24"/>
        </w:rPr>
      </w:pPr>
      <w:r>
        <w:rPr>
          <w:rFonts w:hint="eastAsia" w:hAnsi="宋体" w:cs="宋体"/>
          <w:sz w:val="24"/>
          <w:szCs w:val="24"/>
        </w:rPr>
        <w:t>以上项目若有缺项，该项为0分。</w:t>
      </w:r>
    </w:p>
    <w:p>
      <w:pPr>
        <w:snapToGrid w:val="0"/>
        <w:spacing w:line="360" w:lineRule="auto"/>
        <w:jc w:val="left"/>
        <w:rPr>
          <w:rFonts w:hAnsi="宋体" w:cs="宋体"/>
          <w:b/>
          <w:bCs/>
          <w:sz w:val="24"/>
          <w:szCs w:val="24"/>
        </w:rPr>
      </w:pPr>
      <w:r>
        <w:rPr>
          <w:rFonts w:hint="eastAsia" w:hAnsi="宋体" w:cs="宋体"/>
          <w:b/>
          <w:bCs/>
          <w:sz w:val="24"/>
          <w:szCs w:val="24"/>
        </w:rPr>
        <w:t>（三）商务标（60分）</w:t>
      </w:r>
    </w:p>
    <w:p>
      <w:pPr>
        <w:snapToGrid w:val="0"/>
        <w:spacing w:line="360" w:lineRule="auto"/>
        <w:rPr>
          <w:rFonts w:hAnsi="宋体" w:cs="宋体"/>
          <w:b/>
          <w:bCs/>
          <w:sz w:val="24"/>
          <w:szCs w:val="24"/>
        </w:rPr>
      </w:pPr>
      <w:r>
        <w:rPr>
          <w:rFonts w:hint="eastAsia" w:hAnsi="宋体" w:cs="宋体"/>
          <w:b/>
          <w:bCs/>
          <w:sz w:val="24"/>
          <w:szCs w:val="24"/>
        </w:rPr>
        <w:t xml:space="preserve">    1、投标报价（30分） </w:t>
      </w:r>
    </w:p>
    <w:p>
      <w:pPr>
        <w:snapToGrid w:val="0"/>
        <w:spacing w:line="360" w:lineRule="auto"/>
        <w:ind w:firstLine="481"/>
        <w:rPr>
          <w:rFonts w:hAnsi="宋体" w:cs="宋体"/>
          <w:sz w:val="24"/>
          <w:szCs w:val="24"/>
        </w:rPr>
      </w:pPr>
      <w:r>
        <w:rPr>
          <w:rFonts w:hint="eastAsia" w:hAnsi="宋体" w:cs="宋体"/>
          <w:sz w:val="24"/>
          <w:szCs w:val="24"/>
        </w:rPr>
        <w:t xml:space="preserve">投标报价与评标基准价相等得基本分20分。当投标报价低于评标基准价时，每低1%在基本分20分的基础上加2分，最多加10分；当投标报价低于评标基准价5%以上（不含5%）时，每再低1%在满分30分的基础上扣3分，扣完为止；当投标报价高于评标基准价时，每高1%在基本分20分的基础上扣2分，扣完为止。 </w:t>
      </w:r>
    </w:p>
    <w:p>
      <w:pPr>
        <w:numPr>
          <w:ilvl w:val="0"/>
          <w:numId w:val="4"/>
        </w:numPr>
        <w:snapToGrid w:val="0"/>
        <w:spacing w:line="360" w:lineRule="auto"/>
        <w:ind w:firstLine="481"/>
        <w:rPr>
          <w:rFonts w:hAnsi="宋体" w:cs="宋体"/>
          <w:b/>
          <w:bCs/>
          <w:sz w:val="24"/>
          <w:szCs w:val="24"/>
        </w:rPr>
      </w:pPr>
      <w:r>
        <w:rPr>
          <w:rFonts w:hint="eastAsia" w:hAnsi="宋体" w:cs="宋体"/>
          <w:b/>
          <w:bCs/>
          <w:sz w:val="24"/>
          <w:szCs w:val="24"/>
        </w:rPr>
        <w:t>分部分项工程项目综合单价（15分）</w:t>
      </w:r>
    </w:p>
    <w:p>
      <w:pPr>
        <w:snapToGrid w:val="0"/>
        <w:spacing w:line="360" w:lineRule="auto"/>
        <w:ind w:firstLine="484"/>
        <w:rPr>
          <w:rFonts w:hAnsi="宋体" w:cs="宋体"/>
          <w:sz w:val="24"/>
          <w:szCs w:val="24"/>
        </w:rPr>
      </w:pPr>
      <w:r>
        <w:rPr>
          <w:rFonts w:hint="eastAsia" w:hAnsi="宋体" w:cs="宋体"/>
          <w:sz w:val="24"/>
          <w:szCs w:val="24"/>
        </w:rPr>
        <w:t>分部分项工程项目综合单价随机选择15项清单项目。清单项目综合单价以各有效投标报价的（当有效投标人5名及以上时，去掉1个最高、1个最低值）清单项目综合单价的算术平均值作为综合单价基准值。在综合单价基准值95%—103%范围内（不含95%和103%）每项得1分，在评标基准值90%—95%范围内（含90%和95%）每项得0.5分，满分共计15分。超出该范围的不得分。</w:t>
      </w:r>
    </w:p>
    <w:p>
      <w:pPr>
        <w:snapToGrid w:val="0"/>
        <w:spacing w:line="360" w:lineRule="auto"/>
        <w:rPr>
          <w:rFonts w:hAnsi="宋体" w:cs="宋体"/>
          <w:sz w:val="24"/>
          <w:szCs w:val="24"/>
        </w:rPr>
      </w:pPr>
      <w:r>
        <w:rPr>
          <w:rFonts w:hint="eastAsia" w:hAnsi="宋体" w:cs="宋体"/>
          <w:b/>
          <w:bCs/>
          <w:sz w:val="24"/>
          <w:szCs w:val="24"/>
        </w:rPr>
        <w:t xml:space="preserve">    3、措施项目（5分）</w:t>
      </w:r>
    </w:p>
    <w:p>
      <w:pPr>
        <w:snapToGrid w:val="0"/>
        <w:spacing w:line="360" w:lineRule="auto"/>
        <w:ind w:firstLine="484"/>
        <w:rPr>
          <w:rFonts w:hAnsi="宋体" w:cs="宋体"/>
          <w:sz w:val="24"/>
          <w:szCs w:val="24"/>
        </w:rPr>
      </w:pPr>
      <w:r>
        <w:rPr>
          <w:rFonts w:hint="eastAsia" w:hAnsi="宋体" w:cs="宋体"/>
          <w:sz w:val="24"/>
          <w:szCs w:val="24"/>
        </w:rPr>
        <w:t xml:space="preserve">措施项目基准值=各投标人所报措施项目费（当有效投标人5名及以上时，去掉1个最高、1个最低值）的算术平均值。投标所报措施费与措施项目基准值相等得基本分3分。当投标报价低于措施项目基准值时，每低1%在基本分3分的基础上加0.2分；当投标报价低于措施项目基准值10%～15%（含15%）时，为5分；当投标报价低于措施项目基准值15%（不含15%）时，每低1%在满分5分的基础上扣0.4分，扣完为止；当高于措施项目基准值时，每高于1%时，在基本分3分的基础上扣0.2分，扣完为止。 </w:t>
      </w:r>
    </w:p>
    <w:p>
      <w:pPr>
        <w:numPr>
          <w:ilvl w:val="0"/>
          <w:numId w:val="5"/>
        </w:numPr>
        <w:snapToGrid w:val="0"/>
        <w:spacing w:line="360" w:lineRule="auto"/>
        <w:ind w:firstLine="484"/>
        <w:rPr>
          <w:rFonts w:hAnsi="宋体" w:cs="宋体"/>
          <w:b/>
          <w:bCs/>
          <w:sz w:val="24"/>
          <w:szCs w:val="24"/>
        </w:rPr>
      </w:pPr>
      <w:r>
        <w:rPr>
          <w:rFonts w:hint="eastAsia" w:hAnsi="宋体" w:cs="宋体"/>
          <w:b/>
          <w:bCs/>
          <w:sz w:val="24"/>
          <w:szCs w:val="24"/>
        </w:rPr>
        <w:t>主要材料单价（10分）</w:t>
      </w:r>
    </w:p>
    <w:p>
      <w:pPr>
        <w:snapToGrid w:val="0"/>
        <w:spacing w:line="360" w:lineRule="auto"/>
        <w:ind w:firstLine="484"/>
        <w:rPr>
          <w:rFonts w:hAnsi="宋体" w:cs="宋体"/>
          <w:sz w:val="24"/>
          <w:szCs w:val="24"/>
        </w:rPr>
      </w:pPr>
      <w:r>
        <w:rPr>
          <w:rFonts w:hint="eastAsia" w:hAnsi="宋体" w:cs="宋体"/>
          <w:sz w:val="24"/>
          <w:szCs w:val="24"/>
        </w:rPr>
        <w:t>主要材料项目单价选择10项材料，材料的单价以各有效投标报价（当有效投标人5名及以上时，去掉1个最高、1个最低值）材料单价的算术平均值作为材料基准值。在材料基准值95%—103%范围内（不含95%和103%）每项得1分，在材料基准值90%—95%范围内（含90%和95%）每项得0.5分。超出该范围的不得分。</w:t>
      </w:r>
    </w:p>
    <w:bookmarkEnd w:id="71"/>
    <w:bookmarkEnd w:id="72"/>
    <w:bookmarkEnd w:id="73"/>
    <w:bookmarkEnd w:id="74"/>
    <w:p>
      <w:pPr>
        <w:numPr>
          <w:ilvl w:val="0"/>
          <w:numId w:val="6"/>
        </w:numPr>
        <w:spacing w:line="360" w:lineRule="auto"/>
        <w:rPr>
          <w:rFonts w:hint="eastAsia"/>
          <w:b/>
          <w:bCs/>
          <w:sz w:val="24"/>
          <w:szCs w:val="24"/>
        </w:rPr>
      </w:pPr>
      <w:r>
        <w:rPr>
          <w:rFonts w:hint="eastAsia" w:cs="宋体"/>
          <w:b/>
          <w:bCs/>
          <w:sz w:val="24"/>
          <w:szCs w:val="24"/>
        </w:rPr>
        <w:t>综合（信用）标的评标分值（20分）</w:t>
      </w:r>
      <w:r>
        <w:rPr>
          <w:rFonts w:hint="eastAsia"/>
          <w:b/>
          <w:bCs/>
          <w:sz w:val="24"/>
          <w:szCs w:val="24"/>
        </w:rPr>
        <w:t xml:space="preserve"> </w:t>
      </w:r>
    </w:p>
    <w:p>
      <w:pPr>
        <w:numPr>
          <w:ilvl w:val="0"/>
          <w:numId w:val="0"/>
        </w:numPr>
        <w:spacing w:line="360" w:lineRule="auto"/>
        <w:ind w:firstLine="480" w:firstLineChars="200"/>
        <w:rPr>
          <w:rFonts w:cs="宋体"/>
          <w:b/>
          <w:bCs/>
          <w:color w:val="auto"/>
          <w:sz w:val="24"/>
          <w:szCs w:val="24"/>
        </w:rPr>
      </w:pPr>
      <w:r>
        <w:rPr>
          <w:rFonts w:hint="eastAsia"/>
          <w:b/>
          <w:bCs/>
          <w:color w:val="auto"/>
          <w:sz w:val="24"/>
          <w:szCs w:val="24"/>
        </w:rPr>
        <w:t>1、项目班子配备0-</w:t>
      </w:r>
      <w:r>
        <w:rPr>
          <w:rFonts w:hint="eastAsia"/>
          <w:b/>
          <w:bCs/>
          <w:color w:val="auto"/>
          <w:sz w:val="24"/>
          <w:szCs w:val="24"/>
          <w:lang w:val="en-US" w:eastAsia="zh-CN"/>
        </w:rPr>
        <w:t>6</w:t>
      </w:r>
      <w:r>
        <w:rPr>
          <w:rFonts w:hint="eastAsia"/>
          <w:b/>
          <w:bCs/>
          <w:color w:val="auto"/>
          <w:sz w:val="24"/>
          <w:szCs w:val="24"/>
        </w:rPr>
        <w:t>分</w:t>
      </w:r>
    </w:p>
    <w:p>
      <w:pPr>
        <w:spacing w:line="360" w:lineRule="auto"/>
        <w:rPr>
          <w:rFonts w:hint="eastAsia"/>
          <w:color w:val="auto"/>
          <w:sz w:val="24"/>
          <w:szCs w:val="24"/>
        </w:rPr>
      </w:pPr>
      <w:r>
        <w:rPr>
          <w:rFonts w:hint="eastAsia"/>
          <w:color w:val="auto"/>
          <w:sz w:val="24"/>
          <w:szCs w:val="24"/>
        </w:rPr>
        <w:t xml:space="preserve">  </w:t>
      </w:r>
      <w:r>
        <w:rPr>
          <w:rFonts w:hint="eastAsia"/>
          <w:color w:val="auto"/>
          <w:sz w:val="24"/>
          <w:szCs w:val="24"/>
          <w:lang w:val="en-US" w:eastAsia="zh-CN"/>
        </w:rPr>
        <w:t xml:space="preserve">  </w:t>
      </w:r>
      <w:r>
        <w:rPr>
          <w:rFonts w:hint="eastAsia"/>
          <w:color w:val="auto"/>
          <w:sz w:val="24"/>
          <w:szCs w:val="24"/>
        </w:rPr>
        <w:t>1.1拟派技术负责人为中级职称</w:t>
      </w:r>
      <w:r>
        <w:rPr>
          <w:rFonts w:hint="eastAsia"/>
          <w:color w:val="auto"/>
          <w:sz w:val="24"/>
          <w:szCs w:val="24"/>
          <w:lang w:val="en-US" w:eastAsia="zh-CN"/>
        </w:rPr>
        <w:t>者得1分，高级</w:t>
      </w:r>
      <w:r>
        <w:rPr>
          <w:rFonts w:hint="eastAsia"/>
          <w:color w:val="auto"/>
          <w:sz w:val="24"/>
          <w:szCs w:val="24"/>
          <w:lang w:eastAsia="zh-CN"/>
        </w:rPr>
        <w:t>职称</w:t>
      </w:r>
      <w:r>
        <w:rPr>
          <w:rFonts w:hint="eastAsia"/>
          <w:color w:val="auto"/>
          <w:sz w:val="24"/>
          <w:szCs w:val="24"/>
        </w:rPr>
        <w:t>者得</w:t>
      </w:r>
      <w:r>
        <w:rPr>
          <w:rFonts w:hint="eastAsia"/>
          <w:color w:val="auto"/>
          <w:sz w:val="24"/>
          <w:szCs w:val="24"/>
          <w:lang w:val="en-US" w:eastAsia="zh-CN"/>
        </w:rPr>
        <w:t>2</w:t>
      </w:r>
      <w:r>
        <w:rPr>
          <w:rFonts w:hint="eastAsia"/>
          <w:color w:val="auto"/>
          <w:sz w:val="24"/>
          <w:szCs w:val="24"/>
        </w:rPr>
        <w:t>分</w:t>
      </w:r>
      <w:r>
        <w:rPr>
          <w:rFonts w:hint="eastAsia"/>
          <w:color w:val="auto"/>
          <w:sz w:val="24"/>
          <w:szCs w:val="24"/>
          <w:lang w:eastAsia="zh-CN"/>
        </w:rPr>
        <w:t>（</w:t>
      </w:r>
      <w:r>
        <w:rPr>
          <w:rFonts w:hint="eastAsia"/>
          <w:color w:val="auto"/>
          <w:sz w:val="24"/>
          <w:szCs w:val="24"/>
          <w:lang w:val="en-US" w:eastAsia="zh-CN"/>
        </w:rPr>
        <w:t>附社保三个月网上查询截图及当地社保部门出具的个人明细表）</w:t>
      </w:r>
    </w:p>
    <w:p>
      <w:pPr>
        <w:spacing w:line="360" w:lineRule="auto"/>
        <w:rPr>
          <w:rFonts w:hint="eastAsia"/>
          <w:color w:val="auto"/>
          <w:sz w:val="24"/>
          <w:szCs w:val="24"/>
        </w:rPr>
      </w:pPr>
      <w:r>
        <w:rPr>
          <w:rFonts w:hint="eastAsia"/>
          <w:color w:val="auto"/>
          <w:sz w:val="24"/>
          <w:szCs w:val="24"/>
        </w:rPr>
        <w:t xml:space="preserve">    1.2拟派项目班子中具有施工员、质量员、安全员、</w:t>
      </w:r>
      <w:r>
        <w:rPr>
          <w:rFonts w:hint="eastAsia"/>
          <w:color w:val="auto"/>
          <w:sz w:val="24"/>
          <w:szCs w:val="24"/>
          <w:lang w:eastAsia="zh-CN"/>
        </w:rPr>
        <w:t>造价员</w:t>
      </w:r>
      <w:r>
        <w:rPr>
          <w:rFonts w:hint="eastAsia"/>
          <w:color w:val="auto"/>
          <w:sz w:val="24"/>
          <w:szCs w:val="24"/>
        </w:rPr>
        <w:t>、资料员</w:t>
      </w:r>
      <w:r>
        <w:rPr>
          <w:rFonts w:hint="eastAsia"/>
          <w:color w:val="auto"/>
          <w:sz w:val="24"/>
          <w:szCs w:val="24"/>
          <w:lang w:eastAsia="zh-CN"/>
        </w:rPr>
        <w:t>、测量员、劳务员、标准员</w:t>
      </w:r>
      <w:r>
        <w:rPr>
          <w:rFonts w:hint="eastAsia"/>
          <w:color w:val="auto"/>
          <w:sz w:val="24"/>
          <w:szCs w:val="24"/>
        </w:rPr>
        <w:t>证件每项得0.</w:t>
      </w:r>
      <w:r>
        <w:rPr>
          <w:rFonts w:hint="eastAsia"/>
          <w:color w:val="auto"/>
          <w:sz w:val="24"/>
          <w:szCs w:val="24"/>
          <w:lang w:val="en-US" w:eastAsia="zh-CN"/>
        </w:rPr>
        <w:t>5</w:t>
      </w:r>
      <w:r>
        <w:rPr>
          <w:rFonts w:hint="eastAsia"/>
          <w:color w:val="auto"/>
          <w:sz w:val="24"/>
          <w:szCs w:val="24"/>
        </w:rPr>
        <w:t>分，本项最高得</w:t>
      </w:r>
      <w:r>
        <w:rPr>
          <w:rFonts w:hint="eastAsia"/>
          <w:color w:val="auto"/>
          <w:sz w:val="24"/>
          <w:szCs w:val="24"/>
          <w:lang w:val="en-US" w:eastAsia="zh-CN"/>
        </w:rPr>
        <w:t>4</w:t>
      </w:r>
      <w:r>
        <w:rPr>
          <w:rFonts w:hint="eastAsia"/>
          <w:color w:val="auto"/>
          <w:sz w:val="24"/>
          <w:szCs w:val="24"/>
        </w:rPr>
        <w:t>分。</w:t>
      </w:r>
      <w:r>
        <w:rPr>
          <w:rFonts w:hint="eastAsia"/>
          <w:color w:val="auto"/>
          <w:sz w:val="24"/>
          <w:szCs w:val="24"/>
          <w:lang w:eastAsia="zh-CN"/>
        </w:rPr>
        <w:t>（</w:t>
      </w:r>
      <w:r>
        <w:rPr>
          <w:rFonts w:hint="eastAsia"/>
          <w:color w:val="auto"/>
          <w:sz w:val="24"/>
          <w:szCs w:val="24"/>
          <w:lang w:val="en-US" w:eastAsia="zh-CN"/>
        </w:rPr>
        <w:t>附社保三个月网上查询截图及当地社保部门出具的个人明细表）</w:t>
      </w:r>
    </w:p>
    <w:p>
      <w:pPr>
        <w:spacing w:line="360" w:lineRule="auto"/>
        <w:ind w:firstLine="480" w:firstLineChars="200"/>
        <w:rPr>
          <w:rFonts w:hint="eastAsia"/>
          <w:b/>
          <w:bCs/>
          <w:color w:val="auto"/>
          <w:sz w:val="24"/>
          <w:szCs w:val="24"/>
        </w:rPr>
      </w:pPr>
      <w:r>
        <w:rPr>
          <w:rFonts w:hint="eastAsia"/>
          <w:b/>
          <w:bCs/>
          <w:color w:val="auto"/>
          <w:sz w:val="24"/>
          <w:szCs w:val="24"/>
        </w:rPr>
        <w:t>2、企业综合信用0-</w:t>
      </w:r>
      <w:r>
        <w:rPr>
          <w:rFonts w:hint="eastAsia"/>
          <w:b/>
          <w:bCs/>
          <w:color w:val="auto"/>
          <w:sz w:val="24"/>
          <w:szCs w:val="24"/>
          <w:lang w:val="en-US" w:eastAsia="zh-CN"/>
        </w:rPr>
        <w:t>5</w:t>
      </w:r>
      <w:r>
        <w:rPr>
          <w:rFonts w:hint="eastAsia" w:hAnsi="宋体"/>
          <w:b/>
          <w:bCs/>
          <w:color w:val="auto"/>
          <w:sz w:val="24"/>
          <w:szCs w:val="24"/>
        </w:rPr>
        <w:t>分</w:t>
      </w:r>
    </w:p>
    <w:p>
      <w:pPr>
        <w:spacing w:line="360" w:lineRule="auto"/>
        <w:ind w:firstLine="480" w:firstLineChars="200"/>
        <w:rPr>
          <w:rFonts w:hint="eastAsia" w:hAnsi="Times New Roman" w:cs="Times New Roman"/>
          <w:color w:val="auto"/>
          <w:sz w:val="24"/>
          <w:szCs w:val="24"/>
          <w:lang w:val="en-US" w:eastAsia="zh-CN"/>
        </w:rPr>
      </w:pPr>
      <w:r>
        <w:rPr>
          <w:rFonts w:hint="eastAsia" w:hAnsi="Times New Roman" w:cs="Times New Roman"/>
          <w:color w:val="auto"/>
          <w:sz w:val="24"/>
          <w:szCs w:val="24"/>
          <w:lang w:val="en-US" w:eastAsia="zh-CN"/>
        </w:rPr>
        <w:t>2.1自</w:t>
      </w:r>
      <w:bookmarkStart w:id="75" w:name="_Hlk487381127"/>
      <w:r>
        <w:rPr>
          <w:rFonts w:hint="eastAsia" w:hAnsi="Times New Roman" w:cs="Times New Roman"/>
          <w:color w:val="auto"/>
          <w:sz w:val="24"/>
          <w:szCs w:val="24"/>
          <w:lang w:val="en-US" w:eastAsia="zh-CN"/>
        </w:rPr>
        <w:t>2016年1月1日以来</w:t>
      </w:r>
      <w:bookmarkEnd w:id="75"/>
      <w:r>
        <w:rPr>
          <w:rFonts w:hint="eastAsia" w:hAnsi="Times New Roman" w:cs="Times New Roman"/>
          <w:color w:val="auto"/>
          <w:sz w:val="24"/>
          <w:szCs w:val="24"/>
          <w:lang w:val="en-US" w:eastAsia="zh-CN"/>
        </w:rPr>
        <w:t>（以合同签订时间为准）企业具有类似项目业绩者得</w:t>
      </w:r>
      <w:r>
        <w:rPr>
          <w:rFonts w:hint="eastAsia" w:cs="Times New Roman"/>
          <w:color w:val="auto"/>
          <w:sz w:val="24"/>
          <w:szCs w:val="24"/>
          <w:lang w:val="en-US" w:eastAsia="zh-CN"/>
        </w:rPr>
        <w:t>3</w:t>
      </w:r>
      <w:r>
        <w:rPr>
          <w:rFonts w:hint="eastAsia" w:hAnsi="Times New Roman" w:cs="Times New Roman"/>
          <w:color w:val="auto"/>
          <w:sz w:val="24"/>
          <w:szCs w:val="24"/>
          <w:lang w:val="en-US" w:eastAsia="zh-CN"/>
        </w:rPr>
        <w:t>分，本项最高得</w:t>
      </w:r>
      <w:r>
        <w:rPr>
          <w:rFonts w:hint="eastAsia" w:cs="Times New Roman"/>
          <w:color w:val="auto"/>
          <w:sz w:val="24"/>
          <w:szCs w:val="24"/>
          <w:lang w:val="en-US" w:eastAsia="zh-CN"/>
        </w:rPr>
        <w:t>3</w:t>
      </w:r>
      <w:r>
        <w:rPr>
          <w:rFonts w:hint="eastAsia" w:hAnsi="Times New Roman" w:cs="Times New Roman"/>
          <w:color w:val="auto"/>
          <w:sz w:val="24"/>
          <w:szCs w:val="24"/>
          <w:lang w:val="en-US" w:eastAsia="zh-CN"/>
        </w:rPr>
        <w:t>分。（以中标公示截图和中标通知书和施工合同为准</w:t>
      </w:r>
      <w:r>
        <w:rPr>
          <w:rFonts w:hint="eastAsia" w:cs="Times New Roman"/>
          <w:color w:val="auto"/>
          <w:sz w:val="24"/>
          <w:szCs w:val="24"/>
          <w:lang w:val="en-US" w:eastAsia="zh-CN"/>
        </w:rPr>
        <w:t>，</w:t>
      </w:r>
      <w:r>
        <w:rPr>
          <w:rFonts w:hint="eastAsia" w:hAnsi="Times New Roman" w:cs="Times New Roman"/>
          <w:color w:val="auto"/>
          <w:sz w:val="24"/>
          <w:szCs w:val="24"/>
          <w:lang w:val="en-US" w:eastAsia="zh-CN"/>
        </w:rPr>
        <w:t>缺一不得分）</w:t>
      </w:r>
    </w:p>
    <w:p>
      <w:pPr>
        <w:spacing w:line="360" w:lineRule="auto"/>
        <w:ind w:firstLine="480" w:firstLineChars="200"/>
        <w:rPr>
          <w:rFonts w:hint="eastAsia" w:hAnsi="Times New Roman" w:cs="Times New Roman"/>
          <w:color w:val="auto"/>
          <w:sz w:val="24"/>
          <w:szCs w:val="24"/>
          <w:lang w:val="en-US" w:eastAsia="zh-CN"/>
        </w:rPr>
      </w:pPr>
      <w:r>
        <w:rPr>
          <w:rFonts w:hint="eastAsia" w:hAnsi="Times New Roman" w:cs="Times New Roman"/>
          <w:color w:val="auto"/>
          <w:sz w:val="24"/>
          <w:szCs w:val="24"/>
          <w:lang w:val="en-US" w:eastAsia="zh-CN"/>
        </w:rPr>
        <w:t>2.2自2016年1月1日以来投标人获得市级及以上建筑安全先进企业或获得市级及以上质量管理先进企业者得2分，本项最高得2分。（以获奖证书和文件为准）</w:t>
      </w:r>
    </w:p>
    <w:p>
      <w:pPr>
        <w:spacing w:line="360" w:lineRule="auto"/>
        <w:ind w:firstLine="480" w:firstLineChars="200"/>
        <w:rPr>
          <w:rFonts w:hint="eastAsia"/>
          <w:b/>
          <w:bCs/>
          <w:color w:val="auto"/>
          <w:sz w:val="24"/>
          <w:szCs w:val="24"/>
        </w:rPr>
      </w:pPr>
      <w:r>
        <w:rPr>
          <w:rFonts w:hint="eastAsia"/>
          <w:b/>
          <w:bCs/>
          <w:color w:val="auto"/>
          <w:sz w:val="24"/>
          <w:szCs w:val="24"/>
        </w:rPr>
        <w:t>3、项目</w:t>
      </w:r>
      <w:r>
        <w:rPr>
          <w:rFonts w:hint="eastAsia"/>
          <w:b/>
          <w:bCs/>
          <w:color w:val="auto"/>
          <w:sz w:val="24"/>
          <w:szCs w:val="24"/>
          <w:lang w:val="en-US" w:eastAsia="zh-CN"/>
        </w:rPr>
        <w:t>经理</w:t>
      </w:r>
      <w:r>
        <w:rPr>
          <w:rFonts w:hint="eastAsia"/>
          <w:b/>
          <w:bCs/>
          <w:color w:val="auto"/>
          <w:sz w:val="24"/>
          <w:szCs w:val="24"/>
        </w:rPr>
        <w:t>业绩及信用0-</w:t>
      </w:r>
      <w:r>
        <w:rPr>
          <w:rFonts w:hint="eastAsia"/>
          <w:b/>
          <w:bCs/>
          <w:color w:val="auto"/>
          <w:sz w:val="24"/>
          <w:szCs w:val="24"/>
          <w:lang w:val="en-US" w:eastAsia="zh-CN"/>
        </w:rPr>
        <w:t>4</w:t>
      </w:r>
      <w:r>
        <w:rPr>
          <w:rFonts w:hint="eastAsia"/>
          <w:b/>
          <w:bCs/>
          <w:color w:val="auto"/>
          <w:sz w:val="24"/>
          <w:szCs w:val="24"/>
        </w:rPr>
        <w:t>分</w:t>
      </w:r>
    </w:p>
    <w:p>
      <w:pPr>
        <w:spacing w:line="360" w:lineRule="auto"/>
        <w:ind w:firstLine="480" w:firstLineChars="200"/>
        <w:rPr>
          <w:rFonts w:hint="eastAsia" w:hAnsi="宋体"/>
          <w:b w:val="0"/>
          <w:bCs w:val="0"/>
          <w:color w:val="auto"/>
          <w:sz w:val="24"/>
          <w:szCs w:val="24"/>
          <w:lang w:eastAsia="zh-CN"/>
        </w:rPr>
      </w:pPr>
      <w:r>
        <w:rPr>
          <w:rFonts w:hint="eastAsia" w:hAnsi="宋体"/>
          <w:b w:val="0"/>
          <w:bCs w:val="0"/>
          <w:color w:val="auto"/>
          <w:sz w:val="24"/>
          <w:szCs w:val="24"/>
          <w:lang w:val="en-US" w:eastAsia="zh-CN"/>
        </w:rPr>
        <w:t>3.1</w:t>
      </w:r>
      <w:r>
        <w:rPr>
          <w:rFonts w:hint="eastAsia" w:hAnsi="宋体"/>
          <w:b w:val="0"/>
          <w:bCs w:val="0"/>
          <w:color w:val="auto"/>
          <w:sz w:val="24"/>
          <w:szCs w:val="24"/>
          <w:lang w:eastAsia="zh-CN"/>
        </w:rPr>
        <w:t>自201</w:t>
      </w:r>
      <w:r>
        <w:rPr>
          <w:rFonts w:hint="eastAsia" w:hAnsi="宋体"/>
          <w:b w:val="0"/>
          <w:bCs w:val="0"/>
          <w:color w:val="auto"/>
          <w:sz w:val="24"/>
          <w:szCs w:val="24"/>
          <w:lang w:val="en-US" w:eastAsia="zh-CN"/>
        </w:rPr>
        <w:t>6</w:t>
      </w:r>
      <w:r>
        <w:rPr>
          <w:rFonts w:hint="eastAsia" w:hAnsi="宋体"/>
          <w:b w:val="0"/>
          <w:bCs w:val="0"/>
          <w:color w:val="auto"/>
          <w:sz w:val="24"/>
          <w:szCs w:val="24"/>
          <w:lang w:eastAsia="zh-CN"/>
        </w:rPr>
        <w:t>年1月1日以来（以合同签订时间为准）：拟派项目经理具有类似项目业绩者得</w:t>
      </w:r>
      <w:r>
        <w:rPr>
          <w:rFonts w:hint="eastAsia" w:hAnsi="宋体"/>
          <w:b w:val="0"/>
          <w:bCs w:val="0"/>
          <w:color w:val="auto"/>
          <w:sz w:val="24"/>
          <w:szCs w:val="24"/>
          <w:lang w:val="en-US" w:eastAsia="zh-CN"/>
        </w:rPr>
        <w:t>2</w:t>
      </w:r>
      <w:r>
        <w:rPr>
          <w:rFonts w:hint="eastAsia" w:hAnsi="宋体"/>
          <w:b w:val="0"/>
          <w:bCs w:val="0"/>
          <w:color w:val="auto"/>
          <w:sz w:val="24"/>
          <w:szCs w:val="24"/>
          <w:lang w:eastAsia="zh-CN"/>
        </w:rPr>
        <w:t>分，最高得</w:t>
      </w:r>
      <w:r>
        <w:rPr>
          <w:rFonts w:hint="eastAsia" w:hAnsi="宋体"/>
          <w:b w:val="0"/>
          <w:bCs w:val="0"/>
          <w:color w:val="auto"/>
          <w:sz w:val="24"/>
          <w:szCs w:val="24"/>
          <w:lang w:val="en-US" w:eastAsia="zh-CN"/>
        </w:rPr>
        <w:t>2分</w:t>
      </w:r>
      <w:r>
        <w:rPr>
          <w:rFonts w:hint="eastAsia" w:hAnsi="宋体"/>
          <w:b w:val="0"/>
          <w:bCs w:val="0"/>
          <w:color w:val="auto"/>
          <w:sz w:val="24"/>
          <w:szCs w:val="24"/>
          <w:lang w:eastAsia="zh-CN"/>
        </w:rPr>
        <w:t>（</w:t>
      </w:r>
      <w:r>
        <w:rPr>
          <w:rFonts w:hint="eastAsia" w:hAnsi="宋体"/>
          <w:b w:val="0"/>
          <w:bCs w:val="0"/>
          <w:color w:val="auto"/>
          <w:sz w:val="24"/>
          <w:szCs w:val="24"/>
          <w:lang w:val="en-US" w:eastAsia="zh-CN"/>
        </w:rPr>
        <w:t>提供施工合同和竣工验收备案表或者施工合同和中标通知书，若上述资料不显示项目经理姓名，还须同时提供相关证明文件</w:t>
      </w:r>
      <w:r>
        <w:rPr>
          <w:rFonts w:hint="eastAsia" w:hAnsi="宋体"/>
          <w:b w:val="0"/>
          <w:bCs w:val="0"/>
          <w:color w:val="auto"/>
          <w:sz w:val="24"/>
          <w:szCs w:val="24"/>
          <w:lang w:eastAsia="zh-CN"/>
        </w:rPr>
        <w:t>）。</w:t>
      </w:r>
    </w:p>
    <w:p>
      <w:pPr>
        <w:spacing w:line="360" w:lineRule="auto"/>
        <w:ind w:firstLine="480" w:firstLineChars="200"/>
        <w:rPr>
          <w:rFonts w:hint="eastAsia" w:hAnsi="宋体"/>
          <w:b w:val="0"/>
          <w:bCs w:val="0"/>
          <w:color w:val="auto"/>
          <w:sz w:val="24"/>
          <w:szCs w:val="24"/>
          <w:lang w:val="en-US"/>
        </w:rPr>
      </w:pPr>
      <w:r>
        <w:rPr>
          <w:rFonts w:hint="eastAsia" w:hAnsi="宋体"/>
          <w:b w:val="0"/>
          <w:bCs w:val="0"/>
          <w:color w:val="auto"/>
          <w:sz w:val="24"/>
          <w:szCs w:val="24"/>
          <w:lang w:val="en-US" w:eastAsia="zh-CN"/>
        </w:rPr>
        <w:t>3.2项目经理具有中级及以上职称的得2分，最高得2分。（以证书为准）</w:t>
      </w:r>
    </w:p>
    <w:p>
      <w:pPr>
        <w:snapToGrid w:val="0"/>
        <w:spacing w:line="384" w:lineRule="auto"/>
        <w:ind w:firstLine="480" w:firstLineChars="200"/>
        <w:rPr>
          <w:rFonts w:cs="宋体"/>
          <w:b/>
          <w:bCs/>
          <w:color w:val="FF0000"/>
          <w:sz w:val="24"/>
          <w:szCs w:val="24"/>
        </w:rPr>
      </w:pPr>
      <w:r>
        <w:rPr>
          <w:rFonts w:hint="eastAsia"/>
          <w:b/>
          <w:bCs/>
          <w:color w:val="auto"/>
          <w:sz w:val="24"/>
          <w:szCs w:val="24"/>
        </w:rPr>
        <w:t>4、</w:t>
      </w:r>
      <w:r>
        <w:rPr>
          <w:rFonts w:hint="eastAsia" w:cs="宋体"/>
          <w:b/>
          <w:bCs/>
          <w:color w:val="auto"/>
          <w:sz w:val="24"/>
          <w:szCs w:val="24"/>
        </w:rPr>
        <w:t>服务承诺（含不拖欠农民工工资承诺、扬尘治理等内容）0-</w:t>
      </w:r>
      <w:r>
        <w:rPr>
          <w:rFonts w:hint="eastAsia" w:cs="宋体"/>
          <w:b/>
          <w:bCs/>
          <w:color w:val="auto"/>
          <w:sz w:val="24"/>
          <w:szCs w:val="24"/>
          <w:lang w:val="en-US" w:eastAsia="zh-CN"/>
        </w:rPr>
        <w:t>5</w:t>
      </w:r>
      <w:r>
        <w:rPr>
          <w:rFonts w:hint="eastAsia" w:cs="宋体"/>
          <w:b/>
          <w:bCs/>
          <w:color w:val="auto"/>
          <w:sz w:val="24"/>
          <w:szCs w:val="24"/>
        </w:rPr>
        <w:t>分</w:t>
      </w:r>
    </w:p>
    <w:p>
      <w:pPr>
        <w:snapToGrid w:val="0"/>
        <w:spacing w:line="384" w:lineRule="auto"/>
        <w:ind w:firstLine="480" w:firstLineChars="200"/>
        <w:rPr>
          <w:rFonts w:hAnsi="宋体"/>
          <w:sz w:val="24"/>
        </w:rPr>
      </w:pPr>
      <w:r>
        <w:rPr>
          <w:rFonts w:hint="eastAsia" w:cs="宋体"/>
          <w:color w:val="auto"/>
          <w:sz w:val="24"/>
          <w:szCs w:val="24"/>
        </w:rPr>
        <w:t>投标人针对不拖欠农民工工资承诺；扬尘治理；提高工程质量做出承诺；保证</w:t>
      </w:r>
      <w:r>
        <w:rPr>
          <w:rFonts w:hint="eastAsia" w:cs="宋体"/>
          <w:sz w:val="24"/>
          <w:szCs w:val="24"/>
        </w:rPr>
        <w:t>工期做出承诺；投标人针对招标项目的特点和要求，结合自身条件和潜力做出优惠和服务承诺。由评委根据投标文件表述的具体内容酌情打分。</w:t>
      </w:r>
      <w:r>
        <w:rPr>
          <w:rFonts w:hint="eastAsia" w:hAnsi="宋体"/>
          <w:sz w:val="24"/>
        </w:rPr>
        <w:t> </w:t>
      </w:r>
    </w:p>
    <w:p>
      <w:pPr>
        <w:snapToGrid w:val="0"/>
        <w:spacing w:line="420" w:lineRule="exact"/>
        <w:ind w:firstLine="480" w:firstLineChars="200"/>
        <w:rPr>
          <w:rFonts w:hAnsi="宋体" w:cs="宋体"/>
          <w:b/>
          <w:bCs/>
          <w:color w:val="000000"/>
          <w:sz w:val="24"/>
          <w:szCs w:val="22"/>
        </w:rPr>
      </w:pPr>
      <w:r>
        <w:rPr>
          <w:rFonts w:hint="eastAsia" w:hAnsi="宋体" w:cs="宋体"/>
          <w:b/>
          <w:bCs/>
          <w:color w:val="000000"/>
          <w:sz w:val="24"/>
        </w:rPr>
        <w:t>注：</w:t>
      </w:r>
      <w:r>
        <w:rPr>
          <w:rFonts w:hint="eastAsia" w:hAnsi="宋体" w:cs="宋体"/>
          <w:b/>
          <w:bCs/>
          <w:color w:val="000000"/>
          <w:sz w:val="24"/>
          <w:szCs w:val="22"/>
        </w:rPr>
        <w:t>1）近年年份要求：201</w:t>
      </w:r>
      <w:r>
        <w:rPr>
          <w:rFonts w:hint="eastAsia" w:hAnsi="宋体" w:cs="宋体"/>
          <w:b/>
          <w:bCs/>
          <w:color w:val="000000"/>
          <w:sz w:val="24"/>
          <w:szCs w:val="22"/>
          <w:lang w:val="en-US" w:eastAsia="zh-CN"/>
        </w:rPr>
        <w:t>6</w:t>
      </w:r>
      <w:r>
        <w:rPr>
          <w:rFonts w:hint="eastAsia" w:hAnsi="宋体" w:cs="宋体"/>
          <w:b/>
          <w:bCs/>
          <w:color w:val="000000"/>
          <w:sz w:val="24"/>
          <w:szCs w:val="22"/>
        </w:rPr>
        <w:t>年1月1日以来；</w:t>
      </w:r>
    </w:p>
    <w:p>
      <w:pPr>
        <w:snapToGrid w:val="0"/>
        <w:spacing w:line="420" w:lineRule="exact"/>
        <w:ind w:firstLine="960" w:firstLineChars="400"/>
        <w:rPr>
          <w:rFonts w:hAnsi="宋体" w:cs="宋体"/>
          <w:b/>
          <w:bCs/>
          <w:color w:val="auto"/>
          <w:sz w:val="24"/>
          <w:szCs w:val="22"/>
        </w:rPr>
      </w:pPr>
      <w:r>
        <w:rPr>
          <w:rFonts w:hint="eastAsia" w:hAnsi="宋体" w:cs="宋体"/>
          <w:b/>
          <w:bCs/>
          <w:color w:val="auto"/>
          <w:sz w:val="24"/>
          <w:szCs w:val="22"/>
        </w:rPr>
        <w:t>2）类似工程：指201</w:t>
      </w:r>
      <w:r>
        <w:rPr>
          <w:rFonts w:hint="eastAsia" w:hAnsi="宋体" w:cs="宋体"/>
          <w:b/>
          <w:bCs/>
          <w:color w:val="auto"/>
          <w:sz w:val="24"/>
          <w:szCs w:val="22"/>
          <w:lang w:val="en-US" w:eastAsia="zh-CN"/>
        </w:rPr>
        <w:t>6</w:t>
      </w:r>
      <w:r>
        <w:rPr>
          <w:rFonts w:hint="eastAsia" w:hAnsi="宋体" w:cs="宋体"/>
          <w:b/>
          <w:bCs/>
          <w:color w:val="auto"/>
          <w:sz w:val="24"/>
          <w:szCs w:val="22"/>
        </w:rPr>
        <w:t>年1月1日以来承建的</w:t>
      </w:r>
      <w:r>
        <w:rPr>
          <w:rFonts w:hint="eastAsia" w:hAnsi="宋体" w:cs="宋体"/>
          <w:b/>
          <w:bCs/>
          <w:color w:val="auto"/>
          <w:sz w:val="24"/>
          <w:szCs w:val="22"/>
          <w:lang w:eastAsia="zh-CN"/>
        </w:rPr>
        <w:t>类似市政工程</w:t>
      </w:r>
      <w:r>
        <w:rPr>
          <w:rFonts w:hint="eastAsia" w:hAnsi="宋体" w:cs="宋体"/>
          <w:b/>
          <w:bCs/>
          <w:color w:val="auto"/>
          <w:sz w:val="24"/>
          <w:szCs w:val="22"/>
        </w:rPr>
        <w:t>；</w:t>
      </w:r>
    </w:p>
    <w:p>
      <w:pPr>
        <w:snapToGrid w:val="0"/>
        <w:spacing w:line="420" w:lineRule="exact"/>
        <w:ind w:firstLine="960" w:firstLineChars="400"/>
        <w:rPr>
          <w:rFonts w:hAnsi="宋体" w:cs="宋体"/>
          <w:b/>
          <w:bCs/>
          <w:color w:val="000000"/>
          <w:sz w:val="24"/>
          <w:szCs w:val="22"/>
        </w:rPr>
      </w:pPr>
      <w:r>
        <w:rPr>
          <w:rFonts w:hint="eastAsia" w:hAnsi="宋体" w:cs="宋体"/>
          <w:b/>
          <w:bCs/>
          <w:color w:val="000000"/>
          <w:sz w:val="24"/>
          <w:szCs w:val="22"/>
        </w:rPr>
        <w:t>3）业绩合同以合同签订日期为准；</w:t>
      </w:r>
    </w:p>
    <w:p>
      <w:pPr>
        <w:snapToGrid w:val="0"/>
        <w:spacing w:line="420" w:lineRule="exact"/>
        <w:ind w:firstLine="240" w:firstLineChars="100"/>
        <w:rPr>
          <w:rFonts w:hAnsi="宋体" w:cs="宋体"/>
          <w:b/>
          <w:bCs/>
          <w:color w:val="000000"/>
          <w:sz w:val="24"/>
          <w:szCs w:val="22"/>
        </w:rPr>
      </w:pPr>
      <w:r>
        <w:rPr>
          <w:rFonts w:hint="eastAsia" w:hAnsi="宋体" w:cs="宋体"/>
          <w:b/>
          <w:bCs/>
          <w:color w:val="000000"/>
          <w:sz w:val="24"/>
          <w:szCs w:val="22"/>
        </w:rPr>
        <w:t>（五）投标人综合得分按下列公式计算：</w:t>
      </w:r>
    </w:p>
    <w:p>
      <w:pPr>
        <w:snapToGrid w:val="0"/>
        <w:spacing w:line="420" w:lineRule="exact"/>
        <w:ind w:firstLine="960" w:firstLineChars="400"/>
        <w:rPr>
          <w:rFonts w:hAnsi="宋体" w:cs="宋体"/>
          <w:b/>
          <w:bCs/>
          <w:color w:val="000000"/>
          <w:sz w:val="24"/>
          <w:szCs w:val="22"/>
        </w:rPr>
      </w:pPr>
      <w:r>
        <w:rPr>
          <w:rFonts w:hint="eastAsia" w:hAnsi="宋体" w:cs="宋体"/>
          <w:sz w:val="24"/>
          <w:szCs w:val="24"/>
        </w:rPr>
        <w:t>投标人综合得分＝技术标得分＋商务标得分＋综合（信用）标得分。</w:t>
      </w:r>
    </w:p>
    <w:p>
      <w:pPr>
        <w:snapToGrid w:val="0"/>
        <w:spacing w:line="420" w:lineRule="exact"/>
        <w:ind w:firstLine="240" w:firstLineChars="100"/>
        <w:rPr>
          <w:rFonts w:hAnsi="宋体" w:cs="宋体"/>
          <w:b/>
          <w:bCs/>
          <w:color w:val="000000"/>
          <w:sz w:val="24"/>
          <w:szCs w:val="22"/>
        </w:rPr>
      </w:pPr>
      <w:r>
        <w:rPr>
          <w:rFonts w:hint="eastAsia" w:hAnsi="宋体" w:cs="宋体"/>
          <w:b/>
          <w:bCs/>
          <w:color w:val="000000"/>
          <w:sz w:val="24"/>
          <w:szCs w:val="22"/>
        </w:rPr>
        <w:t>（六）投标人的最终得分及中标候选人排序</w:t>
      </w:r>
    </w:p>
    <w:p>
      <w:pPr>
        <w:adjustRightInd w:val="0"/>
        <w:snapToGrid w:val="0"/>
        <w:spacing w:line="440" w:lineRule="exact"/>
        <w:ind w:firstLine="480"/>
        <w:rPr>
          <w:rFonts w:hint="eastAsia" w:hAnsi="宋体" w:cs="宋体"/>
          <w:sz w:val="24"/>
          <w:szCs w:val="24"/>
        </w:rPr>
      </w:pPr>
      <w:r>
        <w:rPr>
          <w:rFonts w:hint="eastAsia" w:hAnsi="宋体" w:cs="宋体"/>
          <w:sz w:val="24"/>
          <w:szCs w:val="24"/>
        </w:rPr>
        <w:t>1.评标委员会完成对技术标、商务标和综合（信用）标的汇总后，从中去掉一个最高分和一个最低分，取平均值作为该投标人的最终得分。计算分值均保留两位小数。</w:t>
      </w:r>
    </w:p>
    <w:p>
      <w:pPr>
        <w:adjustRightInd w:val="0"/>
        <w:snapToGrid w:val="0"/>
        <w:spacing w:line="440" w:lineRule="exact"/>
        <w:ind w:firstLine="480"/>
        <w:rPr>
          <w:rFonts w:hAnsi="宋体" w:cs="宋体"/>
          <w:sz w:val="24"/>
          <w:szCs w:val="24"/>
        </w:rPr>
      </w:pPr>
      <w:r>
        <w:rPr>
          <w:rFonts w:hint="eastAsia" w:hAnsi="宋体" w:cs="宋体"/>
          <w:sz w:val="24"/>
          <w:szCs w:val="24"/>
        </w:rPr>
        <w:t>评标委员会人数在5人以上时，去掉一个最高分和一个最低分取平均值；评标委员会人数在5人时，取所有评委评分的平均值。</w:t>
      </w:r>
    </w:p>
    <w:p>
      <w:pPr>
        <w:adjustRightInd w:val="0"/>
        <w:snapToGrid w:val="0"/>
        <w:spacing w:line="440" w:lineRule="exact"/>
        <w:ind w:firstLine="480"/>
        <w:rPr>
          <w:rFonts w:cs="宋体"/>
          <w:sz w:val="24"/>
          <w:szCs w:val="24"/>
        </w:rPr>
      </w:pPr>
      <w:r>
        <w:rPr>
          <w:rFonts w:hint="eastAsia" w:hAnsi="宋体" w:cs="宋体"/>
          <w:sz w:val="24"/>
          <w:szCs w:val="24"/>
        </w:rPr>
        <w:t>2.评标委员会按照投标人的得分，由高到低排序，向招标人推荐1-3名中标候选人。当得分相等时，依次以商务标、综合（信用）标、技术标得分高低进行排序；若三项得分均相等时，可以通过公开随机抽取方式确定中标候选人的排序。</w:t>
      </w:r>
    </w:p>
    <w:p>
      <w:pPr>
        <w:snapToGrid w:val="0"/>
        <w:spacing w:line="360" w:lineRule="auto"/>
        <w:ind w:firstLine="480" w:firstLineChars="200"/>
        <w:rPr>
          <w:rFonts w:ascii="新宋体" w:eastAsia="新宋体" w:cs="宋体"/>
          <w:b/>
          <w:sz w:val="24"/>
        </w:rPr>
      </w:pPr>
      <w:r>
        <w:rPr>
          <w:rFonts w:hint="eastAsia" w:ascii="新宋体" w:eastAsia="新宋体"/>
          <w:b/>
          <w:sz w:val="24"/>
        </w:rPr>
        <w:t>国有资金投资的建设工程依法必须进行招标的项目，评标委员会按规定否决不合格投标后，有效投标人只剩一家且投标报价为所有投标人报价中最高的，投标明显缺乏竞争的，评标委员会应当否决全部投标。</w:t>
      </w:r>
    </w:p>
    <w:p>
      <w:pPr>
        <w:snapToGrid w:val="0"/>
        <w:spacing w:line="360" w:lineRule="auto"/>
        <w:ind w:firstLine="480" w:firstLineChars="200"/>
        <w:rPr>
          <w:rFonts w:ascii="新宋体" w:eastAsia="新宋体" w:cs="宋体"/>
          <w:b/>
          <w:sz w:val="24"/>
        </w:rPr>
      </w:pPr>
      <w:r>
        <w:rPr>
          <w:rFonts w:hint="eastAsia" w:ascii="新宋体" w:eastAsia="新宋体" w:cs="宋体"/>
          <w:b/>
          <w:sz w:val="24"/>
        </w:rPr>
        <w:t>八、定标</w:t>
      </w:r>
    </w:p>
    <w:p>
      <w:pPr>
        <w:snapToGrid w:val="0"/>
        <w:spacing w:line="360" w:lineRule="auto"/>
        <w:ind w:firstLine="480" w:firstLineChars="200"/>
        <w:rPr>
          <w:rFonts w:ascii="新宋体" w:eastAsia="新宋体"/>
          <w:b/>
          <w:sz w:val="24"/>
        </w:rPr>
      </w:pPr>
      <w:r>
        <w:rPr>
          <w:rFonts w:hint="eastAsia" w:ascii="新宋体" w:eastAsia="新宋体"/>
          <w:sz w:val="24"/>
        </w:rPr>
        <w:t>国有资金占控股或者主导地位的依法必须进行招标的项目，招标人应当确定排名第一的中标候选人为中标人。排名第一的中标候选人放弃中标、因不可抗力不能履行合同，或者被查实存在影响中标结果的违法行为等情形，不符合中标条件的，招标人可以按照评标委员会提出的中标候选人名单排序依次确定其他中标候选人为中标人，也可以重新招标。</w:t>
      </w:r>
    </w:p>
    <w:p>
      <w:pPr>
        <w:pStyle w:val="66"/>
        <w:keepNext w:val="0"/>
        <w:keepLines w:val="0"/>
        <w:snapToGrid w:val="0"/>
        <w:spacing w:line="360" w:lineRule="auto"/>
        <w:ind w:firstLine="480" w:firstLineChars="200"/>
        <w:outlineLvl w:val="9"/>
        <w:rPr>
          <w:rFonts w:ascii="新宋体" w:eastAsia="新宋体"/>
          <w:b/>
          <w:szCs w:val="24"/>
        </w:rPr>
      </w:pPr>
      <w:bookmarkStart w:id="76" w:name="_Toc23277"/>
      <w:r>
        <w:rPr>
          <w:rFonts w:hint="eastAsia" w:ascii="新宋体" w:eastAsia="新宋体"/>
          <w:b/>
          <w:szCs w:val="24"/>
        </w:rPr>
        <w:t>九、评标报告</w:t>
      </w:r>
      <w:bookmarkEnd w:id="76"/>
    </w:p>
    <w:p>
      <w:pPr>
        <w:snapToGrid w:val="0"/>
        <w:spacing w:line="360" w:lineRule="auto"/>
        <w:ind w:firstLine="480" w:firstLineChars="200"/>
        <w:rPr>
          <w:rFonts w:ascii="新宋体" w:eastAsia="新宋体"/>
          <w:sz w:val="24"/>
        </w:rPr>
      </w:pPr>
      <w:r>
        <w:rPr>
          <w:rFonts w:hint="eastAsia" w:ascii="新宋体" w:eastAsia="新宋体"/>
          <w:sz w:val="24"/>
        </w:rPr>
        <w:t>评标委员会根据投标人须知前附表7.1条的规定向招标人提交评标报告。评标报告应当由全体评标委员会成员签字，并于评标结束时抄送有关行政监督部门。</w:t>
      </w:r>
    </w:p>
    <w:p>
      <w:pPr>
        <w:pStyle w:val="66"/>
        <w:keepNext w:val="0"/>
        <w:keepLines w:val="0"/>
        <w:snapToGrid w:val="0"/>
        <w:spacing w:line="360" w:lineRule="auto"/>
        <w:ind w:firstLine="480" w:firstLineChars="200"/>
        <w:outlineLvl w:val="9"/>
        <w:rPr>
          <w:rFonts w:ascii="新宋体" w:eastAsia="新宋体"/>
          <w:b/>
          <w:szCs w:val="24"/>
        </w:rPr>
      </w:pPr>
      <w:bookmarkStart w:id="77" w:name="_Toc8686"/>
      <w:r>
        <w:rPr>
          <w:rFonts w:hint="eastAsia" w:ascii="新宋体" w:eastAsia="新宋体"/>
          <w:b/>
        </w:rPr>
        <w:t>十、</w:t>
      </w:r>
      <w:r>
        <w:rPr>
          <w:rFonts w:hint="eastAsia" w:ascii="新宋体" w:eastAsia="新宋体"/>
          <w:b/>
          <w:szCs w:val="24"/>
        </w:rPr>
        <w:t>公示</w:t>
      </w:r>
      <w:bookmarkEnd w:id="77"/>
    </w:p>
    <w:p>
      <w:pPr>
        <w:snapToGrid w:val="0"/>
        <w:spacing w:line="360" w:lineRule="auto"/>
        <w:ind w:firstLine="480" w:firstLineChars="200"/>
        <w:rPr>
          <w:rFonts w:ascii="新宋体" w:eastAsia="新宋体"/>
          <w:sz w:val="24"/>
        </w:rPr>
      </w:pPr>
      <w:r>
        <w:rPr>
          <w:rFonts w:hint="eastAsia" w:ascii="新宋体" w:eastAsia="新宋体"/>
          <w:sz w:val="24"/>
        </w:rPr>
        <w:t>中标人确定后，招标人应当在《全国公共资源交易平台(河南省▪许昌市)》、《河南省电子招标投标公共服务平台》上进行公示，公示时间不少于3日。公示期满后，招标人应当将招标投标情况书面报告提交招标投标管理部门备案，向中标人发出中标通知书，并向所有合格投标人告知中标结果。</w:t>
      </w:r>
    </w:p>
    <w:p>
      <w:pPr>
        <w:snapToGrid w:val="0"/>
        <w:spacing w:line="360" w:lineRule="auto"/>
        <w:ind w:firstLine="480" w:firstLineChars="200"/>
        <w:rPr>
          <w:rFonts w:ascii="新宋体" w:eastAsia="新宋体"/>
          <w:b/>
          <w:sz w:val="24"/>
        </w:rPr>
      </w:pPr>
      <w:r>
        <w:rPr>
          <w:rFonts w:hint="eastAsia" w:ascii="新宋体" w:eastAsia="新宋体"/>
          <w:b/>
          <w:sz w:val="24"/>
        </w:rPr>
        <w:t>十一、特殊情况的处置程序</w:t>
      </w:r>
    </w:p>
    <w:p>
      <w:pPr>
        <w:snapToGrid w:val="0"/>
        <w:spacing w:line="360" w:lineRule="auto"/>
        <w:ind w:firstLine="480" w:firstLineChars="200"/>
        <w:rPr>
          <w:rFonts w:ascii="新宋体" w:eastAsia="新宋体"/>
          <w:b/>
          <w:sz w:val="24"/>
        </w:rPr>
      </w:pPr>
      <w:r>
        <w:rPr>
          <w:rFonts w:hint="eastAsia" w:ascii="新宋体" w:eastAsia="新宋体"/>
          <w:b/>
          <w:sz w:val="24"/>
        </w:rPr>
        <w:t>11.1关于澄清、说明或补正</w:t>
      </w:r>
    </w:p>
    <w:p>
      <w:pPr>
        <w:snapToGrid w:val="0"/>
        <w:spacing w:line="360" w:lineRule="auto"/>
        <w:ind w:firstLine="480" w:firstLineChars="200"/>
        <w:rPr>
          <w:rFonts w:ascii="新宋体" w:eastAsia="新宋体"/>
          <w:sz w:val="24"/>
        </w:rPr>
      </w:pPr>
      <w:r>
        <w:rPr>
          <w:rFonts w:hint="eastAsia" w:ascii="新宋体" w:eastAsia="新宋体"/>
          <w:sz w:val="24"/>
        </w:rPr>
        <w:t>在评审过程中评标委员会可以书面方式要求投标人对投标文件中含义不明确、对同类问题表述不一致或者有明显文字和计算错误的内容作必要的澄清、说明或补正。澄清、说明或补正应以书面方式进行并不得超出投标文件的范围或者改变投标文件内容。（澄清、说明或补正格式详见本章附表二、三）</w:t>
      </w:r>
    </w:p>
    <w:p>
      <w:pPr>
        <w:snapToGrid w:val="0"/>
        <w:spacing w:line="360" w:lineRule="auto"/>
        <w:ind w:firstLine="480" w:firstLineChars="200"/>
        <w:rPr>
          <w:rFonts w:ascii="新宋体" w:eastAsia="新宋体"/>
          <w:b/>
          <w:sz w:val="24"/>
        </w:rPr>
      </w:pPr>
      <w:r>
        <w:rPr>
          <w:rFonts w:hint="eastAsia" w:ascii="新宋体" w:eastAsia="新宋体"/>
          <w:b/>
          <w:sz w:val="24"/>
        </w:rPr>
        <w:t>11.2关于评标活动暂停</w:t>
      </w:r>
    </w:p>
    <w:p>
      <w:pPr>
        <w:snapToGrid w:val="0"/>
        <w:spacing w:line="360" w:lineRule="auto"/>
        <w:ind w:firstLine="480" w:firstLineChars="200"/>
        <w:rPr>
          <w:rFonts w:ascii="新宋体" w:eastAsia="新宋体"/>
          <w:sz w:val="24"/>
        </w:rPr>
      </w:pPr>
      <w:r>
        <w:rPr>
          <w:rFonts w:hint="eastAsia" w:ascii="新宋体" w:eastAsia="新宋体"/>
          <w:sz w:val="24"/>
        </w:rPr>
        <w:t>11.2.1评标委员会应当执行连续评标的原则，按评标办法中规定的程序、内容、方法、标准完成全部评标工作。只有发生不可抗力导致评标工作无法继续时，评标活动方可暂停。</w:t>
      </w:r>
    </w:p>
    <w:p>
      <w:pPr>
        <w:snapToGrid w:val="0"/>
        <w:spacing w:line="360" w:lineRule="auto"/>
        <w:ind w:firstLine="480" w:firstLineChars="200"/>
        <w:rPr>
          <w:rFonts w:ascii="新宋体" w:eastAsia="新宋体"/>
          <w:sz w:val="24"/>
        </w:rPr>
      </w:pPr>
      <w:r>
        <w:rPr>
          <w:rFonts w:hint="eastAsia" w:ascii="新宋体" w:eastAsia="新宋体"/>
          <w:sz w:val="24"/>
        </w:rPr>
        <w:t>11.2.2发生评标暂停情况时，评标委员会应当封存全部投标文件和评标记录，待不可抗力的影响结束且具备继续评标的条件时，由原评标委员会继续评标。</w:t>
      </w:r>
    </w:p>
    <w:p>
      <w:pPr>
        <w:snapToGrid w:val="0"/>
        <w:spacing w:line="360" w:lineRule="auto"/>
        <w:ind w:firstLine="480" w:firstLineChars="200"/>
        <w:rPr>
          <w:rFonts w:ascii="新宋体" w:eastAsia="新宋体"/>
          <w:b/>
          <w:sz w:val="24"/>
        </w:rPr>
      </w:pPr>
      <w:r>
        <w:rPr>
          <w:rFonts w:hint="eastAsia" w:ascii="新宋体" w:eastAsia="新宋体"/>
          <w:b/>
          <w:sz w:val="24"/>
        </w:rPr>
        <w:t>11.3关于评标中途更换评标委员会成员</w:t>
      </w:r>
    </w:p>
    <w:p>
      <w:pPr>
        <w:snapToGrid w:val="0"/>
        <w:spacing w:line="360" w:lineRule="auto"/>
        <w:ind w:firstLine="480" w:firstLineChars="200"/>
        <w:rPr>
          <w:rFonts w:ascii="新宋体" w:eastAsia="新宋体"/>
          <w:sz w:val="24"/>
        </w:rPr>
      </w:pPr>
      <w:r>
        <w:rPr>
          <w:rFonts w:hint="eastAsia" w:ascii="新宋体" w:eastAsia="新宋体"/>
          <w:sz w:val="24"/>
        </w:rPr>
        <w:t>11.3.1除非发生下列情况之一，评标委员会成员不得在评标中途更换：</w:t>
      </w:r>
    </w:p>
    <w:p>
      <w:pPr>
        <w:snapToGrid w:val="0"/>
        <w:spacing w:line="360" w:lineRule="auto"/>
        <w:ind w:firstLine="480" w:firstLineChars="200"/>
        <w:rPr>
          <w:rFonts w:ascii="新宋体" w:eastAsia="新宋体"/>
          <w:sz w:val="24"/>
        </w:rPr>
      </w:pPr>
      <w:r>
        <w:rPr>
          <w:rFonts w:hint="eastAsia" w:ascii="新宋体" w:eastAsia="新宋体"/>
          <w:sz w:val="24"/>
        </w:rPr>
        <w:t>（1）因不可抗拒的客观原因，不能到场或需在评标中途退出评标活动。</w:t>
      </w:r>
    </w:p>
    <w:p>
      <w:pPr>
        <w:snapToGrid w:val="0"/>
        <w:spacing w:line="360" w:lineRule="auto"/>
        <w:ind w:firstLine="480" w:firstLineChars="200"/>
        <w:rPr>
          <w:rFonts w:ascii="新宋体" w:eastAsia="新宋体"/>
          <w:sz w:val="24"/>
        </w:rPr>
      </w:pPr>
      <w:r>
        <w:rPr>
          <w:rFonts w:hint="eastAsia" w:ascii="新宋体" w:eastAsia="新宋体"/>
          <w:sz w:val="24"/>
        </w:rPr>
        <w:t>（2）根据法律法规规定，某个或某几个评标委员会成员需要回避。</w:t>
      </w:r>
    </w:p>
    <w:p>
      <w:pPr>
        <w:snapToGrid w:val="0"/>
        <w:spacing w:line="360" w:lineRule="auto"/>
        <w:ind w:firstLine="480" w:firstLineChars="200"/>
        <w:rPr>
          <w:rFonts w:ascii="新宋体" w:eastAsia="新宋体"/>
          <w:sz w:val="24"/>
        </w:rPr>
      </w:pPr>
      <w:r>
        <w:rPr>
          <w:rFonts w:hint="eastAsia" w:ascii="新宋体" w:eastAsia="新宋体"/>
          <w:sz w:val="24"/>
        </w:rPr>
        <w:t>11.3.2退出评标的评标委员会成员，其已完成的评标行为无效。由招标人根据本招标文件规定的评标委员会成员产生方式另行确定替代者进行评标。</w:t>
      </w:r>
    </w:p>
    <w:p>
      <w:pPr>
        <w:snapToGrid w:val="0"/>
        <w:spacing w:line="360" w:lineRule="auto"/>
        <w:ind w:firstLine="480" w:firstLineChars="200"/>
        <w:rPr>
          <w:rFonts w:ascii="新宋体" w:eastAsia="新宋体"/>
          <w:b/>
          <w:sz w:val="24"/>
        </w:rPr>
      </w:pPr>
      <w:r>
        <w:rPr>
          <w:rFonts w:hint="eastAsia" w:ascii="新宋体" w:eastAsia="新宋体"/>
          <w:b/>
          <w:sz w:val="24"/>
        </w:rPr>
        <w:t>11.4记名投票</w:t>
      </w:r>
    </w:p>
    <w:p>
      <w:pPr>
        <w:snapToGrid w:val="0"/>
        <w:spacing w:line="360" w:lineRule="auto"/>
        <w:ind w:firstLine="480" w:firstLineChars="200"/>
        <w:rPr>
          <w:rFonts w:ascii="新宋体" w:eastAsia="新宋体"/>
          <w:sz w:val="24"/>
        </w:rPr>
      </w:pPr>
      <w:r>
        <w:rPr>
          <w:rFonts w:hint="eastAsia" w:ascii="新宋体" w:eastAsia="新宋体"/>
          <w:sz w:val="24"/>
        </w:rPr>
        <w:t>在任何评标环节中，需评标委员会就某项定性的评审结论做出表决的，由评标委员会全体成员按照少数服从多数的原则，以记名投票方式表决。</w:t>
      </w:r>
    </w:p>
    <w:p>
      <w:pPr>
        <w:snapToGrid w:val="0"/>
        <w:spacing w:line="360" w:lineRule="auto"/>
        <w:ind w:firstLine="480" w:firstLineChars="200"/>
        <w:rPr>
          <w:b/>
          <w:sz w:val="24"/>
        </w:rPr>
      </w:pPr>
      <w:r>
        <w:rPr>
          <w:rFonts w:hint="eastAsia"/>
          <w:b/>
          <w:sz w:val="24"/>
        </w:rPr>
        <w:t>11.5评标委员会对评标结果有异议的</w:t>
      </w:r>
    </w:p>
    <w:p>
      <w:pPr>
        <w:snapToGrid w:val="0"/>
        <w:spacing w:line="360" w:lineRule="auto"/>
        <w:ind w:firstLine="468" w:firstLineChars="200"/>
        <w:jc w:val="left"/>
        <w:rPr>
          <w:rFonts w:hAnsi="宋体" w:cs="黑体"/>
          <w:b/>
          <w:sz w:val="36"/>
          <w:szCs w:val="36"/>
        </w:rPr>
      </w:pPr>
      <w:r>
        <w:rPr>
          <w:rFonts w:hint="eastAsia"/>
          <w:spacing w:val="-3"/>
          <w:sz w:val="24"/>
        </w:rPr>
        <w:t>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pPr>
        <w:snapToGrid w:val="0"/>
        <w:spacing w:line="400" w:lineRule="exact"/>
        <w:rPr>
          <w:rFonts w:ascii="方正小标宋简体" w:hAnsi="黑体" w:eastAsia="方正小标宋简体"/>
          <w:b/>
          <w:bCs/>
          <w:sz w:val="32"/>
          <w:szCs w:val="32"/>
        </w:rPr>
      </w:pPr>
    </w:p>
    <w:p>
      <w:pPr>
        <w:pStyle w:val="2"/>
        <w:ind w:firstLine="0" w:firstLineChars="0"/>
        <w:rPr>
          <w:rFonts w:ascii="方正小标宋简体" w:hAnsi="黑体" w:eastAsia="方正小标宋简体"/>
          <w:b/>
          <w:bCs/>
          <w:sz w:val="32"/>
          <w:szCs w:val="32"/>
        </w:rPr>
      </w:pPr>
    </w:p>
    <w:p>
      <w:pPr>
        <w:snapToGrid w:val="0"/>
        <w:spacing w:line="400" w:lineRule="exact"/>
        <w:rPr>
          <w:rFonts w:hint="eastAsia" w:ascii="方正小标宋简体" w:hAnsi="黑体" w:eastAsia="方正小标宋简体"/>
          <w:b/>
          <w:bCs/>
          <w:sz w:val="32"/>
          <w:szCs w:val="32"/>
        </w:rPr>
      </w:pPr>
    </w:p>
    <w:p>
      <w:pPr>
        <w:snapToGrid w:val="0"/>
        <w:spacing w:line="400" w:lineRule="exact"/>
        <w:rPr>
          <w:rFonts w:ascii="方正小标宋简体" w:hAnsi="黑体" w:eastAsia="方正小标宋简体"/>
          <w:b/>
          <w:bCs/>
          <w:sz w:val="32"/>
          <w:szCs w:val="32"/>
        </w:rPr>
      </w:pPr>
      <w:r>
        <w:rPr>
          <w:rFonts w:hint="eastAsia" w:ascii="方正小标宋简体" w:hAnsi="黑体" w:eastAsia="方正小标宋简体"/>
          <w:b/>
          <w:bCs/>
          <w:sz w:val="32"/>
          <w:szCs w:val="32"/>
        </w:rPr>
        <w:t>附表一：投标保证金</w:t>
      </w:r>
    </w:p>
    <w:tbl>
      <w:tblPr>
        <w:tblStyle w:val="29"/>
        <w:tblpPr w:leftFromText="180" w:rightFromText="180" w:vertAnchor="text" w:horzAnchor="margin" w:tblpXSpec="center" w:tblpY="552"/>
        <w:tblW w:w="95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0"/>
        <w:gridCol w:w="7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3" w:hRule="exact"/>
        </w:trPr>
        <w:tc>
          <w:tcPr>
            <w:tcW w:w="1590" w:type="dxa"/>
            <w:tcBorders>
              <w:top w:val="single" w:color="auto" w:sz="4" w:space="0"/>
              <w:left w:val="single" w:color="auto" w:sz="4" w:space="0"/>
              <w:bottom w:val="single" w:color="auto" w:sz="4" w:space="0"/>
              <w:right w:val="single" w:color="auto" w:sz="4" w:space="0"/>
            </w:tcBorders>
            <w:vAlign w:val="center"/>
          </w:tcPr>
          <w:p>
            <w:pPr>
              <w:adjustRightInd w:val="0"/>
              <w:spacing w:line="500" w:lineRule="exact"/>
              <w:jc w:val="center"/>
              <w:rPr>
                <w:rFonts w:ascii="仿宋_GB2312" w:hAnsi="宋体" w:eastAsia="仿宋_GB2312" w:cs="宋体"/>
                <w:sz w:val="24"/>
                <w:szCs w:val="22"/>
              </w:rPr>
            </w:pPr>
            <w:r>
              <w:rPr>
                <w:rFonts w:hint="eastAsia" w:ascii="仿宋_GB2312" w:hAnsi="宋体" w:eastAsia="仿宋_GB2312" w:cs="宋体"/>
                <w:sz w:val="24"/>
                <w:szCs w:val="22"/>
              </w:rPr>
              <w:t>项目编号</w:t>
            </w:r>
          </w:p>
        </w:tc>
        <w:tc>
          <w:tcPr>
            <w:tcW w:w="7950" w:type="dxa"/>
            <w:tcBorders>
              <w:top w:val="single" w:color="auto" w:sz="4" w:space="0"/>
              <w:left w:val="single" w:color="auto" w:sz="4" w:space="0"/>
              <w:bottom w:val="single" w:color="auto" w:sz="4" w:space="0"/>
              <w:right w:val="single" w:color="auto" w:sz="4" w:space="0"/>
            </w:tcBorders>
            <w:vAlign w:val="center"/>
          </w:tcPr>
          <w:p>
            <w:pPr>
              <w:adjustRightInd w:val="0"/>
              <w:spacing w:line="500" w:lineRule="exact"/>
              <w:rPr>
                <w:rFonts w:ascii="仿宋_GB2312" w:hAnsi="宋体" w:eastAsia="仿宋_GB2312" w:cs="宋体"/>
                <w:sz w:val="24"/>
                <w:szCs w:val="22"/>
              </w:rPr>
            </w:pPr>
            <w:r>
              <w:rPr>
                <w:rFonts w:hint="eastAsia" w:ascii="仿宋_GB2312" w:hAnsi="宋体" w:eastAsia="仿宋_GB2312" w:cs="宋体"/>
                <w:sz w:val="24"/>
                <w:szCs w:val="22"/>
              </w:rPr>
              <w:t>建安建工公字〔201</w:t>
            </w:r>
            <w:r>
              <w:rPr>
                <w:rFonts w:hint="eastAsia" w:ascii="仿宋_GB2312" w:hAnsi="宋体" w:eastAsia="仿宋_GB2312" w:cs="宋体"/>
                <w:sz w:val="24"/>
                <w:szCs w:val="22"/>
                <w:lang w:val="en-US" w:eastAsia="zh-CN"/>
              </w:rPr>
              <w:t>9</w:t>
            </w:r>
            <w:r>
              <w:rPr>
                <w:rFonts w:hint="eastAsia" w:ascii="仿宋_GB2312" w:hAnsi="宋体" w:eastAsia="仿宋_GB2312" w:cs="宋体"/>
                <w:sz w:val="24"/>
                <w:szCs w:val="22"/>
              </w:rPr>
              <w:t>〕</w:t>
            </w:r>
            <w:r>
              <w:rPr>
                <w:rFonts w:hint="eastAsia" w:ascii="仿宋_GB2312" w:hAnsi="宋体" w:eastAsia="仿宋_GB2312" w:cs="宋体"/>
                <w:sz w:val="24"/>
                <w:szCs w:val="22"/>
                <w:lang w:val="en-US" w:eastAsia="zh-CN"/>
              </w:rPr>
              <w:t>67</w:t>
            </w:r>
            <w:r>
              <w:rPr>
                <w:rFonts w:hint="eastAsia" w:ascii="仿宋_GB2312" w:hAnsi="宋体" w:eastAsia="仿宋_GB2312" w:cs="宋体"/>
                <w:sz w:val="24"/>
                <w:szCs w:val="22"/>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exact"/>
        </w:trPr>
        <w:tc>
          <w:tcPr>
            <w:tcW w:w="159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宋体" w:eastAsia="仿宋_GB2312" w:cs="宋体"/>
                <w:sz w:val="24"/>
              </w:rPr>
            </w:pPr>
            <w:r>
              <w:rPr>
                <w:rFonts w:hint="eastAsia" w:ascii="仿宋_GB2312" w:hAnsi="宋体" w:eastAsia="仿宋_GB2312" w:cs="宋体"/>
                <w:sz w:val="24"/>
              </w:rPr>
              <w:t>项目名称</w:t>
            </w:r>
          </w:p>
        </w:tc>
        <w:tc>
          <w:tcPr>
            <w:tcW w:w="7950" w:type="dxa"/>
            <w:tcBorders>
              <w:top w:val="single" w:color="auto" w:sz="4" w:space="0"/>
              <w:left w:val="single" w:color="auto" w:sz="4" w:space="0"/>
              <w:bottom w:val="single" w:color="auto" w:sz="4" w:space="0"/>
              <w:right w:val="single" w:color="auto" w:sz="4" w:space="0"/>
            </w:tcBorders>
          </w:tcPr>
          <w:p>
            <w:pPr>
              <w:adjustRightInd w:val="0"/>
              <w:spacing w:line="500" w:lineRule="exact"/>
              <w:rPr>
                <w:rFonts w:hint="eastAsia" w:ascii="仿宋_GB2312" w:hAnsi="宋体" w:eastAsia="仿宋_GB2312" w:cs="宋体"/>
                <w:sz w:val="24"/>
                <w:lang w:val="en-US" w:eastAsia="zh-CN"/>
              </w:rPr>
            </w:pPr>
            <w:r>
              <w:rPr>
                <w:rFonts w:hint="eastAsia" w:ascii="仿宋_GB2312" w:hAnsi="宋体" w:eastAsia="仿宋_GB2312" w:cs="宋体"/>
                <w:sz w:val="24"/>
                <w:szCs w:val="22"/>
                <w:lang w:val="en-US" w:eastAsia="zh-CN"/>
              </w:rPr>
              <w:t>新元大道污水厂管道环通工程（高铁北站）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exact"/>
        </w:trPr>
        <w:tc>
          <w:tcPr>
            <w:tcW w:w="1590" w:type="dxa"/>
            <w:tcBorders>
              <w:top w:val="single" w:color="auto" w:sz="4" w:space="0"/>
              <w:left w:val="single" w:color="auto" w:sz="4" w:space="0"/>
              <w:bottom w:val="single" w:color="auto" w:sz="4" w:space="0"/>
              <w:right w:val="single" w:color="auto" w:sz="4" w:space="0"/>
            </w:tcBorders>
            <w:vAlign w:val="center"/>
          </w:tcPr>
          <w:p>
            <w:pPr>
              <w:adjustRightInd w:val="0"/>
              <w:spacing w:line="500" w:lineRule="exact"/>
              <w:jc w:val="center"/>
              <w:rPr>
                <w:rFonts w:ascii="仿宋_GB2312" w:hAnsi="宋体" w:eastAsia="仿宋_GB2312" w:cs="宋体"/>
                <w:sz w:val="24"/>
                <w:szCs w:val="22"/>
              </w:rPr>
            </w:pPr>
            <w:r>
              <w:rPr>
                <w:rFonts w:hint="eastAsia" w:ascii="仿宋_GB2312" w:hAnsi="宋体" w:eastAsia="仿宋_GB2312" w:cs="宋体"/>
                <w:sz w:val="24"/>
                <w:szCs w:val="22"/>
              </w:rPr>
              <w:t>标段名称</w:t>
            </w:r>
          </w:p>
        </w:tc>
        <w:tc>
          <w:tcPr>
            <w:tcW w:w="7950" w:type="dxa"/>
            <w:tcBorders>
              <w:top w:val="single" w:color="auto" w:sz="4" w:space="0"/>
              <w:left w:val="single" w:color="auto" w:sz="4" w:space="0"/>
              <w:bottom w:val="single" w:color="auto" w:sz="4" w:space="0"/>
              <w:right w:val="single" w:color="auto" w:sz="4" w:space="0"/>
            </w:tcBorders>
          </w:tcPr>
          <w:p>
            <w:pPr>
              <w:adjustRightInd w:val="0"/>
              <w:spacing w:line="500" w:lineRule="exact"/>
              <w:ind w:firstLine="960" w:firstLineChars="400"/>
              <w:rPr>
                <w:rFonts w:ascii="仿宋_GB2312" w:hAnsi="宋体" w:eastAsia="仿宋_GB2312" w:cs="宋体"/>
                <w:sz w:val="24"/>
                <w:szCs w:val="22"/>
              </w:rPr>
            </w:pPr>
            <w:r>
              <w:rPr>
                <w:rFonts w:hint="eastAsia" w:ascii="仿宋_GB2312" w:hAnsi="宋体" w:eastAsia="仿宋_GB2312" w:cs="宋体"/>
                <w:sz w:val="24"/>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5" w:hRule="exact"/>
        </w:trPr>
        <w:tc>
          <w:tcPr>
            <w:tcW w:w="1590" w:type="dxa"/>
            <w:vMerge w:val="restart"/>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宋体" w:eastAsia="仿宋_GB2312" w:cs="宋体"/>
                <w:sz w:val="24"/>
              </w:rPr>
            </w:pPr>
            <w:r>
              <w:rPr>
                <w:rFonts w:hint="eastAsia" w:ascii="仿宋_GB2312" w:hAnsi="宋体" w:eastAsia="仿宋_GB2312" w:cs="宋体"/>
                <w:sz w:val="24"/>
              </w:rPr>
              <w:t>投标保证金</w:t>
            </w:r>
          </w:p>
          <w:p>
            <w:pPr>
              <w:spacing w:line="500" w:lineRule="exact"/>
              <w:jc w:val="center"/>
              <w:rPr>
                <w:rFonts w:ascii="仿宋_GB2312" w:hAnsi="宋体" w:eastAsia="仿宋_GB2312" w:cs="宋体"/>
                <w:sz w:val="24"/>
              </w:rPr>
            </w:pPr>
            <w:r>
              <w:rPr>
                <w:rFonts w:hint="eastAsia" w:ascii="仿宋_GB2312" w:hAnsi="宋体" w:eastAsia="仿宋_GB2312" w:cs="宋体"/>
                <w:sz w:val="24"/>
              </w:rPr>
              <w:t>交纳信息</w:t>
            </w:r>
          </w:p>
        </w:tc>
        <w:tc>
          <w:tcPr>
            <w:tcW w:w="7950" w:type="dxa"/>
            <w:tcBorders>
              <w:top w:val="single" w:color="auto" w:sz="4" w:space="0"/>
              <w:left w:val="single" w:color="auto" w:sz="4" w:space="0"/>
              <w:bottom w:val="single" w:color="auto" w:sz="4" w:space="0"/>
              <w:right w:val="single" w:color="auto" w:sz="4" w:space="0"/>
            </w:tcBorders>
            <w:vAlign w:val="center"/>
          </w:tcPr>
          <w:p>
            <w:pPr>
              <w:adjustRightInd w:val="0"/>
              <w:spacing w:line="500" w:lineRule="exact"/>
              <w:rPr>
                <w:rFonts w:ascii="仿宋_GB2312" w:hAnsi="宋体" w:eastAsia="仿宋_GB2312" w:cs="宋体"/>
                <w:sz w:val="24"/>
              </w:rPr>
            </w:pPr>
            <w:r>
              <w:rPr>
                <w:rFonts w:hint="eastAsia" w:ascii="仿宋_GB2312" w:hAnsi="宋体" w:eastAsia="仿宋_GB2312" w:cs="宋体"/>
                <w:sz w:val="24"/>
                <w:szCs w:val="22"/>
              </w:rPr>
              <w:t>金额：人民币：</w:t>
            </w:r>
            <w:r>
              <w:rPr>
                <w:rFonts w:hint="eastAsia" w:ascii="仿宋_GB2312" w:hAnsi="宋体" w:eastAsia="仿宋_GB2312" w:cs="宋体"/>
                <w:sz w:val="24"/>
                <w:szCs w:val="22"/>
                <w:lang w:val="en-US" w:eastAsia="zh-CN"/>
              </w:rPr>
              <w:t>壹万伍仟</w:t>
            </w:r>
            <w:r>
              <w:rPr>
                <w:rFonts w:hint="eastAsia" w:ascii="仿宋_GB2312" w:hAnsi="宋体" w:eastAsia="仿宋_GB2312" w:cs="宋体"/>
                <w:sz w:val="24"/>
                <w:szCs w:val="22"/>
              </w:rPr>
              <w:t>元整（</w:t>
            </w:r>
            <w:r>
              <w:rPr>
                <w:rFonts w:hint="eastAsia" w:ascii="仿宋_GB2312" w:hAnsi="宋体" w:eastAsia="仿宋_GB2312" w:cs="宋体"/>
                <w:sz w:val="24"/>
                <w:szCs w:val="22"/>
                <w:lang w:val="en-US" w:eastAsia="zh-CN"/>
              </w:rPr>
              <w:t>15000.00</w:t>
            </w:r>
            <w:r>
              <w:rPr>
                <w:rFonts w:hint="eastAsia" w:ascii="仿宋_GB2312" w:hAnsi="宋体" w:eastAsia="仿宋_GB2312" w:cs="宋体"/>
                <w:sz w:val="24"/>
                <w:szCs w:val="22"/>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exact"/>
        </w:trPr>
        <w:tc>
          <w:tcPr>
            <w:tcW w:w="1590" w:type="dxa"/>
            <w:vMerge w:val="continue"/>
            <w:tcBorders>
              <w:top w:val="single" w:color="auto" w:sz="4" w:space="0"/>
              <w:left w:val="single" w:color="auto" w:sz="4" w:space="0"/>
              <w:bottom w:val="single" w:color="auto" w:sz="4" w:space="0"/>
              <w:right w:val="single" w:color="auto" w:sz="4" w:space="0"/>
            </w:tcBorders>
            <w:vAlign w:val="center"/>
          </w:tcPr>
          <w:p>
            <w:pPr>
              <w:adjustRightInd w:val="0"/>
              <w:spacing w:line="500" w:lineRule="exact"/>
              <w:jc w:val="center"/>
              <w:rPr>
                <w:rFonts w:ascii="仿宋_GB2312" w:hAnsi="宋体" w:eastAsia="仿宋_GB2312" w:cs="宋体"/>
                <w:sz w:val="24"/>
              </w:rPr>
            </w:pPr>
          </w:p>
        </w:tc>
        <w:tc>
          <w:tcPr>
            <w:tcW w:w="7950" w:type="dxa"/>
            <w:tcBorders>
              <w:top w:val="single" w:color="auto" w:sz="4" w:space="0"/>
              <w:left w:val="single" w:color="auto" w:sz="4" w:space="0"/>
              <w:bottom w:val="single" w:color="auto" w:sz="4" w:space="0"/>
              <w:right w:val="single" w:color="auto" w:sz="4" w:space="0"/>
            </w:tcBorders>
            <w:vAlign w:val="center"/>
          </w:tcPr>
          <w:p>
            <w:pPr>
              <w:adjustRightInd w:val="0"/>
              <w:spacing w:line="380" w:lineRule="exact"/>
              <w:rPr>
                <w:rFonts w:ascii="仿宋_GB2312" w:hAnsi="宋体" w:eastAsia="仿宋_GB2312" w:cs="宋体"/>
                <w:sz w:val="24"/>
              </w:rPr>
            </w:pPr>
            <w:r>
              <w:rPr>
                <w:rFonts w:hint="eastAsia" w:ascii="仿宋_GB2312" w:hAnsi="宋体" w:eastAsia="仿宋_GB2312" w:cs="宋体"/>
                <w:sz w:val="24"/>
              </w:rPr>
              <w:t>截止时间：同投标截止时间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8" w:hRule="atLeast"/>
        </w:trPr>
        <w:tc>
          <w:tcPr>
            <w:tcW w:w="1590" w:type="dxa"/>
            <w:vMerge w:val="continue"/>
            <w:tcBorders>
              <w:top w:val="single" w:color="auto" w:sz="4" w:space="0"/>
              <w:left w:val="single" w:color="auto" w:sz="4" w:space="0"/>
              <w:bottom w:val="single" w:color="auto" w:sz="4" w:space="0"/>
              <w:right w:val="single" w:color="auto" w:sz="4" w:space="0"/>
            </w:tcBorders>
            <w:vAlign w:val="center"/>
          </w:tcPr>
          <w:p>
            <w:pPr>
              <w:adjustRightInd w:val="0"/>
              <w:spacing w:line="500" w:lineRule="exact"/>
              <w:jc w:val="center"/>
              <w:rPr>
                <w:rFonts w:ascii="仿宋_GB2312" w:hAnsi="宋体" w:eastAsia="仿宋_GB2312" w:cs="宋体"/>
                <w:sz w:val="24"/>
              </w:rPr>
            </w:pPr>
          </w:p>
        </w:tc>
        <w:tc>
          <w:tcPr>
            <w:tcW w:w="7950" w:type="dxa"/>
            <w:tcBorders>
              <w:top w:val="single" w:color="auto" w:sz="4" w:space="0"/>
              <w:left w:val="single" w:color="auto" w:sz="4" w:space="0"/>
              <w:bottom w:val="single" w:color="auto" w:sz="4" w:space="0"/>
              <w:right w:val="single" w:color="auto" w:sz="4" w:space="0"/>
            </w:tcBorders>
            <w:vAlign w:val="center"/>
          </w:tcPr>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 xml:space="preserve">1、投标保证金的递交方式：银行转帐、银行电汇（均需从投标人的基本账户汇出），不接受以现金方式缴纳的投标保证金。凡以现金方式缴纳投标保证金而影响其投标结果的，由投标人自行负责。 </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使用银行转帐形式的，于截止时间前通过投标人基本账户将款项一次足额递交、成功绑定，以收款人到账时间为准，在途资金无效，视为未按时交纳。同时投标人应承担节假日银行系统不能支付的风险。</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2、投标保证金缴纳方式：</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2.1投标人网上报名后，登录</w:t>
            </w:r>
            <w:r>
              <w:fldChar w:fldCharType="begin"/>
            </w:r>
            <w:r>
              <w:instrText xml:space="preserve"> HYPERLINK "http://221.14.6.70:8088/ggzy" </w:instrText>
            </w:r>
            <w:r>
              <w:fldChar w:fldCharType="separate"/>
            </w:r>
            <w:r>
              <w:rPr>
                <w:rStyle w:val="35"/>
                <w:rFonts w:hint="eastAsia" w:ascii="仿宋_GB2312" w:hAnsi="宋体" w:eastAsia="仿宋_GB2312" w:cs="宋体"/>
                <w:sz w:val="24"/>
              </w:rPr>
              <w:t>http://221.14.6.70:8088/ggzy</w:t>
            </w:r>
            <w:r>
              <w:rPr>
                <w:rStyle w:val="35"/>
                <w:rFonts w:hint="eastAsia" w:ascii="仿宋_GB2312" w:hAnsi="宋体" w:eastAsia="仿宋_GB2312" w:cs="宋体"/>
                <w:sz w:val="24"/>
              </w:rPr>
              <w:fldChar w:fldCharType="end"/>
            </w:r>
            <w:r>
              <w:rPr>
                <w:rFonts w:hint="eastAsia" w:ascii="仿宋_GB2312" w:hAnsi="宋体" w:eastAsia="仿宋_GB2312" w:cs="宋体"/>
                <w:sz w:val="24"/>
              </w:rPr>
              <w:t>系统，依次点击“会员向导”→“参与投标”→“费用缴纳说明”→“保证金缴纳说明单”，获取缴费说明单，根据每个标段的缴纳说明单在缴纳截止时间前缴纳；</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2.2成功缴纳后重新登录前述系统，依次点击“会员向导”→“参与投标”→“保证金绑定”→“绑定”进行投标保证金绑定。</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2.3 投标人要严格按照“保证金缴纳说明单”内容缴纳、成功绑定投标保证金，未绑定标段的投标保证金，视为未按时交纳。并将缴纳凭证“许昌市建安区公共资源交易中心保证金缴纳回执”附于投标文件中，同时在开标现场提供一份，以备查询。</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2.4 每个投标人每个项目每个标段只有唯一缴纳账号，切勿重复缴纳或错误缴纳。</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3、未按上述规定操作引起的无效投标，由投标人自行负责。</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4、汇款凭证无须备注项目编号和项目名称。</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5、出现以下情形造成的投标保证金无效，由投标人自行负责。</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(1)投标保证金未从投标人的基本账户转出；</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(2)投标保证金未按照招标文件划分的标段依次转账。</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6、《保证金缴纳绑定操作指南》获取方法：</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登录</w:t>
            </w:r>
            <w:r>
              <w:rPr>
                <w:rFonts w:hint="eastAsia" w:ascii="仿宋_GB2312" w:hAnsi="宋体" w:eastAsia="仿宋_GB2312" w:cs="宋体"/>
                <w:bCs/>
                <w:sz w:val="24"/>
              </w:rPr>
              <w:t>全国公共资源交易平台（河南省</w:t>
            </w:r>
            <w:r>
              <w:rPr>
                <w:rFonts w:hint="eastAsia" w:ascii="仿宋_GB2312" w:hAnsi="MS Mincho" w:eastAsia="MS Mincho" w:cs="MS Mincho"/>
                <w:bCs/>
                <w:sz w:val="24"/>
              </w:rPr>
              <w:t>▪</w:t>
            </w:r>
            <w:r>
              <w:rPr>
                <w:rFonts w:hint="eastAsia" w:ascii="仿宋_GB2312" w:hAnsi="宋体" w:eastAsia="仿宋_GB2312" w:cs="宋体"/>
                <w:bCs/>
                <w:sz w:val="24"/>
              </w:rPr>
              <w:t>许昌市）</w:t>
            </w:r>
            <w:r>
              <w:rPr>
                <w:rFonts w:hint="eastAsia" w:ascii="仿宋_GB2312" w:hAnsi="宋体" w:eastAsia="仿宋_GB2312" w:cs="宋体"/>
                <w:sz w:val="24"/>
              </w:rPr>
              <w:t>系统-组件下载-《保证金缴纳绑定操作指南》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80" w:hRule="atLeast"/>
        </w:trPr>
        <w:tc>
          <w:tcPr>
            <w:tcW w:w="159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_GB2312" w:hAnsi="宋体" w:eastAsia="仿宋_GB2312" w:cs="宋体"/>
                <w:sz w:val="24"/>
              </w:rPr>
            </w:pPr>
            <w:r>
              <w:rPr>
                <w:rFonts w:hint="eastAsia" w:ascii="仿宋_GB2312" w:hAnsi="宋体" w:eastAsia="仿宋_GB2312" w:cs="宋体"/>
                <w:sz w:val="24"/>
              </w:rPr>
              <w:t>注意事项</w:t>
            </w:r>
          </w:p>
        </w:tc>
        <w:tc>
          <w:tcPr>
            <w:tcW w:w="7950"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ind w:firstLine="470" w:firstLineChars="196"/>
              <w:rPr>
                <w:rFonts w:ascii="仿宋_GB2312" w:hAnsi="宋体" w:eastAsia="仿宋_GB2312" w:cs="宋体"/>
                <w:bCs/>
                <w:sz w:val="24"/>
              </w:rPr>
            </w:pPr>
            <w:r>
              <w:rPr>
                <w:rFonts w:hint="eastAsia" w:ascii="仿宋_GB2312" w:hAnsi="宋体" w:eastAsia="仿宋_GB2312" w:cs="宋体"/>
                <w:bCs/>
                <w:sz w:val="24"/>
              </w:rPr>
              <w:t>1、因投标人的原因无法及时退还投标（竞买）保证金、滞留三年以上的，投标（竞买）保证金上缴财政。</w:t>
            </w:r>
          </w:p>
          <w:p>
            <w:pPr>
              <w:adjustRightInd w:val="0"/>
              <w:spacing w:line="360" w:lineRule="exact"/>
              <w:ind w:firstLine="470" w:firstLineChars="196"/>
              <w:rPr>
                <w:rFonts w:ascii="仿宋_GB2312" w:hAnsi="宋体" w:eastAsia="仿宋_GB2312" w:cs="宋体"/>
                <w:bCs/>
                <w:sz w:val="24"/>
              </w:rPr>
            </w:pPr>
            <w:r>
              <w:rPr>
                <w:rFonts w:hint="eastAsia" w:ascii="仿宋_GB2312" w:hAnsi="宋体" w:eastAsia="仿宋_GB2312" w:cs="宋体"/>
                <w:bCs/>
                <w:sz w:val="24"/>
              </w:rPr>
              <w:t>2、自文件发布之日起，投标人需进行基本户备案，已备案的基本户开户银行、账户发生变化的，须重新办理备案手续。备案后方可提交投标（竞买）保证金。</w:t>
            </w:r>
          </w:p>
          <w:p>
            <w:pPr>
              <w:adjustRightInd w:val="0"/>
              <w:spacing w:line="360" w:lineRule="exact"/>
              <w:ind w:firstLine="470" w:firstLineChars="196"/>
              <w:rPr>
                <w:rFonts w:ascii="仿宋_GB2312" w:hAnsi="宋体" w:eastAsia="仿宋_GB2312" w:cs="宋体"/>
                <w:bCs/>
                <w:sz w:val="24"/>
              </w:rPr>
            </w:pPr>
            <w:r>
              <w:rPr>
                <w:rFonts w:hint="eastAsia" w:ascii="仿宋_GB2312" w:hAnsi="宋体" w:eastAsia="仿宋_GB2312" w:cs="宋体"/>
                <w:bCs/>
                <w:sz w:val="24"/>
              </w:rPr>
              <w:t>3、基本户备案流程：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pPr>
              <w:adjustRightInd w:val="0"/>
              <w:spacing w:line="360" w:lineRule="exact"/>
              <w:ind w:firstLine="470" w:firstLineChars="196"/>
              <w:rPr>
                <w:rFonts w:ascii="仿宋_GB2312" w:hAnsi="宋体" w:eastAsia="仿宋_GB2312" w:cs="宋体"/>
                <w:bCs/>
                <w:sz w:val="24"/>
              </w:rPr>
            </w:pPr>
            <w:r>
              <w:rPr>
                <w:rFonts w:hint="eastAsia" w:ascii="仿宋_GB2312" w:hAnsi="宋体" w:eastAsia="仿宋_GB2312" w:cs="宋体"/>
                <w:bCs/>
                <w:sz w:val="24"/>
              </w:rPr>
              <w:t>4、特殊情况处理</w:t>
            </w:r>
          </w:p>
          <w:p>
            <w:pPr>
              <w:adjustRightInd w:val="0"/>
              <w:spacing w:line="360" w:lineRule="exact"/>
              <w:ind w:firstLine="470" w:firstLineChars="196"/>
              <w:rPr>
                <w:rFonts w:ascii="仿宋_GB2312" w:hAnsi="宋体" w:eastAsia="仿宋_GB2312" w:cs="仿宋_GB2312"/>
                <w:sz w:val="24"/>
              </w:rPr>
            </w:pPr>
            <w:r>
              <w:rPr>
                <w:rFonts w:hint="eastAsia" w:ascii="仿宋_GB2312" w:hAnsi="宋体" w:eastAsia="仿宋_GB2312" w:cs="宋体"/>
                <w:bCs/>
                <w:sz w:val="24"/>
              </w:rPr>
              <w:t>投标人投标过程中因账户开户银行、银行账号发生变化，不能按照来款途径原路返还投标保证金的，投标人须提供原账户开户银行相关证明及新开账户开户许可证，到建安区公共资源交易中心四楼财务部办理退款手续。</w:t>
            </w:r>
          </w:p>
        </w:tc>
      </w:tr>
    </w:tbl>
    <w:p>
      <w:pPr>
        <w:rPr>
          <w:rFonts w:ascii="仿宋_GB2312" w:hAnsi="新宋体" w:eastAsia="仿宋_GB2312"/>
          <w:b/>
          <w:sz w:val="36"/>
          <w:szCs w:val="36"/>
        </w:rPr>
      </w:pPr>
    </w:p>
    <w:p>
      <w:pPr>
        <w:jc w:val="center"/>
        <w:rPr>
          <w:rFonts w:ascii="方正小标宋简体" w:hAnsi="宋体" w:eastAsia="方正小标宋简体" w:cs="宋体"/>
          <w:sz w:val="36"/>
          <w:szCs w:val="36"/>
        </w:rPr>
      </w:pPr>
    </w:p>
    <w:p>
      <w:pPr>
        <w:jc w:val="center"/>
        <w:rPr>
          <w:rFonts w:ascii="方正小标宋简体" w:hAnsi="宋体" w:eastAsia="方正小标宋简体" w:cs="宋体"/>
          <w:sz w:val="36"/>
          <w:szCs w:val="36"/>
        </w:rPr>
      </w:pPr>
    </w:p>
    <w:p>
      <w:pPr>
        <w:jc w:val="center"/>
        <w:rPr>
          <w:rFonts w:ascii="方正小标宋简体" w:hAnsi="宋体" w:eastAsia="方正小标宋简体" w:cs="宋体"/>
          <w:sz w:val="36"/>
          <w:szCs w:val="36"/>
        </w:rPr>
      </w:pPr>
    </w:p>
    <w:p>
      <w:pPr>
        <w:jc w:val="center"/>
        <w:rPr>
          <w:rFonts w:ascii="方正小标宋简体" w:hAnsi="宋体" w:eastAsia="方正小标宋简体" w:cs="宋体"/>
          <w:sz w:val="36"/>
          <w:szCs w:val="36"/>
        </w:rPr>
      </w:pPr>
    </w:p>
    <w:p>
      <w:pPr>
        <w:jc w:val="center"/>
        <w:rPr>
          <w:rFonts w:ascii="方正小标宋简体" w:hAnsi="宋体" w:eastAsia="方正小标宋简体" w:cs="宋体"/>
          <w:sz w:val="36"/>
          <w:szCs w:val="36"/>
        </w:rPr>
      </w:pPr>
    </w:p>
    <w:p>
      <w:pPr>
        <w:jc w:val="center"/>
        <w:rPr>
          <w:rFonts w:ascii="方正小标宋简体" w:hAnsi="宋体" w:eastAsia="方正小标宋简体" w:cs="宋体"/>
          <w:sz w:val="36"/>
          <w:szCs w:val="36"/>
        </w:rPr>
      </w:pPr>
    </w:p>
    <w:p>
      <w:pPr>
        <w:jc w:val="center"/>
        <w:rPr>
          <w:rFonts w:ascii="方正小标宋简体" w:hAnsi="宋体" w:eastAsia="方正小标宋简体" w:cs="宋体"/>
          <w:sz w:val="36"/>
          <w:szCs w:val="36"/>
        </w:rPr>
      </w:pPr>
    </w:p>
    <w:p>
      <w:pPr>
        <w:jc w:val="center"/>
        <w:rPr>
          <w:rFonts w:ascii="方正小标宋简体" w:hAnsi="宋体" w:eastAsia="方正小标宋简体" w:cs="宋体"/>
          <w:sz w:val="36"/>
          <w:szCs w:val="36"/>
        </w:rPr>
      </w:pPr>
    </w:p>
    <w:p>
      <w:pPr>
        <w:jc w:val="center"/>
        <w:rPr>
          <w:rFonts w:ascii="方正小标宋简体" w:hAnsi="宋体" w:eastAsia="方正小标宋简体" w:cs="宋体"/>
          <w:sz w:val="36"/>
          <w:szCs w:val="36"/>
        </w:rPr>
      </w:pPr>
    </w:p>
    <w:p>
      <w:pPr>
        <w:jc w:val="center"/>
        <w:rPr>
          <w:rFonts w:ascii="方正小标宋简体" w:hAnsi="宋体" w:eastAsia="方正小标宋简体" w:cs="宋体"/>
          <w:sz w:val="36"/>
          <w:szCs w:val="36"/>
        </w:rPr>
      </w:pPr>
    </w:p>
    <w:p>
      <w:pPr>
        <w:jc w:val="center"/>
        <w:rPr>
          <w:rFonts w:ascii="方正小标宋简体" w:hAnsi="宋体" w:eastAsia="方正小标宋简体" w:cs="宋体"/>
          <w:sz w:val="36"/>
          <w:szCs w:val="36"/>
        </w:rPr>
      </w:pPr>
    </w:p>
    <w:p>
      <w:pPr>
        <w:jc w:val="center"/>
        <w:rPr>
          <w:rFonts w:ascii="方正小标宋简体" w:hAnsi="宋体" w:eastAsia="方正小标宋简体" w:cs="宋体"/>
          <w:sz w:val="36"/>
          <w:szCs w:val="36"/>
        </w:rPr>
      </w:pPr>
    </w:p>
    <w:p>
      <w:pPr>
        <w:jc w:val="center"/>
        <w:rPr>
          <w:rFonts w:ascii="方正小标宋简体" w:hAnsi="宋体" w:eastAsia="方正小标宋简体" w:cs="宋体"/>
          <w:sz w:val="36"/>
          <w:szCs w:val="36"/>
        </w:rPr>
      </w:pPr>
    </w:p>
    <w:p>
      <w:pPr>
        <w:jc w:val="center"/>
        <w:rPr>
          <w:rFonts w:ascii="方正小标宋简体" w:hAnsi="宋体" w:eastAsia="方正小标宋简体"/>
          <w:sz w:val="36"/>
          <w:szCs w:val="36"/>
        </w:rPr>
      </w:pPr>
      <w:r>
        <w:rPr>
          <w:rFonts w:hint="eastAsia" w:ascii="方正小标宋简体" w:hAnsi="宋体" w:eastAsia="方正小标宋简体" w:cs="宋体"/>
          <w:sz w:val="36"/>
          <w:szCs w:val="36"/>
        </w:rPr>
        <w:t>投标保证金退还申请表</w:t>
      </w:r>
    </w:p>
    <w:tbl>
      <w:tblPr>
        <w:tblStyle w:val="29"/>
        <w:tblpPr w:leftFromText="180" w:rightFromText="180" w:vertAnchor="text" w:horzAnchor="margin" w:tblpXSpec="center" w:tblpY="555"/>
        <w:tblW w:w="98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6"/>
        <w:gridCol w:w="3780"/>
        <w:gridCol w:w="360"/>
        <w:gridCol w:w="362"/>
        <w:gridCol w:w="1078"/>
        <w:gridCol w:w="21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exact"/>
        </w:trPr>
        <w:tc>
          <w:tcPr>
            <w:tcW w:w="208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华文中宋" w:eastAsia="仿宋_GB2312"/>
                <w:sz w:val="24"/>
              </w:rPr>
            </w:pPr>
            <w:r>
              <w:rPr>
                <w:rFonts w:hint="eastAsia" w:ascii="仿宋_GB2312" w:hAnsi="新宋体" w:eastAsia="仿宋_GB2312" w:cs="新宋体"/>
                <w:sz w:val="24"/>
              </w:rPr>
              <w:t>项目编号</w:t>
            </w:r>
          </w:p>
        </w:tc>
        <w:tc>
          <w:tcPr>
            <w:tcW w:w="414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华文中宋" w:eastAsia="仿宋_GB2312"/>
                <w:sz w:val="24"/>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华文中宋" w:eastAsia="仿宋_GB2312"/>
                <w:sz w:val="24"/>
              </w:rPr>
            </w:pPr>
            <w:r>
              <w:rPr>
                <w:rFonts w:hint="eastAsia" w:ascii="仿宋_GB2312" w:hAnsi="新宋体" w:eastAsia="仿宋_GB2312" w:cs="新宋体"/>
                <w:sz w:val="24"/>
              </w:rPr>
              <w:t>是否中标</w:t>
            </w:r>
          </w:p>
        </w:tc>
        <w:tc>
          <w:tcPr>
            <w:tcW w:w="2162" w:type="dxa"/>
            <w:tcBorders>
              <w:top w:val="single" w:color="auto" w:sz="4" w:space="0"/>
              <w:left w:val="single" w:color="auto" w:sz="4" w:space="0"/>
              <w:bottom w:val="single" w:color="auto" w:sz="4" w:space="0"/>
              <w:right w:val="single" w:color="auto" w:sz="4" w:space="0"/>
            </w:tcBorders>
            <w:vAlign w:val="center"/>
          </w:tcPr>
          <w:p>
            <w:pPr>
              <w:spacing w:line="360" w:lineRule="exact"/>
              <w:ind w:firstLine="240" w:firstLineChars="100"/>
              <w:rPr>
                <w:rFonts w:ascii="仿宋_GB2312" w:hAnsi="华文中宋" w:eastAsia="仿宋_GB2312"/>
                <w:sz w:val="24"/>
              </w:rPr>
            </w:pPr>
            <w:r>
              <w:rPr>
                <w:rFonts w:hint="eastAsia" w:ascii="仿宋_GB2312" w:hAnsi="新宋体" w:eastAsia="仿宋_GB2312" w:cs="新宋体"/>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exact"/>
        </w:trPr>
        <w:tc>
          <w:tcPr>
            <w:tcW w:w="208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华文中宋" w:eastAsia="仿宋_GB2312"/>
                <w:sz w:val="24"/>
              </w:rPr>
            </w:pPr>
            <w:r>
              <w:rPr>
                <w:rFonts w:hint="eastAsia" w:ascii="仿宋_GB2312" w:hAnsi="新宋体" w:eastAsia="仿宋_GB2312" w:cs="新宋体"/>
                <w:sz w:val="24"/>
              </w:rPr>
              <w:t>申请单位（签章）</w:t>
            </w:r>
          </w:p>
        </w:tc>
        <w:tc>
          <w:tcPr>
            <w:tcW w:w="7742"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华文中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exact"/>
        </w:trPr>
        <w:tc>
          <w:tcPr>
            <w:tcW w:w="2086" w:type="dxa"/>
            <w:tcBorders>
              <w:top w:val="single" w:color="auto" w:sz="4" w:space="0"/>
              <w:left w:val="single" w:color="auto" w:sz="4" w:space="0"/>
              <w:bottom w:val="single" w:color="auto" w:sz="4" w:space="0"/>
              <w:right w:val="single" w:color="auto" w:sz="4" w:space="0"/>
            </w:tcBorders>
            <w:vAlign w:val="center"/>
          </w:tcPr>
          <w:p>
            <w:pPr>
              <w:spacing w:line="360" w:lineRule="exact"/>
              <w:ind w:firstLine="480" w:firstLineChars="200"/>
              <w:rPr>
                <w:rFonts w:ascii="仿宋_GB2312" w:eastAsia="仿宋_GB2312"/>
                <w:sz w:val="24"/>
              </w:rPr>
            </w:pPr>
            <w:r>
              <w:rPr>
                <w:rFonts w:hint="eastAsia" w:ascii="仿宋_GB2312" w:hAnsi="新宋体" w:eastAsia="仿宋_GB2312" w:cs="新宋体"/>
                <w:sz w:val="24"/>
              </w:rPr>
              <w:t>开户银行</w:t>
            </w:r>
          </w:p>
        </w:tc>
        <w:tc>
          <w:tcPr>
            <w:tcW w:w="3780"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rPr>
            </w:pPr>
          </w:p>
        </w:tc>
        <w:tc>
          <w:tcPr>
            <w:tcW w:w="722"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eastAsia="仿宋_GB2312"/>
                <w:sz w:val="24"/>
              </w:rPr>
            </w:pPr>
            <w:r>
              <w:rPr>
                <w:rFonts w:hint="eastAsia" w:ascii="仿宋_GB2312" w:hAnsi="新宋体" w:eastAsia="仿宋_GB2312" w:cs="新宋体"/>
                <w:sz w:val="24"/>
              </w:rPr>
              <w:t>账号</w:t>
            </w:r>
          </w:p>
        </w:tc>
        <w:tc>
          <w:tcPr>
            <w:tcW w:w="3240"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exact"/>
        </w:trPr>
        <w:tc>
          <w:tcPr>
            <w:tcW w:w="2086" w:type="dxa"/>
            <w:tcBorders>
              <w:top w:val="single" w:color="auto" w:sz="4" w:space="0"/>
              <w:left w:val="single" w:color="auto" w:sz="4" w:space="0"/>
              <w:bottom w:val="single" w:color="auto" w:sz="4" w:space="0"/>
              <w:right w:val="single" w:color="auto" w:sz="4" w:space="0"/>
            </w:tcBorders>
            <w:vAlign w:val="center"/>
          </w:tcPr>
          <w:p>
            <w:pPr>
              <w:spacing w:line="360" w:lineRule="exact"/>
              <w:ind w:firstLine="480" w:firstLineChars="200"/>
              <w:rPr>
                <w:rFonts w:ascii="仿宋_GB2312" w:eastAsia="仿宋_GB2312"/>
                <w:sz w:val="24"/>
              </w:rPr>
            </w:pPr>
            <w:r>
              <w:rPr>
                <w:rFonts w:hint="eastAsia" w:ascii="仿宋_GB2312" w:hAnsi="新宋体" w:eastAsia="仿宋_GB2312" w:cs="新宋体"/>
                <w:sz w:val="24"/>
              </w:rPr>
              <w:t>申请金额</w:t>
            </w:r>
          </w:p>
        </w:tc>
        <w:tc>
          <w:tcPr>
            <w:tcW w:w="7742"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eastAsia="仿宋_GB2312"/>
                <w:sz w:val="24"/>
              </w:rPr>
            </w:pPr>
            <w:r>
              <w:rPr>
                <w:rFonts w:hint="eastAsia" w:ascii="仿宋_GB2312" w:hAnsi="新宋体" w:eastAsia="仿宋_GB2312" w:cs="新宋体"/>
                <w:sz w:val="24"/>
              </w:rPr>
              <w:t xml:space="preserve">大写：                                    </w:t>
            </w:r>
            <w:r>
              <w:rPr>
                <w:rFonts w:hint="eastAsia" w:ascii="新宋体" w:hAnsi="新宋体" w:eastAsia="仿宋_GB2312" w:cs="新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exact"/>
        </w:trPr>
        <w:tc>
          <w:tcPr>
            <w:tcW w:w="9828" w:type="dxa"/>
            <w:gridSpan w:val="6"/>
            <w:tcBorders>
              <w:top w:val="nil"/>
              <w:left w:val="single" w:color="auto" w:sz="4" w:space="0"/>
              <w:bottom w:val="single" w:color="auto" w:sz="4" w:space="0"/>
              <w:right w:val="single" w:color="auto" w:sz="4" w:space="0"/>
            </w:tcBorders>
            <w:vAlign w:val="center"/>
          </w:tcPr>
          <w:p>
            <w:pPr>
              <w:spacing w:line="360" w:lineRule="exact"/>
              <w:jc w:val="center"/>
              <w:rPr>
                <w:rFonts w:ascii="仿宋_GB2312" w:hAnsi="华文中宋" w:eastAsia="仿宋_GB2312"/>
                <w:sz w:val="24"/>
              </w:rPr>
            </w:pPr>
            <w:r>
              <w:rPr>
                <w:rFonts w:hint="eastAsia" w:ascii="仿宋_GB2312" w:hAnsi="新宋体" w:eastAsia="仿宋_GB2312" w:cs="新宋体"/>
                <w:sz w:val="24"/>
              </w:rPr>
              <w:t>股室负责人意见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4" w:hRule="atLeast"/>
        </w:trPr>
        <w:tc>
          <w:tcPr>
            <w:tcW w:w="9828" w:type="dxa"/>
            <w:gridSpan w:val="6"/>
            <w:tcBorders>
              <w:top w:val="single" w:color="auto" w:sz="4" w:space="0"/>
              <w:left w:val="single" w:color="auto" w:sz="4" w:space="0"/>
              <w:bottom w:val="single" w:color="auto" w:sz="4" w:space="0"/>
              <w:right w:val="single" w:color="auto" w:sz="4" w:space="0"/>
            </w:tcBorders>
          </w:tcPr>
          <w:p>
            <w:pPr>
              <w:wordWrap w:val="0"/>
              <w:jc w:val="right"/>
              <w:rPr>
                <w:rFonts w:ascii="仿宋_GB2312" w:hAnsi="新宋体" w:eastAsia="仿宋_GB2312" w:cs="新宋体"/>
                <w:sz w:val="24"/>
              </w:rPr>
            </w:pPr>
          </w:p>
          <w:p>
            <w:pPr>
              <w:ind w:right="480" w:firstLine="5880" w:firstLineChars="2450"/>
              <w:rPr>
                <w:rFonts w:ascii="仿宋_GB2312" w:hAnsi="新宋体" w:eastAsia="仿宋_GB2312" w:cs="新宋体"/>
                <w:sz w:val="24"/>
              </w:rPr>
            </w:pPr>
          </w:p>
          <w:p>
            <w:pPr>
              <w:ind w:right="480" w:firstLine="5880" w:firstLineChars="2450"/>
              <w:rPr>
                <w:rFonts w:ascii="仿宋_GB2312" w:hAnsi="新宋体" w:eastAsia="仿宋_GB2312" w:cs="新宋体"/>
                <w:sz w:val="24"/>
              </w:rPr>
            </w:pPr>
          </w:p>
          <w:p>
            <w:pPr>
              <w:ind w:right="480" w:firstLine="5880" w:firstLineChars="2450"/>
              <w:rPr>
                <w:rFonts w:ascii="仿宋_GB2312" w:hAnsi="新宋体" w:eastAsia="仿宋_GB2312" w:cs="新宋体"/>
                <w:sz w:val="24"/>
              </w:rPr>
            </w:pPr>
          </w:p>
          <w:p>
            <w:pPr>
              <w:ind w:right="480" w:firstLine="5880" w:firstLineChars="2450"/>
              <w:rPr>
                <w:rFonts w:ascii="仿宋_GB2312" w:hAnsi="华文中宋" w:eastAsia="仿宋_GB2312"/>
                <w:sz w:val="24"/>
              </w:rPr>
            </w:pPr>
            <w:r>
              <w:rPr>
                <w:rFonts w:hint="eastAsia" w:ascii="仿宋_GB2312" w:hAnsi="新宋体" w:eastAsia="仿宋_GB2312" w:cs="新宋体"/>
                <w:sz w:val="24"/>
              </w:rPr>
              <w:t>年   月   日</w:t>
            </w:r>
          </w:p>
        </w:tc>
      </w:tr>
    </w:tbl>
    <w:p>
      <w:pPr>
        <w:rPr>
          <w:rFonts w:ascii="华文中宋" w:hAnsi="华文中宋" w:eastAsia="华文中宋"/>
          <w:b/>
          <w:bCs/>
          <w:sz w:val="32"/>
          <w:szCs w:val="32"/>
        </w:rPr>
      </w:pPr>
      <w:r>
        <w:rPr>
          <w:rFonts w:hint="eastAsia" w:ascii="仿宋_GB2312" w:hAnsi="宋体" w:eastAsia="仿宋_GB2312"/>
          <w:sz w:val="24"/>
        </w:rPr>
        <w:t>备注：中标单位使用此表退还保证金时，此表格大小及格式不得改变</w:t>
      </w:r>
      <w:r>
        <w:rPr>
          <w:rFonts w:hint="eastAsia" w:ascii="仿宋_GB2312" w:hAnsi="宋体" w:eastAsia="仿宋_GB2312"/>
          <w:sz w:val="28"/>
          <w:szCs w:val="28"/>
        </w:rPr>
        <w:t>。</w:t>
      </w:r>
    </w:p>
    <w:p>
      <w:pPr>
        <w:jc w:val="left"/>
        <w:rPr>
          <w:rFonts w:ascii="华文中宋" w:hAnsi="华文中宋" w:eastAsia="华文中宋"/>
          <w:b/>
          <w:bCs/>
          <w:sz w:val="32"/>
          <w:szCs w:val="32"/>
        </w:rPr>
      </w:pPr>
    </w:p>
    <w:p>
      <w:pPr>
        <w:widowControl/>
        <w:shd w:val="clear" w:color="auto"/>
        <w:spacing w:line="520" w:lineRule="exact"/>
        <w:rPr>
          <w:rFonts w:hint="eastAsia" w:ascii="仿宋_GB2312" w:hAnsi="Arial" w:eastAsia="仿宋_GB2312" w:cs="Arial"/>
          <w:b/>
          <w:bCs/>
          <w:color w:val="000000"/>
          <w:kern w:val="0"/>
          <w:sz w:val="40"/>
          <w:szCs w:val="40"/>
          <w:lang w:val="en-US" w:eastAsia="zh-CN"/>
        </w:rPr>
      </w:pPr>
    </w:p>
    <w:p>
      <w:pPr>
        <w:widowControl/>
        <w:shd w:val="clear" w:color="auto"/>
        <w:spacing w:line="520" w:lineRule="exact"/>
        <w:rPr>
          <w:rFonts w:hint="eastAsia" w:ascii="仿宋_GB2312" w:hAnsi="Arial" w:eastAsia="仿宋_GB2312" w:cs="Arial"/>
          <w:b/>
          <w:bCs/>
          <w:color w:val="000000"/>
          <w:kern w:val="0"/>
          <w:sz w:val="40"/>
          <w:szCs w:val="40"/>
          <w:lang w:val="en-US" w:eastAsia="zh-CN"/>
        </w:rPr>
      </w:pPr>
    </w:p>
    <w:p>
      <w:pPr>
        <w:widowControl/>
        <w:shd w:val="clear" w:color="auto"/>
        <w:spacing w:line="520" w:lineRule="exact"/>
        <w:rPr>
          <w:rFonts w:hint="eastAsia" w:ascii="仿宋_GB2312" w:hAnsi="Arial" w:eastAsia="仿宋_GB2312" w:cs="Arial"/>
          <w:b/>
          <w:bCs/>
          <w:color w:val="000000"/>
          <w:kern w:val="0"/>
          <w:sz w:val="40"/>
          <w:szCs w:val="40"/>
          <w:lang w:val="en-US" w:eastAsia="zh-CN"/>
        </w:rPr>
      </w:pPr>
    </w:p>
    <w:p>
      <w:pPr>
        <w:widowControl/>
        <w:shd w:val="clear" w:color="auto"/>
        <w:spacing w:line="520" w:lineRule="exact"/>
        <w:rPr>
          <w:rFonts w:hint="eastAsia" w:ascii="仿宋_GB2312" w:hAnsi="Arial" w:eastAsia="仿宋_GB2312" w:cs="Arial"/>
          <w:b/>
          <w:bCs/>
          <w:color w:val="000000"/>
          <w:kern w:val="0"/>
          <w:sz w:val="40"/>
          <w:szCs w:val="40"/>
          <w:lang w:val="en-US" w:eastAsia="zh-CN"/>
        </w:rPr>
      </w:pPr>
    </w:p>
    <w:p>
      <w:pPr>
        <w:widowControl/>
        <w:shd w:val="clear" w:color="auto"/>
        <w:spacing w:line="520" w:lineRule="exact"/>
        <w:rPr>
          <w:rFonts w:hint="eastAsia" w:ascii="仿宋_GB2312" w:hAnsi="Arial" w:eastAsia="仿宋_GB2312" w:cs="Arial"/>
          <w:b/>
          <w:bCs/>
          <w:color w:val="000000"/>
          <w:kern w:val="0"/>
          <w:sz w:val="40"/>
          <w:szCs w:val="40"/>
          <w:lang w:val="en-US" w:eastAsia="zh-CN"/>
        </w:rPr>
      </w:pPr>
    </w:p>
    <w:p>
      <w:pPr>
        <w:widowControl/>
        <w:shd w:val="clear" w:color="auto"/>
        <w:spacing w:line="520" w:lineRule="exact"/>
        <w:rPr>
          <w:rFonts w:hint="eastAsia" w:ascii="仿宋_GB2312" w:hAnsi="Arial" w:eastAsia="仿宋_GB2312" w:cs="Arial"/>
          <w:b/>
          <w:bCs/>
          <w:color w:val="000000"/>
          <w:kern w:val="0"/>
          <w:sz w:val="40"/>
          <w:szCs w:val="40"/>
          <w:lang w:val="en-US" w:eastAsia="zh-CN"/>
        </w:rPr>
      </w:pPr>
    </w:p>
    <w:p>
      <w:pPr>
        <w:widowControl/>
        <w:shd w:val="clear" w:color="auto"/>
        <w:spacing w:line="520" w:lineRule="exact"/>
        <w:rPr>
          <w:rFonts w:hint="eastAsia" w:ascii="仿宋_GB2312" w:hAnsi="Arial" w:eastAsia="仿宋_GB2312" w:cs="Arial"/>
          <w:b/>
          <w:bCs/>
          <w:color w:val="000000"/>
          <w:kern w:val="0"/>
          <w:sz w:val="40"/>
          <w:szCs w:val="40"/>
          <w:lang w:val="en-US" w:eastAsia="zh-CN"/>
        </w:rPr>
      </w:pPr>
    </w:p>
    <w:p>
      <w:pPr>
        <w:widowControl/>
        <w:shd w:val="clear" w:color="auto"/>
        <w:spacing w:line="520" w:lineRule="exact"/>
        <w:rPr>
          <w:rFonts w:hint="eastAsia" w:ascii="仿宋_GB2312" w:hAnsi="Arial" w:eastAsia="仿宋_GB2312" w:cs="Arial"/>
          <w:b/>
          <w:bCs/>
          <w:color w:val="000000"/>
          <w:kern w:val="0"/>
          <w:sz w:val="40"/>
          <w:szCs w:val="40"/>
          <w:lang w:val="en-US" w:eastAsia="zh-CN"/>
        </w:rPr>
      </w:pPr>
    </w:p>
    <w:p>
      <w:pPr>
        <w:widowControl/>
        <w:shd w:val="clear" w:color="auto"/>
        <w:spacing w:line="520" w:lineRule="exact"/>
        <w:rPr>
          <w:rFonts w:hint="eastAsia" w:ascii="仿宋_GB2312" w:hAnsi="Arial" w:eastAsia="仿宋_GB2312" w:cs="Arial"/>
          <w:b/>
          <w:bCs/>
          <w:color w:val="000000"/>
          <w:kern w:val="0"/>
          <w:sz w:val="40"/>
          <w:szCs w:val="40"/>
          <w:lang w:val="en-US" w:eastAsia="zh-CN"/>
        </w:rPr>
      </w:pPr>
    </w:p>
    <w:p>
      <w:pPr>
        <w:widowControl/>
        <w:shd w:val="clear" w:color="auto"/>
        <w:spacing w:line="520" w:lineRule="exact"/>
        <w:rPr>
          <w:rFonts w:hint="eastAsia" w:ascii="仿宋_GB2312" w:hAnsi="Arial" w:eastAsia="仿宋_GB2312" w:cs="Arial"/>
          <w:b/>
          <w:bCs/>
          <w:color w:val="000000"/>
          <w:kern w:val="0"/>
          <w:sz w:val="40"/>
          <w:szCs w:val="40"/>
          <w:lang w:val="en-US" w:eastAsia="zh-CN"/>
        </w:rPr>
      </w:pPr>
    </w:p>
    <w:p>
      <w:pPr>
        <w:widowControl/>
        <w:shd w:val="clear" w:color="auto"/>
        <w:spacing w:line="520" w:lineRule="exact"/>
        <w:rPr>
          <w:rFonts w:hint="eastAsia" w:ascii="仿宋_GB2312" w:hAnsi="Arial" w:eastAsia="仿宋_GB2312" w:cs="Arial"/>
          <w:b/>
          <w:bCs/>
          <w:color w:val="000000"/>
          <w:kern w:val="0"/>
          <w:sz w:val="40"/>
          <w:szCs w:val="40"/>
          <w:lang w:val="en-US" w:eastAsia="zh-CN"/>
        </w:rPr>
      </w:pPr>
    </w:p>
    <w:p>
      <w:pPr>
        <w:widowControl/>
        <w:shd w:val="clear" w:color="auto"/>
        <w:spacing w:line="520" w:lineRule="exact"/>
        <w:rPr>
          <w:rFonts w:hint="eastAsia" w:ascii="仿宋_GB2312" w:hAnsi="Arial" w:eastAsia="仿宋_GB2312" w:cs="Arial"/>
          <w:b/>
          <w:bCs/>
          <w:color w:val="000000"/>
          <w:kern w:val="0"/>
          <w:sz w:val="40"/>
          <w:szCs w:val="40"/>
          <w:lang w:val="en-US" w:eastAsia="zh-CN"/>
        </w:rPr>
      </w:pPr>
    </w:p>
    <w:p>
      <w:pPr>
        <w:widowControl/>
        <w:shd w:val="clear" w:color="auto"/>
        <w:spacing w:line="520" w:lineRule="exact"/>
        <w:rPr>
          <w:rFonts w:hint="eastAsia" w:ascii="仿宋_GB2312" w:hAnsi="Arial" w:eastAsia="仿宋_GB2312" w:cs="Arial"/>
          <w:b/>
          <w:bCs/>
          <w:color w:val="000000"/>
          <w:kern w:val="0"/>
          <w:sz w:val="40"/>
          <w:szCs w:val="40"/>
          <w:lang w:val="en-US" w:eastAsia="zh-CN"/>
        </w:rPr>
      </w:pPr>
    </w:p>
    <w:p>
      <w:pPr>
        <w:widowControl/>
        <w:shd w:val="clear" w:color="auto"/>
        <w:spacing w:line="520" w:lineRule="exact"/>
        <w:rPr>
          <w:rFonts w:hint="eastAsia" w:ascii="仿宋_GB2312" w:hAnsi="Arial" w:eastAsia="仿宋_GB2312" w:cs="Arial"/>
          <w:b/>
          <w:bCs/>
          <w:color w:val="000000"/>
          <w:kern w:val="0"/>
          <w:sz w:val="40"/>
          <w:szCs w:val="40"/>
          <w:lang w:val="en-US" w:eastAsia="zh-CN"/>
        </w:rPr>
      </w:pPr>
    </w:p>
    <w:p>
      <w:pPr>
        <w:snapToGrid w:val="0"/>
        <w:spacing w:line="360" w:lineRule="auto"/>
        <w:jc w:val="center"/>
        <w:rPr>
          <w:rFonts w:hAnsi="宋体" w:cs="黑体"/>
          <w:b/>
          <w:sz w:val="36"/>
          <w:szCs w:val="36"/>
        </w:rPr>
      </w:pPr>
    </w:p>
    <w:p>
      <w:pPr>
        <w:snapToGrid w:val="0"/>
        <w:spacing w:line="360" w:lineRule="auto"/>
        <w:jc w:val="center"/>
        <w:rPr>
          <w:rFonts w:hAnsi="宋体" w:cs="黑体"/>
          <w:b/>
          <w:sz w:val="36"/>
          <w:szCs w:val="36"/>
        </w:rPr>
      </w:pPr>
    </w:p>
    <w:p>
      <w:pPr>
        <w:snapToGrid w:val="0"/>
        <w:spacing w:line="360" w:lineRule="auto"/>
        <w:jc w:val="center"/>
        <w:rPr>
          <w:rFonts w:hAnsi="宋体" w:cs="黑体"/>
          <w:b/>
          <w:sz w:val="36"/>
          <w:szCs w:val="36"/>
        </w:rPr>
      </w:pPr>
      <w:r>
        <w:rPr>
          <w:rFonts w:hint="eastAsia" w:hAnsi="宋体" w:cs="黑体"/>
          <w:b/>
          <w:sz w:val="36"/>
          <w:szCs w:val="36"/>
        </w:rPr>
        <w:t>第四章合同条款及格式</w:t>
      </w:r>
      <w:bookmarkEnd w:id="69"/>
    </w:p>
    <w:p>
      <w:pPr>
        <w:tabs>
          <w:tab w:val="left" w:pos="5000"/>
        </w:tabs>
        <w:spacing w:line="360" w:lineRule="auto"/>
        <w:ind w:firstLine="490"/>
        <w:rPr>
          <w:rFonts w:hAnsi="宋体" w:cs="黑体"/>
          <w:b/>
          <w:sz w:val="32"/>
          <w:szCs w:val="32"/>
        </w:rPr>
      </w:pPr>
      <w:bookmarkStart w:id="78" w:name="_Toc278443514"/>
      <w:r>
        <w:rPr>
          <w:rFonts w:hint="eastAsia" w:hAnsi="宋体" w:cs="黑体"/>
          <w:b/>
          <w:sz w:val="32"/>
          <w:szCs w:val="32"/>
        </w:rPr>
        <w:t xml:space="preserve"> 采用由中华人民共和国住房和城乡建设部与国家工商行政管理局联合制定的《建设工程施工合同示范文本》（GF-2017-0201）签订合</w:t>
      </w:r>
      <w:bookmarkEnd w:id="78"/>
      <w:bookmarkStart w:id="79" w:name="_Toc278443518"/>
      <w:r>
        <w:rPr>
          <w:rFonts w:hint="eastAsia" w:hAnsi="宋体" w:cs="黑体"/>
          <w:b/>
          <w:sz w:val="32"/>
          <w:szCs w:val="32"/>
        </w:rPr>
        <w:t>同。</w:t>
      </w:r>
    </w:p>
    <w:p>
      <w:pPr>
        <w:autoSpaceDE w:val="0"/>
        <w:autoSpaceDN w:val="0"/>
        <w:adjustRightInd w:val="0"/>
        <w:jc w:val="center"/>
        <w:outlineLvl w:val="0"/>
        <w:rPr>
          <w:rFonts w:hAnsi="宋体" w:cs="黑体"/>
          <w:b/>
          <w:sz w:val="36"/>
          <w:szCs w:val="36"/>
        </w:rPr>
      </w:pPr>
    </w:p>
    <w:p>
      <w:pPr>
        <w:autoSpaceDE w:val="0"/>
        <w:autoSpaceDN w:val="0"/>
        <w:adjustRightInd w:val="0"/>
        <w:jc w:val="center"/>
        <w:outlineLvl w:val="0"/>
        <w:rPr>
          <w:rFonts w:hAnsi="宋体" w:cs="黑体"/>
          <w:b/>
          <w:sz w:val="36"/>
          <w:szCs w:val="36"/>
        </w:rPr>
      </w:pPr>
      <w:r>
        <w:rPr>
          <w:rFonts w:hAnsi="宋体" w:cs="黑体"/>
          <w:b/>
          <w:sz w:val="36"/>
          <w:szCs w:val="36"/>
        </w:rPr>
        <w:br w:type="page"/>
      </w:r>
    </w:p>
    <w:p>
      <w:pPr>
        <w:pStyle w:val="6"/>
        <w:jc w:val="center"/>
        <w:rPr>
          <w:rFonts w:ascii="Times New Roman" w:hAnsi="Times New Roman" w:eastAsia="华文中宋"/>
          <w:b w:val="0"/>
          <w:color w:val="000000"/>
          <w:sz w:val="44"/>
          <w:szCs w:val="44"/>
        </w:rPr>
      </w:pPr>
      <w:r>
        <w:rPr>
          <w:rFonts w:ascii="华文中宋" w:hAnsi="华文中宋" w:eastAsia="华文中宋"/>
          <w:sz w:val="44"/>
          <w:szCs w:val="44"/>
        </w:rPr>
        <w:t>第一部分 合同协议书</w:t>
      </w:r>
    </w:p>
    <w:p>
      <w:pPr>
        <w:pageBreakBefore w:val="0"/>
        <w:widowControl w:val="0"/>
        <w:kinsoku/>
        <w:wordWrap/>
        <w:overflowPunct/>
        <w:topLinePunct w:val="0"/>
        <w:bidi w:val="0"/>
        <w:snapToGrid/>
        <w:spacing w:line="480" w:lineRule="exact"/>
        <w:textAlignment w:val="auto"/>
        <w:rPr>
          <w:rFonts w:ascii="Times New Roman" w:hAnsi="Times New Roman" w:eastAsia="仿宋_GB2312"/>
          <w:b/>
          <w:color w:val="000000"/>
          <w:sz w:val="24"/>
          <w:szCs w:val="24"/>
          <w:u w:val="single"/>
        </w:rPr>
      </w:pPr>
      <w:r>
        <w:rPr>
          <w:rFonts w:ascii="Times New Roman" w:hAnsi="Times New Roman" w:eastAsia="仿宋_GB2312"/>
          <w:b/>
          <w:color w:val="000000"/>
          <w:sz w:val="24"/>
          <w:szCs w:val="24"/>
        </w:rPr>
        <w:t>发包人（全称）：</w:t>
      </w:r>
      <w:r>
        <w:rPr>
          <w:rFonts w:ascii="Times New Roman" w:hAnsi="Times New Roman" w:eastAsia="仿宋_GB2312"/>
          <w:b/>
          <w:color w:val="000000"/>
          <w:sz w:val="24"/>
          <w:szCs w:val="24"/>
          <w:u w:val="single"/>
        </w:rPr>
        <w:t xml:space="preserve">      </w:t>
      </w:r>
      <w:r>
        <w:rPr>
          <w:rFonts w:hint="eastAsia" w:ascii="Times New Roman" w:hAnsi="Times New Roman" w:eastAsia="仿宋_GB2312"/>
          <w:b/>
          <w:color w:val="000000"/>
          <w:sz w:val="24"/>
          <w:szCs w:val="24"/>
          <w:u w:val="single"/>
        </w:rPr>
        <w:t xml:space="preserve"> </w:t>
      </w:r>
      <w:r>
        <w:rPr>
          <w:rFonts w:ascii="Times New Roman" w:hAnsi="Times New Roman" w:eastAsia="仿宋_GB2312"/>
          <w:b/>
          <w:color w:val="000000"/>
          <w:sz w:val="24"/>
          <w:szCs w:val="24"/>
          <w:u w:val="single"/>
        </w:rPr>
        <w:t xml:space="preserve">    </w:t>
      </w:r>
      <w:r>
        <w:rPr>
          <w:rFonts w:hint="eastAsia" w:ascii="Times New Roman" w:hAnsi="Times New Roman" w:eastAsia="仿宋_GB2312"/>
          <w:b/>
          <w:color w:val="000000"/>
          <w:sz w:val="24"/>
          <w:szCs w:val="24"/>
          <w:u w:val="single"/>
        </w:rPr>
        <w:t xml:space="preserve"> </w:t>
      </w:r>
      <w:r>
        <w:rPr>
          <w:rFonts w:ascii="Times New Roman" w:hAnsi="Times New Roman" w:eastAsia="仿宋_GB2312"/>
          <w:b/>
          <w:color w:val="000000"/>
          <w:sz w:val="24"/>
          <w:szCs w:val="24"/>
          <w:u w:val="single"/>
        </w:rPr>
        <w:t xml:space="preserve">   </w:t>
      </w:r>
      <w:r>
        <w:rPr>
          <w:rFonts w:hint="eastAsia" w:ascii="Times New Roman" w:hAnsi="Times New Roman" w:eastAsia="仿宋_GB2312"/>
          <w:b/>
          <w:color w:val="000000"/>
          <w:sz w:val="24"/>
          <w:szCs w:val="24"/>
          <w:u w:val="single"/>
        </w:rPr>
        <w:t xml:space="preserve">      </w:t>
      </w:r>
      <w:r>
        <w:rPr>
          <w:rFonts w:ascii="Times New Roman" w:hAnsi="Times New Roman" w:eastAsia="仿宋_GB2312"/>
          <w:b/>
          <w:color w:val="000000"/>
          <w:sz w:val="24"/>
          <w:szCs w:val="24"/>
          <w:u w:val="single"/>
        </w:rPr>
        <w:t></w:t>
      </w:r>
      <w:r>
        <w:rPr>
          <w:rFonts w:hint="eastAsia" w:ascii="Times New Roman" w:hAnsi="Times New Roman" w:eastAsia="仿宋_GB2312"/>
          <w:b/>
          <w:color w:val="000000"/>
          <w:sz w:val="24"/>
          <w:szCs w:val="24"/>
          <w:u w:val="single"/>
        </w:rPr>
        <w:t xml:space="preserve"> </w:t>
      </w:r>
      <w:r>
        <w:rPr>
          <w:rFonts w:ascii="Times New Roman" w:hAnsi="Times New Roman" w:eastAsia="仿宋_GB2312"/>
          <w:b/>
          <w:color w:val="000000"/>
          <w:sz w:val="24"/>
          <w:szCs w:val="24"/>
          <w:u w:val="single"/>
        </w:rPr>
        <w:t></w:t>
      </w:r>
      <w:r>
        <w:rPr>
          <w:rFonts w:hint="eastAsia" w:ascii="Times New Roman" w:hAnsi="Times New Roman" w:eastAsia="仿宋_GB2312"/>
          <w:b/>
          <w:color w:val="000000"/>
          <w:sz w:val="24"/>
          <w:szCs w:val="24"/>
          <w:u w:val="single"/>
        </w:rPr>
        <w:t xml:space="preserve"> </w:t>
      </w:r>
      <w:r>
        <w:rPr>
          <w:rFonts w:ascii="Times New Roman" w:hAnsi="Times New Roman" w:eastAsia="仿宋_GB2312"/>
          <w:b/>
          <w:color w:val="000000"/>
          <w:sz w:val="24"/>
          <w:szCs w:val="24"/>
          <w:u w:val="single"/>
        </w:rPr>
        <w:t></w:t>
      </w:r>
    </w:p>
    <w:p>
      <w:pPr>
        <w:pageBreakBefore w:val="0"/>
        <w:widowControl w:val="0"/>
        <w:kinsoku/>
        <w:wordWrap/>
        <w:overflowPunct/>
        <w:topLinePunct w:val="0"/>
        <w:bidi w:val="0"/>
        <w:snapToGrid/>
        <w:spacing w:line="480" w:lineRule="exact"/>
        <w:textAlignment w:val="auto"/>
        <w:rPr>
          <w:rFonts w:ascii="Times New Roman" w:hAnsi="Times New Roman" w:eastAsia="仿宋_GB2312"/>
          <w:b/>
          <w:color w:val="000000"/>
          <w:sz w:val="24"/>
          <w:szCs w:val="24"/>
          <w:u w:val="single"/>
        </w:rPr>
      </w:pPr>
      <w:r>
        <w:rPr>
          <w:rFonts w:ascii="Times New Roman" w:hAnsi="Times New Roman" w:eastAsia="仿宋_GB2312"/>
          <w:b/>
          <w:color w:val="000000"/>
          <w:sz w:val="24"/>
          <w:szCs w:val="24"/>
        </w:rPr>
        <w:t>承包人（全称）：</w:t>
      </w:r>
      <w:r>
        <w:rPr>
          <w:rFonts w:ascii="Times New Roman" w:hAnsi="Times New Roman" w:eastAsia="仿宋_GB2312"/>
          <w:b/>
          <w:color w:val="000000"/>
          <w:sz w:val="24"/>
          <w:szCs w:val="24"/>
          <w:u w:val="single"/>
        </w:rPr>
        <w:t xml:space="preserve">  </w:t>
      </w:r>
      <w:r>
        <w:rPr>
          <w:rFonts w:hint="eastAsia" w:ascii="Times New Roman" w:hAnsi="Times New Roman" w:eastAsia="仿宋_GB2312"/>
          <w:b/>
          <w:color w:val="000000"/>
          <w:sz w:val="24"/>
          <w:szCs w:val="24"/>
          <w:u w:val="single"/>
        </w:rPr>
        <w:t xml:space="preserve"> </w:t>
      </w:r>
      <w:r>
        <w:rPr>
          <w:rFonts w:ascii="Times New Roman" w:hAnsi="Times New Roman" w:eastAsia="仿宋_GB2312"/>
          <w:b/>
          <w:color w:val="000000"/>
          <w:sz w:val="24"/>
          <w:szCs w:val="24"/>
          <w:u w:val="single"/>
        </w:rPr>
        <w:t xml:space="preserve">       </w:t>
      </w:r>
      <w:r>
        <w:rPr>
          <w:rFonts w:hint="eastAsia" w:ascii="Times New Roman" w:hAnsi="Times New Roman" w:eastAsia="仿宋_GB2312"/>
          <w:b/>
          <w:color w:val="000000"/>
          <w:sz w:val="24"/>
          <w:szCs w:val="24"/>
          <w:u w:val="single"/>
        </w:rPr>
        <w:t xml:space="preserve"> </w:t>
      </w:r>
      <w:r>
        <w:rPr>
          <w:rFonts w:ascii="Times New Roman" w:hAnsi="Times New Roman" w:eastAsia="仿宋_GB2312"/>
          <w:b/>
          <w:color w:val="000000"/>
          <w:sz w:val="24"/>
          <w:szCs w:val="24"/>
          <w:u w:val="single"/>
        </w:rPr>
        <w:t xml:space="preserve">   </w:t>
      </w:r>
      <w:r>
        <w:rPr>
          <w:rFonts w:hint="eastAsia" w:ascii="Times New Roman" w:hAnsi="Times New Roman" w:eastAsia="仿宋_GB2312"/>
          <w:b/>
          <w:color w:val="000000"/>
          <w:sz w:val="24"/>
          <w:szCs w:val="24"/>
          <w:u w:val="single"/>
        </w:rPr>
        <w:t xml:space="preserve">   </w:t>
      </w:r>
      <w:r>
        <w:rPr>
          <w:rFonts w:ascii="Times New Roman" w:hAnsi="Times New Roman" w:eastAsia="仿宋_GB2312"/>
          <w:b/>
          <w:color w:val="000000"/>
          <w:sz w:val="24"/>
          <w:szCs w:val="24"/>
          <w:u w:val="single"/>
        </w:rPr>
        <w:t xml:space="preserve"> </w:t>
      </w:r>
      <w:r>
        <w:rPr>
          <w:rFonts w:hint="eastAsia" w:ascii="Times New Roman" w:hAnsi="Times New Roman" w:eastAsia="仿宋_GB2312"/>
          <w:b/>
          <w:color w:val="000000"/>
          <w:sz w:val="24"/>
          <w:szCs w:val="24"/>
          <w:u w:val="single"/>
        </w:rPr>
        <w:t xml:space="preserve">  </w:t>
      </w:r>
      <w:r>
        <w:rPr>
          <w:rFonts w:ascii="Times New Roman" w:hAnsi="Times New Roman" w:eastAsia="仿宋_GB2312"/>
          <w:b/>
          <w:color w:val="000000"/>
          <w:sz w:val="24"/>
          <w:szCs w:val="24"/>
          <w:u w:val="single"/>
        </w:rPr>
        <w:t></w:t>
      </w:r>
      <w:r>
        <w:rPr>
          <w:rFonts w:hint="eastAsia" w:ascii="Times New Roman" w:hAnsi="Times New Roman" w:eastAsia="仿宋_GB2312"/>
          <w:b/>
          <w:color w:val="000000"/>
          <w:sz w:val="24"/>
          <w:szCs w:val="24"/>
          <w:u w:val="single"/>
        </w:rPr>
        <w:t xml:space="preserve">  </w:t>
      </w:r>
      <w:r>
        <w:rPr>
          <w:rFonts w:ascii="Times New Roman" w:hAnsi="Times New Roman" w:eastAsia="仿宋_GB2312"/>
          <w:b/>
          <w:color w:val="000000"/>
          <w:sz w:val="24"/>
          <w:szCs w:val="24"/>
          <w:u w:val="single"/>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根据《中华人民共和国合同法》、《中华人民共和国建筑法》及有关法律规定，遵循平等、自愿、公平和诚实信用的原则，双方就</w:t>
      </w:r>
    </w:p>
    <w:p>
      <w:pPr>
        <w:pageBreakBefore w:val="0"/>
        <w:widowControl w:val="0"/>
        <w:kinsoku/>
        <w:wordWrap/>
        <w:overflowPunct/>
        <w:topLinePunct w:val="0"/>
        <w:bidi w:val="0"/>
        <w:snapToGrid/>
        <w:spacing w:line="480" w:lineRule="exac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工程施工及有关事项协商一致</w:t>
      </w:r>
      <w:r>
        <w:rPr>
          <w:rFonts w:hint="eastAsia" w:ascii="Times New Roman" w:hAnsi="Times New Roman" w:eastAsia="仿宋_GB2312"/>
          <w:color w:val="000000"/>
          <w:sz w:val="24"/>
          <w:szCs w:val="24"/>
        </w:rPr>
        <w:t>，</w:t>
      </w:r>
      <w:r>
        <w:rPr>
          <w:rFonts w:ascii="Times New Roman" w:hAnsi="Times New Roman" w:eastAsia="仿宋_GB2312"/>
          <w:color w:val="000000"/>
          <w:sz w:val="24"/>
          <w:szCs w:val="24"/>
        </w:rPr>
        <w:t>共同达成如下协议：</w:t>
      </w:r>
    </w:p>
    <w:p>
      <w:pPr>
        <w:pStyle w:val="7"/>
        <w:keepNext/>
        <w:keepLines/>
        <w:pageBreakBefore w:val="0"/>
        <w:widowControl w:val="0"/>
        <w:kinsoku/>
        <w:wordWrap/>
        <w:overflowPunct/>
        <w:topLinePunct w:val="0"/>
        <w:autoSpaceDE/>
        <w:autoSpaceDN/>
        <w:bidi w:val="0"/>
        <w:adjustRightInd/>
        <w:snapToGrid/>
        <w:spacing w:line="480" w:lineRule="exact"/>
        <w:textAlignment w:val="auto"/>
        <w:outlineLvl w:val="3"/>
        <w:rPr>
          <w:rFonts w:ascii="Times New Roman" w:hAnsi="Times New Roman" w:eastAsia="黑体"/>
          <w:bCs w:val="0"/>
          <w:color w:val="000000"/>
          <w:sz w:val="24"/>
          <w:szCs w:val="24"/>
        </w:rPr>
      </w:pPr>
      <w:r>
        <w:rPr>
          <w:rFonts w:ascii="Times New Roman" w:hAnsi="Times New Roman" w:eastAsia="黑体"/>
          <w:bCs w:val="0"/>
          <w:color w:val="000000"/>
          <w:sz w:val="24"/>
          <w:szCs w:val="24"/>
        </w:rPr>
        <w:t xml:space="preserve">   </w:t>
      </w:r>
      <w:r>
        <w:rPr>
          <w:rFonts w:ascii="Times New Roman" w:hAnsi="Times New Roman" w:eastAsia="黑体"/>
          <w:b w:val="0"/>
          <w:color w:val="000000"/>
          <w:sz w:val="24"/>
          <w:szCs w:val="24"/>
        </w:rPr>
        <w:t xml:space="preserve"> </w:t>
      </w:r>
      <w:bookmarkStart w:id="80" w:name="_Toc351203481"/>
      <w:r>
        <w:rPr>
          <w:rFonts w:ascii="Times New Roman" w:hAnsi="Times New Roman" w:eastAsia="黑体"/>
          <w:b w:val="0"/>
          <w:color w:val="000000"/>
          <w:sz w:val="24"/>
          <w:szCs w:val="24"/>
        </w:rPr>
        <w:t>一、工程概况</w:t>
      </w:r>
      <w:bookmarkEnd w:id="80"/>
    </w:p>
    <w:p>
      <w:pPr>
        <w:pageBreakBefore w:val="0"/>
        <w:widowControl w:val="0"/>
        <w:kinsoku/>
        <w:wordWrap/>
        <w:overflowPunct/>
        <w:topLinePunct w:val="0"/>
        <w:bidi w:val="0"/>
        <w:snapToGrid/>
        <w:spacing w:line="480" w:lineRule="exact"/>
        <w:ind w:firstLine="470" w:firstLineChars="196"/>
        <w:textAlignment w:val="auto"/>
        <w:rPr>
          <w:rFonts w:ascii="Times New Roman" w:hAnsi="Times New Roman" w:eastAsia="仿宋_GB2312"/>
          <w:color w:val="000000"/>
          <w:sz w:val="24"/>
          <w:szCs w:val="24"/>
          <w:u w:val="single"/>
        </w:rPr>
      </w:pPr>
      <w:r>
        <w:rPr>
          <w:rFonts w:ascii="Times New Roman" w:hAnsi="Times New Roman" w:eastAsia="仿宋_GB2312"/>
          <w:bCs/>
          <w:color w:val="000000"/>
          <w:sz w:val="24"/>
          <w:szCs w:val="24"/>
        </w:rPr>
        <w:t>1.工程名称</w:t>
      </w:r>
      <w:r>
        <w:rPr>
          <w:rFonts w:ascii="Times New Roman" w:hAnsi="Times New Roman" w:eastAsia="仿宋_GB2312"/>
          <w:color w:val="000000"/>
          <w:sz w:val="24"/>
          <w:szCs w:val="24"/>
        </w:rPr>
        <w:t>：</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70" w:firstLineChars="196"/>
        <w:textAlignment w:val="auto"/>
        <w:rPr>
          <w:rFonts w:ascii="Times New Roman" w:hAnsi="Times New Roman" w:eastAsia="仿宋_GB2312"/>
          <w:bCs/>
          <w:color w:val="000000"/>
          <w:sz w:val="24"/>
          <w:szCs w:val="24"/>
        </w:rPr>
      </w:pPr>
      <w:r>
        <w:rPr>
          <w:rFonts w:ascii="Times New Roman" w:hAnsi="Times New Roman" w:eastAsia="仿宋_GB2312"/>
          <w:bCs/>
          <w:color w:val="000000"/>
          <w:sz w:val="24"/>
          <w:szCs w:val="24"/>
        </w:rPr>
        <w:t>2.工程地点：</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70" w:firstLineChars="196"/>
        <w:textAlignment w:val="auto"/>
        <w:rPr>
          <w:rFonts w:ascii="Times New Roman" w:hAnsi="Times New Roman" w:eastAsia="仿宋_GB2312"/>
          <w:bCs/>
          <w:color w:val="000000"/>
          <w:sz w:val="24"/>
          <w:szCs w:val="24"/>
        </w:rPr>
      </w:pPr>
      <w:r>
        <w:rPr>
          <w:rFonts w:ascii="Times New Roman" w:hAnsi="Times New Roman" w:eastAsia="仿宋_GB2312"/>
          <w:bCs/>
          <w:color w:val="000000"/>
          <w:sz w:val="24"/>
          <w:szCs w:val="24"/>
        </w:rPr>
        <w:t>3.工程立项批准文号：</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bCs/>
          <w:color w:val="000000"/>
          <w:sz w:val="24"/>
          <w:szCs w:val="24"/>
        </w:rPr>
        <w:t>。</w:t>
      </w:r>
    </w:p>
    <w:p>
      <w:pPr>
        <w:pageBreakBefore w:val="0"/>
        <w:widowControl w:val="0"/>
        <w:kinsoku/>
        <w:wordWrap/>
        <w:overflowPunct/>
        <w:topLinePunct w:val="0"/>
        <w:bidi w:val="0"/>
        <w:snapToGrid/>
        <w:spacing w:line="480" w:lineRule="exact"/>
        <w:ind w:firstLine="470" w:firstLineChars="196"/>
        <w:textAlignment w:val="auto"/>
        <w:rPr>
          <w:rFonts w:hint="eastAsia" w:ascii="Times New Roman" w:hAnsi="Times New Roman" w:eastAsia="仿宋_GB2312"/>
          <w:bCs/>
          <w:color w:val="000000"/>
          <w:sz w:val="24"/>
          <w:szCs w:val="24"/>
        </w:rPr>
      </w:pPr>
      <w:r>
        <w:rPr>
          <w:rFonts w:ascii="Times New Roman" w:hAnsi="Times New Roman" w:eastAsia="仿宋_GB2312"/>
          <w:bCs/>
          <w:color w:val="000000"/>
          <w:sz w:val="24"/>
          <w:szCs w:val="24"/>
        </w:rPr>
        <w:t>4.资金来源：</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bCs/>
          <w:color w:val="000000"/>
          <w:sz w:val="24"/>
          <w:szCs w:val="24"/>
        </w:rPr>
        <w:t>。</w:t>
      </w:r>
    </w:p>
    <w:p>
      <w:pPr>
        <w:pageBreakBefore w:val="0"/>
        <w:widowControl w:val="0"/>
        <w:kinsoku/>
        <w:wordWrap/>
        <w:overflowPunct/>
        <w:topLinePunct w:val="0"/>
        <w:bidi w:val="0"/>
        <w:snapToGrid/>
        <w:spacing w:line="480" w:lineRule="exact"/>
        <w:ind w:firstLine="470" w:firstLineChars="196"/>
        <w:textAlignment w:val="auto"/>
        <w:rPr>
          <w:rFonts w:hint="eastAsia" w:ascii="Times New Roman" w:hAnsi="Times New Roman" w:eastAsia="仿宋_GB2312"/>
          <w:bCs/>
          <w:color w:val="000000"/>
          <w:sz w:val="24"/>
          <w:szCs w:val="24"/>
        </w:rPr>
      </w:pPr>
      <w:r>
        <w:rPr>
          <w:rFonts w:hint="eastAsia" w:ascii="Times New Roman" w:hAnsi="Times New Roman" w:eastAsia="仿宋_GB2312"/>
          <w:bCs/>
          <w:color w:val="000000"/>
          <w:sz w:val="24"/>
          <w:szCs w:val="24"/>
        </w:rPr>
        <w:t>5.工程内容：</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bCs/>
          <w:color w:val="000000"/>
          <w:sz w:val="24"/>
          <w:szCs w:val="24"/>
        </w:rPr>
        <w:t>。</w:t>
      </w:r>
    </w:p>
    <w:p>
      <w:pPr>
        <w:pageBreakBefore w:val="0"/>
        <w:widowControl w:val="0"/>
        <w:kinsoku/>
        <w:wordWrap/>
        <w:overflowPunct/>
        <w:topLinePunct w:val="0"/>
        <w:bidi w:val="0"/>
        <w:snapToGrid/>
        <w:spacing w:line="480" w:lineRule="exact"/>
        <w:ind w:firstLine="470" w:firstLineChars="196"/>
        <w:textAlignment w:val="auto"/>
        <w:rPr>
          <w:rFonts w:ascii="Times New Roman" w:hAnsi="Times New Roman" w:eastAsia="仿宋_GB2312"/>
          <w:bCs/>
          <w:color w:val="000000"/>
          <w:sz w:val="24"/>
          <w:szCs w:val="24"/>
        </w:rPr>
      </w:pPr>
      <w:r>
        <w:rPr>
          <w:rFonts w:hint="eastAsia" w:ascii="Times New Roman" w:hAnsi="Times New Roman" w:eastAsia="仿宋_GB2312"/>
          <w:color w:val="000000"/>
          <w:sz w:val="24"/>
          <w:szCs w:val="24"/>
        </w:rPr>
        <w:t>群体工程应附《</w:t>
      </w:r>
      <w:r>
        <w:rPr>
          <w:rFonts w:ascii="Times New Roman" w:hAnsi="Times New Roman" w:eastAsia="仿宋_GB2312"/>
          <w:color w:val="000000"/>
          <w:sz w:val="24"/>
          <w:szCs w:val="24"/>
        </w:rPr>
        <w:t>承包人承揽工程项目一览表</w:t>
      </w:r>
      <w:r>
        <w:rPr>
          <w:rFonts w:hint="eastAsia" w:ascii="Times New Roman" w:hAnsi="Times New Roman" w:eastAsia="仿宋_GB2312"/>
          <w:color w:val="000000"/>
          <w:sz w:val="24"/>
          <w:szCs w:val="24"/>
        </w:rPr>
        <w:t>》（附件1）。</w:t>
      </w:r>
    </w:p>
    <w:p>
      <w:pPr>
        <w:pageBreakBefore w:val="0"/>
        <w:widowControl w:val="0"/>
        <w:kinsoku/>
        <w:wordWrap/>
        <w:overflowPunct/>
        <w:topLinePunct w:val="0"/>
        <w:bidi w:val="0"/>
        <w:snapToGrid/>
        <w:spacing w:line="480" w:lineRule="exact"/>
        <w:ind w:firstLine="470" w:firstLineChars="196"/>
        <w:textAlignment w:val="auto"/>
        <w:rPr>
          <w:rFonts w:ascii="Times New Roman" w:hAnsi="Times New Roman" w:eastAsia="仿宋_GB2312"/>
          <w:bCs/>
          <w:color w:val="000000"/>
          <w:sz w:val="24"/>
          <w:szCs w:val="24"/>
        </w:rPr>
      </w:pPr>
      <w:r>
        <w:rPr>
          <w:rFonts w:hint="eastAsia" w:ascii="Times New Roman" w:hAnsi="Times New Roman" w:eastAsia="仿宋_GB2312"/>
          <w:bCs/>
          <w:color w:val="000000"/>
          <w:sz w:val="24"/>
          <w:szCs w:val="24"/>
        </w:rPr>
        <w:t>6</w:t>
      </w:r>
      <w:r>
        <w:rPr>
          <w:rFonts w:ascii="Times New Roman" w:hAnsi="Times New Roman" w:eastAsia="仿宋_GB2312"/>
          <w:bCs/>
          <w:color w:val="000000"/>
          <w:sz w:val="24"/>
          <w:szCs w:val="24"/>
        </w:rPr>
        <w:t>.工程承包范围：</w:t>
      </w:r>
    </w:p>
    <w:p>
      <w:pPr>
        <w:pageBreakBefore w:val="0"/>
        <w:widowControl w:val="0"/>
        <w:kinsoku/>
        <w:wordWrap/>
        <w:overflowPunct/>
        <w:topLinePunct w:val="0"/>
        <w:bidi w:val="0"/>
        <w:snapToGrid/>
        <w:spacing w:line="480" w:lineRule="exact"/>
        <w:ind w:firstLine="463" w:firstLineChars="193"/>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ascii="Times New Roman" w:hAnsi="Times New Roman" w:eastAsia="仿宋_GB2312"/>
          <w:color w:val="000000"/>
          <w:sz w:val="24"/>
          <w:szCs w:val="24"/>
        </w:rPr>
        <w:t>。</w:t>
      </w:r>
    </w:p>
    <w:p>
      <w:pPr>
        <w:pStyle w:val="7"/>
        <w:keepNext/>
        <w:keepLines/>
        <w:pageBreakBefore w:val="0"/>
        <w:widowControl w:val="0"/>
        <w:kinsoku/>
        <w:wordWrap/>
        <w:overflowPunct/>
        <w:topLinePunct w:val="0"/>
        <w:autoSpaceDE/>
        <w:autoSpaceDN/>
        <w:bidi w:val="0"/>
        <w:adjustRightInd/>
        <w:snapToGrid/>
        <w:spacing w:line="480" w:lineRule="exact"/>
        <w:textAlignment w:val="auto"/>
        <w:outlineLvl w:val="3"/>
        <w:rPr>
          <w:rFonts w:ascii="Times New Roman" w:hAnsi="Times New Roman" w:eastAsia="黑体"/>
          <w:b w:val="0"/>
          <w:color w:val="000000"/>
          <w:sz w:val="24"/>
          <w:szCs w:val="24"/>
        </w:rPr>
      </w:pPr>
      <w:r>
        <w:rPr>
          <w:rFonts w:ascii="Times New Roman" w:hAnsi="Times New Roman" w:eastAsia="黑体"/>
          <w:b w:val="0"/>
          <w:color w:val="000000"/>
          <w:sz w:val="24"/>
          <w:szCs w:val="24"/>
        </w:rPr>
        <w:t xml:space="preserve">   </w:t>
      </w:r>
      <w:bookmarkStart w:id="81" w:name="_Toc351203482"/>
      <w:r>
        <w:rPr>
          <w:rFonts w:ascii="Times New Roman" w:hAnsi="Times New Roman" w:eastAsia="黑体"/>
          <w:b w:val="0"/>
          <w:color w:val="000000"/>
          <w:sz w:val="24"/>
          <w:szCs w:val="24"/>
        </w:rPr>
        <w:t>二、合同工期</w:t>
      </w:r>
      <w:bookmarkEnd w:id="81"/>
    </w:p>
    <w:p>
      <w:pPr>
        <w:pageBreakBefore w:val="0"/>
        <w:widowControl w:val="0"/>
        <w:kinsoku/>
        <w:wordWrap/>
        <w:overflowPunct/>
        <w:topLinePunct w:val="0"/>
        <w:bidi w:val="0"/>
        <w:snapToGrid/>
        <w:spacing w:line="480" w:lineRule="exact"/>
        <w:ind w:firstLine="459"/>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计划开工日期：</w:t>
      </w:r>
      <w:r>
        <w:rPr>
          <w:rFonts w:ascii="Times New Roman" w:hAnsi="Times New Roman" w:eastAsia="仿宋_GB2312"/>
          <w:color w:val="000000"/>
          <w:sz w:val="24"/>
          <w:szCs w:val="24"/>
          <w:u w:val="single"/>
        </w:rPr>
        <w:t></w:t>
      </w:r>
      <w:r>
        <w:rPr>
          <w:rFonts w:ascii="Times New Roman" w:hAnsi="Times New Roman" w:eastAsia="仿宋_GB2312"/>
          <w:color w:val="000000"/>
          <w:sz w:val="24"/>
          <w:szCs w:val="24"/>
        </w:rPr>
        <w:t>年</w:t>
      </w:r>
      <w:r>
        <w:rPr>
          <w:rFonts w:ascii="Times New Roman" w:hAnsi="Times New Roman" w:eastAsia="仿宋_GB2312"/>
          <w:color w:val="000000"/>
          <w:sz w:val="24"/>
          <w:szCs w:val="24"/>
          <w:u w:val="single"/>
        </w:rPr>
        <w:t></w:t>
      </w:r>
      <w:r>
        <w:rPr>
          <w:rFonts w:ascii="Times New Roman" w:hAnsi="Times New Roman" w:eastAsia="仿宋_GB2312"/>
          <w:color w:val="000000"/>
          <w:sz w:val="24"/>
          <w:szCs w:val="24"/>
        </w:rPr>
        <w:t>月</w:t>
      </w:r>
      <w:r>
        <w:rPr>
          <w:rFonts w:ascii="Times New Roman" w:hAnsi="Times New Roman" w:eastAsia="仿宋_GB2312"/>
          <w:color w:val="000000"/>
          <w:sz w:val="24"/>
          <w:szCs w:val="24"/>
          <w:u w:val="single"/>
        </w:rPr>
        <w:t></w:t>
      </w:r>
      <w:r>
        <w:rPr>
          <w:rFonts w:ascii="Times New Roman" w:hAnsi="Times New Roman" w:eastAsia="仿宋_GB2312"/>
          <w:color w:val="000000"/>
          <w:sz w:val="24"/>
          <w:szCs w:val="24"/>
        </w:rPr>
        <w:t>日。</w:t>
      </w:r>
    </w:p>
    <w:p>
      <w:pPr>
        <w:pageBreakBefore w:val="0"/>
        <w:widowControl w:val="0"/>
        <w:kinsoku/>
        <w:wordWrap/>
        <w:overflowPunct/>
        <w:topLinePunct w:val="0"/>
        <w:bidi w:val="0"/>
        <w:snapToGrid/>
        <w:spacing w:line="480" w:lineRule="exact"/>
        <w:ind w:firstLine="459"/>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计划竣工日期：</w:t>
      </w:r>
      <w:r>
        <w:rPr>
          <w:rFonts w:ascii="Times New Roman" w:hAnsi="Times New Roman" w:eastAsia="仿宋_GB2312"/>
          <w:color w:val="000000"/>
          <w:sz w:val="24"/>
          <w:szCs w:val="24"/>
          <w:u w:val="single"/>
        </w:rPr>
        <w:t></w:t>
      </w:r>
      <w:r>
        <w:rPr>
          <w:rFonts w:ascii="Times New Roman" w:hAnsi="Times New Roman" w:eastAsia="仿宋_GB2312"/>
          <w:color w:val="000000"/>
          <w:sz w:val="24"/>
          <w:szCs w:val="24"/>
        </w:rPr>
        <w:t>年</w:t>
      </w:r>
      <w:r>
        <w:rPr>
          <w:rFonts w:ascii="Times New Roman" w:hAnsi="Times New Roman" w:eastAsia="仿宋_GB2312"/>
          <w:color w:val="000000"/>
          <w:sz w:val="24"/>
          <w:szCs w:val="24"/>
          <w:u w:val="single"/>
        </w:rPr>
        <w:t></w:t>
      </w:r>
      <w:r>
        <w:rPr>
          <w:rFonts w:ascii="Times New Roman" w:hAnsi="Times New Roman" w:eastAsia="仿宋_GB2312"/>
          <w:color w:val="000000"/>
          <w:sz w:val="24"/>
          <w:szCs w:val="24"/>
        </w:rPr>
        <w:t>月</w:t>
      </w:r>
      <w:r>
        <w:rPr>
          <w:rFonts w:ascii="Times New Roman" w:hAnsi="Times New Roman" w:eastAsia="仿宋_GB2312"/>
          <w:color w:val="000000"/>
          <w:sz w:val="24"/>
          <w:szCs w:val="24"/>
          <w:u w:val="single"/>
        </w:rPr>
        <w:t></w:t>
      </w:r>
      <w:r>
        <w:rPr>
          <w:rFonts w:ascii="Times New Roman" w:hAnsi="Times New Roman" w:eastAsia="仿宋_GB2312"/>
          <w:color w:val="000000"/>
          <w:sz w:val="24"/>
          <w:szCs w:val="24"/>
        </w:rPr>
        <w:t>日。</w:t>
      </w:r>
    </w:p>
    <w:p>
      <w:pPr>
        <w:pageBreakBefore w:val="0"/>
        <w:widowControl w:val="0"/>
        <w:kinsoku/>
        <w:wordWrap/>
        <w:overflowPunct/>
        <w:topLinePunct w:val="0"/>
        <w:bidi w:val="0"/>
        <w:snapToGrid/>
        <w:spacing w:line="480" w:lineRule="exact"/>
        <w:ind w:firstLine="459"/>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工期总日历天数：</w:t>
      </w:r>
      <w:r>
        <w:rPr>
          <w:rFonts w:ascii="Times New Roman" w:hAnsi="Times New Roman" w:eastAsia="仿宋_GB2312"/>
          <w:color w:val="000000"/>
          <w:sz w:val="24"/>
          <w:szCs w:val="24"/>
          <w:u w:val="single"/>
        </w:rPr>
        <w:t></w:t>
      </w:r>
      <w:r>
        <w:rPr>
          <w:rFonts w:ascii="Times New Roman" w:hAnsi="Times New Roman" w:eastAsia="仿宋_GB2312"/>
          <w:color w:val="000000"/>
          <w:sz w:val="24"/>
          <w:szCs w:val="24"/>
        </w:rPr>
        <w:t>天。工期总日历天数与根据前述计划开竣工日期计算的工期天数不一致的，以工期总日历天数为准。</w:t>
      </w:r>
    </w:p>
    <w:p>
      <w:pPr>
        <w:pStyle w:val="7"/>
        <w:keepNext/>
        <w:keepLines/>
        <w:pageBreakBefore w:val="0"/>
        <w:widowControl w:val="0"/>
        <w:kinsoku/>
        <w:wordWrap/>
        <w:overflowPunct/>
        <w:topLinePunct w:val="0"/>
        <w:autoSpaceDE/>
        <w:autoSpaceDN/>
        <w:bidi w:val="0"/>
        <w:adjustRightInd/>
        <w:snapToGrid/>
        <w:spacing w:line="480" w:lineRule="exact"/>
        <w:textAlignment w:val="auto"/>
        <w:outlineLvl w:val="3"/>
        <w:rPr>
          <w:rFonts w:ascii="Times New Roman" w:hAnsi="Times New Roman" w:eastAsia="黑体"/>
          <w:bCs w:val="0"/>
          <w:color w:val="000000"/>
          <w:sz w:val="24"/>
          <w:szCs w:val="24"/>
        </w:rPr>
      </w:pPr>
      <w:r>
        <w:rPr>
          <w:rFonts w:ascii="Times New Roman" w:hAnsi="Times New Roman" w:eastAsia="黑体"/>
          <w:bCs w:val="0"/>
          <w:color w:val="000000"/>
          <w:sz w:val="24"/>
          <w:szCs w:val="24"/>
        </w:rPr>
        <w:t xml:space="preserve">    </w:t>
      </w:r>
      <w:bookmarkStart w:id="82" w:name="_Toc351203483"/>
      <w:r>
        <w:rPr>
          <w:rFonts w:ascii="Times New Roman" w:hAnsi="Times New Roman" w:eastAsia="黑体"/>
          <w:b w:val="0"/>
          <w:color w:val="000000"/>
          <w:sz w:val="24"/>
          <w:szCs w:val="24"/>
        </w:rPr>
        <w:t>三、质量标准</w:t>
      </w:r>
      <w:bookmarkEnd w:id="82"/>
    </w:p>
    <w:p>
      <w:pPr>
        <w:pageBreakBefore w:val="0"/>
        <w:widowControl w:val="0"/>
        <w:kinsoku/>
        <w:wordWrap/>
        <w:overflowPunct/>
        <w:topLinePunct w:val="0"/>
        <w:bidi w:val="0"/>
        <w:snapToGrid/>
        <w:spacing w:line="480" w:lineRule="exact"/>
        <w:ind w:firstLine="459"/>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工程质量符合</w:t>
      </w:r>
      <w:r>
        <w:rPr>
          <w:rFonts w:ascii="Times New Roman" w:hAnsi="Times New Roman" w:eastAsia="仿宋_GB2312"/>
          <w:color w:val="000000"/>
          <w:sz w:val="24"/>
          <w:szCs w:val="24"/>
          <w:u w:val="single"/>
        </w:rPr>
        <w:t></w:t>
      </w:r>
      <w:r>
        <w:rPr>
          <w:rFonts w:ascii="Times New Roman" w:hAnsi="Times New Roman" w:eastAsia="仿宋_GB2312"/>
          <w:color w:val="000000"/>
          <w:sz w:val="24"/>
          <w:szCs w:val="24"/>
        </w:rPr>
        <w:t>标准。</w:t>
      </w:r>
    </w:p>
    <w:p>
      <w:pPr>
        <w:pStyle w:val="7"/>
        <w:keepNext/>
        <w:keepLines/>
        <w:pageBreakBefore w:val="0"/>
        <w:widowControl w:val="0"/>
        <w:kinsoku/>
        <w:wordWrap/>
        <w:overflowPunct/>
        <w:topLinePunct w:val="0"/>
        <w:autoSpaceDE/>
        <w:autoSpaceDN/>
        <w:bidi w:val="0"/>
        <w:adjustRightInd/>
        <w:snapToGrid/>
        <w:spacing w:line="480" w:lineRule="exact"/>
        <w:textAlignment w:val="auto"/>
        <w:outlineLvl w:val="3"/>
        <w:rPr>
          <w:rFonts w:ascii="Times New Roman" w:hAnsi="Times New Roman" w:eastAsia="黑体"/>
          <w:bCs w:val="0"/>
          <w:color w:val="000000"/>
          <w:sz w:val="24"/>
          <w:szCs w:val="24"/>
        </w:rPr>
      </w:pPr>
      <w:r>
        <w:rPr>
          <w:rFonts w:ascii="Times New Roman" w:hAnsi="Times New Roman" w:eastAsia="黑体"/>
          <w:bCs w:val="0"/>
          <w:color w:val="000000"/>
          <w:sz w:val="24"/>
          <w:szCs w:val="24"/>
        </w:rPr>
        <w:t xml:space="preserve">   </w:t>
      </w:r>
      <w:r>
        <w:rPr>
          <w:rFonts w:ascii="Times New Roman" w:hAnsi="Times New Roman" w:eastAsia="黑体"/>
          <w:b w:val="0"/>
          <w:color w:val="000000"/>
          <w:sz w:val="24"/>
          <w:szCs w:val="24"/>
        </w:rPr>
        <w:t xml:space="preserve"> </w:t>
      </w:r>
      <w:bookmarkStart w:id="83" w:name="_Toc351203484"/>
      <w:r>
        <w:rPr>
          <w:rFonts w:ascii="Times New Roman" w:hAnsi="Times New Roman" w:eastAsia="黑体"/>
          <w:b w:val="0"/>
          <w:color w:val="000000"/>
          <w:sz w:val="24"/>
          <w:szCs w:val="24"/>
        </w:rPr>
        <w:t>四、签约合同价与合同价格形式</w:t>
      </w:r>
      <w:bookmarkEnd w:id="83"/>
      <w:r>
        <w:rPr>
          <w:rFonts w:ascii="Times New Roman" w:hAnsi="Times New Roman" w:eastAsia="黑体"/>
          <w:b w:val="0"/>
          <w:color w:val="000000"/>
          <w:sz w:val="24"/>
          <w:szCs w:val="24"/>
        </w:rPr>
        <w:tab/>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1.签约合同价为：</w:t>
      </w:r>
    </w:p>
    <w:p>
      <w:pPr>
        <w:pageBreakBefore w:val="0"/>
        <w:widowControl w:val="0"/>
        <w:kinsoku/>
        <w:wordWrap/>
        <w:overflowPunct/>
        <w:topLinePunct w:val="0"/>
        <w:bidi w:val="0"/>
        <w:snapToGrid/>
        <w:spacing w:line="480" w:lineRule="exact"/>
        <w:ind w:firstLine="600" w:firstLineChars="25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人民币（大写）</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元)；</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其中：</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（1）安全文明施工费：</w:t>
      </w:r>
    </w:p>
    <w:p>
      <w:pPr>
        <w:pageBreakBefore w:val="0"/>
        <w:widowControl w:val="0"/>
        <w:kinsoku/>
        <w:wordWrap/>
        <w:overflowPunct/>
        <w:topLinePunct w:val="0"/>
        <w:bidi w:val="0"/>
        <w:snapToGrid/>
        <w:spacing w:line="480" w:lineRule="exact"/>
        <w:ind w:firstLine="1080" w:firstLineChars="45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人民币（大写）</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元)；</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（2）材料和工程设备暂估价金额：</w:t>
      </w:r>
    </w:p>
    <w:p>
      <w:pPr>
        <w:pageBreakBefore w:val="0"/>
        <w:widowControl w:val="0"/>
        <w:kinsoku/>
        <w:wordWrap/>
        <w:overflowPunct/>
        <w:topLinePunct w:val="0"/>
        <w:bidi w:val="0"/>
        <w:snapToGrid/>
        <w:spacing w:line="480" w:lineRule="exact"/>
        <w:ind w:firstLine="1080" w:firstLineChars="45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人民币（大写）</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元)；</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（3）专业工程暂估价金额：</w:t>
      </w:r>
    </w:p>
    <w:p>
      <w:pPr>
        <w:pageBreakBefore w:val="0"/>
        <w:widowControl w:val="0"/>
        <w:kinsoku/>
        <w:wordWrap/>
        <w:overflowPunct/>
        <w:topLinePunct w:val="0"/>
        <w:bidi w:val="0"/>
        <w:snapToGrid/>
        <w:spacing w:line="480" w:lineRule="exact"/>
        <w:ind w:firstLine="1080" w:firstLineChars="45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人民币（大写）</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元)；</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（4）暂列金额：</w:t>
      </w:r>
    </w:p>
    <w:p>
      <w:pPr>
        <w:pageBreakBefore w:val="0"/>
        <w:widowControl w:val="0"/>
        <w:kinsoku/>
        <w:wordWrap/>
        <w:overflowPunct/>
        <w:topLinePunct w:val="0"/>
        <w:bidi w:val="0"/>
        <w:snapToGrid/>
        <w:spacing w:line="480" w:lineRule="exact"/>
        <w:ind w:firstLine="1080" w:firstLineChars="45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人民币（大写）</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元)。</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2.合同价格形式：</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Style w:val="7"/>
        <w:keepNext/>
        <w:keepLines/>
        <w:pageBreakBefore w:val="0"/>
        <w:widowControl w:val="0"/>
        <w:kinsoku/>
        <w:wordWrap/>
        <w:overflowPunct/>
        <w:topLinePunct w:val="0"/>
        <w:autoSpaceDE/>
        <w:autoSpaceDN/>
        <w:bidi w:val="0"/>
        <w:adjustRightInd/>
        <w:snapToGrid/>
        <w:spacing w:line="480" w:lineRule="exact"/>
        <w:textAlignment w:val="auto"/>
        <w:outlineLvl w:val="3"/>
        <w:rPr>
          <w:rFonts w:ascii="Times New Roman" w:hAnsi="Times New Roman" w:eastAsia="黑体"/>
          <w:b w:val="0"/>
          <w:color w:val="000000"/>
          <w:sz w:val="24"/>
          <w:szCs w:val="24"/>
        </w:rPr>
      </w:pPr>
      <w:r>
        <w:rPr>
          <w:rFonts w:ascii="Times New Roman" w:hAnsi="Times New Roman" w:eastAsia="黑体"/>
          <w:bCs w:val="0"/>
          <w:color w:val="000000"/>
          <w:sz w:val="24"/>
          <w:szCs w:val="24"/>
        </w:rPr>
        <w:t xml:space="preserve">   </w:t>
      </w:r>
      <w:r>
        <w:rPr>
          <w:rFonts w:ascii="Times New Roman" w:hAnsi="Times New Roman" w:eastAsia="黑体"/>
          <w:b w:val="0"/>
          <w:color w:val="000000"/>
          <w:sz w:val="24"/>
          <w:szCs w:val="24"/>
        </w:rPr>
        <w:t xml:space="preserve"> </w:t>
      </w:r>
      <w:bookmarkStart w:id="84" w:name="_Toc351203485"/>
      <w:r>
        <w:rPr>
          <w:rFonts w:ascii="Times New Roman" w:hAnsi="Times New Roman" w:eastAsia="黑体"/>
          <w:b w:val="0"/>
          <w:color w:val="000000"/>
          <w:sz w:val="24"/>
          <w:szCs w:val="24"/>
        </w:rPr>
        <w:t>五、</w:t>
      </w:r>
      <w:bookmarkEnd w:id="84"/>
      <w:r>
        <w:rPr>
          <w:rFonts w:ascii="Times New Roman" w:hAnsi="Times New Roman" w:eastAsia="黑体"/>
          <w:b w:val="0"/>
          <w:color w:val="000000"/>
          <w:sz w:val="24"/>
          <w:szCs w:val="24"/>
        </w:rPr>
        <w:t>项目经理</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承包人项目经理：</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w:t>
      </w:r>
      <w:r>
        <w:rPr>
          <w:rFonts w:ascii="Times New Roman" w:hAnsi="Times New Roman" w:eastAsia="仿宋_GB2312"/>
          <w:color w:val="000000"/>
          <w:sz w:val="24"/>
          <w:szCs w:val="24"/>
        </w:rPr>
        <w:t>。</w:t>
      </w:r>
    </w:p>
    <w:p>
      <w:pPr>
        <w:pStyle w:val="7"/>
        <w:keepNext/>
        <w:keepLines/>
        <w:pageBreakBefore w:val="0"/>
        <w:widowControl w:val="0"/>
        <w:kinsoku/>
        <w:wordWrap/>
        <w:overflowPunct/>
        <w:topLinePunct w:val="0"/>
        <w:autoSpaceDE/>
        <w:autoSpaceDN/>
        <w:bidi w:val="0"/>
        <w:adjustRightInd/>
        <w:snapToGrid/>
        <w:spacing w:line="480" w:lineRule="exact"/>
        <w:textAlignment w:val="auto"/>
        <w:outlineLvl w:val="3"/>
        <w:rPr>
          <w:rFonts w:ascii="Times New Roman" w:hAnsi="Times New Roman" w:eastAsia="黑体"/>
          <w:bCs w:val="0"/>
          <w:color w:val="000000"/>
          <w:sz w:val="24"/>
          <w:szCs w:val="24"/>
        </w:rPr>
      </w:pPr>
      <w:r>
        <w:rPr>
          <w:rFonts w:ascii="Times New Roman" w:hAnsi="Times New Roman" w:eastAsia="黑体"/>
          <w:bCs w:val="0"/>
          <w:color w:val="000000"/>
          <w:sz w:val="24"/>
          <w:szCs w:val="24"/>
        </w:rPr>
        <w:t xml:space="preserve">   </w:t>
      </w:r>
      <w:r>
        <w:rPr>
          <w:rFonts w:ascii="Times New Roman" w:hAnsi="Times New Roman" w:eastAsia="黑体"/>
          <w:b w:val="0"/>
          <w:color w:val="000000"/>
          <w:sz w:val="24"/>
          <w:szCs w:val="24"/>
        </w:rPr>
        <w:t xml:space="preserve"> </w:t>
      </w:r>
      <w:bookmarkStart w:id="85" w:name="_Toc351203486"/>
      <w:r>
        <w:rPr>
          <w:rFonts w:ascii="Times New Roman" w:hAnsi="Times New Roman" w:eastAsia="黑体"/>
          <w:b w:val="0"/>
          <w:color w:val="000000"/>
          <w:sz w:val="24"/>
          <w:szCs w:val="24"/>
        </w:rPr>
        <w:t>六、合同文件构成</w:t>
      </w:r>
      <w:bookmarkEnd w:id="85"/>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bCs/>
          <w:color w:val="000000"/>
          <w:sz w:val="24"/>
          <w:szCs w:val="24"/>
        </w:rPr>
      </w:pPr>
      <w:r>
        <w:rPr>
          <w:rFonts w:ascii="Times New Roman" w:hAnsi="Times New Roman" w:eastAsia="仿宋_GB2312"/>
          <w:bCs/>
          <w:color w:val="000000"/>
          <w:sz w:val="24"/>
          <w:szCs w:val="24"/>
        </w:rPr>
        <w:t>本协议书与下列文件一起构成合同文件：</w:t>
      </w:r>
    </w:p>
    <w:p>
      <w:pPr>
        <w:pageBreakBefore w:val="0"/>
        <w:widowControl w:val="0"/>
        <w:kinsoku/>
        <w:wordWrap/>
        <w:overflowPunct/>
        <w:topLinePunct w:val="0"/>
        <w:autoSpaceDE w:val="0"/>
        <w:autoSpaceDN w:val="0"/>
        <w:bidi w:val="0"/>
        <w:adjustRightInd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（1）中标通知书（如果有）；</w:t>
      </w:r>
    </w:p>
    <w:p>
      <w:pPr>
        <w:pageBreakBefore w:val="0"/>
        <w:widowControl w:val="0"/>
        <w:kinsoku/>
        <w:wordWrap/>
        <w:overflowPunct/>
        <w:topLinePunct w:val="0"/>
        <w:autoSpaceDE w:val="0"/>
        <w:autoSpaceDN w:val="0"/>
        <w:bidi w:val="0"/>
        <w:adjustRightInd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 xml:space="preserve">（2）投标函及其附录（如果有）； </w:t>
      </w:r>
    </w:p>
    <w:p>
      <w:pPr>
        <w:pageBreakBefore w:val="0"/>
        <w:widowControl w:val="0"/>
        <w:kinsoku/>
        <w:wordWrap/>
        <w:overflowPunct/>
        <w:topLinePunct w:val="0"/>
        <w:autoSpaceDE w:val="0"/>
        <w:autoSpaceDN w:val="0"/>
        <w:bidi w:val="0"/>
        <w:adjustRightInd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（3）专用合同条款及其附件；</w:t>
      </w:r>
    </w:p>
    <w:p>
      <w:pPr>
        <w:pageBreakBefore w:val="0"/>
        <w:widowControl w:val="0"/>
        <w:kinsoku/>
        <w:wordWrap/>
        <w:overflowPunct/>
        <w:topLinePunct w:val="0"/>
        <w:autoSpaceDE w:val="0"/>
        <w:autoSpaceDN w:val="0"/>
        <w:bidi w:val="0"/>
        <w:adjustRightInd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（4）通用合同条款；</w:t>
      </w:r>
    </w:p>
    <w:p>
      <w:pPr>
        <w:pageBreakBefore w:val="0"/>
        <w:widowControl w:val="0"/>
        <w:kinsoku/>
        <w:wordWrap/>
        <w:overflowPunct/>
        <w:topLinePunct w:val="0"/>
        <w:autoSpaceDE w:val="0"/>
        <w:autoSpaceDN w:val="0"/>
        <w:bidi w:val="0"/>
        <w:adjustRightInd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（5）技术标准和要求；</w:t>
      </w:r>
    </w:p>
    <w:p>
      <w:pPr>
        <w:pageBreakBefore w:val="0"/>
        <w:widowControl w:val="0"/>
        <w:kinsoku/>
        <w:wordWrap/>
        <w:overflowPunct/>
        <w:topLinePunct w:val="0"/>
        <w:autoSpaceDE w:val="0"/>
        <w:autoSpaceDN w:val="0"/>
        <w:bidi w:val="0"/>
        <w:adjustRightInd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（6）图纸；</w:t>
      </w:r>
    </w:p>
    <w:p>
      <w:pPr>
        <w:pageBreakBefore w:val="0"/>
        <w:widowControl w:val="0"/>
        <w:kinsoku/>
        <w:wordWrap/>
        <w:overflowPunct/>
        <w:topLinePunct w:val="0"/>
        <w:autoSpaceDE w:val="0"/>
        <w:autoSpaceDN w:val="0"/>
        <w:bidi w:val="0"/>
        <w:adjustRightInd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（7）已标价工程量清单或预算书；</w:t>
      </w:r>
    </w:p>
    <w:p>
      <w:pPr>
        <w:pageBreakBefore w:val="0"/>
        <w:widowControl w:val="0"/>
        <w:kinsoku/>
        <w:wordWrap/>
        <w:overflowPunct/>
        <w:topLinePunct w:val="0"/>
        <w:autoSpaceDE w:val="0"/>
        <w:autoSpaceDN w:val="0"/>
        <w:bidi w:val="0"/>
        <w:adjustRightInd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（8）其他合同文件。</w:t>
      </w:r>
    </w:p>
    <w:p>
      <w:pPr>
        <w:pageBreakBefore w:val="0"/>
        <w:widowControl w:val="0"/>
        <w:kinsoku/>
        <w:wordWrap/>
        <w:overflowPunct/>
        <w:topLinePunct w:val="0"/>
        <w:autoSpaceDE w:val="0"/>
        <w:autoSpaceDN w:val="0"/>
        <w:bidi w:val="0"/>
        <w:adjustRightInd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在合同订立及履行过程中形成的与合同有关的文件均构成合同文件组成部分。</w:t>
      </w:r>
    </w:p>
    <w:p>
      <w:pPr>
        <w:pageBreakBefore w:val="0"/>
        <w:widowControl w:val="0"/>
        <w:kinsoku/>
        <w:wordWrap/>
        <w:overflowPunct/>
        <w:topLinePunct w:val="0"/>
        <w:autoSpaceDE w:val="0"/>
        <w:autoSpaceDN w:val="0"/>
        <w:bidi w:val="0"/>
        <w:adjustRightInd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上述各项合同文件包括合同当事人就该项合同文件所作出的补充和修改，属于同一类内容的文件，应以最新签署的为准。</w:t>
      </w:r>
      <w:r>
        <w:rPr>
          <w:rFonts w:hint="eastAsia" w:ascii="Times New Roman" w:hAnsi="Times New Roman" w:eastAsia="仿宋_GB2312"/>
          <w:color w:val="000000"/>
          <w:sz w:val="24"/>
          <w:szCs w:val="24"/>
        </w:rPr>
        <w:t>专用合同条款及其附件须经合同当事人签字或盖章。</w:t>
      </w:r>
    </w:p>
    <w:p>
      <w:pPr>
        <w:pStyle w:val="7"/>
        <w:keepNext/>
        <w:keepLines/>
        <w:pageBreakBefore w:val="0"/>
        <w:widowControl w:val="0"/>
        <w:kinsoku/>
        <w:wordWrap/>
        <w:overflowPunct/>
        <w:topLinePunct w:val="0"/>
        <w:autoSpaceDE/>
        <w:autoSpaceDN/>
        <w:bidi w:val="0"/>
        <w:adjustRightInd/>
        <w:snapToGrid/>
        <w:spacing w:line="480" w:lineRule="exact"/>
        <w:textAlignment w:val="auto"/>
        <w:outlineLvl w:val="3"/>
        <w:rPr>
          <w:rFonts w:ascii="Times New Roman" w:hAnsi="Times New Roman" w:eastAsia="黑体"/>
          <w:b w:val="0"/>
          <w:bCs w:val="0"/>
          <w:color w:val="000000"/>
          <w:sz w:val="24"/>
          <w:szCs w:val="24"/>
        </w:rPr>
      </w:pPr>
      <w:r>
        <w:rPr>
          <w:rFonts w:ascii="Times New Roman" w:hAnsi="Times New Roman" w:eastAsia="黑体"/>
          <w:b w:val="0"/>
          <w:bCs w:val="0"/>
          <w:color w:val="000000"/>
          <w:sz w:val="24"/>
          <w:szCs w:val="24"/>
        </w:rPr>
        <w:t xml:space="preserve">   </w:t>
      </w:r>
      <w:r>
        <w:rPr>
          <w:rFonts w:ascii="Times New Roman" w:hAnsi="Times New Roman" w:eastAsia="黑体"/>
          <w:b w:val="0"/>
          <w:color w:val="000000"/>
          <w:sz w:val="24"/>
          <w:szCs w:val="24"/>
        </w:rPr>
        <w:t xml:space="preserve"> </w:t>
      </w:r>
      <w:bookmarkStart w:id="86" w:name="_Toc351203487"/>
      <w:r>
        <w:rPr>
          <w:rFonts w:ascii="Times New Roman" w:hAnsi="Times New Roman" w:eastAsia="黑体"/>
          <w:b w:val="0"/>
          <w:color w:val="000000"/>
          <w:sz w:val="24"/>
          <w:szCs w:val="24"/>
        </w:rPr>
        <w:t>七、承诺</w:t>
      </w:r>
      <w:bookmarkEnd w:id="86"/>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bCs/>
          <w:color w:val="000000"/>
          <w:sz w:val="24"/>
          <w:szCs w:val="24"/>
        </w:rPr>
      </w:pPr>
      <w:r>
        <w:rPr>
          <w:rFonts w:ascii="Times New Roman" w:hAnsi="Times New Roman" w:eastAsia="仿宋_GB2312"/>
          <w:bCs/>
          <w:color w:val="000000"/>
          <w:sz w:val="24"/>
          <w:szCs w:val="24"/>
        </w:rPr>
        <w:t>1.发包人承诺按照法律规定履行项目审批手续、筹集工程建设资金并按照合同约定的期限和方式支付合同价款。</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bCs/>
          <w:color w:val="000000"/>
          <w:sz w:val="24"/>
          <w:szCs w:val="24"/>
        </w:rPr>
      </w:pPr>
      <w:r>
        <w:rPr>
          <w:rFonts w:ascii="Times New Roman" w:hAnsi="Times New Roman" w:eastAsia="仿宋_GB2312"/>
          <w:bCs/>
          <w:color w:val="000000"/>
          <w:sz w:val="24"/>
          <w:szCs w:val="24"/>
        </w:rPr>
        <w:t>2.承包人承诺按照法律规定及合同约定组织完成工程施工，确保工程质量和安全，不进行转包及违法分包，并在缺陷责任期及保修期内承担相应的工程维修责任。</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bCs/>
          <w:color w:val="000000"/>
          <w:sz w:val="24"/>
          <w:szCs w:val="24"/>
        </w:rPr>
      </w:pPr>
      <w:r>
        <w:rPr>
          <w:rFonts w:ascii="Times New Roman" w:hAnsi="Times New Roman" w:eastAsia="仿宋_GB2312"/>
          <w:bCs/>
          <w:color w:val="000000"/>
          <w:sz w:val="24"/>
          <w:szCs w:val="24"/>
        </w:rPr>
        <w:t>3.发包人和承包人通过招投标形式签订合同的，双方理解并</w:t>
      </w:r>
      <w:r>
        <w:rPr>
          <w:rFonts w:hint="eastAsia" w:ascii="Times New Roman" w:hAnsi="Times New Roman" w:eastAsia="仿宋_GB2312"/>
          <w:bCs/>
          <w:color w:val="000000"/>
          <w:sz w:val="24"/>
          <w:szCs w:val="24"/>
        </w:rPr>
        <w:t>承诺</w:t>
      </w:r>
      <w:r>
        <w:rPr>
          <w:rFonts w:ascii="Times New Roman" w:hAnsi="Times New Roman" w:eastAsia="仿宋_GB2312"/>
          <w:bCs/>
          <w:color w:val="000000"/>
          <w:sz w:val="24"/>
          <w:szCs w:val="24"/>
        </w:rPr>
        <w:t>不再就同一工程另行签订与合同实质性内容相背离的协议。</w:t>
      </w:r>
    </w:p>
    <w:p>
      <w:pPr>
        <w:keepNext w:val="0"/>
        <w:keepLines w:val="0"/>
        <w:pageBreakBefore w:val="0"/>
        <w:widowControl w:val="0"/>
        <w:kinsoku/>
        <w:wordWrap/>
        <w:overflowPunct/>
        <w:topLinePunct w:val="0"/>
        <w:autoSpaceDE/>
        <w:autoSpaceDN/>
        <w:bidi w:val="0"/>
        <w:adjustRightInd/>
        <w:snapToGrid/>
        <w:spacing w:line="480" w:lineRule="exact"/>
        <w:textAlignment w:val="auto"/>
        <w:outlineLvl w:val="9"/>
        <w:rPr>
          <w:rFonts w:ascii="Times New Roman" w:hAnsi="Times New Roman" w:eastAsia="黑体"/>
          <w:bCs/>
          <w:color w:val="000000"/>
          <w:sz w:val="24"/>
          <w:szCs w:val="24"/>
        </w:rPr>
      </w:pPr>
      <w:bookmarkStart w:id="87" w:name="_Toc351203488"/>
      <w:r>
        <w:rPr>
          <w:rFonts w:hint="eastAsia" w:ascii="Times New Roman" w:hAnsi="Times New Roman" w:eastAsia="黑体"/>
          <w:b/>
          <w:color w:val="000000"/>
          <w:sz w:val="24"/>
          <w:szCs w:val="24"/>
        </w:rPr>
        <w:t xml:space="preserve">    </w:t>
      </w:r>
      <w:r>
        <w:rPr>
          <w:rFonts w:ascii="Times New Roman" w:hAnsi="Times New Roman" w:eastAsia="黑体"/>
          <w:b/>
          <w:color w:val="000000"/>
          <w:sz w:val="24"/>
          <w:szCs w:val="24"/>
        </w:rPr>
        <w:t>八、词语含义</w:t>
      </w:r>
      <w:bookmarkEnd w:id="87"/>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bCs/>
          <w:color w:val="000000"/>
          <w:sz w:val="24"/>
          <w:szCs w:val="24"/>
        </w:rPr>
      </w:pPr>
      <w:r>
        <w:rPr>
          <w:rFonts w:ascii="Times New Roman" w:hAnsi="Times New Roman" w:eastAsia="仿宋_GB2312"/>
          <w:bCs/>
          <w:color w:val="000000"/>
          <w:sz w:val="24"/>
          <w:szCs w:val="24"/>
        </w:rPr>
        <w:t>本协议书中词语含义与第二部分通用合同条款中赋予的含义相同。</w:t>
      </w:r>
    </w:p>
    <w:p>
      <w:pPr>
        <w:pStyle w:val="7"/>
        <w:keepNext/>
        <w:keepLines/>
        <w:pageBreakBefore w:val="0"/>
        <w:widowControl w:val="0"/>
        <w:kinsoku/>
        <w:wordWrap/>
        <w:overflowPunct/>
        <w:topLinePunct w:val="0"/>
        <w:autoSpaceDE/>
        <w:autoSpaceDN/>
        <w:bidi w:val="0"/>
        <w:adjustRightInd/>
        <w:snapToGrid/>
        <w:spacing w:line="480" w:lineRule="exact"/>
        <w:textAlignment w:val="auto"/>
        <w:outlineLvl w:val="3"/>
        <w:rPr>
          <w:rFonts w:ascii="Times New Roman" w:hAnsi="Times New Roman" w:eastAsia="黑体"/>
          <w:bCs w:val="0"/>
          <w:color w:val="000000"/>
          <w:sz w:val="24"/>
          <w:szCs w:val="24"/>
        </w:rPr>
      </w:pPr>
      <w:r>
        <w:rPr>
          <w:rFonts w:ascii="Times New Roman" w:hAnsi="Times New Roman" w:eastAsia="黑体"/>
          <w:bCs w:val="0"/>
          <w:color w:val="000000"/>
          <w:sz w:val="24"/>
          <w:szCs w:val="24"/>
        </w:rPr>
        <w:t xml:space="preserve">  </w:t>
      </w:r>
      <w:r>
        <w:rPr>
          <w:rFonts w:ascii="Times New Roman" w:hAnsi="Times New Roman" w:eastAsia="黑体"/>
          <w:b w:val="0"/>
          <w:color w:val="000000"/>
          <w:sz w:val="24"/>
          <w:szCs w:val="24"/>
        </w:rPr>
        <w:t xml:space="preserve">  </w:t>
      </w:r>
      <w:bookmarkStart w:id="88" w:name="_Toc351203489"/>
      <w:r>
        <w:rPr>
          <w:rFonts w:ascii="Times New Roman" w:hAnsi="Times New Roman" w:eastAsia="黑体"/>
          <w:b w:val="0"/>
          <w:color w:val="000000"/>
          <w:sz w:val="24"/>
          <w:szCs w:val="24"/>
        </w:rPr>
        <w:t>九、签订时间</w:t>
      </w:r>
      <w:bookmarkEnd w:id="88"/>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bCs/>
          <w:color w:val="000000"/>
          <w:sz w:val="24"/>
          <w:szCs w:val="24"/>
        </w:rPr>
      </w:pPr>
      <w:r>
        <w:rPr>
          <w:rFonts w:ascii="Times New Roman" w:hAnsi="Times New Roman" w:eastAsia="仿宋_GB2312"/>
          <w:bCs/>
          <w:color w:val="000000"/>
          <w:sz w:val="24"/>
          <w:szCs w:val="24"/>
        </w:rPr>
        <w:t>本合同于</w:t>
      </w:r>
      <w:r>
        <w:rPr>
          <w:rFonts w:ascii="Times New Roman" w:hAnsi="Times New Roman" w:eastAsia="仿宋_GB2312"/>
          <w:bCs/>
          <w:color w:val="000000"/>
          <w:sz w:val="24"/>
          <w:szCs w:val="24"/>
          <w:u w:val="single"/>
        </w:rPr>
        <w:t xml:space="preserve">         </w:t>
      </w:r>
      <w:r>
        <w:rPr>
          <w:rFonts w:ascii="Times New Roman" w:hAnsi="Times New Roman" w:eastAsia="仿宋_GB2312"/>
          <w:bCs/>
          <w:color w:val="000000"/>
          <w:sz w:val="24"/>
          <w:szCs w:val="24"/>
        </w:rPr>
        <w:t>年</w:t>
      </w:r>
      <w:r>
        <w:rPr>
          <w:rFonts w:ascii="Times New Roman" w:hAnsi="Times New Roman" w:eastAsia="仿宋_GB2312"/>
          <w:bCs/>
          <w:color w:val="000000"/>
          <w:sz w:val="24"/>
          <w:szCs w:val="24"/>
          <w:u w:val="single"/>
        </w:rPr>
        <w:t xml:space="preserve">    </w:t>
      </w:r>
      <w:r>
        <w:rPr>
          <w:rFonts w:ascii="Times New Roman" w:hAnsi="Times New Roman" w:eastAsia="仿宋_GB2312"/>
          <w:bCs/>
          <w:color w:val="000000"/>
          <w:sz w:val="24"/>
          <w:szCs w:val="24"/>
        </w:rPr>
        <w:t>月</w:t>
      </w:r>
      <w:r>
        <w:rPr>
          <w:rFonts w:ascii="Times New Roman" w:hAnsi="Times New Roman" w:eastAsia="仿宋_GB2312"/>
          <w:bCs/>
          <w:color w:val="000000"/>
          <w:sz w:val="24"/>
          <w:szCs w:val="24"/>
          <w:u w:val="single"/>
        </w:rPr>
        <w:t xml:space="preserve">    </w:t>
      </w:r>
      <w:r>
        <w:rPr>
          <w:rFonts w:ascii="Times New Roman" w:hAnsi="Times New Roman" w:eastAsia="仿宋_GB2312"/>
          <w:bCs/>
          <w:color w:val="000000"/>
          <w:sz w:val="24"/>
          <w:szCs w:val="24"/>
        </w:rPr>
        <w:t>日签订。</w:t>
      </w:r>
    </w:p>
    <w:p>
      <w:pPr>
        <w:pStyle w:val="7"/>
        <w:keepNext/>
        <w:keepLines/>
        <w:pageBreakBefore w:val="0"/>
        <w:widowControl w:val="0"/>
        <w:kinsoku/>
        <w:wordWrap/>
        <w:overflowPunct/>
        <w:topLinePunct w:val="0"/>
        <w:autoSpaceDE/>
        <w:autoSpaceDN/>
        <w:bidi w:val="0"/>
        <w:adjustRightInd/>
        <w:snapToGrid/>
        <w:spacing w:line="480" w:lineRule="exact"/>
        <w:textAlignment w:val="auto"/>
        <w:outlineLvl w:val="3"/>
        <w:rPr>
          <w:rFonts w:ascii="Times New Roman" w:hAnsi="Times New Roman" w:eastAsia="黑体"/>
          <w:bCs w:val="0"/>
          <w:color w:val="000000"/>
          <w:sz w:val="24"/>
          <w:szCs w:val="24"/>
        </w:rPr>
      </w:pPr>
      <w:r>
        <w:rPr>
          <w:rFonts w:ascii="Times New Roman" w:hAnsi="Times New Roman" w:eastAsia="黑体"/>
          <w:bCs w:val="0"/>
          <w:color w:val="000000"/>
          <w:sz w:val="24"/>
          <w:szCs w:val="24"/>
        </w:rPr>
        <w:t xml:space="preserve">    </w:t>
      </w:r>
      <w:bookmarkStart w:id="89" w:name="_Toc351203490"/>
      <w:r>
        <w:rPr>
          <w:rFonts w:ascii="Times New Roman" w:hAnsi="Times New Roman" w:eastAsia="黑体"/>
          <w:b w:val="0"/>
          <w:color w:val="000000"/>
          <w:sz w:val="24"/>
          <w:szCs w:val="24"/>
        </w:rPr>
        <w:t>十、签订地点</w:t>
      </w:r>
      <w:bookmarkEnd w:id="89"/>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bCs/>
          <w:color w:val="000000"/>
          <w:sz w:val="24"/>
          <w:szCs w:val="24"/>
        </w:rPr>
      </w:pPr>
      <w:r>
        <w:rPr>
          <w:rFonts w:ascii="Times New Roman" w:hAnsi="Times New Roman" w:eastAsia="仿宋_GB2312"/>
          <w:bCs/>
          <w:color w:val="000000"/>
          <w:sz w:val="24"/>
          <w:szCs w:val="24"/>
        </w:rPr>
        <w:t>本合同在</w:t>
      </w:r>
      <w:r>
        <w:rPr>
          <w:rFonts w:ascii="Times New Roman" w:hAnsi="Times New Roman" w:eastAsia="仿宋_GB2312"/>
          <w:bCs/>
          <w:color w:val="000000"/>
          <w:sz w:val="24"/>
          <w:szCs w:val="24"/>
          <w:u w:val="single"/>
        </w:rPr>
        <w:t xml:space="preserve">                                    </w:t>
      </w:r>
      <w:r>
        <w:rPr>
          <w:rFonts w:ascii="Times New Roman" w:hAnsi="Times New Roman" w:eastAsia="仿宋_GB2312"/>
          <w:bCs/>
          <w:color w:val="000000"/>
          <w:sz w:val="24"/>
          <w:szCs w:val="24"/>
        </w:rPr>
        <w:t>签订。</w:t>
      </w:r>
    </w:p>
    <w:p>
      <w:pPr>
        <w:pStyle w:val="7"/>
        <w:keepNext/>
        <w:keepLines/>
        <w:pageBreakBefore w:val="0"/>
        <w:widowControl w:val="0"/>
        <w:kinsoku/>
        <w:wordWrap/>
        <w:overflowPunct/>
        <w:topLinePunct w:val="0"/>
        <w:autoSpaceDE/>
        <w:autoSpaceDN/>
        <w:bidi w:val="0"/>
        <w:adjustRightInd/>
        <w:snapToGrid/>
        <w:spacing w:line="480" w:lineRule="exact"/>
        <w:textAlignment w:val="auto"/>
        <w:outlineLvl w:val="3"/>
        <w:rPr>
          <w:rFonts w:ascii="Times New Roman" w:hAnsi="Times New Roman" w:eastAsia="黑体"/>
          <w:bCs w:val="0"/>
          <w:color w:val="000000"/>
          <w:sz w:val="24"/>
          <w:szCs w:val="24"/>
        </w:rPr>
      </w:pPr>
      <w:r>
        <w:rPr>
          <w:rFonts w:ascii="Times New Roman" w:hAnsi="Times New Roman" w:eastAsia="黑体"/>
          <w:bCs w:val="0"/>
          <w:color w:val="000000"/>
          <w:sz w:val="24"/>
          <w:szCs w:val="24"/>
        </w:rPr>
        <w:t xml:space="preserve">    </w:t>
      </w:r>
      <w:bookmarkStart w:id="90" w:name="_Toc351203491"/>
      <w:r>
        <w:rPr>
          <w:rFonts w:ascii="Times New Roman" w:hAnsi="Times New Roman" w:eastAsia="黑体"/>
          <w:b w:val="0"/>
          <w:color w:val="000000"/>
          <w:sz w:val="24"/>
          <w:szCs w:val="24"/>
        </w:rPr>
        <w:t>十一、补充协议</w:t>
      </w:r>
      <w:bookmarkEnd w:id="90"/>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b/>
          <w:bCs/>
          <w:color w:val="000000"/>
          <w:sz w:val="24"/>
          <w:szCs w:val="24"/>
        </w:rPr>
      </w:pPr>
      <w:r>
        <w:rPr>
          <w:rFonts w:ascii="Times New Roman" w:hAnsi="Times New Roman" w:eastAsia="仿宋_GB2312"/>
          <w:bCs/>
          <w:color w:val="000000"/>
          <w:sz w:val="24"/>
          <w:szCs w:val="24"/>
        </w:rPr>
        <w:t>合同未尽事宜，合同当事人另行签订补充协议</w:t>
      </w:r>
      <w:r>
        <w:rPr>
          <w:rFonts w:hint="eastAsia" w:ascii="Times New Roman" w:hAnsi="Times New Roman" w:eastAsia="仿宋_GB2312"/>
          <w:bCs/>
          <w:color w:val="000000"/>
          <w:sz w:val="24"/>
          <w:szCs w:val="24"/>
        </w:rPr>
        <w:t>，</w:t>
      </w:r>
      <w:r>
        <w:rPr>
          <w:rFonts w:ascii="Times New Roman" w:hAnsi="Times New Roman" w:eastAsia="仿宋_GB2312"/>
          <w:bCs/>
          <w:color w:val="000000"/>
          <w:sz w:val="24"/>
          <w:szCs w:val="24"/>
        </w:rPr>
        <w:t>补充协议是合同的组成部分。</w:t>
      </w:r>
    </w:p>
    <w:p>
      <w:pPr>
        <w:pStyle w:val="7"/>
        <w:keepNext/>
        <w:keepLines/>
        <w:pageBreakBefore w:val="0"/>
        <w:widowControl w:val="0"/>
        <w:kinsoku/>
        <w:wordWrap/>
        <w:overflowPunct/>
        <w:topLinePunct w:val="0"/>
        <w:autoSpaceDE/>
        <w:autoSpaceDN/>
        <w:bidi w:val="0"/>
        <w:adjustRightInd/>
        <w:snapToGrid/>
        <w:spacing w:line="480" w:lineRule="exact"/>
        <w:textAlignment w:val="auto"/>
        <w:outlineLvl w:val="3"/>
        <w:rPr>
          <w:rFonts w:ascii="Times New Roman" w:hAnsi="Times New Roman" w:eastAsia="黑体"/>
          <w:bCs w:val="0"/>
          <w:color w:val="000000"/>
          <w:sz w:val="24"/>
          <w:szCs w:val="24"/>
        </w:rPr>
      </w:pPr>
      <w:r>
        <w:rPr>
          <w:rFonts w:ascii="Times New Roman" w:hAnsi="Times New Roman" w:eastAsia="黑体"/>
          <w:bCs w:val="0"/>
          <w:color w:val="000000"/>
          <w:sz w:val="24"/>
          <w:szCs w:val="24"/>
        </w:rPr>
        <w:t xml:space="preserve">    </w:t>
      </w:r>
      <w:bookmarkStart w:id="91" w:name="_Toc351203492"/>
      <w:r>
        <w:rPr>
          <w:rFonts w:ascii="Times New Roman" w:hAnsi="Times New Roman" w:eastAsia="黑体"/>
          <w:b w:val="0"/>
          <w:color w:val="000000"/>
          <w:sz w:val="24"/>
          <w:szCs w:val="24"/>
        </w:rPr>
        <w:t>十二、合同生效</w:t>
      </w:r>
      <w:bookmarkEnd w:id="91"/>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bCs/>
          <w:color w:val="000000"/>
          <w:sz w:val="24"/>
          <w:szCs w:val="24"/>
        </w:rPr>
      </w:pPr>
      <w:r>
        <w:rPr>
          <w:rFonts w:ascii="Times New Roman" w:hAnsi="Times New Roman" w:eastAsia="仿宋_GB2312"/>
          <w:bCs/>
          <w:color w:val="000000"/>
          <w:sz w:val="24"/>
          <w:szCs w:val="24"/>
        </w:rPr>
        <w:t>本合同自</w:t>
      </w:r>
      <w:r>
        <w:rPr>
          <w:rFonts w:ascii="Times New Roman" w:hAnsi="Times New Roman" w:eastAsia="仿宋_GB2312"/>
          <w:bCs/>
          <w:color w:val="000000"/>
          <w:sz w:val="24"/>
          <w:szCs w:val="24"/>
          <w:u w:val="single"/>
        </w:rPr>
        <w:t xml:space="preserve">                                   </w:t>
      </w:r>
      <w:r>
        <w:rPr>
          <w:rFonts w:ascii="Times New Roman" w:hAnsi="Times New Roman" w:eastAsia="仿宋_GB2312"/>
          <w:bCs/>
          <w:color w:val="000000"/>
          <w:sz w:val="24"/>
          <w:szCs w:val="24"/>
        </w:rPr>
        <w:t>生效。</w:t>
      </w:r>
    </w:p>
    <w:p>
      <w:pPr>
        <w:pStyle w:val="7"/>
        <w:keepNext/>
        <w:keepLines/>
        <w:pageBreakBefore w:val="0"/>
        <w:widowControl w:val="0"/>
        <w:kinsoku/>
        <w:wordWrap/>
        <w:overflowPunct/>
        <w:topLinePunct w:val="0"/>
        <w:autoSpaceDE/>
        <w:autoSpaceDN/>
        <w:bidi w:val="0"/>
        <w:adjustRightInd/>
        <w:snapToGrid/>
        <w:spacing w:line="480" w:lineRule="exact"/>
        <w:textAlignment w:val="auto"/>
        <w:outlineLvl w:val="3"/>
        <w:rPr>
          <w:rFonts w:ascii="Times New Roman" w:hAnsi="Times New Roman" w:eastAsia="黑体"/>
          <w:bCs w:val="0"/>
          <w:color w:val="000000"/>
          <w:sz w:val="24"/>
          <w:szCs w:val="24"/>
        </w:rPr>
      </w:pPr>
      <w:r>
        <w:rPr>
          <w:rFonts w:ascii="Times New Roman" w:hAnsi="Times New Roman" w:eastAsia="黑体"/>
          <w:bCs w:val="0"/>
          <w:color w:val="000000"/>
          <w:sz w:val="24"/>
          <w:szCs w:val="24"/>
        </w:rPr>
        <w:t xml:space="preserve">    </w:t>
      </w:r>
      <w:bookmarkStart w:id="92" w:name="_Toc351203493"/>
      <w:r>
        <w:rPr>
          <w:rFonts w:ascii="Times New Roman" w:hAnsi="Times New Roman" w:eastAsia="黑体"/>
          <w:b w:val="0"/>
          <w:color w:val="000000"/>
          <w:sz w:val="24"/>
          <w:szCs w:val="24"/>
        </w:rPr>
        <w:t>十三、合同份数</w:t>
      </w:r>
      <w:bookmarkEnd w:id="92"/>
    </w:p>
    <w:p>
      <w:pPr>
        <w:pageBreakBefore w:val="0"/>
        <w:widowControl w:val="0"/>
        <w:kinsoku/>
        <w:wordWrap/>
        <w:overflowPunct/>
        <w:topLinePunct w:val="0"/>
        <w:bidi w:val="0"/>
        <w:snapToGrid/>
        <w:spacing w:line="480" w:lineRule="exact"/>
        <w:ind w:firstLine="480" w:firstLineChars="200"/>
        <w:textAlignment w:val="auto"/>
        <w:rPr>
          <w:rFonts w:hint="eastAsia" w:ascii="Times New Roman" w:hAnsi="Times New Roman" w:eastAsia="仿宋_GB2312"/>
          <w:color w:val="000000"/>
          <w:sz w:val="24"/>
          <w:szCs w:val="24"/>
        </w:rPr>
      </w:pPr>
      <w:r>
        <w:rPr>
          <w:rFonts w:ascii="Times New Roman" w:hAnsi="Times New Roman" w:eastAsia="仿宋_GB2312"/>
          <w:bCs/>
          <w:color w:val="000000"/>
          <w:sz w:val="24"/>
          <w:szCs w:val="24"/>
        </w:rPr>
        <w:t>本合同一式</w:t>
      </w:r>
      <w:r>
        <w:rPr>
          <w:rFonts w:ascii="Times New Roman" w:hAnsi="Times New Roman" w:eastAsia="仿宋_GB2312"/>
          <w:bCs/>
          <w:color w:val="000000"/>
          <w:sz w:val="24"/>
          <w:szCs w:val="24"/>
          <w:u w:val="single"/>
        </w:rPr>
        <w:t xml:space="preserve">  </w:t>
      </w:r>
      <w:r>
        <w:rPr>
          <w:rFonts w:hint="eastAsia" w:ascii="Times New Roman" w:hAnsi="Times New Roman" w:eastAsia="仿宋_GB2312"/>
          <w:bCs/>
          <w:color w:val="000000"/>
          <w:sz w:val="24"/>
          <w:szCs w:val="24"/>
          <w:u w:val="single"/>
        </w:rPr>
        <w:t xml:space="preserve"> </w:t>
      </w:r>
      <w:r>
        <w:rPr>
          <w:rFonts w:ascii="Times New Roman" w:hAnsi="Times New Roman" w:eastAsia="仿宋_GB2312"/>
          <w:bCs/>
          <w:color w:val="000000"/>
          <w:sz w:val="24"/>
          <w:szCs w:val="24"/>
          <w:u w:val="single"/>
        </w:rPr>
        <w:t xml:space="preserve"> </w:t>
      </w:r>
      <w:r>
        <w:rPr>
          <w:rFonts w:ascii="Times New Roman" w:hAnsi="Times New Roman" w:eastAsia="仿宋_GB2312"/>
          <w:bCs/>
          <w:color w:val="000000"/>
          <w:sz w:val="24"/>
          <w:szCs w:val="24"/>
        </w:rPr>
        <w:t>份，均具有同等法律效力，发包人执</w:t>
      </w:r>
      <w:r>
        <w:rPr>
          <w:rFonts w:ascii="Times New Roman" w:hAnsi="Times New Roman" w:eastAsia="仿宋_GB2312"/>
          <w:bCs/>
          <w:color w:val="000000"/>
          <w:sz w:val="24"/>
          <w:szCs w:val="24"/>
          <w:u w:val="single"/>
        </w:rPr>
        <w:t xml:space="preserve">  </w:t>
      </w:r>
      <w:r>
        <w:rPr>
          <w:rFonts w:hint="eastAsia" w:ascii="Times New Roman" w:hAnsi="Times New Roman" w:eastAsia="仿宋_GB2312"/>
          <w:bCs/>
          <w:color w:val="000000"/>
          <w:sz w:val="24"/>
          <w:szCs w:val="24"/>
          <w:u w:val="single"/>
        </w:rPr>
        <w:t xml:space="preserve"> </w:t>
      </w:r>
      <w:r>
        <w:rPr>
          <w:rFonts w:ascii="Times New Roman" w:hAnsi="Times New Roman" w:eastAsia="仿宋_GB2312"/>
          <w:bCs/>
          <w:color w:val="000000"/>
          <w:sz w:val="24"/>
          <w:szCs w:val="24"/>
          <w:u w:val="single"/>
        </w:rPr>
        <w:t xml:space="preserve"> </w:t>
      </w:r>
      <w:r>
        <w:rPr>
          <w:rFonts w:ascii="Times New Roman" w:hAnsi="Times New Roman" w:eastAsia="仿宋_GB2312"/>
          <w:bCs/>
          <w:color w:val="000000"/>
          <w:sz w:val="24"/>
          <w:szCs w:val="24"/>
        </w:rPr>
        <w:t>份，承包人执</w:t>
      </w:r>
      <w:r>
        <w:rPr>
          <w:rFonts w:ascii="Times New Roman" w:hAnsi="Times New Roman" w:eastAsia="仿宋_GB2312"/>
          <w:bCs/>
          <w:color w:val="000000"/>
          <w:sz w:val="24"/>
          <w:szCs w:val="24"/>
          <w:u w:val="single"/>
        </w:rPr>
        <w:t xml:space="preserve">  </w:t>
      </w:r>
      <w:r>
        <w:rPr>
          <w:rFonts w:hint="eastAsia" w:ascii="Times New Roman" w:hAnsi="Times New Roman" w:eastAsia="仿宋_GB2312"/>
          <w:bCs/>
          <w:color w:val="000000"/>
          <w:sz w:val="24"/>
          <w:szCs w:val="24"/>
          <w:u w:val="single"/>
        </w:rPr>
        <w:t xml:space="preserve"> </w:t>
      </w:r>
      <w:r>
        <w:rPr>
          <w:rFonts w:ascii="Times New Roman" w:hAnsi="Times New Roman" w:eastAsia="仿宋_GB2312"/>
          <w:bCs/>
          <w:color w:val="000000"/>
          <w:sz w:val="24"/>
          <w:szCs w:val="24"/>
          <w:u w:val="single"/>
        </w:rPr>
        <w:t xml:space="preserve"> </w:t>
      </w:r>
      <w:r>
        <w:rPr>
          <w:rFonts w:ascii="Times New Roman" w:hAnsi="Times New Roman" w:eastAsia="仿宋_GB2312"/>
          <w:bCs/>
          <w:color w:val="000000"/>
          <w:sz w:val="24"/>
          <w:szCs w:val="24"/>
        </w:rPr>
        <w:t>份。</w:t>
      </w:r>
    </w:p>
    <w:p>
      <w:pPr>
        <w:pageBreakBefore w:val="0"/>
        <w:widowControl w:val="0"/>
        <w:kinsoku/>
        <w:wordWrap/>
        <w:overflowPunct/>
        <w:topLinePunct w:val="0"/>
        <w:bidi w:val="0"/>
        <w:snapToGrid/>
        <w:spacing w:line="480" w:lineRule="exact"/>
        <w:ind w:firstLine="480" w:firstLineChars="200"/>
        <w:textAlignment w:val="auto"/>
        <w:rPr>
          <w:rFonts w:hint="eastAsia" w:ascii="Times New Roman" w:hAnsi="Times New Roman" w:eastAsia="仿宋_GB2312"/>
          <w:color w:val="000000"/>
          <w:sz w:val="24"/>
          <w:szCs w:val="24"/>
          <w:u w:val="single"/>
        </w:rPr>
      </w:pPr>
      <w:r>
        <w:rPr>
          <w:rFonts w:ascii="Times New Roman" w:hAnsi="Times New Roman" w:eastAsia="仿宋_GB2312"/>
          <w:color w:val="000000"/>
          <w:sz w:val="24"/>
          <w:szCs w:val="24"/>
        </w:rPr>
        <w:t>发包人</w:t>
      </w:r>
      <w:r>
        <w:rPr>
          <w:rFonts w:hint="eastAsia" w:ascii="Times New Roman" w:hAnsi="Times New Roman" w:eastAsia="仿宋_GB2312"/>
          <w:color w:val="000000"/>
          <w:sz w:val="24"/>
          <w:szCs w:val="24"/>
        </w:rPr>
        <w:t xml:space="preserve">：  </w:t>
      </w:r>
      <w:r>
        <w:rPr>
          <w:rFonts w:ascii="Times New Roman" w:hAnsi="Times New Roman" w:eastAsia="仿宋_GB2312"/>
          <w:color w:val="000000"/>
          <w:sz w:val="24"/>
          <w:szCs w:val="24"/>
        </w:rPr>
        <w:t>(公章)</w:t>
      </w:r>
      <w:r>
        <w:rPr>
          <w:rFonts w:hint="eastAsia" w:ascii="Times New Roman" w:hAnsi="Times New Roman" w:eastAsia="仿宋_GB2312"/>
          <w:color w:val="000000"/>
          <w:sz w:val="24"/>
          <w:szCs w:val="24"/>
        </w:rPr>
        <w:t xml:space="preserve">             </w:t>
      </w:r>
      <w:r>
        <w:rPr>
          <w:rFonts w:ascii="Times New Roman" w:hAnsi="Times New Roman" w:eastAsia="仿宋_GB2312"/>
          <w:color w:val="000000"/>
          <w:sz w:val="24"/>
          <w:szCs w:val="24"/>
        </w:rPr>
        <w:t>承包人</w:t>
      </w:r>
      <w:r>
        <w:rPr>
          <w:rFonts w:hint="eastAsia" w:ascii="Times New Roman" w:hAnsi="Times New Roman" w:eastAsia="仿宋_GB2312"/>
          <w:color w:val="000000"/>
          <w:sz w:val="24"/>
          <w:szCs w:val="24"/>
        </w:rPr>
        <w:t xml:space="preserve">：  </w:t>
      </w:r>
      <w:r>
        <w:rPr>
          <w:rFonts w:ascii="Times New Roman" w:hAnsi="Times New Roman" w:eastAsia="仿宋_GB2312"/>
          <w:color w:val="000000"/>
          <w:sz w:val="24"/>
          <w:szCs w:val="24"/>
        </w:rPr>
        <w:t>(公章)</w:t>
      </w:r>
      <w:r>
        <w:rPr>
          <w:rFonts w:hint="eastAsia" w:ascii="Times New Roman" w:hAnsi="Times New Roman" w:eastAsia="仿宋_GB2312"/>
          <w:color w:val="000000"/>
          <w:sz w:val="24"/>
          <w:szCs w:val="24"/>
        </w:rPr>
        <w:t xml:space="preserve">                                 </w:t>
      </w:r>
    </w:p>
    <w:p>
      <w:pPr>
        <w:pageBreakBefore w:val="0"/>
        <w:widowControl w:val="0"/>
        <w:kinsoku/>
        <w:wordWrap/>
        <w:overflowPunct/>
        <w:topLinePunct w:val="0"/>
        <w:bidi w:val="0"/>
        <w:snapToGrid/>
        <w:spacing w:line="480" w:lineRule="exact"/>
        <w:ind w:firstLine="480" w:firstLineChars="200"/>
        <w:textAlignment w:val="auto"/>
        <w:rPr>
          <w:rFonts w:hint="eastAsia" w:ascii="Times New Roman" w:hAnsi="Times New Roman" w:eastAsia="仿宋_GB2312"/>
          <w:color w:val="000000"/>
          <w:sz w:val="24"/>
          <w:szCs w:val="24"/>
        </w:rPr>
      </w:pPr>
      <w:r>
        <w:rPr>
          <w:rFonts w:hint="eastAsia" w:ascii="Times New Roman" w:hAnsi="Times New Roman" w:eastAsia="仿宋_GB2312"/>
          <w:color w:val="000000"/>
          <w:sz w:val="24"/>
          <w:szCs w:val="24"/>
        </w:rPr>
        <w:t>法定代表人或其委托代理人：  法定代表人或其委托代理人：</w:t>
      </w:r>
    </w:p>
    <w:p>
      <w:pPr>
        <w:pageBreakBefore w:val="0"/>
        <w:widowControl w:val="0"/>
        <w:kinsoku/>
        <w:wordWrap/>
        <w:overflowPunct/>
        <w:topLinePunct w:val="0"/>
        <w:bidi w:val="0"/>
        <w:snapToGrid/>
        <w:spacing w:line="480" w:lineRule="exact"/>
        <w:ind w:firstLine="480" w:firstLineChars="200"/>
        <w:textAlignment w:val="auto"/>
        <w:rPr>
          <w:rFonts w:hint="eastAsia" w:ascii="Times New Roman" w:hAnsi="Times New Roman" w:eastAsia="仿宋_GB2312"/>
          <w:color w:val="000000"/>
          <w:sz w:val="24"/>
          <w:szCs w:val="24"/>
          <w:u w:val="single"/>
        </w:rPr>
      </w:pPr>
      <w:r>
        <w:rPr>
          <w:rFonts w:hint="eastAsia" w:ascii="Times New Roman" w:hAnsi="Times New Roman" w:eastAsia="仿宋_GB2312"/>
          <w:color w:val="000000"/>
          <w:sz w:val="24"/>
          <w:szCs w:val="24"/>
        </w:rPr>
        <w:t>（签字）                    （签字）</w:t>
      </w:r>
    </w:p>
    <w:p>
      <w:pPr>
        <w:pageBreakBefore w:val="0"/>
        <w:widowControl w:val="0"/>
        <w:tabs>
          <w:tab w:val="left" w:pos="4410"/>
        </w:tabs>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hint="eastAsia" w:ascii="Times New Roman" w:hAnsi="Times New Roman" w:eastAsia="仿宋_GB2312"/>
          <w:color w:val="000000"/>
          <w:sz w:val="24"/>
          <w:szCs w:val="24"/>
        </w:rPr>
        <w:t>组织机构代码：</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 xml:space="preserve"> </w:t>
      </w:r>
      <w:r>
        <w:rPr>
          <w:rFonts w:hint="eastAsia" w:ascii="Times New Roman" w:hAnsi="Times New Roman" w:eastAsia="仿宋_GB2312"/>
          <w:color w:val="000000"/>
          <w:sz w:val="24"/>
          <w:szCs w:val="24"/>
        </w:rPr>
        <w:t xml:space="preserve"> 组织机构代码：</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 xml:space="preserve"> </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地  址：</w:t>
      </w:r>
      <w:r>
        <w:rPr>
          <w:rFonts w:ascii="Times New Roman" w:hAnsi="Times New Roman" w:eastAsia="仿宋_GB2312"/>
          <w:color w:val="000000"/>
          <w:sz w:val="24"/>
          <w:szCs w:val="24"/>
          <w:u w:val="single"/>
        </w:rPr>
        <w:t xml:space="preserve">     </w:t>
      </w:r>
      <w:r>
        <w:rPr>
          <w:rFonts w:hint="eastAsia" w:ascii="Times New Roman" w:hAnsi="Times New Roman" w:eastAsia="仿宋_GB2312"/>
          <w:color w:val="000000"/>
          <w:sz w:val="24"/>
          <w:szCs w:val="24"/>
        </w:rPr>
        <w:t xml:space="preserve">  </w:t>
      </w:r>
      <w:r>
        <w:rPr>
          <w:rFonts w:ascii="Times New Roman" w:hAnsi="Times New Roman" w:eastAsia="仿宋_GB2312"/>
          <w:color w:val="000000"/>
          <w:sz w:val="24"/>
          <w:szCs w:val="24"/>
        </w:rPr>
        <w:t>地  址：</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邮政编码：</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 xml:space="preserve"> </w:t>
      </w:r>
      <w:r>
        <w:rPr>
          <w:rFonts w:hint="eastAsia" w:ascii="Times New Roman" w:hAnsi="Times New Roman" w:eastAsia="仿宋_GB2312"/>
          <w:color w:val="000000"/>
          <w:sz w:val="24"/>
          <w:szCs w:val="24"/>
        </w:rPr>
        <w:t xml:space="preserve"> </w:t>
      </w:r>
      <w:r>
        <w:rPr>
          <w:rFonts w:ascii="Times New Roman" w:hAnsi="Times New Roman" w:eastAsia="仿宋_GB2312"/>
          <w:color w:val="000000"/>
          <w:sz w:val="24"/>
          <w:szCs w:val="24"/>
        </w:rPr>
        <w:t>邮政编码：</w:t>
      </w:r>
      <w:r>
        <w:rPr>
          <w:rFonts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法定代表人：</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 xml:space="preserve"> </w:t>
      </w:r>
      <w:r>
        <w:rPr>
          <w:rFonts w:hint="eastAsia" w:ascii="Times New Roman" w:hAnsi="Times New Roman" w:eastAsia="仿宋_GB2312"/>
          <w:color w:val="000000"/>
          <w:sz w:val="24"/>
          <w:szCs w:val="24"/>
        </w:rPr>
        <w:t xml:space="preserve"> </w:t>
      </w:r>
      <w:r>
        <w:rPr>
          <w:rFonts w:ascii="Times New Roman" w:hAnsi="Times New Roman" w:eastAsia="仿宋_GB2312"/>
          <w:color w:val="000000"/>
          <w:sz w:val="24"/>
          <w:szCs w:val="24"/>
        </w:rPr>
        <w:t>法定代表人：</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委托代理人：</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 xml:space="preserve"> </w:t>
      </w:r>
      <w:r>
        <w:rPr>
          <w:rFonts w:hint="eastAsia" w:ascii="Times New Roman" w:hAnsi="Times New Roman" w:eastAsia="仿宋_GB2312"/>
          <w:color w:val="000000"/>
          <w:sz w:val="24"/>
          <w:szCs w:val="24"/>
        </w:rPr>
        <w:t xml:space="preserve"> </w:t>
      </w:r>
      <w:r>
        <w:rPr>
          <w:rFonts w:ascii="Times New Roman" w:hAnsi="Times New Roman" w:eastAsia="仿宋_GB2312"/>
          <w:color w:val="000000"/>
          <w:sz w:val="24"/>
          <w:szCs w:val="24"/>
        </w:rPr>
        <w:t>委托代理人：</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电  话：</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 xml:space="preserve"> </w:t>
      </w:r>
      <w:r>
        <w:rPr>
          <w:rFonts w:hint="eastAsia" w:ascii="Times New Roman" w:hAnsi="Times New Roman" w:eastAsia="仿宋_GB2312"/>
          <w:color w:val="000000"/>
          <w:sz w:val="24"/>
          <w:szCs w:val="24"/>
        </w:rPr>
        <w:t xml:space="preserve"> </w:t>
      </w:r>
      <w:r>
        <w:rPr>
          <w:rFonts w:ascii="Times New Roman" w:hAnsi="Times New Roman" w:eastAsia="仿宋_GB2312"/>
          <w:color w:val="000000"/>
          <w:sz w:val="24"/>
          <w:szCs w:val="24"/>
        </w:rPr>
        <w:t>电  话：</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传  真：</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 xml:space="preserve"> </w:t>
      </w:r>
      <w:r>
        <w:rPr>
          <w:rFonts w:hint="eastAsia" w:ascii="Times New Roman" w:hAnsi="Times New Roman" w:eastAsia="仿宋_GB2312"/>
          <w:color w:val="000000"/>
          <w:sz w:val="24"/>
          <w:szCs w:val="24"/>
        </w:rPr>
        <w:t xml:space="preserve"> </w:t>
      </w:r>
      <w:r>
        <w:rPr>
          <w:rFonts w:ascii="Times New Roman" w:hAnsi="Times New Roman" w:eastAsia="仿宋_GB2312"/>
          <w:color w:val="000000"/>
          <w:sz w:val="24"/>
          <w:szCs w:val="24"/>
        </w:rPr>
        <w:t>传  真：</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电子信箱：</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 xml:space="preserve"> </w:t>
      </w:r>
      <w:r>
        <w:rPr>
          <w:rFonts w:hint="eastAsia" w:ascii="Times New Roman" w:hAnsi="Times New Roman" w:eastAsia="仿宋_GB2312"/>
          <w:color w:val="000000"/>
          <w:sz w:val="24"/>
          <w:szCs w:val="24"/>
        </w:rPr>
        <w:t xml:space="preserve"> </w:t>
      </w:r>
      <w:r>
        <w:rPr>
          <w:rFonts w:ascii="Times New Roman" w:hAnsi="Times New Roman" w:eastAsia="仿宋_GB2312"/>
          <w:color w:val="000000"/>
          <w:sz w:val="24"/>
          <w:szCs w:val="24"/>
        </w:rPr>
        <w:t>电子信箱：</w:t>
      </w:r>
      <w:r>
        <w:rPr>
          <w:rFonts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开户银行：</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 xml:space="preserve"> </w:t>
      </w:r>
      <w:r>
        <w:rPr>
          <w:rFonts w:hint="eastAsia" w:ascii="Times New Roman" w:hAnsi="Times New Roman" w:eastAsia="仿宋_GB2312"/>
          <w:color w:val="000000"/>
          <w:sz w:val="24"/>
          <w:szCs w:val="24"/>
        </w:rPr>
        <w:t xml:space="preserve"> </w:t>
      </w:r>
      <w:r>
        <w:rPr>
          <w:rFonts w:ascii="Times New Roman" w:hAnsi="Times New Roman" w:eastAsia="仿宋_GB2312"/>
          <w:color w:val="000000"/>
          <w:sz w:val="24"/>
          <w:szCs w:val="24"/>
        </w:rPr>
        <w:t>开户银行：</w:t>
      </w:r>
      <w:r>
        <w:rPr>
          <w:rFonts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8"/>
          <w:szCs w:val="28"/>
        </w:rPr>
      </w:pPr>
      <w:r>
        <w:rPr>
          <w:rFonts w:ascii="Times New Roman" w:hAnsi="Times New Roman" w:eastAsia="仿宋_GB2312"/>
          <w:color w:val="000000"/>
          <w:sz w:val="24"/>
          <w:szCs w:val="24"/>
        </w:rPr>
        <w:t>账  号：</w:t>
      </w:r>
      <w:r>
        <w:rPr>
          <w:rFonts w:ascii="Times New Roman" w:hAnsi="Times New Roman" w:eastAsia="仿宋_GB2312"/>
          <w:color w:val="000000"/>
          <w:sz w:val="24"/>
          <w:szCs w:val="24"/>
          <w:u w:val="single"/>
        </w:rPr>
        <w:t xml:space="preserve">       </w:t>
      </w:r>
      <w:r>
        <w:rPr>
          <w:rFonts w:hint="eastAsia" w:ascii="Times New Roman" w:hAnsi="Times New Roman" w:eastAsia="仿宋_GB2312"/>
          <w:color w:val="000000"/>
          <w:sz w:val="24"/>
          <w:szCs w:val="24"/>
        </w:rPr>
        <w:t xml:space="preserve">   </w:t>
      </w:r>
      <w:r>
        <w:rPr>
          <w:rFonts w:ascii="Times New Roman" w:hAnsi="Times New Roman" w:eastAsia="仿宋_GB2312"/>
          <w:color w:val="000000"/>
          <w:sz w:val="24"/>
          <w:szCs w:val="24"/>
        </w:rPr>
        <w:t>账</w:t>
      </w:r>
      <w:r>
        <w:rPr>
          <w:rFonts w:hint="eastAsia" w:ascii="Times New Roman" w:hAnsi="Times New Roman" w:eastAsia="仿宋_GB2312"/>
          <w:color w:val="000000"/>
          <w:sz w:val="24"/>
          <w:szCs w:val="24"/>
        </w:rPr>
        <w:t xml:space="preserve"> </w:t>
      </w:r>
      <w:r>
        <w:rPr>
          <w:rFonts w:ascii="Times New Roman" w:hAnsi="Times New Roman" w:eastAsia="仿宋_GB2312"/>
          <w:color w:val="000000"/>
          <w:sz w:val="24"/>
          <w:szCs w:val="24"/>
        </w:rPr>
        <w:t xml:space="preserve"> 号：</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p>
    <w:p>
      <w:pPr>
        <w:pStyle w:val="6"/>
        <w:jc w:val="center"/>
        <w:rPr>
          <w:rFonts w:ascii="华文中宋" w:hAnsi="华文中宋" w:eastAsia="华文中宋"/>
          <w:sz w:val="44"/>
          <w:szCs w:val="44"/>
        </w:rPr>
      </w:pPr>
      <w:r>
        <w:rPr>
          <w:rFonts w:eastAsia="仿宋_GB2312"/>
        </w:rPr>
        <w:br w:type="page"/>
      </w:r>
      <w:bookmarkStart w:id="93" w:name="_Toc351203494"/>
      <w:r>
        <w:rPr>
          <w:rFonts w:ascii="华文中宋" w:hAnsi="华文中宋" w:eastAsia="华文中宋"/>
          <w:sz w:val="44"/>
          <w:szCs w:val="44"/>
        </w:rPr>
        <w:t>第二部分 通用合同条款</w:t>
      </w:r>
      <w:bookmarkEnd w:id="93"/>
      <w:r>
        <w:rPr>
          <w:rFonts w:hint="eastAsia" w:ascii="华文中宋" w:hAnsi="华文中宋" w:eastAsia="华文中宋"/>
          <w:sz w:val="44"/>
          <w:szCs w:val="44"/>
          <w:lang w:eastAsia="zh-CN"/>
        </w:rPr>
        <w:t>（</w:t>
      </w:r>
      <w:r>
        <w:rPr>
          <w:rFonts w:hint="eastAsia" w:ascii="华文中宋" w:hAnsi="华文中宋" w:eastAsia="华文中宋"/>
          <w:sz w:val="44"/>
          <w:szCs w:val="44"/>
          <w:lang w:val="en-US" w:eastAsia="zh-CN"/>
        </w:rPr>
        <w:t>略</w:t>
      </w:r>
      <w:r>
        <w:rPr>
          <w:rFonts w:hint="eastAsia" w:ascii="华文中宋" w:hAnsi="华文中宋" w:eastAsia="华文中宋"/>
          <w:sz w:val="44"/>
          <w:szCs w:val="44"/>
          <w:lang w:eastAsia="zh-CN"/>
        </w:rPr>
        <w:t>）</w:t>
      </w:r>
    </w:p>
    <w:p>
      <w:pPr>
        <w:pStyle w:val="6"/>
        <w:ind w:firstLine="2640" w:firstLineChars="600"/>
        <w:jc w:val="both"/>
        <w:rPr>
          <w:rFonts w:ascii="华文中宋" w:hAnsi="华文中宋" w:eastAsia="华文中宋"/>
          <w:sz w:val="44"/>
          <w:szCs w:val="44"/>
        </w:rPr>
      </w:pPr>
    </w:p>
    <w:p>
      <w:pPr>
        <w:pStyle w:val="6"/>
        <w:ind w:firstLine="2640" w:firstLineChars="600"/>
        <w:jc w:val="both"/>
        <w:rPr>
          <w:rFonts w:ascii="华文中宋" w:hAnsi="华文中宋" w:eastAsia="华文中宋"/>
          <w:sz w:val="44"/>
          <w:szCs w:val="44"/>
        </w:rPr>
      </w:pPr>
    </w:p>
    <w:p>
      <w:pPr>
        <w:pStyle w:val="6"/>
        <w:ind w:firstLine="2640" w:firstLineChars="600"/>
        <w:jc w:val="both"/>
        <w:rPr>
          <w:rFonts w:ascii="华文中宋" w:hAnsi="华文中宋" w:eastAsia="华文中宋"/>
          <w:sz w:val="44"/>
          <w:szCs w:val="44"/>
        </w:rPr>
      </w:pPr>
    </w:p>
    <w:p>
      <w:pPr>
        <w:pStyle w:val="6"/>
        <w:ind w:firstLine="2640" w:firstLineChars="600"/>
        <w:jc w:val="both"/>
        <w:rPr>
          <w:rFonts w:ascii="华文中宋" w:hAnsi="华文中宋" w:eastAsia="华文中宋"/>
          <w:sz w:val="44"/>
          <w:szCs w:val="44"/>
        </w:rPr>
      </w:pPr>
    </w:p>
    <w:p>
      <w:pPr>
        <w:pStyle w:val="6"/>
        <w:ind w:firstLine="2640" w:firstLineChars="600"/>
        <w:jc w:val="both"/>
        <w:rPr>
          <w:rFonts w:ascii="华文中宋" w:hAnsi="华文中宋" w:eastAsia="华文中宋"/>
          <w:sz w:val="44"/>
          <w:szCs w:val="44"/>
        </w:rPr>
      </w:pPr>
    </w:p>
    <w:p>
      <w:pPr>
        <w:pStyle w:val="6"/>
        <w:ind w:firstLine="2640" w:firstLineChars="600"/>
        <w:jc w:val="both"/>
        <w:rPr>
          <w:rFonts w:ascii="华文中宋" w:hAnsi="华文中宋" w:eastAsia="华文中宋"/>
          <w:sz w:val="44"/>
          <w:szCs w:val="44"/>
        </w:rPr>
      </w:pPr>
    </w:p>
    <w:p>
      <w:pPr>
        <w:pStyle w:val="6"/>
        <w:ind w:firstLine="2640" w:firstLineChars="600"/>
        <w:jc w:val="both"/>
        <w:rPr>
          <w:rFonts w:ascii="华文中宋" w:hAnsi="华文中宋" w:eastAsia="华文中宋"/>
          <w:sz w:val="44"/>
          <w:szCs w:val="44"/>
        </w:rPr>
      </w:pPr>
    </w:p>
    <w:p>
      <w:pPr>
        <w:pStyle w:val="6"/>
        <w:ind w:firstLine="2640" w:firstLineChars="600"/>
        <w:jc w:val="both"/>
        <w:rPr>
          <w:rFonts w:ascii="华文中宋" w:hAnsi="华文中宋" w:eastAsia="华文中宋"/>
          <w:sz w:val="44"/>
          <w:szCs w:val="44"/>
        </w:rPr>
      </w:pPr>
    </w:p>
    <w:p>
      <w:pPr>
        <w:pStyle w:val="6"/>
        <w:ind w:firstLine="2640" w:firstLineChars="600"/>
        <w:jc w:val="both"/>
        <w:rPr>
          <w:rFonts w:ascii="华文中宋" w:hAnsi="华文中宋" w:eastAsia="华文中宋"/>
          <w:sz w:val="44"/>
          <w:szCs w:val="44"/>
        </w:rPr>
      </w:pPr>
    </w:p>
    <w:p>
      <w:pPr>
        <w:pStyle w:val="6"/>
        <w:ind w:firstLine="2640" w:firstLineChars="600"/>
        <w:jc w:val="both"/>
        <w:rPr>
          <w:rFonts w:ascii="华文中宋" w:hAnsi="华文中宋" w:eastAsia="华文中宋"/>
          <w:sz w:val="44"/>
          <w:szCs w:val="44"/>
        </w:rPr>
      </w:pPr>
    </w:p>
    <w:p>
      <w:pPr>
        <w:pStyle w:val="6"/>
        <w:ind w:firstLine="2640" w:firstLineChars="600"/>
        <w:jc w:val="both"/>
        <w:rPr>
          <w:rFonts w:ascii="华文中宋" w:hAnsi="华文中宋" w:eastAsia="华文中宋"/>
          <w:sz w:val="44"/>
          <w:szCs w:val="44"/>
        </w:rPr>
      </w:pPr>
    </w:p>
    <w:p>
      <w:pPr>
        <w:pStyle w:val="6"/>
        <w:ind w:firstLine="2640" w:firstLineChars="600"/>
        <w:jc w:val="both"/>
        <w:rPr>
          <w:rFonts w:ascii="华文中宋" w:hAnsi="华文中宋" w:eastAsia="华文中宋"/>
          <w:sz w:val="44"/>
          <w:szCs w:val="44"/>
        </w:rPr>
      </w:pPr>
      <w:r>
        <w:rPr>
          <w:rFonts w:ascii="华文中宋" w:hAnsi="华文中宋" w:eastAsia="华文中宋"/>
          <w:sz w:val="44"/>
          <w:szCs w:val="44"/>
        </w:rPr>
        <w:t xml:space="preserve">第三部分 </w:t>
      </w:r>
      <w:r>
        <w:rPr>
          <w:rFonts w:hint="eastAsia" w:ascii="华文中宋" w:hAnsi="华文中宋" w:eastAsia="华文中宋"/>
          <w:sz w:val="44"/>
          <w:szCs w:val="44"/>
        </w:rPr>
        <w:t>专用合同条款</w:t>
      </w:r>
    </w:p>
    <w:p>
      <w:pPr>
        <w:pStyle w:val="7"/>
        <w:keepNext/>
        <w:keepLines/>
        <w:pageBreakBefore w:val="0"/>
        <w:widowControl w:val="0"/>
        <w:kinsoku/>
        <w:wordWrap/>
        <w:overflowPunct/>
        <w:topLinePunct w:val="0"/>
        <w:autoSpaceDE/>
        <w:autoSpaceDN/>
        <w:bidi w:val="0"/>
        <w:adjustRightInd/>
        <w:snapToGrid/>
        <w:spacing w:line="480" w:lineRule="exact"/>
        <w:textAlignment w:val="auto"/>
        <w:outlineLvl w:val="3"/>
        <w:rPr>
          <w:rFonts w:ascii="Times New Roman" w:hAnsi="Times New Roman" w:eastAsia="黑体"/>
          <w:b w:val="0"/>
          <w:color w:val="000000"/>
          <w:sz w:val="24"/>
          <w:szCs w:val="24"/>
        </w:rPr>
      </w:pPr>
      <w:bookmarkStart w:id="94" w:name="_Toc351203633"/>
      <w:r>
        <w:rPr>
          <w:rFonts w:ascii="Times New Roman" w:hAnsi="Times New Roman" w:eastAsia="黑体"/>
          <w:b w:val="0"/>
          <w:color w:val="000000"/>
          <w:sz w:val="24"/>
          <w:szCs w:val="24"/>
        </w:rPr>
        <w:t>1</w:t>
      </w:r>
      <w:bookmarkStart w:id="95" w:name="_Toc296890984"/>
      <w:bookmarkStart w:id="96" w:name="_Toc292559361"/>
      <w:bookmarkStart w:id="97" w:name="_Toc296346657"/>
      <w:bookmarkStart w:id="98" w:name="_Toc297048342"/>
      <w:bookmarkStart w:id="99" w:name="_Toc296944495"/>
      <w:bookmarkStart w:id="100" w:name="_Toc296347155"/>
      <w:bookmarkStart w:id="101" w:name="_Toc297120456"/>
      <w:bookmarkStart w:id="102" w:name="_Toc296891196"/>
      <w:bookmarkStart w:id="103" w:name="_Toc296503156"/>
      <w:bookmarkStart w:id="104" w:name="_Toc292559866"/>
      <w:r>
        <w:rPr>
          <w:rFonts w:ascii="Times New Roman" w:hAnsi="Times New Roman" w:eastAsia="黑体"/>
          <w:b w:val="0"/>
          <w:color w:val="000000"/>
          <w:sz w:val="24"/>
          <w:szCs w:val="24"/>
        </w:rPr>
        <w:t>. 一般约定</w:t>
      </w:r>
      <w:bookmarkEnd w:id="94"/>
    </w:p>
    <w:bookmarkEnd w:id="95"/>
    <w:bookmarkEnd w:id="96"/>
    <w:bookmarkEnd w:id="97"/>
    <w:bookmarkEnd w:id="98"/>
    <w:bookmarkEnd w:id="99"/>
    <w:bookmarkEnd w:id="100"/>
    <w:bookmarkEnd w:id="101"/>
    <w:bookmarkEnd w:id="102"/>
    <w:bookmarkEnd w:id="103"/>
    <w:bookmarkEnd w:id="104"/>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0"/>
        <w:rPr>
          <w:rFonts w:ascii="Times New Roman" w:hAnsi="Times New Roman" w:eastAsia="黑体"/>
          <w:color w:val="000000"/>
          <w:sz w:val="24"/>
          <w:szCs w:val="24"/>
        </w:rPr>
      </w:pPr>
      <w:r>
        <w:rPr>
          <w:rFonts w:ascii="Times New Roman" w:hAnsi="Times New Roman" w:eastAsia="黑体"/>
          <w:color w:val="000000"/>
          <w:sz w:val="24"/>
          <w:szCs w:val="24"/>
        </w:rPr>
        <w:t>1.1 词语定义</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1.1.1合同</w:t>
      </w:r>
    </w:p>
    <w:p>
      <w:pPr>
        <w:pageBreakBefore w:val="0"/>
        <w:widowControl w:val="0"/>
        <w:kinsoku/>
        <w:wordWrap/>
        <w:overflowPunct/>
        <w:topLinePunct w:val="0"/>
        <w:bidi w:val="0"/>
        <w:snapToGrid/>
        <w:spacing w:line="480" w:lineRule="exact"/>
        <w:ind w:firstLine="480" w:firstLineChars="200"/>
        <w:textAlignment w:val="auto"/>
        <w:rPr>
          <w:rFonts w:hint="eastAsia" w:ascii="Times New Roman" w:hAnsi="Times New Roman" w:eastAsia="仿宋_GB2312"/>
          <w:color w:val="000000"/>
          <w:sz w:val="24"/>
          <w:szCs w:val="24"/>
          <w:u w:val="single"/>
        </w:rPr>
      </w:pPr>
      <w:r>
        <w:rPr>
          <w:rFonts w:ascii="Times New Roman" w:hAnsi="Times New Roman" w:eastAsia="仿宋_GB2312"/>
          <w:color w:val="000000"/>
          <w:kern w:val="0"/>
          <w:sz w:val="24"/>
          <w:szCs w:val="24"/>
        </w:rPr>
        <w:t>1.1.1.10其他合同文件包括：</w:t>
      </w:r>
      <w:r>
        <w:rPr>
          <w:rFonts w:ascii="Times New Roman" w:hAnsi="Times New Roman" w:eastAsia="仿宋_GB2312"/>
          <w:color w:val="000000"/>
          <w:sz w:val="24"/>
          <w:szCs w:val="24"/>
          <w:u w:val="single"/>
        </w:rPr>
        <w:t xml:space="preserve">     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kern w:val="0"/>
          <w:sz w:val="24"/>
          <w:szCs w:val="24"/>
        </w:rPr>
      </w:pP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1.1.2 合同当事人及其他相关方</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1.1.2.4监理人：</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名    称：</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资质类别和等级：</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联系电话：</w:t>
      </w:r>
      <w:r>
        <w:rPr>
          <w:rFonts w:ascii="Times New Roman" w:hAnsi="Times New Roman" w:eastAsia="仿宋_GB2312"/>
          <w:color w:val="000000"/>
          <w:sz w:val="24"/>
          <w:szCs w:val="24"/>
          <w:u w:val="single"/>
        </w:rPr>
        <w:t>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电子信箱：</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通信地址：</w:t>
      </w:r>
      <w:r>
        <w:rPr>
          <w:rFonts w:ascii="Times New Roman" w:hAnsi="Times New Roman" w:eastAsia="仿宋_GB2312"/>
          <w:color w:val="000000"/>
          <w:sz w:val="24"/>
          <w:szCs w:val="24"/>
          <w:u w:val="single"/>
        </w:rPr>
        <w:t>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1.1.2.5 设计人：</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名    称：</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资质类别和等级：</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联系电话：</w:t>
      </w:r>
      <w:r>
        <w:rPr>
          <w:rFonts w:ascii="Times New Roman" w:hAnsi="Times New Roman" w:eastAsia="仿宋_GB2312"/>
          <w:color w:val="000000"/>
          <w:sz w:val="24"/>
          <w:szCs w:val="24"/>
          <w:u w:val="single"/>
        </w:rPr>
        <w:t>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电子信箱：</w:t>
      </w:r>
      <w:r>
        <w:rPr>
          <w:rFonts w:ascii="Times New Roman" w:hAnsi="Times New Roman" w:eastAsia="仿宋_GB2312"/>
          <w:color w:val="000000"/>
          <w:sz w:val="24"/>
          <w:szCs w:val="24"/>
          <w:u w:val="single"/>
        </w:rPr>
        <w:t>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hint="eastAsia" w:ascii="Times New Roman" w:hAnsi="Times New Roman" w:eastAsia="仿宋_GB2312"/>
          <w:color w:val="000000"/>
          <w:sz w:val="24"/>
          <w:szCs w:val="24"/>
        </w:rPr>
      </w:pPr>
      <w:r>
        <w:rPr>
          <w:rFonts w:ascii="Times New Roman" w:hAnsi="Times New Roman" w:eastAsia="仿宋_GB2312"/>
          <w:color w:val="000000"/>
          <w:sz w:val="24"/>
          <w:szCs w:val="24"/>
        </w:rPr>
        <w:t>通信地址：</w:t>
      </w:r>
      <w:r>
        <w:rPr>
          <w:rFonts w:ascii="Times New Roman" w:hAnsi="Times New Roman" w:eastAsia="仿宋_GB2312"/>
          <w:color w:val="000000"/>
          <w:sz w:val="24"/>
          <w:szCs w:val="24"/>
          <w:u w:val="single"/>
        </w:rPr>
        <w:t>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1.1.3 工程和设备</w:t>
      </w:r>
    </w:p>
    <w:p>
      <w:pPr>
        <w:pageBreakBefore w:val="0"/>
        <w:widowControl w:val="0"/>
        <w:kinsoku/>
        <w:wordWrap/>
        <w:overflowPunct/>
        <w:topLinePunct w:val="0"/>
        <w:bidi w:val="0"/>
        <w:snapToGrid/>
        <w:spacing w:line="480" w:lineRule="exact"/>
        <w:ind w:firstLine="480" w:firstLineChars="200"/>
        <w:textAlignment w:val="auto"/>
        <w:rPr>
          <w:rFonts w:hint="eastAsia" w:ascii="Times New Roman" w:hAnsi="Times New Roman" w:eastAsia="仿宋_GB2312"/>
          <w:color w:val="000000"/>
          <w:sz w:val="24"/>
          <w:szCs w:val="24"/>
          <w:u w:val="single"/>
        </w:rPr>
      </w:pPr>
      <w:r>
        <w:rPr>
          <w:rFonts w:ascii="Times New Roman" w:hAnsi="Times New Roman" w:eastAsia="仿宋_GB2312"/>
          <w:color w:val="000000"/>
          <w:sz w:val="24"/>
          <w:szCs w:val="24"/>
        </w:rPr>
        <w:t>1.1.3.7 作为施工现场组成部分的其他场所包括：</w:t>
      </w:r>
      <w:r>
        <w:rPr>
          <w:rFonts w:hint="eastAsia"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1.1.3.9 永久占地包括：</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 </w:t>
      </w:r>
      <w:r>
        <w:rPr>
          <w:rFonts w:ascii="Times New Roman" w:hAnsi="Times New Roman" w:eastAsia="仿宋_GB2312"/>
          <w:color w:val="000000"/>
          <w:kern w:val="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kern w:val="0"/>
          <w:sz w:val="24"/>
          <w:szCs w:val="24"/>
        </w:rPr>
        <w:t>1.1.3.10 临时占地包括：</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 </w:t>
      </w:r>
      <w:r>
        <w:rPr>
          <w:rFonts w:ascii="Times New Roman" w:hAnsi="Times New Roman" w:eastAsia="仿宋_GB2312"/>
          <w:color w:val="000000"/>
          <w:kern w:val="0"/>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ascii="Times New Roman" w:hAnsi="Times New Roman" w:eastAsia="黑体"/>
          <w:color w:val="000000"/>
          <w:sz w:val="24"/>
          <w:szCs w:val="24"/>
        </w:rPr>
      </w:pPr>
      <w:r>
        <w:rPr>
          <w:rFonts w:ascii="Times New Roman" w:hAnsi="Times New Roman" w:eastAsia="黑体"/>
          <w:color w:val="000000"/>
          <w:sz w:val="24"/>
          <w:szCs w:val="24"/>
        </w:rPr>
        <w:t xml:space="preserve">1.3法律 </w:t>
      </w:r>
    </w:p>
    <w:p>
      <w:pPr>
        <w:pageBreakBefore w:val="0"/>
        <w:widowControl w:val="0"/>
        <w:kinsoku/>
        <w:wordWrap/>
        <w:overflowPunct/>
        <w:topLinePunct w:val="0"/>
        <w:autoSpaceDE w:val="0"/>
        <w:autoSpaceDN w:val="0"/>
        <w:bidi w:val="0"/>
        <w:adjustRightInd w:val="0"/>
        <w:snapToGrid/>
        <w:spacing w:line="480" w:lineRule="exact"/>
        <w:ind w:left="965" w:leftChars="284"/>
        <w:jc w:val="left"/>
        <w:textAlignment w:val="auto"/>
        <w:rPr>
          <w:rFonts w:hint="eastAsia" w:ascii="Times New Roman" w:hAnsi="Times New Roman" w:eastAsia="仿宋_GB2312"/>
          <w:color w:val="000000"/>
          <w:sz w:val="24"/>
          <w:szCs w:val="24"/>
          <w:u w:val="single"/>
        </w:rPr>
      </w:pPr>
      <w:r>
        <w:rPr>
          <w:rFonts w:ascii="Times New Roman" w:hAnsi="Times New Roman" w:eastAsia="仿宋_GB2312"/>
          <w:color w:val="000000"/>
          <w:sz w:val="24"/>
          <w:szCs w:val="24"/>
        </w:rPr>
        <w:t>适用于合同的其他规范性文件：</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p>
    <w:p>
      <w:pPr>
        <w:pageBreakBefore w:val="0"/>
        <w:widowControl w:val="0"/>
        <w:kinsoku/>
        <w:wordWrap/>
        <w:overflowPunct/>
        <w:topLinePunct w:val="0"/>
        <w:autoSpaceDE w:val="0"/>
        <w:autoSpaceDN w:val="0"/>
        <w:bidi w:val="0"/>
        <w:adjustRightInd w:val="0"/>
        <w:snapToGrid/>
        <w:spacing w:line="480" w:lineRule="exact"/>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ascii="Times New Roman" w:hAnsi="Times New Roman" w:eastAsia="黑体"/>
          <w:color w:val="000000"/>
          <w:sz w:val="24"/>
          <w:szCs w:val="24"/>
        </w:rPr>
      </w:pPr>
      <w:r>
        <w:rPr>
          <w:rFonts w:ascii="Times New Roman" w:hAnsi="Times New Roman" w:eastAsia="黑体"/>
          <w:color w:val="000000"/>
          <w:sz w:val="24"/>
          <w:szCs w:val="24"/>
        </w:rPr>
        <w:t>1.4 标准和规范</w:t>
      </w:r>
    </w:p>
    <w:p>
      <w:pPr>
        <w:pageBreakBefore w:val="0"/>
        <w:widowControl w:val="0"/>
        <w:kinsoku/>
        <w:wordWrap/>
        <w:overflowPunct/>
        <w:topLinePunct w:val="0"/>
        <w:bidi w:val="0"/>
        <w:snapToGrid/>
        <w:spacing w:line="480" w:lineRule="exact"/>
        <w:ind w:firstLine="480" w:firstLineChars="200"/>
        <w:textAlignment w:val="auto"/>
        <w:rPr>
          <w:rFonts w:hint="eastAsia" w:ascii="Times New Roman" w:hAnsi="Times New Roman" w:eastAsia="仿宋_GB2312"/>
          <w:color w:val="000000"/>
          <w:sz w:val="24"/>
          <w:szCs w:val="24"/>
        </w:rPr>
      </w:pPr>
      <w:r>
        <w:rPr>
          <w:rFonts w:ascii="Times New Roman" w:hAnsi="Times New Roman" w:eastAsia="仿宋_GB2312"/>
          <w:color w:val="000000"/>
          <w:sz w:val="24"/>
          <w:szCs w:val="24"/>
        </w:rPr>
        <w:t>1.4.1适用于工程的标准规范包括：</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ascii="Times New Roman" w:hAnsi="Times New Roman" w:eastAsia="仿宋_GB2312"/>
          <w:color w:val="000000"/>
          <w:sz w:val="24"/>
          <w:szCs w:val="24"/>
        </w:rPr>
        <w:t xml:space="preserve"> </w:t>
      </w:r>
    </w:p>
    <w:p>
      <w:pPr>
        <w:pageBreakBefore w:val="0"/>
        <w:widowControl w:val="0"/>
        <w:kinsoku/>
        <w:wordWrap/>
        <w:overflowPunct/>
        <w:topLinePunct w:val="0"/>
        <w:bidi w:val="0"/>
        <w:snapToGrid/>
        <w:spacing w:line="480" w:lineRule="exac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outlineLvl w:val="0"/>
        <w:rPr>
          <w:rFonts w:ascii="Times New Roman" w:hAnsi="Times New Roman" w:eastAsia="仿宋_GB2312"/>
          <w:color w:val="000000"/>
          <w:kern w:val="0"/>
          <w:sz w:val="24"/>
          <w:szCs w:val="24"/>
          <w:u w:val="single"/>
        </w:rPr>
      </w:pPr>
      <w:r>
        <w:rPr>
          <w:rFonts w:ascii="Times New Roman" w:hAnsi="Times New Roman" w:eastAsia="仿宋_GB2312"/>
          <w:color w:val="000000"/>
          <w:kern w:val="0"/>
          <w:sz w:val="24"/>
          <w:szCs w:val="24"/>
        </w:rPr>
        <w:t>1.4.2 发包人提供国外标准、规范的名称：</w:t>
      </w: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p>
    <w:p>
      <w:pPr>
        <w:pageBreakBefore w:val="0"/>
        <w:widowControl w:val="0"/>
        <w:kinsoku/>
        <w:wordWrap/>
        <w:overflowPunct/>
        <w:topLinePunct w:val="0"/>
        <w:bidi w:val="0"/>
        <w:snapToGrid/>
        <w:spacing w:line="480" w:lineRule="exact"/>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发包人提供国外标准、规范的份数：</w:t>
      </w: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kern w:val="0"/>
          <w:sz w:val="24"/>
          <w:szCs w:val="24"/>
        </w:rPr>
        <w:t>发包人提供国外标准、规范的名称：</w:t>
      </w: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hint="eastAsia" w:ascii="Times New Roman" w:hAnsi="Times New Roman" w:eastAsia="仿宋_GB2312"/>
          <w:color w:val="000000"/>
          <w:sz w:val="24"/>
          <w:szCs w:val="24"/>
        </w:rPr>
      </w:pPr>
      <w:r>
        <w:rPr>
          <w:rFonts w:ascii="Times New Roman" w:hAnsi="Times New Roman" w:eastAsia="仿宋_GB2312"/>
          <w:color w:val="000000"/>
          <w:sz w:val="24"/>
          <w:szCs w:val="24"/>
        </w:rPr>
        <w:t>1.4.3发包人对工程的技术标准和功能要求的特殊要求：</w:t>
      </w:r>
    </w:p>
    <w:p>
      <w:pPr>
        <w:pageBreakBefore w:val="0"/>
        <w:widowControl w:val="0"/>
        <w:kinsoku/>
        <w:wordWrap/>
        <w:overflowPunct/>
        <w:topLinePunct w:val="0"/>
        <w:bidi w:val="0"/>
        <w:snapToGrid/>
        <w:spacing w:line="480" w:lineRule="exac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u w:val="single"/>
        </w:rPr>
        <w:t xml:space="preserve"> 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after="120" w:line="480" w:lineRule="exact"/>
        <w:ind w:firstLine="480" w:firstLineChars="200"/>
        <w:textAlignment w:val="auto"/>
        <w:outlineLvl w:val="0"/>
        <w:rPr>
          <w:rFonts w:ascii="Times New Roman" w:hAnsi="Times New Roman" w:eastAsia="黑体"/>
          <w:color w:val="000000"/>
          <w:sz w:val="24"/>
          <w:szCs w:val="24"/>
        </w:rPr>
      </w:pPr>
      <w:r>
        <w:rPr>
          <w:rFonts w:ascii="Times New Roman" w:hAnsi="Times New Roman" w:eastAsia="黑体"/>
          <w:color w:val="000000"/>
          <w:sz w:val="24"/>
          <w:szCs w:val="24"/>
        </w:rPr>
        <w:t>1.5 合同文件的优先顺序</w:t>
      </w:r>
    </w:p>
    <w:p>
      <w:pPr>
        <w:pageBreakBefore w:val="0"/>
        <w:widowControl w:val="0"/>
        <w:kinsoku/>
        <w:wordWrap/>
        <w:overflowPunct/>
        <w:topLinePunct w:val="0"/>
        <w:bidi w:val="0"/>
        <w:snapToGrid/>
        <w:spacing w:line="480" w:lineRule="exact"/>
        <w:ind w:firstLine="480" w:firstLineChars="200"/>
        <w:textAlignment w:val="auto"/>
        <w:rPr>
          <w:rFonts w:hint="eastAsia" w:ascii="Times New Roman" w:hAnsi="Times New Roman" w:eastAsia="仿宋_GB2312"/>
          <w:color w:val="000000"/>
          <w:sz w:val="24"/>
          <w:szCs w:val="24"/>
        </w:rPr>
      </w:pPr>
      <w:r>
        <w:rPr>
          <w:rFonts w:ascii="Times New Roman" w:hAnsi="Times New Roman" w:eastAsia="仿宋_GB2312"/>
          <w:color w:val="000000"/>
          <w:sz w:val="24"/>
          <w:szCs w:val="24"/>
        </w:rPr>
        <w:t>合同文件组成及优先顺序为：</w:t>
      </w:r>
      <w:r>
        <w:rPr>
          <w:rFonts w:ascii="Times New Roman" w:hAnsi="Times New Roman" w:eastAsia="仿宋_GB2312"/>
          <w:color w:val="000000"/>
          <w:sz w:val="24"/>
          <w:szCs w:val="24"/>
          <w:u w:val="single"/>
        </w:rPr>
        <w:t></w:t>
      </w:r>
      <w:r>
        <w:rPr>
          <w:rFonts w:ascii="Times New Roman" w:hAnsi="Times New Roman" w:eastAsia="仿宋_GB2312"/>
          <w:color w:val="000000"/>
          <w:sz w:val="24"/>
          <w:szCs w:val="24"/>
        </w:rPr>
        <w:t xml:space="preserve"> </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0"/>
        <w:rPr>
          <w:rFonts w:ascii="Times New Roman" w:hAnsi="Times New Roman" w:eastAsia="黑体"/>
          <w:color w:val="000000"/>
          <w:sz w:val="24"/>
          <w:szCs w:val="24"/>
        </w:rPr>
      </w:pPr>
      <w:r>
        <w:rPr>
          <w:rFonts w:ascii="Times New Roman" w:hAnsi="Times New Roman" w:eastAsia="黑体"/>
          <w:color w:val="000000"/>
          <w:sz w:val="24"/>
          <w:szCs w:val="24"/>
        </w:rPr>
        <w:t>1.6 图纸和承包人文件</w:t>
      </w:r>
      <w:r>
        <w:rPr>
          <w:rFonts w:ascii="Times New Roman" w:hAnsi="Times New Roman" w:eastAsia="黑体"/>
          <w:color w:val="000000"/>
          <w:sz w:val="24"/>
          <w:szCs w:val="24"/>
        </w:rPr>
        <w:tab/>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1.6.1 图纸的提供</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发包人向承包人提供图纸的期限：</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发包人向承包人提供图纸的数量：</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发包人向承包人提供图纸的内容：</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1.6.4 承包人文件</w:t>
      </w:r>
    </w:p>
    <w:p>
      <w:pPr>
        <w:pageBreakBefore w:val="0"/>
        <w:widowControl w:val="0"/>
        <w:kinsoku/>
        <w:wordWrap/>
        <w:overflowPunct/>
        <w:topLinePunct w:val="0"/>
        <w:bidi w:val="0"/>
        <w:snapToGrid/>
        <w:spacing w:line="480" w:lineRule="exact"/>
        <w:ind w:left="965" w:leftChars="284"/>
        <w:jc w:val="left"/>
        <w:textAlignment w:val="auto"/>
        <w:rPr>
          <w:rFonts w:hint="eastAsia" w:ascii="Times New Roman" w:hAnsi="Times New Roman" w:eastAsia="仿宋_GB2312"/>
          <w:color w:val="000000"/>
          <w:sz w:val="24"/>
          <w:szCs w:val="24"/>
          <w:u w:val="single"/>
        </w:rPr>
      </w:pPr>
      <w:r>
        <w:rPr>
          <w:rFonts w:ascii="Times New Roman" w:hAnsi="Times New Roman" w:eastAsia="仿宋_GB2312"/>
          <w:color w:val="000000"/>
          <w:sz w:val="24"/>
          <w:szCs w:val="24"/>
        </w:rPr>
        <w:t>需要由承包人提供的文件，包括：</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p>
    <w:p>
      <w:pPr>
        <w:pageBreakBefore w:val="0"/>
        <w:widowControl w:val="0"/>
        <w:kinsoku/>
        <w:wordWrap/>
        <w:overflowPunct/>
        <w:topLinePunct w:val="0"/>
        <w:bidi w:val="0"/>
        <w:snapToGrid/>
        <w:spacing w:line="480" w:lineRule="exact"/>
        <w:ind w:left="965" w:leftChars="284"/>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承包人提供的文件的期限为：</w:t>
      </w:r>
      <w:r>
        <w:rPr>
          <w:rFonts w:ascii="Times New Roman" w:hAnsi="Times New Roman" w:eastAsia="仿宋_GB2312"/>
          <w:color w:val="000000"/>
          <w:sz w:val="24"/>
          <w:szCs w:val="24"/>
          <w:u w:val="single"/>
        </w:rPr>
        <w:t>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承包人提供的文件的数量为：</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承包人提供的文件的形式为：</w:t>
      </w:r>
      <w:r>
        <w:rPr>
          <w:rFonts w:ascii="Times New Roman" w:hAnsi="Times New Roman" w:eastAsia="仿宋_GB2312"/>
          <w:color w:val="000000"/>
          <w:sz w:val="24"/>
          <w:szCs w:val="24"/>
          <w:u w:val="single"/>
        </w:rPr>
        <w:t>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发包人</w:t>
      </w:r>
      <w:r>
        <w:rPr>
          <w:rFonts w:hint="eastAsia" w:ascii="Times New Roman" w:hAnsi="Times New Roman" w:eastAsia="仿宋_GB2312"/>
          <w:color w:val="000000"/>
          <w:sz w:val="24"/>
          <w:szCs w:val="24"/>
        </w:rPr>
        <w:t>审批</w:t>
      </w:r>
      <w:r>
        <w:rPr>
          <w:rFonts w:ascii="Times New Roman" w:hAnsi="Times New Roman" w:eastAsia="仿宋_GB2312"/>
          <w:color w:val="000000"/>
          <w:sz w:val="24"/>
          <w:szCs w:val="24"/>
        </w:rPr>
        <w:t>承包人文件的期限：</w:t>
      </w:r>
      <w:r>
        <w:rPr>
          <w:rFonts w:ascii="Times New Roman" w:hAnsi="Times New Roman" w:eastAsia="仿宋_GB2312"/>
          <w:color w:val="000000"/>
          <w:sz w:val="24"/>
          <w:szCs w:val="24"/>
          <w:u w:val="single"/>
        </w:rPr>
        <w:t>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1.6.5 现场图纸准备</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关于现场图纸准备的约定：</w:t>
      </w:r>
      <w:r>
        <w:rPr>
          <w:rFonts w:ascii="Times New Roman" w:hAnsi="Times New Roman" w:eastAsia="仿宋_GB2312"/>
          <w:color w:val="000000"/>
          <w:sz w:val="24"/>
          <w:szCs w:val="24"/>
          <w:u w:val="single"/>
        </w:rPr>
        <w:t>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ascii="Times New Roman" w:hAnsi="Times New Roman" w:eastAsia="仿宋_GB2312"/>
          <w:color w:val="000000"/>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0"/>
        <w:rPr>
          <w:rFonts w:ascii="Times New Roman" w:hAnsi="Times New Roman" w:eastAsia="黑体"/>
          <w:color w:val="000000"/>
          <w:sz w:val="24"/>
          <w:szCs w:val="24"/>
        </w:rPr>
      </w:pPr>
      <w:r>
        <w:rPr>
          <w:rFonts w:ascii="Times New Roman" w:hAnsi="Times New Roman" w:eastAsia="黑体"/>
          <w:color w:val="000000"/>
          <w:sz w:val="24"/>
          <w:szCs w:val="24"/>
        </w:rPr>
        <w:t>1.7 联络</w:t>
      </w:r>
    </w:p>
    <w:p>
      <w:pPr>
        <w:pageBreakBefore w:val="0"/>
        <w:widowControl w:val="0"/>
        <w:kinsoku/>
        <w:wordWrap/>
        <w:overflowPunct/>
        <w:topLinePunct w:val="0"/>
        <w:bidi w:val="0"/>
        <w:snapToGrid/>
        <w:spacing w:line="480" w:lineRule="exact"/>
        <w:ind w:firstLine="480" w:firstLineChars="200"/>
        <w:textAlignment w:val="auto"/>
        <w:rPr>
          <w:rFonts w:hint="eastAsia" w:ascii="Times New Roman" w:hAnsi="Times New Roman" w:eastAsia="仿宋_GB2312"/>
          <w:color w:val="000000"/>
          <w:kern w:val="0"/>
          <w:sz w:val="24"/>
          <w:szCs w:val="24"/>
        </w:rPr>
      </w:pPr>
      <w:r>
        <w:rPr>
          <w:rFonts w:ascii="Times New Roman" w:hAnsi="Times New Roman" w:eastAsia="仿宋_GB2312"/>
          <w:color w:val="000000"/>
          <w:kern w:val="0"/>
          <w:sz w:val="24"/>
          <w:szCs w:val="24"/>
        </w:rPr>
        <w:t>1.7.1发包人和承包人应当在</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kern w:val="0"/>
          <w:sz w:val="24"/>
          <w:szCs w:val="24"/>
        </w:rPr>
        <w:t>天内将与合同有关的通知、批准、证明、证书、指示、指令、要求、请求、同意、意见、确定和决定等书面函件送达对方当事人</w:t>
      </w:r>
      <w:r>
        <w:rPr>
          <w:rFonts w:hint="eastAsia" w:ascii="Times New Roman" w:hAnsi="Times New Roman" w:eastAsia="仿宋_GB2312"/>
          <w:color w:val="000000"/>
          <w:kern w:val="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1.7.2 发包人接收文件的地点：</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ascii="Times New Roman" w:hAnsi="Times New Roman" w:eastAsia="仿宋_GB2312"/>
          <w:color w:val="000000"/>
          <w:kern w:val="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发包人指定的接收人为：</w:t>
      </w:r>
      <w:r>
        <w:rPr>
          <w:rFonts w:ascii="Times New Roman" w:hAnsi="Times New Roman" w:eastAsia="仿宋_GB2312"/>
          <w:color w:val="000000"/>
          <w:sz w:val="24"/>
          <w:szCs w:val="24"/>
          <w:u w:val="single"/>
        </w:rPr>
        <w:t>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ascii="Times New Roman" w:hAnsi="Times New Roman" w:eastAsia="仿宋_GB2312"/>
          <w:color w:val="000000"/>
          <w:kern w:val="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承包人接收文件的地点：</w:t>
      </w:r>
      <w:r>
        <w:rPr>
          <w:rFonts w:ascii="Times New Roman" w:hAnsi="Times New Roman" w:eastAsia="仿宋_GB2312"/>
          <w:color w:val="000000"/>
          <w:sz w:val="24"/>
          <w:szCs w:val="24"/>
          <w:u w:val="single"/>
        </w:rPr>
        <w:t>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ascii="Times New Roman" w:hAnsi="Times New Roman" w:eastAsia="仿宋_GB2312"/>
          <w:color w:val="000000"/>
          <w:kern w:val="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承包人指定的接收人为：</w:t>
      </w:r>
      <w:r>
        <w:rPr>
          <w:rFonts w:ascii="Times New Roman" w:hAnsi="Times New Roman" w:eastAsia="仿宋_GB2312"/>
          <w:color w:val="000000"/>
          <w:sz w:val="24"/>
          <w:szCs w:val="24"/>
          <w:u w:val="single"/>
        </w:rPr>
        <w:t>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ascii="Times New Roman" w:hAnsi="Times New Roman" w:eastAsia="仿宋_GB2312"/>
          <w:color w:val="000000"/>
          <w:kern w:val="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监理人接收文件的地点：</w:t>
      </w:r>
      <w:r>
        <w:rPr>
          <w:rFonts w:ascii="Times New Roman" w:hAnsi="Times New Roman" w:eastAsia="仿宋_GB2312"/>
          <w:color w:val="000000"/>
          <w:sz w:val="24"/>
          <w:szCs w:val="24"/>
          <w:u w:val="single"/>
        </w:rPr>
        <w:t>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ascii="Times New Roman" w:hAnsi="Times New Roman" w:eastAsia="仿宋_GB2312"/>
          <w:color w:val="000000"/>
          <w:kern w:val="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监理人指定的接收人为：</w:t>
      </w:r>
      <w:r>
        <w:rPr>
          <w:rFonts w:ascii="Times New Roman" w:hAnsi="Times New Roman" w:eastAsia="仿宋_GB2312"/>
          <w:color w:val="000000"/>
          <w:sz w:val="24"/>
          <w:szCs w:val="24"/>
          <w:u w:val="single"/>
        </w:rPr>
        <w:t>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ascii="Times New Roman" w:hAnsi="Times New Roman" w:eastAsia="仿宋_GB2312"/>
          <w:color w:val="000000"/>
          <w:kern w:val="0"/>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0"/>
        <w:rPr>
          <w:rFonts w:ascii="Times New Roman" w:hAnsi="Times New Roman" w:eastAsia="黑体"/>
          <w:color w:val="000000"/>
          <w:sz w:val="24"/>
          <w:szCs w:val="24"/>
        </w:rPr>
      </w:pPr>
      <w:r>
        <w:rPr>
          <w:rFonts w:ascii="Times New Roman" w:hAnsi="Times New Roman" w:eastAsia="黑体"/>
          <w:color w:val="000000"/>
          <w:sz w:val="24"/>
          <w:szCs w:val="24"/>
        </w:rPr>
        <w:t>1.10 交通运输</w:t>
      </w:r>
    </w:p>
    <w:p>
      <w:pPr>
        <w:pageBreakBefore w:val="0"/>
        <w:widowControl w:val="0"/>
        <w:kinsoku/>
        <w:wordWrap/>
        <w:overflowPunct/>
        <w:topLinePunct w:val="0"/>
        <w:bidi w:val="0"/>
        <w:snapToGrid/>
        <w:spacing w:line="480" w:lineRule="exact"/>
        <w:ind w:firstLine="480" w:firstLineChars="200"/>
        <w:textAlignment w:val="auto"/>
        <w:outlineLvl w:val="0"/>
        <w:rPr>
          <w:rFonts w:ascii="Times New Roman" w:hAnsi="Times New Roman" w:eastAsia="仿宋_GB2312"/>
          <w:sz w:val="24"/>
          <w:szCs w:val="24"/>
        </w:rPr>
      </w:pPr>
      <w:r>
        <w:rPr>
          <w:rFonts w:ascii="Times New Roman" w:hAnsi="Times New Roman" w:eastAsia="仿宋_GB2312"/>
          <w:sz w:val="24"/>
          <w:szCs w:val="24"/>
        </w:rPr>
        <w:t>1</w:t>
      </w:r>
      <w:bookmarkStart w:id="105" w:name="_Toc300934943"/>
      <w:bookmarkStart w:id="106" w:name="_Toc304295521"/>
      <w:bookmarkStart w:id="107" w:name="_Toc318581155"/>
      <w:bookmarkStart w:id="108" w:name="_Toc312677986"/>
      <w:bookmarkStart w:id="109" w:name="_Toc303539100"/>
      <w:r>
        <w:rPr>
          <w:rFonts w:ascii="Times New Roman" w:hAnsi="Times New Roman" w:eastAsia="仿宋_GB2312"/>
          <w:sz w:val="24"/>
          <w:szCs w:val="24"/>
        </w:rPr>
        <w:t>.10.1 出入现场的权利</w:t>
      </w:r>
    </w:p>
    <w:p>
      <w:pPr>
        <w:pageBreakBefore w:val="0"/>
        <w:widowControl w:val="0"/>
        <w:kinsoku/>
        <w:wordWrap/>
        <w:overflowPunct/>
        <w:topLinePunct w:val="0"/>
        <w:bidi w:val="0"/>
        <w:snapToGrid/>
        <w:spacing w:line="480" w:lineRule="exact"/>
        <w:ind w:left="965" w:leftChars="284"/>
        <w:textAlignment w:val="auto"/>
        <w:rPr>
          <w:rFonts w:hint="eastAsia" w:ascii="Times New Roman" w:hAnsi="Times New Roman" w:eastAsia="仿宋_GB2312"/>
          <w:color w:val="000000"/>
          <w:sz w:val="24"/>
          <w:szCs w:val="24"/>
          <w:u w:val="single"/>
        </w:rPr>
      </w:pPr>
      <w:r>
        <w:rPr>
          <w:rFonts w:ascii="Times New Roman" w:hAnsi="Times New Roman" w:eastAsia="仿宋_GB2312"/>
          <w:sz w:val="24"/>
          <w:szCs w:val="24"/>
        </w:rPr>
        <w:t>关于出入现场的权利的约定：</w:t>
      </w:r>
      <w:r>
        <w:rPr>
          <w:rFonts w:ascii="Times New Roman" w:hAnsi="Times New Roman" w:eastAsia="仿宋_GB2312"/>
          <w:color w:val="000000"/>
          <w:sz w:val="24"/>
          <w:szCs w:val="24"/>
          <w:u w:val="single"/>
        </w:rPr>
        <w:t>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p>
    <w:p>
      <w:pPr>
        <w:pageBreakBefore w:val="0"/>
        <w:widowControl w:val="0"/>
        <w:kinsoku/>
        <w:wordWrap/>
        <w:overflowPunct/>
        <w:topLinePunct w:val="0"/>
        <w:bidi w:val="0"/>
        <w:snapToGrid/>
        <w:spacing w:line="480" w:lineRule="exact"/>
        <w:textAlignment w:val="auto"/>
        <w:rPr>
          <w:rFonts w:ascii="Times New Roman" w:hAnsi="Times New Roman" w:eastAsia="仿宋_GB2312"/>
          <w:sz w:val="24"/>
          <w:szCs w:val="24"/>
        </w:rPr>
      </w:pPr>
      <w:r>
        <w:rPr>
          <w:rFonts w:ascii="Times New Roman" w:hAnsi="Times New Roman" w:eastAsia="仿宋_GB2312"/>
          <w:color w:val="000000"/>
          <w:sz w:val="24"/>
          <w:szCs w:val="24"/>
          <w:u w:val="single"/>
        </w:rPr>
        <w:t>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ascii="Times New Roman" w:hAnsi="Times New Roman" w:eastAsia="仿宋_GB2312"/>
          <w:sz w:val="24"/>
          <w:szCs w:val="24"/>
        </w:rPr>
        <w:t>。</w:t>
      </w:r>
    </w:p>
    <w:bookmarkEnd w:id="105"/>
    <w:bookmarkEnd w:id="106"/>
    <w:bookmarkEnd w:id="107"/>
    <w:bookmarkEnd w:id="108"/>
    <w:bookmarkEnd w:id="109"/>
    <w:p>
      <w:pPr>
        <w:pageBreakBefore w:val="0"/>
        <w:widowControl w:val="0"/>
        <w:kinsoku/>
        <w:wordWrap/>
        <w:overflowPunct/>
        <w:topLinePunct w:val="0"/>
        <w:bidi w:val="0"/>
        <w:snapToGrid/>
        <w:spacing w:line="480" w:lineRule="exact"/>
        <w:ind w:firstLine="480" w:firstLineChars="200"/>
        <w:jc w:val="left"/>
        <w:textAlignment w:val="auto"/>
        <w:outlineLvl w:val="0"/>
        <w:rPr>
          <w:rFonts w:ascii="Times New Roman" w:hAnsi="Times New Roman" w:eastAsia="仿宋_GB2312"/>
          <w:sz w:val="24"/>
          <w:szCs w:val="24"/>
        </w:rPr>
      </w:pPr>
      <w:r>
        <w:rPr>
          <w:rFonts w:ascii="Times New Roman" w:hAnsi="Times New Roman" w:eastAsia="仿宋_GB2312"/>
          <w:sz w:val="24"/>
          <w:szCs w:val="24"/>
        </w:rPr>
        <w:t>1</w:t>
      </w:r>
      <w:bookmarkStart w:id="110" w:name="_Toc312677987"/>
      <w:bookmarkStart w:id="111" w:name="_Toc318581156"/>
      <w:bookmarkStart w:id="112" w:name="_Toc304295522"/>
      <w:bookmarkStart w:id="113" w:name="_Toc303539101"/>
      <w:bookmarkStart w:id="114" w:name="_Toc300934944"/>
      <w:r>
        <w:rPr>
          <w:rFonts w:ascii="Times New Roman" w:hAnsi="Times New Roman" w:eastAsia="仿宋_GB2312"/>
          <w:sz w:val="24"/>
          <w:szCs w:val="24"/>
        </w:rPr>
        <w:t>.10.3 场内交通</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关于场外交通和场内交通的边界的约定：</w:t>
      </w:r>
      <w:r>
        <w:rPr>
          <w:rFonts w:ascii="Times New Roman" w:hAnsi="Times New Roman" w:eastAsia="仿宋_GB2312"/>
          <w:color w:val="000000"/>
          <w:sz w:val="24"/>
          <w:szCs w:val="24"/>
          <w:u w:val="single"/>
        </w:rPr>
        <w:t>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sz w:val="24"/>
          <w:szCs w:val="24"/>
        </w:rPr>
      </w:pPr>
      <w:r>
        <w:rPr>
          <w:rFonts w:ascii="Times New Roman" w:hAnsi="Times New Roman" w:eastAsia="仿宋_GB2312"/>
          <w:sz w:val="24"/>
          <w:szCs w:val="24"/>
        </w:rPr>
        <w:t>关于发包人向承包人免费提供满足工程施工需要的场内道路和交通设施的约定：</w:t>
      </w:r>
      <w:r>
        <w:rPr>
          <w:rFonts w:ascii="Times New Roman" w:hAnsi="Times New Roman" w:eastAsia="仿宋_GB2312"/>
          <w:color w:val="000000"/>
          <w:sz w:val="24"/>
          <w:szCs w:val="24"/>
          <w:u w:val="single"/>
        </w:rPr>
        <w:t>  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ascii="Times New Roman" w:hAnsi="Times New Roman" w:eastAsia="仿宋_GB2312"/>
          <w:sz w:val="24"/>
          <w:szCs w:val="24"/>
        </w:rPr>
        <w:t>。</w:t>
      </w:r>
      <w:bookmarkEnd w:id="110"/>
      <w:bookmarkEnd w:id="111"/>
      <w:bookmarkEnd w:id="112"/>
      <w:bookmarkEnd w:id="113"/>
      <w:bookmarkEnd w:id="114"/>
      <w:r>
        <w:rPr>
          <w:rFonts w:ascii="Times New Roman" w:hAnsi="Times New Roman" w:eastAsia="仿宋_GB2312"/>
          <w:sz w:val="24"/>
          <w:szCs w:val="24"/>
        </w:rPr>
        <w:t xml:space="preserve">  </w:t>
      </w:r>
      <w:bookmarkStart w:id="115" w:name="_Toc318581157"/>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sz w:val="24"/>
          <w:szCs w:val="24"/>
        </w:rPr>
      </w:pPr>
      <w:r>
        <w:rPr>
          <w:rFonts w:ascii="Times New Roman" w:hAnsi="Times New Roman" w:eastAsia="仿宋_GB2312"/>
          <w:sz w:val="24"/>
          <w:szCs w:val="24"/>
        </w:rPr>
        <w:t>1.10.4超大件和超重件的运输</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sz w:val="24"/>
          <w:szCs w:val="24"/>
        </w:rPr>
      </w:pPr>
      <w:r>
        <w:rPr>
          <w:rFonts w:ascii="Times New Roman" w:hAnsi="Times New Roman" w:eastAsia="仿宋_GB2312"/>
          <w:sz w:val="24"/>
          <w:szCs w:val="24"/>
        </w:rPr>
        <w:t>运输超大件或超重件所需的道路和桥梁临时加固改造费用和其他有关费用由</w:t>
      </w:r>
      <w:r>
        <w:rPr>
          <w:rFonts w:ascii="Times New Roman" w:hAnsi="Times New Roman" w:eastAsia="仿宋_GB2312"/>
          <w:sz w:val="24"/>
          <w:szCs w:val="24"/>
          <w:u w:val="single"/>
        </w:rPr>
        <w:t xml:space="preserve">              </w:t>
      </w:r>
      <w:r>
        <w:rPr>
          <w:rFonts w:ascii="Times New Roman" w:hAnsi="Times New Roman" w:eastAsia="仿宋_GB2312"/>
          <w:sz w:val="24"/>
          <w:szCs w:val="24"/>
        </w:rPr>
        <w:t>承担。</w:t>
      </w:r>
    </w:p>
    <w:bookmarkEnd w:id="115"/>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0"/>
        <w:rPr>
          <w:rFonts w:ascii="Times New Roman" w:hAnsi="Times New Roman" w:eastAsia="黑体"/>
          <w:color w:val="000000"/>
          <w:sz w:val="24"/>
          <w:szCs w:val="24"/>
        </w:rPr>
      </w:pPr>
      <w:r>
        <w:rPr>
          <w:rFonts w:ascii="Times New Roman" w:hAnsi="Times New Roman" w:eastAsia="黑体"/>
          <w:color w:val="000000"/>
          <w:sz w:val="24"/>
          <w:szCs w:val="24"/>
        </w:rPr>
        <w:t>1.11 知识产权</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u w:val="single"/>
        </w:rPr>
      </w:pPr>
      <w:r>
        <w:rPr>
          <w:rFonts w:ascii="Times New Roman" w:hAnsi="Times New Roman" w:eastAsia="仿宋_GB2312"/>
          <w:color w:val="000000"/>
          <w:sz w:val="24"/>
          <w:szCs w:val="24"/>
        </w:rPr>
        <w:t>1.11.1关于发包人提供给承包人的图纸、发包人为实施工程自行编制或委托编制的技术规范以及反映发包人关于合同要求或其他类似性质的文件的著作权的归属：</w:t>
      </w:r>
      <w:r>
        <w:rPr>
          <w:rFonts w:ascii="Times New Roman" w:hAnsi="Times New Roman" w:eastAsia="仿宋_GB2312"/>
          <w:color w:val="000000"/>
          <w:sz w:val="24"/>
          <w:szCs w:val="24"/>
          <w:u w:val="single"/>
        </w:rPr>
        <w:t>                     </w:t>
      </w:r>
    </w:p>
    <w:p>
      <w:pPr>
        <w:pageBreakBefore w:val="0"/>
        <w:widowControl w:val="0"/>
        <w:kinsoku/>
        <w:wordWrap/>
        <w:overflowPunct/>
        <w:topLinePunct w:val="0"/>
        <w:bidi w:val="0"/>
        <w:snapToGrid/>
        <w:spacing w:line="480" w:lineRule="exac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u w:val="single"/>
        </w:rPr>
        <w:t xml:space="preserve">       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left="965" w:leftChars="284"/>
        <w:textAlignment w:val="auto"/>
        <w:rPr>
          <w:rFonts w:hint="eastAsia" w:ascii="Times New Roman" w:hAnsi="Times New Roman" w:eastAsia="仿宋_GB2312"/>
          <w:color w:val="000000"/>
          <w:sz w:val="24"/>
          <w:szCs w:val="24"/>
        </w:rPr>
      </w:pPr>
      <w:r>
        <w:rPr>
          <w:rFonts w:ascii="Times New Roman" w:hAnsi="Times New Roman" w:eastAsia="仿宋_GB2312"/>
          <w:color w:val="000000"/>
          <w:sz w:val="24"/>
          <w:szCs w:val="24"/>
        </w:rPr>
        <w:t>关于发包人提供的上述文件的使用限制的要求：</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outlineLvl w:val="0"/>
        <w:rPr>
          <w:rFonts w:hint="eastAsia" w:ascii="Times New Roman" w:hAnsi="Times New Roman" w:eastAsia="仿宋_GB2312"/>
          <w:color w:val="000000"/>
          <w:sz w:val="24"/>
          <w:szCs w:val="24"/>
        </w:rPr>
      </w:pPr>
      <w:r>
        <w:rPr>
          <w:rFonts w:ascii="Times New Roman" w:hAnsi="Times New Roman" w:eastAsia="仿宋_GB2312"/>
          <w:color w:val="000000"/>
          <w:sz w:val="24"/>
          <w:szCs w:val="24"/>
        </w:rPr>
        <w:t>1.11.2 关于承包人为实施工程所编制文件的著作权的归属：</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u w:val="single"/>
        </w:rPr>
        <w:t xml:space="preserve">       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u w:val="single"/>
        </w:rPr>
      </w:pPr>
      <w:r>
        <w:rPr>
          <w:rFonts w:hint="eastAsia" w:ascii="Times New Roman" w:hAnsi="Times New Roman" w:eastAsia="仿宋_GB2312"/>
          <w:color w:val="000000"/>
          <w:sz w:val="24"/>
          <w:szCs w:val="24"/>
          <w:lang w:val="en-US" w:eastAsia="zh-CN"/>
        </w:rPr>
        <w:t>1.11.3</w:t>
      </w:r>
      <w:r>
        <w:rPr>
          <w:rFonts w:ascii="Times New Roman" w:hAnsi="Times New Roman" w:eastAsia="仿宋_GB2312"/>
          <w:color w:val="000000"/>
          <w:sz w:val="24"/>
          <w:szCs w:val="24"/>
        </w:rPr>
        <w:t>关于承包人提供的上述文件的使用限制的要求：</w:t>
      </w:r>
      <w:r>
        <w:rPr>
          <w:rFonts w:ascii="Times New Roman" w:hAnsi="Times New Roman" w:eastAsia="仿宋_GB2312"/>
          <w:color w:val="000000"/>
          <w:sz w:val="24"/>
          <w:szCs w:val="24"/>
          <w:u w:val="single"/>
        </w:rPr>
        <w:t>   </w:t>
      </w:r>
    </w:p>
    <w:p>
      <w:pPr>
        <w:pageBreakBefore w:val="0"/>
        <w:widowControl w:val="0"/>
        <w:kinsoku/>
        <w:wordWrap/>
        <w:overflowPunct/>
        <w:topLinePunct w:val="0"/>
        <w:bidi w:val="0"/>
        <w:snapToGrid/>
        <w:spacing w:line="480" w:lineRule="exac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outlineLvl w:val="0"/>
        <w:rPr>
          <w:rFonts w:ascii="Times New Roman" w:hAnsi="Times New Roman" w:eastAsia="仿宋_GB2312"/>
          <w:color w:val="000000"/>
          <w:kern w:val="0"/>
          <w:sz w:val="24"/>
          <w:szCs w:val="24"/>
        </w:rPr>
      </w:pPr>
      <w:r>
        <w:rPr>
          <w:rFonts w:ascii="Times New Roman" w:hAnsi="Times New Roman" w:eastAsia="仿宋_GB2312"/>
          <w:color w:val="000000"/>
          <w:sz w:val="24"/>
          <w:szCs w:val="24"/>
        </w:rPr>
        <w:t>1.11.4 承包人在施工过程中所采用的专利、专有技术、技术秘密的使用费的承担方式：</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kern w:val="0"/>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ascii="Times New Roman" w:hAnsi="Times New Roman" w:eastAsia="黑体"/>
          <w:color w:val="000000"/>
          <w:sz w:val="24"/>
          <w:szCs w:val="24"/>
        </w:rPr>
      </w:pPr>
      <w:r>
        <w:rPr>
          <w:rFonts w:ascii="Times New Roman" w:hAnsi="Times New Roman" w:eastAsia="黑体"/>
          <w:color w:val="000000"/>
          <w:sz w:val="24"/>
          <w:szCs w:val="24"/>
        </w:rPr>
        <w:t>1.13工程量清单错误的修正</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hint="eastAsia" w:ascii="Times New Roman" w:hAnsi="Times New Roman" w:eastAsia="仿宋_GB2312"/>
          <w:color w:val="000000"/>
          <w:sz w:val="24"/>
          <w:szCs w:val="24"/>
        </w:rPr>
        <w:t>出现工程量清单错误时，是否调整合同价格：</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  </w:t>
      </w:r>
      <w:r>
        <w:rPr>
          <w:rFonts w:ascii="Times New Roman" w:hAnsi="Times New Roman" w:eastAsia="仿宋_GB2312"/>
          <w:color w:val="000000"/>
          <w:kern w:val="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hint="eastAsia" w:ascii="Times New Roman" w:hAnsi="Times New Roman" w:eastAsia="仿宋_GB2312"/>
          <w:color w:val="000000"/>
          <w:sz w:val="24"/>
          <w:szCs w:val="24"/>
          <w:u w:val="single"/>
        </w:rPr>
      </w:pPr>
      <w:r>
        <w:rPr>
          <w:rFonts w:ascii="Times New Roman" w:hAnsi="Times New Roman" w:eastAsia="仿宋_GB2312"/>
          <w:color w:val="000000"/>
          <w:sz w:val="24"/>
          <w:szCs w:val="24"/>
        </w:rPr>
        <w:t>允许调整合同价格的工程量偏差范围：</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  </w:t>
      </w:r>
      <w:r>
        <w:rPr>
          <w:rFonts w:ascii="Times New Roman" w:hAnsi="Times New Roman" w:eastAsia="仿宋_GB2312"/>
          <w:color w:val="000000"/>
          <w:kern w:val="0"/>
          <w:sz w:val="24"/>
          <w:szCs w:val="24"/>
        </w:rPr>
        <w:t>。</w:t>
      </w:r>
    </w:p>
    <w:p>
      <w:pPr>
        <w:pStyle w:val="7"/>
        <w:keepNext/>
        <w:keepLines/>
        <w:pageBreakBefore w:val="0"/>
        <w:widowControl w:val="0"/>
        <w:kinsoku/>
        <w:wordWrap/>
        <w:overflowPunct/>
        <w:topLinePunct w:val="0"/>
        <w:autoSpaceDE/>
        <w:autoSpaceDN/>
        <w:bidi w:val="0"/>
        <w:adjustRightInd/>
        <w:snapToGrid/>
        <w:spacing w:line="480" w:lineRule="exact"/>
        <w:textAlignment w:val="auto"/>
        <w:outlineLvl w:val="3"/>
        <w:rPr>
          <w:rFonts w:ascii="Times New Roman" w:hAnsi="Times New Roman" w:eastAsia="黑体"/>
          <w:b w:val="0"/>
          <w:color w:val="000000"/>
          <w:sz w:val="24"/>
          <w:szCs w:val="24"/>
        </w:rPr>
      </w:pPr>
      <w:bookmarkStart w:id="116" w:name="_Toc351203634"/>
      <w:r>
        <w:rPr>
          <w:rFonts w:ascii="Times New Roman" w:hAnsi="Times New Roman" w:eastAsia="黑体"/>
          <w:b w:val="0"/>
          <w:color w:val="000000"/>
          <w:sz w:val="24"/>
          <w:szCs w:val="24"/>
        </w:rPr>
        <w:t>2</w:t>
      </w:r>
      <w:bookmarkStart w:id="117" w:name="_Toc296347156"/>
      <w:bookmarkStart w:id="118" w:name="_Toc296890985"/>
      <w:bookmarkStart w:id="119" w:name="_Toc292559362"/>
      <w:bookmarkStart w:id="120" w:name="_Toc296944496"/>
      <w:bookmarkStart w:id="121" w:name="_Toc296503157"/>
      <w:bookmarkStart w:id="122" w:name="_Toc297048343"/>
      <w:bookmarkStart w:id="123" w:name="_Toc296346658"/>
      <w:bookmarkStart w:id="124" w:name="_Toc297120457"/>
      <w:bookmarkStart w:id="125" w:name="_Toc296891197"/>
      <w:bookmarkStart w:id="126" w:name="_Toc292559867"/>
      <w:r>
        <w:rPr>
          <w:rFonts w:ascii="Times New Roman" w:hAnsi="Times New Roman" w:eastAsia="黑体"/>
          <w:b w:val="0"/>
          <w:color w:val="000000"/>
          <w:sz w:val="24"/>
          <w:szCs w:val="24"/>
        </w:rPr>
        <w:t>. 发包人</w:t>
      </w:r>
      <w:bookmarkEnd w:id="116"/>
    </w:p>
    <w:bookmarkEnd w:id="117"/>
    <w:bookmarkEnd w:id="118"/>
    <w:bookmarkEnd w:id="119"/>
    <w:bookmarkEnd w:id="120"/>
    <w:bookmarkEnd w:id="121"/>
    <w:bookmarkEnd w:id="122"/>
    <w:bookmarkEnd w:id="123"/>
    <w:bookmarkEnd w:id="124"/>
    <w:bookmarkEnd w:id="125"/>
    <w:bookmarkEnd w:id="126"/>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0"/>
        <w:rPr>
          <w:rFonts w:ascii="Times New Roman" w:hAnsi="Times New Roman" w:eastAsia="黑体"/>
          <w:color w:val="000000"/>
          <w:sz w:val="24"/>
          <w:szCs w:val="24"/>
        </w:rPr>
      </w:pPr>
      <w:r>
        <w:rPr>
          <w:rFonts w:ascii="Times New Roman" w:hAnsi="Times New Roman" w:eastAsia="黑体"/>
          <w:color w:val="000000"/>
          <w:sz w:val="24"/>
          <w:szCs w:val="24"/>
        </w:rPr>
        <w:t>2.2 发包人代表</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发包人代表：</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姓    名：</w:t>
      </w:r>
      <w:r>
        <w:rPr>
          <w:rFonts w:ascii="Times New Roman" w:hAnsi="Times New Roman" w:eastAsia="仿宋_GB2312"/>
          <w:color w:val="000000"/>
          <w:sz w:val="24"/>
          <w:szCs w:val="24"/>
          <w:u w:val="single"/>
        </w:rPr>
        <w:t xml:space="preserve"> 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身份证号：</w:t>
      </w:r>
      <w:r>
        <w:rPr>
          <w:rFonts w:ascii="Times New Roman" w:hAnsi="Times New Roman" w:eastAsia="仿宋_GB2312"/>
          <w:color w:val="000000"/>
          <w:sz w:val="24"/>
          <w:szCs w:val="24"/>
          <w:u w:val="single"/>
        </w:rPr>
        <w:t xml:space="preserve"> 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职    务：</w:t>
      </w:r>
      <w:r>
        <w:rPr>
          <w:rFonts w:ascii="Times New Roman" w:hAnsi="Times New Roman" w:eastAsia="仿宋_GB2312"/>
          <w:color w:val="000000"/>
          <w:sz w:val="24"/>
          <w:szCs w:val="24"/>
          <w:u w:val="single"/>
        </w:rPr>
        <w:t>   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联系电话：</w:t>
      </w:r>
      <w:r>
        <w:rPr>
          <w:rFonts w:ascii="Times New Roman" w:hAnsi="Times New Roman" w:eastAsia="仿宋_GB2312"/>
          <w:color w:val="000000"/>
          <w:sz w:val="24"/>
          <w:szCs w:val="24"/>
          <w:u w:val="single"/>
        </w:rPr>
        <w:t>  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电子信箱：</w:t>
      </w:r>
      <w:r>
        <w:rPr>
          <w:rFonts w:ascii="Times New Roman" w:hAnsi="Times New Roman" w:eastAsia="仿宋_GB2312"/>
          <w:color w:val="000000"/>
          <w:sz w:val="24"/>
          <w:szCs w:val="24"/>
          <w:u w:val="single"/>
        </w:rPr>
        <w:t>  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通信地址：</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u w:val="single"/>
        </w:rPr>
      </w:pPr>
      <w:r>
        <w:rPr>
          <w:rFonts w:ascii="Times New Roman" w:hAnsi="Times New Roman" w:eastAsia="仿宋_GB2312"/>
          <w:color w:val="000000"/>
          <w:sz w:val="24"/>
          <w:szCs w:val="24"/>
        </w:rPr>
        <w:t>发包人对发包人代表的授权范围如下：</w:t>
      </w:r>
      <w:r>
        <w:rPr>
          <w:rFonts w:ascii="Times New Roman" w:hAnsi="Times New Roman" w:eastAsia="仿宋_GB2312"/>
          <w:color w:val="000000"/>
          <w:sz w:val="24"/>
          <w:szCs w:val="24"/>
          <w:u w:val="single"/>
        </w:rPr>
        <w:t>     </w:t>
      </w:r>
    </w:p>
    <w:p>
      <w:pPr>
        <w:pageBreakBefore w:val="0"/>
        <w:widowControl w:val="0"/>
        <w:kinsoku/>
        <w:wordWrap/>
        <w:overflowPunct/>
        <w:topLinePunct w:val="0"/>
        <w:bidi w:val="0"/>
        <w:snapToGrid/>
        <w:spacing w:line="480" w:lineRule="exact"/>
        <w:textAlignment w:val="auto"/>
        <w:rPr>
          <w:rFonts w:ascii="Times New Roman" w:hAnsi="Times New Roman" w:eastAsia="仿宋_GB2312"/>
          <w:b/>
          <w:color w:val="000000"/>
          <w:sz w:val="24"/>
          <w:szCs w:val="24"/>
        </w:rPr>
      </w:pP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0"/>
        <w:rPr>
          <w:rFonts w:ascii="Times New Roman" w:hAnsi="Times New Roman" w:eastAsia="黑体"/>
          <w:color w:val="000000"/>
          <w:sz w:val="24"/>
          <w:szCs w:val="24"/>
        </w:rPr>
      </w:pPr>
      <w:r>
        <w:rPr>
          <w:rFonts w:ascii="Times New Roman" w:hAnsi="Times New Roman" w:eastAsia="黑体"/>
          <w:color w:val="000000"/>
          <w:sz w:val="24"/>
          <w:szCs w:val="24"/>
        </w:rPr>
        <w:t>2.4 施工现场、施工条件和基础资料的提供</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2.4.1 提供施工现场</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关于发包人移交施工现场的期限要求：</w:t>
      </w:r>
      <w:r>
        <w:rPr>
          <w:rFonts w:ascii="Times New Roman" w:hAnsi="Times New Roman" w:eastAsia="仿宋_GB2312"/>
          <w:color w:val="000000"/>
          <w:sz w:val="24"/>
          <w:szCs w:val="24"/>
          <w:u w:val="single"/>
        </w:rPr>
        <w:t>             </w:t>
      </w:r>
      <w:r>
        <w:rPr>
          <w:rFonts w:ascii="Times New Roman" w:hAnsi="Times New Roman" w:eastAsia="仿宋_GB2312"/>
          <w:color w:val="000000"/>
          <w:sz w:val="24"/>
          <w:szCs w:val="24"/>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2.4.2 提供施工条件</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u w:val="single"/>
        </w:rPr>
      </w:pPr>
      <w:r>
        <w:rPr>
          <w:rFonts w:ascii="Times New Roman" w:hAnsi="Times New Roman" w:eastAsia="仿宋_GB2312"/>
          <w:color w:val="000000"/>
          <w:sz w:val="24"/>
          <w:szCs w:val="24"/>
        </w:rPr>
        <w:t>关于发包人应负责提供施工</w:t>
      </w:r>
      <w:r>
        <w:rPr>
          <w:rFonts w:hint="eastAsia" w:ascii="Times New Roman" w:hAnsi="Times New Roman" w:eastAsia="仿宋_GB2312"/>
          <w:color w:val="000000"/>
          <w:sz w:val="24"/>
          <w:szCs w:val="24"/>
        </w:rPr>
        <w:t>所需要的条件，</w:t>
      </w:r>
      <w:r>
        <w:rPr>
          <w:rFonts w:ascii="Times New Roman" w:hAnsi="Times New Roman" w:eastAsia="仿宋_GB2312"/>
          <w:color w:val="000000"/>
          <w:sz w:val="24"/>
          <w:szCs w:val="24"/>
        </w:rPr>
        <w:t>包括：</w:t>
      </w:r>
      <w:r>
        <w:rPr>
          <w:rFonts w:ascii="Times New Roman" w:hAnsi="Times New Roman" w:eastAsia="仿宋_GB2312"/>
          <w:color w:val="000000"/>
          <w:sz w:val="24"/>
          <w:szCs w:val="24"/>
          <w:u w:val="single"/>
        </w:rPr>
        <w:t xml:space="preserve">  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0"/>
        <w:rPr>
          <w:rFonts w:ascii="Times New Roman" w:hAnsi="Times New Roman" w:eastAsia="黑体"/>
          <w:color w:val="000000"/>
          <w:sz w:val="24"/>
          <w:szCs w:val="24"/>
        </w:rPr>
      </w:pPr>
      <w:r>
        <w:rPr>
          <w:rFonts w:ascii="Times New Roman" w:hAnsi="Times New Roman" w:eastAsia="黑体"/>
          <w:color w:val="000000"/>
          <w:sz w:val="24"/>
          <w:szCs w:val="24"/>
        </w:rPr>
        <w:t>2.5 资金来源证明及支付担保</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发包人提供资金来源证明的期限要求：</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发包人是否提供支付担保：</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u w:val="single"/>
        </w:rPr>
      </w:pPr>
      <w:r>
        <w:rPr>
          <w:rFonts w:ascii="Times New Roman" w:hAnsi="Times New Roman" w:eastAsia="仿宋_GB2312"/>
          <w:color w:val="000000"/>
          <w:sz w:val="24"/>
          <w:szCs w:val="24"/>
        </w:rPr>
        <w:t>发包人提供支付担保的形式：</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Style w:val="7"/>
        <w:keepNext/>
        <w:keepLines/>
        <w:pageBreakBefore w:val="0"/>
        <w:widowControl w:val="0"/>
        <w:kinsoku/>
        <w:wordWrap/>
        <w:overflowPunct/>
        <w:topLinePunct w:val="0"/>
        <w:autoSpaceDE/>
        <w:autoSpaceDN/>
        <w:bidi w:val="0"/>
        <w:adjustRightInd/>
        <w:snapToGrid/>
        <w:spacing w:line="480" w:lineRule="exact"/>
        <w:textAlignment w:val="auto"/>
        <w:outlineLvl w:val="3"/>
        <w:rPr>
          <w:rFonts w:ascii="Times New Roman" w:hAnsi="Times New Roman" w:eastAsia="黑体"/>
          <w:b w:val="0"/>
          <w:color w:val="000000"/>
          <w:sz w:val="24"/>
          <w:szCs w:val="24"/>
        </w:rPr>
      </w:pPr>
      <w:bookmarkStart w:id="127" w:name="_Toc351203635"/>
      <w:r>
        <w:rPr>
          <w:rFonts w:ascii="Times New Roman" w:hAnsi="Times New Roman" w:eastAsia="黑体"/>
          <w:b w:val="0"/>
          <w:color w:val="000000"/>
          <w:sz w:val="24"/>
          <w:szCs w:val="24"/>
        </w:rPr>
        <w:t>3</w:t>
      </w:r>
      <w:bookmarkStart w:id="128" w:name="_Toc296891198"/>
      <w:bookmarkStart w:id="129" w:name="_Toc297120458"/>
      <w:bookmarkStart w:id="130" w:name="_Toc296346659"/>
      <w:bookmarkStart w:id="131" w:name="_Toc296890986"/>
      <w:bookmarkStart w:id="132" w:name="_Toc292559363"/>
      <w:bookmarkStart w:id="133" w:name="_Toc296503158"/>
      <w:bookmarkStart w:id="134" w:name="_Toc296347157"/>
      <w:bookmarkStart w:id="135" w:name="_Toc292559868"/>
      <w:bookmarkStart w:id="136" w:name="_Toc297048344"/>
      <w:bookmarkStart w:id="137" w:name="_Toc296944497"/>
      <w:r>
        <w:rPr>
          <w:rFonts w:ascii="Times New Roman" w:hAnsi="Times New Roman" w:eastAsia="黑体"/>
          <w:b w:val="0"/>
          <w:color w:val="000000"/>
          <w:sz w:val="24"/>
          <w:szCs w:val="24"/>
        </w:rPr>
        <w:t>. 承包人</w:t>
      </w:r>
      <w:bookmarkEnd w:id="127"/>
    </w:p>
    <w:bookmarkEnd w:id="128"/>
    <w:bookmarkEnd w:id="129"/>
    <w:bookmarkEnd w:id="130"/>
    <w:bookmarkEnd w:id="131"/>
    <w:bookmarkEnd w:id="132"/>
    <w:bookmarkEnd w:id="133"/>
    <w:bookmarkEnd w:id="134"/>
    <w:bookmarkEnd w:id="135"/>
    <w:bookmarkEnd w:id="136"/>
    <w:bookmarkEnd w:id="137"/>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ascii="Times New Roman" w:hAnsi="Times New Roman" w:eastAsia="黑体"/>
          <w:color w:val="000000"/>
          <w:sz w:val="24"/>
          <w:szCs w:val="24"/>
        </w:rPr>
      </w:pPr>
      <w:r>
        <w:rPr>
          <w:rFonts w:ascii="Times New Roman" w:hAnsi="Times New Roman" w:eastAsia="黑体"/>
          <w:color w:val="000000"/>
          <w:sz w:val="24"/>
          <w:szCs w:val="24"/>
        </w:rPr>
        <w:t>3.1 承包人的一般义务</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u w:val="single"/>
        </w:rPr>
      </w:pPr>
      <w:r>
        <w:rPr>
          <w:rFonts w:ascii="Times New Roman" w:hAnsi="Times New Roman" w:eastAsia="仿宋_GB2312"/>
          <w:color w:val="000000"/>
          <w:kern w:val="0"/>
          <w:sz w:val="24"/>
          <w:szCs w:val="24"/>
        </w:rPr>
        <w:t>（</w:t>
      </w:r>
      <w:r>
        <w:rPr>
          <w:rFonts w:hint="eastAsia" w:ascii="Times New Roman" w:hAnsi="Times New Roman" w:eastAsia="仿宋_GB2312"/>
          <w:color w:val="000000"/>
          <w:kern w:val="0"/>
          <w:sz w:val="24"/>
          <w:szCs w:val="24"/>
        </w:rPr>
        <w:t>9</w:t>
      </w:r>
      <w:r>
        <w:rPr>
          <w:rFonts w:ascii="Times New Roman" w:hAnsi="Times New Roman" w:eastAsia="仿宋_GB2312"/>
          <w:color w:val="000000"/>
          <w:kern w:val="0"/>
          <w:sz w:val="24"/>
          <w:szCs w:val="24"/>
        </w:rPr>
        <w:t>）</w:t>
      </w:r>
      <w:r>
        <w:rPr>
          <w:rFonts w:ascii="Times New Roman" w:hAnsi="Times New Roman" w:eastAsia="仿宋_GB2312"/>
          <w:color w:val="000000"/>
          <w:sz w:val="24"/>
          <w:szCs w:val="24"/>
        </w:rPr>
        <w:t>承包人提交的竣工资料的内容：</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承包人需要提交的竣工资料套数：</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left="1033" w:leftChars="304"/>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承包人提交的竣工资料的费用承担：</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left="1033" w:leftChars="304"/>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承包人提交的竣工资料移交时间：</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hint="eastAsia" w:ascii="Times New Roman" w:hAnsi="Times New Roman" w:eastAsia="仿宋_GB2312"/>
          <w:color w:val="000000"/>
          <w:sz w:val="24"/>
          <w:szCs w:val="24"/>
        </w:rPr>
      </w:pPr>
      <w:r>
        <w:rPr>
          <w:rFonts w:ascii="Times New Roman" w:hAnsi="Times New Roman" w:eastAsia="仿宋_GB2312"/>
          <w:color w:val="000000"/>
          <w:sz w:val="24"/>
          <w:szCs w:val="24"/>
        </w:rPr>
        <w:t>承包人提交的竣工资料形式要求：</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kern w:val="0"/>
          <w:sz w:val="24"/>
          <w:szCs w:val="24"/>
        </w:rPr>
        <w:t>（</w:t>
      </w:r>
      <w:r>
        <w:rPr>
          <w:rFonts w:hint="eastAsia" w:ascii="Times New Roman" w:hAnsi="Times New Roman" w:eastAsia="仿宋_GB2312"/>
          <w:color w:val="000000"/>
          <w:kern w:val="0"/>
          <w:sz w:val="24"/>
          <w:szCs w:val="24"/>
        </w:rPr>
        <w:t>10</w:t>
      </w:r>
      <w:r>
        <w:rPr>
          <w:rFonts w:ascii="Times New Roman" w:hAnsi="Times New Roman" w:eastAsia="仿宋_GB2312"/>
          <w:color w:val="000000"/>
          <w:kern w:val="0"/>
          <w:sz w:val="24"/>
          <w:szCs w:val="24"/>
        </w:rPr>
        <w:t>）承包人应履行的其他义务：</w:t>
      </w:r>
      <w:r>
        <w:rPr>
          <w:rFonts w:ascii="Times New Roman" w:hAnsi="Times New Roman" w:eastAsia="仿宋_GB2312"/>
          <w:color w:val="000000"/>
          <w:sz w:val="24"/>
          <w:szCs w:val="24"/>
          <w:u w:val="single"/>
        </w:rPr>
        <w:t>             </w:t>
      </w:r>
      <w:r>
        <w:rPr>
          <w:rFonts w:ascii="Times New Roman" w:hAnsi="Times New Roman" w:eastAsia="仿宋_GB2312"/>
          <w:color w:val="000000"/>
          <w:sz w:val="24"/>
          <w:szCs w:val="24"/>
        </w:rPr>
        <w:t xml:space="preserve">              </w:t>
      </w:r>
      <w:r>
        <w:rPr>
          <w:rFonts w:ascii="Times New Roman" w:hAnsi="Times New Roman" w:eastAsia="仿宋_GB2312"/>
          <w:color w:val="000000"/>
          <w:sz w:val="24"/>
          <w:szCs w:val="24"/>
          <w:u w:val="single"/>
        </w:rPr>
        <w:t xml:space="preserve">          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ascii="Times New Roman" w:hAnsi="Times New Roman" w:eastAsia="黑体"/>
          <w:color w:val="000000"/>
          <w:sz w:val="24"/>
          <w:szCs w:val="24"/>
        </w:rPr>
      </w:pPr>
      <w:r>
        <w:rPr>
          <w:rFonts w:ascii="Times New Roman" w:hAnsi="Times New Roman" w:eastAsia="黑体"/>
          <w:color w:val="000000"/>
          <w:sz w:val="24"/>
          <w:szCs w:val="24"/>
        </w:rPr>
        <w:t>3.2 项目经理</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kern w:val="0"/>
          <w:sz w:val="24"/>
          <w:szCs w:val="24"/>
        </w:rPr>
        <w:t xml:space="preserve">3.2.1 </w:t>
      </w:r>
      <w:r>
        <w:rPr>
          <w:rFonts w:ascii="Times New Roman" w:hAnsi="Times New Roman" w:eastAsia="仿宋_GB2312"/>
          <w:color w:val="000000"/>
          <w:sz w:val="24"/>
          <w:szCs w:val="24"/>
        </w:rPr>
        <w:t>项目经理：</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姓    名：</w:t>
      </w:r>
      <w:r>
        <w:rPr>
          <w:rFonts w:ascii="Times New Roman" w:hAnsi="Times New Roman" w:eastAsia="仿宋_GB2312"/>
          <w:color w:val="000000"/>
          <w:sz w:val="24"/>
          <w:szCs w:val="24"/>
          <w:u w:val="single"/>
        </w:rPr>
        <w:t>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身份证号：</w:t>
      </w:r>
      <w:r>
        <w:rPr>
          <w:rFonts w:ascii="Times New Roman" w:hAnsi="Times New Roman" w:eastAsia="仿宋_GB2312"/>
          <w:color w:val="000000"/>
          <w:sz w:val="24"/>
          <w:szCs w:val="24"/>
          <w:u w:val="single"/>
        </w:rPr>
        <w:t>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建造师执业资格等级：</w:t>
      </w:r>
      <w:r>
        <w:rPr>
          <w:rFonts w:ascii="Times New Roman" w:hAnsi="Times New Roman" w:eastAsia="仿宋_GB2312"/>
          <w:color w:val="000000"/>
          <w:sz w:val="24"/>
          <w:szCs w:val="24"/>
          <w:u w:val="single"/>
        </w:rPr>
        <w:t>  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建造师注册证书号：</w:t>
      </w:r>
      <w:r>
        <w:rPr>
          <w:rFonts w:ascii="Times New Roman" w:hAnsi="Times New Roman" w:eastAsia="仿宋_GB2312"/>
          <w:color w:val="000000"/>
          <w:sz w:val="24"/>
          <w:szCs w:val="24"/>
          <w:u w:val="single"/>
        </w:rPr>
        <w:t>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建造师执业印章号：</w:t>
      </w:r>
      <w:r>
        <w:rPr>
          <w:rFonts w:ascii="Times New Roman" w:hAnsi="Times New Roman" w:eastAsia="仿宋_GB2312"/>
          <w:color w:val="000000"/>
          <w:sz w:val="24"/>
          <w:szCs w:val="24"/>
          <w:u w:val="single"/>
        </w:rPr>
        <w:t>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安全生产考核合格证书号：</w:t>
      </w:r>
      <w:r>
        <w:rPr>
          <w:rFonts w:ascii="Times New Roman" w:hAnsi="Times New Roman" w:eastAsia="仿宋_GB2312"/>
          <w:color w:val="000000"/>
          <w:sz w:val="24"/>
          <w:szCs w:val="24"/>
          <w:u w:val="single"/>
        </w:rPr>
        <w:t>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联系电话：</w:t>
      </w:r>
      <w:r>
        <w:rPr>
          <w:rFonts w:ascii="Times New Roman" w:hAnsi="Times New Roman" w:eastAsia="仿宋_GB2312"/>
          <w:color w:val="000000"/>
          <w:sz w:val="24"/>
          <w:szCs w:val="24"/>
          <w:u w:val="single"/>
        </w:rPr>
        <w:t>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电子信箱：</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通信地址：</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承包人对项目经理的授权范围如下：</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关于项目经理每月在施工现场的时间要求：</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 xml:space="preserve">   </w:t>
      </w:r>
      <w:r>
        <w:rPr>
          <w:rFonts w:ascii="Times New Roman" w:hAnsi="Times New Roman" w:eastAsia="仿宋_GB2312"/>
          <w:color w:val="000000"/>
          <w:sz w:val="24"/>
          <w:szCs w:val="24"/>
          <w:u w:val="single"/>
        </w:rPr>
        <w:t xml:space="preserve">     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承包人未提交劳动合同，以及没有为项目经理缴纳社会保险证明的违约责任：</w:t>
      </w:r>
      <w:r>
        <w:rPr>
          <w:rFonts w:ascii="Times New Roman" w:hAnsi="Times New Roman" w:eastAsia="仿宋_GB2312"/>
          <w:color w:val="000000"/>
          <w:sz w:val="24"/>
          <w:szCs w:val="24"/>
          <w:u w:val="single"/>
        </w:rPr>
        <w:t xml:space="preserve">                    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u w:val="single"/>
        </w:rPr>
      </w:pPr>
      <w:r>
        <w:rPr>
          <w:rFonts w:ascii="Times New Roman" w:hAnsi="Times New Roman" w:eastAsia="仿宋_GB2312"/>
          <w:color w:val="000000"/>
          <w:kern w:val="0"/>
          <w:sz w:val="24"/>
          <w:szCs w:val="24"/>
        </w:rPr>
        <w:t>项目经理未经批准，擅自离开施工现场的违约责任：</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ascii="Times New Roman" w:hAnsi="Times New Roman" w:eastAsia="仿宋_GB2312"/>
          <w:color w:val="000000"/>
          <w:sz w:val="24"/>
          <w:szCs w:val="24"/>
        </w:rPr>
        <w:t xml:space="preserve">     </w:t>
      </w:r>
      <w:r>
        <w:rPr>
          <w:rFonts w:ascii="Times New Roman" w:hAnsi="Times New Roman" w:eastAsia="仿宋_GB2312"/>
          <w:color w:val="000000"/>
          <w:sz w:val="24"/>
          <w:szCs w:val="24"/>
          <w:u w:val="single"/>
        </w:rPr>
        <w:t xml:space="preserve">          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3.2.3 承包人擅自更换项目经理的违约责任：</w:t>
      </w:r>
      <w:r>
        <w:rPr>
          <w:rFonts w:ascii="Times New Roman" w:hAnsi="Times New Roman" w:eastAsia="仿宋_GB2312"/>
          <w:color w:val="000000"/>
          <w:sz w:val="24"/>
          <w:szCs w:val="24"/>
          <w:u w:val="single"/>
        </w:rPr>
        <w:t xml:space="preserve">              </w:t>
      </w:r>
    </w:p>
    <w:p>
      <w:pPr>
        <w:pageBreakBefore w:val="0"/>
        <w:widowControl w:val="0"/>
        <w:kinsoku/>
        <w:wordWrap/>
        <w:overflowPunct/>
        <w:topLinePunct w:val="0"/>
        <w:bidi w:val="0"/>
        <w:snapToGrid/>
        <w:spacing w:line="480" w:lineRule="exac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u w:val="single"/>
        </w:rPr>
        <w:t>          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textAlignment w:val="auto"/>
        <w:outlineLvl w:val="0"/>
        <w:rPr>
          <w:rFonts w:ascii="Times New Roman" w:hAnsi="Times New Roman" w:eastAsia="仿宋_GB2312"/>
          <w:color w:val="000000"/>
          <w:sz w:val="24"/>
          <w:szCs w:val="24"/>
        </w:rPr>
      </w:pPr>
      <w:r>
        <w:rPr>
          <w:rFonts w:ascii="Times New Roman" w:hAnsi="Times New Roman" w:eastAsia="仿宋_GB2312"/>
          <w:color w:val="000000"/>
          <w:sz w:val="24"/>
          <w:szCs w:val="24"/>
        </w:rPr>
        <w:t xml:space="preserve">    3.2.4 承包人无正当理由拒绝更换项目经理的违约责任：</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 xml:space="preserve">     </w:t>
      </w:r>
      <w:r>
        <w:rPr>
          <w:rFonts w:ascii="Times New Roman" w:hAnsi="Times New Roman" w:eastAsia="仿宋_GB2312"/>
          <w:color w:val="000000"/>
          <w:sz w:val="24"/>
          <w:szCs w:val="24"/>
          <w:u w:val="single"/>
        </w:rPr>
        <w:t xml:space="preserve">                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after="120" w:line="480" w:lineRule="exact"/>
        <w:ind w:firstLine="480" w:firstLineChars="200"/>
        <w:textAlignment w:val="auto"/>
        <w:rPr>
          <w:rFonts w:ascii="Times New Roman" w:hAnsi="Times New Roman" w:eastAsia="黑体"/>
          <w:color w:val="000000"/>
          <w:sz w:val="24"/>
          <w:szCs w:val="24"/>
        </w:rPr>
      </w:pPr>
      <w:r>
        <w:rPr>
          <w:rFonts w:ascii="Times New Roman" w:hAnsi="Times New Roman" w:eastAsia="黑体"/>
          <w:color w:val="000000"/>
          <w:sz w:val="24"/>
          <w:szCs w:val="24"/>
        </w:rPr>
        <w:t>3.3 承包人人员</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3.3.1 承包人提交项目管理机构及施工现场管理人员安排报告的期限：</w:t>
      </w:r>
      <w:r>
        <w:rPr>
          <w:rFonts w:ascii="Times New Roman" w:hAnsi="Times New Roman" w:eastAsia="仿宋_GB2312"/>
          <w:color w:val="000000"/>
          <w:sz w:val="24"/>
          <w:szCs w:val="24"/>
          <w:u w:val="single"/>
        </w:rPr>
        <w:t xml:space="preserve">  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3.3.3 承包人无正当理由拒绝撤换主要施工管理人员的违约责任：</w:t>
      </w:r>
      <w:r>
        <w:rPr>
          <w:rFonts w:ascii="Times New Roman" w:hAnsi="Times New Roman" w:eastAsia="仿宋_GB2312"/>
          <w:color w:val="000000"/>
          <w:sz w:val="24"/>
          <w:szCs w:val="24"/>
          <w:u w:val="single"/>
        </w:rPr>
        <w:t xml:space="preserve">  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u w:val="single"/>
        </w:rPr>
      </w:pPr>
      <w:r>
        <w:rPr>
          <w:rFonts w:ascii="Times New Roman" w:hAnsi="Times New Roman" w:eastAsia="仿宋_GB2312"/>
          <w:color w:val="000000"/>
          <w:sz w:val="24"/>
          <w:szCs w:val="24"/>
        </w:rPr>
        <w:t xml:space="preserve">3.3.4 承包人主要施工管理人员离开施工现场的批准要求：   </w:t>
      </w:r>
      <w:r>
        <w:rPr>
          <w:rFonts w:ascii="Times New Roman" w:hAnsi="Times New Roman" w:eastAsia="仿宋_GB2312"/>
          <w:color w:val="000000"/>
          <w:sz w:val="24"/>
          <w:szCs w:val="24"/>
          <w:u w:val="single"/>
        </w:rPr>
        <w:t></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3.3.5承包人擅自更换主要施工管理人员的违约责任：</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承包人主要施工管理人员擅自离开施工现场的违约责任：</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ascii="Times New Roman" w:hAnsi="Times New Roman" w:eastAsia="黑体"/>
          <w:color w:val="000000"/>
          <w:sz w:val="24"/>
          <w:szCs w:val="24"/>
        </w:rPr>
      </w:pPr>
      <w:r>
        <w:rPr>
          <w:rFonts w:ascii="Times New Roman" w:hAnsi="Times New Roman" w:eastAsia="黑体"/>
          <w:color w:val="000000"/>
          <w:sz w:val="24"/>
          <w:szCs w:val="24"/>
        </w:rPr>
        <w:t>3</w:t>
      </w:r>
      <w:bookmarkStart w:id="138" w:name="_Toc300934945"/>
      <w:bookmarkStart w:id="139" w:name="_Toc296891199"/>
      <w:bookmarkStart w:id="140" w:name="_Toc296503159"/>
      <w:bookmarkStart w:id="141" w:name="_Toc296890987"/>
      <w:bookmarkStart w:id="142" w:name="_Toc304295523"/>
      <w:bookmarkStart w:id="143" w:name="_Toc297216151"/>
      <w:bookmarkStart w:id="144" w:name="_Toc292559869"/>
      <w:bookmarkStart w:id="145" w:name="_Toc296944498"/>
      <w:bookmarkStart w:id="146" w:name="_Toc297120459"/>
      <w:bookmarkStart w:id="147" w:name="_Toc303539102"/>
      <w:bookmarkStart w:id="148" w:name="_Toc312677988"/>
      <w:bookmarkStart w:id="149" w:name="_Toc296346660"/>
      <w:bookmarkStart w:id="150" w:name="_Toc297123492"/>
      <w:bookmarkStart w:id="151" w:name="_Toc296347158"/>
      <w:bookmarkStart w:id="152" w:name="_Toc297048345"/>
      <w:bookmarkStart w:id="153" w:name="_Toc292559364"/>
      <w:r>
        <w:rPr>
          <w:rFonts w:ascii="Times New Roman" w:hAnsi="Times New Roman" w:eastAsia="黑体"/>
          <w:color w:val="000000"/>
          <w:sz w:val="24"/>
          <w:szCs w:val="24"/>
        </w:rPr>
        <w:t>.5 分包</w:t>
      </w:r>
    </w:p>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sz w:val="24"/>
          <w:szCs w:val="24"/>
        </w:rPr>
      </w:pPr>
      <w:r>
        <w:rPr>
          <w:rFonts w:ascii="Times New Roman" w:hAnsi="Times New Roman" w:eastAsia="仿宋_GB2312"/>
          <w:sz w:val="24"/>
          <w:szCs w:val="24"/>
        </w:rPr>
        <w:t>3</w:t>
      </w:r>
      <w:bookmarkStart w:id="154" w:name="_Toc296347159"/>
      <w:bookmarkStart w:id="155" w:name="_Toc297120460"/>
      <w:bookmarkStart w:id="156" w:name="_Toc297216152"/>
      <w:bookmarkStart w:id="157" w:name="_Toc297048346"/>
      <w:bookmarkStart w:id="158" w:name="_Toc297123493"/>
      <w:bookmarkStart w:id="159" w:name="_Toc296890988"/>
      <w:bookmarkStart w:id="160" w:name="_Toc296891200"/>
      <w:bookmarkStart w:id="161" w:name="_Toc296944499"/>
      <w:bookmarkStart w:id="162" w:name="_Toc303539103"/>
      <w:bookmarkStart w:id="163" w:name="_Toc292559365"/>
      <w:bookmarkStart w:id="164" w:name="_Toc300934946"/>
      <w:bookmarkStart w:id="165" w:name="_Toc296346661"/>
      <w:bookmarkStart w:id="166" w:name="_Toc304295524"/>
      <w:bookmarkStart w:id="167" w:name="_Toc296503160"/>
      <w:bookmarkStart w:id="168" w:name="_Toc292559870"/>
      <w:bookmarkStart w:id="169" w:name="_Toc312677989"/>
      <w:bookmarkStart w:id="170" w:name="_Toc318581158"/>
      <w:r>
        <w:rPr>
          <w:rFonts w:ascii="Times New Roman" w:hAnsi="Times New Roman" w:eastAsia="仿宋_GB2312"/>
          <w:sz w:val="24"/>
          <w:szCs w:val="24"/>
        </w:rPr>
        <w:t>.5.1 分包的一般约定</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sz w:val="24"/>
          <w:szCs w:val="24"/>
        </w:rPr>
      </w:pPr>
      <w:r>
        <w:rPr>
          <w:rFonts w:ascii="Times New Roman" w:hAnsi="Times New Roman" w:eastAsia="仿宋_GB2312"/>
          <w:sz w:val="24"/>
          <w:szCs w:val="24"/>
        </w:rPr>
        <w:t>禁止分包的工程包括：</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hint="eastAsia" w:ascii="Times New Roman" w:hAnsi="Times New Roman" w:eastAsia="仿宋_GB2312"/>
          <w:color w:val="000000"/>
          <w:sz w:val="24"/>
          <w:szCs w:val="24"/>
          <w:u w:val="single"/>
        </w:rPr>
      </w:pPr>
      <w:r>
        <w:rPr>
          <w:rFonts w:ascii="Times New Roman" w:hAnsi="Times New Roman" w:eastAsia="仿宋_GB2312"/>
          <w:sz w:val="24"/>
          <w:szCs w:val="24"/>
        </w:rPr>
        <w:t>主体结构、关键性工作的范围：</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color w:val="000000"/>
          <w:sz w:val="24"/>
          <w:szCs w:val="24"/>
          <w:u w:val="single"/>
        </w:rPr>
      </w:pP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Start w:id="171" w:name="_Toc297123494"/>
      <w:bookmarkStart w:id="172" w:name="_Toc297120461"/>
      <w:bookmarkStart w:id="173" w:name="_Toc296346662"/>
      <w:bookmarkStart w:id="174" w:name="_Toc296891201"/>
      <w:bookmarkStart w:id="175" w:name="_Toc303539104"/>
      <w:bookmarkStart w:id="176" w:name="_Toc296890989"/>
      <w:bookmarkStart w:id="177" w:name="_Toc297048347"/>
      <w:bookmarkStart w:id="178" w:name="_Toc296503161"/>
      <w:bookmarkStart w:id="179" w:name="_Toc304295525"/>
      <w:bookmarkStart w:id="180" w:name="_Toc297216153"/>
      <w:bookmarkStart w:id="181" w:name="_Toc296944500"/>
      <w:bookmarkStart w:id="182" w:name="_Toc296347160"/>
      <w:bookmarkStart w:id="183" w:name="_Toc300934947"/>
    </w:p>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Pr>
        <w:pageBreakBefore w:val="0"/>
        <w:widowControl w:val="0"/>
        <w:kinsoku/>
        <w:wordWrap/>
        <w:overflowPunct/>
        <w:topLinePunct w:val="0"/>
        <w:bidi w:val="0"/>
        <w:snapToGrid/>
        <w:spacing w:line="480" w:lineRule="exact"/>
        <w:textAlignment w:val="auto"/>
        <w:rPr>
          <w:rFonts w:ascii="Times New Roman" w:hAnsi="Times New Roman" w:eastAsia="仿宋_GB2312"/>
          <w:sz w:val="24"/>
          <w:szCs w:val="24"/>
        </w:rPr>
      </w:pPr>
      <w:r>
        <w:rPr>
          <w:rFonts w:ascii="Times New Roman" w:hAnsi="Times New Roman" w:eastAsia="仿宋_GB2312"/>
          <w:sz w:val="24"/>
          <w:szCs w:val="24"/>
        </w:rPr>
        <w:t xml:space="preserve">    3</w:t>
      </w:r>
      <w:bookmarkStart w:id="184" w:name="_Toc312677990"/>
      <w:bookmarkStart w:id="185" w:name="_Toc318581159"/>
      <w:r>
        <w:rPr>
          <w:rFonts w:ascii="Times New Roman" w:hAnsi="Times New Roman" w:eastAsia="仿宋_GB2312"/>
          <w:sz w:val="24"/>
          <w:szCs w:val="24"/>
        </w:rPr>
        <w:t>.5.2分包的确定</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u w:val="single"/>
        </w:rPr>
      </w:pPr>
      <w:r>
        <w:rPr>
          <w:rFonts w:ascii="Times New Roman" w:hAnsi="Times New Roman" w:eastAsia="仿宋_GB2312"/>
          <w:sz w:val="24"/>
          <w:szCs w:val="24"/>
        </w:rPr>
        <w:t>允许分包的专业工程包括：</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hint="eastAsia" w:ascii="Times New Roman" w:hAnsi="Times New Roman" w:eastAsia="仿宋_GB2312"/>
          <w:color w:val="000000"/>
          <w:sz w:val="24"/>
          <w:szCs w:val="24"/>
          <w:u w:val="single"/>
        </w:rPr>
      </w:pPr>
      <w:r>
        <w:rPr>
          <w:rFonts w:ascii="Times New Roman" w:hAnsi="Times New Roman" w:eastAsia="仿宋_GB2312"/>
          <w:color w:val="000000"/>
          <w:sz w:val="24"/>
          <w:szCs w:val="24"/>
        </w:rPr>
        <w:t>其他关于分包的约定：</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textAlignment w:val="auto"/>
        <w:rPr>
          <w:rFonts w:ascii="Times New Roman" w:hAnsi="Times New Roman" w:eastAsia="仿宋_GB2312"/>
          <w:sz w:val="24"/>
          <w:szCs w:val="24"/>
        </w:rPr>
      </w:pP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sz w:val="24"/>
          <w:szCs w:val="24"/>
        </w:rPr>
      </w:pPr>
      <w:r>
        <w:rPr>
          <w:rFonts w:ascii="Times New Roman" w:hAnsi="Times New Roman" w:eastAsia="仿宋_GB2312"/>
          <w:sz w:val="24"/>
          <w:szCs w:val="24"/>
        </w:rPr>
        <w:t>3.5.4 分包合同价款</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sz w:val="24"/>
          <w:szCs w:val="24"/>
        </w:rPr>
      </w:pPr>
      <w:r>
        <w:rPr>
          <w:rFonts w:ascii="Times New Roman" w:hAnsi="Times New Roman" w:eastAsia="仿宋_GB2312"/>
          <w:sz w:val="24"/>
          <w:szCs w:val="24"/>
        </w:rPr>
        <w:t>关于分包合同价款支付的约定：</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bookmarkEnd w:id="184"/>
    <w:bookmarkEnd w:id="185"/>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ascii="Times New Roman" w:hAnsi="Times New Roman" w:eastAsia="黑体"/>
          <w:color w:val="000000"/>
          <w:sz w:val="24"/>
          <w:szCs w:val="24"/>
        </w:rPr>
      </w:pPr>
      <w:r>
        <w:rPr>
          <w:rFonts w:ascii="Times New Roman" w:hAnsi="Times New Roman" w:eastAsia="黑体"/>
          <w:color w:val="000000"/>
          <w:sz w:val="24"/>
          <w:szCs w:val="24"/>
        </w:rPr>
        <w:t>3.6 工程照管与成品、半成品保护</w:t>
      </w:r>
    </w:p>
    <w:p>
      <w:pPr>
        <w:pageBreakBefore w:val="0"/>
        <w:widowControl w:val="0"/>
        <w:kinsoku/>
        <w:wordWrap/>
        <w:overflowPunct/>
        <w:topLinePunct w:val="0"/>
        <w:bidi w:val="0"/>
        <w:snapToGrid/>
        <w:spacing w:before="120" w:after="120" w:line="480" w:lineRule="exact"/>
        <w:ind w:firstLine="480" w:firstLineChars="200"/>
        <w:textAlignment w:val="auto"/>
        <w:rPr>
          <w:rFonts w:ascii="Times New Roman" w:hAnsi="Times New Roman" w:eastAsia="仿宋_GB2312"/>
          <w:color w:val="000000"/>
          <w:kern w:val="0"/>
          <w:sz w:val="24"/>
          <w:szCs w:val="24"/>
          <w:u w:val="single"/>
        </w:rPr>
      </w:pPr>
      <w:r>
        <w:rPr>
          <w:rFonts w:ascii="Times New Roman" w:hAnsi="Times New Roman" w:eastAsia="仿宋_GB2312"/>
          <w:color w:val="000000"/>
          <w:kern w:val="0"/>
          <w:sz w:val="24"/>
          <w:szCs w:val="24"/>
        </w:rPr>
        <w:t>承包人负责照管工程及工程相关的材料、工程设备的起始时间：</w:t>
      </w: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ascii="Times New Roman" w:hAnsi="Times New Roman" w:eastAsia="黑体"/>
          <w:color w:val="000000"/>
          <w:sz w:val="24"/>
          <w:szCs w:val="24"/>
        </w:rPr>
      </w:pPr>
      <w:r>
        <w:rPr>
          <w:rFonts w:ascii="Times New Roman" w:hAnsi="Times New Roman" w:eastAsia="黑体"/>
          <w:color w:val="000000"/>
          <w:sz w:val="24"/>
          <w:szCs w:val="24"/>
        </w:rPr>
        <w:t>3.7 履约担保</w:t>
      </w:r>
    </w:p>
    <w:p>
      <w:pPr>
        <w:pageBreakBefore w:val="0"/>
        <w:widowControl w:val="0"/>
        <w:kinsoku/>
        <w:wordWrap/>
        <w:overflowPunct/>
        <w:topLinePunct w:val="0"/>
        <w:bidi w:val="0"/>
        <w:snapToGrid/>
        <w:spacing w:line="480" w:lineRule="exact"/>
        <w:ind w:firstLine="480" w:firstLineChars="200"/>
        <w:jc w:val="left"/>
        <w:textAlignment w:val="auto"/>
        <w:rPr>
          <w:rFonts w:hint="eastAsia" w:ascii="Times New Roman" w:hAnsi="Times New Roman" w:eastAsia="仿宋_GB2312"/>
          <w:color w:val="000000"/>
          <w:sz w:val="24"/>
          <w:szCs w:val="24"/>
        </w:rPr>
      </w:pPr>
      <w:r>
        <w:rPr>
          <w:rFonts w:hint="eastAsia" w:ascii="Times New Roman" w:hAnsi="Times New Roman" w:eastAsia="仿宋_GB2312"/>
          <w:color w:val="000000"/>
          <w:sz w:val="24"/>
          <w:szCs w:val="24"/>
        </w:rPr>
        <w:t>承包人是否提供履约担保：</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hint="eastAsia" w:ascii="Times New Roman" w:hAnsi="Times New Roman" w:eastAsia="仿宋_GB2312"/>
          <w:color w:val="000000"/>
          <w:sz w:val="24"/>
          <w:szCs w:val="24"/>
          <w:u w:val="single"/>
        </w:rPr>
      </w:pPr>
      <w:r>
        <w:rPr>
          <w:rFonts w:ascii="Times New Roman" w:hAnsi="Times New Roman" w:eastAsia="仿宋_GB2312"/>
          <w:color w:val="000000"/>
          <w:sz w:val="24"/>
          <w:szCs w:val="24"/>
        </w:rPr>
        <w:t>承包人提供履约担保的形式</w:t>
      </w:r>
      <w:r>
        <w:rPr>
          <w:rFonts w:hint="eastAsia" w:ascii="Times New Roman" w:hAnsi="Times New Roman" w:eastAsia="仿宋_GB2312"/>
          <w:color w:val="000000"/>
          <w:sz w:val="24"/>
          <w:szCs w:val="24"/>
        </w:rPr>
        <w:t>、金额及期限的</w:t>
      </w:r>
      <w:r>
        <w:rPr>
          <w:rFonts w:ascii="Times New Roman" w:hAnsi="Times New Roman" w:eastAsia="仿宋_GB2312"/>
          <w:color w:val="000000"/>
          <w:sz w:val="24"/>
          <w:szCs w:val="24"/>
        </w:rPr>
        <w:t>：</w:t>
      </w:r>
      <w:r>
        <w:rPr>
          <w:rFonts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Style w:val="7"/>
        <w:keepNext/>
        <w:keepLines/>
        <w:pageBreakBefore w:val="0"/>
        <w:widowControl w:val="0"/>
        <w:kinsoku/>
        <w:wordWrap/>
        <w:overflowPunct/>
        <w:topLinePunct w:val="0"/>
        <w:autoSpaceDE/>
        <w:autoSpaceDN/>
        <w:bidi w:val="0"/>
        <w:adjustRightInd/>
        <w:snapToGrid/>
        <w:spacing w:line="480" w:lineRule="exact"/>
        <w:textAlignment w:val="auto"/>
        <w:outlineLvl w:val="3"/>
        <w:rPr>
          <w:rFonts w:ascii="Times New Roman" w:hAnsi="Times New Roman" w:eastAsia="黑体"/>
          <w:b w:val="0"/>
          <w:color w:val="000000"/>
          <w:sz w:val="24"/>
          <w:szCs w:val="24"/>
        </w:rPr>
      </w:pPr>
      <w:bookmarkStart w:id="186" w:name="_Toc351203636"/>
      <w:r>
        <w:rPr>
          <w:rFonts w:ascii="Times New Roman" w:hAnsi="Times New Roman" w:eastAsia="黑体"/>
          <w:b w:val="0"/>
          <w:color w:val="000000"/>
          <w:sz w:val="24"/>
          <w:szCs w:val="24"/>
        </w:rPr>
        <w:t>4</w:t>
      </w:r>
      <w:bookmarkStart w:id="187" w:name="_Toc297120462"/>
      <w:bookmarkStart w:id="188" w:name="_Toc297048348"/>
      <w:bookmarkStart w:id="189" w:name="_Toc296503162"/>
      <w:bookmarkStart w:id="190" w:name="_Toc296347161"/>
      <w:bookmarkStart w:id="191" w:name="_Toc296891202"/>
      <w:bookmarkStart w:id="192" w:name="_Toc296944501"/>
      <w:bookmarkStart w:id="193" w:name="_Toc292559366"/>
      <w:bookmarkStart w:id="194" w:name="_Toc296890990"/>
      <w:bookmarkStart w:id="195" w:name="_Toc292559871"/>
      <w:bookmarkStart w:id="196" w:name="_Toc267251413"/>
      <w:bookmarkStart w:id="197" w:name="_Toc296346663"/>
      <w:r>
        <w:rPr>
          <w:rFonts w:ascii="Times New Roman" w:hAnsi="Times New Roman" w:eastAsia="黑体"/>
          <w:b w:val="0"/>
          <w:color w:val="000000"/>
          <w:sz w:val="24"/>
          <w:szCs w:val="24"/>
        </w:rPr>
        <w:t>. 监</w:t>
      </w:r>
      <w:bookmarkEnd w:id="187"/>
      <w:bookmarkEnd w:id="188"/>
      <w:bookmarkEnd w:id="189"/>
      <w:bookmarkEnd w:id="190"/>
      <w:bookmarkEnd w:id="191"/>
      <w:bookmarkEnd w:id="192"/>
      <w:bookmarkEnd w:id="193"/>
      <w:bookmarkEnd w:id="194"/>
      <w:bookmarkEnd w:id="195"/>
      <w:bookmarkEnd w:id="196"/>
      <w:bookmarkEnd w:id="197"/>
      <w:r>
        <w:rPr>
          <w:rFonts w:ascii="Times New Roman" w:hAnsi="Times New Roman" w:eastAsia="黑体"/>
          <w:b w:val="0"/>
          <w:color w:val="000000"/>
          <w:sz w:val="24"/>
          <w:szCs w:val="24"/>
        </w:rPr>
        <w:t>理人</w:t>
      </w:r>
      <w:bookmarkEnd w:id="186"/>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ascii="Times New Roman" w:hAnsi="Times New Roman" w:eastAsia="黑体"/>
          <w:color w:val="000000"/>
          <w:sz w:val="24"/>
          <w:szCs w:val="24"/>
        </w:rPr>
      </w:pPr>
      <w:r>
        <w:rPr>
          <w:rFonts w:ascii="Times New Roman" w:hAnsi="Times New Roman" w:eastAsia="黑体"/>
          <w:color w:val="000000"/>
          <w:sz w:val="24"/>
          <w:szCs w:val="24"/>
        </w:rPr>
        <w:t>4.1监理人的一般规定</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关于监理人的监理内容：</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关于监理人的监理权限：</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 xml:space="preserve">。 </w:t>
      </w:r>
    </w:p>
    <w:p>
      <w:pPr>
        <w:pageBreakBefore w:val="0"/>
        <w:widowControl w:val="0"/>
        <w:kinsoku/>
        <w:wordWrap/>
        <w:overflowPunct/>
        <w:topLinePunct w:val="0"/>
        <w:bidi w:val="0"/>
        <w:snapToGrid/>
        <w:spacing w:line="480" w:lineRule="exact"/>
        <w:ind w:firstLine="480" w:firstLineChars="200"/>
        <w:textAlignment w:val="auto"/>
        <w:rPr>
          <w:rFonts w:hint="eastAsia" w:ascii="Times New Roman" w:hAnsi="Times New Roman" w:eastAsia="仿宋_GB2312"/>
          <w:color w:val="000000"/>
          <w:sz w:val="24"/>
          <w:szCs w:val="24"/>
          <w:u w:val="single"/>
        </w:rPr>
      </w:pPr>
      <w:r>
        <w:rPr>
          <w:rFonts w:ascii="Times New Roman" w:hAnsi="Times New Roman" w:eastAsia="仿宋_GB2312"/>
          <w:color w:val="000000"/>
          <w:sz w:val="24"/>
          <w:szCs w:val="24"/>
        </w:rPr>
        <w:t>关于监理人在施工现场的办公场所、生活场所的提供和费用承担的约定：</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textAlignment w:val="auto"/>
        <w:rPr>
          <w:rFonts w:hint="eastAsia" w:ascii="Times New Roman" w:hAnsi="Times New Roman" w:eastAsia="仿宋_GB2312"/>
          <w:color w:val="000000"/>
          <w:sz w:val="24"/>
          <w:szCs w:val="24"/>
        </w:rPr>
      </w:pP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ascii="Times New Roman" w:hAnsi="Times New Roman" w:eastAsia="黑体"/>
          <w:color w:val="000000"/>
          <w:sz w:val="24"/>
          <w:szCs w:val="24"/>
        </w:rPr>
      </w:pPr>
      <w:r>
        <w:rPr>
          <w:rFonts w:ascii="Times New Roman" w:hAnsi="Times New Roman" w:eastAsia="黑体"/>
          <w:color w:val="000000"/>
          <w:sz w:val="24"/>
          <w:szCs w:val="24"/>
        </w:rPr>
        <w:t>4.2 监理人员</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总监理工程师：</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姓    名：</w:t>
      </w:r>
      <w:r>
        <w:rPr>
          <w:rFonts w:ascii="Times New Roman" w:hAnsi="Times New Roman" w:eastAsia="仿宋_GB2312"/>
          <w:color w:val="000000"/>
          <w:sz w:val="24"/>
          <w:szCs w:val="24"/>
          <w:u w:val="single"/>
        </w:rPr>
        <w:t>  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职    务：</w:t>
      </w:r>
      <w:r>
        <w:rPr>
          <w:rFonts w:ascii="Times New Roman" w:hAnsi="Times New Roman" w:eastAsia="仿宋_GB2312"/>
          <w:color w:val="000000"/>
          <w:sz w:val="24"/>
          <w:szCs w:val="24"/>
          <w:u w:val="single"/>
        </w:rPr>
        <w:t>  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监理工程师执业资格证书号：</w:t>
      </w:r>
      <w:r>
        <w:rPr>
          <w:rFonts w:ascii="Times New Roman" w:hAnsi="Times New Roman" w:eastAsia="仿宋_GB2312"/>
          <w:color w:val="000000"/>
          <w:sz w:val="24"/>
          <w:szCs w:val="24"/>
          <w:u w:val="single"/>
        </w:rPr>
        <w:t>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联系电话：</w:t>
      </w:r>
      <w:r>
        <w:rPr>
          <w:rFonts w:ascii="Times New Roman" w:hAnsi="Times New Roman" w:eastAsia="仿宋_GB2312"/>
          <w:color w:val="000000"/>
          <w:sz w:val="24"/>
          <w:szCs w:val="24"/>
          <w:u w:val="single"/>
        </w:rPr>
        <w:t>  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电子信箱：</w:t>
      </w:r>
      <w:r>
        <w:rPr>
          <w:rFonts w:ascii="Times New Roman" w:hAnsi="Times New Roman" w:eastAsia="仿宋_GB2312"/>
          <w:color w:val="000000"/>
          <w:sz w:val="24"/>
          <w:szCs w:val="24"/>
          <w:u w:val="single"/>
        </w:rPr>
        <w:t>  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通信地址：</w:t>
      </w:r>
      <w:r>
        <w:rPr>
          <w:rFonts w:ascii="Times New Roman" w:hAnsi="Times New Roman" w:eastAsia="仿宋_GB2312"/>
          <w:color w:val="000000"/>
          <w:sz w:val="24"/>
          <w:szCs w:val="24"/>
          <w:u w:val="single"/>
        </w:rPr>
        <w:t>  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关于监理人的其他约定：</w:t>
      </w:r>
      <w:r>
        <w:rPr>
          <w:rFonts w:ascii="Times New Roman" w:hAnsi="Times New Roman" w:eastAsia="仿宋_GB2312"/>
          <w:color w:val="000000"/>
          <w:sz w:val="24"/>
          <w:szCs w:val="24"/>
          <w:u w:val="single"/>
        </w:rPr>
        <w:t>   </w:t>
      </w:r>
      <w:r>
        <w:rPr>
          <w:rFonts w:ascii="Times New Roman" w:hAnsi="Times New Roman" w:eastAsia="仿宋_GB2312"/>
          <w:color w:val="000000"/>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ascii="Times New Roman" w:hAnsi="Times New Roman" w:eastAsia="黑体"/>
          <w:color w:val="000000"/>
          <w:sz w:val="24"/>
          <w:szCs w:val="24"/>
        </w:rPr>
      </w:pPr>
      <w:r>
        <w:rPr>
          <w:rFonts w:ascii="Times New Roman" w:hAnsi="Times New Roman" w:eastAsia="黑体"/>
          <w:color w:val="000000"/>
          <w:sz w:val="24"/>
          <w:szCs w:val="24"/>
        </w:rPr>
        <w:t>4.4 商定或确定</w:t>
      </w:r>
    </w:p>
    <w:p>
      <w:pPr>
        <w:pageBreakBefore w:val="0"/>
        <w:widowControl w:val="0"/>
        <w:kinsoku/>
        <w:wordWrap/>
        <w:overflowPunct/>
        <w:topLinePunct w:val="0"/>
        <w:bidi w:val="0"/>
        <w:snapToGrid/>
        <w:spacing w:line="480" w:lineRule="exact"/>
        <w:ind w:firstLine="480" w:firstLineChars="200"/>
        <w:textAlignment w:val="auto"/>
        <w:rPr>
          <w:rFonts w:ascii="Times New Roman" w:hAnsi="Times New Roman" w:eastAsia="仿宋_GB2312"/>
          <w:color w:val="000000"/>
          <w:sz w:val="24"/>
          <w:szCs w:val="24"/>
        </w:rPr>
      </w:pPr>
      <w:bookmarkStart w:id="198" w:name="_Toc267251418"/>
      <w:r>
        <w:rPr>
          <w:rFonts w:ascii="Times New Roman" w:hAnsi="Times New Roman" w:eastAsia="仿宋_GB2312"/>
          <w:color w:val="000000"/>
          <w:sz w:val="24"/>
          <w:szCs w:val="24"/>
        </w:rPr>
        <w:t>在发包人和承包人不能通过协商达成一致意见时，发包人授权监理人对以下事项进行确定：</w:t>
      </w:r>
    </w:p>
    <w:p>
      <w:pPr>
        <w:pageBreakBefore w:val="0"/>
        <w:widowControl w:val="0"/>
        <w:kinsoku/>
        <w:wordWrap/>
        <w:overflowPunct/>
        <w:topLinePunct w:val="0"/>
        <w:autoSpaceDE w:val="0"/>
        <w:autoSpaceDN w:val="0"/>
        <w:bidi w:val="0"/>
        <w:adjustRightInd w:val="0"/>
        <w:snapToGrid/>
        <w:spacing w:line="480" w:lineRule="exact"/>
        <w:ind w:firstLine="480" w:firstLineChars="200"/>
        <w:jc w:val="left"/>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（1）</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autoSpaceDE w:val="0"/>
        <w:autoSpaceDN w:val="0"/>
        <w:bidi w:val="0"/>
        <w:adjustRightInd w:val="0"/>
        <w:snapToGrid/>
        <w:spacing w:line="480" w:lineRule="exact"/>
        <w:ind w:firstLine="480" w:firstLineChars="200"/>
        <w:jc w:val="left"/>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（2）</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autoSpaceDE w:val="0"/>
        <w:autoSpaceDN w:val="0"/>
        <w:bidi w:val="0"/>
        <w:adjustRightInd w:val="0"/>
        <w:snapToGrid/>
        <w:spacing w:line="480" w:lineRule="exact"/>
        <w:ind w:firstLine="480" w:firstLineChars="200"/>
        <w:jc w:val="left"/>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（3）</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Style w:val="7"/>
        <w:keepNext/>
        <w:keepLines/>
        <w:pageBreakBefore w:val="0"/>
        <w:widowControl w:val="0"/>
        <w:kinsoku/>
        <w:wordWrap/>
        <w:overflowPunct/>
        <w:topLinePunct w:val="0"/>
        <w:autoSpaceDE/>
        <w:autoSpaceDN/>
        <w:bidi w:val="0"/>
        <w:adjustRightInd/>
        <w:snapToGrid/>
        <w:spacing w:line="480" w:lineRule="exact"/>
        <w:textAlignment w:val="auto"/>
        <w:outlineLvl w:val="3"/>
        <w:rPr>
          <w:rFonts w:ascii="Times New Roman" w:hAnsi="Times New Roman" w:eastAsia="黑体"/>
          <w:b w:val="0"/>
          <w:color w:val="000000"/>
          <w:sz w:val="24"/>
          <w:szCs w:val="24"/>
        </w:rPr>
      </w:pPr>
      <w:bookmarkStart w:id="199" w:name="_Toc351203637"/>
      <w:r>
        <w:rPr>
          <w:rFonts w:ascii="Times New Roman" w:hAnsi="Times New Roman" w:eastAsia="黑体"/>
          <w:b w:val="0"/>
          <w:color w:val="000000"/>
          <w:sz w:val="24"/>
          <w:szCs w:val="24"/>
        </w:rPr>
        <w:t>5</w:t>
      </w:r>
      <w:bookmarkEnd w:id="198"/>
      <w:bookmarkStart w:id="200" w:name="_Toc296503163"/>
      <w:bookmarkStart w:id="201" w:name="_Toc292559367"/>
      <w:bookmarkStart w:id="202" w:name="_Toc297120463"/>
      <w:bookmarkStart w:id="203" w:name="_Toc296944502"/>
      <w:bookmarkStart w:id="204" w:name="_Toc296346664"/>
      <w:bookmarkStart w:id="205" w:name="_Toc296347162"/>
      <w:bookmarkStart w:id="206" w:name="_Toc297048349"/>
      <w:bookmarkStart w:id="207" w:name="_Toc296891203"/>
      <w:bookmarkStart w:id="208" w:name="_Toc292559872"/>
      <w:bookmarkStart w:id="209" w:name="_Toc296890991"/>
      <w:r>
        <w:rPr>
          <w:rFonts w:ascii="Times New Roman" w:hAnsi="Times New Roman" w:eastAsia="黑体"/>
          <w:b w:val="0"/>
          <w:color w:val="000000"/>
          <w:sz w:val="24"/>
          <w:szCs w:val="24"/>
        </w:rPr>
        <w:t>. 工程质量</w:t>
      </w:r>
      <w:bookmarkEnd w:id="199"/>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0"/>
        <w:rPr>
          <w:rFonts w:ascii="Times New Roman" w:hAnsi="Times New Roman" w:eastAsia="黑体"/>
          <w:color w:val="000000"/>
          <w:sz w:val="24"/>
          <w:szCs w:val="24"/>
        </w:rPr>
      </w:pPr>
      <w:r>
        <w:rPr>
          <w:rFonts w:ascii="Times New Roman" w:hAnsi="Times New Roman" w:eastAsia="黑体"/>
          <w:color w:val="000000"/>
          <w:sz w:val="24"/>
          <w:szCs w:val="24"/>
        </w:rPr>
        <w:t>5.1 质量要求</w:t>
      </w:r>
    </w:p>
    <w:p>
      <w:pPr>
        <w:pageBreakBefore w:val="0"/>
        <w:widowControl w:val="0"/>
        <w:kinsoku/>
        <w:wordWrap/>
        <w:overflowPunct/>
        <w:topLinePunct w:val="0"/>
        <w:bidi w:val="0"/>
        <w:snapToGrid/>
        <w:spacing w:line="480" w:lineRule="exact"/>
        <w:ind w:firstLine="480" w:firstLineChars="200"/>
        <w:jc w:val="left"/>
        <w:textAlignment w:val="auto"/>
        <w:rPr>
          <w:rFonts w:hint="eastAsia" w:ascii="Times New Roman" w:hAnsi="Times New Roman" w:eastAsia="仿宋_GB2312"/>
          <w:sz w:val="24"/>
          <w:szCs w:val="24"/>
          <w:u w:val="single"/>
        </w:rPr>
      </w:pPr>
      <w:r>
        <w:rPr>
          <w:rFonts w:ascii="Times New Roman" w:hAnsi="Times New Roman" w:eastAsia="仿宋_GB2312"/>
          <w:sz w:val="24"/>
          <w:szCs w:val="24"/>
        </w:rPr>
        <w:t>5</w:t>
      </w:r>
      <w:bookmarkStart w:id="210" w:name="_Toc303539106"/>
      <w:bookmarkStart w:id="211" w:name="_Toc297216155"/>
      <w:bookmarkStart w:id="212" w:name="_Toc312677997"/>
      <w:bookmarkStart w:id="213" w:name="_Toc300934949"/>
      <w:bookmarkStart w:id="214" w:name="_Toc297123496"/>
      <w:bookmarkStart w:id="215" w:name="_Toc318581164"/>
      <w:bookmarkStart w:id="216" w:name="_Toc304295527"/>
      <w:r>
        <w:rPr>
          <w:rFonts w:ascii="Times New Roman" w:hAnsi="Times New Roman" w:eastAsia="仿宋_GB2312"/>
          <w:sz w:val="24"/>
          <w:szCs w:val="24"/>
        </w:rPr>
        <w:t>.1.1 特殊质量标准和要求：</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sz w:val="24"/>
          <w:szCs w:val="24"/>
        </w:rPr>
      </w:pP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ascii="Times New Roman" w:hAnsi="Times New Roman" w:eastAsia="仿宋_GB2312"/>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hint="eastAsia" w:ascii="Times New Roman" w:hAnsi="Times New Roman" w:eastAsia="仿宋_GB2312"/>
          <w:sz w:val="24"/>
          <w:szCs w:val="24"/>
          <w:u w:val="single"/>
        </w:rPr>
      </w:pPr>
      <w:r>
        <w:rPr>
          <w:rFonts w:ascii="Times New Roman" w:hAnsi="Times New Roman" w:eastAsia="仿宋_GB2312"/>
          <w:sz w:val="24"/>
          <w:szCs w:val="24"/>
        </w:rPr>
        <w:t>关于工程奖项的约定：</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hint="eastAsia" w:ascii="Times New Roman" w:hAnsi="Times New Roman" w:eastAsia="黑体"/>
          <w:color w:val="000000"/>
          <w:sz w:val="24"/>
          <w:szCs w:val="24"/>
        </w:rPr>
      </w:pP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ascii="Times New Roman" w:hAnsi="Times New Roman" w:eastAsia="仿宋_GB2312"/>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0"/>
        <w:rPr>
          <w:rFonts w:ascii="Times New Roman" w:hAnsi="Times New Roman" w:eastAsia="黑体"/>
          <w:color w:val="000000"/>
          <w:sz w:val="24"/>
          <w:szCs w:val="24"/>
        </w:rPr>
      </w:pPr>
      <w:r>
        <w:rPr>
          <w:rFonts w:ascii="Times New Roman" w:hAnsi="Times New Roman" w:eastAsia="黑体"/>
          <w:color w:val="000000"/>
          <w:sz w:val="24"/>
          <w:szCs w:val="24"/>
        </w:rPr>
        <w:t>5.3 隐蔽工程检查</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sz w:val="24"/>
          <w:szCs w:val="24"/>
          <w:u w:val="single"/>
        </w:rPr>
      </w:pPr>
      <w:r>
        <w:rPr>
          <w:rFonts w:ascii="Times New Roman" w:hAnsi="Times New Roman" w:eastAsia="仿宋_GB2312"/>
          <w:sz w:val="24"/>
          <w:szCs w:val="24"/>
        </w:rPr>
        <w:t>5.3.2承包人提前通知监理人隐蔽工程检查的期限的约定：</w:t>
      </w:r>
      <w:r>
        <w:rPr>
          <w:rFonts w:ascii="Times New Roman" w:hAnsi="Times New Roman" w:eastAsia="仿宋_GB2312"/>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sz w:val="24"/>
          <w:szCs w:val="24"/>
        </w:rPr>
      </w:pP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ascii="Times New Roman" w:hAnsi="Times New Roman" w:eastAsia="仿宋_GB2312"/>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sz w:val="24"/>
          <w:szCs w:val="24"/>
        </w:rPr>
      </w:pPr>
      <w:r>
        <w:rPr>
          <w:rFonts w:ascii="Times New Roman" w:hAnsi="Times New Roman" w:eastAsia="仿宋_GB2312"/>
          <w:sz w:val="24"/>
          <w:szCs w:val="24"/>
        </w:rPr>
        <w:t>监理人不能按时进行检查时，应提前</w:t>
      </w:r>
      <w:r>
        <w:rPr>
          <w:rFonts w:ascii="Times New Roman" w:hAnsi="Times New Roman" w:eastAsia="仿宋_GB2312"/>
          <w:sz w:val="24"/>
          <w:szCs w:val="24"/>
          <w:u w:val="single"/>
        </w:rPr>
        <w:t xml:space="preserve">       </w:t>
      </w:r>
      <w:r>
        <w:rPr>
          <w:rFonts w:ascii="Times New Roman" w:hAnsi="Times New Roman" w:eastAsia="仿宋_GB2312"/>
          <w:sz w:val="24"/>
          <w:szCs w:val="24"/>
        </w:rPr>
        <w:t>小时提交书面延期要求。</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sz w:val="24"/>
          <w:szCs w:val="24"/>
        </w:rPr>
      </w:pPr>
      <w:r>
        <w:rPr>
          <w:rFonts w:ascii="Times New Roman" w:hAnsi="Times New Roman" w:eastAsia="仿宋_GB2312"/>
          <w:sz w:val="24"/>
          <w:szCs w:val="24"/>
        </w:rPr>
        <w:t>关于延期最长不得超过：</w:t>
      </w:r>
      <w:r>
        <w:rPr>
          <w:rFonts w:ascii="Times New Roman" w:hAnsi="Times New Roman" w:eastAsia="仿宋_GB2312"/>
          <w:sz w:val="24"/>
          <w:szCs w:val="24"/>
          <w:u w:val="single"/>
        </w:rPr>
        <w:t xml:space="preserve">         </w:t>
      </w:r>
      <w:r>
        <w:rPr>
          <w:rFonts w:ascii="Times New Roman" w:hAnsi="Times New Roman" w:eastAsia="仿宋_GB2312"/>
          <w:sz w:val="24"/>
          <w:szCs w:val="24"/>
        </w:rPr>
        <w:t>小时。</w:t>
      </w:r>
    </w:p>
    <w:p>
      <w:pPr>
        <w:pStyle w:val="7"/>
        <w:keepNext/>
        <w:keepLines/>
        <w:pageBreakBefore w:val="0"/>
        <w:widowControl w:val="0"/>
        <w:kinsoku/>
        <w:wordWrap/>
        <w:overflowPunct/>
        <w:topLinePunct w:val="0"/>
        <w:autoSpaceDE/>
        <w:autoSpaceDN/>
        <w:bidi w:val="0"/>
        <w:adjustRightInd/>
        <w:snapToGrid/>
        <w:spacing w:line="480" w:lineRule="exact"/>
        <w:textAlignment w:val="auto"/>
        <w:outlineLvl w:val="3"/>
        <w:rPr>
          <w:rFonts w:ascii="Times New Roman" w:hAnsi="Times New Roman" w:eastAsia="黑体"/>
          <w:b w:val="0"/>
          <w:color w:val="000000"/>
          <w:sz w:val="24"/>
          <w:szCs w:val="24"/>
        </w:rPr>
      </w:pPr>
      <w:bookmarkStart w:id="217" w:name="_Toc351203638"/>
      <w:r>
        <w:rPr>
          <w:rFonts w:ascii="Times New Roman" w:hAnsi="Times New Roman" w:eastAsia="黑体"/>
          <w:b w:val="0"/>
          <w:color w:val="000000"/>
          <w:sz w:val="24"/>
          <w:szCs w:val="24"/>
        </w:rPr>
        <w:t>6. 安全文明施工与环境保护</w:t>
      </w:r>
      <w:bookmarkEnd w:id="217"/>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ascii="Times New Roman" w:hAnsi="Times New Roman" w:eastAsia="黑体"/>
          <w:color w:val="000000"/>
          <w:sz w:val="24"/>
          <w:szCs w:val="24"/>
        </w:rPr>
      </w:pPr>
      <w:r>
        <w:rPr>
          <w:rFonts w:ascii="Times New Roman" w:hAnsi="Times New Roman" w:eastAsia="黑体"/>
          <w:color w:val="000000"/>
          <w:sz w:val="24"/>
          <w:szCs w:val="24"/>
        </w:rPr>
        <w:t>6.1安全文明施工</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sz w:val="24"/>
          <w:szCs w:val="24"/>
          <w:u w:val="single"/>
        </w:rPr>
      </w:pPr>
      <w:r>
        <w:rPr>
          <w:rFonts w:ascii="Times New Roman" w:hAnsi="Times New Roman" w:eastAsia="仿宋_GB2312"/>
          <w:sz w:val="24"/>
          <w:szCs w:val="24"/>
        </w:rPr>
        <w:t>6.1.1</w:t>
      </w:r>
      <w:r>
        <w:rPr>
          <w:rFonts w:ascii="Times New Roman" w:hAnsi="Times New Roman" w:eastAsia="仿宋_GB2312"/>
          <w:color w:val="000000"/>
          <w:sz w:val="24"/>
          <w:szCs w:val="24"/>
        </w:rPr>
        <w:t xml:space="preserve"> 项目安全生产的达标目标及相应事项的约定：</w:t>
      </w:r>
      <w:r>
        <w:rPr>
          <w:rFonts w:ascii="Times New Roman" w:hAnsi="Times New Roman" w:eastAsia="仿宋_GB2312"/>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sz w:val="24"/>
          <w:szCs w:val="24"/>
        </w:rPr>
      </w:pP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ascii="Times New Roman" w:hAnsi="Times New Roman" w:eastAsia="仿宋_GB2312"/>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sz w:val="24"/>
          <w:szCs w:val="24"/>
          <w:u w:val="single"/>
        </w:rPr>
      </w:pPr>
      <w:r>
        <w:rPr>
          <w:rFonts w:ascii="Times New Roman" w:hAnsi="Times New Roman" w:eastAsia="仿宋_GB2312"/>
          <w:sz w:val="24"/>
          <w:szCs w:val="24"/>
        </w:rPr>
        <w:t>6.1.4 关于治安保卫的特别约定：</w:t>
      </w:r>
      <w:r>
        <w:rPr>
          <w:rFonts w:ascii="Times New Roman" w:hAnsi="Times New Roman" w:eastAsia="仿宋_GB2312"/>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sz w:val="24"/>
          <w:szCs w:val="24"/>
        </w:rPr>
      </w:pP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ascii="Times New Roman" w:hAnsi="Times New Roman" w:eastAsia="仿宋_GB2312"/>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hint="eastAsia" w:ascii="Times New Roman" w:hAnsi="Times New Roman" w:eastAsia="仿宋_GB2312"/>
          <w:sz w:val="24"/>
          <w:szCs w:val="24"/>
        </w:rPr>
      </w:pPr>
      <w:r>
        <w:rPr>
          <w:rFonts w:ascii="Times New Roman" w:hAnsi="Times New Roman" w:eastAsia="仿宋_GB2312"/>
          <w:sz w:val="24"/>
          <w:szCs w:val="24"/>
        </w:rPr>
        <w:t>关于编制施工场地治安管理计划的约定：</w:t>
      </w:r>
      <w:r>
        <w:rPr>
          <w:rFonts w:ascii="Times New Roman" w:hAnsi="Times New Roman" w:eastAsia="仿宋_GB2312"/>
          <w:sz w:val="24"/>
          <w:szCs w:val="24"/>
          <w:u w:val="single"/>
        </w:rPr>
        <w:t xml:space="preserve">                  </w:t>
      </w:r>
      <w:r>
        <w:rPr>
          <w:rFonts w:ascii="Times New Roman" w:hAnsi="Times New Roman" w:eastAsia="仿宋_GB2312"/>
          <w:sz w:val="24"/>
          <w:szCs w:val="24"/>
          <w:u w:val="single"/>
        </w:rPr>
        <w:br w:type="textWrapping"/>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ascii="Times New Roman" w:hAnsi="Times New Roman" w:eastAsia="仿宋_GB2312"/>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hint="eastAsia" w:ascii="Times New Roman" w:hAnsi="Times New Roman" w:eastAsia="仿宋_GB2312"/>
          <w:sz w:val="24"/>
          <w:szCs w:val="24"/>
        </w:rPr>
      </w:pPr>
      <w:r>
        <w:rPr>
          <w:rFonts w:hint="eastAsia" w:ascii="Times New Roman" w:hAnsi="Times New Roman" w:eastAsia="仿宋_GB2312"/>
          <w:sz w:val="24"/>
          <w:szCs w:val="24"/>
        </w:rPr>
        <w:t>6.1.5 文明施工</w:t>
      </w:r>
    </w:p>
    <w:p>
      <w:pPr>
        <w:pageBreakBefore w:val="0"/>
        <w:widowControl w:val="0"/>
        <w:kinsoku/>
        <w:wordWrap/>
        <w:overflowPunct/>
        <w:topLinePunct w:val="0"/>
        <w:bidi w:val="0"/>
        <w:snapToGrid/>
        <w:spacing w:line="480" w:lineRule="exact"/>
        <w:ind w:firstLine="480" w:firstLineChars="200"/>
        <w:jc w:val="left"/>
        <w:textAlignment w:val="auto"/>
        <w:rPr>
          <w:rFonts w:hint="eastAsia" w:ascii="Times New Roman" w:hAnsi="Times New Roman" w:eastAsia="仿宋_GB2312"/>
          <w:sz w:val="24"/>
          <w:szCs w:val="24"/>
          <w:u w:val="single"/>
        </w:rPr>
      </w:pPr>
      <w:r>
        <w:rPr>
          <w:rFonts w:hint="eastAsia" w:ascii="Times New Roman" w:hAnsi="Times New Roman" w:eastAsia="仿宋_GB2312"/>
          <w:sz w:val="24"/>
          <w:szCs w:val="24"/>
        </w:rPr>
        <w:t>合同当事人对文明施工的要求：</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sz w:val="24"/>
          <w:szCs w:val="24"/>
        </w:rPr>
      </w:pP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hint="eastAsia" w:ascii="Times New Roman" w:hAnsi="Times New Roman" w:eastAsia="仿宋_GB2312"/>
          <w:sz w:val="24"/>
          <w:szCs w:val="24"/>
        </w:rPr>
      </w:pPr>
      <w:r>
        <w:rPr>
          <w:rFonts w:ascii="Times New Roman" w:hAnsi="Times New Roman" w:eastAsia="仿宋_GB2312"/>
          <w:sz w:val="24"/>
          <w:szCs w:val="24"/>
        </w:rPr>
        <w:t>6.1.6 关于安全文明施工费支付比例和支付期限的约定：</w:t>
      </w:r>
      <w:r>
        <w:rPr>
          <w:rFonts w:ascii="Times New Roman" w:hAnsi="Times New Roman" w:eastAsia="仿宋_GB2312"/>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sz w:val="24"/>
          <w:szCs w:val="24"/>
        </w:rPr>
      </w:pP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ascii="Times New Roman" w:hAnsi="Times New Roman" w:eastAsia="仿宋_GB2312"/>
          <w:sz w:val="24"/>
          <w:szCs w:val="24"/>
        </w:rPr>
        <w:t>。</w:t>
      </w:r>
    </w:p>
    <w:bookmarkEnd w:id="210"/>
    <w:bookmarkEnd w:id="211"/>
    <w:bookmarkEnd w:id="212"/>
    <w:bookmarkEnd w:id="213"/>
    <w:bookmarkEnd w:id="214"/>
    <w:bookmarkEnd w:id="215"/>
    <w:bookmarkEnd w:id="216"/>
    <w:p>
      <w:pPr>
        <w:pStyle w:val="7"/>
        <w:keepNext/>
        <w:keepLines/>
        <w:pageBreakBefore w:val="0"/>
        <w:widowControl w:val="0"/>
        <w:kinsoku/>
        <w:wordWrap/>
        <w:overflowPunct/>
        <w:topLinePunct w:val="0"/>
        <w:autoSpaceDE/>
        <w:autoSpaceDN/>
        <w:bidi w:val="0"/>
        <w:adjustRightInd/>
        <w:snapToGrid/>
        <w:spacing w:line="480" w:lineRule="exact"/>
        <w:textAlignment w:val="auto"/>
        <w:outlineLvl w:val="3"/>
        <w:rPr>
          <w:rFonts w:ascii="Times New Roman" w:hAnsi="Times New Roman" w:eastAsia="黑体"/>
          <w:b w:val="0"/>
          <w:color w:val="000000"/>
          <w:sz w:val="24"/>
          <w:szCs w:val="24"/>
        </w:rPr>
      </w:pPr>
      <w:bookmarkStart w:id="218" w:name="_Toc351203639"/>
      <w:r>
        <w:rPr>
          <w:rFonts w:ascii="Times New Roman" w:hAnsi="Times New Roman" w:eastAsia="黑体"/>
          <w:b w:val="0"/>
          <w:color w:val="000000"/>
          <w:sz w:val="24"/>
          <w:szCs w:val="24"/>
        </w:rPr>
        <w:t>7. 工期和进度</w:t>
      </w:r>
      <w:bookmarkEnd w:id="218"/>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ascii="Times New Roman" w:hAnsi="Times New Roman" w:eastAsia="黑体"/>
          <w:color w:val="000000"/>
          <w:sz w:val="24"/>
          <w:szCs w:val="24"/>
        </w:rPr>
      </w:pPr>
      <w:r>
        <w:rPr>
          <w:rFonts w:ascii="Times New Roman" w:hAnsi="Times New Roman" w:eastAsia="黑体"/>
          <w:color w:val="000000"/>
          <w:sz w:val="24"/>
          <w:szCs w:val="24"/>
        </w:rPr>
        <w:t>7.1 施工组织设计</w:t>
      </w:r>
    </w:p>
    <w:p>
      <w:pPr>
        <w:pageBreakBefore w:val="0"/>
        <w:widowControl w:val="0"/>
        <w:kinsoku/>
        <w:wordWrap/>
        <w:overflowPunct/>
        <w:topLinePunct w:val="0"/>
        <w:autoSpaceDE w:val="0"/>
        <w:autoSpaceDN w:val="0"/>
        <w:bidi w:val="0"/>
        <w:adjustRightInd w:val="0"/>
        <w:snapToGrid/>
        <w:spacing w:line="480" w:lineRule="exact"/>
        <w:ind w:firstLine="480" w:firstLineChars="200"/>
        <w:jc w:val="left"/>
        <w:textAlignment w:val="auto"/>
        <w:rPr>
          <w:rFonts w:hint="eastAsia" w:ascii="Times New Roman" w:hAnsi="Times New Roman" w:eastAsia="仿宋_GB2312"/>
          <w:sz w:val="24"/>
          <w:szCs w:val="24"/>
          <w:u w:val="single"/>
        </w:rPr>
      </w:pPr>
      <w:r>
        <w:rPr>
          <w:rFonts w:ascii="Times New Roman" w:hAnsi="Times New Roman" w:eastAsia="仿宋_GB2312"/>
          <w:sz w:val="24"/>
          <w:szCs w:val="24"/>
        </w:rPr>
        <w:t>7.1.</w:t>
      </w:r>
      <w:r>
        <w:rPr>
          <w:rFonts w:hint="eastAsia" w:ascii="Times New Roman" w:hAnsi="Times New Roman" w:eastAsia="仿宋_GB2312"/>
          <w:sz w:val="24"/>
          <w:szCs w:val="24"/>
        </w:rPr>
        <w:t xml:space="preserve">1 </w:t>
      </w:r>
      <w:r>
        <w:rPr>
          <w:rFonts w:hint="eastAsia" w:ascii="Times New Roman" w:hAnsi="Times New Roman" w:eastAsia="仿宋_GB2312"/>
          <w:color w:val="000000"/>
          <w:sz w:val="24"/>
          <w:szCs w:val="24"/>
        </w:rPr>
        <w:t>合</w:t>
      </w:r>
      <w:r>
        <w:rPr>
          <w:rFonts w:hint="eastAsia" w:ascii="Times New Roman" w:hAnsi="Times New Roman" w:eastAsia="仿宋_GB2312"/>
          <w:color w:val="000000"/>
          <w:kern w:val="0"/>
          <w:sz w:val="24"/>
          <w:szCs w:val="24"/>
        </w:rPr>
        <w:t>同当事人约定的</w:t>
      </w:r>
      <w:r>
        <w:rPr>
          <w:rFonts w:ascii="Times New Roman" w:hAnsi="Times New Roman" w:eastAsia="仿宋_GB2312"/>
          <w:color w:val="000000"/>
          <w:kern w:val="0"/>
          <w:sz w:val="24"/>
          <w:szCs w:val="24"/>
        </w:rPr>
        <w:t>施工组织设计</w:t>
      </w:r>
      <w:r>
        <w:rPr>
          <w:rFonts w:hint="eastAsia" w:ascii="Times New Roman" w:hAnsi="Times New Roman" w:eastAsia="仿宋_GB2312"/>
          <w:color w:val="000000"/>
          <w:kern w:val="0"/>
          <w:sz w:val="24"/>
          <w:szCs w:val="24"/>
        </w:rPr>
        <w:t>应包括的其他内容</w:t>
      </w:r>
      <w:r>
        <w:rPr>
          <w:rFonts w:ascii="Times New Roman" w:hAnsi="Times New Roman" w:eastAsia="仿宋_GB2312"/>
          <w:color w:val="000000"/>
          <w:kern w:val="0"/>
          <w:sz w:val="24"/>
          <w:szCs w:val="24"/>
        </w:rPr>
        <w:t>：</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p>
    <w:p>
      <w:pPr>
        <w:pageBreakBefore w:val="0"/>
        <w:widowControl w:val="0"/>
        <w:kinsoku/>
        <w:wordWrap/>
        <w:overflowPunct/>
        <w:topLinePunct w:val="0"/>
        <w:autoSpaceDE w:val="0"/>
        <w:autoSpaceDN w:val="0"/>
        <w:bidi w:val="0"/>
        <w:adjustRightInd w:val="0"/>
        <w:snapToGrid/>
        <w:spacing w:line="480" w:lineRule="exact"/>
        <w:jc w:val="left"/>
        <w:textAlignment w:val="auto"/>
        <w:rPr>
          <w:rFonts w:ascii="Times New Roman" w:hAnsi="Times New Roman" w:eastAsia="仿宋_GB2312"/>
          <w:color w:val="000000"/>
          <w:kern w:val="0"/>
          <w:sz w:val="24"/>
          <w:szCs w:val="24"/>
        </w:rPr>
      </w:pP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ascii="Times New Roman" w:hAnsi="Times New Roman" w:eastAsia="仿宋_GB2312"/>
          <w:sz w:val="24"/>
          <w:szCs w:val="24"/>
        </w:rPr>
        <w:t>。</w:t>
      </w:r>
    </w:p>
    <w:p>
      <w:pPr>
        <w:pageBreakBefore w:val="0"/>
        <w:widowControl w:val="0"/>
        <w:kinsoku/>
        <w:wordWrap/>
        <w:overflowPunct/>
        <w:topLinePunct w:val="0"/>
        <w:autoSpaceDE w:val="0"/>
        <w:autoSpaceDN w:val="0"/>
        <w:bidi w:val="0"/>
        <w:adjustRightInd w:val="0"/>
        <w:snapToGrid/>
        <w:spacing w:line="480" w:lineRule="exact"/>
        <w:ind w:firstLine="480" w:firstLineChars="200"/>
        <w:jc w:val="left"/>
        <w:textAlignment w:val="auto"/>
        <w:rPr>
          <w:rFonts w:ascii="Times New Roman" w:hAnsi="Times New Roman" w:eastAsia="仿宋_GB2312"/>
          <w:color w:val="000000"/>
          <w:kern w:val="0"/>
          <w:sz w:val="24"/>
          <w:szCs w:val="24"/>
        </w:rPr>
      </w:pPr>
      <w:r>
        <w:rPr>
          <w:rFonts w:ascii="Times New Roman" w:hAnsi="Times New Roman" w:eastAsia="仿宋_GB2312"/>
          <w:sz w:val="24"/>
          <w:szCs w:val="24"/>
        </w:rPr>
        <w:t>7.1.2</w:t>
      </w:r>
      <w:r>
        <w:rPr>
          <w:rFonts w:ascii="Times New Roman" w:hAnsi="Times New Roman" w:eastAsia="仿宋_GB2312"/>
          <w:color w:val="000000"/>
          <w:sz w:val="24"/>
          <w:szCs w:val="24"/>
        </w:rPr>
        <w:t xml:space="preserve"> </w:t>
      </w:r>
      <w:r>
        <w:rPr>
          <w:rFonts w:ascii="Times New Roman" w:hAnsi="Times New Roman" w:eastAsia="仿宋_GB2312"/>
          <w:color w:val="000000"/>
          <w:kern w:val="0"/>
          <w:sz w:val="24"/>
          <w:szCs w:val="24"/>
        </w:rPr>
        <w:t>施工组织设计的提交和修改</w:t>
      </w:r>
    </w:p>
    <w:p>
      <w:pPr>
        <w:pageBreakBefore w:val="0"/>
        <w:widowControl w:val="0"/>
        <w:kinsoku/>
        <w:wordWrap/>
        <w:overflowPunct/>
        <w:topLinePunct w:val="0"/>
        <w:autoSpaceDE w:val="0"/>
        <w:autoSpaceDN w:val="0"/>
        <w:bidi w:val="0"/>
        <w:adjustRightInd w:val="0"/>
        <w:snapToGrid/>
        <w:spacing w:line="480" w:lineRule="exact"/>
        <w:ind w:firstLine="480" w:firstLineChars="200"/>
        <w:jc w:val="left"/>
        <w:textAlignment w:val="auto"/>
        <w:rPr>
          <w:rFonts w:hint="eastAsia" w:ascii="Times New Roman" w:hAnsi="Times New Roman" w:eastAsia="仿宋_GB2312"/>
          <w:sz w:val="24"/>
          <w:szCs w:val="24"/>
          <w:u w:val="single"/>
        </w:rPr>
      </w:pPr>
      <w:r>
        <w:rPr>
          <w:rFonts w:ascii="Times New Roman" w:hAnsi="Times New Roman" w:eastAsia="仿宋_GB2312"/>
          <w:color w:val="000000"/>
          <w:kern w:val="0"/>
          <w:sz w:val="24"/>
          <w:szCs w:val="24"/>
        </w:rPr>
        <w:t>承包人提交详细施工组织设计的期限的约定：</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p>
    <w:p>
      <w:pPr>
        <w:pageBreakBefore w:val="0"/>
        <w:widowControl w:val="0"/>
        <w:kinsoku/>
        <w:wordWrap/>
        <w:overflowPunct/>
        <w:topLinePunct w:val="0"/>
        <w:autoSpaceDE w:val="0"/>
        <w:autoSpaceDN w:val="0"/>
        <w:bidi w:val="0"/>
        <w:adjustRightInd w:val="0"/>
        <w:snapToGrid/>
        <w:spacing w:line="480" w:lineRule="exact"/>
        <w:jc w:val="left"/>
        <w:textAlignment w:val="auto"/>
        <w:rPr>
          <w:rFonts w:hint="eastAsia" w:ascii="Times New Roman" w:hAnsi="Times New Roman" w:eastAsia="仿宋_GB2312"/>
          <w:sz w:val="24"/>
          <w:szCs w:val="24"/>
        </w:rPr>
      </w:pP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ascii="Times New Roman" w:hAnsi="Times New Roman" w:eastAsia="仿宋_GB2312"/>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发包人和监理人在收到</w:t>
      </w:r>
      <w:r>
        <w:rPr>
          <w:rFonts w:hint="eastAsia" w:ascii="Times New Roman" w:hAnsi="Times New Roman" w:eastAsia="仿宋_GB2312"/>
          <w:color w:val="000000"/>
          <w:sz w:val="24"/>
          <w:szCs w:val="24"/>
        </w:rPr>
        <w:t>详细的施工组织设计</w:t>
      </w:r>
      <w:r>
        <w:rPr>
          <w:rFonts w:ascii="Times New Roman" w:hAnsi="Times New Roman" w:eastAsia="仿宋_GB2312"/>
          <w:color w:val="000000"/>
          <w:sz w:val="24"/>
          <w:szCs w:val="24"/>
        </w:rPr>
        <w:t>后确认或提出修改意见的期限：</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ascii="Times New Roman" w:hAnsi="Times New Roman" w:eastAsia="仿宋_GB2312"/>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ascii="Times New Roman" w:hAnsi="Times New Roman" w:eastAsia="黑体"/>
          <w:color w:val="000000"/>
          <w:sz w:val="24"/>
          <w:szCs w:val="24"/>
        </w:rPr>
      </w:pPr>
      <w:r>
        <w:rPr>
          <w:rFonts w:ascii="Times New Roman" w:hAnsi="Times New Roman" w:eastAsia="黑体"/>
          <w:color w:val="000000"/>
          <w:sz w:val="24"/>
          <w:szCs w:val="24"/>
        </w:rPr>
        <w:t>7</w:t>
      </w:r>
      <w:bookmarkStart w:id="219" w:name="_Toc304295541"/>
      <w:bookmarkStart w:id="220" w:name="_Toc297123514"/>
      <w:bookmarkStart w:id="221" w:name="_Toc312678005"/>
      <w:bookmarkStart w:id="222" w:name="_Toc312677479"/>
      <w:bookmarkStart w:id="223" w:name="_Toc303539123"/>
      <w:bookmarkStart w:id="224" w:name="_Toc297216173"/>
      <w:bookmarkStart w:id="225" w:name="_Toc300934966"/>
      <w:r>
        <w:rPr>
          <w:rFonts w:ascii="Times New Roman" w:hAnsi="Times New Roman" w:eastAsia="黑体"/>
          <w:color w:val="000000"/>
          <w:sz w:val="24"/>
          <w:szCs w:val="24"/>
        </w:rPr>
        <w:t>.2 施工进度计划</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7.2.2 施工进度计划的修订</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发包人和监理人在收到修订的施工进度计划后确认或提出修改意见的期限：</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ascii="Times New Roman" w:hAnsi="Times New Roman" w:eastAsia="仿宋_GB2312"/>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ascii="Times New Roman" w:hAnsi="Times New Roman" w:eastAsia="黑体"/>
          <w:color w:val="000000"/>
          <w:sz w:val="24"/>
          <w:szCs w:val="24"/>
        </w:rPr>
      </w:pPr>
      <w:r>
        <w:rPr>
          <w:rFonts w:ascii="Times New Roman" w:hAnsi="Times New Roman" w:eastAsia="黑体"/>
          <w:color w:val="000000"/>
          <w:sz w:val="24"/>
          <w:szCs w:val="24"/>
        </w:rPr>
        <w:t>7.3 开工</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7.3.1 开工准备</w:t>
      </w:r>
    </w:p>
    <w:p>
      <w:pPr>
        <w:pageBreakBefore w:val="0"/>
        <w:widowControl w:val="0"/>
        <w:kinsoku/>
        <w:wordWrap/>
        <w:overflowPunct/>
        <w:topLinePunct w:val="0"/>
        <w:bidi w:val="0"/>
        <w:snapToGrid/>
        <w:spacing w:line="480" w:lineRule="exact"/>
        <w:ind w:firstLine="645"/>
        <w:jc w:val="left"/>
        <w:textAlignment w:val="auto"/>
        <w:rPr>
          <w:rFonts w:ascii="Times New Roman" w:hAnsi="Times New Roman" w:eastAsia="仿宋_GB2312"/>
          <w:sz w:val="24"/>
          <w:szCs w:val="24"/>
          <w:u w:val="single"/>
        </w:rPr>
      </w:pPr>
      <w:r>
        <w:rPr>
          <w:rFonts w:ascii="Times New Roman" w:hAnsi="Times New Roman" w:eastAsia="仿宋_GB2312"/>
          <w:color w:val="000000"/>
          <w:sz w:val="24"/>
          <w:szCs w:val="24"/>
        </w:rPr>
        <w:t>关于承包人提交</w:t>
      </w:r>
      <w:r>
        <w:rPr>
          <w:rFonts w:ascii="Times New Roman" w:hAnsi="Times New Roman" w:eastAsia="仿宋_GB2312"/>
          <w:color w:val="000000"/>
          <w:kern w:val="0"/>
          <w:sz w:val="24"/>
          <w:szCs w:val="24"/>
        </w:rPr>
        <w:t>工程开工报审表的期限：</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ascii="Times New Roman" w:hAnsi="Times New Roman" w:eastAsia="仿宋_GB2312"/>
          <w:sz w:val="24"/>
          <w:szCs w:val="24"/>
        </w:rPr>
        <w:t>。</w:t>
      </w:r>
    </w:p>
    <w:p>
      <w:pPr>
        <w:pageBreakBefore w:val="0"/>
        <w:widowControl w:val="0"/>
        <w:kinsoku/>
        <w:wordWrap/>
        <w:overflowPunct/>
        <w:topLinePunct w:val="0"/>
        <w:bidi w:val="0"/>
        <w:snapToGrid/>
        <w:spacing w:line="480" w:lineRule="exact"/>
        <w:ind w:firstLine="645"/>
        <w:jc w:val="left"/>
        <w:textAlignment w:val="auto"/>
        <w:rPr>
          <w:rFonts w:ascii="Times New Roman" w:hAnsi="Times New Roman" w:eastAsia="仿宋_GB2312"/>
          <w:sz w:val="24"/>
          <w:szCs w:val="24"/>
          <w:u w:val="single"/>
        </w:rPr>
      </w:pPr>
      <w:r>
        <w:rPr>
          <w:rFonts w:ascii="Times New Roman" w:hAnsi="Times New Roman" w:eastAsia="仿宋_GB2312"/>
          <w:color w:val="000000"/>
          <w:sz w:val="24"/>
          <w:szCs w:val="24"/>
        </w:rPr>
        <w:t>关于发包人应完成的其他开工准备工作及期限：</w:t>
      </w:r>
      <w:r>
        <w:rPr>
          <w:rFonts w:ascii="Times New Roman" w:hAnsi="Times New Roman" w:eastAsia="仿宋_GB2312"/>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color w:val="000000"/>
          <w:sz w:val="24"/>
          <w:szCs w:val="24"/>
        </w:rPr>
      </w:pP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ascii="Times New Roman" w:hAnsi="Times New Roman" w:eastAsia="仿宋_GB2312"/>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hint="eastAsia" w:ascii="Times New Roman" w:hAnsi="Times New Roman" w:eastAsia="仿宋_GB2312"/>
          <w:sz w:val="24"/>
          <w:szCs w:val="24"/>
          <w:u w:val="single"/>
        </w:rPr>
      </w:pPr>
      <w:r>
        <w:rPr>
          <w:rFonts w:ascii="Times New Roman" w:hAnsi="Times New Roman" w:eastAsia="仿宋_GB2312"/>
          <w:color w:val="000000"/>
          <w:sz w:val="24"/>
          <w:szCs w:val="24"/>
        </w:rPr>
        <w:t>关于承包人应完成的其他开工准备工作及期限：</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sz w:val="24"/>
          <w:szCs w:val="24"/>
        </w:rPr>
      </w:pP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7.3.2开工通知</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因发包人原因造成监理人未能在计划开工日期之日起</w:t>
      </w:r>
      <w:r>
        <w:rPr>
          <w:rFonts w:ascii="Times New Roman" w:hAnsi="Times New Roman" w:eastAsia="仿宋_GB2312"/>
          <w:sz w:val="24"/>
          <w:szCs w:val="24"/>
          <w:u w:val="single"/>
        </w:rPr>
        <w:t xml:space="preserve">     </w:t>
      </w:r>
      <w:r>
        <w:rPr>
          <w:rFonts w:ascii="Times New Roman" w:hAnsi="Times New Roman" w:eastAsia="仿宋_GB2312"/>
          <w:color w:val="000000"/>
          <w:sz w:val="24"/>
          <w:szCs w:val="24"/>
        </w:rPr>
        <w:t>天内发出开工通知的，承包人有权提出价格调整要求，或者解除合同。</w:t>
      </w:r>
    </w:p>
    <w:bookmarkEnd w:id="219"/>
    <w:bookmarkEnd w:id="220"/>
    <w:bookmarkEnd w:id="221"/>
    <w:bookmarkEnd w:id="222"/>
    <w:bookmarkEnd w:id="223"/>
    <w:bookmarkEnd w:id="224"/>
    <w:bookmarkEnd w:id="225"/>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ascii="Times New Roman" w:hAnsi="Times New Roman" w:eastAsia="黑体"/>
          <w:color w:val="000000"/>
          <w:sz w:val="24"/>
          <w:szCs w:val="24"/>
        </w:rPr>
      </w:pPr>
      <w:r>
        <w:rPr>
          <w:rFonts w:ascii="Times New Roman" w:hAnsi="Times New Roman" w:eastAsia="黑体"/>
          <w:color w:val="000000"/>
          <w:sz w:val="24"/>
          <w:szCs w:val="24"/>
        </w:rPr>
        <w:t>7.4 测量放线</w:t>
      </w:r>
    </w:p>
    <w:p>
      <w:pPr>
        <w:pageBreakBefore w:val="0"/>
        <w:widowControl w:val="0"/>
        <w:kinsoku/>
        <w:wordWrap/>
        <w:overflowPunct/>
        <w:topLinePunct w:val="0"/>
        <w:bidi w:val="0"/>
        <w:snapToGrid/>
        <w:spacing w:line="480" w:lineRule="exact"/>
        <w:ind w:firstLine="480" w:firstLineChars="200"/>
        <w:jc w:val="left"/>
        <w:textAlignment w:val="auto"/>
        <w:rPr>
          <w:rFonts w:hint="eastAsia" w:ascii="Times New Roman" w:hAnsi="Times New Roman" w:eastAsia="仿宋_GB2312"/>
          <w:sz w:val="24"/>
          <w:szCs w:val="24"/>
          <w:u w:val="single"/>
        </w:rPr>
      </w:pPr>
      <w:r>
        <w:rPr>
          <w:rFonts w:ascii="Times New Roman" w:hAnsi="Times New Roman" w:eastAsia="仿宋_GB2312"/>
          <w:sz w:val="24"/>
          <w:szCs w:val="24"/>
        </w:rPr>
        <w:t>7.4.1发包人通过监理人向承包人提供测量基准点、基准线和水准点及其书面资料的期限：</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ascii="Times New Roman" w:hAnsi="Times New Roman" w:eastAsia="黑体"/>
          <w:color w:val="000000"/>
          <w:sz w:val="24"/>
          <w:szCs w:val="24"/>
        </w:rPr>
      </w:pPr>
      <w:r>
        <w:rPr>
          <w:rFonts w:ascii="Times New Roman" w:hAnsi="Times New Roman" w:eastAsia="黑体"/>
          <w:color w:val="000000"/>
          <w:sz w:val="24"/>
          <w:szCs w:val="24"/>
        </w:rPr>
        <w:t>7</w:t>
      </w:r>
      <w:bookmarkStart w:id="226" w:name="_Toc304295546"/>
      <w:bookmarkStart w:id="227" w:name="_Toc297216175"/>
      <w:bookmarkStart w:id="228" w:name="_Toc303539125"/>
      <w:bookmarkStart w:id="229" w:name="_Toc297123516"/>
      <w:bookmarkStart w:id="230" w:name="_Toc300934968"/>
      <w:bookmarkStart w:id="231" w:name="_Toc312678010"/>
      <w:bookmarkStart w:id="232" w:name="_Toc312677484"/>
      <w:r>
        <w:rPr>
          <w:rFonts w:ascii="Times New Roman" w:hAnsi="Times New Roman" w:eastAsia="黑体"/>
          <w:color w:val="000000"/>
          <w:sz w:val="24"/>
          <w:szCs w:val="24"/>
        </w:rPr>
        <w:t>.5 工期延误</w:t>
      </w:r>
    </w:p>
    <w:bookmarkEnd w:id="226"/>
    <w:bookmarkEnd w:id="227"/>
    <w:bookmarkEnd w:id="228"/>
    <w:bookmarkEnd w:id="229"/>
    <w:bookmarkEnd w:id="230"/>
    <w:bookmarkEnd w:id="231"/>
    <w:bookmarkEnd w:id="232"/>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sz w:val="24"/>
          <w:szCs w:val="24"/>
        </w:rPr>
      </w:pPr>
      <w:r>
        <w:rPr>
          <w:rFonts w:ascii="Times New Roman" w:hAnsi="Times New Roman" w:eastAsia="仿宋_GB2312"/>
          <w:sz w:val="24"/>
          <w:szCs w:val="24"/>
        </w:rPr>
        <w:t>7.5.1 因发包人原因导致工期延误</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sz w:val="24"/>
          <w:szCs w:val="24"/>
          <w:u w:val="single"/>
        </w:rPr>
      </w:pPr>
      <w:r>
        <w:rPr>
          <w:rFonts w:ascii="Times New Roman" w:hAnsi="Times New Roman" w:eastAsia="仿宋_GB2312"/>
          <w:sz w:val="24"/>
          <w:szCs w:val="24"/>
        </w:rPr>
        <w:t>（7）因发包人原因导致工期延误的其他情形：</w:t>
      </w:r>
      <w:r>
        <w:rPr>
          <w:rFonts w:ascii="Times New Roman" w:hAnsi="Times New Roman" w:eastAsia="仿宋_GB2312"/>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sz w:val="24"/>
          <w:szCs w:val="24"/>
        </w:rPr>
      </w:pP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ascii="Times New Roman" w:hAnsi="Times New Roman" w:eastAsia="仿宋_GB2312"/>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sz w:val="24"/>
          <w:szCs w:val="24"/>
        </w:rPr>
      </w:pPr>
      <w:r>
        <w:rPr>
          <w:rFonts w:ascii="Times New Roman" w:hAnsi="Times New Roman" w:eastAsia="仿宋_GB2312"/>
          <w:sz w:val="24"/>
          <w:szCs w:val="24"/>
        </w:rPr>
        <w:t>7</w:t>
      </w:r>
      <w:bookmarkStart w:id="233" w:name="_Toc312677486"/>
      <w:bookmarkStart w:id="234" w:name="_Toc318581169"/>
      <w:bookmarkStart w:id="235" w:name="_Toc312678012"/>
      <w:bookmarkStart w:id="236" w:name="_Toc304295548"/>
      <w:bookmarkStart w:id="237" w:name="_Toc300934970"/>
      <w:bookmarkStart w:id="238" w:name="_Toc297216177"/>
      <w:bookmarkStart w:id="239" w:name="_Toc303539127"/>
      <w:bookmarkStart w:id="240" w:name="_Toc297123518"/>
      <w:r>
        <w:rPr>
          <w:rFonts w:ascii="Times New Roman" w:hAnsi="Times New Roman" w:eastAsia="仿宋_GB2312"/>
          <w:sz w:val="24"/>
          <w:szCs w:val="24"/>
        </w:rPr>
        <w:t>.5.2 因承包人原因导致工期延误</w:t>
      </w:r>
    </w:p>
    <w:bookmarkEnd w:id="233"/>
    <w:bookmarkEnd w:id="234"/>
    <w:bookmarkEnd w:id="235"/>
    <w:p>
      <w:pPr>
        <w:pageBreakBefore w:val="0"/>
        <w:widowControl w:val="0"/>
        <w:kinsoku/>
        <w:wordWrap/>
        <w:overflowPunct/>
        <w:topLinePunct w:val="0"/>
        <w:bidi w:val="0"/>
        <w:snapToGrid/>
        <w:spacing w:line="480" w:lineRule="exact"/>
        <w:ind w:firstLine="480" w:firstLineChars="200"/>
        <w:jc w:val="left"/>
        <w:textAlignment w:val="auto"/>
        <w:rPr>
          <w:rFonts w:hint="eastAsia" w:ascii="Times New Roman" w:hAnsi="Times New Roman" w:eastAsia="仿宋_GB2312"/>
          <w:sz w:val="24"/>
          <w:szCs w:val="24"/>
          <w:u w:val="single"/>
        </w:rPr>
      </w:pPr>
      <w:r>
        <w:rPr>
          <w:rFonts w:ascii="Times New Roman" w:hAnsi="Times New Roman" w:eastAsia="仿宋_GB2312"/>
          <w:sz w:val="24"/>
          <w:szCs w:val="24"/>
        </w:rPr>
        <w:t>因</w:t>
      </w:r>
      <w:bookmarkStart w:id="241" w:name="_Toc312678013"/>
      <w:bookmarkStart w:id="242" w:name="_Toc312677487"/>
      <w:bookmarkStart w:id="243" w:name="_Toc318581170"/>
      <w:r>
        <w:rPr>
          <w:rFonts w:ascii="Times New Roman" w:hAnsi="Times New Roman" w:eastAsia="仿宋_GB2312"/>
          <w:sz w:val="24"/>
          <w:szCs w:val="24"/>
        </w:rPr>
        <w:t>承包人原因造成工期延误，逾期竣工违约金的计算方法为：</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sz w:val="24"/>
          <w:szCs w:val="24"/>
        </w:rPr>
      </w:pP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ascii="Times New Roman" w:hAnsi="Times New Roman" w:eastAsia="仿宋_GB2312"/>
          <w:sz w:val="24"/>
          <w:szCs w:val="24"/>
        </w:rPr>
        <w:t>。</w:t>
      </w:r>
      <w:bookmarkEnd w:id="236"/>
      <w:bookmarkEnd w:id="237"/>
      <w:bookmarkEnd w:id="238"/>
      <w:bookmarkEnd w:id="239"/>
      <w:bookmarkEnd w:id="240"/>
      <w:bookmarkEnd w:id="241"/>
      <w:bookmarkEnd w:id="242"/>
    </w:p>
    <w:bookmarkEnd w:id="243"/>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sz w:val="24"/>
          <w:szCs w:val="24"/>
        </w:rPr>
      </w:pPr>
      <w:r>
        <w:rPr>
          <w:rFonts w:ascii="Times New Roman" w:hAnsi="Times New Roman" w:eastAsia="仿宋_GB2312"/>
          <w:sz w:val="24"/>
          <w:szCs w:val="24"/>
        </w:rPr>
        <w:t>因承包人原因造成工期延误，逾</w:t>
      </w:r>
      <w:bookmarkStart w:id="244" w:name="_Toc312678014"/>
      <w:bookmarkStart w:id="245" w:name="_Toc318581171"/>
      <w:r>
        <w:rPr>
          <w:rFonts w:ascii="Times New Roman" w:hAnsi="Times New Roman" w:eastAsia="仿宋_GB2312"/>
          <w:sz w:val="24"/>
          <w:szCs w:val="24"/>
        </w:rPr>
        <w:t>期竣工违约金的上限：</w:t>
      </w:r>
      <w:r>
        <w:rPr>
          <w:rFonts w:ascii="Times New Roman" w:hAnsi="Times New Roman" w:eastAsia="仿宋_GB2312"/>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sz w:val="24"/>
          <w:szCs w:val="24"/>
        </w:rPr>
      </w:pP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ascii="Times New Roman" w:hAnsi="Times New Roman" w:eastAsia="仿宋_GB2312"/>
          <w:sz w:val="24"/>
          <w:szCs w:val="24"/>
        </w:rPr>
        <w:t>。</w:t>
      </w:r>
    </w:p>
    <w:bookmarkEnd w:id="244"/>
    <w:bookmarkEnd w:id="245"/>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ascii="Times New Roman" w:hAnsi="Times New Roman" w:eastAsia="黑体"/>
          <w:color w:val="000000"/>
          <w:sz w:val="24"/>
          <w:szCs w:val="24"/>
        </w:rPr>
      </w:pPr>
      <w:r>
        <w:rPr>
          <w:rFonts w:ascii="Times New Roman" w:hAnsi="Times New Roman" w:eastAsia="黑体"/>
          <w:color w:val="000000"/>
          <w:sz w:val="24"/>
          <w:szCs w:val="24"/>
        </w:rPr>
        <w:t>7</w:t>
      </w:r>
      <w:bookmarkStart w:id="246" w:name="_Toc297123519"/>
      <w:bookmarkStart w:id="247" w:name="_Toc304295549"/>
      <w:bookmarkStart w:id="248" w:name="_Toc297216178"/>
      <w:bookmarkStart w:id="249" w:name="_Toc312678015"/>
      <w:bookmarkStart w:id="250" w:name="_Toc303539128"/>
      <w:bookmarkStart w:id="251" w:name="_Toc300934971"/>
      <w:r>
        <w:rPr>
          <w:rFonts w:ascii="Times New Roman" w:hAnsi="Times New Roman" w:eastAsia="黑体"/>
          <w:color w:val="000000"/>
          <w:sz w:val="24"/>
          <w:szCs w:val="24"/>
        </w:rPr>
        <w:t>.6 不</w:t>
      </w:r>
      <w:bookmarkEnd w:id="246"/>
      <w:bookmarkEnd w:id="247"/>
      <w:bookmarkEnd w:id="248"/>
      <w:bookmarkEnd w:id="249"/>
      <w:bookmarkEnd w:id="250"/>
      <w:bookmarkEnd w:id="251"/>
      <w:r>
        <w:rPr>
          <w:rFonts w:ascii="Times New Roman" w:hAnsi="Times New Roman" w:eastAsia="黑体"/>
          <w:color w:val="000000"/>
          <w:sz w:val="24"/>
          <w:szCs w:val="24"/>
        </w:rPr>
        <w:t>利物质条件</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sz w:val="24"/>
          <w:szCs w:val="24"/>
          <w:u w:val="single"/>
        </w:rPr>
      </w:pPr>
      <w:bookmarkStart w:id="252" w:name="_Toc297216179"/>
      <w:bookmarkStart w:id="253" w:name="_Toc312678016"/>
      <w:bookmarkStart w:id="254" w:name="_Toc304295550"/>
      <w:bookmarkStart w:id="255" w:name="_Toc303539129"/>
      <w:bookmarkStart w:id="256" w:name="_Toc318581172"/>
      <w:bookmarkStart w:id="257" w:name="_Toc300934972"/>
      <w:bookmarkStart w:id="258" w:name="_Toc297123520"/>
      <w:r>
        <w:rPr>
          <w:rFonts w:ascii="Times New Roman" w:hAnsi="Times New Roman" w:eastAsia="仿宋_GB2312"/>
          <w:sz w:val="24"/>
          <w:szCs w:val="24"/>
        </w:rPr>
        <w:t>不利物质条件的其他情形和有关约定：</w:t>
      </w:r>
      <w:r>
        <w:rPr>
          <w:rFonts w:ascii="Times New Roman" w:hAnsi="Times New Roman" w:eastAsia="仿宋_GB2312"/>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sz w:val="24"/>
          <w:szCs w:val="24"/>
        </w:rPr>
      </w:pP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ascii="Times New Roman" w:hAnsi="Times New Roman" w:eastAsia="仿宋_GB2312"/>
          <w:sz w:val="24"/>
          <w:szCs w:val="24"/>
        </w:rPr>
        <w:t>。</w:t>
      </w:r>
    </w:p>
    <w:bookmarkEnd w:id="252"/>
    <w:bookmarkEnd w:id="253"/>
    <w:bookmarkEnd w:id="254"/>
    <w:bookmarkEnd w:id="255"/>
    <w:bookmarkEnd w:id="256"/>
    <w:bookmarkEnd w:id="257"/>
    <w:bookmarkEnd w:id="258"/>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ascii="Times New Roman" w:hAnsi="Times New Roman" w:eastAsia="黑体"/>
          <w:color w:val="000000"/>
          <w:sz w:val="24"/>
          <w:szCs w:val="24"/>
        </w:rPr>
      </w:pPr>
      <w:r>
        <w:rPr>
          <w:rFonts w:ascii="Times New Roman" w:hAnsi="Times New Roman" w:eastAsia="黑体"/>
          <w:color w:val="000000"/>
          <w:sz w:val="24"/>
          <w:szCs w:val="24"/>
        </w:rPr>
        <w:t>7</w:t>
      </w:r>
      <w:bookmarkStart w:id="259" w:name="_Toc303539130"/>
      <w:bookmarkStart w:id="260" w:name="_Toc297123521"/>
      <w:bookmarkStart w:id="261" w:name="_Toc312678017"/>
      <w:bookmarkStart w:id="262" w:name="_Toc297216180"/>
      <w:bookmarkStart w:id="263" w:name="_Toc300934973"/>
      <w:bookmarkStart w:id="264" w:name="_Toc304295551"/>
      <w:r>
        <w:rPr>
          <w:rFonts w:ascii="Times New Roman" w:hAnsi="Times New Roman" w:eastAsia="黑体"/>
          <w:color w:val="000000"/>
          <w:sz w:val="24"/>
          <w:szCs w:val="24"/>
        </w:rPr>
        <w:t>.7异常恶劣的气候条件</w:t>
      </w:r>
    </w:p>
    <w:bookmarkEnd w:id="259"/>
    <w:bookmarkEnd w:id="260"/>
    <w:bookmarkEnd w:id="261"/>
    <w:bookmarkEnd w:id="262"/>
    <w:bookmarkEnd w:id="263"/>
    <w:bookmarkEnd w:id="264"/>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sz w:val="24"/>
          <w:szCs w:val="24"/>
        </w:rPr>
      </w:pPr>
      <w:r>
        <w:rPr>
          <w:rFonts w:ascii="Times New Roman" w:hAnsi="Times New Roman" w:eastAsia="仿宋_GB2312"/>
          <w:sz w:val="24"/>
          <w:szCs w:val="24"/>
        </w:rPr>
        <w:t>发包人和承包人同意以下情形视为异常恶劣的气候条件：</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sz w:val="24"/>
          <w:szCs w:val="24"/>
        </w:rPr>
      </w:pPr>
      <w:r>
        <w:rPr>
          <w:rFonts w:ascii="Times New Roman" w:hAnsi="Times New Roman" w:eastAsia="仿宋_GB2312"/>
          <w:sz w:val="24"/>
          <w:szCs w:val="24"/>
        </w:rPr>
        <w:t>（1）</w:t>
      </w:r>
      <w:r>
        <w:rPr>
          <w:rFonts w:ascii="Times New Roman" w:hAnsi="Times New Roman" w:eastAsia="仿宋_GB2312"/>
          <w:sz w:val="24"/>
          <w:szCs w:val="24"/>
          <w:u w:val="single"/>
        </w:rPr>
        <w:t xml:space="preserve">                                           </w:t>
      </w:r>
      <w:r>
        <w:rPr>
          <w:rFonts w:ascii="Times New Roman" w:hAnsi="Times New Roman" w:eastAsia="仿宋_GB2312"/>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sz w:val="24"/>
          <w:szCs w:val="24"/>
        </w:rPr>
      </w:pPr>
      <w:r>
        <w:rPr>
          <w:rFonts w:ascii="Times New Roman" w:hAnsi="Times New Roman" w:eastAsia="仿宋_GB2312"/>
          <w:sz w:val="24"/>
          <w:szCs w:val="24"/>
        </w:rPr>
        <w:t>（2）</w:t>
      </w:r>
      <w:r>
        <w:rPr>
          <w:rFonts w:ascii="Times New Roman" w:hAnsi="Times New Roman" w:eastAsia="仿宋_GB2312"/>
          <w:sz w:val="24"/>
          <w:szCs w:val="24"/>
          <w:u w:val="single"/>
        </w:rPr>
        <w:t xml:space="preserve">                                           </w:t>
      </w:r>
      <w:r>
        <w:rPr>
          <w:rFonts w:ascii="Times New Roman" w:hAnsi="Times New Roman" w:eastAsia="仿宋_GB2312"/>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sz w:val="24"/>
          <w:szCs w:val="24"/>
        </w:rPr>
      </w:pPr>
      <w:r>
        <w:rPr>
          <w:rFonts w:ascii="Times New Roman" w:hAnsi="Times New Roman" w:eastAsia="仿宋_GB2312"/>
          <w:sz w:val="24"/>
          <w:szCs w:val="24"/>
        </w:rPr>
        <w:t>（3）</w:t>
      </w:r>
      <w:r>
        <w:rPr>
          <w:rFonts w:ascii="Times New Roman" w:hAnsi="Times New Roman" w:eastAsia="仿宋_GB2312"/>
          <w:sz w:val="24"/>
          <w:szCs w:val="24"/>
          <w:u w:val="single"/>
        </w:rPr>
        <w:t xml:space="preserve">                                           </w:t>
      </w:r>
      <w:r>
        <w:rPr>
          <w:rFonts w:ascii="Times New Roman" w:hAnsi="Times New Roman" w:eastAsia="仿宋_GB2312"/>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0"/>
        <w:rPr>
          <w:rFonts w:ascii="Times New Roman" w:hAnsi="Times New Roman" w:eastAsia="黑体"/>
          <w:color w:val="000000"/>
          <w:sz w:val="24"/>
          <w:szCs w:val="24"/>
        </w:rPr>
      </w:pPr>
      <w:r>
        <w:rPr>
          <w:rFonts w:ascii="Times New Roman" w:hAnsi="Times New Roman" w:eastAsia="黑体"/>
          <w:color w:val="000000"/>
          <w:sz w:val="24"/>
          <w:szCs w:val="24"/>
        </w:rPr>
        <w:t>7.9 提前竣工的奖励</w:t>
      </w:r>
    </w:p>
    <w:p>
      <w:pPr>
        <w:pageBreakBefore w:val="0"/>
        <w:widowControl w:val="0"/>
        <w:kinsoku/>
        <w:wordWrap/>
        <w:overflowPunct/>
        <w:topLinePunct w:val="0"/>
        <w:bidi w:val="0"/>
        <w:snapToGrid/>
        <w:spacing w:line="480" w:lineRule="exact"/>
        <w:ind w:firstLine="480" w:firstLineChars="200"/>
        <w:jc w:val="left"/>
        <w:textAlignment w:val="auto"/>
        <w:rPr>
          <w:rFonts w:hint="eastAsia" w:ascii="Times New Roman" w:hAnsi="Times New Roman" w:eastAsia="仿宋_GB2312"/>
          <w:sz w:val="24"/>
          <w:szCs w:val="24"/>
        </w:rPr>
      </w:pPr>
      <w:r>
        <w:rPr>
          <w:rFonts w:ascii="Times New Roman" w:hAnsi="Times New Roman" w:eastAsia="仿宋_GB2312"/>
          <w:sz w:val="24"/>
          <w:szCs w:val="24"/>
        </w:rPr>
        <w:t>7.9.2提前竣工的奖励：</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ascii="Times New Roman" w:hAnsi="Times New Roman" w:eastAsia="仿宋_GB2312"/>
          <w:sz w:val="24"/>
          <w:szCs w:val="24"/>
        </w:rPr>
        <w:t>。</w:t>
      </w:r>
    </w:p>
    <w:p>
      <w:pPr>
        <w:pStyle w:val="7"/>
        <w:keepNext/>
        <w:keepLines/>
        <w:pageBreakBefore w:val="0"/>
        <w:widowControl w:val="0"/>
        <w:kinsoku/>
        <w:wordWrap/>
        <w:overflowPunct/>
        <w:topLinePunct w:val="0"/>
        <w:autoSpaceDE/>
        <w:autoSpaceDN/>
        <w:bidi w:val="0"/>
        <w:adjustRightInd/>
        <w:snapToGrid/>
        <w:spacing w:line="480" w:lineRule="exact"/>
        <w:textAlignment w:val="auto"/>
        <w:outlineLvl w:val="3"/>
        <w:rPr>
          <w:rFonts w:ascii="Times New Roman" w:hAnsi="Times New Roman" w:eastAsia="黑体"/>
          <w:b w:val="0"/>
          <w:color w:val="000000"/>
          <w:sz w:val="24"/>
          <w:szCs w:val="24"/>
        </w:rPr>
      </w:pPr>
      <w:bookmarkStart w:id="265" w:name="_Toc351203640"/>
      <w:r>
        <w:rPr>
          <w:rFonts w:ascii="Times New Roman" w:hAnsi="Times New Roman" w:eastAsia="黑体"/>
          <w:b w:val="0"/>
          <w:color w:val="000000"/>
          <w:sz w:val="24"/>
          <w:szCs w:val="24"/>
        </w:rPr>
        <w:t>8. 材料与设备</w:t>
      </w:r>
      <w:bookmarkEnd w:id="265"/>
    </w:p>
    <w:bookmarkEnd w:id="200"/>
    <w:bookmarkEnd w:id="201"/>
    <w:bookmarkEnd w:id="202"/>
    <w:bookmarkEnd w:id="203"/>
    <w:bookmarkEnd w:id="204"/>
    <w:bookmarkEnd w:id="205"/>
    <w:bookmarkEnd w:id="206"/>
    <w:bookmarkEnd w:id="207"/>
    <w:bookmarkEnd w:id="208"/>
    <w:bookmarkEnd w:id="209"/>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ascii="Times New Roman" w:hAnsi="Times New Roman" w:eastAsia="黑体"/>
          <w:color w:val="000000"/>
          <w:sz w:val="24"/>
          <w:szCs w:val="24"/>
        </w:rPr>
      </w:pPr>
      <w:r>
        <w:rPr>
          <w:rFonts w:ascii="Times New Roman" w:hAnsi="Times New Roman" w:eastAsia="黑体"/>
          <w:color w:val="000000"/>
          <w:sz w:val="24"/>
          <w:szCs w:val="24"/>
        </w:rPr>
        <w:t>8</w:t>
      </w:r>
      <w:bookmarkStart w:id="266" w:name="_Toc312678019"/>
      <w:bookmarkStart w:id="267" w:name="_Toc300934979"/>
      <w:bookmarkStart w:id="268" w:name="_Toc303539136"/>
      <w:bookmarkStart w:id="269" w:name="_Toc296944506"/>
      <w:bookmarkStart w:id="270" w:name="_Toc312677493"/>
      <w:bookmarkStart w:id="271" w:name="_Toc296347166"/>
      <w:bookmarkStart w:id="272" w:name="_Toc297120467"/>
      <w:bookmarkStart w:id="273" w:name="_Toc292559372"/>
      <w:bookmarkStart w:id="274" w:name="_Toc280868654"/>
      <w:bookmarkStart w:id="275" w:name="_Toc296346668"/>
      <w:bookmarkStart w:id="276" w:name="_Toc296890995"/>
      <w:bookmarkStart w:id="277" w:name="_Toc296503167"/>
      <w:bookmarkStart w:id="278" w:name="_Toc304295556"/>
      <w:bookmarkStart w:id="279" w:name="_Toc292559877"/>
      <w:bookmarkStart w:id="280" w:name="_Toc296891207"/>
      <w:bookmarkStart w:id="281" w:name="_Toc297048353"/>
      <w:bookmarkStart w:id="282" w:name="_Toc297123527"/>
      <w:bookmarkStart w:id="283" w:name="_Toc297216186"/>
      <w:bookmarkStart w:id="284" w:name="_Toc280868655"/>
      <w:bookmarkStart w:id="285" w:name="_Toc280868656"/>
      <w:bookmarkStart w:id="286" w:name="_Toc267251424"/>
      <w:r>
        <w:rPr>
          <w:rFonts w:ascii="Times New Roman" w:hAnsi="Times New Roman" w:eastAsia="黑体"/>
          <w:color w:val="000000"/>
          <w:sz w:val="24"/>
          <w:szCs w:val="24"/>
        </w:rPr>
        <w:t>.4材料与工程设备的保管与使用</w:t>
      </w:r>
    </w:p>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sz w:val="24"/>
          <w:szCs w:val="24"/>
          <w:u w:val="single"/>
        </w:rPr>
      </w:pPr>
      <w:r>
        <w:rPr>
          <w:rFonts w:ascii="Times New Roman" w:hAnsi="Times New Roman" w:eastAsia="仿宋_GB2312"/>
          <w:sz w:val="24"/>
          <w:szCs w:val="24"/>
        </w:rPr>
        <w:t>8</w:t>
      </w:r>
      <w:bookmarkStart w:id="287" w:name="_Toc292559878"/>
      <w:bookmarkStart w:id="288" w:name="_Toc292559373"/>
      <w:bookmarkStart w:id="289" w:name="_Toc304295557"/>
      <w:bookmarkStart w:id="290" w:name="_Toc312677494"/>
      <w:bookmarkStart w:id="291" w:name="_Toc318581173"/>
      <w:bookmarkStart w:id="292" w:name="_Toc296346669"/>
      <w:bookmarkStart w:id="293" w:name="_Toc297123528"/>
      <w:bookmarkStart w:id="294" w:name="_Toc296944507"/>
      <w:bookmarkStart w:id="295" w:name="_Toc312678020"/>
      <w:bookmarkStart w:id="296" w:name="_Toc300934980"/>
      <w:bookmarkStart w:id="297" w:name="_Toc297216187"/>
      <w:bookmarkStart w:id="298" w:name="_Toc297120468"/>
      <w:bookmarkStart w:id="299" w:name="_Toc296890996"/>
      <w:bookmarkStart w:id="300" w:name="_Toc303539137"/>
      <w:bookmarkStart w:id="301" w:name="_Toc296891208"/>
      <w:bookmarkStart w:id="302" w:name="_Toc297048354"/>
      <w:bookmarkStart w:id="303" w:name="_Toc296347167"/>
      <w:bookmarkStart w:id="304" w:name="_Toc296503168"/>
      <w:r>
        <w:rPr>
          <w:rFonts w:ascii="Times New Roman" w:hAnsi="Times New Roman" w:eastAsia="仿宋_GB2312"/>
          <w:sz w:val="24"/>
          <w:szCs w:val="24"/>
        </w:rPr>
        <w:t>.4.1发包人供应的材料设备的保管费用的承担：</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sz w:val="24"/>
          <w:szCs w:val="24"/>
        </w:rPr>
      </w:pP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ascii="Times New Roman" w:hAnsi="Times New Roman" w:eastAsia="仿宋_GB2312"/>
          <w:sz w:val="24"/>
          <w:szCs w:val="24"/>
        </w:rPr>
        <w:t>。</w:t>
      </w:r>
      <w:bookmarkEnd w:id="287"/>
      <w:bookmarkEnd w:id="288"/>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0"/>
        <w:rPr>
          <w:rFonts w:ascii="Times New Roman" w:hAnsi="Times New Roman" w:eastAsia="黑体"/>
          <w:color w:val="000000"/>
          <w:sz w:val="24"/>
          <w:szCs w:val="24"/>
        </w:rPr>
      </w:pPr>
      <w:r>
        <w:rPr>
          <w:rFonts w:ascii="Times New Roman" w:hAnsi="Times New Roman" w:eastAsia="黑体"/>
          <w:color w:val="000000"/>
          <w:sz w:val="24"/>
          <w:szCs w:val="24"/>
        </w:rPr>
        <w:t>8.6 样品</w:t>
      </w:r>
    </w:p>
    <w:p>
      <w:pPr>
        <w:pageBreakBefore w:val="0"/>
        <w:widowControl w:val="0"/>
        <w:kinsoku/>
        <w:wordWrap/>
        <w:overflowPunct/>
        <w:topLinePunct w:val="0"/>
        <w:autoSpaceDE w:val="0"/>
        <w:autoSpaceDN w:val="0"/>
        <w:bidi w:val="0"/>
        <w:adjustRightInd w:val="0"/>
        <w:snapToGrid/>
        <w:spacing w:line="480" w:lineRule="exact"/>
        <w:ind w:firstLine="480" w:firstLineChars="200"/>
        <w:jc w:val="left"/>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8.6.1</w:t>
      </w:r>
      <w:r>
        <w:rPr>
          <w:rFonts w:ascii="Times New Roman" w:hAnsi="Times New Roman" w:eastAsia="仿宋_GB2312"/>
          <w:color w:val="000000"/>
          <w:kern w:val="0"/>
          <w:sz w:val="24"/>
          <w:szCs w:val="24"/>
        </w:rPr>
        <w:tab/>
      </w:r>
      <w:r>
        <w:rPr>
          <w:rFonts w:ascii="Times New Roman" w:hAnsi="Times New Roman" w:eastAsia="仿宋_GB2312"/>
          <w:color w:val="000000"/>
          <w:kern w:val="0"/>
          <w:sz w:val="24"/>
          <w:szCs w:val="24"/>
        </w:rPr>
        <w:t>样品的报送</w:t>
      </w:r>
      <w:r>
        <w:rPr>
          <w:rFonts w:hint="eastAsia" w:ascii="Times New Roman" w:hAnsi="Times New Roman" w:eastAsia="仿宋_GB2312"/>
          <w:color w:val="000000"/>
          <w:kern w:val="0"/>
          <w:sz w:val="24"/>
          <w:szCs w:val="24"/>
        </w:rPr>
        <w:t>与封存</w:t>
      </w:r>
    </w:p>
    <w:p>
      <w:pPr>
        <w:pageBreakBefore w:val="0"/>
        <w:widowControl w:val="0"/>
        <w:kinsoku/>
        <w:wordWrap/>
        <w:overflowPunct/>
        <w:topLinePunct w:val="0"/>
        <w:autoSpaceDE w:val="0"/>
        <w:autoSpaceDN w:val="0"/>
        <w:bidi w:val="0"/>
        <w:adjustRightInd w:val="0"/>
        <w:snapToGrid/>
        <w:spacing w:line="480" w:lineRule="exact"/>
        <w:ind w:firstLine="480" w:firstLineChars="200"/>
        <w:jc w:val="left"/>
        <w:textAlignment w:val="auto"/>
        <w:rPr>
          <w:rFonts w:hint="eastAsia" w:ascii="Times New Roman" w:hAnsi="Times New Roman" w:eastAsia="仿宋_GB2312"/>
          <w:sz w:val="24"/>
          <w:szCs w:val="24"/>
          <w:u w:val="single"/>
        </w:rPr>
      </w:pPr>
      <w:r>
        <w:rPr>
          <w:rFonts w:ascii="Times New Roman" w:hAnsi="Times New Roman" w:eastAsia="仿宋_GB2312"/>
          <w:color w:val="000000"/>
          <w:kern w:val="0"/>
          <w:sz w:val="24"/>
          <w:szCs w:val="24"/>
        </w:rPr>
        <w:t>需要承包人报送样品的材料或工程设备，样品的种类、名称、规格、数量要求：</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p>
    <w:p>
      <w:pPr>
        <w:pageBreakBefore w:val="0"/>
        <w:widowControl w:val="0"/>
        <w:kinsoku/>
        <w:wordWrap/>
        <w:overflowPunct/>
        <w:topLinePunct w:val="0"/>
        <w:autoSpaceDE w:val="0"/>
        <w:autoSpaceDN w:val="0"/>
        <w:bidi w:val="0"/>
        <w:adjustRightInd w:val="0"/>
        <w:snapToGrid/>
        <w:spacing w:line="480" w:lineRule="exact"/>
        <w:jc w:val="left"/>
        <w:textAlignment w:val="auto"/>
        <w:rPr>
          <w:rFonts w:ascii="Times New Roman" w:hAnsi="Times New Roman" w:eastAsia="仿宋_GB2312"/>
          <w:sz w:val="24"/>
          <w:szCs w:val="24"/>
        </w:rPr>
      </w:pP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ascii="Times New Roman" w:hAnsi="Times New Roman" w:eastAsia="仿宋_GB2312"/>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0"/>
        <w:rPr>
          <w:rFonts w:ascii="Times New Roman" w:hAnsi="Times New Roman" w:eastAsia="黑体"/>
          <w:color w:val="000000"/>
          <w:sz w:val="24"/>
          <w:szCs w:val="24"/>
        </w:rPr>
      </w:pPr>
      <w:r>
        <w:rPr>
          <w:rFonts w:ascii="Times New Roman" w:hAnsi="Times New Roman" w:eastAsia="黑体"/>
          <w:color w:val="000000"/>
          <w:sz w:val="24"/>
          <w:szCs w:val="24"/>
        </w:rPr>
        <w:t>8.8 施工设备和临时设施</w:t>
      </w:r>
    </w:p>
    <w:p>
      <w:pPr>
        <w:pageBreakBefore w:val="0"/>
        <w:widowControl w:val="0"/>
        <w:kinsoku/>
        <w:wordWrap/>
        <w:overflowPunct/>
        <w:topLinePunct w:val="0"/>
        <w:autoSpaceDE w:val="0"/>
        <w:autoSpaceDN w:val="0"/>
        <w:bidi w:val="0"/>
        <w:adjustRightInd w:val="0"/>
        <w:snapToGrid/>
        <w:spacing w:line="480" w:lineRule="exact"/>
        <w:ind w:firstLine="480" w:firstLineChars="200"/>
        <w:jc w:val="left"/>
        <w:textAlignment w:val="auto"/>
        <w:rPr>
          <w:rFonts w:ascii="Times New Roman" w:hAnsi="Times New Roman" w:eastAsia="仿宋_GB2312"/>
          <w:sz w:val="24"/>
          <w:szCs w:val="24"/>
        </w:rPr>
      </w:pPr>
      <w:r>
        <w:rPr>
          <w:rFonts w:ascii="Times New Roman" w:hAnsi="Times New Roman" w:eastAsia="仿宋_GB2312"/>
          <w:sz w:val="24"/>
          <w:szCs w:val="24"/>
        </w:rPr>
        <w:t>8.8.1 承包人提供的施工设备和临时设施</w:t>
      </w:r>
    </w:p>
    <w:p>
      <w:pPr>
        <w:pageBreakBefore w:val="0"/>
        <w:widowControl w:val="0"/>
        <w:kinsoku/>
        <w:wordWrap/>
        <w:overflowPunct/>
        <w:topLinePunct w:val="0"/>
        <w:autoSpaceDE w:val="0"/>
        <w:autoSpaceDN w:val="0"/>
        <w:bidi w:val="0"/>
        <w:adjustRightInd w:val="0"/>
        <w:snapToGrid/>
        <w:spacing w:line="480" w:lineRule="exact"/>
        <w:ind w:firstLine="480" w:firstLineChars="200"/>
        <w:jc w:val="left"/>
        <w:textAlignment w:val="auto"/>
        <w:rPr>
          <w:rFonts w:hint="eastAsia" w:ascii="Times New Roman" w:hAnsi="Times New Roman" w:eastAsia="仿宋_GB2312"/>
          <w:sz w:val="24"/>
          <w:szCs w:val="24"/>
          <w:u w:val="single"/>
        </w:rPr>
      </w:pPr>
      <w:r>
        <w:rPr>
          <w:rFonts w:ascii="Times New Roman" w:hAnsi="Times New Roman" w:eastAsia="仿宋_GB2312"/>
          <w:sz w:val="24"/>
          <w:szCs w:val="24"/>
        </w:rPr>
        <w:t>关于修建临时设施费用承担的约定：</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p>
    <w:p>
      <w:pPr>
        <w:pageBreakBefore w:val="0"/>
        <w:widowControl w:val="0"/>
        <w:kinsoku/>
        <w:wordWrap/>
        <w:overflowPunct/>
        <w:topLinePunct w:val="0"/>
        <w:autoSpaceDE w:val="0"/>
        <w:autoSpaceDN w:val="0"/>
        <w:bidi w:val="0"/>
        <w:adjustRightInd w:val="0"/>
        <w:snapToGrid/>
        <w:spacing w:line="480" w:lineRule="exact"/>
        <w:jc w:val="left"/>
        <w:textAlignment w:val="auto"/>
        <w:rPr>
          <w:rFonts w:ascii="Times New Roman" w:hAnsi="Times New Roman" w:eastAsia="仿宋_GB2312"/>
          <w:sz w:val="24"/>
          <w:szCs w:val="24"/>
        </w:rPr>
      </w:pP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ascii="Times New Roman" w:hAnsi="Times New Roman" w:eastAsia="仿宋_GB2312"/>
          <w:sz w:val="24"/>
          <w:szCs w:val="24"/>
        </w:rPr>
        <w:t>。</w:t>
      </w:r>
    </w:p>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p>
      <w:pPr>
        <w:pStyle w:val="7"/>
        <w:keepNext/>
        <w:keepLines/>
        <w:pageBreakBefore w:val="0"/>
        <w:widowControl w:val="0"/>
        <w:kinsoku/>
        <w:wordWrap/>
        <w:overflowPunct/>
        <w:topLinePunct w:val="0"/>
        <w:autoSpaceDE/>
        <w:autoSpaceDN/>
        <w:bidi w:val="0"/>
        <w:adjustRightInd/>
        <w:snapToGrid/>
        <w:spacing w:line="480" w:lineRule="exact"/>
        <w:textAlignment w:val="auto"/>
        <w:outlineLvl w:val="3"/>
        <w:rPr>
          <w:rFonts w:ascii="Times New Roman" w:hAnsi="Times New Roman" w:eastAsia="黑体"/>
          <w:b w:val="0"/>
          <w:color w:val="000000"/>
          <w:sz w:val="24"/>
          <w:szCs w:val="24"/>
        </w:rPr>
      </w:pPr>
      <w:bookmarkStart w:id="305" w:name="_Toc351203641"/>
      <w:r>
        <w:rPr>
          <w:rFonts w:ascii="Times New Roman" w:hAnsi="Times New Roman" w:eastAsia="黑体"/>
          <w:b w:val="0"/>
          <w:color w:val="000000"/>
          <w:sz w:val="24"/>
          <w:szCs w:val="24"/>
        </w:rPr>
        <w:t>9</w:t>
      </w:r>
      <w:bookmarkEnd w:id="284"/>
      <w:bookmarkEnd w:id="285"/>
      <w:bookmarkEnd w:id="286"/>
      <w:bookmarkStart w:id="306" w:name="_Toc312678021"/>
      <w:bookmarkStart w:id="307" w:name="_Toc303539139"/>
      <w:bookmarkStart w:id="308" w:name="_Toc312677495"/>
      <w:bookmarkStart w:id="309" w:name="_Toc297216192"/>
      <w:bookmarkStart w:id="310" w:name="_Toc297123533"/>
      <w:bookmarkStart w:id="311" w:name="_Toc300934982"/>
      <w:bookmarkStart w:id="312" w:name="_Toc304295559"/>
      <w:bookmarkStart w:id="313" w:name="_Toc296503173"/>
      <w:bookmarkStart w:id="314" w:name="_Toc267251427"/>
      <w:bookmarkStart w:id="315" w:name="_Toc297048359"/>
      <w:bookmarkStart w:id="316" w:name="_Toc267251428"/>
      <w:bookmarkStart w:id="317" w:name="_Toc296347172"/>
      <w:bookmarkStart w:id="318" w:name="_Toc292559378"/>
      <w:bookmarkStart w:id="319" w:name="_Toc296891213"/>
      <w:bookmarkStart w:id="320" w:name="_Toc296944512"/>
      <w:bookmarkStart w:id="321" w:name="_Toc297120473"/>
      <w:bookmarkStart w:id="322" w:name="_Toc296891001"/>
      <w:bookmarkStart w:id="323" w:name="_Toc296346674"/>
      <w:bookmarkStart w:id="324" w:name="_Toc292559883"/>
      <w:r>
        <w:rPr>
          <w:rFonts w:ascii="Times New Roman" w:hAnsi="Times New Roman" w:eastAsia="黑体"/>
          <w:b w:val="0"/>
          <w:color w:val="000000"/>
          <w:sz w:val="24"/>
          <w:szCs w:val="24"/>
        </w:rPr>
        <w:t>. 试验与检验</w:t>
      </w:r>
      <w:bookmarkEnd w:id="305"/>
    </w:p>
    <w:bookmarkEnd w:id="306"/>
    <w:bookmarkEnd w:id="307"/>
    <w:bookmarkEnd w:id="308"/>
    <w:bookmarkEnd w:id="309"/>
    <w:bookmarkEnd w:id="310"/>
    <w:bookmarkEnd w:id="311"/>
    <w:bookmarkEnd w:id="312"/>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ascii="Times New Roman" w:hAnsi="Times New Roman" w:eastAsia="黑体"/>
          <w:color w:val="000000"/>
          <w:sz w:val="24"/>
          <w:szCs w:val="24"/>
        </w:rPr>
      </w:pPr>
      <w:r>
        <w:rPr>
          <w:rFonts w:ascii="Times New Roman" w:hAnsi="Times New Roman" w:eastAsia="黑体"/>
          <w:color w:val="000000"/>
          <w:sz w:val="24"/>
          <w:szCs w:val="24"/>
        </w:rPr>
        <w:t>9</w:t>
      </w:r>
      <w:bookmarkStart w:id="325" w:name="_Toc297123534"/>
      <w:bookmarkStart w:id="326" w:name="_Toc304295560"/>
      <w:bookmarkStart w:id="327" w:name="_Toc303539140"/>
      <w:bookmarkStart w:id="328" w:name="_Toc300934983"/>
      <w:bookmarkStart w:id="329" w:name="_Toc297216193"/>
      <w:bookmarkStart w:id="330" w:name="_Toc312677496"/>
      <w:bookmarkStart w:id="331" w:name="_Toc312678022"/>
      <w:r>
        <w:rPr>
          <w:rFonts w:ascii="Times New Roman" w:hAnsi="Times New Roman" w:eastAsia="黑体"/>
          <w:color w:val="000000"/>
          <w:sz w:val="24"/>
          <w:szCs w:val="24"/>
        </w:rPr>
        <w:t>.1试验设备与试验人员</w:t>
      </w:r>
    </w:p>
    <w:bookmarkEnd w:id="325"/>
    <w:bookmarkEnd w:id="326"/>
    <w:bookmarkEnd w:id="327"/>
    <w:bookmarkEnd w:id="328"/>
    <w:bookmarkEnd w:id="329"/>
    <w:bookmarkEnd w:id="330"/>
    <w:bookmarkEnd w:id="331"/>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sz w:val="24"/>
          <w:szCs w:val="24"/>
        </w:rPr>
      </w:pPr>
      <w:r>
        <w:rPr>
          <w:rFonts w:ascii="Times New Roman" w:hAnsi="Times New Roman" w:eastAsia="仿宋_GB2312"/>
          <w:sz w:val="24"/>
          <w:szCs w:val="24"/>
        </w:rPr>
        <w:t>9</w:t>
      </w:r>
      <w:bookmarkStart w:id="332" w:name="_Toc304295561"/>
      <w:bookmarkStart w:id="333" w:name="_Toc312677497"/>
      <w:bookmarkStart w:id="334" w:name="_Toc303539141"/>
      <w:bookmarkStart w:id="335" w:name="_Toc300934984"/>
      <w:bookmarkStart w:id="336" w:name="_Toc312678023"/>
      <w:bookmarkStart w:id="337" w:name="_Toc297216194"/>
      <w:bookmarkStart w:id="338" w:name="_Toc297123535"/>
      <w:bookmarkStart w:id="339" w:name="_Toc318581174"/>
      <w:r>
        <w:rPr>
          <w:rFonts w:ascii="Times New Roman" w:hAnsi="Times New Roman" w:eastAsia="仿宋_GB2312"/>
          <w:sz w:val="24"/>
          <w:szCs w:val="24"/>
        </w:rPr>
        <w:t>.1.2 试验设备</w:t>
      </w:r>
    </w:p>
    <w:p>
      <w:pPr>
        <w:pageBreakBefore w:val="0"/>
        <w:widowControl w:val="0"/>
        <w:kinsoku/>
        <w:wordWrap/>
        <w:overflowPunct/>
        <w:topLinePunct w:val="0"/>
        <w:bidi w:val="0"/>
        <w:snapToGrid/>
        <w:spacing w:line="480" w:lineRule="exact"/>
        <w:ind w:firstLine="480" w:firstLineChars="200"/>
        <w:jc w:val="left"/>
        <w:textAlignment w:val="auto"/>
        <w:rPr>
          <w:rFonts w:hint="eastAsia" w:ascii="Times New Roman" w:hAnsi="Times New Roman" w:eastAsia="仿宋_GB2312"/>
          <w:sz w:val="24"/>
          <w:szCs w:val="24"/>
          <w:u w:val="single"/>
        </w:rPr>
      </w:pPr>
      <w:r>
        <w:rPr>
          <w:rFonts w:ascii="Times New Roman" w:hAnsi="Times New Roman" w:eastAsia="仿宋_GB2312"/>
          <w:sz w:val="24"/>
          <w:szCs w:val="24"/>
        </w:rPr>
        <w:t>施工现场需要配置的试验场所：</w:t>
      </w:r>
      <w:bookmarkEnd w:id="332"/>
      <w:bookmarkEnd w:id="333"/>
      <w:bookmarkEnd w:id="334"/>
      <w:bookmarkEnd w:id="335"/>
      <w:bookmarkEnd w:id="336"/>
      <w:bookmarkEnd w:id="337"/>
      <w:bookmarkEnd w:id="338"/>
      <w:bookmarkStart w:id="340" w:name="_Toc297123536"/>
      <w:bookmarkStart w:id="341" w:name="_Toc297216195"/>
      <w:bookmarkStart w:id="342" w:name="_Toc304295562"/>
      <w:bookmarkStart w:id="343" w:name="_Toc303539142"/>
      <w:bookmarkStart w:id="344" w:name="_Toc312677498"/>
      <w:bookmarkStart w:id="345" w:name="_Toc312678024"/>
      <w:bookmarkStart w:id="346" w:name="_Toc300934985"/>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sz w:val="24"/>
          <w:szCs w:val="24"/>
        </w:rPr>
      </w:pP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ascii="Times New Roman" w:hAnsi="Times New Roman" w:eastAsia="仿宋_GB2312"/>
          <w:sz w:val="24"/>
          <w:szCs w:val="24"/>
        </w:rPr>
        <w:t>。</w:t>
      </w:r>
      <w:r>
        <w:rPr>
          <w:rFonts w:hint="eastAsia" w:ascii="Times New Roman" w:hAnsi="Times New Roman" w:eastAsia="仿宋_GB2312"/>
          <w:sz w:val="24"/>
          <w:szCs w:val="24"/>
        </w:rPr>
        <w:t xml:space="preserve"> </w:t>
      </w:r>
    </w:p>
    <w:p>
      <w:pPr>
        <w:pageBreakBefore w:val="0"/>
        <w:widowControl w:val="0"/>
        <w:kinsoku/>
        <w:wordWrap/>
        <w:overflowPunct/>
        <w:topLinePunct w:val="0"/>
        <w:bidi w:val="0"/>
        <w:snapToGrid/>
        <w:spacing w:line="480" w:lineRule="exact"/>
        <w:ind w:firstLine="480" w:firstLineChars="200"/>
        <w:jc w:val="left"/>
        <w:textAlignment w:val="auto"/>
        <w:rPr>
          <w:rFonts w:hint="eastAsia" w:ascii="Times New Roman" w:hAnsi="Times New Roman" w:eastAsia="仿宋_GB2312"/>
          <w:sz w:val="24"/>
          <w:szCs w:val="24"/>
          <w:u w:val="single"/>
        </w:rPr>
      </w:pPr>
      <w:r>
        <w:rPr>
          <w:rFonts w:ascii="Times New Roman" w:hAnsi="Times New Roman" w:eastAsia="仿宋_GB2312"/>
          <w:sz w:val="24"/>
          <w:szCs w:val="24"/>
        </w:rPr>
        <w:t>施工现场需要配备的试验设备：</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sz w:val="24"/>
          <w:szCs w:val="24"/>
        </w:rPr>
      </w:pP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ascii="Times New Roman" w:hAnsi="Times New Roman" w:eastAsia="仿宋_GB2312"/>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hint="eastAsia" w:ascii="Times New Roman" w:hAnsi="Times New Roman" w:eastAsia="仿宋_GB2312"/>
          <w:sz w:val="24"/>
          <w:szCs w:val="24"/>
          <w:u w:val="single"/>
        </w:rPr>
      </w:pPr>
      <w:r>
        <w:rPr>
          <w:rFonts w:ascii="Times New Roman" w:hAnsi="Times New Roman" w:eastAsia="仿宋_GB2312"/>
          <w:sz w:val="24"/>
          <w:szCs w:val="24"/>
        </w:rPr>
        <w:t>施工现场需要具备的其他试验条件：</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sz w:val="24"/>
          <w:szCs w:val="24"/>
        </w:rPr>
      </w:pP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ascii="Times New Roman" w:hAnsi="Times New Roman" w:eastAsia="仿宋_GB2312"/>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0"/>
        <w:rPr>
          <w:rFonts w:ascii="Times New Roman" w:hAnsi="Times New Roman" w:eastAsia="黑体"/>
          <w:color w:val="000000"/>
          <w:sz w:val="24"/>
          <w:szCs w:val="24"/>
        </w:rPr>
      </w:pPr>
      <w:r>
        <w:rPr>
          <w:rFonts w:ascii="Times New Roman" w:hAnsi="Times New Roman" w:eastAsia="黑体"/>
          <w:color w:val="000000"/>
          <w:sz w:val="24"/>
          <w:szCs w:val="24"/>
        </w:rPr>
        <w:t>9.4 现场工艺试验</w:t>
      </w:r>
      <w:r>
        <w:rPr>
          <w:rFonts w:hint="eastAsia" w:ascii="Times New Roman" w:hAnsi="Times New Roman" w:eastAsia="黑体"/>
          <w:color w:val="000000"/>
          <w:sz w:val="24"/>
          <w:szCs w:val="24"/>
        </w:rPr>
        <w:t xml:space="preserve"> </w:t>
      </w:r>
    </w:p>
    <w:p>
      <w:pPr>
        <w:pageBreakBefore w:val="0"/>
        <w:widowControl w:val="0"/>
        <w:kinsoku/>
        <w:wordWrap/>
        <w:overflowPunct/>
        <w:topLinePunct w:val="0"/>
        <w:bidi w:val="0"/>
        <w:snapToGrid/>
        <w:spacing w:line="480" w:lineRule="exact"/>
        <w:ind w:firstLine="480" w:firstLineChars="200"/>
        <w:jc w:val="left"/>
        <w:textAlignment w:val="auto"/>
        <w:rPr>
          <w:rFonts w:hint="eastAsia" w:ascii="Times New Roman" w:hAnsi="Times New Roman" w:eastAsia="仿宋_GB2312"/>
          <w:sz w:val="24"/>
          <w:szCs w:val="24"/>
          <w:u w:val="single"/>
        </w:rPr>
      </w:pPr>
      <w:r>
        <w:rPr>
          <w:rFonts w:ascii="Times New Roman" w:hAnsi="Times New Roman" w:eastAsia="仿宋_GB2312"/>
          <w:sz w:val="24"/>
          <w:szCs w:val="24"/>
        </w:rPr>
        <w:t>现场工艺试验的有关约定：</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hint="eastAsia" w:ascii="Times New Roman" w:hAnsi="Times New Roman" w:eastAsia="仿宋_GB2312"/>
          <w:sz w:val="24"/>
          <w:szCs w:val="24"/>
        </w:rPr>
      </w:pP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ascii="Times New Roman" w:hAnsi="Times New Roman" w:eastAsia="仿宋_GB2312"/>
          <w:sz w:val="24"/>
          <w:szCs w:val="24"/>
        </w:rPr>
        <w:t>。</w:t>
      </w:r>
    </w:p>
    <w:bookmarkEnd w:id="339"/>
    <w:bookmarkEnd w:id="340"/>
    <w:bookmarkEnd w:id="341"/>
    <w:bookmarkEnd w:id="342"/>
    <w:bookmarkEnd w:id="343"/>
    <w:bookmarkEnd w:id="344"/>
    <w:bookmarkEnd w:id="345"/>
    <w:bookmarkEnd w:id="346"/>
    <w:p>
      <w:pPr>
        <w:pStyle w:val="7"/>
        <w:keepNext/>
        <w:keepLines/>
        <w:pageBreakBefore w:val="0"/>
        <w:widowControl w:val="0"/>
        <w:kinsoku/>
        <w:wordWrap/>
        <w:overflowPunct/>
        <w:topLinePunct w:val="0"/>
        <w:autoSpaceDE/>
        <w:autoSpaceDN/>
        <w:bidi w:val="0"/>
        <w:adjustRightInd/>
        <w:snapToGrid/>
        <w:spacing w:line="480" w:lineRule="exact"/>
        <w:textAlignment w:val="auto"/>
        <w:outlineLvl w:val="3"/>
        <w:rPr>
          <w:rFonts w:ascii="Times New Roman" w:hAnsi="Times New Roman" w:eastAsia="黑体"/>
          <w:b w:val="0"/>
          <w:color w:val="000000"/>
          <w:sz w:val="24"/>
          <w:szCs w:val="24"/>
        </w:rPr>
      </w:pPr>
      <w:bookmarkStart w:id="347" w:name="_Toc351203642"/>
      <w:r>
        <w:rPr>
          <w:rFonts w:ascii="Times New Roman" w:hAnsi="Times New Roman" w:eastAsia="黑体"/>
          <w:b w:val="0"/>
          <w:color w:val="000000"/>
          <w:sz w:val="24"/>
          <w:szCs w:val="24"/>
        </w:rPr>
        <w:t>1</w:t>
      </w:r>
      <w:bookmarkEnd w:id="313"/>
      <w:bookmarkEnd w:id="314"/>
      <w:bookmarkEnd w:id="315"/>
      <w:bookmarkEnd w:id="316"/>
      <w:bookmarkEnd w:id="317"/>
      <w:bookmarkEnd w:id="318"/>
      <w:bookmarkEnd w:id="319"/>
      <w:bookmarkEnd w:id="320"/>
      <w:bookmarkEnd w:id="321"/>
      <w:bookmarkEnd w:id="322"/>
      <w:bookmarkEnd w:id="323"/>
      <w:bookmarkEnd w:id="324"/>
      <w:bookmarkStart w:id="348" w:name="_Toc292559903"/>
      <w:bookmarkStart w:id="349" w:name="_Toc296347192"/>
      <w:bookmarkStart w:id="350" w:name="_Toc296346694"/>
      <w:bookmarkStart w:id="351" w:name="_Toc297123540"/>
      <w:bookmarkStart w:id="352" w:name="_Toc297120493"/>
      <w:bookmarkStart w:id="353" w:name="_Toc296944532"/>
      <w:bookmarkStart w:id="354" w:name="_Toc304295566"/>
      <w:bookmarkStart w:id="355" w:name="_Toc296503193"/>
      <w:bookmarkStart w:id="356" w:name="_Toc297216199"/>
      <w:bookmarkStart w:id="357" w:name="_Toc296891233"/>
      <w:bookmarkStart w:id="358" w:name="_Toc300934989"/>
      <w:bookmarkStart w:id="359" w:name="_Toc303539146"/>
      <w:bookmarkStart w:id="360" w:name="_Toc296891021"/>
      <w:bookmarkStart w:id="361" w:name="_Toc292559398"/>
      <w:bookmarkStart w:id="362" w:name="_Toc297048379"/>
      <w:bookmarkStart w:id="363" w:name="_Toc312677499"/>
      <w:bookmarkStart w:id="364" w:name="_Toc312678025"/>
      <w:bookmarkStart w:id="365" w:name="_Toc267251440"/>
      <w:bookmarkStart w:id="366" w:name="_Toc267251435"/>
      <w:bookmarkStart w:id="367" w:name="_Toc267251433"/>
      <w:bookmarkStart w:id="368" w:name="_Toc267251439"/>
      <w:bookmarkStart w:id="369" w:name="_Toc267251441"/>
      <w:bookmarkStart w:id="370" w:name="_Toc267251437"/>
      <w:bookmarkStart w:id="371" w:name="_Toc267251442"/>
      <w:r>
        <w:rPr>
          <w:rFonts w:ascii="Times New Roman" w:hAnsi="Times New Roman" w:eastAsia="黑体"/>
          <w:b w:val="0"/>
          <w:color w:val="000000"/>
          <w:sz w:val="24"/>
          <w:szCs w:val="24"/>
        </w:rPr>
        <w:t>0. 变更</w:t>
      </w:r>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p>
    <w:bookmarkEnd w:id="363"/>
    <w:bookmarkEnd w:id="364"/>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ascii="Times New Roman" w:hAnsi="Times New Roman" w:eastAsia="黑体"/>
          <w:color w:val="000000"/>
          <w:sz w:val="24"/>
          <w:szCs w:val="24"/>
        </w:rPr>
      </w:pPr>
      <w:r>
        <w:rPr>
          <w:rFonts w:ascii="Times New Roman" w:hAnsi="Times New Roman" w:eastAsia="黑体"/>
          <w:color w:val="000000"/>
          <w:sz w:val="24"/>
          <w:szCs w:val="24"/>
        </w:rPr>
        <w:t>1</w:t>
      </w:r>
      <w:bookmarkStart w:id="372" w:name="_Toc297123541"/>
      <w:bookmarkStart w:id="373" w:name="_Toc296891022"/>
      <w:bookmarkStart w:id="374" w:name="_Toc297048380"/>
      <w:bookmarkStart w:id="375" w:name="_Toc312678026"/>
      <w:bookmarkStart w:id="376" w:name="_Toc303539147"/>
      <w:bookmarkStart w:id="377" w:name="_Toc296346695"/>
      <w:bookmarkStart w:id="378" w:name="_Toc296503194"/>
      <w:bookmarkStart w:id="379" w:name="_Toc312677500"/>
      <w:bookmarkStart w:id="380" w:name="_Toc292559399"/>
      <w:bookmarkStart w:id="381" w:name="_Toc300934990"/>
      <w:bookmarkStart w:id="382" w:name="_Toc296944533"/>
      <w:bookmarkStart w:id="383" w:name="_Toc304295567"/>
      <w:bookmarkStart w:id="384" w:name="_Toc296891234"/>
      <w:bookmarkStart w:id="385" w:name="_Toc297216200"/>
      <w:bookmarkStart w:id="386" w:name="_Toc296347193"/>
      <w:bookmarkStart w:id="387" w:name="_Toc292559904"/>
      <w:bookmarkStart w:id="388" w:name="_Toc297120494"/>
      <w:r>
        <w:rPr>
          <w:rFonts w:ascii="Times New Roman" w:hAnsi="Times New Roman" w:eastAsia="黑体"/>
          <w:color w:val="000000"/>
          <w:sz w:val="24"/>
          <w:szCs w:val="24"/>
        </w:rPr>
        <w:t>0.1变更的范围</w:t>
      </w:r>
    </w:p>
    <w:p>
      <w:pPr>
        <w:pageBreakBefore w:val="0"/>
        <w:widowControl w:val="0"/>
        <w:kinsoku/>
        <w:wordWrap/>
        <w:overflowPunct/>
        <w:topLinePunct w:val="0"/>
        <w:bidi w:val="0"/>
        <w:snapToGrid/>
        <w:spacing w:line="480" w:lineRule="exact"/>
        <w:ind w:firstLine="600"/>
        <w:jc w:val="left"/>
        <w:textAlignment w:val="auto"/>
        <w:rPr>
          <w:rFonts w:hint="eastAsia" w:ascii="Times New Roman" w:hAnsi="Times New Roman" w:eastAsia="仿宋_GB2312"/>
          <w:color w:val="000000"/>
          <w:sz w:val="24"/>
          <w:szCs w:val="24"/>
          <w:u w:val="single"/>
        </w:rPr>
      </w:pPr>
      <w:r>
        <w:rPr>
          <w:rFonts w:ascii="Times New Roman" w:hAnsi="Times New Roman" w:eastAsia="仿宋_GB2312"/>
          <w:color w:val="000000"/>
          <w:sz w:val="24"/>
          <w:szCs w:val="24"/>
        </w:rPr>
        <w:t>关于变更的范围的约定：</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color w:val="000000"/>
          <w:sz w:val="24"/>
          <w:szCs w:val="24"/>
        </w:rPr>
      </w:pP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0"/>
        <w:rPr>
          <w:rFonts w:ascii="Times New Roman" w:hAnsi="Times New Roman" w:eastAsia="黑体"/>
          <w:color w:val="000000"/>
          <w:sz w:val="24"/>
          <w:szCs w:val="24"/>
        </w:rPr>
      </w:pPr>
      <w:r>
        <w:rPr>
          <w:rFonts w:ascii="Times New Roman" w:hAnsi="Times New Roman" w:eastAsia="黑体"/>
          <w:color w:val="000000"/>
          <w:sz w:val="24"/>
          <w:szCs w:val="24"/>
        </w:rPr>
        <w:t>10.4 变更估价</w:t>
      </w:r>
    </w:p>
    <w:p>
      <w:pPr>
        <w:pageBreakBefore w:val="0"/>
        <w:widowControl w:val="0"/>
        <w:kinsoku/>
        <w:wordWrap/>
        <w:overflowPunct/>
        <w:topLinePunct w:val="0"/>
        <w:bidi w:val="0"/>
        <w:snapToGrid/>
        <w:spacing w:line="480" w:lineRule="exact"/>
        <w:ind w:firstLine="480" w:firstLineChars="200"/>
        <w:jc w:val="left"/>
        <w:textAlignment w:val="auto"/>
        <w:rPr>
          <w:rFonts w:hint="eastAsia" w:ascii="Times New Roman" w:hAnsi="Times New Roman" w:eastAsia="仿宋_GB2312"/>
          <w:sz w:val="24"/>
          <w:szCs w:val="24"/>
        </w:rPr>
      </w:pPr>
      <w:r>
        <w:rPr>
          <w:rFonts w:hint="eastAsia" w:ascii="Times New Roman" w:hAnsi="Times New Roman" w:eastAsia="仿宋_GB2312"/>
          <w:sz w:val="24"/>
          <w:szCs w:val="24"/>
        </w:rPr>
        <w:t>10.4.1 变更估价原则</w:t>
      </w:r>
    </w:p>
    <w:p>
      <w:pPr>
        <w:pageBreakBefore w:val="0"/>
        <w:widowControl w:val="0"/>
        <w:kinsoku/>
        <w:wordWrap/>
        <w:overflowPunct/>
        <w:topLinePunct w:val="0"/>
        <w:bidi w:val="0"/>
        <w:snapToGrid/>
        <w:spacing w:line="480" w:lineRule="exact"/>
        <w:ind w:firstLine="480" w:firstLineChars="200"/>
        <w:jc w:val="left"/>
        <w:textAlignment w:val="auto"/>
        <w:rPr>
          <w:rFonts w:hint="eastAsia" w:ascii="Times New Roman" w:hAnsi="Times New Roman" w:eastAsia="仿宋_GB2312"/>
          <w:color w:val="000000"/>
          <w:sz w:val="24"/>
          <w:szCs w:val="24"/>
          <w:u w:val="single"/>
        </w:rPr>
      </w:pPr>
      <w:r>
        <w:rPr>
          <w:rFonts w:ascii="Times New Roman" w:hAnsi="Times New Roman" w:eastAsia="仿宋_GB2312"/>
          <w:color w:val="000000"/>
          <w:sz w:val="24"/>
          <w:szCs w:val="24"/>
        </w:rPr>
        <w:t xml:space="preserve">关于变更估价的约定: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color w:val="000000"/>
          <w:sz w:val="24"/>
          <w:szCs w:val="24"/>
          <w:u w:val="single"/>
        </w:rPr>
      </w:pP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ascii="Times New Roman" w:hAnsi="Times New Roman" w:eastAsia="黑体"/>
          <w:color w:val="000000"/>
          <w:sz w:val="24"/>
          <w:szCs w:val="24"/>
        </w:rPr>
      </w:pPr>
      <w:r>
        <w:rPr>
          <w:rFonts w:ascii="Times New Roman" w:hAnsi="Times New Roman" w:eastAsia="黑体"/>
          <w:color w:val="000000"/>
          <w:sz w:val="24"/>
          <w:szCs w:val="24"/>
        </w:rPr>
        <w:t>1</w:t>
      </w:r>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Start w:id="389" w:name="_Toc296891025"/>
      <w:bookmarkStart w:id="390" w:name="_Toc292559402"/>
      <w:bookmarkStart w:id="391" w:name="_Toc300934993"/>
      <w:bookmarkStart w:id="392" w:name="_Toc296891237"/>
      <w:bookmarkStart w:id="393" w:name="_Toc303539150"/>
      <w:bookmarkStart w:id="394" w:name="_Toc297123544"/>
      <w:bookmarkStart w:id="395" w:name="_Toc297120497"/>
      <w:bookmarkStart w:id="396" w:name="_Toc296503197"/>
      <w:bookmarkStart w:id="397" w:name="_Toc296944536"/>
      <w:bookmarkStart w:id="398" w:name="_Toc292559907"/>
      <w:bookmarkStart w:id="399" w:name="_Toc297216203"/>
      <w:bookmarkStart w:id="400" w:name="_Toc297048383"/>
      <w:bookmarkStart w:id="401" w:name="_Toc296347196"/>
      <w:bookmarkStart w:id="402" w:name="_Toc296346698"/>
      <w:bookmarkStart w:id="403" w:name="_Toc304295570"/>
      <w:bookmarkStart w:id="404" w:name="_Toc312677503"/>
      <w:bookmarkStart w:id="405" w:name="_Toc312678029"/>
      <w:r>
        <w:rPr>
          <w:rFonts w:ascii="Times New Roman" w:hAnsi="Times New Roman" w:eastAsia="黑体"/>
          <w:color w:val="000000"/>
          <w:sz w:val="24"/>
          <w:szCs w:val="24"/>
        </w:rPr>
        <w:t>0.5承</w:t>
      </w:r>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Start w:id="406" w:name="_Toc296891031"/>
      <w:bookmarkStart w:id="407" w:name="_Toc292559913"/>
      <w:bookmarkStart w:id="408" w:name="_Toc296347202"/>
      <w:bookmarkStart w:id="409" w:name="_Toc297048389"/>
      <w:bookmarkStart w:id="410" w:name="_Toc292559408"/>
      <w:bookmarkStart w:id="411" w:name="_Toc300934994"/>
      <w:bookmarkStart w:id="412" w:name="_Toc303539151"/>
      <w:bookmarkStart w:id="413" w:name="_Toc296503203"/>
      <w:bookmarkStart w:id="414" w:name="_Toc297123545"/>
      <w:bookmarkStart w:id="415" w:name="_Toc296944542"/>
      <w:bookmarkStart w:id="416" w:name="_Toc297216204"/>
      <w:bookmarkStart w:id="417" w:name="_Toc297120503"/>
      <w:bookmarkStart w:id="418" w:name="_Toc296346704"/>
      <w:bookmarkStart w:id="419" w:name="_Toc296891243"/>
      <w:r>
        <w:rPr>
          <w:rFonts w:ascii="Times New Roman" w:hAnsi="Times New Roman" w:eastAsia="黑体"/>
          <w:color w:val="000000"/>
          <w:sz w:val="24"/>
          <w:szCs w:val="24"/>
        </w:rPr>
        <w:t>包人的合理化建议</w:t>
      </w:r>
    </w:p>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sz w:val="24"/>
          <w:szCs w:val="24"/>
        </w:rPr>
      </w:pPr>
      <w:r>
        <w:rPr>
          <w:rFonts w:ascii="Times New Roman" w:hAnsi="Times New Roman" w:eastAsia="仿宋_GB2312"/>
          <w:sz w:val="24"/>
          <w:szCs w:val="24"/>
        </w:rPr>
        <w:t>监理人审查承包人合理化建议的期限：</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ascii="Times New Roman" w:hAnsi="Times New Roman" w:eastAsia="仿宋_GB2312"/>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sz w:val="24"/>
          <w:szCs w:val="24"/>
        </w:rPr>
      </w:pPr>
      <w:r>
        <w:rPr>
          <w:rFonts w:ascii="Times New Roman" w:hAnsi="Times New Roman" w:eastAsia="仿宋_GB2312"/>
          <w:sz w:val="24"/>
          <w:szCs w:val="24"/>
        </w:rPr>
        <w:t>发包人审批承包人合理化建议的期限：</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ascii="Times New Roman" w:hAnsi="Times New Roman" w:eastAsia="仿宋_GB2312"/>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hint="eastAsia" w:ascii="Times New Roman" w:hAnsi="Times New Roman" w:eastAsia="仿宋_GB2312"/>
          <w:sz w:val="24"/>
          <w:szCs w:val="24"/>
          <w:u w:val="single"/>
        </w:rPr>
      </w:pPr>
      <w:r>
        <w:rPr>
          <w:rFonts w:ascii="Times New Roman" w:hAnsi="Times New Roman" w:eastAsia="仿宋_GB2312"/>
          <w:sz w:val="24"/>
          <w:szCs w:val="24"/>
        </w:rPr>
        <w:t>承</w:t>
      </w:r>
      <w:bookmarkStart w:id="420" w:name="_Toc292559409"/>
      <w:bookmarkStart w:id="421" w:name="_Toc296891032"/>
      <w:bookmarkStart w:id="422" w:name="_Toc318581175"/>
      <w:bookmarkStart w:id="423" w:name="_Toc304295571"/>
      <w:bookmarkStart w:id="424" w:name="_Toc303539152"/>
      <w:bookmarkStart w:id="425" w:name="_Toc312677504"/>
      <w:bookmarkStart w:id="426" w:name="_Toc297048390"/>
      <w:bookmarkStart w:id="427" w:name="_Toc297123546"/>
      <w:bookmarkStart w:id="428" w:name="_Toc300934995"/>
      <w:bookmarkStart w:id="429" w:name="_Toc296346705"/>
      <w:bookmarkStart w:id="430" w:name="_Toc296347203"/>
      <w:bookmarkStart w:id="431" w:name="_Toc292559914"/>
      <w:bookmarkStart w:id="432" w:name="_Toc296891244"/>
      <w:bookmarkStart w:id="433" w:name="_Toc297216205"/>
      <w:bookmarkStart w:id="434" w:name="_Toc297120504"/>
      <w:bookmarkStart w:id="435" w:name="_Toc312678030"/>
      <w:bookmarkStart w:id="436" w:name="_Toc296944543"/>
      <w:bookmarkStart w:id="437" w:name="_Toc296503204"/>
      <w:r>
        <w:rPr>
          <w:rFonts w:ascii="Times New Roman" w:hAnsi="Times New Roman" w:eastAsia="仿宋_GB2312"/>
          <w:sz w:val="24"/>
          <w:szCs w:val="24"/>
        </w:rPr>
        <w:t>包人提出的合理化建议降低了合同价格或者提高了工程经济效益的奖励的方法和金额为：</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sz w:val="24"/>
          <w:szCs w:val="24"/>
          <w:u w:val="single"/>
        </w:rPr>
      </w:pP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ascii="Times New Roman" w:hAnsi="Times New Roman" w:eastAsia="仿宋_GB2312"/>
          <w:sz w:val="24"/>
          <w:szCs w:val="24"/>
        </w:rPr>
        <w:t>。</w:t>
      </w:r>
    </w:p>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0"/>
        <w:rPr>
          <w:rFonts w:ascii="Times New Roman" w:hAnsi="Times New Roman" w:eastAsia="黑体"/>
          <w:color w:val="000000"/>
          <w:sz w:val="24"/>
          <w:szCs w:val="24"/>
        </w:rPr>
      </w:pPr>
      <w:r>
        <w:rPr>
          <w:rFonts w:ascii="Times New Roman" w:hAnsi="Times New Roman" w:eastAsia="黑体"/>
          <w:color w:val="000000"/>
          <w:sz w:val="24"/>
          <w:szCs w:val="24"/>
        </w:rPr>
        <w:t>1</w:t>
      </w:r>
      <w:bookmarkStart w:id="438" w:name="_Toc303539154"/>
      <w:bookmarkStart w:id="439" w:name="_Toc297048385"/>
      <w:bookmarkStart w:id="440" w:name="_Toc296346700"/>
      <w:bookmarkStart w:id="441" w:name="_Toc296503199"/>
      <w:bookmarkStart w:id="442" w:name="_Toc312677507"/>
      <w:bookmarkStart w:id="443" w:name="_Toc296347198"/>
      <w:bookmarkStart w:id="444" w:name="_Toc304295574"/>
      <w:bookmarkStart w:id="445" w:name="_Toc300934997"/>
      <w:bookmarkStart w:id="446" w:name="_Toc296891027"/>
      <w:bookmarkStart w:id="447" w:name="_Toc297123548"/>
      <w:bookmarkStart w:id="448" w:name="_Toc296891239"/>
      <w:bookmarkStart w:id="449" w:name="_Toc312678033"/>
      <w:bookmarkStart w:id="450" w:name="_Toc292559909"/>
      <w:bookmarkStart w:id="451" w:name="_Toc296944538"/>
      <w:bookmarkStart w:id="452" w:name="_Toc292559404"/>
      <w:bookmarkStart w:id="453" w:name="_Toc297216207"/>
      <w:bookmarkStart w:id="454" w:name="_Toc297120499"/>
      <w:r>
        <w:rPr>
          <w:rFonts w:ascii="Times New Roman" w:hAnsi="Times New Roman" w:eastAsia="黑体"/>
          <w:color w:val="000000"/>
          <w:sz w:val="24"/>
          <w:szCs w:val="24"/>
        </w:rPr>
        <w:t>0.7 暂估价</w:t>
      </w:r>
    </w:p>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sz w:val="24"/>
          <w:szCs w:val="24"/>
        </w:rPr>
      </w:pPr>
      <w:r>
        <w:rPr>
          <w:rFonts w:ascii="Times New Roman" w:hAnsi="Times New Roman" w:eastAsia="仿宋_GB2312"/>
          <w:kern w:val="0"/>
          <w:sz w:val="24"/>
          <w:szCs w:val="24"/>
        </w:rPr>
        <w:t>暂</w:t>
      </w:r>
      <w:bookmarkStart w:id="455" w:name="_Toc318581176"/>
      <w:bookmarkStart w:id="456" w:name="_Toc312677508"/>
      <w:bookmarkStart w:id="457" w:name="_Toc312678034"/>
      <w:r>
        <w:rPr>
          <w:rFonts w:ascii="Times New Roman" w:hAnsi="Times New Roman" w:eastAsia="仿宋_GB2312"/>
          <w:kern w:val="0"/>
          <w:sz w:val="24"/>
          <w:szCs w:val="24"/>
        </w:rPr>
        <w:t>估价材料和工程设备的明细详见附件</w:t>
      </w:r>
      <w:r>
        <w:rPr>
          <w:rFonts w:hint="eastAsia" w:ascii="Times New Roman" w:hAnsi="Times New Roman" w:eastAsia="仿宋_GB2312"/>
          <w:kern w:val="0"/>
          <w:sz w:val="24"/>
          <w:szCs w:val="24"/>
        </w:rPr>
        <w:t>11：《</w:t>
      </w:r>
      <w:r>
        <w:rPr>
          <w:rFonts w:ascii="Times New Roman" w:hAnsi="Times New Roman" w:eastAsia="仿宋_GB2312"/>
          <w:color w:val="000000"/>
          <w:sz w:val="24"/>
          <w:szCs w:val="24"/>
        </w:rPr>
        <w:t>暂估价一览表</w:t>
      </w:r>
      <w:r>
        <w:rPr>
          <w:rFonts w:hint="eastAsia" w:ascii="Times New Roman" w:hAnsi="Times New Roman" w:eastAsia="仿宋_GB2312"/>
          <w:color w:val="000000"/>
          <w:sz w:val="24"/>
          <w:szCs w:val="24"/>
        </w:rPr>
        <w:t>》</w:t>
      </w:r>
      <w:r>
        <w:rPr>
          <w:rFonts w:hint="eastAsia" w:ascii="Times New Roman" w:hAnsi="Times New Roman" w:eastAsia="仿宋_GB2312"/>
          <w:kern w:val="0"/>
          <w:sz w:val="24"/>
          <w:szCs w:val="24"/>
        </w:rPr>
        <w:t>。</w:t>
      </w:r>
    </w:p>
    <w:bookmarkEnd w:id="455"/>
    <w:bookmarkEnd w:id="456"/>
    <w:bookmarkEnd w:id="457"/>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sz w:val="24"/>
          <w:szCs w:val="24"/>
        </w:rPr>
      </w:pPr>
      <w:r>
        <w:rPr>
          <w:rFonts w:ascii="Times New Roman" w:hAnsi="Times New Roman" w:eastAsia="仿宋_GB2312"/>
          <w:sz w:val="24"/>
          <w:szCs w:val="24"/>
        </w:rPr>
        <w:t>1</w:t>
      </w:r>
      <w:bookmarkStart w:id="458" w:name="_Toc318581177"/>
      <w:bookmarkStart w:id="459" w:name="_Toc312678035"/>
      <w:bookmarkStart w:id="460" w:name="_Toc312677509"/>
      <w:r>
        <w:rPr>
          <w:rFonts w:ascii="Times New Roman" w:hAnsi="Times New Roman" w:eastAsia="仿宋_GB2312"/>
          <w:sz w:val="24"/>
          <w:szCs w:val="24"/>
        </w:rPr>
        <w:t>0.7.1 依法必须招标的暂估价项目</w:t>
      </w:r>
    </w:p>
    <w:bookmarkEnd w:id="458"/>
    <w:bookmarkEnd w:id="459"/>
    <w:bookmarkEnd w:id="460"/>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sz w:val="24"/>
          <w:szCs w:val="24"/>
        </w:rPr>
      </w:pPr>
      <w:r>
        <w:rPr>
          <w:rFonts w:ascii="Times New Roman" w:hAnsi="Times New Roman" w:eastAsia="仿宋_GB2312"/>
          <w:sz w:val="24"/>
          <w:szCs w:val="24"/>
        </w:rPr>
        <w:t>对于依法必须招标的暂估价项目的确认和批准采取第</w:t>
      </w:r>
      <w:r>
        <w:rPr>
          <w:rFonts w:ascii="Times New Roman" w:hAnsi="Times New Roman" w:eastAsia="仿宋_GB2312"/>
          <w:sz w:val="24"/>
          <w:szCs w:val="24"/>
          <w:u w:val="single"/>
        </w:rPr>
        <w:t xml:space="preserve">    </w:t>
      </w:r>
      <w:r>
        <w:rPr>
          <w:rFonts w:ascii="Times New Roman" w:hAnsi="Times New Roman" w:eastAsia="仿宋_GB2312"/>
          <w:sz w:val="24"/>
          <w:szCs w:val="24"/>
        </w:rPr>
        <w:t>种方式确定。</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sz w:val="24"/>
          <w:szCs w:val="24"/>
        </w:rPr>
      </w:pPr>
      <w:r>
        <w:rPr>
          <w:rFonts w:ascii="Times New Roman" w:hAnsi="Times New Roman" w:eastAsia="仿宋_GB2312"/>
          <w:sz w:val="24"/>
          <w:szCs w:val="24"/>
        </w:rPr>
        <w:t>10.7.2 不属于依法必须招标的暂估价项目</w:t>
      </w:r>
    </w:p>
    <w:p>
      <w:pPr>
        <w:pageBreakBefore w:val="0"/>
        <w:widowControl w:val="0"/>
        <w:kinsoku/>
        <w:wordWrap/>
        <w:overflowPunct/>
        <w:topLinePunct w:val="0"/>
        <w:bidi w:val="0"/>
        <w:snapToGrid/>
        <w:spacing w:line="480" w:lineRule="exact"/>
        <w:ind w:firstLine="480" w:firstLineChars="200"/>
        <w:jc w:val="left"/>
        <w:textAlignment w:val="auto"/>
        <w:rPr>
          <w:rFonts w:hint="eastAsia" w:ascii="Times New Roman" w:hAnsi="Times New Roman" w:eastAsia="仿宋_GB2312"/>
          <w:sz w:val="24"/>
          <w:szCs w:val="24"/>
        </w:rPr>
      </w:pPr>
      <w:r>
        <w:rPr>
          <w:rFonts w:ascii="Times New Roman" w:hAnsi="Times New Roman" w:eastAsia="仿宋_GB2312"/>
          <w:sz w:val="24"/>
          <w:szCs w:val="24"/>
        </w:rPr>
        <w:t>对于不属于依法必须招标的暂估价项目的确认和批准采取第</w:t>
      </w:r>
      <w:r>
        <w:rPr>
          <w:rFonts w:ascii="Times New Roman" w:hAnsi="Times New Roman" w:eastAsia="仿宋_GB2312"/>
          <w:sz w:val="24"/>
          <w:szCs w:val="24"/>
          <w:u w:val="single"/>
        </w:rPr>
        <w:t xml:space="preserve">   </w:t>
      </w:r>
      <w:r>
        <w:rPr>
          <w:rFonts w:ascii="Times New Roman" w:hAnsi="Times New Roman" w:eastAsia="仿宋_GB2312"/>
          <w:sz w:val="24"/>
          <w:szCs w:val="24"/>
        </w:rPr>
        <w:t xml:space="preserve"> 种方式确定。</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kern w:val="0"/>
          <w:sz w:val="24"/>
          <w:szCs w:val="24"/>
        </w:rPr>
      </w:pPr>
      <w:r>
        <w:rPr>
          <w:rFonts w:ascii="Times New Roman" w:hAnsi="Times New Roman" w:eastAsia="仿宋_GB2312"/>
          <w:color w:val="000000"/>
          <w:sz w:val="24"/>
          <w:szCs w:val="24"/>
        </w:rPr>
        <w:t>第3种方式：</w:t>
      </w:r>
      <w:r>
        <w:rPr>
          <w:rFonts w:ascii="Times New Roman" w:hAnsi="Times New Roman" w:eastAsia="仿宋_GB2312"/>
          <w:color w:val="000000"/>
          <w:kern w:val="0"/>
          <w:sz w:val="24"/>
          <w:szCs w:val="24"/>
        </w:rPr>
        <w:t>承包人直接实施的暂估价项目</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sz w:val="24"/>
          <w:szCs w:val="24"/>
        </w:rPr>
      </w:pPr>
      <w:r>
        <w:rPr>
          <w:rFonts w:ascii="Times New Roman" w:hAnsi="Times New Roman" w:eastAsia="仿宋_GB2312"/>
          <w:sz w:val="24"/>
          <w:szCs w:val="24"/>
        </w:rPr>
        <w:t>承包人直接实施的暂估价项目的约定：</w:t>
      </w:r>
      <w:r>
        <w:rPr>
          <w:rFonts w:ascii="Times New Roman" w:hAnsi="Times New Roman" w:eastAsia="仿宋_GB2312"/>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hint="eastAsia" w:ascii="Times New Roman" w:hAnsi="Times New Roman" w:eastAsia="仿宋_GB2312"/>
          <w:sz w:val="24"/>
          <w:szCs w:val="24"/>
        </w:rPr>
      </w:pPr>
      <w:r>
        <w:rPr>
          <w:rFonts w:hint="eastAsia" w:ascii="Times New Roman" w:hAnsi="Times New Roman" w:eastAsia="仿宋_GB2312"/>
          <w:sz w:val="24"/>
          <w:szCs w:val="24"/>
          <w:u w:val="single"/>
        </w:rPr>
        <w:t xml:space="preserve">                                                      </w:t>
      </w:r>
      <w:r>
        <w:rPr>
          <w:rFonts w:ascii="Times New Roman" w:hAnsi="Times New Roman" w:eastAsia="仿宋_GB2312"/>
          <w:sz w:val="24"/>
          <w:szCs w:val="24"/>
          <w:u w:val="single"/>
        </w:rPr>
        <w:t xml:space="preserve">   </w:t>
      </w:r>
      <w:r>
        <w:rPr>
          <w:rFonts w:ascii="Times New Roman" w:hAnsi="Times New Roman" w:eastAsia="仿宋_GB2312"/>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ascii="Times New Roman" w:hAnsi="Times New Roman" w:eastAsia="黑体"/>
          <w:color w:val="000000"/>
          <w:sz w:val="24"/>
          <w:szCs w:val="24"/>
        </w:rPr>
      </w:pPr>
      <w:r>
        <w:rPr>
          <w:rFonts w:ascii="Times New Roman" w:hAnsi="Times New Roman" w:eastAsia="黑体"/>
          <w:color w:val="000000"/>
          <w:sz w:val="24"/>
          <w:szCs w:val="24"/>
        </w:rPr>
        <w:t>10.8 暂列金额</w:t>
      </w:r>
    </w:p>
    <w:p>
      <w:pPr>
        <w:pageBreakBefore w:val="0"/>
        <w:widowControl w:val="0"/>
        <w:kinsoku/>
        <w:wordWrap/>
        <w:overflowPunct/>
        <w:topLinePunct w:val="0"/>
        <w:autoSpaceDE w:val="0"/>
        <w:autoSpaceDN w:val="0"/>
        <w:bidi w:val="0"/>
        <w:adjustRightInd w:val="0"/>
        <w:snapToGrid/>
        <w:spacing w:line="480" w:lineRule="exact"/>
        <w:ind w:firstLine="480" w:firstLineChars="200"/>
        <w:jc w:val="left"/>
        <w:textAlignment w:val="auto"/>
        <w:rPr>
          <w:rFonts w:hint="eastAsia" w:ascii="Times New Roman" w:hAnsi="Times New Roman" w:eastAsia="仿宋_GB2312"/>
          <w:sz w:val="24"/>
          <w:szCs w:val="24"/>
          <w:u w:val="single"/>
        </w:rPr>
      </w:pPr>
      <w:r>
        <w:rPr>
          <w:rFonts w:hint="eastAsia" w:ascii="Times New Roman" w:hAnsi="Times New Roman" w:eastAsia="仿宋_GB2312"/>
          <w:color w:val="000000"/>
          <w:kern w:val="0"/>
          <w:sz w:val="24"/>
          <w:szCs w:val="24"/>
        </w:rPr>
        <w:t>合同当事人关于暂列金额使用的约定：</w:t>
      </w:r>
      <w:r>
        <w:rPr>
          <w:rFonts w:ascii="Times New Roman" w:hAnsi="Times New Roman" w:eastAsia="仿宋_GB2312"/>
          <w:sz w:val="24"/>
          <w:szCs w:val="24"/>
          <w:u w:val="single"/>
        </w:rPr>
        <w:t xml:space="preserve">               </w:t>
      </w:r>
      <w:r>
        <w:rPr>
          <w:rFonts w:hint="eastAsia" w:ascii="Times New Roman" w:hAnsi="Times New Roman" w:eastAsia="仿宋_GB2312"/>
          <w:sz w:val="24"/>
          <w:szCs w:val="24"/>
          <w:u w:val="single"/>
        </w:rPr>
        <w:t xml:space="preserve">      </w:t>
      </w:r>
    </w:p>
    <w:p>
      <w:pPr>
        <w:pageBreakBefore w:val="0"/>
        <w:widowControl w:val="0"/>
        <w:kinsoku/>
        <w:wordWrap/>
        <w:overflowPunct/>
        <w:topLinePunct w:val="0"/>
        <w:autoSpaceDE w:val="0"/>
        <w:autoSpaceDN w:val="0"/>
        <w:bidi w:val="0"/>
        <w:adjustRightInd w:val="0"/>
        <w:snapToGrid/>
        <w:spacing w:line="480" w:lineRule="exact"/>
        <w:jc w:val="left"/>
        <w:textAlignment w:val="auto"/>
        <w:rPr>
          <w:rFonts w:ascii="Times New Roman" w:hAnsi="Times New Roman" w:eastAsia="仿宋_GB2312"/>
          <w:color w:val="000000"/>
          <w:kern w:val="0"/>
          <w:sz w:val="24"/>
          <w:szCs w:val="24"/>
        </w:rPr>
      </w:pPr>
      <w:r>
        <w:rPr>
          <w:rFonts w:hint="eastAsia" w:ascii="Times New Roman" w:hAnsi="Times New Roman" w:eastAsia="仿宋_GB2312"/>
          <w:sz w:val="24"/>
          <w:szCs w:val="24"/>
          <w:u w:val="single"/>
        </w:rPr>
        <w:t xml:space="preserve">                                                         </w:t>
      </w:r>
      <w:r>
        <w:rPr>
          <w:rFonts w:hint="eastAsia" w:ascii="Times New Roman" w:hAnsi="Times New Roman" w:eastAsia="仿宋_GB2312"/>
          <w:color w:val="000000"/>
          <w:kern w:val="0"/>
          <w:sz w:val="24"/>
          <w:szCs w:val="24"/>
        </w:rPr>
        <w:t>。</w:t>
      </w:r>
    </w:p>
    <w:p>
      <w:pPr>
        <w:pStyle w:val="7"/>
        <w:keepNext/>
        <w:keepLines/>
        <w:pageBreakBefore w:val="0"/>
        <w:widowControl w:val="0"/>
        <w:kinsoku/>
        <w:wordWrap/>
        <w:overflowPunct/>
        <w:topLinePunct w:val="0"/>
        <w:autoSpaceDE/>
        <w:autoSpaceDN/>
        <w:bidi w:val="0"/>
        <w:adjustRightInd/>
        <w:snapToGrid/>
        <w:spacing w:line="480" w:lineRule="exact"/>
        <w:textAlignment w:val="auto"/>
        <w:outlineLvl w:val="3"/>
        <w:rPr>
          <w:rFonts w:ascii="Times New Roman" w:hAnsi="Times New Roman" w:eastAsia="黑体"/>
          <w:b w:val="0"/>
          <w:color w:val="000000"/>
          <w:sz w:val="24"/>
          <w:szCs w:val="24"/>
        </w:rPr>
      </w:pPr>
      <w:bookmarkStart w:id="461" w:name="_Toc351203643"/>
      <w:r>
        <w:rPr>
          <w:rFonts w:ascii="Times New Roman" w:hAnsi="Times New Roman" w:eastAsia="黑体"/>
          <w:b w:val="0"/>
          <w:color w:val="000000"/>
          <w:sz w:val="24"/>
          <w:szCs w:val="24"/>
        </w:rPr>
        <w:t>11. 价格调整</w:t>
      </w:r>
      <w:bookmarkEnd w:id="461"/>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ascii="Times New Roman" w:hAnsi="Times New Roman" w:eastAsia="黑体"/>
          <w:color w:val="000000"/>
          <w:sz w:val="24"/>
          <w:szCs w:val="24"/>
        </w:rPr>
      </w:pPr>
      <w:bookmarkStart w:id="462" w:name="_Toc296347200"/>
      <w:bookmarkStart w:id="463" w:name="_Toc303539157"/>
      <w:bookmarkStart w:id="464" w:name="_Toc292559911"/>
      <w:bookmarkStart w:id="465" w:name="_Toc304295577"/>
      <w:bookmarkStart w:id="466" w:name="_Toc300935000"/>
      <w:bookmarkStart w:id="467" w:name="_Toc297216209"/>
      <w:bookmarkStart w:id="468" w:name="_Toc292559406"/>
      <w:bookmarkStart w:id="469" w:name="_Toc297048387"/>
      <w:bookmarkStart w:id="470" w:name="_Toc296891029"/>
      <w:bookmarkStart w:id="471" w:name="_Toc312678039"/>
      <w:bookmarkStart w:id="472" w:name="_Toc296891241"/>
      <w:bookmarkStart w:id="473" w:name="_Toc297123550"/>
      <w:bookmarkStart w:id="474" w:name="_Toc296944540"/>
      <w:bookmarkStart w:id="475" w:name="_Toc297120501"/>
      <w:bookmarkStart w:id="476" w:name="_Toc296346702"/>
      <w:bookmarkStart w:id="477" w:name="_Toc296503201"/>
      <w:r>
        <w:rPr>
          <w:rFonts w:ascii="Times New Roman" w:hAnsi="Times New Roman" w:eastAsia="黑体"/>
          <w:color w:val="000000"/>
          <w:sz w:val="24"/>
          <w:szCs w:val="24"/>
        </w:rPr>
        <w:t>11.1 市场价格波动引起的调整</w:t>
      </w:r>
    </w:p>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kern w:val="0"/>
          <w:sz w:val="24"/>
          <w:szCs w:val="24"/>
        </w:rPr>
        <w:t>市场价格波动是否调整合同价格的约定：</w:t>
      </w:r>
      <w:r>
        <w:rPr>
          <w:rFonts w:ascii="Times New Roman" w:hAnsi="Times New Roman" w:eastAsia="仿宋_GB2312"/>
          <w:sz w:val="24"/>
          <w:szCs w:val="24"/>
          <w:u w:val="single"/>
        </w:rPr>
        <w:t xml:space="preserve">                 </w:t>
      </w:r>
      <w:r>
        <w:rPr>
          <w:rFonts w:ascii="Times New Roman" w:hAnsi="Times New Roman" w:eastAsia="仿宋_GB2312"/>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因市场价格波动调整合同价格，采用以下</w:t>
      </w:r>
      <w:r>
        <w:rPr>
          <w:rFonts w:ascii="Times New Roman" w:hAnsi="Times New Roman" w:eastAsia="仿宋_GB2312"/>
          <w:sz w:val="24"/>
          <w:szCs w:val="24"/>
        </w:rPr>
        <w:t>第</w:t>
      </w:r>
      <w:r>
        <w:rPr>
          <w:rFonts w:ascii="Times New Roman" w:hAnsi="Times New Roman" w:eastAsia="仿宋_GB2312"/>
          <w:sz w:val="24"/>
          <w:szCs w:val="24"/>
          <w:u w:val="single"/>
        </w:rPr>
        <w:t xml:space="preserve">    </w:t>
      </w:r>
      <w:r>
        <w:rPr>
          <w:rFonts w:ascii="Times New Roman" w:hAnsi="Times New Roman" w:eastAsia="仿宋_GB2312"/>
          <w:color w:val="000000"/>
          <w:sz w:val="24"/>
          <w:szCs w:val="24"/>
        </w:rPr>
        <w:t>种方式对合同价格进行调整：</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第1种方式：采用价格指数</w:t>
      </w:r>
      <w:r>
        <w:rPr>
          <w:rFonts w:hint="eastAsia" w:ascii="Times New Roman" w:hAnsi="Times New Roman" w:eastAsia="仿宋_GB2312"/>
          <w:color w:val="000000"/>
          <w:sz w:val="24"/>
          <w:szCs w:val="24"/>
        </w:rPr>
        <w:t>进行价格</w:t>
      </w:r>
      <w:r>
        <w:rPr>
          <w:rFonts w:ascii="Times New Roman" w:hAnsi="Times New Roman" w:eastAsia="仿宋_GB2312"/>
          <w:color w:val="000000"/>
          <w:sz w:val="24"/>
          <w:szCs w:val="24"/>
        </w:rPr>
        <w:t>调整。</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u w:val="single"/>
        </w:rPr>
      </w:pPr>
      <w:r>
        <w:rPr>
          <w:rFonts w:ascii="Times New Roman" w:hAnsi="Times New Roman" w:eastAsia="仿宋_GB2312"/>
          <w:color w:val="000000"/>
          <w:sz w:val="24"/>
          <w:szCs w:val="24"/>
        </w:rPr>
        <w:t>关于各可调因子、定值和变值权重，以及基本价格指数及其来源的约定：</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 xml:space="preserve">；  </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第2种方式：采用造价信息</w:t>
      </w:r>
      <w:r>
        <w:rPr>
          <w:rFonts w:hint="eastAsia" w:ascii="Times New Roman" w:hAnsi="Times New Roman" w:eastAsia="仿宋_GB2312"/>
          <w:color w:val="000000"/>
          <w:sz w:val="24"/>
          <w:szCs w:val="24"/>
        </w:rPr>
        <w:t>进行价格</w:t>
      </w:r>
      <w:r>
        <w:rPr>
          <w:rFonts w:ascii="Times New Roman" w:hAnsi="Times New Roman" w:eastAsia="仿宋_GB2312"/>
          <w:color w:val="000000"/>
          <w:sz w:val="24"/>
          <w:szCs w:val="24"/>
        </w:rPr>
        <w:t>调整。</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（2）关于基准价格的约定：</w:t>
      </w:r>
      <w:r>
        <w:rPr>
          <w:rFonts w:ascii="Times New Roman" w:hAnsi="Times New Roman" w:eastAsia="仿宋_GB2312"/>
          <w:sz w:val="24"/>
          <w:szCs w:val="24"/>
          <w:u w:val="single"/>
        </w:rPr>
        <w:t xml:space="preserve">                         </w:t>
      </w:r>
      <w:r>
        <w:rPr>
          <w:rFonts w:ascii="Times New Roman" w:hAnsi="Times New Roman" w:eastAsia="仿宋_GB2312"/>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专用合同条款</w:t>
      </w:r>
      <w:r>
        <w:rPr>
          <w:rFonts w:hint="eastAsia" w:ascii="宋体" w:hAnsi="宋体" w:cs="宋体"/>
          <w:color w:val="000000"/>
          <w:sz w:val="24"/>
          <w:szCs w:val="24"/>
        </w:rPr>
        <w:t>①</w:t>
      </w:r>
      <w:r>
        <w:rPr>
          <w:rFonts w:ascii="Times New Roman" w:hAnsi="Times New Roman" w:eastAsia="仿宋_GB2312"/>
          <w:color w:val="000000"/>
          <w:sz w:val="24"/>
          <w:szCs w:val="24"/>
        </w:rPr>
        <w:t>承包人在已标价工程量清单或预算书中载明的材料单价低于基准价格的：专用合同条款合同履行期间材料单价涨幅以基准价格为基础超过</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%时，或材料单价跌幅以已标价工程量清单或预算书中载明材料单价为基础超过</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%时，其超过部分据实调整。</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hint="eastAsia" w:ascii="宋体" w:hAnsi="宋体" w:cs="宋体"/>
          <w:color w:val="000000"/>
          <w:sz w:val="24"/>
          <w:szCs w:val="24"/>
        </w:rPr>
        <w:t>②</w:t>
      </w:r>
      <w:r>
        <w:rPr>
          <w:rFonts w:ascii="Times New Roman" w:hAnsi="Times New Roman" w:eastAsia="仿宋_GB2312"/>
          <w:color w:val="000000"/>
          <w:sz w:val="24"/>
          <w:szCs w:val="24"/>
        </w:rPr>
        <w:t>承包人在已标价工程量清单或预算书中载明的材料单价高于基准价格的：专用合同条款合同履行期间材料单价跌幅以基准价格为基础超过</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%时，材料单价涨幅以已标价工程量清单或预算书中载明材料单价为基础超过</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%时，其超过部分据实调整。</w:t>
      </w:r>
    </w:p>
    <w:p>
      <w:pPr>
        <w:pageBreakBefore w:val="0"/>
        <w:widowControl w:val="0"/>
        <w:kinsoku/>
        <w:wordWrap/>
        <w:overflowPunct/>
        <w:topLinePunct w:val="0"/>
        <w:bidi w:val="0"/>
        <w:snapToGrid/>
        <w:spacing w:line="480" w:lineRule="exact"/>
        <w:ind w:firstLine="645"/>
        <w:jc w:val="left"/>
        <w:textAlignment w:val="auto"/>
        <w:rPr>
          <w:rFonts w:ascii="Times New Roman" w:hAnsi="Times New Roman" w:eastAsia="仿宋_GB2312"/>
          <w:color w:val="000000"/>
          <w:sz w:val="24"/>
          <w:szCs w:val="24"/>
        </w:rPr>
      </w:pPr>
      <w:r>
        <w:rPr>
          <w:rFonts w:hint="eastAsia" w:ascii="宋体" w:hAnsi="宋体" w:cs="宋体"/>
          <w:color w:val="000000"/>
          <w:sz w:val="24"/>
          <w:szCs w:val="24"/>
        </w:rPr>
        <w:t>③</w:t>
      </w:r>
      <w:r>
        <w:rPr>
          <w:rFonts w:ascii="Times New Roman" w:hAnsi="Times New Roman" w:eastAsia="仿宋_GB2312"/>
          <w:color w:val="000000"/>
          <w:sz w:val="24"/>
          <w:szCs w:val="24"/>
        </w:rPr>
        <w:t>承包人在已标价工程量清单或预算书中载明的材料单价等于基准单价的：专用合同条款合同履行期间材料单价涨跌幅以基准单价为基础超过±</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%时，其超过部分据实调整。</w:t>
      </w:r>
    </w:p>
    <w:p>
      <w:pPr>
        <w:pageBreakBefore w:val="0"/>
        <w:widowControl w:val="0"/>
        <w:kinsoku/>
        <w:wordWrap/>
        <w:overflowPunct/>
        <w:topLinePunct w:val="0"/>
        <w:bidi w:val="0"/>
        <w:snapToGrid/>
        <w:spacing w:line="480" w:lineRule="exact"/>
        <w:ind w:firstLine="645"/>
        <w:jc w:val="left"/>
        <w:textAlignment w:val="auto"/>
        <w:rPr>
          <w:rFonts w:ascii="Times New Roman" w:hAnsi="Times New Roman" w:eastAsia="仿宋_GB2312"/>
          <w:color w:val="000000"/>
          <w:sz w:val="24"/>
          <w:szCs w:val="24"/>
          <w:u w:val="single"/>
        </w:rPr>
      </w:pPr>
      <w:r>
        <w:rPr>
          <w:rFonts w:ascii="Times New Roman" w:hAnsi="Times New Roman" w:eastAsia="仿宋_GB2312"/>
          <w:color w:val="000000"/>
          <w:sz w:val="24"/>
          <w:szCs w:val="24"/>
        </w:rPr>
        <w:t>第3种方式：其他价格调整方式：</w:t>
      </w:r>
      <w:r>
        <w:rPr>
          <w:rFonts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color w:val="000000"/>
          <w:sz w:val="24"/>
          <w:szCs w:val="24"/>
        </w:rPr>
      </w:pP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bookmarkEnd w:id="365"/>
    <w:bookmarkEnd w:id="366"/>
    <w:bookmarkEnd w:id="367"/>
    <w:bookmarkEnd w:id="368"/>
    <w:bookmarkEnd w:id="369"/>
    <w:bookmarkEnd w:id="370"/>
    <w:p>
      <w:pPr>
        <w:pStyle w:val="7"/>
        <w:keepNext/>
        <w:keepLines/>
        <w:pageBreakBefore w:val="0"/>
        <w:widowControl w:val="0"/>
        <w:kinsoku/>
        <w:wordWrap/>
        <w:overflowPunct/>
        <w:topLinePunct w:val="0"/>
        <w:autoSpaceDE/>
        <w:autoSpaceDN/>
        <w:bidi w:val="0"/>
        <w:adjustRightInd/>
        <w:snapToGrid/>
        <w:spacing w:line="480" w:lineRule="exact"/>
        <w:textAlignment w:val="auto"/>
        <w:outlineLvl w:val="3"/>
        <w:rPr>
          <w:rFonts w:ascii="Times New Roman" w:hAnsi="Times New Roman" w:eastAsia="黑体"/>
          <w:b w:val="0"/>
          <w:color w:val="000000"/>
          <w:sz w:val="24"/>
          <w:szCs w:val="24"/>
        </w:rPr>
      </w:pPr>
      <w:bookmarkStart w:id="478" w:name="_Toc296891245"/>
      <w:bookmarkStart w:id="479" w:name="_Toc297048391"/>
      <w:bookmarkStart w:id="480" w:name="_Toc296944544"/>
      <w:bookmarkStart w:id="481" w:name="_Toc292559915"/>
      <w:bookmarkStart w:id="482" w:name="_Toc296503205"/>
      <w:bookmarkStart w:id="483" w:name="_Toc296891033"/>
      <w:bookmarkStart w:id="484" w:name="_Toc296346706"/>
      <w:bookmarkStart w:id="485" w:name="_Toc296347204"/>
      <w:bookmarkStart w:id="486" w:name="_Toc292559410"/>
      <w:bookmarkStart w:id="487" w:name="_Toc297120505"/>
      <w:bookmarkStart w:id="488" w:name="_Toc351203644"/>
      <w:bookmarkStart w:id="489" w:name="_Toc303539159"/>
      <w:bookmarkStart w:id="490" w:name="_Toc312678040"/>
      <w:bookmarkStart w:id="491" w:name="_Toc297123552"/>
      <w:bookmarkStart w:id="492" w:name="_Toc297216211"/>
      <w:bookmarkStart w:id="493" w:name="_Toc304295579"/>
      <w:bookmarkStart w:id="494" w:name="_Toc300935002"/>
      <w:r>
        <w:rPr>
          <w:rFonts w:ascii="Times New Roman" w:hAnsi="Times New Roman" w:eastAsia="黑体"/>
          <w:b w:val="0"/>
          <w:color w:val="000000"/>
          <w:sz w:val="24"/>
          <w:szCs w:val="24"/>
        </w:rPr>
        <w:t xml:space="preserve">12. </w:t>
      </w:r>
      <w:bookmarkEnd w:id="478"/>
      <w:bookmarkEnd w:id="479"/>
      <w:bookmarkEnd w:id="480"/>
      <w:bookmarkEnd w:id="481"/>
      <w:bookmarkEnd w:id="482"/>
      <w:bookmarkEnd w:id="483"/>
      <w:bookmarkEnd w:id="484"/>
      <w:bookmarkEnd w:id="485"/>
      <w:bookmarkEnd w:id="486"/>
      <w:bookmarkEnd w:id="487"/>
      <w:r>
        <w:rPr>
          <w:rFonts w:ascii="Times New Roman" w:hAnsi="Times New Roman" w:eastAsia="黑体"/>
          <w:b w:val="0"/>
          <w:color w:val="000000"/>
          <w:sz w:val="24"/>
          <w:szCs w:val="24"/>
        </w:rPr>
        <w:t>合同价格、计量与支付</w:t>
      </w:r>
      <w:bookmarkEnd w:id="488"/>
    </w:p>
    <w:bookmarkEnd w:id="489"/>
    <w:bookmarkEnd w:id="490"/>
    <w:bookmarkEnd w:id="491"/>
    <w:bookmarkEnd w:id="492"/>
    <w:bookmarkEnd w:id="493"/>
    <w:bookmarkEnd w:id="494"/>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ascii="Times New Roman" w:hAnsi="Times New Roman" w:eastAsia="黑体"/>
          <w:color w:val="000000"/>
          <w:sz w:val="24"/>
          <w:szCs w:val="24"/>
        </w:rPr>
      </w:pPr>
      <w:bookmarkStart w:id="495" w:name="_Toc292559411"/>
      <w:bookmarkStart w:id="496" w:name="_Toc292559916"/>
      <w:bookmarkStart w:id="497" w:name="_Toc267251461"/>
      <w:bookmarkStart w:id="498" w:name="_Toc296944545"/>
      <w:bookmarkStart w:id="499" w:name="_Toc296891034"/>
      <w:bookmarkStart w:id="500" w:name="_Toc296503206"/>
      <w:bookmarkStart w:id="501" w:name="_Toc297048392"/>
      <w:bookmarkStart w:id="502" w:name="_Toc296346707"/>
      <w:bookmarkStart w:id="503" w:name="_Toc296347205"/>
      <w:bookmarkStart w:id="504" w:name="_Toc296891246"/>
      <w:bookmarkStart w:id="505" w:name="_Toc297120506"/>
      <w:bookmarkStart w:id="506" w:name="_Toc300935003"/>
      <w:bookmarkStart w:id="507" w:name="_Toc297216212"/>
      <w:bookmarkStart w:id="508" w:name="_Toc312678041"/>
      <w:bookmarkStart w:id="509" w:name="_Toc297123553"/>
      <w:bookmarkStart w:id="510" w:name="_Toc304295580"/>
      <w:bookmarkStart w:id="511" w:name="_Toc303539160"/>
      <w:r>
        <w:rPr>
          <w:rFonts w:ascii="Times New Roman" w:hAnsi="Times New Roman" w:eastAsia="黑体"/>
          <w:color w:val="000000"/>
          <w:sz w:val="24"/>
          <w:szCs w:val="24"/>
        </w:rPr>
        <w:t>12.1 合</w:t>
      </w:r>
      <w:bookmarkEnd w:id="495"/>
      <w:bookmarkEnd w:id="496"/>
      <w:bookmarkEnd w:id="497"/>
      <w:r>
        <w:rPr>
          <w:rFonts w:ascii="Times New Roman" w:hAnsi="Times New Roman" w:eastAsia="黑体"/>
          <w:color w:val="000000"/>
          <w:sz w:val="24"/>
          <w:szCs w:val="24"/>
        </w:rPr>
        <w:t>同价</w:t>
      </w:r>
      <w:bookmarkEnd w:id="498"/>
      <w:bookmarkEnd w:id="499"/>
      <w:bookmarkEnd w:id="500"/>
      <w:bookmarkEnd w:id="501"/>
      <w:bookmarkEnd w:id="502"/>
      <w:bookmarkEnd w:id="503"/>
      <w:bookmarkEnd w:id="504"/>
      <w:bookmarkEnd w:id="505"/>
      <w:r>
        <w:rPr>
          <w:rFonts w:ascii="Times New Roman" w:hAnsi="Times New Roman" w:eastAsia="黑体"/>
          <w:color w:val="000000"/>
          <w:sz w:val="24"/>
          <w:szCs w:val="24"/>
        </w:rPr>
        <w:t>格形式</w:t>
      </w:r>
    </w:p>
    <w:bookmarkEnd w:id="506"/>
    <w:bookmarkEnd w:id="507"/>
    <w:bookmarkEnd w:id="508"/>
    <w:bookmarkEnd w:id="509"/>
    <w:bookmarkEnd w:id="510"/>
    <w:bookmarkEnd w:id="511"/>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1、单价合同。</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u w:val="single"/>
        </w:rPr>
      </w:pPr>
      <w:r>
        <w:rPr>
          <w:rFonts w:ascii="Times New Roman" w:hAnsi="Times New Roman" w:eastAsia="仿宋_GB2312"/>
          <w:color w:val="000000"/>
          <w:sz w:val="24"/>
          <w:szCs w:val="24"/>
        </w:rPr>
        <w:t>综合单价包含的风险范围：</w:t>
      </w:r>
      <w:r>
        <w:rPr>
          <w:rFonts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u w:val="single"/>
        </w:rPr>
      </w:pPr>
      <w:r>
        <w:rPr>
          <w:rFonts w:ascii="Times New Roman" w:hAnsi="Times New Roman" w:eastAsia="仿宋_GB2312"/>
          <w:color w:val="000000"/>
          <w:sz w:val="24"/>
          <w:szCs w:val="24"/>
        </w:rPr>
        <w:t>风险费用的计算方法：</w:t>
      </w:r>
      <w:r>
        <w:rPr>
          <w:rFonts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风险范围以外合同价格的调整方法：</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2、总价合同。</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u w:val="single"/>
        </w:rPr>
      </w:pPr>
      <w:r>
        <w:rPr>
          <w:rFonts w:ascii="Times New Roman" w:hAnsi="Times New Roman" w:eastAsia="仿宋_GB2312"/>
          <w:color w:val="000000"/>
          <w:sz w:val="24"/>
          <w:szCs w:val="24"/>
        </w:rPr>
        <w:t>总价包含的风险范围：</w:t>
      </w:r>
      <w:r>
        <w:rPr>
          <w:rFonts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u w:val="single"/>
        </w:rPr>
      </w:pPr>
      <w:r>
        <w:rPr>
          <w:rFonts w:ascii="Times New Roman" w:hAnsi="Times New Roman" w:eastAsia="仿宋_GB2312"/>
          <w:color w:val="000000"/>
          <w:sz w:val="24"/>
          <w:szCs w:val="24"/>
        </w:rPr>
        <w:t>风险费用的计算方法：</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hint="eastAsia" w:ascii="Times New Roman" w:hAnsi="Times New Roman" w:eastAsia="仿宋_GB2312"/>
          <w:color w:val="000000"/>
          <w:sz w:val="24"/>
          <w:szCs w:val="24"/>
        </w:rPr>
      </w:pP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风险范围以外合同价格的调整方法：</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numPr>
          <w:ilvl w:val="0"/>
          <w:numId w:val="4"/>
        </w:numPr>
        <w:kinsoku/>
        <w:wordWrap/>
        <w:overflowPunct/>
        <w:topLinePunct w:val="0"/>
        <w:bidi w:val="0"/>
        <w:snapToGrid/>
        <w:spacing w:line="480" w:lineRule="exact"/>
        <w:ind w:left="0" w:leftChars="0" w:firstLine="481" w:firstLineChars="0"/>
        <w:jc w:val="left"/>
        <w:textAlignment w:val="auto"/>
        <w:rPr>
          <w:rFonts w:ascii="Times New Roman" w:hAnsi="Times New Roman" w:eastAsia="仿宋_GB2312"/>
          <w:color w:val="000000"/>
          <w:sz w:val="24"/>
          <w:szCs w:val="24"/>
          <w:u w:val="single"/>
        </w:rPr>
      </w:pPr>
      <w:r>
        <w:rPr>
          <w:rFonts w:ascii="Times New Roman" w:hAnsi="Times New Roman" w:eastAsia="仿宋_GB2312"/>
          <w:color w:val="000000"/>
          <w:sz w:val="24"/>
          <w:szCs w:val="24"/>
        </w:rPr>
        <w:t>其他价格方式：</w:t>
      </w:r>
      <w:r>
        <w:rPr>
          <w:rFonts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ascii="Times New Roman" w:hAnsi="Times New Roman" w:eastAsia="黑体"/>
          <w:color w:val="000000"/>
          <w:sz w:val="24"/>
          <w:szCs w:val="24"/>
        </w:rPr>
      </w:pPr>
      <w:bookmarkStart w:id="512" w:name="_Toc312678042"/>
      <w:bookmarkStart w:id="513" w:name="_Toc303539161"/>
      <w:bookmarkStart w:id="514" w:name="_Toc297216213"/>
      <w:bookmarkStart w:id="515" w:name="_Toc300935004"/>
      <w:bookmarkStart w:id="516" w:name="_Toc297123554"/>
      <w:bookmarkStart w:id="517" w:name="_Toc304295581"/>
      <w:bookmarkStart w:id="518" w:name="_Toc292559412"/>
      <w:bookmarkStart w:id="519" w:name="_Toc292559917"/>
      <w:bookmarkStart w:id="520" w:name="_Toc296503207"/>
      <w:bookmarkStart w:id="521" w:name="_Toc297120507"/>
      <w:bookmarkStart w:id="522" w:name="_Toc296944546"/>
      <w:bookmarkStart w:id="523" w:name="_Toc296891035"/>
      <w:bookmarkStart w:id="524" w:name="_Toc296347206"/>
      <w:bookmarkStart w:id="525" w:name="_Toc296346708"/>
      <w:bookmarkStart w:id="526" w:name="_Toc296891247"/>
      <w:bookmarkStart w:id="527" w:name="_Toc297048393"/>
      <w:r>
        <w:rPr>
          <w:rFonts w:ascii="Times New Roman" w:hAnsi="Times New Roman" w:eastAsia="黑体"/>
          <w:color w:val="000000"/>
          <w:sz w:val="24"/>
          <w:szCs w:val="24"/>
        </w:rPr>
        <w:t>12.2 预付款</w:t>
      </w:r>
    </w:p>
    <w:bookmarkEnd w:id="512"/>
    <w:bookmarkEnd w:id="513"/>
    <w:bookmarkEnd w:id="514"/>
    <w:bookmarkEnd w:id="515"/>
    <w:bookmarkEnd w:id="516"/>
    <w:bookmarkEnd w:id="517"/>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12.2.1 预付款的支付</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预付款支付比例或金额：</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预付款支付期限：</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预付款扣回的方式：</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12.2.2 预付款担保</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承包人提交预付款担保的期限：</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预付款担保的形式为：</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bookmarkEnd w:id="518"/>
    <w:bookmarkEnd w:id="519"/>
    <w:bookmarkEnd w:id="520"/>
    <w:bookmarkEnd w:id="521"/>
    <w:bookmarkEnd w:id="522"/>
    <w:bookmarkEnd w:id="523"/>
    <w:bookmarkEnd w:id="524"/>
    <w:bookmarkEnd w:id="525"/>
    <w:bookmarkEnd w:id="526"/>
    <w:bookmarkEnd w:id="527"/>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ascii="Times New Roman" w:hAnsi="Times New Roman" w:eastAsia="黑体"/>
          <w:color w:val="000000"/>
          <w:sz w:val="24"/>
          <w:szCs w:val="24"/>
        </w:rPr>
      </w:pPr>
      <w:r>
        <w:rPr>
          <w:rFonts w:ascii="Times New Roman" w:hAnsi="Times New Roman" w:eastAsia="黑体"/>
          <w:color w:val="000000"/>
          <w:sz w:val="24"/>
          <w:szCs w:val="24"/>
        </w:rPr>
        <w:t>12.3 计量</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12.3.1 计量原则</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工程量计算规则：</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12.3.2 计量周期</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关于计量周期的约定：</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12.3.3 单价合同的计量</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关于单价合同计量的约定：</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12.3.4 总价合同的计量</w:t>
      </w:r>
    </w:p>
    <w:p>
      <w:pPr>
        <w:pageBreakBefore w:val="0"/>
        <w:widowControl w:val="0"/>
        <w:kinsoku/>
        <w:wordWrap/>
        <w:overflowPunct/>
        <w:topLinePunct w:val="0"/>
        <w:bidi w:val="0"/>
        <w:snapToGrid/>
        <w:spacing w:line="480" w:lineRule="exact"/>
        <w:ind w:firstLine="480" w:firstLineChars="200"/>
        <w:jc w:val="left"/>
        <w:textAlignment w:val="auto"/>
        <w:rPr>
          <w:rFonts w:hint="eastAsia" w:ascii="Times New Roman" w:hAnsi="Times New Roman" w:eastAsia="仿宋_GB2312"/>
          <w:color w:val="000000"/>
          <w:sz w:val="24"/>
          <w:szCs w:val="24"/>
        </w:rPr>
      </w:pPr>
      <w:r>
        <w:rPr>
          <w:rFonts w:ascii="Times New Roman" w:hAnsi="Times New Roman" w:eastAsia="仿宋_GB2312"/>
          <w:color w:val="000000"/>
          <w:sz w:val="24"/>
          <w:szCs w:val="24"/>
        </w:rPr>
        <w:t>关于总价合同计量的约定：</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12.3.5总价合同采用支付分解表计量支付的，是否适用第</w:t>
      </w:r>
      <w:r>
        <w:rPr>
          <w:rFonts w:ascii="Times New Roman" w:hAnsi="Times New Roman" w:eastAsia="仿宋_GB2312"/>
          <w:color w:val="000000"/>
          <w:kern w:val="0"/>
          <w:sz w:val="24"/>
          <w:szCs w:val="24"/>
        </w:rPr>
        <w:t xml:space="preserve">12.3.4 </w:t>
      </w:r>
      <w:r>
        <w:rPr>
          <w:rFonts w:ascii="Times New Roman" w:hAnsi="Times New Roman" w:eastAsia="仿宋_GB2312"/>
          <w:color w:val="000000"/>
          <w:sz w:val="24"/>
          <w:szCs w:val="24"/>
        </w:rPr>
        <w:t>项</w:t>
      </w:r>
      <w:r>
        <w:rPr>
          <w:rFonts w:hint="eastAsia" w:ascii="Times New Roman" w:hAnsi="Times New Roman" w:eastAsia="仿宋_GB2312"/>
          <w:color w:val="000000"/>
          <w:kern w:val="0"/>
          <w:sz w:val="24"/>
          <w:szCs w:val="24"/>
        </w:rPr>
        <w:t>〔</w:t>
      </w:r>
      <w:r>
        <w:rPr>
          <w:rFonts w:ascii="Times New Roman" w:hAnsi="Times New Roman" w:eastAsia="仿宋_GB2312"/>
          <w:color w:val="000000"/>
          <w:kern w:val="0"/>
          <w:sz w:val="24"/>
          <w:szCs w:val="24"/>
        </w:rPr>
        <w:t>总价合同的计量</w:t>
      </w:r>
      <w:r>
        <w:rPr>
          <w:rFonts w:hint="eastAsia" w:ascii="Times New Roman" w:hAnsi="Times New Roman" w:eastAsia="仿宋_GB2312"/>
          <w:color w:val="000000"/>
          <w:kern w:val="0"/>
          <w:sz w:val="24"/>
          <w:szCs w:val="24"/>
        </w:rPr>
        <w:t>〕</w:t>
      </w:r>
      <w:r>
        <w:rPr>
          <w:rFonts w:ascii="Times New Roman" w:hAnsi="Times New Roman" w:eastAsia="仿宋_GB2312"/>
          <w:color w:val="000000"/>
          <w:sz w:val="24"/>
          <w:szCs w:val="24"/>
        </w:rPr>
        <w:t>约定</w:t>
      </w:r>
      <w:r>
        <w:rPr>
          <w:rFonts w:hint="eastAsia" w:ascii="Times New Roman" w:hAnsi="Times New Roman" w:eastAsia="仿宋_GB2312"/>
          <w:color w:val="000000"/>
          <w:sz w:val="24"/>
          <w:szCs w:val="24"/>
        </w:rPr>
        <w:t>进行计量：</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12.3.6 其他价格形式合同的计量</w:t>
      </w:r>
    </w:p>
    <w:p>
      <w:pPr>
        <w:pageBreakBefore w:val="0"/>
        <w:widowControl w:val="0"/>
        <w:kinsoku/>
        <w:wordWrap/>
        <w:overflowPunct/>
        <w:topLinePunct w:val="0"/>
        <w:bidi w:val="0"/>
        <w:snapToGrid/>
        <w:spacing w:line="480" w:lineRule="exact"/>
        <w:ind w:firstLine="480" w:firstLineChars="200"/>
        <w:jc w:val="left"/>
        <w:textAlignment w:val="auto"/>
        <w:rPr>
          <w:rFonts w:hint="eastAsia" w:ascii="Times New Roman" w:hAnsi="Times New Roman" w:eastAsia="仿宋_GB2312"/>
          <w:color w:val="000000"/>
          <w:sz w:val="24"/>
          <w:szCs w:val="24"/>
          <w:u w:val="single"/>
        </w:rPr>
      </w:pPr>
      <w:r>
        <w:rPr>
          <w:rFonts w:ascii="Times New Roman" w:hAnsi="Times New Roman" w:eastAsia="仿宋_GB2312"/>
          <w:color w:val="000000"/>
          <w:sz w:val="24"/>
          <w:szCs w:val="24"/>
        </w:rPr>
        <w:t>其他价格形式的计量方式和程序：</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ascii="Times New Roman" w:hAnsi="Times New Roman" w:eastAsia="黑体"/>
          <w:color w:val="000000"/>
          <w:sz w:val="24"/>
          <w:szCs w:val="24"/>
        </w:rPr>
      </w:pPr>
      <w:r>
        <w:rPr>
          <w:rFonts w:ascii="Times New Roman" w:hAnsi="Times New Roman" w:eastAsia="黑体"/>
          <w:color w:val="000000"/>
          <w:sz w:val="24"/>
          <w:szCs w:val="24"/>
        </w:rPr>
        <w:t>12.4 工程进度款支付</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bookmarkStart w:id="528" w:name="_Toc292559921"/>
      <w:bookmarkStart w:id="529" w:name="_Toc296346712"/>
      <w:bookmarkStart w:id="530" w:name="_Toc297216215"/>
      <w:bookmarkStart w:id="531" w:name="_Toc296891039"/>
      <w:bookmarkStart w:id="532" w:name="_Toc297120511"/>
      <w:bookmarkStart w:id="533" w:name="_Toc296944550"/>
      <w:bookmarkStart w:id="534" w:name="_Toc297048397"/>
      <w:bookmarkStart w:id="535" w:name="_Toc292559416"/>
      <w:bookmarkStart w:id="536" w:name="_Toc296347210"/>
      <w:bookmarkStart w:id="537" w:name="_Toc303539163"/>
      <w:bookmarkStart w:id="538" w:name="_Toc296891251"/>
      <w:bookmarkStart w:id="539" w:name="_Toc296503211"/>
      <w:bookmarkStart w:id="540" w:name="_Toc297123556"/>
      <w:bookmarkStart w:id="541" w:name="_Toc300935006"/>
      <w:r>
        <w:rPr>
          <w:rFonts w:ascii="Times New Roman" w:hAnsi="Times New Roman" w:eastAsia="仿宋_GB2312"/>
          <w:color w:val="000000"/>
          <w:sz w:val="24"/>
          <w:szCs w:val="24"/>
        </w:rPr>
        <w:t>12.4.1 付款周期</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关于付款周期的约定：</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12.4.2 进度付款申请单的编制</w:t>
      </w:r>
    </w:p>
    <w:p>
      <w:pPr>
        <w:pageBreakBefore w:val="0"/>
        <w:widowControl w:val="0"/>
        <w:kinsoku/>
        <w:wordWrap/>
        <w:overflowPunct/>
        <w:topLinePunct w:val="0"/>
        <w:bidi w:val="0"/>
        <w:snapToGrid/>
        <w:spacing w:line="480" w:lineRule="exact"/>
        <w:ind w:firstLine="480" w:firstLineChars="200"/>
        <w:jc w:val="left"/>
        <w:textAlignment w:val="auto"/>
        <w:rPr>
          <w:rFonts w:hint="eastAsia" w:ascii="Times New Roman" w:hAnsi="Times New Roman" w:eastAsia="仿宋_GB2312"/>
          <w:color w:val="000000"/>
          <w:sz w:val="24"/>
          <w:szCs w:val="24"/>
          <w:u w:val="single"/>
        </w:rPr>
      </w:pPr>
      <w:r>
        <w:rPr>
          <w:rFonts w:ascii="Times New Roman" w:hAnsi="Times New Roman" w:eastAsia="仿宋_GB2312"/>
          <w:color w:val="000000"/>
          <w:sz w:val="24"/>
          <w:szCs w:val="24"/>
        </w:rPr>
        <w:t>关于进度付款申请单编制的约定：</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1</w:t>
      </w:r>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r>
        <w:rPr>
          <w:rFonts w:ascii="Times New Roman" w:hAnsi="Times New Roman" w:eastAsia="仿宋_GB2312"/>
          <w:color w:val="000000"/>
          <w:sz w:val="24"/>
          <w:szCs w:val="24"/>
        </w:rPr>
        <w:t>2.4.3 进度付款申请单的提交</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（1）单价合同进度付款申请单提交的约定</w:t>
      </w:r>
      <w:r>
        <w:rPr>
          <w:rFonts w:hint="eastAsia" w:ascii="Times New Roman" w:hAnsi="Times New Roman" w:eastAsia="仿宋_GB2312"/>
          <w:color w:val="000000"/>
          <w:sz w:val="24"/>
          <w:szCs w:val="24"/>
        </w:rPr>
        <w:t>：</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（2）总价合同进度付款申请单提交的约定</w:t>
      </w:r>
      <w:r>
        <w:rPr>
          <w:rFonts w:hint="eastAsia" w:ascii="Times New Roman" w:hAnsi="Times New Roman" w:eastAsia="仿宋_GB2312"/>
          <w:color w:val="000000"/>
          <w:sz w:val="24"/>
          <w:szCs w:val="24"/>
        </w:rPr>
        <w:t>：</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u w:val="single"/>
        </w:rPr>
      </w:pPr>
      <w:r>
        <w:rPr>
          <w:rFonts w:ascii="Times New Roman" w:hAnsi="Times New Roman" w:eastAsia="仿宋_GB2312"/>
          <w:color w:val="000000"/>
          <w:sz w:val="24"/>
          <w:szCs w:val="24"/>
        </w:rPr>
        <w:t>（3）其他价格形式合同进度付款申请单提交的约定：</w:t>
      </w:r>
      <w:r>
        <w:rPr>
          <w:rFonts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12.4.4 进度款审核和支付</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u w:val="single"/>
        </w:rPr>
      </w:pPr>
      <w:r>
        <w:rPr>
          <w:rFonts w:ascii="Times New Roman" w:hAnsi="Times New Roman" w:eastAsia="仿宋_GB2312"/>
          <w:color w:val="000000"/>
          <w:sz w:val="24"/>
          <w:szCs w:val="24"/>
        </w:rPr>
        <w:t>（1）监理人审查并报送发包人的期限：</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hint="eastAsia" w:ascii="Times New Roman" w:hAnsi="Times New Roman" w:eastAsia="仿宋_GB2312"/>
          <w:color w:val="000000"/>
          <w:sz w:val="24"/>
          <w:szCs w:val="24"/>
          <w:u w:val="single"/>
        </w:rPr>
      </w:pPr>
      <w:r>
        <w:rPr>
          <w:rFonts w:ascii="Times New Roman" w:hAnsi="Times New Roman" w:eastAsia="仿宋_GB2312"/>
          <w:color w:val="000000"/>
          <w:sz w:val="24"/>
          <w:szCs w:val="24"/>
        </w:rPr>
        <w:t>发包人完成审批并签发进度款支付证书的期限：</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（2）发包人支付进度款的期限：</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600" w:firstLineChars="250"/>
        <w:jc w:val="left"/>
        <w:textAlignment w:val="auto"/>
        <w:rPr>
          <w:rFonts w:hint="eastAsia" w:ascii="Times New Roman" w:hAnsi="Times New Roman" w:eastAsia="仿宋_GB2312"/>
          <w:color w:val="000000"/>
          <w:sz w:val="24"/>
          <w:szCs w:val="24"/>
          <w:u w:val="single"/>
        </w:rPr>
      </w:pPr>
      <w:r>
        <w:rPr>
          <w:rFonts w:ascii="Times New Roman" w:hAnsi="Times New Roman" w:eastAsia="仿宋_GB2312"/>
          <w:color w:val="000000"/>
          <w:sz w:val="24"/>
          <w:szCs w:val="24"/>
        </w:rPr>
        <w:t>发包人逾期支付进度款的违约金的计算方式：</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hint="eastAsia" w:ascii="Times New Roman" w:hAnsi="Times New Roman" w:eastAsia="仿宋_GB2312"/>
          <w:color w:val="000000"/>
          <w:sz w:val="24"/>
          <w:szCs w:val="24"/>
        </w:rPr>
      </w:pP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600" w:firstLineChars="250"/>
        <w:jc w:val="left"/>
        <w:textAlignment w:val="auto"/>
        <w:rPr>
          <w:rFonts w:hint="eastAsia" w:ascii="Times New Roman" w:hAnsi="Times New Roman" w:eastAsia="仿宋_GB2312"/>
          <w:color w:val="000000"/>
          <w:sz w:val="24"/>
          <w:szCs w:val="24"/>
        </w:rPr>
      </w:pPr>
      <w:r>
        <w:rPr>
          <w:rFonts w:ascii="Times New Roman" w:hAnsi="Times New Roman" w:eastAsia="仿宋_GB2312"/>
          <w:color w:val="000000"/>
          <w:sz w:val="24"/>
          <w:szCs w:val="24"/>
        </w:rPr>
        <w:t>12.4.6 支付分解表的编制</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u w:val="single"/>
        </w:rPr>
      </w:pPr>
      <w:r>
        <w:rPr>
          <w:rFonts w:ascii="Times New Roman" w:hAnsi="Times New Roman" w:eastAsia="仿宋_GB2312"/>
          <w:color w:val="000000"/>
          <w:sz w:val="24"/>
          <w:szCs w:val="24"/>
        </w:rPr>
        <w:t>2、总价合同支付分解表的编制与审批：</w:t>
      </w:r>
      <w:r>
        <w:rPr>
          <w:rFonts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ind w:left="6000" w:hanging="4800" w:hangingChars="20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u w:val="single"/>
        </w:rPr>
      </w:pPr>
      <w:r>
        <w:rPr>
          <w:rFonts w:ascii="Times New Roman" w:hAnsi="Times New Roman" w:eastAsia="仿宋_GB2312"/>
          <w:color w:val="000000"/>
          <w:sz w:val="24"/>
          <w:szCs w:val="24"/>
        </w:rPr>
        <w:t>3、单价合同的总价项目支付分解表的编制与审批：</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bookmarkEnd w:id="371"/>
    <w:p>
      <w:pPr>
        <w:pStyle w:val="7"/>
        <w:keepNext/>
        <w:keepLines/>
        <w:pageBreakBefore w:val="0"/>
        <w:widowControl w:val="0"/>
        <w:kinsoku/>
        <w:wordWrap/>
        <w:overflowPunct/>
        <w:topLinePunct w:val="0"/>
        <w:autoSpaceDE/>
        <w:autoSpaceDN/>
        <w:bidi w:val="0"/>
        <w:adjustRightInd/>
        <w:snapToGrid/>
        <w:spacing w:line="480" w:lineRule="exact"/>
        <w:textAlignment w:val="auto"/>
        <w:outlineLvl w:val="3"/>
        <w:rPr>
          <w:rFonts w:ascii="Times New Roman" w:hAnsi="Times New Roman" w:eastAsia="黑体"/>
          <w:b w:val="0"/>
          <w:color w:val="000000"/>
          <w:sz w:val="24"/>
          <w:szCs w:val="24"/>
        </w:rPr>
      </w:pPr>
      <w:bookmarkStart w:id="542" w:name="_Toc351203645"/>
      <w:bookmarkStart w:id="543" w:name="_Toc297123564"/>
      <w:bookmarkStart w:id="544" w:name="_Toc303539172"/>
      <w:bookmarkStart w:id="545" w:name="_Toc297216223"/>
      <w:bookmarkStart w:id="546" w:name="_Toc296891047"/>
      <w:bookmarkStart w:id="547" w:name="_Toc300935015"/>
      <w:bookmarkStart w:id="548" w:name="_Toc296346720"/>
      <w:bookmarkStart w:id="549" w:name="_Toc304295593"/>
      <w:bookmarkStart w:id="550" w:name="_Toc297120519"/>
      <w:bookmarkStart w:id="551" w:name="_Toc296944558"/>
      <w:bookmarkStart w:id="552" w:name="_Toc312678053"/>
      <w:bookmarkStart w:id="553" w:name="_Toc292559929"/>
      <w:bookmarkStart w:id="554" w:name="_Toc297048405"/>
      <w:bookmarkStart w:id="555" w:name="_Toc296503219"/>
      <w:bookmarkStart w:id="556" w:name="_Toc296891259"/>
      <w:bookmarkStart w:id="557" w:name="_Toc292559424"/>
      <w:bookmarkStart w:id="558" w:name="_Toc296347218"/>
      <w:r>
        <w:rPr>
          <w:rFonts w:ascii="Times New Roman" w:hAnsi="Times New Roman" w:eastAsia="黑体"/>
          <w:b w:val="0"/>
          <w:color w:val="000000"/>
          <w:sz w:val="24"/>
          <w:szCs w:val="24"/>
        </w:rPr>
        <w:t>13.</w:t>
      </w:r>
      <w:r>
        <w:rPr>
          <w:rFonts w:hint="eastAsia" w:ascii="Times New Roman" w:hAnsi="Times New Roman" w:eastAsia="黑体"/>
          <w:b w:val="0"/>
          <w:color w:val="000000"/>
          <w:sz w:val="24"/>
          <w:szCs w:val="24"/>
        </w:rPr>
        <w:t xml:space="preserve"> </w:t>
      </w:r>
      <w:r>
        <w:rPr>
          <w:rFonts w:ascii="Times New Roman" w:hAnsi="Times New Roman" w:eastAsia="黑体"/>
          <w:b w:val="0"/>
          <w:color w:val="000000"/>
          <w:sz w:val="24"/>
          <w:szCs w:val="24"/>
        </w:rPr>
        <w:t>验收和工程试车</w:t>
      </w:r>
      <w:bookmarkEnd w:id="542"/>
    </w:p>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ascii="Times New Roman" w:hAnsi="Times New Roman" w:eastAsia="黑体"/>
          <w:color w:val="000000"/>
          <w:sz w:val="24"/>
          <w:szCs w:val="24"/>
        </w:rPr>
      </w:pPr>
      <w:r>
        <w:rPr>
          <w:rFonts w:ascii="Times New Roman" w:hAnsi="Times New Roman" w:eastAsia="黑体"/>
          <w:color w:val="000000"/>
          <w:sz w:val="24"/>
          <w:szCs w:val="24"/>
        </w:rPr>
        <w:t>13.1 分部分项工程验收</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sz w:val="24"/>
          <w:szCs w:val="24"/>
        </w:rPr>
      </w:pPr>
      <w:r>
        <w:rPr>
          <w:rFonts w:ascii="Times New Roman" w:hAnsi="Times New Roman" w:eastAsia="仿宋_GB2312"/>
          <w:sz w:val="24"/>
          <w:szCs w:val="24"/>
        </w:rPr>
        <w:t>13.1.2监理人不能按时进行验收时，应提前</w:t>
      </w:r>
      <w:r>
        <w:rPr>
          <w:rFonts w:ascii="Times New Roman" w:hAnsi="Times New Roman" w:eastAsia="仿宋_GB2312"/>
          <w:sz w:val="24"/>
          <w:szCs w:val="24"/>
          <w:u w:val="single"/>
        </w:rPr>
        <w:t xml:space="preserve">       </w:t>
      </w:r>
      <w:r>
        <w:rPr>
          <w:rFonts w:ascii="Times New Roman" w:hAnsi="Times New Roman" w:eastAsia="仿宋_GB2312"/>
          <w:sz w:val="24"/>
          <w:szCs w:val="24"/>
        </w:rPr>
        <w:t>小时提交书面延期要求。</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b/>
          <w:color w:val="000000"/>
          <w:sz w:val="24"/>
          <w:szCs w:val="24"/>
        </w:rPr>
      </w:pPr>
      <w:r>
        <w:rPr>
          <w:rFonts w:ascii="Times New Roman" w:hAnsi="Times New Roman" w:eastAsia="仿宋_GB2312"/>
          <w:sz w:val="24"/>
          <w:szCs w:val="24"/>
        </w:rPr>
        <w:t>关于延期最长不得超过：</w:t>
      </w:r>
      <w:r>
        <w:rPr>
          <w:rFonts w:ascii="Times New Roman" w:hAnsi="Times New Roman" w:eastAsia="仿宋_GB2312"/>
          <w:sz w:val="24"/>
          <w:szCs w:val="24"/>
          <w:u w:val="single"/>
        </w:rPr>
        <w:t xml:space="preserve">         </w:t>
      </w:r>
      <w:r>
        <w:rPr>
          <w:rFonts w:ascii="Times New Roman" w:hAnsi="Times New Roman" w:eastAsia="仿宋_GB2312"/>
          <w:sz w:val="24"/>
          <w:szCs w:val="24"/>
        </w:rPr>
        <w:t>小时。</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ascii="Times New Roman" w:hAnsi="Times New Roman" w:eastAsia="黑体"/>
          <w:color w:val="000000"/>
          <w:sz w:val="24"/>
          <w:szCs w:val="24"/>
        </w:rPr>
      </w:pPr>
      <w:bookmarkStart w:id="559" w:name="_Toc300935016"/>
      <w:bookmarkStart w:id="560" w:name="_Toc292559933"/>
      <w:bookmarkStart w:id="561" w:name="_Toc297216224"/>
      <w:bookmarkStart w:id="562" w:name="_Toc296891263"/>
      <w:bookmarkStart w:id="563" w:name="_Toc297120523"/>
      <w:bookmarkStart w:id="564" w:name="_Toc296346724"/>
      <w:bookmarkStart w:id="565" w:name="_Toc304295596"/>
      <w:bookmarkStart w:id="566" w:name="_Toc312678056"/>
      <w:bookmarkStart w:id="567" w:name="_Toc296944562"/>
      <w:bookmarkStart w:id="568" w:name="_Toc297123565"/>
      <w:bookmarkStart w:id="569" w:name="_Toc296347222"/>
      <w:bookmarkStart w:id="570" w:name="_Toc296891051"/>
      <w:bookmarkStart w:id="571" w:name="_Toc296503223"/>
      <w:bookmarkStart w:id="572" w:name="_Toc297048409"/>
      <w:bookmarkStart w:id="573" w:name="_Toc292559428"/>
      <w:bookmarkStart w:id="574" w:name="_Toc303539173"/>
      <w:bookmarkStart w:id="575" w:name="_Toc267251471"/>
      <w:bookmarkStart w:id="576" w:name="_Toc267251473"/>
      <w:bookmarkStart w:id="577" w:name="_Toc267251470"/>
      <w:bookmarkStart w:id="578" w:name="_Toc267251472"/>
      <w:bookmarkStart w:id="579" w:name="_Toc267251476"/>
      <w:bookmarkStart w:id="580" w:name="_Toc267251474"/>
      <w:bookmarkStart w:id="581" w:name="_Toc267251475"/>
      <w:r>
        <w:rPr>
          <w:rFonts w:ascii="Times New Roman" w:hAnsi="Times New Roman" w:eastAsia="黑体"/>
          <w:color w:val="000000"/>
          <w:sz w:val="24"/>
          <w:szCs w:val="24"/>
        </w:rPr>
        <w:t>13.2 竣工验收</w:t>
      </w:r>
    </w:p>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bookmarkStart w:id="582" w:name="_Toc280868704"/>
      <w:bookmarkStart w:id="583" w:name="_Toc280868705"/>
      <w:bookmarkStart w:id="584" w:name="_Toc280868706"/>
      <w:bookmarkStart w:id="585" w:name="_Toc280868707"/>
      <w:bookmarkStart w:id="586" w:name="_Toc280868708"/>
      <w:bookmarkStart w:id="587" w:name="_Toc280868709"/>
      <w:r>
        <w:rPr>
          <w:rFonts w:ascii="Times New Roman" w:hAnsi="Times New Roman" w:eastAsia="仿宋_GB2312"/>
          <w:color w:val="000000"/>
          <w:sz w:val="24"/>
          <w:szCs w:val="24"/>
        </w:rPr>
        <w:t>13.2.2竣工验收程序</w:t>
      </w:r>
    </w:p>
    <w:bookmarkEnd w:id="582"/>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u w:val="single"/>
        </w:rPr>
      </w:pPr>
      <w:r>
        <w:rPr>
          <w:rFonts w:ascii="Times New Roman" w:hAnsi="Times New Roman" w:eastAsia="仿宋_GB2312"/>
          <w:color w:val="000000"/>
          <w:kern w:val="0"/>
          <w:sz w:val="24"/>
          <w:szCs w:val="24"/>
        </w:rPr>
        <w:t>关于竣工验收程序的约定：</w:t>
      </w:r>
      <w:r>
        <w:rPr>
          <w:rFonts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ind w:left="6000" w:hanging="4800" w:hangingChars="20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hint="eastAsia" w:ascii="Times New Roman" w:hAnsi="Times New Roman" w:eastAsia="仿宋_GB2312"/>
          <w:color w:val="000000"/>
          <w:sz w:val="24"/>
          <w:szCs w:val="24"/>
          <w:u w:val="single"/>
        </w:rPr>
      </w:pPr>
      <w:r>
        <w:rPr>
          <w:rFonts w:ascii="Times New Roman" w:hAnsi="Times New Roman" w:eastAsia="仿宋_GB2312"/>
          <w:color w:val="000000"/>
          <w:kern w:val="0"/>
          <w:sz w:val="24"/>
          <w:szCs w:val="24"/>
        </w:rPr>
        <w:t>发包人不按照本项约定组织竣工验收、颁发工程接收证书的违约金的计算方法：</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hint="eastAsia" w:ascii="Times New Roman" w:hAnsi="Times New Roman" w:eastAsia="仿宋_GB2312"/>
          <w:color w:val="000000"/>
          <w:sz w:val="24"/>
          <w:szCs w:val="24"/>
        </w:rPr>
      </w:pP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bookmarkEnd w:id="583"/>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13.2.5移交、接收全部与部分工程</w:t>
      </w:r>
    </w:p>
    <w:bookmarkEnd w:id="584"/>
    <w:p>
      <w:pPr>
        <w:pageBreakBefore w:val="0"/>
        <w:widowControl w:val="0"/>
        <w:kinsoku/>
        <w:wordWrap/>
        <w:overflowPunct/>
        <w:topLinePunct w:val="0"/>
        <w:bidi w:val="0"/>
        <w:snapToGrid/>
        <w:spacing w:line="480" w:lineRule="exact"/>
        <w:ind w:firstLine="480" w:firstLineChars="200"/>
        <w:jc w:val="left"/>
        <w:textAlignment w:val="auto"/>
        <w:rPr>
          <w:rFonts w:hint="eastAsia" w:ascii="Times New Roman" w:hAnsi="Times New Roman" w:eastAsia="仿宋_GB2312"/>
          <w:color w:val="000000"/>
          <w:kern w:val="0"/>
          <w:sz w:val="24"/>
          <w:szCs w:val="24"/>
        </w:rPr>
      </w:pPr>
      <w:r>
        <w:rPr>
          <w:rFonts w:hint="eastAsia" w:ascii="Times New Roman" w:hAnsi="Times New Roman" w:eastAsia="仿宋_GB2312"/>
          <w:color w:val="000000"/>
          <w:kern w:val="0"/>
          <w:sz w:val="24"/>
          <w:szCs w:val="24"/>
        </w:rPr>
        <w:t>承包人向发包人移交工程的期限：</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u w:val="single"/>
        </w:rPr>
      </w:pPr>
      <w:r>
        <w:rPr>
          <w:rFonts w:ascii="Times New Roman" w:hAnsi="Times New Roman" w:eastAsia="仿宋_GB2312"/>
          <w:color w:val="000000"/>
          <w:kern w:val="0"/>
          <w:sz w:val="24"/>
          <w:szCs w:val="24"/>
        </w:rPr>
        <w:t>发包人未按本合同约定接收全部或部分工程的，违约金的计算方法为：</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bookmarkEnd w:id="585"/>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u w:val="single"/>
        </w:rPr>
      </w:pPr>
      <w:r>
        <w:rPr>
          <w:rFonts w:ascii="Times New Roman" w:hAnsi="Times New Roman" w:eastAsia="仿宋_GB2312"/>
          <w:color w:val="000000"/>
          <w:sz w:val="24"/>
          <w:szCs w:val="24"/>
        </w:rPr>
        <w:t>承包人未按时移交工程的，违约金的计算方法为：</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ascii="Times New Roman" w:hAnsi="Times New Roman" w:eastAsia="黑体"/>
          <w:color w:val="000000"/>
          <w:sz w:val="24"/>
          <w:szCs w:val="24"/>
        </w:rPr>
      </w:pPr>
      <w:r>
        <w:rPr>
          <w:rFonts w:ascii="Times New Roman" w:hAnsi="Times New Roman" w:eastAsia="黑体"/>
          <w:color w:val="000000"/>
          <w:sz w:val="24"/>
          <w:szCs w:val="24"/>
        </w:rPr>
        <w:t>13.3 工程试车</w:t>
      </w:r>
    </w:p>
    <w:bookmarkEnd w:id="586"/>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13.3.1 试车程序</w:t>
      </w:r>
    </w:p>
    <w:p>
      <w:pPr>
        <w:pageBreakBefore w:val="0"/>
        <w:widowControl w:val="0"/>
        <w:kinsoku/>
        <w:wordWrap/>
        <w:overflowPunct/>
        <w:topLinePunct w:val="0"/>
        <w:bidi w:val="0"/>
        <w:snapToGrid/>
        <w:spacing w:line="480" w:lineRule="exact"/>
        <w:ind w:firstLine="480" w:firstLineChars="200"/>
        <w:jc w:val="left"/>
        <w:textAlignment w:val="auto"/>
        <w:rPr>
          <w:rFonts w:hint="eastAsia" w:ascii="Times New Roman" w:hAnsi="Times New Roman" w:eastAsia="仿宋_GB2312"/>
          <w:color w:val="000000"/>
          <w:sz w:val="24"/>
          <w:szCs w:val="24"/>
          <w:u w:val="single"/>
        </w:rPr>
      </w:pPr>
      <w:r>
        <w:rPr>
          <w:rFonts w:ascii="Times New Roman" w:hAnsi="Times New Roman" w:eastAsia="仿宋_GB2312"/>
          <w:color w:val="000000"/>
          <w:kern w:val="0"/>
          <w:sz w:val="24"/>
          <w:szCs w:val="24"/>
        </w:rPr>
        <w:t>工程试车内容：</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color w:val="000000"/>
          <w:kern w:val="0"/>
          <w:sz w:val="24"/>
          <w:szCs w:val="24"/>
        </w:rPr>
      </w:pP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（1）单机无负荷试车费用由</w:t>
      </w:r>
      <w:r>
        <w:rPr>
          <w:rFonts w:ascii="Times New Roman" w:hAnsi="Times New Roman" w:eastAsia="仿宋_GB2312"/>
          <w:color w:val="000000"/>
          <w:sz w:val="24"/>
          <w:szCs w:val="24"/>
          <w:u w:val="single"/>
        </w:rPr>
        <w:t xml:space="preserve">                     </w:t>
      </w:r>
      <w:r>
        <w:rPr>
          <w:rFonts w:ascii="Times New Roman" w:hAnsi="Times New Roman" w:eastAsia="仿宋_GB2312"/>
          <w:color w:val="000000"/>
          <w:kern w:val="0"/>
          <w:sz w:val="24"/>
          <w:szCs w:val="24"/>
        </w:rPr>
        <w:t>承担；</w:t>
      </w:r>
    </w:p>
    <w:p>
      <w:pPr>
        <w:pageBreakBefore w:val="0"/>
        <w:widowControl w:val="0"/>
        <w:kinsoku/>
        <w:wordWrap/>
        <w:overflowPunct/>
        <w:topLinePunct w:val="0"/>
        <w:bidi w:val="0"/>
        <w:snapToGrid/>
        <w:spacing w:line="480" w:lineRule="exact"/>
        <w:ind w:firstLine="480" w:firstLineChars="200"/>
        <w:jc w:val="left"/>
        <w:textAlignment w:val="auto"/>
        <w:rPr>
          <w:rFonts w:hint="eastAsia" w:ascii="Times New Roman" w:hAnsi="Times New Roman" w:eastAsia="仿宋_GB2312"/>
          <w:color w:val="000000"/>
          <w:kern w:val="0"/>
          <w:sz w:val="24"/>
          <w:szCs w:val="24"/>
        </w:rPr>
      </w:pPr>
      <w:r>
        <w:rPr>
          <w:rFonts w:ascii="Times New Roman" w:hAnsi="Times New Roman" w:eastAsia="仿宋_GB2312"/>
          <w:color w:val="000000"/>
          <w:kern w:val="0"/>
          <w:sz w:val="24"/>
          <w:szCs w:val="24"/>
        </w:rPr>
        <w:t>（2）无负荷联动试车费用由</w:t>
      </w:r>
      <w:r>
        <w:rPr>
          <w:rFonts w:ascii="Times New Roman" w:hAnsi="Times New Roman" w:eastAsia="仿宋_GB2312"/>
          <w:color w:val="000000"/>
          <w:sz w:val="24"/>
          <w:szCs w:val="24"/>
          <w:u w:val="single"/>
        </w:rPr>
        <w:t xml:space="preserve">                     </w:t>
      </w:r>
      <w:r>
        <w:rPr>
          <w:rFonts w:ascii="Times New Roman" w:hAnsi="Times New Roman" w:eastAsia="仿宋_GB2312"/>
          <w:color w:val="000000"/>
          <w:kern w:val="0"/>
          <w:sz w:val="24"/>
          <w:szCs w:val="24"/>
        </w:rPr>
        <w:t>承担。</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13.3.3 投料试车</w:t>
      </w:r>
    </w:p>
    <w:p>
      <w:pPr>
        <w:pageBreakBefore w:val="0"/>
        <w:widowControl w:val="0"/>
        <w:kinsoku/>
        <w:wordWrap/>
        <w:overflowPunct/>
        <w:topLinePunct w:val="0"/>
        <w:bidi w:val="0"/>
        <w:snapToGrid/>
        <w:spacing w:line="480" w:lineRule="exact"/>
        <w:ind w:firstLine="480" w:firstLineChars="200"/>
        <w:jc w:val="left"/>
        <w:textAlignment w:val="auto"/>
        <w:rPr>
          <w:rFonts w:hint="eastAsia" w:ascii="Times New Roman" w:hAnsi="Times New Roman" w:eastAsia="仿宋_GB2312"/>
          <w:color w:val="000000"/>
          <w:sz w:val="24"/>
          <w:szCs w:val="24"/>
          <w:u w:val="single"/>
        </w:rPr>
      </w:pPr>
      <w:r>
        <w:rPr>
          <w:rFonts w:hint="eastAsia" w:ascii="Times New Roman" w:hAnsi="Times New Roman" w:eastAsia="仿宋_GB2312"/>
          <w:color w:val="000000"/>
          <w:kern w:val="0"/>
          <w:sz w:val="24"/>
          <w:szCs w:val="24"/>
        </w:rPr>
        <w:t>关于投料试车相关事项的约定：</w:t>
      </w:r>
      <w:r>
        <w:rPr>
          <w:rFonts w:hint="eastAsia"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color w:val="000000"/>
          <w:kern w:val="0"/>
          <w:sz w:val="24"/>
          <w:szCs w:val="24"/>
        </w:rPr>
      </w:pP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0"/>
        <w:rPr>
          <w:rFonts w:ascii="Times New Roman" w:hAnsi="Times New Roman" w:eastAsia="黑体"/>
          <w:color w:val="000000"/>
          <w:sz w:val="24"/>
          <w:szCs w:val="24"/>
        </w:rPr>
      </w:pPr>
      <w:r>
        <w:rPr>
          <w:rFonts w:ascii="Times New Roman" w:hAnsi="Times New Roman" w:eastAsia="黑体"/>
          <w:color w:val="000000"/>
          <w:sz w:val="24"/>
          <w:szCs w:val="24"/>
        </w:rPr>
        <w:t>13.6 竣工退场</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13.6.1 竣工退场</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承包人完成竣工退场的期限：</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kern w:val="0"/>
          <w:sz w:val="24"/>
          <w:szCs w:val="24"/>
        </w:rPr>
        <w:t>。</w:t>
      </w:r>
    </w:p>
    <w:p>
      <w:pPr>
        <w:pStyle w:val="7"/>
        <w:keepNext/>
        <w:keepLines/>
        <w:pageBreakBefore w:val="0"/>
        <w:widowControl w:val="0"/>
        <w:kinsoku/>
        <w:wordWrap/>
        <w:overflowPunct/>
        <w:topLinePunct w:val="0"/>
        <w:autoSpaceDE/>
        <w:autoSpaceDN/>
        <w:bidi w:val="0"/>
        <w:adjustRightInd/>
        <w:snapToGrid/>
        <w:spacing w:line="480" w:lineRule="exact"/>
        <w:textAlignment w:val="auto"/>
        <w:outlineLvl w:val="3"/>
        <w:rPr>
          <w:rFonts w:ascii="Times New Roman" w:hAnsi="Times New Roman" w:eastAsia="黑体"/>
          <w:b w:val="0"/>
          <w:color w:val="000000"/>
          <w:sz w:val="24"/>
          <w:szCs w:val="24"/>
        </w:rPr>
      </w:pPr>
      <w:bookmarkStart w:id="588" w:name="_Toc351203646"/>
      <w:r>
        <w:rPr>
          <w:rFonts w:ascii="Times New Roman" w:hAnsi="Times New Roman" w:eastAsia="黑体"/>
          <w:b w:val="0"/>
          <w:color w:val="000000"/>
          <w:sz w:val="24"/>
          <w:szCs w:val="24"/>
        </w:rPr>
        <w:t>14. 竣工结算</w:t>
      </w:r>
      <w:bookmarkEnd w:id="588"/>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ascii="Times New Roman" w:hAnsi="Times New Roman" w:eastAsia="黑体"/>
          <w:color w:val="000000"/>
          <w:sz w:val="24"/>
          <w:szCs w:val="24"/>
        </w:rPr>
      </w:pPr>
      <w:r>
        <w:rPr>
          <w:rFonts w:ascii="Times New Roman" w:hAnsi="Times New Roman" w:eastAsia="黑体"/>
          <w:color w:val="000000"/>
          <w:sz w:val="24"/>
          <w:szCs w:val="24"/>
        </w:rPr>
        <w:t>14.1 竣工</w:t>
      </w:r>
      <w:r>
        <w:rPr>
          <w:rFonts w:hint="eastAsia" w:ascii="Times New Roman" w:hAnsi="Times New Roman" w:eastAsia="黑体"/>
          <w:color w:val="000000"/>
          <w:sz w:val="24"/>
          <w:szCs w:val="24"/>
        </w:rPr>
        <w:t>结算</w:t>
      </w:r>
      <w:r>
        <w:rPr>
          <w:rFonts w:ascii="Times New Roman" w:hAnsi="Times New Roman" w:eastAsia="黑体"/>
          <w:color w:val="000000"/>
          <w:sz w:val="24"/>
          <w:szCs w:val="24"/>
        </w:rPr>
        <w:t>申请</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sz w:val="24"/>
          <w:szCs w:val="24"/>
        </w:rPr>
        <w:t>承包人提交竣工</w:t>
      </w:r>
      <w:r>
        <w:rPr>
          <w:rFonts w:hint="eastAsia" w:ascii="Times New Roman" w:hAnsi="Times New Roman" w:eastAsia="仿宋_GB2312"/>
          <w:sz w:val="24"/>
          <w:szCs w:val="24"/>
        </w:rPr>
        <w:t>结算</w:t>
      </w:r>
      <w:r>
        <w:rPr>
          <w:rFonts w:ascii="Times New Roman" w:hAnsi="Times New Roman" w:eastAsia="仿宋_GB2312"/>
          <w:sz w:val="24"/>
          <w:szCs w:val="24"/>
        </w:rPr>
        <w:t>申请单的期限：</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hint="eastAsia" w:ascii="Times New Roman" w:hAnsi="Times New Roman" w:eastAsia="仿宋_GB2312"/>
          <w:color w:val="000000"/>
          <w:sz w:val="24"/>
          <w:szCs w:val="24"/>
          <w:u w:val="single"/>
        </w:rPr>
      </w:pPr>
      <w:r>
        <w:rPr>
          <w:rFonts w:ascii="Times New Roman" w:hAnsi="Times New Roman" w:eastAsia="仿宋_GB2312"/>
          <w:color w:val="000000"/>
          <w:sz w:val="24"/>
          <w:szCs w:val="24"/>
        </w:rPr>
        <w:t>竣工</w:t>
      </w:r>
      <w:r>
        <w:rPr>
          <w:rFonts w:hint="eastAsia" w:ascii="Times New Roman" w:hAnsi="Times New Roman" w:eastAsia="仿宋_GB2312"/>
          <w:color w:val="000000"/>
          <w:sz w:val="24"/>
          <w:szCs w:val="24"/>
        </w:rPr>
        <w:t>结算</w:t>
      </w:r>
      <w:r>
        <w:rPr>
          <w:rFonts w:ascii="Times New Roman" w:hAnsi="Times New Roman" w:eastAsia="仿宋_GB2312"/>
          <w:color w:val="000000"/>
          <w:sz w:val="24"/>
          <w:szCs w:val="24"/>
        </w:rPr>
        <w:t>申请单应包括的内容：</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sz w:val="24"/>
          <w:szCs w:val="24"/>
        </w:rPr>
      </w:pP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0"/>
        <w:rPr>
          <w:rFonts w:ascii="Times New Roman" w:hAnsi="Times New Roman" w:eastAsia="黑体"/>
          <w:color w:val="000000"/>
          <w:sz w:val="24"/>
          <w:szCs w:val="24"/>
        </w:rPr>
      </w:pPr>
      <w:r>
        <w:rPr>
          <w:rFonts w:ascii="Times New Roman" w:hAnsi="Times New Roman" w:eastAsia="黑体"/>
          <w:color w:val="000000"/>
          <w:sz w:val="24"/>
          <w:szCs w:val="24"/>
        </w:rPr>
        <w:t>14.2 竣工结算审核</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sz w:val="24"/>
          <w:szCs w:val="24"/>
        </w:rPr>
      </w:pPr>
      <w:r>
        <w:rPr>
          <w:rFonts w:ascii="Times New Roman" w:hAnsi="Times New Roman" w:eastAsia="仿宋_GB2312"/>
          <w:sz w:val="24"/>
          <w:szCs w:val="24"/>
        </w:rPr>
        <w:t>发包人</w:t>
      </w:r>
      <w:r>
        <w:rPr>
          <w:rFonts w:hint="eastAsia" w:ascii="Times New Roman" w:hAnsi="Times New Roman" w:eastAsia="仿宋_GB2312"/>
          <w:sz w:val="24"/>
          <w:szCs w:val="24"/>
        </w:rPr>
        <w:t>审批</w:t>
      </w:r>
      <w:r>
        <w:rPr>
          <w:rFonts w:ascii="Times New Roman" w:hAnsi="Times New Roman" w:eastAsia="仿宋_GB2312"/>
          <w:sz w:val="24"/>
          <w:szCs w:val="24"/>
        </w:rPr>
        <w:t>竣工付款申请单的期限：</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hint="eastAsia" w:ascii="Times New Roman" w:hAnsi="Times New Roman" w:eastAsia="仿宋_GB2312"/>
          <w:color w:val="000000"/>
          <w:sz w:val="24"/>
          <w:szCs w:val="24"/>
        </w:rPr>
      </w:pPr>
      <w:r>
        <w:rPr>
          <w:rFonts w:ascii="Times New Roman" w:hAnsi="Times New Roman" w:eastAsia="仿宋_GB2312"/>
          <w:sz w:val="24"/>
          <w:szCs w:val="24"/>
        </w:rPr>
        <w:t>发包人完成竣工付款的期限：</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hint="eastAsia" w:ascii="Times New Roman" w:hAnsi="Times New Roman" w:eastAsia="仿宋_GB2312"/>
          <w:color w:val="000000"/>
          <w:sz w:val="24"/>
          <w:szCs w:val="24"/>
          <w:u w:val="single"/>
        </w:rPr>
      </w:pPr>
      <w:r>
        <w:rPr>
          <w:rFonts w:hint="eastAsia" w:ascii="Times New Roman" w:hAnsi="Times New Roman" w:eastAsia="仿宋_GB2312"/>
          <w:color w:val="000000"/>
          <w:sz w:val="24"/>
          <w:szCs w:val="24"/>
        </w:rPr>
        <w:t>关于竣工付款证书异议部分复核的方式和程序：</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ascii="Times New Roman" w:hAnsi="Times New Roman" w:eastAsia="黑体"/>
          <w:color w:val="000000"/>
          <w:sz w:val="24"/>
          <w:szCs w:val="24"/>
        </w:rPr>
      </w:pPr>
      <w:r>
        <w:rPr>
          <w:rFonts w:ascii="Times New Roman" w:hAnsi="Times New Roman" w:eastAsia="黑体"/>
          <w:color w:val="000000"/>
          <w:sz w:val="24"/>
          <w:szCs w:val="24"/>
        </w:rPr>
        <w:t>14.4 最终结清</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14.4.1 最终结清申请单</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承包人提交最终结清申请单的份数：</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sz w:val="24"/>
          <w:szCs w:val="24"/>
        </w:rPr>
      </w:pPr>
      <w:r>
        <w:rPr>
          <w:rFonts w:ascii="Times New Roman" w:hAnsi="Times New Roman" w:eastAsia="仿宋_GB2312"/>
          <w:color w:val="000000"/>
          <w:kern w:val="0"/>
          <w:sz w:val="24"/>
          <w:szCs w:val="24"/>
        </w:rPr>
        <w:t>承包人提交最终结算申请单的期限：</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r>
        <w:rPr>
          <w:rFonts w:ascii="Times New Roman" w:hAnsi="Times New Roman" w:eastAsia="仿宋_GB2312"/>
          <w:sz w:val="24"/>
          <w:szCs w:val="24"/>
        </w:rPr>
        <w:t xml:space="preserve"> </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sz w:val="24"/>
          <w:szCs w:val="24"/>
        </w:rPr>
      </w:pPr>
      <w:r>
        <w:rPr>
          <w:rFonts w:ascii="Times New Roman" w:hAnsi="Times New Roman" w:eastAsia="仿宋_GB2312"/>
          <w:sz w:val="24"/>
          <w:szCs w:val="24"/>
        </w:rPr>
        <w:t>14.4.2 最终结清证书和支付</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sz w:val="24"/>
          <w:szCs w:val="24"/>
        </w:rPr>
      </w:pPr>
      <w:r>
        <w:rPr>
          <w:rFonts w:ascii="Times New Roman" w:hAnsi="Times New Roman" w:eastAsia="仿宋_GB2312"/>
          <w:sz w:val="24"/>
          <w:szCs w:val="24"/>
        </w:rPr>
        <w:t>（1）发包人完成最终结清申请单的</w:t>
      </w:r>
      <w:r>
        <w:rPr>
          <w:rFonts w:hint="eastAsia" w:ascii="Times New Roman" w:hAnsi="Times New Roman" w:eastAsia="仿宋_GB2312"/>
          <w:sz w:val="24"/>
          <w:szCs w:val="24"/>
        </w:rPr>
        <w:t>审批</w:t>
      </w:r>
      <w:r>
        <w:rPr>
          <w:rFonts w:ascii="Times New Roman" w:hAnsi="Times New Roman" w:eastAsia="仿宋_GB2312"/>
          <w:sz w:val="24"/>
          <w:szCs w:val="24"/>
        </w:rPr>
        <w:t>并颁发最终结清证书的期限：</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sz w:val="24"/>
          <w:szCs w:val="24"/>
        </w:rPr>
      </w:pPr>
      <w:r>
        <w:rPr>
          <w:rFonts w:ascii="Times New Roman" w:hAnsi="Times New Roman" w:eastAsia="仿宋_GB2312"/>
          <w:sz w:val="24"/>
          <w:szCs w:val="24"/>
        </w:rPr>
        <w:t>（2）发包人完成支付的期限：</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bookmarkEnd w:id="575"/>
    <w:bookmarkEnd w:id="576"/>
    <w:bookmarkEnd w:id="577"/>
    <w:bookmarkEnd w:id="578"/>
    <w:bookmarkEnd w:id="579"/>
    <w:bookmarkEnd w:id="580"/>
    <w:bookmarkEnd w:id="581"/>
    <w:bookmarkEnd w:id="587"/>
    <w:p>
      <w:pPr>
        <w:pStyle w:val="7"/>
        <w:keepNext/>
        <w:keepLines/>
        <w:pageBreakBefore w:val="0"/>
        <w:widowControl w:val="0"/>
        <w:kinsoku/>
        <w:wordWrap/>
        <w:overflowPunct/>
        <w:topLinePunct w:val="0"/>
        <w:autoSpaceDE/>
        <w:autoSpaceDN/>
        <w:bidi w:val="0"/>
        <w:adjustRightInd/>
        <w:snapToGrid/>
        <w:spacing w:line="480" w:lineRule="exact"/>
        <w:textAlignment w:val="auto"/>
        <w:outlineLvl w:val="3"/>
        <w:rPr>
          <w:rFonts w:ascii="Times New Roman" w:hAnsi="Times New Roman" w:eastAsia="黑体"/>
          <w:b w:val="0"/>
          <w:color w:val="000000"/>
          <w:sz w:val="24"/>
          <w:szCs w:val="24"/>
        </w:rPr>
      </w:pPr>
      <w:bookmarkStart w:id="589" w:name="_Toc351203647"/>
      <w:bookmarkStart w:id="590" w:name="_Toc267251483"/>
      <w:bookmarkStart w:id="591" w:name="_Toc267251482"/>
      <w:bookmarkStart w:id="592" w:name="_Toc267251484"/>
      <w:bookmarkStart w:id="593" w:name="_Toc267251485"/>
      <w:bookmarkStart w:id="594" w:name="_Toc267251490"/>
      <w:bookmarkStart w:id="595" w:name="_Toc267251488"/>
      <w:bookmarkStart w:id="596" w:name="_Toc267251489"/>
      <w:bookmarkStart w:id="597" w:name="_Toc267251486"/>
      <w:bookmarkStart w:id="598" w:name="_Toc267251492"/>
      <w:bookmarkStart w:id="599" w:name="_Toc267251496"/>
      <w:bookmarkStart w:id="600" w:name="_Toc267251491"/>
      <w:bookmarkStart w:id="601" w:name="_Toc267251493"/>
      <w:bookmarkStart w:id="602" w:name="_Toc267251501"/>
      <w:bookmarkStart w:id="603" w:name="_Toc267251503"/>
      <w:bookmarkStart w:id="604" w:name="_Toc267251499"/>
      <w:bookmarkStart w:id="605" w:name="_Toc267251502"/>
      <w:bookmarkStart w:id="606" w:name="_Toc267251497"/>
      <w:bookmarkStart w:id="607" w:name="_Toc267251498"/>
      <w:bookmarkStart w:id="608" w:name="_Toc267251494"/>
      <w:bookmarkStart w:id="609" w:name="_Toc267251495"/>
      <w:bookmarkStart w:id="610" w:name="_Toc267251504"/>
      <w:bookmarkStart w:id="611" w:name="_Toc267251506"/>
      <w:bookmarkStart w:id="612" w:name="_Toc267251507"/>
      <w:bookmarkStart w:id="613" w:name="_Toc267251508"/>
      <w:bookmarkStart w:id="614" w:name="_Toc267251514"/>
      <w:bookmarkStart w:id="615" w:name="_Toc267251513"/>
      <w:bookmarkStart w:id="616" w:name="_Toc267251515"/>
      <w:bookmarkStart w:id="617" w:name="_Toc267251509"/>
      <w:bookmarkStart w:id="618" w:name="_Toc267251511"/>
      <w:bookmarkStart w:id="619" w:name="_Toc267251510"/>
      <w:r>
        <w:rPr>
          <w:rFonts w:ascii="Times New Roman" w:hAnsi="Times New Roman" w:eastAsia="黑体"/>
          <w:b w:val="0"/>
          <w:color w:val="000000"/>
          <w:sz w:val="24"/>
          <w:szCs w:val="24"/>
        </w:rPr>
        <w:t>15. 缺陷责任期与保修</w:t>
      </w:r>
      <w:bookmarkEnd w:id="589"/>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ascii="Times New Roman" w:hAnsi="Times New Roman" w:eastAsia="黑体"/>
          <w:color w:val="000000"/>
          <w:sz w:val="24"/>
          <w:szCs w:val="24"/>
        </w:rPr>
      </w:pPr>
      <w:r>
        <w:rPr>
          <w:rFonts w:ascii="Times New Roman" w:hAnsi="Times New Roman" w:eastAsia="黑体"/>
          <w:color w:val="000000"/>
          <w:sz w:val="24"/>
          <w:szCs w:val="24"/>
        </w:rPr>
        <w:t>15.2缺陷责任期</w:t>
      </w:r>
      <w:bookmarkEnd w:id="590"/>
    </w:p>
    <w:p>
      <w:pPr>
        <w:pageBreakBefore w:val="0"/>
        <w:widowControl w:val="0"/>
        <w:kinsoku/>
        <w:wordWrap/>
        <w:overflowPunct/>
        <w:topLinePunct w:val="0"/>
        <w:bidi w:val="0"/>
        <w:snapToGrid/>
        <w:spacing w:line="480" w:lineRule="exact"/>
        <w:ind w:firstLine="480" w:firstLineChars="200"/>
        <w:jc w:val="left"/>
        <w:textAlignment w:val="auto"/>
        <w:rPr>
          <w:rFonts w:hint="eastAsia" w:ascii="Times New Roman" w:hAnsi="Times New Roman" w:eastAsia="仿宋_GB2312"/>
          <w:color w:val="000000"/>
          <w:sz w:val="24"/>
          <w:szCs w:val="24"/>
          <w:u w:val="single"/>
        </w:rPr>
      </w:pPr>
      <w:r>
        <w:rPr>
          <w:rFonts w:ascii="Times New Roman" w:hAnsi="Times New Roman" w:eastAsia="仿宋_GB2312"/>
          <w:color w:val="000000"/>
          <w:sz w:val="24"/>
          <w:szCs w:val="24"/>
        </w:rPr>
        <w:t>缺陷责任期的具体期限：</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0"/>
        <w:rPr>
          <w:rFonts w:ascii="Times New Roman" w:hAnsi="Times New Roman" w:eastAsia="黑体"/>
          <w:color w:val="000000"/>
          <w:sz w:val="24"/>
          <w:szCs w:val="24"/>
        </w:rPr>
      </w:pPr>
      <w:r>
        <w:rPr>
          <w:rFonts w:ascii="Times New Roman" w:hAnsi="Times New Roman" w:eastAsia="黑体"/>
          <w:color w:val="000000"/>
          <w:sz w:val="24"/>
          <w:szCs w:val="24"/>
        </w:rPr>
        <w:t>15.3 质量保证金</w:t>
      </w:r>
    </w:p>
    <w:p>
      <w:pPr>
        <w:pageBreakBefore w:val="0"/>
        <w:widowControl w:val="0"/>
        <w:kinsoku/>
        <w:wordWrap/>
        <w:overflowPunct/>
        <w:topLinePunct w:val="0"/>
        <w:bidi w:val="0"/>
        <w:snapToGrid/>
        <w:spacing w:line="480" w:lineRule="exact"/>
        <w:ind w:firstLine="480" w:firstLineChars="200"/>
        <w:jc w:val="left"/>
        <w:textAlignment w:val="auto"/>
        <w:rPr>
          <w:rFonts w:hint="eastAsia" w:ascii="Times New Roman" w:hAnsi="Times New Roman" w:eastAsia="仿宋_GB2312"/>
          <w:color w:val="000000"/>
          <w:sz w:val="24"/>
          <w:szCs w:val="24"/>
        </w:rPr>
      </w:pPr>
      <w:r>
        <w:rPr>
          <w:rFonts w:hint="eastAsia" w:ascii="Times New Roman" w:hAnsi="Times New Roman" w:eastAsia="仿宋_GB2312"/>
          <w:color w:val="000000"/>
          <w:sz w:val="24"/>
          <w:szCs w:val="24"/>
        </w:rPr>
        <w:t>关于是否扣留质量保证金的约定：</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r>
        <w:rPr>
          <w:rFonts w:hint="eastAsia" w:eastAsia="仿宋_GB2312"/>
          <w:color w:val="000000"/>
          <w:sz w:val="24"/>
          <w:szCs w:val="24"/>
        </w:rPr>
        <w:t>在工程项目竣工前，承包人按专用合同条款第3.7条提供履约担保的，发包人不得同时预留工程质量保证金。</w:t>
      </w:r>
    </w:p>
    <w:p>
      <w:pPr>
        <w:pageBreakBefore w:val="0"/>
        <w:widowControl w:val="0"/>
        <w:kinsoku/>
        <w:wordWrap/>
        <w:overflowPunct/>
        <w:topLinePunct w:val="0"/>
        <w:bidi w:val="0"/>
        <w:snapToGrid/>
        <w:spacing w:line="480" w:lineRule="exact"/>
        <w:ind w:firstLine="480" w:firstLineChars="200"/>
        <w:jc w:val="left"/>
        <w:textAlignment w:val="auto"/>
        <w:outlineLvl w:val="0"/>
        <w:rPr>
          <w:rFonts w:ascii="Times New Roman" w:hAnsi="Times New Roman" w:eastAsia="仿宋_GB2312"/>
          <w:color w:val="000000"/>
          <w:sz w:val="24"/>
          <w:szCs w:val="24"/>
        </w:rPr>
      </w:pPr>
      <w:r>
        <w:rPr>
          <w:rFonts w:ascii="Times New Roman" w:hAnsi="Times New Roman" w:eastAsia="仿宋_GB2312"/>
          <w:color w:val="000000"/>
          <w:sz w:val="24"/>
          <w:szCs w:val="24"/>
        </w:rPr>
        <w:t xml:space="preserve">15.3.1 </w:t>
      </w:r>
      <w:r>
        <w:rPr>
          <w:rFonts w:hint="eastAsia" w:ascii="Times New Roman" w:hAnsi="Times New Roman" w:eastAsia="仿宋_GB2312"/>
          <w:color w:val="000000"/>
          <w:sz w:val="24"/>
          <w:szCs w:val="24"/>
        </w:rPr>
        <w:t>承包人提供</w:t>
      </w:r>
      <w:r>
        <w:rPr>
          <w:rFonts w:ascii="Times New Roman" w:hAnsi="Times New Roman" w:eastAsia="仿宋_GB2312"/>
          <w:color w:val="000000"/>
          <w:sz w:val="24"/>
          <w:szCs w:val="24"/>
        </w:rPr>
        <w:t>质量保证金的</w:t>
      </w:r>
      <w:r>
        <w:rPr>
          <w:rFonts w:hint="eastAsia" w:ascii="Times New Roman" w:hAnsi="Times New Roman" w:eastAsia="仿宋_GB2312"/>
          <w:color w:val="000000"/>
          <w:sz w:val="24"/>
          <w:szCs w:val="24"/>
        </w:rPr>
        <w:t>方</w:t>
      </w:r>
      <w:r>
        <w:rPr>
          <w:rFonts w:ascii="Times New Roman" w:hAnsi="Times New Roman" w:eastAsia="仿宋_GB2312"/>
          <w:color w:val="000000"/>
          <w:sz w:val="24"/>
          <w:szCs w:val="24"/>
        </w:rPr>
        <w:t>式</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质量保证金采用以下第</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种方式：</w:t>
      </w:r>
    </w:p>
    <w:p>
      <w:pPr>
        <w:pageBreakBefore w:val="0"/>
        <w:widowControl w:val="0"/>
        <w:kinsoku/>
        <w:wordWrap/>
        <w:overflowPunct/>
        <w:topLinePunct w:val="0"/>
        <w:autoSpaceDE w:val="0"/>
        <w:autoSpaceDN w:val="0"/>
        <w:bidi w:val="0"/>
        <w:adjustRightInd w:val="0"/>
        <w:snapToGrid/>
        <w:spacing w:line="480" w:lineRule="exact"/>
        <w:ind w:firstLine="480" w:firstLineChars="200"/>
        <w:jc w:val="left"/>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（1）质量保证金保函，保证金额为：</w:t>
      </w: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rPr>
        <w:t xml:space="preserve">； </w:t>
      </w:r>
    </w:p>
    <w:p>
      <w:pPr>
        <w:pageBreakBefore w:val="0"/>
        <w:widowControl w:val="0"/>
        <w:kinsoku/>
        <w:wordWrap/>
        <w:overflowPunct/>
        <w:topLinePunct w:val="0"/>
        <w:autoSpaceDE w:val="0"/>
        <w:autoSpaceDN w:val="0"/>
        <w:bidi w:val="0"/>
        <w:adjustRightInd w:val="0"/>
        <w:snapToGrid/>
        <w:spacing w:line="480" w:lineRule="exact"/>
        <w:ind w:firstLine="480" w:firstLineChars="200"/>
        <w:jc w:val="left"/>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（2）</w:t>
      </w:r>
      <w:r>
        <w:rPr>
          <w:rFonts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rPr>
        <w:t>%的工程款；</w:t>
      </w:r>
    </w:p>
    <w:p>
      <w:pPr>
        <w:pageBreakBefore w:val="0"/>
        <w:widowControl w:val="0"/>
        <w:kinsoku/>
        <w:wordWrap/>
        <w:overflowPunct/>
        <w:topLinePunct w:val="0"/>
        <w:autoSpaceDE w:val="0"/>
        <w:autoSpaceDN w:val="0"/>
        <w:bidi w:val="0"/>
        <w:adjustRightInd w:val="0"/>
        <w:snapToGrid/>
        <w:spacing w:line="480" w:lineRule="exact"/>
        <w:ind w:firstLine="480" w:firstLineChars="200"/>
        <w:jc w:val="left"/>
        <w:textAlignment w:val="auto"/>
        <w:rPr>
          <w:rFonts w:hint="eastAsia" w:ascii="Times New Roman" w:hAnsi="Times New Roman" w:eastAsia="仿宋_GB2312"/>
          <w:color w:val="000000"/>
          <w:kern w:val="0"/>
          <w:sz w:val="24"/>
          <w:szCs w:val="24"/>
        </w:rPr>
      </w:pPr>
      <w:r>
        <w:rPr>
          <w:rFonts w:ascii="Times New Roman" w:hAnsi="Times New Roman" w:eastAsia="仿宋_GB2312"/>
          <w:color w:val="000000"/>
          <w:kern w:val="0"/>
          <w:sz w:val="24"/>
          <w:szCs w:val="24"/>
        </w:rPr>
        <w:t>（3）其他</w:t>
      </w:r>
      <w:r>
        <w:rPr>
          <w:rFonts w:hint="eastAsia" w:ascii="Times New Roman" w:hAnsi="Times New Roman" w:eastAsia="仿宋_GB2312"/>
          <w:color w:val="000000"/>
          <w:kern w:val="0"/>
          <w:sz w:val="24"/>
          <w:szCs w:val="24"/>
        </w:rPr>
        <w:t>方</w:t>
      </w:r>
      <w:r>
        <w:rPr>
          <w:rFonts w:ascii="Times New Roman" w:hAnsi="Times New Roman" w:eastAsia="仿宋_GB2312"/>
          <w:color w:val="000000"/>
          <w:kern w:val="0"/>
          <w:sz w:val="24"/>
          <w:szCs w:val="24"/>
        </w:rPr>
        <w:t>式:</w:t>
      </w: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outlineLvl w:val="0"/>
        <w:rPr>
          <w:rFonts w:ascii="Times New Roman" w:hAnsi="Times New Roman" w:eastAsia="仿宋_GB2312"/>
          <w:color w:val="000000"/>
          <w:sz w:val="24"/>
          <w:szCs w:val="24"/>
        </w:rPr>
      </w:pPr>
      <w:r>
        <w:rPr>
          <w:rFonts w:ascii="Times New Roman" w:hAnsi="Times New Roman" w:eastAsia="仿宋_GB2312"/>
          <w:color w:val="000000"/>
          <w:sz w:val="24"/>
          <w:szCs w:val="24"/>
        </w:rPr>
        <w:t xml:space="preserve">15.3.2 质量保证金的扣留 </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质量保证金的扣留采取以下第</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种方式：</w:t>
      </w:r>
    </w:p>
    <w:p>
      <w:pPr>
        <w:pageBreakBefore w:val="0"/>
        <w:widowControl w:val="0"/>
        <w:kinsoku/>
        <w:wordWrap/>
        <w:overflowPunct/>
        <w:topLinePunct w:val="0"/>
        <w:autoSpaceDE w:val="0"/>
        <w:autoSpaceDN w:val="0"/>
        <w:bidi w:val="0"/>
        <w:adjustRightInd w:val="0"/>
        <w:snapToGrid/>
        <w:spacing w:line="480" w:lineRule="exact"/>
        <w:ind w:firstLine="480" w:firstLineChars="200"/>
        <w:jc w:val="left"/>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（1）在支付工程进度款时逐次扣留，在此情形下，质量保证金的计算基数不包括预付款的支付、扣回以及价格调整的金额；</w:t>
      </w:r>
    </w:p>
    <w:p>
      <w:pPr>
        <w:pageBreakBefore w:val="0"/>
        <w:widowControl w:val="0"/>
        <w:kinsoku/>
        <w:wordWrap/>
        <w:overflowPunct/>
        <w:topLinePunct w:val="0"/>
        <w:autoSpaceDE w:val="0"/>
        <w:autoSpaceDN w:val="0"/>
        <w:bidi w:val="0"/>
        <w:adjustRightInd w:val="0"/>
        <w:snapToGrid/>
        <w:spacing w:line="480" w:lineRule="exact"/>
        <w:ind w:firstLine="480" w:firstLineChars="200"/>
        <w:jc w:val="left"/>
        <w:textAlignment w:val="auto"/>
        <w:outlineLvl w:val="0"/>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（2）工程竣工结算时一次性扣留质量保证金；</w:t>
      </w:r>
    </w:p>
    <w:p>
      <w:pPr>
        <w:pageBreakBefore w:val="0"/>
        <w:widowControl w:val="0"/>
        <w:kinsoku/>
        <w:wordWrap/>
        <w:overflowPunct/>
        <w:topLinePunct w:val="0"/>
        <w:autoSpaceDE w:val="0"/>
        <w:autoSpaceDN w:val="0"/>
        <w:bidi w:val="0"/>
        <w:adjustRightInd w:val="0"/>
        <w:snapToGrid/>
        <w:spacing w:line="480" w:lineRule="exact"/>
        <w:ind w:firstLine="480" w:firstLineChars="200"/>
        <w:jc w:val="left"/>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（3）其他扣留方式:</w:t>
      </w: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hint="eastAsia" w:ascii="Times New Roman" w:hAnsi="Times New Roman" w:eastAsia="仿宋_GB2312"/>
          <w:color w:val="000000"/>
          <w:kern w:val="0"/>
          <w:sz w:val="24"/>
          <w:szCs w:val="24"/>
          <w:u w:val="single"/>
        </w:rPr>
      </w:pPr>
      <w:r>
        <w:rPr>
          <w:rFonts w:ascii="Times New Roman" w:hAnsi="Times New Roman" w:eastAsia="仿宋_GB2312"/>
          <w:color w:val="000000"/>
          <w:sz w:val="24"/>
          <w:szCs w:val="24"/>
        </w:rPr>
        <w:t>关于质量保证金的补充约定：</w:t>
      </w: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color w:val="000000"/>
          <w:sz w:val="24"/>
          <w:szCs w:val="24"/>
        </w:rPr>
      </w:pP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rPr>
        <w:t>。</w:t>
      </w:r>
    </w:p>
    <w:bookmarkEnd w:id="591"/>
    <w:bookmarkEnd w:id="592"/>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ascii="Times New Roman" w:hAnsi="Times New Roman" w:eastAsia="黑体"/>
          <w:color w:val="000000"/>
          <w:sz w:val="24"/>
          <w:szCs w:val="24"/>
        </w:rPr>
      </w:pPr>
      <w:r>
        <w:rPr>
          <w:rFonts w:ascii="Times New Roman" w:hAnsi="Times New Roman" w:eastAsia="黑体"/>
          <w:color w:val="000000"/>
          <w:sz w:val="24"/>
          <w:szCs w:val="24"/>
        </w:rPr>
        <w:t>15.4保修</w:t>
      </w:r>
    </w:p>
    <w:bookmarkEnd w:id="593"/>
    <w:p>
      <w:pPr>
        <w:pageBreakBefore w:val="0"/>
        <w:widowControl w:val="0"/>
        <w:kinsoku/>
        <w:wordWrap/>
        <w:overflowPunct/>
        <w:topLinePunct w:val="0"/>
        <w:bidi w:val="0"/>
        <w:snapToGrid/>
        <w:spacing w:line="480" w:lineRule="exact"/>
        <w:ind w:firstLine="468" w:firstLineChars="195"/>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15.4.1 保修责任</w:t>
      </w:r>
    </w:p>
    <w:p>
      <w:pPr>
        <w:pageBreakBefore w:val="0"/>
        <w:widowControl w:val="0"/>
        <w:kinsoku/>
        <w:wordWrap/>
        <w:overflowPunct/>
        <w:topLinePunct w:val="0"/>
        <w:bidi w:val="0"/>
        <w:snapToGrid/>
        <w:spacing w:line="480" w:lineRule="exact"/>
        <w:ind w:firstLine="468" w:firstLineChars="195"/>
        <w:jc w:val="left"/>
        <w:textAlignment w:val="auto"/>
        <w:rPr>
          <w:rFonts w:ascii="Times New Roman" w:hAnsi="Times New Roman" w:eastAsia="仿宋_GB2312"/>
          <w:color w:val="000000"/>
          <w:kern w:val="0"/>
          <w:sz w:val="24"/>
          <w:szCs w:val="24"/>
          <w:u w:val="single"/>
        </w:rPr>
      </w:pPr>
      <w:r>
        <w:rPr>
          <w:rFonts w:ascii="Times New Roman" w:hAnsi="Times New Roman" w:eastAsia="仿宋_GB2312"/>
          <w:color w:val="000000"/>
          <w:sz w:val="24"/>
          <w:szCs w:val="24"/>
        </w:rPr>
        <w:t>工程保修期为：</w:t>
      </w:r>
      <w:r>
        <w:rPr>
          <w:rFonts w:ascii="Times New Roman" w:hAnsi="Times New Roman" w:eastAsia="仿宋_GB2312"/>
          <w:color w:val="000000"/>
          <w:kern w:val="0"/>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rPr>
        <w:t>。</w:t>
      </w:r>
    </w:p>
    <w:p>
      <w:pPr>
        <w:pageBreakBefore w:val="0"/>
        <w:widowControl w:val="0"/>
        <w:kinsoku/>
        <w:wordWrap/>
        <w:overflowPunct/>
        <w:topLinePunct w:val="0"/>
        <w:bidi w:val="0"/>
        <w:snapToGrid/>
        <w:spacing w:line="480" w:lineRule="exact"/>
        <w:ind w:firstLine="468" w:firstLineChars="195"/>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15.4.3 修复通知</w:t>
      </w:r>
    </w:p>
    <w:p>
      <w:pPr>
        <w:pageBreakBefore w:val="0"/>
        <w:widowControl w:val="0"/>
        <w:kinsoku/>
        <w:wordWrap/>
        <w:overflowPunct/>
        <w:topLinePunct w:val="0"/>
        <w:bidi w:val="0"/>
        <w:snapToGrid/>
        <w:spacing w:line="480" w:lineRule="exact"/>
        <w:ind w:firstLine="468" w:firstLineChars="195"/>
        <w:jc w:val="left"/>
        <w:textAlignment w:val="auto"/>
        <w:rPr>
          <w:rFonts w:ascii="Times New Roman" w:hAnsi="Times New Roman" w:eastAsia="仿宋_GB2312"/>
          <w:color w:val="000000"/>
          <w:kern w:val="0"/>
          <w:sz w:val="24"/>
          <w:szCs w:val="24"/>
          <w:u w:val="single"/>
        </w:rPr>
      </w:pPr>
      <w:r>
        <w:rPr>
          <w:rFonts w:ascii="Times New Roman" w:hAnsi="Times New Roman" w:eastAsia="仿宋_GB2312"/>
          <w:color w:val="000000"/>
          <w:kern w:val="0"/>
          <w:sz w:val="24"/>
          <w:szCs w:val="24"/>
        </w:rPr>
        <w:t>承包人收到保修通知并到达工程现场的合理时间：</w:t>
      </w:r>
      <w:r>
        <w:rPr>
          <w:rFonts w:ascii="Times New Roman" w:hAnsi="Times New Roman" w:eastAsia="仿宋_GB2312"/>
          <w:color w:val="000000"/>
          <w:kern w:val="0"/>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rPr>
        <w:t>。</w:t>
      </w:r>
    </w:p>
    <w:bookmarkEnd w:id="594"/>
    <w:bookmarkEnd w:id="595"/>
    <w:bookmarkEnd w:id="596"/>
    <w:bookmarkEnd w:id="597"/>
    <w:p>
      <w:pPr>
        <w:pStyle w:val="7"/>
        <w:keepNext/>
        <w:keepLines/>
        <w:pageBreakBefore w:val="0"/>
        <w:widowControl w:val="0"/>
        <w:kinsoku/>
        <w:wordWrap/>
        <w:overflowPunct/>
        <w:topLinePunct w:val="0"/>
        <w:autoSpaceDE/>
        <w:autoSpaceDN/>
        <w:bidi w:val="0"/>
        <w:adjustRightInd/>
        <w:snapToGrid/>
        <w:spacing w:line="480" w:lineRule="exact"/>
        <w:textAlignment w:val="auto"/>
        <w:outlineLvl w:val="3"/>
        <w:rPr>
          <w:rFonts w:ascii="Times New Roman" w:hAnsi="Times New Roman" w:eastAsia="黑体"/>
          <w:b w:val="0"/>
          <w:color w:val="000000"/>
          <w:sz w:val="24"/>
          <w:szCs w:val="24"/>
        </w:rPr>
      </w:pPr>
      <w:bookmarkStart w:id="620" w:name="_Toc351203648"/>
      <w:bookmarkStart w:id="621" w:name="_Toc280868717"/>
      <w:bookmarkStart w:id="622" w:name="_Toc280868718"/>
      <w:r>
        <w:rPr>
          <w:rFonts w:ascii="Times New Roman" w:hAnsi="Times New Roman" w:eastAsia="黑体"/>
          <w:b w:val="0"/>
          <w:color w:val="000000"/>
          <w:sz w:val="24"/>
          <w:szCs w:val="24"/>
        </w:rPr>
        <w:t>16. 违约</w:t>
      </w:r>
      <w:bookmarkEnd w:id="620"/>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0"/>
        <w:rPr>
          <w:rFonts w:ascii="Times New Roman" w:hAnsi="Times New Roman" w:eastAsia="黑体"/>
          <w:color w:val="000000"/>
          <w:sz w:val="24"/>
          <w:szCs w:val="24"/>
        </w:rPr>
      </w:pPr>
      <w:r>
        <w:rPr>
          <w:rFonts w:ascii="Times New Roman" w:hAnsi="Times New Roman" w:eastAsia="黑体"/>
          <w:color w:val="000000"/>
          <w:sz w:val="24"/>
          <w:szCs w:val="24"/>
        </w:rPr>
        <w:t>16.1 发包人违约</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16.1.1发包人违约的情形</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kern w:val="0"/>
          <w:sz w:val="24"/>
          <w:szCs w:val="24"/>
          <w:u w:val="single"/>
        </w:rPr>
      </w:pPr>
      <w:r>
        <w:rPr>
          <w:rFonts w:ascii="Times New Roman" w:hAnsi="Times New Roman" w:eastAsia="仿宋_GB2312"/>
          <w:color w:val="000000"/>
          <w:kern w:val="0"/>
          <w:sz w:val="24"/>
          <w:szCs w:val="24"/>
        </w:rPr>
        <w:t>发包人违约的其他情形：</w:t>
      </w:r>
      <w:r>
        <w:rPr>
          <w:rFonts w:ascii="Times New Roman" w:hAnsi="Times New Roman" w:eastAsia="仿宋_GB2312"/>
          <w:color w:val="000000"/>
          <w:kern w:val="0"/>
          <w:sz w:val="24"/>
          <w:szCs w:val="24"/>
          <w:u w:val="single"/>
        </w:rPr>
        <w:t xml:space="preserve">                                </w:t>
      </w:r>
    </w:p>
    <w:p>
      <w:pPr>
        <w:pageBreakBefore w:val="0"/>
        <w:widowControl w:val="0"/>
        <w:kinsoku/>
        <w:wordWrap/>
        <w:overflowPunct/>
        <w:topLinePunct w:val="0"/>
        <w:bidi w:val="0"/>
        <w:snapToGrid/>
        <w:spacing w:line="480" w:lineRule="exact"/>
        <w:ind w:left="1500" w:hanging="1200" w:hangingChars="500"/>
        <w:jc w:val="left"/>
        <w:textAlignment w:val="auto"/>
        <w:rPr>
          <w:rFonts w:hint="eastAsia" w:ascii="Times New Roman" w:hAnsi="Times New Roman" w:eastAsia="仿宋_GB2312"/>
          <w:color w:val="000000"/>
          <w:kern w:val="0"/>
          <w:sz w:val="24"/>
          <w:szCs w:val="24"/>
        </w:rPr>
      </w:pP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rPr>
        <w:t>。</w:t>
      </w:r>
    </w:p>
    <w:p>
      <w:pPr>
        <w:pageBreakBefore w:val="0"/>
        <w:widowControl w:val="0"/>
        <w:kinsoku/>
        <w:wordWrap/>
        <w:overflowPunct/>
        <w:topLinePunct w:val="0"/>
        <w:bidi w:val="0"/>
        <w:snapToGrid/>
        <w:spacing w:line="480" w:lineRule="exact"/>
        <w:ind w:left="1500" w:hanging="1200" w:hangingChars="500"/>
        <w:jc w:val="left"/>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 xml:space="preserve">    16.1.2 发包人违约的责任</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发包人违约责任的承担方式和计算方法：</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kern w:val="0"/>
          <w:sz w:val="24"/>
          <w:szCs w:val="24"/>
          <w:u w:val="single"/>
        </w:rPr>
      </w:pPr>
      <w:r>
        <w:rPr>
          <w:rFonts w:ascii="Times New Roman" w:hAnsi="Times New Roman" w:eastAsia="仿宋_GB2312"/>
          <w:color w:val="000000"/>
          <w:kern w:val="0"/>
          <w:sz w:val="24"/>
          <w:szCs w:val="24"/>
        </w:rPr>
        <w:t>（1）因发包人原因未能在计划开工日期前7天内下达开工通知的违约责任：</w:t>
      </w: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（2）因发包人原因未能按合同约定支付合同价款的违约责任：</w:t>
      </w: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hint="eastAsia" w:ascii="Times New Roman" w:hAnsi="Times New Roman" w:eastAsia="仿宋_GB2312"/>
          <w:color w:val="000000"/>
          <w:kern w:val="0"/>
          <w:sz w:val="24"/>
          <w:szCs w:val="24"/>
          <w:u w:val="single"/>
        </w:rPr>
      </w:pPr>
      <w:r>
        <w:rPr>
          <w:rFonts w:ascii="Times New Roman" w:hAnsi="Times New Roman" w:eastAsia="仿宋_GB2312"/>
          <w:color w:val="000000"/>
          <w:kern w:val="0"/>
          <w:sz w:val="24"/>
          <w:szCs w:val="24"/>
        </w:rPr>
        <w:t>（3）发包人违反第10.1款</w:t>
      </w:r>
      <w:r>
        <w:rPr>
          <w:rFonts w:hint="eastAsia" w:ascii="Times New Roman" w:hAnsi="Times New Roman" w:eastAsia="仿宋_GB2312"/>
          <w:color w:val="000000"/>
          <w:kern w:val="0"/>
          <w:sz w:val="24"/>
          <w:szCs w:val="24"/>
        </w:rPr>
        <w:t>〔</w:t>
      </w:r>
      <w:r>
        <w:rPr>
          <w:rFonts w:ascii="Times New Roman" w:hAnsi="Times New Roman" w:eastAsia="仿宋_GB2312"/>
          <w:color w:val="000000"/>
          <w:kern w:val="0"/>
          <w:sz w:val="24"/>
          <w:szCs w:val="24"/>
        </w:rPr>
        <w:t>变更的范围</w:t>
      </w:r>
      <w:r>
        <w:rPr>
          <w:rFonts w:hint="eastAsia" w:ascii="Times New Roman" w:hAnsi="Times New Roman" w:eastAsia="仿宋_GB2312"/>
          <w:color w:val="000000"/>
          <w:kern w:val="0"/>
          <w:sz w:val="24"/>
          <w:szCs w:val="24"/>
        </w:rPr>
        <w:t>〕</w:t>
      </w:r>
      <w:r>
        <w:rPr>
          <w:rFonts w:ascii="Times New Roman" w:hAnsi="Times New Roman" w:eastAsia="仿宋_GB2312"/>
          <w:color w:val="000000"/>
          <w:kern w:val="0"/>
          <w:sz w:val="24"/>
          <w:szCs w:val="24"/>
        </w:rPr>
        <w:t>第（2）项约定，自行实施被取消的工作或转由他人实施的违约责任：</w:t>
      </w: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（4）发包人提供的材料、工程设备的规格、数量或质量不符合合同约定，或因发包人原因导致交货日期延误或交货地点变更等情况的违约责任：</w:t>
      </w: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kern w:val="0"/>
          <w:sz w:val="24"/>
          <w:szCs w:val="24"/>
          <w:u w:val="single"/>
        </w:rPr>
      </w:pPr>
      <w:r>
        <w:rPr>
          <w:rFonts w:ascii="Times New Roman" w:hAnsi="Times New Roman" w:eastAsia="仿宋_GB2312"/>
          <w:color w:val="000000"/>
          <w:kern w:val="0"/>
          <w:sz w:val="24"/>
          <w:szCs w:val="24"/>
        </w:rPr>
        <w:t>（5）因发包人违反合同约定造成暂停施工的违约责任：</w:t>
      </w:r>
      <w:r>
        <w:rPr>
          <w:rFonts w:ascii="Times New Roman" w:hAnsi="Times New Roman" w:eastAsia="仿宋_GB2312"/>
          <w:color w:val="000000"/>
          <w:kern w:val="0"/>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（6）发包人无正当理由没有在约定期限内发出复工指示，导致承包人无法复工的违约责任：</w:t>
      </w: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（7）</w:t>
      </w:r>
      <w:r>
        <w:rPr>
          <w:rFonts w:hint="eastAsia" w:ascii="Times New Roman" w:hAnsi="Times New Roman" w:eastAsia="仿宋_GB2312"/>
          <w:color w:val="000000"/>
          <w:kern w:val="0"/>
          <w:sz w:val="24"/>
          <w:szCs w:val="24"/>
        </w:rPr>
        <w:t>其他：</w:t>
      </w: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16.1.3 因发包人违约解除合同</w:t>
      </w:r>
    </w:p>
    <w:p>
      <w:pPr>
        <w:pageBreakBefore w:val="0"/>
        <w:widowControl w:val="0"/>
        <w:kinsoku/>
        <w:wordWrap/>
        <w:overflowPunct/>
        <w:topLinePunct w:val="0"/>
        <w:autoSpaceDE w:val="0"/>
        <w:autoSpaceDN w:val="0"/>
        <w:bidi w:val="0"/>
        <w:adjustRightInd w:val="0"/>
        <w:snapToGrid/>
        <w:spacing w:line="480" w:lineRule="exact"/>
        <w:ind w:firstLine="480" w:firstLineChars="200"/>
        <w:jc w:val="left"/>
        <w:textAlignment w:val="auto"/>
        <w:rPr>
          <w:rFonts w:hint="eastAsia" w:ascii="Times New Roman" w:hAnsi="Times New Roman" w:eastAsia="仿宋_GB2312"/>
          <w:color w:val="000000"/>
          <w:kern w:val="0"/>
          <w:sz w:val="24"/>
          <w:szCs w:val="24"/>
        </w:rPr>
      </w:pPr>
      <w:r>
        <w:rPr>
          <w:rFonts w:ascii="Times New Roman" w:hAnsi="Times New Roman" w:eastAsia="仿宋_GB2312"/>
          <w:color w:val="000000"/>
          <w:kern w:val="0"/>
          <w:sz w:val="24"/>
          <w:szCs w:val="24"/>
        </w:rPr>
        <w:t>承包人按16.1.1项</w:t>
      </w:r>
      <w:r>
        <w:rPr>
          <w:rFonts w:hint="eastAsia" w:ascii="Times New Roman" w:hAnsi="Times New Roman" w:eastAsia="仿宋_GB2312"/>
          <w:color w:val="000000"/>
          <w:kern w:val="0"/>
          <w:sz w:val="24"/>
          <w:szCs w:val="24"/>
        </w:rPr>
        <w:t>〔</w:t>
      </w:r>
      <w:r>
        <w:rPr>
          <w:rFonts w:ascii="Times New Roman" w:hAnsi="Times New Roman" w:eastAsia="仿宋_GB2312"/>
          <w:color w:val="000000"/>
          <w:kern w:val="0"/>
          <w:sz w:val="24"/>
          <w:szCs w:val="24"/>
        </w:rPr>
        <w:t>发包人违约的情形</w:t>
      </w:r>
      <w:r>
        <w:rPr>
          <w:rFonts w:hint="eastAsia" w:ascii="Times New Roman" w:hAnsi="Times New Roman" w:eastAsia="仿宋_GB2312"/>
          <w:color w:val="000000"/>
          <w:kern w:val="0"/>
          <w:sz w:val="24"/>
          <w:szCs w:val="24"/>
        </w:rPr>
        <w:t>〕</w:t>
      </w:r>
      <w:r>
        <w:rPr>
          <w:rFonts w:ascii="Times New Roman" w:hAnsi="Times New Roman" w:eastAsia="仿宋_GB2312"/>
          <w:color w:val="000000"/>
          <w:kern w:val="0"/>
          <w:sz w:val="24"/>
          <w:szCs w:val="24"/>
        </w:rPr>
        <w:t>约定暂停施工满</w:t>
      </w:r>
      <w:r>
        <w:rPr>
          <w:rFonts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rPr>
        <w:t>天后发包人仍不纠正其违约行为并致使合同目的不能实现的，承包人有权解除合同。</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0"/>
        <w:rPr>
          <w:rFonts w:ascii="Times New Roman" w:hAnsi="Times New Roman" w:eastAsia="黑体"/>
          <w:color w:val="000000"/>
          <w:sz w:val="24"/>
          <w:szCs w:val="24"/>
        </w:rPr>
      </w:pPr>
      <w:r>
        <w:rPr>
          <w:rFonts w:ascii="Times New Roman" w:hAnsi="Times New Roman" w:eastAsia="黑体"/>
          <w:color w:val="000000"/>
          <w:sz w:val="24"/>
          <w:szCs w:val="24"/>
        </w:rPr>
        <w:t>16.2 承包人违约</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16.2.1 承包人违约的情形</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kern w:val="0"/>
          <w:sz w:val="24"/>
          <w:szCs w:val="24"/>
          <w:u w:val="single"/>
        </w:rPr>
      </w:pPr>
      <w:r>
        <w:rPr>
          <w:rFonts w:ascii="Times New Roman" w:hAnsi="Times New Roman" w:eastAsia="仿宋_GB2312"/>
          <w:color w:val="000000"/>
          <w:kern w:val="0"/>
          <w:sz w:val="24"/>
          <w:szCs w:val="24"/>
        </w:rPr>
        <w:t>承包人违约的其他情形：</w:t>
      </w:r>
      <w:r>
        <w:rPr>
          <w:rFonts w:ascii="Times New Roman" w:hAnsi="Times New Roman" w:eastAsia="仿宋_GB2312"/>
          <w:color w:val="000000"/>
          <w:kern w:val="0"/>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16.2.2承包人违约的责任</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kern w:val="0"/>
          <w:sz w:val="24"/>
          <w:szCs w:val="24"/>
          <w:u w:val="single"/>
        </w:rPr>
      </w:pPr>
      <w:r>
        <w:rPr>
          <w:rFonts w:ascii="Times New Roman" w:hAnsi="Times New Roman" w:eastAsia="仿宋_GB2312"/>
          <w:color w:val="000000"/>
          <w:kern w:val="0"/>
          <w:sz w:val="24"/>
          <w:szCs w:val="24"/>
        </w:rPr>
        <w:t>承包人违约责任的承担方式和计算方法：</w:t>
      </w:r>
      <w:r>
        <w:rPr>
          <w:rFonts w:ascii="Times New Roman" w:hAnsi="Times New Roman" w:eastAsia="仿宋_GB2312"/>
          <w:color w:val="000000"/>
          <w:kern w:val="0"/>
          <w:sz w:val="24"/>
          <w:szCs w:val="24"/>
          <w:u w:val="single"/>
        </w:rPr>
        <w:t xml:space="preserve">                  </w:t>
      </w:r>
    </w:p>
    <w:p>
      <w:pPr>
        <w:pageBreakBefore w:val="0"/>
        <w:widowControl w:val="0"/>
        <w:kinsoku/>
        <w:wordWrap/>
        <w:overflowPunct/>
        <w:topLinePunct w:val="0"/>
        <w:bidi w:val="0"/>
        <w:snapToGrid/>
        <w:spacing w:line="480" w:lineRule="exact"/>
        <w:ind w:left="1500" w:hanging="1200" w:hangingChars="500"/>
        <w:jc w:val="left"/>
        <w:textAlignment w:val="auto"/>
        <w:rPr>
          <w:rFonts w:ascii="Times New Roman" w:hAnsi="Times New Roman" w:eastAsia="仿宋_GB2312"/>
          <w:color w:val="000000"/>
          <w:kern w:val="0"/>
          <w:sz w:val="24"/>
          <w:szCs w:val="24"/>
          <w:u w:val="single"/>
        </w:rPr>
      </w:pPr>
      <w:r>
        <w:rPr>
          <w:rFonts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rPr>
        <w:t>。</w:t>
      </w:r>
      <w:r>
        <w:rPr>
          <w:rFonts w:ascii="Times New Roman" w:hAnsi="Times New Roman" w:eastAsia="仿宋_GB2312"/>
          <w:color w:val="000000"/>
          <w:sz w:val="24"/>
          <w:szCs w:val="24"/>
        </w:rPr>
        <w:t xml:space="preserve">    </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16.2.3 因承包人违约解除合同</w:t>
      </w:r>
    </w:p>
    <w:p>
      <w:pPr>
        <w:pageBreakBefore w:val="0"/>
        <w:widowControl w:val="0"/>
        <w:kinsoku/>
        <w:wordWrap/>
        <w:overflowPunct/>
        <w:topLinePunct w:val="0"/>
        <w:bidi w:val="0"/>
        <w:snapToGrid/>
        <w:spacing w:before="120" w:after="120" w:line="480" w:lineRule="exact"/>
        <w:ind w:firstLine="480" w:firstLineChars="200"/>
        <w:textAlignment w:val="auto"/>
        <w:rPr>
          <w:rFonts w:hint="eastAsia" w:ascii="Times New Roman" w:hAnsi="Times New Roman" w:eastAsia="仿宋_GB2312"/>
          <w:color w:val="000000"/>
          <w:kern w:val="0"/>
          <w:sz w:val="24"/>
          <w:szCs w:val="24"/>
          <w:u w:val="single"/>
        </w:rPr>
      </w:pPr>
      <w:r>
        <w:rPr>
          <w:rFonts w:ascii="Times New Roman" w:hAnsi="Times New Roman" w:eastAsia="仿宋_GB2312"/>
          <w:color w:val="000000"/>
          <w:kern w:val="0"/>
          <w:sz w:val="24"/>
          <w:szCs w:val="24"/>
        </w:rPr>
        <w:t>关于承包人违约解除合同的特别约定：</w:t>
      </w: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p>
    <w:p>
      <w:pPr>
        <w:pageBreakBefore w:val="0"/>
        <w:widowControl w:val="0"/>
        <w:kinsoku/>
        <w:wordWrap/>
        <w:overflowPunct/>
        <w:topLinePunct w:val="0"/>
        <w:bidi w:val="0"/>
        <w:snapToGrid/>
        <w:spacing w:before="120" w:after="120" w:line="480" w:lineRule="exact"/>
        <w:textAlignment w:val="auto"/>
        <w:rPr>
          <w:rFonts w:hint="eastAsia" w:ascii="Times New Roman" w:hAnsi="Times New Roman" w:eastAsia="仿宋_GB2312"/>
          <w:color w:val="000000"/>
          <w:kern w:val="0"/>
          <w:sz w:val="24"/>
          <w:szCs w:val="24"/>
        </w:rPr>
      </w:pP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rPr>
        <w:t>。</w:t>
      </w:r>
    </w:p>
    <w:p>
      <w:pPr>
        <w:pageBreakBefore w:val="0"/>
        <w:widowControl w:val="0"/>
        <w:kinsoku/>
        <w:wordWrap/>
        <w:overflowPunct/>
        <w:topLinePunct w:val="0"/>
        <w:bidi w:val="0"/>
        <w:snapToGrid/>
        <w:spacing w:before="120" w:after="120" w:line="480" w:lineRule="exact"/>
        <w:ind w:firstLine="480" w:firstLineChars="200"/>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发包人</w:t>
      </w:r>
      <w:r>
        <w:rPr>
          <w:rFonts w:hint="eastAsia" w:ascii="Times New Roman" w:hAnsi="Times New Roman" w:eastAsia="仿宋_GB2312"/>
          <w:color w:val="000000"/>
          <w:kern w:val="0"/>
          <w:sz w:val="24"/>
          <w:szCs w:val="24"/>
        </w:rPr>
        <w:t>继续</w:t>
      </w:r>
      <w:r>
        <w:rPr>
          <w:rFonts w:ascii="Times New Roman" w:hAnsi="Times New Roman" w:eastAsia="仿宋_GB2312"/>
          <w:color w:val="000000"/>
          <w:kern w:val="0"/>
          <w:sz w:val="24"/>
          <w:szCs w:val="24"/>
        </w:rPr>
        <w:t>使用承包人在施工现场的材料、设备、临时工程、承包人文件和由承包人或以其名义编制的其他文件</w:t>
      </w:r>
      <w:r>
        <w:rPr>
          <w:rFonts w:hint="eastAsia" w:ascii="Times New Roman" w:hAnsi="Times New Roman" w:eastAsia="仿宋_GB2312"/>
          <w:color w:val="000000"/>
          <w:kern w:val="0"/>
          <w:sz w:val="24"/>
          <w:szCs w:val="24"/>
        </w:rPr>
        <w:t>的费用承担方式</w:t>
      </w:r>
      <w:r>
        <w:rPr>
          <w:rFonts w:ascii="Times New Roman" w:hAnsi="Times New Roman" w:eastAsia="仿宋_GB2312"/>
          <w:color w:val="000000"/>
          <w:kern w:val="0"/>
          <w:sz w:val="24"/>
          <w:szCs w:val="24"/>
        </w:rPr>
        <w:t>：</w:t>
      </w:r>
    </w:p>
    <w:p>
      <w:pPr>
        <w:pageBreakBefore w:val="0"/>
        <w:widowControl w:val="0"/>
        <w:kinsoku/>
        <w:wordWrap/>
        <w:overflowPunct/>
        <w:topLinePunct w:val="0"/>
        <w:bidi w:val="0"/>
        <w:snapToGrid/>
        <w:spacing w:before="120" w:after="120" w:line="480" w:lineRule="exact"/>
        <w:ind w:firstLine="480" w:firstLineChars="200"/>
        <w:textAlignment w:val="auto"/>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rPr>
        <w:t>。</w:t>
      </w:r>
    </w:p>
    <w:p>
      <w:pPr>
        <w:pStyle w:val="7"/>
        <w:keepNext/>
        <w:keepLines/>
        <w:pageBreakBefore w:val="0"/>
        <w:widowControl w:val="0"/>
        <w:kinsoku/>
        <w:wordWrap/>
        <w:overflowPunct/>
        <w:topLinePunct w:val="0"/>
        <w:autoSpaceDE/>
        <w:autoSpaceDN/>
        <w:bidi w:val="0"/>
        <w:adjustRightInd/>
        <w:snapToGrid/>
        <w:spacing w:line="480" w:lineRule="exact"/>
        <w:textAlignment w:val="auto"/>
        <w:outlineLvl w:val="3"/>
        <w:rPr>
          <w:rFonts w:ascii="Times New Roman" w:hAnsi="Times New Roman" w:eastAsia="黑体"/>
          <w:b w:val="0"/>
          <w:color w:val="000000"/>
          <w:sz w:val="24"/>
          <w:szCs w:val="24"/>
        </w:rPr>
      </w:pPr>
      <w:bookmarkStart w:id="623" w:name="_Toc351203649"/>
      <w:r>
        <w:rPr>
          <w:rFonts w:ascii="Times New Roman" w:hAnsi="Times New Roman" w:eastAsia="黑体"/>
          <w:b w:val="0"/>
          <w:color w:val="000000"/>
          <w:sz w:val="24"/>
          <w:szCs w:val="24"/>
        </w:rPr>
        <w:t>17. 不可抗力</w:t>
      </w:r>
      <w:bookmarkEnd w:id="623"/>
      <w:r>
        <w:rPr>
          <w:rFonts w:ascii="Times New Roman" w:hAnsi="Times New Roman" w:eastAsia="黑体"/>
          <w:b w:val="0"/>
          <w:color w:val="000000"/>
          <w:sz w:val="24"/>
          <w:szCs w:val="24"/>
        </w:rPr>
        <w:t xml:space="preserve"> </w:t>
      </w:r>
      <w:bookmarkEnd w:id="621"/>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ascii="Times New Roman" w:hAnsi="Times New Roman" w:eastAsia="黑体"/>
          <w:color w:val="000000"/>
          <w:sz w:val="24"/>
          <w:szCs w:val="24"/>
        </w:rPr>
      </w:pPr>
      <w:r>
        <w:rPr>
          <w:rFonts w:ascii="Times New Roman" w:hAnsi="Times New Roman" w:eastAsia="黑体"/>
          <w:color w:val="000000"/>
          <w:sz w:val="24"/>
          <w:szCs w:val="24"/>
        </w:rPr>
        <w:t>17.1 不可抗力的确认</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kern w:val="0"/>
          <w:sz w:val="24"/>
          <w:szCs w:val="24"/>
          <w:u w:val="single"/>
        </w:rPr>
      </w:pPr>
      <w:r>
        <w:rPr>
          <w:rFonts w:ascii="Times New Roman" w:hAnsi="Times New Roman" w:eastAsia="仿宋_GB2312"/>
          <w:color w:val="000000"/>
          <w:sz w:val="24"/>
          <w:szCs w:val="24"/>
        </w:rPr>
        <w:t xml:space="preserve">除通用合同条款约定的不可抗力事件之外，视为不可抗力的其他情形： </w:t>
      </w: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0"/>
        <w:rPr>
          <w:rFonts w:ascii="Times New Roman" w:hAnsi="Times New Roman" w:eastAsia="黑体"/>
          <w:color w:val="000000"/>
          <w:sz w:val="24"/>
          <w:szCs w:val="24"/>
        </w:rPr>
      </w:pPr>
      <w:r>
        <w:rPr>
          <w:rFonts w:ascii="Times New Roman" w:hAnsi="Times New Roman" w:eastAsia="黑体"/>
          <w:color w:val="000000"/>
          <w:sz w:val="24"/>
          <w:szCs w:val="24"/>
        </w:rPr>
        <w:t>17.4 因不可抗力解除合同</w:t>
      </w:r>
    </w:p>
    <w:p>
      <w:pPr>
        <w:pageBreakBefore w:val="0"/>
        <w:widowControl w:val="0"/>
        <w:kinsoku/>
        <w:wordWrap/>
        <w:overflowPunct/>
        <w:topLinePunct w:val="0"/>
        <w:bidi w:val="0"/>
        <w:snapToGrid/>
        <w:spacing w:line="480" w:lineRule="exact"/>
        <w:ind w:firstLine="480" w:firstLineChars="200"/>
        <w:jc w:val="left"/>
        <w:textAlignment w:val="auto"/>
        <w:rPr>
          <w:rFonts w:hint="eastAsia" w:ascii="Times New Roman" w:hAnsi="Times New Roman" w:eastAsia="仿宋_GB2312"/>
          <w:color w:val="000000"/>
          <w:sz w:val="24"/>
          <w:szCs w:val="24"/>
        </w:rPr>
      </w:pPr>
      <w:r>
        <w:rPr>
          <w:rFonts w:ascii="Times New Roman" w:hAnsi="Times New Roman" w:eastAsia="仿宋_GB2312"/>
          <w:color w:val="000000"/>
          <w:sz w:val="24"/>
          <w:szCs w:val="24"/>
        </w:rPr>
        <w:t>合同解除后，发包人应在商定或确定发包人应支付款项后</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天内完成款项的支付。</w:t>
      </w:r>
    </w:p>
    <w:p>
      <w:pPr>
        <w:pStyle w:val="7"/>
        <w:keepNext/>
        <w:keepLines/>
        <w:pageBreakBefore w:val="0"/>
        <w:widowControl w:val="0"/>
        <w:kinsoku/>
        <w:wordWrap/>
        <w:overflowPunct/>
        <w:topLinePunct w:val="0"/>
        <w:autoSpaceDE/>
        <w:autoSpaceDN/>
        <w:bidi w:val="0"/>
        <w:adjustRightInd/>
        <w:snapToGrid/>
        <w:spacing w:line="480" w:lineRule="exact"/>
        <w:textAlignment w:val="auto"/>
        <w:outlineLvl w:val="3"/>
        <w:rPr>
          <w:rFonts w:ascii="Times New Roman" w:hAnsi="Times New Roman" w:eastAsia="黑体"/>
          <w:b w:val="0"/>
          <w:color w:val="000000"/>
          <w:sz w:val="24"/>
          <w:szCs w:val="24"/>
        </w:rPr>
      </w:pPr>
      <w:bookmarkStart w:id="624" w:name="_Toc351203650"/>
      <w:r>
        <w:rPr>
          <w:rFonts w:ascii="Times New Roman" w:hAnsi="Times New Roman" w:eastAsia="黑体"/>
          <w:b w:val="0"/>
          <w:color w:val="000000"/>
          <w:sz w:val="24"/>
          <w:szCs w:val="24"/>
        </w:rPr>
        <w:t>18. 保险</w:t>
      </w:r>
      <w:bookmarkEnd w:id="624"/>
    </w:p>
    <w:bookmarkEnd w:id="622"/>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ascii="Times New Roman" w:hAnsi="Times New Roman" w:eastAsia="黑体"/>
          <w:color w:val="000000"/>
          <w:sz w:val="24"/>
          <w:szCs w:val="24"/>
        </w:rPr>
      </w:pPr>
      <w:r>
        <w:rPr>
          <w:rFonts w:ascii="Times New Roman" w:hAnsi="Times New Roman" w:eastAsia="黑体"/>
          <w:color w:val="000000"/>
          <w:sz w:val="24"/>
          <w:szCs w:val="24"/>
        </w:rPr>
        <w:t>18.1 工程保险</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关于工程保险的特别约定：</w:t>
      </w: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0"/>
        <w:rPr>
          <w:rFonts w:ascii="Times New Roman" w:hAnsi="Times New Roman" w:eastAsia="黑体"/>
          <w:color w:val="000000"/>
          <w:sz w:val="24"/>
          <w:szCs w:val="24"/>
        </w:rPr>
      </w:pPr>
      <w:r>
        <w:rPr>
          <w:rFonts w:ascii="Times New Roman" w:hAnsi="Times New Roman" w:eastAsia="黑体"/>
          <w:color w:val="000000"/>
          <w:sz w:val="24"/>
          <w:szCs w:val="24"/>
        </w:rPr>
        <w:t>18.3 其他保险</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kern w:val="0"/>
          <w:sz w:val="24"/>
          <w:szCs w:val="24"/>
        </w:rPr>
      </w:pPr>
      <w:r>
        <w:rPr>
          <w:rFonts w:ascii="Times New Roman" w:hAnsi="Times New Roman" w:eastAsia="仿宋_GB2312"/>
          <w:color w:val="000000"/>
          <w:sz w:val="24"/>
          <w:szCs w:val="24"/>
        </w:rPr>
        <w:t>关于其他保险的约定：</w:t>
      </w: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r>
        <w:rPr>
          <w:rFonts w:hint="eastAsia"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u w:val="single"/>
        </w:rPr>
        <w:t xml:space="preserve">     </w:t>
      </w:r>
      <w:r>
        <w:rPr>
          <w:rFonts w:ascii="Times New Roman" w:hAnsi="Times New Roman" w:eastAsia="仿宋_GB2312"/>
          <w:color w:val="000000"/>
          <w:kern w:val="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u w:val="single"/>
        </w:rPr>
      </w:pPr>
      <w:r>
        <w:rPr>
          <w:rFonts w:ascii="Times New Roman" w:hAnsi="Times New Roman" w:eastAsia="仿宋_GB2312"/>
          <w:color w:val="000000"/>
          <w:sz w:val="24"/>
          <w:szCs w:val="24"/>
        </w:rPr>
        <w:t>承包人是否应为其施工设备等办理财产保险：</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color w:val="000000"/>
          <w:kern w:val="0"/>
          <w:sz w:val="24"/>
          <w:szCs w:val="24"/>
        </w:rPr>
      </w:pP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ascii="Times New Roman" w:hAnsi="Times New Roman" w:eastAsia="黑体"/>
          <w:color w:val="000000"/>
          <w:sz w:val="24"/>
          <w:szCs w:val="24"/>
        </w:rPr>
      </w:pPr>
      <w:r>
        <w:rPr>
          <w:rFonts w:ascii="Times New Roman" w:hAnsi="Times New Roman" w:eastAsia="黑体"/>
          <w:color w:val="000000"/>
          <w:sz w:val="24"/>
          <w:szCs w:val="24"/>
        </w:rPr>
        <w:t>18.7 通知义务</w:t>
      </w:r>
    </w:p>
    <w:p>
      <w:pPr>
        <w:pageBreakBefore w:val="0"/>
        <w:widowControl w:val="0"/>
        <w:kinsoku/>
        <w:wordWrap/>
        <w:overflowPunct/>
        <w:topLinePunct w:val="0"/>
        <w:bidi w:val="0"/>
        <w:snapToGrid/>
        <w:spacing w:line="480" w:lineRule="exact"/>
        <w:ind w:firstLine="480" w:firstLineChars="200"/>
        <w:jc w:val="left"/>
        <w:textAlignment w:val="auto"/>
        <w:rPr>
          <w:rFonts w:hint="eastAsia" w:ascii="Times New Roman" w:hAnsi="Times New Roman" w:eastAsia="仿宋_GB2312"/>
          <w:color w:val="000000"/>
          <w:sz w:val="24"/>
          <w:szCs w:val="24"/>
          <w:u w:val="single"/>
        </w:rPr>
      </w:pPr>
      <w:r>
        <w:rPr>
          <w:rFonts w:ascii="Times New Roman" w:hAnsi="Times New Roman" w:eastAsia="仿宋_GB2312"/>
          <w:color w:val="000000"/>
          <w:kern w:val="0"/>
          <w:sz w:val="24"/>
          <w:szCs w:val="24"/>
        </w:rPr>
        <w:t>关于变更保险合同时的通知义务的约定：</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bookmarkEnd w:id="598"/>
    <w:bookmarkEnd w:id="599"/>
    <w:bookmarkEnd w:id="600"/>
    <w:bookmarkEnd w:id="601"/>
    <w:bookmarkEnd w:id="602"/>
    <w:bookmarkEnd w:id="603"/>
    <w:bookmarkEnd w:id="604"/>
    <w:bookmarkEnd w:id="605"/>
    <w:bookmarkEnd w:id="606"/>
    <w:bookmarkEnd w:id="607"/>
    <w:bookmarkEnd w:id="608"/>
    <w:bookmarkEnd w:id="609"/>
    <w:p>
      <w:pPr>
        <w:pStyle w:val="7"/>
        <w:keepNext/>
        <w:keepLines/>
        <w:pageBreakBefore w:val="0"/>
        <w:widowControl w:val="0"/>
        <w:kinsoku/>
        <w:wordWrap/>
        <w:overflowPunct/>
        <w:topLinePunct w:val="0"/>
        <w:autoSpaceDE/>
        <w:autoSpaceDN/>
        <w:bidi w:val="0"/>
        <w:adjustRightInd/>
        <w:snapToGrid/>
        <w:spacing w:line="480" w:lineRule="exact"/>
        <w:textAlignment w:val="auto"/>
        <w:outlineLvl w:val="3"/>
        <w:rPr>
          <w:rFonts w:ascii="Times New Roman" w:hAnsi="Times New Roman" w:eastAsia="黑体"/>
          <w:b w:val="0"/>
          <w:color w:val="000000"/>
          <w:sz w:val="24"/>
          <w:szCs w:val="24"/>
        </w:rPr>
      </w:pPr>
      <w:bookmarkStart w:id="625" w:name="_Toc351203651"/>
      <w:r>
        <w:rPr>
          <w:rFonts w:ascii="Times New Roman" w:hAnsi="Times New Roman" w:eastAsia="黑体"/>
          <w:b w:val="0"/>
          <w:color w:val="000000"/>
          <w:sz w:val="24"/>
          <w:szCs w:val="24"/>
        </w:rPr>
        <w:t>20. 争议解决</w:t>
      </w:r>
      <w:bookmarkEnd w:id="625"/>
    </w:p>
    <w:bookmarkEnd w:id="610"/>
    <w:bookmarkEnd w:id="611"/>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0"/>
        <w:rPr>
          <w:rFonts w:ascii="Times New Roman" w:hAnsi="Times New Roman" w:eastAsia="黑体"/>
          <w:color w:val="000000"/>
          <w:sz w:val="24"/>
          <w:szCs w:val="24"/>
        </w:rPr>
      </w:pPr>
      <w:r>
        <w:rPr>
          <w:rFonts w:ascii="Times New Roman" w:hAnsi="Times New Roman" w:eastAsia="黑体"/>
          <w:color w:val="000000"/>
          <w:sz w:val="24"/>
          <w:szCs w:val="24"/>
        </w:rPr>
        <w:t>20.3 争</w:t>
      </w:r>
      <w:bookmarkEnd w:id="612"/>
      <w:r>
        <w:rPr>
          <w:rFonts w:ascii="Times New Roman" w:hAnsi="Times New Roman" w:eastAsia="黑体"/>
          <w:color w:val="000000"/>
          <w:sz w:val="24"/>
          <w:szCs w:val="24"/>
        </w:rPr>
        <w:t>议评审</w:t>
      </w:r>
    </w:p>
    <w:p>
      <w:pPr>
        <w:pageBreakBefore w:val="0"/>
        <w:widowControl w:val="0"/>
        <w:kinsoku/>
        <w:wordWrap/>
        <w:overflowPunct/>
        <w:topLinePunct w:val="0"/>
        <w:bidi w:val="0"/>
        <w:snapToGrid/>
        <w:spacing w:line="480" w:lineRule="exact"/>
        <w:ind w:left="241" w:leftChars="71" w:firstLine="360" w:firstLineChars="150"/>
        <w:jc w:val="left"/>
        <w:textAlignment w:val="auto"/>
        <w:rPr>
          <w:rFonts w:hint="eastAsia" w:ascii="Times New Roman" w:hAnsi="Times New Roman" w:eastAsia="仿宋_GB2312"/>
          <w:color w:val="000000"/>
          <w:sz w:val="24"/>
          <w:szCs w:val="24"/>
          <w:u w:val="single"/>
        </w:rPr>
      </w:pPr>
      <w:r>
        <w:rPr>
          <w:rFonts w:ascii="Times New Roman" w:hAnsi="Times New Roman" w:eastAsia="仿宋_GB2312"/>
          <w:color w:val="000000"/>
          <w:sz w:val="24"/>
          <w:szCs w:val="24"/>
        </w:rPr>
        <w:t>合同当事人是否同意将工程争议提交争议评审小组决</w:t>
      </w:r>
      <w:r>
        <w:rPr>
          <w:rFonts w:hint="eastAsia" w:ascii="Times New Roman" w:hAnsi="Times New Roman" w:eastAsia="仿宋_GB2312"/>
          <w:color w:val="000000"/>
          <w:sz w:val="24"/>
          <w:szCs w:val="24"/>
        </w:rPr>
        <w:t>定：</w:t>
      </w:r>
      <w:r>
        <w:rPr>
          <w:rFonts w:hint="eastAsia" w:ascii="Times New Roman" w:hAnsi="Times New Roman" w:eastAsia="仿宋_GB2312"/>
          <w:color w:val="000000"/>
          <w:sz w:val="24"/>
          <w:szCs w:val="24"/>
          <w:u w:val="single"/>
        </w:rPr>
        <w:t xml:space="preserve">    </w:t>
      </w:r>
    </w:p>
    <w:p>
      <w:pPr>
        <w:pageBreakBefore w:val="0"/>
        <w:widowControl w:val="0"/>
        <w:kinsoku/>
        <w:wordWrap/>
        <w:overflowPunct/>
        <w:topLinePunct w:val="0"/>
        <w:bidi w:val="0"/>
        <w:snapToGrid/>
        <w:spacing w:line="480" w:lineRule="exact"/>
        <w:jc w:val="left"/>
        <w:textAlignment w:val="auto"/>
        <w:rPr>
          <w:rFonts w:ascii="Times New Roman" w:hAnsi="Times New Roman" w:eastAsia="仿宋_GB2312"/>
          <w:color w:val="000000"/>
          <w:sz w:val="24"/>
          <w:szCs w:val="24"/>
        </w:rPr>
      </w:pPr>
      <w:r>
        <w:rPr>
          <w:rFonts w:hint="eastAsia"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rPr>
        <w:t xml:space="preserve">。  </w:t>
      </w:r>
    </w:p>
    <w:p>
      <w:pPr>
        <w:pageBreakBefore w:val="0"/>
        <w:widowControl w:val="0"/>
        <w:kinsoku/>
        <w:wordWrap/>
        <w:overflowPunct/>
        <w:topLinePunct w:val="0"/>
        <w:bidi w:val="0"/>
        <w:snapToGrid/>
        <w:spacing w:line="480" w:lineRule="exact"/>
        <w:ind w:firstLine="480" w:firstLineChars="200"/>
        <w:jc w:val="left"/>
        <w:textAlignment w:val="auto"/>
        <w:outlineLvl w:val="0"/>
        <w:rPr>
          <w:rFonts w:ascii="Times New Roman" w:hAnsi="Times New Roman" w:eastAsia="仿宋_GB2312"/>
          <w:color w:val="000000"/>
          <w:sz w:val="24"/>
          <w:szCs w:val="24"/>
        </w:rPr>
      </w:pPr>
      <w:r>
        <w:rPr>
          <w:rFonts w:ascii="Times New Roman" w:hAnsi="Times New Roman" w:eastAsia="仿宋_GB2312"/>
          <w:color w:val="000000"/>
          <w:sz w:val="24"/>
          <w:szCs w:val="24"/>
        </w:rPr>
        <w:t>20.3.1 争议评审小组的确定</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u w:val="single"/>
        </w:rPr>
      </w:pPr>
      <w:r>
        <w:rPr>
          <w:rFonts w:ascii="Times New Roman" w:hAnsi="Times New Roman" w:eastAsia="仿宋_GB2312"/>
          <w:color w:val="000000"/>
          <w:sz w:val="24"/>
          <w:szCs w:val="24"/>
        </w:rPr>
        <w:t>争议评审小组成员的确定：</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选定争议评审员的期限：</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争议评审小组成员的报酬承担方式：</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其他事项的约定：</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pageBreakBefore w:val="0"/>
        <w:widowControl w:val="0"/>
        <w:kinsoku/>
        <w:wordWrap/>
        <w:overflowPunct/>
        <w:topLinePunct w:val="0"/>
        <w:autoSpaceDE w:val="0"/>
        <w:autoSpaceDN w:val="0"/>
        <w:bidi w:val="0"/>
        <w:adjustRightInd w:val="0"/>
        <w:snapToGrid/>
        <w:spacing w:line="480" w:lineRule="exact"/>
        <w:ind w:firstLine="480" w:firstLineChars="200"/>
        <w:jc w:val="left"/>
        <w:textAlignment w:val="auto"/>
        <w:outlineLvl w:val="0"/>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20.3.2 争议评审小组的决定</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合同当事人关于本项的约定：</w:t>
      </w:r>
      <w:r>
        <w:rPr>
          <w:rFonts w:ascii="Times New Roman" w:hAnsi="Times New Roman" w:eastAsia="仿宋_GB2312"/>
          <w:color w:val="000000"/>
          <w:sz w:val="24"/>
          <w:szCs w:val="24"/>
          <w:u w:val="single"/>
        </w:rPr>
        <w:t xml:space="preserve">                      </w:t>
      </w:r>
      <w:r>
        <w:rPr>
          <w:rFonts w:hint="eastAsia"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0"/>
        <w:rPr>
          <w:rFonts w:hint="eastAsia" w:ascii="Times New Roman" w:hAnsi="Times New Roman" w:eastAsia="黑体"/>
          <w:color w:val="000000"/>
          <w:sz w:val="24"/>
          <w:szCs w:val="24"/>
        </w:rPr>
      </w:pPr>
      <w:r>
        <w:rPr>
          <w:rFonts w:ascii="Times New Roman" w:hAnsi="Times New Roman" w:eastAsia="黑体"/>
          <w:color w:val="000000"/>
          <w:sz w:val="24"/>
          <w:szCs w:val="24"/>
        </w:rPr>
        <w:t>20.4仲裁或诉讼</w:t>
      </w:r>
      <w:bookmarkEnd w:id="613"/>
    </w:p>
    <w:p>
      <w:pPr>
        <w:pageBreakBefore w:val="0"/>
        <w:widowControl w:val="0"/>
        <w:kinsoku/>
        <w:wordWrap/>
        <w:overflowPunct/>
        <w:topLinePunct w:val="0"/>
        <w:bidi w:val="0"/>
        <w:snapToGrid/>
        <w:spacing w:after="120" w:line="480" w:lineRule="exact"/>
        <w:ind w:firstLine="480" w:firstLineChars="200"/>
        <w:textAlignment w:val="auto"/>
        <w:rPr>
          <w:rFonts w:ascii="Times New Roman" w:hAnsi="Times New Roman" w:eastAsia="黑体"/>
          <w:color w:val="000000"/>
          <w:sz w:val="24"/>
          <w:szCs w:val="24"/>
        </w:rPr>
      </w:pPr>
      <w:r>
        <w:rPr>
          <w:rFonts w:ascii="Times New Roman" w:hAnsi="Times New Roman" w:eastAsia="仿宋_GB2312"/>
          <w:color w:val="000000"/>
          <w:sz w:val="24"/>
          <w:szCs w:val="24"/>
        </w:rPr>
        <w:t>因合同及合同有关事项发生的争议，按下列第</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种方式</w:t>
      </w:r>
      <w:r>
        <w:rPr>
          <w:rFonts w:hint="eastAsia" w:ascii="Times New Roman" w:hAnsi="Times New Roman" w:eastAsia="仿宋_GB2312"/>
          <w:color w:val="000000"/>
          <w:sz w:val="24"/>
          <w:szCs w:val="24"/>
        </w:rPr>
        <w:t>解</w:t>
      </w:r>
      <w:r>
        <w:rPr>
          <w:rFonts w:ascii="Times New Roman" w:hAnsi="Times New Roman" w:eastAsia="仿宋_GB2312"/>
          <w:color w:val="000000"/>
          <w:sz w:val="24"/>
          <w:szCs w:val="24"/>
        </w:rPr>
        <w:t>决：</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（1）向</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仲裁委员会申请仲裁；</w:t>
      </w:r>
    </w:p>
    <w:p>
      <w:pPr>
        <w:pageBreakBefore w:val="0"/>
        <w:widowControl w:val="0"/>
        <w:kinsoku/>
        <w:wordWrap/>
        <w:overflowPunct/>
        <w:topLinePunct w:val="0"/>
        <w:bidi w:val="0"/>
        <w:snapToGrid/>
        <w:spacing w:line="480" w:lineRule="exact"/>
        <w:ind w:firstLine="480" w:firstLineChars="200"/>
        <w:jc w:val="left"/>
        <w:textAlignment w:val="auto"/>
        <w:rPr>
          <w:rFonts w:ascii="Times New Roman" w:hAnsi="Times New Roman" w:eastAsia="仿宋_GB2312"/>
          <w:color w:val="000000"/>
          <w:sz w:val="24"/>
          <w:szCs w:val="24"/>
        </w:rPr>
      </w:pPr>
      <w:r>
        <w:rPr>
          <w:rFonts w:ascii="Times New Roman" w:hAnsi="Times New Roman" w:eastAsia="仿宋_GB2312"/>
          <w:color w:val="000000"/>
          <w:sz w:val="24"/>
          <w:szCs w:val="24"/>
        </w:rPr>
        <w:t>（2）向</w:t>
      </w:r>
      <w:r>
        <w:rPr>
          <w:rFonts w:ascii="Times New Roman" w:hAnsi="Times New Roman" w:eastAsia="仿宋_GB2312"/>
          <w:color w:val="000000"/>
          <w:sz w:val="24"/>
          <w:szCs w:val="24"/>
          <w:u w:val="single"/>
        </w:rPr>
        <w:t xml:space="preserve">                     </w:t>
      </w:r>
      <w:r>
        <w:rPr>
          <w:rFonts w:ascii="Times New Roman" w:hAnsi="Times New Roman" w:eastAsia="仿宋_GB2312"/>
          <w:color w:val="000000"/>
          <w:sz w:val="24"/>
          <w:szCs w:val="24"/>
        </w:rPr>
        <w:t>人民法院起诉。</w:t>
      </w:r>
      <w:bookmarkEnd w:id="614"/>
      <w:bookmarkEnd w:id="615"/>
      <w:bookmarkEnd w:id="616"/>
      <w:bookmarkEnd w:id="617"/>
      <w:bookmarkEnd w:id="618"/>
      <w:bookmarkEnd w:id="619"/>
    </w:p>
    <w:p>
      <w:pPr>
        <w:autoSpaceDE w:val="0"/>
        <w:autoSpaceDN w:val="0"/>
        <w:adjustRightInd w:val="0"/>
        <w:jc w:val="center"/>
        <w:outlineLvl w:val="0"/>
        <w:rPr>
          <w:rFonts w:hAnsi="宋体" w:cs="黑体"/>
          <w:b/>
          <w:sz w:val="36"/>
          <w:szCs w:val="36"/>
        </w:rPr>
      </w:pPr>
    </w:p>
    <w:p>
      <w:pPr>
        <w:autoSpaceDE w:val="0"/>
        <w:autoSpaceDN w:val="0"/>
        <w:adjustRightInd w:val="0"/>
        <w:jc w:val="center"/>
        <w:outlineLvl w:val="0"/>
        <w:rPr>
          <w:rFonts w:hint="eastAsia" w:hAnsi="宋体" w:cs="黑体"/>
          <w:b/>
          <w:sz w:val="36"/>
          <w:szCs w:val="36"/>
        </w:rPr>
      </w:pPr>
    </w:p>
    <w:p>
      <w:pPr>
        <w:autoSpaceDE w:val="0"/>
        <w:autoSpaceDN w:val="0"/>
        <w:adjustRightInd w:val="0"/>
        <w:jc w:val="center"/>
        <w:outlineLvl w:val="0"/>
        <w:rPr>
          <w:rFonts w:hAnsi="宋体" w:cs="黑体"/>
          <w:b/>
          <w:sz w:val="36"/>
          <w:szCs w:val="36"/>
        </w:rPr>
      </w:pPr>
      <w:r>
        <w:rPr>
          <w:rFonts w:hint="eastAsia" w:hAnsi="宋体" w:cs="黑体"/>
          <w:b/>
          <w:sz w:val="36"/>
          <w:szCs w:val="36"/>
        </w:rPr>
        <w:t>第五章 工程量清单</w:t>
      </w:r>
    </w:p>
    <w:p>
      <w:pPr>
        <w:spacing w:line="440" w:lineRule="exact"/>
        <w:rPr>
          <w:rFonts w:ascii="新宋体" w:hAnsi="新宋体" w:eastAsia="新宋体"/>
          <w:b/>
          <w:sz w:val="24"/>
        </w:rPr>
      </w:pPr>
      <w:r>
        <w:rPr>
          <w:rFonts w:hint="eastAsia" w:ascii="新宋体" w:hAnsi="新宋体" w:eastAsia="新宋体"/>
          <w:b/>
          <w:sz w:val="24"/>
        </w:rPr>
        <w:t>1、工程量清单说明</w:t>
      </w:r>
    </w:p>
    <w:p>
      <w:pPr>
        <w:spacing w:line="440" w:lineRule="exact"/>
        <w:ind w:left="1" w:firstLine="480" w:firstLineChars="200"/>
        <w:rPr>
          <w:rFonts w:ascii="新宋体" w:hAnsi="新宋体" w:eastAsia="新宋体"/>
          <w:sz w:val="24"/>
        </w:rPr>
      </w:pPr>
      <w:r>
        <w:rPr>
          <w:rFonts w:hint="eastAsia" w:ascii="新宋体" w:hAnsi="新宋体" w:eastAsia="新宋体"/>
          <w:sz w:val="24"/>
        </w:rPr>
        <w:t>1.1 本工程量清单是依据中华人民共和国国家标准《建设工程工程量清单计价规范》(以下简称“计价规范”)以及招标文件中包括的图纸等编制。计价规范中规定的工程量计算规则中没有的子目，应在本章第1.4款约定；计价规范中规定的工程量计算规则中没有且本章第1.4款也未约定的，双方协商确定；协商不成的，可向省级或行业工程造价管理机构申请裁定或按照有合同约束力的图纸所标示尺寸的理论净量计算。计量采用中华人民共和国法定的基本计量单位。</w:t>
      </w:r>
    </w:p>
    <w:p>
      <w:pPr>
        <w:spacing w:line="440" w:lineRule="exact"/>
        <w:ind w:left="1" w:firstLine="480" w:firstLineChars="200"/>
        <w:rPr>
          <w:rFonts w:ascii="新宋体" w:hAnsi="新宋体" w:eastAsia="新宋体"/>
          <w:sz w:val="24"/>
        </w:rPr>
      </w:pPr>
      <w:r>
        <w:rPr>
          <w:rFonts w:hint="eastAsia" w:ascii="新宋体" w:hAnsi="新宋体" w:eastAsia="新宋体"/>
          <w:sz w:val="24"/>
        </w:rPr>
        <w:t>1.2 本工程量清单应与招标文件中的投标人须知、通用合同条款、专用合同条款、技术标准和要求及图纸等章节内容一起阅读和理解。</w:t>
      </w:r>
    </w:p>
    <w:p>
      <w:pPr>
        <w:spacing w:line="440" w:lineRule="exact"/>
        <w:ind w:left="1" w:firstLine="480" w:firstLineChars="200"/>
        <w:rPr>
          <w:rFonts w:ascii="新宋体" w:hAnsi="新宋体" w:eastAsia="新宋体"/>
          <w:sz w:val="24"/>
        </w:rPr>
      </w:pPr>
      <w:r>
        <w:rPr>
          <w:rFonts w:hint="eastAsia" w:ascii="新宋体" w:hAnsi="新宋体" w:eastAsia="新宋体"/>
          <w:sz w:val="24"/>
        </w:rPr>
        <w:t>1.3 本工程量清单仅是投标报价的共同基础，竣工结算的工程量按合同约定确定。合同价格的确定以及价款支付应遵循合同条款(包括通用合同条款和专用合同条款)、技术标准和要求以及本章的有关约定。</w:t>
      </w:r>
    </w:p>
    <w:p>
      <w:pPr>
        <w:spacing w:line="440" w:lineRule="exact"/>
        <w:ind w:left="1" w:firstLine="480" w:firstLineChars="200"/>
        <w:rPr>
          <w:rFonts w:ascii="新宋体" w:hAnsi="新宋体" w:eastAsia="新宋体"/>
          <w:sz w:val="24"/>
          <w:u w:val="single"/>
        </w:rPr>
      </w:pPr>
      <w:r>
        <w:rPr>
          <w:rFonts w:hint="eastAsia" w:ascii="新宋体" w:hAnsi="新宋体" w:eastAsia="新宋体"/>
          <w:sz w:val="24"/>
        </w:rPr>
        <w:t>1.4补充子目的子目特征、计量单位、工程量计算规则及工作内容说明如下：</w:t>
      </w:r>
      <w:r>
        <w:rPr>
          <w:rFonts w:hint="eastAsia" w:ascii="新宋体" w:hAnsi="新宋体" w:eastAsia="新宋体"/>
          <w:sz w:val="24"/>
          <w:u w:val="single"/>
        </w:rPr>
        <w:t>本工程使用《河南省建设工程工程量清单</w:t>
      </w:r>
      <w:r>
        <w:rPr>
          <w:rFonts w:hint="eastAsia" w:ascii="新宋体" w:hAnsi="新宋体" w:eastAsia="新宋体"/>
          <w:sz w:val="24"/>
          <w:u w:val="single"/>
          <w:lang w:val="en-US" w:eastAsia="zh-CN"/>
        </w:rPr>
        <w:t>计价规范</w:t>
      </w:r>
      <w:r>
        <w:rPr>
          <w:rFonts w:hint="eastAsia" w:ascii="新宋体" w:hAnsi="新宋体" w:eastAsia="新宋体"/>
          <w:sz w:val="24"/>
          <w:u w:val="single"/>
        </w:rPr>
        <w:t>》（</w:t>
      </w:r>
      <w:r>
        <w:rPr>
          <w:rFonts w:hint="eastAsia" w:ascii="新宋体" w:hAnsi="新宋体" w:eastAsia="新宋体"/>
          <w:sz w:val="24"/>
          <w:u w:val="single"/>
          <w:lang w:val="en-US" w:eastAsia="zh-CN"/>
        </w:rPr>
        <w:t>GB50500-2013</w:t>
      </w:r>
      <w:r>
        <w:rPr>
          <w:rFonts w:hint="eastAsia" w:ascii="新宋体" w:hAnsi="新宋体" w:eastAsia="新宋体"/>
          <w:sz w:val="24"/>
          <w:u w:val="single"/>
        </w:rPr>
        <w:t>）</w:t>
      </w:r>
    </w:p>
    <w:p>
      <w:pPr>
        <w:spacing w:line="440" w:lineRule="exact"/>
        <w:ind w:left="1" w:firstLine="480" w:firstLineChars="200"/>
        <w:rPr>
          <w:rFonts w:ascii="新宋体" w:hAnsi="新宋体" w:eastAsia="新宋体"/>
          <w:sz w:val="24"/>
        </w:rPr>
      </w:pPr>
      <w:r>
        <w:rPr>
          <w:rFonts w:hint="eastAsia" w:ascii="新宋体" w:hAnsi="新宋体" w:eastAsia="新宋体"/>
          <w:sz w:val="24"/>
        </w:rPr>
        <w:t>1.5 本条第1.1款中约定的计量和计价规则适用于合同履约过程中工程量计量与价款支付、工程变更、索赔和工程结算。</w:t>
      </w:r>
    </w:p>
    <w:p>
      <w:pPr>
        <w:tabs>
          <w:tab w:val="left" w:pos="0"/>
        </w:tabs>
        <w:spacing w:line="440" w:lineRule="exact"/>
        <w:ind w:left="321" w:firstLine="112" w:firstLineChars="47"/>
        <w:rPr>
          <w:rFonts w:ascii="新宋体" w:hAnsi="新宋体" w:eastAsia="新宋体"/>
          <w:sz w:val="24"/>
        </w:rPr>
      </w:pPr>
      <w:r>
        <w:rPr>
          <w:rFonts w:hint="eastAsia" w:ascii="新宋体" w:hAnsi="新宋体" w:eastAsia="新宋体"/>
          <w:sz w:val="24"/>
        </w:rPr>
        <w:t>1.6 本条与下述第2条和第3条的说明内容是构成合同文件的已标价工程量清单的组成部分。</w:t>
      </w:r>
    </w:p>
    <w:p>
      <w:pPr>
        <w:spacing w:line="440" w:lineRule="exact"/>
        <w:rPr>
          <w:rFonts w:ascii="新宋体" w:hAnsi="新宋体" w:eastAsia="新宋体"/>
          <w:b/>
          <w:sz w:val="24"/>
        </w:rPr>
      </w:pPr>
      <w:r>
        <w:rPr>
          <w:rFonts w:hint="eastAsia" w:ascii="新宋体" w:hAnsi="新宋体" w:eastAsia="新宋体"/>
          <w:b/>
          <w:sz w:val="24"/>
        </w:rPr>
        <w:t>2、投标报价说明</w:t>
      </w:r>
    </w:p>
    <w:p>
      <w:pPr>
        <w:spacing w:line="440" w:lineRule="exact"/>
        <w:ind w:firstLine="237" w:firstLineChars="99"/>
        <w:rPr>
          <w:rFonts w:ascii="新宋体" w:hAnsi="新宋体" w:eastAsia="新宋体"/>
          <w:sz w:val="24"/>
        </w:rPr>
      </w:pPr>
      <w:r>
        <w:rPr>
          <w:rFonts w:hint="eastAsia" w:ascii="新宋体" w:hAnsi="新宋体" w:eastAsia="新宋体"/>
          <w:sz w:val="24"/>
        </w:rPr>
        <w:t>2.1 投标报价应根据招标文件中的有关计价要求，并按照下列依据自主报价。</w:t>
      </w:r>
    </w:p>
    <w:p>
      <w:pPr>
        <w:spacing w:line="440" w:lineRule="exact"/>
        <w:ind w:firstLine="240" w:firstLineChars="100"/>
        <w:rPr>
          <w:rFonts w:ascii="新宋体" w:hAnsi="新宋体" w:eastAsia="新宋体"/>
          <w:sz w:val="24"/>
        </w:rPr>
      </w:pPr>
      <w:r>
        <w:rPr>
          <w:rFonts w:hint="eastAsia" w:hAnsi="宋体" w:cs="宋体"/>
          <w:sz w:val="24"/>
          <w:szCs w:val="22"/>
        </w:rPr>
        <w:t>（1） 本</w:t>
      </w:r>
      <w:r>
        <w:rPr>
          <w:rFonts w:hint="eastAsia" w:ascii="新宋体" w:hAnsi="新宋体" w:eastAsia="新宋体"/>
          <w:sz w:val="24"/>
        </w:rPr>
        <w:t>招标文件；</w:t>
      </w:r>
    </w:p>
    <w:p>
      <w:pPr>
        <w:spacing w:line="440" w:lineRule="exact"/>
        <w:ind w:firstLine="240" w:firstLineChars="100"/>
        <w:rPr>
          <w:rFonts w:hAnsi="宋体" w:cs="宋体"/>
          <w:sz w:val="24"/>
        </w:rPr>
      </w:pPr>
      <w:r>
        <w:rPr>
          <w:rFonts w:hint="eastAsia" w:hAnsi="宋体" w:cs="宋体"/>
          <w:sz w:val="24"/>
        </w:rPr>
        <w:t>（2）《建设工程工程量清单计价规范》</w:t>
      </w:r>
      <w:r>
        <w:rPr>
          <w:rFonts w:hint="eastAsia" w:hAnsi="宋体" w:cs="宋体"/>
          <w:sz w:val="24"/>
          <w:lang w:val="en-US" w:eastAsia="zh-CN"/>
        </w:rPr>
        <w:t>GB 50500-</w:t>
      </w:r>
      <w:r>
        <w:rPr>
          <w:rFonts w:hint="eastAsia" w:hAnsi="宋体" w:cs="宋体"/>
          <w:sz w:val="24"/>
        </w:rPr>
        <w:t>2013</w:t>
      </w:r>
      <w:r>
        <w:rPr>
          <w:rFonts w:hint="eastAsia" w:hAnsi="宋体" w:cs="宋体"/>
          <w:sz w:val="24"/>
          <w:lang w:eastAsia="zh-CN"/>
        </w:rPr>
        <w:t>、《</w:t>
      </w:r>
      <w:r>
        <w:rPr>
          <w:rFonts w:hint="eastAsia" w:hAnsi="宋体" w:cs="宋体"/>
          <w:sz w:val="24"/>
          <w:lang w:val="en-US" w:eastAsia="zh-CN"/>
        </w:rPr>
        <w:t>河南省市政工程预算定额</w:t>
      </w:r>
      <w:r>
        <w:rPr>
          <w:rFonts w:hint="eastAsia" w:hAnsi="宋体" w:cs="宋体"/>
          <w:sz w:val="24"/>
          <w:lang w:eastAsia="zh-CN"/>
        </w:rPr>
        <w:t>》（</w:t>
      </w:r>
      <w:r>
        <w:rPr>
          <w:rFonts w:hint="eastAsia" w:hAnsi="宋体" w:cs="宋体"/>
          <w:sz w:val="24"/>
          <w:lang w:val="en-US" w:eastAsia="zh-CN"/>
        </w:rPr>
        <w:t>HA A1-31-2016）及其相关配套文件。</w:t>
      </w:r>
    </w:p>
    <w:p>
      <w:pPr>
        <w:spacing w:line="440" w:lineRule="exact"/>
        <w:ind w:firstLine="240" w:firstLineChars="100"/>
        <w:rPr>
          <w:rFonts w:hAnsi="宋体" w:cs="宋体"/>
          <w:sz w:val="24"/>
        </w:rPr>
      </w:pPr>
      <w:r>
        <w:rPr>
          <w:rFonts w:hint="eastAsia" w:hAnsi="宋体" w:cs="宋体"/>
          <w:sz w:val="24"/>
        </w:rPr>
        <w:t>（</w:t>
      </w:r>
      <w:r>
        <w:rPr>
          <w:rFonts w:hint="eastAsia" w:hAnsi="宋体" w:cs="宋体"/>
          <w:sz w:val="24"/>
          <w:lang w:val="en-US" w:eastAsia="zh-CN"/>
        </w:rPr>
        <w:t>3</w:t>
      </w:r>
      <w:r>
        <w:rPr>
          <w:rFonts w:hint="eastAsia" w:hAnsi="宋体" w:cs="宋体"/>
          <w:sz w:val="24"/>
        </w:rPr>
        <w:t>）材料价格参考201</w:t>
      </w:r>
      <w:r>
        <w:rPr>
          <w:rFonts w:hint="eastAsia" w:hAnsi="宋体" w:cs="宋体"/>
          <w:sz w:val="24"/>
          <w:lang w:val="en-US" w:eastAsia="zh-CN"/>
        </w:rPr>
        <w:t>9</w:t>
      </w:r>
      <w:r>
        <w:rPr>
          <w:rFonts w:hint="eastAsia" w:hAnsi="宋体" w:cs="宋体"/>
          <w:sz w:val="24"/>
        </w:rPr>
        <w:t>年【许昌工程造价信息】第</w:t>
      </w:r>
      <w:r>
        <w:rPr>
          <w:rFonts w:hint="eastAsia" w:hAnsi="宋体" w:cs="宋体"/>
          <w:sz w:val="24"/>
          <w:lang w:val="en-US" w:eastAsia="zh-CN"/>
        </w:rPr>
        <w:t>1</w:t>
      </w:r>
      <w:r>
        <w:rPr>
          <w:rFonts w:hint="eastAsia" w:hAnsi="宋体" w:cs="宋体"/>
          <w:sz w:val="24"/>
        </w:rPr>
        <w:t>期</w:t>
      </w:r>
      <w:r>
        <w:rPr>
          <w:rFonts w:hint="eastAsia" w:hAnsi="宋体" w:cs="宋体"/>
          <w:sz w:val="24"/>
          <w:lang w:val="en-US" w:eastAsia="zh-CN"/>
        </w:rPr>
        <w:t>2月材料价格及市场询价</w:t>
      </w:r>
      <w:r>
        <w:rPr>
          <w:rFonts w:hint="eastAsia" w:hAnsi="宋体" w:cs="宋体"/>
          <w:sz w:val="24"/>
        </w:rPr>
        <w:t>；</w:t>
      </w:r>
    </w:p>
    <w:p>
      <w:pPr>
        <w:spacing w:line="440" w:lineRule="exact"/>
        <w:ind w:firstLine="240" w:firstLineChars="100"/>
        <w:rPr>
          <w:rFonts w:hAnsi="宋体" w:cs="宋体"/>
          <w:sz w:val="24"/>
        </w:rPr>
      </w:pPr>
      <w:r>
        <w:rPr>
          <w:rFonts w:hint="eastAsia" w:hAnsi="宋体" w:cs="宋体"/>
          <w:sz w:val="24"/>
        </w:rPr>
        <w:t>（</w:t>
      </w:r>
      <w:r>
        <w:rPr>
          <w:rFonts w:hint="eastAsia" w:hAnsi="宋体" w:cs="宋体"/>
          <w:sz w:val="24"/>
          <w:lang w:val="en-US" w:eastAsia="zh-CN"/>
        </w:rPr>
        <w:t>4</w:t>
      </w:r>
      <w:r>
        <w:rPr>
          <w:rFonts w:hint="eastAsia" w:hAnsi="宋体" w:cs="宋体"/>
          <w:sz w:val="24"/>
        </w:rPr>
        <w:t>）税金按</w:t>
      </w:r>
      <w:r>
        <w:rPr>
          <w:rFonts w:hint="eastAsia" w:hAnsi="宋体" w:cs="宋体"/>
          <w:sz w:val="24"/>
          <w:lang w:val="en-US" w:eastAsia="zh-CN"/>
        </w:rPr>
        <w:t>9</w:t>
      </w:r>
      <w:r>
        <w:rPr>
          <w:rFonts w:hint="eastAsia" w:hAnsi="宋体" w:cs="宋体"/>
          <w:sz w:val="24"/>
        </w:rPr>
        <w:t>%计入；</w:t>
      </w:r>
    </w:p>
    <w:p>
      <w:pPr>
        <w:spacing w:line="440" w:lineRule="exact"/>
        <w:ind w:firstLine="240" w:firstLineChars="100"/>
        <w:rPr>
          <w:rFonts w:hAnsi="宋体" w:cs="宋体"/>
          <w:sz w:val="24"/>
        </w:rPr>
      </w:pPr>
      <w:r>
        <w:rPr>
          <w:rFonts w:hint="eastAsia" w:hAnsi="宋体" w:cs="宋体"/>
          <w:sz w:val="24"/>
        </w:rPr>
        <w:t>（</w:t>
      </w:r>
      <w:r>
        <w:rPr>
          <w:rFonts w:hint="eastAsia" w:hAnsi="宋体" w:cs="宋体"/>
          <w:sz w:val="24"/>
          <w:lang w:val="en-US" w:eastAsia="zh-CN"/>
        </w:rPr>
        <w:t>5</w:t>
      </w:r>
      <w:r>
        <w:rPr>
          <w:rFonts w:hint="eastAsia" w:hAnsi="宋体" w:cs="宋体"/>
          <w:sz w:val="24"/>
        </w:rPr>
        <w:t>）</w:t>
      </w:r>
      <w:r>
        <w:rPr>
          <w:rFonts w:hint="eastAsia" w:hAnsi="宋体" w:cs="宋体"/>
          <w:sz w:val="24"/>
          <w:lang w:val="en-US" w:eastAsia="zh-CN"/>
        </w:rPr>
        <w:t>价格指数按豫建标定【2018】40号文发布的2018年7-12月价格指数进行调整</w:t>
      </w:r>
      <w:r>
        <w:rPr>
          <w:rFonts w:hint="eastAsia" w:hAnsi="宋体" w:cs="宋体"/>
          <w:sz w:val="24"/>
        </w:rPr>
        <w:t>。</w:t>
      </w:r>
    </w:p>
    <w:p>
      <w:pPr>
        <w:spacing w:line="440" w:lineRule="exact"/>
        <w:ind w:firstLine="237" w:firstLineChars="99"/>
        <w:rPr>
          <w:rFonts w:ascii="新宋体" w:hAnsi="新宋体" w:eastAsia="新宋体"/>
          <w:sz w:val="24"/>
          <w:szCs w:val="22"/>
        </w:rPr>
      </w:pPr>
      <w:r>
        <w:rPr>
          <w:rFonts w:hint="eastAsia" w:ascii="新宋体" w:hAnsi="新宋体" w:eastAsia="新宋体"/>
          <w:sz w:val="24"/>
          <w:szCs w:val="22"/>
        </w:rPr>
        <w:t>2.2 工程量清单中的每一子目须填入单价或价格，且只允许有一个报价。</w:t>
      </w:r>
    </w:p>
    <w:p>
      <w:pPr>
        <w:spacing w:line="440" w:lineRule="exact"/>
        <w:ind w:firstLine="237" w:firstLineChars="99"/>
        <w:rPr>
          <w:rFonts w:ascii="新宋体" w:hAnsi="新宋体" w:eastAsia="新宋体"/>
          <w:sz w:val="24"/>
          <w:szCs w:val="22"/>
        </w:rPr>
      </w:pPr>
      <w:r>
        <w:rPr>
          <w:rFonts w:hint="eastAsia" w:ascii="新宋体" w:hAnsi="新宋体" w:eastAsia="新宋体"/>
          <w:sz w:val="24"/>
          <w:szCs w:val="22"/>
        </w:rPr>
        <w:t>2.3 工程量清单中标价的单价或金额，应包括所需人工费、材料费、施工机械使用费和管理费及利润，以及一定范围内的风险费用。所谓“一定范围内的风险”是指合同约定的风险。</w:t>
      </w:r>
    </w:p>
    <w:p>
      <w:pPr>
        <w:spacing w:line="430" w:lineRule="exact"/>
        <w:ind w:firstLine="240" w:firstLineChars="100"/>
        <w:rPr>
          <w:rFonts w:ascii="新宋体" w:hAnsi="新宋体" w:eastAsia="新宋体"/>
          <w:sz w:val="24"/>
        </w:rPr>
      </w:pPr>
      <w:r>
        <w:rPr>
          <w:rFonts w:hint="eastAsia" w:ascii="新宋体" w:hAnsi="新宋体" w:eastAsia="新宋体"/>
          <w:sz w:val="24"/>
        </w:rPr>
        <w:t>2.4 已标价工程量清单中投标人没有填入单价或价格的子目，其费用视为已分摊在工程量清单中其他已标价的相关子目的单价或价格之中。</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2.5 “投标报价汇总表”中的投标总价由分部分项工程费、措施项目费、其他项目费、规费和税金组成，并且“投标报价汇总表”中的投标总价应当与构成已标价工程量清单的分部分项工程费、措施项目费、其他项目费、规费、税金的合计金额一致。</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w:t>
      </w:r>
      <w:r>
        <w:rPr>
          <w:rFonts w:hint="eastAsia" w:ascii="新宋体" w:hAnsi="新宋体" w:eastAsia="新宋体"/>
          <w:sz w:val="24"/>
          <w:lang w:val="en-US" w:eastAsia="zh-CN"/>
        </w:rPr>
        <w:t>6</w:t>
      </w:r>
      <w:r>
        <w:rPr>
          <w:rFonts w:hint="eastAsia" w:ascii="新宋体" w:hAnsi="新宋体" w:eastAsia="新宋体"/>
          <w:sz w:val="24"/>
        </w:rPr>
        <w:t xml:space="preserve"> 除招标文件有强制性规定外，投标报价由投标人自主确定，但不得低于其成本。</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w:t>
      </w:r>
      <w:r>
        <w:rPr>
          <w:rFonts w:hint="eastAsia" w:ascii="新宋体" w:hAnsi="新宋体" w:eastAsia="新宋体"/>
          <w:sz w:val="24"/>
          <w:lang w:val="en-US" w:eastAsia="zh-CN"/>
        </w:rPr>
        <w:t>7</w:t>
      </w:r>
      <w:r>
        <w:rPr>
          <w:rFonts w:hint="eastAsia" w:ascii="新宋体" w:hAnsi="新宋体" w:eastAsia="新宋体"/>
          <w:sz w:val="24"/>
        </w:rPr>
        <w:t xml:space="preserve"> 工程量清单计价所涉及的生产资源(包括各类人工、材料、工程设备、施工设备、临时设施、临时用水、临时用电等)的投标价格，应根据自身的信息渠道和采购渠道，分析其市场价格水平并判断其整个施工周期内的变化趋势，体现投标人自身的管理水平、技术水平和综合实力。</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w:t>
      </w:r>
      <w:r>
        <w:rPr>
          <w:rFonts w:hint="eastAsia" w:ascii="新宋体" w:hAnsi="新宋体" w:eastAsia="新宋体"/>
          <w:sz w:val="24"/>
          <w:lang w:val="en-US" w:eastAsia="zh-CN"/>
        </w:rPr>
        <w:t>8</w:t>
      </w:r>
      <w:r>
        <w:rPr>
          <w:rFonts w:hint="eastAsia" w:ascii="新宋体" w:hAnsi="新宋体" w:eastAsia="新宋体"/>
          <w:sz w:val="24"/>
        </w:rPr>
        <w:t xml:space="preserve"> 管理费应由投标人在保证不低于其成本的基础上做竞争性考虑；利润由投标人根据自身情况和综合实力做竞争性考虑。</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w:t>
      </w:r>
      <w:r>
        <w:rPr>
          <w:rFonts w:hint="eastAsia" w:ascii="新宋体" w:hAnsi="新宋体" w:eastAsia="新宋体"/>
          <w:sz w:val="24"/>
          <w:lang w:val="en-US" w:eastAsia="zh-CN"/>
        </w:rPr>
        <w:t xml:space="preserve">9 </w:t>
      </w:r>
      <w:r>
        <w:rPr>
          <w:rFonts w:hint="eastAsia" w:ascii="新宋体" w:hAnsi="新宋体" w:eastAsia="新宋体"/>
          <w:sz w:val="24"/>
        </w:rPr>
        <w:t>投标报价中应考虑招标文件中要求投标人承担的风险范围以及相关的费用。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w:t>
      </w:r>
      <w:r>
        <w:rPr>
          <w:rFonts w:hint="eastAsia" w:ascii="新宋体" w:hAnsi="新宋体" w:eastAsia="新宋体"/>
          <w:sz w:val="24"/>
          <w:lang w:val="en-US" w:eastAsia="zh-CN"/>
        </w:rPr>
        <w:t>10</w:t>
      </w:r>
      <w:r>
        <w:rPr>
          <w:rFonts w:hint="eastAsia" w:ascii="新宋体" w:hAnsi="新宋体" w:eastAsia="新宋体"/>
          <w:sz w:val="24"/>
        </w:rPr>
        <w:t xml:space="preserve"> 投标总价为投标人在投标文件中提出的各项支付金额的总和，为实施、完成招标工程并修补缺陷以及履行招标文件中约定的风险范围内的所有责任和义务所发生的全部费用。</w:t>
      </w:r>
    </w:p>
    <w:p>
      <w:pPr>
        <w:spacing w:line="430" w:lineRule="exact"/>
        <w:ind w:left="1" w:firstLine="480" w:firstLineChars="200"/>
        <w:rPr>
          <w:rFonts w:ascii="新宋体" w:hAnsi="新宋体" w:eastAsia="新宋体"/>
          <w:b/>
          <w:sz w:val="24"/>
        </w:rPr>
      </w:pPr>
      <w:r>
        <w:rPr>
          <w:rFonts w:hint="eastAsia" w:ascii="新宋体" w:hAnsi="新宋体" w:eastAsia="新宋体"/>
          <w:b/>
          <w:sz w:val="24"/>
        </w:rPr>
        <w:t>2.</w:t>
      </w:r>
      <w:r>
        <w:rPr>
          <w:rFonts w:hint="eastAsia" w:ascii="新宋体" w:hAnsi="新宋体" w:eastAsia="新宋体"/>
          <w:b/>
          <w:sz w:val="24"/>
          <w:lang w:val="en-US" w:eastAsia="zh-CN"/>
        </w:rPr>
        <w:t>11</w:t>
      </w:r>
      <w:r>
        <w:rPr>
          <w:rFonts w:hint="eastAsia" w:ascii="新宋体" w:hAnsi="新宋体" w:eastAsia="新宋体"/>
          <w:b/>
          <w:sz w:val="24"/>
        </w:rPr>
        <w:t xml:space="preserve"> 有关投标报价的其他说明：</w:t>
      </w:r>
    </w:p>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2.</w:t>
      </w:r>
      <w:r>
        <w:rPr>
          <w:rFonts w:hint="eastAsia" w:hAnsi="宋体" w:cs="宋体"/>
          <w:b/>
          <w:sz w:val="24"/>
          <w:szCs w:val="24"/>
          <w:lang w:val="en-US" w:eastAsia="zh-CN"/>
        </w:rPr>
        <w:t>11</w:t>
      </w:r>
      <w:r>
        <w:rPr>
          <w:rFonts w:hint="eastAsia" w:hAnsi="宋体" w:cs="宋体"/>
          <w:b/>
          <w:sz w:val="24"/>
          <w:szCs w:val="24"/>
        </w:rPr>
        <w:t>.1“规费和税金”的规定按照住建部《建设工程工程量清单计价规范》（GB50500-2013）及省住建厅有关规定，规费和税金应按规定费（税）率足额计取，即费（税）率不可竞争。</w:t>
      </w:r>
    </w:p>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规费、税金、安全文明施工措施费计入投标总报价，并在投标函、投标函附录中单列，不参与商务标评审。</w:t>
      </w:r>
    </w:p>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2.</w:t>
      </w:r>
      <w:r>
        <w:rPr>
          <w:rFonts w:hint="eastAsia" w:hAnsi="宋体" w:cs="宋体"/>
          <w:b/>
          <w:sz w:val="24"/>
          <w:szCs w:val="24"/>
          <w:lang w:val="en-US" w:eastAsia="zh-CN"/>
        </w:rPr>
        <w:t>12</w:t>
      </w:r>
      <w:r>
        <w:rPr>
          <w:rFonts w:hint="eastAsia" w:hAnsi="宋体" w:cs="宋体"/>
          <w:b/>
          <w:sz w:val="24"/>
          <w:szCs w:val="24"/>
        </w:rPr>
        <w:t>.2根据《关于调整河南省建设工程安全文明施工措施费计取办法的通知》（豫建设标【2014】57号）规定，“安全文明施工措施费”是不可竞争费，即费率不可竞争；投标人编制投标报价时，应按省级主管部门规定的计价标准计取;根据建设部《建筑工程安全防护、文明施工措施费用及使用管理规定》（建办【2005】89号）要求，投标人在计取安全文明施工措施费时，不得高于招标控制价中安全文明施工措施费费用总额且不得低于90%。</w:t>
      </w:r>
    </w:p>
    <w:p>
      <w:pPr>
        <w:tabs>
          <w:tab w:val="left" w:pos="1260"/>
        </w:tabs>
        <w:autoSpaceDE w:val="0"/>
        <w:autoSpaceDN w:val="0"/>
        <w:adjustRightInd w:val="0"/>
        <w:spacing w:line="460" w:lineRule="exact"/>
        <w:ind w:firstLine="481"/>
        <w:jc w:val="left"/>
        <w:rPr>
          <w:rFonts w:hAnsi="宋体" w:cs="宋体"/>
          <w:b/>
          <w:sz w:val="24"/>
          <w:szCs w:val="24"/>
        </w:rPr>
      </w:pPr>
      <w:r>
        <w:rPr>
          <w:rFonts w:hint="eastAsia" w:hAnsi="宋体" w:cs="宋体"/>
          <w:b/>
          <w:sz w:val="24"/>
          <w:szCs w:val="24"/>
        </w:rPr>
        <w:t>投标人编制投标报价时，同一投标文件综合工日应前后保持一致。</w:t>
      </w:r>
    </w:p>
    <w:p>
      <w:pPr>
        <w:tabs>
          <w:tab w:val="left" w:pos="1260"/>
        </w:tabs>
        <w:autoSpaceDE w:val="0"/>
        <w:autoSpaceDN w:val="0"/>
        <w:adjustRightInd w:val="0"/>
        <w:spacing w:line="460" w:lineRule="exact"/>
        <w:ind w:firstLine="481"/>
        <w:jc w:val="left"/>
        <w:rPr>
          <w:rFonts w:hAnsi="宋体" w:cs="宋体"/>
          <w:b/>
          <w:sz w:val="24"/>
          <w:szCs w:val="24"/>
        </w:rPr>
      </w:pPr>
      <w:r>
        <w:rPr>
          <w:rFonts w:hint="eastAsia" w:hAnsi="宋体" w:cs="宋体"/>
          <w:b/>
          <w:sz w:val="24"/>
          <w:szCs w:val="24"/>
        </w:rPr>
        <w:t>不按照以上要求编制投标报价的，视为违反《许昌市建设工程工程量清单招标评标办法（试行）》第八条第3款之规定，按废标处理。</w:t>
      </w:r>
    </w:p>
    <w:p>
      <w:pPr>
        <w:spacing w:line="440" w:lineRule="exact"/>
        <w:ind w:firstLine="481"/>
        <w:rPr>
          <w:rFonts w:ascii="新宋体" w:hAnsi="新宋体" w:eastAsia="新宋体"/>
          <w:b/>
          <w:sz w:val="24"/>
        </w:rPr>
      </w:pPr>
      <w:r>
        <w:rPr>
          <w:rFonts w:hint="eastAsia" w:ascii="新宋体" w:hAnsi="新宋体" w:eastAsia="新宋体"/>
          <w:b/>
          <w:sz w:val="24"/>
        </w:rPr>
        <w:t>3、其他说明</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3.1词语和定义</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3.1.1 工程量清单</w:t>
      </w:r>
    </w:p>
    <w:p>
      <w:pPr>
        <w:spacing w:line="430" w:lineRule="exact"/>
        <w:ind w:left="1" w:firstLine="480" w:firstLineChars="200"/>
        <w:rPr>
          <w:rFonts w:ascii="新宋体" w:hAnsi="新宋体" w:eastAsia="新宋体"/>
          <w:sz w:val="24"/>
        </w:rPr>
      </w:pPr>
      <w:r>
        <w:rPr>
          <w:rFonts w:hint="eastAsia" w:ascii="新宋体" w:hAnsi="新宋体" w:eastAsia="新宋体"/>
          <w:sz w:val="24"/>
        </w:rPr>
        <w:t>是表现本工程分部分项工程项目、措施项目、其他项目、规费项目和税金的名称和相应数量等的明细清单。</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3.1.2 总价子目</w:t>
      </w:r>
    </w:p>
    <w:p>
      <w:pPr>
        <w:spacing w:line="430" w:lineRule="exact"/>
        <w:ind w:left="1" w:firstLine="480" w:firstLineChars="200"/>
        <w:rPr>
          <w:rFonts w:ascii="新宋体" w:hAnsi="新宋体" w:eastAsia="新宋体"/>
          <w:sz w:val="24"/>
        </w:rPr>
      </w:pPr>
      <w:r>
        <w:rPr>
          <w:rFonts w:hint="eastAsia" w:ascii="新宋体" w:hAnsi="新宋体" w:eastAsia="新宋体"/>
          <w:sz w:val="24"/>
        </w:rPr>
        <w:t>工程量清单中以总价计价，以“项”为计量单位，工程量为整数1的子目，除专用合同条款另有约定外，总价固定包干。采用总价合同形式时，合同订立后，已标价工程量清单中的工程量均没有合同约束力，所有子目均是总价子目，视同按项计量(合同条款第15条约定的变更除外)。</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3.1.3 单价子目</w:t>
      </w:r>
    </w:p>
    <w:p>
      <w:pPr>
        <w:spacing w:line="430" w:lineRule="exact"/>
        <w:ind w:left="1" w:firstLine="480" w:firstLineChars="200"/>
        <w:rPr>
          <w:rFonts w:ascii="新宋体" w:hAnsi="新宋体" w:eastAsia="新宋体"/>
          <w:sz w:val="24"/>
        </w:rPr>
      </w:pPr>
      <w:r>
        <w:rPr>
          <w:rFonts w:hint="eastAsia" w:ascii="新宋体" w:hAnsi="新宋体" w:eastAsia="新宋体"/>
          <w:sz w:val="24"/>
        </w:rPr>
        <w:t>工程量清单中以单价计价，根据有合同约束力的图纸和工程量计算规则进行计量，以实际完成数量乘以相应单价进行结算的子目。</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3.1.4 子目编码</w:t>
      </w:r>
    </w:p>
    <w:p>
      <w:pPr>
        <w:spacing w:line="430" w:lineRule="exact"/>
        <w:ind w:left="1" w:firstLine="480" w:firstLineChars="200"/>
        <w:rPr>
          <w:rFonts w:ascii="新宋体" w:hAnsi="新宋体" w:eastAsia="新宋体"/>
          <w:sz w:val="24"/>
        </w:rPr>
      </w:pPr>
      <w:r>
        <w:rPr>
          <w:rFonts w:hint="eastAsia" w:ascii="新宋体" w:hAnsi="新宋体" w:eastAsia="新宋体"/>
          <w:sz w:val="24"/>
        </w:rPr>
        <w:t>分部分项工程项目清单中所列的子目名称的数字标识和代码，子目编码与项目编码同义。</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3.1.5 子目特征</w:t>
      </w:r>
    </w:p>
    <w:p>
      <w:pPr>
        <w:spacing w:line="430" w:lineRule="exact"/>
        <w:ind w:left="1" w:firstLine="480" w:firstLineChars="200"/>
        <w:rPr>
          <w:rFonts w:ascii="新宋体" w:hAnsi="新宋体" w:eastAsia="新宋体"/>
          <w:sz w:val="24"/>
        </w:rPr>
      </w:pPr>
      <w:r>
        <w:rPr>
          <w:rFonts w:hint="eastAsia" w:ascii="新宋体" w:hAnsi="新宋体" w:eastAsia="新宋体"/>
          <w:sz w:val="24"/>
        </w:rPr>
        <w:t>构成分部分项工程项目清单子目、措施项目的实质内容、决定其自身价值的本质特征，子目特征与项目特征同义。</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3.1.6 规费</w:t>
      </w:r>
    </w:p>
    <w:p>
      <w:pPr>
        <w:spacing w:line="430" w:lineRule="exact"/>
        <w:ind w:left="1" w:firstLine="480" w:firstLineChars="200"/>
        <w:rPr>
          <w:rFonts w:ascii="新宋体" w:hAnsi="新宋体" w:eastAsia="新宋体"/>
          <w:sz w:val="24"/>
        </w:rPr>
      </w:pPr>
      <w:r>
        <w:rPr>
          <w:rFonts w:hint="eastAsia" w:ascii="新宋体" w:hAnsi="新宋体" w:eastAsia="新宋体"/>
          <w:sz w:val="24"/>
        </w:rPr>
        <w:t>承包人根据省级政府或省级有关权力部门规定必须缴纳的，应计入建筑安装工程造价的费用。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3.1.7 税金</w:t>
      </w:r>
    </w:p>
    <w:p>
      <w:pPr>
        <w:spacing w:line="430" w:lineRule="exact"/>
        <w:ind w:left="1" w:firstLine="480" w:firstLineChars="200"/>
        <w:rPr>
          <w:rFonts w:ascii="新宋体" w:hAnsi="新宋体" w:eastAsia="新宋体"/>
          <w:sz w:val="24"/>
        </w:rPr>
      </w:pPr>
      <w:r>
        <w:rPr>
          <w:rFonts w:hint="eastAsia" w:ascii="新宋体" w:hAnsi="新宋体" w:eastAsia="新宋体"/>
          <w:sz w:val="24"/>
        </w:rPr>
        <w:t>国家税法规定的应计入建筑安装工程造价内的营业税、城市维护建设税及教育费附加等。</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3.1.8 总承包服务费</w:t>
      </w:r>
    </w:p>
    <w:p>
      <w:pPr>
        <w:spacing w:line="430" w:lineRule="exact"/>
        <w:ind w:left="1" w:firstLine="480" w:firstLineChars="200"/>
        <w:rPr>
          <w:rFonts w:ascii="新宋体" w:hAnsi="新宋体" w:eastAsia="新宋体"/>
          <w:sz w:val="24"/>
        </w:rPr>
      </w:pPr>
      <w:r>
        <w:rPr>
          <w:rFonts w:hint="eastAsia" w:ascii="新宋体" w:hAnsi="新宋体" w:eastAsia="新宋体"/>
          <w:sz w:val="24"/>
        </w:rPr>
        <w:t>总承包人为配合协调发包人发包的专业工程以及发包人采购的材料和工程设备等进行管理、服务以及施工现场管理、竣工资料汇总整理等所需的费用。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3.1.9 同义词语</w:t>
      </w:r>
    </w:p>
    <w:p>
      <w:pPr>
        <w:spacing w:line="430" w:lineRule="exact"/>
        <w:ind w:left="1" w:firstLine="480" w:firstLineChars="200"/>
        <w:rPr>
          <w:rFonts w:ascii="新宋体" w:hAnsi="新宋体" w:eastAsia="新宋体"/>
          <w:sz w:val="24"/>
        </w:rPr>
      </w:pPr>
      <w:r>
        <w:rPr>
          <w:rFonts w:hint="eastAsia" w:ascii="新宋体" w:hAnsi="新宋体" w:eastAsia="新宋体"/>
          <w:sz w:val="24"/>
        </w:rPr>
        <w:t>本章中使用的词语“招标人”和“投标人”分别与合同条款中定义的“发包人”和“承包人”同义；就工程量清单而言，“子目”与“项目”同义。</w:t>
      </w:r>
    </w:p>
    <w:p>
      <w:pPr>
        <w:spacing w:line="430" w:lineRule="exact"/>
        <w:ind w:left="1" w:firstLine="480" w:firstLineChars="200"/>
        <w:rPr>
          <w:rFonts w:ascii="新宋体" w:hAnsi="新宋体" w:eastAsia="新宋体"/>
          <w:b/>
          <w:sz w:val="24"/>
        </w:rPr>
      </w:pPr>
      <w:r>
        <w:rPr>
          <w:rFonts w:hint="eastAsia" w:ascii="新宋体" w:hAnsi="新宋体" w:eastAsia="新宋体"/>
          <w:sz w:val="24"/>
        </w:rPr>
        <w:t>3.2工程量差异调整</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3.2.1 工程量清单中的工作内容分类、子目列项、特征描述以及“分部分项工程量清单与计价表”中附带的工程量都不应理解为是对承包(招标)范围以及合同工作内容的唯一的、最终的或全部的定义。</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3.2.2 投标人应对招标人提供的工程量清单进行认真细致的复核。这种复核包括对招标人提供的工程量清单中的子目编码、子目名称、子目特征描述、计量单位、工程量的准确性以及可能存在的任何书写、打印错误进行检查和复核，特别是对“分部分项工程量清单与计价表”中每个工作子目的工程量进行重新计算和校核。如果投标人经过检查和复核以后认为招标人提供的工程量清单存在差异，则投标人应将此类差异的详细情况连同按投标人须知规定提交的要求招标人澄清的其他问题一起提交给招标人，招标人将根据实际情况决定是否颁发工程量清单的补充和(或)修改文件。</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3.2.3 如果招标人在检查投标人根据上文第3.2.2项提交的工程量差异问题后认为没有必要对工程量清单进行补充和(或)修改，或者招标人根据上文第3.2.2项对工程量清单进行了补充和(或)修改，但投标人认为工程量清单中的工程量依然存在差异，则此类差异不再提交招标人答疑和修正，而是直接按招标人提供的工程量清单(包括招标人可能的补充和(或)修改)进行投标报价。投标人在按照工程量清单进行报价时，除按照本节2.7.3项要求对招标人提供的措施项目清单的内容进行细化或增减外，不得改变(包括对工程量清单子目的子目名称、子目特征描述、计量单位以及工程量的任何修改、增加或减少)招标人提供的分部分项工程量清单和其他项目清单。即使按照图纸和招标范围的约定并不存在的子目，只要在招标人提供的分部分项工程量清单中已经列明，投标人都需要对其报价，并纳入投标总价的计算。</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3.3暂列金额和暂估价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3.3.1 “暂列金额明细表”中所列暂列金额(不包括计日工金额)中已经包含与其对应的管理费、利润和规费，但不含税金。投标人应按本招标文件规定将此类暂列金额直接纳入其他项目清单的投标价格并计取相应的税金，不需要考虑除税金以外的其他任何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3.3.2 “材料和工程设备暂估价表”中所列的材料和工程设备暂估价是此类材料、工程设备本身运至施工现场内的工地地面价，不包括其本身所对应的管理费、利润、规费、税金以及这些材料和工程设备的安装、安装所需要的辅助材料、安装损耗、驻厂监造以及发生在现场内的验收、存储、保管、开箱、二次倒运、从存放地点运至安装地点以及其他任何必要的辅助工作(以下简称“暂估价材料和工程设备的安装及辅助工作”)所发生的费用及其对应的管理费、利润、规费和税金。除应按本招标文件规定将此类暂估价本身纳入分部分项工程量清单相应子目的综合单价以外，投标人还应将上述材料和工程设备的安装及辅助工作所发生的费用以及与此类费用有关的管理费和利润包含在分部分项工程量清单相应子目的综合单价中，并计取相应的规费和税金。</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3.3.3 专业工程暂估价表中所列的专业工程暂估价已经包含与其对应的管理费、利润和规费，但不含税金。投标人应按本招标文件规定将此类暂估价直接纳入其他项目清单的投标价格并计取相应的税金。除按本招标文件规定将此类暂估价纳入其他项目清单的投标价格并计取相应的税金以外，投标人还需要根据招标文件规定的内容考虑相应的总承包服务费以及与总承包服务费有关的规费和税金。</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3.4其他补充说明</w:t>
      </w:r>
    </w:p>
    <w:p>
      <w:pPr>
        <w:spacing w:line="440" w:lineRule="exact"/>
        <w:ind w:firstLine="523" w:firstLineChars="218"/>
        <w:rPr>
          <w:rFonts w:ascii="新宋体" w:hAnsi="新宋体" w:eastAsia="新宋体"/>
          <w:sz w:val="24"/>
          <w:u w:val="single"/>
        </w:rPr>
      </w:pPr>
      <w:r>
        <w:rPr>
          <w:rFonts w:hint="eastAsia" w:ascii="新宋体" w:hAnsi="新宋体" w:eastAsia="新宋体"/>
          <w:sz w:val="24"/>
          <w:u w:val="single"/>
        </w:rPr>
        <w:t xml:space="preserve">                                                                     ；</w:t>
      </w:r>
    </w:p>
    <w:p>
      <w:pPr>
        <w:spacing w:line="440" w:lineRule="exact"/>
        <w:rPr>
          <w:rFonts w:ascii="新宋体" w:hAnsi="新宋体" w:eastAsia="新宋体"/>
          <w:b/>
          <w:sz w:val="24"/>
        </w:rPr>
      </w:pPr>
    </w:p>
    <w:p>
      <w:pPr>
        <w:spacing w:line="440" w:lineRule="exact"/>
        <w:rPr>
          <w:rFonts w:ascii="新宋体" w:hAnsi="新宋体" w:eastAsia="新宋体"/>
          <w:b/>
          <w:sz w:val="24"/>
        </w:rPr>
      </w:pPr>
      <w:r>
        <w:rPr>
          <w:rFonts w:hint="eastAsia" w:ascii="新宋体" w:hAnsi="新宋体" w:eastAsia="新宋体"/>
          <w:b/>
          <w:sz w:val="24"/>
        </w:rPr>
        <w:t>4．工程量清单</w:t>
      </w:r>
    </w:p>
    <w:p>
      <w:pPr>
        <w:spacing w:line="430" w:lineRule="exact"/>
        <w:ind w:left="1" w:firstLine="480" w:firstLineChars="200"/>
        <w:rPr>
          <w:rFonts w:ascii="新宋体" w:hAnsi="新宋体" w:eastAsia="新宋体"/>
          <w:sz w:val="24"/>
        </w:rPr>
      </w:pPr>
      <w:r>
        <w:rPr>
          <w:rFonts w:hint="eastAsia" w:ascii="新宋体" w:hAnsi="新宋体" w:eastAsia="新宋体"/>
          <w:sz w:val="24"/>
        </w:rPr>
        <w:t>工程量清单在《全国公共资源交易平台(河南省▪许昌市)》（</w:t>
      </w:r>
      <w:r>
        <w:fldChar w:fldCharType="begin"/>
      </w:r>
      <w:r>
        <w:instrText xml:space="preserve"> HYPERLINK "http://www.xczbtb.com/" </w:instrText>
      </w:r>
      <w:r>
        <w:fldChar w:fldCharType="separate"/>
      </w:r>
      <w:r>
        <w:rPr>
          <w:rFonts w:hint="eastAsia" w:ascii="新宋体" w:hAnsi="新宋体" w:eastAsia="新宋体"/>
          <w:sz w:val="24"/>
        </w:rPr>
        <w:t>http://www.xcggzy.gov.cn/</w:t>
      </w:r>
      <w:r>
        <w:rPr>
          <w:rFonts w:hint="eastAsia" w:ascii="新宋体" w:hAnsi="新宋体" w:eastAsia="新宋体"/>
          <w:sz w:val="24"/>
        </w:rPr>
        <w:fldChar w:fldCharType="end"/>
      </w:r>
      <w:r>
        <w:rPr>
          <w:rFonts w:hint="eastAsia" w:ascii="新宋体" w:hAnsi="新宋体" w:eastAsia="新宋体"/>
          <w:sz w:val="24"/>
        </w:rPr>
        <w:t>），通过“投标人/供应商登录”后自行下载。</w:t>
      </w:r>
    </w:p>
    <w:p>
      <w:pPr>
        <w:spacing w:line="440" w:lineRule="exact"/>
        <w:rPr>
          <w:rFonts w:ascii="新宋体" w:hAnsi="新宋体" w:eastAsia="新宋体"/>
          <w:sz w:val="24"/>
          <w:u w:val="single"/>
        </w:rPr>
      </w:pPr>
    </w:p>
    <w:bookmarkEnd w:id="79"/>
    <w:p>
      <w:pPr>
        <w:autoSpaceDE w:val="0"/>
        <w:autoSpaceDN w:val="0"/>
        <w:adjustRightInd w:val="0"/>
        <w:jc w:val="both"/>
        <w:outlineLvl w:val="0"/>
        <w:rPr>
          <w:rFonts w:hint="eastAsia" w:hAnsi="宋体" w:cs="黑体"/>
          <w:b/>
          <w:sz w:val="36"/>
          <w:szCs w:val="36"/>
        </w:rPr>
      </w:pPr>
      <w:bookmarkStart w:id="626" w:name="_Toc278443522"/>
    </w:p>
    <w:p>
      <w:pPr>
        <w:autoSpaceDE w:val="0"/>
        <w:autoSpaceDN w:val="0"/>
        <w:adjustRightInd w:val="0"/>
        <w:jc w:val="center"/>
        <w:outlineLvl w:val="0"/>
        <w:rPr>
          <w:rFonts w:hAnsi="宋体" w:cs="黑体"/>
          <w:b/>
          <w:sz w:val="36"/>
          <w:szCs w:val="36"/>
        </w:rPr>
      </w:pPr>
      <w:r>
        <w:rPr>
          <w:rFonts w:hint="eastAsia" w:hAnsi="宋体" w:cs="黑体"/>
          <w:b/>
          <w:sz w:val="36"/>
          <w:szCs w:val="36"/>
        </w:rPr>
        <w:t>第六章技术标准和要求</w:t>
      </w:r>
      <w:bookmarkEnd w:id="626"/>
    </w:p>
    <w:p>
      <w:pPr>
        <w:spacing w:line="500" w:lineRule="exact"/>
        <w:ind w:firstLine="480" w:firstLineChars="200"/>
        <w:jc w:val="left"/>
        <w:rPr>
          <w:rFonts w:ascii="新宋体" w:hAnsi="新宋体" w:eastAsia="新宋体"/>
          <w:sz w:val="24"/>
        </w:rPr>
      </w:pPr>
    </w:p>
    <w:p>
      <w:pPr>
        <w:spacing w:line="500" w:lineRule="exact"/>
        <w:ind w:firstLine="480" w:firstLineChars="200"/>
        <w:jc w:val="left"/>
        <w:rPr>
          <w:rFonts w:ascii="新宋体" w:hAnsi="新宋体" w:eastAsia="新宋体"/>
          <w:sz w:val="24"/>
        </w:rPr>
      </w:pPr>
      <w:r>
        <w:rPr>
          <w:rFonts w:hint="eastAsia" w:ascii="新宋体" w:hAnsi="新宋体" w:eastAsia="新宋体"/>
          <w:sz w:val="24"/>
        </w:rPr>
        <w:t>1、本工程技术标准和要求以适用的国家、行业以及地方规范、标准和规程为准。</w:t>
      </w:r>
    </w:p>
    <w:p>
      <w:pPr>
        <w:spacing w:line="500" w:lineRule="exact"/>
        <w:ind w:firstLine="480" w:firstLineChars="200"/>
        <w:jc w:val="left"/>
        <w:rPr>
          <w:rFonts w:ascii="新宋体" w:hAnsi="新宋体" w:eastAsia="新宋体"/>
          <w:sz w:val="24"/>
        </w:rPr>
      </w:pPr>
      <w:r>
        <w:rPr>
          <w:rFonts w:hint="eastAsia" w:ascii="新宋体" w:hAnsi="新宋体" w:eastAsia="新宋体"/>
          <w:sz w:val="24"/>
        </w:rPr>
        <w:t>2、施工工地扬尘污染整治标准以《许昌市施工工地扬尘污染综合整治工作方案》许气联办【2016】21号文件为准。</w:t>
      </w:r>
    </w:p>
    <w:p>
      <w:pPr>
        <w:spacing w:line="500" w:lineRule="exact"/>
        <w:ind w:firstLine="480" w:firstLineChars="200"/>
        <w:jc w:val="left"/>
        <w:rPr>
          <w:rFonts w:ascii="新宋体" w:hAnsi="新宋体" w:eastAsia="新宋体"/>
          <w:sz w:val="24"/>
        </w:rPr>
      </w:pPr>
    </w:p>
    <w:p>
      <w:pPr>
        <w:autoSpaceDE w:val="0"/>
        <w:autoSpaceDN w:val="0"/>
        <w:adjustRightInd w:val="0"/>
        <w:spacing w:line="420" w:lineRule="exact"/>
        <w:jc w:val="center"/>
        <w:rPr>
          <w:rFonts w:hAnsi="宋体" w:cs="黑体"/>
          <w:sz w:val="32"/>
          <w:szCs w:val="32"/>
        </w:rPr>
      </w:pPr>
    </w:p>
    <w:p>
      <w:pPr>
        <w:autoSpaceDE w:val="0"/>
        <w:autoSpaceDN w:val="0"/>
        <w:adjustRightInd w:val="0"/>
        <w:spacing w:line="420" w:lineRule="exact"/>
        <w:jc w:val="center"/>
        <w:rPr>
          <w:rFonts w:hAnsi="宋体" w:cs="黑体"/>
          <w:color w:val="0000FF"/>
          <w:sz w:val="32"/>
          <w:szCs w:val="32"/>
        </w:rPr>
      </w:pPr>
    </w:p>
    <w:p>
      <w:pPr>
        <w:autoSpaceDE w:val="0"/>
        <w:autoSpaceDN w:val="0"/>
        <w:adjustRightInd w:val="0"/>
        <w:spacing w:line="420" w:lineRule="exact"/>
        <w:jc w:val="center"/>
        <w:rPr>
          <w:rFonts w:hAnsi="宋体" w:cs="黑体"/>
          <w:color w:val="0000FF"/>
          <w:sz w:val="32"/>
          <w:szCs w:val="32"/>
        </w:rPr>
      </w:pPr>
    </w:p>
    <w:p>
      <w:pPr>
        <w:autoSpaceDE w:val="0"/>
        <w:autoSpaceDN w:val="0"/>
        <w:adjustRightInd w:val="0"/>
        <w:spacing w:line="420" w:lineRule="exact"/>
        <w:jc w:val="center"/>
        <w:rPr>
          <w:rFonts w:hAnsi="宋体" w:cs="黑体"/>
          <w:color w:val="0000FF"/>
          <w:sz w:val="32"/>
          <w:szCs w:val="32"/>
        </w:rPr>
      </w:pPr>
    </w:p>
    <w:p>
      <w:pPr>
        <w:autoSpaceDE w:val="0"/>
        <w:autoSpaceDN w:val="0"/>
        <w:adjustRightInd w:val="0"/>
        <w:spacing w:line="420" w:lineRule="exact"/>
        <w:jc w:val="center"/>
        <w:rPr>
          <w:rFonts w:hAnsi="宋体" w:cs="黑体"/>
          <w:color w:val="0000FF"/>
          <w:sz w:val="32"/>
          <w:szCs w:val="32"/>
        </w:rPr>
      </w:pPr>
    </w:p>
    <w:p>
      <w:pPr>
        <w:autoSpaceDE w:val="0"/>
        <w:autoSpaceDN w:val="0"/>
        <w:adjustRightInd w:val="0"/>
        <w:spacing w:line="420" w:lineRule="exact"/>
        <w:jc w:val="center"/>
        <w:rPr>
          <w:rFonts w:hAnsi="宋体" w:cs="黑体"/>
          <w:color w:val="0000FF"/>
          <w:sz w:val="32"/>
          <w:szCs w:val="32"/>
        </w:rPr>
      </w:pPr>
    </w:p>
    <w:p>
      <w:pPr>
        <w:autoSpaceDE w:val="0"/>
        <w:autoSpaceDN w:val="0"/>
        <w:adjustRightInd w:val="0"/>
        <w:jc w:val="center"/>
        <w:outlineLvl w:val="0"/>
        <w:rPr>
          <w:rFonts w:hAnsi="宋体" w:cs="黑体"/>
          <w:b/>
          <w:color w:val="0000FF"/>
          <w:sz w:val="44"/>
          <w:szCs w:val="44"/>
        </w:rPr>
      </w:pPr>
      <w:bookmarkStart w:id="627" w:name="_Toc278443525"/>
    </w:p>
    <w:p>
      <w:pPr>
        <w:autoSpaceDE w:val="0"/>
        <w:autoSpaceDN w:val="0"/>
        <w:adjustRightInd w:val="0"/>
        <w:spacing w:beforeLines="100" w:afterLines="100"/>
        <w:jc w:val="center"/>
        <w:outlineLvl w:val="0"/>
        <w:rPr>
          <w:rFonts w:hAnsi="宋体" w:cs="黑体"/>
          <w:b/>
          <w:color w:val="0000FF"/>
          <w:sz w:val="44"/>
          <w:szCs w:val="44"/>
        </w:rPr>
      </w:pPr>
      <w:r>
        <w:rPr>
          <w:rFonts w:hAnsi="宋体" w:cs="黑体"/>
          <w:b/>
          <w:color w:val="0000FF"/>
          <w:sz w:val="44"/>
          <w:szCs w:val="44"/>
        </w:rPr>
        <w:br w:type="page"/>
      </w:r>
    </w:p>
    <w:p>
      <w:pPr>
        <w:autoSpaceDE w:val="0"/>
        <w:autoSpaceDN w:val="0"/>
        <w:adjustRightInd w:val="0"/>
        <w:spacing w:beforeLines="100" w:afterLines="100"/>
        <w:jc w:val="center"/>
        <w:outlineLvl w:val="0"/>
        <w:rPr>
          <w:rFonts w:hAnsi="宋体" w:cs="黑体"/>
          <w:b/>
          <w:sz w:val="44"/>
          <w:szCs w:val="44"/>
        </w:rPr>
      </w:pPr>
      <w:r>
        <w:rPr>
          <w:rFonts w:hint="eastAsia" w:hAnsi="宋体" w:cs="黑体"/>
          <w:b/>
          <w:sz w:val="44"/>
          <w:szCs w:val="44"/>
        </w:rPr>
        <w:t>第七章投标文件格式</w:t>
      </w:r>
      <w:bookmarkEnd w:id="627"/>
    </w:p>
    <w:p>
      <w:pPr>
        <w:autoSpaceDE w:val="0"/>
        <w:autoSpaceDN w:val="0"/>
        <w:adjustRightInd w:val="0"/>
        <w:jc w:val="right"/>
        <w:rPr>
          <w:rFonts w:hint="eastAsia" w:hAnsi="宋体" w:cs="宋体"/>
          <w:sz w:val="24"/>
          <w:szCs w:val="21"/>
        </w:rPr>
      </w:pPr>
      <w:r>
        <w:rPr>
          <w:rFonts w:hint="eastAsia" w:hAnsi="宋体" w:cs="宋体"/>
          <w:sz w:val="24"/>
          <w:szCs w:val="21"/>
        </w:rPr>
        <w:t>正（副）本</w:t>
      </w:r>
    </w:p>
    <w:p>
      <w:pPr>
        <w:autoSpaceDE w:val="0"/>
        <w:autoSpaceDN w:val="0"/>
        <w:adjustRightInd w:val="0"/>
        <w:jc w:val="center"/>
        <w:rPr>
          <w:rFonts w:hAnsi="宋体" w:cs="宋体"/>
          <w:sz w:val="28"/>
        </w:rPr>
      </w:pPr>
      <w:r>
        <w:rPr>
          <w:rFonts w:hint="eastAsia" w:hAnsi="宋体" w:cs="宋体"/>
          <w:sz w:val="31"/>
        </w:rPr>
        <w:t>（项目名称）施工</w:t>
      </w: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jc w:val="left"/>
        <w:rPr>
          <w:rFonts w:hAnsi="宋体" w:cs="宋体"/>
          <w:sz w:val="28"/>
        </w:rPr>
      </w:pPr>
    </w:p>
    <w:p>
      <w:pPr>
        <w:autoSpaceDE w:val="0"/>
        <w:autoSpaceDN w:val="0"/>
        <w:adjustRightInd w:val="0"/>
        <w:rPr>
          <w:rFonts w:hAnsi="宋体" w:cs="宋体"/>
          <w:b/>
          <w:spacing w:val="60"/>
          <w:sz w:val="70"/>
        </w:rPr>
      </w:pPr>
    </w:p>
    <w:p>
      <w:pPr>
        <w:autoSpaceDE w:val="0"/>
        <w:autoSpaceDN w:val="0"/>
        <w:adjustRightInd w:val="0"/>
        <w:jc w:val="center"/>
        <w:rPr>
          <w:rFonts w:hAnsi="宋体" w:cs="宋体"/>
          <w:b/>
          <w:spacing w:val="60"/>
          <w:sz w:val="70"/>
        </w:rPr>
      </w:pPr>
    </w:p>
    <w:p>
      <w:pPr>
        <w:autoSpaceDE w:val="0"/>
        <w:autoSpaceDN w:val="0"/>
        <w:adjustRightInd w:val="0"/>
        <w:jc w:val="center"/>
        <w:rPr>
          <w:rFonts w:hAnsi="宋体" w:cs="宋体"/>
          <w:sz w:val="44"/>
        </w:rPr>
      </w:pPr>
      <w:r>
        <w:rPr>
          <w:rFonts w:hint="eastAsia" w:hAnsi="宋体" w:cs="宋体"/>
          <w:b/>
          <w:spacing w:val="60"/>
          <w:sz w:val="70"/>
        </w:rPr>
        <w:t>投 标 文 件</w:t>
      </w:r>
    </w:p>
    <w:p>
      <w:pPr>
        <w:autoSpaceDE w:val="0"/>
        <w:autoSpaceDN w:val="0"/>
        <w:adjustRightInd w:val="0"/>
        <w:jc w:val="center"/>
        <w:rPr>
          <w:rFonts w:hAnsi="宋体" w:cs="宋体"/>
          <w:color w:val="000000" w:themeColor="text1"/>
          <w:sz w:val="52"/>
          <w:szCs w:val="22"/>
          <w14:textFill>
            <w14:solidFill>
              <w14:schemeClr w14:val="tx1"/>
            </w14:solidFill>
          </w14:textFill>
        </w:rPr>
      </w:pPr>
      <w:r>
        <w:rPr>
          <w:rFonts w:hint="eastAsia" w:hAnsi="宋体" w:cs="宋体"/>
          <w:bCs/>
          <w:color w:val="000000" w:themeColor="text1"/>
          <w:sz w:val="32"/>
          <w:szCs w:val="22"/>
          <w14:textFill>
            <w14:solidFill>
              <w14:schemeClr w14:val="tx1"/>
            </w14:solidFill>
          </w14:textFill>
        </w:rPr>
        <w:t>建安建工公字〔201</w:t>
      </w:r>
      <w:r>
        <w:rPr>
          <w:rFonts w:hint="eastAsia" w:hAnsi="宋体" w:cs="宋体"/>
          <w:bCs/>
          <w:color w:val="000000" w:themeColor="text1"/>
          <w:sz w:val="32"/>
          <w:szCs w:val="22"/>
          <w:lang w:val="en-US" w:eastAsia="zh-CN"/>
          <w14:textFill>
            <w14:solidFill>
              <w14:schemeClr w14:val="tx1"/>
            </w14:solidFill>
          </w14:textFill>
        </w:rPr>
        <w:t>9</w:t>
      </w:r>
      <w:r>
        <w:rPr>
          <w:rFonts w:hint="eastAsia" w:hAnsi="宋体" w:cs="宋体"/>
          <w:bCs/>
          <w:color w:val="000000" w:themeColor="text1"/>
          <w:sz w:val="32"/>
          <w:szCs w:val="22"/>
          <w14:textFill>
            <w14:solidFill>
              <w14:schemeClr w14:val="tx1"/>
            </w14:solidFill>
          </w14:textFill>
        </w:rPr>
        <w:t>〕</w:t>
      </w:r>
      <w:r>
        <w:rPr>
          <w:rFonts w:hint="eastAsia" w:hAnsi="宋体" w:cs="宋体"/>
          <w:bCs/>
          <w:color w:val="000000" w:themeColor="text1"/>
          <w:sz w:val="32"/>
          <w:szCs w:val="22"/>
          <w:lang w:val="en-US" w:eastAsia="zh-CN"/>
          <w14:textFill>
            <w14:solidFill>
              <w14:schemeClr w14:val="tx1"/>
            </w14:solidFill>
          </w14:textFill>
        </w:rPr>
        <w:t>67</w:t>
      </w:r>
      <w:r>
        <w:rPr>
          <w:rFonts w:hint="eastAsia" w:hAnsi="宋体" w:cs="宋体"/>
          <w:bCs/>
          <w:color w:val="000000" w:themeColor="text1"/>
          <w:sz w:val="32"/>
          <w:szCs w:val="22"/>
          <w14:textFill>
            <w14:solidFill>
              <w14:schemeClr w14:val="tx1"/>
            </w14:solidFill>
          </w14:textFill>
        </w:rPr>
        <w:t>号</w:t>
      </w:r>
    </w:p>
    <w:p>
      <w:pPr>
        <w:autoSpaceDE w:val="0"/>
        <w:autoSpaceDN w:val="0"/>
        <w:adjustRightInd w:val="0"/>
        <w:jc w:val="center"/>
        <w:rPr>
          <w:rFonts w:hAnsi="宋体" w:cs="宋体"/>
          <w:sz w:val="44"/>
        </w:rPr>
      </w:pPr>
      <w:r>
        <w:rPr>
          <w:rFonts w:hint="eastAsia"/>
          <w:bCs/>
          <w:sz w:val="44"/>
          <w:szCs w:val="44"/>
        </w:rPr>
        <w:t>商务标</w:t>
      </w: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rPr>
          <w:rFonts w:hAnsi="宋体" w:cs="宋体"/>
          <w:sz w:val="44"/>
        </w:rPr>
      </w:pPr>
    </w:p>
    <w:p>
      <w:pPr>
        <w:autoSpaceDE w:val="0"/>
        <w:autoSpaceDN w:val="0"/>
        <w:adjustRightInd w:val="0"/>
        <w:spacing w:line="420" w:lineRule="exact"/>
        <w:jc w:val="center"/>
        <w:rPr>
          <w:rFonts w:hAnsi="宋体" w:cs="宋体"/>
          <w:sz w:val="44"/>
        </w:rPr>
      </w:pPr>
    </w:p>
    <w:p>
      <w:pPr>
        <w:pStyle w:val="67"/>
        <w:jc w:val="center"/>
        <w:rPr>
          <w:rFonts w:hAnsi="宋体"/>
          <w:color w:val="auto"/>
          <w:sz w:val="23"/>
          <w:u w:val="single"/>
        </w:rPr>
      </w:pPr>
    </w:p>
    <w:p>
      <w:pPr>
        <w:pStyle w:val="67"/>
        <w:spacing w:line="400" w:lineRule="exact"/>
        <w:jc w:val="center"/>
        <w:rPr>
          <w:rFonts w:hAnsi="宋体"/>
          <w:color w:val="auto"/>
          <w:sz w:val="23"/>
        </w:rPr>
      </w:pPr>
    </w:p>
    <w:p>
      <w:pPr>
        <w:pStyle w:val="67"/>
        <w:spacing w:line="400" w:lineRule="exact"/>
        <w:jc w:val="center"/>
        <w:rPr>
          <w:rFonts w:hAnsi="宋体"/>
          <w:color w:val="auto"/>
          <w:sz w:val="23"/>
        </w:rPr>
      </w:pPr>
    </w:p>
    <w:p>
      <w:pPr>
        <w:pStyle w:val="67"/>
        <w:spacing w:line="400" w:lineRule="exact"/>
        <w:jc w:val="center"/>
        <w:rPr>
          <w:rFonts w:hAnsi="宋体"/>
          <w:color w:val="auto"/>
          <w:sz w:val="23"/>
        </w:rPr>
      </w:pPr>
    </w:p>
    <w:p>
      <w:pPr>
        <w:pStyle w:val="67"/>
        <w:spacing w:line="400" w:lineRule="exact"/>
        <w:jc w:val="center"/>
        <w:rPr>
          <w:rFonts w:hAnsi="宋体"/>
          <w:color w:val="auto"/>
          <w:sz w:val="23"/>
        </w:rPr>
      </w:pPr>
    </w:p>
    <w:p>
      <w:pPr>
        <w:pStyle w:val="67"/>
        <w:spacing w:line="400" w:lineRule="exact"/>
        <w:jc w:val="center"/>
        <w:rPr>
          <w:rFonts w:hAnsi="宋体"/>
          <w:color w:val="auto"/>
          <w:sz w:val="23"/>
          <w:u w:val="single"/>
        </w:rPr>
      </w:pPr>
      <w:r>
        <w:rPr>
          <w:rFonts w:hint="eastAsia" w:hAnsi="宋体"/>
          <w:color w:val="auto"/>
          <w:sz w:val="23"/>
        </w:rPr>
        <w:t>投标人：（盖单位章）</w:t>
      </w:r>
    </w:p>
    <w:p>
      <w:pPr>
        <w:pStyle w:val="67"/>
        <w:spacing w:line="400" w:lineRule="exact"/>
        <w:rPr>
          <w:rFonts w:hAnsi="宋体"/>
          <w:color w:val="auto"/>
          <w:sz w:val="23"/>
          <w:u w:val="single"/>
        </w:rPr>
      </w:pPr>
      <w:r>
        <w:rPr>
          <w:rFonts w:hint="eastAsia" w:hAnsi="宋体"/>
          <w:color w:val="auto"/>
          <w:sz w:val="23"/>
        </w:rPr>
        <w:t xml:space="preserve">              </w:t>
      </w:r>
      <w:r>
        <w:rPr>
          <w:rFonts w:hint="eastAsia" w:hAnsi="宋体"/>
          <w:color w:val="auto"/>
          <w:sz w:val="23"/>
          <w:lang w:val="en-US" w:eastAsia="zh-CN"/>
        </w:rPr>
        <w:t xml:space="preserve">        </w:t>
      </w:r>
      <w:r>
        <w:rPr>
          <w:rFonts w:hint="eastAsia" w:hAnsi="宋体"/>
          <w:color w:val="auto"/>
          <w:sz w:val="23"/>
        </w:rPr>
        <w:t xml:space="preserve">  法定代表人或其委托代理人：（签字）</w:t>
      </w:r>
    </w:p>
    <w:p>
      <w:pPr>
        <w:pStyle w:val="67"/>
        <w:spacing w:line="400" w:lineRule="exact"/>
        <w:jc w:val="center"/>
        <w:rPr>
          <w:rFonts w:hAnsi="宋体"/>
          <w:color w:val="auto"/>
          <w:sz w:val="23"/>
          <w:u w:val="single"/>
        </w:rPr>
      </w:pPr>
      <w:r>
        <w:rPr>
          <w:rFonts w:hint="eastAsia" w:hAnsi="宋体"/>
          <w:color w:val="auto"/>
          <w:sz w:val="23"/>
        </w:rPr>
        <w:t>年月日</w:t>
      </w:r>
    </w:p>
    <w:p>
      <w:pPr>
        <w:jc w:val="left"/>
        <w:rPr>
          <w:rFonts w:ascii="华文中宋" w:hAnsi="华文中宋" w:eastAsia="华文中宋"/>
          <w:b/>
          <w:bCs/>
          <w:sz w:val="32"/>
          <w:szCs w:val="32"/>
        </w:rPr>
      </w:pPr>
      <w:r>
        <w:rPr>
          <w:rFonts w:hint="eastAsia" w:hAnsi="宋体" w:cs="宋体"/>
          <w:sz w:val="28"/>
        </w:rPr>
        <w:br w:type="page"/>
      </w:r>
    </w:p>
    <w:p>
      <w:pPr>
        <w:tabs>
          <w:tab w:val="center" w:pos="4739"/>
        </w:tabs>
        <w:ind w:left="180"/>
        <w:jc w:val="center"/>
        <w:rPr>
          <w:rFonts w:ascii="黑体" w:eastAsia="黑体"/>
          <w:b/>
          <w:sz w:val="32"/>
        </w:rPr>
      </w:pPr>
    </w:p>
    <w:p>
      <w:pPr>
        <w:autoSpaceDE w:val="0"/>
        <w:autoSpaceDN w:val="0"/>
        <w:adjustRightInd w:val="0"/>
        <w:spacing w:line="420" w:lineRule="exact"/>
        <w:jc w:val="center"/>
        <w:rPr>
          <w:rFonts w:hAnsi="宋体" w:cs="黑体"/>
          <w:b/>
          <w:sz w:val="36"/>
          <w:szCs w:val="36"/>
        </w:rPr>
      </w:pPr>
      <w:r>
        <w:rPr>
          <w:rFonts w:hint="eastAsia" w:hAnsi="宋体" w:cs="黑体"/>
          <w:b/>
          <w:sz w:val="36"/>
          <w:szCs w:val="36"/>
        </w:rPr>
        <w:t>已标价工程量清单</w:t>
      </w:r>
    </w:p>
    <w:p>
      <w:pPr>
        <w:autoSpaceDE w:val="0"/>
        <w:autoSpaceDN w:val="0"/>
        <w:adjustRightInd w:val="0"/>
        <w:spacing w:line="360" w:lineRule="auto"/>
        <w:ind w:right="215"/>
        <w:jc w:val="center"/>
        <w:rPr>
          <w:rFonts w:hAnsi="宋体"/>
          <w:b/>
          <w:color w:val="000000"/>
          <w:sz w:val="32"/>
        </w:rPr>
      </w:pPr>
      <w:r>
        <w:rPr>
          <w:rFonts w:hint="eastAsia" w:hAnsi="宋体" w:eastAsia="新宋体" w:cs="宋体"/>
          <w:color w:val="000000"/>
          <w:sz w:val="24"/>
        </w:rPr>
        <w:t xml:space="preserve">  （</w:t>
      </w:r>
      <w:r>
        <w:rPr>
          <w:rFonts w:hint="eastAsia" w:ascii="新宋体" w:hAnsi="新宋体" w:eastAsia="新宋体" w:cs="仿宋_GB2312"/>
          <w:color w:val="000000"/>
          <w:sz w:val="24"/>
        </w:rPr>
        <w:t>按所发放的工程量清单编制）</w:t>
      </w:r>
    </w:p>
    <w:p>
      <w:pPr>
        <w:tabs>
          <w:tab w:val="center" w:pos="4739"/>
        </w:tabs>
        <w:ind w:left="180"/>
        <w:jc w:val="center"/>
        <w:rPr>
          <w:rFonts w:ascii="黑体" w:eastAsia="黑体"/>
          <w:b/>
          <w:sz w:val="32"/>
        </w:rPr>
      </w:pPr>
    </w:p>
    <w:p>
      <w:pPr>
        <w:autoSpaceDE w:val="0"/>
        <w:autoSpaceDN w:val="0"/>
        <w:adjustRightInd w:val="0"/>
        <w:spacing w:line="420" w:lineRule="exact"/>
        <w:ind w:firstLine="3780" w:firstLineChars="1050"/>
        <w:jc w:val="left"/>
        <w:rPr>
          <w:rFonts w:hAnsi="宋体" w:cs="黑体"/>
          <w:b/>
          <w:sz w:val="36"/>
          <w:szCs w:val="36"/>
        </w:rPr>
      </w:pPr>
    </w:p>
    <w:p>
      <w:pPr>
        <w:autoSpaceDE w:val="0"/>
        <w:autoSpaceDN w:val="0"/>
        <w:adjustRightInd w:val="0"/>
        <w:spacing w:line="420" w:lineRule="exact"/>
        <w:jc w:val="center"/>
        <w:rPr>
          <w:rFonts w:hAnsi="宋体" w:cs="黑体"/>
          <w:b/>
          <w:sz w:val="36"/>
          <w:szCs w:val="36"/>
        </w:rPr>
      </w:pPr>
      <w:r>
        <w:rPr>
          <w:rFonts w:hAnsi="宋体" w:cs="黑体"/>
          <w:b/>
          <w:sz w:val="36"/>
          <w:szCs w:val="36"/>
        </w:rPr>
        <w:br w:type="page"/>
      </w:r>
    </w:p>
    <w:p>
      <w:pPr>
        <w:autoSpaceDE w:val="0"/>
        <w:autoSpaceDN w:val="0"/>
        <w:adjustRightInd w:val="0"/>
        <w:jc w:val="right"/>
        <w:rPr>
          <w:rFonts w:hAnsi="宋体" w:cs="宋体"/>
          <w:sz w:val="23"/>
          <w:u w:val="single"/>
        </w:rPr>
      </w:pPr>
      <w:r>
        <w:rPr>
          <w:rFonts w:hint="eastAsia" w:hAnsi="宋体" w:cs="宋体"/>
          <w:sz w:val="24"/>
          <w:szCs w:val="21"/>
        </w:rPr>
        <w:t>正（副）本</w:t>
      </w:r>
    </w:p>
    <w:p>
      <w:pPr>
        <w:autoSpaceDE w:val="0"/>
        <w:autoSpaceDN w:val="0"/>
        <w:adjustRightInd w:val="0"/>
        <w:ind w:firstLine="3410" w:firstLineChars="1100"/>
        <w:jc w:val="left"/>
        <w:rPr>
          <w:rFonts w:hAnsi="宋体" w:cs="宋体"/>
          <w:sz w:val="28"/>
        </w:rPr>
      </w:pPr>
      <w:r>
        <w:rPr>
          <w:rFonts w:hint="eastAsia" w:hAnsi="宋体" w:cs="宋体"/>
          <w:sz w:val="31"/>
        </w:rPr>
        <w:t>（项目名称）施工</w:t>
      </w: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jc w:val="left"/>
        <w:rPr>
          <w:rFonts w:hAnsi="宋体" w:cs="宋体"/>
          <w:sz w:val="28"/>
        </w:rPr>
      </w:pPr>
    </w:p>
    <w:p>
      <w:pPr>
        <w:autoSpaceDE w:val="0"/>
        <w:autoSpaceDN w:val="0"/>
        <w:adjustRightInd w:val="0"/>
        <w:rPr>
          <w:rFonts w:hAnsi="宋体" w:cs="宋体"/>
          <w:b/>
          <w:spacing w:val="60"/>
          <w:sz w:val="70"/>
        </w:rPr>
      </w:pPr>
    </w:p>
    <w:p>
      <w:pPr>
        <w:autoSpaceDE w:val="0"/>
        <w:autoSpaceDN w:val="0"/>
        <w:adjustRightInd w:val="0"/>
        <w:jc w:val="center"/>
        <w:rPr>
          <w:rFonts w:hAnsi="宋体" w:cs="宋体"/>
          <w:b/>
          <w:spacing w:val="60"/>
          <w:sz w:val="70"/>
        </w:rPr>
      </w:pPr>
    </w:p>
    <w:p>
      <w:pPr>
        <w:autoSpaceDE w:val="0"/>
        <w:autoSpaceDN w:val="0"/>
        <w:adjustRightInd w:val="0"/>
        <w:jc w:val="center"/>
        <w:rPr>
          <w:rFonts w:hAnsi="宋体" w:cs="宋体"/>
          <w:sz w:val="44"/>
        </w:rPr>
      </w:pPr>
      <w:r>
        <w:rPr>
          <w:rFonts w:hint="eastAsia" w:hAnsi="宋体" w:cs="宋体"/>
          <w:b/>
          <w:spacing w:val="60"/>
          <w:sz w:val="70"/>
        </w:rPr>
        <w:t>投 标 文 件</w:t>
      </w:r>
    </w:p>
    <w:p>
      <w:pPr>
        <w:autoSpaceDE w:val="0"/>
        <w:autoSpaceDN w:val="0"/>
        <w:adjustRightInd w:val="0"/>
        <w:jc w:val="center"/>
        <w:rPr>
          <w:rFonts w:hAnsi="宋体" w:cs="宋体"/>
          <w:color w:val="000000" w:themeColor="text1"/>
          <w:sz w:val="52"/>
          <w:szCs w:val="22"/>
          <w14:textFill>
            <w14:solidFill>
              <w14:schemeClr w14:val="tx1"/>
            </w14:solidFill>
          </w14:textFill>
        </w:rPr>
      </w:pPr>
      <w:r>
        <w:rPr>
          <w:rFonts w:hint="eastAsia" w:hAnsi="宋体" w:cs="宋体"/>
          <w:bCs/>
          <w:color w:val="000000" w:themeColor="text1"/>
          <w:sz w:val="32"/>
          <w:szCs w:val="22"/>
          <w14:textFill>
            <w14:solidFill>
              <w14:schemeClr w14:val="tx1"/>
            </w14:solidFill>
          </w14:textFill>
        </w:rPr>
        <w:t>建安建工公字〔201</w:t>
      </w:r>
      <w:r>
        <w:rPr>
          <w:rFonts w:hint="eastAsia" w:hAnsi="宋体" w:cs="宋体"/>
          <w:bCs/>
          <w:color w:val="000000" w:themeColor="text1"/>
          <w:sz w:val="32"/>
          <w:szCs w:val="22"/>
          <w:lang w:val="en-US" w:eastAsia="zh-CN"/>
          <w14:textFill>
            <w14:solidFill>
              <w14:schemeClr w14:val="tx1"/>
            </w14:solidFill>
          </w14:textFill>
        </w:rPr>
        <w:t>9</w:t>
      </w:r>
      <w:r>
        <w:rPr>
          <w:rFonts w:hint="eastAsia" w:hAnsi="宋体" w:cs="宋体"/>
          <w:bCs/>
          <w:color w:val="000000" w:themeColor="text1"/>
          <w:sz w:val="32"/>
          <w:szCs w:val="22"/>
          <w14:textFill>
            <w14:solidFill>
              <w14:schemeClr w14:val="tx1"/>
            </w14:solidFill>
          </w14:textFill>
        </w:rPr>
        <w:t>〕</w:t>
      </w:r>
      <w:r>
        <w:rPr>
          <w:rFonts w:hint="eastAsia" w:hAnsi="宋体" w:cs="宋体"/>
          <w:bCs/>
          <w:color w:val="000000" w:themeColor="text1"/>
          <w:sz w:val="32"/>
          <w:szCs w:val="22"/>
          <w:lang w:val="en-US" w:eastAsia="zh-CN"/>
          <w14:textFill>
            <w14:solidFill>
              <w14:schemeClr w14:val="tx1"/>
            </w14:solidFill>
          </w14:textFill>
        </w:rPr>
        <w:t>67</w:t>
      </w:r>
      <w:r>
        <w:rPr>
          <w:rFonts w:hint="eastAsia" w:hAnsi="宋体" w:cs="宋体"/>
          <w:bCs/>
          <w:color w:val="000000" w:themeColor="text1"/>
          <w:sz w:val="32"/>
          <w:szCs w:val="22"/>
          <w14:textFill>
            <w14:solidFill>
              <w14:schemeClr w14:val="tx1"/>
            </w14:solidFill>
          </w14:textFill>
        </w:rPr>
        <w:t>号</w:t>
      </w:r>
    </w:p>
    <w:p>
      <w:pPr>
        <w:autoSpaceDE w:val="0"/>
        <w:autoSpaceDN w:val="0"/>
        <w:adjustRightInd w:val="0"/>
        <w:spacing w:line="420" w:lineRule="exact"/>
        <w:jc w:val="center"/>
        <w:rPr>
          <w:rFonts w:hAnsi="宋体" w:cs="宋体"/>
          <w:sz w:val="40"/>
          <w:szCs w:val="18"/>
        </w:rPr>
      </w:pPr>
      <w:r>
        <w:rPr>
          <w:rFonts w:hint="eastAsia"/>
          <w:bCs/>
          <w:sz w:val="40"/>
          <w:szCs w:val="40"/>
        </w:rPr>
        <w:t>综合（信用）标</w:t>
      </w: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rPr>
          <w:rFonts w:hAnsi="宋体" w:cs="宋体"/>
          <w:sz w:val="44"/>
        </w:rPr>
      </w:pPr>
    </w:p>
    <w:p>
      <w:pPr>
        <w:autoSpaceDE w:val="0"/>
        <w:autoSpaceDN w:val="0"/>
        <w:adjustRightInd w:val="0"/>
        <w:spacing w:line="420" w:lineRule="exact"/>
        <w:jc w:val="center"/>
        <w:rPr>
          <w:rFonts w:hAnsi="宋体" w:cs="宋体"/>
          <w:sz w:val="44"/>
        </w:rPr>
      </w:pPr>
    </w:p>
    <w:p>
      <w:pPr>
        <w:pStyle w:val="67"/>
        <w:jc w:val="center"/>
        <w:rPr>
          <w:rFonts w:hAnsi="宋体"/>
          <w:color w:val="auto"/>
          <w:sz w:val="23"/>
          <w:u w:val="single"/>
        </w:rPr>
      </w:pPr>
    </w:p>
    <w:p>
      <w:pPr>
        <w:pStyle w:val="67"/>
        <w:spacing w:line="400" w:lineRule="exact"/>
        <w:jc w:val="center"/>
        <w:rPr>
          <w:rFonts w:hAnsi="宋体"/>
          <w:color w:val="auto"/>
          <w:sz w:val="23"/>
        </w:rPr>
      </w:pPr>
    </w:p>
    <w:p>
      <w:pPr>
        <w:pStyle w:val="67"/>
        <w:spacing w:line="400" w:lineRule="exact"/>
        <w:jc w:val="center"/>
        <w:rPr>
          <w:rFonts w:hAnsi="宋体"/>
          <w:color w:val="auto"/>
          <w:sz w:val="23"/>
        </w:rPr>
      </w:pPr>
    </w:p>
    <w:p>
      <w:pPr>
        <w:pStyle w:val="67"/>
        <w:spacing w:line="400" w:lineRule="exact"/>
        <w:jc w:val="center"/>
        <w:rPr>
          <w:rFonts w:hAnsi="宋体"/>
          <w:color w:val="auto"/>
          <w:sz w:val="23"/>
        </w:rPr>
      </w:pPr>
    </w:p>
    <w:p>
      <w:pPr>
        <w:pStyle w:val="67"/>
        <w:spacing w:line="400" w:lineRule="exact"/>
        <w:jc w:val="center"/>
        <w:rPr>
          <w:rFonts w:hAnsi="宋体"/>
          <w:color w:val="auto"/>
          <w:sz w:val="23"/>
        </w:rPr>
      </w:pPr>
    </w:p>
    <w:p>
      <w:pPr>
        <w:pStyle w:val="67"/>
        <w:spacing w:line="400" w:lineRule="exact"/>
        <w:jc w:val="center"/>
        <w:rPr>
          <w:rFonts w:hAnsi="宋体"/>
          <w:color w:val="auto"/>
          <w:sz w:val="23"/>
          <w:u w:val="single"/>
        </w:rPr>
      </w:pPr>
      <w:r>
        <w:rPr>
          <w:rFonts w:hint="eastAsia" w:hAnsi="宋体"/>
          <w:color w:val="auto"/>
          <w:sz w:val="23"/>
        </w:rPr>
        <w:t>投标人：（盖单位章）</w:t>
      </w:r>
    </w:p>
    <w:p>
      <w:pPr>
        <w:pStyle w:val="67"/>
        <w:spacing w:line="400" w:lineRule="exact"/>
        <w:rPr>
          <w:rFonts w:hAnsi="宋体"/>
          <w:color w:val="auto"/>
          <w:sz w:val="23"/>
          <w:u w:val="single"/>
        </w:rPr>
      </w:pPr>
      <w:r>
        <w:rPr>
          <w:rFonts w:hint="eastAsia" w:hAnsi="宋体"/>
          <w:color w:val="auto"/>
          <w:sz w:val="23"/>
        </w:rPr>
        <w:t xml:space="preserve">                </w:t>
      </w:r>
      <w:r>
        <w:rPr>
          <w:rFonts w:hint="eastAsia" w:hAnsi="宋体"/>
          <w:color w:val="auto"/>
          <w:sz w:val="23"/>
          <w:lang w:val="en-US" w:eastAsia="zh-CN"/>
        </w:rPr>
        <w:t xml:space="preserve">        </w:t>
      </w:r>
      <w:r>
        <w:rPr>
          <w:rFonts w:hint="eastAsia" w:hAnsi="宋体"/>
          <w:color w:val="auto"/>
          <w:sz w:val="23"/>
        </w:rPr>
        <w:t>法定代表人或其委托代理人：（签字）</w:t>
      </w:r>
    </w:p>
    <w:p>
      <w:pPr>
        <w:pStyle w:val="67"/>
        <w:spacing w:line="400" w:lineRule="exact"/>
        <w:jc w:val="center"/>
        <w:rPr>
          <w:rFonts w:hAnsi="宋体"/>
          <w:color w:val="auto"/>
          <w:sz w:val="23"/>
          <w:u w:val="single"/>
        </w:rPr>
      </w:pPr>
      <w:r>
        <w:rPr>
          <w:rFonts w:hint="eastAsia" w:hAnsi="宋体"/>
          <w:color w:val="auto"/>
          <w:sz w:val="23"/>
        </w:rPr>
        <w:t>年月日</w:t>
      </w:r>
    </w:p>
    <w:p>
      <w:pPr>
        <w:jc w:val="left"/>
        <w:rPr>
          <w:rFonts w:ascii="华文中宋" w:hAnsi="华文中宋" w:eastAsia="华文中宋"/>
          <w:b/>
          <w:bCs/>
          <w:sz w:val="32"/>
          <w:szCs w:val="32"/>
        </w:rPr>
      </w:pPr>
      <w:r>
        <w:rPr>
          <w:rFonts w:hint="eastAsia" w:hAnsi="宋体" w:cs="宋体"/>
          <w:sz w:val="28"/>
        </w:rPr>
        <w:br w:type="page"/>
      </w:r>
    </w:p>
    <w:p>
      <w:pPr>
        <w:autoSpaceDE w:val="0"/>
        <w:autoSpaceDN w:val="0"/>
        <w:adjustRightInd w:val="0"/>
        <w:spacing w:line="420" w:lineRule="exact"/>
        <w:rPr>
          <w:rFonts w:hAnsi="宋体" w:cs="黑体"/>
          <w:b/>
          <w:sz w:val="36"/>
          <w:szCs w:val="36"/>
        </w:rPr>
      </w:pPr>
    </w:p>
    <w:p>
      <w:pPr>
        <w:autoSpaceDE w:val="0"/>
        <w:autoSpaceDN w:val="0"/>
        <w:adjustRightInd w:val="0"/>
        <w:spacing w:line="420" w:lineRule="exact"/>
        <w:jc w:val="left"/>
        <w:rPr>
          <w:rFonts w:hAnsi="宋体" w:cs="黑体"/>
          <w:b/>
          <w:color w:val="0000FF"/>
          <w:sz w:val="36"/>
          <w:szCs w:val="36"/>
        </w:rPr>
      </w:pPr>
    </w:p>
    <w:p>
      <w:pPr>
        <w:autoSpaceDE w:val="0"/>
        <w:autoSpaceDN w:val="0"/>
        <w:adjustRightInd w:val="0"/>
        <w:spacing w:line="420" w:lineRule="exact"/>
        <w:ind w:firstLine="3780" w:firstLineChars="1050"/>
        <w:jc w:val="left"/>
        <w:rPr>
          <w:rFonts w:hAnsi="宋体" w:cs="黑体"/>
          <w:b/>
          <w:color w:val="0000FF"/>
          <w:sz w:val="36"/>
          <w:szCs w:val="36"/>
        </w:rPr>
      </w:pPr>
    </w:p>
    <w:p>
      <w:pPr>
        <w:autoSpaceDE w:val="0"/>
        <w:autoSpaceDN w:val="0"/>
        <w:adjustRightInd w:val="0"/>
        <w:spacing w:line="420" w:lineRule="exact"/>
        <w:ind w:firstLine="3780" w:firstLineChars="1050"/>
        <w:jc w:val="left"/>
        <w:rPr>
          <w:rFonts w:hAnsi="宋体" w:cs="TimesNewRomanPSMT"/>
          <w:sz w:val="36"/>
          <w:szCs w:val="36"/>
        </w:rPr>
      </w:pPr>
      <w:r>
        <w:rPr>
          <w:rFonts w:hint="eastAsia" w:hAnsi="宋体" w:cs="黑体"/>
          <w:b/>
          <w:sz w:val="36"/>
          <w:szCs w:val="36"/>
        </w:rPr>
        <w:t>目   录</w:t>
      </w:r>
    </w:p>
    <w:p>
      <w:pPr>
        <w:autoSpaceDE w:val="0"/>
        <w:autoSpaceDN w:val="0"/>
        <w:adjustRightInd w:val="0"/>
        <w:spacing w:line="420" w:lineRule="exact"/>
        <w:jc w:val="center"/>
        <w:rPr>
          <w:rFonts w:hAnsi="宋体" w:cs="黑体"/>
          <w:sz w:val="28"/>
          <w:szCs w:val="28"/>
        </w:rPr>
      </w:pPr>
    </w:p>
    <w:p>
      <w:pPr>
        <w:autoSpaceDE w:val="0"/>
        <w:autoSpaceDN w:val="0"/>
        <w:adjustRightInd w:val="0"/>
        <w:spacing w:line="420" w:lineRule="exact"/>
        <w:jc w:val="center"/>
        <w:rPr>
          <w:rFonts w:hAnsi="宋体" w:cs="黑体"/>
          <w:sz w:val="28"/>
          <w:szCs w:val="28"/>
        </w:rPr>
      </w:pPr>
    </w:p>
    <w:p>
      <w:pPr>
        <w:numPr>
          <w:ilvl w:val="0"/>
          <w:numId w:val="7"/>
        </w:num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投标函；</w:t>
      </w:r>
    </w:p>
    <w:p>
      <w:pPr>
        <w:numPr>
          <w:ilvl w:val="0"/>
          <w:numId w:val="7"/>
        </w:num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投标函附录；</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三、法定代表人身份证明、授权委托书；</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四、投标保证金；</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五、项目管理机构配备情况；</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六、投标单位基本信息表</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七、资格证明文件；</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八、正在施工的和新承接的项目情况；</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九、其它材料；</w:t>
      </w:r>
    </w:p>
    <w:p>
      <w:pPr>
        <w:spacing w:line="600" w:lineRule="exact"/>
        <w:ind w:left="1377" w:leftChars="405"/>
        <w:rPr>
          <w:rFonts w:ascii="新宋体" w:hAnsi="新宋体" w:eastAsia="新宋体"/>
          <w:b/>
          <w:sz w:val="24"/>
        </w:rPr>
      </w:pPr>
      <w:r>
        <w:rPr>
          <w:rFonts w:hint="eastAsia" w:ascii="新宋体" w:hAnsi="新宋体" w:eastAsia="新宋体"/>
          <w:b/>
          <w:sz w:val="24"/>
        </w:rPr>
        <w:t>投标文件编制过程中应按本章提供的格式填报。</w:t>
      </w:r>
    </w:p>
    <w:p>
      <w:pPr>
        <w:spacing w:line="600" w:lineRule="exact"/>
        <w:ind w:left="1377" w:leftChars="405"/>
        <w:rPr>
          <w:rFonts w:ascii="新宋体" w:hAnsi="新宋体" w:eastAsia="新宋体"/>
          <w:b/>
          <w:sz w:val="24"/>
        </w:rPr>
      </w:pPr>
      <w:r>
        <w:rPr>
          <w:rFonts w:hint="eastAsia" w:ascii="新宋体" w:hAnsi="新宋体" w:eastAsia="新宋体"/>
          <w:b/>
          <w:sz w:val="24"/>
        </w:rPr>
        <w:t>如有本章未提供的格式，投标人可自行编制。</w:t>
      </w:r>
    </w:p>
    <w:p>
      <w:pPr>
        <w:spacing w:beforeLines="100" w:line="510" w:lineRule="exact"/>
        <w:jc w:val="center"/>
        <w:rPr>
          <w:rFonts w:ascii="黑体" w:hAnsi="宋体" w:eastAsia="黑体"/>
          <w:sz w:val="24"/>
        </w:rPr>
      </w:pPr>
    </w:p>
    <w:p>
      <w:pPr>
        <w:spacing w:beforeLines="100" w:line="510" w:lineRule="exact"/>
        <w:jc w:val="center"/>
        <w:rPr>
          <w:rFonts w:ascii="黑体" w:hAnsi="宋体" w:eastAsia="黑体"/>
          <w:sz w:val="28"/>
          <w:szCs w:val="28"/>
        </w:rPr>
      </w:pPr>
    </w:p>
    <w:p>
      <w:pPr>
        <w:spacing w:beforeLines="100" w:line="510" w:lineRule="exact"/>
        <w:jc w:val="center"/>
        <w:rPr>
          <w:rFonts w:ascii="黑体" w:hAnsi="宋体" w:eastAsia="黑体"/>
          <w:color w:val="0000FF"/>
          <w:sz w:val="28"/>
          <w:szCs w:val="28"/>
        </w:rPr>
      </w:pPr>
    </w:p>
    <w:p>
      <w:pPr>
        <w:spacing w:beforeLines="100" w:line="510" w:lineRule="exact"/>
        <w:jc w:val="center"/>
        <w:rPr>
          <w:rFonts w:ascii="黑体" w:hAnsi="宋体" w:eastAsia="黑体"/>
          <w:color w:val="0000FF"/>
          <w:sz w:val="28"/>
          <w:szCs w:val="28"/>
        </w:rPr>
      </w:pPr>
    </w:p>
    <w:p>
      <w:pPr>
        <w:spacing w:beforeLines="100" w:line="510" w:lineRule="exact"/>
        <w:jc w:val="center"/>
        <w:rPr>
          <w:rFonts w:ascii="黑体" w:hAnsi="宋体" w:eastAsia="黑体"/>
          <w:color w:val="0000FF"/>
          <w:sz w:val="28"/>
          <w:szCs w:val="28"/>
        </w:rPr>
      </w:pPr>
    </w:p>
    <w:p>
      <w:pPr>
        <w:tabs>
          <w:tab w:val="center" w:pos="4739"/>
        </w:tabs>
        <w:rPr>
          <w:rFonts w:hAnsi="宋体"/>
          <w:b/>
          <w:color w:val="0000FF"/>
          <w:sz w:val="32"/>
        </w:rPr>
      </w:pPr>
    </w:p>
    <w:p>
      <w:pPr>
        <w:tabs>
          <w:tab w:val="center" w:pos="4739"/>
        </w:tabs>
        <w:jc w:val="center"/>
        <w:rPr>
          <w:rFonts w:hAnsi="宋体"/>
          <w:b/>
          <w:sz w:val="32"/>
        </w:rPr>
      </w:pPr>
      <w:r>
        <w:rPr>
          <w:rFonts w:hint="eastAsia" w:hAnsi="宋体"/>
          <w:b/>
          <w:sz w:val="32"/>
        </w:rPr>
        <w:t>一、投标函</w:t>
      </w:r>
    </w:p>
    <w:p>
      <w:pPr>
        <w:spacing w:beforeLines="100" w:afterLines="50" w:line="510" w:lineRule="exact"/>
        <w:jc w:val="center"/>
        <w:rPr>
          <w:rFonts w:ascii="黑体" w:eastAsia="黑体"/>
          <w:sz w:val="28"/>
          <w:szCs w:val="28"/>
        </w:rPr>
      </w:pPr>
      <w:bookmarkStart w:id="628" w:name="_Toc271787730"/>
      <w:r>
        <w:rPr>
          <w:rFonts w:hint="eastAsia" w:ascii="黑体" w:eastAsia="黑体"/>
          <w:sz w:val="28"/>
          <w:szCs w:val="28"/>
        </w:rPr>
        <w:t>投标函</w:t>
      </w:r>
    </w:p>
    <w:p>
      <w:pPr>
        <w:spacing w:line="480" w:lineRule="exact"/>
        <w:rPr>
          <w:rFonts w:ascii="新宋体" w:hAnsi="新宋体" w:eastAsia="新宋体"/>
          <w:sz w:val="24"/>
        </w:rPr>
      </w:pPr>
      <w:r>
        <w:rPr>
          <w:rFonts w:hint="eastAsia" w:ascii="新宋体" w:hAnsi="新宋体" w:eastAsia="新宋体"/>
          <w:sz w:val="24"/>
        </w:rPr>
        <w:t>致：（招标人名称）</w:t>
      </w:r>
    </w:p>
    <w:p>
      <w:pPr>
        <w:spacing w:line="480" w:lineRule="exact"/>
        <w:ind w:firstLine="480" w:firstLineChars="200"/>
        <w:rPr>
          <w:rFonts w:ascii="新宋体" w:hAnsi="新宋体" w:eastAsia="新宋体"/>
          <w:sz w:val="24"/>
        </w:rPr>
      </w:pPr>
      <w:r>
        <w:rPr>
          <w:rFonts w:hint="eastAsia" w:ascii="新宋体" w:hAnsi="新宋体" w:eastAsia="新宋体"/>
          <w:sz w:val="24"/>
        </w:rPr>
        <w:t>在考察现场并充分研究（项目名称）标段（以下简称“本工程”）招标文件的全部内容后，我方兹以：</w:t>
      </w:r>
    </w:p>
    <w:p>
      <w:pPr>
        <w:spacing w:line="480" w:lineRule="exact"/>
        <w:ind w:firstLine="480" w:firstLineChars="200"/>
        <w:rPr>
          <w:rFonts w:ascii="新宋体" w:hAnsi="新宋体" w:eastAsia="新宋体"/>
          <w:sz w:val="24"/>
        </w:rPr>
      </w:pPr>
      <w:r>
        <w:rPr>
          <w:rFonts w:hint="eastAsia" w:ascii="新宋体" w:hAnsi="新宋体" w:eastAsia="新宋体"/>
          <w:sz w:val="24"/>
        </w:rPr>
        <w:t>人民币（大写）：元RMB￥：元</w:t>
      </w:r>
    </w:p>
    <w:p>
      <w:pPr>
        <w:spacing w:line="480" w:lineRule="exact"/>
        <w:rPr>
          <w:rFonts w:ascii="新宋体" w:hAnsi="新宋体" w:eastAsia="新宋体"/>
          <w:sz w:val="24"/>
        </w:rPr>
      </w:pPr>
      <w:r>
        <w:rPr>
          <w:rFonts w:hint="eastAsia" w:ascii="新宋体" w:hAnsi="新宋体" w:eastAsia="新宋体"/>
          <w:sz w:val="24"/>
        </w:rPr>
        <w:t>的投标价格和按合同约定有权得到的其它金额，并严格按照合同约定，施工、竣工和交付本工程并维修其中的任何缺陷。</w:t>
      </w:r>
    </w:p>
    <w:p>
      <w:pPr>
        <w:spacing w:line="480" w:lineRule="exact"/>
        <w:ind w:firstLine="480" w:firstLineChars="200"/>
        <w:rPr>
          <w:rFonts w:ascii="新宋体" w:hAnsi="新宋体" w:eastAsia="新宋体"/>
          <w:sz w:val="24"/>
        </w:rPr>
      </w:pPr>
      <w:r>
        <w:rPr>
          <w:rFonts w:hint="eastAsia" w:ascii="新宋体" w:hAnsi="新宋体" w:eastAsia="新宋体"/>
          <w:sz w:val="24"/>
        </w:rPr>
        <w:t>在我方的上述投标报价中，包括：</w:t>
      </w:r>
    </w:p>
    <w:p>
      <w:pPr>
        <w:spacing w:line="480" w:lineRule="exact"/>
        <w:ind w:firstLine="960" w:firstLineChars="400"/>
        <w:rPr>
          <w:rFonts w:ascii="新宋体" w:hAnsi="新宋体" w:eastAsia="新宋体"/>
          <w:sz w:val="24"/>
        </w:rPr>
      </w:pPr>
      <w:r>
        <w:rPr>
          <w:rFonts w:hint="eastAsia" w:ascii="新宋体" w:hAnsi="新宋体" w:eastAsia="新宋体"/>
          <w:sz w:val="24"/>
        </w:rPr>
        <w:t>规费RMB￥：元</w:t>
      </w:r>
    </w:p>
    <w:p>
      <w:pPr>
        <w:spacing w:line="480" w:lineRule="exact"/>
        <w:ind w:firstLine="960" w:firstLineChars="400"/>
        <w:rPr>
          <w:rFonts w:ascii="新宋体" w:hAnsi="新宋体" w:eastAsia="新宋体"/>
          <w:sz w:val="24"/>
        </w:rPr>
      </w:pPr>
      <w:r>
        <w:rPr>
          <w:rFonts w:hint="eastAsia" w:ascii="新宋体" w:hAnsi="新宋体" w:eastAsia="新宋体"/>
          <w:sz w:val="24"/>
        </w:rPr>
        <w:t>税金RMB￥：元</w:t>
      </w:r>
    </w:p>
    <w:p>
      <w:pPr>
        <w:spacing w:line="480" w:lineRule="exact"/>
        <w:ind w:firstLine="960" w:firstLineChars="400"/>
        <w:rPr>
          <w:rFonts w:ascii="新宋体" w:hAnsi="新宋体" w:eastAsia="新宋体"/>
          <w:sz w:val="24"/>
        </w:rPr>
      </w:pPr>
      <w:r>
        <w:rPr>
          <w:rFonts w:hint="eastAsia" w:ascii="新宋体" w:hAnsi="新宋体" w:eastAsia="新宋体"/>
          <w:sz w:val="24"/>
        </w:rPr>
        <w:t>安全文明措施费RMB￥：元</w:t>
      </w:r>
    </w:p>
    <w:p>
      <w:pPr>
        <w:spacing w:line="480" w:lineRule="exact"/>
        <w:ind w:firstLine="480" w:firstLineChars="200"/>
        <w:rPr>
          <w:rFonts w:ascii="新宋体" w:hAnsi="新宋体" w:eastAsia="新宋体"/>
          <w:sz w:val="24"/>
        </w:rPr>
      </w:pPr>
      <w:r>
        <w:rPr>
          <w:rFonts w:hint="eastAsia" w:ascii="新宋体" w:hAnsi="新宋体" w:eastAsia="新宋体"/>
          <w:sz w:val="24"/>
        </w:rPr>
        <w:t>如果我方中标，我方保证按照合同约定的开工日期开始本工程的施工，天（日历日）内竣工，并确保工程质量达到标准。我方同意本投标函在招标文件规定的提交投标文件截止时间后，在招标文件规定的投标有效期期满前对我方具有约束力，且随时准备接受你方发出的中标通知书。</w:t>
      </w:r>
      <w:r>
        <w:rPr>
          <w:rFonts w:hint="eastAsia" w:ascii="新宋体" w:hAnsi="新宋体" w:eastAsia="新宋体"/>
          <w:b/>
          <w:bCs/>
          <w:sz w:val="24"/>
          <w:szCs w:val="22"/>
        </w:rPr>
        <w:t>我方承诺中标后按招标文件要求交纳代理费相关费用。</w:t>
      </w:r>
    </w:p>
    <w:p>
      <w:pPr>
        <w:spacing w:line="480" w:lineRule="exact"/>
        <w:ind w:firstLine="480" w:firstLineChars="200"/>
        <w:rPr>
          <w:rFonts w:ascii="新宋体" w:hAnsi="新宋体" w:eastAsia="新宋体"/>
          <w:sz w:val="24"/>
        </w:rPr>
      </w:pPr>
      <w:r>
        <w:rPr>
          <w:rFonts w:hint="eastAsia" w:ascii="新宋体" w:hAnsi="新宋体" w:eastAsia="新宋体"/>
          <w:sz w:val="24"/>
        </w:rPr>
        <w:t>随本投标函递交的投标函附录是本投标函的组成部分，对我方构成约束力。</w:t>
      </w:r>
    </w:p>
    <w:p>
      <w:pPr>
        <w:spacing w:line="480" w:lineRule="exact"/>
        <w:ind w:firstLine="480" w:firstLineChars="200"/>
        <w:rPr>
          <w:rFonts w:ascii="新宋体" w:hAnsi="新宋体" w:eastAsia="新宋体"/>
          <w:sz w:val="24"/>
        </w:rPr>
      </w:pPr>
      <w:r>
        <w:rPr>
          <w:rFonts w:hint="eastAsia" w:ascii="新宋体" w:hAnsi="新宋体" w:eastAsia="新宋体"/>
          <w:sz w:val="24"/>
        </w:rPr>
        <w:t>随同本投标函递交投标保证金一份，金额为人民币（大写）：元（￥：元）。</w:t>
      </w:r>
    </w:p>
    <w:p>
      <w:pPr>
        <w:spacing w:line="480" w:lineRule="exact"/>
        <w:ind w:firstLine="480" w:firstLineChars="200"/>
        <w:rPr>
          <w:rFonts w:ascii="新宋体" w:hAnsi="新宋体" w:eastAsia="新宋体"/>
          <w:sz w:val="24"/>
        </w:rPr>
      </w:pPr>
      <w:r>
        <w:rPr>
          <w:rFonts w:hint="eastAsia" w:ascii="新宋体" w:hAnsi="新宋体" w:eastAsia="新宋体"/>
          <w:sz w:val="24"/>
        </w:rPr>
        <w:t>在签署协议书之前，你方的中标通知书连同本投标函，包括投标函附录，对双方具有约束力。</w:t>
      </w:r>
    </w:p>
    <w:p>
      <w:pPr>
        <w:spacing w:line="480" w:lineRule="exact"/>
        <w:ind w:firstLine="480" w:firstLineChars="200"/>
        <w:rPr>
          <w:rFonts w:ascii="新宋体" w:hAnsi="新宋体" w:eastAsia="新宋体"/>
          <w:sz w:val="24"/>
        </w:rPr>
      </w:pPr>
    </w:p>
    <w:p>
      <w:pPr>
        <w:spacing w:line="480" w:lineRule="exact"/>
        <w:ind w:firstLine="480" w:firstLineChars="200"/>
        <w:rPr>
          <w:rFonts w:ascii="新宋体" w:hAnsi="新宋体" w:eastAsia="新宋体"/>
          <w:sz w:val="24"/>
        </w:rPr>
      </w:pPr>
      <w:r>
        <w:rPr>
          <w:rFonts w:hint="eastAsia" w:ascii="新宋体" w:hAnsi="新宋体" w:eastAsia="新宋体"/>
          <w:sz w:val="24"/>
        </w:rPr>
        <w:t>投标人（盖章）：</w:t>
      </w:r>
    </w:p>
    <w:p>
      <w:pPr>
        <w:spacing w:line="480" w:lineRule="exact"/>
        <w:ind w:firstLine="480" w:firstLineChars="200"/>
        <w:rPr>
          <w:rFonts w:ascii="新宋体" w:hAnsi="新宋体" w:eastAsia="新宋体"/>
          <w:sz w:val="24"/>
        </w:rPr>
      </w:pPr>
      <w:r>
        <w:rPr>
          <w:rFonts w:hint="eastAsia" w:ascii="新宋体" w:hAnsi="新宋体" w:eastAsia="新宋体"/>
          <w:sz w:val="24"/>
        </w:rPr>
        <w:t>法人代表或委托代理人（签字）：</w:t>
      </w:r>
    </w:p>
    <w:p>
      <w:pPr>
        <w:spacing w:line="480" w:lineRule="exact"/>
        <w:ind w:firstLine="480" w:firstLineChars="200"/>
        <w:rPr>
          <w:rFonts w:ascii="新宋体" w:hAnsi="新宋体" w:eastAsia="新宋体"/>
          <w:sz w:val="24"/>
        </w:rPr>
      </w:pPr>
      <w:r>
        <w:rPr>
          <w:rFonts w:hint="eastAsia" w:ascii="新宋体" w:hAnsi="新宋体" w:eastAsia="新宋体"/>
          <w:sz w:val="24"/>
        </w:rPr>
        <w:t>日期：年月日</w:t>
      </w:r>
    </w:p>
    <w:p>
      <w:pPr>
        <w:autoSpaceDE w:val="0"/>
        <w:autoSpaceDN w:val="0"/>
        <w:adjustRightInd w:val="0"/>
        <w:outlineLvl w:val="0"/>
        <w:rPr>
          <w:rFonts w:ascii="黑体" w:hAnsi="新宋体" w:eastAsia="黑体" w:cs="黑体"/>
          <w:sz w:val="28"/>
          <w:szCs w:val="28"/>
        </w:rPr>
      </w:pPr>
      <w:bookmarkStart w:id="629" w:name="_Toc250616672"/>
    </w:p>
    <w:p>
      <w:pPr>
        <w:autoSpaceDE w:val="0"/>
        <w:autoSpaceDN w:val="0"/>
        <w:adjustRightInd w:val="0"/>
        <w:outlineLvl w:val="0"/>
        <w:rPr>
          <w:rFonts w:ascii="黑体" w:hAnsi="新宋体" w:eastAsia="黑体" w:cs="黑体"/>
          <w:color w:val="0000FF"/>
          <w:sz w:val="28"/>
          <w:szCs w:val="28"/>
        </w:rPr>
      </w:pPr>
    </w:p>
    <w:p>
      <w:pPr>
        <w:pStyle w:val="2"/>
        <w:ind w:firstLine="340"/>
      </w:pPr>
    </w:p>
    <w:p>
      <w:pPr>
        <w:autoSpaceDE w:val="0"/>
        <w:autoSpaceDN w:val="0"/>
        <w:adjustRightInd w:val="0"/>
        <w:jc w:val="center"/>
        <w:outlineLvl w:val="0"/>
        <w:rPr>
          <w:rFonts w:ascii="黑体" w:hAnsi="新宋体" w:eastAsia="黑体" w:cs="黑体"/>
          <w:sz w:val="28"/>
          <w:szCs w:val="28"/>
        </w:rPr>
      </w:pPr>
      <w:r>
        <w:rPr>
          <w:rFonts w:hint="eastAsia" w:ascii="黑体" w:hAnsi="新宋体" w:eastAsia="黑体" w:cs="黑体"/>
          <w:sz w:val="28"/>
          <w:szCs w:val="28"/>
        </w:rPr>
        <w:t>二、投标函附录</w:t>
      </w:r>
      <w:bookmarkEnd w:id="629"/>
    </w:p>
    <w:tbl>
      <w:tblPr>
        <w:tblStyle w:val="29"/>
        <w:tblW w:w="9138" w:type="dxa"/>
        <w:tblInd w:w="4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16"/>
        <w:gridCol w:w="809"/>
        <w:gridCol w:w="607"/>
        <w:gridCol w:w="808"/>
        <w:gridCol w:w="809"/>
        <w:gridCol w:w="406"/>
        <w:gridCol w:w="27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trPr>
        <w:tc>
          <w:tcPr>
            <w:tcW w:w="2916" w:type="dxa"/>
            <w:vAlign w:val="center"/>
          </w:tcPr>
          <w:p>
            <w:pPr>
              <w:jc w:val="center"/>
              <w:rPr>
                <w:rFonts w:ascii="新宋体" w:hAnsi="新宋体" w:eastAsia="新宋体"/>
                <w:sz w:val="24"/>
              </w:rPr>
            </w:pPr>
            <w:r>
              <w:rPr>
                <w:rFonts w:hint="eastAsia" w:ascii="新宋体" w:hAnsi="新宋体" w:eastAsia="新宋体"/>
                <w:sz w:val="24"/>
              </w:rPr>
              <w:t>工程名称</w:t>
            </w:r>
          </w:p>
        </w:tc>
        <w:tc>
          <w:tcPr>
            <w:tcW w:w="6222" w:type="dxa"/>
            <w:gridSpan w:val="6"/>
            <w:vAlign w:val="center"/>
          </w:tcPr>
          <w:p>
            <w:pPr>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8" w:hRule="atLeast"/>
        </w:trPr>
        <w:tc>
          <w:tcPr>
            <w:tcW w:w="2916" w:type="dxa"/>
            <w:vAlign w:val="center"/>
          </w:tcPr>
          <w:p>
            <w:pPr>
              <w:jc w:val="center"/>
              <w:rPr>
                <w:rFonts w:ascii="新宋体" w:hAnsi="新宋体" w:eastAsia="新宋体"/>
                <w:sz w:val="24"/>
              </w:rPr>
            </w:pPr>
            <w:r>
              <w:rPr>
                <w:rFonts w:hint="eastAsia" w:ascii="新宋体" w:hAnsi="新宋体" w:eastAsia="新宋体"/>
                <w:sz w:val="24"/>
              </w:rPr>
              <w:t>投标人</w:t>
            </w:r>
          </w:p>
        </w:tc>
        <w:tc>
          <w:tcPr>
            <w:tcW w:w="6222" w:type="dxa"/>
            <w:gridSpan w:val="6"/>
            <w:vAlign w:val="center"/>
          </w:tcPr>
          <w:p>
            <w:pPr>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8" w:hRule="atLeast"/>
        </w:trPr>
        <w:tc>
          <w:tcPr>
            <w:tcW w:w="2916" w:type="dxa"/>
            <w:vAlign w:val="center"/>
          </w:tcPr>
          <w:p>
            <w:pPr>
              <w:jc w:val="center"/>
              <w:rPr>
                <w:rFonts w:ascii="新宋体" w:hAnsi="新宋体" w:eastAsia="新宋体"/>
                <w:sz w:val="24"/>
              </w:rPr>
            </w:pPr>
            <w:r>
              <w:rPr>
                <w:rFonts w:hint="eastAsia" w:ascii="新宋体" w:hAnsi="新宋体" w:eastAsia="新宋体"/>
                <w:sz w:val="24"/>
              </w:rPr>
              <w:t>项目经理</w:t>
            </w:r>
          </w:p>
        </w:tc>
        <w:tc>
          <w:tcPr>
            <w:tcW w:w="809" w:type="dxa"/>
            <w:vAlign w:val="center"/>
          </w:tcPr>
          <w:p>
            <w:pPr>
              <w:jc w:val="center"/>
              <w:rPr>
                <w:rFonts w:ascii="新宋体" w:hAnsi="新宋体" w:eastAsia="新宋体"/>
                <w:sz w:val="24"/>
              </w:rPr>
            </w:pPr>
          </w:p>
        </w:tc>
        <w:tc>
          <w:tcPr>
            <w:tcW w:w="607" w:type="dxa"/>
            <w:vAlign w:val="center"/>
          </w:tcPr>
          <w:p>
            <w:pPr>
              <w:jc w:val="center"/>
              <w:rPr>
                <w:rFonts w:ascii="新宋体" w:hAnsi="新宋体" w:eastAsia="新宋体"/>
                <w:sz w:val="24"/>
              </w:rPr>
            </w:pPr>
            <w:r>
              <w:rPr>
                <w:rFonts w:hint="eastAsia" w:ascii="新宋体" w:hAnsi="新宋体" w:eastAsia="新宋体"/>
                <w:sz w:val="24"/>
              </w:rPr>
              <w:t>级别</w:t>
            </w:r>
          </w:p>
        </w:tc>
        <w:tc>
          <w:tcPr>
            <w:tcW w:w="808" w:type="dxa"/>
            <w:vAlign w:val="center"/>
          </w:tcPr>
          <w:p>
            <w:pPr>
              <w:jc w:val="center"/>
              <w:rPr>
                <w:rFonts w:ascii="新宋体" w:hAnsi="新宋体" w:eastAsia="新宋体"/>
                <w:sz w:val="24"/>
              </w:rPr>
            </w:pPr>
          </w:p>
        </w:tc>
        <w:tc>
          <w:tcPr>
            <w:tcW w:w="809" w:type="dxa"/>
            <w:vAlign w:val="center"/>
          </w:tcPr>
          <w:p>
            <w:pPr>
              <w:jc w:val="center"/>
              <w:rPr>
                <w:rFonts w:ascii="新宋体" w:hAnsi="新宋体" w:eastAsia="新宋体"/>
                <w:sz w:val="24"/>
              </w:rPr>
            </w:pPr>
            <w:r>
              <w:rPr>
                <w:rFonts w:hint="eastAsia" w:ascii="新宋体" w:hAnsi="新宋体" w:eastAsia="新宋体"/>
                <w:sz w:val="24"/>
                <w:lang w:val="en-US" w:eastAsia="zh-CN"/>
              </w:rPr>
              <w:t>注册</w:t>
            </w:r>
            <w:r>
              <w:rPr>
                <w:rFonts w:hint="eastAsia" w:ascii="新宋体" w:hAnsi="新宋体" w:eastAsia="新宋体"/>
                <w:sz w:val="24"/>
              </w:rPr>
              <w:t>编号</w:t>
            </w:r>
          </w:p>
        </w:tc>
        <w:tc>
          <w:tcPr>
            <w:tcW w:w="3189" w:type="dxa"/>
            <w:gridSpan w:val="2"/>
            <w:vAlign w:val="center"/>
          </w:tcPr>
          <w:p>
            <w:pPr>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8" w:hRule="atLeast"/>
        </w:trPr>
        <w:tc>
          <w:tcPr>
            <w:tcW w:w="2916" w:type="dxa"/>
            <w:vAlign w:val="center"/>
          </w:tcPr>
          <w:p>
            <w:pPr>
              <w:jc w:val="center"/>
              <w:rPr>
                <w:rFonts w:ascii="新宋体" w:hAnsi="新宋体" w:eastAsia="新宋体"/>
                <w:sz w:val="24"/>
              </w:rPr>
            </w:pPr>
            <w:r>
              <w:rPr>
                <w:rFonts w:hint="eastAsia" w:ascii="新宋体" w:hAnsi="新宋体" w:eastAsia="新宋体"/>
                <w:sz w:val="24"/>
              </w:rPr>
              <w:t>技术负责人</w:t>
            </w:r>
          </w:p>
        </w:tc>
        <w:tc>
          <w:tcPr>
            <w:tcW w:w="809" w:type="dxa"/>
            <w:vAlign w:val="center"/>
          </w:tcPr>
          <w:p>
            <w:pPr>
              <w:jc w:val="center"/>
              <w:rPr>
                <w:rFonts w:ascii="新宋体" w:hAnsi="新宋体" w:eastAsia="新宋体"/>
                <w:sz w:val="24"/>
              </w:rPr>
            </w:pPr>
          </w:p>
        </w:tc>
        <w:tc>
          <w:tcPr>
            <w:tcW w:w="607" w:type="dxa"/>
            <w:vAlign w:val="center"/>
          </w:tcPr>
          <w:p>
            <w:pPr>
              <w:jc w:val="center"/>
              <w:rPr>
                <w:rFonts w:ascii="新宋体" w:hAnsi="新宋体" w:eastAsia="新宋体"/>
                <w:sz w:val="24"/>
              </w:rPr>
            </w:pPr>
            <w:r>
              <w:rPr>
                <w:rFonts w:hint="eastAsia" w:ascii="新宋体" w:hAnsi="新宋体" w:eastAsia="新宋体"/>
                <w:sz w:val="24"/>
              </w:rPr>
              <w:t>级别</w:t>
            </w:r>
          </w:p>
        </w:tc>
        <w:tc>
          <w:tcPr>
            <w:tcW w:w="808" w:type="dxa"/>
            <w:vAlign w:val="center"/>
          </w:tcPr>
          <w:p>
            <w:pPr>
              <w:jc w:val="center"/>
              <w:rPr>
                <w:rFonts w:ascii="新宋体" w:hAnsi="新宋体" w:eastAsia="新宋体"/>
                <w:sz w:val="24"/>
              </w:rPr>
            </w:pPr>
          </w:p>
        </w:tc>
        <w:tc>
          <w:tcPr>
            <w:tcW w:w="809" w:type="dxa"/>
            <w:vAlign w:val="center"/>
          </w:tcPr>
          <w:p>
            <w:pPr>
              <w:jc w:val="center"/>
              <w:rPr>
                <w:rFonts w:ascii="新宋体" w:hAnsi="新宋体" w:eastAsia="新宋体"/>
                <w:sz w:val="24"/>
              </w:rPr>
            </w:pPr>
            <w:r>
              <w:rPr>
                <w:rFonts w:hint="eastAsia" w:ascii="新宋体" w:hAnsi="新宋体" w:eastAsia="新宋体"/>
                <w:sz w:val="24"/>
              </w:rPr>
              <w:t>证书编号</w:t>
            </w:r>
          </w:p>
        </w:tc>
        <w:tc>
          <w:tcPr>
            <w:tcW w:w="3189" w:type="dxa"/>
            <w:gridSpan w:val="2"/>
            <w:vAlign w:val="center"/>
          </w:tcPr>
          <w:p>
            <w:pPr>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trPr>
        <w:tc>
          <w:tcPr>
            <w:tcW w:w="2916" w:type="dxa"/>
            <w:vMerge w:val="restart"/>
            <w:vAlign w:val="center"/>
          </w:tcPr>
          <w:p>
            <w:pPr>
              <w:jc w:val="center"/>
              <w:rPr>
                <w:rFonts w:ascii="新宋体" w:hAnsi="新宋体" w:eastAsia="新宋体"/>
                <w:sz w:val="24"/>
              </w:rPr>
            </w:pPr>
            <w:r>
              <w:rPr>
                <w:rFonts w:hint="eastAsia" w:ascii="新宋体" w:hAnsi="新宋体" w:eastAsia="新宋体"/>
                <w:sz w:val="24"/>
              </w:rPr>
              <w:t>投标报价</w:t>
            </w:r>
          </w:p>
          <w:p>
            <w:pPr>
              <w:jc w:val="center"/>
              <w:rPr>
                <w:rFonts w:ascii="新宋体" w:hAnsi="新宋体" w:eastAsia="新宋体"/>
                <w:sz w:val="24"/>
              </w:rPr>
            </w:pPr>
          </w:p>
        </w:tc>
        <w:tc>
          <w:tcPr>
            <w:tcW w:w="3439" w:type="dxa"/>
            <w:gridSpan w:val="5"/>
            <w:vAlign w:val="center"/>
          </w:tcPr>
          <w:p>
            <w:pPr>
              <w:rPr>
                <w:rFonts w:ascii="新宋体" w:hAnsi="新宋体" w:eastAsia="新宋体"/>
                <w:sz w:val="24"/>
              </w:rPr>
            </w:pPr>
            <w:r>
              <w:rPr>
                <w:rFonts w:hint="eastAsia" w:ascii="新宋体" w:hAnsi="新宋体" w:eastAsia="新宋体"/>
                <w:sz w:val="24"/>
              </w:rPr>
              <w:t>（大写）</w:t>
            </w:r>
          </w:p>
        </w:tc>
        <w:tc>
          <w:tcPr>
            <w:tcW w:w="2783" w:type="dxa"/>
            <w:vAlign w:val="center"/>
          </w:tcPr>
          <w:p>
            <w:pPr>
              <w:rPr>
                <w:rFonts w:ascii="新宋体" w:hAnsi="新宋体" w:eastAsia="新宋体"/>
                <w:sz w:val="24"/>
              </w:rPr>
            </w:pPr>
            <w:r>
              <w:rPr>
                <w:rFonts w:hint="eastAsia" w:ascii="新宋体" w:hAnsi="新宋体" w:eastAsia="新宋体"/>
                <w:sz w:val="24"/>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31" w:hRule="atLeast"/>
        </w:trPr>
        <w:tc>
          <w:tcPr>
            <w:tcW w:w="2916" w:type="dxa"/>
            <w:vMerge w:val="continue"/>
            <w:vAlign w:val="center"/>
          </w:tcPr>
          <w:p>
            <w:pPr>
              <w:jc w:val="center"/>
              <w:rPr>
                <w:rFonts w:ascii="新宋体" w:hAnsi="新宋体" w:eastAsia="新宋体"/>
                <w:sz w:val="24"/>
              </w:rPr>
            </w:pPr>
          </w:p>
        </w:tc>
        <w:tc>
          <w:tcPr>
            <w:tcW w:w="6222" w:type="dxa"/>
            <w:gridSpan w:val="6"/>
            <w:vAlign w:val="center"/>
          </w:tcPr>
          <w:p>
            <w:pPr>
              <w:spacing w:line="480" w:lineRule="exact"/>
              <w:rPr>
                <w:rFonts w:ascii="新宋体" w:hAnsi="新宋体" w:eastAsia="新宋体"/>
                <w:sz w:val="24"/>
              </w:rPr>
            </w:pPr>
            <w:r>
              <w:rPr>
                <w:rFonts w:hint="eastAsia" w:ascii="新宋体" w:hAnsi="新宋体" w:eastAsia="新宋体"/>
                <w:sz w:val="24"/>
              </w:rPr>
              <w:t>其中：</w:t>
            </w:r>
          </w:p>
          <w:p>
            <w:pPr>
              <w:spacing w:line="480" w:lineRule="exact"/>
              <w:ind w:firstLine="600" w:firstLineChars="250"/>
              <w:rPr>
                <w:rFonts w:ascii="新宋体" w:hAnsi="新宋体" w:eastAsia="新宋体"/>
                <w:sz w:val="24"/>
              </w:rPr>
            </w:pPr>
            <w:r>
              <w:rPr>
                <w:rFonts w:hint="eastAsia" w:ascii="新宋体" w:hAnsi="新宋体" w:eastAsia="新宋体"/>
                <w:sz w:val="24"/>
              </w:rPr>
              <w:t>规费RMB￥：元</w:t>
            </w:r>
          </w:p>
          <w:p>
            <w:pPr>
              <w:spacing w:line="480" w:lineRule="exact"/>
              <w:ind w:firstLine="600" w:firstLineChars="250"/>
              <w:rPr>
                <w:rFonts w:ascii="新宋体" w:hAnsi="新宋体" w:eastAsia="新宋体"/>
                <w:sz w:val="24"/>
              </w:rPr>
            </w:pPr>
            <w:r>
              <w:rPr>
                <w:rFonts w:hint="eastAsia" w:ascii="新宋体" w:hAnsi="新宋体" w:eastAsia="新宋体"/>
                <w:sz w:val="24"/>
              </w:rPr>
              <w:t>税金RMB￥：元</w:t>
            </w:r>
          </w:p>
          <w:p>
            <w:pPr>
              <w:ind w:firstLine="600" w:firstLineChars="250"/>
              <w:rPr>
                <w:rFonts w:ascii="新宋体" w:hAnsi="新宋体" w:eastAsia="新宋体"/>
                <w:sz w:val="24"/>
              </w:rPr>
            </w:pPr>
            <w:r>
              <w:rPr>
                <w:rFonts w:hint="eastAsia" w:ascii="新宋体" w:hAnsi="新宋体" w:eastAsia="新宋体"/>
                <w:sz w:val="24"/>
              </w:rPr>
              <w:t>安全文明措施费RMB￥：元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7" w:hRule="atLeast"/>
        </w:trPr>
        <w:tc>
          <w:tcPr>
            <w:tcW w:w="2916" w:type="dxa"/>
            <w:vAlign w:val="center"/>
          </w:tcPr>
          <w:p>
            <w:pPr>
              <w:jc w:val="center"/>
              <w:rPr>
                <w:rFonts w:ascii="新宋体" w:hAnsi="新宋体" w:eastAsia="新宋体"/>
                <w:sz w:val="24"/>
              </w:rPr>
            </w:pPr>
            <w:r>
              <w:rPr>
                <w:rFonts w:hint="eastAsia" w:ascii="新宋体" w:hAnsi="新宋体" w:eastAsia="新宋体"/>
                <w:sz w:val="24"/>
              </w:rPr>
              <w:t>投标质量等级</w:t>
            </w:r>
          </w:p>
        </w:tc>
        <w:tc>
          <w:tcPr>
            <w:tcW w:w="6222" w:type="dxa"/>
            <w:gridSpan w:val="6"/>
            <w:vAlign w:val="center"/>
          </w:tcPr>
          <w:p>
            <w:pPr>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4" w:hRule="atLeast"/>
        </w:trPr>
        <w:tc>
          <w:tcPr>
            <w:tcW w:w="2916" w:type="dxa"/>
            <w:vAlign w:val="center"/>
          </w:tcPr>
          <w:p>
            <w:pPr>
              <w:jc w:val="center"/>
              <w:rPr>
                <w:rFonts w:ascii="新宋体" w:hAnsi="新宋体" w:eastAsia="新宋体"/>
                <w:sz w:val="24"/>
              </w:rPr>
            </w:pPr>
            <w:r>
              <w:rPr>
                <w:rFonts w:hint="eastAsia" w:ascii="新宋体" w:hAnsi="新宋体" w:eastAsia="新宋体"/>
                <w:sz w:val="24"/>
              </w:rPr>
              <w:t>投标工期</w:t>
            </w:r>
          </w:p>
        </w:tc>
        <w:tc>
          <w:tcPr>
            <w:tcW w:w="6222" w:type="dxa"/>
            <w:gridSpan w:val="6"/>
            <w:vAlign w:val="center"/>
          </w:tcPr>
          <w:p>
            <w:pPr>
              <w:jc w:val="center"/>
              <w:rPr>
                <w:rFonts w:ascii="新宋体" w:hAnsi="新宋体" w:eastAsia="新宋体"/>
                <w:sz w:val="24"/>
              </w:rPr>
            </w:pPr>
            <w:r>
              <w:rPr>
                <w:rFonts w:hint="eastAsia" w:ascii="新宋体" w:hAnsi="新宋体" w:eastAsia="新宋体"/>
                <w:sz w:val="24"/>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4" w:hRule="atLeast"/>
        </w:trPr>
        <w:tc>
          <w:tcPr>
            <w:tcW w:w="2916" w:type="dxa"/>
            <w:vAlign w:val="center"/>
          </w:tcPr>
          <w:p>
            <w:pPr>
              <w:jc w:val="center"/>
              <w:rPr>
                <w:rFonts w:ascii="新宋体" w:hAnsi="新宋体" w:eastAsia="新宋体"/>
                <w:sz w:val="24"/>
              </w:rPr>
            </w:pPr>
            <w:r>
              <w:rPr>
                <w:rFonts w:hint="eastAsia" w:ascii="新宋体" w:hAnsi="新宋体" w:eastAsia="新宋体"/>
                <w:sz w:val="24"/>
              </w:rPr>
              <w:t>投标有效期</w:t>
            </w:r>
          </w:p>
        </w:tc>
        <w:tc>
          <w:tcPr>
            <w:tcW w:w="6222" w:type="dxa"/>
            <w:gridSpan w:val="6"/>
            <w:vAlign w:val="center"/>
          </w:tcPr>
          <w:p>
            <w:pPr>
              <w:jc w:val="center"/>
              <w:rPr>
                <w:rFonts w:ascii="新宋体" w:hAnsi="新宋体" w:eastAsia="新宋体"/>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86" w:hRule="atLeast"/>
        </w:trPr>
        <w:tc>
          <w:tcPr>
            <w:tcW w:w="9138" w:type="dxa"/>
            <w:gridSpan w:val="7"/>
          </w:tcPr>
          <w:p>
            <w:pPr>
              <w:rPr>
                <w:rFonts w:ascii="新宋体" w:hAnsi="新宋体" w:eastAsia="新宋体"/>
                <w:sz w:val="24"/>
              </w:rPr>
            </w:pPr>
            <w:r>
              <w:rPr>
                <w:rFonts w:hint="eastAsia" w:ascii="新宋体" w:hAnsi="新宋体" w:eastAsia="新宋体"/>
                <w:sz w:val="24"/>
              </w:rPr>
              <w:t xml:space="preserve"> 优惠与服务承诺：</w:t>
            </w:r>
          </w:p>
          <w:p>
            <w:pPr>
              <w:rPr>
                <w:rFonts w:ascii="新宋体" w:hAnsi="新宋体" w:eastAsia="新宋体"/>
                <w:sz w:val="24"/>
              </w:rPr>
            </w:pPr>
          </w:p>
          <w:p>
            <w:pPr>
              <w:rPr>
                <w:rFonts w:ascii="新宋体" w:hAnsi="新宋体" w:eastAsia="新宋体"/>
                <w:sz w:val="24"/>
              </w:rPr>
            </w:pPr>
          </w:p>
          <w:p>
            <w:pPr>
              <w:rPr>
                <w:rFonts w:ascii="新宋体" w:hAnsi="新宋体" w:eastAsia="新宋体"/>
                <w:sz w:val="24"/>
              </w:rPr>
            </w:pPr>
          </w:p>
          <w:p>
            <w:pPr>
              <w:rPr>
                <w:rFonts w:ascii="新宋体" w:hAnsi="新宋体" w:eastAsia="新宋体"/>
                <w:sz w:val="24"/>
              </w:rPr>
            </w:pPr>
          </w:p>
          <w:p>
            <w:pPr>
              <w:rPr>
                <w:rFonts w:ascii="新宋体" w:hAnsi="新宋体" w:eastAsia="新宋体"/>
                <w:sz w:val="24"/>
              </w:rPr>
            </w:pPr>
          </w:p>
          <w:p>
            <w:pPr>
              <w:rPr>
                <w:rFonts w:ascii="新宋体" w:hAnsi="新宋体" w:eastAsia="新宋体"/>
                <w:sz w:val="24"/>
              </w:rPr>
            </w:pPr>
          </w:p>
          <w:p>
            <w:pPr>
              <w:rPr>
                <w:rFonts w:ascii="新宋体" w:hAnsi="新宋体" w:eastAsia="新宋体"/>
                <w:sz w:val="24"/>
              </w:rPr>
            </w:pPr>
            <w:r>
              <w:rPr>
                <w:rFonts w:hint="eastAsia" w:ascii="新宋体" w:hAnsi="新宋体" w:eastAsia="新宋体"/>
                <w:sz w:val="24"/>
              </w:rPr>
              <w:t>（包含优惠承诺、质量承诺、服务承诺及按扬尘污染整治标准进行各工序的施工）</w:t>
            </w:r>
          </w:p>
        </w:tc>
      </w:tr>
    </w:tbl>
    <w:p>
      <w:pPr>
        <w:ind w:right="955"/>
        <w:rPr>
          <w:sz w:val="24"/>
        </w:rPr>
      </w:pPr>
    </w:p>
    <w:p>
      <w:pPr>
        <w:spacing w:line="360" w:lineRule="auto"/>
        <w:ind w:right="475"/>
        <w:jc w:val="right"/>
        <w:rPr>
          <w:rFonts w:ascii="新宋体" w:hAnsi="新宋体" w:eastAsia="新宋体"/>
          <w:sz w:val="24"/>
        </w:rPr>
      </w:pPr>
      <w:r>
        <w:rPr>
          <w:rFonts w:hint="eastAsia" w:ascii="新宋体" w:hAnsi="新宋体" w:eastAsia="新宋体"/>
          <w:sz w:val="24"/>
        </w:rPr>
        <w:t>投标单位（盖章）：</w:t>
      </w:r>
    </w:p>
    <w:p>
      <w:pPr>
        <w:spacing w:line="360" w:lineRule="auto"/>
        <w:ind w:right="315"/>
        <w:jc w:val="right"/>
        <w:rPr>
          <w:rFonts w:ascii="新宋体" w:hAnsi="新宋体" w:eastAsia="新宋体"/>
          <w:sz w:val="24"/>
        </w:rPr>
      </w:pPr>
      <w:r>
        <w:rPr>
          <w:rFonts w:hint="eastAsia" w:ascii="新宋体" w:hAnsi="新宋体" w:eastAsia="新宋体"/>
          <w:sz w:val="24"/>
        </w:rPr>
        <w:t>法定代表人或委托代理人（签字）：</w:t>
      </w:r>
    </w:p>
    <w:p>
      <w:pPr>
        <w:tabs>
          <w:tab w:val="left" w:pos="7560"/>
          <w:tab w:val="right" w:pos="9008"/>
        </w:tabs>
        <w:spacing w:line="360" w:lineRule="auto"/>
        <w:ind w:right="630"/>
        <w:jc w:val="left"/>
        <w:rPr>
          <w:rFonts w:ascii="黑体" w:hAnsi="新宋体" w:eastAsia="黑体" w:cs="黑体"/>
          <w:sz w:val="28"/>
          <w:szCs w:val="28"/>
        </w:rPr>
      </w:pPr>
      <w:r>
        <w:rPr>
          <w:rFonts w:ascii="新宋体" w:hAnsi="新宋体" w:eastAsia="新宋体"/>
          <w:sz w:val="24"/>
        </w:rPr>
        <w:tab/>
      </w:r>
      <w:r>
        <w:rPr>
          <w:rFonts w:hint="eastAsia" w:ascii="新宋体" w:hAnsi="新宋体" w:eastAsia="新宋体"/>
          <w:sz w:val="24"/>
        </w:rPr>
        <w:t>年 月 日</w:t>
      </w:r>
    </w:p>
    <w:p>
      <w:pPr>
        <w:autoSpaceDE w:val="0"/>
        <w:autoSpaceDN w:val="0"/>
        <w:adjustRightInd w:val="0"/>
        <w:spacing w:line="420" w:lineRule="exact"/>
        <w:jc w:val="center"/>
        <w:outlineLvl w:val="0"/>
        <w:rPr>
          <w:rFonts w:ascii="黑体" w:hAnsi="新宋体" w:eastAsia="黑体" w:cs="黑体"/>
          <w:sz w:val="28"/>
          <w:szCs w:val="28"/>
        </w:rPr>
      </w:pPr>
    </w:p>
    <w:p>
      <w:pPr>
        <w:autoSpaceDE w:val="0"/>
        <w:autoSpaceDN w:val="0"/>
        <w:adjustRightInd w:val="0"/>
        <w:spacing w:line="420" w:lineRule="exact"/>
        <w:jc w:val="center"/>
        <w:outlineLvl w:val="0"/>
        <w:rPr>
          <w:rFonts w:ascii="黑体" w:hAnsi="新宋体" w:eastAsia="黑体" w:cs="黑体"/>
          <w:color w:val="0000FF"/>
          <w:sz w:val="28"/>
          <w:szCs w:val="28"/>
        </w:rPr>
      </w:pPr>
    </w:p>
    <w:p>
      <w:pPr>
        <w:autoSpaceDE w:val="0"/>
        <w:autoSpaceDN w:val="0"/>
        <w:adjustRightInd w:val="0"/>
        <w:spacing w:line="420" w:lineRule="exact"/>
        <w:jc w:val="center"/>
        <w:outlineLvl w:val="0"/>
        <w:rPr>
          <w:rFonts w:hAnsi="宋体" w:cs="仿宋_GB2312"/>
          <w:b/>
          <w:sz w:val="28"/>
          <w:szCs w:val="28"/>
        </w:rPr>
      </w:pPr>
      <w:r>
        <w:rPr>
          <w:rFonts w:hint="eastAsia" w:ascii="黑体" w:hAnsi="新宋体" w:eastAsia="黑体" w:cs="黑体"/>
          <w:sz w:val="28"/>
          <w:szCs w:val="28"/>
        </w:rPr>
        <w:t>三、</w:t>
      </w:r>
      <w:bookmarkEnd w:id="628"/>
      <w:r>
        <w:rPr>
          <w:rFonts w:hint="eastAsia" w:hAnsi="宋体" w:cs="仿宋_GB2312"/>
          <w:b/>
          <w:sz w:val="28"/>
          <w:szCs w:val="28"/>
        </w:rPr>
        <w:t>法定代表人身份证明、授权委托书；</w:t>
      </w:r>
    </w:p>
    <w:p>
      <w:pPr>
        <w:autoSpaceDE w:val="0"/>
        <w:autoSpaceDN w:val="0"/>
        <w:adjustRightInd w:val="0"/>
        <w:spacing w:line="420" w:lineRule="exact"/>
        <w:jc w:val="center"/>
        <w:outlineLvl w:val="0"/>
        <w:rPr>
          <w:rFonts w:ascii="黑体" w:hAnsi="新宋体" w:eastAsia="黑体" w:cs="黑体"/>
          <w:sz w:val="28"/>
          <w:szCs w:val="28"/>
        </w:rPr>
      </w:pPr>
    </w:p>
    <w:p>
      <w:pPr>
        <w:autoSpaceDE w:val="0"/>
        <w:autoSpaceDN w:val="0"/>
        <w:adjustRightInd w:val="0"/>
        <w:spacing w:line="420" w:lineRule="exact"/>
        <w:jc w:val="center"/>
        <w:outlineLvl w:val="0"/>
        <w:rPr>
          <w:rFonts w:ascii="黑体" w:hAnsi="新宋体" w:eastAsia="黑体" w:cs="黑体"/>
          <w:sz w:val="28"/>
          <w:szCs w:val="28"/>
        </w:rPr>
      </w:pPr>
      <w:bookmarkStart w:id="630" w:name="_Toc271787731"/>
      <w:r>
        <w:rPr>
          <w:rFonts w:hint="eastAsia" w:ascii="黑体" w:hAnsi="新宋体" w:eastAsia="黑体" w:cs="黑体"/>
          <w:sz w:val="28"/>
          <w:szCs w:val="28"/>
        </w:rPr>
        <w:t>（一）法定代表人身份证明</w:t>
      </w:r>
      <w:bookmarkEnd w:id="630"/>
    </w:p>
    <w:p>
      <w:pPr>
        <w:autoSpaceDE w:val="0"/>
        <w:autoSpaceDN w:val="0"/>
        <w:adjustRightInd w:val="0"/>
        <w:spacing w:line="420" w:lineRule="exact"/>
        <w:jc w:val="center"/>
        <w:rPr>
          <w:rFonts w:hAnsi="宋体" w:cs="黑体"/>
          <w:sz w:val="28"/>
          <w:szCs w:val="28"/>
        </w:rPr>
      </w:pP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投标人名称：</w:t>
      </w:r>
      <w:r>
        <w:rPr>
          <w:rFonts w:hAnsi="宋体" w:cs="TimesNewRomanPSMT"/>
          <w:sz w:val="24"/>
        </w:rPr>
        <w:t>_____</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单位性质：</w:t>
      </w:r>
      <w:r>
        <w:rPr>
          <w:rFonts w:hAnsi="宋体" w:cs="TimesNewRomanPSMT"/>
          <w:sz w:val="24"/>
        </w:rPr>
        <w:t>_____</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地址：</w:t>
      </w:r>
      <w:r>
        <w:rPr>
          <w:rFonts w:hAnsi="宋体" w:cs="TimesNewRomanPSMT"/>
          <w:sz w:val="24"/>
        </w:rPr>
        <w:t>_____</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成立时间：</w:t>
      </w:r>
      <w:r>
        <w:rPr>
          <w:rFonts w:hAnsi="宋体" w:cs="TimesNewRomanPSMT"/>
          <w:sz w:val="24"/>
        </w:rPr>
        <w:t>_____</w:t>
      </w:r>
      <w:r>
        <w:rPr>
          <w:rFonts w:hint="eastAsia" w:hAnsi="宋体" w:cs="仿宋_GB2312"/>
          <w:sz w:val="24"/>
        </w:rPr>
        <w:t>年</w:t>
      </w:r>
      <w:r>
        <w:rPr>
          <w:rFonts w:hAnsi="宋体" w:cs="TimesNewRomanPSMT"/>
          <w:sz w:val="24"/>
        </w:rPr>
        <w:t>_____</w:t>
      </w:r>
      <w:r>
        <w:rPr>
          <w:rFonts w:hint="eastAsia" w:hAnsi="宋体" w:cs="仿宋_GB2312"/>
          <w:sz w:val="24"/>
        </w:rPr>
        <w:t>月</w:t>
      </w:r>
      <w:r>
        <w:rPr>
          <w:rFonts w:hAnsi="宋体" w:cs="TimesNewRomanPSMT"/>
          <w:sz w:val="24"/>
        </w:rPr>
        <w:t>_____</w:t>
      </w:r>
      <w:r>
        <w:rPr>
          <w:rFonts w:hint="eastAsia" w:hAnsi="宋体" w:cs="仿宋_GB2312"/>
          <w:sz w:val="24"/>
        </w:rPr>
        <w:t>日</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经营期限：</w:t>
      </w:r>
      <w:r>
        <w:rPr>
          <w:rFonts w:hAnsi="宋体" w:cs="TimesNewRomanPSMT"/>
          <w:sz w:val="24"/>
        </w:rPr>
        <w:t>_____</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姓名：</w:t>
      </w:r>
      <w:r>
        <w:rPr>
          <w:rFonts w:hAnsi="宋体" w:cs="TimesNewRomanPSMT"/>
          <w:sz w:val="24"/>
        </w:rPr>
        <w:t>_____</w:t>
      </w:r>
      <w:r>
        <w:rPr>
          <w:rFonts w:hint="eastAsia" w:hAnsi="宋体" w:cs="仿宋_GB2312"/>
          <w:sz w:val="24"/>
        </w:rPr>
        <w:t>性别：</w:t>
      </w:r>
      <w:r>
        <w:rPr>
          <w:rFonts w:hAnsi="宋体" w:cs="TimesNewRomanPSMT"/>
          <w:sz w:val="24"/>
        </w:rPr>
        <w:t>_____</w:t>
      </w:r>
      <w:r>
        <w:rPr>
          <w:rFonts w:hint="eastAsia" w:hAnsi="宋体" w:cs="仿宋_GB2312"/>
          <w:sz w:val="24"/>
        </w:rPr>
        <w:t>年龄：</w:t>
      </w:r>
      <w:r>
        <w:rPr>
          <w:rFonts w:hAnsi="宋体" w:cs="TimesNewRomanPSMT"/>
          <w:sz w:val="24"/>
        </w:rPr>
        <w:t>_____</w:t>
      </w:r>
      <w:r>
        <w:rPr>
          <w:rFonts w:hint="eastAsia" w:hAnsi="宋体" w:cs="仿宋_GB2312"/>
          <w:sz w:val="24"/>
        </w:rPr>
        <w:t>职务：</w:t>
      </w:r>
      <w:r>
        <w:rPr>
          <w:rFonts w:hAnsi="宋体" w:cs="TimesNewRomanPSMT"/>
          <w:sz w:val="24"/>
        </w:rPr>
        <w:t>_____</w:t>
      </w:r>
      <w:r>
        <w:rPr>
          <w:rFonts w:hint="eastAsia" w:hAnsi="宋体" w:cs="仿宋_GB2312"/>
          <w:sz w:val="24"/>
        </w:rPr>
        <w:t>系</w:t>
      </w:r>
      <w:r>
        <w:rPr>
          <w:rFonts w:hAnsi="宋体" w:cs="TimesNewRomanPSMT"/>
          <w:sz w:val="24"/>
        </w:rPr>
        <w:t>____</w:t>
      </w:r>
      <w:r>
        <w:rPr>
          <w:rFonts w:hint="eastAsia" w:hAnsi="宋体" w:cs="仿宋_GB2312"/>
          <w:sz w:val="24"/>
        </w:rPr>
        <w:t>（投标人名称）的法定代表人。</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特此证明。</w:t>
      </w:r>
    </w:p>
    <w:p>
      <w:pPr>
        <w:autoSpaceDE w:val="0"/>
        <w:autoSpaceDN w:val="0"/>
        <w:adjustRightInd w:val="0"/>
        <w:spacing w:line="420" w:lineRule="exact"/>
        <w:ind w:firstLine="480" w:firstLineChars="200"/>
        <w:jc w:val="right"/>
        <w:rPr>
          <w:rFonts w:hAnsi="宋体" w:cs="仿宋_GB2312"/>
          <w:sz w:val="24"/>
        </w:rPr>
      </w:pPr>
    </w:p>
    <w:p>
      <w:pPr>
        <w:autoSpaceDE w:val="0"/>
        <w:autoSpaceDN w:val="0"/>
        <w:adjustRightInd w:val="0"/>
        <w:spacing w:line="420" w:lineRule="exact"/>
        <w:ind w:firstLine="480" w:firstLineChars="200"/>
        <w:jc w:val="right"/>
        <w:rPr>
          <w:rFonts w:hAnsi="宋体" w:cs="仿宋_GB2312"/>
          <w:sz w:val="24"/>
        </w:rPr>
      </w:pPr>
      <w:r>
        <w:rPr>
          <w:rFonts w:hint="eastAsia" w:hAnsi="宋体" w:cs="仿宋_GB2312"/>
          <w:sz w:val="24"/>
        </w:rPr>
        <w:t>投标人：</w:t>
      </w:r>
      <w:r>
        <w:rPr>
          <w:rFonts w:hAnsi="宋体" w:cs="TimesNewRomanPSMT"/>
          <w:sz w:val="24"/>
        </w:rPr>
        <w:t>_____</w:t>
      </w:r>
      <w:r>
        <w:rPr>
          <w:rFonts w:hint="eastAsia" w:hAnsi="宋体" w:cs="仿宋_GB2312"/>
          <w:sz w:val="24"/>
        </w:rPr>
        <w:t>（盖单位章）</w:t>
      </w:r>
    </w:p>
    <w:p>
      <w:pPr>
        <w:autoSpaceDE w:val="0"/>
        <w:autoSpaceDN w:val="0"/>
        <w:adjustRightInd w:val="0"/>
        <w:spacing w:line="420" w:lineRule="exact"/>
        <w:ind w:firstLine="480" w:firstLineChars="200"/>
        <w:jc w:val="right"/>
        <w:rPr>
          <w:rFonts w:hAnsi="宋体" w:cs="仿宋_GB2312"/>
          <w:sz w:val="24"/>
        </w:rPr>
      </w:pPr>
      <w:r>
        <w:rPr>
          <w:rFonts w:hAnsi="宋体" w:cs="TimesNewRomanPSMT"/>
          <w:sz w:val="24"/>
        </w:rPr>
        <w:t>_____</w:t>
      </w:r>
      <w:r>
        <w:rPr>
          <w:rFonts w:hint="eastAsia" w:hAnsi="宋体" w:cs="仿宋_GB2312"/>
          <w:sz w:val="24"/>
        </w:rPr>
        <w:t>年</w:t>
      </w:r>
      <w:r>
        <w:rPr>
          <w:rFonts w:hAnsi="宋体" w:cs="TimesNewRomanPSMT"/>
          <w:sz w:val="24"/>
        </w:rPr>
        <w:t>_____</w:t>
      </w:r>
      <w:r>
        <w:rPr>
          <w:rFonts w:hint="eastAsia" w:hAnsi="宋体" w:cs="仿宋_GB2312"/>
          <w:sz w:val="24"/>
        </w:rPr>
        <w:t>月</w:t>
      </w:r>
      <w:r>
        <w:rPr>
          <w:rFonts w:hAnsi="宋体" w:cs="TimesNewRomanPSMT"/>
          <w:sz w:val="24"/>
        </w:rPr>
        <w:t>___</w:t>
      </w:r>
      <w:r>
        <w:rPr>
          <w:rFonts w:hint="eastAsia" w:hAnsi="宋体" w:cs="仿宋_GB2312"/>
          <w:sz w:val="24"/>
        </w:rPr>
        <w:t>日</w:t>
      </w:r>
    </w:p>
    <w:p>
      <w:pPr>
        <w:autoSpaceDE w:val="0"/>
        <w:autoSpaceDN w:val="0"/>
        <w:adjustRightInd w:val="0"/>
        <w:spacing w:line="420" w:lineRule="exact"/>
        <w:ind w:firstLine="680" w:firstLineChars="200"/>
        <w:jc w:val="right"/>
        <w:rPr>
          <w:rFonts w:hAnsi="宋体" w:cs="仿宋_GB2312"/>
          <w:szCs w:val="21"/>
        </w:rPr>
      </w:pPr>
    </w:p>
    <w:p>
      <w:pPr>
        <w:autoSpaceDE w:val="0"/>
        <w:autoSpaceDN w:val="0"/>
        <w:adjustRightInd w:val="0"/>
        <w:spacing w:line="420" w:lineRule="exact"/>
        <w:jc w:val="center"/>
        <w:outlineLvl w:val="0"/>
        <w:rPr>
          <w:rFonts w:ascii="黑体" w:hAnsi="新宋体" w:eastAsia="黑体" w:cs="黑体"/>
          <w:sz w:val="28"/>
          <w:szCs w:val="28"/>
        </w:rPr>
      </w:pPr>
      <w:bookmarkStart w:id="631" w:name="_Toc271787732"/>
      <w:r>
        <w:rPr>
          <w:rFonts w:hint="eastAsia" w:ascii="黑体" w:hAnsi="新宋体" w:eastAsia="黑体" w:cs="黑体"/>
          <w:sz w:val="28"/>
          <w:szCs w:val="28"/>
        </w:rPr>
        <w:t>（二）授权委托书</w:t>
      </w:r>
      <w:bookmarkEnd w:id="631"/>
    </w:p>
    <w:p>
      <w:pPr>
        <w:autoSpaceDE w:val="0"/>
        <w:autoSpaceDN w:val="0"/>
        <w:adjustRightInd w:val="0"/>
        <w:spacing w:line="420" w:lineRule="exact"/>
        <w:jc w:val="center"/>
        <w:rPr>
          <w:rFonts w:hAnsi="宋体" w:cs="黑体"/>
          <w:sz w:val="28"/>
          <w:szCs w:val="28"/>
        </w:rPr>
      </w:pPr>
    </w:p>
    <w:p>
      <w:pPr>
        <w:autoSpaceDE w:val="0"/>
        <w:autoSpaceDN w:val="0"/>
        <w:adjustRightInd w:val="0"/>
        <w:spacing w:line="440" w:lineRule="exact"/>
        <w:ind w:firstLine="480" w:firstLineChars="200"/>
        <w:jc w:val="left"/>
        <w:rPr>
          <w:rFonts w:hAnsi="宋体" w:cs="仿宋_GB2312"/>
          <w:sz w:val="24"/>
        </w:rPr>
      </w:pPr>
      <w:r>
        <w:rPr>
          <w:rFonts w:hint="eastAsia" w:hAnsi="宋体" w:cs="仿宋_GB2312"/>
          <w:sz w:val="24"/>
        </w:rPr>
        <w:t>本人（姓名）系（投标人名称）的法定代表人，现委托（姓名）为我方代理人。代理人根据授权，以我方名义签署、澄清、说明、补正、递交、撤回、修改（项目名称）标段投标文件、签订合同和处理有关事宜，其法律后果由我方承担。</w:t>
      </w:r>
    </w:p>
    <w:p>
      <w:pPr>
        <w:autoSpaceDE w:val="0"/>
        <w:autoSpaceDN w:val="0"/>
        <w:adjustRightInd w:val="0"/>
        <w:spacing w:line="440" w:lineRule="exact"/>
        <w:ind w:firstLine="480" w:firstLineChars="200"/>
        <w:jc w:val="left"/>
        <w:rPr>
          <w:rFonts w:hAnsi="宋体" w:cs="仿宋_GB2312"/>
          <w:sz w:val="24"/>
        </w:rPr>
      </w:pPr>
      <w:r>
        <w:rPr>
          <w:rFonts w:hint="eastAsia" w:hAnsi="宋体" w:cs="仿宋_GB2312"/>
          <w:sz w:val="24"/>
        </w:rPr>
        <w:t>委托期限：。</w:t>
      </w:r>
    </w:p>
    <w:p>
      <w:pPr>
        <w:autoSpaceDE w:val="0"/>
        <w:autoSpaceDN w:val="0"/>
        <w:adjustRightInd w:val="0"/>
        <w:spacing w:line="440" w:lineRule="exact"/>
        <w:ind w:firstLine="480" w:firstLineChars="200"/>
        <w:jc w:val="left"/>
        <w:rPr>
          <w:rFonts w:hAnsi="宋体" w:cs="仿宋_GB2312"/>
          <w:sz w:val="24"/>
        </w:rPr>
      </w:pPr>
      <w:r>
        <w:rPr>
          <w:rFonts w:hint="eastAsia" w:hAnsi="宋体" w:cs="仿宋_GB2312"/>
          <w:sz w:val="24"/>
        </w:rPr>
        <w:t>代理人无转委托权。</w:t>
      </w:r>
    </w:p>
    <w:p>
      <w:pPr>
        <w:autoSpaceDE w:val="0"/>
        <w:autoSpaceDN w:val="0"/>
        <w:adjustRightInd w:val="0"/>
        <w:spacing w:line="440" w:lineRule="exact"/>
        <w:ind w:firstLine="480" w:firstLineChars="200"/>
        <w:jc w:val="left"/>
        <w:rPr>
          <w:rFonts w:hAnsi="宋体" w:cs="仿宋_GB2312"/>
          <w:sz w:val="24"/>
        </w:rPr>
      </w:pPr>
      <w:r>
        <w:rPr>
          <w:rFonts w:hint="eastAsia" w:hAnsi="宋体" w:cs="仿宋_GB2312"/>
          <w:sz w:val="24"/>
        </w:rPr>
        <w:t>附：法定代表人身份证明</w:t>
      </w:r>
    </w:p>
    <w:p>
      <w:pPr>
        <w:autoSpaceDE w:val="0"/>
        <w:autoSpaceDN w:val="0"/>
        <w:adjustRightInd w:val="0"/>
        <w:spacing w:line="440" w:lineRule="exact"/>
        <w:ind w:firstLine="480" w:firstLineChars="200"/>
        <w:jc w:val="left"/>
        <w:rPr>
          <w:rFonts w:hAnsi="宋体" w:cs="仿宋_GB2312"/>
          <w:sz w:val="24"/>
        </w:rPr>
      </w:pP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投标人：（盖单位章）</w:t>
      </w: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法定代表人：</w:t>
      </w:r>
      <w:r>
        <w:rPr>
          <w:rFonts w:hint="eastAsia" w:ascii="新宋体" w:hAnsi="新宋体" w:eastAsia="新宋体"/>
          <w:sz w:val="24"/>
        </w:rPr>
        <w:t>（签字）</w:t>
      </w: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身份证号码：</w:t>
      </w: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委托代理人：</w:t>
      </w:r>
      <w:r>
        <w:rPr>
          <w:rFonts w:hint="eastAsia" w:ascii="新宋体" w:hAnsi="新宋体" w:eastAsia="新宋体"/>
          <w:sz w:val="24"/>
        </w:rPr>
        <w:t>（签字）</w:t>
      </w: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身份证号码：</w:t>
      </w:r>
    </w:p>
    <w:p>
      <w:pPr>
        <w:autoSpaceDE w:val="0"/>
        <w:autoSpaceDN w:val="0"/>
        <w:adjustRightInd w:val="0"/>
        <w:spacing w:line="440" w:lineRule="exact"/>
        <w:ind w:firstLine="3700" w:firstLineChars="1542"/>
        <w:jc w:val="left"/>
        <w:rPr>
          <w:rFonts w:hAnsi="宋体"/>
          <w:b/>
          <w:sz w:val="32"/>
        </w:rPr>
      </w:pPr>
      <w:r>
        <w:rPr>
          <w:rFonts w:hint="eastAsia" w:hAnsi="宋体" w:cs="仿宋_GB2312"/>
          <w:sz w:val="24"/>
        </w:rPr>
        <w:t>年月日</w:t>
      </w:r>
    </w:p>
    <w:p>
      <w:pPr>
        <w:spacing w:line="360" w:lineRule="auto"/>
        <w:jc w:val="both"/>
        <w:rPr>
          <w:rFonts w:hAnsi="宋体"/>
          <w:b/>
          <w:color w:val="0000FF"/>
          <w:sz w:val="32"/>
        </w:rPr>
      </w:pPr>
    </w:p>
    <w:p>
      <w:pPr>
        <w:spacing w:line="360" w:lineRule="auto"/>
        <w:jc w:val="center"/>
        <w:rPr>
          <w:rFonts w:hAnsi="宋体"/>
          <w:b/>
          <w:color w:val="0000FF"/>
          <w:sz w:val="32"/>
        </w:rPr>
      </w:pPr>
    </w:p>
    <w:p>
      <w:pPr>
        <w:spacing w:line="360" w:lineRule="auto"/>
        <w:jc w:val="center"/>
        <w:rPr>
          <w:rFonts w:hAnsi="宋体"/>
          <w:b/>
          <w:sz w:val="32"/>
        </w:rPr>
      </w:pPr>
      <w:r>
        <w:rPr>
          <w:rFonts w:hint="eastAsia" w:hAnsi="宋体"/>
        </w:rPr>
        <w:drawing>
          <wp:anchor distT="0" distB="0" distL="114300" distR="114300" simplePos="0" relativeHeight="251658240" behindDoc="1" locked="1" layoutInCell="1" allowOverlap="1">
            <wp:simplePos x="0" y="0"/>
            <wp:positionH relativeFrom="column">
              <wp:posOffset>4673600</wp:posOffset>
            </wp:positionH>
            <wp:positionV relativeFrom="paragraph">
              <wp:posOffset>10058400</wp:posOffset>
            </wp:positionV>
            <wp:extent cx="952500" cy="927100"/>
            <wp:effectExtent l="19050" t="0" r="0" b="0"/>
            <wp:wrapNone/>
            <wp:docPr id="2" name="Picture 2"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66"/>
                    <pic:cNvPicPr>
                      <a:picLocks noChangeAspect="1" noChangeArrowheads="1"/>
                    </pic:cNvPicPr>
                  </pic:nvPicPr>
                  <pic:blipFill>
                    <a:blip r:embed="rId11" cstate="print"/>
                    <a:srcRect/>
                    <a:stretch>
                      <a:fillRect/>
                    </a:stretch>
                  </pic:blipFill>
                  <pic:spPr>
                    <a:xfrm>
                      <a:off x="0" y="0"/>
                      <a:ext cx="952500" cy="927100"/>
                    </a:xfrm>
                    <a:prstGeom prst="rect">
                      <a:avLst/>
                    </a:prstGeom>
                    <a:noFill/>
                    <a:ln w="9525">
                      <a:noFill/>
                      <a:miter lim="800000"/>
                      <a:headEnd/>
                      <a:tailEnd/>
                    </a:ln>
                  </pic:spPr>
                </pic:pic>
              </a:graphicData>
            </a:graphic>
          </wp:anchor>
        </w:drawing>
      </w:r>
      <w:r>
        <w:rPr>
          <w:rFonts w:hint="eastAsia" w:hAnsi="宋体"/>
        </w:rPr>
        <w:t>四</w:t>
      </w:r>
      <w:r>
        <w:rPr>
          <w:rFonts w:hint="eastAsia" w:hAnsi="宋体"/>
          <w:b/>
          <w:sz w:val="32"/>
        </w:rPr>
        <w:t>、投标保证金</w:t>
      </w:r>
    </w:p>
    <w:p>
      <w:pPr>
        <w:autoSpaceDE w:val="0"/>
        <w:autoSpaceDN w:val="0"/>
        <w:adjustRightInd w:val="0"/>
        <w:spacing w:line="420" w:lineRule="exact"/>
        <w:jc w:val="left"/>
        <w:rPr>
          <w:rFonts w:hAnsi="宋体" w:cs="仿宋_GB2312"/>
          <w:szCs w:val="21"/>
        </w:rPr>
      </w:pPr>
      <w:r>
        <w:rPr>
          <w:rFonts w:hint="eastAsia" w:hAnsi="宋体" w:cs="仿宋_GB2312"/>
          <w:szCs w:val="21"/>
        </w:rPr>
        <w:t>……………………………………………………………………</w:t>
      </w:r>
    </w:p>
    <w:p>
      <w:pPr>
        <w:autoSpaceDE w:val="0"/>
        <w:autoSpaceDN w:val="0"/>
        <w:adjustRightInd w:val="0"/>
        <w:spacing w:line="420" w:lineRule="exact"/>
        <w:jc w:val="left"/>
        <w:rPr>
          <w:rFonts w:hAnsi="宋体" w:cs="仿宋_GB2312"/>
          <w:sz w:val="24"/>
          <w:szCs w:val="24"/>
        </w:rPr>
      </w:pPr>
      <w:r>
        <w:rPr>
          <w:rFonts w:hint="eastAsia" w:hAnsi="宋体" w:cs="仿宋_GB2312"/>
          <w:sz w:val="24"/>
          <w:szCs w:val="24"/>
        </w:rPr>
        <w:t>附投标保证金有效证明。</w:t>
      </w:r>
    </w:p>
    <w:p>
      <w:pPr>
        <w:autoSpaceDE w:val="0"/>
        <w:autoSpaceDN w:val="0"/>
        <w:adjustRightInd w:val="0"/>
        <w:spacing w:line="360" w:lineRule="auto"/>
        <w:ind w:right="215" w:firstLine="2704" w:firstLineChars="845"/>
        <w:rPr>
          <w:rFonts w:hAnsi="宋体"/>
          <w:b/>
          <w:sz w:val="32"/>
        </w:rPr>
      </w:pPr>
    </w:p>
    <w:p>
      <w:pPr>
        <w:autoSpaceDE w:val="0"/>
        <w:autoSpaceDN w:val="0"/>
        <w:adjustRightInd w:val="0"/>
        <w:spacing w:line="360" w:lineRule="auto"/>
        <w:ind w:right="215" w:firstLine="2704" w:firstLineChars="845"/>
        <w:rPr>
          <w:rFonts w:hAnsi="宋体"/>
          <w:b/>
          <w:sz w:val="32"/>
        </w:rPr>
      </w:pPr>
      <w:r>
        <w:rPr>
          <w:rFonts w:hint="eastAsia" w:hAnsi="宋体"/>
          <w:b/>
          <w:sz w:val="32"/>
        </w:rPr>
        <w:t>五、项目管理机构配备情况</w:t>
      </w:r>
    </w:p>
    <w:p>
      <w:pPr>
        <w:autoSpaceDE w:val="0"/>
        <w:autoSpaceDN w:val="0"/>
        <w:adjustRightInd w:val="0"/>
        <w:spacing w:line="360" w:lineRule="auto"/>
        <w:ind w:right="215" w:firstLine="420"/>
        <w:jc w:val="center"/>
        <w:rPr>
          <w:rFonts w:hAnsi="宋体"/>
          <w:b/>
          <w:sz w:val="28"/>
        </w:rPr>
      </w:pPr>
      <w:r>
        <w:rPr>
          <w:rFonts w:hint="eastAsia" w:hAnsi="宋体"/>
          <w:b/>
          <w:sz w:val="28"/>
        </w:rPr>
        <w:t>（一）项目管理机构组成表</w:t>
      </w:r>
    </w:p>
    <w:p>
      <w:pPr>
        <w:autoSpaceDE w:val="0"/>
        <w:autoSpaceDN w:val="0"/>
        <w:adjustRightInd w:val="0"/>
        <w:spacing w:line="360" w:lineRule="auto"/>
        <w:ind w:right="215" w:firstLine="420"/>
        <w:jc w:val="center"/>
        <w:rPr>
          <w:rFonts w:hAnsi="宋体"/>
          <w:b/>
          <w:sz w:val="24"/>
        </w:rPr>
      </w:pPr>
    </w:p>
    <w:tbl>
      <w:tblPr>
        <w:tblStyle w:val="29"/>
        <w:tblW w:w="95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960"/>
        <w:gridCol w:w="960"/>
        <w:gridCol w:w="1428"/>
        <w:gridCol w:w="960"/>
        <w:gridCol w:w="960"/>
        <w:gridCol w:w="960"/>
        <w:gridCol w:w="1421"/>
        <w:gridCol w:w="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jc w:val="center"/>
        </w:trPr>
        <w:tc>
          <w:tcPr>
            <w:tcW w:w="959" w:type="dxa"/>
            <w:vMerge w:val="restart"/>
            <w:vAlign w:val="center"/>
          </w:tcPr>
          <w:p>
            <w:pPr>
              <w:autoSpaceDE w:val="0"/>
              <w:autoSpaceDN w:val="0"/>
              <w:adjustRightInd w:val="0"/>
              <w:spacing w:line="360" w:lineRule="auto"/>
              <w:ind w:right="215"/>
              <w:jc w:val="center"/>
              <w:rPr>
                <w:rFonts w:hAnsi="宋体"/>
                <w:sz w:val="24"/>
              </w:rPr>
            </w:pPr>
            <w:r>
              <w:rPr>
                <w:rFonts w:hint="eastAsia" w:hAnsi="宋体"/>
                <w:sz w:val="24"/>
              </w:rPr>
              <w:t>职务</w:t>
            </w:r>
          </w:p>
        </w:tc>
        <w:tc>
          <w:tcPr>
            <w:tcW w:w="960" w:type="dxa"/>
            <w:vMerge w:val="restart"/>
            <w:vAlign w:val="center"/>
          </w:tcPr>
          <w:p>
            <w:pPr>
              <w:autoSpaceDE w:val="0"/>
              <w:autoSpaceDN w:val="0"/>
              <w:adjustRightInd w:val="0"/>
              <w:spacing w:line="360" w:lineRule="auto"/>
              <w:ind w:right="215"/>
              <w:jc w:val="center"/>
              <w:rPr>
                <w:rFonts w:hAnsi="宋体"/>
                <w:sz w:val="24"/>
              </w:rPr>
            </w:pPr>
            <w:r>
              <w:rPr>
                <w:rFonts w:hint="eastAsia" w:hAnsi="宋体"/>
                <w:sz w:val="24"/>
              </w:rPr>
              <w:t>姓名</w:t>
            </w:r>
          </w:p>
        </w:tc>
        <w:tc>
          <w:tcPr>
            <w:tcW w:w="960" w:type="dxa"/>
            <w:vMerge w:val="restart"/>
            <w:vAlign w:val="center"/>
          </w:tcPr>
          <w:p>
            <w:pPr>
              <w:autoSpaceDE w:val="0"/>
              <w:autoSpaceDN w:val="0"/>
              <w:adjustRightInd w:val="0"/>
              <w:spacing w:line="360" w:lineRule="auto"/>
              <w:ind w:right="215"/>
              <w:jc w:val="center"/>
              <w:rPr>
                <w:rFonts w:hAnsi="宋体"/>
                <w:sz w:val="24"/>
              </w:rPr>
            </w:pPr>
            <w:r>
              <w:rPr>
                <w:rFonts w:hint="eastAsia" w:hAnsi="宋体"/>
                <w:sz w:val="24"/>
              </w:rPr>
              <w:t>职称</w:t>
            </w:r>
          </w:p>
        </w:tc>
        <w:tc>
          <w:tcPr>
            <w:tcW w:w="5729" w:type="dxa"/>
            <w:gridSpan w:val="5"/>
            <w:vAlign w:val="center"/>
          </w:tcPr>
          <w:p>
            <w:pPr>
              <w:autoSpaceDE w:val="0"/>
              <w:autoSpaceDN w:val="0"/>
              <w:adjustRightInd w:val="0"/>
              <w:spacing w:line="360" w:lineRule="auto"/>
              <w:ind w:right="215"/>
              <w:jc w:val="center"/>
              <w:rPr>
                <w:rFonts w:hAnsi="宋体"/>
                <w:sz w:val="24"/>
              </w:rPr>
            </w:pPr>
            <w:r>
              <w:rPr>
                <w:rFonts w:hint="eastAsia" w:hAnsi="宋体"/>
                <w:sz w:val="24"/>
              </w:rPr>
              <w:t>执业或职业资格证明</w:t>
            </w:r>
          </w:p>
        </w:tc>
        <w:tc>
          <w:tcPr>
            <w:tcW w:w="960" w:type="dxa"/>
            <w:vAlign w:val="center"/>
          </w:tcPr>
          <w:p>
            <w:pPr>
              <w:autoSpaceDE w:val="0"/>
              <w:autoSpaceDN w:val="0"/>
              <w:adjustRightInd w:val="0"/>
              <w:spacing w:line="360" w:lineRule="auto"/>
              <w:ind w:right="215"/>
              <w:jc w:val="center"/>
              <w:rPr>
                <w:rFonts w:hAnsi="宋体"/>
                <w:sz w:val="24"/>
              </w:rPr>
            </w:pPr>
            <w:r>
              <w:rPr>
                <w:rFonts w:hint="eastAsia" w:hAnsi="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 w:hRule="atLeast"/>
          <w:jc w:val="center"/>
        </w:trPr>
        <w:tc>
          <w:tcPr>
            <w:tcW w:w="959" w:type="dxa"/>
            <w:vMerge w:val="continue"/>
            <w:vAlign w:val="center"/>
          </w:tcPr>
          <w:p>
            <w:pPr>
              <w:autoSpaceDE w:val="0"/>
              <w:autoSpaceDN w:val="0"/>
              <w:adjustRightInd w:val="0"/>
              <w:spacing w:line="360" w:lineRule="auto"/>
              <w:ind w:right="215"/>
              <w:jc w:val="center"/>
              <w:rPr>
                <w:rFonts w:hAnsi="宋体"/>
                <w:sz w:val="24"/>
              </w:rPr>
            </w:pPr>
          </w:p>
        </w:tc>
        <w:tc>
          <w:tcPr>
            <w:tcW w:w="960" w:type="dxa"/>
            <w:vMerge w:val="continue"/>
            <w:vAlign w:val="center"/>
          </w:tcPr>
          <w:p>
            <w:pPr>
              <w:autoSpaceDE w:val="0"/>
              <w:autoSpaceDN w:val="0"/>
              <w:adjustRightInd w:val="0"/>
              <w:spacing w:line="360" w:lineRule="auto"/>
              <w:ind w:right="215"/>
              <w:jc w:val="center"/>
              <w:rPr>
                <w:rFonts w:hAnsi="宋体"/>
                <w:sz w:val="24"/>
              </w:rPr>
            </w:pPr>
          </w:p>
        </w:tc>
        <w:tc>
          <w:tcPr>
            <w:tcW w:w="960" w:type="dxa"/>
            <w:vMerge w:val="continue"/>
            <w:vAlign w:val="center"/>
          </w:tcPr>
          <w:p>
            <w:pPr>
              <w:autoSpaceDE w:val="0"/>
              <w:autoSpaceDN w:val="0"/>
              <w:adjustRightInd w:val="0"/>
              <w:spacing w:line="360" w:lineRule="auto"/>
              <w:ind w:right="215"/>
              <w:jc w:val="center"/>
              <w:rPr>
                <w:rFonts w:hAnsi="宋体"/>
                <w:sz w:val="24"/>
              </w:rPr>
            </w:pPr>
          </w:p>
        </w:tc>
        <w:tc>
          <w:tcPr>
            <w:tcW w:w="1428" w:type="dxa"/>
            <w:vAlign w:val="center"/>
          </w:tcPr>
          <w:p>
            <w:pPr>
              <w:autoSpaceDE w:val="0"/>
              <w:autoSpaceDN w:val="0"/>
              <w:adjustRightInd w:val="0"/>
              <w:spacing w:line="360" w:lineRule="auto"/>
              <w:ind w:right="215"/>
              <w:jc w:val="center"/>
              <w:rPr>
                <w:rFonts w:hAnsi="宋体"/>
                <w:sz w:val="24"/>
              </w:rPr>
            </w:pPr>
            <w:r>
              <w:rPr>
                <w:rFonts w:hint="eastAsia" w:hAnsi="宋体"/>
                <w:sz w:val="24"/>
              </w:rPr>
              <w:t>证书名称</w:t>
            </w:r>
          </w:p>
        </w:tc>
        <w:tc>
          <w:tcPr>
            <w:tcW w:w="960" w:type="dxa"/>
            <w:vAlign w:val="center"/>
          </w:tcPr>
          <w:p>
            <w:pPr>
              <w:autoSpaceDE w:val="0"/>
              <w:autoSpaceDN w:val="0"/>
              <w:adjustRightInd w:val="0"/>
              <w:spacing w:line="360" w:lineRule="auto"/>
              <w:ind w:right="215"/>
              <w:jc w:val="center"/>
              <w:rPr>
                <w:rFonts w:hAnsi="宋体"/>
                <w:sz w:val="24"/>
              </w:rPr>
            </w:pPr>
            <w:r>
              <w:rPr>
                <w:rFonts w:hint="eastAsia" w:hAnsi="宋体"/>
                <w:sz w:val="24"/>
              </w:rPr>
              <w:t>级别</w:t>
            </w:r>
          </w:p>
        </w:tc>
        <w:tc>
          <w:tcPr>
            <w:tcW w:w="960" w:type="dxa"/>
            <w:vAlign w:val="center"/>
          </w:tcPr>
          <w:p>
            <w:pPr>
              <w:autoSpaceDE w:val="0"/>
              <w:autoSpaceDN w:val="0"/>
              <w:adjustRightInd w:val="0"/>
              <w:spacing w:line="360" w:lineRule="auto"/>
              <w:ind w:right="215"/>
              <w:jc w:val="center"/>
              <w:rPr>
                <w:rFonts w:hAnsi="宋体"/>
                <w:sz w:val="24"/>
              </w:rPr>
            </w:pPr>
            <w:r>
              <w:rPr>
                <w:rFonts w:hint="eastAsia" w:hAnsi="宋体"/>
                <w:sz w:val="24"/>
              </w:rPr>
              <w:t>证号</w:t>
            </w:r>
          </w:p>
        </w:tc>
        <w:tc>
          <w:tcPr>
            <w:tcW w:w="960" w:type="dxa"/>
            <w:vAlign w:val="center"/>
          </w:tcPr>
          <w:p>
            <w:pPr>
              <w:autoSpaceDE w:val="0"/>
              <w:autoSpaceDN w:val="0"/>
              <w:adjustRightInd w:val="0"/>
              <w:spacing w:line="360" w:lineRule="auto"/>
              <w:ind w:right="215"/>
              <w:jc w:val="center"/>
              <w:rPr>
                <w:rFonts w:hAnsi="宋体"/>
                <w:sz w:val="24"/>
              </w:rPr>
            </w:pPr>
            <w:r>
              <w:rPr>
                <w:rFonts w:hint="eastAsia" w:hAnsi="宋体"/>
                <w:sz w:val="24"/>
              </w:rPr>
              <w:t>专业</w:t>
            </w:r>
          </w:p>
        </w:tc>
        <w:tc>
          <w:tcPr>
            <w:tcW w:w="1421" w:type="dxa"/>
            <w:vAlign w:val="center"/>
          </w:tcPr>
          <w:p>
            <w:pPr>
              <w:autoSpaceDE w:val="0"/>
              <w:autoSpaceDN w:val="0"/>
              <w:adjustRightInd w:val="0"/>
              <w:spacing w:line="360" w:lineRule="auto"/>
              <w:ind w:right="215"/>
              <w:jc w:val="center"/>
              <w:rPr>
                <w:rFonts w:hAnsi="宋体"/>
                <w:sz w:val="24"/>
              </w:rPr>
            </w:pPr>
            <w:r>
              <w:rPr>
                <w:rFonts w:hint="eastAsia" w:hAnsi="宋体"/>
                <w:sz w:val="24"/>
              </w:rPr>
              <w:t>养老保险</w:t>
            </w:r>
          </w:p>
        </w:tc>
        <w:tc>
          <w:tcPr>
            <w:tcW w:w="960" w:type="dxa"/>
            <w:vAlign w:val="center"/>
          </w:tcPr>
          <w:p>
            <w:pPr>
              <w:autoSpaceDE w:val="0"/>
              <w:autoSpaceDN w:val="0"/>
              <w:adjustRightInd w:val="0"/>
              <w:spacing w:line="360" w:lineRule="auto"/>
              <w:ind w:right="215"/>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jc w:val="center"/>
        </w:trPr>
        <w:tc>
          <w:tcPr>
            <w:tcW w:w="959"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1428"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1421"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jc w:val="center"/>
        </w:trPr>
        <w:tc>
          <w:tcPr>
            <w:tcW w:w="959"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1428"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1421"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jc w:val="center"/>
        </w:trPr>
        <w:tc>
          <w:tcPr>
            <w:tcW w:w="959"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1428"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1421"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jc w:val="center"/>
        </w:trPr>
        <w:tc>
          <w:tcPr>
            <w:tcW w:w="959"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r>
              <w:rPr>
                <w:rFonts w:hint="eastAsia" w:hAnsi="宋体"/>
                <w:sz w:val="24"/>
              </w:rPr>
              <w:t>……</w:t>
            </w:r>
          </w:p>
        </w:tc>
        <w:tc>
          <w:tcPr>
            <w:tcW w:w="960" w:type="dxa"/>
          </w:tcPr>
          <w:p>
            <w:pPr>
              <w:autoSpaceDE w:val="0"/>
              <w:autoSpaceDN w:val="0"/>
              <w:adjustRightInd w:val="0"/>
              <w:spacing w:line="360" w:lineRule="auto"/>
              <w:ind w:right="215"/>
              <w:rPr>
                <w:rFonts w:hAnsi="宋体"/>
                <w:sz w:val="24"/>
              </w:rPr>
            </w:pPr>
          </w:p>
        </w:tc>
        <w:tc>
          <w:tcPr>
            <w:tcW w:w="1428"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1421"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r>
    </w:tbl>
    <w:p>
      <w:pPr>
        <w:spacing w:beforeLines="50" w:afterLines="100" w:line="420" w:lineRule="exact"/>
        <w:ind w:firstLine="2800" w:firstLineChars="1000"/>
        <w:rPr>
          <w:rFonts w:hAnsi="宋体"/>
          <w:b/>
          <w:sz w:val="28"/>
          <w:szCs w:val="28"/>
        </w:rPr>
      </w:pPr>
      <w:r>
        <w:rPr>
          <w:rFonts w:hint="eastAsia" w:hAnsi="宋体"/>
          <w:b/>
          <w:sz w:val="28"/>
          <w:szCs w:val="28"/>
        </w:rPr>
        <w:t>（二）主要人员简历表</w:t>
      </w:r>
    </w:p>
    <w:p>
      <w:pPr>
        <w:spacing w:line="420" w:lineRule="exact"/>
        <w:rPr>
          <w:rFonts w:ascii="黑体" w:hAnsi="宋体" w:eastAsia="黑体"/>
          <w:sz w:val="24"/>
        </w:rPr>
      </w:pPr>
      <w:r>
        <w:rPr>
          <w:rFonts w:hint="eastAsia" w:ascii="黑体" w:hAnsi="宋体" w:eastAsia="黑体"/>
          <w:sz w:val="24"/>
        </w:rPr>
        <w:t>附1：项目经理简历表</w:t>
      </w:r>
    </w:p>
    <w:tbl>
      <w:tblPr>
        <w:tblStyle w:val="29"/>
        <w:tblW w:w="956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8"/>
        <w:gridCol w:w="1165"/>
        <w:gridCol w:w="1275"/>
        <w:gridCol w:w="1434"/>
        <w:gridCol w:w="2074"/>
        <w:gridCol w:w="23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1228" w:type="dxa"/>
            <w:vAlign w:val="center"/>
          </w:tcPr>
          <w:p>
            <w:pPr>
              <w:jc w:val="center"/>
              <w:rPr>
                <w:rFonts w:hAnsi="宋体"/>
                <w:sz w:val="24"/>
              </w:rPr>
            </w:pPr>
            <w:r>
              <w:rPr>
                <w:rFonts w:hint="eastAsia" w:hAnsi="宋体"/>
                <w:sz w:val="24"/>
              </w:rPr>
              <w:t>姓  名</w:t>
            </w:r>
          </w:p>
        </w:tc>
        <w:tc>
          <w:tcPr>
            <w:tcW w:w="1165" w:type="dxa"/>
            <w:vAlign w:val="center"/>
          </w:tcPr>
          <w:p>
            <w:pPr>
              <w:jc w:val="center"/>
              <w:rPr>
                <w:rFonts w:hAnsi="宋体"/>
                <w:sz w:val="24"/>
              </w:rPr>
            </w:pPr>
          </w:p>
        </w:tc>
        <w:tc>
          <w:tcPr>
            <w:tcW w:w="1275" w:type="dxa"/>
            <w:vAlign w:val="center"/>
          </w:tcPr>
          <w:p>
            <w:pPr>
              <w:jc w:val="center"/>
              <w:rPr>
                <w:rFonts w:hAnsi="宋体"/>
                <w:sz w:val="24"/>
              </w:rPr>
            </w:pPr>
            <w:r>
              <w:rPr>
                <w:rFonts w:hint="eastAsia" w:hAnsi="宋体"/>
                <w:sz w:val="24"/>
              </w:rPr>
              <w:t>年  龄</w:t>
            </w:r>
          </w:p>
        </w:tc>
        <w:tc>
          <w:tcPr>
            <w:tcW w:w="1434" w:type="dxa"/>
            <w:vAlign w:val="center"/>
          </w:tcPr>
          <w:p>
            <w:pPr>
              <w:jc w:val="center"/>
              <w:rPr>
                <w:rFonts w:hAnsi="宋体"/>
                <w:sz w:val="24"/>
              </w:rPr>
            </w:pPr>
          </w:p>
        </w:tc>
        <w:tc>
          <w:tcPr>
            <w:tcW w:w="2074" w:type="dxa"/>
            <w:vAlign w:val="center"/>
          </w:tcPr>
          <w:p>
            <w:pPr>
              <w:jc w:val="center"/>
              <w:rPr>
                <w:rFonts w:hAnsi="宋体"/>
                <w:sz w:val="24"/>
              </w:rPr>
            </w:pPr>
            <w:r>
              <w:rPr>
                <w:rFonts w:hint="eastAsia" w:hAnsi="宋体"/>
                <w:sz w:val="24"/>
              </w:rPr>
              <w:t>学历</w:t>
            </w:r>
          </w:p>
        </w:tc>
        <w:tc>
          <w:tcPr>
            <w:tcW w:w="2391" w:type="dxa"/>
            <w:vAlign w:val="center"/>
          </w:tcPr>
          <w:p>
            <w:pPr>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1228" w:type="dxa"/>
            <w:vAlign w:val="center"/>
          </w:tcPr>
          <w:p>
            <w:pPr>
              <w:jc w:val="center"/>
              <w:rPr>
                <w:rFonts w:hAnsi="宋体"/>
                <w:sz w:val="24"/>
              </w:rPr>
            </w:pPr>
            <w:r>
              <w:rPr>
                <w:rFonts w:hint="eastAsia" w:hAnsi="宋体"/>
                <w:sz w:val="24"/>
              </w:rPr>
              <w:t>职  称</w:t>
            </w:r>
          </w:p>
        </w:tc>
        <w:tc>
          <w:tcPr>
            <w:tcW w:w="1165" w:type="dxa"/>
            <w:vAlign w:val="center"/>
          </w:tcPr>
          <w:p>
            <w:pPr>
              <w:jc w:val="center"/>
              <w:rPr>
                <w:rFonts w:hAnsi="宋体"/>
                <w:sz w:val="24"/>
              </w:rPr>
            </w:pPr>
          </w:p>
        </w:tc>
        <w:tc>
          <w:tcPr>
            <w:tcW w:w="1275" w:type="dxa"/>
            <w:vAlign w:val="center"/>
          </w:tcPr>
          <w:p>
            <w:pPr>
              <w:jc w:val="center"/>
              <w:rPr>
                <w:rFonts w:hAnsi="宋体"/>
                <w:sz w:val="24"/>
              </w:rPr>
            </w:pPr>
            <w:r>
              <w:rPr>
                <w:rFonts w:hint="eastAsia" w:hAnsi="宋体"/>
                <w:sz w:val="24"/>
              </w:rPr>
              <w:t>职  务</w:t>
            </w:r>
          </w:p>
        </w:tc>
        <w:tc>
          <w:tcPr>
            <w:tcW w:w="1434" w:type="dxa"/>
            <w:vAlign w:val="center"/>
          </w:tcPr>
          <w:p>
            <w:pPr>
              <w:jc w:val="center"/>
              <w:rPr>
                <w:rFonts w:hAnsi="宋体"/>
                <w:sz w:val="24"/>
              </w:rPr>
            </w:pPr>
          </w:p>
        </w:tc>
        <w:tc>
          <w:tcPr>
            <w:tcW w:w="2074" w:type="dxa"/>
            <w:vAlign w:val="center"/>
          </w:tcPr>
          <w:p>
            <w:pPr>
              <w:jc w:val="center"/>
              <w:rPr>
                <w:rFonts w:hAnsi="宋体"/>
                <w:sz w:val="24"/>
              </w:rPr>
            </w:pPr>
            <w:r>
              <w:rPr>
                <w:rFonts w:hint="eastAsia" w:hAnsi="宋体"/>
                <w:sz w:val="24"/>
              </w:rPr>
              <w:t>拟在本工程任职</w:t>
            </w:r>
          </w:p>
        </w:tc>
        <w:tc>
          <w:tcPr>
            <w:tcW w:w="2391" w:type="dxa"/>
            <w:vAlign w:val="center"/>
          </w:tcPr>
          <w:p>
            <w:pPr>
              <w:jc w:val="center"/>
              <w:rPr>
                <w:rFonts w:hAnsi="宋体"/>
                <w:sz w:val="24"/>
              </w:rPr>
            </w:pPr>
            <w:r>
              <w:rPr>
                <w:rFonts w:hint="eastAsia"/>
                <w:sz w:val="24"/>
              </w:rPr>
              <w:t>项目经理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3668" w:type="dxa"/>
            <w:gridSpan w:val="3"/>
            <w:vAlign w:val="center"/>
          </w:tcPr>
          <w:p>
            <w:pPr>
              <w:jc w:val="center"/>
              <w:rPr>
                <w:rFonts w:hAnsi="宋体"/>
                <w:sz w:val="24"/>
              </w:rPr>
            </w:pPr>
            <w:r>
              <w:rPr>
                <w:rFonts w:hint="eastAsia" w:hAnsi="宋体"/>
                <w:sz w:val="24"/>
              </w:rPr>
              <w:t>注册建造师执业资格等级</w:t>
            </w:r>
          </w:p>
        </w:tc>
        <w:tc>
          <w:tcPr>
            <w:tcW w:w="1434" w:type="dxa"/>
            <w:vAlign w:val="center"/>
          </w:tcPr>
          <w:p>
            <w:pPr>
              <w:jc w:val="center"/>
              <w:rPr>
                <w:rFonts w:hAnsi="宋体"/>
                <w:sz w:val="24"/>
              </w:rPr>
            </w:pPr>
            <w:r>
              <w:rPr>
                <w:rFonts w:hint="eastAsia" w:hAnsi="宋体"/>
                <w:sz w:val="24"/>
              </w:rPr>
              <w:t xml:space="preserve">      级</w:t>
            </w:r>
          </w:p>
        </w:tc>
        <w:tc>
          <w:tcPr>
            <w:tcW w:w="2074" w:type="dxa"/>
            <w:vAlign w:val="center"/>
          </w:tcPr>
          <w:p>
            <w:pPr>
              <w:jc w:val="center"/>
              <w:rPr>
                <w:rFonts w:hAnsi="宋体"/>
                <w:sz w:val="24"/>
              </w:rPr>
            </w:pPr>
            <w:r>
              <w:rPr>
                <w:rFonts w:hint="eastAsia" w:hAnsi="宋体"/>
                <w:sz w:val="24"/>
              </w:rPr>
              <w:t>建造师专业</w:t>
            </w:r>
          </w:p>
        </w:tc>
        <w:tc>
          <w:tcPr>
            <w:tcW w:w="2391" w:type="dxa"/>
            <w:vAlign w:val="center"/>
          </w:tcPr>
          <w:p>
            <w:pPr>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3668" w:type="dxa"/>
            <w:gridSpan w:val="3"/>
            <w:vAlign w:val="center"/>
          </w:tcPr>
          <w:p>
            <w:pPr>
              <w:jc w:val="center"/>
              <w:rPr>
                <w:rFonts w:hAnsi="宋体"/>
                <w:sz w:val="24"/>
              </w:rPr>
            </w:pPr>
            <w:r>
              <w:rPr>
                <w:rFonts w:hint="eastAsia" w:hAnsi="宋体"/>
                <w:sz w:val="24"/>
              </w:rPr>
              <w:t>安全生产考核合格证书</w:t>
            </w:r>
          </w:p>
        </w:tc>
        <w:tc>
          <w:tcPr>
            <w:tcW w:w="5899" w:type="dxa"/>
            <w:gridSpan w:val="3"/>
            <w:vAlign w:val="center"/>
          </w:tcPr>
          <w:p>
            <w:pPr>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1228" w:type="dxa"/>
            <w:vAlign w:val="center"/>
          </w:tcPr>
          <w:p>
            <w:pPr>
              <w:jc w:val="center"/>
              <w:rPr>
                <w:rFonts w:hAnsi="宋体"/>
                <w:sz w:val="24"/>
              </w:rPr>
            </w:pPr>
            <w:r>
              <w:rPr>
                <w:rFonts w:hint="eastAsia" w:hAnsi="宋体"/>
                <w:sz w:val="24"/>
              </w:rPr>
              <w:t>毕业学校</w:t>
            </w:r>
          </w:p>
        </w:tc>
        <w:tc>
          <w:tcPr>
            <w:tcW w:w="8339" w:type="dxa"/>
            <w:gridSpan w:val="5"/>
            <w:vAlign w:val="center"/>
          </w:tcPr>
          <w:p>
            <w:pPr>
              <w:ind w:firstLine="960" w:firstLineChars="400"/>
              <w:rPr>
                <w:rFonts w:hAnsi="宋体"/>
                <w:sz w:val="24"/>
              </w:rPr>
            </w:pPr>
            <w:r>
              <w:rPr>
                <w:rFonts w:hint="eastAsia" w:hAnsi="宋体"/>
                <w:sz w:val="24"/>
              </w:rPr>
              <w:t>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9567" w:type="dxa"/>
            <w:gridSpan w:val="6"/>
            <w:vAlign w:val="center"/>
          </w:tcPr>
          <w:p>
            <w:pPr>
              <w:jc w:val="center"/>
              <w:rPr>
                <w:rFonts w:hAnsi="宋体"/>
                <w:sz w:val="24"/>
              </w:rPr>
            </w:pPr>
            <w:r>
              <w:rPr>
                <w:rFonts w:hint="eastAsia" w:hAnsi="宋体"/>
                <w:sz w:val="24"/>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1228" w:type="dxa"/>
            <w:vAlign w:val="center"/>
          </w:tcPr>
          <w:p>
            <w:pPr>
              <w:jc w:val="center"/>
              <w:rPr>
                <w:rFonts w:hAnsi="宋体"/>
                <w:sz w:val="24"/>
              </w:rPr>
            </w:pPr>
            <w:r>
              <w:rPr>
                <w:rFonts w:hint="eastAsia" w:hAnsi="宋体"/>
                <w:sz w:val="24"/>
              </w:rPr>
              <w:t>时  间</w:t>
            </w:r>
          </w:p>
        </w:tc>
        <w:tc>
          <w:tcPr>
            <w:tcW w:w="3874" w:type="dxa"/>
            <w:gridSpan w:val="3"/>
            <w:vAlign w:val="center"/>
          </w:tcPr>
          <w:p>
            <w:pPr>
              <w:jc w:val="center"/>
              <w:rPr>
                <w:rFonts w:hAnsi="宋体"/>
                <w:sz w:val="24"/>
              </w:rPr>
            </w:pPr>
            <w:r>
              <w:rPr>
                <w:rFonts w:hint="eastAsia" w:hAnsi="宋体"/>
                <w:sz w:val="24"/>
              </w:rPr>
              <w:t>参加过的类似项目名称</w:t>
            </w:r>
          </w:p>
        </w:tc>
        <w:tc>
          <w:tcPr>
            <w:tcW w:w="2074" w:type="dxa"/>
            <w:vAlign w:val="center"/>
          </w:tcPr>
          <w:p>
            <w:pPr>
              <w:jc w:val="center"/>
              <w:rPr>
                <w:rFonts w:hAnsi="宋体"/>
                <w:sz w:val="24"/>
              </w:rPr>
            </w:pPr>
            <w:r>
              <w:rPr>
                <w:rFonts w:hint="eastAsia" w:hAnsi="宋体"/>
                <w:sz w:val="24"/>
              </w:rPr>
              <w:t>工程概况说明</w:t>
            </w:r>
          </w:p>
        </w:tc>
        <w:tc>
          <w:tcPr>
            <w:tcW w:w="2391" w:type="dxa"/>
            <w:vAlign w:val="center"/>
          </w:tcPr>
          <w:p>
            <w:pPr>
              <w:jc w:val="center"/>
              <w:rPr>
                <w:rFonts w:hAnsi="宋体"/>
                <w:sz w:val="24"/>
              </w:rPr>
            </w:pPr>
            <w:r>
              <w:rPr>
                <w:rFonts w:hint="eastAsia" w:hAnsi="宋体"/>
                <w:sz w:val="24"/>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1228" w:type="dxa"/>
            <w:vAlign w:val="center"/>
          </w:tcPr>
          <w:p>
            <w:pPr>
              <w:jc w:val="center"/>
              <w:rPr>
                <w:rFonts w:hAnsi="宋体"/>
                <w:sz w:val="24"/>
              </w:rPr>
            </w:pPr>
          </w:p>
        </w:tc>
        <w:tc>
          <w:tcPr>
            <w:tcW w:w="1165" w:type="dxa"/>
            <w:vAlign w:val="center"/>
          </w:tcPr>
          <w:p>
            <w:pPr>
              <w:jc w:val="center"/>
              <w:rPr>
                <w:rFonts w:hAnsi="宋体"/>
                <w:sz w:val="24"/>
              </w:rPr>
            </w:pPr>
          </w:p>
        </w:tc>
        <w:tc>
          <w:tcPr>
            <w:tcW w:w="1275" w:type="dxa"/>
            <w:vAlign w:val="center"/>
          </w:tcPr>
          <w:p>
            <w:pPr>
              <w:jc w:val="center"/>
              <w:rPr>
                <w:rFonts w:hAnsi="宋体"/>
                <w:sz w:val="24"/>
              </w:rPr>
            </w:pPr>
          </w:p>
        </w:tc>
        <w:tc>
          <w:tcPr>
            <w:tcW w:w="1434" w:type="dxa"/>
            <w:vAlign w:val="center"/>
          </w:tcPr>
          <w:p>
            <w:pPr>
              <w:jc w:val="center"/>
              <w:rPr>
                <w:rFonts w:hAnsi="宋体"/>
                <w:sz w:val="24"/>
              </w:rPr>
            </w:pPr>
          </w:p>
        </w:tc>
        <w:tc>
          <w:tcPr>
            <w:tcW w:w="2074" w:type="dxa"/>
            <w:vAlign w:val="center"/>
          </w:tcPr>
          <w:p>
            <w:pPr>
              <w:jc w:val="center"/>
              <w:rPr>
                <w:rFonts w:hAnsi="宋体"/>
                <w:sz w:val="24"/>
              </w:rPr>
            </w:pPr>
          </w:p>
        </w:tc>
        <w:tc>
          <w:tcPr>
            <w:tcW w:w="2391" w:type="dxa"/>
            <w:vAlign w:val="center"/>
          </w:tcPr>
          <w:p>
            <w:pPr>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1228" w:type="dxa"/>
            <w:vAlign w:val="center"/>
          </w:tcPr>
          <w:p>
            <w:pPr>
              <w:jc w:val="center"/>
              <w:rPr>
                <w:rFonts w:hAnsi="宋体"/>
                <w:sz w:val="24"/>
              </w:rPr>
            </w:pPr>
          </w:p>
        </w:tc>
        <w:tc>
          <w:tcPr>
            <w:tcW w:w="1165" w:type="dxa"/>
            <w:vAlign w:val="center"/>
          </w:tcPr>
          <w:p>
            <w:pPr>
              <w:jc w:val="center"/>
              <w:rPr>
                <w:rFonts w:hAnsi="宋体"/>
                <w:sz w:val="24"/>
              </w:rPr>
            </w:pPr>
          </w:p>
        </w:tc>
        <w:tc>
          <w:tcPr>
            <w:tcW w:w="1275" w:type="dxa"/>
            <w:vAlign w:val="center"/>
          </w:tcPr>
          <w:p>
            <w:pPr>
              <w:jc w:val="center"/>
              <w:rPr>
                <w:rFonts w:hAnsi="宋体"/>
                <w:sz w:val="24"/>
              </w:rPr>
            </w:pPr>
          </w:p>
        </w:tc>
        <w:tc>
          <w:tcPr>
            <w:tcW w:w="1434" w:type="dxa"/>
            <w:vAlign w:val="center"/>
          </w:tcPr>
          <w:p>
            <w:pPr>
              <w:jc w:val="center"/>
              <w:rPr>
                <w:rFonts w:hAnsi="宋体"/>
                <w:sz w:val="24"/>
              </w:rPr>
            </w:pPr>
          </w:p>
        </w:tc>
        <w:tc>
          <w:tcPr>
            <w:tcW w:w="2074" w:type="dxa"/>
            <w:vAlign w:val="center"/>
          </w:tcPr>
          <w:p>
            <w:pPr>
              <w:jc w:val="center"/>
              <w:rPr>
                <w:rFonts w:hAnsi="宋体"/>
                <w:sz w:val="24"/>
              </w:rPr>
            </w:pPr>
          </w:p>
        </w:tc>
        <w:tc>
          <w:tcPr>
            <w:tcW w:w="2391" w:type="dxa"/>
            <w:vAlign w:val="center"/>
          </w:tcPr>
          <w:p>
            <w:pPr>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 w:hRule="atLeast"/>
        </w:trPr>
        <w:tc>
          <w:tcPr>
            <w:tcW w:w="1228" w:type="dxa"/>
            <w:vAlign w:val="center"/>
          </w:tcPr>
          <w:p>
            <w:pPr>
              <w:jc w:val="center"/>
              <w:rPr>
                <w:rFonts w:hAnsi="宋体"/>
                <w:sz w:val="24"/>
              </w:rPr>
            </w:pPr>
          </w:p>
        </w:tc>
        <w:tc>
          <w:tcPr>
            <w:tcW w:w="1165" w:type="dxa"/>
            <w:vAlign w:val="center"/>
          </w:tcPr>
          <w:p>
            <w:pPr>
              <w:jc w:val="center"/>
              <w:rPr>
                <w:rFonts w:hAnsi="宋体"/>
                <w:sz w:val="24"/>
              </w:rPr>
            </w:pPr>
          </w:p>
        </w:tc>
        <w:tc>
          <w:tcPr>
            <w:tcW w:w="1275" w:type="dxa"/>
            <w:vAlign w:val="center"/>
          </w:tcPr>
          <w:p>
            <w:pPr>
              <w:jc w:val="center"/>
              <w:rPr>
                <w:rFonts w:hAnsi="宋体"/>
                <w:sz w:val="24"/>
              </w:rPr>
            </w:pPr>
          </w:p>
        </w:tc>
        <w:tc>
          <w:tcPr>
            <w:tcW w:w="1434" w:type="dxa"/>
            <w:vAlign w:val="center"/>
          </w:tcPr>
          <w:p>
            <w:pPr>
              <w:jc w:val="center"/>
              <w:rPr>
                <w:rFonts w:hAnsi="宋体"/>
                <w:sz w:val="24"/>
              </w:rPr>
            </w:pPr>
          </w:p>
        </w:tc>
        <w:tc>
          <w:tcPr>
            <w:tcW w:w="2074" w:type="dxa"/>
            <w:vAlign w:val="center"/>
          </w:tcPr>
          <w:p>
            <w:pPr>
              <w:jc w:val="center"/>
              <w:rPr>
                <w:rFonts w:hAnsi="宋体"/>
                <w:sz w:val="24"/>
              </w:rPr>
            </w:pPr>
          </w:p>
        </w:tc>
        <w:tc>
          <w:tcPr>
            <w:tcW w:w="2391" w:type="dxa"/>
            <w:vAlign w:val="center"/>
          </w:tcPr>
          <w:p>
            <w:pPr>
              <w:jc w:val="center"/>
              <w:rPr>
                <w:rFonts w:hAnsi="宋体"/>
                <w:sz w:val="24"/>
              </w:rPr>
            </w:pPr>
          </w:p>
        </w:tc>
      </w:tr>
    </w:tbl>
    <w:p>
      <w:pPr>
        <w:spacing w:line="420" w:lineRule="exact"/>
        <w:rPr>
          <w:rFonts w:ascii="黑体" w:hAnsi="宋体" w:eastAsia="黑体"/>
          <w:sz w:val="24"/>
        </w:rPr>
      </w:pPr>
      <w:r>
        <w:rPr>
          <w:rFonts w:hAnsi="宋体"/>
          <w:szCs w:val="21"/>
        </w:rPr>
        <w:br w:type="page"/>
      </w:r>
      <w:r>
        <w:rPr>
          <w:rFonts w:hint="eastAsia" w:ascii="黑体" w:hAnsi="宋体" w:eastAsia="黑体"/>
          <w:sz w:val="24"/>
        </w:rPr>
        <w:t>附2：主要项目管理人员简历表</w:t>
      </w:r>
    </w:p>
    <w:p>
      <w:pPr>
        <w:spacing w:line="420" w:lineRule="exact"/>
        <w:rPr>
          <w:rFonts w:hAnsi="宋体"/>
          <w:sz w:val="24"/>
          <w:szCs w:val="24"/>
        </w:rPr>
      </w:pPr>
    </w:p>
    <w:tbl>
      <w:tblPr>
        <w:tblStyle w:val="29"/>
        <w:tblW w:w="95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0"/>
        <w:gridCol w:w="3100"/>
        <w:gridCol w:w="48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6" w:hRule="atLeast"/>
        </w:trPr>
        <w:tc>
          <w:tcPr>
            <w:tcW w:w="9514" w:type="dxa"/>
            <w:gridSpan w:val="3"/>
            <w:tcBorders>
              <w:bottom w:val="single" w:color="auto" w:sz="4" w:space="0"/>
            </w:tcBorders>
            <w:vAlign w:val="center"/>
          </w:tcPr>
          <w:p>
            <w:pPr>
              <w:spacing w:line="640" w:lineRule="exact"/>
              <w:rPr>
                <w:rFonts w:hAnsi="宋体"/>
                <w:sz w:val="24"/>
              </w:rPr>
            </w:pPr>
            <w:r>
              <w:rPr>
                <w:rFonts w:hint="eastAsia" w:hAnsi="宋体"/>
                <w:sz w:val="24"/>
              </w:rPr>
              <w:t>岗位名称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trPr>
        <w:tc>
          <w:tcPr>
            <w:tcW w:w="4630" w:type="dxa"/>
            <w:gridSpan w:val="2"/>
            <w:tcBorders>
              <w:left w:val="single" w:color="auto" w:sz="4" w:space="0"/>
            </w:tcBorders>
            <w:vAlign w:val="center"/>
          </w:tcPr>
          <w:p>
            <w:pPr>
              <w:spacing w:line="640" w:lineRule="exact"/>
              <w:rPr>
                <w:rFonts w:hAnsi="宋体"/>
                <w:sz w:val="24"/>
              </w:rPr>
            </w:pPr>
            <w:r>
              <w:rPr>
                <w:rFonts w:hint="eastAsia" w:hAnsi="宋体"/>
                <w:sz w:val="24"/>
              </w:rPr>
              <w:t>姓    名</w:t>
            </w:r>
          </w:p>
        </w:tc>
        <w:tc>
          <w:tcPr>
            <w:tcW w:w="4884" w:type="dxa"/>
            <w:tcBorders>
              <w:left w:val="nil"/>
            </w:tcBorders>
            <w:vAlign w:val="center"/>
          </w:tcPr>
          <w:p>
            <w:pPr>
              <w:spacing w:line="640" w:lineRule="exact"/>
              <w:rPr>
                <w:rFonts w:hAnsi="宋体"/>
                <w:sz w:val="24"/>
              </w:rPr>
            </w:pPr>
            <w:r>
              <w:rPr>
                <w:rFonts w:hint="eastAsia" w:hAnsi="宋体"/>
                <w:sz w:val="24"/>
              </w:rPr>
              <w:t>年    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trPr>
        <w:tc>
          <w:tcPr>
            <w:tcW w:w="4630" w:type="dxa"/>
            <w:gridSpan w:val="2"/>
            <w:vAlign w:val="center"/>
          </w:tcPr>
          <w:p>
            <w:pPr>
              <w:spacing w:line="640" w:lineRule="exact"/>
              <w:rPr>
                <w:rFonts w:hAnsi="宋体"/>
                <w:sz w:val="24"/>
              </w:rPr>
            </w:pPr>
            <w:r>
              <w:rPr>
                <w:rFonts w:hint="eastAsia" w:hAnsi="宋体"/>
                <w:sz w:val="24"/>
              </w:rPr>
              <w:t>性    别</w:t>
            </w:r>
          </w:p>
        </w:tc>
        <w:tc>
          <w:tcPr>
            <w:tcW w:w="4884" w:type="dxa"/>
            <w:vAlign w:val="center"/>
          </w:tcPr>
          <w:p>
            <w:pPr>
              <w:spacing w:line="640" w:lineRule="exact"/>
              <w:rPr>
                <w:rFonts w:hAnsi="宋体"/>
                <w:sz w:val="24"/>
              </w:rPr>
            </w:pPr>
            <w:r>
              <w:rPr>
                <w:rFonts w:hint="eastAsia" w:hAnsi="宋体"/>
                <w:sz w:val="24"/>
              </w:rPr>
              <w:t>毕业学校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trPr>
        <w:tc>
          <w:tcPr>
            <w:tcW w:w="4630" w:type="dxa"/>
            <w:gridSpan w:val="2"/>
            <w:vAlign w:val="center"/>
          </w:tcPr>
          <w:p>
            <w:pPr>
              <w:spacing w:line="640" w:lineRule="exact"/>
              <w:rPr>
                <w:rFonts w:hAnsi="宋体"/>
                <w:sz w:val="24"/>
              </w:rPr>
            </w:pPr>
            <w:r>
              <w:rPr>
                <w:rFonts w:hint="eastAsia" w:hAnsi="宋体"/>
                <w:sz w:val="24"/>
              </w:rPr>
              <w:t>学历和专业</w:t>
            </w:r>
          </w:p>
        </w:tc>
        <w:tc>
          <w:tcPr>
            <w:tcW w:w="4884" w:type="dxa"/>
            <w:vAlign w:val="center"/>
          </w:tcPr>
          <w:p>
            <w:pPr>
              <w:spacing w:line="640" w:lineRule="exact"/>
              <w:rPr>
                <w:rFonts w:hAnsi="宋体"/>
                <w:sz w:val="24"/>
              </w:rPr>
            </w:pPr>
            <w:r>
              <w:rPr>
                <w:rFonts w:hint="eastAsia" w:hAnsi="宋体"/>
                <w:sz w:val="24"/>
              </w:rPr>
              <w:t>毕业时间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3" w:hRule="atLeast"/>
        </w:trPr>
        <w:tc>
          <w:tcPr>
            <w:tcW w:w="4630" w:type="dxa"/>
            <w:gridSpan w:val="2"/>
            <w:vAlign w:val="center"/>
          </w:tcPr>
          <w:p>
            <w:pPr>
              <w:spacing w:line="640" w:lineRule="exact"/>
              <w:rPr>
                <w:rFonts w:hAnsi="宋体"/>
                <w:sz w:val="24"/>
              </w:rPr>
            </w:pPr>
            <w:r>
              <w:rPr>
                <w:rFonts w:hint="eastAsia" w:hAnsi="宋体"/>
                <w:sz w:val="24"/>
              </w:rPr>
              <w:t>拥有的执业资格</w:t>
            </w:r>
          </w:p>
        </w:tc>
        <w:tc>
          <w:tcPr>
            <w:tcW w:w="4884" w:type="dxa"/>
            <w:vAlign w:val="center"/>
          </w:tcPr>
          <w:p>
            <w:pPr>
              <w:spacing w:line="640" w:lineRule="exact"/>
              <w:rPr>
                <w:rFonts w:hAnsi="宋体"/>
                <w:sz w:val="24"/>
              </w:rPr>
            </w:pPr>
            <w:r>
              <w:rPr>
                <w:rFonts w:hint="eastAsia" w:hAnsi="宋体"/>
                <w:sz w:val="24"/>
              </w:rPr>
              <w:t>专业职称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trPr>
        <w:tc>
          <w:tcPr>
            <w:tcW w:w="4630" w:type="dxa"/>
            <w:gridSpan w:val="2"/>
            <w:vAlign w:val="center"/>
          </w:tcPr>
          <w:p>
            <w:pPr>
              <w:spacing w:line="640" w:lineRule="exact"/>
              <w:rPr>
                <w:rFonts w:hAnsi="宋体"/>
                <w:sz w:val="24"/>
              </w:rPr>
            </w:pPr>
            <w:r>
              <w:rPr>
                <w:rFonts w:hint="eastAsia" w:hAnsi="宋体"/>
                <w:sz w:val="24"/>
              </w:rPr>
              <w:t>执业资格证书编号</w:t>
            </w:r>
          </w:p>
        </w:tc>
        <w:tc>
          <w:tcPr>
            <w:tcW w:w="4884" w:type="dxa"/>
            <w:vAlign w:val="center"/>
          </w:tcPr>
          <w:p>
            <w:pPr>
              <w:spacing w:line="640" w:lineRule="exact"/>
              <w:rPr>
                <w:rFonts w:hAnsi="宋体"/>
                <w:sz w:val="24"/>
              </w:rPr>
            </w:pPr>
            <w:r>
              <w:rPr>
                <w:rFonts w:hint="eastAsia" w:hAnsi="宋体"/>
                <w:sz w:val="24"/>
              </w:rPr>
              <w:t>工作年限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36" w:hRule="atLeast"/>
        </w:trPr>
        <w:tc>
          <w:tcPr>
            <w:tcW w:w="1530" w:type="dxa"/>
          </w:tcPr>
          <w:p>
            <w:pPr>
              <w:jc w:val="left"/>
              <w:rPr>
                <w:rFonts w:hAnsi="宋体"/>
                <w:sz w:val="24"/>
              </w:rPr>
            </w:pPr>
            <w:r>
              <w:rPr>
                <w:rFonts w:hint="eastAsia" w:hAnsi="宋体"/>
                <w:sz w:val="24"/>
              </w:rPr>
              <w:t>主要</w:t>
            </w:r>
          </w:p>
          <w:p>
            <w:pPr>
              <w:jc w:val="left"/>
              <w:rPr>
                <w:rFonts w:hAnsi="宋体"/>
                <w:sz w:val="24"/>
              </w:rPr>
            </w:pPr>
            <w:r>
              <w:rPr>
                <w:rFonts w:hint="eastAsia" w:hAnsi="宋体"/>
                <w:sz w:val="24"/>
              </w:rPr>
              <w:t>工作</w:t>
            </w:r>
          </w:p>
          <w:p>
            <w:pPr>
              <w:jc w:val="left"/>
              <w:rPr>
                <w:rFonts w:hAnsi="宋体"/>
                <w:sz w:val="24"/>
              </w:rPr>
            </w:pPr>
            <w:r>
              <w:rPr>
                <w:rFonts w:hint="eastAsia" w:hAnsi="宋体"/>
                <w:sz w:val="24"/>
              </w:rPr>
              <w:t>业绩</w:t>
            </w:r>
          </w:p>
          <w:p>
            <w:pPr>
              <w:jc w:val="left"/>
              <w:rPr>
                <w:rFonts w:hAnsi="宋体"/>
                <w:sz w:val="24"/>
              </w:rPr>
            </w:pPr>
            <w:r>
              <w:rPr>
                <w:rFonts w:hint="eastAsia" w:hAnsi="宋体"/>
                <w:sz w:val="24"/>
              </w:rPr>
              <w:t>及担</w:t>
            </w:r>
          </w:p>
          <w:p>
            <w:pPr>
              <w:jc w:val="left"/>
              <w:rPr>
                <w:rFonts w:hAnsi="宋体"/>
                <w:sz w:val="24"/>
              </w:rPr>
            </w:pPr>
            <w:r>
              <w:rPr>
                <w:rFonts w:hint="eastAsia" w:hAnsi="宋体"/>
                <w:sz w:val="24"/>
              </w:rPr>
              <w:t>任的</w:t>
            </w:r>
          </w:p>
          <w:p>
            <w:pPr>
              <w:jc w:val="left"/>
              <w:rPr>
                <w:rFonts w:hAnsi="宋体"/>
                <w:sz w:val="24"/>
              </w:rPr>
            </w:pPr>
            <w:r>
              <w:rPr>
                <w:rFonts w:hint="eastAsia" w:hAnsi="宋体"/>
                <w:sz w:val="24"/>
              </w:rPr>
              <w:t>主要</w:t>
            </w:r>
          </w:p>
          <w:p>
            <w:pPr>
              <w:jc w:val="left"/>
              <w:rPr>
                <w:rFonts w:hAnsi="宋体"/>
                <w:sz w:val="24"/>
              </w:rPr>
            </w:pPr>
            <w:r>
              <w:rPr>
                <w:rFonts w:hint="eastAsia" w:hAnsi="宋体"/>
                <w:sz w:val="24"/>
              </w:rPr>
              <w:t>工作</w:t>
            </w:r>
          </w:p>
        </w:tc>
        <w:tc>
          <w:tcPr>
            <w:tcW w:w="7984" w:type="dxa"/>
            <w:gridSpan w:val="2"/>
          </w:tcPr>
          <w:p>
            <w:pPr>
              <w:rPr>
                <w:rFonts w:hAnsi="宋体"/>
                <w:sz w:val="24"/>
              </w:rPr>
            </w:pPr>
          </w:p>
        </w:tc>
      </w:tr>
    </w:tbl>
    <w:p>
      <w:pPr>
        <w:rPr>
          <w:rFonts w:ascii="黑体" w:hAnsi="宋体" w:eastAsia="黑体"/>
          <w:sz w:val="24"/>
        </w:rPr>
      </w:pPr>
    </w:p>
    <w:p>
      <w:pPr>
        <w:rPr>
          <w:rFonts w:ascii="黑体" w:hAnsi="宋体" w:eastAsia="黑体"/>
          <w:sz w:val="24"/>
        </w:rPr>
      </w:pPr>
    </w:p>
    <w:p>
      <w:pPr>
        <w:rPr>
          <w:rFonts w:ascii="黑体" w:hAnsi="宋体" w:eastAsia="黑体"/>
          <w:sz w:val="24"/>
        </w:rPr>
      </w:pPr>
      <w:r>
        <w:rPr>
          <w:rFonts w:hint="eastAsia" w:ascii="黑体" w:hAnsi="宋体" w:eastAsia="黑体"/>
          <w:sz w:val="24"/>
        </w:rPr>
        <w:t>附3：承诺书</w:t>
      </w:r>
    </w:p>
    <w:p>
      <w:pPr>
        <w:jc w:val="center"/>
        <w:rPr>
          <w:rFonts w:ascii="黑体" w:hAnsi="宋体" w:eastAsia="黑体"/>
          <w:sz w:val="24"/>
        </w:rPr>
      </w:pPr>
      <w:r>
        <w:rPr>
          <w:rFonts w:hint="eastAsia" w:ascii="黑体" w:hAnsi="宋体" w:eastAsia="黑体"/>
          <w:sz w:val="24"/>
        </w:rPr>
        <w:t>承诺书</w:t>
      </w:r>
    </w:p>
    <w:p>
      <w:pPr>
        <w:spacing w:afterLines="100" w:line="440" w:lineRule="exact"/>
        <w:rPr>
          <w:rFonts w:hAnsi="宋体"/>
          <w:sz w:val="24"/>
        </w:rPr>
      </w:pPr>
      <w:r>
        <w:rPr>
          <w:rFonts w:hint="eastAsia" w:hAnsi="宋体"/>
          <w:position w:val="-7"/>
          <w:sz w:val="24"/>
        </w:rPr>
        <w:t>————————</w:t>
      </w:r>
      <w:r>
        <w:rPr>
          <w:rFonts w:hint="eastAsia" w:hAnsi="宋体"/>
          <w:sz w:val="24"/>
        </w:rPr>
        <w:t>（招标人名称）：</w:t>
      </w:r>
    </w:p>
    <w:p>
      <w:pPr>
        <w:spacing w:line="440" w:lineRule="exact"/>
        <w:ind w:firstLine="480" w:firstLineChars="200"/>
        <w:rPr>
          <w:rFonts w:hAnsi="宋体"/>
          <w:sz w:val="24"/>
        </w:rPr>
      </w:pPr>
      <w:r>
        <w:rPr>
          <w:rFonts w:hint="eastAsia" w:hAnsi="宋体"/>
          <w:sz w:val="24"/>
        </w:rPr>
        <w:t>我方在此声明，我方拟派往（项目名称）（以下简称“本工程”）的</w:t>
      </w:r>
      <w:r>
        <w:rPr>
          <w:rFonts w:hint="eastAsia"/>
          <w:sz w:val="24"/>
        </w:rPr>
        <w:t>项目经理</w:t>
      </w:r>
      <w:r>
        <w:rPr>
          <w:rFonts w:hint="eastAsia" w:hAnsi="宋体"/>
          <w:sz w:val="24"/>
        </w:rPr>
        <w:t>（</w:t>
      </w:r>
      <w:r>
        <w:rPr>
          <w:rFonts w:hint="eastAsia"/>
          <w:sz w:val="24"/>
        </w:rPr>
        <w:t>项目经理</w:t>
      </w:r>
      <w:r>
        <w:rPr>
          <w:rFonts w:hint="eastAsia" w:hAnsi="宋体"/>
          <w:sz w:val="24"/>
        </w:rPr>
        <w:t>姓名）现阶段没有担任任何在施建设工程项目的</w:t>
      </w:r>
      <w:r>
        <w:rPr>
          <w:rFonts w:hint="eastAsia"/>
          <w:sz w:val="24"/>
        </w:rPr>
        <w:t>项目经理</w:t>
      </w:r>
      <w:r>
        <w:rPr>
          <w:rFonts w:hint="eastAsia" w:hAnsi="宋体"/>
          <w:sz w:val="24"/>
        </w:rPr>
        <w:t>。</w:t>
      </w:r>
    </w:p>
    <w:p>
      <w:pPr>
        <w:spacing w:line="440" w:lineRule="exact"/>
        <w:ind w:firstLine="480" w:firstLineChars="200"/>
        <w:rPr>
          <w:rFonts w:hAnsi="宋体"/>
          <w:sz w:val="24"/>
        </w:rPr>
      </w:pPr>
      <w:r>
        <w:rPr>
          <w:rFonts w:hint="eastAsia" w:hAnsi="宋体"/>
          <w:sz w:val="24"/>
        </w:rPr>
        <w:t>我方保证上述信息的真实和准确，并愿意承担因我方就此弄虚作假所引起的一切法律后果。</w:t>
      </w:r>
    </w:p>
    <w:p>
      <w:pPr>
        <w:spacing w:line="440" w:lineRule="exact"/>
        <w:ind w:firstLine="480" w:firstLineChars="200"/>
        <w:rPr>
          <w:rFonts w:hAnsi="宋体"/>
          <w:sz w:val="24"/>
        </w:rPr>
      </w:pPr>
      <w:r>
        <w:rPr>
          <w:rFonts w:hint="eastAsia" w:hAnsi="宋体"/>
          <w:sz w:val="24"/>
        </w:rPr>
        <w:t>特此承诺</w:t>
      </w:r>
    </w:p>
    <w:p>
      <w:pPr>
        <w:spacing w:line="440" w:lineRule="exact"/>
        <w:jc w:val="right"/>
        <w:rPr>
          <w:rFonts w:hAnsi="宋体"/>
          <w:sz w:val="24"/>
        </w:rPr>
      </w:pPr>
      <w:r>
        <w:rPr>
          <w:rFonts w:hint="eastAsia" w:hAnsi="宋体"/>
          <w:sz w:val="24"/>
        </w:rPr>
        <w:t>投标人：（盖单位章）</w:t>
      </w:r>
    </w:p>
    <w:p>
      <w:pPr>
        <w:spacing w:line="440" w:lineRule="exact"/>
        <w:ind w:right="315"/>
        <w:jc w:val="right"/>
        <w:rPr>
          <w:rFonts w:hAnsi="宋体"/>
          <w:sz w:val="24"/>
        </w:rPr>
      </w:pPr>
      <w:r>
        <w:rPr>
          <w:rFonts w:hint="eastAsia" w:hAnsi="宋体"/>
          <w:sz w:val="24"/>
        </w:rPr>
        <w:t>法定代表人：</w:t>
      </w:r>
      <w:r>
        <w:rPr>
          <w:rFonts w:hint="eastAsia" w:ascii="新宋体" w:hAnsi="新宋体" w:eastAsia="新宋体"/>
          <w:sz w:val="24"/>
        </w:rPr>
        <w:t>（签字）</w:t>
      </w:r>
    </w:p>
    <w:p>
      <w:pPr>
        <w:spacing w:line="440" w:lineRule="exact"/>
        <w:jc w:val="right"/>
        <w:rPr>
          <w:rFonts w:hAnsi="宋体"/>
          <w:sz w:val="24"/>
        </w:rPr>
      </w:pPr>
      <w:r>
        <w:rPr>
          <w:rFonts w:hint="eastAsia" w:hAnsi="宋体"/>
          <w:sz w:val="24"/>
        </w:rPr>
        <w:t>年月日</w:t>
      </w:r>
    </w:p>
    <w:p>
      <w:pPr>
        <w:autoSpaceDE w:val="0"/>
        <w:autoSpaceDN w:val="0"/>
        <w:adjustRightInd w:val="0"/>
        <w:spacing w:line="360" w:lineRule="auto"/>
        <w:ind w:right="215" w:firstLine="420"/>
        <w:jc w:val="center"/>
        <w:rPr>
          <w:rFonts w:hAnsi="宋体"/>
          <w:b/>
          <w:sz w:val="32"/>
        </w:rPr>
      </w:pPr>
    </w:p>
    <w:p>
      <w:pPr>
        <w:autoSpaceDE w:val="0"/>
        <w:autoSpaceDN w:val="0"/>
        <w:adjustRightInd w:val="0"/>
        <w:spacing w:line="360" w:lineRule="auto"/>
        <w:ind w:right="215" w:firstLine="420"/>
        <w:jc w:val="center"/>
        <w:rPr>
          <w:rFonts w:hAnsi="宋体"/>
          <w:b/>
          <w:color w:val="0000FF"/>
          <w:sz w:val="32"/>
        </w:rPr>
      </w:pPr>
    </w:p>
    <w:p>
      <w:pPr>
        <w:autoSpaceDE w:val="0"/>
        <w:autoSpaceDN w:val="0"/>
        <w:adjustRightInd w:val="0"/>
        <w:spacing w:line="360" w:lineRule="auto"/>
        <w:ind w:right="215" w:firstLine="420"/>
        <w:jc w:val="center"/>
        <w:rPr>
          <w:rFonts w:hAnsi="宋体"/>
          <w:b/>
          <w:color w:val="0000FF"/>
          <w:sz w:val="32"/>
        </w:rPr>
      </w:pPr>
    </w:p>
    <w:p>
      <w:pPr>
        <w:autoSpaceDE w:val="0"/>
        <w:autoSpaceDN w:val="0"/>
        <w:adjustRightInd w:val="0"/>
        <w:spacing w:line="360" w:lineRule="auto"/>
        <w:ind w:right="215" w:firstLine="420"/>
        <w:jc w:val="center"/>
        <w:rPr>
          <w:rFonts w:hAnsi="宋体"/>
          <w:sz w:val="24"/>
        </w:rPr>
      </w:pPr>
      <w:r>
        <w:rPr>
          <w:rFonts w:hint="eastAsia" w:hAnsi="宋体"/>
          <w:b/>
          <w:sz w:val="32"/>
        </w:rPr>
        <w:t>六、</w:t>
      </w:r>
      <w:r>
        <w:rPr>
          <w:rFonts w:hint="eastAsia" w:hAnsi="宋体"/>
          <w:b/>
          <w:sz w:val="32"/>
          <w:szCs w:val="32"/>
        </w:rPr>
        <w:t>投标单位基本信息表</w:t>
      </w:r>
    </w:p>
    <w:p>
      <w:pPr>
        <w:autoSpaceDE w:val="0"/>
        <w:autoSpaceDN w:val="0"/>
        <w:adjustRightInd w:val="0"/>
        <w:spacing w:line="360" w:lineRule="auto"/>
        <w:ind w:right="215" w:firstLine="420"/>
        <w:jc w:val="center"/>
        <w:rPr>
          <w:rFonts w:hAnsi="宋体"/>
          <w:b/>
          <w:sz w:val="28"/>
        </w:rPr>
      </w:pPr>
    </w:p>
    <w:tbl>
      <w:tblPr>
        <w:tblStyle w:val="29"/>
        <w:tblW w:w="94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2"/>
        <w:gridCol w:w="1249"/>
        <w:gridCol w:w="1249"/>
        <w:gridCol w:w="1249"/>
        <w:gridCol w:w="502"/>
        <w:gridCol w:w="553"/>
        <w:gridCol w:w="555"/>
        <w:gridCol w:w="1100"/>
        <w:gridCol w:w="12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投标人名称</w:t>
            </w:r>
          </w:p>
        </w:tc>
        <w:tc>
          <w:tcPr>
            <w:tcW w:w="7707" w:type="dxa"/>
            <w:gridSpan w:val="8"/>
            <w:vAlign w:val="center"/>
          </w:tcPr>
          <w:p>
            <w:pPr>
              <w:autoSpaceDE w:val="0"/>
              <w:autoSpaceDN w:val="0"/>
              <w:adjustRightInd w:val="0"/>
              <w:spacing w:line="360" w:lineRule="auto"/>
              <w:ind w:left="41" w:right="215" w:hanging="40" w:hangingChars="17"/>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注册地址</w:t>
            </w:r>
          </w:p>
        </w:tc>
        <w:tc>
          <w:tcPr>
            <w:tcW w:w="4802" w:type="dxa"/>
            <w:gridSpan w:val="5"/>
            <w:vAlign w:val="center"/>
          </w:tcPr>
          <w:p>
            <w:pPr>
              <w:autoSpaceDE w:val="0"/>
              <w:autoSpaceDN w:val="0"/>
              <w:adjustRightInd w:val="0"/>
              <w:spacing w:line="360" w:lineRule="auto"/>
              <w:ind w:right="215"/>
              <w:jc w:val="center"/>
              <w:rPr>
                <w:rFonts w:hAnsi="宋体"/>
                <w:sz w:val="24"/>
              </w:rPr>
            </w:pPr>
          </w:p>
        </w:tc>
        <w:tc>
          <w:tcPr>
            <w:tcW w:w="1655" w:type="dxa"/>
            <w:gridSpan w:val="2"/>
            <w:vAlign w:val="center"/>
          </w:tcPr>
          <w:p>
            <w:pPr>
              <w:autoSpaceDE w:val="0"/>
              <w:autoSpaceDN w:val="0"/>
              <w:adjustRightInd w:val="0"/>
              <w:spacing w:line="360" w:lineRule="auto"/>
              <w:ind w:right="215"/>
              <w:jc w:val="center"/>
              <w:rPr>
                <w:rFonts w:hAnsi="宋体"/>
                <w:sz w:val="24"/>
              </w:rPr>
            </w:pPr>
            <w:r>
              <w:rPr>
                <w:rFonts w:hint="eastAsia" w:hAnsi="宋体"/>
                <w:sz w:val="24"/>
              </w:rPr>
              <w:t>邮政编码</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Merge w:val="restart"/>
            <w:vAlign w:val="center"/>
          </w:tcPr>
          <w:p>
            <w:pPr>
              <w:autoSpaceDE w:val="0"/>
              <w:autoSpaceDN w:val="0"/>
              <w:adjustRightInd w:val="0"/>
              <w:spacing w:line="360" w:lineRule="auto"/>
              <w:ind w:right="215"/>
              <w:jc w:val="center"/>
              <w:rPr>
                <w:rFonts w:hAnsi="宋体"/>
                <w:sz w:val="24"/>
              </w:rPr>
            </w:pPr>
            <w:r>
              <w:rPr>
                <w:rFonts w:hint="eastAsia" w:hAnsi="宋体"/>
                <w:sz w:val="24"/>
              </w:rPr>
              <w:t>联系方式</w:t>
            </w:r>
          </w:p>
        </w:tc>
        <w:tc>
          <w:tcPr>
            <w:tcW w:w="1249" w:type="dxa"/>
            <w:vAlign w:val="center"/>
          </w:tcPr>
          <w:p>
            <w:pPr>
              <w:autoSpaceDE w:val="0"/>
              <w:autoSpaceDN w:val="0"/>
              <w:adjustRightInd w:val="0"/>
              <w:spacing w:line="360" w:lineRule="auto"/>
              <w:ind w:right="215"/>
              <w:jc w:val="center"/>
              <w:rPr>
                <w:rFonts w:hAnsi="宋体"/>
                <w:sz w:val="24"/>
              </w:rPr>
            </w:pPr>
            <w:r>
              <w:rPr>
                <w:rFonts w:hint="eastAsia" w:hAnsi="宋体"/>
                <w:sz w:val="24"/>
              </w:rPr>
              <w:t>联系人</w:t>
            </w:r>
          </w:p>
        </w:tc>
        <w:tc>
          <w:tcPr>
            <w:tcW w:w="3553" w:type="dxa"/>
            <w:gridSpan w:val="4"/>
            <w:vAlign w:val="center"/>
          </w:tcPr>
          <w:p>
            <w:pPr>
              <w:autoSpaceDE w:val="0"/>
              <w:autoSpaceDN w:val="0"/>
              <w:adjustRightInd w:val="0"/>
              <w:spacing w:line="360" w:lineRule="auto"/>
              <w:ind w:right="215"/>
              <w:jc w:val="center"/>
              <w:rPr>
                <w:rFonts w:hAnsi="宋体"/>
                <w:sz w:val="24"/>
              </w:rPr>
            </w:pPr>
          </w:p>
        </w:tc>
        <w:tc>
          <w:tcPr>
            <w:tcW w:w="1655" w:type="dxa"/>
            <w:gridSpan w:val="2"/>
            <w:vAlign w:val="center"/>
          </w:tcPr>
          <w:p>
            <w:pPr>
              <w:autoSpaceDE w:val="0"/>
              <w:autoSpaceDN w:val="0"/>
              <w:adjustRightInd w:val="0"/>
              <w:spacing w:line="360" w:lineRule="auto"/>
              <w:ind w:right="215"/>
              <w:jc w:val="center"/>
              <w:rPr>
                <w:rFonts w:hAnsi="宋体"/>
                <w:sz w:val="24"/>
              </w:rPr>
            </w:pPr>
            <w:r>
              <w:rPr>
                <w:rFonts w:hint="eastAsia" w:hAnsi="宋体"/>
                <w:sz w:val="24"/>
              </w:rPr>
              <w:t>电话</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 w:hRule="atLeast"/>
        </w:trPr>
        <w:tc>
          <w:tcPr>
            <w:tcW w:w="1772" w:type="dxa"/>
            <w:vMerge w:val="continue"/>
            <w:vAlign w:val="center"/>
          </w:tcPr>
          <w:p>
            <w:pPr>
              <w:autoSpaceDE w:val="0"/>
              <w:autoSpaceDN w:val="0"/>
              <w:adjustRightInd w:val="0"/>
              <w:spacing w:line="360" w:lineRule="auto"/>
              <w:ind w:right="215"/>
              <w:jc w:val="center"/>
              <w:rPr>
                <w:rFonts w:hAnsi="宋体"/>
                <w:sz w:val="24"/>
              </w:rPr>
            </w:pPr>
          </w:p>
        </w:tc>
        <w:tc>
          <w:tcPr>
            <w:tcW w:w="1249" w:type="dxa"/>
            <w:vAlign w:val="center"/>
          </w:tcPr>
          <w:p>
            <w:pPr>
              <w:autoSpaceDE w:val="0"/>
              <w:autoSpaceDN w:val="0"/>
              <w:adjustRightInd w:val="0"/>
              <w:spacing w:line="360" w:lineRule="auto"/>
              <w:ind w:right="215"/>
              <w:jc w:val="center"/>
              <w:rPr>
                <w:rFonts w:hAnsi="宋体"/>
                <w:sz w:val="24"/>
              </w:rPr>
            </w:pPr>
            <w:r>
              <w:rPr>
                <w:rFonts w:hint="eastAsia" w:hAnsi="宋体"/>
                <w:sz w:val="24"/>
              </w:rPr>
              <w:t>传真</w:t>
            </w:r>
          </w:p>
        </w:tc>
        <w:tc>
          <w:tcPr>
            <w:tcW w:w="3553" w:type="dxa"/>
            <w:gridSpan w:val="4"/>
            <w:vAlign w:val="center"/>
          </w:tcPr>
          <w:p>
            <w:pPr>
              <w:autoSpaceDE w:val="0"/>
              <w:autoSpaceDN w:val="0"/>
              <w:adjustRightInd w:val="0"/>
              <w:spacing w:line="360" w:lineRule="auto"/>
              <w:ind w:right="215"/>
              <w:jc w:val="center"/>
              <w:rPr>
                <w:rFonts w:hAnsi="宋体"/>
                <w:sz w:val="24"/>
              </w:rPr>
            </w:pPr>
          </w:p>
        </w:tc>
        <w:tc>
          <w:tcPr>
            <w:tcW w:w="1655" w:type="dxa"/>
            <w:gridSpan w:val="2"/>
            <w:vAlign w:val="center"/>
          </w:tcPr>
          <w:p>
            <w:pPr>
              <w:autoSpaceDE w:val="0"/>
              <w:autoSpaceDN w:val="0"/>
              <w:adjustRightInd w:val="0"/>
              <w:spacing w:line="360" w:lineRule="auto"/>
              <w:ind w:right="215"/>
              <w:jc w:val="center"/>
              <w:rPr>
                <w:rFonts w:hAnsi="宋体"/>
                <w:sz w:val="24"/>
              </w:rPr>
            </w:pPr>
            <w:r>
              <w:rPr>
                <w:rFonts w:hint="eastAsia" w:hAnsi="宋体"/>
                <w:sz w:val="24"/>
              </w:rPr>
              <w:t>网址</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组织结构</w:t>
            </w:r>
          </w:p>
        </w:tc>
        <w:tc>
          <w:tcPr>
            <w:tcW w:w="7707" w:type="dxa"/>
            <w:gridSpan w:val="8"/>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法定代表人</w:t>
            </w:r>
          </w:p>
        </w:tc>
        <w:tc>
          <w:tcPr>
            <w:tcW w:w="1249" w:type="dxa"/>
            <w:vAlign w:val="center"/>
          </w:tcPr>
          <w:p>
            <w:pPr>
              <w:autoSpaceDE w:val="0"/>
              <w:autoSpaceDN w:val="0"/>
              <w:adjustRightInd w:val="0"/>
              <w:spacing w:line="360" w:lineRule="auto"/>
              <w:ind w:right="215"/>
              <w:jc w:val="center"/>
              <w:rPr>
                <w:rFonts w:hAnsi="宋体"/>
                <w:sz w:val="24"/>
              </w:rPr>
            </w:pPr>
            <w:r>
              <w:rPr>
                <w:rFonts w:hint="eastAsia" w:hAnsi="宋体"/>
                <w:sz w:val="24"/>
              </w:rPr>
              <w:t>姓名</w:t>
            </w:r>
          </w:p>
        </w:tc>
        <w:tc>
          <w:tcPr>
            <w:tcW w:w="1249" w:type="dxa"/>
            <w:vAlign w:val="center"/>
          </w:tcPr>
          <w:p>
            <w:pPr>
              <w:autoSpaceDE w:val="0"/>
              <w:autoSpaceDN w:val="0"/>
              <w:adjustRightInd w:val="0"/>
              <w:spacing w:line="360" w:lineRule="auto"/>
              <w:ind w:right="215"/>
              <w:jc w:val="center"/>
              <w:rPr>
                <w:rFonts w:hAnsi="宋体"/>
                <w:sz w:val="24"/>
              </w:rPr>
            </w:pPr>
          </w:p>
        </w:tc>
        <w:tc>
          <w:tcPr>
            <w:tcW w:w="1751" w:type="dxa"/>
            <w:gridSpan w:val="2"/>
            <w:vAlign w:val="center"/>
          </w:tcPr>
          <w:p>
            <w:pPr>
              <w:autoSpaceDE w:val="0"/>
              <w:autoSpaceDN w:val="0"/>
              <w:adjustRightInd w:val="0"/>
              <w:spacing w:line="360" w:lineRule="auto"/>
              <w:ind w:right="215"/>
              <w:jc w:val="center"/>
              <w:rPr>
                <w:rFonts w:hAnsi="宋体"/>
                <w:sz w:val="24"/>
              </w:rPr>
            </w:pPr>
            <w:r>
              <w:rPr>
                <w:rFonts w:hint="eastAsia" w:hAnsi="宋体"/>
                <w:sz w:val="24"/>
              </w:rPr>
              <w:t>技术职称</w:t>
            </w:r>
          </w:p>
        </w:tc>
        <w:tc>
          <w:tcPr>
            <w:tcW w:w="1108" w:type="dxa"/>
            <w:gridSpan w:val="2"/>
            <w:vAlign w:val="center"/>
          </w:tcPr>
          <w:p>
            <w:pPr>
              <w:autoSpaceDE w:val="0"/>
              <w:autoSpaceDN w:val="0"/>
              <w:adjustRightInd w:val="0"/>
              <w:spacing w:line="360" w:lineRule="auto"/>
              <w:ind w:right="215"/>
              <w:jc w:val="center"/>
              <w:rPr>
                <w:rFonts w:hAnsi="宋体"/>
                <w:sz w:val="24"/>
              </w:rPr>
            </w:pPr>
          </w:p>
        </w:tc>
        <w:tc>
          <w:tcPr>
            <w:tcW w:w="1100" w:type="dxa"/>
            <w:vAlign w:val="center"/>
          </w:tcPr>
          <w:p>
            <w:pPr>
              <w:autoSpaceDE w:val="0"/>
              <w:autoSpaceDN w:val="0"/>
              <w:adjustRightInd w:val="0"/>
              <w:spacing w:line="360" w:lineRule="auto"/>
              <w:ind w:right="215"/>
              <w:jc w:val="center"/>
              <w:rPr>
                <w:rFonts w:hAnsi="宋体"/>
                <w:sz w:val="24"/>
              </w:rPr>
            </w:pPr>
            <w:r>
              <w:rPr>
                <w:rFonts w:hint="eastAsia" w:hAnsi="宋体"/>
                <w:sz w:val="24"/>
              </w:rPr>
              <w:t>电话</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技术负责人</w:t>
            </w:r>
          </w:p>
        </w:tc>
        <w:tc>
          <w:tcPr>
            <w:tcW w:w="1249" w:type="dxa"/>
            <w:vAlign w:val="center"/>
          </w:tcPr>
          <w:p>
            <w:pPr>
              <w:autoSpaceDE w:val="0"/>
              <w:autoSpaceDN w:val="0"/>
              <w:adjustRightInd w:val="0"/>
              <w:spacing w:line="360" w:lineRule="auto"/>
              <w:ind w:right="215"/>
              <w:jc w:val="center"/>
              <w:rPr>
                <w:rFonts w:hAnsi="宋体"/>
                <w:sz w:val="24"/>
              </w:rPr>
            </w:pPr>
            <w:r>
              <w:rPr>
                <w:rFonts w:hint="eastAsia" w:hAnsi="宋体"/>
                <w:sz w:val="24"/>
              </w:rPr>
              <w:t>姓名</w:t>
            </w:r>
          </w:p>
        </w:tc>
        <w:tc>
          <w:tcPr>
            <w:tcW w:w="1249" w:type="dxa"/>
            <w:vAlign w:val="center"/>
          </w:tcPr>
          <w:p>
            <w:pPr>
              <w:autoSpaceDE w:val="0"/>
              <w:autoSpaceDN w:val="0"/>
              <w:adjustRightInd w:val="0"/>
              <w:spacing w:line="360" w:lineRule="auto"/>
              <w:ind w:right="215"/>
              <w:jc w:val="center"/>
              <w:rPr>
                <w:rFonts w:hAnsi="宋体"/>
                <w:sz w:val="24"/>
              </w:rPr>
            </w:pPr>
          </w:p>
        </w:tc>
        <w:tc>
          <w:tcPr>
            <w:tcW w:w="1751" w:type="dxa"/>
            <w:gridSpan w:val="2"/>
            <w:vAlign w:val="center"/>
          </w:tcPr>
          <w:p>
            <w:pPr>
              <w:autoSpaceDE w:val="0"/>
              <w:autoSpaceDN w:val="0"/>
              <w:adjustRightInd w:val="0"/>
              <w:spacing w:line="360" w:lineRule="auto"/>
              <w:ind w:right="215"/>
              <w:jc w:val="center"/>
              <w:rPr>
                <w:rFonts w:hAnsi="宋体"/>
                <w:sz w:val="24"/>
              </w:rPr>
            </w:pPr>
            <w:r>
              <w:rPr>
                <w:rFonts w:hint="eastAsia" w:hAnsi="宋体"/>
                <w:sz w:val="24"/>
              </w:rPr>
              <w:t>技术职称</w:t>
            </w:r>
          </w:p>
        </w:tc>
        <w:tc>
          <w:tcPr>
            <w:tcW w:w="1108" w:type="dxa"/>
            <w:gridSpan w:val="2"/>
            <w:vAlign w:val="center"/>
          </w:tcPr>
          <w:p>
            <w:pPr>
              <w:autoSpaceDE w:val="0"/>
              <w:autoSpaceDN w:val="0"/>
              <w:adjustRightInd w:val="0"/>
              <w:spacing w:line="360" w:lineRule="auto"/>
              <w:ind w:right="215"/>
              <w:jc w:val="center"/>
              <w:rPr>
                <w:rFonts w:hAnsi="宋体"/>
                <w:sz w:val="24"/>
              </w:rPr>
            </w:pPr>
          </w:p>
        </w:tc>
        <w:tc>
          <w:tcPr>
            <w:tcW w:w="1100" w:type="dxa"/>
            <w:vAlign w:val="center"/>
          </w:tcPr>
          <w:p>
            <w:pPr>
              <w:autoSpaceDE w:val="0"/>
              <w:autoSpaceDN w:val="0"/>
              <w:adjustRightInd w:val="0"/>
              <w:spacing w:line="360" w:lineRule="auto"/>
              <w:ind w:right="215"/>
              <w:jc w:val="center"/>
              <w:rPr>
                <w:rFonts w:hAnsi="宋体"/>
                <w:sz w:val="24"/>
              </w:rPr>
            </w:pPr>
            <w:r>
              <w:rPr>
                <w:rFonts w:hint="eastAsia" w:hAnsi="宋体"/>
                <w:sz w:val="24"/>
              </w:rPr>
              <w:t>电话</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成立时间</w:t>
            </w:r>
          </w:p>
        </w:tc>
        <w:tc>
          <w:tcPr>
            <w:tcW w:w="2498" w:type="dxa"/>
            <w:gridSpan w:val="2"/>
            <w:vAlign w:val="center"/>
          </w:tcPr>
          <w:p>
            <w:pPr>
              <w:autoSpaceDE w:val="0"/>
              <w:autoSpaceDN w:val="0"/>
              <w:adjustRightInd w:val="0"/>
              <w:spacing w:line="360" w:lineRule="auto"/>
              <w:ind w:right="215"/>
              <w:jc w:val="center"/>
              <w:rPr>
                <w:rFonts w:hAnsi="宋体"/>
                <w:sz w:val="24"/>
              </w:rPr>
            </w:pPr>
          </w:p>
        </w:tc>
        <w:tc>
          <w:tcPr>
            <w:tcW w:w="5209" w:type="dxa"/>
            <w:gridSpan w:val="6"/>
            <w:vAlign w:val="center"/>
          </w:tcPr>
          <w:p>
            <w:pPr>
              <w:autoSpaceDE w:val="0"/>
              <w:autoSpaceDN w:val="0"/>
              <w:adjustRightInd w:val="0"/>
              <w:spacing w:line="360" w:lineRule="auto"/>
              <w:ind w:right="215"/>
              <w:jc w:val="center"/>
              <w:rPr>
                <w:rFonts w:hAnsi="宋体"/>
                <w:sz w:val="24"/>
              </w:rPr>
            </w:pPr>
            <w:r>
              <w:rPr>
                <w:rFonts w:hint="eastAsia" w:hAnsi="宋体"/>
                <w:sz w:val="24"/>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pacing w:val="-20"/>
                <w:sz w:val="24"/>
              </w:rPr>
            </w:pPr>
            <w:r>
              <w:rPr>
                <w:rFonts w:hint="eastAsia" w:hAnsi="宋体"/>
                <w:spacing w:val="-20"/>
                <w:sz w:val="24"/>
              </w:rPr>
              <w:t>企业资质等级</w:t>
            </w:r>
          </w:p>
        </w:tc>
        <w:tc>
          <w:tcPr>
            <w:tcW w:w="2498" w:type="dxa"/>
            <w:gridSpan w:val="2"/>
            <w:vAlign w:val="center"/>
          </w:tcPr>
          <w:p>
            <w:pPr>
              <w:autoSpaceDE w:val="0"/>
              <w:autoSpaceDN w:val="0"/>
              <w:adjustRightInd w:val="0"/>
              <w:spacing w:line="360" w:lineRule="auto"/>
              <w:ind w:right="215"/>
              <w:jc w:val="center"/>
              <w:rPr>
                <w:rFonts w:hAnsi="宋体"/>
                <w:sz w:val="24"/>
              </w:rPr>
            </w:pPr>
          </w:p>
        </w:tc>
        <w:tc>
          <w:tcPr>
            <w:tcW w:w="1249" w:type="dxa"/>
            <w:vMerge w:val="restart"/>
            <w:vAlign w:val="center"/>
          </w:tcPr>
          <w:p>
            <w:pPr>
              <w:autoSpaceDE w:val="0"/>
              <w:autoSpaceDN w:val="0"/>
              <w:adjustRightInd w:val="0"/>
              <w:spacing w:line="360" w:lineRule="auto"/>
              <w:ind w:right="215"/>
              <w:jc w:val="center"/>
              <w:rPr>
                <w:rFonts w:hAnsi="宋体"/>
                <w:sz w:val="24"/>
              </w:rPr>
            </w:pPr>
            <w:r>
              <w:rPr>
                <w:rFonts w:hint="eastAsia" w:hAnsi="宋体"/>
                <w:sz w:val="24"/>
              </w:rPr>
              <w:t>其中</w:t>
            </w:r>
          </w:p>
        </w:tc>
        <w:tc>
          <w:tcPr>
            <w:tcW w:w="2710" w:type="dxa"/>
            <w:gridSpan w:val="4"/>
            <w:vAlign w:val="center"/>
          </w:tcPr>
          <w:p>
            <w:pPr>
              <w:autoSpaceDE w:val="0"/>
              <w:autoSpaceDN w:val="0"/>
              <w:adjustRightInd w:val="0"/>
              <w:spacing w:line="360" w:lineRule="auto"/>
              <w:ind w:right="215"/>
              <w:jc w:val="center"/>
              <w:rPr>
                <w:rFonts w:hAnsi="宋体"/>
                <w:sz w:val="24"/>
              </w:rPr>
            </w:pPr>
            <w:r>
              <w:rPr>
                <w:rFonts w:hint="eastAsia"/>
                <w:sz w:val="24"/>
              </w:rPr>
              <w:t>项目经理</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营业执照号</w:t>
            </w:r>
          </w:p>
        </w:tc>
        <w:tc>
          <w:tcPr>
            <w:tcW w:w="2498" w:type="dxa"/>
            <w:gridSpan w:val="2"/>
            <w:vAlign w:val="center"/>
          </w:tcPr>
          <w:p>
            <w:pPr>
              <w:autoSpaceDE w:val="0"/>
              <w:autoSpaceDN w:val="0"/>
              <w:adjustRightInd w:val="0"/>
              <w:spacing w:line="360" w:lineRule="auto"/>
              <w:ind w:right="215"/>
              <w:jc w:val="center"/>
              <w:rPr>
                <w:rFonts w:hAnsi="宋体"/>
                <w:sz w:val="24"/>
              </w:rPr>
            </w:pPr>
          </w:p>
        </w:tc>
        <w:tc>
          <w:tcPr>
            <w:tcW w:w="1249" w:type="dxa"/>
            <w:vMerge w:val="continue"/>
            <w:vAlign w:val="center"/>
          </w:tcPr>
          <w:p>
            <w:pPr>
              <w:autoSpaceDE w:val="0"/>
              <w:autoSpaceDN w:val="0"/>
              <w:adjustRightInd w:val="0"/>
              <w:spacing w:line="360" w:lineRule="auto"/>
              <w:ind w:right="215"/>
              <w:jc w:val="center"/>
              <w:rPr>
                <w:rFonts w:hAnsi="宋体"/>
                <w:sz w:val="24"/>
              </w:rPr>
            </w:pPr>
          </w:p>
        </w:tc>
        <w:tc>
          <w:tcPr>
            <w:tcW w:w="2710" w:type="dxa"/>
            <w:gridSpan w:val="4"/>
            <w:vAlign w:val="center"/>
          </w:tcPr>
          <w:p>
            <w:pPr>
              <w:autoSpaceDE w:val="0"/>
              <w:autoSpaceDN w:val="0"/>
              <w:adjustRightInd w:val="0"/>
              <w:spacing w:line="360" w:lineRule="auto"/>
              <w:ind w:right="215"/>
              <w:jc w:val="center"/>
              <w:rPr>
                <w:rFonts w:hAnsi="宋体"/>
                <w:sz w:val="24"/>
              </w:rPr>
            </w:pPr>
            <w:r>
              <w:rPr>
                <w:rFonts w:hint="eastAsia" w:hAnsi="宋体"/>
                <w:sz w:val="24"/>
              </w:rPr>
              <w:t>高级职称人员</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注册资金</w:t>
            </w:r>
          </w:p>
        </w:tc>
        <w:tc>
          <w:tcPr>
            <w:tcW w:w="2498" w:type="dxa"/>
            <w:gridSpan w:val="2"/>
            <w:vAlign w:val="center"/>
          </w:tcPr>
          <w:p>
            <w:pPr>
              <w:autoSpaceDE w:val="0"/>
              <w:autoSpaceDN w:val="0"/>
              <w:adjustRightInd w:val="0"/>
              <w:spacing w:line="360" w:lineRule="auto"/>
              <w:ind w:right="215"/>
              <w:jc w:val="center"/>
              <w:rPr>
                <w:rFonts w:hAnsi="宋体"/>
                <w:sz w:val="24"/>
              </w:rPr>
            </w:pPr>
          </w:p>
        </w:tc>
        <w:tc>
          <w:tcPr>
            <w:tcW w:w="1249" w:type="dxa"/>
            <w:vMerge w:val="continue"/>
            <w:vAlign w:val="center"/>
          </w:tcPr>
          <w:p>
            <w:pPr>
              <w:autoSpaceDE w:val="0"/>
              <w:autoSpaceDN w:val="0"/>
              <w:adjustRightInd w:val="0"/>
              <w:spacing w:line="360" w:lineRule="auto"/>
              <w:ind w:right="215"/>
              <w:jc w:val="center"/>
              <w:rPr>
                <w:rFonts w:hAnsi="宋体"/>
                <w:sz w:val="24"/>
              </w:rPr>
            </w:pPr>
          </w:p>
        </w:tc>
        <w:tc>
          <w:tcPr>
            <w:tcW w:w="2710" w:type="dxa"/>
            <w:gridSpan w:val="4"/>
            <w:vAlign w:val="center"/>
          </w:tcPr>
          <w:p>
            <w:pPr>
              <w:autoSpaceDE w:val="0"/>
              <w:autoSpaceDN w:val="0"/>
              <w:adjustRightInd w:val="0"/>
              <w:spacing w:line="360" w:lineRule="auto"/>
              <w:ind w:right="215"/>
              <w:jc w:val="center"/>
              <w:rPr>
                <w:rFonts w:hAnsi="宋体"/>
                <w:sz w:val="24"/>
              </w:rPr>
            </w:pPr>
            <w:r>
              <w:rPr>
                <w:rFonts w:hint="eastAsia" w:hAnsi="宋体"/>
                <w:sz w:val="24"/>
              </w:rPr>
              <w:t>中级职称人员</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开户银行</w:t>
            </w:r>
          </w:p>
        </w:tc>
        <w:tc>
          <w:tcPr>
            <w:tcW w:w="2498" w:type="dxa"/>
            <w:gridSpan w:val="2"/>
            <w:vAlign w:val="center"/>
          </w:tcPr>
          <w:p>
            <w:pPr>
              <w:autoSpaceDE w:val="0"/>
              <w:autoSpaceDN w:val="0"/>
              <w:adjustRightInd w:val="0"/>
              <w:spacing w:line="360" w:lineRule="auto"/>
              <w:ind w:right="215"/>
              <w:jc w:val="center"/>
              <w:rPr>
                <w:rFonts w:hAnsi="宋体"/>
                <w:sz w:val="24"/>
              </w:rPr>
            </w:pPr>
          </w:p>
        </w:tc>
        <w:tc>
          <w:tcPr>
            <w:tcW w:w="1249" w:type="dxa"/>
            <w:vMerge w:val="continue"/>
            <w:vAlign w:val="center"/>
          </w:tcPr>
          <w:p>
            <w:pPr>
              <w:autoSpaceDE w:val="0"/>
              <w:autoSpaceDN w:val="0"/>
              <w:adjustRightInd w:val="0"/>
              <w:spacing w:line="360" w:lineRule="auto"/>
              <w:ind w:right="215"/>
              <w:jc w:val="center"/>
              <w:rPr>
                <w:rFonts w:hAnsi="宋体"/>
                <w:sz w:val="24"/>
              </w:rPr>
            </w:pPr>
          </w:p>
        </w:tc>
        <w:tc>
          <w:tcPr>
            <w:tcW w:w="2710" w:type="dxa"/>
            <w:gridSpan w:val="4"/>
            <w:vAlign w:val="center"/>
          </w:tcPr>
          <w:p>
            <w:pPr>
              <w:autoSpaceDE w:val="0"/>
              <w:autoSpaceDN w:val="0"/>
              <w:adjustRightInd w:val="0"/>
              <w:spacing w:line="360" w:lineRule="auto"/>
              <w:ind w:right="215"/>
              <w:jc w:val="center"/>
              <w:rPr>
                <w:rFonts w:hAnsi="宋体"/>
                <w:sz w:val="24"/>
              </w:rPr>
            </w:pPr>
            <w:r>
              <w:rPr>
                <w:rFonts w:hint="eastAsia" w:hAnsi="宋体"/>
                <w:sz w:val="24"/>
              </w:rPr>
              <w:t>初级职称人员</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账号</w:t>
            </w:r>
          </w:p>
        </w:tc>
        <w:tc>
          <w:tcPr>
            <w:tcW w:w="2498" w:type="dxa"/>
            <w:gridSpan w:val="2"/>
            <w:vAlign w:val="center"/>
          </w:tcPr>
          <w:p>
            <w:pPr>
              <w:autoSpaceDE w:val="0"/>
              <w:autoSpaceDN w:val="0"/>
              <w:adjustRightInd w:val="0"/>
              <w:spacing w:line="360" w:lineRule="auto"/>
              <w:ind w:right="215"/>
              <w:jc w:val="center"/>
              <w:rPr>
                <w:rFonts w:hAnsi="宋体"/>
                <w:sz w:val="24"/>
              </w:rPr>
            </w:pPr>
          </w:p>
        </w:tc>
        <w:tc>
          <w:tcPr>
            <w:tcW w:w="1249" w:type="dxa"/>
            <w:vMerge w:val="continue"/>
            <w:vAlign w:val="center"/>
          </w:tcPr>
          <w:p>
            <w:pPr>
              <w:autoSpaceDE w:val="0"/>
              <w:autoSpaceDN w:val="0"/>
              <w:adjustRightInd w:val="0"/>
              <w:spacing w:line="360" w:lineRule="auto"/>
              <w:ind w:right="215"/>
              <w:jc w:val="center"/>
              <w:rPr>
                <w:rFonts w:hAnsi="宋体"/>
                <w:sz w:val="24"/>
              </w:rPr>
            </w:pPr>
          </w:p>
        </w:tc>
        <w:tc>
          <w:tcPr>
            <w:tcW w:w="2710" w:type="dxa"/>
            <w:gridSpan w:val="4"/>
            <w:vAlign w:val="center"/>
          </w:tcPr>
          <w:p>
            <w:pPr>
              <w:autoSpaceDE w:val="0"/>
              <w:autoSpaceDN w:val="0"/>
              <w:adjustRightInd w:val="0"/>
              <w:spacing w:line="360" w:lineRule="auto"/>
              <w:ind w:right="215"/>
              <w:jc w:val="center"/>
              <w:rPr>
                <w:rFonts w:hAnsi="宋体"/>
                <w:sz w:val="24"/>
              </w:rPr>
            </w:pPr>
            <w:r>
              <w:rPr>
                <w:rFonts w:hint="eastAsia" w:hAnsi="宋体"/>
                <w:sz w:val="24"/>
              </w:rPr>
              <w:t>技工</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3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经营范围</w:t>
            </w:r>
          </w:p>
        </w:tc>
        <w:tc>
          <w:tcPr>
            <w:tcW w:w="7707" w:type="dxa"/>
            <w:gridSpan w:val="8"/>
            <w:vAlign w:val="center"/>
          </w:tcPr>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8"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备注</w:t>
            </w:r>
          </w:p>
        </w:tc>
        <w:tc>
          <w:tcPr>
            <w:tcW w:w="7707" w:type="dxa"/>
            <w:gridSpan w:val="8"/>
            <w:vAlign w:val="center"/>
          </w:tcPr>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jc w:val="center"/>
              <w:rPr>
                <w:rFonts w:hAnsi="宋体"/>
                <w:sz w:val="24"/>
              </w:rPr>
            </w:pPr>
          </w:p>
        </w:tc>
      </w:tr>
    </w:tbl>
    <w:p>
      <w:pPr>
        <w:autoSpaceDE w:val="0"/>
        <w:autoSpaceDN w:val="0"/>
        <w:adjustRightInd w:val="0"/>
        <w:spacing w:line="360" w:lineRule="auto"/>
        <w:ind w:right="215" w:firstLine="420"/>
        <w:rPr>
          <w:rFonts w:hAnsi="宋体"/>
          <w:sz w:val="24"/>
        </w:rPr>
      </w:pPr>
    </w:p>
    <w:p>
      <w:pPr>
        <w:autoSpaceDE w:val="0"/>
        <w:autoSpaceDN w:val="0"/>
        <w:adjustRightInd w:val="0"/>
        <w:spacing w:line="360" w:lineRule="auto"/>
        <w:ind w:right="215" w:firstLine="420"/>
        <w:rPr>
          <w:rFonts w:hAnsi="宋体"/>
          <w:color w:val="0000FF"/>
          <w:sz w:val="24"/>
        </w:rPr>
      </w:pPr>
    </w:p>
    <w:p>
      <w:pPr>
        <w:autoSpaceDE w:val="0"/>
        <w:autoSpaceDN w:val="0"/>
        <w:adjustRightInd w:val="0"/>
        <w:spacing w:line="360" w:lineRule="auto"/>
        <w:ind w:right="215" w:firstLine="420"/>
        <w:rPr>
          <w:rFonts w:hAnsi="宋体"/>
          <w:color w:val="0000FF"/>
          <w:sz w:val="24"/>
        </w:rPr>
      </w:pPr>
    </w:p>
    <w:p>
      <w:pPr>
        <w:autoSpaceDE w:val="0"/>
        <w:autoSpaceDN w:val="0"/>
        <w:adjustRightInd w:val="0"/>
        <w:spacing w:line="360" w:lineRule="auto"/>
        <w:ind w:right="215" w:firstLine="420"/>
        <w:rPr>
          <w:rFonts w:hAnsi="宋体"/>
          <w:color w:val="0000FF"/>
          <w:sz w:val="24"/>
        </w:rPr>
      </w:pPr>
    </w:p>
    <w:p>
      <w:pPr>
        <w:autoSpaceDE w:val="0"/>
        <w:autoSpaceDN w:val="0"/>
        <w:adjustRightInd w:val="0"/>
        <w:spacing w:line="360" w:lineRule="auto"/>
        <w:ind w:right="215" w:firstLine="420"/>
        <w:jc w:val="center"/>
        <w:rPr>
          <w:rFonts w:hAnsi="宋体"/>
          <w:b/>
          <w:sz w:val="28"/>
        </w:rPr>
      </w:pPr>
      <w:r>
        <w:rPr>
          <w:rFonts w:hint="eastAsia" w:hAnsi="宋体"/>
          <w:b/>
          <w:sz w:val="32"/>
        </w:rPr>
        <w:t>七、</w:t>
      </w:r>
      <w:r>
        <w:rPr>
          <w:rFonts w:hint="eastAsia" w:hAnsi="宋体"/>
          <w:b/>
          <w:sz w:val="32"/>
          <w:szCs w:val="32"/>
        </w:rPr>
        <w:t>资格证明文件</w:t>
      </w:r>
    </w:p>
    <w:p>
      <w:pPr>
        <w:autoSpaceDE w:val="0"/>
        <w:autoSpaceDN w:val="0"/>
        <w:adjustRightInd w:val="0"/>
        <w:spacing w:line="360" w:lineRule="auto"/>
        <w:ind w:right="215" w:firstLine="420"/>
        <w:jc w:val="center"/>
        <w:rPr>
          <w:rFonts w:hAnsi="宋体"/>
          <w:b/>
          <w:sz w:val="32"/>
          <w:szCs w:val="32"/>
        </w:rPr>
      </w:pPr>
    </w:p>
    <w:p>
      <w:pPr>
        <w:pStyle w:val="2"/>
      </w:pPr>
    </w:p>
    <w:p>
      <w:pPr>
        <w:autoSpaceDE w:val="0"/>
        <w:autoSpaceDN w:val="0"/>
        <w:adjustRightInd w:val="0"/>
        <w:spacing w:line="360" w:lineRule="auto"/>
        <w:ind w:right="215" w:firstLine="420"/>
        <w:jc w:val="center"/>
        <w:rPr>
          <w:rFonts w:hAnsi="宋体"/>
          <w:b/>
          <w:sz w:val="32"/>
          <w:szCs w:val="32"/>
        </w:rPr>
      </w:pPr>
      <w:r>
        <w:rPr>
          <w:rFonts w:hint="eastAsia" w:hAnsi="宋体"/>
          <w:b/>
          <w:sz w:val="32"/>
          <w:szCs w:val="32"/>
        </w:rPr>
        <w:t>八、正在施工的和新承接的项目情况</w:t>
      </w:r>
    </w:p>
    <w:p>
      <w:pPr>
        <w:autoSpaceDE w:val="0"/>
        <w:autoSpaceDN w:val="0"/>
        <w:adjustRightInd w:val="0"/>
        <w:spacing w:line="360" w:lineRule="auto"/>
        <w:ind w:right="215" w:firstLine="420"/>
        <w:jc w:val="center"/>
        <w:rPr>
          <w:rFonts w:hAnsi="宋体"/>
          <w:b/>
          <w:sz w:val="32"/>
          <w:szCs w:val="32"/>
        </w:rPr>
      </w:pPr>
    </w:p>
    <w:tbl>
      <w:tblPr>
        <w:tblStyle w:val="29"/>
        <w:tblW w:w="894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73"/>
        <w:gridCol w:w="6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项目名称</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项目所在地</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发包人名称</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发包人地址</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发包人电话</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签约合同价</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开工日期</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计划竣工日期</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承担的工作</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工程质量</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sz w:val="24"/>
              </w:rPr>
              <w:t>项目经理</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技术负责人</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pacing w:val="-20"/>
                <w:sz w:val="24"/>
              </w:rPr>
            </w:pPr>
            <w:r>
              <w:rPr>
                <w:rFonts w:hint="eastAsia" w:hAnsi="宋体"/>
                <w:spacing w:val="-20"/>
                <w:sz w:val="24"/>
              </w:rPr>
              <w:t>总监理工程师及电话</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55"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项目描述</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4"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备注</w:t>
            </w:r>
          </w:p>
        </w:tc>
        <w:tc>
          <w:tcPr>
            <w:tcW w:w="6675" w:type="dxa"/>
            <w:vAlign w:val="center"/>
          </w:tcPr>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rPr>
                <w:rFonts w:hAnsi="宋体"/>
                <w:sz w:val="24"/>
              </w:rPr>
            </w:pPr>
          </w:p>
        </w:tc>
      </w:tr>
    </w:tbl>
    <w:p>
      <w:pPr>
        <w:autoSpaceDE w:val="0"/>
        <w:autoSpaceDN w:val="0"/>
        <w:adjustRightInd w:val="0"/>
        <w:spacing w:line="360" w:lineRule="auto"/>
        <w:ind w:right="215"/>
        <w:jc w:val="center"/>
        <w:rPr>
          <w:rFonts w:hAnsi="宋体" w:cs="仿宋_GB2312"/>
          <w:b/>
          <w:sz w:val="32"/>
          <w:szCs w:val="32"/>
        </w:rPr>
      </w:pPr>
      <w:r>
        <w:rPr>
          <w:rFonts w:hint="eastAsia" w:hAnsi="宋体" w:cs="仿宋_GB2312"/>
          <w:b/>
          <w:sz w:val="32"/>
          <w:szCs w:val="32"/>
        </w:rPr>
        <w:t>九、其它材料（包含但不仅限于以下内容）</w:t>
      </w:r>
    </w:p>
    <w:p>
      <w:pPr>
        <w:autoSpaceDE w:val="0"/>
        <w:autoSpaceDN w:val="0"/>
        <w:adjustRightInd w:val="0"/>
        <w:spacing w:line="360" w:lineRule="auto"/>
        <w:ind w:right="215" w:firstLine="420"/>
        <w:rPr>
          <w:rFonts w:hAnsi="宋体"/>
          <w:b/>
          <w:sz w:val="30"/>
          <w:szCs w:val="30"/>
        </w:rPr>
      </w:pPr>
      <w:r>
        <w:rPr>
          <w:rFonts w:hint="eastAsia" w:hAnsi="宋体"/>
          <w:b/>
          <w:sz w:val="30"/>
          <w:szCs w:val="30"/>
        </w:rPr>
        <w:t>1、近年完成的类似项目情况</w:t>
      </w:r>
    </w:p>
    <w:tbl>
      <w:tblPr>
        <w:tblStyle w:val="29"/>
        <w:tblpPr w:leftFromText="180" w:rightFromText="180" w:vertAnchor="text" w:horzAnchor="margin" w:tblpY="316"/>
        <w:tblW w:w="92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9"/>
        <w:gridCol w:w="6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项目名称</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项目所在地</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发包人名称</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发包人地址</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发包人电话</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合同价格</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0"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开工日期</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竣工日期</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承担的工作</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工程质量</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sz w:val="24"/>
              </w:rPr>
              <w:t>项目经理</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技术负责人</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pacing w:val="-20"/>
                <w:sz w:val="24"/>
              </w:rPr>
            </w:pPr>
            <w:r>
              <w:rPr>
                <w:rFonts w:hint="eastAsia" w:hAnsi="宋体"/>
                <w:spacing w:val="-20"/>
                <w:sz w:val="24"/>
              </w:rPr>
              <w:t>总监理工程师及电话</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0"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项目描述</w:t>
            </w:r>
          </w:p>
        </w:tc>
        <w:tc>
          <w:tcPr>
            <w:tcW w:w="6899" w:type="dxa"/>
            <w:vAlign w:val="center"/>
          </w:tcPr>
          <w:p>
            <w:pPr>
              <w:autoSpaceDE w:val="0"/>
              <w:autoSpaceDN w:val="0"/>
              <w:adjustRightInd w:val="0"/>
              <w:spacing w:line="360" w:lineRule="auto"/>
              <w:ind w:right="215"/>
              <w:rPr>
                <w:rFonts w:hAnsi="宋体"/>
                <w:sz w:val="24"/>
              </w:rPr>
            </w:pPr>
          </w:p>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0"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备注</w:t>
            </w:r>
          </w:p>
        </w:tc>
        <w:tc>
          <w:tcPr>
            <w:tcW w:w="6899" w:type="dxa"/>
            <w:vAlign w:val="center"/>
          </w:tcPr>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rPr>
                <w:rFonts w:hAnsi="宋体"/>
                <w:sz w:val="24"/>
              </w:rPr>
            </w:pPr>
          </w:p>
        </w:tc>
      </w:tr>
    </w:tbl>
    <w:p>
      <w:pPr>
        <w:autoSpaceDE w:val="0"/>
        <w:autoSpaceDN w:val="0"/>
        <w:adjustRightInd w:val="0"/>
        <w:spacing w:line="360" w:lineRule="auto"/>
        <w:ind w:right="215"/>
        <w:jc w:val="center"/>
        <w:rPr>
          <w:rFonts w:hAnsi="宋体" w:cs="仿宋_GB2312"/>
          <w:b/>
          <w:sz w:val="32"/>
          <w:szCs w:val="32"/>
        </w:rPr>
      </w:pPr>
    </w:p>
    <w:p>
      <w:pPr>
        <w:autoSpaceDE w:val="0"/>
        <w:autoSpaceDN w:val="0"/>
        <w:adjustRightInd w:val="0"/>
        <w:spacing w:line="360" w:lineRule="auto"/>
        <w:ind w:right="215"/>
        <w:rPr>
          <w:rFonts w:hAnsi="宋体" w:cs="仿宋_GB2312"/>
          <w:b/>
          <w:sz w:val="32"/>
          <w:szCs w:val="32"/>
        </w:rPr>
      </w:pPr>
    </w:p>
    <w:p>
      <w:pPr>
        <w:autoSpaceDE w:val="0"/>
        <w:autoSpaceDN w:val="0"/>
        <w:adjustRightInd w:val="0"/>
        <w:spacing w:line="360" w:lineRule="auto"/>
        <w:ind w:right="215" w:firstLine="420"/>
        <w:rPr>
          <w:rFonts w:hAnsi="宋体"/>
          <w:b/>
          <w:sz w:val="30"/>
          <w:szCs w:val="30"/>
        </w:rPr>
      </w:pPr>
      <w:r>
        <w:rPr>
          <w:rFonts w:hint="eastAsia" w:hAnsi="宋体"/>
          <w:b/>
          <w:sz w:val="30"/>
          <w:szCs w:val="30"/>
        </w:rPr>
        <w:t>2、近年财务状况</w:t>
      </w:r>
    </w:p>
    <w:p>
      <w:pPr>
        <w:autoSpaceDE w:val="0"/>
        <w:autoSpaceDN w:val="0"/>
        <w:adjustRightInd w:val="0"/>
        <w:spacing w:line="360" w:lineRule="auto"/>
        <w:ind w:right="215" w:firstLine="420"/>
        <w:rPr>
          <w:rFonts w:hAnsi="宋体"/>
          <w:b/>
          <w:bCs/>
          <w:sz w:val="24"/>
          <w:szCs w:val="24"/>
        </w:rPr>
      </w:pPr>
      <w:r>
        <w:rPr>
          <w:rFonts w:hint="eastAsia" w:hAnsi="宋体"/>
          <w:sz w:val="24"/>
          <w:szCs w:val="24"/>
        </w:rPr>
        <w:t>备注：在此附经会计师事务所或审计机构审计的财务会计报表，具体年份要求见第二章“投标人须知”的规定。</w:t>
      </w:r>
    </w:p>
    <w:p>
      <w:pPr>
        <w:autoSpaceDE w:val="0"/>
        <w:autoSpaceDN w:val="0"/>
        <w:adjustRightInd w:val="0"/>
        <w:spacing w:line="360" w:lineRule="auto"/>
        <w:ind w:right="215" w:firstLine="420"/>
        <w:rPr>
          <w:rFonts w:hAnsi="宋体"/>
          <w:b/>
          <w:sz w:val="30"/>
          <w:szCs w:val="30"/>
        </w:rPr>
      </w:pPr>
      <w:r>
        <w:rPr>
          <w:rFonts w:hint="eastAsia" w:hAnsi="宋体"/>
          <w:b/>
          <w:sz w:val="30"/>
          <w:szCs w:val="30"/>
        </w:rPr>
        <w:t>3、近年来发生的诉讼及仲裁情况</w:t>
      </w:r>
    </w:p>
    <w:p>
      <w:pPr>
        <w:autoSpaceDE w:val="0"/>
        <w:autoSpaceDN w:val="0"/>
        <w:adjustRightInd w:val="0"/>
        <w:spacing w:line="360" w:lineRule="auto"/>
        <w:ind w:right="215" w:firstLine="420"/>
        <w:rPr>
          <w:rFonts w:hAnsi="宋体"/>
          <w:sz w:val="24"/>
          <w:szCs w:val="24"/>
        </w:rPr>
      </w:pPr>
      <w:r>
        <w:rPr>
          <w:rFonts w:hint="eastAsia" w:hAnsi="宋体"/>
          <w:sz w:val="24"/>
          <w:szCs w:val="24"/>
        </w:rPr>
        <w:t>格式可自行编制。</w:t>
      </w:r>
    </w:p>
    <w:p>
      <w:pPr>
        <w:autoSpaceDE w:val="0"/>
        <w:autoSpaceDN w:val="0"/>
        <w:adjustRightInd w:val="0"/>
        <w:spacing w:line="360" w:lineRule="auto"/>
        <w:ind w:right="215" w:firstLine="640"/>
        <w:rPr>
          <w:rFonts w:hAnsi="宋体"/>
          <w:bCs/>
          <w:color w:val="0000FF"/>
          <w:sz w:val="32"/>
          <w:szCs w:val="32"/>
        </w:rPr>
      </w:pPr>
    </w:p>
    <w:p>
      <w:pPr>
        <w:autoSpaceDE w:val="0"/>
        <w:autoSpaceDN w:val="0"/>
        <w:adjustRightInd w:val="0"/>
        <w:spacing w:line="360" w:lineRule="auto"/>
        <w:ind w:right="215" w:firstLine="640"/>
        <w:rPr>
          <w:rFonts w:hAnsi="宋体"/>
          <w:bCs/>
          <w:color w:val="0000FF"/>
          <w:sz w:val="32"/>
          <w:szCs w:val="32"/>
        </w:rPr>
      </w:pPr>
    </w:p>
    <w:p>
      <w:pPr>
        <w:autoSpaceDE w:val="0"/>
        <w:autoSpaceDN w:val="0"/>
        <w:adjustRightInd w:val="0"/>
        <w:spacing w:line="360" w:lineRule="auto"/>
        <w:ind w:right="215" w:firstLine="640"/>
        <w:rPr>
          <w:rFonts w:hAnsi="宋体"/>
          <w:bCs/>
          <w:color w:val="0000FF"/>
          <w:sz w:val="32"/>
          <w:szCs w:val="32"/>
        </w:rPr>
      </w:pPr>
    </w:p>
    <w:p>
      <w:pPr>
        <w:tabs>
          <w:tab w:val="center" w:pos="4739"/>
        </w:tabs>
        <w:ind w:left="180"/>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ind w:left="180"/>
        <w:jc w:val="right"/>
        <w:rPr>
          <w:color w:val="0000FF"/>
          <w:sz w:val="32"/>
          <w:szCs w:val="32"/>
        </w:rPr>
      </w:pPr>
    </w:p>
    <w:p>
      <w:pPr>
        <w:tabs>
          <w:tab w:val="center" w:pos="4739"/>
        </w:tabs>
        <w:rPr>
          <w:color w:val="0000FF"/>
          <w:sz w:val="24"/>
        </w:rPr>
      </w:pPr>
    </w:p>
    <w:p>
      <w:pPr>
        <w:tabs>
          <w:tab w:val="center" w:pos="4739"/>
        </w:tabs>
        <w:ind w:left="180"/>
        <w:jc w:val="right"/>
        <w:rPr>
          <w:color w:val="0000FF"/>
          <w:sz w:val="24"/>
        </w:rPr>
      </w:pPr>
    </w:p>
    <w:p>
      <w:pPr>
        <w:autoSpaceDE w:val="0"/>
        <w:autoSpaceDN w:val="0"/>
        <w:adjustRightInd w:val="0"/>
        <w:jc w:val="right"/>
        <w:rPr>
          <w:rFonts w:hAnsi="宋体" w:cs="宋体"/>
          <w:sz w:val="24"/>
          <w:szCs w:val="21"/>
        </w:rPr>
      </w:pPr>
    </w:p>
    <w:p>
      <w:pPr>
        <w:autoSpaceDE w:val="0"/>
        <w:autoSpaceDN w:val="0"/>
        <w:adjustRightInd w:val="0"/>
        <w:jc w:val="right"/>
        <w:rPr>
          <w:rFonts w:hAnsi="宋体" w:cs="宋体"/>
          <w:sz w:val="23"/>
          <w:u w:val="single"/>
        </w:rPr>
      </w:pPr>
      <w:r>
        <w:rPr>
          <w:rFonts w:hint="eastAsia" w:hAnsi="宋体" w:cs="宋体"/>
          <w:sz w:val="24"/>
          <w:szCs w:val="21"/>
        </w:rPr>
        <w:t>正（副）本</w:t>
      </w:r>
    </w:p>
    <w:p>
      <w:pPr>
        <w:autoSpaceDE w:val="0"/>
        <w:autoSpaceDN w:val="0"/>
        <w:adjustRightInd w:val="0"/>
        <w:ind w:firstLine="3720" w:firstLineChars="1200"/>
        <w:jc w:val="left"/>
        <w:rPr>
          <w:rFonts w:hAnsi="宋体" w:cs="宋体"/>
          <w:sz w:val="28"/>
        </w:rPr>
      </w:pPr>
      <w:r>
        <w:rPr>
          <w:rFonts w:hint="eastAsia" w:hAnsi="宋体" w:cs="宋体"/>
          <w:sz w:val="31"/>
        </w:rPr>
        <w:t>（项目名称）施工</w:t>
      </w: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ind w:firstLine="2520" w:firstLineChars="900"/>
        <w:jc w:val="left"/>
        <w:rPr>
          <w:rFonts w:hAnsi="宋体" w:cs="宋体"/>
          <w:sz w:val="28"/>
        </w:rPr>
      </w:pPr>
    </w:p>
    <w:p>
      <w:pPr>
        <w:autoSpaceDE w:val="0"/>
        <w:autoSpaceDN w:val="0"/>
        <w:adjustRightInd w:val="0"/>
        <w:spacing w:line="420" w:lineRule="exact"/>
        <w:jc w:val="left"/>
        <w:rPr>
          <w:rFonts w:hAnsi="宋体" w:cs="宋体"/>
          <w:sz w:val="28"/>
        </w:rPr>
      </w:pPr>
    </w:p>
    <w:p>
      <w:pPr>
        <w:autoSpaceDE w:val="0"/>
        <w:autoSpaceDN w:val="0"/>
        <w:adjustRightInd w:val="0"/>
        <w:rPr>
          <w:rFonts w:hAnsi="宋体" w:cs="宋体"/>
          <w:b/>
          <w:spacing w:val="60"/>
          <w:sz w:val="70"/>
        </w:rPr>
      </w:pPr>
    </w:p>
    <w:p>
      <w:pPr>
        <w:autoSpaceDE w:val="0"/>
        <w:autoSpaceDN w:val="0"/>
        <w:adjustRightInd w:val="0"/>
        <w:jc w:val="center"/>
        <w:rPr>
          <w:rFonts w:hAnsi="宋体" w:cs="宋体"/>
          <w:b/>
          <w:spacing w:val="60"/>
          <w:sz w:val="70"/>
        </w:rPr>
      </w:pPr>
    </w:p>
    <w:p>
      <w:pPr>
        <w:autoSpaceDE w:val="0"/>
        <w:autoSpaceDN w:val="0"/>
        <w:adjustRightInd w:val="0"/>
        <w:jc w:val="center"/>
        <w:rPr>
          <w:rFonts w:hAnsi="宋体" w:cs="宋体"/>
          <w:sz w:val="44"/>
        </w:rPr>
      </w:pPr>
      <w:r>
        <w:rPr>
          <w:rFonts w:hint="eastAsia" w:hAnsi="宋体" w:cs="宋体"/>
          <w:b/>
          <w:spacing w:val="60"/>
          <w:sz w:val="70"/>
        </w:rPr>
        <w:t>投 标 文 件</w:t>
      </w:r>
    </w:p>
    <w:p>
      <w:pPr>
        <w:autoSpaceDE w:val="0"/>
        <w:autoSpaceDN w:val="0"/>
        <w:adjustRightInd w:val="0"/>
        <w:jc w:val="center"/>
        <w:rPr>
          <w:rFonts w:hAnsi="宋体" w:cs="宋体"/>
          <w:color w:val="000000" w:themeColor="text1"/>
          <w:sz w:val="52"/>
          <w:szCs w:val="22"/>
          <w14:textFill>
            <w14:solidFill>
              <w14:schemeClr w14:val="tx1"/>
            </w14:solidFill>
          </w14:textFill>
        </w:rPr>
      </w:pPr>
      <w:r>
        <w:rPr>
          <w:rFonts w:hint="eastAsia" w:hAnsi="宋体" w:cs="宋体"/>
          <w:bCs/>
          <w:color w:val="000000" w:themeColor="text1"/>
          <w:sz w:val="32"/>
          <w:szCs w:val="22"/>
          <w14:textFill>
            <w14:solidFill>
              <w14:schemeClr w14:val="tx1"/>
            </w14:solidFill>
          </w14:textFill>
        </w:rPr>
        <w:t>建安建工公字〔201</w:t>
      </w:r>
      <w:r>
        <w:rPr>
          <w:rFonts w:hint="eastAsia" w:hAnsi="宋体" w:cs="宋体"/>
          <w:bCs/>
          <w:color w:val="000000" w:themeColor="text1"/>
          <w:sz w:val="32"/>
          <w:szCs w:val="22"/>
          <w:lang w:val="en-US" w:eastAsia="zh-CN"/>
          <w14:textFill>
            <w14:solidFill>
              <w14:schemeClr w14:val="tx1"/>
            </w14:solidFill>
          </w14:textFill>
        </w:rPr>
        <w:t>9</w:t>
      </w:r>
      <w:r>
        <w:rPr>
          <w:rFonts w:hint="eastAsia" w:hAnsi="宋体" w:cs="宋体"/>
          <w:bCs/>
          <w:color w:val="000000" w:themeColor="text1"/>
          <w:sz w:val="32"/>
          <w:szCs w:val="22"/>
          <w14:textFill>
            <w14:solidFill>
              <w14:schemeClr w14:val="tx1"/>
            </w14:solidFill>
          </w14:textFill>
        </w:rPr>
        <w:t>〕</w:t>
      </w:r>
      <w:r>
        <w:rPr>
          <w:rFonts w:hint="eastAsia" w:hAnsi="宋体" w:cs="宋体"/>
          <w:bCs/>
          <w:color w:val="000000" w:themeColor="text1"/>
          <w:sz w:val="32"/>
          <w:szCs w:val="22"/>
          <w:lang w:val="en-US" w:eastAsia="zh-CN"/>
          <w14:textFill>
            <w14:solidFill>
              <w14:schemeClr w14:val="tx1"/>
            </w14:solidFill>
          </w14:textFill>
        </w:rPr>
        <w:t>67</w:t>
      </w:r>
      <w:r>
        <w:rPr>
          <w:rFonts w:hint="eastAsia" w:hAnsi="宋体" w:cs="宋体"/>
          <w:bCs/>
          <w:color w:val="000000" w:themeColor="text1"/>
          <w:sz w:val="32"/>
          <w:szCs w:val="22"/>
          <w14:textFill>
            <w14:solidFill>
              <w14:schemeClr w14:val="tx1"/>
            </w14:solidFill>
          </w14:textFill>
        </w:rPr>
        <w:t>号</w:t>
      </w:r>
    </w:p>
    <w:p>
      <w:pPr>
        <w:autoSpaceDE w:val="0"/>
        <w:autoSpaceDN w:val="0"/>
        <w:adjustRightInd w:val="0"/>
        <w:jc w:val="center"/>
        <w:rPr>
          <w:rFonts w:hAnsi="宋体" w:cs="宋体"/>
          <w:sz w:val="44"/>
        </w:rPr>
      </w:pPr>
      <w:r>
        <w:rPr>
          <w:rFonts w:hint="eastAsia" w:hAnsi="宋体" w:cs="宋体"/>
          <w:sz w:val="44"/>
        </w:rPr>
        <w:t>（技术标）</w:t>
      </w: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jc w:val="center"/>
        <w:rPr>
          <w:rFonts w:hAnsi="宋体" w:cs="宋体"/>
          <w:sz w:val="44"/>
        </w:rPr>
      </w:pPr>
    </w:p>
    <w:p>
      <w:pPr>
        <w:autoSpaceDE w:val="0"/>
        <w:autoSpaceDN w:val="0"/>
        <w:adjustRightInd w:val="0"/>
        <w:spacing w:line="420" w:lineRule="exact"/>
        <w:rPr>
          <w:rFonts w:hAnsi="宋体" w:cs="宋体"/>
          <w:sz w:val="44"/>
        </w:rPr>
      </w:pPr>
    </w:p>
    <w:p>
      <w:pPr>
        <w:pStyle w:val="2"/>
        <w:ind w:firstLine="440"/>
        <w:rPr>
          <w:rFonts w:hAnsi="宋体" w:cs="宋体"/>
          <w:sz w:val="44"/>
        </w:rPr>
      </w:pPr>
    </w:p>
    <w:p>
      <w:pPr>
        <w:pStyle w:val="2"/>
        <w:ind w:firstLine="440"/>
        <w:rPr>
          <w:rFonts w:hAnsi="宋体" w:cs="宋体"/>
          <w:sz w:val="44"/>
        </w:rPr>
      </w:pPr>
    </w:p>
    <w:p>
      <w:pPr>
        <w:autoSpaceDE w:val="0"/>
        <w:autoSpaceDN w:val="0"/>
        <w:adjustRightInd w:val="0"/>
        <w:spacing w:line="420" w:lineRule="exact"/>
        <w:jc w:val="center"/>
        <w:rPr>
          <w:rFonts w:hAnsi="宋体" w:cs="宋体"/>
          <w:sz w:val="44"/>
        </w:rPr>
      </w:pPr>
    </w:p>
    <w:p>
      <w:pPr>
        <w:pStyle w:val="67"/>
        <w:jc w:val="center"/>
        <w:rPr>
          <w:rFonts w:hAnsi="宋体"/>
          <w:color w:val="auto"/>
          <w:sz w:val="23"/>
          <w:u w:val="single"/>
        </w:rPr>
      </w:pPr>
    </w:p>
    <w:p>
      <w:pPr>
        <w:pStyle w:val="67"/>
        <w:spacing w:line="400" w:lineRule="exact"/>
        <w:jc w:val="center"/>
        <w:rPr>
          <w:rFonts w:hAnsi="宋体"/>
          <w:color w:val="auto"/>
          <w:sz w:val="23"/>
        </w:rPr>
      </w:pPr>
    </w:p>
    <w:p>
      <w:pPr>
        <w:pStyle w:val="67"/>
        <w:spacing w:line="400" w:lineRule="exact"/>
        <w:jc w:val="center"/>
        <w:rPr>
          <w:rFonts w:hAnsi="宋体"/>
          <w:color w:val="auto"/>
          <w:sz w:val="23"/>
        </w:rPr>
      </w:pPr>
    </w:p>
    <w:p>
      <w:pPr>
        <w:pStyle w:val="67"/>
        <w:spacing w:line="400" w:lineRule="exact"/>
        <w:jc w:val="center"/>
        <w:rPr>
          <w:rFonts w:hAnsi="宋体"/>
          <w:color w:val="auto"/>
          <w:sz w:val="23"/>
        </w:rPr>
      </w:pPr>
    </w:p>
    <w:p>
      <w:pPr>
        <w:pStyle w:val="67"/>
        <w:spacing w:line="400" w:lineRule="exact"/>
        <w:jc w:val="center"/>
        <w:rPr>
          <w:rFonts w:hAnsi="宋体"/>
          <w:color w:val="auto"/>
          <w:sz w:val="23"/>
        </w:rPr>
      </w:pPr>
    </w:p>
    <w:p>
      <w:pPr>
        <w:pStyle w:val="67"/>
        <w:spacing w:line="400" w:lineRule="exact"/>
        <w:jc w:val="center"/>
        <w:rPr>
          <w:rFonts w:hAnsi="宋体"/>
          <w:color w:val="auto"/>
          <w:sz w:val="23"/>
          <w:u w:val="single"/>
        </w:rPr>
      </w:pPr>
      <w:r>
        <w:rPr>
          <w:rFonts w:hint="eastAsia" w:hAnsi="宋体"/>
          <w:color w:val="auto"/>
          <w:sz w:val="23"/>
        </w:rPr>
        <w:t>投标人：（盖单位章）</w:t>
      </w:r>
    </w:p>
    <w:p>
      <w:pPr>
        <w:pStyle w:val="67"/>
        <w:spacing w:line="400" w:lineRule="exact"/>
        <w:rPr>
          <w:rFonts w:hAnsi="宋体"/>
          <w:color w:val="auto"/>
          <w:sz w:val="23"/>
          <w:u w:val="single"/>
        </w:rPr>
      </w:pPr>
      <w:r>
        <w:rPr>
          <w:rFonts w:hint="eastAsia" w:hAnsi="宋体"/>
          <w:color w:val="auto"/>
          <w:sz w:val="23"/>
        </w:rPr>
        <w:t xml:space="preserve">               </w:t>
      </w:r>
      <w:r>
        <w:rPr>
          <w:rFonts w:hint="eastAsia" w:hAnsi="宋体"/>
          <w:color w:val="auto"/>
          <w:sz w:val="23"/>
          <w:lang w:val="en-US" w:eastAsia="zh-CN"/>
        </w:rPr>
        <w:t xml:space="preserve">         </w:t>
      </w:r>
      <w:r>
        <w:rPr>
          <w:rFonts w:hint="eastAsia" w:hAnsi="宋体"/>
          <w:color w:val="auto"/>
          <w:sz w:val="23"/>
        </w:rPr>
        <w:t xml:space="preserve"> 法定代表人或其委托代理人：（签字）</w:t>
      </w:r>
    </w:p>
    <w:p>
      <w:pPr>
        <w:pStyle w:val="67"/>
        <w:spacing w:line="400" w:lineRule="exact"/>
        <w:jc w:val="center"/>
        <w:rPr>
          <w:rFonts w:hAnsi="宋体"/>
          <w:color w:val="auto"/>
          <w:sz w:val="23"/>
          <w:u w:val="single"/>
        </w:rPr>
      </w:pPr>
      <w:r>
        <w:rPr>
          <w:rFonts w:hint="eastAsia" w:hAnsi="宋体"/>
          <w:color w:val="auto"/>
          <w:sz w:val="23"/>
        </w:rPr>
        <w:t>年月日</w:t>
      </w:r>
    </w:p>
    <w:p>
      <w:pPr>
        <w:autoSpaceDE w:val="0"/>
        <w:autoSpaceDN w:val="0"/>
        <w:adjustRightInd w:val="0"/>
        <w:spacing w:line="420" w:lineRule="exact"/>
        <w:jc w:val="left"/>
        <w:rPr>
          <w:rFonts w:hAnsi="宋体" w:cs="宋体"/>
          <w:b/>
          <w:sz w:val="44"/>
        </w:rPr>
      </w:pPr>
    </w:p>
    <w:p>
      <w:pPr>
        <w:autoSpaceDE w:val="0"/>
        <w:autoSpaceDN w:val="0"/>
        <w:spacing w:line="540" w:lineRule="exact"/>
        <w:rPr>
          <w:rFonts w:hAnsi="宋体" w:cs="宋体"/>
          <w:b/>
          <w:sz w:val="36"/>
          <w:szCs w:val="36"/>
        </w:rPr>
      </w:pPr>
    </w:p>
    <w:p>
      <w:pPr>
        <w:autoSpaceDE w:val="0"/>
        <w:autoSpaceDN w:val="0"/>
        <w:spacing w:line="540" w:lineRule="exact"/>
        <w:jc w:val="center"/>
        <w:rPr>
          <w:rFonts w:hAnsi="宋体" w:cs="宋体"/>
          <w:b/>
          <w:sz w:val="36"/>
          <w:szCs w:val="36"/>
        </w:rPr>
      </w:pPr>
      <w:r>
        <w:rPr>
          <w:rFonts w:hint="eastAsia" w:hAnsi="宋体" w:cs="宋体"/>
          <w:b/>
          <w:sz w:val="36"/>
          <w:szCs w:val="36"/>
        </w:rPr>
        <w:t>技 术 标 目 录</w:t>
      </w:r>
    </w:p>
    <w:p>
      <w:pPr>
        <w:autoSpaceDE w:val="0"/>
        <w:autoSpaceDN w:val="0"/>
        <w:spacing w:line="360" w:lineRule="auto"/>
        <w:jc w:val="center"/>
        <w:rPr>
          <w:rFonts w:ascii="仿宋_GB2312" w:hAnsi="宋体" w:eastAsia="仿宋_GB2312" w:cs="宋体"/>
          <w:b/>
          <w:sz w:val="36"/>
          <w:szCs w:val="36"/>
        </w:rPr>
      </w:pPr>
    </w:p>
    <w:p>
      <w:pPr>
        <w:tabs>
          <w:tab w:val="center" w:pos="4739"/>
        </w:tabs>
        <w:ind w:left="180"/>
        <w:rPr>
          <w:rFonts w:hAnsi="宋体" w:cs="宋体"/>
          <w:b/>
          <w:sz w:val="26"/>
          <w:szCs w:val="26"/>
        </w:rPr>
      </w:pPr>
      <w:r>
        <w:rPr>
          <w:rFonts w:hint="eastAsia" w:hAnsi="宋体" w:cs="宋体"/>
          <w:b/>
          <w:sz w:val="26"/>
          <w:szCs w:val="26"/>
        </w:rPr>
        <w:t>（1）内容完整性和编制水平；</w:t>
      </w:r>
    </w:p>
    <w:p>
      <w:pPr>
        <w:tabs>
          <w:tab w:val="center" w:pos="4739"/>
        </w:tabs>
        <w:ind w:left="180"/>
        <w:rPr>
          <w:rFonts w:hAnsi="宋体" w:cs="宋体"/>
          <w:b/>
          <w:sz w:val="26"/>
          <w:szCs w:val="26"/>
        </w:rPr>
      </w:pPr>
      <w:r>
        <w:rPr>
          <w:rFonts w:hint="eastAsia" w:hAnsi="宋体" w:cs="宋体"/>
          <w:b/>
          <w:sz w:val="26"/>
          <w:szCs w:val="26"/>
        </w:rPr>
        <w:t>（2）施工方案和技术措施；</w:t>
      </w:r>
    </w:p>
    <w:p>
      <w:pPr>
        <w:tabs>
          <w:tab w:val="center" w:pos="4739"/>
        </w:tabs>
        <w:ind w:left="180"/>
        <w:rPr>
          <w:rFonts w:hAnsi="宋体" w:cs="宋体"/>
          <w:b/>
          <w:sz w:val="26"/>
          <w:szCs w:val="26"/>
        </w:rPr>
      </w:pPr>
      <w:r>
        <w:rPr>
          <w:rFonts w:hint="eastAsia" w:hAnsi="宋体" w:cs="宋体"/>
          <w:b/>
          <w:sz w:val="26"/>
          <w:szCs w:val="26"/>
        </w:rPr>
        <w:t>（3）质量管理体系与措施；</w:t>
      </w:r>
    </w:p>
    <w:p>
      <w:pPr>
        <w:tabs>
          <w:tab w:val="center" w:pos="4739"/>
        </w:tabs>
        <w:ind w:left="180"/>
        <w:rPr>
          <w:rFonts w:hAnsi="宋体" w:cs="宋体"/>
          <w:b/>
          <w:sz w:val="26"/>
          <w:szCs w:val="26"/>
        </w:rPr>
      </w:pPr>
      <w:r>
        <w:rPr>
          <w:rFonts w:hint="eastAsia" w:hAnsi="宋体" w:cs="宋体"/>
          <w:b/>
          <w:sz w:val="26"/>
          <w:szCs w:val="26"/>
        </w:rPr>
        <w:t>（4）安全管理体系与措施；</w:t>
      </w:r>
    </w:p>
    <w:p>
      <w:pPr>
        <w:tabs>
          <w:tab w:val="center" w:pos="4739"/>
        </w:tabs>
        <w:ind w:left="180"/>
        <w:rPr>
          <w:rFonts w:hAnsi="宋体" w:cs="宋体"/>
          <w:b/>
          <w:sz w:val="26"/>
          <w:szCs w:val="26"/>
        </w:rPr>
      </w:pPr>
      <w:r>
        <w:rPr>
          <w:rFonts w:hint="eastAsia" w:hAnsi="宋体" w:cs="宋体"/>
          <w:b/>
          <w:sz w:val="26"/>
          <w:szCs w:val="26"/>
        </w:rPr>
        <w:t>（5）环境保护管理体系与措施；</w:t>
      </w:r>
    </w:p>
    <w:p>
      <w:pPr>
        <w:tabs>
          <w:tab w:val="center" w:pos="4739"/>
        </w:tabs>
        <w:ind w:left="180"/>
        <w:rPr>
          <w:rFonts w:hAnsi="宋体" w:cs="宋体"/>
          <w:b/>
          <w:sz w:val="26"/>
          <w:szCs w:val="26"/>
        </w:rPr>
      </w:pPr>
      <w:r>
        <w:rPr>
          <w:rFonts w:hint="eastAsia" w:hAnsi="宋体" w:cs="宋体"/>
          <w:b/>
          <w:sz w:val="26"/>
          <w:szCs w:val="26"/>
        </w:rPr>
        <w:t>（6）工程进度计划与措施；</w:t>
      </w:r>
    </w:p>
    <w:p>
      <w:pPr>
        <w:tabs>
          <w:tab w:val="center" w:pos="4739"/>
        </w:tabs>
        <w:ind w:left="180"/>
        <w:rPr>
          <w:rFonts w:hAnsi="宋体" w:cs="宋体"/>
          <w:b/>
          <w:sz w:val="26"/>
          <w:szCs w:val="26"/>
        </w:rPr>
      </w:pPr>
      <w:r>
        <w:rPr>
          <w:rFonts w:hint="eastAsia" w:hAnsi="宋体" w:cs="宋体"/>
          <w:b/>
          <w:sz w:val="26"/>
          <w:szCs w:val="26"/>
        </w:rPr>
        <w:t>（7）拟投入资源配备计划；</w:t>
      </w:r>
    </w:p>
    <w:p>
      <w:pPr>
        <w:tabs>
          <w:tab w:val="center" w:pos="4739"/>
        </w:tabs>
        <w:ind w:left="180"/>
        <w:rPr>
          <w:rFonts w:hAnsi="宋体" w:cs="宋体"/>
          <w:b/>
          <w:sz w:val="26"/>
          <w:szCs w:val="26"/>
        </w:rPr>
      </w:pPr>
      <w:r>
        <w:rPr>
          <w:rFonts w:hint="eastAsia" w:hAnsi="宋体" w:cs="宋体"/>
          <w:b/>
          <w:sz w:val="26"/>
          <w:szCs w:val="26"/>
        </w:rPr>
        <w:t>（8）施工进度表或施工网络图；</w:t>
      </w:r>
    </w:p>
    <w:p>
      <w:pPr>
        <w:tabs>
          <w:tab w:val="center" w:pos="4739"/>
        </w:tabs>
        <w:ind w:left="180"/>
        <w:rPr>
          <w:rFonts w:hAnsi="宋体" w:cs="宋体"/>
          <w:b/>
          <w:sz w:val="26"/>
          <w:szCs w:val="26"/>
        </w:rPr>
      </w:pPr>
      <w:r>
        <w:rPr>
          <w:rFonts w:hint="eastAsia" w:hAnsi="宋体" w:cs="宋体"/>
          <w:b/>
          <w:sz w:val="26"/>
          <w:szCs w:val="26"/>
        </w:rPr>
        <w:t>（9）施工总平面布置图；</w:t>
      </w:r>
    </w:p>
    <w:p>
      <w:pPr>
        <w:tabs>
          <w:tab w:val="center" w:pos="4739"/>
        </w:tabs>
        <w:ind w:left="180"/>
        <w:rPr>
          <w:rFonts w:hAnsi="宋体" w:cs="宋体"/>
          <w:b/>
          <w:sz w:val="26"/>
          <w:szCs w:val="26"/>
        </w:rPr>
      </w:pPr>
      <w:r>
        <w:rPr>
          <w:rFonts w:hint="eastAsia" w:hAnsi="宋体" w:cs="宋体"/>
          <w:b/>
          <w:sz w:val="26"/>
          <w:szCs w:val="26"/>
        </w:rPr>
        <w:t>（10）在节能减排、绿色施工（含扬尘治理）、工艺创新方面针对本工程有具体措施或企业自有创新技术；</w:t>
      </w:r>
    </w:p>
    <w:p>
      <w:pPr>
        <w:tabs>
          <w:tab w:val="center" w:pos="4739"/>
        </w:tabs>
        <w:ind w:left="180"/>
        <w:rPr>
          <w:rFonts w:hAnsi="宋体" w:cs="宋体"/>
          <w:b/>
          <w:sz w:val="26"/>
          <w:szCs w:val="26"/>
        </w:rPr>
      </w:pPr>
      <w:r>
        <w:rPr>
          <w:rFonts w:hint="eastAsia" w:hAnsi="宋体" w:cs="宋体"/>
          <w:b/>
          <w:sz w:val="26"/>
          <w:szCs w:val="26"/>
        </w:rPr>
        <w:t>（11）新工艺、新技术、新设备、新材料的采用程度，其在确保质量、降低成本、缩短工期、减轻劳动强度、提高工效等方面的作用；</w:t>
      </w:r>
    </w:p>
    <w:p>
      <w:pPr>
        <w:tabs>
          <w:tab w:val="center" w:pos="4739"/>
        </w:tabs>
        <w:ind w:left="180"/>
        <w:rPr>
          <w:rFonts w:hAnsi="宋体" w:cs="宋体"/>
          <w:b/>
          <w:sz w:val="26"/>
          <w:szCs w:val="26"/>
        </w:rPr>
      </w:pPr>
      <w:r>
        <w:rPr>
          <w:rFonts w:hint="eastAsia" w:hAnsi="宋体" w:cs="宋体"/>
          <w:b/>
          <w:sz w:val="26"/>
          <w:szCs w:val="26"/>
        </w:rPr>
        <w:t>（12）企业具备信息化管理平台，能够使工程管理者对现场实施监控和数据处理。</w:t>
      </w:r>
    </w:p>
    <w:p>
      <w:pPr>
        <w:tabs>
          <w:tab w:val="center" w:pos="4739"/>
        </w:tabs>
        <w:ind w:left="180"/>
        <w:rPr>
          <w:rFonts w:hAnsi="宋体" w:cs="TimesNewRomanPSMT"/>
          <w:color w:val="0000FF"/>
          <w:sz w:val="18"/>
          <w:szCs w:val="18"/>
        </w:rPr>
      </w:pPr>
    </w:p>
    <w:p>
      <w:pPr>
        <w:autoSpaceDE w:val="0"/>
        <w:autoSpaceDN w:val="0"/>
        <w:adjustRightInd w:val="0"/>
        <w:spacing w:line="420" w:lineRule="exact"/>
        <w:rPr>
          <w:rFonts w:hAnsi="宋体" w:cs="宋体"/>
          <w:b/>
          <w:color w:val="0000FF"/>
          <w:sz w:val="26"/>
          <w:szCs w:val="26"/>
        </w:rPr>
      </w:pPr>
    </w:p>
    <w:sectPr>
      <w:footerReference r:id="rId9" w:type="first"/>
      <w:footerReference r:id="rId8" w:type="default"/>
      <w:pgSz w:w="11906" w:h="16838"/>
      <w:pgMar w:top="1304" w:right="1134" w:bottom="1304" w:left="1134" w:header="851" w:footer="992" w:gutter="0"/>
      <w:cols w:space="720" w:num="1"/>
      <w:titlePg/>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TimesNewRomanPSMT">
    <w:altName w:val="宋体"/>
    <w:panose1 w:val="00000000000000000000"/>
    <w:charset w:val="00"/>
    <w:family w:val="roman"/>
    <w:pitch w:val="default"/>
    <w:sig w:usb0="00000000" w:usb1="00000000" w:usb2="00000010" w:usb3="00000000" w:csb0="00040001" w:csb1="00000000"/>
  </w:font>
  <w:font w:name="华文细黑">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华文新魏">
    <w:panose1 w:val="02010800040101010101"/>
    <w:charset w:val="86"/>
    <w:family w:val="auto"/>
    <w:pitch w:val="default"/>
    <w:sig w:usb0="00000001" w:usb1="080F0000" w:usb2="00000000" w:usb3="00000000" w:csb0="00040000" w:csb1="00000000"/>
  </w:font>
  <w:font w:name="新宋体">
    <w:panose1 w:val="02010609030101010101"/>
    <w:charset w:val="86"/>
    <w:family w:val="modern"/>
    <w:pitch w:val="default"/>
    <w:sig w:usb0="00000283" w:usb1="288F0000" w:usb2="00000006" w:usb3="00000000" w:csb0="00040001" w:csb1="00000000"/>
  </w:font>
  <w:font w:name="等线">
    <w:panose1 w:val="02010600030101010101"/>
    <w:charset w:val="86"/>
    <w:family w:val="roman"/>
    <w:pitch w:val="default"/>
    <w:sig w:usb0="A00002BF" w:usb1="38CF7CFA" w:usb2="00000016" w:usb3="00000000" w:csb0="0004000F" w:csb1="00000000"/>
  </w:font>
  <w:font w:name="楷体_GB2312">
    <w:altName w:val="楷体"/>
    <w:panose1 w:val="00000000000000000000"/>
    <w:charset w:val="86"/>
    <w:family w:val="auto"/>
    <w:pitch w:val="default"/>
    <w:sig w:usb0="00000000" w:usb1="00000000" w:usb2="00000000" w:usb3="00000000" w:csb0="00040000" w:csb1="00000000"/>
  </w:font>
  <w:font w:name="方正小标宋简体">
    <w:altName w:val="微软雅黑"/>
    <w:panose1 w:val="00000000000000000000"/>
    <w:charset w:val="86"/>
    <w:family w:val="auto"/>
    <w:pitch w:val="default"/>
    <w:sig w:usb0="00000000" w:usb1="00000000" w:usb2="00000010" w:usb3="00000000" w:csb0="00040000" w:csb1="00000000"/>
  </w:font>
  <w:font w:name="MS Mincho">
    <w:altName w:val="Yu Gothic UI"/>
    <w:panose1 w:val="02020609040205080304"/>
    <w:charset w:val="80"/>
    <w:family w:val="modern"/>
    <w:pitch w:val="default"/>
    <w:sig w:usb0="00000000" w:usb1="00000000" w:usb2="00000012" w:usb3="00000000" w:csb0="4002009F" w:csb1="DFD7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top w:val="single" w:color="auto" w:sz="4" w:space="0"/>
      </w:pBdr>
      <w:ind w:right="360"/>
      <w:jc w:val="center"/>
    </w:pPr>
    <w:r>
      <mc:AlternateContent>
        <mc:Choice Requires="wps">
          <w:drawing>
            <wp:anchor distT="0" distB="0" distL="114300" distR="114300" simplePos="0" relativeHeight="251655168" behindDoc="0" locked="0" layoutInCell="1" allowOverlap="1">
              <wp:simplePos x="0" y="0"/>
              <wp:positionH relativeFrom="margin">
                <wp:align>center</wp:align>
              </wp:positionH>
              <wp:positionV relativeFrom="paragraph">
                <wp:posOffset>0</wp:posOffset>
              </wp:positionV>
              <wp:extent cx="57785" cy="147955"/>
              <wp:effectExtent l="0" t="0" r="0" b="0"/>
              <wp:wrapNone/>
              <wp:docPr id="1" name="文本框 5"/>
              <wp:cNvGraphicFramePr/>
              <a:graphic xmlns:a="http://schemas.openxmlformats.org/drawingml/2006/main">
                <a:graphicData uri="http://schemas.microsoft.com/office/word/2010/wordprocessingShape">
                  <wps:wsp>
                    <wps:cNvSpPr txBox="1"/>
                    <wps:spPr>
                      <a:xfrm>
                        <a:off x="0" y="0"/>
                        <a:ext cx="57785" cy="147955"/>
                      </a:xfrm>
                      <a:prstGeom prst="rect">
                        <a:avLst/>
                      </a:prstGeom>
                      <a:noFill/>
                      <a:ln w="15875">
                        <a:noFill/>
                      </a:ln>
                      <a:effectLst/>
                    </wps:spPr>
                    <wps:txbx>
                      <w:txbxContent>
                        <w:p/>
                      </w:txbxContent>
                    </wps:txbx>
                    <wps:bodyPr wrap="none" lIns="0" tIns="0" rIns="0" bIns="0" upright="1">
                      <a:spAutoFit/>
                    </wps:bodyPr>
                  </wps:wsp>
                </a:graphicData>
              </a:graphic>
            </wp:anchor>
          </w:drawing>
        </mc:Choice>
        <mc:Fallback>
          <w:pict>
            <v:shape id="文本框 5" o:spid="_x0000_s1026" o:spt="202" type="#_x0000_t202" style="position:absolute;left:0pt;margin-top:0pt;height:11.65pt;width:4.55pt;mso-position-horizontal:center;mso-position-horizontal-relative:margin;mso-wrap-style:none;z-index:251655168;mso-width-relative:page;mso-height-relative:page;" filled="f" stroked="f" coordsize="21600,21600" o:gfxdata="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lE7Vt9QAAAACAQAADwAAAAAAAAABACAAAAAiAAAAZHJzL2Rvd25yZXYueG1sUEsB&#10;AhQAFAAAAAgAh07iQOC84zLAAQAAYAMAAA4AAAAAAAAAAQAgAAAAIwEAAGRycy9lMm9Eb2MueG1s&#10;UEsFBgAAAAAGAAYAWQEAAFUFAAAAAA==&#10;">
              <v:fill on="f" focussize="0,0"/>
              <v:stroke on="f" weight="1.25pt"/>
              <v:imagedata o:title=""/>
              <o:lock v:ext="edit" aspectratio="f"/>
              <v:textbox inset="0mm,0mm,0mm,0mm" style="mso-fit-shape-to-text:t;">
                <w:txbxContent>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r>
      <mc:AlternateContent>
        <mc:Choice Requires="wps">
          <w:drawing>
            <wp:anchor distT="0" distB="0" distL="114300" distR="114300" simplePos="0" relativeHeight="25165619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31</w:t>
                          </w:r>
                          <w:r>
                            <w:rPr>
                              <w:rFonts w:hint="eastAsia"/>
                              <w:sz w:val="18"/>
                            </w:rPr>
                            <w:fldChar w:fldCharType="end"/>
                          </w:r>
                        </w:p>
                      </w:txbxContent>
                    </wps:txbx>
                    <wps:bodyPr wrap="none" lIns="0" tIns="0" rIns="0" bIns="0" upright="1">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6192;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GhpgkvTAAAABQEAAA8AAAAAAAAAAQAgAAAAIgAAAGRycy9kb3ducmV2LnhtbFBLAQIUABQA&#10;AAAIAIdO4kADX7O+vAEAAGMDAAAOAAAAAAAAAAEAIAAAACIBAABkcnMvZTJvRG9jLnhtbFBLBQYA&#10;AAAABgAGAFkBAABQBQAAAAA=&#10;">
              <v:fill on="f" focussize="0,0"/>
              <v:stroke on="f" weight="1.2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31</w:t>
                    </w:r>
                    <w:r>
                      <w:rPr>
                        <w:rFonts w:hint="eastAsia"/>
                        <w:sz w:val="1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top w:val="single" w:color="auto" w:sz="4" w:space="0"/>
      </w:pBdr>
      <w:ind w:right="360"/>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wps:txbx>
                    <wps:bodyPr wrap="none" lIns="0" tIns="0" rIns="0" bIns="0" upright="1">
                      <a:spAutoFit/>
                    </wps:bodyPr>
                  </wps:wsp>
                </a:graphicData>
              </a:graphic>
            </wp:anchor>
          </w:drawing>
        </mc:Choice>
        <mc:Fallback>
          <w:pict>
            <v:shape id="文本框 13"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BoaYJL0wAAAAUBAAAPAAAAAAAAAAEAIAAAACIAAABkcnMvZG93bnJldi54bWxQSwECFAAU&#10;AAAACACHTuJAoFhpP70BAABkAwAADgAAAAAAAAABACAAAAAiAQAAZHJzL2Uyb0RvYy54bWxQSwUG&#10;AAAAAAYABgBZAQAAUQUAAAAA&#10;">
              <v:fill on="f" focussize="0,0"/>
              <v:stroke on="f" weight="1.2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v:textbox>
            </v:shape>
          </w:pict>
        </mc:Fallback>
      </mc:AlternateContent>
    </w: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57785" cy="147955"/>
              <wp:effectExtent l="0" t="0" r="0" b="0"/>
              <wp:wrapNone/>
              <wp:docPr id="5" name="文本框 5"/>
              <wp:cNvGraphicFramePr/>
              <a:graphic xmlns:a="http://schemas.openxmlformats.org/drawingml/2006/main">
                <a:graphicData uri="http://schemas.microsoft.com/office/word/2010/wordprocessingShape">
                  <wps:wsp>
                    <wps:cNvSpPr txBox="1"/>
                    <wps:spPr>
                      <a:xfrm>
                        <a:off x="0" y="0"/>
                        <a:ext cx="57785" cy="147955"/>
                      </a:xfrm>
                      <a:prstGeom prst="rect">
                        <a:avLst/>
                      </a:prstGeom>
                      <a:noFill/>
                      <a:ln w="15875">
                        <a:noFill/>
                      </a:ln>
                      <a:effectLst/>
                    </wps:spPr>
                    <wps:txbx>
                      <w:txbxContent>
                        <w:p>
                          <w:pPr>
                            <w:snapToGrid w:val="0"/>
                            <w:rPr>
                              <w:sz w:val="18"/>
                            </w:rPr>
                          </w:pPr>
                          <w:r>
                            <w:rPr>
                              <w:rFonts w:hint="eastAsia"/>
                              <w:sz w:val="18"/>
                            </w:rPr>
                            <w:t>1</w:t>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1.65pt;width:4.55pt;mso-position-horizontal:center;mso-position-horizontal-relative:margin;mso-wrap-style:none;z-index:251658240;mso-width-relative:page;mso-height-relative:page;" filled="f" stroked="f" coordsize="21600,21600" o:gfxdata="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lE7Vt9QAAAACAQAADwAAAAAAAAABACAAAAAiAAAAZHJzL2Rvd25yZXYueG1sUEsB&#10;AhQAFAAAAAgAh07iQJVkfU/AAQAAYAMAAA4AAAAAAAAAAQAgAAAAIwEAAGRycy9lMm9Eb2MueG1s&#10;UEsFBgAAAAAGAAYAWQEAAFUFAAAAAA==&#10;">
              <v:fill on="f" focussize="0,0"/>
              <v:stroke on="f" weight="1.25pt"/>
              <v:imagedata o:title=""/>
              <o:lock v:ext="edit" aspectratio="f"/>
              <v:textbox inset="0mm,0mm,0mm,0mm" style="mso-fit-shape-to-text:t;">
                <w:txbxContent>
                  <w:p>
                    <w:pPr>
                      <w:snapToGrid w:val="0"/>
                      <w:rPr>
                        <w:sz w:val="18"/>
                      </w:rPr>
                    </w:pPr>
                    <w:r>
                      <w:rPr>
                        <w:rFonts w:hint="eastAsia"/>
                        <w:sz w:val="18"/>
                      </w:rPr>
                      <w:t>1</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top w:val="single" w:color="auto" w:sz="4" w:space="0"/>
      </w:pBdr>
      <w:ind w:right="360"/>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60</w:t>
                          </w:r>
                          <w:r>
                            <w:rPr>
                              <w:rFonts w:hint="eastAsia"/>
                              <w:sz w:val="18"/>
                            </w:rPr>
                            <w:fldChar w:fldCharType="end"/>
                          </w:r>
                        </w:p>
                      </w:txbxContent>
                    </wps:txbx>
                    <wps:bodyPr wrap="none" lIns="0" tIns="0" rIns="0" bIns="0" upright="1">
                      <a:spAutoFit/>
                    </wps:bodyPr>
                  </wps:wsp>
                </a:graphicData>
              </a:graphic>
            </wp:anchor>
          </w:drawing>
        </mc:Choice>
        <mc:Fallback>
          <w:pict>
            <v:shape id="文本框 14"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GhpgkvTAAAABQEAAA8AAAAAAAAAAQAgAAAAIgAAAGRycy9kb3ducmV2LnhtbFBLAQIU&#10;ABQAAAAIAIdO4kAApI6UvwEAAGQDAAAOAAAAAAAAAAEAIAAAACIBAABkcnMvZTJvRG9jLnhtbFBL&#10;BQYAAAAABgAGAFkBAABTBQAAAAA=&#10;">
              <v:fill on="f" focussize="0,0"/>
              <v:stroke on="f" weight="1.2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60</w:t>
                    </w:r>
                    <w:r>
                      <w:rPr>
                        <w:rFonts w:hint="eastAsia"/>
                        <w:sz w:val="18"/>
                      </w:rPr>
                      <w:fldChar w:fldCharType="end"/>
                    </w:r>
                  </w:p>
                </w:txbxContent>
              </v:textbox>
            </v:shape>
          </w:pict>
        </mc:Fallback>
      </mc:AlternateContent>
    </w:r>
    <w:r>
      <mc:AlternateContent>
        <mc:Choice Requires="wps">
          <w:drawing>
            <wp:anchor distT="0" distB="0" distL="114300" distR="114300" simplePos="0" relativeHeight="251657216" behindDoc="0" locked="0" layoutInCell="1" allowOverlap="1">
              <wp:simplePos x="0" y="0"/>
              <wp:positionH relativeFrom="margin">
                <wp:posOffset>3119755</wp:posOffset>
              </wp:positionH>
              <wp:positionV relativeFrom="paragraph">
                <wp:posOffset>-13335</wp:posOffset>
              </wp:positionV>
              <wp:extent cx="57785" cy="147955"/>
              <wp:effectExtent l="0" t="0" r="0" b="0"/>
              <wp:wrapNone/>
              <wp:docPr id="4" name="文本框 7"/>
              <wp:cNvGraphicFramePr/>
              <a:graphic xmlns:a="http://schemas.openxmlformats.org/drawingml/2006/main">
                <a:graphicData uri="http://schemas.microsoft.com/office/word/2010/wordprocessingShape">
                  <wps:wsp>
                    <wps:cNvSpPr txBox="1"/>
                    <wps:spPr>
                      <a:xfrm>
                        <a:off x="0" y="0"/>
                        <a:ext cx="57785" cy="147955"/>
                      </a:xfrm>
                      <a:prstGeom prst="rect">
                        <a:avLst/>
                      </a:prstGeom>
                      <a:noFill/>
                      <a:ln w="15875">
                        <a:noFill/>
                      </a:ln>
                      <a:effectLst/>
                    </wps:spPr>
                    <wps:txbx>
                      <w:txbxContent>
                        <w:p>
                          <w:pPr>
                            <w:snapToGrid w:val="0"/>
                            <w:rPr>
                              <w:sz w:val="18"/>
                            </w:rPr>
                          </w:pPr>
                        </w:p>
                      </w:txbxContent>
                    </wps:txbx>
                    <wps:bodyPr wrap="none" lIns="0" tIns="0" rIns="0" bIns="0" upright="1">
                      <a:spAutoFit/>
                    </wps:bodyPr>
                  </wps:wsp>
                </a:graphicData>
              </a:graphic>
            </wp:anchor>
          </w:drawing>
        </mc:Choice>
        <mc:Fallback>
          <w:pict>
            <v:shape id="文本框 7" o:spid="_x0000_s1026" o:spt="202" type="#_x0000_t202" style="position:absolute;left:0pt;margin-left:245.65pt;margin-top:-1.05pt;height:11.65pt;width:4.55pt;mso-position-horizontal-relative:margin;mso-wrap-style:none;z-index:251657216;mso-width-relative:page;mso-height-relative:page;" filled="f" stroked="f" coordsize="21600,21600" o:gfxdata="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PGEtQvZAAAACQEAAA8AAAAAAAAAAQAgAAAAIgAAAGRycy9kb3ducmV2&#10;LnhtbFBLAQIUABQAAAAIAIdO4kCNjzaiwgEAAGADAAAOAAAAAAAAAAEAIAAAACgBAABkcnMvZTJv&#10;RG9jLnhtbFBLBQYAAAAABgAGAFkBAABcBQAAAAA=&#10;">
              <v:fill on="f" focussize="0,0"/>
              <v:stroke on="f" weight="1.25pt"/>
              <v:imagedata o:title=""/>
              <o:lock v:ext="edit" aspectratio="f"/>
              <v:textbox inset="0mm,0mm,0mm,0mm" style="mso-fit-shape-to-text:t;">
                <w:txbxContent>
                  <w:p>
                    <w:pPr>
                      <w:snapToGrid w:val="0"/>
                      <w:rPr>
                        <w:sz w:val="18"/>
                      </w:rPr>
                    </w:pP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w:t>
                          </w:r>
                          <w:r>
                            <w:rPr>
                              <w:rFonts w:hint="eastAsia"/>
                              <w:sz w:val="18"/>
                            </w:rPr>
                            <w:fldChar w:fldCharType="end"/>
                          </w:r>
                        </w:p>
                      </w:txbxContent>
                    </wps:txbx>
                    <wps:bodyPr wrap="none" lIns="0" tIns="0" rIns="0" bIns="0" upright="1">
                      <a:spAutoFit/>
                    </wps:bodyPr>
                  </wps:wsp>
                </a:graphicData>
              </a:graphic>
            </wp:anchor>
          </w:drawing>
        </mc:Choice>
        <mc:Fallback>
          <w:pict>
            <v:shape id="文本框 15"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aGmCS9MAAAAFAQAADwAAAAAAAAABACAAAAAiAAAAZHJzL2Rvd25yZXYueG1sUEsBAhQA&#10;FAAAAAgAh07iQNNrYFi+AQAAZAMAAA4AAAAAAAAAAQAgAAAAIgEAAGRycy9lMm9Eb2MueG1sUEsF&#10;BgAAAAAGAAYAWQEAAFIFAAAAAA==&#10;">
              <v:fill on="f" focussize="0,0"/>
              <v:stroke on="f" weight="1.2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bottom w:val="single" w:color="auto" w:sz="6" w:space="0"/>
      </w:pBdr>
      <w:jc w:val="both"/>
      <w:rPr>
        <w:rFonts w:ascii="华文新魏" w:eastAsia="华文新魏"/>
        <w:b/>
      </w:rPr>
    </w:pPr>
    <w:r>
      <w:rPr>
        <w:rFonts w:hint="eastAsia" w:ascii="华文新魏" w:eastAsia="华文新魏"/>
        <w:b/>
      </w:rPr>
      <w:t xml:space="preserve">   ★施工招标文件★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bottom w:val="single" w:color="auto" w:sz="4" w:space="0"/>
      </w:pBdr>
      <w:jc w:val="both"/>
      <w:rPr>
        <w:szCs w:val="21"/>
      </w:rPr>
    </w:pPr>
    <w:r>
      <w:rPr>
        <w:rFonts w:hint="eastAsia" w:ascii="华文新魏" w:eastAsia="华文新魏"/>
        <w:b/>
      </w:rPr>
      <w:t xml:space="preserve">     ★施工招标文件★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4AB042"/>
    <w:multiLevelType w:val="singleLevel"/>
    <w:tmpl w:val="894AB042"/>
    <w:lvl w:ilvl="0" w:tentative="0">
      <w:start w:val="4"/>
      <w:numFmt w:val="chineseCounting"/>
      <w:suff w:val="nothing"/>
      <w:lvlText w:val="（%1）"/>
      <w:lvlJc w:val="left"/>
      <w:rPr>
        <w:rFonts w:hint="eastAsia"/>
      </w:rPr>
    </w:lvl>
  </w:abstractNum>
  <w:abstractNum w:abstractNumId="1">
    <w:nsid w:val="0000000C"/>
    <w:multiLevelType w:val="multilevel"/>
    <w:tmpl w:val="0000000C"/>
    <w:lvl w:ilvl="0" w:tentative="0">
      <w:start w:val="3"/>
      <w:numFmt w:val="bullet"/>
      <w:lvlText w:val="□"/>
      <w:lvlJc w:val="left"/>
      <w:pPr>
        <w:tabs>
          <w:tab w:val="left" w:pos="360"/>
        </w:tabs>
        <w:ind w:left="360" w:hanging="360"/>
      </w:pPr>
      <w:rPr>
        <w:rFonts w:hint="eastAsia" w:ascii="宋体" w:hAnsi="宋体" w:eastAsia="宋体" w:cs="Times New Roman"/>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2">
    <w:nsid w:val="576405E1"/>
    <w:multiLevelType w:val="singleLevel"/>
    <w:tmpl w:val="576405E1"/>
    <w:lvl w:ilvl="0" w:tentative="0">
      <w:start w:val="2"/>
      <w:numFmt w:val="decimal"/>
      <w:suff w:val="nothing"/>
      <w:lvlText w:val="%1、"/>
      <w:lvlJc w:val="left"/>
    </w:lvl>
  </w:abstractNum>
  <w:abstractNum w:abstractNumId="3">
    <w:nsid w:val="576406D4"/>
    <w:multiLevelType w:val="singleLevel"/>
    <w:tmpl w:val="576406D4"/>
    <w:lvl w:ilvl="0" w:tentative="0">
      <w:start w:val="4"/>
      <w:numFmt w:val="decimal"/>
      <w:suff w:val="nothing"/>
      <w:lvlText w:val="%1、"/>
      <w:lvlJc w:val="left"/>
    </w:lvl>
  </w:abstractNum>
  <w:abstractNum w:abstractNumId="4">
    <w:nsid w:val="5A73B3EB"/>
    <w:multiLevelType w:val="singleLevel"/>
    <w:tmpl w:val="5A73B3EB"/>
    <w:lvl w:ilvl="0" w:tentative="0">
      <w:start w:val="1"/>
      <w:numFmt w:val="chineseCounting"/>
      <w:suff w:val="nothing"/>
      <w:lvlText w:val="%1、"/>
      <w:lvlJc w:val="left"/>
    </w:lvl>
  </w:abstractNum>
  <w:abstractNum w:abstractNumId="5">
    <w:nsid w:val="5A9F875C"/>
    <w:multiLevelType w:val="singleLevel"/>
    <w:tmpl w:val="5A9F875C"/>
    <w:lvl w:ilvl="0" w:tentative="0">
      <w:start w:val="1"/>
      <w:numFmt w:val="chineseCounting"/>
      <w:suff w:val="space"/>
      <w:lvlText w:val="第%1章"/>
      <w:lvlJc w:val="left"/>
    </w:lvl>
  </w:abstractNum>
  <w:abstractNum w:abstractNumId="6">
    <w:nsid w:val="7A188572"/>
    <w:multiLevelType w:val="singleLevel"/>
    <w:tmpl w:val="7A188572"/>
    <w:lvl w:ilvl="0" w:tentative="0">
      <w:start w:val="1"/>
      <w:numFmt w:val="chineseCounting"/>
      <w:suff w:val="space"/>
      <w:lvlText w:val="第%1章"/>
      <w:lvlJc w:val="left"/>
      <w:rPr>
        <w:rFonts w:hint="eastAsia"/>
      </w:rPr>
    </w:lvl>
  </w:abstractNum>
  <w:num w:numId="1">
    <w:abstractNumId w:val="6"/>
  </w:num>
  <w:num w:numId="2">
    <w:abstractNumId w:val="5"/>
  </w:num>
  <w:num w:numId="3">
    <w:abstractNumId w:val="1"/>
  </w:num>
  <w:num w:numId="4">
    <w:abstractNumId w:val="2"/>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val="1"/>
  <w:bordersDoNotSurroundFooter w:val="1"/>
  <w:documentProtection w:enforcement="0"/>
  <w:defaultTabStop w:val="420"/>
  <w:drawingGridHorizontalSpacing w:val="105"/>
  <w:drawingGridVerticalSpacing w:val="156"/>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2165"/>
    <w:rsid w:val="000206AB"/>
    <w:rsid w:val="00020C45"/>
    <w:rsid w:val="0002487C"/>
    <w:rsid w:val="000307B7"/>
    <w:rsid w:val="00053998"/>
    <w:rsid w:val="0005578B"/>
    <w:rsid w:val="00056F61"/>
    <w:rsid w:val="00061BCD"/>
    <w:rsid w:val="0008358D"/>
    <w:rsid w:val="000948C6"/>
    <w:rsid w:val="000A720A"/>
    <w:rsid w:val="000C5130"/>
    <w:rsid w:val="000D038F"/>
    <w:rsid w:val="000D70F0"/>
    <w:rsid w:val="000F52B5"/>
    <w:rsid w:val="00141371"/>
    <w:rsid w:val="001617DE"/>
    <w:rsid w:val="001621DF"/>
    <w:rsid w:val="00170351"/>
    <w:rsid w:val="00172A27"/>
    <w:rsid w:val="00176F7E"/>
    <w:rsid w:val="00190A8C"/>
    <w:rsid w:val="001912DC"/>
    <w:rsid w:val="001A030E"/>
    <w:rsid w:val="001C7AF9"/>
    <w:rsid w:val="001C7C8B"/>
    <w:rsid w:val="00205C6A"/>
    <w:rsid w:val="002225A8"/>
    <w:rsid w:val="00223978"/>
    <w:rsid w:val="002330D7"/>
    <w:rsid w:val="00262141"/>
    <w:rsid w:val="002838F3"/>
    <w:rsid w:val="00285179"/>
    <w:rsid w:val="00290A21"/>
    <w:rsid w:val="002941A4"/>
    <w:rsid w:val="002A38DB"/>
    <w:rsid w:val="002B449E"/>
    <w:rsid w:val="002B6CFD"/>
    <w:rsid w:val="002C349A"/>
    <w:rsid w:val="002E4AC4"/>
    <w:rsid w:val="002E5D21"/>
    <w:rsid w:val="0032098B"/>
    <w:rsid w:val="00344459"/>
    <w:rsid w:val="00352160"/>
    <w:rsid w:val="003666F0"/>
    <w:rsid w:val="00377806"/>
    <w:rsid w:val="00386B3C"/>
    <w:rsid w:val="00393239"/>
    <w:rsid w:val="003B04D0"/>
    <w:rsid w:val="003B483B"/>
    <w:rsid w:val="003E2B83"/>
    <w:rsid w:val="003E5FBF"/>
    <w:rsid w:val="003F06C8"/>
    <w:rsid w:val="003F16E6"/>
    <w:rsid w:val="003F292E"/>
    <w:rsid w:val="0041298A"/>
    <w:rsid w:val="00415BC0"/>
    <w:rsid w:val="00415F75"/>
    <w:rsid w:val="00425C54"/>
    <w:rsid w:val="004501F4"/>
    <w:rsid w:val="00461496"/>
    <w:rsid w:val="004622E3"/>
    <w:rsid w:val="0047049E"/>
    <w:rsid w:val="00477253"/>
    <w:rsid w:val="00497640"/>
    <w:rsid w:val="004A662C"/>
    <w:rsid w:val="004C2CFA"/>
    <w:rsid w:val="004D2B00"/>
    <w:rsid w:val="004D4388"/>
    <w:rsid w:val="004D4ACD"/>
    <w:rsid w:val="004E06CE"/>
    <w:rsid w:val="004E3A03"/>
    <w:rsid w:val="004F1948"/>
    <w:rsid w:val="005046F1"/>
    <w:rsid w:val="00505474"/>
    <w:rsid w:val="0051467F"/>
    <w:rsid w:val="005203E6"/>
    <w:rsid w:val="00521D31"/>
    <w:rsid w:val="00567406"/>
    <w:rsid w:val="00576DE9"/>
    <w:rsid w:val="005B35F4"/>
    <w:rsid w:val="005B4B16"/>
    <w:rsid w:val="005C2FC1"/>
    <w:rsid w:val="005C7B38"/>
    <w:rsid w:val="005C7D89"/>
    <w:rsid w:val="005E1B1D"/>
    <w:rsid w:val="005F5DB4"/>
    <w:rsid w:val="0061138F"/>
    <w:rsid w:val="0061516E"/>
    <w:rsid w:val="00661C56"/>
    <w:rsid w:val="006A3BD6"/>
    <w:rsid w:val="006C58EE"/>
    <w:rsid w:val="006D2897"/>
    <w:rsid w:val="006D5BAE"/>
    <w:rsid w:val="006E42B1"/>
    <w:rsid w:val="006F2F1D"/>
    <w:rsid w:val="00711825"/>
    <w:rsid w:val="00715420"/>
    <w:rsid w:val="00715CEE"/>
    <w:rsid w:val="007258B7"/>
    <w:rsid w:val="00751460"/>
    <w:rsid w:val="007545F3"/>
    <w:rsid w:val="00760E93"/>
    <w:rsid w:val="007675A2"/>
    <w:rsid w:val="007A249B"/>
    <w:rsid w:val="007E6E4C"/>
    <w:rsid w:val="007F00E2"/>
    <w:rsid w:val="008100C7"/>
    <w:rsid w:val="0081250A"/>
    <w:rsid w:val="0081767F"/>
    <w:rsid w:val="00827E47"/>
    <w:rsid w:val="00837836"/>
    <w:rsid w:val="00843389"/>
    <w:rsid w:val="00855EAA"/>
    <w:rsid w:val="0086256C"/>
    <w:rsid w:val="008A6355"/>
    <w:rsid w:val="008B19B5"/>
    <w:rsid w:val="008D64E5"/>
    <w:rsid w:val="008D77C9"/>
    <w:rsid w:val="008F5961"/>
    <w:rsid w:val="00903E33"/>
    <w:rsid w:val="009046D3"/>
    <w:rsid w:val="00913652"/>
    <w:rsid w:val="00914023"/>
    <w:rsid w:val="00942D61"/>
    <w:rsid w:val="00953E1B"/>
    <w:rsid w:val="00960292"/>
    <w:rsid w:val="009702AD"/>
    <w:rsid w:val="009A54C5"/>
    <w:rsid w:val="009B0078"/>
    <w:rsid w:val="009B413B"/>
    <w:rsid w:val="009C15B6"/>
    <w:rsid w:val="009E399B"/>
    <w:rsid w:val="009E474B"/>
    <w:rsid w:val="009E6D32"/>
    <w:rsid w:val="009F6862"/>
    <w:rsid w:val="00A02446"/>
    <w:rsid w:val="00A11DD3"/>
    <w:rsid w:val="00A11E71"/>
    <w:rsid w:val="00A20EE8"/>
    <w:rsid w:val="00A23EC7"/>
    <w:rsid w:val="00A272E1"/>
    <w:rsid w:val="00A320C6"/>
    <w:rsid w:val="00A500A7"/>
    <w:rsid w:val="00A5380D"/>
    <w:rsid w:val="00A728AE"/>
    <w:rsid w:val="00A74405"/>
    <w:rsid w:val="00A76DFE"/>
    <w:rsid w:val="00A919DC"/>
    <w:rsid w:val="00A926DB"/>
    <w:rsid w:val="00A96183"/>
    <w:rsid w:val="00A976FA"/>
    <w:rsid w:val="00AA1746"/>
    <w:rsid w:val="00AC4975"/>
    <w:rsid w:val="00AD7AC3"/>
    <w:rsid w:val="00AE432D"/>
    <w:rsid w:val="00AF1EF9"/>
    <w:rsid w:val="00B309E0"/>
    <w:rsid w:val="00B33A32"/>
    <w:rsid w:val="00B6140C"/>
    <w:rsid w:val="00B84440"/>
    <w:rsid w:val="00B97E45"/>
    <w:rsid w:val="00BA1328"/>
    <w:rsid w:val="00BC2BAE"/>
    <w:rsid w:val="00BE3E23"/>
    <w:rsid w:val="00BF3412"/>
    <w:rsid w:val="00BF64FD"/>
    <w:rsid w:val="00C179DF"/>
    <w:rsid w:val="00C40DF7"/>
    <w:rsid w:val="00C616A4"/>
    <w:rsid w:val="00C83852"/>
    <w:rsid w:val="00C840A3"/>
    <w:rsid w:val="00C94803"/>
    <w:rsid w:val="00C96F90"/>
    <w:rsid w:val="00CD7C23"/>
    <w:rsid w:val="00CF455D"/>
    <w:rsid w:val="00D14B49"/>
    <w:rsid w:val="00D23424"/>
    <w:rsid w:val="00D30BB3"/>
    <w:rsid w:val="00D763A0"/>
    <w:rsid w:val="00D76418"/>
    <w:rsid w:val="00DA29A1"/>
    <w:rsid w:val="00DA2BDF"/>
    <w:rsid w:val="00DA3EDB"/>
    <w:rsid w:val="00DE66BC"/>
    <w:rsid w:val="00DF7149"/>
    <w:rsid w:val="00E1107C"/>
    <w:rsid w:val="00E26CD1"/>
    <w:rsid w:val="00E44B4D"/>
    <w:rsid w:val="00E538F9"/>
    <w:rsid w:val="00EA5008"/>
    <w:rsid w:val="00F03446"/>
    <w:rsid w:val="00F10827"/>
    <w:rsid w:val="00F467A0"/>
    <w:rsid w:val="00F63C92"/>
    <w:rsid w:val="00F67CC6"/>
    <w:rsid w:val="00F70363"/>
    <w:rsid w:val="00F728FE"/>
    <w:rsid w:val="00F7314E"/>
    <w:rsid w:val="00F9261B"/>
    <w:rsid w:val="00FA563C"/>
    <w:rsid w:val="00FB52C0"/>
    <w:rsid w:val="00FC0C1C"/>
    <w:rsid w:val="00FD2C2A"/>
    <w:rsid w:val="00FF206D"/>
    <w:rsid w:val="00FF29C1"/>
    <w:rsid w:val="00FF7975"/>
    <w:rsid w:val="01110E06"/>
    <w:rsid w:val="011922C1"/>
    <w:rsid w:val="011B5EC7"/>
    <w:rsid w:val="01234E3E"/>
    <w:rsid w:val="01296C1F"/>
    <w:rsid w:val="01325959"/>
    <w:rsid w:val="01486A70"/>
    <w:rsid w:val="014C4E4F"/>
    <w:rsid w:val="0158740A"/>
    <w:rsid w:val="016962E4"/>
    <w:rsid w:val="017976CF"/>
    <w:rsid w:val="01865784"/>
    <w:rsid w:val="01916193"/>
    <w:rsid w:val="01961EEE"/>
    <w:rsid w:val="019C40A4"/>
    <w:rsid w:val="01A96207"/>
    <w:rsid w:val="01B47CC7"/>
    <w:rsid w:val="01B53613"/>
    <w:rsid w:val="01BC3552"/>
    <w:rsid w:val="01D772A3"/>
    <w:rsid w:val="01D922A2"/>
    <w:rsid w:val="01DD27AE"/>
    <w:rsid w:val="01E215A1"/>
    <w:rsid w:val="01F27C77"/>
    <w:rsid w:val="01FD58A9"/>
    <w:rsid w:val="01FF5E25"/>
    <w:rsid w:val="020C401D"/>
    <w:rsid w:val="0212636B"/>
    <w:rsid w:val="02183BB5"/>
    <w:rsid w:val="02201428"/>
    <w:rsid w:val="02247BED"/>
    <w:rsid w:val="0225032D"/>
    <w:rsid w:val="023A3804"/>
    <w:rsid w:val="023B5027"/>
    <w:rsid w:val="023B7FBB"/>
    <w:rsid w:val="02431DC0"/>
    <w:rsid w:val="0248240F"/>
    <w:rsid w:val="02510E5A"/>
    <w:rsid w:val="025C776F"/>
    <w:rsid w:val="026223DF"/>
    <w:rsid w:val="02675512"/>
    <w:rsid w:val="026D004A"/>
    <w:rsid w:val="026D1F06"/>
    <w:rsid w:val="026E716C"/>
    <w:rsid w:val="027420B3"/>
    <w:rsid w:val="028277A1"/>
    <w:rsid w:val="029F01C5"/>
    <w:rsid w:val="02A420A1"/>
    <w:rsid w:val="02B071B5"/>
    <w:rsid w:val="02B27D4B"/>
    <w:rsid w:val="02B31B9E"/>
    <w:rsid w:val="02BB15E3"/>
    <w:rsid w:val="02CD1577"/>
    <w:rsid w:val="02D1725A"/>
    <w:rsid w:val="02FD37F2"/>
    <w:rsid w:val="03163FAD"/>
    <w:rsid w:val="031A2A62"/>
    <w:rsid w:val="03213611"/>
    <w:rsid w:val="032248BA"/>
    <w:rsid w:val="033B664C"/>
    <w:rsid w:val="033E4D02"/>
    <w:rsid w:val="034E4787"/>
    <w:rsid w:val="037039DE"/>
    <w:rsid w:val="037571BD"/>
    <w:rsid w:val="03770009"/>
    <w:rsid w:val="03771167"/>
    <w:rsid w:val="037C3E90"/>
    <w:rsid w:val="038E41B6"/>
    <w:rsid w:val="03966709"/>
    <w:rsid w:val="03971F22"/>
    <w:rsid w:val="03985275"/>
    <w:rsid w:val="03B676B0"/>
    <w:rsid w:val="03C069E5"/>
    <w:rsid w:val="03C10F03"/>
    <w:rsid w:val="03E8463F"/>
    <w:rsid w:val="03F04217"/>
    <w:rsid w:val="03F5780A"/>
    <w:rsid w:val="03F630D5"/>
    <w:rsid w:val="04054A2B"/>
    <w:rsid w:val="04064707"/>
    <w:rsid w:val="040934D0"/>
    <w:rsid w:val="04122E14"/>
    <w:rsid w:val="0414519C"/>
    <w:rsid w:val="041461E1"/>
    <w:rsid w:val="041729A1"/>
    <w:rsid w:val="042B2101"/>
    <w:rsid w:val="043738DE"/>
    <w:rsid w:val="0438675C"/>
    <w:rsid w:val="04433B28"/>
    <w:rsid w:val="04475344"/>
    <w:rsid w:val="044F5570"/>
    <w:rsid w:val="04605E2A"/>
    <w:rsid w:val="04663D13"/>
    <w:rsid w:val="046A0239"/>
    <w:rsid w:val="046E1037"/>
    <w:rsid w:val="048266DA"/>
    <w:rsid w:val="04865B1C"/>
    <w:rsid w:val="049F4EFD"/>
    <w:rsid w:val="04B44F23"/>
    <w:rsid w:val="04B6403B"/>
    <w:rsid w:val="04B90108"/>
    <w:rsid w:val="04BC69BA"/>
    <w:rsid w:val="04C7430A"/>
    <w:rsid w:val="04C83562"/>
    <w:rsid w:val="04CE4631"/>
    <w:rsid w:val="04DF3FCB"/>
    <w:rsid w:val="04E172CD"/>
    <w:rsid w:val="04EA3AA0"/>
    <w:rsid w:val="04F57CA3"/>
    <w:rsid w:val="04F61493"/>
    <w:rsid w:val="05166C6E"/>
    <w:rsid w:val="05336A3F"/>
    <w:rsid w:val="05397558"/>
    <w:rsid w:val="053D00B6"/>
    <w:rsid w:val="055E72FF"/>
    <w:rsid w:val="05674392"/>
    <w:rsid w:val="056C4502"/>
    <w:rsid w:val="057D235D"/>
    <w:rsid w:val="0596338A"/>
    <w:rsid w:val="05A07B6E"/>
    <w:rsid w:val="05B01A2F"/>
    <w:rsid w:val="05B2033B"/>
    <w:rsid w:val="05B2313E"/>
    <w:rsid w:val="05D011E8"/>
    <w:rsid w:val="05D3476D"/>
    <w:rsid w:val="05D63571"/>
    <w:rsid w:val="05E655CF"/>
    <w:rsid w:val="05F26614"/>
    <w:rsid w:val="05F810FA"/>
    <w:rsid w:val="06005707"/>
    <w:rsid w:val="06030411"/>
    <w:rsid w:val="060C6CC9"/>
    <w:rsid w:val="063D0506"/>
    <w:rsid w:val="065B0E15"/>
    <w:rsid w:val="06672F0B"/>
    <w:rsid w:val="066D4902"/>
    <w:rsid w:val="066E53C9"/>
    <w:rsid w:val="06717DA2"/>
    <w:rsid w:val="06855742"/>
    <w:rsid w:val="069C1423"/>
    <w:rsid w:val="069F291D"/>
    <w:rsid w:val="06A7610C"/>
    <w:rsid w:val="06BC76FB"/>
    <w:rsid w:val="06C35BC3"/>
    <w:rsid w:val="06C942E0"/>
    <w:rsid w:val="06CA2DCC"/>
    <w:rsid w:val="06CB0E83"/>
    <w:rsid w:val="06D8271F"/>
    <w:rsid w:val="06E767D9"/>
    <w:rsid w:val="06F15DAF"/>
    <w:rsid w:val="06FD59D4"/>
    <w:rsid w:val="0702214E"/>
    <w:rsid w:val="07023B66"/>
    <w:rsid w:val="072221F1"/>
    <w:rsid w:val="07281AD5"/>
    <w:rsid w:val="07341714"/>
    <w:rsid w:val="07391A2B"/>
    <w:rsid w:val="073F684C"/>
    <w:rsid w:val="07407105"/>
    <w:rsid w:val="074C551B"/>
    <w:rsid w:val="07576188"/>
    <w:rsid w:val="075A37C9"/>
    <w:rsid w:val="075B1A0B"/>
    <w:rsid w:val="07637D7E"/>
    <w:rsid w:val="07757831"/>
    <w:rsid w:val="077617AB"/>
    <w:rsid w:val="07766C19"/>
    <w:rsid w:val="077B15AC"/>
    <w:rsid w:val="07855785"/>
    <w:rsid w:val="078D2E7D"/>
    <w:rsid w:val="078E7D56"/>
    <w:rsid w:val="07950733"/>
    <w:rsid w:val="079E78C0"/>
    <w:rsid w:val="07A37F61"/>
    <w:rsid w:val="07AE7D61"/>
    <w:rsid w:val="07B53603"/>
    <w:rsid w:val="07BC0724"/>
    <w:rsid w:val="07CD0FB4"/>
    <w:rsid w:val="07D17C7C"/>
    <w:rsid w:val="07D461E0"/>
    <w:rsid w:val="07E50E7A"/>
    <w:rsid w:val="07ED0064"/>
    <w:rsid w:val="07FA1B0E"/>
    <w:rsid w:val="08115F74"/>
    <w:rsid w:val="081258F1"/>
    <w:rsid w:val="08165D36"/>
    <w:rsid w:val="082D0BA9"/>
    <w:rsid w:val="083A5177"/>
    <w:rsid w:val="085F666B"/>
    <w:rsid w:val="08641845"/>
    <w:rsid w:val="086F58A5"/>
    <w:rsid w:val="087A2652"/>
    <w:rsid w:val="08812725"/>
    <w:rsid w:val="089B0FEE"/>
    <w:rsid w:val="089C4071"/>
    <w:rsid w:val="08A272BD"/>
    <w:rsid w:val="08AB7C23"/>
    <w:rsid w:val="08BD0C5B"/>
    <w:rsid w:val="08C14C8E"/>
    <w:rsid w:val="08E535C2"/>
    <w:rsid w:val="08E6490B"/>
    <w:rsid w:val="08E77B89"/>
    <w:rsid w:val="08ED341D"/>
    <w:rsid w:val="08F91555"/>
    <w:rsid w:val="091017BD"/>
    <w:rsid w:val="09132DF8"/>
    <w:rsid w:val="09276536"/>
    <w:rsid w:val="092B3D47"/>
    <w:rsid w:val="093E67D4"/>
    <w:rsid w:val="094165A9"/>
    <w:rsid w:val="095143AD"/>
    <w:rsid w:val="095A3F9A"/>
    <w:rsid w:val="09631DBD"/>
    <w:rsid w:val="09680FEA"/>
    <w:rsid w:val="0970682C"/>
    <w:rsid w:val="09792BE7"/>
    <w:rsid w:val="097F7B39"/>
    <w:rsid w:val="09867DBC"/>
    <w:rsid w:val="09922ABE"/>
    <w:rsid w:val="09924611"/>
    <w:rsid w:val="09944D89"/>
    <w:rsid w:val="09B7116B"/>
    <w:rsid w:val="09DB37A4"/>
    <w:rsid w:val="09E337AF"/>
    <w:rsid w:val="09F94093"/>
    <w:rsid w:val="09FD10FA"/>
    <w:rsid w:val="09FE2D36"/>
    <w:rsid w:val="0A0D690A"/>
    <w:rsid w:val="0A583F9A"/>
    <w:rsid w:val="0A680F13"/>
    <w:rsid w:val="0A6A72D1"/>
    <w:rsid w:val="0A702524"/>
    <w:rsid w:val="0A731C56"/>
    <w:rsid w:val="0A9109E9"/>
    <w:rsid w:val="0A96082D"/>
    <w:rsid w:val="0A9A5D3D"/>
    <w:rsid w:val="0A9B67F9"/>
    <w:rsid w:val="0ABF36A1"/>
    <w:rsid w:val="0AC709E5"/>
    <w:rsid w:val="0ACB45ED"/>
    <w:rsid w:val="0AD97181"/>
    <w:rsid w:val="0AF92D82"/>
    <w:rsid w:val="0AFD4675"/>
    <w:rsid w:val="0AFE4389"/>
    <w:rsid w:val="0B036B82"/>
    <w:rsid w:val="0B0978FC"/>
    <w:rsid w:val="0B0D3507"/>
    <w:rsid w:val="0B1109DE"/>
    <w:rsid w:val="0B15582D"/>
    <w:rsid w:val="0B363484"/>
    <w:rsid w:val="0B405E34"/>
    <w:rsid w:val="0B422C4E"/>
    <w:rsid w:val="0B444D3C"/>
    <w:rsid w:val="0B495A95"/>
    <w:rsid w:val="0B4A0D9A"/>
    <w:rsid w:val="0B4A3D67"/>
    <w:rsid w:val="0B5F5790"/>
    <w:rsid w:val="0B6364EE"/>
    <w:rsid w:val="0B6539A0"/>
    <w:rsid w:val="0B6F76B9"/>
    <w:rsid w:val="0B893108"/>
    <w:rsid w:val="0B8D3B33"/>
    <w:rsid w:val="0B8F0F8E"/>
    <w:rsid w:val="0B9D4A61"/>
    <w:rsid w:val="0BA0157F"/>
    <w:rsid w:val="0BAE64FD"/>
    <w:rsid w:val="0BAF573C"/>
    <w:rsid w:val="0BD306C1"/>
    <w:rsid w:val="0BD31DE1"/>
    <w:rsid w:val="0BD629CF"/>
    <w:rsid w:val="0BE926FE"/>
    <w:rsid w:val="0BF0362D"/>
    <w:rsid w:val="0BF607AA"/>
    <w:rsid w:val="0C057449"/>
    <w:rsid w:val="0C071F7A"/>
    <w:rsid w:val="0C123464"/>
    <w:rsid w:val="0C2F476E"/>
    <w:rsid w:val="0C355D3B"/>
    <w:rsid w:val="0C49492D"/>
    <w:rsid w:val="0C511332"/>
    <w:rsid w:val="0C5C550B"/>
    <w:rsid w:val="0C71462B"/>
    <w:rsid w:val="0CA273F1"/>
    <w:rsid w:val="0CB11936"/>
    <w:rsid w:val="0CC27407"/>
    <w:rsid w:val="0CCC5C04"/>
    <w:rsid w:val="0CDB2A0A"/>
    <w:rsid w:val="0CDB7DFA"/>
    <w:rsid w:val="0CE12681"/>
    <w:rsid w:val="0CEF24BA"/>
    <w:rsid w:val="0D032F9E"/>
    <w:rsid w:val="0D065361"/>
    <w:rsid w:val="0D0D6A84"/>
    <w:rsid w:val="0D245BED"/>
    <w:rsid w:val="0D2E7CDE"/>
    <w:rsid w:val="0D52544D"/>
    <w:rsid w:val="0D631BA2"/>
    <w:rsid w:val="0D761084"/>
    <w:rsid w:val="0D851495"/>
    <w:rsid w:val="0D8F1F77"/>
    <w:rsid w:val="0D924CCC"/>
    <w:rsid w:val="0D98121C"/>
    <w:rsid w:val="0DA22EBD"/>
    <w:rsid w:val="0DD31D8F"/>
    <w:rsid w:val="0DDE19E8"/>
    <w:rsid w:val="0DDF3681"/>
    <w:rsid w:val="0DE21B55"/>
    <w:rsid w:val="0DE8177F"/>
    <w:rsid w:val="0DEC2ADB"/>
    <w:rsid w:val="0DF45C0B"/>
    <w:rsid w:val="0E0C2AFD"/>
    <w:rsid w:val="0E0E47F0"/>
    <w:rsid w:val="0E0F5D1B"/>
    <w:rsid w:val="0E121D9A"/>
    <w:rsid w:val="0E1B2CC9"/>
    <w:rsid w:val="0E2E6AB6"/>
    <w:rsid w:val="0E3B7750"/>
    <w:rsid w:val="0E510D62"/>
    <w:rsid w:val="0E63199B"/>
    <w:rsid w:val="0E7A66D6"/>
    <w:rsid w:val="0E8F739E"/>
    <w:rsid w:val="0E9F1C21"/>
    <w:rsid w:val="0EA744AE"/>
    <w:rsid w:val="0EA76951"/>
    <w:rsid w:val="0EAB77A0"/>
    <w:rsid w:val="0EDE27F8"/>
    <w:rsid w:val="0EE911F1"/>
    <w:rsid w:val="0EFB25D1"/>
    <w:rsid w:val="0F0119F6"/>
    <w:rsid w:val="0F022EE4"/>
    <w:rsid w:val="0F0239DF"/>
    <w:rsid w:val="0F0361C8"/>
    <w:rsid w:val="0F097F32"/>
    <w:rsid w:val="0F1C38A1"/>
    <w:rsid w:val="0F1D044C"/>
    <w:rsid w:val="0F367B25"/>
    <w:rsid w:val="0F3E5340"/>
    <w:rsid w:val="0F4E38F5"/>
    <w:rsid w:val="0F540BFC"/>
    <w:rsid w:val="0F5B51AF"/>
    <w:rsid w:val="0F5E193B"/>
    <w:rsid w:val="0F5E1E20"/>
    <w:rsid w:val="0F7125D5"/>
    <w:rsid w:val="0F794915"/>
    <w:rsid w:val="0F7E2308"/>
    <w:rsid w:val="0F8D1D66"/>
    <w:rsid w:val="0F8E634C"/>
    <w:rsid w:val="0F923D51"/>
    <w:rsid w:val="0F960DE0"/>
    <w:rsid w:val="0FAC1D9A"/>
    <w:rsid w:val="0FB0737F"/>
    <w:rsid w:val="0FCE6FEC"/>
    <w:rsid w:val="0FE47F4E"/>
    <w:rsid w:val="0FEB6B2A"/>
    <w:rsid w:val="0FEC6591"/>
    <w:rsid w:val="100C0C63"/>
    <w:rsid w:val="10215FFC"/>
    <w:rsid w:val="10251309"/>
    <w:rsid w:val="10261BAA"/>
    <w:rsid w:val="102B15CE"/>
    <w:rsid w:val="103C6776"/>
    <w:rsid w:val="104A034A"/>
    <w:rsid w:val="106306D4"/>
    <w:rsid w:val="10660739"/>
    <w:rsid w:val="106F11B4"/>
    <w:rsid w:val="10762B17"/>
    <w:rsid w:val="10965B95"/>
    <w:rsid w:val="109B7E33"/>
    <w:rsid w:val="10B06F61"/>
    <w:rsid w:val="10B477E1"/>
    <w:rsid w:val="10B70E7E"/>
    <w:rsid w:val="10B95554"/>
    <w:rsid w:val="10BE6DF1"/>
    <w:rsid w:val="10BF5AF0"/>
    <w:rsid w:val="10CC1D6A"/>
    <w:rsid w:val="10CF1CAA"/>
    <w:rsid w:val="10DC070D"/>
    <w:rsid w:val="10DC2540"/>
    <w:rsid w:val="10F93E88"/>
    <w:rsid w:val="11067954"/>
    <w:rsid w:val="1112518B"/>
    <w:rsid w:val="11397FCC"/>
    <w:rsid w:val="11596574"/>
    <w:rsid w:val="11963AC1"/>
    <w:rsid w:val="11B14483"/>
    <w:rsid w:val="11B1770D"/>
    <w:rsid w:val="11B96845"/>
    <w:rsid w:val="11CE0716"/>
    <w:rsid w:val="11CF78D8"/>
    <w:rsid w:val="11D65CBA"/>
    <w:rsid w:val="11D7231C"/>
    <w:rsid w:val="11E70DCC"/>
    <w:rsid w:val="12023388"/>
    <w:rsid w:val="12105780"/>
    <w:rsid w:val="12151C60"/>
    <w:rsid w:val="123021D6"/>
    <w:rsid w:val="124567D1"/>
    <w:rsid w:val="124B3A99"/>
    <w:rsid w:val="1253458F"/>
    <w:rsid w:val="126322CB"/>
    <w:rsid w:val="12691E05"/>
    <w:rsid w:val="12735ED9"/>
    <w:rsid w:val="12766327"/>
    <w:rsid w:val="128428CC"/>
    <w:rsid w:val="1287602C"/>
    <w:rsid w:val="129528F2"/>
    <w:rsid w:val="129B402D"/>
    <w:rsid w:val="129E1CBC"/>
    <w:rsid w:val="12A5368B"/>
    <w:rsid w:val="12A67371"/>
    <w:rsid w:val="12AC6B78"/>
    <w:rsid w:val="12C77051"/>
    <w:rsid w:val="12DF1D8A"/>
    <w:rsid w:val="12E073E8"/>
    <w:rsid w:val="12EE7D04"/>
    <w:rsid w:val="12F17637"/>
    <w:rsid w:val="13040A65"/>
    <w:rsid w:val="1306646C"/>
    <w:rsid w:val="13396B15"/>
    <w:rsid w:val="136A0D4C"/>
    <w:rsid w:val="136B4255"/>
    <w:rsid w:val="13701D45"/>
    <w:rsid w:val="13AB2902"/>
    <w:rsid w:val="13B100AE"/>
    <w:rsid w:val="13BA5348"/>
    <w:rsid w:val="13BB084C"/>
    <w:rsid w:val="13F46A94"/>
    <w:rsid w:val="14010277"/>
    <w:rsid w:val="14053D54"/>
    <w:rsid w:val="14066A71"/>
    <w:rsid w:val="141A56D9"/>
    <w:rsid w:val="141B4934"/>
    <w:rsid w:val="14216B57"/>
    <w:rsid w:val="143E0E51"/>
    <w:rsid w:val="143F5E76"/>
    <w:rsid w:val="14475CB7"/>
    <w:rsid w:val="146B646A"/>
    <w:rsid w:val="14772DD6"/>
    <w:rsid w:val="1477508C"/>
    <w:rsid w:val="148515B6"/>
    <w:rsid w:val="1487448F"/>
    <w:rsid w:val="14A23DCB"/>
    <w:rsid w:val="14A87F51"/>
    <w:rsid w:val="14B15ED6"/>
    <w:rsid w:val="14B450AE"/>
    <w:rsid w:val="14B67BFC"/>
    <w:rsid w:val="14B7210E"/>
    <w:rsid w:val="14BD28E4"/>
    <w:rsid w:val="14C14B89"/>
    <w:rsid w:val="14C57506"/>
    <w:rsid w:val="14C6316A"/>
    <w:rsid w:val="14D7056E"/>
    <w:rsid w:val="14E56C94"/>
    <w:rsid w:val="14EF073D"/>
    <w:rsid w:val="14F36498"/>
    <w:rsid w:val="14F36FB6"/>
    <w:rsid w:val="1509154F"/>
    <w:rsid w:val="150B34E4"/>
    <w:rsid w:val="151E3969"/>
    <w:rsid w:val="15303351"/>
    <w:rsid w:val="15343A2B"/>
    <w:rsid w:val="153D3AF3"/>
    <w:rsid w:val="153E0259"/>
    <w:rsid w:val="15432082"/>
    <w:rsid w:val="154A550F"/>
    <w:rsid w:val="154C5FD5"/>
    <w:rsid w:val="156311D8"/>
    <w:rsid w:val="15656850"/>
    <w:rsid w:val="157B5D24"/>
    <w:rsid w:val="157B72EF"/>
    <w:rsid w:val="158D4130"/>
    <w:rsid w:val="15911664"/>
    <w:rsid w:val="15993788"/>
    <w:rsid w:val="159B180C"/>
    <w:rsid w:val="15B73BFA"/>
    <w:rsid w:val="15BE121B"/>
    <w:rsid w:val="15CD667A"/>
    <w:rsid w:val="15DE28B3"/>
    <w:rsid w:val="1608380C"/>
    <w:rsid w:val="161530BC"/>
    <w:rsid w:val="16180A85"/>
    <w:rsid w:val="161E22D2"/>
    <w:rsid w:val="16436DF1"/>
    <w:rsid w:val="164D5330"/>
    <w:rsid w:val="164E7E96"/>
    <w:rsid w:val="1684632F"/>
    <w:rsid w:val="169F1E9B"/>
    <w:rsid w:val="16AA34E3"/>
    <w:rsid w:val="16B14473"/>
    <w:rsid w:val="16B76D7A"/>
    <w:rsid w:val="16BB0206"/>
    <w:rsid w:val="16DA63EA"/>
    <w:rsid w:val="16E44891"/>
    <w:rsid w:val="16F75C6C"/>
    <w:rsid w:val="16FD68E3"/>
    <w:rsid w:val="170E2DF2"/>
    <w:rsid w:val="170F2832"/>
    <w:rsid w:val="170F75FB"/>
    <w:rsid w:val="17212FDD"/>
    <w:rsid w:val="172E5971"/>
    <w:rsid w:val="17357DFC"/>
    <w:rsid w:val="17364AED"/>
    <w:rsid w:val="174342F4"/>
    <w:rsid w:val="174972AA"/>
    <w:rsid w:val="176150E8"/>
    <w:rsid w:val="177E7E5E"/>
    <w:rsid w:val="1790532E"/>
    <w:rsid w:val="17907896"/>
    <w:rsid w:val="17912484"/>
    <w:rsid w:val="17937A67"/>
    <w:rsid w:val="17A44464"/>
    <w:rsid w:val="17A72250"/>
    <w:rsid w:val="17C337B8"/>
    <w:rsid w:val="17CE0C4A"/>
    <w:rsid w:val="17D61088"/>
    <w:rsid w:val="17E04FBA"/>
    <w:rsid w:val="17F2486F"/>
    <w:rsid w:val="180462DC"/>
    <w:rsid w:val="181513AA"/>
    <w:rsid w:val="181A3C74"/>
    <w:rsid w:val="1839097D"/>
    <w:rsid w:val="184D386A"/>
    <w:rsid w:val="185C2A97"/>
    <w:rsid w:val="18631BD8"/>
    <w:rsid w:val="189916D9"/>
    <w:rsid w:val="18A80767"/>
    <w:rsid w:val="18B6371F"/>
    <w:rsid w:val="18E72DBC"/>
    <w:rsid w:val="18EE4A1B"/>
    <w:rsid w:val="18F616EF"/>
    <w:rsid w:val="18FF026F"/>
    <w:rsid w:val="190C3ACE"/>
    <w:rsid w:val="19112AB7"/>
    <w:rsid w:val="191A476F"/>
    <w:rsid w:val="19376D41"/>
    <w:rsid w:val="19392087"/>
    <w:rsid w:val="1945534D"/>
    <w:rsid w:val="19583B9C"/>
    <w:rsid w:val="195C774E"/>
    <w:rsid w:val="19607D44"/>
    <w:rsid w:val="196175B7"/>
    <w:rsid w:val="1962311B"/>
    <w:rsid w:val="196D1BA8"/>
    <w:rsid w:val="198037EE"/>
    <w:rsid w:val="198C0BF4"/>
    <w:rsid w:val="198E3A86"/>
    <w:rsid w:val="1992391C"/>
    <w:rsid w:val="1998712F"/>
    <w:rsid w:val="19992E8B"/>
    <w:rsid w:val="19A45E5C"/>
    <w:rsid w:val="19C309CE"/>
    <w:rsid w:val="19C373F7"/>
    <w:rsid w:val="19CB729E"/>
    <w:rsid w:val="19CD3561"/>
    <w:rsid w:val="19DB7DF8"/>
    <w:rsid w:val="19DF239C"/>
    <w:rsid w:val="19ED6518"/>
    <w:rsid w:val="19F55C70"/>
    <w:rsid w:val="19FA7739"/>
    <w:rsid w:val="1A031C47"/>
    <w:rsid w:val="1A1148C1"/>
    <w:rsid w:val="1A1623AD"/>
    <w:rsid w:val="1A273344"/>
    <w:rsid w:val="1A361478"/>
    <w:rsid w:val="1A3C006F"/>
    <w:rsid w:val="1A467EA1"/>
    <w:rsid w:val="1A4A02D3"/>
    <w:rsid w:val="1A5C6ED4"/>
    <w:rsid w:val="1A6F7BF0"/>
    <w:rsid w:val="1A733F51"/>
    <w:rsid w:val="1A79456A"/>
    <w:rsid w:val="1AD663FE"/>
    <w:rsid w:val="1AD82CE0"/>
    <w:rsid w:val="1AD86972"/>
    <w:rsid w:val="1AE60DFC"/>
    <w:rsid w:val="1AEA6440"/>
    <w:rsid w:val="1AF2794D"/>
    <w:rsid w:val="1B04344D"/>
    <w:rsid w:val="1B186FF4"/>
    <w:rsid w:val="1B193FEE"/>
    <w:rsid w:val="1B2120AC"/>
    <w:rsid w:val="1B2E1AD0"/>
    <w:rsid w:val="1B3B41D5"/>
    <w:rsid w:val="1B464F5B"/>
    <w:rsid w:val="1B6453EE"/>
    <w:rsid w:val="1B7A7EE5"/>
    <w:rsid w:val="1B8A146C"/>
    <w:rsid w:val="1BA31A9E"/>
    <w:rsid w:val="1BAA7CD3"/>
    <w:rsid w:val="1BAB3ECE"/>
    <w:rsid w:val="1BB7733B"/>
    <w:rsid w:val="1BB83851"/>
    <w:rsid w:val="1BC042DC"/>
    <w:rsid w:val="1BC847A1"/>
    <w:rsid w:val="1BCA58EB"/>
    <w:rsid w:val="1BD522B1"/>
    <w:rsid w:val="1BE85788"/>
    <w:rsid w:val="1BEC5941"/>
    <w:rsid w:val="1BF51208"/>
    <w:rsid w:val="1C1A1197"/>
    <w:rsid w:val="1C262C17"/>
    <w:rsid w:val="1C2A0049"/>
    <w:rsid w:val="1C3155A1"/>
    <w:rsid w:val="1C394F6A"/>
    <w:rsid w:val="1C414F4E"/>
    <w:rsid w:val="1C4B07DE"/>
    <w:rsid w:val="1C4C7A56"/>
    <w:rsid w:val="1C4F1B55"/>
    <w:rsid w:val="1C5E0AF6"/>
    <w:rsid w:val="1C5F3259"/>
    <w:rsid w:val="1C6A08AC"/>
    <w:rsid w:val="1C6B0F54"/>
    <w:rsid w:val="1C724DAA"/>
    <w:rsid w:val="1C8708CB"/>
    <w:rsid w:val="1C8A7A1D"/>
    <w:rsid w:val="1C8C66C0"/>
    <w:rsid w:val="1C982728"/>
    <w:rsid w:val="1C9D5B1D"/>
    <w:rsid w:val="1CA31BB6"/>
    <w:rsid w:val="1CBE3616"/>
    <w:rsid w:val="1CD03BB1"/>
    <w:rsid w:val="1CEC79F8"/>
    <w:rsid w:val="1CF35E70"/>
    <w:rsid w:val="1D00278C"/>
    <w:rsid w:val="1D135A95"/>
    <w:rsid w:val="1D140A55"/>
    <w:rsid w:val="1D236B78"/>
    <w:rsid w:val="1D2A793C"/>
    <w:rsid w:val="1D3869FB"/>
    <w:rsid w:val="1D3C3646"/>
    <w:rsid w:val="1D44451B"/>
    <w:rsid w:val="1D5505BA"/>
    <w:rsid w:val="1D5F04A2"/>
    <w:rsid w:val="1D882E0F"/>
    <w:rsid w:val="1DA97E12"/>
    <w:rsid w:val="1DAE5B43"/>
    <w:rsid w:val="1DB95EDE"/>
    <w:rsid w:val="1DC30883"/>
    <w:rsid w:val="1DC62049"/>
    <w:rsid w:val="1DD90759"/>
    <w:rsid w:val="1DE44FE9"/>
    <w:rsid w:val="1DFB6858"/>
    <w:rsid w:val="1E102EB0"/>
    <w:rsid w:val="1E3B54C6"/>
    <w:rsid w:val="1E481202"/>
    <w:rsid w:val="1E524C7C"/>
    <w:rsid w:val="1E685A1E"/>
    <w:rsid w:val="1E8A2FC9"/>
    <w:rsid w:val="1E99010B"/>
    <w:rsid w:val="1EAE5F28"/>
    <w:rsid w:val="1EB35614"/>
    <w:rsid w:val="1EC834A7"/>
    <w:rsid w:val="1EF20664"/>
    <w:rsid w:val="1F015DC2"/>
    <w:rsid w:val="1F2B290F"/>
    <w:rsid w:val="1F366C08"/>
    <w:rsid w:val="1F3A315D"/>
    <w:rsid w:val="1F3A3294"/>
    <w:rsid w:val="1F4479BB"/>
    <w:rsid w:val="1F4A5920"/>
    <w:rsid w:val="1F591517"/>
    <w:rsid w:val="1F7034ED"/>
    <w:rsid w:val="1FA32B7B"/>
    <w:rsid w:val="1FB74F77"/>
    <w:rsid w:val="1FC05FD6"/>
    <w:rsid w:val="1FCC3593"/>
    <w:rsid w:val="1FEE261E"/>
    <w:rsid w:val="1FF82369"/>
    <w:rsid w:val="1FFB371A"/>
    <w:rsid w:val="200D51E2"/>
    <w:rsid w:val="20151119"/>
    <w:rsid w:val="202366AA"/>
    <w:rsid w:val="202A7D3E"/>
    <w:rsid w:val="203C22F6"/>
    <w:rsid w:val="20466DCB"/>
    <w:rsid w:val="204671D0"/>
    <w:rsid w:val="20497170"/>
    <w:rsid w:val="204D63F5"/>
    <w:rsid w:val="20506FFB"/>
    <w:rsid w:val="20537C02"/>
    <w:rsid w:val="206D114B"/>
    <w:rsid w:val="2072643A"/>
    <w:rsid w:val="20772799"/>
    <w:rsid w:val="207E798A"/>
    <w:rsid w:val="20A278EC"/>
    <w:rsid w:val="20AE2E6A"/>
    <w:rsid w:val="20AE37FE"/>
    <w:rsid w:val="20B14A46"/>
    <w:rsid w:val="20D1397F"/>
    <w:rsid w:val="20D3484E"/>
    <w:rsid w:val="20D47DB9"/>
    <w:rsid w:val="20DD35B1"/>
    <w:rsid w:val="20E8638E"/>
    <w:rsid w:val="20F35474"/>
    <w:rsid w:val="20FA25EC"/>
    <w:rsid w:val="20FA52BF"/>
    <w:rsid w:val="21035CC4"/>
    <w:rsid w:val="211439E6"/>
    <w:rsid w:val="211C5EC9"/>
    <w:rsid w:val="212F6029"/>
    <w:rsid w:val="2155633D"/>
    <w:rsid w:val="216350A7"/>
    <w:rsid w:val="2192795E"/>
    <w:rsid w:val="219F1645"/>
    <w:rsid w:val="21A35923"/>
    <w:rsid w:val="21B8400D"/>
    <w:rsid w:val="21DF071A"/>
    <w:rsid w:val="21E57530"/>
    <w:rsid w:val="21E73D68"/>
    <w:rsid w:val="21F93AE4"/>
    <w:rsid w:val="2202624C"/>
    <w:rsid w:val="221F345A"/>
    <w:rsid w:val="22286427"/>
    <w:rsid w:val="22397D8C"/>
    <w:rsid w:val="224D7197"/>
    <w:rsid w:val="22523CD8"/>
    <w:rsid w:val="22530AAC"/>
    <w:rsid w:val="228251F5"/>
    <w:rsid w:val="228B490B"/>
    <w:rsid w:val="228C6115"/>
    <w:rsid w:val="22992C2A"/>
    <w:rsid w:val="229B6663"/>
    <w:rsid w:val="22A43600"/>
    <w:rsid w:val="22AC5A58"/>
    <w:rsid w:val="22BD0427"/>
    <w:rsid w:val="22D06408"/>
    <w:rsid w:val="22D572D0"/>
    <w:rsid w:val="22DB4D64"/>
    <w:rsid w:val="22FD1612"/>
    <w:rsid w:val="230F581C"/>
    <w:rsid w:val="23350AE4"/>
    <w:rsid w:val="23457434"/>
    <w:rsid w:val="234C745B"/>
    <w:rsid w:val="235B7F38"/>
    <w:rsid w:val="23606E4D"/>
    <w:rsid w:val="236503B6"/>
    <w:rsid w:val="23850B41"/>
    <w:rsid w:val="239F2CDA"/>
    <w:rsid w:val="23AA5BAD"/>
    <w:rsid w:val="23BA6F2A"/>
    <w:rsid w:val="23C0578B"/>
    <w:rsid w:val="23E63240"/>
    <w:rsid w:val="23ED5BF9"/>
    <w:rsid w:val="23FD080D"/>
    <w:rsid w:val="23FE4E88"/>
    <w:rsid w:val="23FE4EB2"/>
    <w:rsid w:val="240C3267"/>
    <w:rsid w:val="24151319"/>
    <w:rsid w:val="24253A31"/>
    <w:rsid w:val="244C7F99"/>
    <w:rsid w:val="244F0613"/>
    <w:rsid w:val="245453D0"/>
    <w:rsid w:val="245625A7"/>
    <w:rsid w:val="248C7020"/>
    <w:rsid w:val="249C35F9"/>
    <w:rsid w:val="24A528B4"/>
    <w:rsid w:val="24AE1BC0"/>
    <w:rsid w:val="24C343F9"/>
    <w:rsid w:val="24CA0360"/>
    <w:rsid w:val="24DC0D82"/>
    <w:rsid w:val="24EF3B68"/>
    <w:rsid w:val="24F36739"/>
    <w:rsid w:val="251329BB"/>
    <w:rsid w:val="2517331B"/>
    <w:rsid w:val="25341659"/>
    <w:rsid w:val="254F243E"/>
    <w:rsid w:val="25523B88"/>
    <w:rsid w:val="2561798B"/>
    <w:rsid w:val="25792C4E"/>
    <w:rsid w:val="25816168"/>
    <w:rsid w:val="25A502DE"/>
    <w:rsid w:val="25AB6CB7"/>
    <w:rsid w:val="25B7075E"/>
    <w:rsid w:val="25B81442"/>
    <w:rsid w:val="25C833D5"/>
    <w:rsid w:val="25CA1A5E"/>
    <w:rsid w:val="25D96974"/>
    <w:rsid w:val="25E93DA5"/>
    <w:rsid w:val="26087595"/>
    <w:rsid w:val="26206288"/>
    <w:rsid w:val="26286BA8"/>
    <w:rsid w:val="262B336A"/>
    <w:rsid w:val="265C39F8"/>
    <w:rsid w:val="265D3A52"/>
    <w:rsid w:val="267D5F5A"/>
    <w:rsid w:val="2683726B"/>
    <w:rsid w:val="268E0AD7"/>
    <w:rsid w:val="26A402D7"/>
    <w:rsid w:val="26A61982"/>
    <w:rsid w:val="26B47208"/>
    <w:rsid w:val="26DD3567"/>
    <w:rsid w:val="26FB070C"/>
    <w:rsid w:val="26FD2231"/>
    <w:rsid w:val="27075B1E"/>
    <w:rsid w:val="2713651F"/>
    <w:rsid w:val="271543AD"/>
    <w:rsid w:val="271D34AE"/>
    <w:rsid w:val="274134FB"/>
    <w:rsid w:val="2743510B"/>
    <w:rsid w:val="275128D9"/>
    <w:rsid w:val="27597D4F"/>
    <w:rsid w:val="2770629A"/>
    <w:rsid w:val="27946DDD"/>
    <w:rsid w:val="27995BD4"/>
    <w:rsid w:val="27A04ED3"/>
    <w:rsid w:val="27A516D7"/>
    <w:rsid w:val="27A54D07"/>
    <w:rsid w:val="27B7398D"/>
    <w:rsid w:val="27BD3038"/>
    <w:rsid w:val="27C424FA"/>
    <w:rsid w:val="27F01DF4"/>
    <w:rsid w:val="27F53979"/>
    <w:rsid w:val="27FE0E3E"/>
    <w:rsid w:val="28120868"/>
    <w:rsid w:val="281E0FE5"/>
    <w:rsid w:val="28275824"/>
    <w:rsid w:val="282934CD"/>
    <w:rsid w:val="2835363B"/>
    <w:rsid w:val="283D569E"/>
    <w:rsid w:val="28434B2F"/>
    <w:rsid w:val="28466F3C"/>
    <w:rsid w:val="284E25DA"/>
    <w:rsid w:val="285B0BE4"/>
    <w:rsid w:val="285C6EF8"/>
    <w:rsid w:val="287E7D01"/>
    <w:rsid w:val="287F5677"/>
    <w:rsid w:val="288524EF"/>
    <w:rsid w:val="288C5967"/>
    <w:rsid w:val="288F1EE2"/>
    <w:rsid w:val="289A661F"/>
    <w:rsid w:val="28AC3FE1"/>
    <w:rsid w:val="28AE707D"/>
    <w:rsid w:val="28B44B90"/>
    <w:rsid w:val="28B5571D"/>
    <w:rsid w:val="28BE7C77"/>
    <w:rsid w:val="28C078DB"/>
    <w:rsid w:val="28EB0CDA"/>
    <w:rsid w:val="290D2880"/>
    <w:rsid w:val="291D05F5"/>
    <w:rsid w:val="292B2876"/>
    <w:rsid w:val="29326EC8"/>
    <w:rsid w:val="293A6D89"/>
    <w:rsid w:val="29592753"/>
    <w:rsid w:val="29682B59"/>
    <w:rsid w:val="29684BCA"/>
    <w:rsid w:val="296B0A15"/>
    <w:rsid w:val="296C0DB5"/>
    <w:rsid w:val="29716689"/>
    <w:rsid w:val="297341AF"/>
    <w:rsid w:val="297E5F1B"/>
    <w:rsid w:val="299B4CCE"/>
    <w:rsid w:val="29A10CA3"/>
    <w:rsid w:val="29A52ADA"/>
    <w:rsid w:val="29AB498E"/>
    <w:rsid w:val="29B51BCE"/>
    <w:rsid w:val="29C34847"/>
    <w:rsid w:val="29C35AF7"/>
    <w:rsid w:val="29D82573"/>
    <w:rsid w:val="29D827B0"/>
    <w:rsid w:val="29D90988"/>
    <w:rsid w:val="29EA52EF"/>
    <w:rsid w:val="29EF08CA"/>
    <w:rsid w:val="2A082E16"/>
    <w:rsid w:val="2A220BA5"/>
    <w:rsid w:val="2A2437B5"/>
    <w:rsid w:val="2A2D6002"/>
    <w:rsid w:val="2A3C2B26"/>
    <w:rsid w:val="2A3F2FF8"/>
    <w:rsid w:val="2A4F2715"/>
    <w:rsid w:val="2A5038D6"/>
    <w:rsid w:val="2A5100A0"/>
    <w:rsid w:val="2A687735"/>
    <w:rsid w:val="2A755986"/>
    <w:rsid w:val="2A792D4F"/>
    <w:rsid w:val="2A7A4318"/>
    <w:rsid w:val="2A815035"/>
    <w:rsid w:val="2A8D6977"/>
    <w:rsid w:val="2A933AED"/>
    <w:rsid w:val="2A97216E"/>
    <w:rsid w:val="2A9A64F8"/>
    <w:rsid w:val="2A9C18D8"/>
    <w:rsid w:val="2AAA76E2"/>
    <w:rsid w:val="2ADE189C"/>
    <w:rsid w:val="2AEA1D81"/>
    <w:rsid w:val="2AEF66A5"/>
    <w:rsid w:val="2AF730EF"/>
    <w:rsid w:val="2B053E3F"/>
    <w:rsid w:val="2B0F6C2E"/>
    <w:rsid w:val="2B0F7D39"/>
    <w:rsid w:val="2B104C7C"/>
    <w:rsid w:val="2B1C2E31"/>
    <w:rsid w:val="2B204A27"/>
    <w:rsid w:val="2B235D5E"/>
    <w:rsid w:val="2B2926C1"/>
    <w:rsid w:val="2B330D22"/>
    <w:rsid w:val="2B332BF9"/>
    <w:rsid w:val="2B351489"/>
    <w:rsid w:val="2B3730FC"/>
    <w:rsid w:val="2B3E003D"/>
    <w:rsid w:val="2B5A0AC6"/>
    <w:rsid w:val="2B661A55"/>
    <w:rsid w:val="2B6645EF"/>
    <w:rsid w:val="2B6724FA"/>
    <w:rsid w:val="2B6C0A85"/>
    <w:rsid w:val="2B8C1610"/>
    <w:rsid w:val="2B967A5F"/>
    <w:rsid w:val="2BB84E97"/>
    <w:rsid w:val="2BD72421"/>
    <w:rsid w:val="2BE45464"/>
    <w:rsid w:val="2BE85CD5"/>
    <w:rsid w:val="2BF47537"/>
    <w:rsid w:val="2C033E72"/>
    <w:rsid w:val="2C2B116D"/>
    <w:rsid w:val="2C3711D5"/>
    <w:rsid w:val="2C41373D"/>
    <w:rsid w:val="2C4338B1"/>
    <w:rsid w:val="2C626AE7"/>
    <w:rsid w:val="2C6732B9"/>
    <w:rsid w:val="2C816614"/>
    <w:rsid w:val="2C865271"/>
    <w:rsid w:val="2C940DDF"/>
    <w:rsid w:val="2C9B1E2A"/>
    <w:rsid w:val="2CA32136"/>
    <w:rsid w:val="2CBD63FA"/>
    <w:rsid w:val="2CCE1A70"/>
    <w:rsid w:val="2CD83023"/>
    <w:rsid w:val="2CED1B47"/>
    <w:rsid w:val="2CF17367"/>
    <w:rsid w:val="2CF7030B"/>
    <w:rsid w:val="2D0529D6"/>
    <w:rsid w:val="2D110A42"/>
    <w:rsid w:val="2D191BFC"/>
    <w:rsid w:val="2D1C41CB"/>
    <w:rsid w:val="2D277C67"/>
    <w:rsid w:val="2D2F04EF"/>
    <w:rsid w:val="2D3D26C4"/>
    <w:rsid w:val="2D45096D"/>
    <w:rsid w:val="2D581AE2"/>
    <w:rsid w:val="2D81716B"/>
    <w:rsid w:val="2D8D5DBA"/>
    <w:rsid w:val="2D9804E1"/>
    <w:rsid w:val="2DA53C82"/>
    <w:rsid w:val="2DB95849"/>
    <w:rsid w:val="2DBB3BC7"/>
    <w:rsid w:val="2DC44641"/>
    <w:rsid w:val="2DC76AB5"/>
    <w:rsid w:val="2E011683"/>
    <w:rsid w:val="2E243782"/>
    <w:rsid w:val="2E272B04"/>
    <w:rsid w:val="2E31770C"/>
    <w:rsid w:val="2E4C12F6"/>
    <w:rsid w:val="2E544482"/>
    <w:rsid w:val="2E54560E"/>
    <w:rsid w:val="2E594F14"/>
    <w:rsid w:val="2E607D45"/>
    <w:rsid w:val="2E9E3FF0"/>
    <w:rsid w:val="2EAD42E7"/>
    <w:rsid w:val="2EB9479F"/>
    <w:rsid w:val="2ECC4378"/>
    <w:rsid w:val="2ED14AA3"/>
    <w:rsid w:val="2EDF2A3C"/>
    <w:rsid w:val="2EFA7EAE"/>
    <w:rsid w:val="2F055CA7"/>
    <w:rsid w:val="2F0D4075"/>
    <w:rsid w:val="2F0D4BF4"/>
    <w:rsid w:val="2F1A008D"/>
    <w:rsid w:val="2F1E5DC6"/>
    <w:rsid w:val="2F23132D"/>
    <w:rsid w:val="2F2E5819"/>
    <w:rsid w:val="2F421719"/>
    <w:rsid w:val="2F467BC3"/>
    <w:rsid w:val="2F5475A7"/>
    <w:rsid w:val="2F5A7294"/>
    <w:rsid w:val="2F5E31C7"/>
    <w:rsid w:val="2F6556ED"/>
    <w:rsid w:val="2F893DD9"/>
    <w:rsid w:val="2F8B1FAF"/>
    <w:rsid w:val="2F8C1BAD"/>
    <w:rsid w:val="2F925B7F"/>
    <w:rsid w:val="2FA4482C"/>
    <w:rsid w:val="2FBE38BB"/>
    <w:rsid w:val="2FD1570F"/>
    <w:rsid w:val="2FE44C40"/>
    <w:rsid w:val="2FE80C2E"/>
    <w:rsid w:val="30033829"/>
    <w:rsid w:val="300A19BE"/>
    <w:rsid w:val="301559D3"/>
    <w:rsid w:val="3026060C"/>
    <w:rsid w:val="302927B4"/>
    <w:rsid w:val="302D0111"/>
    <w:rsid w:val="303323D8"/>
    <w:rsid w:val="303954A2"/>
    <w:rsid w:val="3045040E"/>
    <w:rsid w:val="30531075"/>
    <w:rsid w:val="305D2A59"/>
    <w:rsid w:val="30721749"/>
    <w:rsid w:val="307675B4"/>
    <w:rsid w:val="308222E9"/>
    <w:rsid w:val="30837237"/>
    <w:rsid w:val="309040EF"/>
    <w:rsid w:val="309350DF"/>
    <w:rsid w:val="30944861"/>
    <w:rsid w:val="30A95DB2"/>
    <w:rsid w:val="30AE5FFA"/>
    <w:rsid w:val="30B37BCC"/>
    <w:rsid w:val="30BB211F"/>
    <w:rsid w:val="30C51FAF"/>
    <w:rsid w:val="30CF31E3"/>
    <w:rsid w:val="30E620E5"/>
    <w:rsid w:val="30EE6E8E"/>
    <w:rsid w:val="30F34025"/>
    <w:rsid w:val="3102177B"/>
    <w:rsid w:val="31064FE4"/>
    <w:rsid w:val="310E5C94"/>
    <w:rsid w:val="310F08BA"/>
    <w:rsid w:val="311E3B79"/>
    <w:rsid w:val="312C43CB"/>
    <w:rsid w:val="314C2934"/>
    <w:rsid w:val="31590B77"/>
    <w:rsid w:val="315C55CC"/>
    <w:rsid w:val="316164CB"/>
    <w:rsid w:val="317923F6"/>
    <w:rsid w:val="317A18D0"/>
    <w:rsid w:val="31830E9D"/>
    <w:rsid w:val="31840C06"/>
    <w:rsid w:val="31881145"/>
    <w:rsid w:val="319266F0"/>
    <w:rsid w:val="31A6072E"/>
    <w:rsid w:val="31A815F8"/>
    <w:rsid w:val="31A9113B"/>
    <w:rsid w:val="31B87014"/>
    <w:rsid w:val="31BD40F2"/>
    <w:rsid w:val="31CA7244"/>
    <w:rsid w:val="31D315D8"/>
    <w:rsid w:val="31D51DB8"/>
    <w:rsid w:val="31EE7AC2"/>
    <w:rsid w:val="31F17843"/>
    <w:rsid w:val="32001232"/>
    <w:rsid w:val="3209485F"/>
    <w:rsid w:val="320D00ED"/>
    <w:rsid w:val="321A7D0D"/>
    <w:rsid w:val="32240DA9"/>
    <w:rsid w:val="322435D5"/>
    <w:rsid w:val="322922F9"/>
    <w:rsid w:val="322B1A70"/>
    <w:rsid w:val="32304530"/>
    <w:rsid w:val="324313EB"/>
    <w:rsid w:val="3253513C"/>
    <w:rsid w:val="325F1436"/>
    <w:rsid w:val="326C4966"/>
    <w:rsid w:val="3272116A"/>
    <w:rsid w:val="327927E4"/>
    <w:rsid w:val="32875ACB"/>
    <w:rsid w:val="32A362BB"/>
    <w:rsid w:val="32B35085"/>
    <w:rsid w:val="32B402F8"/>
    <w:rsid w:val="32D977A7"/>
    <w:rsid w:val="32DC3B5D"/>
    <w:rsid w:val="32E25E1F"/>
    <w:rsid w:val="32E31088"/>
    <w:rsid w:val="32F9789E"/>
    <w:rsid w:val="330316C9"/>
    <w:rsid w:val="33164755"/>
    <w:rsid w:val="332417BF"/>
    <w:rsid w:val="33526C43"/>
    <w:rsid w:val="335D58AD"/>
    <w:rsid w:val="33755A20"/>
    <w:rsid w:val="337E24E4"/>
    <w:rsid w:val="338C545C"/>
    <w:rsid w:val="33A231C7"/>
    <w:rsid w:val="33AF11CD"/>
    <w:rsid w:val="33B81DE3"/>
    <w:rsid w:val="33BA23C1"/>
    <w:rsid w:val="33BB050F"/>
    <w:rsid w:val="33C24013"/>
    <w:rsid w:val="33CE5CA0"/>
    <w:rsid w:val="33D134FA"/>
    <w:rsid w:val="33DF0F3E"/>
    <w:rsid w:val="33F43B4D"/>
    <w:rsid w:val="33F63062"/>
    <w:rsid w:val="33F95E02"/>
    <w:rsid w:val="342E2586"/>
    <w:rsid w:val="343417B6"/>
    <w:rsid w:val="343D6A23"/>
    <w:rsid w:val="344E57CE"/>
    <w:rsid w:val="34614A70"/>
    <w:rsid w:val="347B06D5"/>
    <w:rsid w:val="347E5E4E"/>
    <w:rsid w:val="34B462E0"/>
    <w:rsid w:val="34C93E6E"/>
    <w:rsid w:val="34CF0EBB"/>
    <w:rsid w:val="34D3018A"/>
    <w:rsid w:val="34DB3478"/>
    <w:rsid w:val="34DB7451"/>
    <w:rsid w:val="34DE0455"/>
    <w:rsid w:val="34DE70CB"/>
    <w:rsid w:val="350267A3"/>
    <w:rsid w:val="35291E25"/>
    <w:rsid w:val="352A4911"/>
    <w:rsid w:val="352E5990"/>
    <w:rsid w:val="35347E5E"/>
    <w:rsid w:val="3543129D"/>
    <w:rsid w:val="354541DE"/>
    <w:rsid w:val="35662417"/>
    <w:rsid w:val="356E7DF2"/>
    <w:rsid w:val="357120E6"/>
    <w:rsid w:val="357A61BB"/>
    <w:rsid w:val="35914F63"/>
    <w:rsid w:val="35AB322A"/>
    <w:rsid w:val="35AD6B9C"/>
    <w:rsid w:val="35AF065E"/>
    <w:rsid w:val="35C3323B"/>
    <w:rsid w:val="35CC783D"/>
    <w:rsid w:val="35D04464"/>
    <w:rsid w:val="35EE4B3B"/>
    <w:rsid w:val="35F6773F"/>
    <w:rsid w:val="35FE439C"/>
    <w:rsid w:val="36087603"/>
    <w:rsid w:val="361E5551"/>
    <w:rsid w:val="362004FF"/>
    <w:rsid w:val="364411F3"/>
    <w:rsid w:val="365605AB"/>
    <w:rsid w:val="3665213D"/>
    <w:rsid w:val="36652728"/>
    <w:rsid w:val="36664758"/>
    <w:rsid w:val="36707940"/>
    <w:rsid w:val="367B33FE"/>
    <w:rsid w:val="367C0C5C"/>
    <w:rsid w:val="36832176"/>
    <w:rsid w:val="36B13142"/>
    <w:rsid w:val="36B932B8"/>
    <w:rsid w:val="36BE69F6"/>
    <w:rsid w:val="36CF33EE"/>
    <w:rsid w:val="36CF3A06"/>
    <w:rsid w:val="36D014BD"/>
    <w:rsid w:val="36E357BF"/>
    <w:rsid w:val="36F157FC"/>
    <w:rsid w:val="37142FA4"/>
    <w:rsid w:val="373F129E"/>
    <w:rsid w:val="37481961"/>
    <w:rsid w:val="3762597F"/>
    <w:rsid w:val="377320B8"/>
    <w:rsid w:val="377F2132"/>
    <w:rsid w:val="37854B5B"/>
    <w:rsid w:val="3786773A"/>
    <w:rsid w:val="37932AD8"/>
    <w:rsid w:val="3795431C"/>
    <w:rsid w:val="379B733A"/>
    <w:rsid w:val="37A06F15"/>
    <w:rsid w:val="37A27E43"/>
    <w:rsid w:val="37A47B03"/>
    <w:rsid w:val="37A9530D"/>
    <w:rsid w:val="37AF1E47"/>
    <w:rsid w:val="37B3163C"/>
    <w:rsid w:val="37C84EE8"/>
    <w:rsid w:val="37C85DE6"/>
    <w:rsid w:val="37DE20C8"/>
    <w:rsid w:val="37ED6756"/>
    <w:rsid w:val="37EE7E8B"/>
    <w:rsid w:val="37FE503C"/>
    <w:rsid w:val="3815162A"/>
    <w:rsid w:val="38180BCC"/>
    <w:rsid w:val="381B2FD0"/>
    <w:rsid w:val="381B7852"/>
    <w:rsid w:val="381F0F23"/>
    <w:rsid w:val="38246319"/>
    <w:rsid w:val="382F4F00"/>
    <w:rsid w:val="3834728A"/>
    <w:rsid w:val="383F7F2E"/>
    <w:rsid w:val="384905DE"/>
    <w:rsid w:val="385023B1"/>
    <w:rsid w:val="3878042E"/>
    <w:rsid w:val="38784F89"/>
    <w:rsid w:val="38AE517B"/>
    <w:rsid w:val="38D63519"/>
    <w:rsid w:val="38E35F12"/>
    <w:rsid w:val="38F71600"/>
    <w:rsid w:val="38F81758"/>
    <w:rsid w:val="391E2C91"/>
    <w:rsid w:val="3926422B"/>
    <w:rsid w:val="39331A89"/>
    <w:rsid w:val="394B386E"/>
    <w:rsid w:val="39567274"/>
    <w:rsid w:val="39627EB7"/>
    <w:rsid w:val="39705634"/>
    <w:rsid w:val="39906819"/>
    <w:rsid w:val="399E6655"/>
    <w:rsid w:val="39BF1AE9"/>
    <w:rsid w:val="39C935EA"/>
    <w:rsid w:val="39CA20D6"/>
    <w:rsid w:val="39CF6562"/>
    <w:rsid w:val="39DA2C71"/>
    <w:rsid w:val="39DF3F96"/>
    <w:rsid w:val="39E94462"/>
    <w:rsid w:val="39F1790B"/>
    <w:rsid w:val="3A021774"/>
    <w:rsid w:val="3A1917B8"/>
    <w:rsid w:val="3A195548"/>
    <w:rsid w:val="3A1A2B85"/>
    <w:rsid w:val="3A1B55B0"/>
    <w:rsid w:val="3A372CE7"/>
    <w:rsid w:val="3A426B31"/>
    <w:rsid w:val="3A5771CA"/>
    <w:rsid w:val="3A5F5373"/>
    <w:rsid w:val="3A60120E"/>
    <w:rsid w:val="3A8457E9"/>
    <w:rsid w:val="3A952F9B"/>
    <w:rsid w:val="3AA45EAC"/>
    <w:rsid w:val="3ABD7B89"/>
    <w:rsid w:val="3ACF4766"/>
    <w:rsid w:val="3AD37D3F"/>
    <w:rsid w:val="3AE96818"/>
    <w:rsid w:val="3AF2191D"/>
    <w:rsid w:val="3B303AA0"/>
    <w:rsid w:val="3B3C7DA5"/>
    <w:rsid w:val="3B41130E"/>
    <w:rsid w:val="3B4C3DB2"/>
    <w:rsid w:val="3B5102FE"/>
    <w:rsid w:val="3B651539"/>
    <w:rsid w:val="3B656DBF"/>
    <w:rsid w:val="3B6B5142"/>
    <w:rsid w:val="3B73751E"/>
    <w:rsid w:val="3B792376"/>
    <w:rsid w:val="3B7C2DEA"/>
    <w:rsid w:val="3B81545F"/>
    <w:rsid w:val="3B9059FD"/>
    <w:rsid w:val="3BA052D2"/>
    <w:rsid w:val="3BAA58B1"/>
    <w:rsid w:val="3BB829D4"/>
    <w:rsid w:val="3BB863FA"/>
    <w:rsid w:val="3BBF6814"/>
    <w:rsid w:val="3BCB1D59"/>
    <w:rsid w:val="3BD15A61"/>
    <w:rsid w:val="3BE6193C"/>
    <w:rsid w:val="3BFC0F79"/>
    <w:rsid w:val="3C04169E"/>
    <w:rsid w:val="3C043ACB"/>
    <w:rsid w:val="3C07395E"/>
    <w:rsid w:val="3C0A747E"/>
    <w:rsid w:val="3C0F2C7B"/>
    <w:rsid w:val="3C1079DE"/>
    <w:rsid w:val="3C1975A9"/>
    <w:rsid w:val="3C416BDA"/>
    <w:rsid w:val="3C4444C3"/>
    <w:rsid w:val="3C4D305E"/>
    <w:rsid w:val="3C60438C"/>
    <w:rsid w:val="3C6732A7"/>
    <w:rsid w:val="3C8A45FC"/>
    <w:rsid w:val="3CB17DFC"/>
    <w:rsid w:val="3CBB7816"/>
    <w:rsid w:val="3CBD72CF"/>
    <w:rsid w:val="3CC2265C"/>
    <w:rsid w:val="3CD066AB"/>
    <w:rsid w:val="3CDB78F3"/>
    <w:rsid w:val="3CE70D6B"/>
    <w:rsid w:val="3CE90FFD"/>
    <w:rsid w:val="3CEB5F2A"/>
    <w:rsid w:val="3CF276C6"/>
    <w:rsid w:val="3D0728FF"/>
    <w:rsid w:val="3D140CF3"/>
    <w:rsid w:val="3D1F43C9"/>
    <w:rsid w:val="3D25676B"/>
    <w:rsid w:val="3D357BDB"/>
    <w:rsid w:val="3D3C3F6B"/>
    <w:rsid w:val="3D3F09DA"/>
    <w:rsid w:val="3D757922"/>
    <w:rsid w:val="3D8728DF"/>
    <w:rsid w:val="3DB27522"/>
    <w:rsid w:val="3DBA0DE7"/>
    <w:rsid w:val="3DD439B5"/>
    <w:rsid w:val="3DE610AB"/>
    <w:rsid w:val="3DE95942"/>
    <w:rsid w:val="3DFB53FC"/>
    <w:rsid w:val="3E05197D"/>
    <w:rsid w:val="3E074FBE"/>
    <w:rsid w:val="3E0811A4"/>
    <w:rsid w:val="3E0C41BF"/>
    <w:rsid w:val="3E16694F"/>
    <w:rsid w:val="3E1F0990"/>
    <w:rsid w:val="3E29681C"/>
    <w:rsid w:val="3E3A6C92"/>
    <w:rsid w:val="3E5B03AA"/>
    <w:rsid w:val="3E65104A"/>
    <w:rsid w:val="3E72712D"/>
    <w:rsid w:val="3E991461"/>
    <w:rsid w:val="3E9D334D"/>
    <w:rsid w:val="3E9F43A0"/>
    <w:rsid w:val="3EA0125E"/>
    <w:rsid w:val="3EAC6066"/>
    <w:rsid w:val="3EC0764D"/>
    <w:rsid w:val="3EC84ED0"/>
    <w:rsid w:val="3EC9788D"/>
    <w:rsid w:val="3ED830C1"/>
    <w:rsid w:val="3ED94147"/>
    <w:rsid w:val="3EEA5FB7"/>
    <w:rsid w:val="3EEE7261"/>
    <w:rsid w:val="3EF04038"/>
    <w:rsid w:val="3F067E66"/>
    <w:rsid w:val="3F1E4F89"/>
    <w:rsid w:val="3F2D158E"/>
    <w:rsid w:val="3F5F5B0A"/>
    <w:rsid w:val="3F6E75BE"/>
    <w:rsid w:val="3F6F3B4F"/>
    <w:rsid w:val="3F7B0C3E"/>
    <w:rsid w:val="3F812801"/>
    <w:rsid w:val="3F86163E"/>
    <w:rsid w:val="3F867AE0"/>
    <w:rsid w:val="3F922F0E"/>
    <w:rsid w:val="3F942AE1"/>
    <w:rsid w:val="3FB803BC"/>
    <w:rsid w:val="3FBB7C2B"/>
    <w:rsid w:val="3FD225D7"/>
    <w:rsid w:val="3FE301C3"/>
    <w:rsid w:val="3FEB0156"/>
    <w:rsid w:val="3FED5807"/>
    <w:rsid w:val="3FEF10D8"/>
    <w:rsid w:val="4004250A"/>
    <w:rsid w:val="401457BD"/>
    <w:rsid w:val="401E51CD"/>
    <w:rsid w:val="402F2E6D"/>
    <w:rsid w:val="40300D0E"/>
    <w:rsid w:val="40531097"/>
    <w:rsid w:val="40602524"/>
    <w:rsid w:val="40756BFA"/>
    <w:rsid w:val="40825FDC"/>
    <w:rsid w:val="40833C36"/>
    <w:rsid w:val="40981A85"/>
    <w:rsid w:val="409E301A"/>
    <w:rsid w:val="40A66A9E"/>
    <w:rsid w:val="40A76EF3"/>
    <w:rsid w:val="40AB5D79"/>
    <w:rsid w:val="40D87256"/>
    <w:rsid w:val="40D97543"/>
    <w:rsid w:val="40E67EF3"/>
    <w:rsid w:val="410B7871"/>
    <w:rsid w:val="41373F3E"/>
    <w:rsid w:val="41380022"/>
    <w:rsid w:val="41396733"/>
    <w:rsid w:val="413A7595"/>
    <w:rsid w:val="413A779B"/>
    <w:rsid w:val="413D6CEB"/>
    <w:rsid w:val="414119BC"/>
    <w:rsid w:val="414B7C4E"/>
    <w:rsid w:val="41606074"/>
    <w:rsid w:val="4171572A"/>
    <w:rsid w:val="41851BD1"/>
    <w:rsid w:val="41937C94"/>
    <w:rsid w:val="41AB68E1"/>
    <w:rsid w:val="41C124F9"/>
    <w:rsid w:val="41D03CD9"/>
    <w:rsid w:val="41D20F6D"/>
    <w:rsid w:val="41D65682"/>
    <w:rsid w:val="41DD38CC"/>
    <w:rsid w:val="41F91632"/>
    <w:rsid w:val="420A6E21"/>
    <w:rsid w:val="420B640A"/>
    <w:rsid w:val="420F73FB"/>
    <w:rsid w:val="42271F26"/>
    <w:rsid w:val="42385A57"/>
    <w:rsid w:val="423B0C83"/>
    <w:rsid w:val="423E6CF6"/>
    <w:rsid w:val="423E710F"/>
    <w:rsid w:val="42453399"/>
    <w:rsid w:val="42585005"/>
    <w:rsid w:val="42756582"/>
    <w:rsid w:val="42800834"/>
    <w:rsid w:val="428845E4"/>
    <w:rsid w:val="42895E7D"/>
    <w:rsid w:val="42931289"/>
    <w:rsid w:val="42947222"/>
    <w:rsid w:val="42974016"/>
    <w:rsid w:val="429806AD"/>
    <w:rsid w:val="42A41781"/>
    <w:rsid w:val="42AF6EAF"/>
    <w:rsid w:val="42BA127A"/>
    <w:rsid w:val="42C11694"/>
    <w:rsid w:val="42D15EE7"/>
    <w:rsid w:val="42E551A7"/>
    <w:rsid w:val="42E62140"/>
    <w:rsid w:val="43074B6B"/>
    <w:rsid w:val="43101E90"/>
    <w:rsid w:val="431369D2"/>
    <w:rsid w:val="43155376"/>
    <w:rsid w:val="431A04FB"/>
    <w:rsid w:val="431A322F"/>
    <w:rsid w:val="432B03E6"/>
    <w:rsid w:val="43342D02"/>
    <w:rsid w:val="43515855"/>
    <w:rsid w:val="43575876"/>
    <w:rsid w:val="436922F9"/>
    <w:rsid w:val="43785B1D"/>
    <w:rsid w:val="43814A52"/>
    <w:rsid w:val="43877EFB"/>
    <w:rsid w:val="438C24C3"/>
    <w:rsid w:val="43AC68B2"/>
    <w:rsid w:val="43AF3496"/>
    <w:rsid w:val="43B07C6D"/>
    <w:rsid w:val="43D4154E"/>
    <w:rsid w:val="43EF3070"/>
    <w:rsid w:val="43F0750A"/>
    <w:rsid w:val="43FC4765"/>
    <w:rsid w:val="4413719D"/>
    <w:rsid w:val="44190BF7"/>
    <w:rsid w:val="44420C90"/>
    <w:rsid w:val="444314A3"/>
    <w:rsid w:val="4451561F"/>
    <w:rsid w:val="44537DBC"/>
    <w:rsid w:val="4456364C"/>
    <w:rsid w:val="44620122"/>
    <w:rsid w:val="44641E1F"/>
    <w:rsid w:val="44723672"/>
    <w:rsid w:val="447804CA"/>
    <w:rsid w:val="448F2375"/>
    <w:rsid w:val="44965B61"/>
    <w:rsid w:val="44984C1A"/>
    <w:rsid w:val="44986569"/>
    <w:rsid w:val="449C6625"/>
    <w:rsid w:val="44AA2B6B"/>
    <w:rsid w:val="44AC5B1B"/>
    <w:rsid w:val="44C82EB7"/>
    <w:rsid w:val="44D14757"/>
    <w:rsid w:val="44E86CB8"/>
    <w:rsid w:val="44EA4F9E"/>
    <w:rsid w:val="44FD16E5"/>
    <w:rsid w:val="45270417"/>
    <w:rsid w:val="45314EEE"/>
    <w:rsid w:val="45583629"/>
    <w:rsid w:val="455C770B"/>
    <w:rsid w:val="456A0E72"/>
    <w:rsid w:val="457734D8"/>
    <w:rsid w:val="458C013A"/>
    <w:rsid w:val="459267A0"/>
    <w:rsid w:val="45E033B4"/>
    <w:rsid w:val="45E05619"/>
    <w:rsid w:val="45EA2A62"/>
    <w:rsid w:val="45F329DC"/>
    <w:rsid w:val="45F3766A"/>
    <w:rsid w:val="460C76EA"/>
    <w:rsid w:val="462A0480"/>
    <w:rsid w:val="4634113C"/>
    <w:rsid w:val="464A3ADD"/>
    <w:rsid w:val="46597930"/>
    <w:rsid w:val="465C610C"/>
    <w:rsid w:val="4666373F"/>
    <w:rsid w:val="468C526C"/>
    <w:rsid w:val="469D1377"/>
    <w:rsid w:val="46A20458"/>
    <w:rsid w:val="46B12B71"/>
    <w:rsid w:val="46BB61D7"/>
    <w:rsid w:val="46C171E3"/>
    <w:rsid w:val="46C22401"/>
    <w:rsid w:val="46D701D5"/>
    <w:rsid w:val="46E061F1"/>
    <w:rsid w:val="46E74935"/>
    <w:rsid w:val="46E813ED"/>
    <w:rsid w:val="46F07C37"/>
    <w:rsid w:val="46F378CE"/>
    <w:rsid w:val="46FF00EE"/>
    <w:rsid w:val="46FF3AD6"/>
    <w:rsid w:val="47017745"/>
    <w:rsid w:val="470F6D4D"/>
    <w:rsid w:val="472170BD"/>
    <w:rsid w:val="47375F45"/>
    <w:rsid w:val="473E7703"/>
    <w:rsid w:val="47451DFC"/>
    <w:rsid w:val="47531DD7"/>
    <w:rsid w:val="47645B43"/>
    <w:rsid w:val="47672F66"/>
    <w:rsid w:val="477751EC"/>
    <w:rsid w:val="47A84DA9"/>
    <w:rsid w:val="47AC2DC1"/>
    <w:rsid w:val="47B8584F"/>
    <w:rsid w:val="47BD4A55"/>
    <w:rsid w:val="47BE1862"/>
    <w:rsid w:val="47C660BC"/>
    <w:rsid w:val="47C759B2"/>
    <w:rsid w:val="47C84C3C"/>
    <w:rsid w:val="47DF7B25"/>
    <w:rsid w:val="47E133F8"/>
    <w:rsid w:val="48110298"/>
    <w:rsid w:val="48160AA7"/>
    <w:rsid w:val="4819425B"/>
    <w:rsid w:val="481D3C11"/>
    <w:rsid w:val="483C21EA"/>
    <w:rsid w:val="48465E78"/>
    <w:rsid w:val="48651BCD"/>
    <w:rsid w:val="48745655"/>
    <w:rsid w:val="487E013D"/>
    <w:rsid w:val="487E3B6C"/>
    <w:rsid w:val="48A16E39"/>
    <w:rsid w:val="48AD22AA"/>
    <w:rsid w:val="48BA7D6D"/>
    <w:rsid w:val="48BE32E6"/>
    <w:rsid w:val="48BF0FEA"/>
    <w:rsid w:val="48C721B6"/>
    <w:rsid w:val="48D91582"/>
    <w:rsid w:val="48ED4530"/>
    <w:rsid w:val="48EE12C1"/>
    <w:rsid w:val="48F0581F"/>
    <w:rsid w:val="48F13265"/>
    <w:rsid w:val="49004013"/>
    <w:rsid w:val="49032A86"/>
    <w:rsid w:val="491F4A2F"/>
    <w:rsid w:val="492B4677"/>
    <w:rsid w:val="49365140"/>
    <w:rsid w:val="493F1D69"/>
    <w:rsid w:val="49455943"/>
    <w:rsid w:val="49516A12"/>
    <w:rsid w:val="49594955"/>
    <w:rsid w:val="495C537B"/>
    <w:rsid w:val="495E7503"/>
    <w:rsid w:val="496144AA"/>
    <w:rsid w:val="497B2B11"/>
    <w:rsid w:val="49A07A0C"/>
    <w:rsid w:val="49AA59B2"/>
    <w:rsid w:val="49C07148"/>
    <w:rsid w:val="49CD2A8D"/>
    <w:rsid w:val="49CF2911"/>
    <w:rsid w:val="49CF59B6"/>
    <w:rsid w:val="49D418B1"/>
    <w:rsid w:val="49E50628"/>
    <w:rsid w:val="49E93C46"/>
    <w:rsid w:val="49EB018C"/>
    <w:rsid w:val="49EC5AA5"/>
    <w:rsid w:val="49EF1699"/>
    <w:rsid w:val="4A0C7F02"/>
    <w:rsid w:val="4A0F57C3"/>
    <w:rsid w:val="4A130855"/>
    <w:rsid w:val="4A1A4CA7"/>
    <w:rsid w:val="4A2D6303"/>
    <w:rsid w:val="4A363EB8"/>
    <w:rsid w:val="4A3B4BD8"/>
    <w:rsid w:val="4A513344"/>
    <w:rsid w:val="4A5E387A"/>
    <w:rsid w:val="4A7927AA"/>
    <w:rsid w:val="4A7B0D63"/>
    <w:rsid w:val="4A7D687D"/>
    <w:rsid w:val="4AA116D0"/>
    <w:rsid w:val="4AAF7853"/>
    <w:rsid w:val="4AB061E4"/>
    <w:rsid w:val="4AB11443"/>
    <w:rsid w:val="4ABB3920"/>
    <w:rsid w:val="4AC202BA"/>
    <w:rsid w:val="4AC859CA"/>
    <w:rsid w:val="4ADB3F9A"/>
    <w:rsid w:val="4ADD0CFA"/>
    <w:rsid w:val="4AF51500"/>
    <w:rsid w:val="4B002A20"/>
    <w:rsid w:val="4B09475D"/>
    <w:rsid w:val="4B0F4F3E"/>
    <w:rsid w:val="4B157C35"/>
    <w:rsid w:val="4B1F0707"/>
    <w:rsid w:val="4B2129EE"/>
    <w:rsid w:val="4B2E6623"/>
    <w:rsid w:val="4B3D17EB"/>
    <w:rsid w:val="4B410885"/>
    <w:rsid w:val="4B50375B"/>
    <w:rsid w:val="4B514A9F"/>
    <w:rsid w:val="4B5D3849"/>
    <w:rsid w:val="4B6A1344"/>
    <w:rsid w:val="4B7756BC"/>
    <w:rsid w:val="4B8D7C37"/>
    <w:rsid w:val="4B91311E"/>
    <w:rsid w:val="4B980238"/>
    <w:rsid w:val="4BCC521B"/>
    <w:rsid w:val="4BD00903"/>
    <w:rsid w:val="4BD6313B"/>
    <w:rsid w:val="4BDD46E0"/>
    <w:rsid w:val="4BDD56DC"/>
    <w:rsid w:val="4BDE6987"/>
    <w:rsid w:val="4BE34048"/>
    <w:rsid w:val="4BEA162C"/>
    <w:rsid w:val="4BEC39C9"/>
    <w:rsid w:val="4BF47C24"/>
    <w:rsid w:val="4BFA2D30"/>
    <w:rsid w:val="4BFD26C8"/>
    <w:rsid w:val="4BFF06A6"/>
    <w:rsid w:val="4C0064EB"/>
    <w:rsid w:val="4C014F35"/>
    <w:rsid w:val="4C055AF1"/>
    <w:rsid w:val="4C062B81"/>
    <w:rsid w:val="4C2A71DA"/>
    <w:rsid w:val="4C3B516A"/>
    <w:rsid w:val="4C3D5BD1"/>
    <w:rsid w:val="4C3F71A8"/>
    <w:rsid w:val="4C447F3C"/>
    <w:rsid w:val="4C563314"/>
    <w:rsid w:val="4C5F28A1"/>
    <w:rsid w:val="4C7A067A"/>
    <w:rsid w:val="4C876F14"/>
    <w:rsid w:val="4C9301B2"/>
    <w:rsid w:val="4CA14250"/>
    <w:rsid w:val="4CB15826"/>
    <w:rsid w:val="4CBA7F11"/>
    <w:rsid w:val="4CCC6AD8"/>
    <w:rsid w:val="4CDC5370"/>
    <w:rsid w:val="4CEF557E"/>
    <w:rsid w:val="4D0101EC"/>
    <w:rsid w:val="4D100485"/>
    <w:rsid w:val="4D11592D"/>
    <w:rsid w:val="4D153D64"/>
    <w:rsid w:val="4D2F59D2"/>
    <w:rsid w:val="4D363C0B"/>
    <w:rsid w:val="4D37685C"/>
    <w:rsid w:val="4D3B6DAA"/>
    <w:rsid w:val="4D41311F"/>
    <w:rsid w:val="4D687814"/>
    <w:rsid w:val="4D7F5C38"/>
    <w:rsid w:val="4D8E5F8B"/>
    <w:rsid w:val="4D955331"/>
    <w:rsid w:val="4D9E716C"/>
    <w:rsid w:val="4DA023BB"/>
    <w:rsid w:val="4DA421BC"/>
    <w:rsid w:val="4DB23D18"/>
    <w:rsid w:val="4DB909AF"/>
    <w:rsid w:val="4DBC24D9"/>
    <w:rsid w:val="4DC539CD"/>
    <w:rsid w:val="4DD4508E"/>
    <w:rsid w:val="4DEF1903"/>
    <w:rsid w:val="4DFB0CA7"/>
    <w:rsid w:val="4DFD3A9D"/>
    <w:rsid w:val="4E011D29"/>
    <w:rsid w:val="4E0F4B1C"/>
    <w:rsid w:val="4E350611"/>
    <w:rsid w:val="4E42201F"/>
    <w:rsid w:val="4E4A07D9"/>
    <w:rsid w:val="4E59654F"/>
    <w:rsid w:val="4E5A5335"/>
    <w:rsid w:val="4E5D52F4"/>
    <w:rsid w:val="4E5E1C79"/>
    <w:rsid w:val="4E60303C"/>
    <w:rsid w:val="4E7757DA"/>
    <w:rsid w:val="4E810360"/>
    <w:rsid w:val="4E97377E"/>
    <w:rsid w:val="4EA04FCD"/>
    <w:rsid w:val="4EAF7AF8"/>
    <w:rsid w:val="4EB02AFA"/>
    <w:rsid w:val="4ECC0A63"/>
    <w:rsid w:val="4ECD2B22"/>
    <w:rsid w:val="4ED11A46"/>
    <w:rsid w:val="4EE52AC1"/>
    <w:rsid w:val="4EE601DB"/>
    <w:rsid w:val="4EE77E17"/>
    <w:rsid w:val="4F033E62"/>
    <w:rsid w:val="4F036A55"/>
    <w:rsid w:val="4F0B4416"/>
    <w:rsid w:val="4F0E6AC9"/>
    <w:rsid w:val="4F121B0B"/>
    <w:rsid w:val="4F143918"/>
    <w:rsid w:val="4F172E60"/>
    <w:rsid w:val="4F2159C0"/>
    <w:rsid w:val="4F2B024A"/>
    <w:rsid w:val="4F2F3D4F"/>
    <w:rsid w:val="4F680013"/>
    <w:rsid w:val="4F692200"/>
    <w:rsid w:val="4F6A3BA4"/>
    <w:rsid w:val="4F760AE0"/>
    <w:rsid w:val="4F817B37"/>
    <w:rsid w:val="50100886"/>
    <w:rsid w:val="50506634"/>
    <w:rsid w:val="50543A73"/>
    <w:rsid w:val="50583DB2"/>
    <w:rsid w:val="50660E2A"/>
    <w:rsid w:val="50665A2B"/>
    <w:rsid w:val="50673B5C"/>
    <w:rsid w:val="50681DF5"/>
    <w:rsid w:val="50760C36"/>
    <w:rsid w:val="507A0041"/>
    <w:rsid w:val="508274F8"/>
    <w:rsid w:val="508B158A"/>
    <w:rsid w:val="50960658"/>
    <w:rsid w:val="50982913"/>
    <w:rsid w:val="50A335EC"/>
    <w:rsid w:val="50AA2150"/>
    <w:rsid w:val="50AB1BC0"/>
    <w:rsid w:val="50BF52A8"/>
    <w:rsid w:val="50C161BA"/>
    <w:rsid w:val="50C21833"/>
    <w:rsid w:val="50CB0142"/>
    <w:rsid w:val="50CE42A9"/>
    <w:rsid w:val="50D91C6D"/>
    <w:rsid w:val="50DD752B"/>
    <w:rsid w:val="50DE1A2C"/>
    <w:rsid w:val="50E878A3"/>
    <w:rsid w:val="50FD6417"/>
    <w:rsid w:val="510420F7"/>
    <w:rsid w:val="51107F2E"/>
    <w:rsid w:val="5112310D"/>
    <w:rsid w:val="512821C5"/>
    <w:rsid w:val="512E43EE"/>
    <w:rsid w:val="513460FC"/>
    <w:rsid w:val="513C33D8"/>
    <w:rsid w:val="513D34B8"/>
    <w:rsid w:val="513F24F9"/>
    <w:rsid w:val="51402B46"/>
    <w:rsid w:val="5143219A"/>
    <w:rsid w:val="514B43E3"/>
    <w:rsid w:val="51567631"/>
    <w:rsid w:val="51600F7C"/>
    <w:rsid w:val="5162639F"/>
    <w:rsid w:val="517902DF"/>
    <w:rsid w:val="518668E5"/>
    <w:rsid w:val="51882D23"/>
    <w:rsid w:val="51AA21BB"/>
    <w:rsid w:val="51B539F5"/>
    <w:rsid w:val="51BA7944"/>
    <w:rsid w:val="51BB248E"/>
    <w:rsid w:val="51CF463C"/>
    <w:rsid w:val="51D20A7D"/>
    <w:rsid w:val="51D23F0C"/>
    <w:rsid w:val="51DA52E1"/>
    <w:rsid w:val="51DD5042"/>
    <w:rsid w:val="51E60E87"/>
    <w:rsid w:val="51F66CD0"/>
    <w:rsid w:val="520324A0"/>
    <w:rsid w:val="520E5624"/>
    <w:rsid w:val="521F12B3"/>
    <w:rsid w:val="52291369"/>
    <w:rsid w:val="522B084B"/>
    <w:rsid w:val="52302EF8"/>
    <w:rsid w:val="523B4937"/>
    <w:rsid w:val="523E6488"/>
    <w:rsid w:val="52521258"/>
    <w:rsid w:val="526577CA"/>
    <w:rsid w:val="52774857"/>
    <w:rsid w:val="52A85A71"/>
    <w:rsid w:val="52AC49F5"/>
    <w:rsid w:val="52AD4347"/>
    <w:rsid w:val="52B353F4"/>
    <w:rsid w:val="52B95847"/>
    <w:rsid w:val="52C418ED"/>
    <w:rsid w:val="52C81E5C"/>
    <w:rsid w:val="52CA2BF0"/>
    <w:rsid w:val="52CD6BEF"/>
    <w:rsid w:val="52CE2E79"/>
    <w:rsid w:val="52D3439C"/>
    <w:rsid w:val="52EB482F"/>
    <w:rsid w:val="53041ADB"/>
    <w:rsid w:val="53132328"/>
    <w:rsid w:val="53242CA4"/>
    <w:rsid w:val="532C5BCA"/>
    <w:rsid w:val="532D0D25"/>
    <w:rsid w:val="532D147E"/>
    <w:rsid w:val="535F5BDA"/>
    <w:rsid w:val="536D7784"/>
    <w:rsid w:val="53705D5C"/>
    <w:rsid w:val="53773CBD"/>
    <w:rsid w:val="53783DC1"/>
    <w:rsid w:val="538F188D"/>
    <w:rsid w:val="53940B95"/>
    <w:rsid w:val="53975176"/>
    <w:rsid w:val="539D34A5"/>
    <w:rsid w:val="53A02B1B"/>
    <w:rsid w:val="53C13E8F"/>
    <w:rsid w:val="53D704E3"/>
    <w:rsid w:val="53E2517A"/>
    <w:rsid w:val="53F6679C"/>
    <w:rsid w:val="53FC307D"/>
    <w:rsid w:val="53FE1486"/>
    <w:rsid w:val="540A3735"/>
    <w:rsid w:val="54113E11"/>
    <w:rsid w:val="54131042"/>
    <w:rsid w:val="54153A4D"/>
    <w:rsid w:val="541F323F"/>
    <w:rsid w:val="543040A5"/>
    <w:rsid w:val="54532076"/>
    <w:rsid w:val="54563723"/>
    <w:rsid w:val="54657C06"/>
    <w:rsid w:val="546D6DB6"/>
    <w:rsid w:val="54716B27"/>
    <w:rsid w:val="547E706C"/>
    <w:rsid w:val="54824034"/>
    <w:rsid w:val="548B31D4"/>
    <w:rsid w:val="54984846"/>
    <w:rsid w:val="549A0AF6"/>
    <w:rsid w:val="54A473D2"/>
    <w:rsid w:val="54A93422"/>
    <w:rsid w:val="54B222BC"/>
    <w:rsid w:val="54B70268"/>
    <w:rsid w:val="54C00AB1"/>
    <w:rsid w:val="54C96D05"/>
    <w:rsid w:val="54CB6BA1"/>
    <w:rsid w:val="54E030F4"/>
    <w:rsid w:val="54E32C80"/>
    <w:rsid w:val="54E95BBC"/>
    <w:rsid w:val="552C5EB3"/>
    <w:rsid w:val="55382DAD"/>
    <w:rsid w:val="554A0ACF"/>
    <w:rsid w:val="555979C7"/>
    <w:rsid w:val="555C2BCF"/>
    <w:rsid w:val="556F26F3"/>
    <w:rsid w:val="557B2F88"/>
    <w:rsid w:val="557C712F"/>
    <w:rsid w:val="55A6717A"/>
    <w:rsid w:val="55A74E70"/>
    <w:rsid w:val="55B202EF"/>
    <w:rsid w:val="55C3006B"/>
    <w:rsid w:val="55C80C4F"/>
    <w:rsid w:val="55CB0D1D"/>
    <w:rsid w:val="55CD0C94"/>
    <w:rsid w:val="55D01BA6"/>
    <w:rsid w:val="55DF5717"/>
    <w:rsid w:val="55E159A4"/>
    <w:rsid w:val="55E910B6"/>
    <w:rsid w:val="55F113A2"/>
    <w:rsid w:val="55F877EC"/>
    <w:rsid w:val="55F93EBA"/>
    <w:rsid w:val="55F940B7"/>
    <w:rsid w:val="55FD2A54"/>
    <w:rsid w:val="55FD470E"/>
    <w:rsid w:val="56065100"/>
    <w:rsid w:val="561A6B64"/>
    <w:rsid w:val="563649DD"/>
    <w:rsid w:val="563655E8"/>
    <w:rsid w:val="56365C2E"/>
    <w:rsid w:val="563674B5"/>
    <w:rsid w:val="56392021"/>
    <w:rsid w:val="56453ECA"/>
    <w:rsid w:val="564A7E16"/>
    <w:rsid w:val="564F43C7"/>
    <w:rsid w:val="5655638C"/>
    <w:rsid w:val="56572FEC"/>
    <w:rsid w:val="565F44D3"/>
    <w:rsid w:val="567300E6"/>
    <w:rsid w:val="56754E44"/>
    <w:rsid w:val="56770197"/>
    <w:rsid w:val="567B1F2B"/>
    <w:rsid w:val="56867CAC"/>
    <w:rsid w:val="56A17A26"/>
    <w:rsid w:val="56B82F30"/>
    <w:rsid w:val="56B94260"/>
    <w:rsid w:val="56CB030D"/>
    <w:rsid w:val="56D227CA"/>
    <w:rsid w:val="56D51AEF"/>
    <w:rsid w:val="56D93732"/>
    <w:rsid w:val="57025219"/>
    <w:rsid w:val="570526CD"/>
    <w:rsid w:val="570F47BE"/>
    <w:rsid w:val="571A030C"/>
    <w:rsid w:val="57231F21"/>
    <w:rsid w:val="57330FE1"/>
    <w:rsid w:val="574040F3"/>
    <w:rsid w:val="5754051B"/>
    <w:rsid w:val="575E5C30"/>
    <w:rsid w:val="57690E4F"/>
    <w:rsid w:val="576A7713"/>
    <w:rsid w:val="57774733"/>
    <w:rsid w:val="5791008B"/>
    <w:rsid w:val="57935A23"/>
    <w:rsid w:val="579920D9"/>
    <w:rsid w:val="57B02BD0"/>
    <w:rsid w:val="57B45167"/>
    <w:rsid w:val="57CA5074"/>
    <w:rsid w:val="57D769D6"/>
    <w:rsid w:val="57DA3005"/>
    <w:rsid w:val="57E74B54"/>
    <w:rsid w:val="57F1178B"/>
    <w:rsid w:val="57F1635C"/>
    <w:rsid w:val="57F44CAC"/>
    <w:rsid w:val="57F51D84"/>
    <w:rsid w:val="57F60E39"/>
    <w:rsid w:val="57FF0F4F"/>
    <w:rsid w:val="58042A56"/>
    <w:rsid w:val="58085C3D"/>
    <w:rsid w:val="580A6EDB"/>
    <w:rsid w:val="5821289C"/>
    <w:rsid w:val="5830091C"/>
    <w:rsid w:val="5839077A"/>
    <w:rsid w:val="583B74D0"/>
    <w:rsid w:val="583E5434"/>
    <w:rsid w:val="587C036F"/>
    <w:rsid w:val="5890707C"/>
    <w:rsid w:val="58957B8C"/>
    <w:rsid w:val="589859D5"/>
    <w:rsid w:val="58C462F4"/>
    <w:rsid w:val="58D44CF7"/>
    <w:rsid w:val="58DC7A23"/>
    <w:rsid w:val="58E120C2"/>
    <w:rsid w:val="58F87A38"/>
    <w:rsid w:val="5929788E"/>
    <w:rsid w:val="59313B43"/>
    <w:rsid w:val="59351AA3"/>
    <w:rsid w:val="5938606F"/>
    <w:rsid w:val="593A75C5"/>
    <w:rsid w:val="593B05DA"/>
    <w:rsid w:val="5943699B"/>
    <w:rsid w:val="5948761B"/>
    <w:rsid w:val="594C242A"/>
    <w:rsid w:val="594E748C"/>
    <w:rsid w:val="59583D39"/>
    <w:rsid w:val="598B6C27"/>
    <w:rsid w:val="59AA7F0E"/>
    <w:rsid w:val="59B53395"/>
    <w:rsid w:val="59C43B2B"/>
    <w:rsid w:val="59CF6921"/>
    <w:rsid w:val="59E60E2A"/>
    <w:rsid w:val="5A040B17"/>
    <w:rsid w:val="5A075673"/>
    <w:rsid w:val="5A103B90"/>
    <w:rsid w:val="5A1A2C4A"/>
    <w:rsid w:val="5A1E48C2"/>
    <w:rsid w:val="5A232EE3"/>
    <w:rsid w:val="5A246664"/>
    <w:rsid w:val="5A3728F0"/>
    <w:rsid w:val="5A434151"/>
    <w:rsid w:val="5A471F60"/>
    <w:rsid w:val="5A4907E4"/>
    <w:rsid w:val="5A4A12C4"/>
    <w:rsid w:val="5A5574BB"/>
    <w:rsid w:val="5A557EB5"/>
    <w:rsid w:val="5A5D411C"/>
    <w:rsid w:val="5A681BF1"/>
    <w:rsid w:val="5A6E398A"/>
    <w:rsid w:val="5A987FB9"/>
    <w:rsid w:val="5A9F3D40"/>
    <w:rsid w:val="5AA862DB"/>
    <w:rsid w:val="5AB204D6"/>
    <w:rsid w:val="5ABA380B"/>
    <w:rsid w:val="5AE32AE6"/>
    <w:rsid w:val="5AE412C2"/>
    <w:rsid w:val="5AE83649"/>
    <w:rsid w:val="5AF01F35"/>
    <w:rsid w:val="5AF3320E"/>
    <w:rsid w:val="5B264F16"/>
    <w:rsid w:val="5B3E502A"/>
    <w:rsid w:val="5B3F06DB"/>
    <w:rsid w:val="5B4D464F"/>
    <w:rsid w:val="5B565EED"/>
    <w:rsid w:val="5B6349B8"/>
    <w:rsid w:val="5B7149F1"/>
    <w:rsid w:val="5B7D3D4C"/>
    <w:rsid w:val="5B801E98"/>
    <w:rsid w:val="5BA25E62"/>
    <w:rsid w:val="5BA46E39"/>
    <w:rsid w:val="5BA50AD1"/>
    <w:rsid w:val="5BB31251"/>
    <w:rsid w:val="5BC04523"/>
    <w:rsid w:val="5BC97DE9"/>
    <w:rsid w:val="5BD514F1"/>
    <w:rsid w:val="5BE43AD3"/>
    <w:rsid w:val="5BE518DC"/>
    <w:rsid w:val="5BEF0E43"/>
    <w:rsid w:val="5BF279CB"/>
    <w:rsid w:val="5BFF0BB6"/>
    <w:rsid w:val="5C010172"/>
    <w:rsid w:val="5C047C0C"/>
    <w:rsid w:val="5C0800A1"/>
    <w:rsid w:val="5C0A6022"/>
    <w:rsid w:val="5C1E7FB5"/>
    <w:rsid w:val="5C226B2B"/>
    <w:rsid w:val="5C244811"/>
    <w:rsid w:val="5C306AB3"/>
    <w:rsid w:val="5C341906"/>
    <w:rsid w:val="5C671D5D"/>
    <w:rsid w:val="5C764759"/>
    <w:rsid w:val="5C780D81"/>
    <w:rsid w:val="5C7A4359"/>
    <w:rsid w:val="5C7E21C5"/>
    <w:rsid w:val="5CA2483B"/>
    <w:rsid w:val="5CAF3518"/>
    <w:rsid w:val="5CB010EE"/>
    <w:rsid w:val="5CB3331F"/>
    <w:rsid w:val="5CB55472"/>
    <w:rsid w:val="5CBB4A10"/>
    <w:rsid w:val="5CBF2642"/>
    <w:rsid w:val="5CDB4FC8"/>
    <w:rsid w:val="5CEA3521"/>
    <w:rsid w:val="5D011A97"/>
    <w:rsid w:val="5D09133D"/>
    <w:rsid w:val="5D190519"/>
    <w:rsid w:val="5D2D3341"/>
    <w:rsid w:val="5D397725"/>
    <w:rsid w:val="5D3D435A"/>
    <w:rsid w:val="5D4E6909"/>
    <w:rsid w:val="5D4F5BC3"/>
    <w:rsid w:val="5D5B03C3"/>
    <w:rsid w:val="5D616801"/>
    <w:rsid w:val="5D624A8F"/>
    <w:rsid w:val="5D6E22AC"/>
    <w:rsid w:val="5D6E6800"/>
    <w:rsid w:val="5D7842D3"/>
    <w:rsid w:val="5D8164DD"/>
    <w:rsid w:val="5D886297"/>
    <w:rsid w:val="5DDB710D"/>
    <w:rsid w:val="5DDD54BF"/>
    <w:rsid w:val="5DE01715"/>
    <w:rsid w:val="5DE03BCF"/>
    <w:rsid w:val="5DEE3AC0"/>
    <w:rsid w:val="5DF07B1E"/>
    <w:rsid w:val="5DF6271C"/>
    <w:rsid w:val="5DFA4F4B"/>
    <w:rsid w:val="5E0851AC"/>
    <w:rsid w:val="5E2872E8"/>
    <w:rsid w:val="5E3762D9"/>
    <w:rsid w:val="5E38357C"/>
    <w:rsid w:val="5E387A14"/>
    <w:rsid w:val="5E421222"/>
    <w:rsid w:val="5E4A59E7"/>
    <w:rsid w:val="5E4E5934"/>
    <w:rsid w:val="5E5C408E"/>
    <w:rsid w:val="5E6838D1"/>
    <w:rsid w:val="5E6D0203"/>
    <w:rsid w:val="5E7205D5"/>
    <w:rsid w:val="5E7F6F4D"/>
    <w:rsid w:val="5E8054AC"/>
    <w:rsid w:val="5E8D5E03"/>
    <w:rsid w:val="5E99223B"/>
    <w:rsid w:val="5EA20588"/>
    <w:rsid w:val="5EA26A35"/>
    <w:rsid w:val="5EA309BC"/>
    <w:rsid w:val="5EB22BF1"/>
    <w:rsid w:val="5EBC22A1"/>
    <w:rsid w:val="5EC97EE0"/>
    <w:rsid w:val="5ED60635"/>
    <w:rsid w:val="5ED7582B"/>
    <w:rsid w:val="5EE93B70"/>
    <w:rsid w:val="5EF069FA"/>
    <w:rsid w:val="5EFA1D84"/>
    <w:rsid w:val="5EFC3C5C"/>
    <w:rsid w:val="5F0345EF"/>
    <w:rsid w:val="5F0E6504"/>
    <w:rsid w:val="5F1624A0"/>
    <w:rsid w:val="5F2464EA"/>
    <w:rsid w:val="5F2556F8"/>
    <w:rsid w:val="5F361247"/>
    <w:rsid w:val="5F3F7625"/>
    <w:rsid w:val="5F450A54"/>
    <w:rsid w:val="5F472817"/>
    <w:rsid w:val="5F4E3E35"/>
    <w:rsid w:val="5F65126D"/>
    <w:rsid w:val="5F7C76CB"/>
    <w:rsid w:val="5F8209F5"/>
    <w:rsid w:val="5F851A81"/>
    <w:rsid w:val="5F870CD7"/>
    <w:rsid w:val="5F934D13"/>
    <w:rsid w:val="5FA54418"/>
    <w:rsid w:val="5FAA7F21"/>
    <w:rsid w:val="5FAB2CE3"/>
    <w:rsid w:val="5FAD7579"/>
    <w:rsid w:val="5FC05838"/>
    <w:rsid w:val="5FCB2E0F"/>
    <w:rsid w:val="5FCF0510"/>
    <w:rsid w:val="5FD641A2"/>
    <w:rsid w:val="5FD95C28"/>
    <w:rsid w:val="5FE65A16"/>
    <w:rsid w:val="5FEA7D16"/>
    <w:rsid w:val="5FEB396E"/>
    <w:rsid w:val="600123DB"/>
    <w:rsid w:val="60057BD0"/>
    <w:rsid w:val="60182510"/>
    <w:rsid w:val="601B39F0"/>
    <w:rsid w:val="602D3B2B"/>
    <w:rsid w:val="602E4ABD"/>
    <w:rsid w:val="602E7D42"/>
    <w:rsid w:val="60396726"/>
    <w:rsid w:val="60434110"/>
    <w:rsid w:val="60527275"/>
    <w:rsid w:val="6053567B"/>
    <w:rsid w:val="6070725C"/>
    <w:rsid w:val="607238A5"/>
    <w:rsid w:val="60761768"/>
    <w:rsid w:val="608B51EA"/>
    <w:rsid w:val="60B400EC"/>
    <w:rsid w:val="60C45FFD"/>
    <w:rsid w:val="60C50406"/>
    <w:rsid w:val="60C818AE"/>
    <w:rsid w:val="60D53DCF"/>
    <w:rsid w:val="60ED1F9C"/>
    <w:rsid w:val="610415BB"/>
    <w:rsid w:val="61114351"/>
    <w:rsid w:val="611E6DB7"/>
    <w:rsid w:val="61327616"/>
    <w:rsid w:val="61335E3E"/>
    <w:rsid w:val="61584C85"/>
    <w:rsid w:val="615F4317"/>
    <w:rsid w:val="61631D18"/>
    <w:rsid w:val="61702885"/>
    <w:rsid w:val="61725C54"/>
    <w:rsid w:val="6175595E"/>
    <w:rsid w:val="61786C61"/>
    <w:rsid w:val="6179504F"/>
    <w:rsid w:val="618D6B11"/>
    <w:rsid w:val="619D52EF"/>
    <w:rsid w:val="61A66F89"/>
    <w:rsid w:val="61B4342B"/>
    <w:rsid w:val="61B7146B"/>
    <w:rsid w:val="61C03A37"/>
    <w:rsid w:val="61CF38F8"/>
    <w:rsid w:val="61E251F3"/>
    <w:rsid w:val="61E55E53"/>
    <w:rsid w:val="61E572CA"/>
    <w:rsid w:val="61E6165E"/>
    <w:rsid w:val="61F265D3"/>
    <w:rsid w:val="62074F6D"/>
    <w:rsid w:val="620C3606"/>
    <w:rsid w:val="620E2701"/>
    <w:rsid w:val="62145A3E"/>
    <w:rsid w:val="621F41A4"/>
    <w:rsid w:val="62263F49"/>
    <w:rsid w:val="62322573"/>
    <w:rsid w:val="62335B90"/>
    <w:rsid w:val="62431761"/>
    <w:rsid w:val="62512AD5"/>
    <w:rsid w:val="62536463"/>
    <w:rsid w:val="6255136F"/>
    <w:rsid w:val="62664464"/>
    <w:rsid w:val="62673636"/>
    <w:rsid w:val="62681508"/>
    <w:rsid w:val="62730367"/>
    <w:rsid w:val="627C640F"/>
    <w:rsid w:val="629B426B"/>
    <w:rsid w:val="62AF39C3"/>
    <w:rsid w:val="62B260A2"/>
    <w:rsid w:val="62BD1FE4"/>
    <w:rsid w:val="62C51493"/>
    <w:rsid w:val="62CA6F4A"/>
    <w:rsid w:val="62CC393B"/>
    <w:rsid w:val="62CE3AAD"/>
    <w:rsid w:val="62E06B83"/>
    <w:rsid w:val="62E719F2"/>
    <w:rsid w:val="62FF055C"/>
    <w:rsid w:val="62FF58E7"/>
    <w:rsid w:val="63033826"/>
    <w:rsid w:val="63046CD6"/>
    <w:rsid w:val="63101FC3"/>
    <w:rsid w:val="63110BD7"/>
    <w:rsid w:val="63112E82"/>
    <w:rsid w:val="631471BD"/>
    <w:rsid w:val="63193B3E"/>
    <w:rsid w:val="631F350B"/>
    <w:rsid w:val="6322141E"/>
    <w:rsid w:val="6324439E"/>
    <w:rsid w:val="634A2117"/>
    <w:rsid w:val="63613B44"/>
    <w:rsid w:val="63617C3F"/>
    <w:rsid w:val="63663411"/>
    <w:rsid w:val="63693E52"/>
    <w:rsid w:val="636E5379"/>
    <w:rsid w:val="636E5C0D"/>
    <w:rsid w:val="63725411"/>
    <w:rsid w:val="63764367"/>
    <w:rsid w:val="638C029E"/>
    <w:rsid w:val="63A931DA"/>
    <w:rsid w:val="63BF2AA4"/>
    <w:rsid w:val="63D40918"/>
    <w:rsid w:val="63D873B3"/>
    <w:rsid w:val="63D91DAE"/>
    <w:rsid w:val="63F22584"/>
    <w:rsid w:val="64015898"/>
    <w:rsid w:val="641261B1"/>
    <w:rsid w:val="64163E99"/>
    <w:rsid w:val="641E3A4F"/>
    <w:rsid w:val="641F6C60"/>
    <w:rsid w:val="6436137F"/>
    <w:rsid w:val="64410544"/>
    <w:rsid w:val="6452759F"/>
    <w:rsid w:val="645E347D"/>
    <w:rsid w:val="6469515D"/>
    <w:rsid w:val="646973C5"/>
    <w:rsid w:val="64714BD8"/>
    <w:rsid w:val="6472228E"/>
    <w:rsid w:val="647B3489"/>
    <w:rsid w:val="648471BD"/>
    <w:rsid w:val="64940FF4"/>
    <w:rsid w:val="64980C6D"/>
    <w:rsid w:val="649D1428"/>
    <w:rsid w:val="64BC309B"/>
    <w:rsid w:val="64D42B0D"/>
    <w:rsid w:val="64DE29BA"/>
    <w:rsid w:val="64DF0ED2"/>
    <w:rsid w:val="64E43804"/>
    <w:rsid w:val="64F46FD2"/>
    <w:rsid w:val="64F549AC"/>
    <w:rsid w:val="64F8178D"/>
    <w:rsid w:val="650B7D2C"/>
    <w:rsid w:val="65290E28"/>
    <w:rsid w:val="652E2E79"/>
    <w:rsid w:val="653D1103"/>
    <w:rsid w:val="65621FA1"/>
    <w:rsid w:val="65727D75"/>
    <w:rsid w:val="65A15117"/>
    <w:rsid w:val="65A2510B"/>
    <w:rsid w:val="65B33DA6"/>
    <w:rsid w:val="65BE45F7"/>
    <w:rsid w:val="65CF40BF"/>
    <w:rsid w:val="65DC2619"/>
    <w:rsid w:val="65E20DFE"/>
    <w:rsid w:val="660727F2"/>
    <w:rsid w:val="66165B24"/>
    <w:rsid w:val="66222AF8"/>
    <w:rsid w:val="6627079F"/>
    <w:rsid w:val="662E3479"/>
    <w:rsid w:val="66340CB0"/>
    <w:rsid w:val="6641289B"/>
    <w:rsid w:val="664A6CD2"/>
    <w:rsid w:val="664B794E"/>
    <w:rsid w:val="664C0962"/>
    <w:rsid w:val="664F5244"/>
    <w:rsid w:val="666B61B3"/>
    <w:rsid w:val="666C1A5E"/>
    <w:rsid w:val="667F7D85"/>
    <w:rsid w:val="668101B0"/>
    <w:rsid w:val="668C08F1"/>
    <w:rsid w:val="6696674D"/>
    <w:rsid w:val="66974F3D"/>
    <w:rsid w:val="66A149C9"/>
    <w:rsid w:val="66A448F1"/>
    <w:rsid w:val="66B406FF"/>
    <w:rsid w:val="66BD000E"/>
    <w:rsid w:val="66CE5B10"/>
    <w:rsid w:val="66D654FF"/>
    <w:rsid w:val="66DE2157"/>
    <w:rsid w:val="66E819D7"/>
    <w:rsid w:val="66E90B52"/>
    <w:rsid w:val="67007FBE"/>
    <w:rsid w:val="670D09EB"/>
    <w:rsid w:val="67184EF8"/>
    <w:rsid w:val="671948F5"/>
    <w:rsid w:val="6738785E"/>
    <w:rsid w:val="67455C80"/>
    <w:rsid w:val="67580C06"/>
    <w:rsid w:val="675E7B94"/>
    <w:rsid w:val="67623859"/>
    <w:rsid w:val="677D2D55"/>
    <w:rsid w:val="67804BC2"/>
    <w:rsid w:val="67870B7B"/>
    <w:rsid w:val="678E07C6"/>
    <w:rsid w:val="678F3496"/>
    <w:rsid w:val="679D6FF4"/>
    <w:rsid w:val="67A105DD"/>
    <w:rsid w:val="67C31474"/>
    <w:rsid w:val="67C44765"/>
    <w:rsid w:val="67CC7664"/>
    <w:rsid w:val="67D67C1A"/>
    <w:rsid w:val="67DF1A8A"/>
    <w:rsid w:val="67F12F74"/>
    <w:rsid w:val="680E7CB8"/>
    <w:rsid w:val="68141A4C"/>
    <w:rsid w:val="681472ED"/>
    <w:rsid w:val="68261ACF"/>
    <w:rsid w:val="68371E87"/>
    <w:rsid w:val="68380A25"/>
    <w:rsid w:val="685435DF"/>
    <w:rsid w:val="6868116F"/>
    <w:rsid w:val="6889395B"/>
    <w:rsid w:val="68961081"/>
    <w:rsid w:val="68BA4D89"/>
    <w:rsid w:val="68CA7775"/>
    <w:rsid w:val="68E9147C"/>
    <w:rsid w:val="68E958CC"/>
    <w:rsid w:val="68FC26F7"/>
    <w:rsid w:val="69070A95"/>
    <w:rsid w:val="69147C4F"/>
    <w:rsid w:val="692C606C"/>
    <w:rsid w:val="69541FA4"/>
    <w:rsid w:val="695C7531"/>
    <w:rsid w:val="69602EEE"/>
    <w:rsid w:val="69747D39"/>
    <w:rsid w:val="699E641D"/>
    <w:rsid w:val="69A9357D"/>
    <w:rsid w:val="69B17D0A"/>
    <w:rsid w:val="69BF761B"/>
    <w:rsid w:val="69CB57AB"/>
    <w:rsid w:val="69F513F8"/>
    <w:rsid w:val="6A0D33C2"/>
    <w:rsid w:val="6A166966"/>
    <w:rsid w:val="6A335E50"/>
    <w:rsid w:val="6A3B18E7"/>
    <w:rsid w:val="6A4508B0"/>
    <w:rsid w:val="6A454483"/>
    <w:rsid w:val="6A512860"/>
    <w:rsid w:val="6A6055DE"/>
    <w:rsid w:val="6A6A5430"/>
    <w:rsid w:val="6A837284"/>
    <w:rsid w:val="6A935230"/>
    <w:rsid w:val="6A996742"/>
    <w:rsid w:val="6AA44825"/>
    <w:rsid w:val="6AC72E1A"/>
    <w:rsid w:val="6ACC4372"/>
    <w:rsid w:val="6AE461AD"/>
    <w:rsid w:val="6AE65093"/>
    <w:rsid w:val="6AEF65E6"/>
    <w:rsid w:val="6AF43944"/>
    <w:rsid w:val="6B353C69"/>
    <w:rsid w:val="6B37755E"/>
    <w:rsid w:val="6B3F08AE"/>
    <w:rsid w:val="6B521BD5"/>
    <w:rsid w:val="6B5427FA"/>
    <w:rsid w:val="6B563B97"/>
    <w:rsid w:val="6B7D18E3"/>
    <w:rsid w:val="6B8E15AC"/>
    <w:rsid w:val="6B9E2AD3"/>
    <w:rsid w:val="6BA10998"/>
    <w:rsid w:val="6BA97EFD"/>
    <w:rsid w:val="6BC81A9A"/>
    <w:rsid w:val="6BC8480E"/>
    <w:rsid w:val="6BD95B85"/>
    <w:rsid w:val="6BDE7655"/>
    <w:rsid w:val="6BE74E05"/>
    <w:rsid w:val="6BF72F38"/>
    <w:rsid w:val="6BF77D6C"/>
    <w:rsid w:val="6BFA717B"/>
    <w:rsid w:val="6C261D38"/>
    <w:rsid w:val="6C354FB6"/>
    <w:rsid w:val="6C387ED8"/>
    <w:rsid w:val="6C4718FB"/>
    <w:rsid w:val="6C5C2BAF"/>
    <w:rsid w:val="6C6D7262"/>
    <w:rsid w:val="6C6F0A37"/>
    <w:rsid w:val="6C86041B"/>
    <w:rsid w:val="6C8A45D5"/>
    <w:rsid w:val="6C9069CF"/>
    <w:rsid w:val="6CA4216E"/>
    <w:rsid w:val="6CA44DB8"/>
    <w:rsid w:val="6CA75AA2"/>
    <w:rsid w:val="6CC5455B"/>
    <w:rsid w:val="6CC62C2C"/>
    <w:rsid w:val="6CCD4A60"/>
    <w:rsid w:val="6CE82177"/>
    <w:rsid w:val="6CEB2609"/>
    <w:rsid w:val="6CFC572F"/>
    <w:rsid w:val="6CFE37CA"/>
    <w:rsid w:val="6D13285A"/>
    <w:rsid w:val="6D1C0FED"/>
    <w:rsid w:val="6D214955"/>
    <w:rsid w:val="6D24131E"/>
    <w:rsid w:val="6D261D0F"/>
    <w:rsid w:val="6D517BB9"/>
    <w:rsid w:val="6D531591"/>
    <w:rsid w:val="6D595250"/>
    <w:rsid w:val="6D606442"/>
    <w:rsid w:val="6D612FC0"/>
    <w:rsid w:val="6D65485E"/>
    <w:rsid w:val="6D696FA7"/>
    <w:rsid w:val="6D6F583F"/>
    <w:rsid w:val="6D8E6DC2"/>
    <w:rsid w:val="6DC31716"/>
    <w:rsid w:val="6DC67B27"/>
    <w:rsid w:val="6DC80BA1"/>
    <w:rsid w:val="6DD20A32"/>
    <w:rsid w:val="6DDD2215"/>
    <w:rsid w:val="6DF16741"/>
    <w:rsid w:val="6E13664D"/>
    <w:rsid w:val="6E2A77E7"/>
    <w:rsid w:val="6E3762D4"/>
    <w:rsid w:val="6E386383"/>
    <w:rsid w:val="6E3B1B68"/>
    <w:rsid w:val="6E3C1CAB"/>
    <w:rsid w:val="6E5346EA"/>
    <w:rsid w:val="6E5B351E"/>
    <w:rsid w:val="6E647E42"/>
    <w:rsid w:val="6E671920"/>
    <w:rsid w:val="6E8221BD"/>
    <w:rsid w:val="6E8A099C"/>
    <w:rsid w:val="6EA72D93"/>
    <w:rsid w:val="6EAA56F6"/>
    <w:rsid w:val="6ECB0CA3"/>
    <w:rsid w:val="6ECE0B27"/>
    <w:rsid w:val="6ED02623"/>
    <w:rsid w:val="6ED92856"/>
    <w:rsid w:val="6EDF1AD6"/>
    <w:rsid w:val="6EEB2A66"/>
    <w:rsid w:val="6F084036"/>
    <w:rsid w:val="6F0913AC"/>
    <w:rsid w:val="6F0A702E"/>
    <w:rsid w:val="6F1D4537"/>
    <w:rsid w:val="6F206148"/>
    <w:rsid w:val="6F2464EF"/>
    <w:rsid w:val="6F25291A"/>
    <w:rsid w:val="6F2A63C0"/>
    <w:rsid w:val="6F2C3765"/>
    <w:rsid w:val="6F493831"/>
    <w:rsid w:val="6F6531B8"/>
    <w:rsid w:val="6F6C3DB3"/>
    <w:rsid w:val="6F966872"/>
    <w:rsid w:val="6FAE1262"/>
    <w:rsid w:val="6FB90805"/>
    <w:rsid w:val="6FC73915"/>
    <w:rsid w:val="6FC76CC4"/>
    <w:rsid w:val="6FD155F6"/>
    <w:rsid w:val="6FE87618"/>
    <w:rsid w:val="6FEE322F"/>
    <w:rsid w:val="6FF6577E"/>
    <w:rsid w:val="70035DA9"/>
    <w:rsid w:val="700D4B56"/>
    <w:rsid w:val="70162C8F"/>
    <w:rsid w:val="701B4DB5"/>
    <w:rsid w:val="701F1EAD"/>
    <w:rsid w:val="702833D2"/>
    <w:rsid w:val="703C0CF7"/>
    <w:rsid w:val="703D225F"/>
    <w:rsid w:val="704558BD"/>
    <w:rsid w:val="7050763B"/>
    <w:rsid w:val="70530262"/>
    <w:rsid w:val="705E4EFE"/>
    <w:rsid w:val="70636245"/>
    <w:rsid w:val="708F44D3"/>
    <w:rsid w:val="709465EC"/>
    <w:rsid w:val="70A214DF"/>
    <w:rsid w:val="70AB74CF"/>
    <w:rsid w:val="70AE4BE5"/>
    <w:rsid w:val="70AF4A04"/>
    <w:rsid w:val="70B210DD"/>
    <w:rsid w:val="70B53817"/>
    <w:rsid w:val="70CC52BC"/>
    <w:rsid w:val="70D45145"/>
    <w:rsid w:val="70DB7E7B"/>
    <w:rsid w:val="70DD4D9F"/>
    <w:rsid w:val="70F03B20"/>
    <w:rsid w:val="70FB337F"/>
    <w:rsid w:val="710412A4"/>
    <w:rsid w:val="71182D07"/>
    <w:rsid w:val="711A09DD"/>
    <w:rsid w:val="7131641D"/>
    <w:rsid w:val="71402DF4"/>
    <w:rsid w:val="715044D6"/>
    <w:rsid w:val="715920CC"/>
    <w:rsid w:val="7164108C"/>
    <w:rsid w:val="71667CB7"/>
    <w:rsid w:val="71863CBA"/>
    <w:rsid w:val="718A720D"/>
    <w:rsid w:val="71905E12"/>
    <w:rsid w:val="71940829"/>
    <w:rsid w:val="719D4006"/>
    <w:rsid w:val="719F3D15"/>
    <w:rsid w:val="71AE3FEB"/>
    <w:rsid w:val="71BE7204"/>
    <w:rsid w:val="71C15203"/>
    <w:rsid w:val="71D97B23"/>
    <w:rsid w:val="71DB65D7"/>
    <w:rsid w:val="71E11088"/>
    <w:rsid w:val="71F56317"/>
    <w:rsid w:val="72084708"/>
    <w:rsid w:val="721C7C17"/>
    <w:rsid w:val="72261643"/>
    <w:rsid w:val="723407DD"/>
    <w:rsid w:val="7236698E"/>
    <w:rsid w:val="7254789B"/>
    <w:rsid w:val="725C0D6D"/>
    <w:rsid w:val="726049E9"/>
    <w:rsid w:val="72671A98"/>
    <w:rsid w:val="72A43286"/>
    <w:rsid w:val="72CC7471"/>
    <w:rsid w:val="72D01440"/>
    <w:rsid w:val="72D647BB"/>
    <w:rsid w:val="72FA314C"/>
    <w:rsid w:val="72FB2114"/>
    <w:rsid w:val="72FE2838"/>
    <w:rsid w:val="730208D7"/>
    <w:rsid w:val="730E3A7E"/>
    <w:rsid w:val="73180030"/>
    <w:rsid w:val="733077BC"/>
    <w:rsid w:val="733D6593"/>
    <w:rsid w:val="736B1B21"/>
    <w:rsid w:val="73734CF6"/>
    <w:rsid w:val="73773105"/>
    <w:rsid w:val="737A69F2"/>
    <w:rsid w:val="737A6DD2"/>
    <w:rsid w:val="737C3B6E"/>
    <w:rsid w:val="737C789F"/>
    <w:rsid w:val="738F55BE"/>
    <w:rsid w:val="739A5F82"/>
    <w:rsid w:val="73A063CB"/>
    <w:rsid w:val="73A100EF"/>
    <w:rsid w:val="73A3244B"/>
    <w:rsid w:val="73A90825"/>
    <w:rsid w:val="73C52756"/>
    <w:rsid w:val="73CE3686"/>
    <w:rsid w:val="73D535AF"/>
    <w:rsid w:val="73DA381C"/>
    <w:rsid w:val="73F16F74"/>
    <w:rsid w:val="73FA0CF7"/>
    <w:rsid w:val="73FB5521"/>
    <w:rsid w:val="74011C69"/>
    <w:rsid w:val="74024309"/>
    <w:rsid w:val="740435E5"/>
    <w:rsid w:val="74046BA3"/>
    <w:rsid w:val="742568CA"/>
    <w:rsid w:val="743C14C0"/>
    <w:rsid w:val="743C213A"/>
    <w:rsid w:val="743D795A"/>
    <w:rsid w:val="74400FAE"/>
    <w:rsid w:val="74411D22"/>
    <w:rsid w:val="744B3786"/>
    <w:rsid w:val="746D1BD9"/>
    <w:rsid w:val="74713F3C"/>
    <w:rsid w:val="747B4797"/>
    <w:rsid w:val="747B5FBA"/>
    <w:rsid w:val="748C1F9B"/>
    <w:rsid w:val="748E6151"/>
    <w:rsid w:val="749144FC"/>
    <w:rsid w:val="74A421EA"/>
    <w:rsid w:val="74C0259A"/>
    <w:rsid w:val="74CE02B7"/>
    <w:rsid w:val="74CE7718"/>
    <w:rsid w:val="74EE29C3"/>
    <w:rsid w:val="74EF64DE"/>
    <w:rsid w:val="74F60883"/>
    <w:rsid w:val="75015128"/>
    <w:rsid w:val="7508592C"/>
    <w:rsid w:val="750C260C"/>
    <w:rsid w:val="751125FC"/>
    <w:rsid w:val="7516627A"/>
    <w:rsid w:val="75183776"/>
    <w:rsid w:val="75224721"/>
    <w:rsid w:val="75285460"/>
    <w:rsid w:val="753003AF"/>
    <w:rsid w:val="75325F00"/>
    <w:rsid w:val="753700FE"/>
    <w:rsid w:val="753946E6"/>
    <w:rsid w:val="75401CFE"/>
    <w:rsid w:val="755C4181"/>
    <w:rsid w:val="75706610"/>
    <w:rsid w:val="75833722"/>
    <w:rsid w:val="758A6745"/>
    <w:rsid w:val="75A41183"/>
    <w:rsid w:val="75B7596F"/>
    <w:rsid w:val="75BA0E35"/>
    <w:rsid w:val="75DC41A0"/>
    <w:rsid w:val="75E350FB"/>
    <w:rsid w:val="75F27FD0"/>
    <w:rsid w:val="760106CA"/>
    <w:rsid w:val="76120049"/>
    <w:rsid w:val="761D01B7"/>
    <w:rsid w:val="7622448D"/>
    <w:rsid w:val="76251C4A"/>
    <w:rsid w:val="7628203F"/>
    <w:rsid w:val="7648345E"/>
    <w:rsid w:val="764A5338"/>
    <w:rsid w:val="76634335"/>
    <w:rsid w:val="7668193E"/>
    <w:rsid w:val="767801D4"/>
    <w:rsid w:val="767D01C7"/>
    <w:rsid w:val="768A39B1"/>
    <w:rsid w:val="768A4847"/>
    <w:rsid w:val="768B52C6"/>
    <w:rsid w:val="768D1691"/>
    <w:rsid w:val="768D77BE"/>
    <w:rsid w:val="768F520A"/>
    <w:rsid w:val="769102CC"/>
    <w:rsid w:val="76932D64"/>
    <w:rsid w:val="76A47B43"/>
    <w:rsid w:val="76A907DA"/>
    <w:rsid w:val="76AD2CC9"/>
    <w:rsid w:val="76B10C5B"/>
    <w:rsid w:val="76B11FB5"/>
    <w:rsid w:val="76B17AB7"/>
    <w:rsid w:val="76B85F4E"/>
    <w:rsid w:val="76C10CF8"/>
    <w:rsid w:val="76C40C69"/>
    <w:rsid w:val="76C830A5"/>
    <w:rsid w:val="76DC63F8"/>
    <w:rsid w:val="76DE7AB3"/>
    <w:rsid w:val="770B193F"/>
    <w:rsid w:val="771A4D86"/>
    <w:rsid w:val="771C533D"/>
    <w:rsid w:val="771F3FDE"/>
    <w:rsid w:val="77330784"/>
    <w:rsid w:val="77406F97"/>
    <w:rsid w:val="77486AE3"/>
    <w:rsid w:val="77550D4B"/>
    <w:rsid w:val="77583604"/>
    <w:rsid w:val="77587D2E"/>
    <w:rsid w:val="7769365D"/>
    <w:rsid w:val="776C0B5A"/>
    <w:rsid w:val="77705083"/>
    <w:rsid w:val="7772175A"/>
    <w:rsid w:val="77BA3908"/>
    <w:rsid w:val="77C11EE5"/>
    <w:rsid w:val="77DB7F41"/>
    <w:rsid w:val="77EB6576"/>
    <w:rsid w:val="77F447F0"/>
    <w:rsid w:val="77FF5915"/>
    <w:rsid w:val="7809335A"/>
    <w:rsid w:val="780B61C0"/>
    <w:rsid w:val="781E1935"/>
    <w:rsid w:val="78293A6F"/>
    <w:rsid w:val="78525B74"/>
    <w:rsid w:val="785C23A0"/>
    <w:rsid w:val="78624F42"/>
    <w:rsid w:val="78627B1D"/>
    <w:rsid w:val="786B4684"/>
    <w:rsid w:val="7879271E"/>
    <w:rsid w:val="788E6C8E"/>
    <w:rsid w:val="789074A7"/>
    <w:rsid w:val="78A64BE2"/>
    <w:rsid w:val="78BF346B"/>
    <w:rsid w:val="78CA1D23"/>
    <w:rsid w:val="78D1228F"/>
    <w:rsid w:val="78E12B75"/>
    <w:rsid w:val="78F5477B"/>
    <w:rsid w:val="78FA50E8"/>
    <w:rsid w:val="78FE3063"/>
    <w:rsid w:val="79210330"/>
    <w:rsid w:val="793A45C1"/>
    <w:rsid w:val="793B70EF"/>
    <w:rsid w:val="7949656C"/>
    <w:rsid w:val="795311B6"/>
    <w:rsid w:val="79533802"/>
    <w:rsid w:val="79684193"/>
    <w:rsid w:val="796D0D69"/>
    <w:rsid w:val="796E3E74"/>
    <w:rsid w:val="797268E2"/>
    <w:rsid w:val="79732D72"/>
    <w:rsid w:val="797B6990"/>
    <w:rsid w:val="79802C90"/>
    <w:rsid w:val="7985514F"/>
    <w:rsid w:val="79870767"/>
    <w:rsid w:val="799553E2"/>
    <w:rsid w:val="79B20E02"/>
    <w:rsid w:val="79B50075"/>
    <w:rsid w:val="79D41DC3"/>
    <w:rsid w:val="79D544BA"/>
    <w:rsid w:val="79E7530B"/>
    <w:rsid w:val="79EF427F"/>
    <w:rsid w:val="79FB71AC"/>
    <w:rsid w:val="7A0254DE"/>
    <w:rsid w:val="7A0550F6"/>
    <w:rsid w:val="7A135E80"/>
    <w:rsid w:val="7A214813"/>
    <w:rsid w:val="7A2150CD"/>
    <w:rsid w:val="7A2213F0"/>
    <w:rsid w:val="7A374022"/>
    <w:rsid w:val="7A3C5AEC"/>
    <w:rsid w:val="7A452E08"/>
    <w:rsid w:val="7A4800B0"/>
    <w:rsid w:val="7A5605FF"/>
    <w:rsid w:val="7A657225"/>
    <w:rsid w:val="7A6967B4"/>
    <w:rsid w:val="7A743833"/>
    <w:rsid w:val="7A7F15B6"/>
    <w:rsid w:val="7A845CC9"/>
    <w:rsid w:val="7A862C70"/>
    <w:rsid w:val="7AB36004"/>
    <w:rsid w:val="7AB377A7"/>
    <w:rsid w:val="7AB82515"/>
    <w:rsid w:val="7AB848D8"/>
    <w:rsid w:val="7ACA7F25"/>
    <w:rsid w:val="7AEC7422"/>
    <w:rsid w:val="7AED79A0"/>
    <w:rsid w:val="7AFF11C4"/>
    <w:rsid w:val="7B070F47"/>
    <w:rsid w:val="7B0E3CB5"/>
    <w:rsid w:val="7B143447"/>
    <w:rsid w:val="7B202ABE"/>
    <w:rsid w:val="7B291D9A"/>
    <w:rsid w:val="7B2A110A"/>
    <w:rsid w:val="7B2F7E3D"/>
    <w:rsid w:val="7B3E4744"/>
    <w:rsid w:val="7B411A62"/>
    <w:rsid w:val="7B480220"/>
    <w:rsid w:val="7B4C4A7A"/>
    <w:rsid w:val="7B574266"/>
    <w:rsid w:val="7B5B3F81"/>
    <w:rsid w:val="7B780220"/>
    <w:rsid w:val="7B7B0D20"/>
    <w:rsid w:val="7B8570C3"/>
    <w:rsid w:val="7B8B7ED8"/>
    <w:rsid w:val="7BA95364"/>
    <w:rsid w:val="7BAA57B2"/>
    <w:rsid w:val="7BAF52B1"/>
    <w:rsid w:val="7BB327A5"/>
    <w:rsid w:val="7BB76B8E"/>
    <w:rsid w:val="7BB92813"/>
    <w:rsid w:val="7BC00391"/>
    <w:rsid w:val="7BC80383"/>
    <w:rsid w:val="7BD16595"/>
    <w:rsid w:val="7BD357BA"/>
    <w:rsid w:val="7BD83FC3"/>
    <w:rsid w:val="7BE85F13"/>
    <w:rsid w:val="7BED1CF4"/>
    <w:rsid w:val="7BFD0718"/>
    <w:rsid w:val="7C04013E"/>
    <w:rsid w:val="7C337676"/>
    <w:rsid w:val="7C36271E"/>
    <w:rsid w:val="7C3E1F10"/>
    <w:rsid w:val="7C4B2809"/>
    <w:rsid w:val="7C4C2430"/>
    <w:rsid w:val="7C557D34"/>
    <w:rsid w:val="7C852914"/>
    <w:rsid w:val="7C8B7EA7"/>
    <w:rsid w:val="7C96018D"/>
    <w:rsid w:val="7CBE6CB9"/>
    <w:rsid w:val="7CCF74E3"/>
    <w:rsid w:val="7CD05408"/>
    <w:rsid w:val="7CD478AC"/>
    <w:rsid w:val="7CD671BF"/>
    <w:rsid w:val="7CDE0FCD"/>
    <w:rsid w:val="7CE23CCF"/>
    <w:rsid w:val="7CE44F32"/>
    <w:rsid w:val="7CEF7951"/>
    <w:rsid w:val="7CF02B44"/>
    <w:rsid w:val="7CF30A0A"/>
    <w:rsid w:val="7CF36F5B"/>
    <w:rsid w:val="7CF40D3E"/>
    <w:rsid w:val="7CF613F9"/>
    <w:rsid w:val="7CF90AAA"/>
    <w:rsid w:val="7D0509A8"/>
    <w:rsid w:val="7D080696"/>
    <w:rsid w:val="7D143198"/>
    <w:rsid w:val="7D233D17"/>
    <w:rsid w:val="7D311055"/>
    <w:rsid w:val="7D437F94"/>
    <w:rsid w:val="7D5D01DD"/>
    <w:rsid w:val="7D696952"/>
    <w:rsid w:val="7D79759A"/>
    <w:rsid w:val="7D7B4CC5"/>
    <w:rsid w:val="7D833A86"/>
    <w:rsid w:val="7D880EDF"/>
    <w:rsid w:val="7DA47F91"/>
    <w:rsid w:val="7DAA3917"/>
    <w:rsid w:val="7DB0187C"/>
    <w:rsid w:val="7DBA3498"/>
    <w:rsid w:val="7DC033E3"/>
    <w:rsid w:val="7DD71768"/>
    <w:rsid w:val="7DF007AE"/>
    <w:rsid w:val="7E0D7CD7"/>
    <w:rsid w:val="7E2030CC"/>
    <w:rsid w:val="7E315B96"/>
    <w:rsid w:val="7E3172BF"/>
    <w:rsid w:val="7E485C46"/>
    <w:rsid w:val="7E540003"/>
    <w:rsid w:val="7E637970"/>
    <w:rsid w:val="7E7154F5"/>
    <w:rsid w:val="7E7B05F3"/>
    <w:rsid w:val="7E830B8C"/>
    <w:rsid w:val="7E8D6272"/>
    <w:rsid w:val="7EA102C3"/>
    <w:rsid w:val="7EA212D2"/>
    <w:rsid w:val="7EAD5D01"/>
    <w:rsid w:val="7EB94221"/>
    <w:rsid w:val="7EC70552"/>
    <w:rsid w:val="7ED60B31"/>
    <w:rsid w:val="7EDD1569"/>
    <w:rsid w:val="7EE23BBA"/>
    <w:rsid w:val="7EF030E0"/>
    <w:rsid w:val="7F002510"/>
    <w:rsid w:val="7F125C1D"/>
    <w:rsid w:val="7F2C695B"/>
    <w:rsid w:val="7F370F4F"/>
    <w:rsid w:val="7F5235FC"/>
    <w:rsid w:val="7F5363F5"/>
    <w:rsid w:val="7F656973"/>
    <w:rsid w:val="7F69027F"/>
    <w:rsid w:val="7F6A19C9"/>
    <w:rsid w:val="7F722445"/>
    <w:rsid w:val="7F73792C"/>
    <w:rsid w:val="7F7867D8"/>
    <w:rsid w:val="7F7E5012"/>
    <w:rsid w:val="7F8146A0"/>
    <w:rsid w:val="7F826B9A"/>
    <w:rsid w:val="7F89667C"/>
    <w:rsid w:val="7F991A6A"/>
    <w:rsid w:val="7F9D4939"/>
    <w:rsid w:val="7FC338D5"/>
    <w:rsid w:val="7FD22B8F"/>
    <w:rsid w:val="7FD327C3"/>
    <w:rsid w:val="7FD93C64"/>
    <w:rsid w:val="7FE23E0F"/>
    <w:rsid w:val="7FEF033A"/>
    <w:rsid w:val="7FF42D9D"/>
    <w:rsid w:val="7FF95C1C"/>
    <w:rsid w:val="7FFA174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unhideWhenUsed="0" w:uiPriority="0" w:semiHidden="0" w:name="toc 2"/>
    <w:lsdException w:qFormat="1" w:unhideWhenUsed="0" w:uiPriority="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imes New Roman" w:eastAsia="宋体" w:cs="Times New Roman"/>
      <w:sz w:val="34"/>
      <w:lang w:val="en-US" w:eastAsia="zh-CN" w:bidi="ar-SA"/>
    </w:rPr>
  </w:style>
  <w:style w:type="paragraph" w:styleId="4">
    <w:name w:val="heading 1"/>
    <w:basedOn w:val="1"/>
    <w:next w:val="1"/>
    <w:qFormat/>
    <w:uiPriority w:val="0"/>
    <w:pPr>
      <w:keepNext/>
      <w:keepLines/>
      <w:spacing w:before="340" w:after="330" w:line="578" w:lineRule="auto"/>
      <w:outlineLvl w:val="0"/>
    </w:pPr>
    <w:rPr>
      <w:b/>
      <w:bCs/>
      <w:kern w:val="44"/>
      <w:sz w:val="44"/>
      <w:szCs w:val="44"/>
    </w:rPr>
  </w:style>
  <w:style w:type="paragraph" w:styleId="5">
    <w:name w:val="heading 2"/>
    <w:basedOn w:val="1"/>
    <w:next w:val="1"/>
    <w:link w:val="40"/>
    <w:qFormat/>
    <w:uiPriority w:val="0"/>
    <w:pPr>
      <w:keepNext/>
      <w:keepLines/>
      <w:spacing w:before="260" w:after="260" w:line="416" w:lineRule="auto"/>
      <w:outlineLvl w:val="1"/>
    </w:pPr>
    <w:rPr>
      <w:rFonts w:ascii="Arial" w:hAnsi="Arial" w:eastAsia="黑体"/>
      <w:b/>
      <w:bCs/>
      <w:kern w:val="2"/>
      <w:sz w:val="32"/>
      <w:szCs w:val="32"/>
    </w:rPr>
  </w:style>
  <w:style w:type="paragraph" w:styleId="6">
    <w:name w:val="heading 3"/>
    <w:basedOn w:val="1"/>
    <w:next w:val="1"/>
    <w:qFormat/>
    <w:uiPriority w:val="0"/>
    <w:pPr>
      <w:keepNext/>
      <w:keepLines/>
      <w:spacing w:before="260" w:after="260" w:line="416" w:lineRule="auto"/>
      <w:outlineLvl w:val="2"/>
    </w:pPr>
    <w:rPr>
      <w:b/>
      <w:bCs/>
      <w:sz w:val="32"/>
      <w:szCs w:val="32"/>
    </w:rPr>
  </w:style>
  <w:style w:type="paragraph" w:styleId="7">
    <w:name w:val="heading 4"/>
    <w:basedOn w:val="1"/>
    <w:next w:val="1"/>
    <w:qFormat/>
    <w:uiPriority w:val="0"/>
    <w:pPr>
      <w:keepNext/>
      <w:keepLines/>
      <w:spacing w:line="360" w:lineRule="auto"/>
      <w:outlineLvl w:val="3"/>
    </w:pPr>
    <w:rPr>
      <w:rFonts w:ascii="Arial" w:hAnsi="Arial"/>
      <w:b/>
      <w:bCs/>
      <w:szCs w:val="28"/>
    </w:rPr>
  </w:style>
  <w:style w:type="paragraph" w:styleId="8">
    <w:name w:val="heading 5"/>
    <w:basedOn w:val="1"/>
    <w:next w:val="1"/>
    <w:qFormat/>
    <w:uiPriority w:val="0"/>
    <w:pPr>
      <w:keepNext/>
      <w:keepLines/>
      <w:spacing w:before="280" w:after="290" w:line="376" w:lineRule="auto"/>
      <w:outlineLvl w:val="4"/>
    </w:pPr>
    <w:rPr>
      <w:b/>
      <w:bCs/>
      <w:sz w:val="28"/>
      <w:szCs w:val="28"/>
    </w:rPr>
  </w:style>
  <w:style w:type="paragraph" w:styleId="9">
    <w:name w:val="heading 6"/>
    <w:basedOn w:val="1"/>
    <w:next w:val="1"/>
    <w:qFormat/>
    <w:uiPriority w:val="0"/>
    <w:pPr>
      <w:keepNext/>
      <w:keepLines/>
      <w:widowControl/>
      <w:tabs>
        <w:tab w:val="left" w:pos="1440"/>
      </w:tabs>
      <w:spacing w:before="240" w:after="64" w:line="320" w:lineRule="auto"/>
      <w:ind w:left="1152" w:hanging="1152"/>
      <w:jc w:val="left"/>
      <w:outlineLvl w:val="5"/>
    </w:pPr>
    <w:rPr>
      <w:rFonts w:ascii="Arial" w:hAnsi="Arial" w:eastAsia="黑体"/>
      <w:b/>
      <w:bCs/>
      <w:sz w:val="24"/>
    </w:rPr>
  </w:style>
  <w:style w:type="paragraph" w:styleId="10">
    <w:name w:val="heading 7"/>
    <w:basedOn w:val="1"/>
    <w:next w:val="1"/>
    <w:qFormat/>
    <w:uiPriority w:val="0"/>
    <w:pPr>
      <w:keepNext/>
      <w:keepLines/>
      <w:widowControl/>
      <w:tabs>
        <w:tab w:val="left" w:pos="2520"/>
      </w:tabs>
      <w:spacing w:before="240" w:after="64" w:line="320" w:lineRule="auto"/>
      <w:ind w:left="1296" w:hanging="1296"/>
      <w:jc w:val="left"/>
      <w:outlineLvl w:val="6"/>
    </w:pPr>
    <w:rPr>
      <w:b/>
      <w:bCs/>
      <w:sz w:val="24"/>
    </w:rPr>
  </w:style>
  <w:style w:type="paragraph" w:styleId="11">
    <w:name w:val="heading 8"/>
    <w:basedOn w:val="1"/>
    <w:next w:val="1"/>
    <w:qFormat/>
    <w:uiPriority w:val="0"/>
    <w:pPr>
      <w:keepNext/>
      <w:keepLines/>
      <w:widowControl/>
      <w:tabs>
        <w:tab w:val="left" w:pos="1440"/>
      </w:tabs>
      <w:spacing w:before="240" w:after="64" w:line="320" w:lineRule="auto"/>
      <w:ind w:left="1440" w:hanging="1440"/>
      <w:jc w:val="left"/>
      <w:outlineLvl w:val="7"/>
    </w:pPr>
    <w:rPr>
      <w:rFonts w:ascii="Arial" w:hAnsi="Arial" w:eastAsia="黑体"/>
      <w:sz w:val="24"/>
    </w:rPr>
  </w:style>
  <w:style w:type="paragraph" w:styleId="12">
    <w:name w:val="heading 9"/>
    <w:basedOn w:val="1"/>
    <w:next w:val="1"/>
    <w:qFormat/>
    <w:uiPriority w:val="0"/>
    <w:pPr>
      <w:keepNext/>
      <w:keepLines/>
      <w:widowControl/>
      <w:tabs>
        <w:tab w:val="left" w:pos="1584"/>
      </w:tabs>
      <w:spacing w:before="240" w:after="64" w:line="320" w:lineRule="auto"/>
      <w:ind w:left="1584" w:hanging="1584"/>
      <w:jc w:val="left"/>
      <w:outlineLvl w:val="8"/>
    </w:pPr>
    <w:rPr>
      <w:rFonts w:ascii="Arial" w:hAnsi="Arial" w:eastAsia="黑体"/>
      <w:szCs w:val="21"/>
    </w:rPr>
  </w:style>
  <w:style w:type="character" w:default="1" w:styleId="30">
    <w:name w:val="Default Paragraph Font"/>
    <w:semiHidden/>
    <w:unhideWhenUsed/>
    <w:qFormat/>
    <w:uiPriority w:val="1"/>
  </w:style>
  <w:style w:type="table" w:default="1" w:styleId="29">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qFormat/>
    <w:uiPriority w:val="0"/>
    <w:pPr>
      <w:spacing w:after="120"/>
    </w:pPr>
  </w:style>
  <w:style w:type="paragraph" w:styleId="13">
    <w:name w:val="Normal Indent"/>
    <w:basedOn w:val="1"/>
    <w:qFormat/>
    <w:uiPriority w:val="0"/>
    <w:pPr>
      <w:ind w:firstLine="420" w:firstLineChars="200"/>
    </w:pPr>
  </w:style>
  <w:style w:type="paragraph" w:styleId="14">
    <w:name w:val="Document Map"/>
    <w:basedOn w:val="1"/>
    <w:semiHidden/>
    <w:qFormat/>
    <w:uiPriority w:val="0"/>
    <w:pPr>
      <w:shd w:val="clear" w:color="auto" w:fill="000080"/>
    </w:pPr>
  </w:style>
  <w:style w:type="paragraph" w:styleId="15">
    <w:name w:val="annotation text"/>
    <w:basedOn w:val="1"/>
    <w:qFormat/>
    <w:uiPriority w:val="0"/>
    <w:pPr>
      <w:jc w:val="left"/>
    </w:pPr>
  </w:style>
  <w:style w:type="paragraph" w:styleId="16">
    <w:name w:val="Body Text 3"/>
    <w:basedOn w:val="1"/>
    <w:qFormat/>
    <w:uiPriority w:val="0"/>
    <w:rPr>
      <w:sz w:val="24"/>
    </w:rPr>
  </w:style>
  <w:style w:type="paragraph" w:styleId="17">
    <w:name w:val="Body Text Indent"/>
    <w:basedOn w:val="1"/>
    <w:qFormat/>
    <w:uiPriority w:val="0"/>
    <w:pPr>
      <w:spacing w:after="120"/>
      <w:ind w:left="420" w:leftChars="200"/>
    </w:pPr>
  </w:style>
  <w:style w:type="paragraph" w:styleId="18">
    <w:name w:val="toc 3"/>
    <w:basedOn w:val="1"/>
    <w:next w:val="1"/>
    <w:semiHidden/>
    <w:qFormat/>
    <w:uiPriority w:val="0"/>
    <w:pPr>
      <w:ind w:left="840" w:leftChars="400"/>
    </w:pPr>
  </w:style>
  <w:style w:type="paragraph" w:styleId="19">
    <w:name w:val="Plain Text"/>
    <w:basedOn w:val="1"/>
    <w:link w:val="41"/>
    <w:qFormat/>
    <w:uiPriority w:val="0"/>
    <w:rPr>
      <w:rFonts w:hAnsi="Courier New" w:cs="Courier New"/>
      <w:kern w:val="2"/>
      <w:sz w:val="21"/>
      <w:szCs w:val="21"/>
    </w:rPr>
  </w:style>
  <w:style w:type="paragraph" w:styleId="20">
    <w:name w:val="Date"/>
    <w:basedOn w:val="1"/>
    <w:next w:val="1"/>
    <w:qFormat/>
    <w:uiPriority w:val="0"/>
    <w:pPr>
      <w:ind w:left="100" w:leftChars="2500"/>
    </w:pPr>
  </w:style>
  <w:style w:type="paragraph" w:styleId="21">
    <w:name w:val="Body Text Indent 2"/>
    <w:basedOn w:val="1"/>
    <w:qFormat/>
    <w:uiPriority w:val="0"/>
    <w:pPr>
      <w:spacing w:after="120" w:line="480" w:lineRule="auto"/>
      <w:ind w:left="420" w:leftChars="200"/>
    </w:pPr>
  </w:style>
  <w:style w:type="paragraph" w:styleId="22">
    <w:name w:val="Balloon Text"/>
    <w:basedOn w:val="1"/>
    <w:semiHidden/>
    <w:qFormat/>
    <w:uiPriority w:val="0"/>
    <w:rPr>
      <w:sz w:val="18"/>
      <w:szCs w:val="18"/>
    </w:rPr>
  </w:style>
  <w:style w:type="paragraph" w:styleId="23">
    <w:name w:val="footer"/>
    <w:basedOn w:val="1"/>
    <w:link w:val="50"/>
    <w:qFormat/>
    <w:uiPriority w:val="0"/>
    <w:pPr>
      <w:tabs>
        <w:tab w:val="center" w:pos="4153"/>
        <w:tab w:val="right" w:pos="8306"/>
      </w:tabs>
      <w:snapToGrid w:val="0"/>
      <w:jc w:val="left"/>
    </w:pPr>
    <w:rPr>
      <w:rFonts w:ascii="Times New Roman"/>
      <w:kern w:val="2"/>
      <w:sz w:val="18"/>
      <w:szCs w:val="18"/>
    </w:rPr>
  </w:style>
  <w:style w:type="paragraph" w:styleId="24">
    <w:name w:val="header"/>
    <w:basedOn w:val="1"/>
    <w:link w:val="82"/>
    <w:qFormat/>
    <w:uiPriority w:val="0"/>
    <w:pPr>
      <w:pBdr>
        <w:bottom w:val="single" w:color="auto" w:sz="6" w:space="1"/>
      </w:pBdr>
      <w:tabs>
        <w:tab w:val="center" w:pos="4153"/>
        <w:tab w:val="right" w:pos="8306"/>
      </w:tabs>
      <w:snapToGrid w:val="0"/>
      <w:jc w:val="center"/>
    </w:pPr>
    <w:rPr>
      <w:sz w:val="18"/>
      <w:szCs w:val="18"/>
    </w:rPr>
  </w:style>
  <w:style w:type="paragraph" w:styleId="25">
    <w:name w:val="toc 1"/>
    <w:basedOn w:val="1"/>
    <w:next w:val="1"/>
    <w:semiHidden/>
    <w:qFormat/>
    <w:uiPriority w:val="0"/>
    <w:pPr>
      <w:tabs>
        <w:tab w:val="right" w:leader="dot" w:pos="9060"/>
      </w:tabs>
      <w:spacing w:line="580" w:lineRule="exact"/>
    </w:pPr>
    <w:rPr>
      <w:rFonts w:ascii="黑体" w:hAnsi="宋体" w:eastAsia="黑体" w:cs="TimesNewRomanPSMT"/>
    </w:rPr>
  </w:style>
  <w:style w:type="paragraph" w:styleId="26">
    <w:name w:val="Body Text Indent 3"/>
    <w:basedOn w:val="1"/>
    <w:qFormat/>
    <w:uiPriority w:val="0"/>
    <w:pPr>
      <w:ind w:firstLine="420" w:firstLineChars="200"/>
    </w:pPr>
    <w:rPr>
      <w:rFonts w:hAnsi="宋体"/>
    </w:rPr>
  </w:style>
  <w:style w:type="paragraph" w:styleId="27">
    <w:name w:val="Normal (Web)"/>
    <w:basedOn w:val="1"/>
    <w:qFormat/>
    <w:uiPriority w:val="0"/>
    <w:pPr>
      <w:widowControl/>
      <w:spacing w:before="100" w:beforeAutospacing="1" w:after="100" w:afterAutospacing="1"/>
      <w:jc w:val="left"/>
    </w:pPr>
    <w:rPr>
      <w:rFonts w:hAnsi="宋体" w:cs="宋体"/>
      <w:sz w:val="24"/>
    </w:rPr>
  </w:style>
  <w:style w:type="paragraph" w:styleId="28">
    <w:name w:val="Title"/>
    <w:basedOn w:val="1"/>
    <w:qFormat/>
    <w:uiPriority w:val="0"/>
    <w:pPr>
      <w:adjustRightInd w:val="0"/>
      <w:spacing w:before="240" w:after="60" w:line="420" w:lineRule="atLeast"/>
      <w:jc w:val="center"/>
      <w:textAlignment w:val="baseline"/>
      <w:outlineLvl w:val="0"/>
    </w:pPr>
    <w:rPr>
      <w:rFonts w:ascii="Arial" w:hAnsi="Arial"/>
      <w:b/>
      <w:sz w:val="32"/>
    </w:rPr>
  </w:style>
  <w:style w:type="character" w:styleId="31">
    <w:name w:val="Strong"/>
    <w:qFormat/>
    <w:uiPriority w:val="22"/>
    <w:rPr>
      <w:b/>
      <w:bCs/>
    </w:rPr>
  </w:style>
  <w:style w:type="character" w:styleId="32">
    <w:name w:val="page number"/>
    <w:basedOn w:val="30"/>
    <w:qFormat/>
    <w:uiPriority w:val="0"/>
  </w:style>
  <w:style w:type="character" w:styleId="33">
    <w:name w:val="FollowedHyperlink"/>
    <w:qFormat/>
    <w:uiPriority w:val="0"/>
    <w:rPr>
      <w:color w:val="000000"/>
      <w:u w:val="none"/>
    </w:rPr>
  </w:style>
  <w:style w:type="character" w:styleId="34">
    <w:name w:val="Emphasis"/>
    <w:basedOn w:val="30"/>
    <w:qFormat/>
    <w:uiPriority w:val="0"/>
  </w:style>
  <w:style w:type="character" w:styleId="35">
    <w:name w:val="Hyperlink"/>
    <w:basedOn w:val="30"/>
    <w:qFormat/>
    <w:uiPriority w:val="0"/>
    <w:rPr>
      <w:color w:val="000000"/>
      <w:u w:val="none"/>
    </w:rPr>
  </w:style>
  <w:style w:type="character" w:customStyle="1" w:styleId="36">
    <w:name w:val="hover3"/>
    <w:qFormat/>
    <w:uiPriority w:val="0"/>
    <w:rPr>
      <w:bdr w:val="single" w:color="FFCC33" w:sz="6" w:space="0"/>
    </w:rPr>
  </w:style>
  <w:style w:type="character" w:customStyle="1" w:styleId="37">
    <w:name w:val="tit1"/>
    <w:basedOn w:val="30"/>
    <w:qFormat/>
    <w:uiPriority w:val="0"/>
  </w:style>
  <w:style w:type="character" w:customStyle="1" w:styleId="38">
    <w:name w:val="textcontents"/>
    <w:basedOn w:val="30"/>
    <w:qFormat/>
    <w:uiPriority w:val="0"/>
  </w:style>
  <w:style w:type="character" w:customStyle="1" w:styleId="39">
    <w:name w:val="down"/>
    <w:qFormat/>
    <w:uiPriority w:val="0"/>
    <w:rPr>
      <w:shd w:val="clear" w:color="auto" w:fill="DAEEF9"/>
    </w:rPr>
  </w:style>
  <w:style w:type="character" w:customStyle="1" w:styleId="40">
    <w:name w:val="标题 2 Char"/>
    <w:link w:val="5"/>
    <w:qFormat/>
    <w:uiPriority w:val="0"/>
    <w:rPr>
      <w:rFonts w:ascii="Arial" w:hAnsi="Arial" w:eastAsia="黑体"/>
      <w:b/>
      <w:bCs/>
      <w:kern w:val="2"/>
      <w:sz w:val="32"/>
      <w:szCs w:val="32"/>
      <w:lang w:val="en-US" w:eastAsia="zh-CN" w:bidi="ar-SA"/>
    </w:rPr>
  </w:style>
  <w:style w:type="character" w:customStyle="1" w:styleId="41">
    <w:name w:val="纯文本 Char"/>
    <w:link w:val="19"/>
    <w:qFormat/>
    <w:uiPriority w:val="0"/>
    <w:rPr>
      <w:rFonts w:ascii="宋体" w:hAnsi="Courier New" w:eastAsia="宋体" w:cs="Courier New"/>
      <w:kern w:val="2"/>
      <w:sz w:val="21"/>
      <w:szCs w:val="21"/>
      <w:lang w:val="en-US" w:eastAsia="zh-CN" w:bidi="ar-SA"/>
    </w:rPr>
  </w:style>
  <w:style w:type="character" w:customStyle="1" w:styleId="42">
    <w:name w:val="lsl"/>
    <w:basedOn w:val="30"/>
    <w:qFormat/>
    <w:uiPriority w:val="0"/>
  </w:style>
  <w:style w:type="character" w:customStyle="1" w:styleId="43">
    <w:name w:val="tit"/>
    <w:basedOn w:val="30"/>
    <w:qFormat/>
    <w:uiPriority w:val="0"/>
  </w:style>
  <w:style w:type="character" w:customStyle="1" w:styleId="44">
    <w:name w:val="sl"/>
    <w:basedOn w:val="30"/>
    <w:qFormat/>
    <w:uiPriority w:val="0"/>
  </w:style>
  <w:style w:type="character" w:customStyle="1" w:styleId="45">
    <w:name w:val="up"/>
    <w:basedOn w:val="30"/>
    <w:qFormat/>
    <w:uiPriority w:val="0"/>
  </w:style>
  <w:style w:type="character" w:customStyle="1" w:styleId="46">
    <w:name w:val="lsr"/>
    <w:basedOn w:val="30"/>
    <w:qFormat/>
    <w:uiPriority w:val="0"/>
  </w:style>
  <w:style w:type="character" w:customStyle="1" w:styleId="47">
    <w:name w:val="cpb"/>
    <w:qFormat/>
    <w:uiPriority w:val="0"/>
    <w:rPr>
      <w:color w:val="FFFFFF"/>
    </w:rPr>
  </w:style>
  <w:style w:type="character" w:customStyle="1" w:styleId="48">
    <w:name w:val="sr"/>
    <w:basedOn w:val="30"/>
    <w:qFormat/>
    <w:uiPriority w:val="0"/>
  </w:style>
  <w:style w:type="character" w:customStyle="1" w:styleId="49">
    <w:name w:val="apple-converted-space"/>
    <w:basedOn w:val="30"/>
    <w:qFormat/>
    <w:uiPriority w:val="0"/>
  </w:style>
  <w:style w:type="character" w:customStyle="1" w:styleId="50">
    <w:name w:val="页脚 Char"/>
    <w:link w:val="23"/>
    <w:qFormat/>
    <w:uiPriority w:val="0"/>
    <w:rPr>
      <w:kern w:val="2"/>
      <w:sz w:val="18"/>
      <w:szCs w:val="18"/>
    </w:rPr>
  </w:style>
  <w:style w:type="character" w:customStyle="1" w:styleId="51">
    <w:name w:val="font161"/>
    <w:qFormat/>
    <w:uiPriority w:val="0"/>
    <w:rPr>
      <w:b/>
      <w:bCs/>
      <w:sz w:val="32"/>
      <w:szCs w:val="32"/>
    </w:rPr>
  </w:style>
  <w:style w:type="paragraph" w:customStyle="1" w:styleId="52">
    <w:name w:val="z-窗体顶端1"/>
    <w:basedOn w:val="1"/>
    <w:next w:val="1"/>
    <w:qFormat/>
    <w:uiPriority w:val="0"/>
    <w:pPr>
      <w:pBdr>
        <w:bottom w:val="single" w:color="auto" w:sz="6" w:space="1"/>
      </w:pBdr>
      <w:jc w:val="center"/>
    </w:pPr>
    <w:rPr>
      <w:rFonts w:ascii="Arial"/>
      <w:vanish/>
      <w:sz w:val="16"/>
    </w:rPr>
  </w:style>
  <w:style w:type="paragraph" w:customStyle="1" w:styleId="53">
    <w:name w:val="表格"/>
    <w:basedOn w:val="1"/>
    <w:qFormat/>
    <w:uiPriority w:val="0"/>
    <w:pPr>
      <w:jc w:val="center"/>
      <w:textAlignment w:val="center"/>
    </w:pPr>
    <w:rPr>
      <w:rFonts w:ascii="华文细黑" w:hAnsi="华文细黑"/>
    </w:rPr>
  </w:style>
  <w:style w:type="paragraph" w:customStyle="1" w:styleId="54">
    <w:name w:val="Char Char Char Char Char Char Char Char Char Char Char Char Char Char Char Char"/>
    <w:basedOn w:val="1"/>
    <w:qFormat/>
    <w:uiPriority w:val="0"/>
    <w:pPr>
      <w:snapToGrid w:val="0"/>
      <w:spacing w:line="360" w:lineRule="auto"/>
      <w:ind w:firstLine="200" w:firstLineChars="200"/>
    </w:pPr>
    <w:rPr>
      <w:rFonts w:ascii="Times New Roman"/>
      <w:kern w:val="2"/>
      <w:sz w:val="21"/>
      <w:szCs w:val="24"/>
    </w:rPr>
  </w:style>
  <w:style w:type="paragraph" w:customStyle="1" w:styleId="55">
    <w:name w:val="样式 标题 1 + 黑体 三号 非加粗 居中 段前: 6 磅 段后: 6 磅 行距: 固定值 20 磅"/>
    <w:basedOn w:val="4"/>
    <w:qFormat/>
    <w:uiPriority w:val="0"/>
    <w:pPr>
      <w:spacing w:before="120" w:after="120" w:line="400" w:lineRule="exact"/>
      <w:jc w:val="center"/>
    </w:pPr>
    <w:rPr>
      <w:rFonts w:ascii="黑体" w:hAnsi="黑体" w:eastAsia="黑体" w:cs="宋体"/>
      <w:b w:val="0"/>
      <w:bCs w:val="0"/>
      <w:sz w:val="32"/>
      <w:szCs w:val="20"/>
    </w:rPr>
  </w:style>
  <w:style w:type="paragraph" w:customStyle="1" w:styleId="56">
    <w:name w:val="正文 + 自动设置"/>
    <w:basedOn w:val="4"/>
    <w:qFormat/>
    <w:uiPriority w:val="0"/>
    <w:pPr>
      <w:tabs>
        <w:tab w:val="left" w:pos="840"/>
      </w:tabs>
      <w:spacing w:before="360" w:after="360" w:line="480" w:lineRule="auto"/>
      <w:jc w:val="center"/>
    </w:pPr>
    <w:rPr>
      <w:rFonts w:eastAsia="黑体"/>
      <w:bCs w:val="0"/>
      <w:sz w:val="36"/>
      <w:szCs w:val="20"/>
    </w:rPr>
  </w:style>
  <w:style w:type="paragraph" w:customStyle="1" w:styleId="57">
    <w:name w:val="样式 标题 2 + Times New Roman 四号 非加粗 段前: 5 磅 段后: 0 磅 行距: 固定值 20..."/>
    <w:basedOn w:val="5"/>
    <w:qFormat/>
    <w:uiPriority w:val="0"/>
    <w:pPr>
      <w:spacing w:before="100" w:after="0" w:line="400" w:lineRule="exact"/>
    </w:pPr>
    <w:rPr>
      <w:rFonts w:ascii="Times New Roman" w:hAnsi="Times New Roman" w:cs="宋体"/>
      <w:b w:val="0"/>
      <w:bCs w:val="0"/>
      <w:sz w:val="28"/>
      <w:szCs w:val="20"/>
    </w:rPr>
  </w:style>
  <w:style w:type="paragraph" w:customStyle="1" w:styleId="58">
    <w:name w:val="正文1"/>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59">
    <w:name w:val="Char1"/>
    <w:basedOn w:val="1"/>
    <w:qFormat/>
    <w:uiPriority w:val="0"/>
    <w:pPr>
      <w:adjustRightInd w:val="0"/>
      <w:spacing w:line="600" w:lineRule="exact"/>
      <w:ind w:firstLine="560" w:firstLineChars="200"/>
      <w:jc w:val="center"/>
    </w:pPr>
  </w:style>
  <w:style w:type="paragraph" w:customStyle="1" w:styleId="60">
    <w:name w:val="Char"/>
    <w:basedOn w:val="1"/>
    <w:qFormat/>
    <w:uiPriority w:val="0"/>
    <w:rPr>
      <w:rFonts w:ascii="仿宋_GB2312" w:eastAsia="仿宋_GB2312"/>
      <w:b/>
      <w:sz w:val="32"/>
      <w:szCs w:val="32"/>
    </w:rPr>
  </w:style>
  <w:style w:type="paragraph" w:customStyle="1" w:styleId="61">
    <w:name w:val="p0"/>
    <w:basedOn w:val="1"/>
    <w:qFormat/>
    <w:uiPriority w:val="0"/>
    <w:pPr>
      <w:widowControl/>
      <w:spacing w:line="408" w:lineRule="auto"/>
      <w:ind w:left="1"/>
      <w:textAlignment w:val="bottom"/>
    </w:pPr>
    <w:rPr>
      <w:color w:val="000000"/>
    </w:rPr>
  </w:style>
  <w:style w:type="paragraph" w:customStyle="1" w:styleId="62">
    <w:name w:val="1"/>
    <w:basedOn w:val="1"/>
    <w:next w:val="1"/>
    <w:qFormat/>
    <w:uiPriority w:val="0"/>
  </w:style>
  <w:style w:type="paragraph" w:customStyle="1" w:styleId="63">
    <w:name w:val="默认段落字体 Para Char Char Char Char Char Char Char"/>
    <w:basedOn w:val="1"/>
    <w:qFormat/>
    <w:uiPriority w:val="0"/>
    <w:rPr>
      <w:rFonts w:ascii="Tahoma" w:hAnsi="Tahoma"/>
      <w:sz w:val="24"/>
    </w:rPr>
  </w:style>
  <w:style w:type="paragraph" w:customStyle="1" w:styleId="64">
    <w:name w:val="6'"/>
    <w:basedOn w:val="1"/>
    <w:qFormat/>
    <w:uiPriority w:val="0"/>
    <w:pPr>
      <w:autoSpaceDE w:val="0"/>
      <w:autoSpaceDN w:val="0"/>
      <w:adjustRightInd w:val="0"/>
      <w:snapToGrid w:val="0"/>
      <w:spacing w:line="320" w:lineRule="exact"/>
      <w:jc w:val="center"/>
      <w:textAlignment w:val="baseline"/>
    </w:pPr>
    <w:rPr>
      <w:spacing w:val="20"/>
      <w:kern w:val="28"/>
    </w:rPr>
  </w:style>
  <w:style w:type="paragraph" w:customStyle="1" w:styleId="65">
    <w:name w:val="表格文字"/>
    <w:basedOn w:val="1"/>
    <w:qFormat/>
    <w:uiPriority w:val="0"/>
    <w:pPr>
      <w:adjustRightInd w:val="0"/>
      <w:spacing w:line="420" w:lineRule="atLeast"/>
      <w:jc w:val="left"/>
      <w:textAlignment w:val="baseline"/>
    </w:pPr>
  </w:style>
  <w:style w:type="paragraph" w:customStyle="1" w:styleId="66">
    <w:name w:val="样式 标题 3 + (中文) 黑体 小四 非加粗 段前: 7.8 磅 段后: 0 磅 行距: 固定值 20 磅"/>
    <w:basedOn w:val="6"/>
    <w:qFormat/>
    <w:uiPriority w:val="0"/>
    <w:pPr>
      <w:spacing w:before="0" w:after="0" w:line="400" w:lineRule="exact"/>
    </w:pPr>
    <w:rPr>
      <w:rFonts w:eastAsia="黑体" w:cs="宋体"/>
      <w:b w:val="0"/>
      <w:bCs w:val="0"/>
      <w:sz w:val="24"/>
      <w:szCs w:val="20"/>
    </w:rPr>
  </w:style>
  <w:style w:type="paragraph" w:customStyle="1" w:styleId="67">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68">
    <w:name w:val="z-窗体底端1"/>
    <w:basedOn w:val="1"/>
    <w:next w:val="1"/>
    <w:qFormat/>
    <w:uiPriority w:val="0"/>
    <w:pPr>
      <w:pBdr>
        <w:top w:val="single" w:color="auto" w:sz="6" w:space="1"/>
      </w:pBdr>
      <w:jc w:val="center"/>
    </w:pPr>
    <w:rPr>
      <w:rFonts w:ascii="Arial"/>
      <w:vanish/>
      <w:sz w:val="16"/>
    </w:rPr>
  </w:style>
  <w:style w:type="paragraph" w:customStyle="1" w:styleId="69">
    <w:name w:val="列出段落1"/>
    <w:basedOn w:val="1"/>
    <w:qFormat/>
    <w:uiPriority w:val="0"/>
    <w:pPr>
      <w:adjustRightInd w:val="0"/>
      <w:snapToGrid w:val="0"/>
      <w:spacing w:line="360" w:lineRule="auto"/>
      <w:ind w:firstLine="420" w:firstLineChars="200"/>
    </w:pPr>
    <w:rPr>
      <w:color w:val="000000"/>
      <w:szCs w:val="21"/>
    </w:rPr>
  </w:style>
  <w:style w:type="paragraph" w:customStyle="1" w:styleId="70">
    <w:name w:val="cjk"/>
    <w:basedOn w:val="1"/>
    <w:qFormat/>
    <w:uiPriority w:val="0"/>
    <w:pPr>
      <w:widowControl/>
      <w:jc w:val="left"/>
    </w:pPr>
    <w:rPr>
      <w:rFonts w:hAnsi="宋体" w:cs="宋体"/>
      <w:sz w:val="24"/>
      <w:szCs w:val="24"/>
    </w:rPr>
  </w:style>
  <w:style w:type="character" w:customStyle="1" w:styleId="71">
    <w:name w:val="15"/>
    <w:qFormat/>
    <w:uiPriority w:val="0"/>
    <w:rPr>
      <w:rFonts w:hint="default" w:ascii="Times New Roman" w:hAnsi="Times New Roman" w:cs="Times New Roman"/>
      <w:color w:val="0000FF"/>
      <w:u w:val="single"/>
    </w:rPr>
  </w:style>
  <w:style w:type="character" w:customStyle="1" w:styleId="72">
    <w:name w:val="blue"/>
    <w:basedOn w:val="30"/>
    <w:qFormat/>
    <w:uiPriority w:val="0"/>
    <w:rPr>
      <w:color w:val="0371C6"/>
      <w:sz w:val="21"/>
      <w:szCs w:val="21"/>
    </w:rPr>
  </w:style>
  <w:style w:type="character" w:customStyle="1" w:styleId="73">
    <w:name w:val="gb-jt"/>
    <w:basedOn w:val="30"/>
    <w:qFormat/>
    <w:uiPriority w:val="0"/>
  </w:style>
  <w:style w:type="character" w:customStyle="1" w:styleId="74">
    <w:name w:val="red"/>
    <w:basedOn w:val="30"/>
    <w:qFormat/>
    <w:uiPriority w:val="0"/>
    <w:rPr>
      <w:color w:val="FF0000"/>
      <w:sz w:val="18"/>
      <w:szCs w:val="18"/>
    </w:rPr>
  </w:style>
  <w:style w:type="character" w:customStyle="1" w:styleId="75">
    <w:name w:val="red1"/>
    <w:basedOn w:val="30"/>
    <w:qFormat/>
    <w:uiPriority w:val="0"/>
    <w:rPr>
      <w:color w:val="FF0000"/>
      <w:sz w:val="18"/>
      <w:szCs w:val="18"/>
    </w:rPr>
  </w:style>
  <w:style w:type="character" w:customStyle="1" w:styleId="76">
    <w:name w:val="red2"/>
    <w:basedOn w:val="30"/>
    <w:qFormat/>
    <w:uiPriority w:val="0"/>
    <w:rPr>
      <w:color w:val="FF0000"/>
    </w:rPr>
  </w:style>
  <w:style w:type="character" w:customStyle="1" w:styleId="77">
    <w:name w:val="green"/>
    <w:basedOn w:val="30"/>
    <w:qFormat/>
    <w:uiPriority w:val="0"/>
    <w:rPr>
      <w:color w:val="66AE00"/>
      <w:sz w:val="18"/>
      <w:szCs w:val="18"/>
    </w:rPr>
  </w:style>
  <w:style w:type="character" w:customStyle="1" w:styleId="78">
    <w:name w:val="green1"/>
    <w:basedOn w:val="30"/>
    <w:qFormat/>
    <w:uiPriority w:val="0"/>
    <w:rPr>
      <w:color w:val="66AE00"/>
      <w:sz w:val="18"/>
      <w:szCs w:val="18"/>
    </w:rPr>
  </w:style>
  <w:style w:type="character" w:customStyle="1" w:styleId="79">
    <w:name w:val="hover25"/>
    <w:basedOn w:val="30"/>
    <w:qFormat/>
    <w:uiPriority w:val="0"/>
  </w:style>
  <w:style w:type="character" w:customStyle="1" w:styleId="80">
    <w:name w:val="right"/>
    <w:basedOn w:val="30"/>
    <w:qFormat/>
    <w:uiPriority w:val="0"/>
    <w:rPr>
      <w:color w:val="999999"/>
      <w:sz w:val="18"/>
      <w:szCs w:val="18"/>
    </w:rPr>
  </w:style>
  <w:style w:type="character" w:customStyle="1" w:styleId="81">
    <w:name w:val="hover"/>
    <w:basedOn w:val="30"/>
    <w:qFormat/>
    <w:uiPriority w:val="0"/>
  </w:style>
  <w:style w:type="character" w:customStyle="1" w:styleId="82">
    <w:name w:val="页眉 Char"/>
    <w:basedOn w:val="30"/>
    <w:link w:val="24"/>
    <w:qFormat/>
    <w:uiPriority w:val="0"/>
    <w:rPr>
      <w:rFonts w:ascii="宋体"/>
      <w:sz w:val="18"/>
      <w:szCs w:val="18"/>
    </w:rPr>
  </w:style>
  <w:style w:type="character" w:customStyle="1" w:styleId="83">
    <w:name w:val="red3"/>
    <w:basedOn w:val="30"/>
    <w:qFormat/>
    <w:uiPriority w:val="0"/>
    <w:rPr>
      <w:color w:val="FF0000"/>
    </w:rPr>
  </w:style>
  <w:style w:type="character" w:customStyle="1" w:styleId="84">
    <w:name w:val="hover24"/>
    <w:basedOn w:val="30"/>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1.pn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1944609-8746-4A95-9FF7-B0FCD1ED1F14}">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61</Pages>
  <Words>5001</Words>
  <Characters>28511</Characters>
  <Lines>237</Lines>
  <Paragraphs>66</Paragraphs>
  <TotalTime>39</TotalTime>
  <ScaleCrop>false</ScaleCrop>
  <LinksUpToDate>false</LinksUpToDate>
  <CharactersWithSpaces>33446</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2018-03-19T10:03:00Z</dcterms:created>
  <dc:creator>微软用户</dc:creator>
  <cp:lastModifiedBy>陌陌---麻雀</cp:lastModifiedBy>
  <cp:lastPrinted>2018-11-19T07:50:00Z</cp:lastPrinted>
  <dcterms:modified xsi:type="dcterms:W3CDTF">2019-05-05T03:17:53Z</dcterms:modified>
  <dc:title>魏武大道曹操饮马河桥工程</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