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color w:val="000000"/>
          <w:sz w:val="44"/>
          <w:szCs w:val="44"/>
        </w:rPr>
      </w:pPr>
    </w:p>
    <w:p>
      <w:pPr>
        <w:ind w:left="3975" w:hanging="3975" w:hangingChars="900"/>
        <w:rPr>
          <w:rFonts w:hint="default" w:ascii="黑体" w:hAnsi="黑体" w:eastAsia="黑体" w:cs="黑体"/>
          <w:color w:val="000000"/>
          <w:sz w:val="44"/>
          <w:szCs w:val="44"/>
          <w:lang w:val="en-US"/>
        </w:rPr>
      </w:pPr>
      <w:r>
        <w:rPr>
          <w:rFonts w:hint="eastAsia" w:ascii="黑体" w:hAnsi="黑体" w:eastAsia="黑体" w:cs="黑体"/>
          <w:b/>
          <w:sz w:val="44"/>
          <w:szCs w:val="44"/>
          <w:lang w:val="en-US" w:eastAsia="zh-CN"/>
        </w:rPr>
        <w:t>禹州市机动车遥感监测及网络平台建设项目(二次)</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hint="eastAsia" w:asciiTheme="majorEastAsia" w:hAnsiTheme="majorEastAsia" w:eastAsiaTheme="majorEastAsia" w:cstheme="majorEastAsia"/>
          <w:bCs/>
          <w:color w:val="000000"/>
          <w:w w:val="90"/>
          <w:sz w:val="120"/>
          <w:szCs w:val="120"/>
        </w:rPr>
      </w:pPr>
    </w:p>
    <w:p>
      <w:pPr>
        <w:jc w:val="center"/>
        <w:rPr>
          <w:rFonts w:hint="eastAsia" w:asciiTheme="majorEastAsia" w:hAnsiTheme="majorEastAsia" w:eastAsiaTheme="majorEastAsia" w:cstheme="majorEastAsia"/>
          <w:bCs/>
          <w:color w:val="000000"/>
          <w:w w:val="90"/>
          <w:sz w:val="120"/>
          <w:szCs w:val="120"/>
        </w:rPr>
      </w:pPr>
    </w:p>
    <w:p>
      <w:pPr>
        <w:jc w:val="center"/>
        <w:rPr>
          <w:rFonts w:asciiTheme="majorEastAsia" w:hAnsiTheme="majorEastAsia" w:eastAsiaTheme="majorEastAsia" w:cstheme="majorEastAsia"/>
          <w:b/>
          <w:bCs w:val="0"/>
          <w:color w:val="000000"/>
          <w:w w:val="90"/>
          <w:sz w:val="52"/>
          <w:szCs w:val="52"/>
        </w:rPr>
      </w:pPr>
      <w:r>
        <w:rPr>
          <w:rFonts w:hint="eastAsia" w:asciiTheme="majorEastAsia" w:hAnsiTheme="majorEastAsia" w:eastAsiaTheme="majorEastAsia" w:cstheme="majorEastAsia"/>
          <w:b/>
          <w:bCs w:val="0"/>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hint="default" w:asciiTheme="majorEastAsia" w:hAnsiTheme="majorEastAsia" w:eastAsiaTheme="majorEastAsia" w:cstheme="majorEastAsia"/>
          <w:b/>
          <w:bCs/>
          <w:color w:val="000000"/>
          <w:sz w:val="36"/>
          <w:szCs w:val="36"/>
          <w:lang w:val="en-US"/>
        </w:rPr>
      </w:pPr>
      <w:r>
        <w:rPr>
          <w:rFonts w:hint="eastAsia" w:asciiTheme="majorEastAsia" w:hAnsiTheme="majorEastAsia" w:eastAsiaTheme="majorEastAsia" w:cstheme="majorEastAsia"/>
          <w:b/>
          <w:bCs/>
          <w:color w:val="000000"/>
          <w:sz w:val="36"/>
          <w:szCs w:val="36"/>
        </w:rPr>
        <w:t xml:space="preserve">   </w:t>
      </w:r>
      <w:r>
        <w:rPr>
          <w:rFonts w:hint="eastAsia" w:asciiTheme="majorEastAsia" w:hAnsiTheme="majorEastAsia" w:eastAsiaTheme="majorEastAsia" w:cstheme="majorEastAsia"/>
          <w:b/>
          <w:bCs/>
          <w:color w:val="000000"/>
          <w:sz w:val="36"/>
          <w:szCs w:val="36"/>
          <w:lang w:val="en-US" w:eastAsia="zh-CN"/>
        </w:rPr>
        <w:t xml:space="preserve">   </w:t>
      </w:r>
      <w:r>
        <w:rPr>
          <w:rFonts w:hint="eastAsia" w:asciiTheme="majorEastAsia" w:hAnsiTheme="majorEastAsia" w:eastAsiaTheme="majorEastAsia" w:cstheme="majorEastAsia"/>
          <w:b/>
          <w:bCs/>
          <w:color w:val="000000"/>
          <w:sz w:val="36"/>
          <w:szCs w:val="36"/>
        </w:rPr>
        <w:t>项目编号：</w:t>
      </w:r>
      <w:r>
        <w:rPr>
          <w:rFonts w:hint="eastAsia" w:asciiTheme="majorEastAsia" w:hAnsiTheme="majorEastAsia" w:eastAsiaTheme="majorEastAsia" w:cstheme="majorEastAsia"/>
          <w:b/>
          <w:bCs/>
          <w:color w:val="000000"/>
          <w:sz w:val="36"/>
          <w:szCs w:val="36"/>
          <w:lang w:val="en-US" w:eastAsia="zh-CN"/>
        </w:rPr>
        <w:t>YZCG -G2018337-1</w:t>
      </w:r>
    </w:p>
    <w:p>
      <w:pPr>
        <w:ind w:firstLine="1084" w:firstLineChars="300"/>
        <w:rPr>
          <w:rFonts w:hint="eastAsia" w:asciiTheme="majorEastAsia" w:hAnsiTheme="majorEastAsia" w:eastAsiaTheme="majorEastAsia" w:cstheme="majorEastAsia"/>
          <w:b/>
          <w:bCs/>
          <w:color w:val="000000"/>
          <w:sz w:val="36"/>
          <w:szCs w:val="36"/>
          <w:lang w:eastAsia="zh-CN"/>
        </w:rPr>
      </w:pPr>
      <w:r>
        <w:rPr>
          <w:rFonts w:hint="eastAsia" w:asciiTheme="majorEastAsia" w:hAnsiTheme="majorEastAsia" w:eastAsiaTheme="majorEastAsia" w:cstheme="majorEastAsia"/>
          <w:b/>
          <w:bCs/>
          <w:color w:val="000000"/>
          <w:sz w:val="36"/>
          <w:szCs w:val="36"/>
        </w:rPr>
        <w:t>采购单位：禹州市</w:t>
      </w:r>
      <w:r>
        <w:rPr>
          <w:rFonts w:hint="eastAsia" w:asciiTheme="majorEastAsia" w:hAnsiTheme="majorEastAsia" w:eastAsiaTheme="majorEastAsia" w:cstheme="majorEastAsia"/>
          <w:b/>
          <w:bCs/>
          <w:color w:val="000000"/>
          <w:sz w:val="36"/>
          <w:szCs w:val="36"/>
          <w:lang w:eastAsia="zh-CN"/>
        </w:rPr>
        <w:t>环境保护局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代理机构：禹州市政府采购中心</w:t>
      </w:r>
    </w:p>
    <w:p>
      <w:pPr>
        <w:rPr>
          <w:rFonts w:asciiTheme="majorEastAsia" w:hAnsiTheme="majorEastAsia" w:eastAsiaTheme="majorEastAsia" w:cstheme="majorEastAsia"/>
          <w:b/>
          <w:bCs/>
          <w:color w:val="000000"/>
          <w:sz w:val="36"/>
          <w:szCs w:val="36"/>
        </w:rPr>
      </w:pP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w:t>
      </w:r>
      <w:r>
        <w:rPr>
          <w:rFonts w:hint="eastAsia" w:asciiTheme="majorEastAsia" w:hAnsiTheme="majorEastAsia" w:eastAsiaTheme="majorEastAsia" w:cstheme="majorEastAsia"/>
          <w:b/>
          <w:bCs/>
          <w:color w:val="000000"/>
          <w:sz w:val="36"/>
          <w:szCs w:val="36"/>
          <w:lang w:eastAsia="zh-CN"/>
        </w:rPr>
        <w:t>九</w:t>
      </w:r>
      <w:r>
        <w:rPr>
          <w:rFonts w:hint="eastAsia" w:asciiTheme="majorEastAsia" w:hAnsiTheme="majorEastAsia" w:eastAsiaTheme="majorEastAsia" w:cstheme="majorEastAsia"/>
          <w:b/>
          <w:bCs/>
          <w:color w:val="000000"/>
          <w:sz w:val="36"/>
          <w:szCs w:val="36"/>
        </w:rPr>
        <w:t>年</w:t>
      </w:r>
      <w:r>
        <w:rPr>
          <w:rFonts w:hint="eastAsia" w:asciiTheme="majorEastAsia" w:hAnsiTheme="majorEastAsia" w:eastAsiaTheme="majorEastAsia" w:cstheme="majorEastAsia"/>
          <w:b/>
          <w:bCs/>
          <w:color w:val="000000"/>
          <w:sz w:val="36"/>
          <w:szCs w:val="36"/>
          <w:lang w:eastAsia="zh-CN"/>
        </w:rPr>
        <w:t>四</w:t>
      </w:r>
      <w:r>
        <w:rPr>
          <w:rFonts w:hint="eastAsia" w:asciiTheme="majorEastAsia" w:hAnsiTheme="majorEastAsia" w:eastAsiaTheme="majorEastAsia" w:cstheme="majorEastAsia"/>
          <w:b/>
          <w:bCs/>
          <w:color w:val="000000"/>
          <w:sz w:val="36"/>
          <w:szCs w:val="36"/>
        </w:rPr>
        <w:t>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0"/>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keepNext w:val="0"/>
        <w:keepLines w:val="0"/>
        <w:widowControl w:val="0"/>
        <w:suppressLineNumbers w:val="0"/>
        <w:spacing w:before="0" w:beforeAutospacing="0" w:after="0" w:afterAutospacing="0" w:line="600" w:lineRule="exact"/>
        <w:ind w:left="0" w:right="0"/>
        <w:jc w:val="center"/>
        <w:rPr>
          <w:rFonts w:hint="eastAsia" w:asciiTheme="majorEastAsia" w:hAnsiTheme="majorEastAsia" w:eastAsiaTheme="majorEastAsia" w:cstheme="majorEastAsia"/>
          <w:b/>
          <w:sz w:val="36"/>
          <w:szCs w:val="36"/>
          <w:lang w:val="en-US" w:eastAsia="zh-CN"/>
        </w:rPr>
      </w:pPr>
      <w:r>
        <w:rPr>
          <w:rFonts w:hint="eastAsia" w:asciiTheme="majorEastAsia" w:hAnsiTheme="majorEastAsia" w:eastAsiaTheme="majorEastAsia" w:cstheme="majorEastAsia"/>
          <w:b/>
          <w:sz w:val="36"/>
          <w:szCs w:val="36"/>
          <w:lang w:val="en-US" w:eastAsia="zh-CN"/>
        </w:rPr>
        <w:t>禹州市机动车遥感监测及网络平台建设项目（二次）</w:t>
      </w:r>
    </w:p>
    <w:p>
      <w:pPr>
        <w:keepNext w:val="0"/>
        <w:keepLines w:val="0"/>
        <w:widowControl w:val="0"/>
        <w:suppressLineNumbers w:val="0"/>
        <w:spacing w:before="0" w:beforeAutospacing="0" w:after="0" w:afterAutospacing="0" w:line="600" w:lineRule="exact"/>
        <w:ind w:left="0" w:right="0"/>
        <w:jc w:val="center"/>
        <w:rPr>
          <w:rFonts w:hint="eastAsia" w:asciiTheme="majorEastAsia" w:hAnsiTheme="majorEastAsia" w:eastAsiaTheme="majorEastAsia" w:cstheme="majorEastAsia"/>
          <w:b/>
          <w:sz w:val="36"/>
          <w:szCs w:val="36"/>
          <w:lang w:val="en-US"/>
        </w:rPr>
      </w:pPr>
      <w:r>
        <w:rPr>
          <w:rFonts w:hint="eastAsia" w:asciiTheme="majorEastAsia" w:hAnsiTheme="majorEastAsia" w:eastAsiaTheme="majorEastAsia" w:cstheme="majorEastAsia"/>
          <w:b/>
          <w:kern w:val="2"/>
          <w:sz w:val="36"/>
          <w:szCs w:val="36"/>
          <w:lang w:val="en-US" w:eastAsia="zh-CN" w:bidi="ar"/>
        </w:rPr>
        <w:t>招  标 邀 请 函</w:t>
      </w:r>
    </w:p>
    <w:p>
      <w:pPr>
        <w:keepNext w:val="0"/>
        <w:keepLines w:val="0"/>
        <w:widowControl w:val="0"/>
        <w:suppressLineNumbers w:val="0"/>
        <w:autoSpaceDE w:val="0"/>
        <w:autoSpaceDN/>
        <w:spacing w:before="0" w:beforeAutospacing="0" w:after="0" w:afterAutospacing="0" w:line="400" w:lineRule="exact"/>
        <w:ind w:left="0" w:right="0" w:firstLine="640" w:firstLineChars="200"/>
        <w:jc w:val="left"/>
        <w:rPr>
          <w:rFonts w:hint="eastAsia" w:asciiTheme="majorEastAsia" w:hAnsiTheme="majorEastAsia" w:eastAsiaTheme="majorEastAsia" w:cstheme="majorEastAsia"/>
          <w:sz w:val="32"/>
          <w:szCs w:val="32"/>
          <w:lang w:val="en-US"/>
        </w:rPr>
      </w:pPr>
      <w:r>
        <w:rPr>
          <w:rFonts w:hint="eastAsia" w:asciiTheme="majorEastAsia" w:hAnsiTheme="majorEastAsia" w:eastAsiaTheme="majorEastAsia" w:cstheme="majorEastAsia"/>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400" w:lineRule="exact"/>
        <w:ind w:left="0" w:right="0" w:firstLine="480" w:firstLineChars="200"/>
        <w:jc w:val="left"/>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kern w:val="2"/>
          <w:sz w:val="24"/>
          <w:szCs w:val="24"/>
          <w:lang w:val="en-US" w:eastAsia="zh-CN" w:bidi="ar"/>
        </w:rPr>
        <w:t>禹州市政府采购中心受禹州市环境保护局的委托，就“禹州市机动车遥感监测及网络平台建设项目（二次）”进行公开招标，欢迎合格的投标人前来投标。</w:t>
      </w:r>
    </w:p>
    <w:p>
      <w:pPr>
        <w:keepNext w:val="0"/>
        <w:keepLines w:val="0"/>
        <w:widowControl/>
        <w:numPr>
          <w:ilvl w:val="0"/>
          <w:numId w:val="5"/>
        </w:numPr>
        <w:suppressLineNumbers w:val="0"/>
        <w:shd w:val="clear" w:fill="FFFFFF"/>
        <w:autoSpaceDE w:val="0"/>
        <w:autoSpaceDN/>
        <w:spacing w:before="0" w:beforeAutospacing="0" w:after="0" w:afterAutospacing="0" w:line="400" w:lineRule="exact"/>
        <w:ind w:left="0" w:right="0" w:firstLine="482"/>
        <w:jc w:val="left"/>
        <w:rPr>
          <w:rFonts w:hint="eastAsia" w:asciiTheme="majorEastAsia" w:hAnsiTheme="majorEastAsia" w:eastAsiaTheme="majorEastAsia" w:cstheme="majorEastAsia"/>
          <w:b/>
          <w:color w:val="000000"/>
          <w:kern w:val="0"/>
          <w:sz w:val="24"/>
          <w:szCs w:val="24"/>
          <w:shd w:val="clear" w:fill="FFFFFF"/>
          <w:lang w:val="en-US"/>
        </w:rPr>
      </w:pPr>
      <w:r>
        <w:rPr>
          <w:rFonts w:hint="eastAsia" w:asciiTheme="majorEastAsia" w:hAnsiTheme="majorEastAsia" w:eastAsiaTheme="majorEastAsia" w:cstheme="majorEastAsia"/>
          <w:b/>
          <w:color w:val="000000"/>
          <w:kern w:val="0"/>
          <w:sz w:val="24"/>
          <w:szCs w:val="24"/>
          <w:shd w:val="clear" w:fill="FFFFFF"/>
          <w:lang w:val="en-US" w:eastAsia="zh-CN" w:bidi="ar"/>
        </w:rPr>
        <w:t>项目基本情况</w:t>
      </w:r>
    </w:p>
    <w:p>
      <w:pPr>
        <w:keepNext w:val="0"/>
        <w:keepLines w:val="0"/>
        <w:widowControl/>
        <w:numPr>
          <w:ilvl w:val="0"/>
          <w:numId w:val="6"/>
        </w:numPr>
        <w:suppressLineNumbers w:val="0"/>
        <w:shd w:val="clear" w:fill="FFFFFF"/>
        <w:autoSpaceDE w:val="0"/>
        <w:autoSpaceDN/>
        <w:spacing w:before="0" w:beforeAutospacing="0" w:after="0" w:afterAutospacing="0" w:line="400" w:lineRule="exact"/>
        <w:ind w:left="481" w:right="0" w:firstLine="0"/>
        <w:jc w:val="left"/>
        <w:rPr>
          <w:rFonts w:hint="eastAsia" w:asciiTheme="majorEastAsia" w:hAnsiTheme="majorEastAsia" w:eastAsiaTheme="majorEastAsia" w:cstheme="majorEastAsia"/>
          <w:sz w:val="24"/>
          <w:szCs w:val="24"/>
          <w:shd w:val="clear" w:fill="FFFFFF"/>
          <w:lang w:val="en-US"/>
        </w:rPr>
      </w:pPr>
      <w:r>
        <w:rPr>
          <w:rFonts w:hint="eastAsia" w:asciiTheme="majorEastAsia" w:hAnsiTheme="majorEastAsia" w:eastAsiaTheme="majorEastAsia" w:cstheme="majorEastAsia"/>
          <w:kern w:val="2"/>
          <w:sz w:val="24"/>
          <w:szCs w:val="24"/>
          <w:shd w:val="clear" w:fill="FFFFFF"/>
          <w:lang w:val="en-US" w:eastAsia="zh-CN" w:bidi="ar"/>
        </w:rPr>
        <w:t>采购人：禹州市环境保护局</w:t>
      </w:r>
    </w:p>
    <w:p>
      <w:pPr>
        <w:keepNext w:val="0"/>
        <w:keepLines w:val="0"/>
        <w:widowControl/>
        <w:numPr>
          <w:ilvl w:val="0"/>
          <w:numId w:val="6"/>
        </w:numPr>
        <w:suppressLineNumbers w:val="0"/>
        <w:shd w:val="clear" w:fill="FFFFFF"/>
        <w:autoSpaceDE w:val="0"/>
        <w:autoSpaceDN/>
        <w:spacing w:before="0" w:beforeAutospacing="0" w:after="0" w:afterAutospacing="0" w:line="400" w:lineRule="exact"/>
        <w:ind w:left="481" w:right="0" w:firstLine="0"/>
        <w:jc w:val="left"/>
        <w:rPr>
          <w:rFonts w:hint="eastAsia" w:asciiTheme="majorEastAsia" w:hAnsiTheme="majorEastAsia" w:eastAsiaTheme="majorEastAsia" w:cstheme="majorEastAsia"/>
          <w:kern w:val="2"/>
          <w:sz w:val="24"/>
          <w:szCs w:val="24"/>
          <w:shd w:val="clear" w:fill="FFFFFF"/>
          <w:lang w:val="en-US" w:eastAsia="zh-CN" w:bidi="ar"/>
        </w:rPr>
      </w:pPr>
      <w:r>
        <w:rPr>
          <w:rFonts w:hint="eastAsia" w:asciiTheme="majorEastAsia" w:hAnsiTheme="majorEastAsia" w:eastAsiaTheme="majorEastAsia" w:cstheme="majorEastAsia"/>
          <w:color w:val="000000"/>
          <w:kern w:val="0"/>
          <w:sz w:val="24"/>
          <w:szCs w:val="24"/>
          <w:shd w:val="clear" w:fill="FFFFFF"/>
          <w:lang w:val="en-US" w:eastAsia="zh-CN" w:bidi="ar"/>
        </w:rPr>
        <w:t>项目名称：</w:t>
      </w:r>
      <w:r>
        <w:rPr>
          <w:rFonts w:hint="eastAsia" w:asciiTheme="majorEastAsia" w:hAnsiTheme="majorEastAsia" w:eastAsiaTheme="majorEastAsia" w:cstheme="majorEastAsia"/>
          <w:kern w:val="2"/>
          <w:sz w:val="24"/>
          <w:szCs w:val="24"/>
          <w:shd w:val="clear" w:fill="FFFFFF"/>
          <w:lang w:val="en-US" w:eastAsia="zh-CN" w:bidi="ar"/>
        </w:rPr>
        <w:t>禹州市机动车遥感监测及网络平台建设项目（二次）</w:t>
      </w:r>
    </w:p>
    <w:p>
      <w:pPr>
        <w:keepNext w:val="0"/>
        <w:keepLines w:val="0"/>
        <w:widowControl/>
        <w:suppressLineNumbers w:val="0"/>
        <w:shd w:val="clear" w:fill="FFFFFF"/>
        <w:autoSpaceDE w:val="0"/>
        <w:autoSpaceDN/>
        <w:spacing w:before="0" w:beforeAutospacing="0" w:after="0" w:afterAutospacing="0" w:line="400" w:lineRule="exact"/>
        <w:ind w:left="481" w:right="0"/>
        <w:jc w:val="left"/>
        <w:rPr>
          <w:rFonts w:hint="default" w:asciiTheme="majorEastAsia" w:hAnsiTheme="majorEastAsia" w:eastAsiaTheme="majorEastAsia" w:cstheme="majorEastAsia"/>
          <w:sz w:val="24"/>
          <w:szCs w:val="24"/>
          <w:shd w:val="clear" w:fill="FFFFFF"/>
          <w:lang w:val="en-US"/>
        </w:rPr>
      </w:pPr>
      <w:r>
        <w:rPr>
          <w:rFonts w:hint="eastAsia" w:asciiTheme="majorEastAsia" w:hAnsiTheme="majorEastAsia" w:eastAsiaTheme="majorEastAsia" w:cstheme="majorEastAsia"/>
          <w:color w:val="000000"/>
          <w:kern w:val="0"/>
          <w:sz w:val="24"/>
          <w:szCs w:val="24"/>
          <w:shd w:val="clear" w:fill="FFFFFF"/>
          <w:lang w:val="en-US" w:eastAsia="zh-CN" w:bidi="ar"/>
        </w:rPr>
        <w:t>3、采购编号：</w:t>
      </w:r>
      <w:r>
        <w:rPr>
          <w:rFonts w:hint="eastAsia" w:asciiTheme="majorEastAsia" w:hAnsiTheme="majorEastAsia" w:eastAsiaTheme="majorEastAsia" w:cstheme="majorEastAsia"/>
          <w:kern w:val="2"/>
          <w:sz w:val="24"/>
          <w:szCs w:val="24"/>
          <w:shd w:val="clear" w:fill="FFFFFF"/>
          <w:lang w:val="en-US" w:eastAsia="zh-CN" w:bidi="ar"/>
        </w:rPr>
        <w:t>YZCG-G2018337-1</w:t>
      </w:r>
    </w:p>
    <w:p>
      <w:pPr>
        <w:keepNext w:val="0"/>
        <w:keepLines w:val="0"/>
        <w:widowControl/>
        <w:suppressLineNumbers w:val="0"/>
        <w:shd w:val="clear" w:fill="FFFFFF"/>
        <w:autoSpaceDE w:val="0"/>
        <w:autoSpaceDN/>
        <w:spacing w:before="0" w:beforeAutospacing="0" w:after="0" w:afterAutospacing="0" w:line="400" w:lineRule="exact"/>
        <w:ind w:left="0" w:right="0" w:firstLine="482"/>
        <w:jc w:val="left"/>
        <w:rPr>
          <w:rFonts w:hint="eastAsia" w:asciiTheme="majorEastAsia" w:hAnsiTheme="majorEastAsia" w:eastAsiaTheme="majorEastAsia" w:cstheme="majorEastAsia"/>
          <w:kern w:val="2"/>
          <w:sz w:val="24"/>
          <w:szCs w:val="24"/>
          <w:shd w:val="clear" w:fill="FFFFFF"/>
          <w:lang w:val="en-US" w:eastAsia="zh-CN" w:bidi="ar"/>
        </w:rPr>
      </w:pPr>
      <w:r>
        <w:rPr>
          <w:rFonts w:hint="eastAsia" w:asciiTheme="majorEastAsia" w:hAnsiTheme="majorEastAsia" w:eastAsiaTheme="majorEastAsia" w:cstheme="majorEastAsia"/>
          <w:color w:val="000000"/>
          <w:kern w:val="0"/>
          <w:sz w:val="24"/>
          <w:szCs w:val="24"/>
          <w:shd w:val="clear" w:fill="FFFFFF"/>
          <w:lang w:val="en-US" w:eastAsia="zh-CN" w:bidi="ar"/>
        </w:rPr>
        <w:t>4、项目需求：</w:t>
      </w:r>
      <w:r>
        <w:rPr>
          <w:rFonts w:hint="eastAsia" w:asciiTheme="majorEastAsia" w:hAnsiTheme="majorEastAsia" w:eastAsiaTheme="majorEastAsia" w:cstheme="majorEastAsia"/>
          <w:kern w:val="2"/>
          <w:sz w:val="24"/>
          <w:szCs w:val="24"/>
          <w:shd w:val="clear" w:fill="FFFFFF"/>
          <w:lang w:val="en-US" w:eastAsia="zh-CN" w:bidi="ar"/>
        </w:rPr>
        <w:t>机动车遥感监测及网络平台建设</w:t>
      </w:r>
    </w:p>
    <w:p>
      <w:pPr>
        <w:keepNext w:val="0"/>
        <w:keepLines w:val="0"/>
        <w:widowControl/>
        <w:suppressLineNumbers w:val="0"/>
        <w:shd w:val="clear" w:fill="FFFFFF"/>
        <w:autoSpaceDE w:val="0"/>
        <w:autoSpaceDN/>
        <w:spacing w:before="0" w:beforeAutospacing="0" w:after="0" w:afterAutospacing="0" w:line="400" w:lineRule="exact"/>
        <w:ind w:left="0" w:right="0" w:firstLine="482"/>
        <w:jc w:val="left"/>
        <w:rPr>
          <w:rFonts w:hint="eastAsia" w:asciiTheme="majorEastAsia" w:hAnsiTheme="majorEastAsia" w:eastAsiaTheme="majorEastAsia" w:cstheme="majorEastAsia"/>
          <w:sz w:val="24"/>
          <w:szCs w:val="24"/>
          <w:shd w:val="clear" w:fill="FFFFFF"/>
          <w:lang w:val="en-US"/>
        </w:rPr>
      </w:pPr>
      <w:r>
        <w:rPr>
          <w:rFonts w:hint="eastAsia" w:asciiTheme="majorEastAsia" w:hAnsiTheme="majorEastAsia" w:eastAsiaTheme="majorEastAsia" w:cstheme="majorEastAsia"/>
          <w:color w:val="000000"/>
          <w:kern w:val="0"/>
          <w:sz w:val="24"/>
          <w:szCs w:val="24"/>
          <w:shd w:val="clear" w:fill="FFFFFF"/>
          <w:lang w:val="en-US" w:eastAsia="zh-CN" w:bidi="ar"/>
        </w:rPr>
        <w:t>5、采购预算：641.9</w:t>
      </w:r>
      <w:r>
        <w:rPr>
          <w:rFonts w:hint="eastAsia" w:asciiTheme="majorEastAsia" w:hAnsiTheme="majorEastAsia" w:eastAsiaTheme="majorEastAsia" w:cstheme="majorEastAsia"/>
          <w:kern w:val="2"/>
          <w:sz w:val="24"/>
          <w:szCs w:val="24"/>
          <w:shd w:val="clear" w:fill="FFFFFF"/>
          <w:lang w:val="en-US" w:eastAsia="zh-CN" w:bidi="ar"/>
        </w:rPr>
        <w:t>万元</w:t>
      </w:r>
    </w:p>
    <w:p>
      <w:pPr>
        <w:keepNext w:val="0"/>
        <w:keepLines w:val="0"/>
        <w:widowControl/>
        <w:suppressLineNumbers w:val="0"/>
        <w:shd w:val="clear" w:fill="FFFFFF"/>
        <w:autoSpaceDE w:val="0"/>
        <w:autoSpaceDN/>
        <w:spacing w:before="0" w:beforeAutospacing="0" w:after="0" w:afterAutospacing="0" w:line="400" w:lineRule="exact"/>
        <w:ind w:left="0" w:right="0" w:firstLine="482"/>
        <w:jc w:val="left"/>
        <w:rPr>
          <w:rFonts w:hint="eastAsia" w:asciiTheme="majorEastAsia" w:hAnsiTheme="majorEastAsia" w:eastAsiaTheme="majorEastAsia" w:cstheme="majorEastAsia"/>
          <w:sz w:val="24"/>
          <w:szCs w:val="24"/>
          <w:shd w:val="clear" w:fill="FFFFFF"/>
          <w:lang w:val="en-US"/>
        </w:rPr>
      </w:pPr>
      <w:r>
        <w:rPr>
          <w:rFonts w:hint="eastAsia" w:asciiTheme="majorEastAsia" w:hAnsiTheme="majorEastAsia" w:eastAsiaTheme="majorEastAsia" w:cstheme="majorEastAsia"/>
          <w:kern w:val="2"/>
          <w:sz w:val="24"/>
          <w:szCs w:val="24"/>
          <w:shd w:val="clear" w:fill="FFFFFF"/>
          <w:lang w:val="en-US" w:eastAsia="zh-CN" w:bidi="ar"/>
        </w:rPr>
        <w:t>6、采购限价：641.9万元</w:t>
      </w:r>
    </w:p>
    <w:p>
      <w:pPr>
        <w:keepNext w:val="0"/>
        <w:keepLines w:val="0"/>
        <w:widowControl/>
        <w:suppressLineNumbers w:val="0"/>
        <w:shd w:val="clear" w:fill="FFFFFF"/>
        <w:autoSpaceDE w:val="0"/>
        <w:autoSpaceDN/>
        <w:spacing w:before="0" w:beforeAutospacing="0" w:after="0" w:afterAutospacing="0" w:line="400" w:lineRule="exact"/>
        <w:ind w:left="0" w:right="0" w:firstLine="354" w:firstLineChars="147"/>
        <w:jc w:val="left"/>
        <w:rPr>
          <w:rFonts w:hint="eastAsia" w:asciiTheme="majorEastAsia" w:hAnsiTheme="majorEastAsia" w:eastAsiaTheme="majorEastAsia" w:cstheme="majorEastAsia"/>
          <w:b/>
          <w:color w:val="000000"/>
          <w:kern w:val="0"/>
          <w:sz w:val="24"/>
          <w:szCs w:val="24"/>
          <w:shd w:val="clear" w:fill="FFFFFF"/>
          <w:lang w:val="en-US"/>
        </w:rPr>
      </w:pPr>
      <w:r>
        <w:rPr>
          <w:rFonts w:hint="eastAsia" w:asciiTheme="majorEastAsia" w:hAnsiTheme="majorEastAsia" w:eastAsiaTheme="majorEastAsia" w:cstheme="majorEastAsia"/>
          <w:b/>
          <w:color w:val="000000"/>
          <w:kern w:val="0"/>
          <w:sz w:val="24"/>
          <w:szCs w:val="24"/>
          <w:shd w:val="clear" w:fill="FFFFFF"/>
          <w:lang w:val="en-US" w:eastAsia="zh-CN" w:bidi="ar"/>
        </w:rPr>
        <w:t>二、需要落实的政府采购政策</w:t>
      </w:r>
    </w:p>
    <w:p>
      <w:pPr>
        <w:keepNext w:val="0"/>
        <w:keepLines w:val="0"/>
        <w:widowControl/>
        <w:suppressLineNumbers w:val="0"/>
        <w:shd w:val="clear" w:fill="FFFFFF"/>
        <w:autoSpaceDE w:val="0"/>
        <w:autoSpaceDN/>
        <w:spacing w:before="0" w:beforeAutospacing="0" w:after="0" w:afterAutospacing="0" w:line="400" w:lineRule="exact"/>
        <w:ind w:left="0" w:right="0" w:firstLine="641"/>
        <w:jc w:val="left"/>
        <w:rPr>
          <w:rFonts w:hint="eastAsia" w:asciiTheme="majorEastAsia" w:hAnsiTheme="majorEastAsia" w:eastAsiaTheme="majorEastAsia" w:cstheme="majorEastAsia"/>
          <w:color w:val="000000"/>
          <w:kern w:val="0"/>
          <w:sz w:val="24"/>
          <w:szCs w:val="24"/>
          <w:shd w:val="clear" w:fill="FFFFFF"/>
          <w:lang w:val="en-US"/>
        </w:rPr>
      </w:pPr>
      <w:r>
        <w:rPr>
          <w:rFonts w:hint="eastAsia" w:asciiTheme="majorEastAsia" w:hAnsiTheme="majorEastAsia" w:eastAsiaTheme="majorEastAsia" w:cstheme="majorEastAsia"/>
          <w:color w:val="000000"/>
          <w:kern w:val="0"/>
          <w:sz w:val="24"/>
          <w:szCs w:val="24"/>
          <w:shd w:val="clear" w:fill="FFFFFF"/>
          <w:lang w:val="en-US" w:eastAsia="zh-CN" w:bidi="ar"/>
        </w:rPr>
        <w:t>本项目落实节约能源、保护环境、扶持不发达地区和少数民族地区、促进中小企业、监狱企业发展等政府采购政策。（详见谈判文件）</w:t>
      </w:r>
    </w:p>
    <w:p>
      <w:pPr>
        <w:keepNext w:val="0"/>
        <w:keepLines w:val="0"/>
        <w:widowControl/>
        <w:suppressLineNumbers w:val="0"/>
        <w:shd w:val="clear" w:fill="FFFFFF"/>
        <w:autoSpaceDE w:val="0"/>
        <w:autoSpaceDN/>
        <w:spacing w:before="0" w:beforeAutospacing="0" w:after="0" w:afterAutospacing="0" w:line="400" w:lineRule="exact"/>
        <w:ind w:left="482" w:right="0"/>
        <w:jc w:val="left"/>
        <w:rPr>
          <w:rFonts w:hint="eastAsia" w:asciiTheme="majorEastAsia" w:hAnsiTheme="majorEastAsia" w:eastAsiaTheme="majorEastAsia" w:cstheme="majorEastAsia"/>
          <w:b/>
          <w:color w:val="000000"/>
          <w:kern w:val="0"/>
          <w:sz w:val="24"/>
          <w:szCs w:val="24"/>
          <w:shd w:val="clear" w:fill="FFFFFF"/>
          <w:lang w:val="en-US"/>
        </w:rPr>
      </w:pPr>
      <w:r>
        <w:rPr>
          <w:rFonts w:hint="eastAsia" w:asciiTheme="majorEastAsia" w:hAnsiTheme="majorEastAsia" w:eastAsiaTheme="majorEastAsia" w:cstheme="majorEastAsia"/>
          <w:b/>
          <w:color w:val="000000"/>
          <w:kern w:val="0"/>
          <w:sz w:val="24"/>
          <w:szCs w:val="24"/>
          <w:shd w:val="clear" w:fill="FFFFFF"/>
          <w:lang w:val="en-US" w:eastAsia="zh-CN" w:bidi="ar"/>
        </w:rPr>
        <w:t>三、供应商资格要求：</w:t>
      </w:r>
    </w:p>
    <w:p>
      <w:pPr>
        <w:keepNext w:val="0"/>
        <w:keepLines w:val="0"/>
        <w:widowControl/>
        <w:suppressLineNumbers w:val="0"/>
        <w:shd w:val="clear" w:fill="FFFFFF"/>
        <w:autoSpaceDE w:val="0"/>
        <w:autoSpaceDN/>
        <w:spacing w:before="0" w:beforeAutospacing="0" w:after="0" w:afterAutospacing="0" w:line="400" w:lineRule="exact"/>
        <w:ind w:left="482" w:right="0"/>
        <w:jc w:val="left"/>
        <w:rPr>
          <w:rFonts w:hint="eastAsia" w:asciiTheme="majorEastAsia" w:hAnsiTheme="majorEastAsia" w:eastAsiaTheme="majorEastAsia" w:cstheme="majorEastAsia"/>
          <w:sz w:val="24"/>
          <w:szCs w:val="24"/>
          <w:shd w:val="clear" w:fill="FFFFFF"/>
          <w:lang w:val="en-US"/>
        </w:rPr>
      </w:pPr>
      <w:r>
        <w:rPr>
          <w:rFonts w:hint="eastAsia" w:asciiTheme="majorEastAsia" w:hAnsiTheme="majorEastAsia" w:eastAsiaTheme="majorEastAsia" w:cstheme="majorEastAsia"/>
          <w:kern w:val="2"/>
          <w:sz w:val="24"/>
          <w:szCs w:val="24"/>
          <w:shd w:val="clear" w:fill="FFFFFF"/>
          <w:lang w:val="en-US" w:eastAsia="zh-CN" w:bidi="ar"/>
        </w:rPr>
        <w:t>1、符合《政府采购法》第二十二条之规定;</w:t>
      </w:r>
    </w:p>
    <w:p>
      <w:pPr>
        <w:keepNext w:val="0"/>
        <w:keepLines w:val="0"/>
        <w:widowControl w:val="0"/>
        <w:suppressLineNumbers w:val="0"/>
        <w:autoSpaceDE w:val="0"/>
        <w:autoSpaceDN/>
        <w:spacing w:before="0" w:beforeAutospacing="0" w:after="0" w:afterAutospacing="0" w:line="400" w:lineRule="exact"/>
        <w:ind w:left="319" w:leftChars="152" w:right="0" w:firstLine="120" w:firstLineChars="50"/>
        <w:jc w:val="both"/>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kern w:val="2"/>
          <w:sz w:val="24"/>
          <w:szCs w:val="24"/>
          <w:lang w:val="en-US" w:eastAsia="zh-CN" w:bidi="ar"/>
        </w:rPr>
        <w:t>2、被委托人是须是本单位职工，须提供公司为本人缴纳社会保险证明；</w:t>
      </w:r>
    </w:p>
    <w:p>
      <w:pPr>
        <w:keepNext w:val="0"/>
        <w:keepLines w:val="0"/>
        <w:widowControl w:val="0"/>
        <w:suppressLineNumbers w:val="0"/>
        <w:autoSpaceDE w:val="0"/>
        <w:autoSpaceDN/>
        <w:spacing w:before="0" w:beforeAutospacing="0" w:after="0" w:afterAutospacing="0" w:line="400" w:lineRule="exact"/>
        <w:ind w:left="0" w:right="0" w:firstLine="360" w:firstLineChars="150"/>
        <w:jc w:val="both"/>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kern w:val="2"/>
          <w:sz w:val="24"/>
          <w:szCs w:val="24"/>
          <w:lang w:val="en-US" w:eastAsia="zh-CN" w:bidi="ar"/>
        </w:rPr>
        <w:t>3、本项目不接受联合体投标。</w:t>
      </w:r>
    </w:p>
    <w:p>
      <w:pPr>
        <w:keepNext w:val="0"/>
        <w:keepLines w:val="0"/>
        <w:widowControl/>
        <w:suppressLineNumbers w:val="0"/>
        <w:shd w:val="clear" w:fill="FFFFFF"/>
        <w:autoSpaceDE w:val="0"/>
        <w:autoSpaceDN/>
        <w:spacing w:before="0" w:beforeAutospacing="0" w:after="0" w:afterAutospacing="0" w:line="400" w:lineRule="exact"/>
        <w:ind w:left="0" w:right="0" w:firstLine="482"/>
        <w:jc w:val="left"/>
        <w:rPr>
          <w:rFonts w:hint="eastAsia" w:asciiTheme="majorEastAsia" w:hAnsiTheme="majorEastAsia" w:eastAsiaTheme="majorEastAsia" w:cstheme="majorEastAsia"/>
          <w:b/>
          <w:color w:val="000000"/>
          <w:kern w:val="0"/>
          <w:sz w:val="24"/>
          <w:szCs w:val="24"/>
          <w:shd w:val="clear" w:fill="FFFFFF"/>
          <w:lang w:val="en-US"/>
        </w:rPr>
      </w:pPr>
      <w:r>
        <w:rPr>
          <w:rFonts w:hint="eastAsia" w:asciiTheme="majorEastAsia" w:hAnsiTheme="majorEastAsia" w:eastAsiaTheme="majorEastAsia" w:cstheme="majorEastAsia"/>
          <w:b/>
          <w:color w:val="000000"/>
          <w:kern w:val="0"/>
          <w:sz w:val="24"/>
          <w:szCs w:val="24"/>
          <w:shd w:val="clear" w:fill="FFFFFF"/>
          <w:lang w:val="en-US" w:eastAsia="zh-CN" w:bidi="ar"/>
        </w:rPr>
        <w:t>四、获取招标文件的方式、时间、地点</w:t>
      </w:r>
    </w:p>
    <w:p>
      <w:pPr>
        <w:keepNext w:val="0"/>
        <w:keepLines w:val="0"/>
        <w:widowControl w:val="0"/>
        <w:suppressLineNumbers w:val="0"/>
        <w:wordWrap w:val="0"/>
        <w:topLinePunct/>
        <w:snapToGrid w:val="0"/>
        <w:spacing w:before="0" w:beforeAutospacing="0" w:after="0" w:afterAutospacing="0" w:line="400" w:lineRule="exact"/>
        <w:ind w:left="0" w:right="0" w:firstLine="480" w:firstLineChars="200"/>
        <w:jc w:val="both"/>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kern w:val="2"/>
          <w:sz w:val="24"/>
          <w:szCs w:val="24"/>
          <w:lang w:val="en-US" w:eastAsia="zh-CN" w:bidi="ar"/>
        </w:rPr>
        <w:t>1、持CA数字认证证书，登录</w:t>
      </w:r>
      <w:r>
        <w:rPr>
          <w:rFonts w:hint="eastAsia" w:asciiTheme="majorEastAsia" w:hAnsiTheme="majorEastAsia" w:eastAsiaTheme="majorEastAsia" w:cstheme="majorEastAsia"/>
          <w:kern w:val="2"/>
          <w:sz w:val="24"/>
          <w:szCs w:val="24"/>
          <w:lang w:val="en-US" w:eastAsia="zh-CN" w:bidi="ar"/>
        </w:rPr>
        <w:fldChar w:fldCharType="begin"/>
      </w:r>
      <w:r>
        <w:rPr>
          <w:rFonts w:hint="eastAsia" w:asciiTheme="majorEastAsia" w:hAnsiTheme="majorEastAsia" w:eastAsiaTheme="majorEastAsia" w:cstheme="majorEastAsia"/>
          <w:kern w:val="2"/>
          <w:sz w:val="24"/>
          <w:szCs w:val="24"/>
          <w:lang w:val="en-US" w:eastAsia="zh-CN" w:bidi="ar"/>
        </w:rPr>
        <w:instrText xml:space="preserve"> HYPERLINK "http://221.14.6.70:8088/ggzy/eps/public/RegistAllJcxx.html" </w:instrText>
      </w:r>
      <w:r>
        <w:rPr>
          <w:rFonts w:hint="eastAsia" w:asciiTheme="majorEastAsia" w:hAnsiTheme="majorEastAsia" w:eastAsiaTheme="majorEastAsia" w:cstheme="majorEastAsia"/>
          <w:kern w:val="2"/>
          <w:sz w:val="24"/>
          <w:szCs w:val="24"/>
          <w:lang w:val="en-US" w:eastAsia="zh-CN" w:bidi="ar"/>
        </w:rPr>
        <w:fldChar w:fldCharType="separate"/>
      </w:r>
      <w:r>
        <w:rPr>
          <w:rStyle w:val="31"/>
          <w:rFonts w:hint="eastAsia" w:asciiTheme="majorEastAsia" w:hAnsiTheme="majorEastAsia" w:eastAsiaTheme="majorEastAsia" w:cstheme="majorEastAsia"/>
          <w:sz w:val="24"/>
          <w:szCs w:val="24"/>
          <w:u w:val="single"/>
          <w:lang w:val="en-US"/>
        </w:rPr>
        <w:t>http://221.14.6.70:8088/ggzy/eps/public/RegistAllJcxx.html</w:t>
      </w:r>
      <w:r>
        <w:rPr>
          <w:rFonts w:hint="eastAsia" w:asciiTheme="majorEastAsia" w:hAnsiTheme="majorEastAsia" w:eastAsiaTheme="majorEastAsia" w:cstheme="majorEastAsia"/>
          <w:kern w:val="2"/>
          <w:sz w:val="24"/>
          <w:szCs w:val="24"/>
          <w:lang w:val="en-US" w:eastAsia="zh-CN" w:bidi="ar"/>
        </w:rPr>
        <w:fldChar w:fldCharType="end"/>
      </w:r>
      <w:r>
        <w:rPr>
          <w:rFonts w:hint="eastAsia" w:asciiTheme="majorEastAsia" w:hAnsiTheme="majorEastAsia" w:eastAsiaTheme="majorEastAsia" w:cstheme="majorEastAsia"/>
          <w:kern w:val="2"/>
          <w:sz w:val="24"/>
          <w:szCs w:val="24"/>
          <w:lang w:val="en-US" w:eastAsia="zh-CN" w:bidi="ar"/>
        </w:rPr>
        <w:t>进行免费注册登记（详见全国公共资源交易平台（河南省·许昌市）“常见问题解答-诚信库网上注册相关资料下载”）；</w:t>
      </w:r>
    </w:p>
    <w:p>
      <w:pPr>
        <w:keepNext w:val="0"/>
        <w:keepLines w:val="0"/>
        <w:widowControl w:val="0"/>
        <w:suppressLineNumbers w:val="0"/>
        <w:wordWrap w:val="0"/>
        <w:topLinePunct/>
        <w:autoSpaceDE w:val="0"/>
        <w:autoSpaceDN w:val="0"/>
        <w:adjustRightInd w:val="0"/>
        <w:snapToGrid w:val="0"/>
        <w:spacing w:before="0" w:beforeAutospacing="0" w:after="0" w:afterAutospacing="0" w:line="400" w:lineRule="exact"/>
        <w:ind w:left="0" w:right="0" w:firstLine="482"/>
        <w:jc w:val="both"/>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kern w:val="2"/>
          <w:sz w:val="24"/>
          <w:szCs w:val="24"/>
          <w:lang w:val="en-US" w:eastAsia="zh-CN" w:bidi="ar"/>
        </w:rPr>
        <w:t xml:space="preserve"> 2、在投标截止时间前登录</w:t>
      </w:r>
      <w:r>
        <w:rPr>
          <w:rFonts w:hint="eastAsia" w:asciiTheme="majorEastAsia" w:hAnsiTheme="majorEastAsia" w:eastAsiaTheme="majorEastAsia" w:cstheme="majorEastAsia"/>
          <w:kern w:val="2"/>
          <w:sz w:val="24"/>
          <w:szCs w:val="24"/>
          <w:lang w:val="en-US" w:eastAsia="zh-CN" w:bidi="ar"/>
        </w:rPr>
        <w:fldChar w:fldCharType="begin"/>
      </w:r>
      <w:r>
        <w:rPr>
          <w:rFonts w:hint="eastAsia" w:asciiTheme="majorEastAsia" w:hAnsiTheme="majorEastAsia" w:eastAsiaTheme="majorEastAsia" w:cstheme="majorEastAsia"/>
          <w:kern w:val="2"/>
          <w:sz w:val="24"/>
          <w:szCs w:val="24"/>
          <w:lang w:val="en-US" w:eastAsia="zh-CN" w:bidi="ar"/>
        </w:rPr>
        <w:instrText xml:space="preserve"> HYPERLINK "http://221.14.6.70:8088/ggzy/" </w:instrText>
      </w:r>
      <w:r>
        <w:rPr>
          <w:rFonts w:hint="eastAsia" w:asciiTheme="majorEastAsia" w:hAnsiTheme="majorEastAsia" w:eastAsiaTheme="majorEastAsia" w:cstheme="majorEastAsia"/>
          <w:kern w:val="2"/>
          <w:sz w:val="24"/>
          <w:szCs w:val="24"/>
          <w:lang w:val="en-US" w:eastAsia="zh-CN" w:bidi="ar"/>
        </w:rPr>
        <w:fldChar w:fldCharType="separate"/>
      </w:r>
      <w:r>
        <w:rPr>
          <w:rStyle w:val="31"/>
          <w:rFonts w:hint="eastAsia" w:asciiTheme="majorEastAsia" w:hAnsiTheme="majorEastAsia" w:eastAsiaTheme="majorEastAsia" w:cstheme="majorEastAsia"/>
          <w:sz w:val="24"/>
          <w:szCs w:val="24"/>
          <w:u w:val="single"/>
          <w:lang w:val="en-US"/>
        </w:rPr>
        <w:t>http://221.14.6.70:8088/ggzy/</w:t>
      </w:r>
      <w:r>
        <w:rPr>
          <w:rFonts w:hint="eastAsia" w:asciiTheme="majorEastAsia" w:hAnsiTheme="majorEastAsia" w:eastAsiaTheme="majorEastAsia" w:cstheme="majorEastAsia"/>
          <w:kern w:val="2"/>
          <w:sz w:val="24"/>
          <w:szCs w:val="24"/>
          <w:lang w:val="en-US" w:eastAsia="zh-CN" w:bidi="ar"/>
        </w:rPr>
        <w:fldChar w:fldCharType="end"/>
      </w:r>
      <w:r>
        <w:rPr>
          <w:rFonts w:hint="eastAsia" w:asciiTheme="majorEastAsia" w:hAnsiTheme="majorEastAsia" w:eastAsiaTheme="majorEastAsia" w:cstheme="majorEastAsia"/>
          <w:kern w:val="2"/>
          <w:sz w:val="24"/>
          <w:szCs w:val="24"/>
          <w:lang w:val="en-US" w:eastAsia="zh-CN" w:bidi="ar"/>
        </w:rPr>
        <w:t>，自行下载招标文件（详见全国公共资源交易平台（河南省·许昌市）“常见问题解答-交易系统操作手册”）。</w:t>
      </w:r>
    </w:p>
    <w:p>
      <w:pPr>
        <w:keepNext w:val="0"/>
        <w:keepLines w:val="0"/>
        <w:widowControl w:val="0"/>
        <w:suppressLineNumbers w:val="0"/>
        <w:spacing w:before="0" w:beforeAutospacing="0" w:after="0" w:afterAutospacing="0" w:line="400" w:lineRule="exact"/>
        <w:ind w:left="0" w:right="0"/>
        <w:jc w:val="both"/>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kern w:val="2"/>
          <w:sz w:val="24"/>
          <w:szCs w:val="24"/>
          <w:lang w:val="en-US" w:eastAsia="zh-CN" w:bidi="ar"/>
        </w:rPr>
        <w:t xml:space="preserve">  3、未通过全国公共资源交易平台（河南省·许昌市）下载招标文件的投标企业，拒收其递交的投标文件。</w:t>
      </w:r>
    </w:p>
    <w:p>
      <w:pPr>
        <w:keepNext w:val="0"/>
        <w:keepLines w:val="0"/>
        <w:widowControl w:val="0"/>
        <w:suppressLineNumbers w:val="0"/>
        <w:autoSpaceDE w:val="0"/>
        <w:autoSpaceDN/>
        <w:spacing w:before="0" w:beforeAutospacing="0" w:after="0" w:afterAutospacing="0" w:line="400" w:lineRule="exact"/>
        <w:ind w:left="0" w:right="0" w:firstLine="640"/>
        <w:jc w:val="both"/>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kern w:val="2"/>
          <w:sz w:val="24"/>
          <w:szCs w:val="24"/>
          <w:lang w:val="en-US" w:eastAsia="zh-CN" w:bidi="ar"/>
        </w:rPr>
        <w:t>4、招标文件每份售价人民币500元（开标现场现金收取），于递交投标文件时缴纳给采购代理机构，售后不退。</w:t>
      </w:r>
    </w:p>
    <w:p>
      <w:pPr>
        <w:keepNext w:val="0"/>
        <w:keepLines w:val="0"/>
        <w:widowControl/>
        <w:suppressLineNumbers w:val="0"/>
        <w:shd w:val="clear" w:fill="FFFFFF"/>
        <w:autoSpaceDE w:val="0"/>
        <w:autoSpaceDN/>
        <w:spacing w:before="0" w:beforeAutospacing="0" w:after="0" w:afterAutospacing="0" w:line="400" w:lineRule="exact"/>
        <w:ind w:left="0" w:right="0" w:firstLine="482"/>
        <w:jc w:val="left"/>
        <w:rPr>
          <w:rFonts w:hint="eastAsia" w:asciiTheme="majorEastAsia" w:hAnsiTheme="majorEastAsia" w:eastAsiaTheme="majorEastAsia" w:cstheme="majorEastAsia"/>
          <w:color w:val="000000"/>
          <w:kern w:val="0"/>
          <w:sz w:val="24"/>
          <w:szCs w:val="24"/>
          <w:shd w:val="clear" w:fill="FFFFFF"/>
          <w:lang w:val="en-US"/>
        </w:rPr>
      </w:pPr>
      <w:r>
        <w:rPr>
          <w:rFonts w:hint="eastAsia" w:asciiTheme="majorEastAsia" w:hAnsiTheme="majorEastAsia" w:eastAsiaTheme="majorEastAsia" w:cstheme="majorEastAsia"/>
          <w:color w:val="000000"/>
          <w:kern w:val="0"/>
          <w:sz w:val="24"/>
          <w:szCs w:val="24"/>
          <w:shd w:val="clear" w:fill="FFFFFF"/>
          <w:lang w:val="en-US" w:eastAsia="zh-CN" w:bidi="ar"/>
        </w:rPr>
        <w:t>五、投标截止时间、开标时间及地点：</w:t>
      </w:r>
    </w:p>
    <w:p>
      <w:pPr>
        <w:keepNext w:val="0"/>
        <w:keepLines w:val="0"/>
        <w:widowControl/>
        <w:suppressLineNumbers w:val="0"/>
        <w:shd w:val="clear" w:fill="FFFFFF"/>
        <w:autoSpaceDE w:val="0"/>
        <w:autoSpaceDN/>
        <w:spacing w:before="0" w:beforeAutospacing="0" w:after="0" w:afterAutospacing="0" w:line="400" w:lineRule="exact"/>
        <w:ind w:left="0" w:right="0" w:firstLine="480" w:firstLineChars="200"/>
        <w:jc w:val="left"/>
        <w:rPr>
          <w:rFonts w:hint="eastAsia" w:asciiTheme="majorEastAsia" w:hAnsiTheme="majorEastAsia" w:eastAsiaTheme="majorEastAsia" w:cstheme="majorEastAsia"/>
          <w:color w:val="000000"/>
          <w:kern w:val="0"/>
          <w:sz w:val="24"/>
          <w:szCs w:val="24"/>
          <w:shd w:val="clear" w:fill="FFFFFF"/>
          <w:lang w:val="en-US"/>
        </w:rPr>
      </w:pPr>
      <w:r>
        <w:rPr>
          <w:rFonts w:hint="eastAsia" w:asciiTheme="majorEastAsia" w:hAnsiTheme="majorEastAsia" w:eastAsiaTheme="majorEastAsia" w:cstheme="majorEastAsia"/>
          <w:color w:val="000000"/>
          <w:kern w:val="0"/>
          <w:sz w:val="24"/>
          <w:szCs w:val="24"/>
          <w:shd w:val="clear" w:fill="FFFFFF"/>
          <w:lang w:val="en-US" w:eastAsia="zh-CN" w:bidi="ar"/>
        </w:rPr>
        <w:t>1、投标截止及开标时间：2019年  月  日   （北京时间），逾期送达或不符合规定的投标文件不予接受。</w:t>
      </w:r>
    </w:p>
    <w:p>
      <w:pPr>
        <w:keepNext w:val="0"/>
        <w:keepLines w:val="0"/>
        <w:widowControl w:val="0"/>
        <w:suppressLineNumbers w:val="0"/>
        <w:autoSpaceDE w:val="0"/>
        <w:autoSpaceDN/>
        <w:spacing w:before="0" w:beforeAutospacing="0" w:after="0" w:afterAutospacing="0" w:line="400" w:lineRule="exact"/>
        <w:ind w:left="0" w:right="0" w:firstLine="480" w:firstLineChars="200"/>
        <w:jc w:val="both"/>
        <w:rPr>
          <w:rFonts w:hint="eastAsia" w:asciiTheme="majorEastAsia" w:hAnsiTheme="majorEastAsia" w:eastAsiaTheme="majorEastAsia" w:cstheme="majorEastAsia"/>
          <w:color w:val="000000"/>
          <w:kern w:val="0"/>
          <w:sz w:val="24"/>
          <w:szCs w:val="24"/>
          <w:lang w:val="en-US"/>
        </w:rPr>
      </w:pPr>
      <w:r>
        <w:rPr>
          <w:rFonts w:hint="eastAsia" w:asciiTheme="majorEastAsia" w:hAnsiTheme="majorEastAsia" w:eastAsiaTheme="majorEastAsia" w:cstheme="majorEastAsia"/>
          <w:color w:val="000000"/>
          <w:kern w:val="0"/>
          <w:sz w:val="24"/>
          <w:szCs w:val="24"/>
          <w:lang w:val="en-US" w:eastAsia="zh-CN" w:bidi="ar"/>
        </w:rPr>
        <w:t>2、开标地点：</w:t>
      </w:r>
      <w:r>
        <w:rPr>
          <w:rFonts w:hint="eastAsia" w:asciiTheme="majorEastAsia" w:hAnsiTheme="majorEastAsia" w:eastAsiaTheme="majorEastAsia" w:cstheme="majorEastAsia"/>
          <w:kern w:val="2"/>
          <w:sz w:val="24"/>
          <w:szCs w:val="24"/>
          <w:lang w:val="en-US" w:eastAsia="zh-CN" w:bidi="ar"/>
        </w:rPr>
        <w:t>禹州市公共资源交易中心第二开标室（禹州市行政服务中心楼9楼）</w:t>
      </w:r>
      <w:r>
        <w:rPr>
          <w:rFonts w:hint="eastAsia" w:asciiTheme="majorEastAsia" w:hAnsiTheme="majorEastAsia" w:eastAsiaTheme="majorEastAsia" w:cstheme="majorEastAsia"/>
          <w:color w:val="000000"/>
          <w:kern w:val="0"/>
          <w:sz w:val="24"/>
          <w:szCs w:val="24"/>
          <w:lang w:val="en-US" w:eastAsia="zh-CN" w:bidi="ar"/>
        </w:rPr>
        <w:t xml:space="preserve"> </w:t>
      </w:r>
    </w:p>
    <w:p>
      <w:pPr>
        <w:keepNext w:val="0"/>
        <w:keepLines w:val="0"/>
        <w:widowControl w:val="0"/>
        <w:suppressLineNumbers w:val="0"/>
        <w:autoSpaceDE w:val="0"/>
        <w:autoSpaceDN/>
        <w:spacing w:before="0" w:beforeAutospacing="0" w:after="0" w:afterAutospacing="0" w:line="400" w:lineRule="exact"/>
        <w:ind w:left="0" w:right="0" w:firstLine="480" w:firstLineChars="200"/>
        <w:jc w:val="both"/>
        <w:rPr>
          <w:rFonts w:hint="eastAsia" w:asciiTheme="majorEastAsia" w:hAnsiTheme="majorEastAsia" w:eastAsiaTheme="majorEastAsia" w:cstheme="majorEastAsia"/>
          <w:color w:val="000000"/>
          <w:kern w:val="0"/>
          <w:sz w:val="24"/>
          <w:szCs w:val="24"/>
          <w:lang w:val="en-US"/>
        </w:rPr>
      </w:pPr>
      <w:r>
        <w:rPr>
          <w:rFonts w:hint="eastAsia" w:asciiTheme="majorEastAsia" w:hAnsiTheme="majorEastAsia" w:eastAsiaTheme="majorEastAsia" w:cstheme="majorEastAsia"/>
          <w:color w:val="000000"/>
          <w:kern w:val="0"/>
          <w:sz w:val="24"/>
          <w:szCs w:val="24"/>
          <w:lang w:val="en-US" w:eastAsia="zh-CN" w:bidi="ar"/>
        </w:rPr>
        <w:t>3、本项目为全流程电子化交易项目，投标人须提交电子投标文件和纸质投标文件。</w:t>
      </w:r>
    </w:p>
    <w:p>
      <w:pPr>
        <w:keepNext w:val="0"/>
        <w:keepLines w:val="0"/>
        <w:widowControl w:val="0"/>
        <w:suppressLineNumbers w:val="0"/>
        <w:autoSpaceDE w:val="0"/>
        <w:autoSpaceDN/>
        <w:spacing w:before="0" w:beforeAutospacing="0" w:after="0" w:afterAutospacing="0" w:line="400" w:lineRule="exact"/>
        <w:ind w:left="0" w:right="0" w:firstLine="480" w:firstLineChars="200"/>
        <w:jc w:val="both"/>
        <w:rPr>
          <w:rFonts w:hint="eastAsia" w:asciiTheme="majorEastAsia" w:hAnsiTheme="majorEastAsia" w:eastAsiaTheme="majorEastAsia" w:cstheme="majorEastAsia"/>
          <w:color w:val="000000"/>
          <w:kern w:val="0"/>
          <w:sz w:val="24"/>
          <w:szCs w:val="24"/>
          <w:lang w:val="en-US"/>
        </w:rPr>
      </w:pPr>
      <w:r>
        <w:rPr>
          <w:rFonts w:hint="eastAsia" w:asciiTheme="majorEastAsia" w:hAnsiTheme="majorEastAsia" w:eastAsiaTheme="majorEastAsia" w:cstheme="majorEastAsia"/>
          <w:color w:val="000000"/>
          <w:kern w:val="0"/>
          <w:sz w:val="24"/>
          <w:szCs w:val="24"/>
          <w:lang w:val="en-US" w:eastAsia="zh-CN" w:bidi="ar"/>
        </w:rPr>
        <w:t>（1）加密电子投标文件（.file格式）须在投标截止时间（开标时间）前通过《全国公共资源交易平台(河南省▪许昌市)》公共资源交易系统成功上传。</w:t>
      </w:r>
    </w:p>
    <w:p>
      <w:pPr>
        <w:keepNext w:val="0"/>
        <w:keepLines w:val="0"/>
        <w:widowControl w:val="0"/>
        <w:suppressLineNumbers w:val="0"/>
        <w:autoSpaceDE w:val="0"/>
        <w:autoSpaceDN/>
        <w:spacing w:before="0" w:beforeAutospacing="0" w:after="0" w:afterAutospacing="0" w:line="400" w:lineRule="exact"/>
        <w:ind w:left="0" w:right="0" w:firstLine="480" w:firstLineChars="200"/>
        <w:jc w:val="both"/>
        <w:rPr>
          <w:rFonts w:hint="eastAsia" w:asciiTheme="majorEastAsia" w:hAnsiTheme="majorEastAsia" w:eastAsiaTheme="majorEastAsia" w:cstheme="majorEastAsia"/>
          <w:color w:val="000000"/>
          <w:kern w:val="0"/>
          <w:sz w:val="24"/>
          <w:szCs w:val="24"/>
          <w:lang w:val="en-US"/>
        </w:rPr>
      </w:pPr>
      <w:r>
        <w:rPr>
          <w:rFonts w:hint="eastAsia" w:asciiTheme="majorEastAsia" w:hAnsiTheme="majorEastAsia" w:eastAsiaTheme="majorEastAsia" w:cstheme="majorEastAsia"/>
          <w:color w:val="000000"/>
          <w:kern w:val="0"/>
          <w:sz w:val="24"/>
          <w:szCs w:val="24"/>
          <w:lang w:val="en-US" w:eastAsia="zh-CN" w:bidi="ar"/>
        </w:rPr>
        <w:t>（2）纸质投标文件（正本1份、副本1份）和备份文件1份（使用电子介质存储）在投标截止时间（开标时间）前递交至本项目开标地点。</w:t>
      </w:r>
    </w:p>
    <w:p>
      <w:pPr>
        <w:keepNext w:val="0"/>
        <w:keepLines w:val="0"/>
        <w:widowControl/>
        <w:suppressLineNumbers w:val="0"/>
        <w:shd w:val="clear" w:fill="FFFFFF"/>
        <w:autoSpaceDE w:val="0"/>
        <w:autoSpaceDN/>
        <w:spacing w:before="0" w:beforeAutospacing="0" w:after="0" w:afterAutospacing="0" w:line="400" w:lineRule="exact"/>
        <w:ind w:left="0" w:right="0" w:firstLine="480" w:firstLineChars="200"/>
        <w:jc w:val="left"/>
        <w:rPr>
          <w:rFonts w:hint="eastAsia" w:asciiTheme="majorEastAsia" w:hAnsiTheme="majorEastAsia" w:eastAsiaTheme="majorEastAsia" w:cstheme="majorEastAsia"/>
          <w:color w:val="000000"/>
          <w:kern w:val="0"/>
          <w:sz w:val="24"/>
          <w:szCs w:val="24"/>
          <w:shd w:val="clear" w:fill="FFFFFF"/>
          <w:lang w:val="en-US"/>
        </w:rPr>
      </w:pPr>
      <w:r>
        <w:rPr>
          <w:rFonts w:hint="eastAsia" w:asciiTheme="majorEastAsia" w:hAnsiTheme="majorEastAsia" w:eastAsiaTheme="majorEastAsia" w:cstheme="majorEastAsia"/>
          <w:color w:val="000000"/>
          <w:kern w:val="0"/>
          <w:sz w:val="24"/>
          <w:szCs w:val="24"/>
          <w:shd w:val="clear" w:fill="FFFFFF"/>
          <w:lang w:val="en-US" w:eastAsia="zh-CN" w:bidi="ar"/>
        </w:rPr>
        <w:t>六、本次招标公告同时在《中国政府采购网》、《河南省政府采购网》、《全国公共资源交易平台（河南省·许昌市）》发布等。</w:t>
      </w:r>
    </w:p>
    <w:p>
      <w:pPr>
        <w:keepNext w:val="0"/>
        <w:keepLines w:val="0"/>
        <w:widowControl/>
        <w:suppressLineNumbers w:val="0"/>
        <w:shd w:val="clear" w:fill="FFFFFF"/>
        <w:autoSpaceDE w:val="0"/>
        <w:autoSpaceDN/>
        <w:spacing w:before="0" w:beforeAutospacing="0" w:after="0" w:afterAutospacing="0" w:line="400" w:lineRule="exact"/>
        <w:ind w:left="0" w:right="0" w:firstLine="480" w:firstLineChars="200"/>
        <w:jc w:val="left"/>
        <w:rPr>
          <w:rFonts w:hint="eastAsia" w:asciiTheme="majorEastAsia" w:hAnsiTheme="majorEastAsia" w:eastAsiaTheme="majorEastAsia" w:cstheme="majorEastAsia"/>
          <w:color w:val="000000"/>
          <w:kern w:val="0"/>
          <w:sz w:val="24"/>
          <w:szCs w:val="24"/>
          <w:shd w:val="clear" w:fill="FFFFFF"/>
          <w:lang w:val="en-US"/>
        </w:rPr>
      </w:pPr>
      <w:r>
        <w:rPr>
          <w:rFonts w:hint="eastAsia" w:asciiTheme="majorEastAsia" w:hAnsiTheme="majorEastAsia" w:eastAsiaTheme="majorEastAsia" w:cstheme="majorEastAsia"/>
          <w:color w:val="000000"/>
          <w:kern w:val="0"/>
          <w:sz w:val="24"/>
          <w:szCs w:val="24"/>
          <w:shd w:val="clear" w:fill="FFFFFF"/>
          <w:lang w:val="en-US" w:eastAsia="zh-CN" w:bidi="ar"/>
        </w:rPr>
        <w:t>七、代理机构及采购单位地址、联系人、联系电话</w:t>
      </w:r>
    </w:p>
    <w:p>
      <w:pPr>
        <w:keepNext w:val="0"/>
        <w:keepLines w:val="0"/>
        <w:widowControl/>
        <w:suppressLineNumbers w:val="0"/>
        <w:shd w:val="clear" w:fill="FFFFFF"/>
        <w:autoSpaceDE w:val="0"/>
        <w:autoSpaceDN/>
        <w:spacing w:before="0" w:beforeAutospacing="0" w:after="0" w:afterAutospacing="0" w:line="400" w:lineRule="exact"/>
        <w:ind w:left="0" w:right="0" w:firstLine="641"/>
        <w:jc w:val="left"/>
        <w:rPr>
          <w:rFonts w:hint="eastAsia" w:asciiTheme="majorEastAsia" w:hAnsiTheme="majorEastAsia" w:eastAsiaTheme="majorEastAsia" w:cstheme="majorEastAsia"/>
          <w:color w:val="000000"/>
          <w:kern w:val="0"/>
          <w:sz w:val="24"/>
          <w:szCs w:val="24"/>
          <w:shd w:val="clear" w:fill="FFFFFF"/>
          <w:lang w:val="en-US"/>
        </w:rPr>
      </w:pPr>
      <w:r>
        <w:rPr>
          <w:rFonts w:hint="eastAsia" w:asciiTheme="majorEastAsia" w:hAnsiTheme="majorEastAsia" w:eastAsiaTheme="majorEastAsia" w:cstheme="majorEastAsia"/>
          <w:color w:val="000000"/>
          <w:kern w:val="0"/>
          <w:sz w:val="24"/>
          <w:szCs w:val="24"/>
          <w:shd w:val="clear" w:fill="FFFFFF"/>
          <w:lang w:val="en-US" w:eastAsia="zh-CN" w:bidi="ar"/>
        </w:rPr>
        <w:t>（一）代理机构：禹州市政府采购中心</w:t>
      </w:r>
    </w:p>
    <w:p>
      <w:pPr>
        <w:keepNext w:val="0"/>
        <w:keepLines w:val="0"/>
        <w:widowControl/>
        <w:suppressLineNumbers w:val="0"/>
        <w:shd w:val="clear" w:fill="FFFFFF"/>
        <w:autoSpaceDE w:val="0"/>
        <w:autoSpaceDN/>
        <w:spacing w:before="0" w:beforeAutospacing="0" w:after="0" w:afterAutospacing="0" w:line="400" w:lineRule="exact"/>
        <w:ind w:left="0" w:right="0" w:firstLine="641"/>
        <w:jc w:val="left"/>
        <w:rPr>
          <w:rFonts w:hint="eastAsia" w:asciiTheme="majorEastAsia" w:hAnsiTheme="majorEastAsia" w:eastAsiaTheme="majorEastAsia" w:cstheme="majorEastAsia"/>
          <w:color w:val="000000"/>
          <w:kern w:val="0"/>
          <w:sz w:val="24"/>
          <w:szCs w:val="24"/>
          <w:shd w:val="clear" w:fill="FFFFFF"/>
          <w:lang w:val="en-US"/>
        </w:rPr>
      </w:pPr>
      <w:r>
        <w:rPr>
          <w:rFonts w:hint="eastAsia" w:asciiTheme="majorEastAsia" w:hAnsiTheme="majorEastAsia" w:eastAsiaTheme="majorEastAsia" w:cstheme="majorEastAsia"/>
          <w:color w:val="000000"/>
          <w:kern w:val="0"/>
          <w:sz w:val="24"/>
          <w:szCs w:val="24"/>
          <w:shd w:val="clear" w:fill="FFFFFF"/>
          <w:lang w:val="en-US" w:eastAsia="zh-CN" w:bidi="ar"/>
        </w:rPr>
        <w:t>地址：</w:t>
      </w:r>
      <w:r>
        <w:rPr>
          <w:rFonts w:hint="eastAsia" w:asciiTheme="majorEastAsia" w:hAnsiTheme="majorEastAsia" w:eastAsiaTheme="majorEastAsia" w:cstheme="majorEastAsia"/>
          <w:kern w:val="2"/>
          <w:sz w:val="24"/>
          <w:szCs w:val="24"/>
          <w:shd w:val="clear" w:fill="FFFFFF"/>
          <w:lang w:val="en-US" w:eastAsia="zh-CN" w:bidi="ar"/>
        </w:rPr>
        <w:t>禹州市行政服务中心楼917房间</w:t>
      </w:r>
    </w:p>
    <w:p>
      <w:pPr>
        <w:keepNext w:val="0"/>
        <w:keepLines w:val="0"/>
        <w:widowControl/>
        <w:suppressLineNumbers w:val="0"/>
        <w:shd w:val="clear" w:fill="FFFFFF"/>
        <w:autoSpaceDE w:val="0"/>
        <w:autoSpaceDN/>
        <w:spacing w:before="0" w:beforeAutospacing="0" w:after="0" w:afterAutospacing="0" w:line="400" w:lineRule="exact"/>
        <w:ind w:left="0" w:right="0" w:firstLine="641"/>
        <w:jc w:val="left"/>
        <w:rPr>
          <w:rFonts w:hint="eastAsia" w:asciiTheme="majorEastAsia" w:hAnsiTheme="majorEastAsia" w:eastAsiaTheme="majorEastAsia" w:cstheme="majorEastAsia"/>
          <w:color w:val="000000"/>
          <w:kern w:val="0"/>
          <w:sz w:val="24"/>
          <w:szCs w:val="24"/>
          <w:shd w:val="clear" w:fill="FFFFFF"/>
          <w:lang w:val="en-US"/>
        </w:rPr>
      </w:pPr>
      <w:r>
        <w:rPr>
          <w:rFonts w:hint="eastAsia" w:asciiTheme="majorEastAsia" w:hAnsiTheme="majorEastAsia" w:eastAsiaTheme="majorEastAsia" w:cstheme="majorEastAsia"/>
          <w:color w:val="000000"/>
          <w:kern w:val="0"/>
          <w:sz w:val="24"/>
          <w:szCs w:val="24"/>
          <w:shd w:val="clear" w:fill="FFFFFF"/>
          <w:lang w:val="en-US" w:eastAsia="zh-CN" w:bidi="ar"/>
        </w:rPr>
        <w:t>联系人：艾先生  联系电话：0374-2077111</w:t>
      </w:r>
    </w:p>
    <w:p>
      <w:pPr>
        <w:keepNext w:val="0"/>
        <w:keepLines w:val="0"/>
        <w:widowControl/>
        <w:numPr>
          <w:ilvl w:val="0"/>
          <w:numId w:val="7"/>
        </w:numPr>
        <w:suppressLineNumbers w:val="0"/>
        <w:shd w:val="clear" w:fill="FFFFFF"/>
        <w:autoSpaceDE w:val="0"/>
        <w:autoSpaceDN/>
        <w:spacing w:before="0" w:beforeAutospacing="0" w:after="0" w:afterAutospacing="0" w:line="400" w:lineRule="exact"/>
        <w:ind w:left="0" w:right="0" w:firstLine="480" w:firstLineChars="200"/>
        <w:jc w:val="left"/>
        <w:rPr>
          <w:rFonts w:hint="eastAsia" w:asciiTheme="majorEastAsia" w:hAnsiTheme="majorEastAsia" w:eastAsiaTheme="majorEastAsia" w:cstheme="majorEastAsia"/>
          <w:sz w:val="24"/>
          <w:szCs w:val="24"/>
          <w:shd w:val="clear" w:fill="FFFFFF"/>
          <w:lang w:val="en-US"/>
        </w:rPr>
      </w:pPr>
      <w:r>
        <w:rPr>
          <w:rFonts w:hint="eastAsia" w:asciiTheme="majorEastAsia" w:hAnsiTheme="majorEastAsia" w:eastAsiaTheme="majorEastAsia" w:cstheme="majorEastAsia"/>
          <w:color w:val="000000"/>
          <w:kern w:val="0"/>
          <w:sz w:val="24"/>
          <w:szCs w:val="24"/>
          <w:shd w:val="clear" w:fill="FFFFFF"/>
          <w:lang w:val="en-US" w:eastAsia="zh-CN" w:bidi="ar"/>
        </w:rPr>
        <w:t>采购单位：</w:t>
      </w:r>
      <w:r>
        <w:rPr>
          <w:rFonts w:hint="eastAsia" w:asciiTheme="majorEastAsia" w:hAnsiTheme="majorEastAsia" w:eastAsiaTheme="majorEastAsia" w:cstheme="majorEastAsia"/>
          <w:kern w:val="2"/>
          <w:sz w:val="24"/>
          <w:szCs w:val="24"/>
          <w:shd w:val="clear" w:fill="FFFFFF"/>
          <w:lang w:val="en-US" w:eastAsia="zh-CN" w:bidi="ar"/>
        </w:rPr>
        <w:t>禹州市环境保护局</w:t>
      </w:r>
    </w:p>
    <w:p>
      <w:pPr>
        <w:keepNext w:val="0"/>
        <w:keepLines w:val="0"/>
        <w:widowControl/>
        <w:suppressLineNumbers w:val="0"/>
        <w:shd w:val="clear" w:fill="FFFFFF"/>
        <w:autoSpaceDE w:val="0"/>
        <w:autoSpaceDN/>
        <w:spacing w:before="0" w:beforeAutospacing="0" w:after="0" w:afterAutospacing="0" w:line="400" w:lineRule="exact"/>
        <w:ind w:left="0" w:right="0" w:firstLine="480" w:firstLineChars="200"/>
        <w:jc w:val="left"/>
        <w:rPr>
          <w:rFonts w:hint="eastAsia" w:asciiTheme="majorEastAsia" w:hAnsiTheme="majorEastAsia" w:eastAsiaTheme="majorEastAsia" w:cstheme="majorEastAsia"/>
          <w:color w:val="000000"/>
          <w:kern w:val="0"/>
          <w:sz w:val="24"/>
          <w:szCs w:val="24"/>
          <w:shd w:val="clear" w:fill="FFFFFF"/>
          <w:lang w:val="en-US"/>
        </w:rPr>
      </w:pPr>
      <w:r>
        <w:rPr>
          <w:rFonts w:hint="eastAsia" w:asciiTheme="majorEastAsia" w:hAnsiTheme="majorEastAsia" w:eastAsiaTheme="majorEastAsia" w:cstheme="majorEastAsia"/>
          <w:color w:val="000000"/>
          <w:kern w:val="0"/>
          <w:sz w:val="24"/>
          <w:szCs w:val="24"/>
          <w:shd w:val="clear" w:fill="FFFFFF"/>
          <w:lang w:val="en-US" w:eastAsia="zh-CN" w:bidi="ar"/>
        </w:rPr>
        <w:t>地址：禹州市创业大厦</w:t>
      </w:r>
    </w:p>
    <w:p>
      <w:pPr>
        <w:keepNext w:val="0"/>
        <w:keepLines w:val="0"/>
        <w:widowControl/>
        <w:suppressLineNumbers w:val="0"/>
        <w:shd w:val="clear" w:fill="FFFFFF"/>
        <w:autoSpaceDE w:val="0"/>
        <w:autoSpaceDN/>
        <w:spacing w:before="0" w:beforeAutospacing="0" w:after="0" w:afterAutospacing="0" w:line="400" w:lineRule="exact"/>
        <w:ind w:left="0" w:right="0" w:firstLine="641"/>
        <w:jc w:val="left"/>
        <w:rPr>
          <w:rFonts w:hint="eastAsia" w:asciiTheme="majorEastAsia" w:hAnsiTheme="majorEastAsia" w:eastAsiaTheme="majorEastAsia" w:cstheme="majorEastAsia"/>
          <w:color w:val="000000"/>
          <w:kern w:val="0"/>
          <w:sz w:val="24"/>
          <w:szCs w:val="24"/>
          <w:shd w:val="clear" w:fill="FFFFFF"/>
          <w:lang w:val="en-US"/>
        </w:rPr>
      </w:pPr>
      <w:r>
        <w:rPr>
          <w:rFonts w:hint="eastAsia" w:asciiTheme="majorEastAsia" w:hAnsiTheme="majorEastAsia" w:eastAsiaTheme="majorEastAsia" w:cstheme="majorEastAsia"/>
          <w:color w:val="000000"/>
          <w:kern w:val="0"/>
          <w:sz w:val="24"/>
          <w:szCs w:val="24"/>
          <w:shd w:val="clear" w:fill="FFFFFF"/>
          <w:lang w:val="en-US" w:eastAsia="zh-CN" w:bidi="ar"/>
        </w:rPr>
        <w:t>联系人：魏先生   联系电话：0374-6066325</w:t>
      </w:r>
    </w:p>
    <w:p>
      <w:pPr>
        <w:keepNext w:val="0"/>
        <w:keepLines w:val="0"/>
        <w:widowControl w:val="0"/>
        <w:suppressLineNumbers w:val="0"/>
        <w:autoSpaceDE w:val="0"/>
        <w:autoSpaceDN/>
        <w:spacing w:before="0" w:beforeAutospacing="0" w:after="0" w:afterAutospacing="0" w:line="400" w:lineRule="exact"/>
        <w:ind w:left="0" w:right="0" w:firstLine="4080" w:firstLineChars="1700"/>
        <w:jc w:val="both"/>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kern w:val="2"/>
          <w:sz w:val="24"/>
          <w:szCs w:val="24"/>
          <w:lang w:val="en-US" w:eastAsia="zh-CN" w:bidi="ar"/>
        </w:rPr>
        <w:t xml:space="preserve">   </w:t>
      </w:r>
    </w:p>
    <w:p>
      <w:pPr>
        <w:keepNext w:val="0"/>
        <w:keepLines w:val="0"/>
        <w:widowControl w:val="0"/>
        <w:suppressLineNumbers w:val="0"/>
        <w:autoSpaceDE w:val="0"/>
        <w:autoSpaceDN/>
        <w:spacing w:before="0" w:beforeAutospacing="0" w:after="0" w:afterAutospacing="0" w:line="400" w:lineRule="exact"/>
        <w:ind w:left="0" w:right="0" w:firstLine="4560" w:firstLineChars="1900"/>
        <w:jc w:val="both"/>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kern w:val="2"/>
          <w:sz w:val="24"/>
          <w:szCs w:val="24"/>
          <w:lang w:val="en-US" w:eastAsia="zh-CN" w:bidi="ar"/>
        </w:rPr>
        <w:t xml:space="preserve"> </w:t>
      </w:r>
    </w:p>
    <w:p>
      <w:pPr>
        <w:keepNext w:val="0"/>
        <w:keepLines w:val="0"/>
        <w:widowControl w:val="0"/>
        <w:suppressLineNumbers w:val="0"/>
        <w:autoSpaceDE w:val="0"/>
        <w:autoSpaceDN/>
        <w:spacing w:before="0" w:beforeAutospacing="0" w:after="0" w:afterAutospacing="0" w:line="400" w:lineRule="exact"/>
        <w:ind w:left="0" w:right="0" w:firstLine="3720" w:firstLineChars="1550"/>
        <w:jc w:val="both"/>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kern w:val="2"/>
          <w:sz w:val="24"/>
          <w:szCs w:val="24"/>
          <w:lang w:val="en-US" w:eastAsia="zh-CN" w:bidi="ar"/>
        </w:rPr>
        <w:t>2019  年   月    日</w:t>
      </w:r>
    </w:p>
    <w:p>
      <w:pPr>
        <w:rPr>
          <w:rFonts w:hint="eastAsia" w:asciiTheme="majorEastAsia" w:hAnsiTheme="majorEastAsia" w:eastAsiaTheme="majorEastAsia" w:cstheme="majorEastAsia"/>
          <w:sz w:val="24"/>
          <w:szCs w:val="24"/>
        </w:rPr>
      </w:pPr>
    </w:p>
    <w:p>
      <w:pPr>
        <w:pStyle w:val="20"/>
        <w:widowControl/>
        <w:shd w:val="clear" w:color="auto" w:fill="FFFFFF"/>
        <w:spacing w:line="315" w:lineRule="atLeast"/>
        <w:ind w:firstLine="420"/>
        <w:jc w:val="left"/>
        <w:rPr>
          <w:rFonts w:hint="eastAsia" w:asciiTheme="majorEastAsia" w:hAnsiTheme="majorEastAsia" w:eastAsiaTheme="majorEastAsia" w:cstheme="majorEastAsia"/>
          <w:color w:val="000000"/>
          <w:sz w:val="24"/>
          <w:szCs w:val="24"/>
          <w:shd w:val="clear" w:color="auto" w:fill="FFFFFF"/>
        </w:rPr>
      </w:pPr>
    </w:p>
    <w:p>
      <w:pPr>
        <w:pageBreakBefore/>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投标人登录《全国公共资源交易平台(河南省▪许昌市)》公共资源交易系统（</w:t>
      </w:r>
      <w:r>
        <w:fldChar w:fldCharType="begin"/>
      </w:r>
      <w:r>
        <w:instrText xml:space="preserve"> HYPERLINK "http://221.14.6.70:8088/ggzy/" </w:instrText>
      </w:r>
      <w:r>
        <w:fldChar w:fldCharType="separate"/>
      </w:r>
      <w:r>
        <w:rPr>
          <w:rStyle w:val="31"/>
          <w:rFonts w:hAnsi="宋体"/>
          <w:sz w:val="24"/>
          <w:szCs w:val="24"/>
        </w:rPr>
        <w:t>http://221.14.6.70:8088/ggzy/</w:t>
      </w:r>
      <w:r>
        <w:rPr>
          <w:rStyle w:val="31"/>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31"/>
          <w:rFonts w:hAnsi="宋体"/>
          <w:sz w:val="24"/>
          <w:szCs w:val="24"/>
        </w:rPr>
        <w:t>http://221.14.6.70:8088/ggzy/</w:t>
      </w:r>
      <w:r>
        <w:rPr>
          <w:rStyle w:val="31"/>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pageBreakBefore/>
        <w:numPr>
          <w:ilvl w:val="0"/>
          <w:numId w:val="8"/>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widowControl/>
        <w:shd w:val="clear" w:color="auto" w:fill="FFFFFF"/>
        <w:spacing w:line="360" w:lineRule="auto"/>
        <w:ind w:firstLine="600"/>
        <w:jc w:val="left"/>
        <w:rPr>
          <w:rFonts w:hint="eastAsia" w:ascii="仿宋" w:hAnsi="仿宋" w:eastAsia="仿宋" w:cs="宋体"/>
          <w:kern w:val="0"/>
          <w:sz w:val="32"/>
          <w:szCs w:val="32"/>
        </w:rPr>
      </w:pPr>
    </w:p>
    <w:p>
      <w:pPr>
        <w:widowControl/>
        <w:numPr>
          <w:ilvl w:val="0"/>
          <w:numId w:val="9"/>
        </w:numPr>
        <w:shd w:val="clear" w:color="auto" w:fill="FFFFFF"/>
        <w:spacing w:line="360" w:lineRule="auto"/>
        <w:ind w:firstLine="6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eastAsia="zh-CN"/>
        </w:rPr>
        <w:t>项目概况：</w:t>
      </w:r>
      <w:r>
        <w:rPr>
          <w:rFonts w:hint="eastAsia" w:asciiTheme="majorEastAsia" w:hAnsiTheme="majorEastAsia" w:eastAsiaTheme="majorEastAsia" w:cstheme="majorEastAsia"/>
          <w:kern w:val="0"/>
          <w:sz w:val="24"/>
          <w:szCs w:val="24"/>
        </w:rPr>
        <w:t>本项目投标人中标后以中标人为主体，按照省环保攻坚办要求和国家相关法律法规、行业标准，在招标人指定地点安装一套固定式遥感监测设备，并配备一套移动式遥感监测设备和配套网络运营平台，同时承担5年运维运营服务工作。</w:t>
      </w:r>
    </w:p>
    <w:p>
      <w:pPr>
        <w:widowControl/>
        <w:shd w:val="clear" w:color="auto" w:fill="FFFFFF"/>
        <w:spacing w:line="360" w:lineRule="auto"/>
        <w:ind w:left="600"/>
        <w:jc w:val="both"/>
        <w:rPr>
          <w:rFonts w:hint="eastAsia" w:asciiTheme="minorEastAsia" w:hAnsiTheme="minorEastAsia" w:eastAsiaTheme="minorEastAsia" w:cstheme="minorEastAsia"/>
          <w:b w:val="0"/>
          <w:bCs w:val="0"/>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b w:val="0"/>
          <w:bCs w:val="0"/>
          <w:kern w:val="0"/>
          <w:sz w:val="24"/>
          <w:szCs w:val="24"/>
        </w:rPr>
        <w:t>（一）说明</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本招标文件中的建设标准、功能要求、服务标准仅是基本需求，投标人可根据本项目的总体要求，并结合自身的实际情况、项目资金预算等进行完善、补充。</w:t>
      </w:r>
    </w:p>
    <w:p>
      <w:pPr>
        <w:widowControl/>
        <w:shd w:val="clear" w:color="auto" w:fill="FFFFFF"/>
        <w:spacing w:line="360" w:lineRule="auto"/>
        <w:ind w:firstLine="6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1、总则</w:t>
      </w:r>
    </w:p>
    <w:p>
      <w:pPr>
        <w:widowControl/>
        <w:shd w:val="clear" w:color="auto" w:fill="FFFFFF"/>
        <w:spacing w:line="360" w:lineRule="auto"/>
        <w:ind w:firstLine="6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1．1本章所述技术标准及要求是招标人提出的最低限度的技术标准及要求，投标人应保证提供符合本技术标准及要求和有关工业标准的优质产品。</w:t>
      </w:r>
    </w:p>
    <w:p>
      <w:pPr>
        <w:widowControl/>
        <w:shd w:val="clear" w:color="auto" w:fill="FFFFFF"/>
        <w:spacing w:line="360" w:lineRule="auto"/>
        <w:ind w:firstLine="6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1．2本技术标准及要求所使用的标准和规范如与投标人所执行的标准发生矛盾时，按较高标准执行。</w:t>
      </w:r>
    </w:p>
    <w:p>
      <w:pPr>
        <w:widowControl/>
        <w:shd w:val="clear" w:color="auto" w:fill="FFFFFF"/>
        <w:spacing w:line="360" w:lineRule="auto"/>
        <w:ind w:firstLine="6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1．3招标人保留在对本技术标准及要求补充和修改的权利，投标人应承诺予以配合，如提出修改，具体事件由中标人与招标人另行商定。</w:t>
      </w:r>
    </w:p>
    <w:p>
      <w:pPr>
        <w:widowControl/>
        <w:shd w:val="clear" w:color="auto" w:fill="FFFFFF"/>
        <w:spacing w:line="360" w:lineRule="auto"/>
        <w:ind w:firstLine="6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1．4投标人所提供的货物，如若发生侵犯知识产权的行为时，其侵权责任与招标人无关，应由投标人承担相应的责任，并不得损害招标人的利益。</w:t>
      </w:r>
    </w:p>
    <w:p>
      <w:pPr>
        <w:widowControl/>
        <w:shd w:val="clear" w:color="auto" w:fill="FFFFFF"/>
        <w:spacing w:line="360" w:lineRule="auto"/>
        <w:ind w:firstLine="6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1.5本项目服务费用包括：所有监测设备的采购费、建设费、运输费、安装费、电费、通信费、人工费、维护修理、平台维护、升级、更新等各项费用，5年服务期间采购人不再额外支付任何费用。</w:t>
      </w:r>
    </w:p>
    <w:p>
      <w:pPr>
        <w:widowControl/>
        <w:shd w:val="clear" w:color="auto" w:fill="FFFFFF"/>
        <w:spacing w:line="360" w:lineRule="auto"/>
        <w:ind w:firstLine="6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2、所遵循的标准和质量保证</w:t>
      </w:r>
    </w:p>
    <w:p>
      <w:pPr>
        <w:widowControl/>
        <w:shd w:val="clear" w:color="auto" w:fill="FFFFFF"/>
        <w:spacing w:line="360" w:lineRule="auto"/>
        <w:ind w:firstLine="6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2．1投标人提供的所有货物，其制造商应有完善的质量检测手段和质量保证体系，产品符合国家标准和行业标准。</w:t>
      </w:r>
    </w:p>
    <w:p>
      <w:pPr>
        <w:widowControl/>
        <w:shd w:val="clear" w:color="auto" w:fill="FFFFFF"/>
        <w:spacing w:line="360" w:lineRule="auto"/>
        <w:ind w:firstLine="6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2．2投标人所提供货物的设计、制造、产品性能、材料的选择和材料的检验及产品的测试等，都应按国内外通行的现行标准和相应的技术规范执行。而这些标准和技术规范应为合同签字日为止最新发布发行的标准和技术规范。 </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3、设计依据</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本项目设计标准符合：</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1、在用柴油车排气污染物测量方法及技术要求》（HJ 845-2017）</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2、《点燃式发动机汽车排气污染物排放限值及测量方法（双怠速法及简易工况法）》（GB18285-2005）</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 《 车 用 压 燃 式 发 动 机 和 压 燃 式 发 动 机 汽 车 排 气 烟 度 排 放 限 值 及 测 量 方 法 》（ GB3847-2005）</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4、《机动车测速仪》（GB/T 21255-2007）</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5、《通用计量术语与定义》（JJF 1001-2011）</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6、《遥感式汽油车排放有害气体检测仪检定规程》（JJG（京）45—2011）</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7、《机动车尾气遥测设备 通用技术要求》（JB/T 11996-2014）</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8、《环境空气质量标准》（GB3095-2012）</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9、《大气污染物综合排放标准》（GB16297-1996）</w:t>
      </w:r>
    </w:p>
    <w:p>
      <w:pPr>
        <w:pStyle w:val="44"/>
        <w:numPr>
          <w:ilvl w:val="0"/>
          <w:numId w:val="10"/>
        </w:numPr>
        <w:shd w:val="clear" w:color="auto" w:fill="FFFFFF"/>
        <w:spacing w:line="360" w:lineRule="auto"/>
        <w:ind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《国家电气设备安全技术规范》(GB19517-2009)</w:t>
      </w:r>
    </w:p>
    <w:p>
      <w:pPr>
        <w:widowControl/>
        <w:shd w:val="clear" w:color="auto" w:fill="FFFFFF"/>
        <w:spacing w:line="360" w:lineRule="auto"/>
        <w:jc w:val="both"/>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（二）基本要求</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为保证本项目顺利实施，采购人对机动车尾气遥感监测设备、尾气遥感监测大数据平台系统和</w:t>
      </w:r>
      <w:bookmarkStart w:id="0" w:name="_Hlk6152081"/>
      <w:r>
        <w:rPr>
          <w:rFonts w:hint="eastAsia" w:asciiTheme="minorEastAsia" w:hAnsiTheme="minorEastAsia" w:eastAsiaTheme="minorEastAsia" w:cstheme="minorEastAsia"/>
          <w:kern w:val="0"/>
          <w:sz w:val="24"/>
          <w:szCs w:val="24"/>
        </w:rPr>
        <w:t>运维运营服务标准</w:t>
      </w:r>
      <w:bookmarkEnd w:id="0"/>
      <w:r>
        <w:rPr>
          <w:rFonts w:hint="eastAsia" w:asciiTheme="minorEastAsia" w:hAnsiTheme="minorEastAsia" w:eastAsiaTheme="minorEastAsia" w:cstheme="minorEastAsia"/>
          <w:kern w:val="0"/>
          <w:sz w:val="24"/>
          <w:szCs w:val="24"/>
        </w:rPr>
        <w:t>提出以下基本要求，投标时由投标人自行设计实施方案。</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1、机动车尾气遥感监测系统</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1.1本项目应建设的机动车尾气遥感监测系统类型如下：</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在禹州市区范围内237省道吴湾村处安装1套固定式</w:t>
      </w:r>
      <w:r>
        <w:rPr>
          <w:rFonts w:hint="eastAsia" w:asciiTheme="minorEastAsia" w:hAnsiTheme="minorEastAsia" w:eastAsiaTheme="minorEastAsia" w:cstheme="minorEastAsia"/>
          <w:sz w:val="24"/>
          <w:szCs w:val="24"/>
          <w:shd w:val="clear" w:color="auto" w:fill="FFFFFF"/>
        </w:rPr>
        <w:t>机动车尾气</w:t>
      </w:r>
      <w:r>
        <w:rPr>
          <w:rFonts w:hint="eastAsia" w:asciiTheme="minorEastAsia" w:hAnsiTheme="minorEastAsia" w:eastAsiaTheme="minorEastAsia" w:cstheme="minorEastAsia"/>
          <w:kern w:val="0"/>
          <w:sz w:val="24"/>
          <w:szCs w:val="24"/>
        </w:rPr>
        <w:t>遥感监测设备；部署1套移动式</w:t>
      </w:r>
      <w:r>
        <w:rPr>
          <w:rFonts w:hint="eastAsia" w:asciiTheme="minorEastAsia" w:hAnsiTheme="minorEastAsia" w:eastAsiaTheme="minorEastAsia" w:cstheme="minorEastAsia"/>
          <w:sz w:val="24"/>
          <w:szCs w:val="24"/>
          <w:shd w:val="clear" w:color="auto" w:fill="FFFFFF"/>
        </w:rPr>
        <w:t>机动车尾气</w:t>
      </w:r>
      <w:r>
        <w:rPr>
          <w:rFonts w:hint="eastAsia" w:asciiTheme="minorEastAsia" w:hAnsiTheme="minorEastAsia" w:eastAsiaTheme="minorEastAsia" w:cstheme="minorEastAsia"/>
          <w:kern w:val="0"/>
          <w:sz w:val="24"/>
          <w:szCs w:val="24"/>
        </w:rPr>
        <w:t>遥感监测设备。主要监测因子为一氧化碳（CO）、二氧化碳（CO2）、碳氢化合物（HC），氮氧化物（NOx）、不透光烟度值以及光吸收系数k以及相关图片视频、空气质量和气象五参数。</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1.2机动车尾气遥感监测系统建设要求</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每套设备有多个子系统共同协作完成监测，包括遥感监测系统、速度加速度系统、牌照自动识别系统、系统校准系统、环境空气质量监测设备、UPS不间断供电设备、安防系统等。通过实时数据联网建立机动车污染环境执法取证平台，实现城区重点区域高污染车限行管理，</w:t>
      </w:r>
      <w:bookmarkStart w:id="1" w:name="_Hlk511768504"/>
      <w:r>
        <w:rPr>
          <w:rFonts w:hint="eastAsia" w:asciiTheme="minorEastAsia" w:hAnsiTheme="minorEastAsia" w:eastAsiaTheme="minorEastAsia" w:cstheme="minorEastAsia"/>
          <w:kern w:val="0"/>
          <w:sz w:val="24"/>
          <w:szCs w:val="24"/>
        </w:rPr>
        <w:t>减少城区高污染机动车排放废气，提高城区空气质量。</w:t>
      </w:r>
      <w:bookmarkEnd w:id="1"/>
    </w:p>
    <w:p>
      <w:pPr>
        <w:pStyle w:val="1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（三）需求清单</w:t>
      </w:r>
    </w:p>
    <w:tbl>
      <w:tblPr>
        <w:tblStyle w:val="24"/>
        <w:tblW w:w="91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983"/>
        <w:gridCol w:w="151"/>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序号</w:t>
            </w:r>
          </w:p>
        </w:tc>
        <w:tc>
          <w:tcPr>
            <w:tcW w:w="983" w:type="dxa"/>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名称</w:t>
            </w:r>
          </w:p>
        </w:tc>
        <w:tc>
          <w:tcPr>
            <w:tcW w:w="7664" w:type="dxa"/>
            <w:gridSpan w:val="2"/>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983" w:type="dxa"/>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服务团队要求</w:t>
            </w:r>
          </w:p>
        </w:tc>
        <w:tc>
          <w:tcPr>
            <w:tcW w:w="7664" w:type="dxa"/>
            <w:gridSpan w:val="2"/>
          </w:tcPr>
          <w:p>
            <w:pPr>
              <w:ind w:firstLine="240" w:firstLineChars="1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1、组建不少于2人的专业化的技术服务队伍，保障尾气监测系统7*24正常工作，并配合禹州市环保局进行相关工作。项目组成员应当有开展过计算机（软/硬件）类似项目案例的经验。</w:t>
            </w:r>
          </w:p>
          <w:p>
            <w:pPr>
              <w:ind w:firstLine="240" w:firstLineChars="1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2、运维单位项目组所有管理和技术人员未经与采购人协调同意，不得随意变更、调动。</w:t>
            </w:r>
          </w:p>
          <w:p>
            <w:pPr>
              <w:ind w:firstLine="240" w:firstLineChars="1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3、须向甲方监控中心安排一名工作人员，负责平台数据异常报警监管，视频工作异常监管，数据统计，数据报表制定等。</w:t>
            </w:r>
          </w:p>
          <w:p>
            <w:pPr>
              <w:widowControl/>
              <w:spacing w:line="360" w:lineRule="auto"/>
              <w:ind w:firstLine="240" w:firstLineChars="1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4、须有一名专业人员负责移动式遥感监测车和车载设备的维护、车辆驾驶工作，并配合甲方在指定位置对过往车辆进行排检。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983" w:type="dxa"/>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运维服务要求</w:t>
            </w:r>
          </w:p>
        </w:tc>
        <w:tc>
          <w:tcPr>
            <w:tcW w:w="7664" w:type="dxa"/>
            <w:gridSpan w:val="2"/>
          </w:tcPr>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1、具备 7*24 小时值班值守能力，对尾气在线监测系统进行日常维护，能随时调取尾气超标车辆的监控数据和影像资料给采购人或采购人指定的相应管理部门。每日上、下午通过运维监控子系统对前端监控设备的运行进行检查，观察其工作是否正常，通讯是否畅通，并记录在案。发现数据持续异常情况，立即前往现场进行检查。</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2、每月一至二次对前端监测设备进行现场维护，查看仪器数据与异常情况，并记录在案，检查球机镜头是否清洁，必要时进行清洗。 </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3、对前端监测设备，每月至少检查 1 次采样、计量、反应器、检测器等单元的工作情况，对采集器进行清理。</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4、每月至少对自动监控设备进行一次现场设备校准。</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5、每台监控设备每个月的巡检次数不低于 2 次，确保服务期间的监测仪器功能正常，年度设备的故障率低于 10%，确保监测仪器的日平均在线率超过 90%。</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6、监控平台应每日检查整体通信链路是否正常，时刻保持报警、控制设备处于安全响应状态，设置操作权限，防止误操作。 </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7、发现异常或接到异常通知，在工作日工作时间内，对于固定式尾气监测系统，要求在 2 小时以内赶到现场并排除故障；对移动式尾气监测系统，要求在4小时以内排除故障。</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8、应根据仪器结构特点和厂商提供的维修手册要求，制定常见故障的判断和检修的方法及程序。对于在现场能够明确诊断，并且可由简单更换备件解决的问题，如尾气监测系统、车牌抓拍系统、主控计算机等，可在现场进行检修与更换。对于其他不易诊断和检修的故障，应将发生故障的仪器送实验室进行检查和维修，并在现场用备用仪器替代发生故障的仪器。</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9、系统建成投入正式运行后，投标人须提供完整的运维台账，以便配合招标方的日常检查。在每次检修完成后，应根据检修内容和更换部件情况，对仪器进行校准，并记录检修及校准情况。</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10、详细列出系统运行中所需要更换的备品备件清单，包括型号、产地、更换周期等，保证设备及时得到维护。核心部件的备品备件必须后备一套。</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11、在服务期限内投标人按采购人免费更换故障的设备及所属配件。</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12、投标人应当建立技术培训和考核机制，确保运维人员能熟练开展相关设备使用、维护、维修工作，不断提高运维技术水平。</w:t>
            </w:r>
          </w:p>
          <w:p>
            <w:pPr>
              <w:widowControl/>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13、按照采购人要求组织对管理部门或管理对象相关人员开展必要的系统操作等培训。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983" w:type="dxa"/>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数据分析要求</w:t>
            </w:r>
          </w:p>
        </w:tc>
        <w:tc>
          <w:tcPr>
            <w:tcW w:w="7664" w:type="dxa"/>
            <w:gridSpan w:val="2"/>
          </w:tcPr>
          <w:p>
            <w:pPr>
              <w:ind w:firstLine="240" w:firstLineChars="1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1、每日应以电子版的形式提供监测数据统计分析日报。在服务期限内必须满足对统计分析报告的定制要求。</w:t>
            </w:r>
          </w:p>
          <w:p>
            <w:pPr>
              <w:ind w:firstLine="240" w:firstLineChars="1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2、每周一应以纸质和电子版的形式提供上周的监测数据统计分析周报。在服务期限内必须满足对统计分析报告的定制要求。</w:t>
            </w:r>
          </w:p>
          <w:p>
            <w:pPr>
              <w:ind w:firstLine="240" w:firstLineChars="1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3、每月10日之前应以纸质和电子版的形式提供上月的监测数据统计分析月报。在服务期限内必须满足对统计分析报告的定制要求。</w:t>
            </w:r>
          </w:p>
          <w:p>
            <w:pPr>
              <w:ind w:firstLine="240" w:firstLineChars="1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4、根据对特定时间段（例如冬防或重污染天气时段）或特定区域的管理需求，提供相应特定时间段或特定区域的数据分析报告。</w:t>
            </w:r>
          </w:p>
          <w:p>
            <w:pPr>
              <w:ind w:firstLine="240" w:firstLineChars="1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5、在服务到期后提供服务期满的总结分析报表（告），并完成项目总结汇报。</w:t>
            </w:r>
          </w:p>
          <w:p>
            <w:pPr>
              <w:ind w:firstLine="240" w:firstLineChars="1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日报、周报、月报、季报、年报，数据分析内容包括如下信息：包括监控路段大气基本信息、尾气超标汽车牌照、超标数据等；各站点数据传输率；数据同比、环比、排名、超标报警、超标比例、尾气超标物浓度分布范围等统计分析；超标率及超标车次，超标原因分析等；</w:t>
            </w:r>
          </w:p>
          <w:p>
            <w:pPr>
              <w:ind w:firstLine="240" w:firstLineChars="1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7、季报在下一月10日之前提供；年报在次年1月10之前提供分析年报。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9180"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sz w:val="24"/>
                <w:szCs w:val="24"/>
              </w:rPr>
              <w:t>尾气遥感监测大数据平台系统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34"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站点分布</w:t>
            </w:r>
          </w:p>
        </w:tc>
        <w:tc>
          <w:tcPr>
            <w:tcW w:w="75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不同显示形式显示固定式检测站点与移动式检测站点、地图上显示区域内所有布控站点、车道具体地理位置，并且清楚显示出站点目前数据的连接性和环境空气质量等级信息。通过点击站点可查看监测数据信息，包括：当前最新的尾气监测数据信息、视频、照片。可以快速定位到具体站点、车道的采集数据信息，地图中同步以不同图标形式显示移动式监测点。在地图上直观展示该地区的全部机动车尾气监测点位、环境空气质量等级、监测站点各车道车辆检测实时数据、以及移动监测点位信息。将鼠标移动到某站点上即可查看该站点车辆的实时数据内容以及抓拍图片、监控视频等信息。具备快速定位能力，可显示具体车道的尾气检测数据以及空气质量数据。地图实时显示各站点的 AQI 指数并且划分为六个程度等级（一级、二级、三级、四级、五级、六级）及联网情况（掉线、无数据），共显示有八个状态，并采用不同颜色进行标注。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134"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点位及运行管理</w:t>
            </w:r>
          </w:p>
        </w:tc>
        <w:tc>
          <w:tcPr>
            <w:tcW w:w="75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1、实现对监测点位、遥测线、遥测设备信息，点位日常运行维护、设备标定检查的维护管理，对监测点位和遥测设备进行唯一编号。</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2、监测点位的编号规则规定如下：1位点位类型+6位行政区划代码+3位顺序号（如“A130128001”）。点位类型：1位，A-表示垂直固定式，B-表示水平固定式，C-表示移动式。行政区划代码 ：6位，表示点位安装地点位置，如是移动式监测点位则用所属单位地址替代。顺序号：3位，表示点位投入运行的顺序号。</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3、遥测线编号规则规定如下：遥测线编号：2位顺序号。利用地理信息系统和卫星定位系统技术(移动式)显示监测点位经纬度、运行状态。运行异常的应及时报警。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134"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数据质量管理</w:t>
            </w:r>
          </w:p>
        </w:tc>
        <w:tc>
          <w:tcPr>
            <w:tcW w:w="75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对监测点位上传来的数据进行统一校验，剔除无效数据，对数据决策分析和给环保厅数据上报打下基础。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134"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监测管理</w:t>
            </w:r>
          </w:p>
        </w:tc>
        <w:tc>
          <w:tcPr>
            <w:tcW w:w="75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1、实时监测包括实时数据、实时监控两个模块内容。可显示点位实时监测数据的具体信息以及实时视频监控。</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实时数据：实时数据子模块主要显示各站点、各车道的实时监控数据。展现形式可以分为直观信息展示与详细列表展示：直观信息可实时显示最新一条监测抓拍的车辆的照片、与车管所数据库对接车辆检测基本信息（车辆号牌、号牌种类、厂牌型号、车架号、发动机号、车辆类型、出厂年月、车主信息、车辆用途）及车辆年检记录、车型、车型颜色、车牌颜色、黄绿色标、燃油类型、黑烟车信息、监测 数据合格有效性、环境空气质量信息（PM10、PM2.5、SO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、CO、O</w:t>
            </w:r>
            <w:r>
              <w:rPr>
                <w:rFonts w:hint="eastAsia" w:asciiTheme="minorEastAsia" w:hAnsiTheme="minorEastAsia" w:eastAsiaTheme="minorEastAsia" w:cstheme="minorEastAsia"/>
                <w:sz w:val="24"/>
                <w:szCs w:val="24"/>
                <w:vertAlign w:val="subscript"/>
              </w:rPr>
              <w:t>3</w:t>
            </w:r>
            <w:r>
              <w:rPr>
                <w:rFonts w:hint="eastAsia" w:asciiTheme="minorEastAsia" w:hAnsiTheme="minorEastAsia" w:eastAsiaTheme="minorEastAsia" w:cstheme="minorEastAsia"/>
                <w:sz w:val="24"/>
                <w:szCs w:val="24"/>
              </w:rPr>
              <w:t>、NO、NO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 NOX、温度、湿度、风向、风速、压强、降雨量）、车辆 VSP 信息、车速、加速度、坡度、车辆尾气排放浓度信息（CO、CO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HC、NOX、不通光度、光吸收系数），监测数据以图形形式直观显示；监测车辆的详细信息以列表形式显示，对超标数据以颜色对比突出显示，数据列表中可实时查看调取具体视频信息、图片，图片信息支持打印。按具体监测点位、上下行车道类型、站点类型等，进行最新监测车辆信息的数据查询。尾气检测参数信息、车辆基本信息、气象、环境空气质量数据等内容的实时监测数据，分别以模块形式进行显示，图形信息均支持保存下载，页面数据检测汇总信息以列表的形式直观反映。</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3、实时监控：已集成各大视频服务器厂商的视频控件，可接收现场端监测站点的视频图像，并进行实时视频监控。用户可以通过平台对现场端的视频监控设备进行远程控制。上端站点选择框可选择需要查看的站点，并支持视频的云台操控、图片抓拍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134"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综合查询</w:t>
            </w:r>
          </w:p>
        </w:tc>
        <w:tc>
          <w:tcPr>
            <w:tcW w:w="75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查询模块主要包括历史数据查询、超标车辆数据查询、环境空气质量查询、高排污查询、违规查询、移动式站点数据查询等子模块。该查询模块对于已有相关信息的车辆，根据检测识别车牌信息调用数据库信息判别柴油或汽油车。对于无相关信息的车辆，则通过由用户设定不透光烟度车辆判别限值（该值不同于排放限值，应设置专门的判别限值输入菜单）对车辆作临时判别，即假定超过判别限值的为柴油车，低于判别限值的为汽油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134"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统计分析</w:t>
            </w:r>
          </w:p>
        </w:tc>
        <w:tc>
          <w:tcPr>
            <w:tcW w:w="75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统计分析模块中可实现多种信息统计，包括：车流量/合格/不合格信息统计、 AQI 与车流量对比、尾气排放物与污染物对比、车辆信息比重、检测有效率统计、分时段对比；可以对所有布控点位的数据进行统计、分析。数据信息可以与省市机动车环保监管平台实现数据与信息的对接；车流量/合格不合格信息统计：可根据时间段、单站点/多站点、合格/不合格、车辆总数、字段信息等进行查询（按照站点或区域统计车流量合格不合格数量）显示车流量信息以及合格不合格数， 统计结果以图形/列表形式显示。列表可以 EXCEL导出至本地。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134"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报警预警</w:t>
            </w:r>
          </w:p>
        </w:tc>
        <w:tc>
          <w:tcPr>
            <w:tcW w:w="75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主要针对检测设备的掉线、故障信息进行查询。预警结果可以以短信、微信形式进行提醒。 该功能根据检测设备状态信息对设备掉线、故障信息以及数据异常信息以微信、短信形式进行推送预警报警信息，此处可以查看已经推送的每条短信、微信的具体信息。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134"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数据传输</w:t>
            </w:r>
          </w:p>
        </w:tc>
        <w:tc>
          <w:tcPr>
            <w:tcW w:w="75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平台与监测点位各类信息应实时同步，管理端软件之间的数据交换应通过环保专网、数据传输与交换平台进行，管理端软件与上级管理端软件，如与许昌市、省级遥感监测平台、国家遥感监测平台之间应保证数据及时同步。</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2、需要交换的内容应包括：监测点位信息、交通流量信息、遥感监测数据、车辆数据、设备自检、设备检查信息。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1134"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视频监控</w:t>
            </w:r>
          </w:p>
        </w:tc>
        <w:tc>
          <w:tcPr>
            <w:tcW w:w="75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实现流媒体转发功能，能够监控各个点位的视频。满足市级机动车遥感监测平台、省机动车遥感监测平台的视频远程观看和远程调用需要。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134"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车辆信息</w:t>
            </w:r>
          </w:p>
        </w:tc>
        <w:tc>
          <w:tcPr>
            <w:tcW w:w="75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1、应建立本地车辆数据库，车辆数据库定期和监测点位同步。</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2、车辆数据库应定期上传至省机动车遥感监测平台，每月更新一次。</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3、车辆数据库应及时和当地公安交通管理部门同步更新数据。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1134"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外埠车辆信息</w:t>
            </w:r>
          </w:p>
        </w:tc>
        <w:tc>
          <w:tcPr>
            <w:tcW w:w="75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对采集的外埠车辆遥感监测信息，如无法匹配车辆数据库的，应及时通过省级遥感监测平台查询查询下载车辆信息后进行判定，并更新记录。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1134"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GIS展现系统</w:t>
            </w:r>
          </w:p>
        </w:tc>
        <w:tc>
          <w:tcPr>
            <w:tcW w:w="75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地图集中显示各个监测点位的地理位置信息，以及各监测点位 AQI 空气质量等级信息，点击站点显示监测站点实时车辆尾气检测数据的详细信息，包括尾气参数（CO、CO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、HC、NOX、不通光烟度）柱状分析图，车辆基本信息、气象 信息、空气质量信息、抓拍图片信息。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1134"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后台系统管理</w:t>
            </w:r>
          </w:p>
        </w:tc>
        <w:tc>
          <w:tcPr>
            <w:tcW w:w="75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1、该模块主要对平台上所有功能模块的基础信息进行维护。其中包括：人员管理、权限管理、站点信息和参数信息四大管理模块。</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站点管理可对不同地区的站点进行添加和修改；用户管理可对不同人员进行查删改的操作，支持写入人员信息和勾选角色、负责站点等信息；权限管理：可以为不同角色设置不同权限，具备多组用户输入功能，对人员登录权限进行设置，不同级别用户不同权限；参数限值：该功能可设置不同参数的上下限值，低于或 高于此限制，数据即视作无效，不参与数据分析、统计、比较等操作。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1134"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可视化分析</w:t>
            </w:r>
          </w:p>
        </w:tc>
        <w:tc>
          <w:tcPr>
            <w:tcW w:w="75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1、机动车尾气监测中包含多种维度指标，尾气信息、车牌、气象环境、加速度等，遥感监测系统能够通过遥测设备采集CO、CO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、HC、NOX、烟度、不透光系数和林格曼黑度等数据，并结合相关气象信息及机动车尾气排放核心数据库信息进行综合加工、治理，形成大量待探索挖掘的数据信息。</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2、可对数据展现结果的查看，进行联动交互分析、过滤筛选，并可对关心的报告结果进行收藏，可即时查看真实数据，可进行数据的上卷下钻钻透分析，可对展现结果进行导出PDF、Excel操作。</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利用GIS地图，展现监测点具体地理位置。当在GIS地图中选择某一监测站，可以看到该监测站的尾气污染物情况、各时间段监测的空气质量情况、经过该监测站的车流列表，已经当前监测站所在区域的AQI、各污染物之间的平均浓度数据；</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利用柱形图及饼图方式，展现尾气中重点污染物的数值及占比情况，并可以按照不同的聚合方式进行统计，如平均值、最大值、最小值等；</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4、利用折线图展现各时段空气AQI指标情况，分析不同季度、不同月份的AQI影响因子，观察AQI整体变化趋势，针对高污染时段进行有效控制；</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5、利用列表，展现监测点车辆情况，包含车牌、驾驶人、监测点地址、时间等相关信息，便于与其他指标进行关联性分析，同时可以对高污染车辆进行“围追堵截”；</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6、利用大数据相关算法，计算AQI及各污染物平均浓度相关性，建立两者的时间区县，分析不同时段两者的变化情况。图形中数据可以以Excel或PDF的形式进行导出，方便数据传递和价值分享；</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7、利用KPI，将最为关注的AQI及污染物平均浓度进行直观展现。</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通过可视化分析的手段，可以将监测数据进行整体呈现，既可以看到整个禹州的尾气排放与AQI的宏观情况，同时也可以聚焦到某一监测站进行微观分析，并且可以针对不同污染物、不同时间段、不同车辆信息进行细粒度分析展现，辅助防污办人员进行科学、合理的数据分析和支持决策。</w:t>
            </w:r>
          </w:p>
        </w:tc>
      </w:tr>
    </w:tbl>
    <w:p>
      <w:pPr>
        <w:widowControl/>
        <w:shd w:val="clear" w:color="auto" w:fill="FFFFFF"/>
        <w:spacing w:line="360" w:lineRule="auto"/>
        <w:jc w:val="left"/>
        <w:rPr>
          <w:rFonts w:hint="eastAsia" w:asciiTheme="minorEastAsia" w:hAnsiTheme="minorEastAsia" w:eastAsiaTheme="minorEastAsia" w:cstheme="minorEastAsia"/>
          <w:b/>
          <w:kern w:val="0"/>
          <w:sz w:val="24"/>
          <w:szCs w:val="24"/>
        </w:rPr>
      </w:pPr>
    </w:p>
    <w:tbl>
      <w:tblPr>
        <w:tblStyle w:val="24"/>
        <w:tblW w:w="91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1"/>
        <w:gridCol w:w="1134"/>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kern w:val="0"/>
                <w:sz w:val="24"/>
                <w:szCs w:val="24"/>
              </w:rPr>
              <w:t>序号</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kern w:val="0"/>
                <w:sz w:val="24"/>
                <w:szCs w:val="24"/>
              </w:rPr>
              <w:t>名称</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固定水平式遥感监测系统技术参数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531" w:type="dxa"/>
            <w:vMerge w:val="restart"/>
            <w:tcBorders>
              <w:left w:val="single" w:color="auto" w:sz="4" w:space="0"/>
              <w:right w:val="single" w:color="auto" w:sz="4" w:space="0"/>
            </w:tcBorders>
            <w:tcMar>
              <w:top w:w="0" w:type="dxa"/>
              <w:left w:w="105" w:type="dxa"/>
              <w:bottom w:w="0" w:type="dxa"/>
              <w:right w:w="105" w:type="dxa"/>
            </w:tcMar>
            <w:vAlign w:val="center"/>
          </w:tcPr>
          <w:p>
            <w:pPr>
              <w:spacing w:line="360" w:lineRule="auto"/>
              <w:ind w:firstLine="20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1134" w:type="dxa"/>
            <w:vMerge w:val="restart"/>
            <w:tcBorders>
              <w:left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固定式遥感监测系统</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监测项目：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测量一氧化碳（CO）、二氧化碳（CO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）、碳氢化合物（HC），氮氧化物（NO</w:t>
            </w:r>
            <w:r>
              <w:rPr>
                <w:rFonts w:hint="eastAsia" w:asciiTheme="minorEastAsia" w:hAnsiTheme="minorEastAsia" w:eastAsiaTheme="minorEastAsia" w:cstheme="minorEastAsia"/>
                <w:sz w:val="24"/>
                <w:szCs w:val="24"/>
                <w:vertAlign w:val="subscript"/>
              </w:rPr>
              <w:t>x</w:t>
            </w:r>
            <w:r>
              <w:rPr>
                <w:rFonts w:hint="eastAsia" w:asciiTheme="minorEastAsia" w:hAnsiTheme="minorEastAsia" w:eastAsiaTheme="minorEastAsia" w:cstheme="minorEastAsia"/>
                <w:sz w:val="24"/>
                <w:szCs w:val="24"/>
              </w:rPr>
              <w:t>）、不透光烟度值以及光吸收系数k。</w:t>
            </w:r>
          </w:p>
          <w:p>
            <w:pPr>
              <w:spacing w:after="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可以对汽油车、柴油车、天然气车、多能源车等多种车辆进行检测判定。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vMerge w:val="continue"/>
            <w:tcBorders>
              <w:left w:val="single" w:color="auto" w:sz="4" w:space="0"/>
              <w:right w:val="single" w:color="auto" w:sz="4" w:space="0"/>
            </w:tcBorders>
            <w:tcMar>
              <w:top w:w="0" w:type="dxa"/>
              <w:left w:w="105" w:type="dxa"/>
              <w:bottom w:w="0" w:type="dxa"/>
              <w:right w:w="105" w:type="dxa"/>
            </w:tcMar>
            <w:vAlign w:val="center"/>
          </w:tcPr>
          <w:p>
            <w:pPr>
              <w:spacing w:line="360" w:lineRule="auto"/>
              <w:ind w:firstLine="200"/>
              <w:jc w:val="center"/>
              <w:rPr>
                <w:rFonts w:hint="eastAsia" w:asciiTheme="minorEastAsia" w:hAnsiTheme="minorEastAsia" w:eastAsiaTheme="minorEastAsia" w:cstheme="minorEastAsia"/>
                <w:kern w:val="0"/>
                <w:sz w:val="24"/>
                <w:szCs w:val="24"/>
              </w:rPr>
            </w:pPr>
          </w:p>
        </w:tc>
        <w:tc>
          <w:tcPr>
            <w:tcW w:w="1134" w:type="dxa"/>
            <w:vMerge w:val="continue"/>
            <w:tcBorders>
              <w:left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测量范围及项目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1、CO为0％－10％；</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为0％－16％；</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3、HC≤10000ppm；</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4、NO</w:t>
            </w:r>
            <w:r>
              <w:rPr>
                <w:rFonts w:hint="eastAsia" w:asciiTheme="minorEastAsia" w:hAnsiTheme="minorEastAsia" w:eastAsiaTheme="minorEastAsia" w:cstheme="minorEastAsia"/>
                <w:sz w:val="24"/>
                <w:szCs w:val="24"/>
                <w:vertAlign w:val="subscript"/>
              </w:rPr>
              <w:t>X</w:t>
            </w:r>
            <w:r>
              <w:rPr>
                <w:rFonts w:hint="eastAsia" w:asciiTheme="minorEastAsia" w:hAnsiTheme="minorEastAsia" w:eastAsiaTheme="minorEastAsia" w:cstheme="minorEastAsia"/>
                <w:sz w:val="24"/>
                <w:szCs w:val="24"/>
              </w:rPr>
              <w:t>≤10000ppm；</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5、烟度为不透光烟度0～100%，光吸收系数k：0～16m-1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vMerge w:val="continue"/>
            <w:tcBorders>
              <w:left w:val="single" w:color="auto" w:sz="4" w:space="0"/>
              <w:right w:val="single" w:color="auto" w:sz="4" w:space="0"/>
            </w:tcBorders>
            <w:tcMar>
              <w:top w:w="0" w:type="dxa"/>
              <w:left w:w="105" w:type="dxa"/>
              <w:bottom w:w="0" w:type="dxa"/>
              <w:right w:w="105" w:type="dxa"/>
            </w:tcMar>
            <w:vAlign w:val="center"/>
          </w:tcPr>
          <w:p>
            <w:pPr>
              <w:spacing w:line="360" w:lineRule="auto"/>
              <w:ind w:firstLine="200"/>
              <w:jc w:val="center"/>
              <w:rPr>
                <w:rFonts w:hint="eastAsia" w:asciiTheme="minorEastAsia" w:hAnsiTheme="minorEastAsia" w:eastAsiaTheme="minorEastAsia" w:cstheme="minorEastAsia"/>
                <w:kern w:val="0"/>
                <w:sz w:val="24"/>
                <w:szCs w:val="24"/>
              </w:rPr>
            </w:pPr>
          </w:p>
        </w:tc>
        <w:tc>
          <w:tcPr>
            <w:tcW w:w="1134" w:type="dxa"/>
            <w:vMerge w:val="continue"/>
            <w:tcBorders>
              <w:left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测量精度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1、CO精度：读数值的±10%；</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精度：读数值的±10%；</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3、HC精度：读数值的±10%或绝对误差±250ppm取最大值；</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4、NO</w:t>
            </w:r>
            <w:r>
              <w:rPr>
                <w:rFonts w:hint="eastAsia" w:asciiTheme="minorEastAsia" w:hAnsiTheme="minorEastAsia" w:eastAsiaTheme="minorEastAsia" w:cstheme="minorEastAsia"/>
                <w:sz w:val="24"/>
                <w:szCs w:val="24"/>
                <w:vertAlign w:val="subscript"/>
              </w:rPr>
              <w:t>x</w:t>
            </w:r>
            <w:r>
              <w:rPr>
                <w:rFonts w:hint="eastAsia" w:asciiTheme="minorEastAsia" w:hAnsiTheme="minorEastAsia" w:eastAsiaTheme="minorEastAsia" w:cstheme="minorEastAsia"/>
                <w:sz w:val="24"/>
                <w:szCs w:val="24"/>
              </w:rPr>
              <w:t>精度：读数值的±10%或绝对误差±250ppm取最大值；</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5、不透光烟度：读数值的±5%；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vMerge w:val="continue"/>
            <w:tcBorders>
              <w:left w:val="single" w:color="auto" w:sz="4" w:space="0"/>
              <w:right w:val="single" w:color="auto" w:sz="4" w:space="0"/>
            </w:tcBorders>
            <w:tcMar>
              <w:top w:w="0" w:type="dxa"/>
              <w:left w:w="105" w:type="dxa"/>
              <w:bottom w:w="0" w:type="dxa"/>
              <w:right w:w="105" w:type="dxa"/>
            </w:tcMar>
            <w:vAlign w:val="center"/>
          </w:tcPr>
          <w:p>
            <w:pPr>
              <w:spacing w:line="360" w:lineRule="auto"/>
              <w:ind w:firstLine="200"/>
              <w:jc w:val="center"/>
              <w:rPr>
                <w:rFonts w:hint="eastAsia" w:asciiTheme="minorEastAsia" w:hAnsiTheme="minorEastAsia" w:eastAsiaTheme="minorEastAsia" w:cstheme="minorEastAsia"/>
                <w:kern w:val="0"/>
                <w:sz w:val="24"/>
                <w:szCs w:val="24"/>
              </w:rPr>
            </w:pPr>
          </w:p>
        </w:tc>
        <w:tc>
          <w:tcPr>
            <w:tcW w:w="1134" w:type="dxa"/>
            <w:vMerge w:val="continue"/>
            <w:tcBorders>
              <w:left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工作性能：</w:t>
            </w:r>
          </w:p>
          <w:p>
            <w:pPr>
              <w:numPr>
                <w:ilvl w:val="0"/>
                <w:numId w:val="11"/>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CO、CO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、HC、NOx、不透光烟度重复性误差不超过±5％，汽车在加速状态、尾气管后置条件或者中间条件下，有效烟团捕获率不小于85％</w:t>
            </w:r>
          </w:p>
          <w:p>
            <w:pPr>
              <w:numPr>
                <w:ilvl w:val="0"/>
                <w:numId w:val="11"/>
              </w:numPr>
              <w:spacing w:after="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双光程监测，有效监测光程不小于12米，满足多车道监测需求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Theme="minorEastAsia" w:hAnsiTheme="minorEastAsia" w:eastAsiaTheme="minorEastAsia" w:cstheme="minorEastAsia"/>
                <w:kern w:val="0"/>
                <w:sz w:val="24"/>
                <w:szCs w:val="24"/>
              </w:rPr>
            </w:pPr>
          </w:p>
        </w:tc>
        <w:tc>
          <w:tcPr>
            <w:tcW w:w="1134"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UPS不间断供电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1、UPS类型：在线式。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2、输入电压范围：115-300V。</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3、输出电压范围：220（1±2%）V。</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4、额定功率：保证大于所供电设备额定功率的2倍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5、延迟时间：4小时以上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速度加速度系统</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▲1、保证测量精度的车辆速度范围为：测速范围5km/h</w:t>
            </w:r>
            <w:r>
              <w:rPr>
                <w:rFonts w:hint="eastAsia" w:asciiTheme="minorEastAsia" w:hAnsiTheme="minorEastAsia" w:eastAsiaTheme="minorEastAsia" w:cstheme="minorEastAsia"/>
                <w:sz w:val="24"/>
                <w:szCs w:val="24"/>
                <w:vertAlign w:val="subscript"/>
              </w:rPr>
              <w:t xml:space="preserve"> </w:t>
            </w:r>
            <w:r>
              <w:rPr>
                <w:rFonts w:hint="eastAsia" w:asciiTheme="minorEastAsia" w:hAnsiTheme="minorEastAsia" w:eastAsiaTheme="minorEastAsia" w:cstheme="minorEastAsia"/>
                <w:sz w:val="24"/>
                <w:szCs w:val="24"/>
              </w:rPr>
              <w:t>- 120km/h；</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2、测速响应时间≤33ms</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3、测速误差≤3km/h</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4、加速度精度：≤0.22m/s</w:t>
            </w:r>
            <w:r>
              <w:rPr>
                <w:rFonts w:hint="eastAsia" w:asciiTheme="minorEastAsia" w:hAnsiTheme="minorEastAsia" w:eastAsiaTheme="minorEastAsia" w:cstheme="minorEastAsia"/>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Theme="minorEastAsia" w:hAnsiTheme="minorEastAsia" w:eastAsiaTheme="minorEastAsia" w:cstheme="minorEastAsia"/>
                <w:kern w:val="0"/>
                <w:sz w:val="24"/>
                <w:szCs w:val="24"/>
              </w:rPr>
            </w:pPr>
            <w:bookmarkStart w:id="2" w:name="_Hlk527312648"/>
            <w:r>
              <w:rPr>
                <w:rFonts w:hint="eastAsia" w:asciiTheme="minorEastAsia" w:hAnsiTheme="minorEastAsia" w:eastAsiaTheme="minorEastAsia" w:cstheme="minorEastAsia"/>
                <w:kern w:val="0"/>
                <w:sz w:val="24"/>
                <w:szCs w:val="24"/>
              </w:rPr>
              <w:t>3</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牌照自动识别系统</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1、支持11种常见颜色（白、灰、黄、粉、红、紫、绿、蓝、棕、黑、青）识别</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2、可以识别7种车型：大客车、中型客车、大货车、小货车、面包车、小轿车及SUV</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3、机动车抓拍，车辆捕获率≥99%、车牌识别率≥95%</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4、支持车牌、车型、车身颜色、车标及车辆子品牌、挂坠、安全带、遮阳板等信息识别</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5、支持车标识别和车辆子品牌识别</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6、自动学习功能</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恒温控制系统</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柜内温度可调，保证前端控制系统及遥感设备在正常的工作环境范围内，内部根据实际功能要求采用分层结构，制造标准满足IP55要求，有隔热措施，具备一定强度，防止轻微碰撞受损。机柜应有铭牌说明所属单位，联系人、联系电话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系统校准单元</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具有自动定时校准和手动校准两种模式；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校准池上需标明封装日期及浓度；有效期半年或以上；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校准池方便更换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w:t>
            </w:r>
          </w:p>
        </w:tc>
        <w:tc>
          <w:tcPr>
            <w:tcW w:w="1134"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环境空气气象监测系统</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环境气象测量系统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1、温度计检测范围为-40℃～80℃，测量精度为±0.5℃；</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2、湿度计检测范围为0%～100%，测量精度为±2%；</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3、大气压检测范围：10hPa～1100hPa，测量精度为±0.5hPa；</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4、风速测量范围0～60m/s，测量精度± 0.2 m/s或读数的3%，分辨率0.1m/s；</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5、风向测量范围0～359.9°，测量精度±3°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Theme="minorEastAsia" w:hAnsiTheme="minorEastAsia" w:eastAsiaTheme="minorEastAsia" w:cstheme="minorEastAsia"/>
                <w:kern w:val="0"/>
                <w:sz w:val="24"/>
                <w:szCs w:val="24"/>
              </w:rPr>
            </w:pPr>
          </w:p>
        </w:tc>
        <w:tc>
          <w:tcPr>
            <w:tcW w:w="1134"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空气质量微型监测站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可同时监测PM2.5、PM10、SO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、NO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、CO、O</w:t>
            </w:r>
            <w:r>
              <w:rPr>
                <w:rFonts w:hint="eastAsia" w:asciiTheme="minorEastAsia" w:hAnsiTheme="minorEastAsia" w:eastAsiaTheme="minorEastAsia" w:cstheme="minorEastAsia"/>
                <w:sz w:val="24"/>
                <w:szCs w:val="24"/>
                <w:vertAlign w:val="subscript"/>
              </w:rPr>
              <w:t>3</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1、颗粒物自动在线监测系统可测量PM2.5、PM10等细颗粒物，采用光散射原理，测量量程0.01～2000µg/m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，测量重复性≤10%，准确度±10%，分辨率达到0.01µg/m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，最大响应粒径范围0.1～10µm；空气动力学颗粒物粒径切割范围：1.0-10µm；</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2、气态污染物监测子系统可测量CO、O</w:t>
            </w:r>
            <w:r>
              <w:rPr>
                <w:rFonts w:hint="eastAsia" w:asciiTheme="minorEastAsia" w:hAnsiTheme="minorEastAsia" w:eastAsiaTheme="minorEastAsia" w:cstheme="minorEastAsia"/>
                <w:sz w:val="24"/>
                <w:szCs w:val="24"/>
                <w:vertAlign w:val="subscript"/>
              </w:rPr>
              <w:t>3</w:t>
            </w:r>
            <w:r>
              <w:rPr>
                <w:rFonts w:hint="eastAsia" w:asciiTheme="minorEastAsia" w:hAnsiTheme="minorEastAsia" w:eastAsiaTheme="minorEastAsia" w:cstheme="minorEastAsia"/>
                <w:sz w:val="24"/>
                <w:szCs w:val="24"/>
              </w:rPr>
              <w:t>、SO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、NO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等，测量精度≤±2%，线性误差≤±1%，响应时间≤20秒，恢复时间≤20秒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主控计算机</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主控计算机（知名品牌工控机）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置如下：采用Intel（R）Core（TM）i7处理器，8G内存，1T硬盘，显存不低于2GB，支持双屏显示不同的画面，单屏分辨率不低于1920x1080，100Hz，64bit色彩，DVI接口。声卡：信噪比必须≥80dB，频率响应在±3dB之间，总谐波失真值至少要高于-60dB。电源：不低于300W。键盘/鼠标/光驱:PS接口采用标准键盘；鼠标：PS2接口；光盘驱动器：DVD/CD-RWCOMBO。网络接口：配置至少2个100Mbps/1000Mbps以太网接口。其它接口：至少含有4个USB、2个音频端口（音频输入端口、音频输出端口）等接口；PCI槽位：不少于4个。所有工作站对USB等端口使用设置安全限制，通过端口加密或其他手段限制外来移动存储设备连接。平均无故障工作时间（MTBF）≥50，000小时，配备显示器、配备17寸以上LED显示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▲保障系统稳定运行，一旦出现故障可以立即自动修复（提供有效技术资料）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机动车尾气遥感监测系统软件</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所有软件界面应为简体中文，仪器所有软件与Windows系统兼容，方便使用。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实时数据显示：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1、能够按站点、车道实时显示最新一条监测抓拍的监测车辆的照片，并关联车辆检测基本信息，包括：过车时间、车牌号、车牌颜色、车辆类型、车辆行驶速度/加速度、车辆VSP等信息。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2、可针对每一辆经过车辆，实时检测车辆尾气排放浓度信息（CO、CO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、HC、NO、不透光烟度、光吸收系数）及林格曼黑度。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3、车辆图片和车辆尾气信息相关联，以列表的形式显示，对于超标数据、无效数据信息突出颜色显示，数据列表中对每一条车辆信息及尾气信息，可以报告形式查看并导出，并根据需要可打印。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光路调试及气体标定：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1、管理软件有调试模式，进入调试模式后，发送测试命令，机动车排气遥感检测主机返回数据，根据光路的波形的能量状况对设备进行调试。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2、软件可在线进行气体标定，设置不同的标气浓度值，系统支持一键操作，校准时间可自由设置。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数据记录及存储：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1、遥感测量地点每经过一辆车，不论是否获得有效排放数据，测量系统均会自动生成一个记录，每个记录都具有特定的序列号作为检测记录编号。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2、检测的车辆数据及尾气信息组合成一张图片实时记录在硬盘上，同时自动备份。数据记录使用增量记录方式，同一天检测的数据只生成一个文件，方便用户操作使用。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3、软件将前端录像文件压缩后储存，图片和视频存放在独立文件夹中，车辆视频和图象照片文件名用记录编号+顺序号命名，具有唯一性，便于用户查找及三级联网和数据共享。</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数据查询：</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1、历史数据查询，支持多种条件查询，不仅可以按照日期时间段、车牌号、合格/不合格具体字段进行数据查询，还可以通过排放参数（CO、CO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HC、NOX、不透光烟度、光吸收系数等）的输入查询数值范围进行查询、以及通过监测数据中字段进行模糊查询，查询数据以列表形式显示可以以EXCEL格式进行导出保存至本地，查询数据可以生成具体检测报告，并可直接打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2、超标车数据查询，支持按照站点、时间段、车牌号以及参数（CO、CO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、HC、NOX、不透光烟度、光吸收系数、燃油类型、黑烟车等）查询出来超标以及高排放车辆信息。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系统管理：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1、管理软件可以对前端所有设备进行管理，并判断系统中设备的在线状态，对于异常情况下出现的设备不在线状态，系统会自动判断并给出报警提示。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2、管理软件可以对前端LED屏的显示内容进行管理，根据客户实际需求来自定义显示行数、字体大小、显示内容等。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系统支持设置两级管理权限，系统管理员需要密码登录，可以管理系统的所有功能，包括数据、车辆信息、限值与判别限值的修改或导入等；检测员权限不需要密码登录，检测员只具有检测权限和对记录数据、相关检测信息、车辆信息等的阅览权限，具备数据分析、统计、查询等权限，不具备相关修改权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在线升级：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1、管理软件具有升级功能，可以对系统中的设备进行在线或远程升级的操作。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数据传输：</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2、根据实际情况，支持选择无线4G或者光纤传输。符合地市、省和国家三级联网和数据共享规范要求。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▲尾气遥感监测系统或气体遥感监测软件，需提供国家颁发的软件著作权登记证书。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L/F立杆、LED屏以及其立杆和标志标牌</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L/F立杆：采用钢制热镀锌工艺，净空高不低于5米，跨度依据现场确定，安装基座不能占用行车道空间，预留走线孔及检修口，底部入地端入地，并预留大口径螺母紧固装置，地下为混凝土浇筑。立杆进行防腐处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2、LED：LED信息屏支架悬臂式F型支架悬臂下净高6米，面积&gt;2.5m</w:t>
            </w:r>
            <w:r>
              <w:rPr>
                <w:rFonts w:hint="eastAsia" w:asciiTheme="minorEastAsia" w:hAnsiTheme="minorEastAsia" w:eastAsiaTheme="minorEastAsia" w:cstheme="minorEastAsia"/>
                <w:sz w:val="24"/>
                <w:szCs w:val="24"/>
                <w:vertAlign w:val="superscript"/>
              </w:rPr>
              <w:t>2</w:t>
            </w:r>
            <w:r>
              <w:rPr>
                <w:rFonts w:hint="eastAsia" w:asciiTheme="minorEastAsia" w:hAnsiTheme="minorEastAsia" w:eastAsiaTheme="minorEastAsia" w:cstheme="minorEastAsia"/>
                <w:sz w:val="24"/>
                <w:szCs w:val="24"/>
              </w:rPr>
              <w:t xml:space="preserve"> ，整屏平均光强：≥15000CD/ m</w:t>
            </w:r>
            <w:r>
              <w:rPr>
                <w:rFonts w:hint="eastAsia" w:asciiTheme="minorEastAsia" w:hAnsiTheme="minorEastAsia" w:eastAsiaTheme="minorEastAsia" w:cstheme="minorEastAsia"/>
                <w:sz w:val="24"/>
                <w:szCs w:val="24"/>
                <w:vertAlign w:val="superscript"/>
              </w:rPr>
              <w:t>2</w:t>
            </w:r>
            <w:r>
              <w:rPr>
                <w:rFonts w:hint="eastAsia" w:asciiTheme="minorEastAsia" w:hAnsiTheme="minorEastAsia" w:eastAsiaTheme="minorEastAsia" w:cstheme="minorEastAsia"/>
                <w:sz w:val="24"/>
                <w:szCs w:val="24"/>
              </w:rPr>
              <w:t>（法线方向），刷新频率：≥120帧/秒。帧频：≥60帧/秒，可视距离：10-200m。系统工作湿度：10%-90%。系统工作温度：-20℃～+65℃。使用寿命：＞10万小时。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3、立杆：采用钢制热镀锌工艺，净空高不低于5米，安装基座不能占用行车道空间，底部入地端入地，地下为混凝土浇筑，立杆进行防腐、防风处理。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4、标志标牌：现场设立标志标牌，对即将驶入车辆进行告知，采用钢制热镀锌工艺，尺寸：800*1200(3M)。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现场安防监控</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高清球机：</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1、摄像机靶面尺寸≥1/1.8英寸。</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2、视频输出支持≥2560×1536@25fps，分辨力≥1900TVL，红外距离≥300米。</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3、支持30倍光学变焦。</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4、支持最低照度彩色0.0005Lux，黑白0.0001Lux。</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5、支持水平手控速度≥550°/S，垂直速度≥120°/S，云台定位精度为±0.1°。</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6、水平旋转范围为360°连续旋转，垂直旋转范围为-20°~90°。</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7、支持≥300个预置位，支持≥18条巡航扫描，支持≥7条模式路径设置，支持预置位视频冻结功能；可实现RS485接口优先或RJ45网络接口优先控制功能。</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8、信噪比≥60dB，网络延时不大于100ms。</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9、支持智能红外、透雾、强光抑制、电子防抖、数字降噪、防红外过曝功能。</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10、支持区域遮盖功能；支持3D定位、断电记忆功能；支持IP地址访问控制功能，支持定时抓图或报警联动抓图上传ftp功能。</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11、具备本机存储功能，支持SD卡热插拔。</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12、支持采用H.265、H.264视频编码标准，H.264编码支持Baseline/Main/High Profile，音频编码支持G.711ulaw/G.711alaw/G.726/G.722.1/AAC</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13、支持GB28181协议，支持标准Onvif协议。</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14、支持区域入侵、越界入侵、徘徊、物品移除、物品遗留、人员聚集、停车，并联动报警。</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15、支持IP67，TVS 8kV防浪涌，工作温度范围-45℃-70℃。</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16、球机需要安装支架，应根据现场实际配置。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硬盘录像机：</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1、可接入带宽≥80Mbps的8路H.265编码、1080p格式的视频图像。</w:t>
            </w:r>
          </w:p>
          <w:p>
            <w:pPr>
              <w:adjustRightInd w:val="0"/>
              <w:snapToGri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2、支持1路HDMI、1路VGA输出，支持4K输出显示，HDMI或VGA接口可输出不同图像，并可分别进行预览、回放、配置等操作。</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3、支持高清网络视频的解码显示。</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4、支持将不同时间段的多个目标叠加在一个背景上同时回放。</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5、支持系统备份功能，检测到一个系统异常时，可从另一个系统启动，并恢复异常系统。</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6、支持走廊模式预览，可对画面顺时针旋转270度或中心、上下、左右翻转预览。</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7、可自适应接入H.265、H.264编码格式的网络视频。</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8、支持4个SATA接口；支持硬盘热插拔，支持硬盘休眠。</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9、支持2个以太网口，可将2个网口设置不同网段的IP地址。</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10、支持录像续传接收功能，接入具有断网续传功能的网络摄像机，当MVR与摄像机之间网络中断并恢复后，可自动接收摄像机内存储的视频图像。</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11、至少支持2个USB2.0，1个USB3.0接口。</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12、支持16路报警输入，4路报警输出接口。</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13、支持标准ONVIF、PSIA、GB28181、TCP、UDP、RTP、RTSP、HTTPS、UPnP、SNMP、SADP、SMTP、NFS、iSCSI等网络协议。</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14、支持GB28181、Ehome 协议接入平台。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15、≥5TB监控专用硬盘。</w:t>
            </w:r>
          </w:p>
          <w:p>
            <w:pPr>
              <w:spacing w:after="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实时视频监控应具备全天候视频监控功能，并满足环境保护主管部门实时查看和远程调用的要求。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现场基础施工</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1、设备安装：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1）立杆安装以及调试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2）道边机柜安装；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3）水平式遥测系统设备安装包括系统主机和辅机装置；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4）摄像机安装（高车作业）；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5）现场辅助设施安装；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6）必须符合本项目实际需求。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7）结合远程端数据中心服务器，对现场检测点遥测设备、车牌识别系统、速度加速度测试单元、环境参数测量单元等软硬件进行安装调试并满足本项目实际需求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2、安装地基、手孔井等设计、施工及处理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1）机柜地基应与道路地基隔离，隔离带深度不小于0.5米，地基向地下不少于1.5米，满足在重型车辆通过时的抗震要求。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2）基坑四壁周围砖砌，中间混凝土注成型，表层用水泥打平。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3）预留走线管两根，走线管必须使用防腐防锈钢管，具有一定抗压机耐腐蚀性，直径不小于12cm，走线管一段入土，另一端尽量靠近设备室侧面，以便于走线及后期维护。</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4）地基上端平台宽度不小于30cm，便于使用中机柜的维护与机柜上端设备的检修。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5）地基平台内侧用于安装空调机柜，根据机柜尺寸及结构，预留紧固装置，平台中心作磨砂处理。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6）混凝土道路拆除、机柜下沉箱设计施工，包括所有现场安装设施地基基础。</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7）施工过程中，尽可能不破坏道路原貌。（如有改变，施工结束后按原貌及时恢复。）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8）必须符合本项目实际需求。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3、供电及网络管线铺设（含电缆及网线）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1）对前端检测点设备，设计并铺设供电及网络管线，达到项目现场实际工作需求。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2）地下电缆为三芯铜芯电缆，外部为防腐橡胶，中间有铁皮保护，内侧有绝缘橡胶和缓冲橡胶条，铜芯线满足“GB12706-2002”要求。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3）参考型号：ZCYJV22  3×6（阻燃交联聚乙烯绝缘聚氯乙烯护套铠装电力电缆）。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4）电缆槽深度不小于60cm，槽底打平，在有坡度路面，要保障槽底坡度不大于15度。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5）电缆线需先用PVC地下专用保护管套接，连接处作防水处理。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6）电缆槽底部先铺设一层细沙，将处理好的电缆线铺设在电缆槽底部细沙上，然后在电缆上部摆放一层砖，最后用土覆盖。</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7）在电源进线端使用防雷保护器，电表下端使用漏电保护器，防止雷暴及触电风险，如果开关及电表室外使用，需使用专用室外电力保护箱。</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8）施工过程中，尽可能不破坏道路原貌。（如有改变，施工结束后按原貌及时恢复。）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9）传输链路建议使用光纤传输，工程符合国家及行业相关标准。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10）单个检测点带宽满足所有图片及检测数据实时、同步传输回监控中心且监控中心可实时、同步操控前端系统、设备的要求。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11）现场布线包括机柜综合布线施工、电缆沿线桥、线槽、沟内支架及导管敷、硬塑料管埋地敷设施工、镀锌钢管敷设等施工等。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4、现场防水处理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1）防尘、防水、防盗、耐腐处理；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2）机柜底座、走线槽严格按照工程施工要求，预留走水通道，外部密封。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3）敷设地下管线、安装地基及检修井需防水。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4）外路面施工材料需满足防水要求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5、其他：为了保护前端设备安全性，现场设置水泥防撞隔离墩及钢护栏，外部作警示反光膜处理。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道路流量监测系统</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通过遥感主控软件计算统计通过遥感监测设备的车的流量，并且可按车型分类统计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1134"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黑烟车智能抓拍系统</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黑烟车智能抓拍系统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主要分为：</w:t>
            </w:r>
            <w:r>
              <w:rPr>
                <w:rFonts w:hint="eastAsia" w:asciiTheme="minorEastAsia" w:hAnsiTheme="minorEastAsia" w:eastAsiaTheme="minorEastAsia" w:cstheme="minorEastAsia"/>
                <w:bCs/>
                <w:sz w:val="24"/>
                <w:szCs w:val="24"/>
              </w:rPr>
              <w:t>高清车牌识别摄像机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高清视频采集摄像机</w:t>
            </w:r>
            <w:r>
              <w:rPr>
                <w:rFonts w:hint="eastAsia" w:asciiTheme="minorEastAsia" w:hAnsiTheme="minorEastAsia" w:eastAsiaTheme="minorEastAsia" w:cstheme="minorEastAsia"/>
                <w:sz w:val="24"/>
                <w:szCs w:val="24"/>
              </w:rPr>
              <w:t>、以及黑烟车识别仪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vMerge w:val="continue"/>
            <w:tcBorders>
              <w:left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p>
        </w:tc>
        <w:tc>
          <w:tcPr>
            <w:tcW w:w="1134" w:type="dxa"/>
            <w:vMerge w:val="continue"/>
            <w:tcBorders>
              <w:left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高清车牌识别摄像机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传感器类型：1英寸全局曝光CMOS</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分辨率：4096(H)×2160(V)</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帧率：25fps</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码流：8192Kbps</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接口协议：ONVIF(PROFILE S,PROFILE G),ISAPI ,GB28181</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内部组件：防尘、防水面板，LED补光灯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摄像机参数配置功能：曝光速度可根据现场实际情况调试，3000-4000；</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AGC控制在50；</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白平衡在50</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视频压缩标准：H.264/H.265/MJPEG</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输出图片格式：JPEG</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接口：3个RS-485接口,1个RS-232接口；2个RJ45 10M/100M/1000M自适应以太网口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触发输入：4路外部触发输入，1路SYNC信号灯电源同步输入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触发输出：6路（光耦隔离2500VAC）,作为补光灯同步输出控制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存储：支持TF卡口（≤64G），支持云存储协议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终端接入：支持接入终端服务器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电压：100VAC～240VAC；频率：48Hz～52Hz</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功耗：＜20W</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目标检测：机动车抓拍，车辆捕获率≥99%（线圈），车辆捕获率≥95%（视频）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vMerge w:val="continue"/>
            <w:tcBorders>
              <w:left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p>
        </w:tc>
        <w:tc>
          <w:tcPr>
            <w:tcW w:w="1134" w:type="dxa"/>
            <w:vMerge w:val="continue"/>
            <w:tcBorders>
              <w:left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高清视频采集摄像机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采集车辆尾部车牌和烟团</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采用1英寸≥900万像素高帧率彩色全局曝光CMOS高清智能摄像机，最大分辨率可达4096×2160，帧率高达25帧；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支持LED频闪灯同步补光，防护罩内置LED车牌补光灯，摄像机内置网络防雷；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支持车牌、车型、车身颜色等信息识别功能，支持压线、逆行、闯红灯、不按导向行驶等违法检测功能；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红绿灯信号检测方式支持：IO信号，红绿灯检测器，视频检测；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识别车牌种类多：民用车牌（除5小车辆），警用车牌，2012式新军用车牌，2012式武警车牌，新能源车牌；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支持远程数据上传，可将抓拍的图片上传给终端服务器、FTP服务器或者后端平台等；</w:t>
            </w:r>
          </w:p>
          <w:p>
            <w:pPr>
              <w:widowControl/>
              <w:jc w:val="left"/>
              <w:rPr>
                <w:rFonts w:hint="eastAsia" w:asciiTheme="minorEastAsia" w:hAnsiTheme="minorEastAsia" w:eastAsiaTheme="minorEastAsia" w:cstheme="minorEastAsia"/>
                <w:kern w:val="44"/>
                <w:sz w:val="24"/>
                <w:szCs w:val="24"/>
              </w:rPr>
            </w:pPr>
            <w:r>
              <w:rPr>
                <w:rFonts w:hint="eastAsia" w:asciiTheme="minorEastAsia" w:hAnsiTheme="minorEastAsia" w:eastAsiaTheme="minorEastAsia" w:cstheme="minorEastAsia"/>
                <w:kern w:val="44"/>
                <w:sz w:val="24"/>
                <w:szCs w:val="24"/>
              </w:rPr>
              <w:t>具有防尘、防水、网络防雷、防浪涌等功能。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p>
        </w:tc>
        <w:tc>
          <w:tcPr>
            <w:tcW w:w="1134"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黑烟车识别仪</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黑烟车抓拍仪作为前端核心设备，通过端口连接摄像机，实现采集道路现场的视频图像，压缩编码后经网络上传到监控中心。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CPU ：i7以上处理器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 存：不小于8G</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硬 盘：不小于1T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支持DirectX 11.2/12,OpenGL4.3，支持VGA，HDMI同步/异步显示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网络功能：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集成2个千兆网卡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支持网络唤醒、PXE功能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Watchdog功能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支持硬件复位功能(256级，0~255秒)</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功能：（1）自动跟踪道路行驶车辆，自动判别黑烟车；（2）自动豁免无烟车辆；（3）精确的定义黑烟车的特征，降低误报和漏报现象；（4）自动筛选、保存、传输、播放黑烟车视频片段；（5）自动识别车辆牌照；（6） 可自动调节抓拍阈值和支持远程阈值参数调节功能；（7）黑烟车误判率≤25%，黑烟车漏判率≤20%。（8）可实现前后抓拍自动匹配；（11）林格曼烟度自动匹配</w:t>
            </w:r>
          </w:p>
          <w:p>
            <w:pPr>
              <w:widowControl/>
              <w:jc w:val="left"/>
              <w:rPr>
                <w:rFonts w:hint="eastAsia" w:asciiTheme="minorEastAsia" w:hAnsiTheme="minorEastAsia" w:eastAsiaTheme="minorEastAsia" w:cstheme="minorEastAsia"/>
                <w:color w:val="000000"/>
                <w:kern w:val="44"/>
                <w:sz w:val="24"/>
                <w:szCs w:val="24"/>
              </w:rPr>
            </w:pPr>
            <w:r>
              <w:rPr>
                <w:rFonts w:hint="eastAsia" w:asciiTheme="minorEastAsia" w:hAnsiTheme="minorEastAsia" w:eastAsiaTheme="minorEastAsia" w:cstheme="minorEastAsia"/>
                <w:color w:val="000000"/>
                <w:kern w:val="44"/>
                <w:sz w:val="24"/>
                <w:szCs w:val="24"/>
              </w:rPr>
              <w:t>▲产品林格曼黑度输出等级：0-5级；产品需提供省级及以上计量部门针对林格曼黑度的校准证书。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便携式尾气监测系统</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utoSpaceDE w:val="0"/>
              <w:autoSpaceDN w:val="0"/>
              <w:adjustRightInd w:val="0"/>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系统包含透射式烟度计、尾气分析仪、振动式转速分析仪、便携式发电机、多功能插排等。要求设备具备单人便携使用，满足路检执法人员通过手提或背负等方式实现便携移动。设备应自带工作电源，不受使用场所限制。</w:t>
            </w:r>
          </w:p>
          <w:p>
            <w:pPr>
              <w:autoSpaceDN w:val="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本设备用于机动车汽油发动机排放废气中的HC、CO、CO2、O2及NO浓度测量， 符合标准ISO3930、OIML R99和JJG688Ⅰ级精度要求。可应用于双怠速和路检的系统设备配套，是满足GB18285、HJ/T289工况法测量设备技术要求的专用分析仪器。</w:t>
            </w:r>
          </w:p>
          <w:p>
            <w:pPr>
              <w:autoSpaceDN w:val="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采用HORIBA光学平台，不分光红外吸收原理（NDIR）测量CO、HC、CO2浓度；采用电化学传感器测量O2、NO浓度，独家采用进口设备平台稳定性好。</w:t>
            </w:r>
          </w:p>
          <w:p>
            <w:pPr>
              <w:autoSpaceDN w:val="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标配转速、油温接口可测量发动机转速和油温。</w:t>
            </w:r>
          </w:p>
          <w:p>
            <w:pPr>
              <w:autoSpaceDN w:val="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标配RS232接口，方便检测线组网、数据传输与报表打印。</w:t>
            </w:r>
          </w:p>
          <w:p>
            <w:pPr>
              <w:autoSpaceDN w:val="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采样通道加载过滤系统，高效分离废气中的油水和杂质，使从采样通道进入的样气符合高精度采样平台的检测要求，以此保证测量精度与稳定性。</w:t>
            </w:r>
          </w:p>
          <w:p>
            <w:pPr>
              <w:autoSpaceDN w:val="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全中文菜单操作，LCD液晶大屏幕显示。</w:t>
            </w:r>
          </w:p>
          <w:p>
            <w:pPr>
              <w:autoSpaceDN w:val="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设备能自动计算、显示发动机空燃比λ值，提供自动调零、车牌号码输入与时间显示功能，可提供500组测量数据的存储与查阅及车牌号智能搜索功能。</w:t>
            </w:r>
          </w:p>
          <w:p>
            <w:pPr>
              <w:autoSpaceDN w:val="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可特别提供摩托车检验功能。</w:t>
            </w:r>
          </w:p>
          <w:p>
            <w:pPr>
              <w:autoSpaceDN w:val="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配置打印机，直接打印测试数据。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网络使用</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5年网络使用：20M及以上专用光纤网络，连接至平台。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91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sz w:val="24"/>
                <w:szCs w:val="24"/>
              </w:rPr>
              <w:t>移动式机动车尾气遥感检测系统技术参数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8" w:hRule="atLeast"/>
        </w:trPr>
        <w:tc>
          <w:tcPr>
            <w:tcW w:w="531"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34"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移动式机动车尾气遥感监测系统</w:t>
            </w:r>
          </w:p>
        </w:tc>
        <w:tc>
          <w:tcPr>
            <w:tcW w:w="7512" w:type="dxa"/>
            <w:tcBorders>
              <w:top w:val="single" w:color="auto" w:sz="4" w:space="0"/>
              <w:left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监测项目：</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测量一氧化碳（CO）、二氧化碳（CO2）、碳氢化合物（HC），氮氧化物（NOx）、不透光烟度值以及光吸收系数k。</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可以对汽油车、柴油车、天然气车、多能源车等多种车辆进行检测判定。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vMerge w:val="continue"/>
            <w:tcBorders>
              <w:left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p>
        </w:tc>
        <w:tc>
          <w:tcPr>
            <w:tcW w:w="1134" w:type="dxa"/>
            <w:vMerge w:val="continue"/>
            <w:tcBorders>
              <w:left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测量范围及项目</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1、CO为0％－10％；</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为0％－16％；</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3、HC≤10000ppm；</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4、NOx≤10000ppm；</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5、烟度为不透光烟度0～100%，光吸收系数k：0～16m-1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vMerge w:val="continue"/>
            <w:tcBorders>
              <w:left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p>
        </w:tc>
        <w:tc>
          <w:tcPr>
            <w:tcW w:w="1134" w:type="dxa"/>
            <w:vMerge w:val="continue"/>
            <w:tcBorders>
              <w:left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测量精度</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1、CO精度：读数值的±10%；</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精度：读数值的±10%；</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3、HC精度：读数值的±10%或绝对误差±250ppm取最大值；</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4、NOx精度：读数值的±10%或绝对误差±250ppm取最大值；</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5、不透光烟度：读数值的±5%；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vMerge w:val="continue"/>
            <w:tcBorders>
              <w:left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p>
        </w:tc>
        <w:tc>
          <w:tcPr>
            <w:tcW w:w="1134" w:type="dxa"/>
            <w:vMerge w:val="continue"/>
            <w:tcBorders>
              <w:left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工作性能：</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CO、CO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、HC、NOx、不透光烟度重复性误差不超过±5％，汽车在加速状态、尾气管后置条件或者中间条件下，有效烟团捕获率不小于85％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p>
        </w:tc>
        <w:tc>
          <w:tcPr>
            <w:tcW w:w="1134"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供电要求：</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路边检测设备需采用便携式电源供电，保证检测设备正常工作四个小时以上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速度加速度测试单元</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▲1、保证测量精度的车辆速度范围为：测速范围5km/h-120km/h；</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2、测速响应时间≤33ms</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3、测速误差≤3km/h</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4、加速度精度：≤0.22m/s2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牌照自动识别系统</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1、现场实时正确识别率95％或以上；</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2、车辆捕获率≥99%、车牌识别率≥95%</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3、可识别牌照颜色和文字；</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4、校对系统；</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5、自动学习功能；</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6、按可信度对识别牌照排序；</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7、可根据测量的速度、加速度、坡度等数据计算车辆的VSP，并筛选、标记出有效数据；</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8、同一车牌号能根据车牌颜色区分；</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9、可以批量处理无效数据、无法识别车牌号等。</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10、可以识别车型，包含大型车小型车、中型车等车型测试通道长度：35米。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系统校准单元</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具有自动定时校准和手动校准两种模式；</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校准池上需标明封装日期及浓度；有效期半年或以上；</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校准池方便更换。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134"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环境空气气象监测系统</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1、温度计检测范围为-40℃～80℃，测量精度为±0.5℃；</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2、湿度计检测范围为0%～100%，测量精度为±2%；</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3、大气压检测范围：10hPa～1100hPa，测量精度为±0.5hPa；</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4、风速测量范围0～60m/S，测量精度± 0.2 m/s或读数的3%，分辨率0.1米/秒；</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风向测量范围0～359.9°，测量精度±3°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p>
        </w:tc>
        <w:tc>
          <w:tcPr>
            <w:tcW w:w="1134"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空气质量微型监测站</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可同时监测PM2.5、PM10、SO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、NO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、CO、O</w:t>
            </w:r>
            <w:r>
              <w:rPr>
                <w:rFonts w:hint="eastAsia" w:asciiTheme="minorEastAsia" w:hAnsiTheme="minorEastAsia" w:eastAsiaTheme="minorEastAsia" w:cstheme="minorEastAsia"/>
                <w:sz w:val="24"/>
                <w:szCs w:val="24"/>
                <w:vertAlign w:val="subscript"/>
              </w:rPr>
              <w:t>3</w:t>
            </w:r>
            <w:r>
              <w:rPr>
                <w:rFonts w:hint="eastAsia" w:asciiTheme="minorEastAsia" w:hAnsiTheme="minorEastAsia" w:eastAsiaTheme="minorEastAsia" w:cstheme="minorEastAsia"/>
                <w:sz w:val="24"/>
                <w:szCs w:val="24"/>
              </w:rPr>
              <w:t>。</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颗粒物自动在线监测系统可测量PM2.5、PM10等细颗粒物，采用光散射原理，测量量程0.01～2000µg/m3，，测量重复性≤10%，准确度±10%，分辨率达到0.01µg/m3，最大响应粒径范围0.1～10µm；空气动力学颗粒物粒径切割范围：1.0-10um；</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2、气态污染物监测子系统可测量CO、O</w:t>
            </w:r>
            <w:r>
              <w:rPr>
                <w:rFonts w:hint="eastAsia" w:asciiTheme="minorEastAsia" w:hAnsiTheme="minorEastAsia" w:eastAsiaTheme="minorEastAsia" w:cstheme="minorEastAsia"/>
                <w:sz w:val="24"/>
                <w:szCs w:val="24"/>
                <w:vertAlign w:val="subscript"/>
              </w:rPr>
              <w:t>3</w:t>
            </w:r>
            <w:r>
              <w:rPr>
                <w:rFonts w:hint="eastAsia" w:asciiTheme="minorEastAsia" w:hAnsiTheme="minorEastAsia" w:eastAsiaTheme="minorEastAsia" w:cstheme="minorEastAsia"/>
                <w:sz w:val="24"/>
                <w:szCs w:val="24"/>
              </w:rPr>
              <w:t>、SO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、NO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等，测量精度≤±2%，线性误差≤±1%，响应时间≤20秒，恢复时间≤20秒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主控计算机</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主控计算机（知名品牌工控机）</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置如下：采用Intel（R）Core（TM）i7处理器，8G内存，1T硬盘，显存不低于2GB，支持双屏显示不同的画面，单屏分辨率不低于1920x1080，100Hz，64bit色彩，DVI接口。声卡：信噪比必须≥80dB，频率响应在±3dB之间，总谐波失真值至少要高于-60dB。电源：不低于300W。键盘/鼠标/光驱:PS接口采用标准键盘；鼠标：PS2接口；光盘驱动器：DVD/CD-RWCOMBO。网络接口：配置至少2个100Mbps/1000Mbps以太网接口。其它接口：至少含有4个USB、2个音频端口（音频输入端口、音频输出端口）等接口；PCI槽位：不少于4个。所有工作站对USB等端口使用设置安全限制，通过端口加密或其他手段限制外来移动存储设备连接。平均无故障工作时间（MTBF）50，000小时。配备14以上显示器。</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▲保障系统稳定运行，一旦出现故障可以立即自动修复（提供有效技术资料）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激光打印机</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A4纸激光打印，轻巧和便于携带，体积小便于安装在车内使用。能与主控计算机连接，软件根据检测数据自动打印对超标车辆限期治理通知书、现场处罚决定书等行政执法文书。</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接口：高速USB2.0</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分辨率抵达：1200X1200dpi</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打印负荷：5000页;自适应操作系统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机动车尾气遥感监测系统软件</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所有软件界面应为简体中文，仪器所有软件与Windows系统兼容，方便使用。</w:t>
            </w:r>
          </w:p>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实时数据显示：</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1．能够按站点、车道实时显示最新一条监测抓拍的监测车辆的照片，并关联车辆检测基本信息，包括：过车时间、车牌号、车牌颜色、车辆类型、车辆行驶速度/加速度、车辆VSP等信息。</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2．可针对每一辆经过车辆，实时检测车辆尾气排放浓度信息（CO、CO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、HC、NOX、不透光烟度、光吸收系数）。</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3．车辆图片和车辆尾气信息相关联，以列表的形式显示，对于超标数据、无效数据信息突出颜色显示，数据列表中对每一条车辆信息及尾气信息，可以报告形式查看并导出，并根据需要可打印。</w:t>
            </w:r>
          </w:p>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光路调试及气体标定：</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1．管理软件有调试模式，进入调试模式后，发送测试命令，机动车排气遥感检测主机返回数据，根据光路的波形的能量状况对设备进行调试。</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2．软件可在线进行气体标定，设置不同的标气浓度值，系统支持一键操作，校准时间可自由设置。</w:t>
            </w:r>
          </w:p>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数据记录及存储：</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1．遥感测量地点每经过一辆车，不论是否获得有效排放数据，测量系统均会自动生成一个记录，每个记录都具有特定的序列号作为检测记录编号。</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2．检测的车辆数据及尾气信息组合成一张图片实时记录在硬盘上，同时自动备份。数据记录使用增量记录方式，同一天检测的数据只生成一个文件，方便用户操作使用。</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3．软件将前端录像文件压缩后储存，图片和视频存放在独立文件夹中，车辆视频和图象照片文件名用记录编号+顺序号命名，具有唯一性，便于用户查找及三级联网和数据共享。</w:t>
            </w:r>
          </w:p>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数据查询：</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1．历史数据查询，支持多种条件查询，不仅可以按照日期时间段、车牌号、合格/不合格具体字段进行数据查询，还可以通过排放参数（CO、CO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HC、NOX、不透光烟度、光吸收系数等）的输入查询数值范围进行查询、以及通过监测数据中字段进行模糊查询，查询数据以列表形式显示可以以EXCEL格式进行导出保存至本地，查询数据可以生成具体检测报告，并可直接打印。</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2．超标车数据查询，支持按照站点、时间段、车牌号以及参数（CO、CO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、HC、NOX、不透光烟度、光吸收系数、燃油类型、黑烟车等）查询出来超标以及高排放车辆信息。</w:t>
            </w:r>
          </w:p>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系统管理：</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1．管理软件可以对前端所有设备进行管理，并判断系统中设备的在线状态，对于异常情况下出现的设备不在线状态，系统会自动判断并给出报警提示。</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2．管理软件可以对前端LED屏的显示内容进行管理，根据客户实际需求来自定义显示行数、字体大小、显示内容等。</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系统支持设置两级管理权限，系统管理员需要密码登录，可以管理系统的所有功能，包括数据、车辆信息、限值与判别限值的修改或导入等；检测员权限不需要密码登录，检测员只具有检测权限和对记录数据、相关检测信息、车辆信息等的阅览权限，具备数据分析、统计、查询等权限，不具备相关修改权限。</w:t>
            </w:r>
          </w:p>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在线升级：</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管理软件具有升级功能，可以对系统中的设备进行在线或远程升级的操作。</w:t>
            </w:r>
          </w:p>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数据传输：</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根据实际情况，支持选择无线4G或者光纤传输。符合地市、省和国家三级联网和数据共享规范要求。</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▲尾气遥感监测系统或气体遥感监测软件，需提供国家颁发的软件著作权登记证书。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道路流量监测系统</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道路流量监测系统</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通过遥感主控软件计算统计通过遥感监测设备的车的流量，并且可按车型分类统计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专用装载车及改装</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专用装载车及改装</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长宽高尺寸不得小于5700mm×1800mm×2450mm，排放标准必须符合国家排放标准的规定</w:t>
            </w:r>
          </w:p>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基本要求：</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车体分为三个功能区：驾驶区、监测区、承载区；承载区需满足汽/柴组合式遥测设备及便携式汽车/不透光烟度校准仪器的摆放要求；车体结构为高硬度、高强度全金属结构，侧壁作加强筋处理，内墙体防水阻燃可擦洗；车厢地面防滑、防腐蚀、防静电处理；具有较好的电绝缘性、热绝缘性、阻燃性和较好的保温性；车体侧窗后车门封闭，其它窗避光处理，配备车用灭火器2个、安全锤2把。</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2、车内监测支持设备要求：</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配备满足车载便携仪器专业储存柜，并带有锁定装置；预留便携式仪器的存放空间，带减震垫，配备专用仪器托盘</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3、供电及照明系统：</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用电器具均可由车载蓄电装置或者市电供电，自动切换。部分照明用电由汽车动力驱动，配电系统能满足市电和发电系统电源输入和输出的要求；带50米线盘1组，带电源保护装置，并根据车载仪器设备的需要，配置相应的防水电源插口；配备配电柜、车载专用外接电源接口；照明系统满足通用仪器要求，设有应急照明灯。</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4、空调及排风系统：</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双空调系统，除原配车载空调外，车箱监测区另配车载式顶置空调，冷却量3KW、加热量2.2KW，空调供电即可接入市电。</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5、车顶及驾驶区、监测区支持设备要求：</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车顶平台须坚固、结实，气象参数测定设备固定于车顶平台左侧（靠近检测道路，用于检测道路底层空气环境状况）。安装液晶显示屏倒车监视器，车载GPS/北斗语音导航系统。监测区设有监控工作台，满足尾气检测流动办公需求，设置可移动座椅2个。</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6、车控系统及独立控制开关：</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备蓄电池电压、电源和剩余电量监控现实功能；设立位置为监测区工作台面板下方，下方为三路220V电源防水插座；空调和仪器用电分路，仪器输入接稳压电源；车载专用工作照明和应急照明；工作环境温湿度计及烟感报警器；泵、应急照明、空调独立开关控制部分。</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7、车外部：</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装配后车门爬梯；外部标识为：机动车排气污染遥感检测车。车身字体图饰烤漆处理，并经用户确认后实施。车顶加装车顶平台及室外LED电子显示屏，要求故障率低，维护维修便利。</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8、车顶LED电子显示屏：</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LED显示屏面积不小于0.8㎡，过往车辆可清晰看见显示内容，显示颜色：≥65536色，灰度等级：≥256级，工作电压：220V±15%，40-60Hz，可视角度-60°至+30°，水平±70°或以上，像素密度：≥6400点/㎡，效果高于双基色显示屏，点距：10mm或更好，抗冲击、防水、防风，寿命大于10万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车顶监控系统</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车顶监控系统：对移动式遥感检测系统的检测过程进行全程监控，现场监控主要有视频采集设备、网络硬盘录像机组成，存储时间不少于三个月。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标准气</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标准气：8升防腐内胆的标准气体钢瓶，二级以上（包括二级）标准混合气，并带有减压压力显示表的不锈钢减压阀，用于遥测系统检测环境背景标定和审查，具体满足如下条件：</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CO：2.50%（±5%）；</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：14.5%（±5%）；</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NO：2500ppm(±5%)；</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HC：100ppm(±5%)；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警用隔离墩</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警用隔离墩：PVC反光锥套，具有良好的柔韧性，抗滚压及硬物碰撞，防日晒雨打，耐热耐寒不龟裂，不变色，红白相间，颜色醒目，保障遥测现场操作人员及设备的安全。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通讯联网</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通讯联网：4G无线移动网络，保障数据的上传和系统联通。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91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网络平台配套要求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网络</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采用现有的环保专网，各监测点位接入到市环保局，然后统一经由环保专网上传到许昌市环保局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应用服务器</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机架式，8Core  E5-2600 CPU，32GB内存，2*300GB硬盘，Raid1, 4*1GbE网卡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数据库服务器</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机架式，8Core  E5-2600 CPU，64GB内存，4T硬盘，Raid1, 4*1GbE网卡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交换机</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产品类型：千兆以太网交换机</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应用层级：三层</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传输速度：10/100/1000Mbps</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交换方式：存储—转发</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端口：48个千兆电口、4个千兆SFP</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背板带宽：≥256Gbps</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包转发率：≥78Mpps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防火墙</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1U机架式结构；标配6个10/100/1000 Base-T铜口；具备1个扩展槽位；具备2个USB接口，具备1对硬件 bypass接口，8G内存；具备应用识别与控制功能，包含一年应用识别升级 服务；具备IPSec VPN功能，默认隧道数1000、默认客户端数5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UPS</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outlineLvl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单进单出高频在线式不间断电源系统，容量为6KVA，后备供电半小时。</w:t>
            </w:r>
          </w:p>
          <w:p>
            <w:pPr>
              <w:widowControl/>
              <w:outlineLvl w:val="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1、整体结构要求：</w:t>
            </w:r>
          </w:p>
          <w:p>
            <w:pPr>
              <w:widowControl/>
              <w:ind w:left="310" w:hanging="36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1）具有输入功率因数校正（PFC）技术，输入功率因数高达0.99</w:t>
            </w:r>
          </w:p>
          <w:p>
            <w:pPr>
              <w:widowControl/>
              <w:ind w:left="310" w:hanging="36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2）具有并机可共用电池组功能</w:t>
            </w:r>
          </w:p>
          <w:p>
            <w:pPr>
              <w:ind w:left="310" w:hanging="36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3）具备经济运行模式（ECO）功能</w:t>
            </w:r>
          </w:p>
          <w:p>
            <w:pPr>
              <w:widowControl/>
              <w:ind w:left="310" w:hanging="360"/>
              <w:jc w:val="left"/>
              <w:outlineLvl w:val="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2、电气性能要求：</w:t>
            </w:r>
          </w:p>
          <w:p>
            <w:pPr>
              <w:widowControl/>
              <w:ind w:left="310" w:hanging="36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1）整流输入电压范围：120VAC-276VAC（单项电压）</w:t>
            </w:r>
          </w:p>
          <w:p>
            <w:pPr>
              <w:widowControl/>
              <w:ind w:left="310" w:hanging="36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2）输入功率因数：满载时≥0.99</w:t>
            </w:r>
          </w:p>
          <w:p>
            <w:pPr>
              <w:widowControl/>
              <w:ind w:left="310" w:hanging="36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3）输出电压失真度：失真度＜2%（线性负载）</w:t>
            </w:r>
          </w:p>
          <w:p>
            <w:pPr>
              <w:widowControl/>
              <w:ind w:left="310" w:hanging="36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4）输出功率因数：UPS的输出功率因数≥0.8</w:t>
            </w:r>
          </w:p>
          <w:p>
            <w:pPr>
              <w:widowControl/>
              <w:ind w:left="310" w:hanging="36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5）旁路输入：旁路保护电压上限：+25%（可选+10%、+15%、+20%）</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旁路保护电压下限：-45%(可选-20%、-30%)</w:t>
            </w:r>
          </w:p>
          <w:p>
            <w:pPr>
              <w:widowControl/>
              <w:ind w:left="310" w:hanging="36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6）输出电压：</w:t>
            </w:r>
            <w:r>
              <w:rPr>
                <w:rFonts w:hint="eastAsia" w:asciiTheme="minorEastAsia" w:hAnsiTheme="minorEastAsia" w:eastAsiaTheme="minorEastAsia" w:cstheme="minorEastAsia"/>
                <w:sz w:val="24"/>
                <w:szCs w:val="24"/>
              </w:rPr>
              <w:t>220/230/240±1％VA</w:t>
            </w:r>
          </w:p>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kern w:val="0"/>
                <w:sz w:val="24"/>
                <w:szCs w:val="24"/>
              </w:rPr>
              <w:t>所投品牌为知名品牌，投标UPS主机与蓄电池必须为同一品牌，蓄电池需提供生产许可证：蓄电池制造商与UPS制造商营业执照法人为同一人。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3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显示屏</w:t>
            </w:r>
          </w:p>
        </w:tc>
        <w:tc>
          <w:tcPr>
            <w:tcW w:w="75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4块55寸LED拼接屏，支持1920×1080分辨率、亮度不低于500CD/M2、拼缝不超过3.5mm、对比度不低于3000：1</w:t>
            </w:r>
          </w:p>
        </w:tc>
      </w:tr>
    </w:tbl>
    <w:p>
      <w:pPr>
        <w:pStyle w:val="44"/>
        <w:numPr>
          <w:ilvl w:val="0"/>
          <w:numId w:val="12"/>
        </w:numPr>
        <w:shd w:val="clear" w:color="auto" w:fill="FFFFFF"/>
        <w:autoSpaceDE w:val="0"/>
        <w:autoSpaceDN w:val="0"/>
        <w:spacing w:line="360" w:lineRule="auto"/>
        <w:ind w:firstLineChars="0"/>
        <w:rPr>
          <w:rFonts w:ascii="宋体" w:hAnsi="宋体" w:cs="宋体"/>
          <w:b/>
          <w:sz w:val="24"/>
          <w:szCs w:val="24"/>
        </w:rPr>
      </w:pPr>
      <w:r>
        <w:rPr>
          <w:rFonts w:hint="eastAsia" w:ascii="宋体" w:hAnsi="宋体" w:cs="宋体"/>
          <w:b/>
          <w:bCs/>
          <w:sz w:val="24"/>
          <w:szCs w:val="24"/>
        </w:rPr>
        <w:t>服务标准、期限、效率等要求</w:t>
      </w:r>
    </w:p>
    <w:p>
      <w:pPr>
        <w:widowControl/>
        <w:shd w:val="clear" w:color="auto" w:fill="FFFFFF"/>
        <w:autoSpaceDE w:val="0"/>
        <w:autoSpaceDN w:val="0"/>
        <w:spacing w:line="360" w:lineRule="auto"/>
        <w:ind w:firstLine="480" w:firstLineChars="200"/>
        <w:jc w:val="left"/>
        <w:rPr>
          <w:rFonts w:hint="eastAsia" w:ascii="宋体" w:hAnsi="宋体" w:cs="宋体"/>
          <w:kern w:val="0"/>
          <w:sz w:val="24"/>
          <w:szCs w:val="24"/>
          <w:shd w:val="clear" w:color="auto" w:fill="FFFFFF"/>
        </w:rPr>
      </w:pPr>
      <w:r>
        <w:rPr>
          <w:rFonts w:hint="eastAsia" w:ascii="宋体" w:hAnsi="宋体" w:cs="宋体"/>
          <w:kern w:val="0"/>
          <w:sz w:val="24"/>
          <w:szCs w:val="24"/>
          <w:shd w:val="clear" w:color="auto" w:fill="FFFFFF"/>
        </w:rPr>
        <w:t>中标人应于合同签订后60天内，按照招标文件要求将招标项目所涉及货物送达、安装调试完毕并投入运行，经甲方验收合格之日起正式提供“禹州市机动车尾气遥感监测系统5年期监测运营及运维服务”。具体需求详见服务需求清单。</w:t>
      </w:r>
    </w:p>
    <w:p>
      <w:pPr>
        <w:pStyle w:val="44"/>
        <w:numPr>
          <w:ilvl w:val="0"/>
          <w:numId w:val="12"/>
        </w:numPr>
        <w:shd w:val="clear" w:color="auto" w:fill="FFFFFF"/>
        <w:autoSpaceDE w:val="0"/>
        <w:autoSpaceDN w:val="0"/>
        <w:spacing w:line="360" w:lineRule="auto"/>
        <w:ind w:firstLineChars="0"/>
        <w:rPr>
          <w:rFonts w:ascii="宋体" w:hAnsi="宋体" w:cs="宋体"/>
          <w:b/>
          <w:bCs/>
          <w:sz w:val="24"/>
          <w:szCs w:val="24"/>
        </w:rPr>
      </w:pPr>
      <w:r>
        <w:rPr>
          <w:rFonts w:hint="eastAsia" w:ascii="宋体" w:hAnsi="宋体" w:cs="宋体"/>
          <w:b/>
          <w:bCs/>
          <w:sz w:val="24"/>
          <w:szCs w:val="24"/>
        </w:rPr>
        <w:t>验收标准</w:t>
      </w:r>
    </w:p>
    <w:p>
      <w:pPr>
        <w:pStyle w:val="50"/>
        <w:numPr>
          <w:ilvl w:val="0"/>
          <w:numId w:val="0"/>
        </w:numPr>
        <w:spacing w:line="360" w:lineRule="auto"/>
        <w:ind w:firstLine="480" w:firstLineChars="200"/>
        <w:rPr>
          <w:rFonts w:cs="宋体"/>
          <w:sz w:val="24"/>
          <w:szCs w:val="24"/>
          <w:shd w:val="clear" w:color="auto" w:fill="FFFFFF"/>
        </w:rPr>
      </w:pPr>
      <w:r>
        <w:rPr>
          <w:rFonts w:hint="eastAsia" w:cs="宋体"/>
          <w:sz w:val="24"/>
          <w:szCs w:val="24"/>
          <w:shd w:val="clear" w:color="auto" w:fill="FFFFFF"/>
        </w:rPr>
        <w:t>1、验收时间和地点：供应商中标后须按照招标文件的交货要求分别交货至采购人指定地点，设备全部交货并布线完毕后由采购人进行现场验收并最终填写验收报告。基本标准为：是否按交货要求及时完成设备的到货、安装、调试工作，投标人提供的设备质量情况是否确保在“合格”以上。</w:t>
      </w:r>
    </w:p>
    <w:p>
      <w:pPr>
        <w:pStyle w:val="50"/>
        <w:numPr>
          <w:ilvl w:val="0"/>
          <w:numId w:val="0"/>
        </w:numPr>
        <w:spacing w:line="360" w:lineRule="auto"/>
        <w:ind w:firstLine="480" w:firstLineChars="200"/>
        <w:rPr>
          <w:rFonts w:cs="宋体"/>
          <w:sz w:val="24"/>
          <w:szCs w:val="24"/>
          <w:shd w:val="clear" w:color="auto" w:fill="FFFFFF"/>
        </w:rPr>
      </w:pPr>
      <w:r>
        <w:rPr>
          <w:rFonts w:hint="eastAsia" w:cs="宋体"/>
          <w:sz w:val="24"/>
          <w:szCs w:val="24"/>
          <w:shd w:val="clear" w:color="auto" w:fill="FFFFFF"/>
        </w:rPr>
        <w:t>2、中标人应及时向采购人提供设备及服务，并承诺与采购人进行积极主动的合作，中标人必须服从采购人的统一协调，在设备供货、技术支持、运行维护等方面相互配合；</w:t>
      </w:r>
    </w:p>
    <w:p>
      <w:pPr>
        <w:pStyle w:val="50"/>
        <w:numPr>
          <w:ilvl w:val="0"/>
          <w:numId w:val="0"/>
        </w:numPr>
        <w:spacing w:line="360" w:lineRule="auto"/>
        <w:ind w:firstLine="480" w:firstLineChars="200"/>
        <w:rPr>
          <w:rFonts w:cs="宋体"/>
          <w:sz w:val="24"/>
          <w:szCs w:val="24"/>
          <w:shd w:val="clear" w:color="auto" w:fill="FFFFFF"/>
        </w:rPr>
      </w:pPr>
      <w:r>
        <w:rPr>
          <w:rFonts w:hint="eastAsia" w:cs="宋体"/>
          <w:sz w:val="24"/>
          <w:szCs w:val="24"/>
          <w:shd w:val="clear" w:color="auto" w:fill="FFFFFF"/>
        </w:rPr>
        <w:t>3、中标人负责本次招标内容的安装、调试，以达到系统应具有的功能和技术指标，并负责相关技术支持和维护。同时中标人必须提供设备制造厂商承诺的全部售后服务条款(如质保期、现场维修等)，不得擅自缩小售后服务范围；</w:t>
      </w:r>
    </w:p>
    <w:p>
      <w:pPr>
        <w:pStyle w:val="50"/>
        <w:numPr>
          <w:ilvl w:val="0"/>
          <w:numId w:val="0"/>
        </w:numPr>
        <w:spacing w:line="360" w:lineRule="auto"/>
        <w:ind w:firstLine="480" w:firstLineChars="200"/>
        <w:rPr>
          <w:rFonts w:cs="宋体"/>
          <w:sz w:val="24"/>
          <w:szCs w:val="24"/>
          <w:shd w:val="clear" w:color="auto" w:fill="FFFFFF"/>
        </w:rPr>
      </w:pPr>
      <w:r>
        <w:rPr>
          <w:rFonts w:hint="eastAsia" w:cs="宋体"/>
          <w:sz w:val="24"/>
          <w:szCs w:val="24"/>
          <w:shd w:val="clear" w:color="auto" w:fill="FFFFFF"/>
        </w:rPr>
        <w:t>4、产品未经验收时，由中标人负责保管至采购项目交货结束，其间发生的损坏、遗失由中标人负责；</w:t>
      </w:r>
    </w:p>
    <w:p>
      <w:pPr>
        <w:pStyle w:val="50"/>
        <w:numPr>
          <w:ilvl w:val="0"/>
          <w:numId w:val="0"/>
        </w:numPr>
        <w:spacing w:line="360" w:lineRule="auto"/>
        <w:ind w:firstLine="480" w:firstLineChars="200"/>
        <w:rPr>
          <w:rFonts w:cs="宋体"/>
          <w:sz w:val="24"/>
          <w:szCs w:val="24"/>
          <w:shd w:val="clear" w:color="auto" w:fill="FFFFFF"/>
        </w:rPr>
      </w:pPr>
      <w:r>
        <w:rPr>
          <w:rFonts w:hint="eastAsia" w:cs="宋体"/>
          <w:sz w:val="24"/>
          <w:szCs w:val="24"/>
          <w:shd w:val="clear" w:color="auto" w:fill="FFFFFF"/>
        </w:rPr>
        <w:t>5、设备到货后中标人应免费派技术人员在现场安装、调试；</w:t>
      </w:r>
    </w:p>
    <w:p>
      <w:pPr>
        <w:pStyle w:val="50"/>
        <w:numPr>
          <w:ilvl w:val="0"/>
          <w:numId w:val="0"/>
        </w:numPr>
        <w:spacing w:line="360" w:lineRule="auto"/>
        <w:ind w:firstLine="480" w:firstLineChars="200"/>
        <w:rPr>
          <w:rFonts w:cs="宋体"/>
          <w:sz w:val="24"/>
          <w:szCs w:val="24"/>
          <w:shd w:val="clear" w:color="auto" w:fill="FFFFFF"/>
        </w:rPr>
      </w:pPr>
      <w:r>
        <w:rPr>
          <w:rFonts w:hint="eastAsia" w:cs="宋体"/>
          <w:sz w:val="24"/>
          <w:szCs w:val="24"/>
          <w:shd w:val="clear" w:color="auto" w:fill="FFFFFF"/>
        </w:rPr>
        <w:t>6、中标人应遵守采购单位安装现场的一切规章制度；</w:t>
      </w:r>
    </w:p>
    <w:p>
      <w:pPr>
        <w:pStyle w:val="50"/>
        <w:numPr>
          <w:ilvl w:val="0"/>
          <w:numId w:val="0"/>
        </w:numPr>
        <w:spacing w:line="360" w:lineRule="auto"/>
        <w:ind w:firstLine="480" w:firstLineChars="200"/>
        <w:rPr>
          <w:rFonts w:cs="宋体"/>
          <w:sz w:val="24"/>
          <w:szCs w:val="24"/>
          <w:shd w:val="clear" w:color="auto" w:fill="FFFFFF"/>
        </w:rPr>
      </w:pPr>
      <w:r>
        <w:rPr>
          <w:rFonts w:hint="eastAsia" w:cs="宋体"/>
          <w:sz w:val="24"/>
          <w:szCs w:val="24"/>
          <w:shd w:val="clear" w:color="auto" w:fill="FFFFFF"/>
        </w:rPr>
        <w:t>7、中标人在设备全部安装完工并通过采购方的验收之前应对安装好的设备及设备的安装工具等提供适当的保护、包装或覆盖等处理，直至验收合格，以免设备受损；</w:t>
      </w:r>
    </w:p>
    <w:p>
      <w:pPr>
        <w:pStyle w:val="50"/>
        <w:numPr>
          <w:ilvl w:val="0"/>
          <w:numId w:val="0"/>
        </w:numPr>
        <w:spacing w:line="360" w:lineRule="auto"/>
        <w:ind w:firstLine="480" w:firstLineChars="200"/>
        <w:rPr>
          <w:rFonts w:cs="宋体"/>
          <w:sz w:val="24"/>
          <w:szCs w:val="24"/>
          <w:shd w:val="clear" w:color="auto" w:fill="FFFFFF"/>
        </w:rPr>
      </w:pPr>
      <w:r>
        <w:rPr>
          <w:rFonts w:hint="eastAsia" w:cs="宋体"/>
          <w:sz w:val="24"/>
          <w:szCs w:val="24"/>
          <w:shd w:val="clear" w:color="auto" w:fill="FFFFFF"/>
        </w:rPr>
        <w:t>8、调试期间或保修过程中，中标人负责及时清理垃圾，并将包装物及垃圾堆放至采购人指定地点。</w:t>
      </w:r>
    </w:p>
    <w:p>
      <w:pPr>
        <w:widowControl/>
        <w:spacing w:line="360" w:lineRule="auto"/>
        <w:ind w:firstLine="480" w:firstLineChars="200"/>
        <w:jc w:val="left"/>
        <w:rPr>
          <w:rFonts w:hint="eastAsia" w:ascii="宋体" w:hAnsi="宋体" w:cs="宋体"/>
          <w:kern w:val="0"/>
          <w:sz w:val="24"/>
          <w:szCs w:val="24"/>
          <w:shd w:val="clear" w:color="auto" w:fill="FFFFFF"/>
        </w:rPr>
      </w:pPr>
      <w:r>
        <w:rPr>
          <w:rFonts w:hint="eastAsia" w:ascii="宋体" w:hAnsi="宋体" w:cs="宋体"/>
          <w:kern w:val="0"/>
          <w:sz w:val="24"/>
          <w:szCs w:val="24"/>
          <w:shd w:val="clear" w:color="auto" w:fill="FFFFFF"/>
        </w:rPr>
        <w:t>9、采购人应当及时对采购项目进行验收。采购人可以邀请第三方机构参与验收。参与验收的第三方机构的意见作为验收书的参考资料一并存档。</w:t>
      </w:r>
    </w:p>
    <w:p>
      <w:pPr>
        <w:widowControl/>
        <w:shd w:val="clear" w:color="auto" w:fill="FFFFFF"/>
        <w:autoSpaceDE w:val="0"/>
        <w:autoSpaceDN w:val="0"/>
        <w:spacing w:line="360" w:lineRule="auto"/>
        <w:ind w:left="482"/>
        <w:jc w:val="left"/>
        <w:rPr>
          <w:rFonts w:ascii="宋体" w:hAnsi="宋体" w:cs="宋体"/>
          <w:b/>
          <w:bCs/>
          <w:kern w:val="0"/>
          <w:sz w:val="24"/>
          <w:szCs w:val="24"/>
        </w:rPr>
      </w:pPr>
      <w:r>
        <w:rPr>
          <w:rFonts w:hint="eastAsia" w:ascii="宋体" w:hAnsi="宋体" w:cs="宋体"/>
          <w:b/>
          <w:bCs/>
          <w:kern w:val="0"/>
          <w:sz w:val="24"/>
          <w:szCs w:val="24"/>
        </w:rPr>
        <w:t>（六）采购资金支付</w:t>
      </w:r>
    </w:p>
    <w:p>
      <w:pPr>
        <w:widowControl/>
        <w:shd w:val="clear" w:color="auto" w:fill="FFFFFF"/>
        <w:spacing w:line="360" w:lineRule="auto"/>
        <w:ind w:firstLine="600"/>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1、支付方式：电子转账</w:t>
      </w:r>
    </w:p>
    <w:p>
      <w:pPr>
        <w:widowControl/>
        <w:shd w:val="clear" w:color="auto" w:fill="FFFFFF"/>
        <w:spacing w:line="360" w:lineRule="auto"/>
        <w:ind w:firstLine="600"/>
        <w:jc w:val="left"/>
        <w:rPr>
          <w:rFonts w:hint="eastAsia" w:ascii="宋体" w:hAnsi="宋体" w:cs="宋体" w:eastAsiaTheme="minorEastAsia"/>
          <w:kern w:val="0"/>
          <w:sz w:val="24"/>
          <w:szCs w:val="24"/>
          <w:shd w:val="clear" w:color="auto" w:fill="FFFFFF"/>
          <w:lang w:eastAsia="zh-CN"/>
        </w:rPr>
      </w:pPr>
      <w:r>
        <w:rPr>
          <w:rFonts w:hint="eastAsia" w:ascii="宋体" w:hAnsi="宋体" w:cs="宋体"/>
          <w:kern w:val="0"/>
          <w:sz w:val="24"/>
          <w:szCs w:val="24"/>
          <w:shd w:val="clear" w:color="auto" w:fill="FFFFFF"/>
        </w:rPr>
        <w:t>2、支付时间及条件：</w:t>
      </w:r>
      <w:r>
        <w:rPr>
          <w:rFonts w:hint="eastAsia" w:ascii="宋体" w:hAnsi="宋体" w:cs="宋体"/>
          <w:kern w:val="0"/>
          <w:sz w:val="24"/>
          <w:szCs w:val="24"/>
          <w:shd w:val="clear" w:color="auto" w:fill="FFFFFF"/>
          <w:lang w:eastAsia="zh-CN"/>
        </w:rPr>
        <w:t>以签订合同为准</w:t>
      </w:r>
    </w:p>
    <w:p>
      <w:pPr>
        <w:autoSpaceDE w:val="0"/>
        <w:autoSpaceDN w:val="0"/>
        <w:spacing w:line="360" w:lineRule="auto"/>
        <w:ind w:firstLine="480" w:firstLineChars="200"/>
        <w:rPr>
          <w:rFonts w:hint="eastAsia" w:ascii="等线" w:hAnsi="等线" w:cs="仿宋"/>
          <w:kern w:val="0"/>
          <w:sz w:val="24"/>
          <w:szCs w:val="24"/>
          <w:shd w:val="clear" w:color="auto" w:fill="FFFFFF"/>
        </w:rPr>
      </w:pPr>
      <w:r>
        <w:rPr>
          <w:rFonts w:hint="eastAsia" w:ascii="宋体" w:hAnsi="宋体" w:cs="仿宋"/>
          <w:kern w:val="0"/>
          <w:sz w:val="24"/>
          <w:szCs w:val="24"/>
          <w:shd w:val="clear" w:color="auto" w:fill="FFFFFF"/>
        </w:rPr>
        <w:t>中标人按照招标文件要求将招标项目所涉及货物送达、安装调试完毕并投入运行，经需甲方验收合格之日起正式提供“禹州市机动车尾气遥感监测系统5年期监测运营及运维服务”，服务期每满半年考核一次，考核合格后支付当年服务费金额的50%，服务期每满一年经年度考核合格后支付当年服务费金额的50%；第二年、第三年、第四年、第五年考核及服务费支付方式均与第一年度相同。</w:t>
      </w:r>
    </w:p>
    <w:p>
      <w:pPr>
        <w:widowControl/>
        <w:shd w:val="clear" w:color="auto" w:fill="FFFFFF"/>
        <w:autoSpaceDE w:val="0"/>
        <w:autoSpaceDN w:val="0"/>
        <w:spacing w:line="360" w:lineRule="auto"/>
        <w:ind w:left="482"/>
        <w:jc w:val="left"/>
        <w:rPr>
          <w:rFonts w:ascii="宋体" w:hAnsi="宋体" w:cs="宋体"/>
          <w:b/>
          <w:bCs/>
          <w:kern w:val="0"/>
          <w:sz w:val="24"/>
          <w:szCs w:val="24"/>
        </w:rPr>
      </w:pPr>
      <w:r>
        <w:rPr>
          <w:rFonts w:hint="eastAsia" w:ascii="宋体" w:hAnsi="宋体" w:cs="宋体"/>
          <w:b/>
          <w:bCs/>
          <w:kern w:val="0"/>
          <w:sz w:val="24"/>
          <w:szCs w:val="24"/>
        </w:rPr>
        <w:t>（七）其他要求</w:t>
      </w:r>
    </w:p>
    <w:p>
      <w:pPr>
        <w:spacing w:line="360" w:lineRule="auto"/>
        <w:ind w:firstLine="480" w:firstLineChars="200"/>
        <w:rPr>
          <w:rFonts w:ascii="宋体" w:hAnsi="宋体" w:cs="宋体"/>
          <w:kern w:val="0"/>
          <w:sz w:val="24"/>
          <w:szCs w:val="24"/>
          <w:shd w:val="clear" w:color="auto" w:fill="FFFFFF"/>
          <w:lang w:val="zh-CN"/>
        </w:rPr>
      </w:pPr>
      <w:r>
        <w:rPr>
          <w:rFonts w:hint="eastAsia" w:ascii="宋体" w:hAnsi="宋体" w:cs="宋体"/>
          <w:kern w:val="0"/>
          <w:sz w:val="24"/>
          <w:szCs w:val="24"/>
          <w:shd w:val="clear" w:color="auto" w:fill="FFFFFF"/>
          <w:lang w:val="zh-CN"/>
        </w:rPr>
        <w:t>1、投标人须明确投标产品的厂家、产地、品牌、型号、详细参数，否则为无效投标。</w:t>
      </w:r>
    </w:p>
    <w:p>
      <w:pPr>
        <w:spacing w:line="360" w:lineRule="auto"/>
        <w:ind w:firstLine="480" w:firstLineChars="200"/>
        <w:rPr>
          <w:rFonts w:ascii="宋体" w:hAnsi="宋体" w:cs="宋体"/>
          <w:kern w:val="0"/>
          <w:sz w:val="24"/>
          <w:szCs w:val="24"/>
          <w:shd w:val="clear" w:color="auto" w:fill="FFFFFF"/>
          <w:lang w:val="zh-CN"/>
        </w:rPr>
      </w:pPr>
      <w:r>
        <w:rPr>
          <w:rFonts w:hint="eastAsia" w:ascii="宋体" w:hAnsi="宋体" w:cs="宋体"/>
          <w:kern w:val="0"/>
          <w:sz w:val="24"/>
          <w:szCs w:val="24"/>
          <w:shd w:val="clear" w:color="auto" w:fill="FFFFFF"/>
        </w:rPr>
        <w:t>2</w:t>
      </w:r>
      <w:r>
        <w:rPr>
          <w:rFonts w:hint="eastAsia" w:ascii="宋体" w:hAnsi="宋体" w:cs="宋体"/>
          <w:kern w:val="0"/>
          <w:sz w:val="24"/>
          <w:szCs w:val="24"/>
          <w:shd w:val="clear" w:color="auto" w:fill="FFFFFF"/>
          <w:lang w:val="zh-CN"/>
        </w:rPr>
        <w:t>、投标人应就该项目完整投标，否则为无效投标。</w:t>
      </w:r>
    </w:p>
    <w:p>
      <w:pPr>
        <w:spacing w:line="360" w:lineRule="auto"/>
        <w:ind w:firstLine="480" w:firstLineChars="200"/>
        <w:rPr>
          <w:rFonts w:ascii="宋体" w:hAnsi="宋体" w:cs="宋体"/>
          <w:kern w:val="0"/>
          <w:sz w:val="24"/>
          <w:szCs w:val="24"/>
          <w:shd w:val="clear" w:color="auto" w:fill="FFFFFF"/>
          <w:lang w:val="zh-CN"/>
        </w:rPr>
      </w:pPr>
      <w:r>
        <w:rPr>
          <w:rFonts w:hint="eastAsia" w:ascii="宋体" w:hAnsi="宋体" w:cs="宋体"/>
          <w:kern w:val="0"/>
          <w:sz w:val="24"/>
          <w:szCs w:val="24"/>
          <w:shd w:val="clear" w:color="auto" w:fill="FFFFFF"/>
        </w:rPr>
        <w:t>3</w:t>
      </w:r>
      <w:r>
        <w:rPr>
          <w:rFonts w:hint="eastAsia" w:ascii="宋体" w:hAnsi="宋体" w:cs="宋体"/>
          <w:kern w:val="0"/>
          <w:sz w:val="24"/>
          <w:szCs w:val="24"/>
          <w:shd w:val="clear" w:color="auto" w:fill="FFFFFF"/>
          <w:lang w:val="zh-CN"/>
        </w:rPr>
        <w:t>、产品必须符合国家质量检测标准和本招标文件规定标准的全新正品现货，提供随货物《产品合格证》及其它相关质量证明文件。</w:t>
      </w:r>
    </w:p>
    <w:p>
      <w:pPr>
        <w:spacing w:line="360" w:lineRule="auto"/>
        <w:ind w:firstLine="480" w:firstLineChars="200"/>
        <w:rPr>
          <w:rFonts w:ascii="宋体" w:hAnsi="宋体" w:cs="宋体"/>
          <w:kern w:val="0"/>
          <w:sz w:val="24"/>
          <w:szCs w:val="24"/>
          <w:shd w:val="clear" w:color="auto" w:fill="FFFFFF"/>
          <w:lang w:val="zh-CN"/>
        </w:rPr>
      </w:pPr>
      <w:r>
        <w:rPr>
          <w:rFonts w:hint="eastAsia" w:ascii="宋体" w:hAnsi="宋体" w:cs="宋体"/>
          <w:kern w:val="0"/>
          <w:sz w:val="24"/>
          <w:szCs w:val="24"/>
          <w:shd w:val="clear" w:color="auto" w:fill="FFFFFF"/>
        </w:rPr>
        <w:t>4、本项目不接受</w:t>
      </w:r>
      <w:r>
        <w:rPr>
          <w:rFonts w:hint="eastAsia" w:ascii="宋体" w:hAnsi="宋体" w:cs="宋体"/>
          <w:kern w:val="0"/>
          <w:sz w:val="24"/>
          <w:szCs w:val="24"/>
          <w:shd w:val="clear" w:color="auto" w:fill="FFFFFF"/>
          <w:lang w:val="zh-CN"/>
        </w:rPr>
        <w:t>进口产品。</w:t>
      </w:r>
    </w:p>
    <w:p>
      <w:pPr>
        <w:spacing w:line="360" w:lineRule="auto"/>
        <w:ind w:firstLine="480" w:firstLineChars="200"/>
        <w:rPr>
          <w:rFonts w:ascii="宋体" w:hAnsi="宋体" w:cs="宋体"/>
          <w:kern w:val="0"/>
          <w:sz w:val="24"/>
          <w:szCs w:val="24"/>
          <w:shd w:val="clear" w:color="auto" w:fill="FFFFFF"/>
          <w:lang w:val="zh-CN"/>
        </w:rPr>
      </w:pPr>
      <w:r>
        <w:rPr>
          <w:rFonts w:hint="eastAsia" w:ascii="宋体" w:hAnsi="宋体" w:cs="宋体"/>
          <w:kern w:val="0"/>
          <w:sz w:val="24"/>
          <w:szCs w:val="24"/>
          <w:shd w:val="clear" w:color="auto" w:fill="FFFFFF"/>
        </w:rPr>
        <w:t>5、中标方需提供产品使用说明书及光盘。并有义务进行有关使用培训。</w:t>
      </w:r>
    </w:p>
    <w:p>
      <w:pPr>
        <w:spacing w:line="360" w:lineRule="auto"/>
        <w:rPr>
          <w:rFonts w:hint="eastAsia" w:asciiTheme="minorEastAsia" w:hAnsiTheme="minorEastAsia" w:eastAsiaTheme="minorEastAsia" w:cstheme="minorEastAsia"/>
          <w:kern w:val="0"/>
          <w:sz w:val="24"/>
          <w:szCs w:val="24"/>
          <w:shd w:val="clear" w:color="auto" w:fill="FFFFFF"/>
          <w:lang w:val="zh-CN" w:eastAsia="zh-CN" w:bidi="ar-SA"/>
        </w:rPr>
      </w:pPr>
    </w:p>
    <w:p>
      <w:pPr>
        <w:widowControl/>
        <w:jc w:val="left"/>
        <w:rPr>
          <w:rFonts w:hint="eastAsia" w:asciiTheme="minorEastAsia" w:hAnsiTheme="minorEastAsia" w:eastAsiaTheme="minorEastAsia" w:cstheme="minorEastAsia"/>
          <w:b/>
          <w:kern w:val="0"/>
          <w:sz w:val="24"/>
          <w:szCs w:val="24"/>
        </w:rPr>
      </w:pPr>
    </w:p>
    <w:p>
      <w:pPr>
        <w:widowControl/>
        <w:jc w:val="left"/>
        <w:rPr>
          <w:rFonts w:hint="eastAsia" w:asciiTheme="minorEastAsia" w:hAnsiTheme="minorEastAsia" w:eastAsiaTheme="minorEastAsia" w:cstheme="minorEastAsia"/>
          <w:b/>
          <w:kern w:val="0"/>
          <w:sz w:val="24"/>
          <w:szCs w:val="24"/>
        </w:rPr>
      </w:pPr>
    </w:p>
    <w:p>
      <w:pPr>
        <w:widowControl/>
        <w:jc w:val="left"/>
        <w:rPr>
          <w:rFonts w:hint="eastAsia" w:asciiTheme="minorEastAsia" w:hAnsiTheme="minorEastAsia" w:eastAsiaTheme="minorEastAsia" w:cstheme="minorEastAsia"/>
          <w:b/>
          <w:kern w:val="0"/>
          <w:sz w:val="24"/>
          <w:szCs w:val="24"/>
        </w:rPr>
      </w:pPr>
    </w:p>
    <w:p>
      <w:pPr>
        <w:widowControl/>
        <w:jc w:val="left"/>
        <w:rPr>
          <w:rFonts w:hint="eastAsia" w:asciiTheme="minorEastAsia" w:hAnsiTheme="minorEastAsia" w:eastAsiaTheme="minorEastAsia" w:cstheme="minorEastAsia"/>
          <w:b/>
          <w:kern w:val="0"/>
          <w:sz w:val="24"/>
          <w:szCs w:val="24"/>
        </w:rPr>
      </w:pPr>
    </w:p>
    <w:p>
      <w:pPr>
        <w:widowControl/>
        <w:jc w:val="left"/>
        <w:rPr>
          <w:rFonts w:hint="eastAsia" w:asciiTheme="minorEastAsia" w:hAnsiTheme="minorEastAsia" w:eastAsiaTheme="minorEastAsia" w:cstheme="minorEastAsia"/>
          <w:b/>
          <w:kern w:val="0"/>
          <w:sz w:val="24"/>
          <w:szCs w:val="24"/>
        </w:rPr>
      </w:pPr>
    </w:p>
    <w:p>
      <w:pPr>
        <w:widowControl/>
        <w:jc w:val="left"/>
        <w:rPr>
          <w:rFonts w:hint="eastAsia" w:asciiTheme="minorEastAsia" w:hAnsiTheme="minorEastAsia" w:eastAsiaTheme="minorEastAsia" w:cstheme="minorEastAsia"/>
          <w:b/>
          <w:kern w:val="0"/>
          <w:sz w:val="24"/>
          <w:szCs w:val="24"/>
        </w:rPr>
      </w:pPr>
    </w:p>
    <w:p>
      <w:pPr>
        <w:widowControl/>
        <w:jc w:val="left"/>
        <w:rPr>
          <w:rFonts w:hint="eastAsia" w:asciiTheme="minorEastAsia" w:hAnsiTheme="minorEastAsia" w:eastAsiaTheme="minorEastAsia" w:cstheme="minorEastAsia"/>
          <w:b/>
          <w:kern w:val="0"/>
          <w:sz w:val="24"/>
          <w:szCs w:val="24"/>
        </w:rPr>
      </w:pPr>
    </w:p>
    <w:p>
      <w:pPr>
        <w:widowControl/>
        <w:jc w:val="left"/>
        <w:rPr>
          <w:rFonts w:hint="eastAsia" w:asciiTheme="minorEastAsia" w:hAnsiTheme="minorEastAsia" w:eastAsiaTheme="minorEastAsia" w:cstheme="minorEastAsia"/>
          <w:b/>
          <w:kern w:val="0"/>
          <w:sz w:val="24"/>
          <w:szCs w:val="24"/>
        </w:rPr>
      </w:pPr>
    </w:p>
    <w:p>
      <w:pPr>
        <w:widowControl/>
        <w:jc w:val="left"/>
        <w:rPr>
          <w:rFonts w:hint="eastAsia" w:asciiTheme="minorEastAsia" w:hAnsiTheme="minorEastAsia" w:eastAsiaTheme="minorEastAsia" w:cstheme="minorEastAsia"/>
          <w:b/>
          <w:kern w:val="0"/>
          <w:sz w:val="24"/>
          <w:szCs w:val="24"/>
        </w:rPr>
      </w:pPr>
    </w:p>
    <w:p>
      <w:pPr>
        <w:widowControl/>
        <w:ind w:firstLine="1687" w:firstLineChars="700"/>
        <w:jc w:val="left"/>
        <w:rPr>
          <w:rFonts w:hint="eastAsia" w:asciiTheme="minorEastAsia" w:hAnsiTheme="minorEastAsia" w:eastAsiaTheme="minorEastAsia" w:cstheme="minorEastAsia"/>
          <w:b/>
          <w:kern w:val="0"/>
          <w:sz w:val="24"/>
          <w:szCs w:val="24"/>
        </w:rPr>
      </w:pPr>
    </w:p>
    <w:p>
      <w:pPr>
        <w:widowControl/>
        <w:ind w:firstLine="1687" w:firstLineChars="700"/>
        <w:jc w:val="left"/>
        <w:rPr>
          <w:rFonts w:hint="eastAsia" w:asciiTheme="minorEastAsia" w:hAnsiTheme="minorEastAsia" w:eastAsiaTheme="minorEastAsia" w:cstheme="minorEastAsia"/>
          <w:b/>
          <w:kern w:val="0"/>
          <w:sz w:val="24"/>
          <w:szCs w:val="24"/>
        </w:rPr>
      </w:pPr>
    </w:p>
    <w:p>
      <w:pPr>
        <w:widowControl/>
        <w:ind w:firstLine="1687" w:firstLineChars="700"/>
        <w:jc w:val="left"/>
        <w:rPr>
          <w:rFonts w:hint="eastAsia" w:asciiTheme="minorEastAsia" w:hAnsiTheme="minorEastAsia" w:eastAsiaTheme="minorEastAsia" w:cstheme="minorEastAsia"/>
          <w:b/>
          <w:kern w:val="0"/>
          <w:sz w:val="24"/>
          <w:szCs w:val="24"/>
        </w:rPr>
      </w:pPr>
    </w:p>
    <w:p>
      <w:pPr>
        <w:widowControl/>
        <w:ind w:firstLine="1687" w:firstLineChars="700"/>
        <w:jc w:val="left"/>
        <w:rPr>
          <w:rFonts w:hint="eastAsia" w:asciiTheme="minorEastAsia" w:hAnsiTheme="minorEastAsia" w:eastAsiaTheme="minorEastAsia" w:cstheme="minorEastAsia"/>
          <w:b/>
          <w:kern w:val="0"/>
          <w:sz w:val="24"/>
          <w:szCs w:val="24"/>
        </w:rPr>
      </w:pPr>
    </w:p>
    <w:p>
      <w:pPr>
        <w:widowControl/>
        <w:ind w:firstLine="1687" w:firstLineChars="700"/>
        <w:jc w:val="left"/>
        <w:rPr>
          <w:rFonts w:hint="eastAsia" w:asciiTheme="minorEastAsia" w:hAnsiTheme="minorEastAsia" w:eastAsiaTheme="minorEastAsia" w:cstheme="minorEastAsia"/>
          <w:b/>
          <w:kern w:val="0"/>
          <w:sz w:val="24"/>
          <w:szCs w:val="24"/>
        </w:rPr>
      </w:pPr>
    </w:p>
    <w:p>
      <w:pPr>
        <w:widowControl/>
        <w:ind w:firstLine="2530" w:firstLineChars="700"/>
        <w:jc w:val="left"/>
        <w:rPr>
          <w:rFonts w:hint="eastAsia" w:cs="宋体" w:asciiTheme="majorEastAsia" w:hAnsiTheme="majorEastAsia" w:eastAsiaTheme="majorEastAsia"/>
          <w:b/>
          <w:kern w:val="0"/>
          <w:sz w:val="36"/>
          <w:szCs w:val="36"/>
        </w:rPr>
      </w:pPr>
    </w:p>
    <w:p>
      <w:pPr>
        <w:widowControl/>
        <w:ind w:firstLine="2530" w:firstLineChars="700"/>
        <w:jc w:val="left"/>
        <w:rPr>
          <w:rFonts w:hint="eastAsia" w:cs="宋体" w:asciiTheme="majorEastAsia" w:hAnsiTheme="majorEastAsia" w:eastAsiaTheme="majorEastAsia"/>
          <w:b/>
          <w:kern w:val="0"/>
          <w:sz w:val="36"/>
          <w:szCs w:val="36"/>
        </w:rPr>
      </w:pPr>
    </w:p>
    <w:p>
      <w:pPr>
        <w:widowControl/>
        <w:ind w:firstLine="2530" w:firstLineChars="700"/>
        <w:jc w:val="left"/>
        <w:rPr>
          <w:rFonts w:hint="eastAsia" w:cs="宋体" w:asciiTheme="majorEastAsia" w:hAnsiTheme="majorEastAsia" w:eastAsiaTheme="majorEastAsia"/>
          <w:b/>
          <w:kern w:val="0"/>
          <w:sz w:val="36"/>
          <w:szCs w:val="36"/>
        </w:rPr>
      </w:pPr>
    </w:p>
    <w:p>
      <w:pPr>
        <w:widowControl/>
        <w:ind w:firstLine="2530" w:firstLineChars="700"/>
        <w:jc w:val="left"/>
        <w:rPr>
          <w:rFonts w:hint="eastAsia" w:cs="宋体" w:asciiTheme="majorEastAsia" w:hAnsiTheme="majorEastAsia" w:eastAsiaTheme="majorEastAsia"/>
          <w:b/>
          <w:kern w:val="0"/>
          <w:sz w:val="36"/>
          <w:szCs w:val="36"/>
        </w:rPr>
      </w:pPr>
    </w:p>
    <w:p>
      <w:pPr>
        <w:widowControl/>
        <w:ind w:firstLine="2530" w:firstLineChars="700"/>
        <w:jc w:val="left"/>
        <w:rPr>
          <w:rFonts w:hint="eastAsia" w:cs="宋体" w:asciiTheme="majorEastAsia" w:hAnsiTheme="majorEastAsia" w:eastAsiaTheme="majorEastAsia"/>
          <w:b/>
          <w:kern w:val="0"/>
          <w:sz w:val="36"/>
          <w:szCs w:val="36"/>
        </w:rPr>
      </w:pPr>
    </w:p>
    <w:p>
      <w:pPr>
        <w:widowControl/>
        <w:jc w:val="left"/>
        <w:rPr>
          <w:rFonts w:hint="eastAsia" w:cs="宋体" w:asciiTheme="majorEastAsia" w:hAnsiTheme="majorEastAsia" w:eastAsiaTheme="majorEastAsia"/>
          <w:b/>
          <w:kern w:val="0"/>
          <w:sz w:val="36"/>
          <w:szCs w:val="36"/>
        </w:rPr>
      </w:pPr>
    </w:p>
    <w:p>
      <w:pPr>
        <w:widowControl/>
        <w:ind w:firstLine="2530" w:firstLineChars="700"/>
        <w:jc w:val="left"/>
        <w:rPr>
          <w:rFonts w:hint="eastAsia" w:cs="宋体" w:asciiTheme="majorEastAsia" w:hAnsiTheme="majorEastAsia" w:eastAsiaTheme="majorEastAsia"/>
          <w:b/>
          <w:kern w:val="0"/>
          <w:sz w:val="36"/>
          <w:szCs w:val="36"/>
        </w:rPr>
      </w:pPr>
    </w:p>
    <w:p>
      <w:pPr>
        <w:widowControl/>
        <w:ind w:firstLine="2530" w:firstLineChars="700"/>
        <w:jc w:val="left"/>
        <w:rPr>
          <w:rFonts w:hint="eastAsia" w:cs="宋体" w:asciiTheme="majorEastAsia" w:hAnsiTheme="majorEastAsia" w:eastAsiaTheme="majorEastAsia"/>
          <w:b/>
          <w:kern w:val="0"/>
          <w:sz w:val="36"/>
          <w:szCs w:val="36"/>
        </w:rPr>
      </w:pPr>
    </w:p>
    <w:p>
      <w:pPr>
        <w:widowControl/>
        <w:ind w:firstLine="2530" w:firstLineChars="700"/>
        <w:jc w:val="left"/>
        <w:rPr>
          <w:rFonts w:hint="eastAsia" w:cs="宋体" w:asciiTheme="majorEastAsia" w:hAnsiTheme="majorEastAsia" w:eastAsiaTheme="majorEastAsia"/>
          <w:b/>
          <w:kern w:val="0"/>
          <w:sz w:val="36"/>
          <w:szCs w:val="36"/>
        </w:rPr>
      </w:pPr>
    </w:p>
    <w:p>
      <w:pPr>
        <w:widowControl/>
        <w:ind w:firstLine="2530" w:firstLineChars="700"/>
        <w:jc w:val="left"/>
        <w:rPr>
          <w:rFonts w:hint="eastAsia" w:cs="宋体" w:asciiTheme="majorEastAsia" w:hAnsiTheme="majorEastAsia" w:eastAsiaTheme="majorEastAsia"/>
          <w:b/>
          <w:kern w:val="0"/>
          <w:sz w:val="36"/>
          <w:szCs w:val="36"/>
        </w:rPr>
      </w:pPr>
    </w:p>
    <w:p>
      <w:pPr>
        <w:widowControl/>
        <w:ind w:firstLine="2530" w:firstLineChars="700"/>
        <w:jc w:val="left"/>
        <w:rPr>
          <w:rFonts w:hint="eastAsia" w:cs="宋体" w:asciiTheme="majorEastAsia" w:hAnsiTheme="majorEastAsia" w:eastAsiaTheme="majorEastAsia"/>
          <w:b/>
          <w:kern w:val="0"/>
          <w:sz w:val="36"/>
          <w:szCs w:val="36"/>
        </w:rPr>
      </w:pPr>
    </w:p>
    <w:p>
      <w:pPr>
        <w:widowControl/>
        <w:ind w:firstLine="2530" w:firstLineChars="700"/>
        <w:jc w:val="left"/>
        <w:rPr>
          <w:rFonts w:hint="eastAsia" w:cs="宋体" w:asciiTheme="majorEastAsia" w:hAnsiTheme="majorEastAsia" w:eastAsiaTheme="majorEastAsia"/>
          <w:b/>
          <w:kern w:val="0"/>
          <w:sz w:val="36"/>
          <w:szCs w:val="36"/>
        </w:rPr>
      </w:pPr>
    </w:p>
    <w:p>
      <w:pPr>
        <w:widowControl/>
        <w:ind w:firstLine="2530" w:firstLineChars="700"/>
        <w:jc w:val="left"/>
        <w:rPr>
          <w:rFonts w:hint="eastAsia" w:cs="宋体" w:asciiTheme="majorEastAsia" w:hAnsiTheme="majorEastAsia" w:eastAsiaTheme="majorEastAsia"/>
          <w:b/>
          <w:kern w:val="0"/>
          <w:sz w:val="36"/>
          <w:szCs w:val="36"/>
        </w:rPr>
      </w:pPr>
    </w:p>
    <w:p>
      <w:pPr>
        <w:widowControl/>
        <w:ind w:firstLine="2530" w:firstLineChars="700"/>
        <w:jc w:val="left"/>
        <w:rPr>
          <w:rFonts w:hint="eastAsia" w:cs="宋体" w:asciiTheme="majorEastAsia" w:hAnsiTheme="majorEastAsia" w:eastAsiaTheme="majorEastAsia"/>
          <w:b/>
          <w:kern w:val="0"/>
          <w:sz w:val="36"/>
          <w:szCs w:val="36"/>
        </w:rPr>
      </w:pPr>
    </w:p>
    <w:p>
      <w:pPr>
        <w:widowControl/>
        <w:ind w:firstLine="2530" w:firstLineChars="700"/>
        <w:jc w:val="left"/>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color w:val="FF0000"/>
          <w:sz w:val="24"/>
          <w:szCs w:val="24"/>
        </w:rPr>
        <w:t>招标文件中凡标有</w:t>
      </w:r>
      <w:r>
        <w:rPr>
          <w:rFonts w:hint="eastAsia" w:cs="微软雅黑" w:asciiTheme="minorEastAsia" w:hAnsiTheme="minorEastAsia"/>
          <w:b/>
          <w:color w:val="FF0000"/>
          <w:sz w:val="24"/>
          <w:szCs w:val="24"/>
        </w:rPr>
        <w:t>★</w:t>
      </w:r>
      <w:r>
        <w:rPr>
          <w:rFonts w:hint="eastAsia" w:cs="微软雅黑"/>
          <w:b/>
          <w:color w:val="FF0000"/>
          <w:sz w:val="24"/>
          <w:szCs w:val="24"/>
        </w:rPr>
        <w:t>条款均为实质性要求条款，投标文件须完全响应，未实质响应的，按照无效投标处理。</w:t>
      </w:r>
    </w:p>
    <w:tbl>
      <w:tblPr>
        <w:tblStyle w:val="24"/>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rPr>
                <w:rFonts w:cs="仿宋_GB2312" w:asciiTheme="minorEastAsia" w:hAnsiTheme="minorEastAsia" w:eastAsiaTheme="minorEastAsia"/>
              </w:rPr>
            </w:pPr>
            <w:r>
              <w:rPr>
                <w:rFonts w:hint="eastAsia" w:cs="仿宋_GB2312" w:asciiTheme="minorEastAsia" w:hAnsiTheme="minorEastAsia"/>
              </w:rPr>
              <w:t>项目名称</w:t>
            </w:r>
            <w:r>
              <w:rPr>
                <w:rFonts w:hint="eastAsia" w:cs="仿宋_GB2312" w:asciiTheme="minorEastAsia" w:hAnsiTheme="minorEastAsia" w:eastAsiaTheme="minorEastAsia"/>
              </w:rPr>
              <w:t>：</w:t>
            </w:r>
            <w:r>
              <w:rPr>
                <w:rFonts w:hint="eastAsia" w:cs="仿宋_GB2312" w:asciiTheme="minorEastAsia" w:hAnsiTheme="minorEastAsia"/>
                <w:lang w:val="en-US" w:eastAsia="zh-CN"/>
              </w:rPr>
              <w:t>禹州市机动车遥感监测及网络平台建设项目</w:t>
            </w:r>
          </w:p>
          <w:p>
            <w:pPr>
              <w:autoSpaceDE w:val="0"/>
              <w:autoSpaceDN w:val="0"/>
              <w:adjustRightInd w:val="0"/>
              <w:spacing w:line="360" w:lineRule="auto"/>
              <w:jc w:val="lef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lang w:eastAsia="zh-CN"/>
              </w:rPr>
              <w:t>采购</w:t>
            </w:r>
            <w:r>
              <w:rPr>
                <w:rFonts w:hint="eastAsia" w:cs="仿宋_GB2312" w:asciiTheme="minorEastAsia" w:hAnsiTheme="minorEastAsia"/>
                <w:sz w:val="24"/>
                <w:szCs w:val="24"/>
              </w:rPr>
              <w:t>编号：</w:t>
            </w:r>
            <w:r>
              <w:rPr>
                <w:rFonts w:hint="eastAsia" w:cs="仿宋_GB2312" w:asciiTheme="minorEastAsia" w:hAnsiTheme="minorEastAsia"/>
                <w:sz w:val="24"/>
                <w:szCs w:val="24"/>
                <w:lang w:val="en-US" w:eastAsia="zh-CN"/>
              </w:rPr>
              <w:t>YZCG-G2018337</w:t>
            </w:r>
          </w:p>
          <w:p>
            <w:pPr>
              <w:pStyle w:val="20"/>
              <w:widowControl/>
              <w:shd w:val="clear" w:color="auto" w:fill="FFFFFF"/>
              <w:spacing w:line="360" w:lineRule="auto"/>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项目内容：详见</w:t>
            </w:r>
            <w:r>
              <w:rPr>
                <w:rFonts w:cs="仿宋_GB2312" w:asciiTheme="minorEastAsia" w:hAnsiTheme="minorEastAsia" w:eastAsiaTheme="minorEastAsia"/>
              </w:rPr>
              <w:t>采购需求</w:t>
            </w:r>
          </w:p>
          <w:p>
            <w:pPr>
              <w:pStyle w:val="20"/>
              <w:widowControl/>
              <w:shd w:val="clear" w:color="auto" w:fill="FFFFFF"/>
              <w:spacing w:line="360" w:lineRule="auto"/>
              <w:contextualSpacing/>
              <w:jc w:val="left"/>
              <w:rPr>
                <w:rFonts w:hint="eastAsia" w:eastAsia="宋体" w:cs="仿宋_GB2312" w:asciiTheme="minorEastAsia" w:hAnsiTheme="minorEastAsia"/>
                <w:lang w:eastAsia="zh-CN"/>
              </w:rPr>
            </w:pPr>
            <w:r>
              <w:rPr>
                <w:rFonts w:hint="eastAsia" w:cs="仿宋_GB2312" w:asciiTheme="minorEastAsia" w:hAnsiTheme="minorEastAsia"/>
              </w:rPr>
              <w:t>项目地址：</w:t>
            </w:r>
            <w:r>
              <w:rPr>
                <w:rFonts w:hint="eastAsia" w:cs="仿宋_GB2312" w:asciiTheme="minorEastAsia" w:hAnsiTheme="minorEastAsia"/>
                <w:lang w:eastAsia="zh-CN"/>
              </w:rPr>
              <w:t>禹州市创业大厦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名称：禹州市</w:t>
            </w:r>
            <w:r>
              <w:rPr>
                <w:rFonts w:hint="eastAsia" w:cs="仿宋_GB2312" w:asciiTheme="minorEastAsia" w:hAnsiTheme="minorEastAsia"/>
                <w:sz w:val="24"/>
                <w:szCs w:val="24"/>
                <w:lang w:eastAsia="zh-CN"/>
              </w:rPr>
              <w:t>环境保护局</w:t>
            </w:r>
          </w:p>
          <w:p>
            <w:pPr>
              <w:pStyle w:val="20"/>
              <w:widowControl/>
              <w:shd w:val="clear" w:color="auto" w:fill="FFFFFF"/>
              <w:spacing w:line="360" w:lineRule="auto"/>
              <w:contextualSpacing/>
              <w:jc w:val="left"/>
              <w:rPr>
                <w:rFonts w:hint="eastAsia" w:eastAsia="宋体" w:cs="仿宋_GB2312" w:asciiTheme="minorEastAsia" w:hAnsiTheme="minorEastAsia"/>
                <w:color w:val="000000"/>
                <w:lang w:eastAsia="zh-CN"/>
              </w:rPr>
            </w:pPr>
            <w:r>
              <w:rPr>
                <w:rFonts w:hint="eastAsia" w:cs="仿宋_GB2312" w:asciiTheme="minorEastAsia" w:hAnsiTheme="minorEastAsia"/>
              </w:rPr>
              <w:t>地址：</w:t>
            </w:r>
            <w:r>
              <w:rPr>
                <w:rFonts w:hint="eastAsia" w:cs="仿宋_GB2312" w:asciiTheme="minorEastAsia" w:hAnsiTheme="minorEastAsia"/>
                <w:lang w:eastAsia="zh-CN"/>
              </w:rPr>
              <w:t>禹州市</w:t>
            </w:r>
          </w:p>
          <w:p>
            <w:pPr>
              <w:rPr>
                <w:rFonts w:hint="eastAsia" w:eastAsiaTheme="minorEastAsia"/>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魏</w:t>
            </w:r>
            <w:r>
              <w:rPr>
                <w:rFonts w:hint="eastAsia" w:cs="仿宋_GB2312" w:asciiTheme="minorEastAsia" w:hAnsiTheme="minorEastAsia"/>
                <w:color w:val="000000"/>
                <w:sz w:val="24"/>
                <w:szCs w:val="24"/>
              </w:rPr>
              <w:t>先生</w:t>
            </w:r>
            <w:r>
              <w:rPr>
                <w:rFonts w:hint="eastAsia" w:cs="仿宋_GB2312" w:asciiTheme="minorEastAsia" w:hAnsiTheme="minorEastAsia"/>
                <w:sz w:val="24"/>
                <w:szCs w:val="24"/>
              </w:rPr>
              <w:t xml:space="preserve">       电话：</w:t>
            </w:r>
            <w:r>
              <w:rPr>
                <w:rFonts w:hint="eastAsia" w:cs="仿宋_GB2312" w:asciiTheme="minorEastAsia" w:hAnsiTheme="minorEastAsia"/>
                <w:color w:val="000000"/>
                <w:sz w:val="24"/>
                <w:szCs w:val="24"/>
              </w:rPr>
              <w:t>0374-</w:t>
            </w:r>
            <w:r>
              <w:rPr>
                <w:rFonts w:hint="eastAsia" w:cs="仿宋_GB2312" w:asciiTheme="minorEastAsia" w:hAnsiTheme="minorEastAsia"/>
                <w:color w:val="000000"/>
                <w:sz w:val="24"/>
                <w:szCs w:val="24"/>
                <w:lang w:val="en-US" w:eastAsia="zh-CN"/>
              </w:rPr>
              <w:t>6066325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w:t>
            </w:r>
            <w:r>
              <w:rPr>
                <w:rFonts w:cs="仿宋_GB2312" w:asciiTheme="minorEastAsia" w:hAnsiTheme="minorEastAsia"/>
                <w:sz w:val="24"/>
                <w:szCs w:val="24"/>
              </w:rPr>
              <w:t>采购中心</w:t>
            </w:r>
          </w:p>
          <w:p>
            <w:pPr>
              <w:pStyle w:val="20"/>
              <w:widowControl/>
              <w:shd w:val="clear" w:color="auto" w:fill="FFFFFF"/>
              <w:spacing w:line="360" w:lineRule="auto"/>
              <w:contextualSpacing/>
              <w:jc w:val="left"/>
              <w:rPr>
                <w:rFonts w:cs="仿宋_GB2312" w:asciiTheme="minorEastAsia" w:hAnsiTheme="minorEastAsia" w:eastAsiaTheme="minorEastAsia"/>
                <w:color w:val="000000"/>
              </w:rPr>
            </w:pPr>
            <w:r>
              <w:rPr>
                <w:rFonts w:hint="eastAsia" w:cs="仿宋_GB2312" w:asciiTheme="minorEastAsia" w:hAnsiTheme="minorEastAsia"/>
              </w:rPr>
              <w:t>地址：禹王大道9</w:t>
            </w:r>
            <w:r>
              <w:rPr>
                <w:rFonts w:cs="仿宋_GB2312" w:asciiTheme="minorEastAsia" w:hAnsiTheme="minorEastAsia"/>
              </w:rPr>
              <w:t>9号号</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艾先生</w:t>
            </w:r>
            <w:r>
              <w:rPr>
                <w:rFonts w:hint="eastAsia" w:cs="仿宋_GB2312" w:asciiTheme="minorEastAsia" w:hAnsiTheme="minorEastAsia"/>
                <w:sz w:val="24"/>
                <w:szCs w:val="24"/>
                <w:lang w:val="en-US" w:eastAsia="zh-CN"/>
              </w:rPr>
              <w:t xml:space="preserve">   </w:t>
            </w:r>
            <w:r>
              <w:rPr>
                <w:rFonts w:hint="eastAsia" w:cs="仿宋_GB2312" w:asciiTheme="minorEastAsia" w:hAnsiTheme="minorEastAsia"/>
                <w:sz w:val="24"/>
                <w:szCs w:val="24"/>
              </w:rPr>
              <w:t>电话：</w:t>
            </w:r>
            <w:r>
              <w:rPr>
                <w:rFonts w:hint="eastAsia" w:cs="仿宋_GB2312" w:asciiTheme="minorEastAsia" w:hAnsiTheme="minorEastAsia"/>
                <w:color w:val="000000"/>
                <w:sz w:val="24"/>
                <w:szCs w:val="24"/>
              </w:rPr>
              <w:t>0374-</w:t>
            </w:r>
            <w:r>
              <w:rPr>
                <w:rFonts w:cs="仿宋_GB2312" w:asciiTheme="minorEastAsia" w:hAnsiTheme="minorEastAsia"/>
                <w:color w:val="000000"/>
                <w:sz w:val="24"/>
                <w:szCs w:val="24"/>
              </w:rPr>
              <w:t>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1、上一</w:t>
            </w:r>
            <w:r>
              <w:rPr>
                <w:rFonts w:hint="eastAsia" w:cs="宋体" w:asciiTheme="minorEastAsia" w:hAnsiTheme="minorEastAsia"/>
                <w:bCs/>
                <w:sz w:val="24"/>
                <w:szCs w:val="24"/>
                <w:lang w:val="zh-CN"/>
              </w:rPr>
              <w:t>年度的财务审计报告；</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autoSpaceDE w:val="0"/>
              <w:autoSpaceDN w:val="0"/>
              <w:adjustRightInd w:val="0"/>
              <w:spacing w:line="360" w:lineRule="auto"/>
              <w:ind w:right="-11"/>
              <w:rPr>
                <w:rFonts w:cs="宋体" w:asciiTheme="minorEastAsia" w:hAnsiTheme="minorEastAsia"/>
                <w:kern w:val="0"/>
                <w:sz w:val="24"/>
                <w:szCs w:val="24"/>
              </w:rPr>
            </w:pPr>
            <w:r>
              <w:rPr>
                <w:rFonts w:hint="eastAsia" w:cs="宋体" w:asciiTheme="minorEastAsia" w:hAnsiTheme="minorEastAsia"/>
                <w:b/>
                <w:color w:val="FF0000"/>
                <w:kern w:val="0"/>
                <w:sz w:val="24"/>
                <w:szCs w:val="24"/>
                <w:lang w:val="zh-CN"/>
              </w:rPr>
              <w:t>七、</w:t>
            </w:r>
            <w:r>
              <w:rPr>
                <w:rFonts w:cs="仿宋_GB2312" w:asciiTheme="minorEastAsia" w:hAnsiTheme="minorEastAsia"/>
                <w:b/>
                <w:color w:val="000000"/>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 w:val="24"/>
                <w:szCs w:val="24"/>
                <w:shd w:val="clear" w:color="auto" w:fill="FFFFFF"/>
              </w:rPr>
              <w:t>“</w:t>
            </w:r>
            <w:r>
              <w:rPr>
                <w:rFonts w:cs="仿宋_GB2312" w:asciiTheme="minorEastAsia" w:hAnsiTheme="minorEastAsia"/>
                <w:b/>
                <w:color w:val="000000"/>
                <w:sz w:val="24"/>
                <w:szCs w:val="24"/>
                <w:shd w:val="clear" w:color="auto" w:fill="FFFFFF"/>
              </w:rPr>
              <w:t>中国政府采购网</w:t>
            </w:r>
            <w:r>
              <w:rPr>
                <w:rFonts w:hint="eastAsia" w:cs="仿宋_GB2312" w:asciiTheme="minorEastAsia" w:hAnsiTheme="minorEastAsia"/>
                <w:b/>
                <w:color w:val="000000"/>
                <w:sz w:val="24"/>
                <w:szCs w:val="24"/>
                <w:shd w:val="clear" w:color="auto" w:fill="FFFFFF"/>
              </w:rPr>
              <w:t>”</w:t>
            </w:r>
            <w:r>
              <w:rPr>
                <w:rFonts w:cs="仿宋_GB2312" w:asciiTheme="minorEastAsia" w:hAnsiTheme="minorEastAsia"/>
                <w:b/>
                <w:color w:val="000000"/>
                <w:sz w:val="24"/>
                <w:szCs w:val="24"/>
                <w:shd w:val="clear" w:color="auto" w:fill="FFFFFF"/>
              </w:rPr>
              <w:t xml:space="preserve"> (www.ccgp.gov.cn)政府采购严重违法失信行为记录名单的投标人</w:t>
            </w:r>
            <w:r>
              <w:rPr>
                <w:rFonts w:hint="eastAsia" w:cs="宋体" w:asciiTheme="minorEastAsia" w:hAnsiTheme="minorEastAsia"/>
                <w:b/>
                <w:bCs/>
                <w:sz w:val="24"/>
                <w:szCs w:val="24"/>
                <w:lang w:val="zh-CN"/>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rPr>
                <w:rFonts w:cs="宋体" w:asciiTheme="minorEastAsia" w:hAnsiTheme="minorEastAsia"/>
                <w:bCs/>
                <w:sz w:val="24"/>
                <w:szCs w:val="24"/>
                <w:lang w:val="zh-CN"/>
              </w:rPr>
            </w:pPr>
            <w:r>
              <w:rPr>
                <w:rFonts w:hint="eastAsia" w:cs="仿宋_GB2312" w:asciiTheme="minorEastAsia" w:hAnsiTheme="minorEastAsia"/>
                <w:color w:val="000000"/>
                <w:sz w:val="24"/>
                <w:szCs w:val="24"/>
                <w:shd w:val="clear" w:color="auto" w:fill="FFFFFF"/>
                <w:lang w:val="en-US" w:eastAsia="zh-CN"/>
              </w:rPr>
              <w:t>641.9</w:t>
            </w:r>
            <w:r>
              <w:rPr>
                <w:rFonts w:hint="eastAsia" w:cs="仿宋_GB2312" w:asciiTheme="minorEastAsia" w:hAnsiTheme="minorEastAsia"/>
                <w:color w:val="000000"/>
                <w:sz w:val="24"/>
                <w:szCs w:val="24"/>
                <w:shd w:val="clear" w:color="auto" w:fill="FFFFFF"/>
              </w:rPr>
              <w:t>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sym w:font="Wingdings 2" w:char="0052"/>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sym w:font="Wingdings 2" w:char="00A3"/>
            </w: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201</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年</w:t>
            </w:r>
            <w:r>
              <w:rPr>
                <w:rFonts w:hint="eastAsia" w:cs="宋体" w:asciiTheme="minorEastAsia" w:hAnsiTheme="minorEastAsia"/>
                <w:bCs/>
                <w:sz w:val="24"/>
                <w:szCs w:val="24"/>
                <w:u w:val="single"/>
                <w:lang w:val="en-US" w:eastAsia="zh-CN"/>
              </w:rPr>
              <w:t xml:space="preserve">   </w:t>
            </w:r>
            <w:r>
              <w:rPr>
                <w:rFonts w:hint="eastAsia" w:cs="宋体" w:asciiTheme="minorEastAsia" w:hAnsiTheme="minorEastAsia"/>
                <w:bCs/>
                <w:sz w:val="24"/>
                <w:szCs w:val="24"/>
                <w:lang w:val="zh-CN"/>
              </w:rPr>
              <w:t>月</w:t>
            </w:r>
            <w:r>
              <w:rPr>
                <w:rFonts w:hint="eastAsia" w:cs="宋体" w:asciiTheme="minorEastAsia" w:hAnsiTheme="minorEastAsia"/>
                <w:bCs/>
                <w:sz w:val="24"/>
                <w:szCs w:val="24"/>
                <w:u w:val="single"/>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u w:val="single"/>
                <w:lang w:val="en-US" w:eastAsia="zh-CN"/>
              </w:rPr>
              <w:t xml:space="preserve"> 9 </w:t>
            </w:r>
            <w:r>
              <w:rPr>
                <w:rFonts w:hint="eastAsia" w:cs="宋体" w:asciiTheme="minorEastAsia" w:hAnsiTheme="minorEastAsia"/>
                <w:bCs/>
                <w:sz w:val="24"/>
                <w:szCs w:val="24"/>
                <w:lang w:val="zh-CN"/>
              </w:rPr>
              <w:t>时</w:t>
            </w:r>
            <w:r>
              <w:rPr>
                <w:rFonts w:hint="eastAsia" w:cs="宋体" w:asciiTheme="minorEastAsia" w:hAnsiTheme="minorEastAsia"/>
                <w:bCs/>
                <w:sz w:val="24"/>
                <w:szCs w:val="24"/>
                <w:lang w:val="en-US" w:eastAsia="zh-CN"/>
              </w:rPr>
              <w:t>00</w:t>
            </w:r>
            <w:r>
              <w:rPr>
                <w:rFonts w:hint="eastAsia" w:cs="宋体" w:asciiTheme="minorEastAsia" w:hAnsiTheme="minorEastAsia"/>
                <w:bCs/>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w:t>
            </w:r>
            <w:r>
              <w:rPr>
                <w:rFonts w:cs="宋体" w:asciiTheme="minorEastAsia" w:hAnsiTheme="minorEastAsia"/>
                <w:bCs/>
                <w:sz w:val="24"/>
                <w:szCs w:val="24"/>
                <w:lang w:val="zh-CN"/>
              </w:rPr>
              <w:t>政府采购中心开标</w:t>
            </w:r>
            <w:r>
              <w:rPr>
                <w:rFonts w:hint="eastAsia" w:cs="宋体" w:asciiTheme="minorEastAsia" w:hAnsiTheme="minorEastAsia"/>
                <w:bCs/>
                <w:sz w:val="24"/>
                <w:szCs w:val="24"/>
                <w:lang w:val="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金额：壹拾万元（¥ ：</w:t>
            </w:r>
            <w:r>
              <w:rPr>
                <w:rFonts w:hint="eastAsia" w:cs="仿宋_GB2312" w:asciiTheme="minorEastAsia" w:hAnsiTheme="minorEastAsia"/>
                <w:sz w:val="24"/>
                <w:szCs w:val="24"/>
                <w:lang w:val="en-US" w:eastAsia="zh-CN"/>
              </w:rPr>
              <w:t>100000.00</w:t>
            </w:r>
            <w:r>
              <w:rPr>
                <w:rFonts w:hint="eastAsia" w:cs="仿宋_GB2312" w:asciiTheme="minorEastAsia" w:hAnsiTheme="minorEastAsia"/>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adjustRightInd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 w:val="24"/>
                <w:szCs w:val="24"/>
              </w:rPr>
              <w:t>中国·许昌许昌市政府网</w:t>
            </w:r>
            <w:r>
              <w:rPr>
                <w:rFonts w:cs="宋体" w:asciiTheme="minorEastAsia" w:hAnsiTheme="minorEastAsia"/>
                <w:color w:val="000000"/>
                <w:sz w:val="24"/>
                <w:szCs w:val="24"/>
              </w:rPr>
              <w:fldChar w:fldCharType="end"/>
            </w:r>
            <w:r>
              <w:rPr>
                <w:rFonts w:hint="eastAsia" w:cs="宋体" w:asciiTheme="minorEastAsia" w:hAnsiTheme="minorEastAsia"/>
                <w:color w:val="000000"/>
                <w:sz w:val="24"/>
                <w:szCs w:val="24"/>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XX</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纸质投标文件：正本按招标文件要求签字盖章（无需逐页签字盖章），副本应与正本保持一致（可为正本的复印件）。正本与副本不一致的，以正本为准。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仿宋_GB2312" w:asciiTheme="minorEastAsia" w:hAnsiTheme="minorEastAsia"/>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综合评分法</w:t>
            </w:r>
            <w:r>
              <w:rPr>
                <w:rFonts w:hint="eastAsia" w:cs="宋体" w:asciiTheme="minorEastAsia" w:hAnsiTheme="minorEastAsia"/>
                <w:b/>
                <w:bCs/>
                <w:sz w:val="24"/>
                <w:szCs w:val="24"/>
                <w:lang w:val="zh-CN"/>
              </w:rPr>
              <w:t>□</w:t>
            </w:r>
            <w:r>
              <w:rPr>
                <w:rFonts w:hint="eastAsia" w:cs="仿宋_GB2312" w:asciiTheme="minorEastAsia" w:hAnsiTheme="minorEastAsia"/>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hint="eastAsia" w:cs="宋体" w:asciiTheme="minorEastAsia" w:hAnsiTheme="minorEastAsia"/>
                <w:b/>
                <w:bCs/>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不要求。</w:t>
            </w:r>
          </w:p>
          <w:p>
            <w:pPr>
              <w:autoSpaceDE w:val="0"/>
              <w:autoSpaceDN w:val="0"/>
              <w:adjustRightInd w:val="0"/>
              <w:spacing w:line="360" w:lineRule="auto"/>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10%以下</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中标人在接到中标通知时，须向代理机构发送投标报价及分项报价一览表（包含主要中标标的的名称、规格型号、数量、单价、服务要求等）电子文档，并同时通知评标服务部，联系电话：联系电话：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lang w:val="en-US" w:eastAsia="zh-CN"/>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lang w:val="en-US" w:eastAsia="zh-CN"/>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spacing w:line="360" w:lineRule="auto"/>
        <w:contextualSpacing/>
        <w:rPr>
          <w:rFonts w:hint="eastAsia" w:cs="仿宋_GB2312" w:asciiTheme="minorEastAsia" w:hAnsiTheme="minorEastAsia"/>
          <w:b/>
          <w:sz w:val="24"/>
          <w:szCs w:val="24"/>
          <w:lang w:val="zh-CN"/>
        </w:rPr>
      </w:pPr>
    </w:p>
    <w:p>
      <w:pPr>
        <w:tabs>
          <w:tab w:val="left" w:pos="1260"/>
        </w:tabs>
        <w:autoSpaceDE w:val="0"/>
        <w:autoSpaceDN w:val="0"/>
        <w:spacing w:line="360" w:lineRule="auto"/>
        <w:contextualSpacing/>
        <w:rPr>
          <w:rFonts w:hint="eastAsia" w:cs="仿宋_GB2312" w:asciiTheme="minorEastAsia" w:hAnsiTheme="minorEastAsia"/>
          <w:b/>
          <w:sz w:val="24"/>
          <w:szCs w:val="24"/>
          <w:lang w:val="zh-CN"/>
        </w:rPr>
      </w:pPr>
    </w:p>
    <w:p>
      <w:pPr>
        <w:tabs>
          <w:tab w:val="left" w:pos="1260"/>
        </w:tabs>
        <w:autoSpaceDE w:val="0"/>
        <w:autoSpaceDN w:val="0"/>
        <w:spacing w:line="360" w:lineRule="auto"/>
        <w:contextualSpacing/>
        <w:rPr>
          <w:rFonts w:hint="eastAsia" w:cs="仿宋_GB2312" w:asciiTheme="minorEastAsia" w:hAnsiTheme="minorEastAsia"/>
          <w:b/>
          <w:sz w:val="24"/>
          <w:szCs w:val="24"/>
          <w:lang w:val="zh-CN"/>
        </w:rPr>
      </w:pPr>
    </w:p>
    <w:p>
      <w:pPr>
        <w:widowControl/>
        <w:jc w:val="both"/>
        <w:rPr>
          <w:rFonts w:hint="eastAsia" w:cs="宋体" w:asciiTheme="majorEastAsia" w:hAnsiTheme="majorEastAsia" w:eastAsiaTheme="majorEastAsia"/>
          <w:b/>
          <w:kern w:val="0"/>
          <w:sz w:val="36"/>
          <w:szCs w:val="36"/>
          <w:lang w:val="en-US" w:eastAsia="zh-CN"/>
        </w:rPr>
      </w:pPr>
      <w:r>
        <w:rPr>
          <w:rFonts w:hint="eastAsia" w:cs="宋体" w:asciiTheme="majorEastAsia" w:hAnsiTheme="majorEastAsia" w:eastAsiaTheme="majorEastAsia"/>
          <w:b/>
          <w:kern w:val="0"/>
          <w:sz w:val="36"/>
          <w:szCs w:val="36"/>
          <w:lang w:val="en-US" w:eastAsia="zh-CN"/>
        </w:rPr>
        <w:t xml:space="preserve">          </w:t>
      </w:r>
    </w:p>
    <w:p>
      <w:pPr>
        <w:widowControl/>
        <w:jc w:val="both"/>
        <w:rPr>
          <w:rFonts w:hint="eastAsia" w:cs="宋体" w:asciiTheme="majorEastAsia" w:hAnsiTheme="majorEastAsia" w:eastAsiaTheme="majorEastAsia"/>
          <w:b/>
          <w:kern w:val="0"/>
          <w:sz w:val="36"/>
          <w:szCs w:val="36"/>
          <w:lang w:val="en-US" w:eastAsia="zh-CN"/>
        </w:rPr>
      </w:pPr>
    </w:p>
    <w:p>
      <w:pPr>
        <w:widowControl/>
        <w:ind w:firstLine="1807" w:firstLineChars="500"/>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2.9 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50"/>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0"/>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eastAsia="zh-CN"/>
        </w:rPr>
        <w:t>除标书</w:t>
      </w:r>
      <w:r>
        <w:rPr>
          <w:rFonts w:hint="eastAsia" w:cs="宋体" w:asciiTheme="minorEastAsia" w:hAnsiTheme="minorEastAsia"/>
          <w:kern w:val="0"/>
          <w:sz w:val="24"/>
          <w:szCs w:val="24"/>
        </w:rPr>
        <w:t>费用</w:t>
      </w:r>
      <w:r>
        <w:rPr>
          <w:rFonts w:hint="eastAsia" w:cs="宋体" w:asciiTheme="minorEastAsia" w:hAnsiTheme="minorEastAsia"/>
          <w:kern w:val="0"/>
          <w:sz w:val="24"/>
          <w:szCs w:val="24"/>
          <w:lang w:eastAsia="zh-CN"/>
        </w:rPr>
        <w:t>外，不收取作保费用</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44"/>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w:t>
      </w:r>
      <w:r>
        <w:rPr>
          <w:rFonts w:hint="eastAsia" w:cs="仿宋_GB2312" w:asciiTheme="minorEastAsia" w:hAnsiTheme="minorEastAsia"/>
          <w:color w:val="FF0000"/>
          <w:sz w:val="24"/>
          <w:szCs w:val="24"/>
          <w:lang w:val="zh-CN"/>
        </w:rPr>
        <w:t>0374-</w:t>
      </w:r>
      <w:r>
        <w:rPr>
          <w:rFonts w:hint="eastAsia" w:cs="仿宋_GB2312" w:asciiTheme="minorEastAsia" w:hAnsiTheme="minorEastAsia"/>
          <w:color w:val="FF0000"/>
          <w:sz w:val="24"/>
          <w:szCs w:val="24"/>
          <w:lang w:val="en-US" w:eastAsia="zh-CN"/>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w:t>
      </w:r>
      <w:r>
        <w:rPr>
          <w:rFonts w:hint="eastAsia" w:cs="仿宋_GB2312" w:asciiTheme="minorEastAsia" w:hAnsiTheme="minorEastAsia"/>
          <w:sz w:val="24"/>
          <w:szCs w:val="24"/>
          <w:lang w:val="zh-CN" w:eastAsia="zh-CN"/>
        </w:rPr>
        <w:t>并备案后</w:t>
      </w:r>
      <w:r>
        <w:rPr>
          <w:rFonts w:hint="eastAsia" w:cs="仿宋_GB2312" w:asciiTheme="minorEastAsia" w:hAnsiTheme="minorEastAsia"/>
          <w:sz w:val="24"/>
          <w:szCs w:val="24"/>
          <w:lang w:val="zh-CN"/>
        </w:rPr>
        <w:t>5个工作日内退还中标人的投标保证金（0374-</w:t>
      </w:r>
      <w:r>
        <w:rPr>
          <w:rFonts w:hint="eastAsia" w:cs="仿宋_GB2312" w:asciiTheme="minorEastAsia" w:hAnsiTheme="minorEastAsia"/>
          <w:sz w:val="24"/>
          <w:szCs w:val="24"/>
          <w:lang w:val="en-US" w:eastAsia="zh-CN"/>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w:t>
      </w:r>
      <w:r>
        <w:rPr>
          <w:rFonts w:hint="eastAsia" w:cs="仿宋_GB2312" w:asciiTheme="minorEastAsia" w:hAnsiTheme="minorEastAsia"/>
          <w:sz w:val="24"/>
          <w:szCs w:val="24"/>
          <w:lang w:eastAsia="zh-CN"/>
        </w:rPr>
        <w:t>禹州</w:t>
      </w:r>
      <w:r>
        <w:rPr>
          <w:rFonts w:hint="eastAsia" w:cs="仿宋_GB2312" w:asciiTheme="minorEastAsia" w:hAnsiTheme="minorEastAsia"/>
          <w:sz w:val="24"/>
          <w:szCs w:val="24"/>
        </w:rPr>
        <w:t>市</w:t>
      </w:r>
      <w:r>
        <w:rPr>
          <w:rFonts w:hint="eastAsia" w:cs="仿宋_GB2312" w:asciiTheme="minorEastAsia" w:hAnsiTheme="minorEastAsia"/>
          <w:sz w:val="24"/>
          <w:szCs w:val="24"/>
          <w:lang w:eastAsia="zh-CN"/>
        </w:rPr>
        <w:t>政府采购监督管理办公室办理</w:t>
      </w:r>
      <w:r>
        <w:rPr>
          <w:rFonts w:hint="eastAsia" w:cs="仿宋_GB2312" w:asciiTheme="minorEastAsia" w:hAnsiTheme="minorEastAsia"/>
          <w:sz w:val="24"/>
          <w:szCs w:val="24"/>
        </w:rPr>
        <w:t>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lang w:val="en-US" w:eastAsia="zh-CN"/>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tabs>
          <w:tab w:val="left" w:pos="1260"/>
        </w:tabs>
        <w:autoSpaceDE w:val="0"/>
        <w:autoSpaceDN w:val="0"/>
        <w:spacing w:line="360" w:lineRule="auto"/>
        <w:contextualSpacing/>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lang w:val="en-US" w:eastAsia="zh-CN"/>
        </w:rPr>
        <w:t>30.2.7投标文件内容模糊不清，无法辨认的。</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3"/>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3" w:name="OLE_LINK6"/>
      <w:r>
        <w:rPr>
          <w:rFonts w:hint="eastAsia" w:cs="仿宋_GB2312" w:asciiTheme="minorEastAsia" w:hAnsiTheme="minorEastAsia"/>
          <w:sz w:val="24"/>
          <w:szCs w:val="24"/>
          <w:lang w:val="zh-CN"/>
        </w:rPr>
        <w:t>财库[2014]68号</w:t>
      </w:r>
      <w:bookmarkEnd w:id="3"/>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4"/>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（1）上一年度的财务报告；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w:t>
            </w:r>
            <w:r>
              <w:rPr>
                <w:rFonts w:hint="eastAsia" w:asciiTheme="minorEastAsia" w:hAnsiTheme="minorEastAsia"/>
                <w:b/>
                <w:sz w:val="24"/>
                <w:szCs w:val="24"/>
                <w:lang w:eastAsia="zh-CN"/>
              </w:rPr>
              <w:t>被委托人社保及</w:t>
            </w:r>
            <w:r>
              <w:rPr>
                <w:rFonts w:hint="eastAsia" w:asciiTheme="minorEastAsia" w:hAnsiTheme="minorEastAsia"/>
                <w:b/>
                <w:sz w:val="24"/>
                <w:szCs w:val="24"/>
              </w:rPr>
              <w:t>法定代表人身份证明或提供法定代表人授权委托书及被授权人身份证明。</w:t>
            </w: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3"/>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3"/>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hint="eastAsia"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p>
      <w:pPr>
        <w:spacing w:line="360" w:lineRule="auto"/>
        <w:ind w:firstLine="482" w:firstLineChars="200"/>
        <w:rPr>
          <w:rFonts w:hint="eastAsia" w:asciiTheme="majorEastAsia" w:hAnsiTheme="majorEastAsia" w:eastAsiaTheme="majorEastAsia" w:cstheme="majorEastAsia"/>
          <w:b/>
          <w:sz w:val="24"/>
          <w:szCs w:val="24"/>
          <w:lang w:val="zh-CN"/>
        </w:rPr>
      </w:pPr>
      <w:r>
        <w:rPr>
          <w:rFonts w:hint="eastAsia" w:asciiTheme="majorEastAsia" w:hAnsiTheme="majorEastAsia" w:eastAsiaTheme="majorEastAsia" w:cstheme="majorEastAsia"/>
          <w:b/>
          <w:sz w:val="24"/>
          <w:szCs w:val="24"/>
          <w:lang w:val="zh-CN"/>
        </w:rPr>
        <w:t>其中：价格分计算（落实政府采购政策价格调整部分）</w:t>
      </w:r>
    </w:p>
    <w:p>
      <w:pPr>
        <w:pStyle w:val="67"/>
        <w:spacing w:line="360" w:lineRule="auto"/>
        <w:ind w:firstLine="640" w:firstLineChars="200"/>
        <w:contextualSpacing/>
        <w:rPr>
          <w:rFonts w:ascii="仿宋" w:hAnsi="仿宋" w:eastAsia="仿宋" w:cs="宋体"/>
          <w:sz w:val="32"/>
          <w:szCs w:val="32"/>
        </w:rPr>
      </w:pPr>
    </w:p>
    <w:tbl>
      <w:tblPr>
        <w:tblStyle w:val="24"/>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4"/>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kern w:val="0"/>
                <w:szCs w:val="21"/>
              </w:rPr>
              <w:t>分值构成</w:t>
            </w:r>
          </w:p>
          <w:p>
            <w:pPr>
              <w:widowControl/>
              <w:spacing w:line="330" w:lineRule="atLeast"/>
              <w:jc w:val="center"/>
              <w:rPr>
                <w:rFonts w:ascii="宋体" w:hAnsi="宋体" w:cs="宋体"/>
                <w:kern w:val="0"/>
                <w:szCs w:val="21"/>
              </w:rPr>
            </w:pPr>
            <w:r>
              <w:rPr>
                <w:rFonts w:hint="eastAsia" w:ascii="宋体" w:hAnsi="宋体" w:cs="宋体"/>
                <w:kern w:val="0"/>
                <w:szCs w:val="21"/>
              </w:rPr>
              <w:t>(总分100分)</w:t>
            </w:r>
          </w:p>
        </w:tc>
        <w:tc>
          <w:tcPr>
            <w:tcW w:w="716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940" w:firstLineChars="1400"/>
              <w:rPr>
                <w:rFonts w:ascii="宋体" w:hAnsi="宋体" w:cs="宋体"/>
                <w:kern w:val="0"/>
                <w:szCs w:val="21"/>
              </w:rPr>
            </w:pPr>
            <w:r>
              <w:rPr>
                <w:rFonts w:hint="eastAsia" w:ascii="宋体" w:hAnsi="宋体" w:cs="宋体"/>
                <w:kern w:val="0"/>
                <w:szCs w:val="21"/>
              </w:rPr>
              <w:t>价格分值：</w:t>
            </w:r>
            <w:r>
              <w:rPr>
                <w:rFonts w:hint="eastAsia" w:ascii="宋体" w:hAnsi="宋体" w:cs="宋体"/>
                <w:kern w:val="0"/>
                <w:szCs w:val="21"/>
                <w:lang w:val="en-US" w:eastAsia="zh-CN"/>
              </w:rPr>
              <w:t>50</w:t>
            </w:r>
            <w:r>
              <w:rPr>
                <w:rFonts w:hint="eastAsia" w:ascii="宋体" w:hAnsi="宋体" w:cs="宋体"/>
                <w:kern w:val="0"/>
                <w:szCs w:val="21"/>
              </w:rPr>
              <w:t xml:space="preserve"> 分</w:t>
            </w:r>
          </w:p>
          <w:p>
            <w:pPr>
              <w:widowControl/>
              <w:spacing w:line="360" w:lineRule="auto"/>
              <w:ind w:firstLine="480"/>
              <w:jc w:val="center"/>
              <w:rPr>
                <w:rFonts w:ascii="宋体" w:hAnsi="宋体" w:cs="宋体"/>
                <w:kern w:val="0"/>
                <w:szCs w:val="21"/>
              </w:rPr>
            </w:pPr>
            <w:r>
              <w:rPr>
                <w:rFonts w:hint="eastAsia" w:ascii="宋体" w:hAnsi="宋体" w:cs="宋体"/>
                <w:kern w:val="0"/>
                <w:szCs w:val="21"/>
              </w:rPr>
              <w:t>商务部分：15分</w:t>
            </w:r>
          </w:p>
          <w:p>
            <w:pPr>
              <w:widowControl/>
              <w:spacing w:line="360" w:lineRule="auto"/>
              <w:ind w:firstLine="480"/>
              <w:jc w:val="center"/>
              <w:rPr>
                <w:rFonts w:ascii="宋体" w:hAnsi="宋体" w:cs="宋体"/>
                <w:kern w:val="0"/>
                <w:szCs w:val="21"/>
              </w:rPr>
            </w:pPr>
            <w:r>
              <w:rPr>
                <w:rFonts w:hint="eastAsia" w:ascii="宋体" w:hAnsi="宋体" w:cs="宋体"/>
                <w:kern w:val="0"/>
                <w:szCs w:val="21"/>
              </w:rPr>
              <w:t>技术部分：</w:t>
            </w:r>
            <w:r>
              <w:rPr>
                <w:rFonts w:hint="eastAsia" w:ascii="宋体" w:hAnsi="宋体" w:cs="宋体"/>
                <w:kern w:val="0"/>
                <w:szCs w:val="21"/>
                <w:lang w:val="en-US" w:eastAsia="zh-CN"/>
              </w:rPr>
              <w:t>3</w:t>
            </w:r>
            <w:r>
              <w:rPr>
                <w:rFonts w:hint="eastAsia" w:ascii="宋体" w:hAnsi="宋体" w:cs="宋体"/>
                <w:kern w:val="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bCs/>
                <w:kern w:val="0"/>
                <w:szCs w:val="21"/>
              </w:rPr>
              <w:t>一、价格部分（满分</w:t>
            </w:r>
            <w:r>
              <w:rPr>
                <w:rFonts w:hint="eastAsia" w:ascii="宋体" w:hAnsi="宋体" w:cs="宋体"/>
                <w:bCs/>
                <w:kern w:val="0"/>
                <w:szCs w:val="21"/>
                <w:lang w:val="en-US" w:eastAsia="zh-CN"/>
              </w:rPr>
              <w:t>50</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bCs/>
                <w:kern w:val="0"/>
                <w:szCs w:val="21"/>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bCs/>
                <w:kern w:val="0"/>
                <w:szCs w:val="21"/>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kern w:val="0"/>
                <w:szCs w:val="21"/>
              </w:rPr>
              <w:t>投标报价</w:t>
            </w:r>
          </w:p>
          <w:p>
            <w:pPr>
              <w:widowControl/>
              <w:spacing w:line="330" w:lineRule="atLeast"/>
              <w:jc w:val="center"/>
              <w:rPr>
                <w:rFonts w:ascii="宋体" w:hAnsi="宋体" w:cs="宋体"/>
                <w:kern w:val="0"/>
                <w:szCs w:val="21"/>
              </w:rPr>
            </w:pPr>
            <w:r>
              <w:rPr>
                <w:rFonts w:hint="eastAsia" w:ascii="宋体" w:hAnsi="宋体" w:cs="宋体"/>
                <w:kern w:val="0"/>
                <w:szCs w:val="21"/>
              </w:rPr>
              <w:t>评分标准</w:t>
            </w:r>
          </w:p>
        </w:tc>
        <w:tc>
          <w:tcPr>
            <w:tcW w:w="6164" w:type="dxa"/>
            <w:tcBorders>
              <w:top w:val="single" w:color="auto" w:sz="4" w:space="0"/>
              <w:left w:val="single" w:color="auto" w:sz="4" w:space="0"/>
              <w:bottom w:val="single" w:color="auto" w:sz="4" w:space="0"/>
              <w:right w:val="single" w:color="auto" w:sz="4" w:space="0"/>
            </w:tcBorders>
            <w:vAlign w:val="center"/>
          </w:tcPr>
          <w:p>
            <w:pPr>
              <w:pStyle w:val="68"/>
              <w:numPr>
                <w:ilvl w:val="0"/>
                <w:numId w:val="13"/>
              </w:numPr>
              <w:spacing w:line="330" w:lineRule="atLeast"/>
              <w:ind w:left="-2" w:leftChars="-2" w:hanging="2" w:hangingChars="1"/>
              <w:rPr>
                <w:rFonts w:ascii="宋体" w:hAnsi="宋体" w:cs="宋体"/>
                <w:sz w:val="21"/>
                <w:szCs w:val="21"/>
              </w:rPr>
            </w:pPr>
            <w:r>
              <w:rPr>
                <w:rFonts w:hint="eastAsia" w:ascii="宋体" w:hAnsi="宋体" w:cs="宋体"/>
                <w:sz w:val="21"/>
                <w:szCs w:val="21"/>
              </w:rPr>
              <w:t>评标基准价：满足招标文件要求的有效投标报价中，最低的投标报价为评标基准价。投标报价得分=（评标基准价/投标报价）</w:t>
            </w:r>
            <w:r>
              <w:rPr>
                <w:rFonts w:hint="eastAsia" w:ascii="宋体" w:hAnsi="宋体"/>
                <w:sz w:val="21"/>
                <w:szCs w:val="21"/>
              </w:rPr>
              <w:t>×</w:t>
            </w:r>
            <w:r>
              <w:rPr>
                <w:rFonts w:hint="eastAsia" w:ascii="宋体" w:hAnsi="宋体" w:cs="宋体"/>
                <w:sz w:val="21"/>
                <w:szCs w:val="21"/>
                <w:lang w:val="en-US" w:eastAsia="zh-CN"/>
              </w:rPr>
              <w:t>50</w:t>
            </w:r>
          </w:p>
          <w:p>
            <w:pPr>
              <w:pStyle w:val="68"/>
              <w:numPr>
                <w:ilvl w:val="0"/>
                <w:numId w:val="13"/>
              </w:numPr>
              <w:spacing w:line="330" w:lineRule="atLeast"/>
              <w:ind w:left="-2" w:leftChars="-2" w:hanging="2" w:hangingChars="1"/>
              <w:rPr>
                <w:rFonts w:ascii="宋体" w:hAnsi="宋体" w:cs="宋体"/>
                <w:kern w:val="2"/>
                <w:sz w:val="21"/>
                <w:szCs w:val="21"/>
              </w:rPr>
            </w:pPr>
            <w:r>
              <w:rPr>
                <w:rFonts w:hint="eastAsia" w:ascii="宋体" w:hAnsi="宋体" w:cs="宋体"/>
                <w:sz w:val="21"/>
                <w:szCs w:val="21"/>
              </w:rPr>
              <w:t>为促进中小企业发展，根据《中华人民共和国政府采购法实施条例》和财库【2011】181号的规定，给与小型和微型企业产品价格6%的折扣，用扣除后的价格参与评审，参与评审的小微企业产品投标价=小微企业产品报价</w:t>
            </w:r>
            <w:r>
              <w:rPr>
                <w:rFonts w:hint="eastAsia" w:ascii="宋体" w:hAnsi="宋体"/>
                <w:sz w:val="21"/>
                <w:szCs w:val="21"/>
              </w:rPr>
              <w:t>×（1%-6%）。</w:t>
            </w:r>
          </w:p>
          <w:p>
            <w:pPr>
              <w:pStyle w:val="68"/>
              <w:numPr>
                <w:ilvl w:val="0"/>
                <w:numId w:val="13"/>
              </w:numPr>
              <w:spacing w:line="330" w:lineRule="atLeast"/>
              <w:ind w:left="-2" w:leftChars="-2" w:hanging="2" w:hangingChars="1"/>
              <w:rPr>
                <w:rFonts w:ascii="宋体" w:hAnsi="宋体" w:cs="宋体"/>
                <w:szCs w:val="21"/>
              </w:rPr>
            </w:pPr>
            <w:r>
              <w:rPr>
                <w:rFonts w:hint="eastAsia" w:ascii="宋体" w:hAnsi="宋体" w:cs="仿宋"/>
                <w:sz w:val="21"/>
                <w:szCs w:val="21"/>
                <w:lang w:val="zh-CN"/>
              </w:rPr>
              <w:t>投标人的投标报价明显不合理或者低于成本，有可能影响服务质量和不能诚信履约的，应当要求其在评标现场30分钟内提供书面文件予以解释说明，投标时须提前准备好能证明其投标报价合理的相应书面文件或相关证明材料。否则为无效投标。</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kern w:val="0"/>
                <w:szCs w:val="21"/>
                <w:lang w:val="en-US" w:eastAsia="zh-CN"/>
              </w:rPr>
              <w:t>5</w:t>
            </w:r>
            <w:r>
              <w:rPr>
                <w:rFonts w:hint="eastAsia" w:ascii="宋体" w:hAnsi="宋体" w:cs="宋体"/>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bCs/>
                <w:kern w:val="0"/>
                <w:szCs w:val="21"/>
              </w:rPr>
              <w:t>二、商务部分（满分15分）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bCs/>
                <w:kern w:val="0"/>
                <w:szCs w:val="21"/>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bCs/>
                <w:kern w:val="0"/>
                <w:szCs w:val="21"/>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11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公司信誉、资质以及综合实力等证明</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1、投标人提供社会信用体系建设主管部门认可的信用评价机构出具的企业信用报告和信用等级证书，信用等级为AAA级的得3分，AA级的得2分，AA级以下得1分，未提供不得分。</w:t>
            </w:r>
          </w:p>
          <w:p>
            <w:pPr>
              <w:widowControl/>
              <w:jc w:val="left"/>
              <w:rPr>
                <w:rFonts w:ascii="宋体" w:hAnsi="宋体"/>
                <w:szCs w:val="21"/>
              </w:rPr>
            </w:pPr>
            <w:r>
              <w:rPr>
                <w:rFonts w:hint="eastAsia" w:ascii="宋体" w:hAnsi="宋体"/>
                <w:szCs w:val="21"/>
              </w:rPr>
              <w:t>2、投标人具有ISO9001质量管理体系认证证书的得1分。</w:t>
            </w:r>
          </w:p>
          <w:p>
            <w:pPr>
              <w:widowControl/>
              <w:jc w:val="left"/>
              <w:rPr>
                <w:rFonts w:ascii="宋体" w:hAnsi="宋体"/>
                <w:szCs w:val="21"/>
              </w:rPr>
            </w:pPr>
            <w:r>
              <w:rPr>
                <w:rFonts w:hint="eastAsia" w:ascii="宋体" w:hAnsi="宋体"/>
                <w:szCs w:val="21"/>
              </w:rPr>
              <w:t>3、投标人具有ISO14001环境管理体系认证证书的得1分。</w:t>
            </w:r>
          </w:p>
          <w:p>
            <w:pPr>
              <w:widowControl/>
              <w:jc w:val="left"/>
              <w:rPr>
                <w:rFonts w:ascii="宋体" w:hAnsi="宋体"/>
                <w:szCs w:val="21"/>
              </w:rPr>
            </w:pPr>
            <w:r>
              <w:rPr>
                <w:rFonts w:hint="eastAsia" w:ascii="宋体" w:hAnsi="宋体"/>
                <w:szCs w:val="21"/>
              </w:rPr>
              <w:t>4、投标人具有ISO/IEC27001信息安全管理体系认证证书的得1分。</w:t>
            </w:r>
          </w:p>
          <w:p>
            <w:pPr>
              <w:widowControl/>
              <w:jc w:val="left"/>
              <w:rPr>
                <w:rFonts w:ascii="宋体" w:hAnsi="宋体"/>
                <w:szCs w:val="21"/>
              </w:rPr>
            </w:pPr>
            <w:r>
              <w:rPr>
                <w:rFonts w:hint="eastAsia" w:ascii="宋体" w:hAnsi="宋体"/>
                <w:szCs w:val="21"/>
              </w:rPr>
              <w:t>以上证书须在投标文件中提供加盖制造商公章的复印件。</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ind w:firstLine="210" w:firstLineChars="100"/>
              <w:jc w:val="left"/>
              <w:rPr>
                <w:rFonts w:ascii="宋体" w:hAnsi="宋体" w:cs="宋体"/>
                <w:kern w:val="0"/>
                <w:szCs w:val="21"/>
              </w:rPr>
            </w:pPr>
            <w:r>
              <w:rPr>
                <w:rFonts w:hint="eastAsia" w:ascii="宋体" w:hAnsi="宋体" w:cs="仿宋"/>
                <w:kern w:val="0"/>
                <w:szCs w:val="21"/>
              </w:rPr>
              <w:t>6</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业绩证明</w:t>
            </w:r>
          </w:p>
        </w:tc>
        <w:tc>
          <w:tcPr>
            <w:tcW w:w="61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投标人提供2016年1月1日以来机动车尾气遥感监测类项目业绩，每提供一个得3分，最多可得9分.</w:t>
            </w:r>
          </w:p>
          <w:p>
            <w:pPr>
              <w:rPr>
                <w:rFonts w:ascii="宋体" w:hAnsi="宋体" w:cs="宋体"/>
                <w:szCs w:val="21"/>
              </w:rPr>
            </w:pPr>
            <w:r>
              <w:rPr>
                <w:rFonts w:hint="eastAsia" w:ascii="宋体" w:hAnsi="宋体" w:cs="宋体"/>
                <w:szCs w:val="21"/>
              </w:rPr>
              <w:t>须同时提供政府采购中标通知书、合同，不能完整提供业绩证明材料不得分。（投标文件中提供加盖公章的复印件）</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kern w:val="0"/>
                <w:szCs w:val="21"/>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bCs/>
                <w:kern w:val="0"/>
                <w:szCs w:val="21"/>
              </w:rPr>
              <w:t>三、技术部分（满分</w:t>
            </w:r>
            <w:r>
              <w:rPr>
                <w:rFonts w:hint="eastAsia" w:ascii="宋体" w:hAnsi="宋体" w:cs="宋体"/>
                <w:bCs/>
                <w:kern w:val="0"/>
                <w:szCs w:val="21"/>
                <w:lang w:val="en-US" w:eastAsia="zh-CN"/>
              </w:rPr>
              <w:t>3</w:t>
            </w:r>
            <w:r>
              <w:rPr>
                <w:rFonts w:hint="eastAsia" w:ascii="宋体" w:hAnsi="宋体" w:cs="宋体"/>
                <w:bCs/>
                <w:kern w:val="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bCs/>
                <w:kern w:val="0"/>
                <w:szCs w:val="21"/>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bCs/>
                <w:kern w:val="0"/>
                <w:szCs w:val="21"/>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标书响应程度</w:t>
            </w:r>
          </w:p>
        </w:tc>
        <w:tc>
          <w:tcPr>
            <w:tcW w:w="6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cs="宋体"/>
                <w:bCs/>
                <w:szCs w:val="21"/>
                <w:lang w:val="zh-CN"/>
              </w:rPr>
              <w:t>设备选型及技术指标：</w:t>
            </w:r>
            <w:r>
              <w:rPr>
                <w:rFonts w:hint="eastAsia" w:ascii="宋体" w:hAnsi="宋体" w:cs="宋体"/>
                <w:bCs/>
                <w:szCs w:val="21"/>
                <w:lang w:val="zh-CN" w:eastAsia="zh-CN"/>
              </w:rPr>
              <w:t>完全满足或优于招标文件技术要求得</w:t>
            </w:r>
            <w:r>
              <w:rPr>
                <w:rFonts w:hint="eastAsia" w:ascii="宋体" w:hAnsi="宋体" w:cs="宋体"/>
                <w:bCs/>
                <w:szCs w:val="21"/>
                <w:lang w:val="en-US" w:eastAsia="zh-CN"/>
              </w:rPr>
              <w:t>16分，</w:t>
            </w:r>
            <w:r>
              <w:rPr>
                <w:rFonts w:hint="eastAsia" w:ascii="宋体" w:hAnsi="宋体" w:cs="宋体"/>
                <w:bCs/>
                <w:szCs w:val="21"/>
                <w:lang w:val="zh-CN"/>
              </w:rPr>
              <w:t>招标文件中“</w:t>
            </w:r>
            <w:r>
              <w:rPr>
                <w:rFonts w:hint="eastAsia" w:ascii="宋体" w:hAnsi="宋体"/>
                <w:szCs w:val="21"/>
                <w:shd w:val="pct10" w:color="auto" w:fill="FFFFFF"/>
              </w:rPr>
              <w:t>▲</w:t>
            </w:r>
            <w:r>
              <w:rPr>
                <w:rFonts w:hint="eastAsia" w:ascii="宋体" w:hAnsi="宋体" w:cs="宋体"/>
                <w:bCs/>
                <w:szCs w:val="21"/>
                <w:lang w:val="zh-CN"/>
              </w:rPr>
              <w:t>”号指标有一项不满足扣2</w:t>
            </w:r>
            <w:r>
              <w:rPr>
                <w:rFonts w:hint="eastAsia" w:ascii="宋体" w:hAnsi="宋体" w:cs="宋体"/>
                <w:bCs/>
                <w:szCs w:val="21"/>
              </w:rPr>
              <w:t>分，非</w:t>
            </w:r>
            <w:r>
              <w:rPr>
                <w:rFonts w:hint="eastAsia" w:ascii="宋体" w:hAnsi="宋体" w:cs="宋体"/>
                <w:bCs/>
                <w:szCs w:val="21"/>
                <w:lang w:val="zh-CN"/>
              </w:rPr>
              <w:t>“</w:t>
            </w:r>
            <w:r>
              <w:rPr>
                <w:rFonts w:hint="eastAsia" w:ascii="宋体" w:hAnsi="宋体"/>
                <w:szCs w:val="21"/>
                <w:shd w:val="pct10" w:color="auto" w:fill="FFFFFF"/>
              </w:rPr>
              <w:t>▲</w:t>
            </w:r>
            <w:r>
              <w:rPr>
                <w:rFonts w:hint="eastAsia" w:ascii="宋体" w:hAnsi="宋体" w:cs="宋体"/>
                <w:bCs/>
                <w:szCs w:val="21"/>
                <w:lang w:val="zh-CN"/>
              </w:rPr>
              <w:t>”号指标有一项不满足扣1</w:t>
            </w:r>
            <w:r>
              <w:rPr>
                <w:rFonts w:hint="eastAsia" w:ascii="宋体" w:hAnsi="宋体" w:cs="宋体"/>
                <w:bCs/>
                <w:szCs w:val="21"/>
              </w:rPr>
              <w:t>分，扣完为止。</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kern w:val="0"/>
                <w:szCs w:val="21"/>
              </w:rPr>
              <w:t>16</w:t>
            </w:r>
            <w:bookmarkStart w:id="12" w:name="_GoBack"/>
            <w:bookmarkEnd w:id="12"/>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产品先进性</w:t>
            </w:r>
          </w:p>
        </w:tc>
        <w:tc>
          <w:tcPr>
            <w:tcW w:w="616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仿宋"/>
                <w:szCs w:val="21"/>
              </w:rPr>
            </w:pPr>
            <w:r>
              <w:rPr>
                <w:rFonts w:hint="eastAsia" w:ascii="宋体" w:hAnsi="宋体" w:cs="仿宋"/>
                <w:szCs w:val="21"/>
              </w:rPr>
              <w:t>1、投标人所投产品具有省级及以上计量院出具的检定证书/校准证书/测试证书（气体部分、不透光部分、测量速度部分、温湿度部分、光源），有一个得</w:t>
            </w:r>
            <w:r>
              <w:rPr>
                <w:rFonts w:hint="eastAsia" w:ascii="宋体" w:hAnsi="宋体" w:cs="仿宋"/>
                <w:szCs w:val="21"/>
                <w:lang w:val="en-US" w:eastAsia="zh-CN"/>
              </w:rPr>
              <w:t>1</w:t>
            </w:r>
            <w:r>
              <w:rPr>
                <w:rFonts w:hint="eastAsia" w:ascii="宋体" w:hAnsi="宋体" w:cs="仿宋"/>
                <w:szCs w:val="21"/>
              </w:rPr>
              <w:t>分，最高</w:t>
            </w:r>
            <w:r>
              <w:rPr>
                <w:rFonts w:hint="eastAsia" w:ascii="宋体" w:hAnsi="宋体" w:cs="仿宋"/>
                <w:szCs w:val="21"/>
                <w:lang w:val="en-US" w:eastAsia="zh-CN"/>
              </w:rPr>
              <w:t>3</w:t>
            </w:r>
            <w:r>
              <w:rPr>
                <w:rFonts w:hint="eastAsia" w:ascii="宋体" w:hAnsi="宋体" w:cs="仿宋"/>
                <w:szCs w:val="21"/>
              </w:rPr>
              <w:t>分；</w:t>
            </w:r>
          </w:p>
          <w:p>
            <w:pPr>
              <w:jc w:val="left"/>
              <w:rPr>
                <w:rFonts w:ascii="宋体" w:hAnsi="宋体" w:cs="仿宋"/>
                <w:szCs w:val="21"/>
              </w:rPr>
            </w:pPr>
            <w:r>
              <w:rPr>
                <w:rFonts w:hint="eastAsia" w:ascii="宋体" w:hAnsi="宋体" w:cs="仿宋"/>
                <w:szCs w:val="21"/>
              </w:rPr>
              <w:t>2、投标人所投产品具有固定水平式遥感监测设备和移动式遥感监测设备的省级以上计量院出具的高低温检测报告，有一个得</w:t>
            </w:r>
            <w:r>
              <w:rPr>
                <w:rFonts w:hint="eastAsia" w:ascii="宋体" w:hAnsi="宋体" w:cs="仿宋"/>
                <w:szCs w:val="21"/>
                <w:lang w:val="en-US" w:eastAsia="zh-CN"/>
              </w:rPr>
              <w:t>1</w:t>
            </w:r>
            <w:r>
              <w:rPr>
                <w:rFonts w:hint="eastAsia" w:ascii="宋体" w:hAnsi="宋体" w:cs="仿宋"/>
                <w:szCs w:val="21"/>
              </w:rPr>
              <w:t>2分，最高</w:t>
            </w:r>
            <w:r>
              <w:rPr>
                <w:rFonts w:hint="eastAsia" w:ascii="宋体" w:hAnsi="宋体" w:cs="仿宋"/>
                <w:szCs w:val="21"/>
                <w:lang w:val="en-US" w:eastAsia="zh-CN"/>
              </w:rPr>
              <w:t>2</w:t>
            </w:r>
            <w:r>
              <w:rPr>
                <w:rFonts w:hint="eastAsia" w:ascii="宋体" w:hAnsi="宋体" w:cs="仿宋"/>
                <w:szCs w:val="21"/>
              </w:rPr>
              <w:t>分；</w:t>
            </w:r>
          </w:p>
          <w:p>
            <w:pPr>
              <w:jc w:val="left"/>
              <w:rPr>
                <w:rFonts w:ascii="宋体" w:hAnsi="宋体" w:cs="仿宋"/>
                <w:szCs w:val="21"/>
              </w:rPr>
            </w:pPr>
            <w:r>
              <w:rPr>
                <w:rFonts w:hint="eastAsia" w:ascii="宋体" w:hAnsi="宋体" w:cs="仿宋"/>
                <w:szCs w:val="21"/>
              </w:rPr>
              <w:t>3、投标人所投产品具有固定水平式遥感监测设备和移动式遥感监测设备省级以上计量院或最终用户出具的遥感监测设备无故障证明材料，有一个得</w:t>
            </w:r>
            <w:r>
              <w:rPr>
                <w:rFonts w:hint="eastAsia" w:ascii="宋体" w:hAnsi="宋体" w:cs="仿宋"/>
                <w:szCs w:val="21"/>
                <w:lang w:val="en-US" w:eastAsia="zh-CN"/>
              </w:rPr>
              <w:t>1</w:t>
            </w:r>
            <w:r>
              <w:rPr>
                <w:rFonts w:hint="eastAsia" w:ascii="宋体" w:hAnsi="宋体" w:cs="仿宋"/>
                <w:szCs w:val="21"/>
              </w:rPr>
              <w:t>分，最高得</w:t>
            </w:r>
            <w:r>
              <w:rPr>
                <w:rFonts w:hint="eastAsia" w:ascii="宋体" w:hAnsi="宋体" w:cs="仿宋"/>
                <w:szCs w:val="21"/>
                <w:lang w:val="en-US" w:eastAsia="zh-CN"/>
              </w:rPr>
              <w:t>2</w:t>
            </w:r>
            <w:r>
              <w:rPr>
                <w:rFonts w:hint="eastAsia" w:ascii="宋体" w:hAnsi="宋体" w:cs="仿宋"/>
                <w:szCs w:val="21"/>
              </w:rPr>
              <w:t>分。</w:t>
            </w:r>
          </w:p>
          <w:p>
            <w:pPr>
              <w:rPr>
                <w:rFonts w:ascii="宋体" w:hAnsi="宋体" w:cs="仿宋"/>
                <w:szCs w:val="21"/>
              </w:rPr>
            </w:pPr>
            <w:r>
              <w:rPr>
                <w:rFonts w:hint="eastAsia" w:ascii="宋体" w:hAnsi="宋体"/>
                <w:szCs w:val="21"/>
              </w:rPr>
              <w:t>以上检测报告须在投标文件中提供加盖产品制造商公章的复印件。</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技术方案（实施方案）</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1、对投标人根据本项目实际需求提供的（实施方案）包括：供货方案、固定式设备施工安装方案、移动式车辆改装方案、平台建设方案、省级平台对接方案、质量保障措施、安全保障措施、培训方案等内容进行综合评价，优秀的得</w:t>
            </w:r>
            <w:r>
              <w:rPr>
                <w:rFonts w:hint="eastAsia" w:ascii="宋体" w:hAnsi="宋体"/>
                <w:szCs w:val="21"/>
                <w:lang w:val="en-US" w:eastAsia="zh-CN"/>
              </w:rPr>
              <w:t>5</w:t>
            </w:r>
            <w:r>
              <w:rPr>
                <w:rFonts w:hint="eastAsia" w:ascii="宋体" w:hAnsi="宋体"/>
                <w:szCs w:val="21"/>
              </w:rPr>
              <w:t>分，良好的得</w:t>
            </w:r>
            <w:r>
              <w:rPr>
                <w:rFonts w:hint="eastAsia" w:ascii="宋体" w:hAnsi="宋体"/>
                <w:szCs w:val="21"/>
                <w:lang w:val="en-US" w:eastAsia="zh-CN"/>
              </w:rPr>
              <w:t>3</w:t>
            </w:r>
            <w:r>
              <w:rPr>
                <w:rFonts w:hint="eastAsia" w:ascii="宋体" w:hAnsi="宋体"/>
                <w:szCs w:val="21"/>
              </w:rPr>
              <w:t>分，一般的</w:t>
            </w:r>
            <w:r>
              <w:rPr>
                <w:rFonts w:hint="eastAsia" w:ascii="宋体" w:hAnsi="宋体"/>
                <w:szCs w:val="21"/>
                <w:lang w:val="en-US" w:eastAsia="zh-CN"/>
              </w:rPr>
              <w:t>1</w:t>
            </w:r>
            <w:r>
              <w:rPr>
                <w:rFonts w:hint="eastAsia" w:ascii="宋体" w:hAnsi="宋体"/>
                <w:szCs w:val="21"/>
              </w:rPr>
              <w:t>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kern w:val="0"/>
                <w:szCs w:val="21"/>
                <w:lang w:val="en-US" w:eastAsia="zh-CN"/>
              </w:rPr>
              <w:t>5</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拟投入设备及软件技术能力</w:t>
            </w:r>
          </w:p>
        </w:tc>
        <w:tc>
          <w:tcPr>
            <w:tcW w:w="6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cs="宋体"/>
                <w:bCs/>
                <w:kern w:val="44"/>
                <w:szCs w:val="21"/>
                <w:lang w:val="zh-CN"/>
              </w:rPr>
              <w:t>1</w:t>
            </w:r>
            <w:r>
              <w:rPr>
                <w:rFonts w:hint="eastAsia" w:ascii="宋体" w:hAnsi="宋体"/>
                <w:szCs w:val="21"/>
                <w:lang w:val="zh-CN"/>
              </w:rPr>
              <w:t>、为保证系统整体稳定性和兼容性，汽车尾气遥感监测系统主要硬件产品（遥感监测仪）与</w:t>
            </w:r>
            <w:r>
              <w:rPr>
                <w:rFonts w:hint="eastAsia" w:ascii="宋体" w:hAnsi="宋体"/>
                <w:szCs w:val="21"/>
              </w:rPr>
              <w:t>尾气遥感监测大数据平台系统为同一品牌的得</w:t>
            </w:r>
            <w:r>
              <w:rPr>
                <w:rFonts w:hint="eastAsia" w:ascii="宋体" w:hAnsi="宋体"/>
                <w:szCs w:val="21"/>
                <w:lang w:val="en-US" w:eastAsia="zh-CN"/>
              </w:rPr>
              <w:t>2</w:t>
            </w:r>
            <w:r>
              <w:rPr>
                <w:rFonts w:hint="eastAsia" w:ascii="宋体" w:hAnsi="宋体"/>
                <w:szCs w:val="21"/>
              </w:rPr>
              <w:t>分（需提供加盖制造商公章的软件著作权证书和功能项测试报告复印件，）。</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kern w:val="0"/>
                <w:szCs w:val="21"/>
                <w:lang w:val="en-US" w:eastAsia="zh-CN"/>
              </w:rPr>
              <w:t>2</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FF0000"/>
                <w:szCs w:val="21"/>
              </w:rPr>
            </w:pPr>
            <w:r>
              <w:rPr>
                <w:rFonts w:hint="eastAsia" w:ascii="宋体" w:hAnsi="宋体"/>
                <w:color w:val="000000"/>
                <w:szCs w:val="21"/>
              </w:rPr>
              <w:t>运维</w:t>
            </w:r>
            <w:r>
              <w:rPr>
                <w:rFonts w:hint="eastAsia" w:ascii="宋体" w:hAnsi="宋体"/>
                <w:szCs w:val="21"/>
              </w:rPr>
              <w:t>、售后服务</w:t>
            </w:r>
            <w:r>
              <w:rPr>
                <w:rFonts w:hint="eastAsia" w:ascii="宋体" w:hAnsi="宋体"/>
                <w:color w:val="000000"/>
                <w:szCs w:val="21"/>
              </w:rPr>
              <w:t>方案</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1、对投标人根据本项目实际需求提供的运维方案和售后服务方案是否详细合理、清晰完整，从服务内容、服务措施、服务标准、服务流程、服务响应时间等方面进行综合评价，优秀的得</w:t>
            </w:r>
            <w:r>
              <w:rPr>
                <w:rFonts w:hint="eastAsia" w:ascii="宋体" w:hAnsi="宋体"/>
                <w:szCs w:val="21"/>
                <w:lang w:val="en-US" w:eastAsia="zh-CN"/>
              </w:rPr>
              <w:t>3</w:t>
            </w:r>
            <w:r>
              <w:rPr>
                <w:rFonts w:hint="eastAsia" w:ascii="宋体" w:hAnsi="宋体"/>
                <w:szCs w:val="21"/>
              </w:rPr>
              <w:t>分，良好的得</w:t>
            </w:r>
            <w:r>
              <w:rPr>
                <w:rFonts w:hint="eastAsia" w:ascii="宋体" w:hAnsi="宋体"/>
                <w:szCs w:val="21"/>
                <w:lang w:val="en-US" w:eastAsia="zh-CN"/>
              </w:rPr>
              <w:t>1</w:t>
            </w:r>
            <w:r>
              <w:rPr>
                <w:rFonts w:hint="eastAsia" w:ascii="宋体" w:hAnsi="宋体"/>
                <w:szCs w:val="21"/>
              </w:rPr>
              <w:t>分，一般的得</w:t>
            </w:r>
            <w:r>
              <w:rPr>
                <w:rFonts w:hint="eastAsia" w:ascii="宋体" w:hAnsi="宋体"/>
                <w:szCs w:val="21"/>
                <w:lang w:val="en-US" w:eastAsia="zh-CN"/>
              </w:rPr>
              <w:t>1</w:t>
            </w:r>
            <w:r>
              <w:rPr>
                <w:rFonts w:hint="eastAsia" w:ascii="宋体" w:hAnsi="宋体"/>
                <w:szCs w:val="21"/>
              </w:rPr>
              <w:t>分。</w:t>
            </w:r>
          </w:p>
          <w:p>
            <w:pPr>
              <w:widowControl/>
              <w:jc w:val="left"/>
              <w:rPr>
                <w:rFonts w:ascii="宋体" w:hAnsi="宋体"/>
                <w:szCs w:val="21"/>
              </w:rPr>
            </w:pPr>
            <w:r>
              <w:rPr>
                <w:rFonts w:hint="eastAsia" w:ascii="宋体" w:hAnsi="宋体"/>
                <w:szCs w:val="21"/>
              </w:rPr>
              <w:t>2、投标人承诺保证不少于两名驻禹州市本地的专职运维人员的得2分，否则不得分。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Cs w:val="21"/>
              </w:rPr>
            </w:pPr>
            <w:r>
              <w:rPr>
                <w:rFonts w:hint="eastAsia" w:ascii="宋体" w:hAnsi="宋体" w:cs="宋体"/>
                <w:kern w:val="0"/>
                <w:szCs w:val="21"/>
                <w:lang w:val="en-US" w:eastAsia="zh-CN"/>
              </w:rPr>
              <w:t>5</w:t>
            </w:r>
            <w:r>
              <w:rPr>
                <w:rFonts w:hint="eastAsia" w:ascii="宋体" w:hAnsi="宋体" w:cs="宋体"/>
                <w:kern w:val="0"/>
                <w:szCs w:val="21"/>
              </w:rPr>
              <w:t>分</w:t>
            </w:r>
          </w:p>
        </w:tc>
      </w:tr>
    </w:tbl>
    <w:p>
      <w:pPr>
        <w:spacing w:line="360" w:lineRule="auto"/>
        <w:rPr>
          <w:rFonts w:hint="eastAsia" w:asciiTheme="majorEastAsia" w:hAnsiTheme="majorEastAsia" w:eastAsiaTheme="majorEastAsia" w:cstheme="majorEastAsia"/>
          <w:b/>
          <w:sz w:val="24"/>
          <w:szCs w:val="24"/>
          <w:lang w:val="zh-CN"/>
        </w:rPr>
      </w:pPr>
    </w:p>
    <w:tbl>
      <w:tblPr>
        <w:tblStyle w:val="2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3006"/>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Theme="majorEastAsia" w:hAnsiTheme="majorEastAsia" w:eastAsiaTheme="majorEastAsia" w:cstheme="majorEastAsia"/>
                <w:b/>
                <w:color w:val="000000"/>
                <w:sz w:val="24"/>
                <w:szCs w:val="24"/>
                <w:lang w:val="en-GB"/>
              </w:rPr>
            </w:pPr>
            <w:r>
              <w:rPr>
                <w:rFonts w:hint="eastAsia" w:asciiTheme="majorEastAsia" w:hAnsiTheme="majorEastAsia" w:eastAsiaTheme="majorEastAsia" w:cstheme="majorEastAsia"/>
                <w:b/>
                <w:color w:val="000000"/>
                <w:sz w:val="24"/>
                <w:szCs w:val="24"/>
                <w:lang w:val="en-GB"/>
              </w:rPr>
              <w:t>序号</w:t>
            </w:r>
          </w:p>
        </w:tc>
        <w:tc>
          <w:tcPr>
            <w:tcW w:w="2823" w:type="dxa"/>
            <w:vAlign w:val="center"/>
          </w:tcPr>
          <w:p>
            <w:pPr>
              <w:jc w:val="center"/>
              <w:rPr>
                <w:rFonts w:hint="eastAsia" w:asciiTheme="majorEastAsia" w:hAnsiTheme="majorEastAsia" w:eastAsiaTheme="majorEastAsia" w:cstheme="majorEastAsia"/>
                <w:b/>
                <w:color w:val="000000"/>
                <w:sz w:val="24"/>
                <w:szCs w:val="24"/>
                <w:lang w:val="en-GB"/>
              </w:rPr>
            </w:pPr>
            <w:r>
              <w:rPr>
                <w:rFonts w:hint="eastAsia" w:asciiTheme="majorEastAsia" w:hAnsiTheme="majorEastAsia" w:eastAsiaTheme="majorEastAsia" w:cstheme="majorEastAsia"/>
                <w:b/>
                <w:color w:val="000000"/>
                <w:sz w:val="24"/>
                <w:szCs w:val="24"/>
                <w:lang w:val="en-GB"/>
              </w:rPr>
              <w:t>情形</w:t>
            </w:r>
          </w:p>
        </w:tc>
        <w:tc>
          <w:tcPr>
            <w:tcW w:w="3006" w:type="dxa"/>
            <w:vAlign w:val="center"/>
          </w:tcPr>
          <w:p>
            <w:pPr>
              <w:jc w:val="center"/>
              <w:rPr>
                <w:rFonts w:hint="eastAsia" w:asciiTheme="majorEastAsia" w:hAnsiTheme="majorEastAsia" w:eastAsiaTheme="majorEastAsia" w:cstheme="majorEastAsia"/>
                <w:b/>
                <w:color w:val="000000"/>
                <w:sz w:val="24"/>
                <w:szCs w:val="24"/>
                <w:lang w:val="en-GB"/>
              </w:rPr>
            </w:pPr>
            <w:r>
              <w:rPr>
                <w:rFonts w:hint="eastAsia" w:asciiTheme="majorEastAsia" w:hAnsiTheme="majorEastAsia" w:eastAsiaTheme="majorEastAsia" w:cstheme="majorEastAsia"/>
                <w:b/>
                <w:color w:val="000000"/>
                <w:sz w:val="24"/>
                <w:szCs w:val="24"/>
              </w:rPr>
              <w:t>价格扣除</w:t>
            </w:r>
            <w:r>
              <w:rPr>
                <w:rFonts w:hint="eastAsia" w:asciiTheme="majorEastAsia" w:hAnsiTheme="majorEastAsia" w:eastAsiaTheme="majorEastAsia" w:cstheme="majorEastAsia"/>
                <w:b/>
                <w:color w:val="000000"/>
                <w:sz w:val="24"/>
                <w:szCs w:val="24"/>
                <w:lang w:val="en-GB"/>
              </w:rPr>
              <w:t>比例</w:t>
            </w:r>
          </w:p>
        </w:tc>
        <w:tc>
          <w:tcPr>
            <w:tcW w:w="2381" w:type="dxa"/>
            <w:vAlign w:val="center"/>
          </w:tcPr>
          <w:p>
            <w:pPr>
              <w:jc w:val="center"/>
              <w:rPr>
                <w:rFonts w:hint="eastAsia" w:asciiTheme="majorEastAsia" w:hAnsiTheme="majorEastAsia" w:eastAsiaTheme="majorEastAsia" w:cstheme="majorEastAsia"/>
                <w:b/>
                <w:color w:val="000000"/>
                <w:sz w:val="24"/>
                <w:szCs w:val="24"/>
                <w:lang w:val="en-GB"/>
              </w:rPr>
            </w:pPr>
            <w:r>
              <w:rPr>
                <w:rFonts w:hint="eastAsia" w:asciiTheme="majorEastAsia" w:hAnsiTheme="majorEastAsia" w:eastAsiaTheme="majorEastAsia" w:cstheme="majorEastAsia"/>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7" w:hRule="atLeast"/>
        </w:trPr>
        <w:tc>
          <w:tcPr>
            <w:tcW w:w="721" w:type="dxa"/>
            <w:vAlign w:val="center"/>
          </w:tcPr>
          <w:p>
            <w:pPr>
              <w:jc w:val="center"/>
              <w:rPr>
                <w:rFonts w:hint="eastAsia" w:asciiTheme="majorEastAsia" w:hAnsiTheme="majorEastAsia" w:eastAsiaTheme="majorEastAsia" w:cstheme="majorEastAsia"/>
                <w:b/>
                <w:color w:val="000000"/>
                <w:sz w:val="24"/>
                <w:szCs w:val="24"/>
                <w:lang w:val="en-GB"/>
              </w:rPr>
            </w:pPr>
            <w:r>
              <w:rPr>
                <w:rFonts w:hint="eastAsia" w:asciiTheme="majorEastAsia" w:hAnsiTheme="majorEastAsia" w:eastAsiaTheme="majorEastAsia" w:cstheme="majorEastAsia"/>
                <w:b/>
                <w:color w:val="000000"/>
                <w:sz w:val="24"/>
                <w:szCs w:val="24"/>
                <w:lang w:val="en-GB"/>
              </w:rPr>
              <w:t>1</w:t>
            </w:r>
          </w:p>
        </w:tc>
        <w:tc>
          <w:tcPr>
            <w:tcW w:w="2823" w:type="dxa"/>
            <w:vAlign w:val="center"/>
          </w:tcPr>
          <w:p>
            <w:pPr>
              <w:jc w:val="center"/>
              <w:rPr>
                <w:rFonts w:hint="eastAsia" w:asciiTheme="majorEastAsia" w:hAnsiTheme="majorEastAsia" w:eastAsiaTheme="majorEastAsia" w:cstheme="majorEastAsia"/>
                <w:color w:val="000000"/>
                <w:sz w:val="24"/>
                <w:szCs w:val="24"/>
                <w:lang w:val="en-GB"/>
              </w:rPr>
            </w:pPr>
            <w:r>
              <w:rPr>
                <w:rFonts w:hint="eastAsia" w:asciiTheme="majorEastAsia" w:hAnsiTheme="majorEastAsia" w:eastAsiaTheme="majorEastAsia" w:cstheme="majorEastAsia"/>
                <w:color w:val="000000"/>
                <w:sz w:val="24"/>
                <w:szCs w:val="24"/>
                <w:lang w:val="en-GB"/>
              </w:rPr>
              <w:t>非联合体投标人</w:t>
            </w:r>
          </w:p>
          <w:p>
            <w:pPr>
              <w:jc w:val="center"/>
              <w:rPr>
                <w:rFonts w:hint="eastAsia" w:asciiTheme="majorEastAsia" w:hAnsiTheme="majorEastAsia" w:eastAsiaTheme="majorEastAsia" w:cstheme="majorEastAsia"/>
                <w:b/>
                <w:color w:val="000000"/>
                <w:sz w:val="24"/>
                <w:szCs w:val="24"/>
                <w:lang w:val="en-GB"/>
              </w:rPr>
            </w:pPr>
            <w:r>
              <w:rPr>
                <w:rFonts w:hint="eastAsia" w:asciiTheme="majorEastAsia" w:hAnsiTheme="majorEastAsia" w:eastAsiaTheme="majorEastAsia" w:cstheme="majorEastAsia"/>
                <w:color w:val="000000"/>
                <w:sz w:val="24"/>
                <w:szCs w:val="24"/>
                <w:lang w:val="en-GB"/>
              </w:rPr>
              <w:t>（投标人须为中小企业）</w:t>
            </w:r>
          </w:p>
        </w:tc>
        <w:tc>
          <w:tcPr>
            <w:tcW w:w="3006" w:type="dxa"/>
            <w:vAlign w:val="center"/>
          </w:tcPr>
          <w:p>
            <w:pPr>
              <w:jc w:val="center"/>
              <w:rPr>
                <w:rFonts w:hint="eastAsia" w:asciiTheme="majorEastAsia" w:hAnsiTheme="majorEastAsia" w:eastAsiaTheme="majorEastAsia" w:cstheme="majorEastAsia"/>
                <w:b/>
                <w:sz w:val="24"/>
                <w:szCs w:val="24"/>
                <w:lang w:val="en-GB"/>
              </w:rPr>
            </w:pPr>
            <w:r>
              <w:rPr>
                <w:rFonts w:hint="eastAsia" w:asciiTheme="majorEastAsia" w:hAnsiTheme="majorEastAsia" w:eastAsiaTheme="majorEastAsia" w:cstheme="majorEastAsia"/>
                <w:color w:val="000000"/>
                <w:sz w:val="24"/>
                <w:szCs w:val="24"/>
              </w:rPr>
              <w:t>对小型和微型企业产品的价格扣除</w:t>
            </w:r>
            <w:r>
              <w:rPr>
                <w:rFonts w:hint="eastAsia" w:asciiTheme="majorEastAsia" w:hAnsiTheme="majorEastAsia" w:eastAsiaTheme="majorEastAsia" w:cstheme="majorEastAsia"/>
                <w:sz w:val="24"/>
                <w:szCs w:val="24"/>
                <w:u w:val="single"/>
              </w:rPr>
              <w:t>6</w:t>
            </w:r>
            <w:r>
              <w:rPr>
                <w:rFonts w:hint="eastAsia" w:asciiTheme="majorEastAsia" w:hAnsiTheme="majorEastAsia" w:eastAsiaTheme="majorEastAsia" w:cstheme="majorEastAsia"/>
                <w:sz w:val="24"/>
                <w:szCs w:val="24"/>
              </w:rPr>
              <w:t>%</w:t>
            </w:r>
          </w:p>
        </w:tc>
        <w:tc>
          <w:tcPr>
            <w:tcW w:w="2381" w:type="dxa"/>
            <w:vMerge w:val="restart"/>
            <w:shd w:val="clear" w:color="auto" w:fill="auto"/>
            <w:vAlign w:val="center"/>
          </w:tcPr>
          <w:p>
            <w:pPr>
              <w:jc w:val="center"/>
              <w:rPr>
                <w:rFonts w:hint="eastAsia" w:asciiTheme="majorEastAsia" w:hAnsiTheme="majorEastAsia" w:eastAsiaTheme="majorEastAsia" w:cstheme="majorEastAsia"/>
                <w:color w:val="000000"/>
                <w:sz w:val="24"/>
                <w:szCs w:val="24"/>
                <w:lang w:val="en-GB"/>
              </w:rPr>
            </w:pPr>
            <w:r>
              <w:rPr>
                <w:rFonts w:hint="eastAsia" w:asciiTheme="majorEastAsia" w:hAnsiTheme="majorEastAsia" w:eastAsiaTheme="majorEastAsia" w:cstheme="majorEastAsia"/>
                <w:color w:val="000000"/>
                <w:sz w:val="24"/>
                <w:szCs w:val="24"/>
                <w:lang w:val="en-GB"/>
              </w:rPr>
              <w:t>评标价格＝投标报价—</w:t>
            </w:r>
            <w:r>
              <w:rPr>
                <w:rFonts w:hint="eastAsia" w:asciiTheme="majorEastAsia" w:hAnsiTheme="majorEastAsia" w:eastAsiaTheme="majorEastAsia" w:cstheme="majorEastAsia"/>
                <w:color w:val="000000"/>
                <w:sz w:val="24"/>
                <w:szCs w:val="24"/>
              </w:rPr>
              <w:t>小型和微型企业产品的价格</w:t>
            </w:r>
            <w:r>
              <w:rPr>
                <w:rFonts w:hint="eastAsia" w:asciiTheme="majorEastAsia" w:hAnsiTheme="majorEastAsia" w:eastAsiaTheme="majorEastAsia" w:cstheme="majorEastAsia"/>
                <w:color w:val="000000"/>
                <w:sz w:val="24"/>
                <w:szCs w:val="24"/>
                <w:lang w:val="en-GB"/>
              </w:rPr>
              <w:t>×6%</w:t>
            </w:r>
          </w:p>
          <w:p>
            <w:pPr>
              <w:jc w:val="center"/>
              <w:rPr>
                <w:rFonts w:hint="eastAsia" w:asciiTheme="majorEastAsia" w:hAnsiTheme="majorEastAsia" w:eastAsiaTheme="majorEastAsia" w:cstheme="majorEastAsia"/>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1" w:type="dxa"/>
            <w:vAlign w:val="center"/>
          </w:tcPr>
          <w:p>
            <w:pPr>
              <w:jc w:val="center"/>
              <w:rPr>
                <w:rFonts w:hint="eastAsia" w:asciiTheme="majorEastAsia" w:hAnsiTheme="majorEastAsia" w:eastAsiaTheme="majorEastAsia" w:cstheme="majorEastAsia"/>
                <w:b/>
                <w:color w:val="000000"/>
                <w:sz w:val="24"/>
                <w:szCs w:val="24"/>
                <w:lang w:val="en-GB"/>
              </w:rPr>
            </w:pPr>
          </w:p>
        </w:tc>
        <w:tc>
          <w:tcPr>
            <w:tcW w:w="2823" w:type="dxa"/>
            <w:vAlign w:val="center"/>
          </w:tcPr>
          <w:p>
            <w:pPr>
              <w:jc w:val="center"/>
              <w:rPr>
                <w:rFonts w:hint="eastAsia" w:asciiTheme="majorEastAsia" w:hAnsiTheme="majorEastAsia" w:eastAsiaTheme="majorEastAsia" w:cstheme="majorEastAsia"/>
                <w:b/>
                <w:color w:val="000000"/>
                <w:sz w:val="24"/>
                <w:szCs w:val="24"/>
              </w:rPr>
            </w:pPr>
          </w:p>
        </w:tc>
        <w:tc>
          <w:tcPr>
            <w:tcW w:w="3006" w:type="dxa"/>
            <w:vAlign w:val="center"/>
          </w:tcPr>
          <w:p>
            <w:pPr>
              <w:jc w:val="center"/>
              <w:rPr>
                <w:rFonts w:hint="eastAsia" w:asciiTheme="majorEastAsia" w:hAnsiTheme="majorEastAsia" w:eastAsiaTheme="majorEastAsia" w:cstheme="majorEastAsia"/>
                <w:b/>
                <w:sz w:val="24"/>
                <w:szCs w:val="24"/>
                <w:lang w:val="en-GB"/>
              </w:rPr>
            </w:pPr>
          </w:p>
        </w:tc>
        <w:tc>
          <w:tcPr>
            <w:tcW w:w="2381" w:type="dxa"/>
            <w:vMerge w:val="continue"/>
            <w:shd w:val="clear" w:color="auto" w:fill="auto"/>
          </w:tcPr>
          <w:p>
            <w:pPr>
              <w:rPr>
                <w:rFonts w:hint="eastAsia" w:asciiTheme="majorEastAsia" w:hAnsiTheme="majorEastAsia" w:eastAsiaTheme="majorEastAsia" w:cstheme="majorEastAsia"/>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721" w:type="dxa"/>
            <w:vAlign w:val="center"/>
          </w:tcPr>
          <w:p>
            <w:pPr>
              <w:jc w:val="center"/>
              <w:rPr>
                <w:rFonts w:hint="eastAsia" w:asciiTheme="majorEastAsia" w:hAnsiTheme="majorEastAsia" w:eastAsiaTheme="majorEastAsia" w:cstheme="majorEastAsia"/>
                <w:b/>
                <w:color w:val="000000"/>
                <w:sz w:val="24"/>
                <w:szCs w:val="24"/>
                <w:lang w:val="en-GB"/>
              </w:rPr>
            </w:pPr>
          </w:p>
        </w:tc>
        <w:tc>
          <w:tcPr>
            <w:tcW w:w="2823" w:type="dxa"/>
            <w:vAlign w:val="center"/>
          </w:tcPr>
          <w:p>
            <w:pPr>
              <w:jc w:val="center"/>
              <w:rPr>
                <w:rFonts w:hint="eastAsia" w:asciiTheme="majorEastAsia" w:hAnsiTheme="majorEastAsia" w:eastAsiaTheme="majorEastAsia" w:cstheme="majorEastAsia"/>
                <w:b/>
                <w:color w:val="000000"/>
                <w:sz w:val="24"/>
                <w:szCs w:val="24"/>
                <w:lang w:val="en-GB"/>
              </w:rPr>
            </w:pPr>
          </w:p>
        </w:tc>
        <w:tc>
          <w:tcPr>
            <w:tcW w:w="3006" w:type="dxa"/>
            <w:vAlign w:val="center"/>
          </w:tcPr>
          <w:p>
            <w:pPr>
              <w:jc w:val="center"/>
              <w:rPr>
                <w:rFonts w:hint="eastAsia" w:asciiTheme="majorEastAsia" w:hAnsiTheme="majorEastAsia" w:eastAsiaTheme="majorEastAsia" w:cstheme="majorEastAsia"/>
                <w:b/>
                <w:sz w:val="24"/>
                <w:szCs w:val="24"/>
                <w:lang w:val="en-GB"/>
              </w:rPr>
            </w:pPr>
          </w:p>
        </w:tc>
        <w:tc>
          <w:tcPr>
            <w:tcW w:w="2381" w:type="dxa"/>
            <w:shd w:val="clear" w:color="auto" w:fill="auto"/>
            <w:vAlign w:val="center"/>
          </w:tcPr>
          <w:p>
            <w:pPr>
              <w:jc w:val="center"/>
              <w:rPr>
                <w:rFonts w:hint="eastAsia" w:asciiTheme="majorEastAsia" w:hAnsiTheme="majorEastAsia" w:eastAsiaTheme="majorEastAsia" w:cstheme="majorEastAsia"/>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7" w:hRule="atLeast"/>
        </w:trPr>
        <w:tc>
          <w:tcPr>
            <w:tcW w:w="721" w:type="dxa"/>
            <w:vAlign w:val="center"/>
          </w:tcPr>
          <w:p>
            <w:pPr>
              <w:jc w:val="center"/>
              <w:rPr>
                <w:rFonts w:hint="eastAsia" w:asciiTheme="majorEastAsia" w:hAnsiTheme="majorEastAsia" w:eastAsiaTheme="majorEastAsia" w:cstheme="majorEastAsia"/>
                <w:b/>
                <w:color w:val="000000"/>
                <w:sz w:val="24"/>
                <w:szCs w:val="24"/>
                <w:lang w:val="en-US" w:eastAsia="zh-CN"/>
              </w:rPr>
            </w:pPr>
            <w:r>
              <w:rPr>
                <w:rFonts w:hint="eastAsia" w:asciiTheme="majorEastAsia" w:hAnsiTheme="majorEastAsia" w:eastAsiaTheme="majorEastAsia" w:cstheme="majorEastAsia"/>
                <w:b/>
                <w:color w:val="000000"/>
                <w:sz w:val="24"/>
                <w:szCs w:val="24"/>
                <w:lang w:val="en-US" w:eastAsia="zh-CN"/>
              </w:rPr>
              <w:t>2</w:t>
            </w:r>
          </w:p>
        </w:tc>
        <w:tc>
          <w:tcPr>
            <w:tcW w:w="2823" w:type="dxa"/>
            <w:vAlign w:val="center"/>
          </w:tcPr>
          <w:p>
            <w:pPr>
              <w:jc w:val="center"/>
              <w:rPr>
                <w:rFonts w:hint="eastAsia" w:asciiTheme="majorEastAsia" w:hAnsiTheme="majorEastAsia" w:eastAsiaTheme="majorEastAsia" w:cstheme="majorEastAsia"/>
                <w:color w:val="000000"/>
                <w:sz w:val="24"/>
                <w:szCs w:val="24"/>
                <w:lang w:val="en-GB"/>
              </w:rPr>
            </w:pPr>
            <w:r>
              <w:rPr>
                <w:rFonts w:hint="eastAsia" w:asciiTheme="majorEastAsia" w:hAnsiTheme="majorEastAsia" w:eastAsiaTheme="majorEastAsia" w:cstheme="majorEastAsia"/>
                <w:color w:val="000000"/>
                <w:sz w:val="24"/>
                <w:szCs w:val="24"/>
                <w:lang w:val="en-GB"/>
              </w:rPr>
              <w:t>监狱企业</w:t>
            </w:r>
          </w:p>
        </w:tc>
        <w:tc>
          <w:tcPr>
            <w:tcW w:w="3006" w:type="dxa"/>
            <w:vAlign w:val="center"/>
          </w:tcPr>
          <w:p>
            <w:pPr>
              <w:jc w:val="center"/>
              <w:rPr>
                <w:rFonts w:hint="eastAsia" w:asciiTheme="majorEastAsia" w:hAnsiTheme="majorEastAsia" w:eastAsiaTheme="majorEastAsia" w:cstheme="majorEastAsia"/>
                <w:color w:val="000000"/>
                <w:sz w:val="24"/>
                <w:szCs w:val="24"/>
                <w:lang w:val="en-GB"/>
              </w:rPr>
            </w:pPr>
            <w:r>
              <w:rPr>
                <w:rFonts w:hint="eastAsia" w:asciiTheme="majorEastAsia" w:hAnsiTheme="majorEastAsia" w:eastAsiaTheme="majorEastAsia" w:cstheme="majorEastAsia"/>
                <w:color w:val="000000"/>
                <w:sz w:val="24"/>
                <w:szCs w:val="24"/>
                <w:lang w:val="en-GB"/>
              </w:rPr>
              <w:t>视同小型、微型企业</w:t>
            </w:r>
          </w:p>
          <w:p>
            <w:pPr>
              <w:jc w:val="center"/>
              <w:rPr>
                <w:rFonts w:hint="eastAsia" w:asciiTheme="majorEastAsia" w:hAnsiTheme="majorEastAsia" w:eastAsiaTheme="majorEastAsia" w:cstheme="majorEastAsia"/>
                <w:color w:val="000000"/>
                <w:sz w:val="24"/>
                <w:szCs w:val="24"/>
                <w:lang w:val="en-GB"/>
              </w:rPr>
            </w:pPr>
            <w:r>
              <w:rPr>
                <w:rFonts w:hint="eastAsia" w:asciiTheme="majorEastAsia" w:hAnsiTheme="majorEastAsia" w:eastAsiaTheme="majorEastAsia" w:cstheme="majorEastAsia"/>
                <w:color w:val="000000"/>
                <w:sz w:val="24"/>
                <w:szCs w:val="24"/>
                <w:lang w:val="en-GB"/>
              </w:rPr>
              <w:t>对监狱企业产品价格扣除</w:t>
            </w:r>
            <w:r>
              <w:rPr>
                <w:rFonts w:hint="eastAsia" w:asciiTheme="majorEastAsia" w:hAnsiTheme="majorEastAsia" w:eastAsiaTheme="majorEastAsia" w:cstheme="majorEastAsia"/>
                <w:sz w:val="24"/>
                <w:szCs w:val="24"/>
                <w:u w:val="single"/>
              </w:rPr>
              <w:t>6</w:t>
            </w:r>
            <w:r>
              <w:rPr>
                <w:rFonts w:hint="eastAsia" w:asciiTheme="majorEastAsia" w:hAnsiTheme="majorEastAsia" w:eastAsiaTheme="majorEastAsia" w:cstheme="majorEastAsia"/>
                <w:sz w:val="24"/>
                <w:szCs w:val="24"/>
              </w:rPr>
              <w:t>%</w:t>
            </w:r>
          </w:p>
        </w:tc>
        <w:tc>
          <w:tcPr>
            <w:tcW w:w="2381" w:type="dxa"/>
            <w:shd w:val="clear" w:color="auto" w:fill="auto"/>
            <w:vAlign w:val="center"/>
          </w:tcPr>
          <w:p>
            <w:pPr>
              <w:jc w:val="center"/>
              <w:rPr>
                <w:rFonts w:hint="eastAsia" w:asciiTheme="majorEastAsia" w:hAnsiTheme="majorEastAsia" w:eastAsiaTheme="majorEastAsia" w:cstheme="majorEastAsia"/>
                <w:color w:val="000000"/>
                <w:sz w:val="24"/>
                <w:szCs w:val="24"/>
                <w:lang w:val="en-GB"/>
              </w:rPr>
            </w:pPr>
            <w:r>
              <w:rPr>
                <w:rFonts w:hint="eastAsia" w:asciiTheme="majorEastAsia" w:hAnsiTheme="majorEastAsia" w:eastAsiaTheme="majorEastAsia" w:cstheme="majorEastAsia"/>
                <w:color w:val="000000"/>
                <w:sz w:val="24"/>
                <w:szCs w:val="24"/>
                <w:lang w:val="en-GB"/>
              </w:rPr>
              <w:t>评标价格＝投标报价—</w:t>
            </w:r>
            <w:r>
              <w:rPr>
                <w:rFonts w:hint="eastAsia" w:asciiTheme="majorEastAsia" w:hAnsiTheme="majorEastAsia" w:eastAsiaTheme="majorEastAsia" w:cstheme="majorEastAsia"/>
                <w:color w:val="000000"/>
                <w:sz w:val="24"/>
                <w:szCs w:val="24"/>
              </w:rPr>
              <w:t>监狱企业产品的价格</w:t>
            </w:r>
            <w:r>
              <w:rPr>
                <w:rFonts w:hint="eastAsia" w:asciiTheme="majorEastAsia" w:hAnsiTheme="majorEastAsia" w:eastAsiaTheme="majorEastAsia" w:cstheme="major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7" w:hRule="atLeast"/>
        </w:trPr>
        <w:tc>
          <w:tcPr>
            <w:tcW w:w="721" w:type="dxa"/>
            <w:vAlign w:val="center"/>
          </w:tcPr>
          <w:p>
            <w:pPr>
              <w:jc w:val="center"/>
              <w:rPr>
                <w:rFonts w:hint="eastAsia" w:asciiTheme="majorEastAsia" w:hAnsiTheme="majorEastAsia" w:eastAsiaTheme="majorEastAsia" w:cstheme="majorEastAsia"/>
                <w:b/>
                <w:color w:val="000000"/>
                <w:sz w:val="24"/>
                <w:szCs w:val="24"/>
                <w:lang w:val="en-US" w:eastAsia="zh-CN"/>
              </w:rPr>
            </w:pPr>
            <w:r>
              <w:rPr>
                <w:rFonts w:hint="eastAsia" w:asciiTheme="majorEastAsia" w:hAnsiTheme="majorEastAsia" w:eastAsiaTheme="majorEastAsia" w:cstheme="majorEastAsia"/>
                <w:b/>
                <w:color w:val="000000"/>
                <w:sz w:val="24"/>
                <w:szCs w:val="24"/>
                <w:lang w:val="en-US" w:eastAsia="zh-CN"/>
              </w:rPr>
              <w:t>3</w:t>
            </w:r>
          </w:p>
        </w:tc>
        <w:tc>
          <w:tcPr>
            <w:tcW w:w="2823" w:type="dxa"/>
            <w:vAlign w:val="center"/>
          </w:tcPr>
          <w:p>
            <w:pPr>
              <w:jc w:val="center"/>
              <w:rPr>
                <w:rFonts w:hint="eastAsia" w:asciiTheme="majorEastAsia" w:hAnsiTheme="majorEastAsia" w:eastAsiaTheme="majorEastAsia" w:cstheme="majorEastAsia"/>
                <w:color w:val="000000"/>
                <w:sz w:val="24"/>
                <w:szCs w:val="24"/>
                <w:lang w:val="en-GB"/>
              </w:rPr>
            </w:pPr>
            <w:r>
              <w:rPr>
                <w:rFonts w:hint="eastAsia" w:asciiTheme="majorEastAsia" w:hAnsiTheme="majorEastAsia" w:eastAsiaTheme="majorEastAsia" w:cstheme="majorEastAsia"/>
                <w:color w:val="000000"/>
                <w:sz w:val="24"/>
                <w:szCs w:val="24"/>
                <w:lang w:val="en-GB"/>
              </w:rPr>
              <w:t>残疾人福利性单位</w:t>
            </w:r>
          </w:p>
        </w:tc>
        <w:tc>
          <w:tcPr>
            <w:tcW w:w="3006" w:type="dxa"/>
            <w:vAlign w:val="center"/>
          </w:tcPr>
          <w:p>
            <w:pPr>
              <w:jc w:val="center"/>
              <w:rPr>
                <w:rFonts w:hint="eastAsia" w:asciiTheme="majorEastAsia" w:hAnsiTheme="majorEastAsia" w:eastAsiaTheme="majorEastAsia" w:cstheme="majorEastAsia"/>
                <w:color w:val="000000"/>
                <w:sz w:val="24"/>
                <w:szCs w:val="24"/>
                <w:lang w:val="en-GB"/>
              </w:rPr>
            </w:pPr>
            <w:r>
              <w:rPr>
                <w:rFonts w:hint="eastAsia" w:asciiTheme="majorEastAsia" w:hAnsiTheme="majorEastAsia" w:eastAsiaTheme="majorEastAsia" w:cstheme="majorEastAsia"/>
                <w:color w:val="000000"/>
                <w:sz w:val="24"/>
                <w:szCs w:val="24"/>
                <w:lang w:val="en-GB"/>
              </w:rPr>
              <w:t>视同小型、微型企业</w:t>
            </w:r>
          </w:p>
          <w:p>
            <w:pPr>
              <w:jc w:val="center"/>
              <w:rPr>
                <w:rFonts w:hint="eastAsia" w:asciiTheme="majorEastAsia" w:hAnsiTheme="majorEastAsia" w:eastAsiaTheme="majorEastAsia" w:cstheme="majorEastAsia"/>
                <w:color w:val="000000"/>
                <w:sz w:val="24"/>
                <w:szCs w:val="24"/>
                <w:lang w:val="en-GB"/>
              </w:rPr>
            </w:pPr>
            <w:r>
              <w:rPr>
                <w:rFonts w:hint="eastAsia" w:asciiTheme="majorEastAsia" w:hAnsiTheme="majorEastAsia" w:eastAsiaTheme="majorEastAsia" w:cstheme="majorEastAsia"/>
                <w:color w:val="000000"/>
                <w:sz w:val="24"/>
                <w:szCs w:val="24"/>
                <w:lang w:val="en-GB"/>
              </w:rPr>
              <w:t>对残疾人福利性单位产品价格扣除</w:t>
            </w:r>
            <w:r>
              <w:rPr>
                <w:rFonts w:hint="eastAsia" w:asciiTheme="majorEastAsia" w:hAnsiTheme="majorEastAsia" w:eastAsiaTheme="majorEastAsia" w:cstheme="majorEastAsia"/>
                <w:sz w:val="24"/>
                <w:szCs w:val="24"/>
                <w:u w:val="single"/>
              </w:rPr>
              <w:t>6</w:t>
            </w:r>
            <w:r>
              <w:rPr>
                <w:rFonts w:hint="eastAsia" w:asciiTheme="majorEastAsia" w:hAnsiTheme="majorEastAsia" w:eastAsiaTheme="majorEastAsia" w:cstheme="majorEastAsia"/>
                <w:sz w:val="24"/>
                <w:szCs w:val="24"/>
              </w:rPr>
              <w:t>%</w:t>
            </w:r>
          </w:p>
        </w:tc>
        <w:tc>
          <w:tcPr>
            <w:tcW w:w="2381" w:type="dxa"/>
            <w:shd w:val="clear" w:color="auto" w:fill="auto"/>
            <w:vAlign w:val="center"/>
          </w:tcPr>
          <w:p>
            <w:pPr>
              <w:jc w:val="center"/>
              <w:rPr>
                <w:rFonts w:hint="eastAsia" w:asciiTheme="majorEastAsia" w:hAnsiTheme="majorEastAsia" w:eastAsiaTheme="majorEastAsia" w:cstheme="majorEastAsia"/>
                <w:color w:val="000000"/>
                <w:sz w:val="24"/>
                <w:szCs w:val="24"/>
                <w:lang w:val="en-GB"/>
              </w:rPr>
            </w:pPr>
            <w:r>
              <w:rPr>
                <w:rFonts w:hint="eastAsia" w:asciiTheme="majorEastAsia" w:hAnsiTheme="majorEastAsia" w:eastAsiaTheme="majorEastAsia" w:cstheme="majorEastAsia"/>
                <w:color w:val="000000"/>
                <w:sz w:val="24"/>
                <w:szCs w:val="24"/>
                <w:lang w:val="en-GB"/>
              </w:rPr>
              <w:t>评标价格＝投标报价—</w:t>
            </w:r>
            <w:r>
              <w:rPr>
                <w:rFonts w:hint="eastAsia" w:asciiTheme="majorEastAsia" w:hAnsiTheme="majorEastAsia" w:eastAsiaTheme="majorEastAsia" w:cstheme="majorEastAsia"/>
                <w:color w:val="000000"/>
                <w:sz w:val="24"/>
                <w:szCs w:val="24"/>
              </w:rPr>
              <w:t>残疾人福利性单位产品的价格</w:t>
            </w:r>
            <w:r>
              <w:rPr>
                <w:rFonts w:hint="eastAsia" w:asciiTheme="majorEastAsia" w:hAnsiTheme="majorEastAsia" w:eastAsiaTheme="majorEastAsia" w:cstheme="major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513" w:firstLineChars="214"/>
              <w:jc w:val="left"/>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评标基准价=评标价格的最低价</w:t>
            </w:r>
          </w:p>
          <w:p>
            <w:pPr>
              <w:adjustRightInd w:val="0"/>
              <w:spacing w:line="360" w:lineRule="auto"/>
              <w:ind w:left="-88" w:leftChars="-42" w:firstLine="513" w:firstLineChars="214"/>
              <w:jc w:val="left"/>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其他投标报价得分=（评标基准价/评标价格）×评标标准中价格分值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根据得分从高到低推荐三名中标候选人。</w:t>
      </w: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pageBreakBefore/>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pStyle w:val="55"/>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bookmarkStart w:id="4" w:name="_Toc186274126"/>
      <w:bookmarkStart w:id="5" w:name="_Toc184023138"/>
      <w:bookmarkStart w:id="6" w:name="_Toc174185203"/>
      <w:r>
        <w:rPr>
          <w:rFonts w:hint="eastAsia" w:cs="黑体" w:asciiTheme="minorEastAsia" w:hAnsiTheme="minorEastAsia" w:eastAsiaTheme="minorEastAsia"/>
          <w:color w:val="auto"/>
          <w:kern w:val="2"/>
          <w:sz w:val="36"/>
          <w:szCs w:val="36"/>
          <w:lang w:val="zh-CN"/>
        </w:rPr>
        <w:t>一、投标人应答索引表</w:t>
      </w:r>
      <w:bookmarkEnd w:id="4"/>
      <w:bookmarkEnd w:id="5"/>
      <w:bookmarkEnd w:id="6"/>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3"/>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vMerge w:val="restart"/>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cs="宋体" w:asciiTheme="minorEastAsia" w:hAnsiTheme="minorEastAsia"/>
                <w:kern w:val="0"/>
                <w:szCs w:val="24"/>
              </w:rPr>
              <w:t>中国国家认证认可监督管理委员会官网产品认证证书打印</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cs="宋体" w:asciiTheme="minorEastAsia" w:hAnsiTheme="minorEastAsia"/>
                <w:kern w:val="0"/>
                <w:szCs w:val="24"/>
              </w:rPr>
              <w:t>认证机构颁发的认证证书</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所投产品符合国家强制性要求承诺函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cs="宋体" w:asciiTheme="minorEastAsia" w:hAnsiTheme="minorEastAsia"/>
                <w:kern w:val="0"/>
                <w:szCs w:val="24"/>
              </w:rPr>
              <w:t>认证机构颁发的认证证书</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cs="宋体" w:asciiTheme="minorEastAsia" w:hAnsiTheme="minorEastAsia"/>
                <w:kern w:val="0"/>
                <w:szCs w:val="24"/>
              </w:rPr>
              <w:t>中国信息安全认证中心官网产品查询结果截图</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r>
        <w:rPr>
          <w:rFonts w:hint="eastAsia" w:asciiTheme="majorEastAsia" w:hAnsiTheme="majorEastAsia" w:eastAsiaTheme="majorEastAsia"/>
          <w:b/>
          <w:snapToGrid w:val="0"/>
          <w:kern w:val="0"/>
          <w:sz w:val="36"/>
          <w:szCs w:val="36"/>
        </w:rPr>
        <w:t>二、开标一览表</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日期：年月日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pageBreakBefore/>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kern w:val="0"/>
          <w:sz w:val="24"/>
          <w:szCs w:val="24"/>
        </w:rPr>
      </w:pPr>
      <w:r>
        <w:rPr>
          <w:rFonts w:hint="eastAsia" w:asciiTheme="minorEastAsia" w:hAnsiTheme="minorEastAsia"/>
          <w:snapToGrid w:val="0"/>
          <w:kern w:val="0"/>
          <w:sz w:val="24"/>
          <w:szCs w:val="24"/>
        </w:rPr>
        <w:t>致：</w:t>
      </w:r>
      <w:r>
        <w:rPr>
          <w:rFonts w:hint="eastAsia" w:asciiTheme="minorEastAsia" w:hAnsiTheme="minorEastAsia"/>
          <w:b/>
          <w:snapToGrid w:val="0"/>
          <w:kern w:val="0"/>
          <w:sz w:val="24"/>
          <w:szCs w:val="24"/>
        </w:rPr>
        <w:t>（采购代理机构）</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_（项目名称、招标编号）采购的招标公告及投标邀请，_______（姓名和职务）被正式授权并代表投标人（投标人名称、地址）提交。</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我方确认收到贵方提供的（项目名称、招标编号）招标文件的全部内容。</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80" w:firstLineChars="200"/>
        <w:contextualSpacing/>
        <w:rPr>
          <w:rFonts w:cs="宋体" w:asciiTheme="minorEastAsia" w:hAnsiTheme="minorEastAsia" w:eastAsiaTheme="minorEastAsia"/>
        </w:rPr>
      </w:pPr>
      <w:r>
        <w:rPr>
          <w:rFonts w:hint="eastAsia" w:cs="Courier New" w:asciiTheme="minorEastAsia" w:hAnsiTheme="minorEastAsia" w:eastAsiaTheme="minorEastAsia"/>
        </w:rPr>
        <w:t>七、我方在此保证所提交的所有文件和全部说明是真实的和正确的。</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Cs w:val="24"/>
        </w:rPr>
      </w:pPr>
    </w:p>
    <w:p>
      <w:pPr>
        <w:pStyle w:val="13"/>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  邮政编码：.</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  传    真：.</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  职    务：.</w:t>
      </w:r>
    </w:p>
    <w:p>
      <w:pPr>
        <w:adjustRightInd w:val="0"/>
        <w:snapToGrid w:val="0"/>
        <w:spacing w:line="360" w:lineRule="auto"/>
        <w:rPr>
          <w:rFonts w:cs="宋体" w:asciiTheme="minorEastAsia" w:hAnsiTheme="minorEastAsia"/>
          <w:sz w:val="24"/>
          <w:szCs w:val="24"/>
          <w:u w:val="single"/>
        </w:rPr>
      </w:pP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p>
    <w:p>
      <w:pPr>
        <w:adjustRightInd w:val="0"/>
        <w:snapToGrid w:val="0"/>
        <w:spacing w:line="360" w:lineRule="auto"/>
        <w:ind w:firstLine="4920" w:firstLineChars="2050"/>
        <w:rPr>
          <w:rFonts w:cs="宋体" w:asciiTheme="minorEastAsia" w:hAnsiTheme="minorEastAsia"/>
          <w:sz w:val="24"/>
          <w:szCs w:val="24"/>
        </w:rPr>
      </w:pP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both"/>
        <w:rPr>
          <w:rFonts w:hint="eastAsia" w:asciiTheme="majorEastAsia" w:hAnsiTheme="majorEastAsia" w:eastAsiaTheme="majorEastAsia"/>
          <w:b/>
          <w:bCs/>
          <w:color w:val="000000"/>
          <w:sz w:val="36"/>
          <w:szCs w:val="36"/>
        </w:rPr>
      </w:pPr>
    </w:p>
    <w:p>
      <w:pPr>
        <w:spacing w:line="480" w:lineRule="exact"/>
        <w:jc w:val="both"/>
        <w:rPr>
          <w:rFonts w:hint="eastAsia" w:asciiTheme="majorEastAsia" w:hAnsiTheme="majorEastAsia" w:eastAsiaTheme="majorEastAsia"/>
          <w:b/>
          <w:bCs/>
          <w:color w:val="000000"/>
          <w:sz w:val="36"/>
          <w:szCs w:val="36"/>
        </w:rPr>
      </w:pPr>
    </w:p>
    <w:p>
      <w:pPr>
        <w:spacing w:line="480" w:lineRule="exact"/>
        <w:jc w:val="both"/>
        <w:rPr>
          <w:rFonts w:hint="eastAsia" w:asciiTheme="majorEastAsia" w:hAnsiTheme="majorEastAsia" w:eastAsiaTheme="majorEastAsia"/>
          <w:b/>
          <w:bCs/>
          <w:color w:val="000000"/>
          <w:sz w:val="36"/>
          <w:szCs w:val="36"/>
          <w:lang w:eastAsia="zh-CN"/>
        </w:rPr>
      </w:pPr>
      <w:r>
        <w:rPr>
          <w:rFonts w:hint="eastAsia" w:asciiTheme="majorEastAsia" w:hAnsiTheme="majorEastAsia" w:eastAsiaTheme="majorEastAsia"/>
          <w:b/>
          <w:bCs/>
          <w:color w:val="000000"/>
          <w:sz w:val="36"/>
          <w:szCs w:val="36"/>
          <w:lang w:eastAsia="zh-CN"/>
        </w:rPr>
        <w:t>投标函附表</w:t>
      </w: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rPr>
      </w:pPr>
    </w:p>
    <w:p>
      <w:pPr>
        <w:spacing w:line="480" w:lineRule="exact"/>
        <w:jc w:val="both"/>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6"/>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6"/>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6"/>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6"/>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加贵方招</w:t>
      </w:r>
      <w:r>
        <w:rPr>
          <w:rFonts w:asciiTheme="minorEastAsia" w:hAnsiTheme="minorEastAsia"/>
          <w:color w:val="000000"/>
          <w:szCs w:val="24"/>
        </w:rPr>
        <w:t>标编号为</w:t>
      </w:r>
      <w:r>
        <w:rPr>
          <w:rFonts w:asciiTheme="minorEastAsia" w:hAnsiTheme="minorEastAsia"/>
          <w:i/>
          <w:color w:val="000000"/>
          <w:szCs w:val="24"/>
          <w:u w:val="single"/>
        </w:rPr>
        <w:t>项目编号</w:t>
      </w:r>
      <w:r>
        <w:rPr>
          <w:rFonts w:hint="eastAsia" w:asciiTheme="minorEastAsia" w:hAnsiTheme="minorEastAsia"/>
          <w:color w:val="000000"/>
          <w:szCs w:val="24"/>
        </w:rPr>
        <w:t>的</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6"/>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6"/>
        <w:spacing w:line="480" w:lineRule="auto"/>
        <w:ind w:firstLine="540" w:firstLineChars="225"/>
        <w:jc w:val="left"/>
        <w:rPr>
          <w:rFonts w:asciiTheme="minorEastAsia" w:hAnsiTheme="minorEastAsia"/>
          <w:color w:val="000000"/>
          <w:szCs w:val="24"/>
        </w:rPr>
      </w:pPr>
    </w:p>
    <w:p>
      <w:pPr>
        <w:pStyle w:val="46"/>
        <w:spacing w:line="480" w:lineRule="auto"/>
        <w:ind w:firstLine="540" w:firstLineChars="225"/>
        <w:jc w:val="left"/>
        <w:rPr>
          <w:rFonts w:asciiTheme="minorEastAsia" w:hAnsiTheme="minorEastAsia"/>
          <w:color w:val="000000"/>
          <w:szCs w:val="24"/>
        </w:rPr>
      </w:pPr>
    </w:p>
    <w:p>
      <w:pPr>
        <w:pStyle w:val="46"/>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6"/>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9"/>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8"/>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rPr>
        <w:t>以我方的名义参加贵中心______________________项目的投标活动，并代表我方全权办理针对上述项目的投标、开标、投标文件澄清、签约等一切具体事务和签署相关文件。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（全称）</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法定代表人：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法定代表人授权代表：  （签字或加盖名章）</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7" w:name="_资格证明文件"/>
            <w:bookmarkEnd w:id="7"/>
            <w:bookmarkStart w:id="8" w:name="_Toc364329026"/>
            <w:r>
              <w:rPr>
                <w:rFonts w:hint="eastAsia" w:asciiTheme="minorEastAsia" w:hAnsiTheme="minorEastAsia"/>
                <w:sz w:val="24"/>
                <w:szCs w:val="24"/>
              </w:rPr>
              <w:t>法定代表人授权代表身份证（正面）</w:t>
            </w:r>
            <w:bookmarkEnd w:id="8"/>
          </w:p>
        </w:tc>
        <w:tc>
          <w:tcPr>
            <w:tcW w:w="4492" w:type="dxa"/>
            <w:gridSpan w:val="2"/>
            <w:vAlign w:val="center"/>
          </w:tcPr>
          <w:p>
            <w:pPr>
              <w:jc w:val="center"/>
              <w:rPr>
                <w:rFonts w:asciiTheme="minorEastAsia" w:hAnsiTheme="minorEastAsia"/>
                <w:sz w:val="24"/>
                <w:szCs w:val="24"/>
              </w:rPr>
            </w:pPr>
            <w:bookmarkStart w:id="9" w:name="_Toc364329027"/>
            <w:r>
              <w:rPr>
                <w:rFonts w:hint="eastAsia" w:asciiTheme="minorEastAsia" w:hAnsiTheme="minorEastAsia"/>
                <w:sz w:val="24"/>
                <w:szCs w:val="24"/>
              </w:rPr>
              <w:t>法定代表人授权代表身份证（反面）</w:t>
            </w:r>
            <w:bookmarkEnd w:id="9"/>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156" w:beforeLines="50" w:after="156"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156" w:beforeLines="50" w:after="156"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156" w:beforeLines="50" w:after="156"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156" w:beforeLines="50" w:after="156" w:afterLines="50" w:line="360" w:lineRule="auto"/>
        <w:ind w:firstLine="566" w:firstLineChars="23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156" w:beforeLines="50" w:after="156"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日期：</w:t>
      </w: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许昌公共资源交易中心保证金缴纳回执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4"/>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57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5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545"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4"/>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7"/>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7"/>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62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558"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7"/>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7"/>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10" w:name="OLE_LINK13"/>
      <w:bookmarkStart w:id="11" w:name="OLE_LINK14"/>
      <w:r>
        <w:rPr>
          <w:rFonts w:hint="eastAsia" w:ascii="宋体" w:hAnsi="宋体"/>
          <w:b/>
          <w:bCs/>
          <w:color w:val="000000"/>
          <w:sz w:val="36"/>
          <w:szCs w:val="36"/>
        </w:rPr>
        <w:t>4.10 残疾人福利性单位声明函</w:t>
      </w:r>
    </w:p>
    <w:bookmarkEnd w:id="10"/>
    <w:bookmarkEnd w:id="11"/>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sectPr>
      <w:footerReference r:id="rId3" w:type="default"/>
      <w:pgSz w:w="11906" w:h="16838"/>
      <w:pgMar w:top="1928" w:right="1701" w:bottom="1559" w:left="16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Wingdings 2">
    <w:altName w:val="Wingdings"/>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Text Box 1" o:spid="_x0000_s4097" o:spt="202" type="#_x0000_t202" style="position:absolute;left:0pt;margin-top:0pt;height:11pt;width:9.1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42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4322C"/>
    <w:multiLevelType w:val="multilevel"/>
    <w:tmpl w:val="92C4322C"/>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C11635C2"/>
    <w:multiLevelType w:val="multilevel"/>
    <w:tmpl w:val="C11635C2"/>
    <w:lvl w:ilvl="0" w:tentative="0">
      <w:start w:val="2"/>
      <w:numFmt w:val="chineseCounting"/>
      <w:lvlText w:val="(%1)"/>
      <w:lvlJc w:val="left"/>
      <w:pPr>
        <w:tabs>
          <w:tab w:val="left" w:pos="312"/>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5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880EDBF"/>
    <w:multiLevelType w:val="multilevel"/>
    <w:tmpl w:val="0880EDBF"/>
    <w:lvl w:ilvl="0" w:tentative="0">
      <w:start w:val="1"/>
      <w:numFmt w:val="decimal"/>
      <w:suff w:val="nothing"/>
      <w:lvlText w:val="%1、"/>
      <w:lvlJc w:val="left"/>
      <w:pPr>
        <w:ind w:left="481"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FB2551F"/>
    <w:multiLevelType w:val="multilevel"/>
    <w:tmpl w:val="0FB255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05F5EBC"/>
    <w:multiLevelType w:val="multilevel"/>
    <w:tmpl w:val="305F5EBC"/>
    <w:lvl w:ilvl="0" w:tentative="0">
      <w:start w:val="4"/>
      <w:numFmt w:val="japaneseCounting"/>
      <w:lvlText w:val="（%1）"/>
      <w:lvlJc w:val="left"/>
      <w:pPr>
        <w:ind w:left="1232" w:hanging="75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31C33232"/>
    <w:multiLevelType w:val="multilevel"/>
    <w:tmpl w:val="31C33232"/>
    <w:lvl w:ilvl="0" w:tentative="0">
      <w:start w:val="1"/>
      <w:numFmt w:val="decimal"/>
      <w:lvlText w:val="%1、"/>
      <w:lvlJc w:val="left"/>
      <w:pPr>
        <w:ind w:left="720" w:hanging="72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8EB45A6"/>
    <w:multiLevelType w:val="multilevel"/>
    <w:tmpl w:val="38EB45A6"/>
    <w:lvl w:ilvl="0" w:tentative="0">
      <w:start w:val="10"/>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59F817C2"/>
    <w:multiLevelType w:val="singleLevel"/>
    <w:tmpl w:val="59F817C2"/>
    <w:lvl w:ilvl="0" w:tentative="0">
      <w:start w:val="2"/>
      <w:numFmt w:val="chineseCounting"/>
      <w:suff w:val="space"/>
      <w:lvlText w:val="第%1章"/>
      <w:lvlJc w:val="left"/>
    </w:lvl>
  </w:abstractNum>
  <w:abstractNum w:abstractNumId="11">
    <w:nsid w:val="59F817E8"/>
    <w:multiLevelType w:val="singleLevel"/>
    <w:tmpl w:val="59F817E8"/>
    <w:lvl w:ilvl="0" w:tentative="0">
      <w:start w:val="1"/>
      <w:numFmt w:val="chineseCounting"/>
      <w:pStyle w:val="55"/>
      <w:suff w:val="nothing"/>
      <w:lvlText w:val="%1、"/>
      <w:lvlJc w:val="left"/>
    </w:lvl>
  </w:abstractNum>
  <w:abstractNum w:abstractNumId="12">
    <w:nsid w:val="74D896C3"/>
    <w:multiLevelType w:val="singleLevel"/>
    <w:tmpl w:val="74D896C3"/>
    <w:lvl w:ilvl="0" w:tentative="0">
      <w:start w:val="1"/>
      <w:numFmt w:val="chineseCounting"/>
      <w:suff w:val="nothing"/>
      <w:lvlText w:val="%1、"/>
      <w:lvlJc w:val="left"/>
      <w:rPr>
        <w:rFonts w:hint="eastAsia"/>
      </w:rPr>
    </w:lvl>
  </w:abstractNum>
  <w:abstractNum w:abstractNumId="13">
    <w:nsid w:val="7981FE0E"/>
    <w:multiLevelType w:val="singleLevel"/>
    <w:tmpl w:val="7981FE0E"/>
    <w:lvl w:ilvl="0" w:tentative="0">
      <w:start w:val="1"/>
      <w:numFmt w:val="chineseCounting"/>
      <w:suff w:val="space"/>
      <w:lvlText w:val="第%1章"/>
      <w:lvlJc w:val="left"/>
      <w:rPr>
        <w:rFonts w:hint="eastAsia"/>
      </w:rPr>
    </w:lvl>
  </w:abstractNum>
  <w:num w:numId="1">
    <w:abstractNumId w:val="2"/>
  </w:num>
  <w:num w:numId="2">
    <w:abstractNumId w:val="3"/>
  </w:num>
  <w:num w:numId="3">
    <w:abstractNumId w:val="11"/>
  </w:num>
  <w:num w:numId="4">
    <w:abstractNumId w:val="13"/>
  </w:num>
  <w:num w:numId="5">
    <w:abstractNumId w:val="0"/>
  </w:num>
  <w:num w:numId="6">
    <w:abstractNumId w:val="4"/>
  </w:num>
  <w:num w:numId="7">
    <w:abstractNumId w:val="1"/>
  </w:num>
  <w:num w:numId="8">
    <w:abstractNumId w:val="10"/>
  </w:num>
  <w:num w:numId="9">
    <w:abstractNumId w:val="12"/>
  </w:num>
  <w:num w:numId="10">
    <w:abstractNumId w:val="9"/>
  </w:num>
  <w:num w:numId="11">
    <w:abstractNumId w:val="5"/>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550D"/>
    <w:rsid w:val="00010A8E"/>
    <w:rsid w:val="000159BD"/>
    <w:rsid w:val="00015CB5"/>
    <w:rsid w:val="00020755"/>
    <w:rsid w:val="00025E45"/>
    <w:rsid w:val="000311FB"/>
    <w:rsid w:val="0003170C"/>
    <w:rsid w:val="000328B5"/>
    <w:rsid w:val="00033D16"/>
    <w:rsid w:val="00034E53"/>
    <w:rsid w:val="0003556C"/>
    <w:rsid w:val="000400E2"/>
    <w:rsid w:val="00040A19"/>
    <w:rsid w:val="0004289A"/>
    <w:rsid w:val="000463C9"/>
    <w:rsid w:val="00047B44"/>
    <w:rsid w:val="000530F0"/>
    <w:rsid w:val="00056927"/>
    <w:rsid w:val="000609FD"/>
    <w:rsid w:val="00061CC7"/>
    <w:rsid w:val="0007075F"/>
    <w:rsid w:val="00073DCF"/>
    <w:rsid w:val="000766DB"/>
    <w:rsid w:val="00077FF3"/>
    <w:rsid w:val="00082C6E"/>
    <w:rsid w:val="00084872"/>
    <w:rsid w:val="00086DE9"/>
    <w:rsid w:val="00092652"/>
    <w:rsid w:val="00093BD2"/>
    <w:rsid w:val="00094806"/>
    <w:rsid w:val="000B59E9"/>
    <w:rsid w:val="000C05E8"/>
    <w:rsid w:val="000C393F"/>
    <w:rsid w:val="000C57C8"/>
    <w:rsid w:val="000C6E80"/>
    <w:rsid w:val="000D1E1E"/>
    <w:rsid w:val="000D23AB"/>
    <w:rsid w:val="000D74F9"/>
    <w:rsid w:val="000E263E"/>
    <w:rsid w:val="000E264F"/>
    <w:rsid w:val="000E4F3B"/>
    <w:rsid w:val="000E7356"/>
    <w:rsid w:val="001008C2"/>
    <w:rsid w:val="001052E3"/>
    <w:rsid w:val="00110C26"/>
    <w:rsid w:val="0011325E"/>
    <w:rsid w:val="00121991"/>
    <w:rsid w:val="001262C8"/>
    <w:rsid w:val="001276EF"/>
    <w:rsid w:val="00140426"/>
    <w:rsid w:val="00141B3F"/>
    <w:rsid w:val="0014416B"/>
    <w:rsid w:val="00147B7D"/>
    <w:rsid w:val="001502BD"/>
    <w:rsid w:val="00163CBE"/>
    <w:rsid w:val="001645B9"/>
    <w:rsid w:val="00165060"/>
    <w:rsid w:val="00172427"/>
    <w:rsid w:val="00177750"/>
    <w:rsid w:val="00182C08"/>
    <w:rsid w:val="00183EF7"/>
    <w:rsid w:val="00185ECD"/>
    <w:rsid w:val="0018761C"/>
    <w:rsid w:val="001948F5"/>
    <w:rsid w:val="00195D1B"/>
    <w:rsid w:val="001977EA"/>
    <w:rsid w:val="001A442B"/>
    <w:rsid w:val="001A70C2"/>
    <w:rsid w:val="001B410D"/>
    <w:rsid w:val="001B41AD"/>
    <w:rsid w:val="001B7057"/>
    <w:rsid w:val="001B7C18"/>
    <w:rsid w:val="001C0F1B"/>
    <w:rsid w:val="001C309B"/>
    <w:rsid w:val="001C6C61"/>
    <w:rsid w:val="001D357E"/>
    <w:rsid w:val="001D46FE"/>
    <w:rsid w:val="001D493D"/>
    <w:rsid w:val="001D6AA9"/>
    <w:rsid w:val="001D6E54"/>
    <w:rsid w:val="001E1B0A"/>
    <w:rsid w:val="001E66A5"/>
    <w:rsid w:val="001E6C54"/>
    <w:rsid w:val="001E78EA"/>
    <w:rsid w:val="001F121D"/>
    <w:rsid w:val="001F202D"/>
    <w:rsid w:val="001F4319"/>
    <w:rsid w:val="001F4B20"/>
    <w:rsid w:val="001F7E43"/>
    <w:rsid w:val="002026FE"/>
    <w:rsid w:val="002107C9"/>
    <w:rsid w:val="0021205D"/>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678CC"/>
    <w:rsid w:val="002704F0"/>
    <w:rsid w:val="0027728C"/>
    <w:rsid w:val="00281155"/>
    <w:rsid w:val="00292257"/>
    <w:rsid w:val="0029317C"/>
    <w:rsid w:val="00296074"/>
    <w:rsid w:val="002969B1"/>
    <w:rsid w:val="002A00B7"/>
    <w:rsid w:val="002A0347"/>
    <w:rsid w:val="002B2BE8"/>
    <w:rsid w:val="002D0D13"/>
    <w:rsid w:val="002E3055"/>
    <w:rsid w:val="002E60F6"/>
    <w:rsid w:val="002E744B"/>
    <w:rsid w:val="002F3637"/>
    <w:rsid w:val="002F366B"/>
    <w:rsid w:val="002F4A90"/>
    <w:rsid w:val="0030587D"/>
    <w:rsid w:val="0031527C"/>
    <w:rsid w:val="00316537"/>
    <w:rsid w:val="00316973"/>
    <w:rsid w:val="00316D67"/>
    <w:rsid w:val="0032209C"/>
    <w:rsid w:val="003244F2"/>
    <w:rsid w:val="00334874"/>
    <w:rsid w:val="00336815"/>
    <w:rsid w:val="00345108"/>
    <w:rsid w:val="00345E09"/>
    <w:rsid w:val="00350E1D"/>
    <w:rsid w:val="0035386D"/>
    <w:rsid w:val="00360DAD"/>
    <w:rsid w:val="00365286"/>
    <w:rsid w:val="00365BDD"/>
    <w:rsid w:val="00370DFF"/>
    <w:rsid w:val="00380000"/>
    <w:rsid w:val="00383277"/>
    <w:rsid w:val="00391CDE"/>
    <w:rsid w:val="0039291E"/>
    <w:rsid w:val="003A02F1"/>
    <w:rsid w:val="003A4C56"/>
    <w:rsid w:val="003A71C3"/>
    <w:rsid w:val="003B5BE5"/>
    <w:rsid w:val="003B6765"/>
    <w:rsid w:val="003C013E"/>
    <w:rsid w:val="003C669F"/>
    <w:rsid w:val="003D2A39"/>
    <w:rsid w:val="003D6EA0"/>
    <w:rsid w:val="003D795D"/>
    <w:rsid w:val="003E4259"/>
    <w:rsid w:val="003E4CE5"/>
    <w:rsid w:val="003E7330"/>
    <w:rsid w:val="003F635C"/>
    <w:rsid w:val="00400336"/>
    <w:rsid w:val="004040EC"/>
    <w:rsid w:val="00414D08"/>
    <w:rsid w:val="00420293"/>
    <w:rsid w:val="004224AA"/>
    <w:rsid w:val="0042333E"/>
    <w:rsid w:val="00423593"/>
    <w:rsid w:val="00427171"/>
    <w:rsid w:val="00431A4E"/>
    <w:rsid w:val="0043314E"/>
    <w:rsid w:val="00435633"/>
    <w:rsid w:val="00436C3E"/>
    <w:rsid w:val="0043706F"/>
    <w:rsid w:val="00450B7E"/>
    <w:rsid w:val="004511E4"/>
    <w:rsid w:val="00452FF0"/>
    <w:rsid w:val="00454B40"/>
    <w:rsid w:val="00461772"/>
    <w:rsid w:val="0046214B"/>
    <w:rsid w:val="0046220D"/>
    <w:rsid w:val="004661DD"/>
    <w:rsid w:val="004676F5"/>
    <w:rsid w:val="004713E9"/>
    <w:rsid w:val="00475975"/>
    <w:rsid w:val="00475BC1"/>
    <w:rsid w:val="00477E2A"/>
    <w:rsid w:val="00483BBC"/>
    <w:rsid w:val="004A1281"/>
    <w:rsid w:val="004A35BF"/>
    <w:rsid w:val="004A69C6"/>
    <w:rsid w:val="004B266E"/>
    <w:rsid w:val="004C00FF"/>
    <w:rsid w:val="004C15CA"/>
    <w:rsid w:val="004D1A38"/>
    <w:rsid w:val="004D7FCC"/>
    <w:rsid w:val="004E3BC4"/>
    <w:rsid w:val="004F3800"/>
    <w:rsid w:val="004F3FD7"/>
    <w:rsid w:val="004F551F"/>
    <w:rsid w:val="004F797A"/>
    <w:rsid w:val="0050133C"/>
    <w:rsid w:val="0050216B"/>
    <w:rsid w:val="005021E8"/>
    <w:rsid w:val="00502B16"/>
    <w:rsid w:val="005075CA"/>
    <w:rsid w:val="00510715"/>
    <w:rsid w:val="00510D29"/>
    <w:rsid w:val="005119C1"/>
    <w:rsid w:val="00512E1D"/>
    <w:rsid w:val="00520172"/>
    <w:rsid w:val="00523277"/>
    <w:rsid w:val="00523927"/>
    <w:rsid w:val="00523928"/>
    <w:rsid w:val="00526033"/>
    <w:rsid w:val="00527005"/>
    <w:rsid w:val="005314A3"/>
    <w:rsid w:val="00533BD9"/>
    <w:rsid w:val="00540AEB"/>
    <w:rsid w:val="005415F6"/>
    <w:rsid w:val="00542031"/>
    <w:rsid w:val="0054297D"/>
    <w:rsid w:val="00546002"/>
    <w:rsid w:val="0055171B"/>
    <w:rsid w:val="00555840"/>
    <w:rsid w:val="005601D7"/>
    <w:rsid w:val="005675A5"/>
    <w:rsid w:val="005719EB"/>
    <w:rsid w:val="00572C46"/>
    <w:rsid w:val="005755F7"/>
    <w:rsid w:val="00576428"/>
    <w:rsid w:val="005939AD"/>
    <w:rsid w:val="00593F74"/>
    <w:rsid w:val="00594467"/>
    <w:rsid w:val="0059516F"/>
    <w:rsid w:val="005A1C0C"/>
    <w:rsid w:val="005B439F"/>
    <w:rsid w:val="005B6237"/>
    <w:rsid w:val="005C10B0"/>
    <w:rsid w:val="005C2C3A"/>
    <w:rsid w:val="005D272E"/>
    <w:rsid w:val="005D5852"/>
    <w:rsid w:val="005D5A8D"/>
    <w:rsid w:val="005D5E11"/>
    <w:rsid w:val="005D77CF"/>
    <w:rsid w:val="005E0D81"/>
    <w:rsid w:val="005E1286"/>
    <w:rsid w:val="005E4F9E"/>
    <w:rsid w:val="005E6DCD"/>
    <w:rsid w:val="005F07F3"/>
    <w:rsid w:val="005F7E21"/>
    <w:rsid w:val="006010BB"/>
    <w:rsid w:val="00601DC9"/>
    <w:rsid w:val="00603BB7"/>
    <w:rsid w:val="006070B9"/>
    <w:rsid w:val="00607890"/>
    <w:rsid w:val="006211BD"/>
    <w:rsid w:val="00621788"/>
    <w:rsid w:val="00622134"/>
    <w:rsid w:val="00622FF6"/>
    <w:rsid w:val="00627EF3"/>
    <w:rsid w:val="006341CB"/>
    <w:rsid w:val="0063573A"/>
    <w:rsid w:val="00636AAD"/>
    <w:rsid w:val="00644E97"/>
    <w:rsid w:val="00651415"/>
    <w:rsid w:val="00664CA7"/>
    <w:rsid w:val="006674B6"/>
    <w:rsid w:val="0066760C"/>
    <w:rsid w:val="00671218"/>
    <w:rsid w:val="00680403"/>
    <w:rsid w:val="006816B9"/>
    <w:rsid w:val="0068441A"/>
    <w:rsid w:val="00685CAE"/>
    <w:rsid w:val="00685F96"/>
    <w:rsid w:val="00687238"/>
    <w:rsid w:val="0069117B"/>
    <w:rsid w:val="006951C7"/>
    <w:rsid w:val="006A2151"/>
    <w:rsid w:val="006B3B14"/>
    <w:rsid w:val="006C33F0"/>
    <w:rsid w:val="006C575E"/>
    <w:rsid w:val="006D24FE"/>
    <w:rsid w:val="006D7995"/>
    <w:rsid w:val="006E1073"/>
    <w:rsid w:val="006E5294"/>
    <w:rsid w:val="006E69A9"/>
    <w:rsid w:val="006E7D75"/>
    <w:rsid w:val="006F42BD"/>
    <w:rsid w:val="006F6735"/>
    <w:rsid w:val="00703498"/>
    <w:rsid w:val="00714EA5"/>
    <w:rsid w:val="00716A7A"/>
    <w:rsid w:val="00723ED1"/>
    <w:rsid w:val="0072488A"/>
    <w:rsid w:val="00727688"/>
    <w:rsid w:val="00730668"/>
    <w:rsid w:val="0073735A"/>
    <w:rsid w:val="007373E3"/>
    <w:rsid w:val="00737B3F"/>
    <w:rsid w:val="00742F47"/>
    <w:rsid w:val="00743379"/>
    <w:rsid w:val="007530A0"/>
    <w:rsid w:val="00757D8D"/>
    <w:rsid w:val="00761164"/>
    <w:rsid w:val="007642BA"/>
    <w:rsid w:val="00765091"/>
    <w:rsid w:val="00771B80"/>
    <w:rsid w:val="00773878"/>
    <w:rsid w:val="00775A7C"/>
    <w:rsid w:val="00775C43"/>
    <w:rsid w:val="007942AC"/>
    <w:rsid w:val="007A05F2"/>
    <w:rsid w:val="007A0F7B"/>
    <w:rsid w:val="007A1777"/>
    <w:rsid w:val="007A5599"/>
    <w:rsid w:val="007B3355"/>
    <w:rsid w:val="007C23FB"/>
    <w:rsid w:val="007C6809"/>
    <w:rsid w:val="007D0575"/>
    <w:rsid w:val="007D37EB"/>
    <w:rsid w:val="007D6EF3"/>
    <w:rsid w:val="007E2A0C"/>
    <w:rsid w:val="007F1CC8"/>
    <w:rsid w:val="007F4AD2"/>
    <w:rsid w:val="007F7141"/>
    <w:rsid w:val="00805938"/>
    <w:rsid w:val="00810B9A"/>
    <w:rsid w:val="008123F9"/>
    <w:rsid w:val="00813462"/>
    <w:rsid w:val="008147AE"/>
    <w:rsid w:val="00814D8F"/>
    <w:rsid w:val="00815F3D"/>
    <w:rsid w:val="00815F60"/>
    <w:rsid w:val="008219F4"/>
    <w:rsid w:val="00822AC8"/>
    <w:rsid w:val="00823078"/>
    <w:rsid w:val="00827FEC"/>
    <w:rsid w:val="00834D27"/>
    <w:rsid w:val="00835102"/>
    <w:rsid w:val="008416CD"/>
    <w:rsid w:val="00847A1F"/>
    <w:rsid w:val="00856E26"/>
    <w:rsid w:val="008629A1"/>
    <w:rsid w:val="00870DCD"/>
    <w:rsid w:val="00875099"/>
    <w:rsid w:val="008824BB"/>
    <w:rsid w:val="0088531A"/>
    <w:rsid w:val="008868B3"/>
    <w:rsid w:val="00893816"/>
    <w:rsid w:val="00894121"/>
    <w:rsid w:val="00896627"/>
    <w:rsid w:val="008A532F"/>
    <w:rsid w:val="008A735D"/>
    <w:rsid w:val="008B1EBC"/>
    <w:rsid w:val="008B3760"/>
    <w:rsid w:val="008B4CCA"/>
    <w:rsid w:val="008B62B1"/>
    <w:rsid w:val="008B6376"/>
    <w:rsid w:val="008C0905"/>
    <w:rsid w:val="008C380D"/>
    <w:rsid w:val="008E7034"/>
    <w:rsid w:val="0090207B"/>
    <w:rsid w:val="00903C60"/>
    <w:rsid w:val="00910FBF"/>
    <w:rsid w:val="009130EC"/>
    <w:rsid w:val="00913638"/>
    <w:rsid w:val="00920741"/>
    <w:rsid w:val="009407DF"/>
    <w:rsid w:val="00943BF4"/>
    <w:rsid w:val="00944C89"/>
    <w:rsid w:val="009455CF"/>
    <w:rsid w:val="009462A9"/>
    <w:rsid w:val="00947653"/>
    <w:rsid w:val="00951C8E"/>
    <w:rsid w:val="00960CD8"/>
    <w:rsid w:val="00964173"/>
    <w:rsid w:val="009652AA"/>
    <w:rsid w:val="00966269"/>
    <w:rsid w:val="00967D90"/>
    <w:rsid w:val="00971DFC"/>
    <w:rsid w:val="00973BD1"/>
    <w:rsid w:val="00974710"/>
    <w:rsid w:val="00976944"/>
    <w:rsid w:val="00977773"/>
    <w:rsid w:val="00992F1F"/>
    <w:rsid w:val="0099354B"/>
    <w:rsid w:val="00994A8A"/>
    <w:rsid w:val="009A296B"/>
    <w:rsid w:val="009A2BC5"/>
    <w:rsid w:val="009A47E3"/>
    <w:rsid w:val="009A6F91"/>
    <w:rsid w:val="009B0E1C"/>
    <w:rsid w:val="009B3ABA"/>
    <w:rsid w:val="009C12AB"/>
    <w:rsid w:val="009C35AA"/>
    <w:rsid w:val="009C4B5C"/>
    <w:rsid w:val="009C7356"/>
    <w:rsid w:val="009D0D89"/>
    <w:rsid w:val="009D24B7"/>
    <w:rsid w:val="009E037C"/>
    <w:rsid w:val="009E1FE4"/>
    <w:rsid w:val="009E2AB7"/>
    <w:rsid w:val="009E483D"/>
    <w:rsid w:val="009E6006"/>
    <w:rsid w:val="009F55F0"/>
    <w:rsid w:val="009F6831"/>
    <w:rsid w:val="00A0270D"/>
    <w:rsid w:val="00A05160"/>
    <w:rsid w:val="00A06482"/>
    <w:rsid w:val="00A1226A"/>
    <w:rsid w:val="00A146D0"/>
    <w:rsid w:val="00A2478D"/>
    <w:rsid w:val="00A26A2D"/>
    <w:rsid w:val="00A272CE"/>
    <w:rsid w:val="00A30773"/>
    <w:rsid w:val="00A33F7E"/>
    <w:rsid w:val="00A409A7"/>
    <w:rsid w:val="00A5050D"/>
    <w:rsid w:val="00A54F2D"/>
    <w:rsid w:val="00A57099"/>
    <w:rsid w:val="00A577F4"/>
    <w:rsid w:val="00A634C2"/>
    <w:rsid w:val="00A71479"/>
    <w:rsid w:val="00A72BD8"/>
    <w:rsid w:val="00A8201D"/>
    <w:rsid w:val="00A85EC6"/>
    <w:rsid w:val="00A9002A"/>
    <w:rsid w:val="00AA0FE4"/>
    <w:rsid w:val="00AA16B6"/>
    <w:rsid w:val="00AA265E"/>
    <w:rsid w:val="00AA4A46"/>
    <w:rsid w:val="00AC0D4D"/>
    <w:rsid w:val="00AC62A0"/>
    <w:rsid w:val="00AC6B92"/>
    <w:rsid w:val="00AD1900"/>
    <w:rsid w:val="00AD310A"/>
    <w:rsid w:val="00AD43D5"/>
    <w:rsid w:val="00AD5AFA"/>
    <w:rsid w:val="00AD5C9F"/>
    <w:rsid w:val="00AE0428"/>
    <w:rsid w:val="00B00754"/>
    <w:rsid w:val="00B0198A"/>
    <w:rsid w:val="00B0319F"/>
    <w:rsid w:val="00B17370"/>
    <w:rsid w:val="00B2055A"/>
    <w:rsid w:val="00B2067D"/>
    <w:rsid w:val="00B24B86"/>
    <w:rsid w:val="00B30A6C"/>
    <w:rsid w:val="00B40771"/>
    <w:rsid w:val="00B40C7E"/>
    <w:rsid w:val="00B64EAB"/>
    <w:rsid w:val="00B65A0E"/>
    <w:rsid w:val="00B66E6E"/>
    <w:rsid w:val="00B75416"/>
    <w:rsid w:val="00B758FC"/>
    <w:rsid w:val="00B76639"/>
    <w:rsid w:val="00B80C52"/>
    <w:rsid w:val="00B91885"/>
    <w:rsid w:val="00B93A43"/>
    <w:rsid w:val="00B95A20"/>
    <w:rsid w:val="00BA0BDF"/>
    <w:rsid w:val="00BB1EC0"/>
    <w:rsid w:val="00BB3445"/>
    <w:rsid w:val="00BB6CC2"/>
    <w:rsid w:val="00BC01E9"/>
    <w:rsid w:val="00BD0FE7"/>
    <w:rsid w:val="00BD3AFF"/>
    <w:rsid w:val="00BF1DA5"/>
    <w:rsid w:val="00BF21E1"/>
    <w:rsid w:val="00BF5DFB"/>
    <w:rsid w:val="00C06F9E"/>
    <w:rsid w:val="00C1514A"/>
    <w:rsid w:val="00C23622"/>
    <w:rsid w:val="00C36189"/>
    <w:rsid w:val="00C414AD"/>
    <w:rsid w:val="00C430C9"/>
    <w:rsid w:val="00C4523B"/>
    <w:rsid w:val="00C45EEC"/>
    <w:rsid w:val="00C46E10"/>
    <w:rsid w:val="00C51319"/>
    <w:rsid w:val="00C52959"/>
    <w:rsid w:val="00C54545"/>
    <w:rsid w:val="00C638EC"/>
    <w:rsid w:val="00C7189B"/>
    <w:rsid w:val="00C731CA"/>
    <w:rsid w:val="00C75A26"/>
    <w:rsid w:val="00C80F81"/>
    <w:rsid w:val="00C8587D"/>
    <w:rsid w:val="00C932A1"/>
    <w:rsid w:val="00C956D7"/>
    <w:rsid w:val="00C975C9"/>
    <w:rsid w:val="00CA0494"/>
    <w:rsid w:val="00CA2C12"/>
    <w:rsid w:val="00CB2009"/>
    <w:rsid w:val="00CB5066"/>
    <w:rsid w:val="00CB5576"/>
    <w:rsid w:val="00CB64ED"/>
    <w:rsid w:val="00CC45F5"/>
    <w:rsid w:val="00CD4CBE"/>
    <w:rsid w:val="00CD7E6D"/>
    <w:rsid w:val="00CE0F39"/>
    <w:rsid w:val="00CE33AB"/>
    <w:rsid w:val="00CF4F24"/>
    <w:rsid w:val="00D11037"/>
    <w:rsid w:val="00D15F8D"/>
    <w:rsid w:val="00D21019"/>
    <w:rsid w:val="00D228EB"/>
    <w:rsid w:val="00D313D6"/>
    <w:rsid w:val="00D31F0B"/>
    <w:rsid w:val="00D35049"/>
    <w:rsid w:val="00D409E1"/>
    <w:rsid w:val="00D43A89"/>
    <w:rsid w:val="00D44821"/>
    <w:rsid w:val="00D50947"/>
    <w:rsid w:val="00D54C29"/>
    <w:rsid w:val="00D60BC1"/>
    <w:rsid w:val="00D80561"/>
    <w:rsid w:val="00D87CA6"/>
    <w:rsid w:val="00D90CE2"/>
    <w:rsid w:val="00D95770"/>
    <w:rsid w:val="00DA3386"/>
    <w:rsid w:val="00DA5F22"/>
    <w:rsid w:val="00DA70EB"/>
    <w:rsid w:val="00DB3A21"/>
    <w:rsid w:val="00DB748A"/>
    <w:rsid w:val="00DC5A3D"/>
    <w:rsid w:val="00DD105A"/>
    <w:rsid w:val="00DD116A"/>
    <w:rsid w:val="00DD1648"/>
    <w:rsid w:val="00E02920"/>
    <w:rsid w:val="00E155B5"/>
    <w:rsid w:val="00E16A95"/>
    <w:rsid w:val="00E203D7"/>
    <w:rsid w:val="00E23924"/>
    <w:rsid w:val="00E24944"/>
    <w:rsid w:val="00E2643B"/>
    <w:rsid w:val="00E32D01"/>
    <w:rsid w:val="00E403D1"/>
    <w:rsid w:val="00E42736"/>
    <w:rsid w:val="00E43378"/>
    <w:rsid w:val="00E52D68"/>
    <w:rsid w:val="00E6072E"/>
    <w:rsid w:val="00E63821"/>
    <w:rsid w:val="00E71FE4"/>
    <w:rsid w:val="00E72B34"/>
    <w:rsid w:val="00E84D5D"/>
    <w:rsid w:val="00E85524"/>
    <w:rsid w:val="00E86D2C"/>
    <w:rsid w:val="00E8799C"/>
    <w:rsid w:val="00E87E2A"/>
    <w:rsid w:val="00E906B8"/>
    <w:rsid w:val="00E956EC"/>
    <w:rsid w:val="00EA0782"/>
    <w:rsid w:val="00EA20BB"/>
    <w:rsid w:val="00EA2701"/>
    <w:rsid w:val="00EB2237"/>
    <w:rsid w:val="00EB2492"/>
    <w:rsid w:val="00EB3D1C"/>
    <w:rsid w:val="00EB4C15"/>
    <w:rsid w:val="00EC0745"/>
    <w:rsid w:val="00EC0A96"/>
    <w:rsid w:val="00EC2484"/>
    <w:rsid w:val="00EC53F6"/>
    <w:rsid w:val="00ED4705"/>
    <w:rsid w:val="00ED4AF7"/>
    <w:rsid w:val="00EE167A"/>
    <w:rsid w:val="00EE20E3"/>
    <w:rsid w:val="00EE37D3"/>
    <w:rsid w:val="00EE38E4"/>
    <w:rsid w:val="00EF38CD"/>
    <w:rsid w:val="00EF4CE3"/>
    <w:rsid w:val="00EF56E4"/>
    <w:rsid w:val="00EF6433"/>
    <w:rsid w:val="00EF684F"/>
    <w:rsid w:val="00EF69A2"/>
    <w:rsid w:val="00F01880"/>
    <w:rsid w:val="00F06A23"/>
    <w:rsid w:val="00F07138"/>
    <w:rsid w:val="00F10BC0"/>
    <w:rsid w:val="00F12CE8"/>
    <w:rsid w:val="00F13EFD"/>
    <w:rsid w:val="00F165A3"/>
    <w:rsid w:val="00F2162E"/>
    <w:rsid w:val="00F21E3B"/>
    <w:rsid w:val="00F3359B"/>
    <w:rsid w:val="00F43428"/>
    <w:rsid w:val="00F44074"/>
    <w:rsid w:val="00F4626B"/>
    <w:rsid w:val="00F51389"/>
    <w:rsid w:val="00F51ED8"/>
    <w:rsid w:val="00F51FCE"/>
    <w:rsid w:val="00F5466E"/>
    <w:rsid w:val="00F6477D"/>
    <w:rsid w:val="00F66967"/>
    <w:rsid w:val="00F66D61"/>
    <w:rsid w:val="00F675C6"/>
    <w:rsid w:val="00F67F31"/>
    <w:rsid w:val="00F71411"/>
    <w:rsid w:val="00F75216"/>
    <w:rsid w:val="00F847FE"/>
    <w:rsid w:val="00F849D7"/>
    <w:rsid w:val="00F85FCF"/>
    <w:rsid w:val="00F86489"/>
    <w:rsid w:val="00F8732C"/>
    <w:rsid w:val="00F90D82"/>
    <w:rsid w:val="00F92C08"/>
    <w:rsid w:val="00FA63E0"/>
    <w:rsid w:val="00FA64E7"/>
    <w:rsid w:val="00FA774A"/>
    <w:rsid w:val="00FB0DF3"/>
    <w:rsid w:val="00FB2373"/>
    <w:rsid w:val="00FB532F"/>
    <w:rsid w:val="00FC0DEB"/>
    <w:rsid w:val="00FC4909"/>
    <w:rsid w:val="00FC4962"/>
    <w:rsid w:val="00FD12DE"/>
    <w:rsid w:val="00FD62FF"/>
    <w:rsid w:val="00FE2F78"/>
    <w:rsid w:val="00FE61C6"/>
    <w:rsid w:val="00FF4EA4"/>
    <w:rsid w:val="011C6ECB"/>
    <w:rsid w:val="01300DBF"/>
    <w:rsid w:val="01C61C0C"/>
    <w:rsid w:val="020857AE"/>
    <w:rsid w:val="02A519CF"/>
    <w:rsid w:val="032F2FAA"/>
    <w:rsid w:val="04382201"/>
    <w:rsid w:val="04651F33"/>
    <w:rsid w:val="054947FD"/>
    <w:rsid w:val="065A3401"/>
    <w:rsid w:val="073E24F6"/>
    <w:rsid w:val="07425CE2"/>
    <w:rsid w:val="07E01DCC"/>
    <w:rsid w:val="08473241"/>
    <w:rsid w:val="088328FE"/>
    <w:rsid w:val="088740E9"/>
    <w:rsid w:val="08D95158"/>
    <w:rsid w:val="08DF4C24"/>
    <w:rsid w:val="08F673A1"/>
    <w:rsid w:val="094051F1"/>
    <w:rsid w:val="098F5CD8"/>
    <w:rsid w:val="09B47A71"/>
    <w:rsid w:val="0A63288C"/>
    <w:rsid w:val="0A905876"/>
    <w:rsid w:val="0A9D1B09"/>
    <w:rsid w:val="0AB87C68"/>
    <w:rsid w:val="0AD628EC"/>
    <w:rsid w:val="0C0808AD"/>
    <w:rsid w:val="0C5C62E0"/>
    <w:rsid w:val="0CF76167"/>
    <w:rsid w:val="0CFC6D5C"/>
    <w:rsid w:val="0D701136"/>
    <w:rsid w:val="0DB9029B"/>
    <w:rsid w:val="0E6A1E83"/>
    <w:rsid w:val="0ECF4C67"/>
    <w:rsid w:val="0F125EAD"/>
    <w:rsid w:val="0F2B5F51"/>
    <w:rsid w:val="0F760377"/>
    <w:rsid w:val="101B468F"/>
    <w:rsid w:val="101F02D8"/>
    <w:rsid w:val="1094412A"/>
    <w:rsid w:val="109B0A13"/>
    <w:rsid w:val="12096790"/>
    <w:rsid w:val="129255AD"/>
    <w:rsid w:val="12942439"/>
    <w:rsid w:val="12D06055"/>
    <w:rsid w:val="150100D3"/>
    <w:rsid w:val="156124E2"/>
    <w:rsid w:val="15710ED1"/>
    <w:rsid w:val="1700747A"/>
    <w:rsid w:val="173014F8"/>
    <w:rsid w:val="17D253A9"/>
    <w:rsid w:val="180957D1"/>
    <w:rsid w:val="18737DA4"/>
    <w:rsid w:val="18BF7D91"/>
    <w:rsid w:val="19A14A20"/>
    <w:rsid w:val="1B7F3D33"/>
    <w:rsid w:val="1C6028B2"/>
    <w:rsid w:val="1D4104D1"/>
    <w:rsid w:val="1D4A55D9"/>
    <w:rsid w:val="1D8949CF"/>
    <w:rsid w:val="1E1F726F"/>
    <w:rsid w:val="1E6F5F85"/>
    <w:rsid w:val="1EBF0F9A"/>
    <w:rsid w:val="1F382462"/>
    <w:rsid w:val="1F6E0B9A"/>
    <w:rsid w:val="203447B4"/>
    <w:rsid w:val="203B2E83"/>
    <w:rsid w:val="207B2DBE"/>
    <w:rsid w:val="2161798A"/>
    <w:rsid w:val="21865A86"/>
    <w:rsid w:val="21A764E9"/>
    <w:rsid w:val="21B8794D"/>
    <w:rsid w:val="22070595"/>
    <w:rsid w:val="220A6D53"/>
    <w:rsid w:val="226D50B9"/>
    <w:rsid w:val="236B16F8"/>
    <w:rsid w:val="240555F9"/>
    <w:rsid w:val="243458B8"/>
    <w:rsid w:val="245D449F"/>
    <w:rsid w:val="245D7E7F"/>
    <w:rsid w:val="251660DE"/>
    <w:rsid w:val="25C30913"/>
    <w:rsid w:val="25CC4E82"/>
    <w:rsid w:val="260074FA"/>
    <w:rsid w:val="260B6A85"/>
    <w:rsid w:val="263C7982"/>
    <w:rsid w:val="26CF5E4F"/>
    <w:rsid w:val="27710EF1"/>
    <w:rsid w:val="27837A7E"/>
    <w:rsid w:val="29060B08"/>
    <w:rsid w:val="29462CB3"/>
    <w:rsid w:val="29614917"/>
    <w:rsid w:val="29643CBB"/>
    <w:rsid w:val="29CC7E45"/>
    <w:rsid w:val="29F14F71"/>
    <w:rsid w:val="2A077705"/>
    <w:rsid w:val="2A894968"/>
    <w:rsid w:val="2A8A1812"/>
    <w:rsid w:val="2CA02D82"/>
    <w:rsid w:val="2CD82CF9"/>
    <w:rsid w:val="2CF16655"/>
    <w:rsid w:val="2EBB336B"/>
    <w:rsid w:val="2F274DF7"/>
    <w:rsid w:val="2FF62F6D"/>
    <w:rsid w:val="30247E73"/>
    <w:rsid w:val="306D061B"/>
    <w:rsid w:val="306F09A3"/>
    <w:rsid w:val="30CF1656"/>
    <w:rsid w:val="30DE0EAC"/>
    <w:rsid w:val="30E80578"/>
    <w:rsid w:val="33922392"/>
    <w:rsid w:val="33E10BD4"/>
    <w:rsid w:val="344D0AEE"/>
    <w:rsid w:val="360366ED"/>
    <w:rsid w:val="36196611"/>
    <w:rsid w:val="364B0521"/>
    <w:rsid w:val="36F6103F"/>
    <w:rsid w:val="37534599"/>
    <w:rsid w:val="377E7F82"/>
    <w:rsid w:val="379707D6"/>
    <w:rsid w:val="37E2420E"/>
    <w:rsid w:val="38B65816"/>
    <w:rsid w:val="39693ADD"/>
    <w:rsid w:val="3A425B8B"/>
    <w:rsid w:val="3AEA2F51"/>
    <w:rsid w:val="3B8059DA"/>
    <w:rsid w:val="3C0D7C2F"/>
    <w:rsid w:val="3C486093"/>
    <w:rsid w:val="3CAF7FCB"/>
    <w:rsid w:val="3CB307CD"/>
    <w:rsid w:val="3CD14D05"/>
    <w:rsid w:val="3CE3426E"/>
    <w:rsid w:val="3D082B7E"/>
    <w:rsid w:val="3D0D1896"/>
    <w:rsid w:val="3D2A686E"/>
    <w:rsid w:val="3D603008"/>
    <w:rsid w:val="3D926D5B"/>
    <w:rsid w:val="3E1130DD"/>
    <w:rsid w:val="3E8856D2"/>
    <w:rsid w:val="3E8E38AC"/>
    <w:rsid w:val="3F204458"/>
    <w:rsid w:val="3FD832D1"/>
    <w:rsid w:val="3FF0488E"/>
    <w:rsid w:val="406B46F3"/>
    <w:rsid w:val="40A72C06"/>
    <w:rsid w:val="42882674"/>
    <w:rsid w:val="439B0C61"/>
    <w:rsid w:val="439E5A8C"/>
    <w:rsid w:val="43D61705"/>
    <w:rsid w:val="43F101DC"/>
    <w:rsid w:val="449D13E3"/>
    <w:rsid w:val="44F87889"/>
    <w:rsid w:val="451C500F"/>
    <w:rsid w:val="45905599"/>
    <w:rsid w:val="45CB4D53"/>
    <w:rsid w:val="46AA6D19"/>
    <w:rsid w:val="46C01741"/>
    <w:rsid w:val="46E91310"/>
    <w:rsid w:val="47086D4F"/>
    <w:rsid w:val="472E4512"/>
    <w:rsid w:val="47396E66"/>
    <w:rsid w:val="47F954D5"/>
    <w:rsid w:val="48E77905"/>
    <w:rsid w:val="493F5B2A"/>
    <w:rsid w:val="4A186A51"/>
    <w:rsid w:val="4A986023"/>
    <w:rsid w:val="4A9B4115"/>
    <w:rsid w:val="4B8E55C4"/>
    <w:rsid w:val="4BEE1A4F"/>
    <w:rsid w:val="4C9704E8"/>
    <w:rsid w:val="4CA07609"/>
    <w:rsid w:val="4D1B4CE8"/>
    <w:rsid w:val="4E58559A"/>
    <w:rsid w:val="4EA61FAE"/>
    <w:rsid w:val="4F0676C6"/>
    <w:rsid w:val="514C3288"/>
    <w:rsid w:val="51743B09"/>
    <w:rsid w:val="51AB387C"/>
    <w:rsid w:val="52AB2884"/>
    <w:rsid w:val="52FE3778"/>
    <w:rsid w:val="533C6C28"/>
    <w:rsid w:val="53414B63"/>
    <w:rsid w:val="54024902"/>
    <w:rsid w:val="54D96167"/>
    <w:rsid w:val="550411D1"/>
    <w:rsid w:val="557806F0"/>
    <w:rsid w:val="55DB1A54"/>
    <w:rsid w:val="55E169E4"/>
    <w:rsid w:val="56593C66"/>
    <w:rsid w:val="572C5103"/>
    <w:rsid w:val="57862BA6"/>
    <w:rsid w:val="58AF61CE"/>
    <w:rsid w:val="58B1477B"/>
    <w:rsid w:val="58F22240"/>
    <w:rsid w:val="595E2D42"/>
    <w:rsid w:val="5B1241A2"/>
    <w:rsid w:val="5B4B5622"/>
    <w:rsid w:val="5C5D0364"/>
    <w:rsid w:val="5D8A796C"/>
    <w:rsid w:val="5DCB0F3C"/>
    <w:rsid w:val="61FD3CDC"/>
    <w:rsid w:val="623F6B4A"/>
    <w:rsid w:val="628776FF"/>
    <w:rsid w:val="6337402F"/>
    <w:rsid w:val="633F522B"/>
    <w:rsid w:val="63447490"/>
    <w:rsid w:val="6382450E"/>
    <w:rsid w:val="63AD3A1F"/>
    <w:rsid w:val="6414098D"/>
    <w:rsid w:val="6656736F"/>
    <w:rsid w:val="6744225C"/>
    <w:rsid w:val="679F3371"/>
    <w:rsid w:val="68117A6F"/>
    <w:rsid w:val="689F2A5A"/>
    <w:rsid w:val="68DF1C34"/>
    <w:rsid w:val="6AC37814"/>
    <w:rsid w:val="6B9C13FC"/>
    <w:rsid w:val="6C1D294D"/>
    <w:rsid w:val="6C3F372F"/>
    <w:rsid w:val="6C6E5C16"/>
    <w:rsid w:val="6CED43EA"/>
    <w:rsid w:val="6CEE3D2E"/>
    <w:rsid w:val="6D2230A7"/>
    <w:rsid w:val="6D2D01EC"/>
    <w:rsid w:val="6D932405"/>
    <w:rsid w:val="6D970C4B"/>
    <w:rsid w:val="6F3B6B42"/>
    <w:rsid w:val="6FEB11D6"/>
    <w:rsid w:val="70177627"/>
    <w:rsid w:val="708D7763"/>
    <w:rsid w:val="71447067"/>
    <w:rsid w:val="72BF1A76"/>
    <w:rsid w:val="734C5279"/>
    <w:rsid w:val="73540DDA"/>
    <w:rsid w:val="737D3492"/>
    <w:rsid w:val="740878EE"/>
    <w:rsid w:val="743B6186"/>
    <w:rsid w:val="74D465DB"/>
    <w:rsid w:val="758E2ABC"/>
    <w:rsid w:val="771A35C1"/>
    <w:rsid w:val="7743134C"/>
    <w:rsid w:val="7859030B"/>
    <w:rsid w:val="78E842D6"/>
    <w:rsid w:val="790E4887"/>
    <w:rsid w:val="79574A1E"/>
    <w:rsid w:val="7AA53AEB"/>
    <w:rsid w:val="7C5F6D73"/>
    <w:rsid w:val="7D9656FB"/>
    <w:rsid w:val="7E226898"/>
    <w:rsid w:val="7F3321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4"/>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5"/>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6"/>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annotation text"/>
    <w:basedOn w:val="1"/>
    <w:link w:val="64"/>
    <w:semiHidden/>
    <w:unhideWhenUsed/>
    <w:qFormat/>
    <w:uiPriority w:val="99"/>
    <w:pPr>
      <w:jc w:val="left"/>
    </w:pPr>
  </w:style>
  <w:style w:type="paragraph" w:styleId="9">
    <w:name w:val="Body Text 3"/>
    <w:basedOn w:val="1"/>
    <w:link w:val="52"/>
    <w:qFormat/>
    <w:uiPriority w:val="0"/>
    <w:rPr>
      <w:rFonts w:ascii="Times New Roman" w:hAnsi="Times New Roman" w:eastAsia="宋体" w:cs="Times New Roman"/>
      <w:color w:val="FF0000"/>
      <w:sz w:val="24"/>
      <w:szCs w:val="24"/>
    </w:rPr>
  </w:style>
  <w:style w:type="paragraph" w:styleId="10">
    <w:name w:val="Body Text"/>
    <w:basedOn w:val="1"/>
    <w:link w:val="56"/>
    <w:semiHidden/>
    <w:unhideWhenUsed/>
    <w:qFormat/>
    <w:uiPriority w:val="99"/>
    <w:pPr>
      <w:spacing w:after="120"/>
    </w:p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7"/>
    <w:qFormat/>
    <w:uiPriority w:val="0"/>
    <w:rPr>
      <w:rFonts w:eastAsia="宋体"/>
      <w:sz w:val="24"/>
    </w:rPr>
  </w:style>
  <w:style w:type="paragraph" w:styleId="14">
    <w:name w:val="Date"/>
    <w:basedOn w:val="1"/>
    <w:next w:val="1"/>
    <w:link w:val="38"/>
    <w:unhideWhenUsed/>
    <w:qFormat/>
    <w:uiPriority w:val="99"/>
    <w:pPr>
      <w:ind w:left="100" w:leftChars="2500"/>
    </w:pPr>
  </w:style>
  <w:style w:type="paragraph" w:styleId="15">
    <w:name w:val="Balloon Text"/>
    <w:basedOn w:val="1"/>
    <w:link w:val="62"/>
    <w:semiHidden/>
    <w:qFormat/>
    <w:uiPriority w:val="99"/>
    <w:rPr>
      <w:rFonts w:ascii="Times New Roman" w:hAnsi="Times New Roman" w:eastAsia="宋体" w:cs="Times New Roman"/>
      <w:sz w:val="18"/>
      <w:szCs w:val="18"/>
    </w:rPr>
  </w:style>
  <w:style w:type="paragraph" w:styleId="16">
    <w:name w:val="footer"/>
    <w:basedOn w:val="1"/>
    <w:link w:val="39"/>
    <w:unhideWhenUsed/>
    <w:qFormat/>
    <w:uiPriority w:val="99"/>
    <w:pPr>
      <w:tabs>
        <w:tab w:val="center" w:pos="4153"/>
        <w:tab w:val="right" w:pos="8306"/>
      </w:tabs>
      <w:snapToGrid w:val="0"/>
      <w:jc w:val="left"/>
    </w:pPr>
    <w:rPr>
      <w:sz w:val="18"/>
      <w:szCs w:val="18"/>
    </w:rPr>
  </w:style>
  <w:style w:type="paragraph" w:styleId="17">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0"/>
    <w:rPr>
      <w:rFonts w:ascii="Calibri" w:hAnsi="Calibri" w:eastAsia="宋体" w:cs="Times New Roman"/>
      <w:sz w:val="24"/>
      <w:szCs w:val="24"/>
    </w:rPr>
  </w:style>
  <w:style w:type="paragraph" w:styleId="21">
    <w:name w:val="annotation subject"/>
    <w:basedOn w:val="8"/>
    <w:next w:val="8"/>
    <w:link w:val="65"/>
    <w:semiHidden/>
    <w:unhideWhenUsed/>
    <w:qFormat/>
    <w:uiPriority w:val="99"/>
    <w:rPr>
      <w:b/>
      <w:bCs/>
    </w:rPr>
  </w:style>
  <w:style w:type="paragraph" w:styleId="22">
    <w:name w:val="Body Text First Indent"/>
    <w:basedOn w:val="10"/>
    <w:link w:val="57"/>
    <w:qFormat/>
    <w:uiPriority w:val="0"/>
    <w:pPr>
      <w:ind w:firstLine="420" w:firstLineChars="100"/>
    </w:pPr>
    <w:rPr>
      <w:rFonts w:ascii="宋体" w:hAnsi="Times New Roman" w:eastAsia="宋体" w:cs="Times New Roman"/>
      <w:kern w:val="0"/>
      <w:sz w:val="34"/>
      <w:szCs w:val="20"/>
    </w:rPr>
  </w:style>
  <w:style w:type="paragraph" w:styleId="23">
    <w:name w:val="Body Text First Indent 2"/>
    <w:next w:val="1"/>
    <w:qFormat/>
    <w:uiPriority w:val="0"/>
    <w:pPr>
      <w:ind w:firstLine="420" w:firstLineChars="200"/>
    </w:pPr>
    <w:rPr>
      <w:rFonts w:eastAsia="楷体_GB2312" w:asciiTheme="minorHAnsi" w:hAnsiTheme="minorHAnsi" w:cstheme="minorBidi"/>
      <w:b/>
      <w:kern w:val="44"/>
      <w:sz w:val="44"/>
      <w:lang w:val="en-US" w:eastAsia="zh-CN" w:bidi="ar-SA"/>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7">
    <w:name w:val="Strong"/>
    <w:basedOn w:val="26"/>
    <w:qFormat/>
    <w:uiPriority w:val="22"/>
    <w:rPr>
      <w:b/>
      <w:bCs/>
    </w:rPr>
  </w:style>
  <w:style w:type="character" w:styleId="28">
    <w:name w:val="page number"/>
    <w:basedOn w:val="26"/>
    <w:qFormat/>
    <w:uiPriority w:val="0"/>
  </w:style>
  <w:style w:type="character" w:styleId="29">
    <w:name w:val="FollowedHyperlink"/>
    <w:basedOn w:val="26"/>
    <w:semiHidden/>
    <w:unhideWhenUsed/>
    <w:qFormat/>
    <w:uiPriority w:val="99"/>
    <w:rPr>
      <w:color w:val="800080" w:themeColor="followedHyperlink"/>
      <w:u w:val="single"/>
    </w:rPr>
  </w:style>
  <w:style w:type="character" w:styleId="30">
    <w:name w:val="Emphasis"/>
    <w:basedOn w:val="26"/>
    <w:qFormat/>
    <w:uiPriority w:val="20"/>
    <w:rPr>
      <w:i/>
      <w:iCs/>
    </w:rPr>
  </w:style>
  <w:style w:type="character" w:styleId="31">
    <w:name w:val="Hyperlink"/>
    <w:basedOn w:val="26"/>
    <w:unhideWhenUsed/>
    <w:qFormat/>
    <w:uiPriority w:val="99"/>
    <w:rPr>
      <w:color w:val="0000FF"/>
      <w:u w:val="single"/>
    </w:rPr>
  </w:style>
  <w:style w:type="character" w:styleId="32">
    <w:name w:val="annotation reference"/>
    <w:basedOn w:val="26"/>
    <w:semiHidden/>
    <w:unhideWhenUsed/>
    <w:qFormat/>
    <w:uiPriority w:val="99"/>
    <w:rPr>
      <w:sz w:val="21"/>
      <w:szCs w:val="21"/>
    </w:rPr>
  </w:style>
  <w:style w:type="character" w:customStyle="1" w:styleId="33">
    <w:name w:val="标题 1 Char"/>
    <w:basedOn w:val="26"/>
    <w:link w:val="2"/>
    <w:qFormat/>
    <w:uiPriority w:val="0"/>
    <w:rPr>
      <w:rFonts w:ascii="Calibri" w:hAnsi="Calibri" w:eastAsia="宋体" w:cs="Times New Roman"/>
      <w:b/>
      <w:bCs/>
      <w:kern w:val="44"/>
      <w:sz w:val="44"/>
      <w:szCs w:val="44"/>
    </w:rPr>
  </w:style>
  <w:style w:type="character" w:customStyle="1" w:styleId="34">
    <w:name w:val="标题 2 Char"/>
    <w:basedOn w:val="26"/>
    <w:link w:val="3"/>
    <w:qFormat/>
    <w:uiPriority w:val="0"/>
    <w:rPr>
      <w:rFonts w:ascii="Arial" w:hAnsi="Arial" w:eastAsia="黑体" w:cs="Times New Roman"/>
      <w:b/>
      <w:bCs/>
      <w:kern w:val="0"/>
      <w:sz w:val="32"/>
      <w:szCs w:val="32"/>
    </w:rPr>
  </w:style>
  <w:style w:type="character" w:customStyle="1" w:styleId="35">
    <w:name w:val="标题 3 Char"/>
    <w:basedOn w:val="26"/>
    <w:link w:val="4"/>
    <w:qFormat/>
    <w:uiPriority w:val="0"/>
    <w:rPr>
      <w:rFonts w:ascii="宋体" w:hAnsi="宋体" w:eastAsia="宋体" w:cs="Times New Roman"/>
      <w:b/>
      <w:color w:val="000000"/>
      <w:kern w:val="0"/>
      <w:sz w:val="24"/>
      <w:szCs w:val="20"/>
      <w:lang w:val="en-GB"/>
    </w:rPr>
  </w:style>
  <w:style w:type="character" w:customStyle="1" w:styleId="36">
    <w:name w:val="标题 4 Char"/>
    <w:basedOn w:val="26"/>
    <w:link w:val="5"/>
    <w:qFormat/>
    <w:uiPriority w:val="0"/>
    <w:rPr>
      <w:rFonts w:ascii="Arial" w:hAnsi="Arial" w:eastAsia="黑体" w:cs="Times New Roman"/>
      <w:b/>
      <w:bCs/>
      <w:kern w:val="0"/>
      <w:sz w:val="28"/>
      <w:szCs w:val="28"/>
    </w:rPr>
  </w:style>
  <w:style w:type="character" w:customStyle="1" w:styleId="37">
    <w:name w:val="纯文本 Char"/>
    <w:basedOn w:val="26"/>
    <w:link w:val="13"/>
    <w:qFormat/>
    <w:uiPriority w:val="0"/>
    <w:rPr>
      <w:rFonts w:eastAsia="宋体"/>
      <w:sz w:val="24"/>
    </w:rPr>
  </w:style>
  <w:style w:type="character" w:customStyle="1" w:styleId="38">
    <w:name w:val="日期 Char"/>
    <w:basedOn w:val="26"/>
    <w:link w:val="14"/>
    <w:qFormat/>
    <w:uiPriority w:val="99"/>
  </w:style>
  <w:style w:type="character" w:customStyle="1" w:styleId="39">
    <w:name w:val="页脚 Char"/>
    <w:basedOn w:val="26"/>
    <w:link w:val="16"/>
    <w:qFormat/>
    <w:uiPriority w:val="99"/>
    <w:rPr>
      <w:sz w:val="18"/>
      <w:szCs w:val="18"/>
    </w:rPr>
  </w:style>
  <w:style w:type="character" w:customStyle="1" w:styleId="40">
    <w:name w:val="页眉 Char"/>
    <w:basedOn w:val="26"/>
    <w:link w:val="17"/>
    <w:qFormat/>
    <w:uiPriority w:val="99"/>
    <w:rPr>
      <w:sz w:val="18"/>
      <w:szCs w:val="18"/>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43">
    <w:name w:val="列出段落1"/>
    <w:basedOn w:val="1"/>
    <w:qFormat/>
    <w:uiPriority w:val="0"/>
    <w:pPr>
      <w:ind w:firstLine="420" w:firstLineChars="200"/>
    </w:pPr>
  </w:style>
  <w:style w:type="paragraph" w:styleId="44">
    <w:name w:val="List Paragraph"/>
    <w:basedOn w:val="1"/>
    <w:unhideWhenUsed/>
    <w:qFormat/>
    <w:uiPriority w:val="34"/>
    <w:pPr>
      <w:ind w:firstLine="420" w:firstLineChars="200"/>
    </w:pPr>
  </w:style>
  <w:style w:type="character" w:customStyle="1" w:styleId="45">
    <w:name w:val="正文文本缩进 Char Char"/>
    <w:link w:val="46"/>
    <w:qFormat/>
    <w:uiPriority w:val="0"/>
    <w:rPr>
      <w:rFonts w:ascii="宋体"/>
      <w:sz w:val="24"/>
    </w:rPr>
  </w:style>
  <w:style w:type="paragraph" w:customStyle="1" w:styleId="46">
    <w:name w:val="正文文本缩进1"/>
    <w:basedOn w:val="1"/>
    <w:link w:val="45"/>
    <w:qFormat/>
    <w:uiPriority w:val="0"/>
    <w:pPr>
      <w:spacing w:line="360" w:lineRule="auto"/>
      <w:ind w:firstLine="480" w:firstLineChars="200"/>
    </w:pPr>
    <w:rPr>
      <w:rFonts w:ascii="宋体"/>
      <w:sz w:val="24"/>
    </w:rPr>
  </w:style>
  <w:style w:type="character" w:customStyle="1" w:styleId="47">
    <w:name w:val="日期 Char Char"/>
    <w:link w:val="48"/>
    <w:qFormat/>
    <w:uiPriority w:val="0"/>
    <w:rPr>
      <w:sz w:val="24"/>
    </w:rPr>
  </w:style>
  <w:style w:type="paragraph" w:customStyle="1" w:styleId="48">
    <w:name w:val="日期1"/>
    <w:basedOn w:val="1"/>
    <w:next w:val="1"/>
    <w:link w:val="47"/>
    <w:qFormat/>
    <w:uiPriority w:val="0"/>
    <w:rPr>
      <w:sz w:val="24"/>
    </w:rPr>
  </w:style>
  <w:style w:type="paragraph" w:customStyle="1" w:styleId="4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0">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2">
    <w:name w:val="正文文本 3 Char"/>
    <w:basedOn w:val="26"/>
    <w:link w:val="9"/>
    <w:qFormat/>
    <w:uiPriority w:val="0"/>
    <w:rPr>
      <w:rFonts w:ascii="Times New Roman" w:hAnsi="Times New Roman" w:eastAsia="宋体" w:cs="Times New Roman"/>
      <w:color w:val="FF0000"/>
      <w:sz w:val="24"/>
      <w:szCs w:val="24"/>
    </w:rPr>
  </w:style>
  <w:style w:type="character" w:customStyle="1" w:styleId="53">
    <w:name w:val="edittexttarea"/>
    <w:basedOn w:val="26"/>
    <w:qFormat/>
    <w:uiPriority w:val="0"/>
  </w:style>
  <w:style w:type="paragraph" w:customStyle="1" w:styleId="54">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5">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6">
    <w:name w:val="正文文本 Char"/>
    <w:basedOn w:val="26"/>
    <w:link w:val="10"/>
    <w:semiHidden/>
    <w:qFormat/>
    <w:uiPriority w:val="99"/>
  </w:style>
  <w:style w:type="character" w:customStyle="1" w:styleId="57">
    <w:name w:val="正文首行缩进 Char"/>
    <w:basedOn w:val="56"/>
    <w:link w:val="22"/>
    <w:qFormat/>
    <w:uiPriority w:val="0"/>
    <w:rPr>
      <w:rFonts w:ascii="宋体" w:hAnsi="Times New Roman" w:eastAsia="宋体" w:cs="Times New Roman"/>
      <w:kern w:val="0"/>
      <w:sz w:val="34"/>
      <w:szCs w:val="20"/>
    </w:rPr>
  </w:style>
  <w:style w:type="character" w:customStyle="1" w:styleId="58">
    <w:name w:val="HTML 预设格式 Char"/>
    <w:basedOn w:val="26"/>
    <w:link w:val="19"/>
    <w:semiHidden/>
    <w:qFormat/>
    <w:uiPriority w:val="99"/>
    <w:rPr>
      <w:rFonts w:ascii="宋体" w:hAnsi="宋体" w:eastAsia="宋体" w:cs="宋体"/>
      <w:kern w:val="0"/>
      <w:sz w:val="24"/>
      <w:szCs w:val="24"/>
    </w:rPr>
  </w:style>
  <w:style w:type="paragraph" w:customStyle="1" w:styleId="59">
    <w:name w:val="文档正文"/>
    <w:basedOn w:val="1"/>
    <w:link w:val="60"/>
    <w:qFormat/>
    <w:uiPriority w:val="0"/>
    <w:pPr>
      <w:widowControl/>
      <w:snapToGrid w:val="0"/>
      <w:spacing w:before="60" w:after="60" w:line="360" w:lineRule="atLeast"/>
      <w:ind w:firstLine="482"/>
      <w:jc w:val="left"/>
    </w:pPr>
    <w:rPr>
      <w:rFonts w:ascii="Times New Roman" w:hAnsi="Times New Roman" w:eastAsia="宋体" w:cs="Times New Roman"/>
      <w:kern w:val="0"/>
      <w:sz w:val="24"/>
      <w:szCs w:val="20"/>
    </w:rPr>
  </w:style>
  <w:style w:type="character" w:customStyle="1" w:styleId="60">
    <w:name w:val="文档正文 Char"/>
    <w:link w:val="59"/>
    <w:qFormat/>
    <w:locked/>
    <w:uiPriority w:val="0"/>
    <w:rPr>
      <w:rFonts w:ascii="Times New Roman" w:hAnsi="Times New Roman" w:eastAsia="宋体" w:cs="Times New Roman"/>
      <w:kern w:val="0"/>
      <w:sz w:val="24"/>
      <w:szCs w:val="20"/>
    </w:rPr>
  </w:style>
  <w:style w:type="paragraph" w:customStyle="1" w:styleId="61">
    <w:name w:val="无间隔1"/>
    <w:qFormat/>
    <w:uiPriority w:val="0"/>
    <w:pPr>
      <w:widowControl w:val="0"/>
      <w:ind w:firstLine="200" w:firstLineChars="200"/>
      <w:jc w:val="both"/>
    </w:pPr>
    <w:rPr>
      <w:rFonts w:ascii="Calibri" w:hAnsi="Calibri" w:eastAsia="宋体" w:cs="Times New Roman"/>
      <w:kern w:val="2"/>
      <w:sz w:val="28"/>
      <w:szCs w:val="20"/>
      <w:lang w:val="en-US" w:eastAsia="zh-CN" w:bidi="ar-SA"/>
    </w:rPr>
  </w:style>
  <w:style w:type="character" w:customStyle="1" w:styleId="62">
    <w:name w:val="批注框文本 Char"/>
    <w:basedOn w:val="26"/>
    <w:link w:val="15"/>
    <w:semiHidden/>
    <w:qFormat/>
    <w:uiPriority w:val="99"/>
    <w:rPr>
      <w:rFonts w:ascii="Times New Roman" w:hAnsi="Times New Roman" w:eastAsia="宋体" w:cs="Times New Roman"/>
      <w:sz w:val="18"/>
      <w:szCs w:val="18"/>
    </w:rPr>
  </w:style>
  <w:style w:type="paragraph" w:customStyle="1" w:styleId="63">
    <w:name w:val="列出段落2"/>
    <w:basedOn w:val="1"/>
    <w:qFormat/>
    <w:uiPriority w:val="0"/>
    <w:pPr>
      <w:ind w:firstLine="420" w:firstLineChars="200"/>
    </w:pPr>
    <w:rPr>
      <w:rFonts w:ascii="Calibri" w:hAnsi="Calibri" w:eastAsia="宋体" w:cs="Times New Roman"/>
    </w:rPr>
  </w:style>
  <w:style w:type="character" w:customStyle="1" w:styleId="64">
    <w:name w:val="批注文字 Char"/>
    <w:basedOn w:val="26"/>
    <w:link w:val="8"/>
    <w:semiHidden/>
    <w:qFormat/>
    <w:uiPriority w:val="99"/>
  </w:style>
  <w:style w:type="character" w:customStyle="1" w:styleId="65">
    <w:name w:val="批注主题 Char"/>
    <w:basedOn w:val="64"/>
    <w:link w:val="21"/>
    <w:semiHidden/>
    <w:qFormat/>
    <w:uiPriority w:val="99"/>
    <w:rPr>
      <w:b/>
      <w:bCs/>
    </w:rPr>
  </w:style>
  <w:style w:type="character" w:customStyle="1" w:styleId="66">
    <w:name w:val="font01"/>
    <w:basedOn w:val="26"/>
    <w:qFormat/>
    <w:uiPriority w:val="0"/>
    <w:rPr>
      <w:rFonts w:hint="eastAsia" w:ascii="宋体" w:hAnsi="宋体" w:eastAsia="宋体" w:cs="宋体"/>
      <w:color w:val="000000"/>
      <w:sz w:val="20"/>
      <w:szCs w:val="20"/>
      <w:u w:val="none"/>
    </w:rPr>
  </w:style>
  <w:style w:type="paragraph" w:customStyle="1" w:styleId="67">
    <w:name w:val="纯文本1"/>
    <w:basedOn w:val="1"/>
    <w:qFormat/>
    <w:uiPriority w:val="0"/>
    <w:rPr>
      <w:rFonts w:ascii="Times New Roman" w:hAnsi="Times New Roman"/>
      <w:kern w:val="0"/>
      <w:sz w:val="24"/>
      <w:szCs w:val="20"/>
    </w:rPr>
  </w:style>
  <w:style w:type="paragraph" w:customStyle="1" w:styleId="68">
    <w:name w:val="_Style 93"/>
    <w:basedOn w:val="1"/>
    <w:next w:val="44"/>
    <w:qFormat/>
    <w:uiPriority w:val="0"/>
    <w:pPr>
      <w:widowControl/>
      <w:ind w:firstLine="420" w:firstLineChars="200"/>
      <w:jc w:val="left"/>
    </w:pPr>
    <w:rPr>
      <w:rFonts w:ascii="Times New Roman" w:hAnsi="Times New Roman" w:cs="黑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013548-9635-4463-9257-A8FBD1FB829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84</Pages>
  <Words>7720</Words>
  <Characters>44004</Characters>
  <Lines>366</Lines>
  <Paragraphs>103</Paragraphs>
  <TotalTime>22</TotalTime>
  <ScaleCrop>false</ScaleCrop>
  <LinksUpToDate>false</LinksUpToDate>
  <CharactersWithSpaces>51621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2018-11-01T05:52:00Z</dcterms:created>
  <dc:creator>许昌市公共资源交易中心:孟莉</dc:creator>
  <cp:lastModifiedBy>Administrator</cp:lastModifiedBy>
  <cp:lastPrinted>2019-04-28T05:01:00Z</cp:lastPrinted>
  <dcterms:modified xsi:type="dcterms:W3CDTF">2019-04-30T07:13:20Z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