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ascii="微软简隶书" w:eastAsia="微软简隶书"/>
          <w:u w:val="single"/>
        </w:rPr>
      </w:pPr>
      <w:r>
        <w:rPr>
          <w:rFonts w:hint="eastAsia" w:asciiTheme="majorEastAsia" w:hAnsiTheme="majorEastAsia" w:eastAsiaTheme="majorEastAsia" w:cstheme="majorEastAsia"/>
          <w:b/>
          <w:bCs/>
          <w:color w:val="000000"/>
          <w:sz w:val="44"/>
          <w:szCs w:val="44"/>
        </w:rPr>
        <w:t>许昌</w:t>
      </w:r>
      <w:r>
        <w:rPr>
          <w:rFonts w:hint="eastAsia" w:asciiTheme="majorEastAsia" w:hAnsiTheme="majorEastAsia" w:eastAsiaTheme="majorEastAsia" w:cstheme="majorEastAsia"/>
          <w:b/>
          <w:bCs/>
          <w:color w:val="000000"/>
          <w:sz w:val="44"/>
          <w:szCs w:val="44"/>
          <w:lang w:eastAsia="zh-CN"/>
        </w:rPr>
        <w:t>市环境卫生管理处</w:t>
      </w:r>
      <w:r>
        <w:rPr>
          <w:rFonts w:hint="eastAsia" w:asciiTheme="majorEastAsia" w:hAnsiTheme="majorEastAsia" w:eastAsiaTheme="majorEastAsia" w:cstheme="majorEastAsia"/>
          <w:b/>
          <w:bCs/>
          <w:color w:val="000000"/>
          <w:sz w:val="44"/>
          <w:szCs w:val="44"/>
        </w:rPr>
        <w:t>“</w:t>
      </w:r>
      <w:r>
        <w:rPr>
          <w:rFonts w:hint="eastAsia" w:ascii="宋体" w:hAnsi="宋体" w:cs="仿宋"/>
          <w:b/>
          <w:bCs/>
          <w:sz w:val="44"/>
          <w:szCs w:val="32"/>
          <w:lang w:val="en-US" w:eastAsia="zh-CN"/>
        </w:rPr>
        <w:t>垃圾渗滤液处理在线监控系统</w:t>
      </w:r>
      <w:r>
        <w:rPr>
          <w:rFonts w:hint="eastAsia" w:asciiTheme="majorEastAsia" w:hAnsiTheme="majorEastAsia" w:eastAsiaTheme="majorEastAsia" w:cstheme="majorEastAsia"/>
          <w:b/>
          <w:bCs/>
          <w:color w:val="000000"/>
          <w:sz w:val="44"/>
          <w:szCs w:val="44"/>
        </w:rPr>
        <w:t>”项目</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ind w:firstLine="1084" w:firstLineChars="300"/>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项目编号： ZFCG-T2019</w:t>
      </w:r>
      <w:r>
        <w:rPr>
          <w:rFonts w:hint="eastAsia" w:asciiTheme="majorEastAsia" w:hAnsiTheme="majorEastAsia" w:eastAsiaTheme="majorEastAsia" w:cstheme="majorEastAsia"/>
          <w:b/>
          <w:bCs/>
          <w:sz w:val="36"/>
          <w:szCs w:val="36"/>
          <w:lang w:val="en-US" w:eastAsia="zh-CN"/>
        </w:rPr>
        <w:t>020</w:t>
      </w:r>
      <w:r>
        <w:rPr>
          <w:rFonts w:hint="eastAsia" w:asciiTheme="majorEastAsia" w:hAnsiTheme="majorEastAsia" w:eastAsiaTheme="majorEastAsia" w:cstheme="majorEastAsia"/>
          <w:b/>
          <w:bCs/>
          <w:sz w:val="36"/>
          <w:szCs w:val="36"/>
        </w:rPr>
        <w:t>号</w:t>
      </w:r>
    </w:p>
    <w:p>
      <w:pPr>
        <w:ind w:firstLine="1084" w:firstLineChars="300"/>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采购单位：许昌</w:t>
      </w:r>
      <w:r>
        <w:rPr>
          <w:rFonts w:hint="eastAsia" w:asciiTheme="majorEastAsia" w:hAnsiTheme="majorEastAsia" w:eastAsiaTheme="majorEastAsia" w:cstheme="majorEastAsia"/>
          <w:b/>
          <w:bCs/>
          <w:sz w:val="36"/>
          <w:szCs w:val="36"/>
          <w:lang w:eastAsia="zh-CN"/>
        </w:rPr>
        <w:t>市环境卫生管理处</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代理机构：许昌市政府采购中心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四</w:t>
      </w:r>
      <w:r>
        <w:rPr>
          <w:rFonts w:hint="eastAsia" w:asciiTheme="majorEastAsia" w:hAnsiTheme="majorEastAsia" w:eastAsiaTheme="majorEastAsia" w:cstheme="majorEastAsia"/>
          <w:b/>
          <w:bCs/>
          <w:sz w:val="36"/>
          <w:szCs w:val="36"/>
        </w:rPr>
        <w:t>月</w:t>
      </w:r>
      <w:r>
        <w:rPr>
          <w:rFonts w:hint="eastAsia" w:asciiTheme="majorEastAsia" w:hAnsiTheme="majorEastAsia" w:eastAsiaTheme="majorEastAsia" w:cstheme="majorEastAsia"/>
          <w:b/>
          <w:bCs/>
          <w:sz w:val="36"/>
          <w:szCs w:val="36"/>
          <w:lang w:eastAsia="zh-CN"/>
        </w:rPr>
        <w:t>二十二</w:t>
      </w:r>
      <w:r>
        <w:rPr>
          <w:rFonts w:hint="eastAsia" w:asciiTheme="majorEastAsia" w:hAnsiTheme="majorEastAsia" w:eastAsiaTheme="majorEastAsia" w:cstheme="majorEastAsia"/>
          <w:b/>
          <w:bCs/>
          <w:sz w:val="36"/>
          <w:szCs w:val="36"/>
        </w:rPr>
        <w:t>日</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采购文件目录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pStyle w:val="18"/>
        <w:widowControl/>
        <w:shd w:val="clear" w:color="auto" w:fill="FFFFFF"/>
        <w:spacing w:line="315" w:lineRule="atLeast"/>
        <w:jc w:val="center"/>
        <w:rPr>
          <w:rFonts w:ascii="宋体" w:hAnsi="宋体" w:cs="宋体"/>
          <w:b/>
          <w:sz w:val="36"/>
          <w:szCs w:val="36"/>
        </w:rPr>
      </w:pPr>
      <w:r>
        <w:rPr>
          <w:rFonts w:hint="eastAsia" w:ascii="宋体" w:hAnsi="宋体" w:cs="宋体"/>
          <w:b/>
          <w:sz w:val="36"/>
          <w:szCs w:val="36"/>
          <w:shd w:val="clear" w:color="auto" w:fill="FFFFFF"/>
        </w:rPr>
        <w:t>第一章 投标邀请</w:t>
      </w:r>
    </w:p>
    <w:p>
      <w:pPr>
        <w:pStyle w:val="18"/>
        <w:widowControl/>
        <w:shd w:val="clear" w:color="auto" w:fill="FFFFFF"/>
        <w:spacing w:line="315" w:lineRule="atLeast"/>
        <w:ind w:firstLine="420"/>
        <w:jc w:val="left"/>
        <w:rPr>
          <w:rFonts w:ascii="仿宋_GB2312" w:hAnsi="仿宋_GB2312" w:eastAsia="仿宋_GB2312" w:cs="仿宋_GB2312"/>
          <w:sz w:val="32"/>
          <w:szCs w:val="32"/>
          <w:shd w:val="clear" w:color="auto" w:fill="FFFFFF"/>
        </w:rPr>
      </w:pPr>
    </w:p>
    <w:p>
      <w:pPr>
        <w:pStyle w:val="18"/>
        <w:widowControl/>
        <w:shd w:val="clear" w:color="auto" w:fill="FFFFFF"/>
        <w:spacing w:line="360" w:lineRule="auto"/>
        <w:contextualSpacing/>
        <w:jc w:val="left"/>
        <w:rPr>
          <w:rFonts w:cs="黑体" w:asciiTheme="minorEastAsia" w:hAnsiTheme="minorEastAsia" w:eastAsiaTheme="minorEastAsia"/>
          <w:b/>
          <w:bCs/>
        </w:rPr>
      </w:pPr>
      <w:r>
        <w:rPr>
          <w:rFonts w:hint="eastAsia" w:cs="黑体" w:asciiTheme="minorEastAsia" w:hAnsiTheme="minorEastAsia" w:eastAsiaTheme="minorEastAsia"/>
          <w:b/>
          <w:bCs/>
          <w:shd w:val="clear" w:color="auto" w:fill="FFFFFF"/>
        </w:rPr>
        <w:t>一、项目基本情况</w:t>
      </w:r>
    </w:p>
    <w:p>
      <w:pPr>
        <w:pStyle w:val="18"/>
        <w:widowControl/>
        <w:shd w:val="clear" w:color="auto" w:fill="FFFFFF"/>
        <w:spacing w:line="360" w:lineRule="auto"/>
        <w:ind w:firstLine="420"/>
        <w:contextualSpacing/>
        <w:jc w:val="left"/>
        <w:rPr>
          <w:rFonts w:hint="eastAsia" w:cs="宋体" w:asciiTheme="minorEastAsia" w:hAnsiTheme="minorEastAsia"/>
          <w:kern w:val="0"/>
          <w:lang w:val="zh-CN"/>
        </w:rPr>
      </w:pPr>
      <w:r>
        <w:rPr>
          <w:rFonts w:hint="eastAsia" w:cs="仿宋_GB2312" w:asciiTheme="minorEastAsia" w:hAnsiTheme="minorEastAsia" w:eastAsiaTheme="minorEastAsia"/>
          <w:shd w:val="clear" w:color="auto" w:fill="FFFFFF"/>
        </w:rPr>
        <w:t>（一）</w:t>
      </w:r>
      <w:r>
        <w:rPr>
          <w:rFonts w:hint="eastAsia" w:cs="宋体" w:asciiTheme="minorEastAsia" w:hAnsiTheme="minorEastAsia"/>
          <w:kern w:val="0"/>
          <w:lang w:val="zh-CN"/>
        </w:rPr>
        <w:t>项目名称：</w:t>
      </w:r>
      <w:r>
        <w:rPr>
          <w:rFonts w:hint="eastAsia" w:cs="宋体" w:asciiTheme="minorEastAsia" w:hAnsiTheme="minorEastAsia"/>
          <w:kern w:val="0"/>
          <w:lang w:val="en-US" w:eastAsia="zh-CN"/>
        </w:rPr>
        <w:t>垃圾渗滤液处理在线监控系统</w:t>
      </w:r>
    </w:p>
    <w:p>
      <w:pPr>
        <w:pStyle w:val="18"/>
        <w:widowControl/>
        <w:shd w:val="clear" w:color="auto" w:fill="FFFFFF"/>
        <w:spacing w:line="360" w:lineRule="auto"/>
        <w:ind w:firstLine="420"/>
        <w:contextualSpacing/>
        <w:jc w:val="left"/>
        <w:rPr>
          <w:rFonts w:hint="eastAsia" w:cs="宋体" w:asciiTheme="minorEastAsia" w:hAnsiTheme="minorEastAsia"/>
          <w:kern w:val="0"/>
          <w:lang w:val="zh-CN"/>
        </w:rPr>
      </w:pPr>
      <w:r>
        <w:rPr>
          <w:rFonts w:hint="eastAsia" w:cs="宋体" w:asciiTheme="minorEastAsia" w:hAnsiTheme="minorEastAsia"/>
          <w:kern w:val="0"/>
          <w:lang w:val="zh-CN"/>
        </w:rPr>
        <w:t>（二）项目编号：ZFCG-T2019</w:t>
      </w:r>
      <w:r>
        <w:rPr>
          <w:rFonts w:hint="eastAsia" w:cs="宋体" w:asciiTheme="minorEastAsia" w:hAnsiTheme="minorEastAsia"/>
          <w:kern w:val="0"/>
          <w:lang w:val="en-US" w:eastAsia="zh-CN"/>
        </w:rPr>
        <w:t>020</w:t>
      </w:r>
      <w:r>
        <w:rPr>
          <w:rFonts w:hint="eastAsia" w:cs="宋体" w:asciiTheme="minorEastAsia" w:hAnsiTheme="minorEastAsia"/>
          <w:kern w:val="0"/>
          <w:lang w:val="zh-CN"/>
        </w:rPr>
        <w:t xml:space="preserve">号    </w:t>
      </w:r>
    </w:p>
    <w:p>
      <w:pPr>
        <w:pStyle w:val="18"/>
        <w:widowControl/>
        <w:shd w:val="clear" w:color="auto" w:fill="FFFFFF"/>
        <w:spacing w:line="360" w:lineRule="auto"/>
        <w:ind w:firstLine="420"/>
        <w:contextualSpacing/>
        <w:jc w:val="left"/>
        <w:rPr>
          <w:rFonts w:hint="eastAsia" w:cs="宋体" w:asciiTheme="minorEastAsia" w:hAnsiTheme="minorEastAsia"/>
          <w:kern w:val="0"/>
          <w:lang w:val="zh-CN"/>
        </w:rPr>
      </w:pPr>
      <w:r>
        <w:rPr>
          <w:rFonts w:hint="eastAsia" w:cs="宋体" w:asciiTheme="minorEastAsia" w:hAnsiTheme="minorEastAsia"/>
          <w:kern w:val="0"/>
          <w:lang w:val="zh-CN"/>
        </w:rPr>
        <w:t>（三）采购方式：竞争性谈判</w:t>
      </w:r>
    </w:p>
    <w:p>
      <w:pPr>
        <w:pStyle w:val="18"/>
        <w:widowControl/>
        <w:shd w:val="clear" w:color="auto" w:fill="FFFFFF"/>
        <w:spacing w:line="360" w:lineRule="auto"/>
        <w:ind w:firstLine="420"/>
        <w:contextualSpacing/>
        <w:jc w:val="left"/>
        <w:rPr>
          <w:rFonts w:hint="eastAsia" w:cs="宋体" w:asciiTheme="minorEastAsia" w:hAnsiTheme="minorEastAsia"/>
          <w:kern w:val="0"/>
          <w:lang w:val="zh-CN"/>
        </w:rPr>
      </w:pPr>
      <w:r>
        <w:rPr>
          <w:rFonts w:hint="eastAsia" w:cs="宋体" w:asciiTheme="minorEastAsia" w:hAnsiTheme="minorEastAsia"/>
          <w:kern w:val="0"/>
          <w:lang w:val="zh-CN"/>
        </w:rPr>
        <w:t>（四）采购需求：采购</w:t>
      </w:r>
      <w:r>
        <w:rPr>
          <w:rFonts w:hint="eastAsia" w:cs="宋体" w:asciiTheme="minorEastAsia" w:hAnsiTheme="minorEastAsia"/>
          <w:kern w:val="0"/>
          <w:lang w:val="en-US" w:eastAsia="zh-CN"/>
        </w:rPr>
        <w:t>1套垃圾渗滤液处理在线监控系统</w:t>
      </w:r>
    </w:p>
    <w:p>
      <w:pPr>
        <w:pStyle w:val="18"/>
        <w:widowControl/>
        <w:shd w:val="clear" w:color="auto" w:fill="FFFFFF"/>
        <w:spacing w:line="360" w:lineRule="auto"/>
        <w:ind w:firstLine="420"/>
        <w:contextualSpacing/>
        <w:jc w:val="left"/>
        <w:rPr>
          <w:rFonts w:hint="eastAsia" w:cs="宋体" w:asciiTheme="minorEastAsia" w:hAnsiTheme="minorEastAsia"/>
          <w:kern w:val="0"/>
          <w:lang w:val="zh-CN"/>
        </w:rPr>
      </w:pPr>
      <w:r>
        <w:rPr>
          <w:rFonts w:hint="eastAsia" w:cs="宋体" w:asciiTheme="minorEastAsia" w:hAnsiTheme="minorEastAsia"/>
          <w:kern w:val="0"/>
          <w:lang w:val="zh-CN"/>
        </w:rPr>
        <w:t>（五）预算金额（最高限价）：</w:t>
      </w:r>
      <w:r>
        <w:rPr>
          <w:rFonts w:hint="eastAsia" w:cs="宋体" w:asciiTheme="minorEastAsia" w:hAnsiTheme="minorEastAsia"/>
          <w:kern w:val="0"/>
          <w:lang w:val="en-US" w:eastAsia="zh-CN"/>
        </w:rPr>
        <w:t>24</w:t>
      </w:r>
      <w:r>
        <w:rPr>
          <w:rFonts w:hint="eastAsia" w:cs="宋体" w:asciiTheme="minorEastAsia" w:hAnsiTheme="minorEastAsia"/>
          <w:kern w:val="0"/>
          <w:lang w:val="zh-CN"/>
        </w:rPr>
        <w:t>万元</w:t>
      </w:r>
    </w:p>
    <w:p>
      <w:pPr>
        <w:pStyle w:val="18"/>
        <w:widowControl/>
        <w:shd w:val="clear" w:color="auto" w:fill="FFFFFF"/>
        <w:spacing w:line="360" w:lineRule="auto"/>
        <w:ind w:firstLine="420"/>
        <w:contextualSpacing/>
        <w:jc w:val="left"/>
        <w:rPr>
          <w:rFonts w:hint="eastAsia" w:cs="宋体" w:asciiTheme="minorEastAsia" w:hAnsiTheme="minorEastAsia"/>
          <w:kern w:val="0"/>
          <w:lang w:val="zh-CN"/>
        </w:rPr>
      </w:pPr>
      <w:r>
        <w:rPr>
          <w:rFonts w:hint="eastAsia" w:cs="宋体" w:asciiTheme="minorEastAsia" w:hAnsiTheme="minorEastAsia"/>
          <w:kern w:val="0"/>
          <w:lang w:val="zh-CN"/>
        </w:rPr>
        <w:t>（六）交付（服务、完工）时间 ：合同</w:t>
      </w:r>
      <w:r>
        <w:rPr>
          <w:rFonts w:hint="eastAsia" w:cs="宋体" w:asciiTheme="minorEastAsia" w:hAnsiTheme="minorEastAsia"/>
          <w:kern w:val="0"/>
          <w:lang w:val="zh-CN" w:eastAsia="zh-CN"/>
        </w:rPr>
        <w:t>生效</w:t>
      </w:r>
      <w:r>
        <w:rPr>
          <w:rFonts w:hint="eastAsia" w:cs="宋体" w:asciiTheme="minorEastAsia" w:hAnsiTheme="minorEastAsia"/>
          <w:kern w:val="0"/>
          <w:lang w:val="zh-CN"/>
        </w:rPr>
        <w:t>后10天内</w:t>
      </w:r>
    </w:p>
    <w:p>
      <w:pPr>
        <w:pStyle w:val="18"/>
        <w:widowControl/>
        <w:shd w:val="clear" w:color="auto" w:fill="FFFFFF"/>
        <w:spacing w:line="360" w:lineRule="auto"/>
        <w:ind w:firstLine="420"/>
        <w:contextualSpacing/>
        <w:jc w:val="left"/>
        <w:rPr>
          <w:rFonts w:hint="eastAsia" w:cs="宋体" w:asciiTheme="minorEastAsia" w:hAnsiTheme="minorEastAsia"/>
          <w:kern w:val="0"/>
          <w:lang w:val="zh-CN"/>
        </w:rPr>
      </w:pPr>
      <w:r>
        <w:rPr>
          <w:rFonts w:hint="eastAsia" w:cs="宋体" w:asciiTheme="minorEastAsia" w:hAnsiTheme="minorEastAsia"/>
          <w:kern w:val="0"/>
          <w:lang w:val="zh-CN"/>
        </w:rPr>
        <w:t>（七）交付（服务、完工）地点：许昌市</w:t>
      </w:r>
      <w:r>
        <w:rPr>
          <w:rFonts w:hint="eastAsia" w:cs="宋体" w:asciiTheme="minorEastAsia" w:hAnsiTheme="minorEastAsia"/>
          <w:kern w:val="0"/>
          <w:lang w:val="zh-CN" w:eastAsia="zh-CN"/>
        </w:rPr>
        <w:t>环卫处</w:t>
      </w:r>
      <w:r>
        <w:rPr>
          <w:rFonts w:hint="eastAsia" w:cs="宋体" w:asciiTheme="minorEastAsia" w:hAnsiTheme="minorEastAsia"/>
          <w:kern w:val="0"/>
          <w:lang w:val="en-US" w:eastAsia="zh-CN"/>
        </w:rPr>
        <w:t>生活垃圾填埋场</w:t>
      </w:r>
    </w:p>
    <w:p>
      <w:pPr>
        <w:pStyle w:val="18"/>
        <w:widowControl/>
        <w:shd w:val="clear" w:color="auto" w:fill="FFFFFF"/>
        <w:spacing w:line="360" w:lineRule="auto"/>
        <w:ind w:firstLine="420"/>
        <w:contextualSpacing/>
        <w:jc w:val="left"/>
        <w:rPr>
          <w:rFonts w:hint="eastAsia" w:cs="宋体" w:asciiTheme="minorEastAsia" w:hAnsiTheme="minorEastAsia"/>
          <w:kern w:val="0"/>
          <w:lang w:val="zh-CN"/>
        </w:rPr>
      </w:pPr>
      <w:r>
        <w:rPr>
          <w:rFonts w:hint="eastAsia" w:cs="宋体" w:asciiTheme="minorEastAsia" w:hAnsiTheme="minorEastAsia"/>
          <w:kern w:val="0"/>
          <w:lang w:val="zh-CN"/>
        </w:rPr>
        <w:t>（八）进口产品：不允许。</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（九）分包：不允许。</w:t>
      </w:r>
    </w:p>
    <w:p>
      <w:pPr>
        <w:pStyle w:val="18"/>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二、需要落实的政府采购政策</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本项目落实</w:t>
      </w:r>
      <w:r>
        <w:rPr>
          <w:rFonts w:hint="eastAsia" w:cs="仿宋_GB2312" w:asciiTheme="minorEastAsia" w:hAnsiTheme="minorEastAsia" w:eastAsiaTheme="minorEastAsia"/>
          <w:u w:val="single"/>
          <w:shd w:val="clear" w:color="auto" w:fill="FFFFFF"/>
        </w:rPr>
        <w:t>中小微型企业</w:t>
      </w:r>
      <w:r>
        <w:rPr>
          <w:rFonts w:hint="eastAsia" w:cs="仿宋_GB2312" w:asciiTheme="minorEastAsia" w:hAnsiTheme="minorEastAsia" w:eastAsiaTheme="minorEastAsia"/>
          <w:shd w:val="clear" w:color="auto" w:fill="FFFFFF"/>
        </w:rPr>
        <w:t>、支持</w:t>
      </w:r>
      <w:r>
        <w:rPr>
          <w:rFonts w:hint="eastAsia" w:cs="仿宋_GB2312" w:asciiTheme="minorEastAsia" w:hAnsiTheme="minorEastAsia" w:eastAsiaTheme="minorEastAsia"/>
          <w:u w:val="single"/>
          <w:shd w:val="clear" w:color="auto" w:fill="FFFFFF"/>
        </w:rPr>
        <w:t>监狱企业</w:t>
      </w:r>
      <w:r>
        <w:rPr>
          <w:rFonts w:hint="eastAsia" w:cs="仿宋_GB2312" w:asciiTheme="minorEastAsia" w:hAnsiTheme="minorEastAsia" w:eastAsiaTheme="minorEastAsia"/>
          <w:shd w:val="clear" w:color="auto" w:fill="FFFFFF"/>
        </w:rPr>
        <w:t>、</w:t>
      </w:r>
      <w:r>
        <w:rPr>
          <w:rFonts w:hint="eastAsia" w:cs="仿宋_GB2312" w:asciiTheme="minorEastAsia" w:hAnsiTheme="minorEastAsia" w:eastAsiaTheme="minorEastAsia"/>
          <w:u w:val="single"/>
          <w:shd w:val="clear" w:color="auto" w:fill="FFFFFF"/>
        </w:rPr>
        <w:t>残疾人福利性单位</w:t>
      </w:r>
      <w:r>
        <w:rPr>
          <w:rFonts w:hint="eastAsia" w:cs="仿宋_GB2312" w:asciiTheme="minorEastAsia" w:hAnsiTheme="minorEastAsia" w:eastAsiaTheme="minorEastAsia"/>
          <w:shd w:val="clear" w:color="auto" w:fill="FFFFFF"/>
        </w:rPr>
        <w:t>扶持等相关政府采购政策。</w:t>
      </w:r>
    </w:p>
    <w:p>
      <w:pPr>
        <w:pStyle w:val="18"/>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三、投标人资格要求</w:t>
      </w:r>
    </w:p>
    <w:p>
      <w:pPr>
        <w:pStyle w:val="18"/>
        <w:widowControl/>
        <w:shd w:val="clear" w:color="auto" w:fill="FFFFFF"/>
        <w:spacing w:line="360" w:lineRule="auto"/>
        <w:ind w:firstLine="420"/>
        <w:contextualSpacing/>
        <w:jc w:val="left"/>
        <w:rPr>
          <w:rFonts w:cs="宋体" w:asciiTheme="minorEastAsia" w:hAnsiTheme="minorEastAsia"/>
          <w:kern w:val="0"/>
        </w:rPr>
      </w:pPr>
      <w:r>
        <w:rPr>
          <w:rFonts w:hint="eastAsia" w:cs="宋体" w:asciiTheme="minorEastAsia" w:hAnsiTheme="minorEastAsia"/>
          <w:kern w:val="0"/>
          <w:lang w:val="zh-CN"/>
        </w:rPr>
        <w:t>（一）具备《政府采购法》第二十二条第一款规定条件并提供相关材料。</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FF0000"/>
          <w:shd w:val="clear" w:color="auto" w:fill="FFFFFF"/>
        </w:rPr>
      </w:pPr>
      <w:r>
        <w:rPr>
          <w:rFonts w:hint="eastAsia" w:cs="宋体" w:asciiTheme="minorEastAsia" w:hAnsiTheme="minorEastAsia"/>
          <w:kern w:val="0"/>
        </w:rPr>
        <w:t>（</w:t>
      </w:r>
      <w:r>
        <w:rPr>
          <w:rFonts w:hint="eastAsia" w:cs="宋体" w:asciiTheme="minorEastAsia" w:hAnsiTheme="minorEastAsia"/>
          <w:kern w:val="0"/>
          <w:lang w:val="zh-CN"/>
        </w:rPr>
        <w:t>二</w:t>
      </w:r>
      <w:r>
        <w:rPr>
          <w:rFonts w:hint="eastAsia" w:cs="宋体" w:asciiTheme="minorEastAsia" w:hAnsiTheme="minorEastAsia"/>
          <w:kern w:val="0"/>
        </w:rPr>
        <w:t>）</w:t>
      </w:r>
      <w:r>
        <w:rPr>
          <w:rFonts w:hint="eastAsia" w:cs="仿宋_GB2312" w:asciiTheme="minorEastAsia" w:hAnsiTheme="minorEastAsia" w:eastAsiaTheme="minorEastAsia"/>
          <w:color w:val="FF0000"/>
          <w:shd w:val="clear" w:color="auto" w:fill="FFFFFF"/>
        </w:rPr>
        <w:t>未被列入“信用中国”网站</w:t>
      </w:r>
      <w:r>
        <w:rPr>
          <w:rFonts w:cs="仿宋_GB2312" w:asciiTheme="minorEastAsia" w:hAnsiTheme="minorEastAsia" w:eastAsiaTheme="minorEastAsia"/>
          <w:color w:val="FF0000"/>
          <w:shd w:val="clear" w:color="auto" w:fill="FFFFFF"/>
        </w:rPr>
        <w:t>(www.creditchina.gov.cn)</w:t>
      </w:r>
      <w:r>
        <w:rPr>
          <w:rFonts w:hint="eastAsia" w:cs="仿宋_GB2312" w:asciiTheme="minorEastAsia" w:hAnsiTheme="minorEastAsia" w:eastAsiaTheme="minorEastAsia"/>
          <w:color w:val="FF0000"/>
          <w:shd w:val="clear" w:color="auto" w:fill="FFFFFF"/>
        </w:rPr>
        <w:t>失信被执行人、重大税收违法案件当事人名单、政府采购严重违法失信名单的投标人；“中国政府采购网”</w:t>
      </w:r>
      <w:r>
        <w:rPr>
          <w:rFonts w:cs="仿宋_GB2312" w:asciiTheme="minorEastAsia" w:hAnsiTheme="minorEastAsia" w:eastAsiaTheme="minorEastAsia"/>
          <w:color w:val="FF0000"/>
          <w:shd w:val="clear" w:color="auto" w:fill="FFFFFF"/>
        </w:rPr>
        <w:t xml:space="preserve"> (www.ccgp.gov.cn)</w:t>
      </w:r>
      <w:r>
        <w:rPr>
          <w:rFonts w:hint="eastAsia" w:cs="仿宋_GB2312" w:asciiTheme="minorEastAsia" w:hAnsiTheme="minorEastAsia" w:eastAsiaTheme="minorEastAsia"/>
          <w:color w:val="FF0000"/>
          <w:shd w:val="clear" w:color="auto" w:fill="FFFFFF"/>
        </w:rPr>
        <w:t>政府采购严重违法失信行为记录名单的投标人；“国家企业信用公示系统”网站（</w:t>
      </w:r>
      <w:r>
        <w:rPr>
          <w:rFonts w:cs="仿宋_GB2312" w:asciiTheme="minorEastAsia" w:hAnsiTheme="minorEastAsia" w:eastAsiaTheme="minorEastAsia"/>
          <w:color w:val="FF0000"/>
          <w:shd w:val="clear" w:color="auto" w:fill="FFFFFF"/>
        </w:rPr>
        <w:t>www.gsxt.gov.cn</w:t>
      </w:r>
      <w:r>
        <w:rPr>
          <w:rFonts w:hint="eastAsia" w:cs="仿宋_GB2312" w:asciiTheme="minorEastAsia" w:hAnsiTheme="minorEastAsia" w:eastAsiaTheme="minorEastAsia"/>
          <w:color w:val="FF0000"/>
          <w:shd w:val="clear" w:color="auto" w:fill="FFFFFF"/>
        </w:rPr>
        <w:t>）严重违法失信企业名单（黑名单）的投标人；</w:t>
      </w:r>
    </w:p>
    <w:p>
      <w:pPr>
        <w:pStyle w:val="18"/>
        <w:widowControl/>
        <w:shd w:val="clear" w:color="auto" w:fill="FFFFFF"/>
        <w:spacing w:line="360" w:lineRule="auto"/>
        <w:ind w:firstLine="420"/>
        <w:contextualSpacing/>
        <w:jc w:val="left"/>
        <w:rPr>
          <w:rFonts w:cs="宋体" w:asciiTheme="minorEastAsia" w:hAnsiTheme="minorEastAsia"/>
          <w:kern w:val="0"/>
          <w:lang w:val="zh-CN"/>
        </w:rPr>
      </w:pPr>
      <w:r>
        <w:rPr>
          <w:rFonts w:hint="eastAsia" w:cs="宋体" w:asciiTheme="minorEastAsia" w:hAnsiTheme="minorEastAsia"/>
          <w:kern w:val="0"/>
          <w:lang w:val="zh-CN"/>
        </w:rPr>
        <w:t>（三）本次招标不接受联合体投标；</w:t>
      </w:r>
    </w:p>
    <w:p>
      <w:pPr>
        <w:pStyle w:val="18"/>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四、采购文件的获取</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（一）网上下载采购文件</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2、在投标截止时间前均可登录【全国公共资源交易平台（河南省·许昌市）】“投标人/供应商登录”入口（http://221.14.6.70:8088/ggzy/）自行免费下载采购文件（详见“常见问题解答-交易系统操作手册”）。</w:t>
      </w:r>
    </w:p>
    <w:p>
      <w:pPr>
        <w:pStyle w:val="18"/>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五、投标截止时间、开标时间及地点</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（一）投标截止及开标时间：2019年</w:t>
      </w:r>
      <w:r>
        <w:rPr>
          <w:rFonts w:hint="eastAsia" w:cs="仿宋_GB2312" w:asciiTheme="minorEastAsia" w:hAnsiTheme="minorEastAsia" w:eastAsiaTheme="minorEastAsia"/>
          <w:lang w:val="en-US" w:eastAsia="zh-CN"/>
        </w:rPr>
        <w:t>4</w:t>
      </w:r>
      <w:r>
        <w:rPr>
          <w:rFonts w:hint="eastAsia" w:cs="仿宋_GB2312" w:asciiTheme="minorEastAsia" w:hAnsiTheme="minorEastAsia" w:eastAsiaTheme="minorEastAsia"/>
        </w:rPr>
        <w:t>月</w:t>
      </w:r>
      <w:r>
        <w:rPr>
          <w:rFonts w:hint="eastAsia" w:cs="仿宋_GB2312" w:asciiTheme="minorEastAsia" w:hAnsiTheme="minorEastAsia" w:eastAsiaTheme="minorEastAsia"/>
          <w:lang w:val="en-US" w:eastAsia="zh-CN"/>
        </w:rPr>
        <w:t>28</w:t>
      </w:r>
      <w:r>
        <w:rPr>
          <w:rFonts w:hint="eastAsia" w:cs="仿宋_GB2312" w:asciiTheme="minorEastAsia" w:hAnsiTheme="minorEastAsia" w:eastAsiaTheme="minorEastAsia"/>
        </w:rPr>
        <w:t>日</w:t>
      </w:r>
      <w:r>
        <w:rPr>
          <w:rFonts w:hint="eastAsia" w:cs="仿宋_GB2312" w:asciiTheme="minorEastAsia" w:hAnsiTheme="minorEastAsia" w:eastAsiaTheme="minorEastAsia"/>
          <w:lang w:val="en-US" w:eastAsia="zh-CN"/>
        </w:rPr>
        <w:t>10</w:t>
      </w:r>
      <w:r>
        <w:rPr>
          <w:rFonts w:hint="eastAsia" w:cs="仿宋_GB2312" w:asciiTheme="minorEastAsia" w:hAnsiTheme="minorEastAsia" w:eastAsiaTheme="minorEastAsia"/>
        </w:rPr>
        <w:t>时</w:t>
      </w:r>
      <w:r>
        <w:rPr>
          <w:rFonts w:hint="eastAsia" w:cs="仿宋_GB2312" w:asciiTheme="minorEastAsia" w:hAnsiTheme="minorEastAsia" w:eastAsiaTheme="minorEastAsia"/>
          <w:lang w:val="en-US" w:eastAsia="zh-CN"/>
        </w:rPr>
        <w:t>30</w:t>
      </w:r>
      <w:r>
        <w:rPr>
          <w:rFonts w:hint="eastAsia" w:cs="仿宋_GB2312" w:asciiTheme="minorEastAsia" w:hAnsiTheme="minorEastAsia" w:eastAsiaTheme="minorEastAsia"/>
        </w:rPr>
        <w:t>分（北京时间），逾期提交或不符合规定的投标文件不予接受。</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（二）开标地点：许昌市公共资源交易中心（</w:t>
      </w:r>
      <w:r>
        <w:rPr>
          <w:rFonts w:cs="Arial" w:asciiTheme="minorEastAsia" w:hAnsiTheme="minorEastAsia" w:eastAsiaTheme="minorEastAsia"/>
        </w:rPr>
        <w:t>龙兴路与竹林路交汇处</w:t>
      </w:r>
      <w:r>
        <w:rPr>
          <w:rFonts w:hint="eastAsia" w:cs="仿宋_GB2312" w:asciiTheme="minorEastAsia" w:hAnsiTheme="minorEastAsia" w:eastAsiaTheme="minorEastAsia"/>
        </w:rPr>
        <w:t>公共资源大厦）三楼开标</w:t>
      </w:r>
      <w:r>
        <w:rPr>
          <w:rFonts w:hint="eastAsia" w:cs="仿宋_GB2312" w:asciiTheme="minorEastAsia" w:hAnsiTheme="minorEastAsia" w:eastAsiaTheme="minorEastAsia"/>
          <w:lang w:eastAsia="zh-CN"/>
        </w:rPr>
        <w:t>五</w:t>
      </w:r>
      <w:r>
        <w:rPr>
          <w:rFonts w:hint="eastAsia" w:cs="仿宋_GB2312" w:asciiTheme="minorEastAsia" w:hAnsiTheme="minorEastAsia" w:eastAsiaTheme="minorEastAsia"/>
        </w:rPr>
        <w:t>室。</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（三） 本项目为全流程电子化交易项目，投标人须提交电子投标文件和纸质投标文件。</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1、加密电子投标文件</w:t>
      </w:r>
      <w:r>
        <w:rPr>
          <w:rFonts w:hint="eastAsia" w:cs="宋体" w:asciiTheme="minorEastAsia" w:hAnsiTheme="minorEastAsia"/>
        </w:rPr>
        <w:t>（</w:t>
      </w:r>
      <w:r>
        <w:rPr>
          <w:rFonts w:asciiTheme="minorEastAsia" w:hAnsiTheme="minorEastAsia" w:eastAsiaTheme="minorEastAsia"/>
        </w:rPr>
        <w:t>.file</w:t>
      </w:r>
      <w:r>
        <w:rPr>
          <w:rFonts w:hint="eastAsia" w:cs="宋体" w:asciiTheme="minorEastAsia" w:hAnsiTheme="minorEastAsia"/>
        </w:rPr>
        <w:t>格式）须</w:t>
      </w:r>
      <w:r>
        <w:rPr>
          <w:rFonts w:hint="eastAsia" w:cs="仿宋_GB2312" w:asciiTheme="minorEastAsia" w:hAnsiTheme="minorEastAsia" w:eastAsiaTheme="minorEastAsia"/>
        </w:rPr>
        <w:t>在投标截止时间（开标时间）前通过《全国公共资源交易平台(河南省▪许昌市)》公共资源交易系统成功上传。</w:t>
      </w:r>
    </w:p>
    <w:p>
      <w:pPr>
        <w:pStyle w:val="18"/>
        <w:widowControl/>
        <w:shd w:val="clear" w:color="auto" w:fill="FFFFFF"/>
        <w:spacing w:line="360" w:lineRule="auto"/>
        <w:ind w:firstLine="420"/>
        <w:contextualSpacing/>
        <w:jc w:val="left"/>
        <w:rPr>
          <w:rFonts w:cs="仿宋_GB2312" w:asciiTheme="minorEastAsia" w:hAnsiTheme="minorEastAsia" w:eastAsiaTheme="minorEastAsia"/>
          <w:shd w:val="pct10" w:color="auto" w:fill="FFFFFF"/>
        </w:rPr>
      </w:pPr>
      <w:r>
        <w:rPr>
          <w:rFonts w:hint="eastAsia" w:cs="仿宋_GB2312" w:asciiTheme="minorEastAsia" w:hAnsiTheme="minorEastAsia" w:eastAsiaTheme="minorEastAsia"/>
        </w:rPr>
        <w:t>2、纸质投标文件（正本1份、副本1份）和备份文件1份</w:t>
      </w:r>
      <w:r>
        <w:rPr>
          <w:rFonts w:hint="eastAsia" w:hAnsi="宋体"/>
        </w:rPr>
        <w:t>（使用电子介质存储）</w:t>
      </w:r>
      <w:r>
        <w:rPr>
          <w:rFonts w:hint="eastAsia" w:cs="仿宋_GB2312" w:asciiTheme="minorEastAsia" w:hAnsiTheme="minorEastAsia" w:eastAsiaTheme="minorEastAsia"/>
        </w:rPr>
        <w:t>在投标截止时间（开标时间）前递交至本项目开标地点。</w:t>
      </w:r>
    </w:p>
    <w:p>
      <w:pPr>
        <w:pStyle w:val="4"/>
        <w:shd w:val="clear" w:color="auto" w:fill="FFFFFF"/>
        <w:spacing w:after="156"/>
        <w:ind w:left="-6" w:firstLine="482" w:firstLineChars="200"/>
        <w:jc w:val="both"/>
        <w:rPr>
          <w:rFonts w:cs="黑体" w:asciiTheme="minorEastAsia" w:hAnsiTheme="minorEastAsia" w:eastAsiaTheme="minorEastAsia"/>
          <w:b w:val="0"/>
          <w:bCs/>
          <w:color w:val="auto"/>
          <w:shd w:val="clear" w:color="auto" w:fill="FFFFFF"/>
        </w:rPr>
      </w:pPr>
      <w:r>
        <w:rPr>
          <w:rFonts w:hint="eastAsia" w:cs="黑体" w:asciiTheme="minorEastAsia" w:hAnsiTheme="minorEastAsia" w:eastAsiaTheme="minorEastAsia"/>
          <w:bCs/>
          <w:color w:val="auto"/>
          <w:shd w:val="clear" w:color="auto" w:fill="FFFFFF"/>
        </w:rPr>
        <w:t>六、本次采购公告同时在《中国政府采购网》、《河南省政府采购网》、《许昌市政府采购网》、《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黑体" w:asciiTheme="minorEastAsia" w:hAnsiTheme="minorEastAsia" w:eastAsiaTheme="minorEastAsia"/>
          <w:bCs/>
          <w:color w:val="auto"/>
          <w:shd w:val="clear" w:color="auto" w:fill="FFFFFF"/>
        </w:rPr>
        <w:t>中国·许昌许昌市政府网</w:t>
      </w:r>
      <w:r>
        <w:rPr>
          <w:rFonts w:cs="黑体" w:asciiTheme="minorEastAsia" w:hAnsiTheme="minorEastAsia" w:eastAsiaTheme="minorEastAsia"/>
          <w:bCs/>
          <w:color w:val="auto"/>
          <w:shd w:val="clear" w:color="auto" w:fill="FFFFFF"/>
        </w:rPr>
        <w:fldChar w:fldCharType="end"/>
      </w:r>
      <w:r>
        <w:rPr>
          <w:rFonts w:hint="eastAsia" w:cs="黑体" w:asciiTheme="minorEastAsia" w:hAnsiTheme="minorEastAsia" w:eastAsiaTheme="minorEastAsia"/>
          <w:bCs/>
          <w:color w:val="auto"/>
          <w:shd w:val="clear" w:color="auto" w:fill="FFFFFF"/>
        </w:rPr>
        <w:t>》、《全国公共资源交易平台（河南省·许昌市）》发布。</w:t>
      </w:r>
    </w:p>
    <w:p>
      <w:pPr>
        <w:pStyle w:val="18"/>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七、公告期限</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自本公告发布之日起3个工作日。</w:t>
      </w:r>
    </w:p>
    <w:p>
      <w:pPr>
        <w:pStyle w:val="18"/>
        <w:widowControl/>
        <w:shd w:val="clear" w:color="auto" w:fill="FFFFFF"/>
        <w:spacing w:line="360" w:lineRule="auto"/>
        <w:ind w:firstLine="420"/>
        <w:contextualSpacing/>
        <w:jc w:val="left"/>
        <w:rPr>
          <w:rFonts w:cs="黑体" w:asciiTheme="minorEastAsia" w:hAnsiTheme="minorEastAsia" w:eastAsiaTheme="minorEastAsia"/>
          <w:b/>
          <w:bCs/>
        </w:rPr>
      </w:pPr>
      <w:r>
        <w:rPr>
          <w:rFonts w:hint="eastAsia" w:cs="黑体" w:asciiTheme="minorEastAsia" w:hAnsiTheme="minorEastAsia" w:eastAsiaTheme="minorEastAsia"/>
          <w:b/>
          <w:bCs/>
        </w:rPr>
        <w:t>八、联系方式</w:t>
      </w:r>
    </w:p>
    <w:p>
      <w:pPr>
        <w:pStyle w:val="18"/>
        <w:widowControl/>
        <w:shd w:val="clear" w:color="auto" w:fill="FFFFFF"/>
        <w:spacing w:line="360" w:lineRule="auto"/>
        <w:ind w:firstLine="420"/>
        <w:contextualSpacing/>
        <w:jc w:val="left"/>
        <w:rPr>
          <w:rFonts w:hint="eastAsia" w:asciiTheme="minorEastAsia" w:hAnsiTheme="minorEastAsia" w:eastAsiaTheme="minorEastAsia"/>
          <w:lang w:eastAsia="zh-CN"/>
        </w:rPr>
      </w:pPr>
      <w:r>
        <w:rPr>
          <w:rFonts w:hint="eastAsia" w:cs="仿宋_GB2312" w:asciiTheme="minorEastAsia" w:hAnsiTheme="minorEastAsia" w:eastAsiaTheme="minorEastAsia"/>
        </w:rPr>
        <w:t>采购</w:t>
      </w:r>
      <w:r>
        <w:rPr>
          <w:rFonts w:hint="eastAsia" w:asciiTheme="minorEastAsia" w:hAnsiTheme="minorEastAsia" w:eastAsiaTheme="minorEastAsia"/>
        </w:rPr>
        <w:t>人：</w:t>
      </w:r>
      <w:r>
        <w:rPr>
          <w:rFonts w:hint="eastAsia" w:asciiTheme="minorEastAsia" w:hAnsiTheme="minorEastAsia" w:eastAsiaTheme="minorEastAsia"/>
          <w:lang w:eastAsia="zh-CN"/>
        </w:rPr>
        <w:t>许昌市环境卫生管理处</w:t>
      </w:r>
    </w:p>
    <w:p>
      <w:pPr>
        <w:pStyle w:val="18"/>
        <w:widowControl/>
        <w:shd w:val="clear" w:color="auto" w:fill="FFFFFF"/>
        <w:spacing w:line="360" w:lineRule="auto"/>
        <w:ind w:firstLine="420"/>
        <w:contextualSpacing/>
        <w:jc w:val="left"/>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lang w:val="en-US" w:eastAsia="zh-CN"/>
        </w:rPr>
        <w:t>魏都区车站路8号</w:t>
      </w:r>
    </w:p>
    <w:p>
      <w:pPr>
        <w:pStyle w:val="18"/>
        <w:widowControl/>
        <w:shd w:val="clear" w:color="auto" w:fill="FFFFFF"/>
        <w:spacing w:line="360" w:lineRule="auto"/>
        <w:ind w:firstLine="420"/>
        <w:contextualSpacing/>
        <w:jc w:val="left"/>
        <w:rPr>
          <w:rFonts w:hint="default" w:asciiTheme="minorEastAsia" w:hAnsiTheme="minorEastAsia" w:eastAsiaTheme="minorEastAsia"/>
          <w:lang w:val="en-US" w:eastAsia="zh-CN"/>
        </w:rPr>
      </w:pPr>
      <w:r>
        <w:rPr>
          <w:rFonts w:hint="eastAsia" w:asciiTheme="minorEastAsia" w:hAnsiTheme="minorEastAsia" w:eastAsiaTheme="minorEastAsia"/>
        </w:rPr>
        <w:t>联系人：</w:t>
      </w:r>
      <w:r>
        <w:rPr>
          <w:rFonts w:hint="eastAsia" w:asciiTheme="minorEastAsia" w:hAnsiTheme="minorEastAsia" w:eastAsiaTheme="minorEastAsia"/>
          <w:lang w:val="en-US" w:eastAsia="zh-CN"/>
        </w:rPr>
        <w:t>丁艳春</w:t>
      </w:r>
      <w:r>
        <w:rPr>
          <w:rFonts w:hint="eastAsia" w:asciiTheme="minorEastAsia" w:hAnsiTheme="minorEastAsia" w:eastAsiaTheme="minorEastAsia"/>
        </w:rPr>
        <w:t xml:space="preserve">                  联系电话：</w:t>
      </w:r>
      <w:r>
        <w:rPr>
          <w:rFonts w:hint="eastAsia" w:asciiTheme="minorEastAsia" w:hAnsiTheme="minorEastAsia" w:eastAsiaTheme="minorEastAsia"/>
          <w:lang w:val="en-US" w:eastAsia="zh-CN"/>
        </w:rPr>
        <w:t>0374-2788661</w:t>
      </w:r>
    </w:p>
    <w:p>
      <w:pPr>
        <w:pStyle w:val="18"/>
        <w:widowControl/>
        <w:shd w:val="clear" w:color="auto" w:fill="FFFFFF"/>
        <w:spacing w:line="360" w:lineRule="auto"/>
        <w:ind w:firstLine="420"/>
        <w:contextualSpacing/>
        <w:jc w:val="left"/>
        <w:rPr>
          <w:rFonts w:asciiTheme="minorEastAsia" w:hAnsiTheme="minorEastAsia" w:eastAsiaTheme="minorEastAsia"/>
        </w:rPr>
      </w:pPr>
      <w:r>
        <w:rPr>
          <w:rFonts w:hint="eastAsia" w:asciiTheme="minorEastAsia" w:hAnsiTheme="minorEastAsia" w:eastAsiaTheme="minorEastAsia"/>
        </w:rPr>
        <w:t>代理机构：许昌市政府采购中心</w:t>
      </w:r>
    </w:p>
    <w:p>
      <w:pPr>
        <w:pStyle w:val="18"/>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地 址：许昌市龙兴路与竹林路交汇处公共资源大厦</w:t>
      </w:r>
    </w:p>
    <w:p>
      <w:pPr>
        <w:pStyle w:val="18"/>
        <w:widowControl/>
        <w:shd w:val="clear" w:color="auto" w:fill="FFFFFF"/>
        <w:spacing w:line="360" w:lineRule="auto"/>
        <w:ind w:firstLine="420"/>
        <w:contextualSpacing/>
        <w:jc w:val="left"/>
        <w:rPr>
          <w:rFonts w:hint="default" w:cs="仿宋_GB2312" w:asciiTheme="minorEastAsia" w:hAnsiTheme="minorEastAsia" w:eastAsiaTheme="minorEastAsia"/>
          <w:lang w:val="en-US" w:eastAsia="zh-CN"/>
        </w:rPr>
      </w:pPr>
      <w:r>
        <w:rPr>
          <w:rFonts w:hint="eastAsia" w:cs="仿宋_GB2312" w:asciiTheme="minorEastAsia" w:hAnsiTheme="minorEastAsia" w:eastAsiaTheme="minorEastAsia"/>
        </w:rPr>
        <w:t>联系人：</w:t>
      </w:r>
      <w:r>
        <w:rPr>
          <w:rFonts w:hint="eastAsia" w:cs="仿宋_GB2312" w:asciiTheme="minorEastAsia" w:hAnsiTheme="minorEastAsia" w:eastAsiaTheme="minorEastAsia"/>
          <w:lang w:eastAsia="zh-CN"/>
        </w:rPr>
        <w:t>杨</w:t>
      </w:r>
      <w:r>
        <w:rPr>
          <w:rFonts w:hint="eastAsia" w:cs="仿宋_GB2312" w:asciiTheme="minorEastAsia" w:hAnsiTheme="minorEastAsia" w:eastAsiaTheme="minorEastAsia"/>
        </w:rPr>
        <w:t>女士              联系电话：0374-296</w:t>
      </w:r>
      <w:r>
        <w:rPr>
          <w:rFonts w:hint="eastAsia" w:cs="仿宋_GB2312" w:asciiTheme="minorEastAsia" w:hAnsiTheme="minorEastAsia" w:eastAsiaTheme="minorEastAsia"/>
          <w:lang w:val="en-US" w:eastAsia="zh-CN"/>
        </w:rPr>
        <w:t>2805</w:t>
      </w:r>
    </w:p>
    <w:p>
      <w:pPr>
        <w:rPr>
          <w:rFonts w:asciiTheme="minorEastAsia" w:hAnsiTheme="minorEastAsia"/>
          <w:sz w:val="24"/>
          <w:szCs w:val="24"/>
        </w:rPr>
      </w:pPr>
    </w:p>
    <w:p>
      <w:pPr>
        <w:rPr>
          <w:rFonts w:cs="仿宋_GB2312" w:asciiTheme="minorEastAsia" w:hAnsiTheme="minorEastAsia"/>
          <w:sz w:val="24"/>
          <w:szCs w:val="24"/>
          <w:shd w:val="clear" w:color="auto" w:fill="FFFFFF"/>
        </w:rPr>
      </w:pPr>
    </w:p>
    <w:p>
      <w:pPr>
        <w:autoSpaceDE w:val="0"/>
        <w:autoSpaceDN w:val="0"/>
        <w:adjustRightInd w:val="0"/>
        <w:spacing w:line="700" w:lineRule="exact"/>
        <w:ind w:firstLine="560"/>
        <w:jc w:val="right"/>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许昌市环境卫生管理处</w:t>
      </w:r>
    </w:p>
    <w:p>
      <w:pPr>
        <w:autoSpaceDE w:val="0"/>
        <w:autoSpaceDN w:val="0"/>
        <w:adjustRightInd w:val="0"/>
        <w:spacing w:line="700" w:lineRule="exact"/>
        <w:ind w:firstLine="560"/>
        <w:jc w:val="right"/>
        <w:rPr>
          <w:rFonts w:hint="eastAsia" w:cs="仿宋_GB2312"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kern w:val="2"/>
          <w:sz w:val="24"/>
          <w:szCs w:val="24"/>
          <w:lang w:val="en-US" w:eastAsia="zh-CN" w:bidi="ar-SA"/>
        </w:rPr>
        <w:t xml:space="preserve"> 二〇一九年八月</w:t>
      </w:r>
      <w:r>
        <w:rPr>
          <w:rFonts w:hint="eastAsia" w:cs="仿宋_GB2312" w:asciiTheme="minorEastAsia" w:hAnsiTheme="minorEastAsia"/>
          <w:kern w:val="2"/>
          <w:sz w:val="24"/>
          <w:szCs w:val="24"/>
          <w:lang w:val="en-US" w:eastAsia="zh-CN" w:bidi="ar-SA"/>
        </w:rPr>
        <w:t>二十二</w:t>
      </w:r>
      <w:r>
        <w:rPr>
          <w:rFonts w:hint="eastAsia" w:cs="仿宋_GB2312" w:asciiTheme="minorEastAsia" w:hAnsiTheme="minorEastAsia" w:eastAsiaTheme="minorEastAsia"/>
          <w:kern w:val="2"/>
          <w:sz w:val="24"/>
          <w:szCs w:val="24"/>
          <w:lang w:val="en-US" w:eastAsia="zh-CN" w:bidi="ar-SA"/>
        </w:rPr>
        <w:t>日</w:t>
      </w:r>
    </w:p>
    <w:p>
      <w:pPr>
        <w:spacing w:line="360" w:lineRule="auto"/>
        <w:rPr>
          <w:rFonts w:hAnsi="宋体"/>
          <w:b/>
          <w:sz w:val="32"/>
          <w:szCs w:val="32"/>
        </w:rPr>
      </w:pPr>
    </w:p>
    <w:p>
      <w:pPr>
        <w:spacing w:line="360" w:lineRule="auto"/>
        <w:rPr>
          <w:rFonts w:hAnsi="宋体"/>
          <w:b/>
          <w:sz w:val="32"/>
          <w:szCs w:val="32"/>
        </w:rPr>
      </w:pPr>
    </w:p>
    <w:p>
      <w:pPr>
        <w:widowControl/>
        <w:jc w:val="left"/>
        <w:rPr>
          <w:rFonts w:hAnsi="宋体"/>
          <w:b/>
          <w:sz w:val="32"/>
          <w:szCs w:val="32"/>
        </w:rPr>
      </w:pPr>
      <w:r>
        <w:rPr>
          <w:rFonts w:hAnsi="宋体"/>
          <w:b/>
          <w:sz w:val="32"/>
          <w:szCs w:val="32"/>
        </w:rPr>
        <w:br w:type="page"/>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本项目为全流程电子化交易项目，请认真阅读采购文件，并注意以下事项。</w:t>
      </w:r>
    </w:p>
    <w:p>
      <w:pPr>
        <w:pStyle w:val="19"/>
        <w:ind w:firstLine="321"/>
        <w:rPr>
          <w:rFonts w:ascii="仿宋_GB2312" w:eastAsia="仿宋_GB2312"/>
          <w:b/>
          <w:sz w:val="32"/>
          <w:szCs w:val="32"/>
        </w:rPr>
      </w:pPr>
    </w:p>
    <w:p>
      <w:pPr>
        <w:tabs>
          <w:tab w:val="left" w:pos="7095"/>
        </w:tabs>
        <w:spacing w:line="360" w:lineRule="auto"/>
        <w:ind w:firstLine="482" w:firstLineChars="200"/>
        <w:contextualSpacing/>
        <w:rPr>
          <w:rFonts w:hAnsi="宋体"/>
          <w:b/>
          <w:sz w:val="24"/>
          <w:szCs w:val="24"/>
        </w:rPr>
      </w:pPr>
      <w:r>
        <w:rPr>
          <w:rFonts w:hint="eastAsia" w:asciiTheme="minorEastAsia" w:hAnsiTheme="minorEastAsia"/>
          <w:b/>
          <w:sz w:val="24"/>
          <w:szCs w:val="24"/>
        </w:rPr>
        <w:t>1.</w:t>
      </w:r>
      <w:r>
        <w:rPr>
          <w:rFonts w:hint="eastAsia" w:hAnsi="宋体"/>
          <w:b/>
          <w:sz w:val="24"/>
          <w:szCs w:val="24"/>
        </w:rPr>
        <w:t>投标人应按采购文件规定编制、提交电子投标文件和纸质投标文件。开、评标现场不接受投标人递交的备份电子投标文件和纸质投标文件以外的其他资料。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sz w:val="24"/>
          <w:szCs w:val="24"/>
        </w:rPr>
      </w:pPr>
      <w:r>
        <w:rPr>
          <w:rFonts w:hint="eastAsia" w:asciiTheme="minorEastAsia" w:hAnsiTheme="minorEastAsia"/>
          <w:b/>
          <w:sz w:val="24"/>
          <w:szCs w:val="24"/>
        </w:rPr>
        <w:t>2</w:t>
      </w:r>
      <w:r>
        <w:rPr>
          <w:rFonts w:asciiTheme="minorEastAsia" w:hAnsiTheme="minorEastAsia"/>
          <w:b/>
          <w:sz w:val="24"/>
          <w:szCs w:val="24"/>
        </w:rPr>
        <w:t>.</w:t>
      </w:r>
      <w:r>
        <w:rPr>
          <w:rFonts w:hint="eastAsia" w:hAnsi="宋体"/>
          <w:b/>
          <w:sz w:val="24"/>
          <w:szCs w:val="24"/>
        </w:rPr>
        <w:t>电子文件下载、制作、提交期间和开标（</w:t>
      </w:r>
      <w:r>
        <w:rPr>
          <w:rFonts w:hint="eastAsia" w:hAnsi="宋体"/>
          <w:sz w:val="24"/>
          <w:szCs w:val="24"/>
        </w:rPr>
        <w:t>电子投标文件的解密</w:t>
      </w:r>
      <w:r>
        <w:rPr>
          <w:rFonts w:hint="eastAsia" w:hAnsi="宋体"/>
          <w:b/>
          <w:sz w:val="24"/>
          <w:szCs w:val="24"/>
        </w:rPr>
        <w:t>）环节，投标人须使用</w:t>
      </w:r>
      <w:r>
        <w:rPr>
          <w:rFonts w:hAnsi="宋体"/>
          <w:b/>
          <w:sz w:val="24"/>
          <w:szCs w:val="24"/>
        </w:rPr>
        <w:t>CA数字证书</w:t>
      </w:r>
      <w:r>
        <w:rPr>
          <w:rFonts w:hint="eastAsia" w:hAnsi="宋体"/>
          <w:b/>
          <w:sz w:val="24"/>
          <w:szCs w:val="24"/>
        </w:rPr>
        <w:t>（证书须在有效期内）</w:t>
      </w:r>
      <w:r>
        <w:rPr>
          <w:rFonts w:hAnsi="宋体"/>
          <w:b/>
          <w:sz w:val="24"/>
          <w:szCs w:val="24"/>
        </w:rPr>
        <w:t>。</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3</w:t>
      </w:r>
      <w:r>
        <w:rPr>
          <w:rFonts w:hint="eastAsia" w:asciiTheme="minorEastAsia" w:hAnsiTheme="minorEastAsia"/>
          <w:b/>
          <w:sz w:val="24"/>
          <w:szCs w:val="24"/>
        </w:rPr>
        <w:t>.</w:t>
      </w:r>
      <w:r>
        <w:rPr>
          <w:rFonts w:hint="eastAsia" w:hAnsi="宋体"/>
          <w:b/>
          <w:sz w:val="24"/>
          <w:szCs w:val="24"/>
        </w:rPr>
        <w:t>电子投标文件的制作</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w:t>
      </w:r>
      <w:r>
        <w:rPr>
          <w:rFonts w:hint="eastAsia" w:asciiTheme="minorEastAsia" w:hAnsiTheme="minorEastAsia"/>
          <w:sz w:val="24"/>
          <w:szCs w:val="24"/>
        </w:rPr>
        <w:t>.1</w:t>
      </w:r>
      <w:r>
        <w:rPr>
          <w:rFonts w:hint="eastAsia" w:hAnsi="宋体"/>
          <w:sz w:val="24"/>
          <w:szCs w:val="24"/>
        </w:rPr>
        <w:t xml:space="preserve"> 投标人登录《全国公共资源交易平台(河南省▪许昌市)》公共资源交易系统（</w:t>
      </w:r>
      <w:r>
        <w:fldChar w:fldCharType="begin"/>
      </w:r>
      <w:r>
        <w:instrText xml:space="preserve"> HYPERLINK "http://221.14.6.70:8088/ggzy/"</w:instrText>
      </w:r>
      <w:r>
        <w:fldChar w:fldCharType="separate"/>
      </w:r>
      <w:r>
        <w:rPr>
          <w:rStyle w:val="25"/>
          <w:rFonts w:hAnsi="宋体"/>
          <w:color w:val="auto"/>
          <w:sz w:val="24"/>
          <w:szCs w:val="24"/>
        </w:rPr>
        <w:t>http://221.14.6.70:8088/ggzy/</w:t>
      </w:r>
      <w:r>
        <w:rPr>
          <w:rStyle w:val="25"/>
          <w:rFonts w:hAnsi="宋体"/>
          <w:color w:val="auto"/>
          <w:sz w:val="24"/>
          <w:szCs w:val="24"/>
        </w:rPr>
        <w:fldChar w:fldCharType="end"/>
      </w:r>
      <w:r>
        <w:rPr>
          <w:rFonts w:hint="eastAsia" w:hAnsi="宋体"/>
          <w:sz w:val="24"/>
          <w:szCs w:val="24"/>
        </w:rPr>
        <w:t>）下载“许昌投标文件制作系统SEARUN V1.0”，按采购文件要求制作电子投标文件。</w:t>
      </w:r>
    </w:p>
    <w:p>
      <w:pPr>
        <w:tabs>
          <w:tab w:val="left" w:pos="7095"/>
        </w:tabs>
        <w:spacing w:line="360"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w:t>
      </w:r>
      <w:r>
        <w:rPr>
          <w:rFonts w:hint="eastAsia" w:asciiTheme="minorEastAsia" w:hAnsiTheme="minorEastAsia"/>
          <w:sz w:val="24"/>
          <w:szCs w:val="24"/>
        </w:rPr>
        <w:t>.</w:t>
      </w:r>
      <w:r>
        <w:rPr>
          <w:rFonts w:asciiTheme="minorEastAsia" w:hAnsiTheme="minorEastAsia"/>
          <w:sz w:val="24"/>
          <w:szCs w:val="24"/>
        </w:rPr>
        <w:t>2</w:t>
      </w:r>
      <w:r>
        <w:rPr>
          <w:rFonts w:hint="eastAsia" w:hAnsi="宋体"/>
          <w:sz w:val="24"/>
          <w:szCs w:val="24"/>
        </w:rPr>
        <w:t xml:space="preserve"> 投标人须将采购文件要求的资质、业绩、荣誉及相关人员证明材料等资料原件扫描件（或图片）制作到所提交的电子投标文件中。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3.3</w:t>
      </w:r>
      <w:r>
        <w:rPr>
          <w:rFonts w:hint="eastAsia" w:hAnsi="宋体"/>
          <w:sz w:val="24"/>
          <w:szCs w:val="24"/>
        </w:rPr>
        <w:t>投标人对同一项目多个标段进行投标的，应分别下载所投标段的采购文件，按标段制作电子投标文件，并</w:t>
      </w:r>
      <w:r>
        <w:rPr>
          <w:rFonts w:hAnsi="宋体"/>
          <w:sz w:val="24"/>
          <w:szCs w:val="24"/>
        </w:rPr>
        <w:t>按采购文件要求在相应位置加盖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4</w:t>
      </w:r>
      <w:r>
        <w:rPr>
          <w:rFonts w:hint="eastAsia" w:asciiTheme="minorEastAsia" w:hAnsiTheme="minorEastAsia"/>
          <w:b/>
          <w:sz w:val="24"/>
          <w:szCs w:val="24"/>
        </w:rPr>
        <w:t>.加密</w:t>
      </w:r>
      <w:r>
        <w:rPr>
          <w:rFonts w:hint="eastAsia" w:hAnsi="宋体"/>
          <w:b/>
          <w:sz w:val="24"/>
          <w:szCs w:val="24"/>
        </w:rPr>
        <w:t>电子投标文件的提交</w:t>
      </w:r>
    </w:p>
    <w:p>
      <w:pPr>
        <w:tabs>
          <w:tab w:val="left" w:pos="7095"/>
        </w:tabs>
        <w:spacing w:line="360" w:lineRule="auto"/>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.1加密</w:t>
      </w:r>
      <w:r>
        <w:rPr>
          <w:rFonts w:hint="eastAsia" w:hAnsi="宋体"/>
          <w:sz w:val="24"/>
          <w:szCs w:val="24"/>
        </w:rPr>
        <w:t>电子投标文件应在采购文件规定的投标截止时间（开标时间）之前成功提交至《全国公共资源交易平台(河南省▪许昌市)》公共资源交易系统（</w:t>
      </w:r>
      <w:r>
        <w:fldChar w:fldCharType="begin"/>
      </w:r>
      <w:r>
        <w:instrText xml:space="preserve"> HYPERLINK "http://221.14.6.70:8088/ggzy/"</w:instrText>
      </w:r>
      <w:r>
        <w:fldChar w:fldCharType="separate"/>
      </w:r>
      <w:r>
        <w:rPr>
          <w:rStyle w:val="25"/>
          <w:rFonts w:hAnsi="宋体"/>
          <w:color w:val="auto"/>
          <w:sz w:val="24"/>
          <w:szCs w:val="24"/>
        </w:rPr>
        <w:t>http://221.14.6.70:8088/ggzy/</w:t>
      </w:r>
      <w:r>
        <w:rPr>
          <w:rStyle w:val="25"/>
          <w:rFonts w:hAnsi="宋体"/>
          <w:color w:val="auto"/>
          <w:sz w:val="24"/>
          <w:szCs w:val="24"/>
        </w:rPr>
        <w:fldChar w:fldCharType="end"/>
      </w:r>
      <w:r>
        <w:rPr>
          <w:rFonts w:hint="eastAsia" w:hAnsi="宋体"/>
          <w:sz w:val="24"/>
          <w:szCs w:val="24"/>
        </w:rPr>
        <w:t>）。</w:t>
      </w:r>
    </w:p>
    <w:p>
      <w:pPr>
        <w:tabs>
          <w:tab w:val="left" w:pos="7095"/>
        </w:tabs>
        <w:spacing w:line="360"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 xml:space="preserve">2 </w:t>
      </w:r>
      <w:r>
        <w:rPr>
          <w:rFonts w:hint="eastAsia" w:hAnsi="宋体"/>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 xml:space="preserve"> 加密</w:t>
      </w:r>
      <w:r>
        <w:rPr>
          <w:rFonts w:hint="eastAsia" w:hAnsi="宋体"/>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5</w:t>
      </w:r>
      <w:r>
        <w:rPr>
          <w:rFonts w:hint="eastAsia" w:asciiTheme="minorEastAsia" w:hAnsiTheme="minorEastAsia"/>
          <w:b/>
          <w:sz w:val="24"/>
          <w:szCs w:val="24"/>
        </w:rPr>
        <w:t>.</w:t>
      </w:r>
      <w:r>
        <w:rPr>
          <w:rFonts w:hint="eastAsia" w:hAnsi="宋体"/>
          <w:b/>
          <w:sz w:val="24"/>
          <w:szCs w:val="24"/>
        </w:rPr>
        <w:t>评标依据</w:t>
      </w:r>
    </w:p>
    <w:p>
      <w:pPr>
        <w:tabs>
          <w:tab w:val="left" w:pos="7095"/>
        </w:tabs>
        <w:spacing w:line="360" w:lineRule="auto"/>
        <w:ind w:firstLine="480" w:firstLineChars="200"/>
        <w:contextualSpacing/>
        <w:rPr>
          <w:rFonts w:hAnsi="宋体"/>
          <w:sz w:val="24"/>
          <w:szCs w:val="24"/>
        </w:rPr>
      </w:pPr>
      <w:r>
        <w:rPr>
          <w:rFonts w:hint="eastAsia" w:asciiTheme="minorEastAsia" w:hAnsiTheme="minorEastAsia"/>
          <w:sz w:val="24"/>
          <w:szCs w:val="24"/>
        </w:rPr>
        <w:t>5.1</w:t>
      </w:r>
      <w:r>
        <w:rPr>
          <w:rFonts w:hint="eastAsia" w:hAnsi="宋体"/>
          <w:sz w:val="24"/>
          <w:szCs w:val="24"/>
        </w:rPr>
        <w:t>采用全流程电子化交易评标时，谈判小组以电子投标文件为依据评标。</w:t>
      </w:r>
    </w:p>
    <w:p>
      <w:pPr>
        <w:tabs>
          <w:tab w:val="left" w:pos="7095"/>
        </w:tabs>
        <w:spacing w:line="360" w:lineRule="auto"/>
        <w:ind w:firstLine="480" w:firstLineChars="200"/>
        <w:contextualSpacing/>
        <w:rPr>
          <w:rFonts w:hAnsi="宋体"/>
          <w:sz w:val="24"/>
          <w:szCs w:val="24"/>
        </w:rPr>
      </w:pPr>
      <w:r>
        <w:rPr>
          <w:rFonts w:hint="eastAsia" w:asciiTheme="minorEastAsia" w:hAnsiTheme="minorEastAsia"/>
          <w:sz w:val="24"/>
          <w:szCs w:val="24"/>
        </w:rPr>
        <w:t>5.2</w:t>
      </w:r>
      <w:r>
        <w:rPr>
          <w:rFonts w:hint="eastAsia" w:hAnsi="宋体"/>
          <w:sz w:val="24"/>
          <w:szCs w:val="24"/>
        </w:rPr>
        <w:t>全流程电子化交易如因系统异常情况无法完成，将以人工方式进行。谈判小组以纸质投标文件为依据评标。</w:t>
      </w: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numPr>
          <w:ilvl w:val="0"/>
          <w:numId w:val="4"/>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widowControl/>
        <w:numPr>
          <w:ilvl w:val="0"/>
          <w:numId w:val="0"/>
        </w:numPr>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hAnsi="宋体"/>
          <w:sz w:val="24"/>
          <w:szCs w:val="24"/>
          <w:lang w:val="en-US" w:eastAsia="zh-CN"/>
        </w:rPr>
        <w:t>对垃圾渗滤液处理出水水质状况进行在线自动监测。</w:t>
      </w:r>
    </w:p>
    <w:p>
      <w:pPr>
        <w:widowControl/>
        <w:numPr>
          <w:ilvl w:val="0"/>
          <w:numId w:val="5"/>
        </w:numPr>
        <w:shd w:val="clear" w:color="auto" w:fill="FFFFFF"/>
        <w:spacing w:line="360" w:lineRule="auto"/>
        <w:ind w:left="0" w:leftChars="0"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采购清单</w:t>
      </w:r>
    </w:p>
    <w:tbl>
      <w:tblPr>
        <w:tblStyle w:val="20"/>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866"/>
        <w:gridCol w:w="5955"/>
        <w:gridCol w:w="72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 w:val="24"/>
                <w:szCs w:val="24"/>
              </w:rPr>
            </w:pPr>
            <w:r>
              <w:rPr>
                <w:rFonts w:hint="eastAsia" w:cs="Times New Roman" w:asciiTheme="minorEastAsia" w:hAnsiTheme="minorEastAsia"/>
                <w:color w:val="000000"/>
                <w:kern w:val="0"/>
                <w:sz w:val="24"/>
                <w:szCs w:val="24"/>
              </w:rPr>
              <w:t>序号</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 w:val="24"/>
                <w:szCs w:val="24"/>
              </w:rPr>
            </w:pPr>
            <w:r>
              <w:rPr>
                <w:rFonts w:hint="eastAsia" w:cs="Times New Roman" w:asciiTheme="minorEastAsia" w:hAnsiTheme="minorEastAsia"/>
                <w:color w:val="000000"/>
                <w:kern w:val="0"/>
                <w:sz w:val="24"/>
                <w:szCs w:val="24"/>
              </w:rPr>
              <w:t>货物名称</w:t>
            </w:r>
          </w:p>
        </w:tc>
        <w:tc>
          <w:tcPr>
            <w:tcW w:w="595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 w:val="24"/>
                <w:szCs w:val="24"/>
              </w:rPr>
            </w:pPr>
            <w:r>
              <w:rPr>
                <w:rFonts w:hint="eastAsia" w:cs="Times New Roman" w:asciiTheme="minorEastAsia" w:hAnsiTheme="minorEastAsia"/>
                <w:color w:val="000000"/>
                <w:kern w:val="0"/>
                <w:sz w:val="24"/>
                <w:szCs w:val="24"/>
              </w:rPr>
              <w:t>技术规格及主要参数</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 w:val="24"/>
                <w:szCs w:val="24"/>
              </w:rPr>
            </w:pPr>
            <w:r>
              <w:rPr>
                <w:rFonts w:hint="eastAsia" w:cs="Times New Roman" w:asciiTheme="minorEastAsia" w:hAnsiTheme="minorEastAsia"/>
                <w:color w:val="000000"/>
                <w:kern w:val="0"/>
                <w:sz w:val="24"/>
                <w:szCs w:val="24"/>
              </w:rPr>
              <w:t>单位</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 w:val="24"/>
                <w:szCs w:val="24"/>
              </w:rPr>
            </w:pPr>
            <w:r>
              <w:rPr>
                <w:rFonts w:hint="eastAsia" w:cs="Times New Roman" w:asciiTheme="minorEastAsia" w:hAnsiTheme="minorEastAsia"/>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tabs>
                <w:tab w:val="left" w:pos="7095"/>
              </w:tabs>
              <w:spacing w:line="360" w:lineRule="auto"/>
              <w:contextualSpacing/>
              <w:rPr>
                <w:rFonts w:hint="eastAsia" w:hAnsi="宋体"/>
                <w:sz w:val="24"/>
                <w:szCs w:val="24"/>
              </w:rPr>
            </w:pPr>
            <w:r>
              <w:rPr>
                <w:rFonts w:hint="eastAsia" w:hAnsi="宋体"/>
                <w:sz w:val="24"/>
                <w:szCs w:val="24"/>
              </w:rPr>
              <w:t>1</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tabs>
                <w:tab w:val="left" w:pos="7095"/>
              </w:tabs>
              <w:spacing w:line="360" w:lineRule="auto"/>
              <w:contextualSpacing/>
              <w:rPr>
                <w:rFonts w:hint="eastAsia" w:hAnsi="宋体"/>
                <w:sz w:val="24"/>
                <w:szCs w:val="24"/>
              </w:rPr>
            </w:pPr>
            <w:r>
              <w:rPr>
                <w:rFonts w:hint="eastAsia" w:hAnsi="宋体"/>
                <w:sz w:val="24"/>
                <w:szCs w:val="24"/>
                <w:lang w:val="en-US" w:eastAsia="zh-CN"/>
              </w:rPr>
              <w:t>在线监控设施</w:t>
            </w:r>
          </w:p>
        </w:tc>
        <w:tc>
          <w:tcPr>
            <w:tcW w:w="595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一、COD cr水质在线自动监测仪</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1、测量范围:10~2000mg/L  COD</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2、准 确 度:示值误差≤±10%</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3、重复性误差:≤±10%</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4、测量周期:最小测量周期为40min，据实际水样可在5~120min任意修改消解时间。</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5、采样周期:时间间隔（20~9999min任意可调）和整点测量模式</w:t>
            </w:r>
            <w:r>
              <w:rPr>
                <w:rFonts w:hint="eastAsia" w:hAnsi="宋体"/>
                <w:sz w:val="24"/>
                <w:szCs w:val="24"/>
                <w:lang w:val="en-US" w:eastAsia="zh-CN"/>
              </w:rPr>
              <w:tab/>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6、模拟输出:2路4~20mA</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7、信号接口:RS232或RS485</w:t>
            </w:r>
            <w:r>
              <w:rPr>
                <w:rFonts w:hint="eastAsia" w:hAnsi="宋体"/>
                <w:sz w:val="24"/>
                <w:szCs w:val="24"/>
                <w:lang w:val="en-US" w:eastAsia="zh-CN"/>
              </w:rPr>
              <w:tab/>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8、开 关 量:6组继电器控制，容量220VAC/2A</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9、实际水样对比:误差≤±10%</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二、氨氮水质在线自动监测仪</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1、测量范围:0.1~300mg/L  氨氮</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2、准 确 度:示值误差≤±10%</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3、重复性误差:≤±10%</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4、采样周期:时间间隔（20~9999min任意可调）和整点测量模式</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5、模拟输出:2路4~20mA</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6、信号接口:RS232或RS485</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7、开 关 量:6组继电器控制，容量220VAC/2A</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8、实际水样对比:误差≤±10%</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三、在线水质采样仪</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1、大屏幕中文显示，操作方便；</w:t>
            </w:r>
            <w:r>
              <w:rPr>
                <w:rFonts w:hint="eastAsia" w:hAnsi="宋体"/>
                <w:sz w:val="24"/>
                <w:szCs w:val="24"/>
                <w:lang w:val="en-US" w:eastAsia="zh-CN"/>
              </w:rPr>
              <w:br w:type="textWrapping"/>
            </w:r>
            <w:r>
              <w:rPr>
                <w:rFonts w:hint="eastAsia" w:hAnsi="宋体"/>
                <w:sz w:val="24"/>
                <w:szCs w:val="24"/>
                <w:lang w:val="en-US" w:eastAsia="zh-CN"/>
              </w:rPr>
              <w:t>2、混合式步进电机，细分驱动器，运行平稳，噪音极小；</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3、多种对外接口方式，包括RS232、4-20mA、开关量信号等，方便与其他在线设备联机；</w:t>
            </w:r>
            <w:r>
              <w:rPr>
                <w:rFonts w:hint="eastAsia" w:hAnsi="宋体"/>
                <w:sz w:val="24"/>
                <w:szCs w:val="24"/>
                <w:lang w:val="en-US" w:eastAsia="zh-CN"/>
              </w:rPr>
              <w:br w:type="textWrapping"/>
            </w:r>
            <w:r>
              <w:rPr>
                <w:rFonts w:hint="eastAsia" w:hAnsi="宋体"/>
                <w:sz w:val="24"/>
                <w:szCs w:val="24"/>
                <w:lang w:val="en-US" w:eastAsia="zh-CN"/>
              </w:rPr>
              <w:t>4、有自动排空功能，满足各类水质条件，具有管路预淋洗功能；</w:t>
            </w:r>
            <w:r>
              <w:rPr>
                <w:rFonts w:hint="eastAsia" w:hAnsi="宋体"/>
                <w:sz w:val="24"/>
                <w:szCs w:val="24"/>
                <w:lang w:val="en-US" w:eastAsia="zh-CN"/>
              </w:rPr>
              <w:br w:type="textWrapping"/>
            </w:r>
            <w:r>
              <w:rPr>
                <w:rFonts w:hint="eastAsia" w:hAnsi="宋体"/>
                <w:sz w:val="24"/>
                <w:szCs w:val="24"/>
                <w:lang w:val="en-US" w:eastAsia="zh-CN"/>
              </w:rPr>
              <w:t>5、可控制分瓶装置自动分装样品；</w:t>
            </w:r>
            <w:r>
              <w:rPr>
                <w:rFonts w:hint="eastAsia" w:hAnsi="宋体"/>
                <w:sz w:val="24"/>
                <w:szCs w:val="24"/>
                <w:lang w:val="en-US" w:eastAsia="zh-CN"/>
              </w:rPr>
              <w:br w:type="textWrapping"/>
            </w:r>
            <w:r>
              <w:rPr>
                <w:rFonts w:hint="eastAsia" w:hAnsi="宋体"/>
                <w:sz w:val="24"/>
                <w:szCs w:val="24"/>
                <w:lang w:val="en-US" w:eastAsia="zh-CN"/>
              </w:rPr>
              <w:t>6、要具有定时定量采样、定流定量采样、流量比例采样、液位比例采样、即时定量采样等多种采样功能；</w:t>
            </w:r>
            <w:r>
              <w:rPr>
                <w:rFonts w:hint="eastAsia" w:hAnsi="宋体"/>
                <w:sz w:val="24"/>
                <w:szCs w:val="24"/>
                <w:lang w:val="en-US" w:eastAsia="zh-CN"/>
              </w:rPr>
              <w:br w:type="textWrapping"/>
            </w:r>
            <w:r>
              <w:rPr>
                <w:rFonts w:hint="eastAsia" w:hAnsi="宋体"/>
                <w:sz w:val="24"/>
                <w:szCs w:val="24"/>
                <w:lang w:val="en-US" w:eastAsia="zh-CN"/>
              </w:rPr>
              <w:t>7、多种采样程序启动方式：外部信号触发启动、超标留样启动、预设时间启动、即时启动、液位超标触发启动等等；</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8、采样程序：可以预先编制多种采样程序，一键式启动；</w:t>
            </w:r>
            <w:r>
              <w:rPr>
                <w:rFonts w:hint="eastAsia" w:hAnsi="宋体"/>
                <w:sz w:val="24"/>
                <w:szCs w:val="24"/>
                <w:lang w:val="en-US" w:eastAsia="zh-CN"/>
              </w:rPr>
              <w:br w:type="textWrapping"/>
            </w:r>
            <w:r>
              <w:rPr>
                <w:rFonts w:hint="eastAsia" w:hAnsi="宋体"/>
                <w:sz w:val="24"/>
                <w:szCs w:val="24"/>
                <w:lang w:val="en-US" w:eastAsia="zh-CN"/>
              </w:rPr>
              <w:t>9、采样记录：可保存至少10000条采样记录；信息记录：可保存至少2000条信息记录，包括系统断电上电、参数修改、设备故障等信息；</w:t>
            </w:r>
            <w:r>
              <w:rPr>
                <w:rFonts w:hint="eastAsia" w:hAnsi="宋体"/>
                <w:sz w:val="24"/>
                <w:szCs w:val="24"/>
                <w:lang w:val="en-US" w:eastAsia="zh-CN"/>
              </w:rPr>
              <w:br w:type="textWrapping"/>
            </w:r>
            <w:r>
              <w:rPr>
                <w:rFonts w:hint="eastAsia" w:hAnsi="宋体"/>
                <w:sz w:val="24"/>
                <w:szCs w:val="24"/>
                <w:lang w:val="en-US" w:eastAsia="zh-CN"/>
              </w:rPr>
              <w:t>10、流量查询：2年的每小时、每日、每月、每年流量记录，满足用户需求；</w:t>
            </w:r>
            <w:r>
              <w:rPr>
                <w:rFonts w:hint="eastAsia" w:hAnsi="宋体"/>
                <w:sz w:val="24"/>
                <w:szCs w:val="24"/>
                <w:lang w:val="en-US" w:eastAsia="zh-CN"/>
              </w:rPr>
              <w:br w:type="textWrapping"/>
            </w:r>
            <w:r>
              <w:rPr>
                <w:rFonts w:hint="eastAsia" w:hAnsi="宋体"/>
                <w:sz w:val="24"/>
                <w:szCs w:val="24"/>
                <w:lang w:val="en-US" w:eastAsia="zh-CN"/>
              </w:rPr>
              <w:t>11、采样程序启动方式：外部信号触发启动、超标留样启动、预设时间启动、即时启动、液位超标触发启动等；</w:t>
            </w:r>
            <w:r>
              <w:rPr>
                <w:rFonts w:hint="eastAsia" w:hAnsi="宋体"/>
                <w:sz w:val="24"/>
                <w:szCs w:val="24"/>
                <w:lang w:val="en-US" w:eastAsia="zh-CN"/>
              </w:rPr>
              <w:br w:type="textWrapping"/>
            </w:r>
            <w:r>
              <w:rPr>
                <w:rFonts w:hint="eastAsia" w:hAnsi="宋体"/>
                <w:sz w:val="24"/>
                <w:szCs w:val="24"/>
                <w:lang w:val="en-US" w:eastAsia="zh-CN"/>
              </w:rPr>
              <w:t>12、通讯信号接口：两路RS232信号、RS485信号、4-20mA信号、开关量信号；</w:t>
            </w:r>
            <w:r>
              <w:rPr>
                <w:rFonts w:hint="eastAsia" w:hAnsi="宋体"/>
                <w:sz w:val="24"/>
                <w:szCs w:val="24"/>
                <w:lang w:val="en-US" w:eastAsia="zh-CN"/>
              </w:rPr>
              <w:br w:type="textWrapping"/>
            </w:r>
            <w:r>
              <w:rPr>
                <w:rFonts w:hint="eastAsia" w:hAnsi="宋体"/>
                <w:sz w:val="24"/>
                <w:szCs w:val="24"/>
                <w:lang w:val="en-US" w:eastAsia="zh-CN"/>
              </w:rPr>
              <w:t>13、采样速度：100ml-1200ml/分钟，可调；</w:t>
            </w:r>
            <w:r>
              <w:rPr>
                <w:rFonts w:hint="eastAsia" w:hAnsi="宋体"/>
                <w:sz w:val="24"/>
                <w:szCs w:val="24"/>
                <w:lang w:val="en-US" w:eastAsia="zh-CN"/>
              </w:rPr>
              <w:br w:type="textWrapping"/>
            </w:r>
            <w:r>
              <w:rPr>
                <w:rFonts w:hint="eastAsia" w:hAnsi="宋体"/>
                <w:sz w:val="24"/>
                <w:szCs w:val="24"/>
                <w:lang w:val="en-US" w:eastAsia="zh-CN"/>
              </w:rPr>
              <w:t>14、单次采样量：1ml-9999ml可调；</w:t>
            </w:r>
            <w:r>
              <w:rPr>
                <w:rFonts w:hint="eastAsia" w:hAnsi="宋体"/>
                <w:sz w:val="24"/>
                <w:szCs w:val="24"/>
                <w:lang w:val="en-US" w:eastAsia="zh-CN"/>
              </w:rPr>
              <w:br w:type="textWrapping"/>
            </w:r>
            <w:r>
              <w:rPr>
                <w:rFonts w:hint="eastAsia" w:hAnsi="宋体"/>
                <w:sz w:val="24"/>
                <w:szCs w:val="24"/>
                <w:lang w:val="en-US" w:eastAsia="zh-CN"/>
              </w:rPr>
              <w:t>15、单次采样间隔：1分钟-9999分钟可调；</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四、数据采集仪</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 6 路带隔离的RS-232接口；</w:t>
            </w:r>
            <w:r>
              <w:rPr>
                <w:rFonts w:hint="eastAsia" w:hAnsi="宋体"/>
                <w:sz w:val="24"/>
                <w:szCs w:val="24"/>
                <w:lang w:val="en-US" w:eastAsia="zh-CN"/>
              </w:rPr>
              <w:br w:type="textWrapping"/>
            </w:r>
            <w:r>
              <w:rPr>
                <w:rFonts w:hint="eastAsia" w:hAnsi="宋体"/>
                <w:sz w:val="24"/>
                <w:szCs w:val="24"/>
                <w:lang w:val="en-US" w:eastAsia="zh-CN"/>
              </w:rPr>
              <w:t>2、1 路带隔离的RS-485接口；</w:t>
            </w:r>
            <w:r>
              <w:rPr>
                <w:rFonts w:hint="eastAsia" w:hAnsi="宋体"/>
                <w:sz w:val="24"/>
                <w:szCs w:val="24"/>
                <w:lang w:val="en-US" w:eastAsia="zh-CN"/>
              </w:rPr>
              <w:br w:type="textWrapping"/>
            </w:r>
            <w:r>
              <w:rPr>
                <w:rFonts w:hint="eastAsia" w:hAnsi="宋体"/>
                <w:sz w:val="24"/>
                <w:szCs w:val="24"/>
                <w:lang w:val="en-US" w:eastAsia="zh-CN"/>
              </w:rPr>
              <w:t>3、 8 路模拟量，16位分辨率，4-20mA，0-5V电压信号，可配置为输入4路4-20mA差分电流信号，或4路0-5V差分电压信号；</w:t>
            </w:r>
            <w:r>
              <w:rPr>
                <w:rFonts w:hint="eastAsia" w:hAnsi="宋体"/>
                <w:sz w:val="24"/>
                <w:szCs w:val="24"/>
                <w:lang w:val="en-US" w:eastAsia="zh-CN"/>
              </w:rPr>
              <w:br w:type="textWrapping"/>
            </w:r>
            <w:r>
              <w:rPr>
                <w:rFonts w:hint="eastAsia" w:hAnsi="宋体"/>
                <w:sz w:val="24"/>
                <w:szCs w:val="24"/>
                <w:lang w:val="en-US" w:eastAsia="zh-CN"/>
              </w:rPr>
              <w:t>4、8 路带隔离的开关量，0-5VDC，最高30VDC；</w:t>
            </w:r>
            <w:r>
              <w:rPr>
                <w:rFonts w:hint="eastAsia" w:hAnsi="宋体"/>
                <w:sz w:val="24"/>
                <w:szCs w:val="24"/>
                <w:lang w:val="en-US" w:eastAsia="zh-CN"/>
              </w:rPr>
              <w:br w:type="textWrapping"/>
            </w:r>
            <w:r>
              <w:rPr>
                <w:rFonts w:hint="eastAsia" w:hAnsi="宋体"/>
                <w:sz w:val="24"/>
                <w:szCs w:val="24"/>
                <w:lang w:val="en-US" w:eastAsia="zh-CN"/>
              </w:rPr>
              <w:t>5、 2 路继电器，负载24VDC/1A；</w:t>
            </w:r>
            <w:r>
              <w:rPr>
                <w:rFonts w:hint="eastAsia" w:hAnsi="宋体"/>
                <w:sz w:val="24"/>
                <w:szCs w:val="24"/>
                <w:lang w:val="en-US" w:eastAsia="zh-CN"/>
              </w:rPr>
              <w:br w:type="textWrapping"/>
            </w:r>
            <w:r>
              <w:rPr>
                <w:rFonts w:hint="eastAsia" w:hAnsi="宋体"/>
                <w:sz w:val="24"/>
                <w:szCs w:val="24"/>
                <w:lang w:val="en-US" w:eastAsia="zh-CN"/>
              </w:rPr>
              <w:t>6、320 X 240点阵的LCD，配16个触摸按键的薄膜键盘；</w:t>
            </w:r>
            <w:r>
              <w:rPr>
                <w:rFonts w:hint="eastAsia" w:hAnsi="宋体"/>
                <w:sz w:val="24"/>
                <w:szCs w:val="24"/>
                <w:lang w:val="en-US" w:eastAsia="zh-CN"/>
              </w:rPr>
              <w:br w:type="textWrapping"/>
            </w:r>
            <w:r>
              <w:rPr>
                <w:rFonts w:hint="eastAsia" w:hAnsi="宋体"/>
                <w:sz w:val="24"/>
                <w:szCs w:val="24"/>
                <w:lang w:val="en-US" w:eastAsia="zh-CN"/>
              </w:rPr>
              <w:t xml:space="preserve">7、内置存储器可以保存一年的历史数据，掉电不丢失；  </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8、内置可充电锂电池，保证断电情况下最少正常运行6小时；</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五、光纤及联网传输</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1、≥6000兆专用光纤</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六、流量计</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1、规格型号：电磁流量计；</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2、公称口径：≥DN50;</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3、安装方式：法兰式连接；</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4、结构形式：分体式;</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5、电极材质：≥316L，≥3个电极；</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6、内衬防腐：氯丁橡胶（CR）；</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7、额定压力：≥1.6Mpa；</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8、供电电源：220VCA;</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9、输出方式：4-20MA+RS485,通讯可选脉冲输出或脉冲当量输出；</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10、精度等级：≥0.5级</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七、工控机</w:t>
            </w:r>
          </w:p>
          <w:p>
            <w:pPr>
              <w:tabs>
                <w:tab w:val="left" w:pos="7095"/>
              </w:tabs>
              <w:spacing w:line="360" w:lineRule="auto"/>
              <w:contextualSpacing/>
              <w:rPr>
                <w:rFonts w:hint="default" w:hAnsi="宋体"/>
                <w:sz w:val="24"/>
                <w:szCs w:val="24"/>
                <w:lang w:val="en-US" w:eastAsia="zh-CN"/>
              </w:rPr>
            </w:pPr>
            <w:r>
              <w:rPr>
                <w:rFonts w:hint="eastAsia" w:hAnsi="宋体"/>
                <w:sz w:val="24"/>
                <w:szCs w:val="24"/>
                <w:lang w:val="en-US" w:eastAsia="zh-CN"/>
              </w:rPr>
              <w:t>1、型号：chengming3980</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2、内存≥4GB;</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3、功率≥290W；</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4、重量≤6.5Kg；</w:t>
            </w:r>
          </w:p>
          <w:p>
            <w:pPr>
              <w:tabs>
                <w:tab w:val="left" w:pos="7095"/>
              </w:tabs>
              <w:spacing w:line="360" w:lineRule="auto"/>
              <w:contextualSpacing/>
              <w:rPr>
                <w:rFonts w:hint="default" w:hAnsi="宋体"/>
                <w:sz w:val="24"/>
                <w:szCs w:val="24"/>
                <w:lang w:val="en-US" w:eastAsia="zh-CN"/>
              </w:rPr>
            </w:pPr>
            <w:r>
              <w:rPr>
                <w:rFonts w:hint="eastAsia" w:hAnsi="宋体"/>
                <w:sz w:val="24"/>
                <w:szCs w:val="24"/>
                <w:lang w:val="en-US" w:eastAsia="zh-CN"/>
              </w:rPr>
              <w:t>5、输入电压100-240V；</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6、转速≥7200转/分钟；</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7、容量≥1TB；</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8、有线鼠标有线键盘；inte平台；小机箱；操作系统Win10H;</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9、USB接口≥8个；集成显卡；无光驱</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八、显示器</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1、板面类型TN；≥19.5英寸；</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2、最佳分辨率≥1600*900；</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3、色数≥16.7M；</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4、响应时间≥5ms；亮度≥200cd/m2;对比度≥600:1；</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5、可视角65度/90度；屏幕比例16:9；LED背光；</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6、刷新率≥60Hz；电源100-240va；</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7、尺寸≥368.9*471.5*167mm；挂壁规格≥100*100mm</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九、空调一台</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1、1.5匹变频挂机；</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2、冷暖双温，支持电辅加热；</w:t>
            </w:r>
          </w:p>
          <w:p>
            <w:pPr>
              <w:tabs>
                <w:tab w:val="left" w:pos="7095"/>
              </w:tabs>
              <w:spacing w:line="360" w:lineRule="auto"/>
              <w:contextualSpacing/>
              <w:rPr>
                <w:rFonts w:hint="default" w:hAnsi="宋体"/>
                <w:sz w:val="24"/>
                <w:szCs w:val="24"/>
                <w:lang w:val="en-US" w:eastAsia="zh-CN"/>
              </w:rPr>
            </w:pPr>
            <w:r>
              <w:rPr>
                <w:rFonts w:hint="eastAsia" w:hAnsi="宋体"/>
                <w:sz w:val="24"/>
                <w:szCs w:val="24"/>
                <w:lang w:val="en-US" w:eastAsia="zh-CN"/>
              </w:rPr>
              <w:t>3、能耗等级1级；</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4、适用面积：16-20m2；</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5、确保室内达恒温标准：10°-30°；</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6、电辅加热功率≥1000W；</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7、制冷功率≥1064W制冷量≥3500W；</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8、制热功率≥1120W制热量≥3850W。</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十、VPN（环保系统数据传输设备）</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1、虚拟局域网，光纤传输</w:t>
            </w:r>
          </w:p>
          <w:p>
            <w:pPr>
              <w:tabs>
                <w:tab w:val="left" w:pos="7095"/>
              </w:tabs>
              <w:spacing w:line="360" w:lineRule="auto"/>
              <w:contextualSpacing/>
              <w:rPr>
                <w:rFonts w:hint="default" w:hAnsi="宋体"/>
                <w:sz w:val="24"/>
                <w:szCs w:val="24"/>
                <w:lang w:val="en-US" w:eastAsia="zh-CN"/>
              </w:rPr>
            </w:pPr>
            <w:r>
              <w:rPr>
                <w:rFonts w:hint="eastAsia" w:hAnsi="宋体"/>
                <w:sz w:val="24"/>
                <w:szCs w:val="24"/>
                <w:lang w:val="en-US" w:eastAsia="zh-CN"/>
              </w:rPr>
              <w:t>2、传输速度≥6000兆</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3、按照环保部门的要求，满足运行要求。</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十一、UPS电源</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1、额定容量≥800W；</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2、输入电压110-300VAC；</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3、输入频率40-70Hz；</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4、输入功因≤0.99；</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5、输出电压220*（1±2％）VAC(电池模式下）；</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6、输出频率50Hz±0.2(电池模式下）；</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7、电池备用时间&gt;4.5min;</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8、电池充电时间≤10小时；</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9、转换时间0ms时间切换</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十二、管道电缆辅料</w:t>
            </w:r>
          </w:p>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十三、串口卡</w:t>
            </w:r>
          </w:p>
          <w:p>
            <w:pPr>
              <w:tabs>
                <w:tab w:val="left" w:pos="7095"/>
              </w:tabs>
              <w:spacing w:line="360" w:lineRule="auto"/>
              <w:contextualSpacing/>
              <w:rPr>
                <w:rFonts w:hint="eastAsia" w:hAnsi="宋体"/>
                <w:sz w:val="24"/>
                <w:szCs w:val="24"/>
              </w:rPr>
            </w:pPr>
            <w:r>
              <w:rPr>
                <w:rFonts w:hint="eastAsia" w:hAnsi="宋体"/>
                <w:sz w:val="24"/>
                <w:szCs w:val="24"/>
                <w:lang w:val="en-US" w:eastAsia="zh-CN"/>
              </w:rPr>
              <w:t>1、满足运行要求</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tabs>
                <w:tab w:val="left" w:pos="7095"/>
              </w:tabs>
              <w:spacing w:line="360" w:lineRule="auto"/>
              <w:contextualSpacing/>
              <w:rPr>
                <w:rFonts w:hint="eastAsia" w:hAnsi="宋体"/>
                <w:sz w:val="24"/>
                <w:szCs w:val="24"/>
                <w:lang w:eastAsia="zh-CN"/>
              </w:rPr>
            </w:pPr>
            <w:r>
              <w:rPr>
                <w:rFonts w:hint="eastAsia" w:hAnsi="宋体"/>
                <w:sz w:val="24"/>
                <w:szCs w:val="24"/>
                <w:lang w:eastAsia="zh-CN"/>
              </w:rPr>
              <w:t>套</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tabs>
                <w:tab w:val="left" w:pos="7095"/>
              </w:tabs>
              <w:spacing w:line="360" w:lineRule="auto"/>
              <w:contextualSpacing/>
              <w:rPr>
                <w:rFonts w:hint="eastAsia" w:hAnsi="宋体"/>
                <w:sz w:val="24"/>
                <w:szCs w:val="24"/>
                <w:lang w:val="en-US" w:eastAsia="zh-CN"/>
              </w:rPr>
            </w:pPr>
            <w:r>
              <w:rPr>
                <w:rFonts w:hint="eastAsia" w:hAnsi="宋体"/>
                <w:sz w:val="24"/>
                <w:szCs w:val="24"/>
                <w:lang w:val="en-US" w:eastAsia="zh-CN"/>
              </w:rPr>
              <w:t>1</w:t>
            </w:r>
          </w:p>
        </w:tc>
      </w:tr>
    </w:tbl>
    <w:p>
      <w:pPr>
        <w:spacing w:line="360" w:lineRule="auto"/>
        <w:ind w:firstLine="482" w:firstLineChars="200"/>
        <w:contextualSpacing/>
        <w:rPr>
          <w:rFonts w:cs="微软雅黑" w:asciiTheme="minorEastAsia" w:hAnsiTheme="minorEastAsia"/>
          <w:b/>
          <w:color w:val="7030A0"/>
          <w:sz w:val="24"/>
          <w:szCs w:val="24"/>
        </w:rPr>
      </w:pPr>
      <w:r>
        <w:rPr>
          <w:rFonts w:hint="eastAsia" w:cs="微软雅黑" w:asciiTheme="minorEastAsia" w:hAnsiTheme="minorEastAsia"/>
          <w:b/>
          <w:color w:val="7030A0"/>
          <w:sz w:val="24"/>
          <w:szCs w:val="24"/>
        </w:rPr>
        <w:t>本采购清单中所列技术规格或主要参数为最低要求，不允许负偏离，否则将承担其投标被视为非实质性响应投标的风险。</w:t>
      </w:r>
    </w:p>
    <w:p>
      <w:pPr>
        <w:widowControl/>
        <w:shd w:val="clear" w:color="auto" w:fill="FFFFFF"/>
        <w:spacing w:line="360" w:lineRule="auto"/>
        <w:ind w:firstLine="482" w:firstLineChars="200"/>
        <w:contextualSpacing/>
        <w:jc w:val="left"/>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三、采购标的的其他技术、服务等要求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kern w:val="0"/>
          <w:sz w:val="24"/>
          <w:szCs w:val="24"/>
          <w:lang w:val="zh-CN"/>
        </w:rPr>
      </w:pPr>
      <w:r>
        <w:rPr>
          <w:rFonts w:hint="eastAsia" w:ascii="宋体" w:hAnsi="宋体" w:eastAsia="宋体" w:cs="宋体"/>
          <w:color w:val="000000"/>
          <w:kern w:val="0"/>
          <w:sz w:val="24"/>
          <w:szCs w:val="24"/>
          <w:shd w:val="clear" w:color="auto" w:fill="FFFFFF"/>
          <w:lang w:val="en-US" w:eastAsia="zh-CN" w:bidi="ar"/>
        </w:rPr>
        <w:t>中标单位负责</w:t>
      </w:r>
      <w:r>
        <w:rPr>
          <w:rFonts w:hint="eastAsia" w:ascii="宋体" w:hAnsi="宋体" w:eastAsia="宋体" w:cs="宋体"/>
          <w:color w:val="000000"/>
          <w:kern w:val="0"/>
          <w:sz w:val="24"/>
          <w:szCs w:val="24"/>
          <w:shd w:val="clear" w:color="auto" w:fill="FFFFFF"/>
          <w:lang w:eastAsia="zh-CN" w:bidi="ar"/>
        </w:rPr>
        <w:t>设备安装调试，安装完成后须经环保部门检测站检测，数据误差须达到</w:t>
      </w:r>
      <w:r>
        <w:rPr>
          <w:rFonts w:hint="eastAsia" w:ascii="宋体" w:hAnsi="宋体" w:eastAsia="宋体" w:cs="宋体"/>
          <w:color w:val="000000"/>
          <w:kern w:val="0"/>
          <w:sz w:val="24"/>
          <w:szCs w:val="24"/>
          <w:shd w:val="clear" w:color="auto" w:fill="FFFFFF"/>
          <w:lang w:val="en-US" w:eastAsia="zh-CN" w:bidi="ar"/>
        </w:rPr>
        <w:t>10%以内</w:t>
      </w:r>
      <w:r>
        <w:rPr>
          <w:rFonts w:hint="eastAsia" w:ascii="宋体" w:hAnsi="宋体" w:eastAsia="宋体" w:cs="宋体"/>
          <w:color w:val="000000"/>
          <w:kern w:val="0"/>
          <w:sz w:val="24"/>
          <w:szCs w:val="24"/>
          <w:shd w:val="clear" w:color="auto" w:fill="FFFFFF"/>
          <w:lang w:eastAsia="zh-CN" w:bidi="ar"/>
        </w:rPr>
        <w:t>标准。</w:t>
      </w:r>
    </w:p>
    <w:p>
      <w:pPr>
        <w:widowControl/>
        <w:numPr>
          <w:ilvl w:val="0"/>
          <w:numId w:val="0"/>
        </w:numPr>
        <w:shd w:val="clear" w:color="auto" w:fill="FFFFFF"/>
        <w:spacing w:line="360" w:lineRule="auto"/>
        <w:ind w:firstLine="482" w:firstLineChars="200"/>
        <w:contextualSpacing/>
        <w:jc w:val="left"/>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四、验收标准</w:t>
      </w:r>
    </w:p>
    <w:p>
      <w:pPr>
        <w:widowControl/>
        <w:numPr>
          <w:ilvl w:val="0"/>
          <w:numId w:val="0"/>
        </w:numPr>
        <w:shd w:val="clear" w:color="auto" w:fill="FFFFFF"/>
        <w:spacing w:line="360" w:lineRule="auto"/>
        <w:contextualSpacing/>
        <w:jc w:val="left"/>
        <w:rPr>
          <w:rFonts w:hint="eastAsia" w:ascii="宋体" w:hAnsi="宋体" w:eastAsia="宋体" w:cs="宋体"/>
          <w:b/>
          <w:kern w:val="0"/>
          <w:sz w:val="24"/>
          <w:szCs w:val="24"/>
          <w:lang w:val="zh-CN"/>
        </w:rPr>
      </w:pPr>
      <w:r>
        <w:rPr>
          <w:rFonts w:hint="eastAsia" w:ascii="宋体" w:hAnsi="宋体" w:eastAsia="宋体" w:cs="宋体"/>
          <w:color w:val="auto"/>
          <w:kern w:val="0"/>
          <w:sz w:val="24"/>
          <w:szCs w:val="24"/>
          <w:shd w:val="clear" w:color="auto" w:fill="FFFFFF"/>
          <w:lang w:bidi="ar"/>
        </w:rPr>
        <w:t>由采购人成立验收小组,按照采购合同的约定对中标人履约情况进行验收。验收时,按照采购合同的约定对每一项</w:t>
      </w:r>
      <w:r>
        <w:rPr>
          <w:rFonts w:hint="eastAsia" w:ascii="宋体" w:hAnsi="宋体" w:eastAsia="宋体" w:cs="宋体"/>
          <w:color w:val="000000"/>
          <w:kern w:val="0"/>
          <w:sz w:val="24"/>
          <w:szCs w:val="24"/>
          <w:shd w:val="clear" w:color="auto" w:fill="FFFFFF"/>
          <w:lang w:val="en-US" w:eastAsia="zh-CN" w:bidi="ar"/>
        </w:rPr>
        <w:t>技术、服务、安全标准的履约情况进行确认。验收结束后,出具验收书。</w:t>
      </w:r>
    </w:p>
    <w:p>
      <w:pPr>
        <w:widowControl/>
        <w:shd w:val="clear" w:color="auto" w:fill="FFFFFF"/>
        <w:spacing w:line="360" w:lineRule="auto"/>
        <w:ind w:firstLine="482" w:firstLineChars="200"/>
        <w:contextualSpacing/>
        <w:jc w:val="left"/>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五、资金支付</w:t>
      </w:r>
    </w:p>
    <w:p>
      <w:pPr>
        <w:wordWrap w:val="0"/>
        <w:topLinePunct/>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kern w:val="0"/>
          <w:sz w:val="24"/>
          <w:szCs w:val="24"/>
          <w:lang w:val="zh-CN"/>
        </w:rPr>
        <w:t>1、支付方式</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银行转账</w:t>
      </w:r>
    </w:p>
    <w:p>
      <w:pPr>
        <w:wordWrap w:val="0"/>
        <w:topLinePunct/>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2、支付时间及条件：</w:t>
      </w:r>
      <w:r>
        <w:rPr>
          <w:rFonts w:hint="eastAsia" w:ascii="宋体" w:hAnsi="宋体" w:eastAsia="宋体" w:cs="宋体"/>
          <w:sz w:val="24"/>
          <w:szCs w:val="24"/>
          <w:lang w:val="en-US" w:eastAsia="zh-CN"/>
        </w:rPr>
        <w:t>经验收合格后于4个月内付合同金额总价款的90%，剩余10%满一年无质量问题一次付清。</w:t>
      </w:r>
    </w:p>
    <w:p>
      <w:pPr>
        <w:adjustRightInd w:val="0"/>
        <w:snapToGrid w:val="0"/>
        <w:spacing w:line="360" w:lineRule="auto"/>
        <w:ind w:firstLine="482" w:firstLineChars="200"/>
        <w:jc w:val="left"/>
        <w:rPr>
          <w:rFonts w:hint="eastAsia" w:ascii="宋体" w:hAnsi="宋体" w:eastAsia="宋体" w:cs="宋体"/>
          <w:kern w:val="0"/>
          <w:sz w:val="24"/>
          <w:szCs w:val="24"/>
          <w:lang w:val="zh-CN"/>
        </w:rPr>
      </w:pPr>
      <w:r>
        <w:rPr>
          <w:rFonts w:hint="eastAsia" w:ascii="宋体" w:hAnsi="宋体" w:eastAsia="宋体" w:cs="宋体"/>
          <w:b/>
          <w:kern w:val="0"/>
          <w:sz w:val="24"/>
          <w:szCs w:val="24"/>
          <w:lang w:val="zh-CN"/>
        </w:rPr>
        <w:t>六、其他要求</w:t>
      </w:r>
    </w:p>
    <w:p>
      <w:pPr>
        <w:tabs>
          <w:tab w:val="left" w:pos="7095"/>
        </w:tabs>
        <w:spacing w:line="360" w:lineRule="auto"/>
        <w:ind w:firstLine="480" w:firstLineChars="200"/>
        <w:contextualSpacing/>
        <w:rPr>
          <w:rFonts w:hint="default" w:ascii="宋体" w:hAnsi="宋体" w:eastAsia="宋体" w:cs="宋体"/>
          <w:sz w:val="24"/>
          <w:szCs w:val="24"/>
          <w:lang w:val="en-US" w:eastAsia="zh-CN"/>
        </w:rPr>
      </w:pPr>
      <w:r>
        <w:rPr>
          <w:rFonts w:hint="eastAsia" w:ascii="宋体" w:hAnsi="宋体" w:eastAsia="宋体" w:cs="宋体"/>
          <w:sz w:val="24"/>
          <w:szCs w:val="24"/>
          <w:lang w:val="zh-CN"/>
        </w:rPr>
        <w:t>1、投标人须明确投标产品的厂家、产地、品牌、型号、详细参数，</w:t>
      </w:r>
      <w:r>
        <w:rPr>
          <w:rFonts w:hint="eastAsia" w:ascii="宋体" w:hAnsi="宋体" w:eastAsia="宋体" w:cs="宋体"/>
          <w:b/>
          <w:sz w:val="24"/>
          <w:szCs w:val="24"/>
          <w:lang w:val="zh-CN"/>
        </w:rPr>
        <w:t>否则为无效投标。</w:t>
      </w:r>
      <w:r>
        <w:rPr>
          <w:rFonts w:hint="eastAsia" w:ascii="宋体" w:hAnsi="宋体" w:eastAsia="宋体" w:cs="宋体"/>
          <w:sz w:val="24"/>
          <w:szCs w:val="24"/>
          <w:lang w:val="en-US" w:eastAsia="zh-CN"/>
        </w:rPr>
        <w:t>(采购清单第十二项管道电缆辅料除外)</w:t>
      </w:r>
    </w:p>
    <w:p>
      <w:pPr>
        <w:wordWrap w:val="0"/>
        <w:topLinePunct/>
        <w:autoSpaceDE w:val="0"/>
        <w:autoSpaceDN w:val="0"/>
        <w:adjustRightInd w:val="0"/>
        <w:spacing w:line="360" w:lineRule="auto"/>
        <w:ind w:firstLine="482"/>
        <w:rPr>
          <w:rFonts w:hint="eastAsia" w:ascii="宋体" w:hAnsi="宋体" w:eastAsia="宋体" w:cs="宋体"/>
          <w:b/>
          <w:sz w:val="24"/>
          <w:szCs w:val="24"/>
          <w:lang w:val="zh-CN"/>
        </w:rPr>
      </w:pPr>
      <w:r>
        <w:rPr>
          <w:rFonts w:hint="eastAsia" w:ascii="宋体" w:hAnsi="宋体" w:eastAsia="宋体" w:cs="宋体"/>
          <w:sz w:val="24"/>
          <w:szCs w:val="24"/>
          <w:lang w:val="zh-CN"/>
        </w:rPr>
        <w:t>2、投标人应就</w:t>
      </w:r>
      <w:r>
        <w:rPr>
          <w:rFonts w:hint="eastAsia" w:ascii="宋体" w:hAnsi="宋体" w:eastAsia="宋体" w:cs="宋体"/>
          <w:color w:val="FF0000"/>
          <w:sz w:val="24"/>
          <w:szCs w:val="24"/>
          <w:lang w:val="zh-CN"/>
        </w:rPr>
        <w:t>该项目</w:t>
      </w:r>
      <w:r>
        <w:rPr>
          <w:rFonts w:hint="eastAsia" w:ascii="宋体" w:hAnsi="宋体" w:eastAsia="宋体" w:cs="宋体"/>
          <w:sz w:val="24"/>
          <w:szCs w:val="24"/>
          <w:lang w:val="zh-CN"/>
        </w:rPr>
        <w:t>完整投标，</w:t>
      </w:r>
      <w:r>
        <w:rPr>
          <w:rFonts w:hint="eastAsia" w:ascii="宋体" w:hAnsi="宋体" w:eastAsia="宋体" w:cs="宋体"/>
          <w:b/>
          <w:sz w:val="24"/>
          <w:szCs w:val="24"/>
          <w:lang w:val="zh-CN"/>
        </w:rPr>
        <w:t>否则为无效投标。</w:t>
      </w:r>
    </w:p>
    <w:p>
      <w:pPr>
        <w:wordWrap w:val="0"/>
        <w:topLinePunct/>
        <w:snapToGrid w:val="0"/>
        <w:spacing w:line="360" w:lineRule="auto"/>
        <w:ind w:firstLine="480" w:firstLineChars="200"/>
        <w:rPr>
          <w:rFonts w:ascii="宋体" w:cs="宋体"/>
          <w:sz w:val="24"/>
          <w:lang w:val="zh-CN"/>
        </w:rPr>
      </w:pPr>
      <w:r>
        <w:rPr>
          <w:rFonts w:hint="eastAsia" w:ascii="宋体" w:hAnsi="宋体" w:eastAsia="宋体" w:cs="宋体"/>
          <w:sz w:val="24"/>
          <w:szCs w:val="24"/>
          <w:lang w:val="zh-CN"/>
        </w:rPr>
        <w:t>3、产品必须符合国家质量检测标准和本采购文件规定标准的全新正品现货，提供随货物《产品合格证》及其它相关质量证明文件。进口产品须提供海关</w:t>
      </w:r>
      <w:r>
        <w:rPr>
          <w:rFonts w:hint="eastAsia" w:ascii="宋体" w:cs="宋体"/>
          <w:sz w:val="24"/>
          <w:lang w:val="zh-CN"/>
        </w:rPr>
        <w:t>进货单（复印件备查）。</w:t>
      </w:r>
    </w:p>
    <w:p>
      <w:pPr>
        <w:wordWrap w:val="0"/>
        <w:topLinePunct/>
        <w:snapToGrid w:val="0"/>
        <w:spacing w:line="360" w:lineRule="auto"/>
        <w:ind w:firstLine="480" w:firstLineChars="200"/>
        <w:rPr>
          <w:rFonts w:ascii="宋体" w:cs="宋体"/>
          <w:b/>
          <w:sz w:val="24"/>
          <w:lang w:val="zh-CN"/>
        </w:rPr>
      </w:pPr>
      <w:r>
        <w:rPr>
          <w:rFonts w:hint="eastAsia" w:ascii="宋体" w:cs="宋体"/>
          <w:sz w:val="24"/>
          <w:lang w:val="zh-CN"/>
        </w:rPr>
        <w:t>4、本项目为交钥匙工程。</w:t>
      </w: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sz w:val="24"/>
          <w:szCs w:val="24"/>
        </w:rPr>
        <w:t>采购文件中凡标有</w:t>
      </w:r>
      <w:r>
        <w:rPr>
          <w:rFonts w:hint="eastAsia" w:cs="微软雅黑" w:asciiTheme="minorEastAsia" w:hAnsiTheme="minorEastAsia"/>
          <w:b/>
          <w:sz w:val="24"/>
          <w:szCs w:val="24"/>
        </w:rPr>
        <w:t>★</w:t>
      </w:r>
      <w:r>
        <w:rPr>
          <w:rFonts w:hint="eastAsia" w:cs="微软雅黑"/>
          <w:b/>
          <w:sz w:val="24"/>
          <w:szCs w:val="24"/>
        </w:rPr>
        <w:t>条款均为实质性要求条款，投标文件须完全响应，未实质响应的，按照无效投标处理。</w:t>
      </w: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val="en-US" w:eastAsia="zh-CN"/>
              </w:rPr>
              <w:t>垃圾渗滤液处理在线监控系统</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项目编号：ZFCG-T2019</w:t>
            </w:r>
            <w:r>
              <w:rPr>
                <w:rFonts w:hint="eastAsia" w:cs="仿宋_GB2312" w:asciiTheme="minorEastAsia" w:hAnsiTheme="minorEastAsia"/>
                <w:sz w:val="24"/>
                <w:szCs w:val="24"/>
                <w:lang w:val="en-US" w:eastAsia="zh-CN"/>
              </w:rPr>
              <w:t>020</w:t>
            </w:r>
            <w:r>
              <w:rPr>
                <w:rFonts w:hint="eastAsia" w:cs="仿宋_GB2312" w:asciiTheme="minorEastAsia" w:hAnsiTheme="minorEastAsia"/>
                <w:sz w:val="24"/>
                <w:szCs w:val="24"/>
              </w:rPr>
              <w:t>号</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val="zh-CN"/>
              </w:rPr>
              <w:t>采购</w:t>
            </w:r>
            <w:r>
              <w:rPr>
                <w:rFonts w:hint="eastAsia" w:cs="仿宋_GB2312" w:asciiTheme="minorEastAsia" w:hAnsiTheme="minorEastAsia"/>
                <w:sz w:val="24"/>
                <w:szCs w:val="24"/>
                <w:lang w:val="en-US" w:eastAsia="zh-CN"/>
              </w:rPr>
              <w:t>1套垃圾渗滤液处理在线监控系统</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项目地址：</w:t>
            </w:r>
            <w:r>
              <w:rPr>
                <w:rFonts w:hint="eastAsia" w:cs="仿宋_GB2312" w:asciiTheme="minorEastAsia" w:hAnsiTheme="minorEastAsia"/>
                <w:sz w:val="24"/>
                <w:szCs w:val="24"/>
                <w:lang w:val="zh-CN"/>
              </w:rPr>
              <w:t>许昌市</w:t>
            </w:r>
            <w:r>
              <w:rPr>
                <w:rFonts w:hint="eastAsia" w:cs="仿宋_GB2312" w:asciiTheme="minorEastAsia" w:hAnsiTheme="minorEastAsia"/>
                <w:sz w:val="24"/>
                <w:szCs w:val="24"/>
                <w:lang w:val="zh-CN" w:eastAsia="zh-CN"/>
              </w:rPr>
              <w:t>环卫处</w:t>
            </w:r>
            <w:r>
              <w:rPr>
                <w:rFonts w:hint="eastAsia" w:cs="仿宋_GB2312" w:asciiTheme="minorEastAsia" w:hAnsiTheme="minorEastAsia"/>
                <w:sz w:val="24"/>
                <w:szCs w:val="24"/>
                <w:lang w:val="en-US" w:eastAsia="zh-CN"/>
              </w:rPr>
              <w:t>生活垃圾填埋场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 w:val="24"/>
                <w:szCs w:val="24"/>
                <w:lang w:eastAsia="zh-CN"/>
              </w:rPr>
              <w:t>许昌市环境卫生管理处</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en-US" w:eastAsia="zh-CN"/>
              </w:rPr>
              <w:t>魏都区车站路8号</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val="en-US" w:eastAsia="zh-CN"/>
              </w:rPr>
              <w:t>丁艳春</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0374-2788661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名称：许昌市政府采购中心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地址：许昌市龙兴路与竹林路交汇处公共资源大厦</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杨</w:t>
            </w:r>
            <w:r>
              <w:rPr>
                <w:rFonts w:hint="eastAsia" w:cs="仿宋_GB2312" w:asciiTheme="minorEastAsia" w:hAnsiTheme="minorEastAsia"/>
                <w:sz w:val="24"/>
                <w:szCs w:val="24"/>
              </w:rPr>
              <w:t>女士                电话：0374-296</w:t>
            </w:r>
            <w:r>
              <w:rPr>
                <w:rFonts w:hint="eastAsia" w:cs="仿宋_GB2312" w:asciiTheme="minorEastAsia" w:hAnsiTheme="minorEastAsia"/>
                <w:sz w:val="24"/>
                <w:szCs w:val="24"/>
                <w:lang w:val="en-US" w:eastAsia="zh-CN"/>
              </w:rPr>
              <w:t>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宋体" w:asciiTheme="minorEastAsia" w:hAnsiTheme="minorEastAsia"/>
                <w:bCs/>
                <w:sz w:val="24"/>
                <w:szCs w:val="24"/>
                <w:lang w:val="zh-CN"/>
              </w:rPr>
              <w:t>2017或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税务登记证和投标截止时间前四个月内任意一个月缴纳税收凭据。（依法免税的投标人，应提供相应文件证明依法免税）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七、未被列入“信用中国”网站</w:t>
            </w:r>
            <w:r>
              <w:rPr>
                <w:rFonts w:cs="宋体" w:asciiTheme="minorEastAsia" w:hAnsiTheme="minorEastAsia"/>
                <w:b/>
                <w:color w:val="FF0000"/>
                <w:kern w:val="0"/>
                <w:sz w:val="24"/>
                <w:szCs w:val="24"/>
                <w:lang w:val="zh-CN"/>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失信被执行人、重大税收违法案件当事人名单、政府采购严重违法失信名单的投标人；“中国政府采购网”</w:t>
            </w:r>
            <w:r>
              <w:rPr>
                <w:rFonts w:cs="宋体" w:asciiTheme="minorEastAsia" w:hAnsiTheme="minorEastAsia"/>
                <w:b/>
                <w:color w:val="FF0000"/>
                <w:kern w:val="0"/>
                <w:sz w:val="24"/>
                <w:szCs w:val="24"/>
                <w:lang w:val="zh-CN"/>
              </w:rPr>
              <w:t xml:space="preserve"> (www.ccgp.gov.cn)</w:t>
            </w:r>
            <w:r>
              <w:rPr>
                <w:rFonts w:hint="eastAsia" w:cs="宋体" w:asciiTheme="minorEastAsia" w:hAnsiTheme="minorEastAsia"/>
                <w:b/>
                <w:color w:val="FF0000"/>
                <w:kern w:val="0"/>
                <w:sz w:val="24"/>
                <w:szCs w:val="24"/>
                <w:lang w:val="zh-CN"/>
              </w:rPr>
              <w:t>政府采购严重违法失信行为记录名单的投标人；“国家企业信用公示系统”网站（</w:t>
            </w:r>
            <w:r>
              <w:rPr>
                <w:rFonts w:cs="宋体" w:asciiTheme="minorEastAsia" w:hAnsiTheme="minorEastAsia"/>
                <w:b/>
                <w:color w:val="FF0000"/>
                <w:kern w:val="0"/>
                <w:sz w:val="24"/>
                <w:szCs w:val="24"/>
                <w:lang w:val="zh-CN"/>
              </w:rPr>
              <w:t>www.gsxt.gov.cn</w:t>
            </w:r>
            <w:r>
              <w:rPr>
                <w:rFonts w:hint="eastAsia" w:cs="宋体" w:asciiTheme="minorEastAsia" w:hAnsiTheme="minorEastAsia"/>
                <w:b/>
                <w:color w:val="FF0000"/>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w:t>
            </w:r>
            <w:r>
              <w:rPr>
                <w:rFonts w:hint="eastAsia" w:cs="宋体" w:asciiTheme="minorEastAsia" w:hAnsiTheme="minorEastAsia"/>
                <w:color w:val="FF0000"/>
                <w:kern w:val="0"/>
                <w:sz w:val="24"/>
                <w:szCs w:val="24"/>
              </w:rPr>
              <w:t>谈判小组</w:t>
            </w:r>
            <w:r>
              <w:rPr>
                <w:rFonts w:hint="eastAsia" w:cs="宋体" w:asciiTheme="minorEastAsia" w:hAnsiTheme="minorEastAsia"/>
                <w:kern w:val="0"/>
                <w:sz w:val="24"/>
                <w:szCs w:val="24"/>
              </w:rPr>
              <w:t>查询结果为准，</w:t>
            </w:r>
            <w:r>
              <w:rPr>
                <w:rFonts w:hint="eastAsia" w:cs="宋体" w:asciiTheme="minorEastAsia" w:hAnsiTheme="minorEastAsia"/>
                <w:color w:val="FF0000"/>
                <w:kern w:val="0"/>
                <w:sz w:val="24"/>
                <w:szCs w:val="24"/>
              </w:rPr>
              <w:t>谈判小组</w:t>
            </w:r>
            <w:r>
              <w:rPr>
                <w:rFonts w:hint="eastAsia" w:cs="宋体" w:asciiTheme="minorEastAsia" w:hAnsiTheme="minorEastAsia"/>
                <w:kern w:val="0"/>
                <w:sz w:val="24"/>
                <w:szCs w:val="24"/>
              </w:rPr>
              <w:t>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FF0000"/>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color w:val="FF0000"/>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color w:val="FF0000"/>
                <w:sz w:val="24"/>
                <w:szCs w:val="24"/>
                <w:lang w:val="zh-CN"/>
              </w:rPr>
            </w:pPr>
            <w:r>
              <w:rPr>
                <w:rFonts w:hint="eastAsia" w:cs="宋体" w:asciiTheme="minorEastAsia" w:hAnsiTheme="minorEastAsia"/>
                <w:bCs/>
                <w:color w:val="FF0000"/>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24万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成交</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成交人全部合同义务履行完毕为止。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成交人将本项目的非主体、非关键性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2019</w:t>
            </w:r>
            <w:r>
              <w:rPr>
                <w:rFonts w:hint="eastAsia" w:cs="宋体" w:asciiTheme="minorEastAsia" w:hAnsiTheme="minorEastAsia"/>
                <w:bCs/>
                <w:sz w:val="24"/>
                <w:szCs w:val="24"/>
                <w:lang w:val="zh-CN"/>
              </w:rPr>
              <w:t>年</w:t>
            </w:r>
            <w:r>
              <w:rPr>
                <w:rFonts w:hint="eastAsia" w:cs="宋体" w:asciiTheme="minorEastAsia" w:hAnsiTheme="minorEastAsia"/>
                <w:bCs/>
                <w:sz w:val="24"/>
                <w:szCs w:val="24"/>
                <w:lang w:val="en-US" w:eastAsia="zh-CN"/>
              </w:rPr>
              <w:t>4</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28</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10</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en-US" w:eastAsia="zh-CN"/>
              </w:rPr>
              <w:t>30</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许昌市公共资源交易中心三楼开标五室（</w:t>
            </w:r>
            <w:r>
              <w:rPr>
                <w:rFonts w:cs="宋体" w:asciiTheme="minorEastAsia" w:hAnsiTheme="minorEastAsia"/>
                <w:bCs/>
                <w:sz w:val="24"/>
                <w:szCs w:val="24"/>
                <w:lang w:val="zh-CN"/>
              </w:rPr>
              <w:t>龙兴路与竹林路交汇处</w:t>
            </w:r>
            <w:r>
              <w:rPr>
                <w:rFonts w:hint="eastAsia" w:cs="宋体" w:asciiTheme="minorEastAsia" w:hAnsiTheme="minorEastAsia"/>
                <w:bCs/>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金额：肆仟元整（¥ </w:t>
            </w:r>
            <w:r>
              <w:rPr>
                <w:rFonts w:hint="eastAsia" w:cs="仿宋_GB2312" w:asciiTheme="minorEastAsia" w:hAnsiTheme="minorEastAsia"/>
                <w:sz w:val="24"/>
                <w:szCs w:val="24"/>
                <w:lang w:val="en-US" w:eastAsia="zh-CN"/>
              </w:rPr>
              <w:t>4000</w:t>
            </w:r>
            <w:r>
              <w:rPr>
                <w:rFonts w:hint="eastAsia" w:cs="仿宋_GB2312" w:asciiTheme="minorEastAsia" w:hAnsiTheme="minorEastAsia"/>
                <w:sz w:val="24"/>
                <w:szCs w:val="24"/>
                <w:lang w:val="zh-CN"/>
              </w:rPr>
              <w:t>.00元）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1、投标人网上下载采购文件后，登录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sz w:val="24"/>
                <w:szCs w:val="24"/>
              </w:rPr>
              <w:t>采购公告、成交公告、变更（更正）公告、现场勘察答复等相关信息同时在以下网站发布：《中国政府采购网》、《河南省政府采购网》、《许昌市政府采购网》、《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w:instrText>
            </w:r>
            <w:r>
              <w:fldChar w:fldCharType="separate"/>
            </w:r>
            <w:r>
              <w:rPr>
                <w:rFonts w:cs="宋体" w:asciiTheme="minorEastAsia" w:hAnsiTheme="minorEastAsia"/>
                <w:sz w:val="24"/>
                <w:szCs w:val="24"/>
              </w:rPr>
              <w:t>中国·许昌许昌市政府网</w:t>
            </w:r>
            <w:r>
              <w:rPr>
                <w:rFonts w:cs="宋体" w:asciiTheme="minorEastAsia" w:hAnsiTheme="minorEastAsia"/>
                <w:sz w:val="24"/>
                <w:szCs w:val="24"/>
              </w:rPr>
              <w:fldChar w:fldCharType="end"/>
            </w:r>
            <w:r>
              <w:rPr>
                <w:rFonts w:hint="eastAsia" w:cs="宋体" w:asciiTheme="minorEastAsia" w:hAnsiTheme="minorEastAsia"/>
                <w:sz w:val="24"/>
                <w:szCs w:val="24"/>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采购人澄清或修改采购文件时间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ascii="宋体" w:hAnsi="宋体" w:eastAsia="宋体" w:cs="仿宋_GB2312"/>
                <w:sz w:val="24"/>
                <w:szCs w:val="24"/>
                <w:lang w:val="zh-CN"/>
              </w:rPr>
              <w:t>提交首次响应文件截止之日3个工作日前</w:t>
            </w:r>
            <w:r>
              <w:rPr>
                <w:rFonts w:hint="eastAsia" w:cs="宋体" w:asciiTheme="minorEastAsia" w:hAnsiTheme="minorEastAsia"/>
                <w:bCs/>
                <w:sz w:val="24"/>
                <w:szCs w:val="24"/>
                <w:lang w:val="zh-CN"/>
              </w:rPr>
              <w:t>（</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sz w:val="24"/>
                <w:szCs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电子投标文件：按采购文件要求加盖电子印章和法人电子印章。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谈判小组组建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由采购人代表和评审专家组成，其中评审专家的人数不少于谈判小组成员总数的三分之二。评审专家从政府采购评审专家库中随机抽取。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sz w:val="24"/>
                <w:szCs w:val="24"/>
              </w:rPr>
              <w:t>要求提交。履约保证金的数额为合同金额的%。成交人以支票、汇票、本票或者金融机构、担保机构出具的保函等非现金形式向采购人提交。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成交人需提交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wordWrap w:val="0"/>
              <w:topLinePunct/>
              <w:snapToGrid w:val="0"/>
              <w:spacing w:line="360" w:lineRule="auto"/>
              <w:rPr>
                <w:rFonts w:ascii="宋体"/>
                <w:color w:val="FF0000"/>
                <w:sz w:val="24"/>
                <w:szCs w:val="24"/>
              </w:rPr>
            </w:pPr>
            <w:r>
              <w:rPr>
                <w:rFonts w:hint="eastAsia" w:cs="宋体" w:asciiTheme="minorEastAsia" w:hAnsiTheme="minorEastAsia"/>
                <w:bCs/>
                <w:color w:val="FF0000"/>
                <w:sz w:val="24"/>
                <w:szCs w:val="24"/>
                <w:lang w:val="zh-CN"/>
              </w:rPr>
              <w:t>1、</w:t>
            </w:r>
            <w:r>
              <w:rPr>
                <w:rFonts w:hint="eastAsia" w:ascii="宋体" w:hAnsi="宋体"/>
                <w:color w:val="FF0000"/>
                <w:kern w:val="0"/>
                <w:sz w:val="24"/>
                <w:szCs w:val="24"/>
              </w:rPr>
              <w:t>成交人在向采购单位领取成交通知书时，须向采购单位提供</w:t>
            </w:r>
            <w:r>
              <w:rPr>
                <w:rFonts w:hint="eastAsia" w:ascii="宋体" w:hAnsi="宋体"/>
                <w:color w:val="FF0000"/>
                <w:sz w:val="24"/>
                <w:szCs w:val="24"/>
              </w:rPr>
              <w:t>法人营业执照、税务登记证副本及投标条件中要求的相关证件原件和采购文件</w:t>
            </w:r>
            <w:r>
              <w:rPr>
                <w:rFonts w:hint="eastAsia" w:ascii="宋体"/>
                <w:color w:val="FF0000"/>
                <w:sz w:val="24"/>
                <w:szCs w:val="24"/>
              </w:rPr>
              <w:t xml:space="preserve"> “其它要求”中要求的相关材料（如果本采购文件要求的话），</w:t>
            </w:r>
            <w:r>
              <w:rPr>
                <w:rFonts w:hint="eastAsia" w:ascii="宋体"/>
                <w:b/>
                <w:color w:val="FF0000"/>
                <w:sz w:val="24"/>
                <w:szCs w:val="24"/>
              </w:rPr>
              <w:t>否则取消其成交资格。</w:t>
            </w:r>
          </w:p>
          <w:p>
            <w:pPr>
              <w:autoSpaceDE w:val="0"/>
              <w:autoSpaceDN w:val="0"/>
              <w:adjustRightInd w:val="0"/>
              <w:spacing w:line="360" w:lineRule="auto"/>
              <w:rPr>
                <w:rFonts w:cs="宋体" w:asciiTheme="minorEastAsia" w:hAnsiTheme="minorEastAsia"/>
                <w:bCs/>
                <w:sz w:val="24"/>
                <w:szCs w:val="24"/>
              </w:rPr>
            </w:pPr>
            <w:r>
              <w:rPr>
                <w:rFonts w:hint="eastAsia" w:cs="宋体" w:asciiTheme="minorEastAsia" w:hAnsiTheme="minorEastAsia"/>
                <w:bCs/>
                <w:sz w:val="24"/>
                <w:szCs w:val="24"/>
              </w:rPr>
              <w:t>2</w:t>
            </w:r>
            <w:r>
              <w:rPr>
                <w:rFonts w:hint="eastAsia" w:cs="宋体" w:asciiTheme="minorEastAsia" w:hAnsiTheme="minorEastAsia"/>
                <w:bCs/>
                <w:sz w:val="24"/>
                <w:szCs w:val="24"/>
                <w:lang w:val="zh-CN"/>
              </w:rPr>
              <w:t>、成交人在接到成交通知时</w:t>
            </w:r>
            <w:r>
              <w:rPr>
                <w:rFonts w:hint="eastAsia" w:cs="宋体" w:asciiTheme="minorEastAsia" w:hAnsiTheme="minorEastAsia"/>
                <w:bCs/>
                <w:sz w:val="24"/>
                <w:szCs w:val="24"/>
              </w:rPr>
              <w:t>，</w:t>
            </w:r>
            <w:r>
              <w:rPr>
                <w:rFonts w:hint="eastAsia" w:cs="宋体" w:asciiTheme="minorEastAsia" w:hAnsiTheme="minorEastAsia"/>
                <w:bCs/>
                <w:sz w:val="24"/>
                <w:szCs w:val="24"/>
                <w:lang w:val="zh-CN"/>
              </w:rPr>
              <w:t>须向代理机构发送投标报价及分项报价一览表</w:t>
            </w:r>
            <w:r>
              <w:rPr>
                <w:rFonts w:hint="eastAsia" w:cs="宋体" w:asciiTheme="minorEastAsia" w:hAnsiTheme="minorEastAsia"/>
                <w:bCs/>
                <w:sz w:val="24"/>
                <w:szCs w:val="24"/>
              </w:rPr>
              <w:t>（</w:t>
            </w:r>
            <w:r>
              <w:rPr>
                <w:rFonts w:hint="eastAsia" w:cs="宋体" w:asciiTheme="minorEastAsia" w:hAnsiTheme="minorEastAsia"/>
                <w:bCs/>
                <w:sz w:val="24"/>
                <w:szCs w:val="24"/>
                <w:lang w:val="zh-CN"/>
              </w:rPr>
              <w:t>包含主要成交标的的名称、规格型号、数量、单价、服务要求等</w:t>
            </w:r>
            <w:r>
              <w:rPr>
                <w:rFonts w:hint="eastAsia" w:cs="宋体" w:asciiTheme="minorEastAsia" w:hAnsiTheme="minorEastAsia"/>
                <w:bCs/>
                <w:sz w:val="24"/>
                <w:szCs w:val="24"/>
              </w:rPr>
              <w:t>）</w:t>
            </w:r>
            <w:r>
              <w:rPr>
                <w:rFonts w:hint="eastAsia" w:cs="宋体" w:asciiTheme="minorEastAsia" w:hAnsiTheme="minorEastAsia"/>
                <w:bCs/>
                <w:sz w:val="24"/>
                <w:szCs w:val="24"/>
                <w:lang w:val="zh-CN"/>
              </w:rPr>
              <w:t>电子文档</w:t>
            </w:r>
            <w:r>
              <w:rPr>
                <w:rFonts w:hint="eastAsia" w:cs="宋体" w:asciiTheme="minorEastAsia" w:hAnsiTheme="minorEastAsia"/>
                <w:bCs/>
                <w:sz w:val="24"/>
                <w:szCs w:val="24"/>
              </w:rPr>
              <w:t>，</w:t>
            </w:r>
            <w:r>
              <w:rPr>
                <w:rFonts w:hint="eastAsia" w:cs="宋体" w:asciiTheme="minorEastAsia" w:hAnsiTheme="minorEastAsia"/>
                <w:bCs/>
                <w:sz w:val="24"/>
                <w:szCs w:val="24"/>
                <w:lang w:val="zh-CN"/>
              </w:rPr>
              <w:t>并同时通知交易见证部</w:t>
            </w:r>
            <w:r>
              <w:rPr>
                <w:rFonts w:hint="eastAsia" w:cs="宋体" w:asciiTheme="minorEastAsia" w:hAnsiTheme="minorEastAsia"/>
                <w:bCs/>
                <w:sz w:val="24"/>
                <w:szCs w:val="24"/>
              </w:rPr>
              <w:t>，</w:t>
            </w:r>
            <w:r>
              <w:rPr>
                <w:rFonts w:hint="eastAsia" w:cs="宋体" w:asciiTheme="minorEastAsia" w:hAnsiTheme="minorEastAsia"/>
                <w:bCs/>
                <w:sz w:val="24"/>
                <w:szCs w:val="24"/>
                <w:lang w:val="zh-CN"/>
              </w:rPr>
              <w:t>联系电话</w:t>
            </w:r>
            <w:r>
              <w:rPr>
                <w:rFonts w:hint="eastAsia" w:cs="宋体" w:asciiTheme="minorEastAsia" w:hAnsiTheme="minorEastAsia"/>
                <w:bCs/>
                <w:sz w:val="24"/>
                <w:szCs w:val="24"/>
              </w:rPr>
              <w:t>：</w:t>
            </w:r>
            <w:r>
              <w:rPr>
                <w:rFonts w:hint="eastAsia" w:cs="宋体" w:asciiTheme="minorEastAsia" w:hAnsiTheme="minorEastAsia"/>
                <w:bCs/>
                <w:color w:val="FF0000"/>
                <w:sz w:val="24"/>
                <w:szCs w:val="24"/>
              </w:rPr>
              <w:t>0374-2968027，</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：jzb2968027@163.com</w:t>
            </w:r>
            <w:r>
              <w:rPr>
                <w:rFonts w:hint="eastAsia" w:cs="宋体" w:asciiTheme="minorEastAsia" w:hAnsiTheme="minorEastAsia"/>
                <w:bCs/>
                <w:color w:val="FF000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FF0000"/>
                <w:sz w:val="24"/>
                <w:lang w:val="zh-CN"/>
              </w:rPr>
            </w:pPr>
            <w:r>
              <w:rPr>
                <w:rFonts w:cs="宋体" w:asciiTheme="minorEastAsia" w:hAnsiTheme="minorEastAsia"/>
                <w:b/>
                <w:color w:val="FF0000"/>
                <w:kern w:val="0"/>
                <w:sz w:val="24"/>
                <w:szCs w:val="24"/>
                <w:lang w:val="zh-CN"/>
              </w:rPr>
              <w:fldChar w:fldCharType="begin"/>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是。</w:t>
            </w:r>
            <w:r>
              <w:rPr>
                <w:rFonts w:hint="eastAsia" w:hAnsi="宋体" w:cs="宋体"/>
                <w:color w:val="FF0000"/>
                <w:sz w:val="24"/>
                <w:lang w:val="zh-CN"/>
              </w:rPr>
              <w:t>投标人投标时须提供加密电子投标文件、备份文件（使用电子介质存储）、纸质投标文件。评标标准中相关证明资料原件开标现场不再提供（采购文件有要求提供原件的除外）。</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□否。投标人投标时须提供纸质投标文件。投标人资质、业绩、荣誉及相关人员证明材料等资料原件根据采购文件要求提供。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center"/>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1.1本采购文件仅适用于本次“投标邀请”中所述采购项目。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1.2本采购文件解释权属于“投标邀请”所述的采购人。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2.7.1 </w:t>
      </w:r>
      <w:r>
        <w:rPr>
          <w:rFonts w:cs="宋体" w:asciiTheme="minorEastAsia" w:hAnsiTheme="minorEastAsia"/>
          <w:kern w:val="0"/>
          <w:sz w:val="24"/>
          <w:szCs w:val="24"/>
        </w:rPr>
        <w:t>采购文件列明不允许或未列明允许进口产品参加投标的，均视为拒绝进口产品参加投标。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2.7.2 </w:t>
      </w:r>
      <w:r>
        <w:rPr>
          <w:rFonts w:cs="宋体" w:asciiTheme="minorEastAsia" w:hAnsiTheme="minorEastAsia"/>
          <w:kern w:val="0"/>
          <w:sz w:val="24"/>
          <w:szCs w:val="24"/>
        </w:rPr>
        <w:t>如</w:t>
      </w:r>
      <w:r>
        <w:rPr>
          <w:rFonts w:hint="eastAsia" w:cs="宋体" w:asciiTheme="minorEastAsia" w:hAnsiTheme="minorEastAsia"/>
          <w:kern w:val="0"/>
          <w:sz w:val="24"/>
          <w:szCs w:val="24"/>
        </w:rPr>
        <w:t>采购文件</w:t>
      </w:r>
      <w:r>
        <w:rPr>
          <w:rFonts w:cs="宋体" w:asciiTheme="minorEastAsia" w:hAnsiTheme="minorEastAsia"/>
          <w:kern w:val="0"/>
          <w:sz w:val="24"/>
          <w:szCs w:val="24"/>
        </w:rPr>
        <w:t>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 采购文件中凡标有“★”的条款均系实质性要求条款。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3"/>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3.1在中华人民共和国境内注册，具有本项目生产、制造、供应或实施能力，符合、承认并承诺履行本采购文件各项规定的法人、其他组织或者自然人。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2符合本项目“投标邀请”和“投标人须知前附表”中规定的合格投标人所必须具备的条件。</w:t>
      </w:r>
    </w:p>
    <w:p>
      <w:pPr>
        <w:pStyle w:val="18"/>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并根据采购文件要求提供相关证明。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并根据采购文件要求提供相关证明。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本采购项目需要公开的有关信息，包括采购公告、采购文件澄清或修改公告、成交公告以及延长投标截止时间等与招标活动有关的通知，招标人均将通过在</w:t>
      </w:r>
      <w:r>
        <w:rPr>
          <w:rFonts w:hint="eastAsia" w:cs="宋体" w:asciiTheme="minorEastAsia" w:hAnsiTheme="minorEastAsia"/>
          <w:sz w:val="24"/>
          <w:szCs w:val="24"/>
        </w:rPr>
        <w:t>《中国政府采购网》、《河南省政府采购网》、《许昌市政府采购网》、</w:t>
      </w:r>
      <w:r>
        <w:rPr>
          <w:rFonts w:hint="eastAsia" w:cs="宋体" w:asciiTheme="minorEastAsia" w:hAnsiTheme="minorEastAsia"/>
          <w:kern w:val="0"/>
          <w:sz w:val="24"/>
          <w:szCs w:val="24"/>
        </w:rPr>
        <w:t>《</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kern w:val="0"/>
          <w:sz w:val="24"/>
          <w:szCs w:val="24"/>
        </w:rPr>
        <w:t>中国·许昌许昌市政府网</w:t>
      </w:r>
      <w:r>
        <w:rPr>
          <w:rFonts w:cs="宋体" w:asciiTheme="minorEastAsia" w:hAnsiTheme="minorEastAsia"/>
          <w:kern w:val="0"/>
          <w:sz w:val="24"/>
          <w:szCs w:val="24"/>
        </w:rPr>
        <w:fldChar w:fldCharType="end"/>
      </w:r>
      <w:r>
        <w:rPr>
          <w:rFonts w:hint="eastAsia" w:cs="黑体" w:asciiTheme="minorEastAsia" w:hAnsiTheme="minorEastAsia"/>
          <w:bCs/>
          <w:shd w:val="clear" w:color="auto" w:fill="FFFFFF"/>
        </w:rPr>
        <w:t>》</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不收取任何费用。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8. 其他</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二、采购文件说明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9．采购文件构成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采购文件由以下部分组成：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（1）投标邀请（采购公告）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（9）本项目采购文件的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招标人根据采购项目的具体情况，可以在采购文件公告期满后，组织已获取采购文件的潜在投标人现场考察或者召开开标前答疑会。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采购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11.采购文件的澄清或修改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11.1 在投标截止期前，无论出于何种原因，招标人可主动地或在解答潜在投标人提出的澄清问题时对采购文件进行修改。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w:t>
      </w:r>
      <w:r>
        <w:rPr>
          <w:rFonts w:cs="宋体" w:asciiTheme="minorEastAsia" w:hAnsiTheme="minorEastAsia"/>
          <w:kern w:val="0"/>
          <w:sz w:val="24"/>
          <w:szCs w:val="24"/>
        </w:rPr>
        <w:t>.</w:t>
      </w:r>
      <w:r>
        <w:rPr>
          <w:rFonts w:hint="eastAsia" w:cs="宋体" w:asciiTheme="minorEastAsia" w:hAnsiTheme="minorEastAsia"/>
          <w:kern w:val="0"/>
          <w:sz w:val="24"/>
          <w:szCs w:val="24"/>
        </w:rPr>
        <w:t>2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11.3 澄清或修改公告的内容为采购文件的组成部分，并对投标人具有约束力。当采购文件与澄清或修改公告就同一内容的表述不一致时，以最后发出的文件内容为准。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11.4 如果澄清或者修改发出的时间距规定的投标截止时间不足3个工作日的，招标人将顺延提交投标文件的截止时间。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7"/>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投标文件中承诺的投标有效期应当不少于“投标人须知前附表”载明的投标有效期。投标有效期比采购文件规定短的属于非实质性响应，将被认定为无效投标。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成交人的投标文件作为项目合同的附件，其有效期至成交人全部合同义务履行完毕为止。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投标文件的构成应符合法律法规及采购文件的要求。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投标人应当按照采购文件的要求编制投标文件。投标文件应当对采购文件提出的要求和条件作出明确响应。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sz w:val="24"/>
          <w:szCs w:val="24"/>
        </w:rPr>
        <w:t>投标人登录许昌公共资源交易系统下载“许昌投标文件制作系统SEARUN V1.0”，按采购文件要求</w:t>
      </w:r>
      <w:r>
        <w:rPr>
          <w:rFonts w:hint="eastAsia" w:hAnsi="宋体"/>
          <w:sz w:val="24"/>
          <w:szCs w:val="24"/>
        </w:rPr>
        <w:t>根据所投标段</w:t>
      </w:r>
      <w:r>
        <w:rPr>
          <w:rFonts w:hint="eastAsia" w:ascii="Calibri" w:hAnsi="宋体" w:eastAsia="宋体" w:cs="Times New Roman"/>
          <w:sz w:val="24"/>
          <w:szCs w:val="24"/>
        </w:rPr>
        <w:t>制作电子投标文件。</w:t>
      </w:r>
    </w:p>
    <w:p>
      <w:pPr>
        <w:tabs>
          <w:tab w:val="left" w:pos="7095"/>
        </w:tabs>
        <w:spacing w:line="360" w:lineRule="auto"/>
        <w:rPr>
          <w:rFonts w:ascii="Calibri" w:hAnsi="宋体" w:eastAsia="宋体" w:cs="Times New Roman"/>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投标文件应参照采购文件第七部分（投标文件有关格式）的内容要求、编排顺序和格式要求，投标人应按照以上要求将投标文件编上唯一的连贯页码并以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投标人应按采购文件提供的格式编写投标文件。采购文件未提供标准格式的投标人可自行拟定。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投标人网上下载采购文件后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退还投标保证金时，区别成交与否，按不同时序由银行按来款途径退还原账户。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自成交通知书发出之日起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个工作日内退还未成交人的投标保证金。（交易见证部电话：0374-2968027）</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个工作日内退还成交人的投标保证金。（向交易见证部提交合同原件或者复印件）（交易见证部电话：0374-2968027）</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hint="eastAsia" w:cs="仿宋_GB2312" w:asciiTheme="minorEastAsia" w:hAnsiTheme="minorEastAsia"/>
          <w:sz w:val="24"/>
          <w:szCs w:val="24"/>
          <w:lang w:val="zh-CN"/>
        </w:rPr>
        <w:t>（交易见证部电话：0374-2968027）</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除因不可抗力或采购文件认可的情形以外，成交人不与采购人签订合同的；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法律法规及采购文件规定的其他情形。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1</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投标文件的数量和签署盖章</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在采购文件中已明示需盖章及签名之处，</w:t>
      </w:r>
      <w:r>
        <w:rPr>
          <w:rFonts w:hint="eastAsia" w:ascii="新宋体" w:hAnsi="新宋体" w:eastAsia="新宋体"/>
          <w:sz w:val="24"/>
        </w:rPr>
        <w:t>电子投标文件应按采购文件要求加盖投标人电子印章和法人电子印章或授权代表电子印章。</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18.3 纸质投标文件</w:t>
      </w:r>
      <w:r>
        <w:rPr>
          <w:rFonts w:hint="eastAsia" w:ascii="新宋体" w:hAnsi="新宋体" w:eastAsia="新宋体"/>
          <w:sz w:val="24"/>
        </w:rPr>
        <w:t>是指投标人电子投标文件制作完成后生成的后缀名为</w:t>
      </w:r>
      <w:r>
        <w:rPr>
          <w:rFonts w:hint="eastAsia" w:hAnsi="宋体"/>
          <w:sz w:val="24"/>
          <w:szCs w:val="24"/>
        </w:rPr>
        <w:t>“.PDF”的文件打印的投标文件。</w:t>
      </w:r>
      <w:r>
        <w:rPr>
          <w:rFonts w:hint="eastAsia" w:cs="仿宋_GB2312" w:asciiTheme="minorEastAsia" w:hAnsiTheme="minorEastAsia"/>
          <w:sz w:val="24"/>
          <w:szCs w:val="24"/>
          <w:lang w:val="zh-CN"/>
        </w:rPr>
        <w:t>纸质投标文件正本和副本封面上应清楚标明</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正本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或</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副本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和“投标人须知前附表”中规定的投标截止时间前，将所有投标文件送达采购文件指定的开标地点。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应当按采购文件要求签署、盖章、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招标人将按采购文件规定的时间和地点组织公开开标。开标由代理机构主持，邀请投标人参加。谈判小组成员不得参加开标活动。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密封情况；经确认无误后进行电子投标文件的解密。解密后宣布投标人名称、修改和撤回投标的通知和采购文件规定的需要宣布的其他内容（如有的话）。</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.谈判小组的组成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ascii="宋体" w:hAnsi="宋体" w:eastAsia="宋体" w:cs="仿宋_GB2312"/>
          <w:sz w:val="24"/>
          <w:szCs w:val="24"/>
          <w:lang w:val="zh-CN"/>
        </w:rPr>
      </w:pPr>
      <w:r>
        <w:rPr>
          <w:rFonts w:hint="eastAsia" w:ascii="宋体" w:hAnsi="宋体" w:eastAsia="宋体" w:cs="仿宋_GB2312"/>
          <w:sz w:val="24"/>
          <w:szCs w:val="24"/>
          <w:lang w:val="zh-CN"/>
        </w:rPr>
        <w:t>25.2 谈判小组须对采购文件进行确认。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25.7 谈判小组成员名单在评标结果公告前应当保密。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资格性审查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宋体" w:cs="宋体"/>
          <w:sz w:val="24"/>
          <w:lang w:val="zh-CN"/>
        </w:rPr>
        <w:t>开标结束后，谈判小组</w:t>
      </w:r>
      <w:r>
        <w:rPr>
          <w:rFonts w:hint="eastAsia" w:asciiTheme="minorEastAsia" w:hAnsiTheme="minorEastAsia"/>
          <w:bCs/>
          <w:sz w:val="24"/>
          <w:szCs w:val="24"/>
        </w:rPr>
        <w:t>依法对投标人的资格进行审查。</w:t>
      </w:r>
      <w:r>
        <w:rPr>
          <w:rFonts w:hint="eastAsia" w:cs="仿宋_GB2312" w:asciiTheme="minorEastAsia" w:hAnsiTheme="minorEastAsia"/>
          <w:sz w:val="24"/>
          <w:szCs w:val="24"/>
          <w:lang w:val="zh-CN"/>
        </w:rPr>
        <w:t>合格投标人不足3家的，不得进行符合性审查。</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谈判小组依据有关法律法规和采购文件的规定，对符合资格的投标人的投标文件进行符合性审查，以确定其是否满足采购文件的实质性要求。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审查、评价投标文件是否符合采购文件的商务、技术等实质性要求。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ascii="宋体" w:cs="宋体"/>
          <w:b/>
          <w:sz w:val="24"/>
          <w:lang w:val="zh-CN"/>
        </w:rPr>
        <w:t>2</w:t>
      </w:r>
      <w:r>
        <w:rPr>
          <w:rFonts w:hint="eastAsia" w:cs="仿宋_GB2312" w:asciiTheme="minorEastAsia" w:hAnsiTheme="minorEastAsia"/>
          <w:b/>
          <w:sz w:val="24"/>
          <w:szCs w:val="24"/>
          <w:lang w:val="zh-CN"/>
        </w:rPr>
        <w:t>8.谈判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28.1谈判轮数：由谈判小组根据谈判现场的实际情况确定。</w:t>
      </w:r>
    </w:p>
    <w:p>
      <w:pPr>
        <w:tabs>
          <w:tab w:val="left" w:pos="1260"/>
        </w:tabs>
        <w:autoSpaceDE w:val="0"/>
        <w:autoSpaceDN w:val="0"/>
        <w:spacing w:line="360" w:lineRule="auto"/>
        <w:contextualSpacing/>
        <w:rPr>
          <w:rFonts w:ascii="宋体" w:cs="宋体"/>
          <w:sz w:val="24"/>
          <w:lang w:val="zh-CN"/>
        </w:rPr>
      </w:pPr>
      <w:r>
        <w:rPr>
          <w:rFonts w:hint="eastAsia" w:cs="仿宋_GB2312" w:asciiTheme="minorEastAsia" w:hAnsiTheme="minorEastAsia"/>
          <w:sz w:val="24"/>
          <w:szCs w:val="24"/>
          <w:lang w:val="zh-CN"/>
        </w:rPr>
        <w:t>28.2</w:t>
      </w:r>
      <w:r>
        <w:rPr>
          <w:rFonts w:hint="eastAsia" w:ascii="宋体" w:cs="宋体"/>
          <w:sz w:val="24"/>
          <w:lang w:val="zh-CN"/>
        </w:rPr>
        <w:t>谈判方式：采取网络谈判方式，供应商携带公司CA证书，到中心评标服务部指定地点，使用CA登录系统进行网上谈判。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28.3</w:t>
      </w:r>
      <w:r>
        <w:rPr>
          <w:rFonts w:cs="仿宋_GB2312" w:asciiTheme="minorEastAsia" w:hAnsiTheme="minorEastAsia"/>
          <w:sz w:val="24"/>
          <w:szCs w:val="24"/>
          <w:lang w:val="zh-CN"/>
        </w:rPr>
        <w:t>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28.4</w:t>
      </w:r>
      <w:r>
        <w:rPr>
          <w:rFonts w:cs="仿宋_GB2312" w:asciiTheme="minorEastAsia" w:hAnsiTheme="minorEastAsia"/>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cs="仿宋_GB2312" w:asciiTheme="minorEastAsia" w:hAnsiTheme="minorEastAsia"/>
          <w:sz w:val="24"/>
          <w:szCs w:val="24"/>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cs="仿宋_GB2312" w:asciiTheme="minorEastAsia" w:hAnsiTheme="minorEastAsia"/>
          <w:sz w:val="24"/>
          <w:szCs w:val="24"/>
          <w:lang w:val="zh-CN"/>
        </w:rPr>
        <w:t>供应商应当按照谈判文件的变动情况和谈判小组的要求重新提交响应文件，并由其法定代表人或授权代表签字或者加盖公章。</w:t>
      </w:r>
      <w:r>
        <w:rPr>
          <w:rFonts w:hint="eastAsia" w:cs="仿宋_GB2312" w:asciiTheme="minorEastAsia" w:hAnsiTheme="minorEastAsia"/>
          <w:sz w:val="24"/>
          <w:szCs w:val="24"/>
          <w:lang w:val="zh-CN"/>
        </w:rPr>
        <w:t>由授权代表签字的，应当附法定代表人授权书。供应商为自然人的，应当由本人签字并附身份证明。</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28.5最后报价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28.5.1谈判结束后，谈判小组应当要求所有参加谈判的供应商在规定时间内进行最后报价，提交最后报价的供应商不得少于3家。</w:t>
      </w:r>
    </w:p>
    <w:p>
      <w:pPr>
        <w:tabs>
          <w:tab w:val="left" w:pos="1260"/>
        </w:tabs>
        <w:autoSpaceDE w:val="0"/>
        <w:autoSpaceDN w:val="0"/>
        <w:spacing w:line="360" w:lineRule="auto"/>
        <w:contextualSpacing/>
        <w:rPr>
          <w:rFonts w:ascii="宋体" w:cs="宋体"/>
          <w:sz w:val="24"/>
          <w:lang w:val="zh-CN"/>
        </w:rPr>
      </w:pPr>
      <w:r>
        <w:rPr>
          <w:rFonts w:hint="eastAsia" w:cs="仿宋_GB2312" w:asciiTheme="minorEastAsia" w:hAnsiTheme="minorEastAsia"/>
          <w:sz w:val="24"/>
          <w:szCs w:val="24"/>
          <w:lang w:val="zh-CN"/>
        </w:rPr>
        <w:t>28.5.2</w:t>
      </w:r>
      <w:r>
        <w:rPr>
          <w:rFonts w:hint="eastAsia" w:ascii="宋体" w:cs="宋体"/>
          <w:sz w:val="24"/>
          <w:lang w:val="zh-CN"/>
        </w:rPr>
        <w:t>请供应商使用CA证书登录许昌市公共资源交易平台系统，进行网上</w:t>
      </w:r>
      <w:r>
        <w:rPr>
          <w:rFonts w:hint="eastAsia" w:cs="仿宋_GB2312" w:asciiTheme="minorEastAsia" w:hAnsiTheme="minorEastAsia"/>
          <w:sz w:val="24"/>
          <w:szCs w:val="24"/>
          <w:lang w:val="zh-CN"/>
        </w:rPr>
        <w:t>最后报价 [最后总报价及最后分项（如果项目需求中有分项的话）报价</w:t>
      </w:r>
      <w:r>
        <w:rPr>
          <w:rFonts w:hint="eastAsia" w:cs="仿宋_GB2312" w:asciiTheme="minorEastAsia" w:hAnsiTheme="minorEastAsia"/>
          <w:color w:val="FF0000"/>
          <w:sz w:val="24"/>
          <w:szCs w:val="24"/>
          <w:lang w:val="zh-CN"/>
        </w:rPr>
        <w:t>电子版</w:t>
      </w:r>
      <w:r>
        <w:rPr>
          <w:rFonts w:hint="eastAsia" w:cs="仿宋_GB2312" w:asciiTheme="minorEastAsia" w:hAnsiTheme="minorEastAsia"/>
          <w:sz w:val="24"/>
          <w:szCs w:val="24"/>
          <w:lang w:val="zh-CN"/>
        </w:rPr>
        <w:t>]</w:t>
      </w:r>
      <w:r>
        <w:rPr>
          <w:rFonts w:hint="eastAsia" w:ascii="宋体" w:cs="宋体"/>
          <w:sz w:val="24"/>
          <w:lang w:val="zh-CN"/>
        </w:rPr>
        <w:t>，最后以谈判组专家发起谈判限时10分钟，如未按时报价者以第一轮报价为准；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28.5.3</w:t>
      </w:r>
      <w:r>
        <w:rPr>
          <w:rFonts w:cs="仿宋_GB2312" w:asciiTheme="minorEastAsia" w:hAnsiTheme="minorEastAsia"/>
          <w:sz w:val="24"/>
          <w:szCs w:val="24"/>
          <w:lang w:val="zh-CN"/>
        </w:rPr>
        <w:t>最后报价是供应商响应文件的有效组成部分。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对于投标文件中含义不明确、同类问题表述不一致或者有明显文字和计算错误的内容，谈判小组应当以书面形式要求投标人作出必要的澄清、说明或者补正。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31.投标无效情形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31.1.1 未按照采购文件的规定提交投标保证金的；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31.1.2 投标文件未按采购文件要求签署、盖章的；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31.1.3 不具备采购文件中规定的资格要求的；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31.1.4 报价超过采购文件中规定的预算金额或者最高限价的；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31.1.5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31.2.6 不同投标人的投标保证金从同一单位或者个人的账户转出。</w:t>
      </w:r>
    </w:p>
    <w:p>
      <w:pPr>
        <w:pStyle w:val="12"/>
        <w:spacing w:line="360" w:lineRule="auto"/>
        <w:rPr>
          <w:rFonts w:ascii="宋体" w:hAnsi="宋体" w:cs="宋体"/>
          <w:color w:val="FF0000"/>
          <w:szCs w:val="24"/>
        </w:rPr>
      </w:pPr>
      <w:r>
        <w:rPr>
          <w:rFonts w:hint="eastAsia" w:cs="仿宋_GB2312" w:asciiTheme="minorEastAsia" w:hAnsiTheme="minorEastAsia"/>
          <w:szCs w:val="24"/>
          <w:lang w:val="zh-CN"/>
        </w:rPr>
        <w:t>31.3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2"/>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2"/>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2"/>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2"/>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2"/>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2"/>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31.4 </w:t>
      </w:r>
      <w:r>
        <w:rPr>
          <w:rFonts w:hint="eastAsia" w:cs="仿宋_GB2312" w:asciiTheme="minorEastAsia" w:hAnsiTheme="minor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31.6 </w:t>
      </w:r>
      <w:r>
        <w:rPr>
          <w:rFonts w:cs="仿宋_GB2312" w:asciiTheme="minorEastAsia" w:hAnsiTheme="minorEastAsia"/>
          <w:sz w:val="24"/>
          <w:szCs w:val="24"/>
          <w:lang w:val="zh-CN"/>
        </w:rPr>
        <w:t>法律、法规和采购文件规定的其他无效情形。</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.成交原则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谈判小组应当从质量和服务均能满足采购文件实质性响应要求的供应商中，按照最后报价由低到高的顺序提出3名以上成交候选人。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3</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谈判小组及其成员有下列行为之一的，其评审意见无效：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确定成交人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成交候选人并列的，由采购人采取随机抽取的方式确定。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成交公告、发出成交通知书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采购人确认成交人后，招标人在公告成交结果的同时，向成交人发出成交通知书。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36.3 </w:t>
      </w:r>
      <w:r>
        <w:rPr>
          <w:rFonts w:hint="eastAsia" w:cs="宋体" w:asciiTheme="minorEastAsia" w:hAnsiTheme="minor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37.</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37.1.1 对采购文件提出质疑的，潜在投标人应已依法获取采购文件，且应当在</w:t>
      </w:r>
      <w:r>
        <w:rPr>
          <w:rFonts w:hint="eastAsia" w:cs="仿宋_GB2312" w:asciiTheme="minorEastAsia" w:hAnsiTheme="minorEastAsia"/>
          <w:color w:val="FF0000"/>
          <w:sz w:val="24"/>
          <w:szCs w:val="24"/>
          <w:lang w:val="zh-CN"/>
        </w:rPr>
        <w:t>法定时限</w:t>
      </w:r>
      <w:r>
        <w:rPr>
          <w:rFonts w:hint="eastAsia" w:cs="仿宋_GB2312" w:asciiTheme="minorEastAsia" w:hAnsiTheme="minorEastAsia"/>
          <w:sz w:val="24"/>
          <w:szCs w:val="24"/>
          <w:lang w:val="zh-CN"/>
        </w:rPr>
        <w:t>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37.1.2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lang w:val="zh-CN"/>
        </w:rPr>
        <w:br w:type="textWrapping"/>
      </w:r>
      <w:r>
        <w:rPr>
          <w:rFonts w:hint="eastAsia" w:cs="仿宋_GB2312" w:asciiTheme="minorEastAsia" w:hAnsiTheme="minorEastAsia"/>
          <w:sz w:val="24"/>
          <w:szCs w:val="24"/>
          <w:lang w:val="zh-CN"/>
        </w:rPr>
        <w:t>37.1.3 对成交结果提出质疑的，为中标结果公告期限届满之日起七个工作日内，以书面形式向采购人和采购代理机构一次性提出。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37.2 采购人、采购代理机构认为供应商质疑不成立，或者成立但未对成交结果构成影响的，继续开展采购活动；认为供应商质疑成立且影响或者可能影响成交结果的，按照下列情况处理：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37.3 答复</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38.</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39.履约保证金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sz w:val="24"/>
          <w:szCs w:val="24"/>
        </w:rPr>
        <w:t>成交人提交履约保证金的，成交人应当以支票、汇票、本票或者金融机构、担保机构出具的保函等非现金形式向采购人提交。履约保证金的数额不得超过政府采购合同金额的10%。</w:t>
      </w:r>
      <w:r>
        <w:rPr>
          <w:rFonts w:hint="eastAsia" w:ascii="宋体" w:hAnsi="宋体" w:eastAsia="宋体" w:cs="宋体"/>
          <w:sz w:val="24"/>
          <w:szCs w:val="24"/>
        </w:rPr>
        <w:br w:type="textWrapping"/>
      </w:r>
      <w:r>
        <w:rPr>
          <w:rFonts w:hint="eastAsia" w:cs="仿宋_GB2312" w:asciiTheme="minorEastAsia" w:hAnsiTheme="minorEastAsia"/>
          <w:b/>
          <w:color w:val="FF0000"/>
          <w:sz w:val="24"/>
          <w:szCs w:val="24"/>
        </w:rPr>
        <w:t>40.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本次采购文件未尽事项，以法律法规规定的为准。</w:t>
      </w:r>
    </w:p>
    <w:p>
      <w:pPr>
        <w:tabs>
          <w:tab w:val="left" w:pos="1260"/>
        </w:tabs>
        <w:autoSpaceDE w:val="0"/>
        <w:autoSpaceDN w:val="0"/>
        <w:spacing w:line="360" w:lineRule="auto"/>
        <w:contextualSpacing/>
        <w:jc w:val="left"/>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22" w:firstLineChars="200"/>
        <w:contextualSpacing/>
        <w:rPr>
          <w:rFonts w:cs="仿宋_GB2312" w:asciiTheme="minorEastAsia" w:hAnsiTheme="minorEastAsia"/>
          <w:b/>
          <w:sz w:val="24"/>
          <w:szCs w:val="24"/>
          <w:lang w:val="zh-CN"/>
        </w:rPr>
      </w:pPr>
      <w:r>
        <w:rPr>
          <w:rFonts w:hint="eastAsia" w:cs="仿宋_GB2312" w:asciiTheme="minorEastAsia" w:hAnsiTheme="minorEastAsia"/>
          <w:b/>
          <w:szCs w:val="24"/>
          <w:lang w:val="zh-CN"/>
        </w:rPr>
        <w:t>一、</w:t>
      </w:r>
      <w:r>
        <w:rPr>
          <w:rFonts w:hint="eastAsia" w:cs="仿宋_GB2312" w:asciiTheme="minorEastAsia" w:hAnsiTheme="minorEastAsia"/>
          <w:b/>
          <w:sz w:val="24"/>
          <w:szCs w:val="24"/>
          <w:lang w:val="zh-CN"/>
        </w:rPr>
        <w:t>促进中小企业发展（如有的话）</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w:t>
      </w:r>
      <w:r>
        <w:rPr>
          <w:rFonts w:hint="eastAsia" w:cs="仿宋_GB2312" w:asciiTheme="minorEastAsia" w:hAnsiTheme="minorEastAsia"/>
          <w:color w:val="FF0000"/>
          <w:sz w:val="24"/>
          <w:szCs w:val="24"/>
          <w:lang w:val="zh-CN"/>
        </w:rPr>
        <w:t>对小型和微型企业产品的价格给予6%-10%的扣除，</w:t>
      </w:r>
      <w:r>
        <w:rPr>
          <w:rFonts w:hint="eastAsia" w:cs="仿宋_GB2312" w:asciiTheme="minorEastAsia" w:hAnsiTheme="minorEastAsia"/>
          <w:sz w:val="24"/>
          <w:szCs w:val="24"/>
          <w:lang w:val="zh-CN"/>
        </w:rPr>
        <w:t>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二、支持监狱企业发展（如有的话）</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三、促进残疾人就业（如有的话）</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szCs w:val="24"/>
        </w:rPr>
        <w:t>残疾人福利性单位属于小型、微型企业的，不重复享受政策。</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3、成交人为残疾人福利性单位的，招标人应当随成交结果同时公告其《残疾人福利性单位声明函》，接受社会监督。</w:t>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2"/>
        <w:spacing w:line="360" w:lineRule="auto"/>
        <w:contextualSpacing/>
        <w:rPr>
          <w:rFonts w:cs="仿宋_GB2312" w:asciiTheme="minorEastAsia" w:hAnsiTheme="minorEastAsia"/>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（一）开标结束后，谈判小组依法对投标人的资格进行审查。</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w:t>
            </w:r>
            <w:r>
              <w:rPr>
                <w:rFonts w:hint="eastAsia" w:cs="仿宋_GB2312" w:asciiTheme="minorEastAsia" w:hAnsiTheme="minorEastAsia"/>
                <w:sz w:val="24"/>
                <w:szCs w:val="24"/>
              </w:rPr>
              <w:t>2017或2018</w:t>
            </w:r>
            <w:r>
              <w:rPr>
                <w:rFonts w:hint="eastAsia" w:cs="宋体" w:asciiTheme="minorEastAsia" w:hAnsiTheme="minorEastAsia"/>
                <w:bCs/>
                <w:sz w:val="24"/>
                <w:szCs w:val="24"/>
                <w:lang w:val="zh-CN"/>
              </w:rPr>
              <w:t>年度的财务报告；</w:t>
            </w:r>
            <w:r>
              <w:rPr>
                <w:rFonts w:hint="eastAsia" w:asciiTheme="minorEastAsia" w:hAnsiTheme="minorEastAsia"/>
                <w:bCs/>
                <w:sz w:val="24"/>
                <w:szCs w:val="24"/>
              </w:rPr>
              <w:t>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税务登记证和投标截止时间前四个月内任意一个月缴纳税收凭据。（依法免税的投标人，应提供相应文件证明依法免税）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相关设备的购置发票、专业技术人员职称证书、用工合同等或者投标人相关承诺函或声明。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w:t>
            </w:r>
            <w:r>
              <w:rPr>
                <w:rFonts w:hint="eastAsia" w:asciiTheme="minorEastAsia" w:hAnsiTheme="minorEastAsia"/>
                <w:bCs/>
                <w:color w:val="FF0000"/>
                <w:sz w:val="24"/>
                <w:szCs w:val="24"/>
              </w:rPr>
              <w:t>谈判小组</w:t>
            </w:r>
            <w:r>
              <w:rPr>
                <w:rFonts w:hint="eastAsia" w:asciiTheme="minorEastAsia" w:hAnsiTheme="minorEastAsia"/>
                <w:bCs/>
                <w:sz w:val="24"/>
                <w:szCs w:val="24"/>
              </w:rPr>
              <w:t>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是否超出采购文件中规定的预算金额，超出预算金额的投标无效。如投标人须知前附表规定最高限价，则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采购文件接受联合体投标且投标人为联合体的，投标人应提供本协议；否则无须提供。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bl>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contextualSpacing/>
        <w:jc w:val="center"/>
        <w:rPr>
          <w:rFonts w:cs="仿宋_GB2312" w:asciiTheme="minorEastAsia" w:hAnsiTheme="minorEastAsia" w:eastAsiaTheme="minorEastAsia"/>
          <w:b/>
          <w:sz w:val="32"/>
          <w:szCs w:val="32"/>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（一）项目成交原则</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谈判小组应当从质量和服务均能满足采购文件实质性响应要求的供应商中，按照最后报价由低到高的顺序提出3名以上成交候选人。</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谈判小组负责具体评标事务，并独立履行下列职责</w:t>
      </w:r>
    </w:p>
    <w:p>
      <w:pPr>
        <w:pStyle w:val="12"/>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审查、评价投标文件是否符合采购文件的商务、技术等实质性要求；</w:t>
      </w:r>
    </w:p>
    <w:p>
      <w:pPr>
        <w:pStyle w:val="12"/>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谈判小组对符合资格的投标人的投标文件进行符合性审查，以确定其是否满足采购文件的商务、技术等实质性要求。</w:t>
      </w:r>
    </w:p>
    <w:p>
      <w:pPr>
        <w:pStyle w:val="12"/>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对于投标文件中含义不明确、同类问题表述不一致或者有明显文字和计算错误的内容，谈判小组应当以书面形式要求投标人作出必要的澄清、说明或者补正。</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3、价格计算（如有的话）</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1</w:t>
      </w:r>
      <w:r>
        <w:rPr>
          <w:rFonts w:hint="eastAsia" w:cs="仿宋_GB2312" w:asciiTheme="minorEastAsia" w:hAnsiTheme="minorEastAsia" w:eastAsiaTheme="minorEastAsia"/>
          <w:b/>
          <w:szCs w:val="24"/>
          <w:lang w:val="zh-CN"/>
        </w:rPr>
        <w:t>）价格计算</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以供应商最后投标报价为准。</w:t>
      </w:r>
      <w:r>
        <w:rPr>
          <w:rFonts w:cs="仿宋_GB2312" w:asciiTheme="minorEastAsia" w:hAnsiTheme="minorEastAsia" w:eastAsiaTheme="minorEastAsia"/>
          <w:szCs w:val="24"/>
          <w:lang w:val="zh-CN"/>
        </w:rPr>
        <w:t>因落实政府采购政策进行价格调整的，以调整后的价格</w:t>
      </w:r>
      <w:r>
        <w:rPr>
          <w:rFonts w:hint="eastAsia" w:cs="仿宋_GB2312" w:asciiTheme="minorEastAsia" w:hAnsiTheme="minorEastAsia" w:eastAsiaTheme="minorEastAsia"/>
          <w:szCs w:val="24"/>
          <w:lang w:val="zh-CN"/>
        </w:rPr>
        <w:t>为最后</w:t>
      </w:r>
      <w:r>
        <w:rPr>
          <w:rFonts w:cs="仿宋_GB2312" w:asciiTheme="minorEastAsia" w:hAnsiTheme="minorEastAsia" w:eastAsiaTheme="minorEastAsia"/>
          <w:szCs w:val="24"/>
          <w:lang w:val="zh-CN"/>
        </w:rPr>
        <w:t>报价。</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w:t>
      </w:r>
      <w:r>
        <w:rPr>
          <w:rFonts w:hint="eastAsia" w:cs="仿宋_GB2312" w:asciiTheme="minorEastAsia" w:hAnsiTheme="minorEastAsia" w:eastAsiaTheme="minorEastAsia"/>
          <w:color w:val="FF0000"/>
          <w:szCs w:val="24"/>
          <w:lang w:val="zh-CN"/>
        </w:rPr>
        <w:t>对小型和微型企业产品的投标价格给予6%的扣除，</w:t>
      </w:r>
      <w:r>
        <w:rPr>
          <w:rFonts w:hint="eastAsia" w:cs="仿宋_GB2312" w:asciiTheme="minorEastAsia" w:hAnsiTheme="minorEastAsia" w:eastAsiaTheme="minor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Theme="minorEastAsia" w:hAnsiTheme="minorEastAsia" w:eastAsiaTheme="minorEastAsia"/>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Cs w:val="24"/>
        </w:rPr>
        <w:t>残疾人福利性单位属于小型、微型企业的，不重复享受政策。</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asciiTheme="minorEastAsia" w:hAnsiTheme="minorEastAsia" w:eastAsiaTheme="minorEastAsia"/>
          <w:b/>
          <w:szCs w:val="24"/>
        </w:rPr>
        <w:t>（2）</w:t>
      </w:r>
      <w:r>
        <w:rPr>
          <w:rFonts w:hint="eastAsia" w:cs="仿宋_GB2312" w:asciiTheme="minorEastAsia" w:hAnsiTheme="minorEastAsia" w:eastAsiaTheme="minorEastAsia"/>
          <w:b/>
          <w:szCs w:val="24"/>
          <w:lang w:val="zh-CN"/>
        </w:rPr>
        <w:t>关于强制性产品认证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1）如投标人所投产品属于“中国强制性产品认证”（3C认证）范围内,则必须承诺采用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w:t>
      </w:r>
      <w:r>
        <w:rPr>
          <w:rFonts w:hint="eastAsia" w:cs="仿宋_GB2312" w:asciiTheme="minorEastAsia" w:hAnsiTheme="minorEastAsia"/>
          <w:lang w:val="zh-CN"/>
        </w:rPr>
        <w:t>“</w:t>
      </w:r>
      <w:r>
        <w:rPr>
          <w:rFonts w:hint="eastAsia" w:cs="仿宋_GB2312" w:asciiTheme="minorEastAsia" w:hAnsiTheme="minorEastAsia"/>
          <w:sz w:val="24"/>
          <w:szCs w:val="24"/>
          <w:lang w:val="zh-CN"/>
        </w:rPr>
        <w:t>所投产品符合国家强制性要求承诺函</w:t>
      </w:r>
      <w:r>
        <w:rPr>
          <w:rFonts w:hint="eastAsia" w:cs="仿宋_GB2312" w:asciiTheme="minorEastAsia" w:hAnsiTheme="minorEastAsia"/>
          <w:lang w:val="zh-CN"/>
        </w:rPr>
        <w:t>”</w:t>
      </w:r>
      <w:r>
        <w:rPr>
          <w:rFonts w:hint="eastAsia" w:cs="仿宋_GB2312" w:asciiTheme="minorEastAsia" w:hAnsiTheme="minorEastAsia"/>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tabs>
          <w:tab w:val="left" w:pos="1260"/>
        </w:tabs>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3</w:t>
      </w:r>
      <w:r>
        <w:rPr>
          <w:rFonts w:hint="eastAsia" w:cs="仿宋_GB2312" w:asciiTheme="minorEastAsia" w:hAnsiTheme="minorEastAsia"/>
          <w:b/>
          <w:sz w:val="24"/>
          <w:szCs w:val="24"/>
          <w:lang w:val="zh-CN"/>
        </w:rPr>
        <w:t>）投标无效情形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2）符合性审查资料未按采购文件要求签署、盖章的；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w:t>
      </w:r>
      <w:r>
        <w:rPr>
          <w:rFonts w:hint="eastAsia" w:cs="仿宋_GB2312" w:asciiTheme="minorEastAsia" w:hAnsiTheme="minorEastAsia"/>
          <w:sz w:val="24"/>
          <w:szCs w:val="24"/>
          <w:lang w:val="zh-CN"/>
        </w:rPr>
        <w:t>采购文件</w:t>
      </w:r>
      <w:r>
        <w:rPr>
          <w:rFonts w:cs="仿宋_GB2312" w:asciiTheme="minorEastAsia" w:hAnsiTheme="minorEastAsia"/>
          <w:sz w:val="24"/>
          <w:szCs w:val="24"/>
          <w:lang w:val="zh-CN"/>
        </w:rPr>
        <w:t>规定的其他无效情形。</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4</w:t>
      </w:r>
      <w:r>
        <w:rPr>
          <w:rFonts w:hint="eastAsia" w:cs="仿宋_GB2312" w:asciiTheme="minorEastAsia" w:hAnsiTheme="minorEastAsia" w:eastAsiaTheme="minorEastAsia"/>
          <w:b/>
          <w:szCs w:val="24"/>
          <w:lang w:val="zh-CN"/>
        </w:rPr>
        <w:t>）成交原则</w:t>
      </w:r>
    </w:p>
    <w:p>
      <w:pPr>
        <w:pStyle w:val="12"/>
        <w:spacing w:line="360" w:lineRule="auto"/>
        <w:ind w:firstLine="480" w:firstLineChars="200"/>
        <w:contextualSpacing/>
        <w:rPr>
          <w:rFonts w:cs="仿宋_GB2312" w:asciiTheme="minorEastAsia" w:hAnsiTheme="minorEastAsia" w:eastAsiaTheme="minorEastAsia"/>
          <w:szCs w:val="24"/>
          <w:u w:val="single"/>
          <w:lang w:val="zh-CN"/>
        </w:rPr>
      </w:pPr>
      <w:r>
        <w:rPr>
          <w:rFonts w:hint="eastAsia" w:cs="仿宋_GB2312" w:asciiTheme="minorEastAsia" w:hAnsiTheme="minorEastAsia" w:eastAsiaTheme="minorEastAsia"/>
          <w:szCs w:val="24"/>
          <w:u w:val="single"/>
          <w:lang w:val="zh-CN"/>
        </w:rPr>
        <w:t>根据质量和服务均能满足采购文件实质性响应要求且最后报价最低的原则。</w:t>
      </w: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其中：价格计算（落实政府采购政策价格调整部分）</w:t>
      </w:r>
    </w:p>
    <w:tbl>
      <w:tblPr>
        <w:tblStyle w:val="2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序号</w:t>
            </w:r>
          </w:p>
        </w:tc>
        <w:tc>
          <w:tcPr>
            <w:tcW w:w="2823" w:type="dxa"/>
            <w:vAlign w:val="center"/>
          </w:tcPr>
          <w:p>
            <w:pPr>
              <w:jc w:val="center"/>
              <w:rPr>
                <w:rFonts w:ascii="宋体" w:hAnsi="宋体"/>
                <w:b/>
                <w:sz w:val="24"/>
                <w:szCs w:val="24"/>
                <w:lang w:val="en-GB"/>
              </w:rPr>
            </w:pPr>
            <w:r>
              <w:rPr>
                <w:rFonts w:hint="eastAsia" w:ascii="宋体" w:hAnsi="宋体"/>
                <w:b/>
                <w:sz w:val="24"/>
                <w:szCs w:val="24"/>
                <w:lang w:val="en-GB"/>
              </w:rPr>
              <w:t>情形</w:t>
            </w:r>
          </w:p>
        </w:tc>
        <w:tc>
          <w:tcPr>
            <w:tcW w:w="2552" w:type="dxa"/>
            <w:vAlign w:val="center"/>
          </w:tcPr>
          <w:p>
            <w:pPr>
              <w:jc w:val="center"/>
              <w:rPr>
                <w:rFonts w:ascii="宋体" w:hAnsi="宋体"/>
                <w:b/>
                <w:sz w:val="24"/>
                <w:szCs w:val="24"/>
                <w:lang w:val="en-GB"/>
              </w:rPr>
            </w:pPr>
            <w:r>
              <w:rPr>
                <w:rFonts w:hint="eastAsia" w:ascii="宋体" w:hAnsi="宋体"/>
                <w:b/>
                <w:sz w:val="24"/>
                <w:szCs w:val="24"/>
              </w:rPr>
              <w:t>价格扣除</w:t>
            </w:r>
            <w:r>
              <w:rPr>
                <w:rFonts w:hint="eastAsia" w:ascii="宋体" w:hAnsi="宋体"/>
                <w:b/>
                <w:sz w:val="24"/>
                <w:szCs w:val="24"/>
                <w:lang w:val="en-GB"/>
              </w:rPr>
              <w:t>比例</w:t>
            </w:r>
          </w:p>
        </w:tc>
        <w:tc>
          <w:tcPr>
            <w:tcW w:w="2835" w:type="dxa"/>
            <w:vAlign w:val="center"/>
          </w:tcPr>
          <w:p>
            <w:pPr>
              <w:jc w:val="center"/>
              <w:rPr>
                <w:rFonts w:ascii="宋体" w:hAnsi="宋体"/>
                <w:b/>
                <w:sz w:val="24"/>
                <w:szCs w:val="24"/>
                <w:lang w:val="en-GB"/>
              </w:rPr>
            </w:pPr>
            <w:r>
              <w:rPr>
                <w:rFonts w:hint="eastAsia" w:ascii="宋体" w:hAnsi="宋体"/>
                <w:b/>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1</w:t>
            </w:r>
          </w:p>
        </w:tc>
        <w:tc>
          <w:tcPr>
            <w:tcW w:w="2823" w:type="dxa"/>
            <w:vAlign w:val="center"/>
          </w:tcPr>
          <w:p>
            <w:pPr>
              <w:jc w:val="center"/>
              <w:rPr>
                <w:rFonts w:ascii="宋体" w:hAnsi="宋体"/>
                <w:color w:val="FF0000"/>
                <w:sz w:val="24"/>
                <w:szCs w:val="24"/>
                <w:lang w:val="en-GB"/>
              </w:rPr>
            </w:pPr>
            <w:r>
              <w:rPr>
                <w:rFonts w:hint="eastAsia" w:ascii="宋体" w:hAnsi="宋体"/>
                <w:color w:val="FF0000"/>
                <w:sz w:val="24"/>
                <w:szCs w:val="24"/>
                <w:lang w:val="en-GB"/>
              </w:rPr>
              <w:t>非联合体投标人</w:t>
            </w:r>
          </w:p>
        </w:tc>
        <w:tc>
          <w:tcPr>
            <w:tcW w:w="2552" w:type="dxa"/>
            <w:vAlign w:val="center"/>
          </w:tcPr>
          <w:p>
            <w:pPr>
              <w:jc w:val="center"/>
              <w:rPr>
                <w:rFonts w:ascii="宋体" w:hAnsi="宋体"/>
                <w:b/>
                <w:sz w:val="24"/>
                <w:szCs w:val="24"/>
                <w:lang w:val="en-GB"/>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sz w:val="24"/>
                <w:szCs w:val="24"/>
                <w:lang w:val="en-GB"/>
              </w:rPr>
            </w:pPr>
            <w:r>
              <w:rPr>
                <w:rFonts w:hint="eastAsia"/>
                <w:sz w:val="24"/>
                <w:szCs w:val="24"/>
                <w:lang w:val="en-GB"/>
              </w:rPr>
              <w:t>最后报价＝最后投标报价—</w:t>
            </w:r>
            <w:r>
              <w:rPr>
                <w:rFonts w:hint="eastAsia"/>
                <w:sz w:val="24"/>
                <w:szCs w:val="24"/>
              </w:rPr>
              <w:t>小型和微型企业产品的价格</w:t>
            </w:r>
            <w:r>
              <w:rPr>
                <w:rFonts w:hint="eastAsia" w:ascii="宋体" w:hAnsi="宋体"/>
                <w:sz w:val="24"/>
                <w:szCs w:val="24"/>
                <w:lang w:val="en-GB"/>
              </w:rPr>
              <w:t>×</w:t>
            </w:r>
            <w:r>
              <w:rPr>
                <w:rFonts w:hint="eastAsia"/>
                <w:sz w:val="24"/>
                <w:szCs w:val="24"/>
                <w:lang w:val="en-GB"/>
              </w:rPr>
              <w:t>6%</w:t>
            </w:r>
          </w:p>
          <w:p>
            <w:pPr>
              <w:jc w:val="center"/>
              <w:rPr>
                <w:rFonts w:ascii="宋体" w:hAns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2</w:t>
            </w:r>
          </w:p>
        </w:tc>
        <w:tc>
          <w:tcPr>
            <w:tcW w:w="2823" w:type="dxa"/>
            <w:vAlign w:val="center"/>
          </w:tcPr>
          <w:p>
            <w:pPr>
              <w:jc w:val="center"/>
              <w:rPr>
                <w:rFonts w:ascii="宋体" w:hAnsi="宋体"/>
                <w:b/>
                <w:sz w:val="24"/>
                <w:szCs w:val="24"/>
              </w:rPr>
            </w:pPr>
            <w:r>
              <w:rPr>
                <w:rFonts w:hint="eastAsia" w:ascii="宋体" w:hAnsi="宋体"/>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3</w:t>
            </w:r>
          </w:p>
        </w:tc>
        <w:tc>
          <w:tcPr>
            <w:tcW w:w="2823" w:type="dxa"/>
            <w:vAlign w:val="center"/>
          </w:tcPr>
          <w:p>
            <w:pPr>
              <w:jc w:val="center"/>
              <w:rPr>
                <w:rFonts w:ascii="宋体" w:hAnsi="宋体"/>
                <w:b/>
                <w:sz w:val="24"/>
                <w:szCs w:val="24"/>
                <w:lang w:val="en-GB"/>
              </w:rPr>
            </w:pPr>
            <w:r>
              <w:rPr>
                <w:rFonts w:hint="eastAsia" w:ascii="宋体" w:hAnsi="宋体"/>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对联合体总金额扣除</w:t>
            </w:r>
          </w:p>
          <w:p>
            <w:pPr>
              <w:jc w:val="center"/>
              <w:rPr>
                <w:rFonts w:ascii="宋体" w:hAnsi="宋体"/>
                <w:b/>
                <w:sz w:val="24"/>
                <w:szCs w:val="24"/>
                <w:lang w:val="en-GB"/>
              </w:rPr>
            </w:pPr>
            <w:r>
              <w:rPr>
                <w:rFonts w:ascii="宋体" w:hAnsi="宋体"/>
                <w:sz w:val="24"/>
                <w:szCs w:val="24"/>
                <w:u w:val="single"/>
              </w:rPr>
              <w:t>2</w:t>
            </w:r>
            <w:r>
              <w:rPr>
                <w:rFonts w:hint="eastAsia" w:ascii="宋体" w:hAnsi="宋体"/>
                <w:sz w:val="24"/>
                <w:szCs w:val="24"/>
              </w:rPr>
              <w:t>%</w:t>
            </w:r>
          </w:p>
        </w:tc>
        <w:tc>
          <w:tcPr>
            <w:tcW w:w="2835" w:type="dxa"/>
            <w:shd w:val="clear" w:color="auto" w:fill="auto"/>
            <w:vAlign w:val="center"/>
          </w:tcPr>
          <w:p>
            <w:pPr>
              <w:jc w:val="center"/>
              <w:rPr>
                <w:rFonts w:ascii="宋体" w:hAnsi="宋体"/>
                <w:sz w:val="24"/>
                <w:szCs w:val="24"/>
              </w:rPr>
            </w:pPr>
            <w:r>
              <w:rPr>
                <w:rFonts w:hint="eastAsia"/>
                <w:sz w:val="24"/>
                <w:szCs w:val="24"/>
                <w:lang w:val="en-GB"/>
              </w:rPr>
              <w:t>最后报价</w:t>
            </w:r>
            <w:r>
              <w:rPr>
                <w:rFonts w:hint="eastAsia" w:ascii="宋体" w:hAnsi="宋体"/>
                <w:sz w:val="24"/>
                <w:szCs w:val="24"/>
                <w:lang w:val="en-GB"/>
              </w:rPr>
              <w:t>＝</w:t>
            </w:r>
            <w:r>
              <w:rPr>
                <w:rFonts w:hint="eastAsia"/>
                <w:sz w:val="24"/>
                <w:szCs w:val="24"/>
                <w:lang w:val="en-GB"/>
              </w:rPr>
              <w:t>最后投标报价</w:t>
            </w:r>
            <w:r>
              <w:rPr>
                <w:rFonts w:hint="eastAsia" w:ascii="宋体" w:hAnsi="宋体"/>
                <w:sz w:val="24"/>
                <w:szCs w:val="24"/>
                <w:lang w:val="en-GB"/>
              </w:rPr>
              <w:t>×</w:t>
            </w:r>
            <w:r>
              <w:rPr>
                <w:rFonts w:hint="eastAsia" w:ascii="宋体" w:hAnsi="宋体"/>
                <w:sz w:val="24"/>
                <w:szCs w:val="24"/>
              </w:rPr>
              <w:t>(1-</w:t>
            </w:r>
            <w:r>
              <w:rPr>
                <w:rFonts w:ascii="宋体" w:hAnsi="宋体"/>
                <w:sz w:val="24"/>
                <w:szCs w:val="24"/>
              </w:rPr>
              <w:t>2</w:t>
            </w:r>
            <w:r>
              <w:rPr>
                <w:rFonts w:hint="eastAsia" w:ascii="宋体" w:hAnsi="宋体"/>
                <w:sz w:val="24"/>
                <w:szCs w:val="24"/>
              </w:rPr>
              <w:t>%)</w:t>
            </w:r>
          </w:p>
          <w:p>
            <w:pPr>
              <w:jc w:val="center"/>
              <w:rPr>
                <w:rFonts w:ascii="宋体" w:hAns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4</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监狱企业</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视同小型、微型企业</w:t>
            </w:r>
          </w:p>
          <w:p>
            <w:pPr>
              <w:jc w:val="center"/>
              <w:rPr>
                <w:rFonts w:ascii="宋体" w:hAnsi="宋体"/>
                <w:sz w:val="24"/>
                <w:szCs w:val="24"/>
                <w:lang w:val="en-GB"/>
              </w:rPr>
            </w:pPr>
            <w:r>
              <w:rPr>
                <w:rFonts w:hint="eastAsia" w:ascii="宋体" w:hAnsi="宋体"/>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sz w:val="24"/>
                <w:szCs w:val="24"/>
                <w:lang w:val="en-GB"/>
              </w:rPr>
            </w:pPr>
            <w:r>
              <w:rPr>
                <w:rFonts w:hint="eastAsia"/>
                <w:sz w:val="24"/>
                <w:szCs w:val="24"/>
                <w:lang w:val="en-GB"/>
              </w:rPr>
              <w:t>最后报价＝最后投标报价—</w:t>
            </w:r>
            <w:r>
              <w:rPr>
                <w:rFonts w:hint="eastAsia"/>
                <w:sz w:val="24"/>
                <w:szCs w:val="24"/>
              </w:rPr>
              <w:t>监狱企业产品的价格</w:t>
            </w:r>
            <w:r>
              <w:rPr>
                <w:rFonts w:hint="eastAsia" w:ascii="宋体" w:hAnsi="宋体"/>
                <w:sz w:val="24"/>
                <w:szCs w:val="24"/>
                <w:lang w:val="en-GB"/>
              </w:rPr>
              <w:t>×</w:t>
            </w:r>
            <w:r>
              <w:rPr>
                <w:rFonts w:hint="eastAsia"/>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5</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残疾人福利性单位</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视同小型、微型企业</w:t>
            </w:r>
          </w:p>
          <w:p>
            <w:pPr>
              <w:jc w:val="center"/>
              <w:rPr>
                <w:rFonts w:ascii="宋体" w:hAnsi="宋体"/>
                <w:sz w:val="24"/>
                <w:szCs w:val="24"/>
                <w:lang w:val="en-GB"/>
              </w:rPr>
            </w:pPr>
            <w:r>
              <w:rPr>
                <w:rFonts w:hint="eastAsia" w:ascii="宋体" w:hAnsi="宋体"/>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sz w:val="24"/>
                <w:szCs w:val="24"/>
                <w:lang w:val="en-GB"/>
              </w:rPr>
            </w:pPr>
            <w:r>
              <w:rPr>
                <w:rFonts w:hint="eastAsia"/>
                <w:sz w:val="24"/>
                <w:szCs w:val="24"/>
                <w:lang w:val="en-GB"/>
              </w:rPr>
              <w:t>最后报价＝最后投标报价—</w:t>
            </w:r>
            <w:r>
              <w:rPr>
                <w:rFonts w:hint="eastAsia"/>
                <w:sz w:val="24"/>
                <w:szCs w:val="24"/>
              </w:rPr>
              <w:t>残疾人福利性单位产品的价格</w:t>
            </w:r>
            <w:r>
              <w:rPr>
                <w:rFonts w:hint="eastAsia" w:ascii="宋体" w:hAnsi="宋体"/>
                <w:sz w:val="24"/>
                <w:szCs w:val="24"/>
                <w:lang w:val="en-GB"/>
              </w:rPr>
              <w:t>×</w:t>
            </w:r>
            <w:r>
              <w:rPr>
                <w:rFonts w:hint="eastAsia"/>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ascii="宋体" w:hAnsi="宋体"/>
          <w:bCs/>
          <w:sz w:val="24"/>
          <w:szCs w:val="24"/>
          <w:lang w:val="en-GB"/>
        </w:rPr>
      </w:pPr>
      <w:r>
        <w:rPr>
          <w:rFonts w:hint="eastAsia" w:ascii="宋体" w:hAnsi="宋体"/>
          <w:bCs/>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a、不接受联合体投标的项目，本表中第2项、第3项情形不适用。</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b、小型和微型企业产品包括货物及其提供的服务与工程。</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d、残疾人福利性单位属于小型、微型企业的，不重复享受政策。</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谈判小组</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确定成交候选人名单，以及根据采购人委托直接确定成交人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2"/>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（此合同仅供参考。以最终采购人与成交人签定的合同条款为准进行公示，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最终签定合同的主要条款不能与采购文件有冲突）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系指成交后提供合同服务的</w:t>
      </w:r>
      <w:r>
        <w:rPr>
          <w:rFonts w:hint="eastAsia" w:ascii="宋体" w:cs="宋体"/>
          <w:bCs/>
          <w:sz w:val="24"/>
          <w:lang w:val="zh-CN"/>
        </w:rPr>
        <w:t>成交方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本合同项下所提供货物设备和服务应与本采购文件规定的标准相一致。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1" w:name="_Toc174185203"/>
      <w:bookmarkStart w:id="2" w:name="_Toc184023138"/>
      <w:bookmarkStart w:id="3" w:name="_Toc186274126"/>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szCs w:val="21"/>
                <w:lang w:eastAsia="zh-CN"/>
              </w:rPr>
            </w:pPr>
            <w:r>
              <w:rPr>
                <w:rFonts w:hint="eastAsia" w:ascii="宋体" w:hAnsi="宋体" w:cs="微软雅黑"/>
                <w:szCs w:val="21"/>
              </w:rPr>
              <w:t>2</w:t>
            </w:r>
            <w:r>
              <w:rPr>
                <w:rFonts w:hint="eastAsia" w:ascii="宋体" w:hAnsi="宋体" w:cs="微软雅黑"/>
                <w:szCs w:val="21"/>
                <w:lang w:val="en-US" w:eastAsia="zh-CN"/>
              </w:rPr>
              <w:t>3</w:t>
            </w:r>
          </w:p>
        </w:tc>
        <w:tc>
          <w:tcPr>
            <w:tcW w:w="774" w:type="dxa"/>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vAlign w:val="center"/>
          </w:tcPr>
          <w:p>
            <w:pPr>
              <w:pStyle w:val="12"/>
              <w:kinsoku w:val="0"/>
              <w:overflowPunct w:val="0"/>
              <w:autoSpaceDE w:val="0"/>
              <w:autoSpaceDN w:val="0"/>
              <w:spacing w:line="320" w:lineRule="exact"/>
            </w:pPr>
            <w:r>
              <w:rPr>
                <w:rFonts w:hint="eastAsia" w:asciiTheme="majorEastAsia" w:hAnsiTheme="majorEastAsia" w:eastAsiaTheme="majorEastAsia" w:cstheme="majorEastAsia"/>
                <w:bCs/>
                <w:szCs w:val="24"/>
                <w:lang w:val="zh-CN"/>
              </w:rPr>
              <w:t>所投产品符合国家强制性要求承诺函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0" w:hRule="atLeast"/>
        </w:trPr>
        <w:tc>
          <w:tcPr>
            <w:tcW w:w="468" w:type="dxa"/>
            <w:vMerge w:val="restart"/>
            <w:vAlign w:val="center"/>
          </w:tcPr>
          <w:p>
            <w:pPr>
              <w:adjustRightInd w:val="0"/>
              <w:snapToGrid w:val="0"/>
              <w:spacing w:line="400" w:lineRule="exact"/>
              <w:jc w:val="center"/>
              <w:textAlignment w:val="baseline"/>
              <w:rPr>
                <w:rFonts w:hint="eastAsia" w:ascii="宋体" w:hAnsi="宋体" w:cs="微软雅黑" w:eastAsiaTheme="minorEastAsia"/>
                <w:szCs w:val="21"/>
                <w:lang w:eastAsia="zh-CN"/>
              </w:rPr>
            </w:pPr>
            <w:r>
              <w:rPr>
                <w:rFonts w:hint="eastAsia" w:ascii="宋体" w:hAnsi="宋体" w:cs="微软雅黑"/>
                <w:szCs w:val="21"/>
              </w:rPr>
              <w:t>2</w:t>
            </w:r>
            <w:r>
              <w:rPr>
                <w:rFonts w:hint="eastAsia" w:ascii="宋体" w:hAnsi="宋体" w:cs="微软雅黑"/>
                <w:szCs w:val="21"/>
                <w:lang w:val="en-US" w:eastAsia="zh-CN"/>
              </w:rPr>
              <w:t>4</w:t>
            </w:r>
          </w:p>
        </w:tc>
        <w:tc>
          <w:tcPr>
            <w:tcW w:w="774" w:type="dxa"/>
            <w:vMerge w:val="restart"/>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color w:val="8064A2" w:themeColor="accent4"/>
                <w:kern w:val="0"/>
                <w:szCs w:val="24"/>
              </w:rPr>
            </w:pPr>
            <w:r>
              <w:rPr>
                <w:rFonts w:cs="宋体" w:asciiTheme="minorEastAsia" w:hAnsiTheme="minorEastAsia"/>
                <w:color w:val="8064A2" w:themeColor="accent4"/>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color w:val="8064A2" w:themeColor="accent4"/>
                <w:szCs w:val="24"/>
                <w:lang w:val="zh-CN"/>
              </w:rPr>
            </w:pPr>
            <w:r>
              <w:rPr>
                <w:rFonts w:hint="eastAsia" w:cs="宋体" w:asciiTheme="minorEastAsia" w:hAnsiTheme="minorEastAsia"/>
                <w:color w:val="8064A2" w:themeColor="accent4"/>
                <w:kern w:val="0"/>
                <w:szCs w:val="24"/>
              </w:rPr>
              <w:t>认证机构颁发的认证证书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84"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color w:val="8064A2" w:themeColor="accent4"/>
                <w:kern w:val="0"/>
                <w:szCs w:val="24"/>
              </w:rPr>
            </w:pP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color w:val="8064A2" w:themeColor="accent4"/>
                <w:szCs w:val="24"/>
                <w:lang w:val="zh-CN"/>
              </w:rPr>
            </w:pPr>
            <w:r>
              <w:rPr>
                <w:rFonts w:hint="eastAsia" w:cs="宋体" w:asciiTheme="minorEastAsia" w:hAnsiTheme="minorEastAsia"/>
                <w:color w:val="8064A2" w:themeColor="accent4"/>
                <w:kern w:val="0"/>
                <w:szCs w:val="24"/>
              </w:rPr>
              <w:t>中国信息安全认证中心官网产品查询结果截图</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szCs w:val="21"/>
                <w:lang w:eastAsia="zh-CN"/>
              </w:rPr>
            </w:pPr>
            <w:r>
              <w:rPr>
                <w:rFonts w:hint="eastAsia" w:ascii="宋体" w:hAnsi="宋体" w:cs="微软雅黑"/>
                <w:szCs w:val="21"/>
              </w:rPr>
              <w:t>2</w:t>
            </w:r>
            <w:r>
              <w:rPr>
                <w:rFonts w:hint="eastAsia" w:ascii="宋体" w:hAnsi="宋体" w:cs="微软雅黑"/>
                <w:szCs w:val="21"/>
                <w:lang w:val="en-US" w:eastAsia="zh-CN"/>
              </w:rPr>
              <w:t>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spacing w:line="360" w:lineRule="auto"/>
        <w:contextualSpacing/>
        <w:rPr>
          <w:rFonts w:asciiTheme="minorEastAsia" w:hAnsiTheme="minorEastAsia"/>
          <w:sz w:val="24"/>
          <w:szCs w:val="24"/>
        </w:rPr>
      </w:pPr>
      <w:r>
        <w:rPr>
          <w:rFonts w:hint="eastAsia" w:asciiTheme="minorEastAsia" w:hAnsiTheme="minorEastAsia"/>
          <w:sz w:val="24"/>
          <w:szCs w:val="24"/>
        </w:rPr>
        <w:t xml:space="preserve">项目名称：                                             </w:t>
      </w:r>
      <w:r>
        <w:rPr>
          <w:rFonts w:hint="eastAsia" w:cs="Arial" w:asciiTheme="minorEastAsia" w:hAnsiTheme="minorEastAsia"/>
          <w:sz w:val="24"/>
          <w:szCs w:val="24"/>
        </w:rPr>
        <w:t>单位：元（人民币）</w:t>
      </w:r>
    </w:p>
    <w:tbl>
      <w:tblPr>
        <w:tblStyle w:val="2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日期：年月日</w:t>
      </w:r>
      <w:bookmarkStart w:id="9" w:name="_GoBack"/>
      <w:bookmarkEnd w:id="9"/>
    </w:p>
    <w:p>
      <w:pPr>
        <w:autoSpaceDE w:val="0"/>
        <w:autoSpaceDN w:val="0"/>
        <w:adjustRightInd w:val="0"/>
        <w:spacing w:line="480" w:lineRule="auto"/>
        <w:rPr>
          <w:rFonts w:cs="宋体" w:asciiTheme="minorEastAsia" w:hAnsiTheme="minorEastAsia"/>
          <w:color w:val="FF0000"/>
          <w:sz w:val="24"/>
          <w:szCs w:val="24"/>
          <w:lang w:val="zh-CN"/>
        </w:rPr>
      </w:pPr>
      <w:r>
        <w:rPr>
          <w:rFonts w:hint="eastAsia" w:cs="宋体" w:asciiTheme="minorEastAsia" w:hAnsiTheme="minorEastAsia"/>
          <w:color w:val="FF0000"/>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_（项目名称、项目编号）采购的采购公告及投标邀请，_______（姓名和职务）被正式授权并代表投标人（投标人名称、地址）提交。</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我方确认收到贵方提供的（项目名称、项目编号）采购文件的全部内容。</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asciiTheme="minorEastAsia" w:hAnsiTheme="minorEastAsia" w:eastAsiaTheme="minorEastAsia"/>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我方已完全明白采购文件的所有条款要求，并申明如下：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一、按采购文件提供的全部货物与相关服务的投标总价详见《开标一览表》。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六、我方如果成交，将保证履行采购文件及其澄清、修改文件（如果有）中的全部责任和义务，按质、按量、按期完成《项目需求》及《合同书》中的全部任务。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（2）我方已依法缴纳了各项税费及社会保险费用，如有需要，可随时向采购人提供近四个月内的相关缴费证明，以便核查。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2"/>
        <w:adjustRightInd w:val="0"/>
        <w:snapToGrid w:val="0"/>
        <w:spacing w:line="360" w:lineRule="auto"/>
        <w:rPr>
          <w:rFonts w:asciiTheme="minorEastAsia" w:hAnsiTheme="minorEastAsia" w:eastAsiaTheme="minorEastAsia"/>
          <w:szCs w:val="24"/>
        </w:rPr>
      </w:pPr>
    </w:p>
    <w:p>
      <w:pPr>
        <w:pStyle w:val="1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  邮政编码：.</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  传    真：.</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  职    务：.</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3.2 法定代表人</w:t>
      </w:r>
      <w:r>
        <w:rPr>
          <w:rFonts w:asciiTheme="majorEastAsia" w:hAnsiTheme="majorEastAsia" w:eastAsiaTheme="majorEastAsia"/>
          <w:b/>
          <w:bCs/>
          <w:sz w:val="36"/>
          <w:szCs w:val="36"/>
        </w:rPr>
        <w:t>资</w:t>
      </w:r>
      <w:r>
        <w:rPr>
          <w:rFonts w:hint="eastAsia" w:asciiTheme="majorEastAsia" w:hAnsiTheme="majorEastAsia" w:eastAsiaTheme="majorEastAsia"/>
          <w:b/>
          <w:bCs/>
          <w:sz w:val="36"/>
          <w:szCs w:val="36"/>
        </w:rPr>
        <w:t>格</w:t>
      </w:r>
      <w:r>
        <w:rPr>
          <w:rFonts w:asciiTheme="majorEastAsia" w:hAnsiTheme="majorEastAsia" w:eastAsiaTheme="majorEastAsia"/>
          <w:b/>
          <w:bCs/>
          <w:sz w:val="36"/>
          <w:szCs w:val="36"/>
        </w:rPr>
        <w:t>证</w:t>
      </w:r>
      <w:r>
        <w:rPr>
          <w:rFonts w:hint="eastAsia" w:asciiTheme="majorEastAsia" w:hAnsiTheme="majorEastAsia" w:eastAsiaTheme="majorEastAsia"/>
          <w:b/>
          <w:bCs/>
          <w:sz w:val="36"/>
          <w:szCs w:val="36"/>
        </w:rPr>
        <w:t>明</w:t>
      </w:r>
      <w:r>
        <w:rPr>
          <w:rFonts w:asciiTheme="majorEastAsia" w:hAnsiTheme="majorEastAsia" w:eastAsiaTheme="majorEastAsia"/>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39"/>
        <w:spacing w:line="480" w:lineRule="auto"/>
        <w:ind w:firstLine="540" w:firstLineChars="225"/>
        <w:jc w:val="left"/>
        <w:rPr>
          <w:rFonts w:asciiTheme="minorEastAsia" w:hAnsiTheme="minorEastAsia"/>
          <w:szCs w:val="24"/>
        </w:rPr>
      </w:pPr>
      <w:r>
        <w:rPr>
          <w:rFonts w:asciiTheme="minorEastAsia" w:hAnsiTheme="minorEastAsia"/>
          <w:szCs w:val="24"/>
        </w:rPr>
        <w:t>单</w:t>
      </w:r>
      <w:r>
        <w:rPr>
          <w:rFonts w:hint="eastAsia" w:asciiTheme="minorEastAsia" w:hAnsiTheme="minorEastAsia"/>
          <w:szCs w:val="24"/>
        </w:rPr>
        <w:t>位名</w:t>
      </w:r>
      <w:r>
        <w:rPr>
          <w:rFonts w:asciiTheme="minorEastAsia" w:hAnsiTheme="minorEastAsia"/>
          <w:szCs w:val="24"/>
        </w:rPr>
        <w:t>称</w:t>
      </w:r>
      <w:r>
        <w:rPr>
          <w:rFonts w:hint="eastAsia" w:asciiTheme="minorEastAsia" w:hAnsiTheme="minorEastAsia"/>
          <w:szCs w:val="24"/>
        </w:rPr>
        <w:t>：</w:t>
      </w:r>
    </w:p>
    <w:p>
      <w:pPr>
        <w:pStyle w:val="39"/>
        <w:spacing w:line="480" w:lineRule="auto"/>
        <w:ind w:firstLine="540" w:firstLineChars="225"/>
        <w:jc w:val="left"/>
        <w:rPr>
          <w:rFonts w:asciiTheme="minorEastAsia" w:hAnsiTheme="minorEastAsia"/>
          <w:szCs w:val="24"/>
        </w:rPr>
      </w:pPr>
      <w:r>
        <w:rPr>
          <w:rFonts w:hint="eastAsia" w:asciiTheme="minorEastAsia" w:hAnsiTheme="minorEastAsia"/>
          <w:szCs w:val="24"/>
        </w:rPr>
        <w:t>地址：</w:t>
      </w:r>
    </w:p>
    <w:p>
      <w:pPr>
        <w:pStyle w:val="39"/>
        <w:spacing w:line="480" w:lineRule="auto"/>
        <w:ind w:firstLine="540" w:firstLineChars="225"/>
        <w:jc w:val="left"/>
        <w:rPr>
          <w:rFonts w:asciiTheme="minorEastAsia" w:hAnsiTheme="minorEastAsia"/>
          <w:szCs w:val="24"/>
        </w:rPr>
      </w:pPr>
      <w:r>
        <w:rPr>
          <w:rFonts w:hint="eastAsia" w:asciiTheme="minorEastAsia" w:hAnsiTheme="minorEastAsia"/>
          <w:szCs w:val="24"/>
        </w:rPr>
        <w:t>姓名：       性</w:t>
      </w:r>
      <w:r>
        <w:rPr>
          <w:rFonts w:asciiTheme="minorEastAsia" w:hAnsiTheme="minorEastAsia"/>
          <w:szCs w:val="24"/>
        </w:rPr>
        <w:t>别</w:t>
      </w:r>
      <w:r>
        <w:rPr>
          <w:rFonts w:hint="eastAsia" w:asciiTheme="minorEastAsia" w:hAnsiTheme="minorEastAsia"/>
          <w:szCs w:val="24"/>
        </w:rPr>
        <w:t>：     年</w:t>
      </w:r>
      <w:r>
        <w:rPr>
          <w:rFonts w:asciiTheme="minorEastAsia" w:hAnsiTheme="minorEastAsia"/>
          <w:szCs w:val="24"/>
        </w:rPr>
        <w:t>龄</w:t>
      </w:r>
      <w:r>
        <w:rPr>
          <w:rFonts w:hint="eastAsia" w:asciiTheme="minorEastAsia" w:hAnsiTheme="minorEastAsia"/>
          <w:szCs w:val="24"/>
        </w:rPr>
        <w:t>：</w:t>
      </w:r>
      <w:r>
        <w:rPr>
          <w:rFonts w:asciiTheme="minorEastAsia" w:hAnsiTheme="minorEastAsia"/>
          <w:szCs w:val="24"/>
        </w:rPr>
        <w:t xml:space="preserve">     职务</w:t>
      </w:r>
      <w:r>
        <w:rPr>
          <w:rFonts w:hint="eastAsia" w:asciiTheme="minorEastAsia" w:hAnsiTheme="minorEastAsia"/>
          <w:szCs w:val="24"/>
        </w:rPr>
        <w:t xml:space="preserve">：        </w:t>
      </w:r>
    </w:p>
    <w:p>
      <w:pPr>
        <w:pStyle w:val="39"/>
        <w:spacing w:line="480" w:lineRule="auto"/>
        <w:ind w:firstLine="540" w:firstLineChars="225"/>
        <w:jc w:val="left"/>
        <w:rPr>
          <w:rFonts w:asciiTheme="minorEastAsia" w:hAnsiTheme="minorEastAsia"/>
          <w:szCs w:val="24"/>
        </w:rPr>
      </w:pPr>
      <w:r>
        <w:rPr>
          <w:rFonts w:hint="eastAsia" w:asciiTheme="minorEastAsia" w:hAnsiTheme="minorEastAsia"/>
          <w:szCs w:val="24"/>
        </w:rPr>
        <w:t>本人系</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szCs w:val="24"/>
        </w:rPr>
        <w:t>的法定代表人。就</w:t>
      </w:r>
      <w:r>
        <w:rPr>
          <w:rFonts w:asciiTheme="minorEastAsia" w:hAnsiTheme="minorEastAsia"/>
          <w:szCs w:val="24"/>
        </w:rPr>
        <w:t>参</w:t>
      </w:r>
      <w:r>
        <w:rPr>
          <w:rFonts w:hint="eastAsia" w:asciiTheme="minorEastAsia" w:hAnsiTheme="minor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hint="eastAsia" w:asciiTheme="minorEastAsia" w:hAnsiTheme="minorEastAsia"/>
          <w:szCs w:val="24"/>
        </w:rPr>
        <w:t>的</w:t>
      </w:r>
      <w:r>
        <w:rPr>
          <w:rFonts w:asciiTheme="minorEastAsia" w:hAnsiTheme="minorEastAsia"/>
          <w:i/>
          <w:szCs w:val="24"/>
          <w:u w:val="single"/>
        </w:rPr>
        <w:t>项目</w:t>
      </w:r>
      <w:r>
        <w:rPr>
          <w:rFonts w:hint="eastAsia" w:asciiTheme="minorEastAsia" w:hAnsiTheme="minorEastAsia"/>
          <w:i/>
          <w:szCs w:val="24"/>
          <w:u w:val="single"/>
        </w:rPr>
        <w:t>名</w:t>
      </w:r>
      <w:r>
        <w:rPr>
          <w:rFonts w:asciiTheme="minorEastAsia" w:hAnsiTheme="minorEastAsia"/>
          <w:i/>
          <w:szCs w:val="24"/>
          <w:u w:val="single"/>
        </w:rPr>
        <w:t>称</w:t>
      </w:r>
      <w:r>
        <w:rPr>
          <w:rFonts w:hint="eastAsia" w:asciiTheme="minorEastAsia" w:hAnsiTheme="minorEastAsia"/>
          <w:szCs w:val="24"/>
        </w:rPr>
        <w:t>公</w:t>
      </w:r>
      <w:r>
        <w:rPr>
          <w:rFonts w:asciiTheme="minorEastAsia" w:hAnsiTheme="minorEastAsia"/>
          <w:szCs w:val="24"/>
        </w:rPr>
        <w:t>开</w:t>
      </w:r>
      <w:r>
        <w:rPr>
          <w:rFonts w:hint="eastAsia" w:asciiTheme="minorEastAsia" w:hAnsiTheme="minorEastAsia"/>
          <w:szCs w:val="24"/>
        </w:rPr>
        <w:t>招</w:t>
      </w:r>
      <w:r>
        <w:rPr>
          <w:rFonts w:asciiTheme="minorEastAsia" w:hAnsiTheme="minorEastAsia"/>
          <w:szCs w:val="24"/>
        </w:rPr>
        <w:t>标项目</w:t>
      </w:r>
      <w:r>
        <w:rPr>
          <w:rFonts w:hint="eastAsia" w:asciiTheme="minorEastAsia" w:hAnsiTheme="minorEastAsia"/>
          <w:szCs w:val="24"/>
        </w:rPr>
        <w:t>的投</w:t>
      </w:r>
      <w:r>
        <w:rPr>
          <w:rFonts w:asciiTheme="minorEastAsia" w:hAnsiTheme="minorEastAsia"/>
          <w:szCs w:val="24"/>
        </w:rPr>
        <w:t>标报价</w:t>
      </w:r>
      <w:r>
        <w:rPr>
          <w:rFonts w:hint="eastAsia" w:asciiTheme="minorEastAsia" w:hAnsiTheme="minorEastAsia"/>
          <w:szCs w:val="24"/>
        </w:rPr>
        <w:t>，</w:t>
      </w:r>
      <w:r>
        <w:rPr>
          <w:rFonts w:asciiTheme="minorEastAsia" w:hAnsiTheme="minorEastAsia"/>
          <w:szCs w:val="24"/>
        </w:rPr>
        <w:t>签</w:t>
      </w:r>
      <w:r>
        <w:rPr>
          <w:rFonts w:hint="eastAsia" w:asciiTheme="minorEastAsia" w:hAnsiTheme="minorEastAsia"/>
          <w:szCs w:val="24"/>
        </w:rPr>
        <w:t>署上</w:t>
      </w:r>
      <w:r>
        <w:rPr>
          <w:rFonts w:asciiTheme="minorEastAsia" w:hAnsiTheme="minorEastAsia"/>
          <w:szCs w:val="24"/>
        </w:rPr>
        <w:t>述项目</w:t>
      </w:r>
      <w:r>
        <w:rPr>
          <w:rFonts w:hint="eastAsia" w:asciiTheme="minorEastAsia" w:hAnsiTheme="minorEastAsia"/>
          <w:szCs w:val="24"/>
        </w:rPr>
        <w:t>的投</w:t>
      </w:r>
      <w:r>
        <w:rPr>
          <w:rFonts w:asciiTheme="minorEastAsia" w:hAnsiTheme="minorEastAsia"/>
          <w:szCs w:val="24"/>
        </w:rPr>
        <w:t>标</w:t>
      </w:r>
      <w:r>
        <w:rPr>
          <w:rFonts w:hint="eastAsia" w:asciiTheme="minorEastAsia" w:hAnsiTheme="minorEastAsia"/>
          <w:szCs w:val="24"/>
        </w:rPr>
        <w:t>文件及合同的</w:t>
      </w:r>
      <w:r>
        <w:rPr>
          <w:rFonts w:asciiTheme="minorEastAsia" w:hAnsiTheme="minorEastAsia"/>
          <w:szCs w:val="24"/>
        </w:rPr>
        <w:t>执</w:t>
      </w:r>
      <w:r>
        <w:rPr>
          <w:rFonts w:hint="eastAsia" w:asciiTheme="minorEastAsia" w:hAnsiTheme="minorEastAsia"/>
          <w:szCs w:val="24"/>
        </w:rPr>
        <w:t>行、完成、服</w:t>
      </w:r>
      <w:r>
        <w:rPr>
          <w:rFonts w:asciiTheme="minorEastAsia" w:hAnsiTheme="minorEastAsia"/>
          <w:szCs w:val="24"/>
        </w:rPr>
        <w:t>务</w:t>
      </w:r>
      <w:r>
        <w:rPr>
          <w:rFonts w:hint="eastAsia" w:asciiTheme="minorEastAsia" w:hAnsiTheme="minorEastAsia"/>
          <w:szCs w:val="24"/>
        </w:rPr>
        <w:t>和保修，</w:t>
      </w:r>
      <w:r>
        <w:rPr>
          <w:rFonts w:asciiTheme="minorEastAsia" w:hAnsiTheme="minorEastAsia"/>
          <w:szCs w:val="24"/>
        </w:rPr>
        <w:t>签</w:t>
      </w:r>
      <w:r>
        <w:rPr>
          <w:rFonts w:hint="eastAsia" w:asciiTheme="minorEastAsia" w:hAnsiTheme="minorEastAsia"/>
          <w:szCs w:val="24"/>
        </w:rPr>
        <w:t>署合同和</w:t>
      </w:r>
      <w:r>
        <w:rPr>
          <w:rFonts w:asciiTheme="minorEastAsia" w:hAnsiTheme="minorEastAsia"/>
          <w:szCs w:val="24"/>
        </w:rPr>
        <w:t>处</w:t>
      </w:r>
      <w:r>
        <w:rPr>
          <w:rFonts w:hint="eastAsia" w:asciiTheme="minorEastAsia" w:hAnsiTheme="minorEastAsia"/>
          <w:szCs w:val="24"/>
        </w:rPr>
        <w:t>理与之有</w:t>
      </w:r>
      <w:r>
        <w:rPr>
          <w:rFonts w:asciiTheme="minorEastAsia" w:hAnsiTheme="minorEastAsia"/>
          <w:szCs w:val="24"/>
        </w:rPr>
        <w:t>关的</w:t>
      </w:r>
      <w:r>
        <w:rPr>
          <w:rFonts w:hint="eastAsia" w:asciiTheme="minorEastAsia" w:hAnsiTheme="minorEastAsia"/>
          <w:szCs w:val="24"/>
        </w:rPr>
        <w:t>一切事</w:t>
      </w:r>
      <w:r>
        <w:rPr>
          <w:rFonts w:asciiTheme="minorEastAsia" w:hAnsiTheme="minorEastAsia"/>
          <w:szCs w:val="24"/>
        </w:rPr>
        <w:t>务</w:t>
      </w:r>
      <w:r>
        <w:rPr>
          <w:rFonts w:hint="eastAsia" w:asciiTheme="minorEastAsia" w:hAnsiTheme="minorEastAsia"/>
          <w:szCs w:val="24"/>
        </w:rPr>
        <w:t>。</w:t>
      </w:r>
    </w:p>
    <w:p>
      <w:pPr>
        <w:pStyle w:val="39"/>
        <w:spacing w:line="480" w:lineRule="auto"/>
        <w:ind w:firstLine="540" w:firstLineChars="225"/>
        <w:jc w:val="left"/>
        <w:rPr>
          <w:rFonts w:asciiTheme="minorEastAsia" w:hAnsiTheme="minorEastAsia"/>
          <w:szCs w:val="24"/>
        </w:rPr>
      </w:pPr>
      <w:r>
        <w:rPr>
          <w:rFonts w:hint="eastAsia" w:asciiTheme="minorEastAsia" w:hAnsiTheme="minorEastAsia"/>
          <w:szCs w:val="24"/>
        </w:rPr>
        <w:t>特此</w:t>
      </w:r>
      <w:r>
        <w:rPr>
          <w:rFonts w:asciiTheme="minorEastAsia" w:hAnsiTheme="minorEastAsia"/>
          <w:szCs w:val="24"/>
        </w:rPr>
        <w:t>证</w:t>
      </w:r>
      <w:r>
        <w:rPr>
          <w:rFonts w:hint="eastAsia" w:asciiTheme="minorEastAsia" w:hAnsiTheme="minorEastAsia"/>
          <w:szCs w:val="24"/>
        </w:rPr>
        <w:t>明。</w:t>
      </w:r>
    </w:p>
    <w:p>
      <w:pPr>
        <w:pStyle w:val="39"/>
        <w:spacing w:line="480" w:lineRule="auto"/>
        <w:ind w:firstLine="540" w:firstLineChars="225"/>
        <w:jc w:val="left"/>
        <w:rPr>
          <w:rFonts w:asciiTheme="minorEastAsia" w:hAnsiTheme="minorEastAsia"/>
          <w:szCs w:val="24"/>
        </w:rPr>
      </w:pPr>
    </w:p>
    <w:p>
      <w:pPr>
        <w:pStyle w:val="39"/>
        <w:spacing w:line="480" w:lineRule="auto"/>
        <w:ind w:firstLine="540" w:firstLineChars="225"/>
        <w:jc w:val="left"/>
        <w:rPr>
          <w:rFonts w:asciiTheme="minorEastAsia" w:hAnsiTheme="minorEastAsia"/>
          <w:szCs w:val="24"/>
        </w:rPr>
      </w:pPr>
    </w:p>
    <w:p>
      <w:pPr>
        <w:pStyle w:val="39"/>
        <w:spacing w:line="480" w:lineRule="auto"/>
        <w:ind w:left="-538" w:leftChars="-256" w:firstLine="616" w:firstLineChars="257"/>
        <w:jc w:val="center"/>
        <w:rPr>
          <w:rFonts w:asciiTheme="minorEastAsia" w:hAnsiTheme="minorEastAsia"/>
          <w:bCs/>
          <w:szCs w:val="24"/>
        </w:rPr>
      </w:pPr>
      <w:r>
        <w:rPr>
          <w:rFonts w:hint="eastAsia" w:asciiTheme="minorEastAsia" w:hAnsiTheme="minorEastAsia"/>
          <w:bCs/>
          <w:szCs w:val="24"/>
        </w:rPr>
        <w:t>【此</w:t>
      </w:r>
      <w:r>
        <w:rPr>
          <w:rFonts w:asciiTheme="minorEastAsia" w:hAnsiTheme="minorEastAsia"/>
          <w:bCs/>
          <w:szCs w:val="24"/>
        </w:rPr>
        <w:t>处请</w:t>
      </w:r>
      <w:r>
        <w:rPr>
          <w:rFonts w:hint="eastAsia" w:asciiTheme="minorEastAsia" w:hAnsiTheme="minorEastAsia"/>
          <w:bCs/>
          <w:szCs w:val="24"/>
        </w:rPr>
        <w:t>粘</w:t>
      </w:r>
      <w:r>
        <w:rPr>
          <w:rFonts w:asciiTheme="minorEastAsia" w:hAnsiTheme="minorEastAsia"/>
          <w:bCs/>
          <w:szCs w:val="24"/>
        </w:rPr>
        <w:t>贴</w:t>
      </w:r>
      <w:r>
        <w:rPr>
          <w:rFonts w:hint="eastAsia" w:asciiTheme="minorEastAsia" w:hAnsiTheme="minorEastAsia"/>
          <w:bCs/>
          <w:szCs w:val="24"/>
        </w:rPr>
        <w:t>法定代表人身份</w:t>
      </w:r>
      <w:r>
        <w:rPr>
          <w:rFonts w:asciiTheme="minorEastAsia" w:hAnsiTheme="minorEastAsia"/>
          <w:bCs/>
          <w:szCs w:val="24"/>
        </w:rPr>
        <w:t>证复</w:t>
      </w:r>
      <w:r>
        <w:rPr>
          <w:rFonts w:hint="eastAsia" w:asciiTheme="minorEastAsia" w:hAnsiTheme="minorEastAsia"/>
          <w:bCs/>
          <w:szCs w:val="24"/>
        </w:rPr>
        <w:t>印件，需清晰反映身份证有效期限】</w:t>
      </w:r>
    </w:p>
    <w:p>
      <w:pPr>
        <w:pStyle w:val="39"/>
        <w:spacing w:line="480" w:lineRule="auto"/>
        <w:ind w:left="-538" w:leftChars="-256" w:firstLine="616" w:firstLineChars="257"/>
        <w:jc w:val="center"/>
        <w:rPr>
          <w:rFonts w:asciiTheme="minorEastAsia" w:hAnsiTheme="minorEastAsia"/>
          <w:bCs/>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sz w:val="24"/>
          <w:szCs w:val="24"/>
          <w:u w:val="single"/>
        </w:rPr>
      </w:pPr>
      <w:r>
        <w:rPr>
          <w:rFonts w:hint="eastAsia" w:cs="Arial" w:asciiTheme="minorEastAsia" w:hAnsiTheme="minorEastAsia"/>
          <w:sz w:val="24"/>
          <w:szCs w:val="24"/>
        </w:rPr>
        <w:t>投标人名称（并加盖公章）：</w:t>
      </w:r>
    </w:p>
    <w:p>
      <w:pPr>
        <w:pStyle w:val="42"/>
        <w:spacing w:before="60" w:line="480" w:lineRule="auto"/>
        <w:ind w:firstLine="3900" w:firstLineChars="1625"/>
        <w:rPr>
          <w:rFonts w:cs="Arial" w:asciiTheme="minorEastAsia" w:hAnsiTheme="minorEastAsia" w:eastAsiaTheme="minorEastAsia"/>
          <w:szCs w:val="24"/>
        </w:rPr>
      </w:pPr>
      <w:r>
        <w:rPr>
          <w:rFonts w:hint="eastAsia" w:cs="Arial" w:asciiTheme="minorEastAsia" w:hAnsiTheme="minorEastAsia" w:eastAsiaTheme="minorEastAsia"/>
          <w:szCs w:val="24"/>
        </w:rPr>
        <w:t>签署日期：   年   月  日</w:t>
      </w:r>
    </w:p>
    <w:p>
      <w:pPr>
        <w:pStyle w:val="41"/>
        <w:spacing w:line="480" w:lineRule="auto"/>
        <w:rPr>
          <w:rFonts w:cs="Arial" w:asciiTheme="minorEastAsia" w:hAnsiTheme="minorEastAsia"/>
          <w:szCs w:val="24"/>
        </w:rPr>
      </w:pPr>
    </w:p>
    <w:p/>
    <w:p>
      <w:pPr>
        <w:spacing w:line="320" w:lineRule="exact"/>
        <w:rPr>
          <w:rFonts w:asciiTheme="minorEastAsia" w:hAnsiTheme="minorEastAsia"/>
          <w:bCs/>
          <w:kern w:val="12"/>
          <w:sz w:val="24"/>
          <w:szCs w:val="24"/>
        </w:rPr>
      </w:pPr>
      <w:r>
        <w:rPr>
          <w:rFonts w:hint="eastAsia" w:asciiTheme="minorEastAsia" w:hAnsiTheme="minorEastAsia"/>
          <w:bCs/>
          <w:kern w:val="12"/>
          <w:sz w:val="24"/>
          <w:szCs w:val="24"/>
        </w:rPr>
        <w:t>说明：法定代表人</w:t>
      </w:r>
      <w:r>
        <w:rPr>
          <w:rFonts w:asciiTheme="minorEastAsia" w:hAnsiTheme="minorEastAsia"/>
          <w:bCs/>
          <w:kern w:val="12"/>
          <w:sz w:val="24"/>
          <w:szCs w:val="24"/>
        </w:rPr>
        <w:t>参</w:t>
      </w:r>
      <w:r>
        <w:rPr>
          <w:rFonts w:hint="eastAsia" w:asciiTheme="minorEastAsia" w:hAnsiTheme="minorEastAsia"/>
          <w:bCs/>
          <w:kern w:val="12"/>
          <w:sz w:val="24"/>
          <w:szCs w:val="24"/>
        </w:rPr>
        <w:t>加本招</w:t>
      </w:r>
      <w:r>
        <w:rPr>
          <w:rFonts w:asciiTheme="minorEastAsia" w:hAnsiTheme="minorEastAsia"/>
          <w:bCs/>
          <w:kern w:val="12"/>
          <w:sz w:val="24"/>
          <w:szCs w:val="24"/>
        </w:rPr>
        <w:t>标项目</w:t>
      </w:r>
      <w:r>
        <w:rPr>
          <w:rFonts w:hint="eastAsia" w:asciiTheme="minorEastAsia" w:hAnsiTheme="minorEastAsia"/>
          <w:bCs/>
          <w:kern w:val="12"/>
          <w:sz w:val="24"/>
          <w:szCs w:val="24"/>
        </w:rPr>
        <w:t>投</w:t>
      </w:r>
      <w:r>
        <w:rPr>
          <w:rFonts w:asciiTheme="minorEastAsia" w:hAnsiTheme="minorEastAsia"/>
          <w:bCs/>
          <w:kern w:val="12"/>
          <w:sz w:val="24"/>
          <w:szCs w:val="24"/>
        </w:rPr>
        <w:t>标</w:t>
      </w:r>
      <w:r>
        <w:rPr>
          <w:rFonts w:hint="eastAsia" w:asciiTheme="minorEastAsia" w:hAnsiTheme="minorEastAsia"/>
          <w:bCs/>
          <w:kern w:val="12"/>
          <w:sz w:val="24"/>
          <w:szCs w:val="24"/>
        </w:rPr>
        <w:t>的，</w:t>
      </w:r>
      <w:r>
        <w:rPr>
          <w:rFonts w:asciiTheme="minorEastAsia" w:hAnsiTheme="minorEastAsia"/>
          <w:bCs/>
          <w:kern w:val="12"/>
          <w:sz w:val="24"/>
          <w:szCs w:val="24"/>
        </w:rPr>
        <w:t>仅须</w:t>
      </w:r>
      <w:r>
        <w:rPr>
          <w:rFonts w:hint="eastAsia" w:asciiTheme="minorEastAsia" w:hAnsiTheme="minorEastAsia"/>
          <w:bCs/>
          <w:kern w:val="12"/>
          <w:sz w:val="24"/>
          <w:szCs w:val="24"/>
        </w:rPr>
        <w:t>出具此</w:t>
      </w:r>
      <w:r>
        <w:rPr>
          <w:rFonts w:asciiTheme="minorEastAsia" w:hAnsiTheme="minorEastAsia"/>
          <w:bCs/>
          <w:kern w:val="12"/>
          <w:sz w:val="24"/>
          <w:szCs w:val="24"/>
        </w:rPr>
        <w:t>证</w:t>
      </w:r>
      <w:r>
        <w:rPr>
          <w:rFonts w:hint="eastAsia" w:asciiTheme="minorEastAsia" w:hAnsiTheme="minorEastAsia"/>
          <w:bCs/>
          <w:kern w:val="12"/>
          <w:sz w:val="24"/>
          <w:szCs w:val="24"/>
        </w:rPr>
        <w:t>明</w:t>
      </w:r>
      <w:r>
        <w:rPr>
          <w:rFonts w:asciiTheme="minorEastAsia" w:hAnsiTheme="minorEastAsia"/>
          <w:bCs/>
          <w:kern w:val="12"/>
          <w:sz w:val="24"/>
          <w:szCs w:val="24"/>
        </w:rPr>
        <w:t>书</w:t>
      </w:r>
      <w:r>
        <w:rPr>
          <w:rFonts w:hint="eastAsia" w:asciiTheme="minorEastAsia" w:hAnsiTheme="minorEastAsia"/>
          <w:bCs/>
          <w:kern w:val="12"/>
          <w:sz w:val="24"/>
          <w:szCs w:val="24"/>
        </w:rPr>
        <w:t>。</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法定代表人：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法定代表人授权代表：  （签字或加盖名章）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sz w:val="24"/>
          <w:szCs w:val="24"/>
        </w:rPr>
        <w:t xml:space="preserve">项目名称：   </w:t>
      </w:r>
    </w:p>
    <w:tbl>
      <w:tblPr>
        <w:tblStyle w:val="20"/>
        <w:tblW w:w="9400" w:type="dxa"/>
        <w:tblInd w:w="0" w:type="dxa"/>
        <w:tblLayout w:type="fixed"/>
        <w:tblCellMar>
          <w:top w:w="0" w:type="dxa"/>
          <w:left w:w="108" w:type="dxa"/>
          <w:bottom w:w="0" w:type="dxa"/>
          <w:right w:w="108" w:type="dxa"/>
        </w:tblCellMar>
      </w:tblPr>
      <w:tblGrid>
        <w:gridCol w:w="534"/>
        <w:gridCol w:w="992"/>
        <w:gridCol w:w="1843"/>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9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名称</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rPr>
                <w:rFonts w:cs="宋体" w:asciiTheme="minorEastAsia" w:hAnsiTheme="minorEastAsia"/>
                <w:b/>
                <w:sz w:val="24"/>
                <w:szCs w:val="24"/>
                <w:lang w:val="zh-CN"/>
              </w:rPr>
            </w:pPr>
            <w:r>
              <w:rPr>
                <w:rFonts w:hint="eastAsia" w:cs="宋体" w:asciiTheme="minorEastAsia" w:hAnsiTheme="minorEastAsia"/>
                <w:b/>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5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合计</w:t>
            </w:r>
          </w:p>
        </w:tc>
        <w:tc>
          <w:tcPr>
            <w:tcW w:w="7874"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sz w:val="24"/>
          <w:szCs w:val="24"/>
        </w:rPr>
        <w:t xml:space="preserve">项目名称：   </w:t>
      </w:r>
    </w:p>
    <w:tbl>
      <w:tblPr>
        <w:tblStyle w:val="20"/>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采购文件</w:t>
            </w:r>
          </w:p>
          <w:p>
            <w:pPr>
              <w:pStyle w:val="7"/>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7"/>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（投标人根据采购文件要求自行编制）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sz w:val="24"/>
          <w:szCs w:val="24"/>
        </w:rPr>
        <w:t xml:space="preserve">项目名称：   </w:t>
      </w:r>
    </w:p>
    <w:tbl>
      <w:tblPr>
        <w:tblStyle w:val="2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（投标人根据采购文件要求自行编制）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t>4.</w:t>
      </w:r>
      <w:r>
        <w:rPr>
          <w:rFonts w:hint="eastAsia" w:ascii="宋体" w:hAnsi="宋体"/>
          <w:b/>
          <w:bCs/>
          <w:sz w:val="36"/>
          <w:szCs w:val="36"/>
          <w:lang w:val="en-US" w:eastAsia="zh-CN"/>
        </w:rPr>
        <w:t>6</w:t>
      </w:r>
      <w:r>
        <w:rPr>
          <w:rFonts w:hint="eastAsia" w:ascii="宋体" w:hAnsi="宋体"/>
          <w:b/>
          <w:bCs/>
          <w:sz w:val="36"/>
          <w:szCs w:val="36"/>
        </w:rPr>
        <w:t xml:space="preserve">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hint="eastAsia" w:ascii="宋体" w:hAnsi="宋体" w:cs="Arial"/>
          <w:color w:val="FF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FF0000"/>
          <w:kern w:val="0"/>
          <w:sz w:val="24"/>
          <w:szCs w:val="24"/>
        </w:rPr>
        <w:br w:type="textWrapping"/>
      </w:r>
      <w:r>
        <w:rPr>
          <w:rFonts w:hint="eastAsia" w:ascii="宋体" w:hAnsi="宋体" w:cs="Arial"/>
          <w:color w:val="FF0000"/>
          <w:kern w:val="0"/>
          <w:sz w:val="24"/>
          <w:szCs w:val="24"/>
        </w:rPr>
        <w:t>　　1、根据《工业和信息化部、国家统计局、国家发展和改革委员会、财政部关于印发中小企业划型标准规定的通知》（工信部联企业[2011]300号）规定的划分标准</w:t>
      </w:r>
      <w:r>
        <w:rPr>
          <w:rFonts w:hint="eastAsia"/>
          <w:color w:val="FF0000"/>
          <w:sz w:val="24"/>
          <w:szCs w:val="24"/>
        </w:rPr>
        <w:t>，本公司</w:t>
      </w:r>
      <w:r>
        <w:rPr>
          <w:rFonts w:hint="eastAsia" w:ascii="宋体" w:hAnsi="宋体" w:cs="Arial"/>
          <w:color w:val="FF0000"/>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hint="eastAsia" w:ascii="宋体" w:hAnsi="宋体" w:cs="Arial"/>
          <w:color w:val="FF0000"/>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hint="eastAsia" w:ascii="宋体" w:hAnsi="宋体" w:cs="Arial"/>
          <w:color w:val="FF0000"/>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7" w:name="OLE_LINK13"/>
      <w:bookmarkStart w:id="8" w:name="OLE_LINK14"/>
      <w:r>
        <w:rPr>
          <w:rFonts w:hint="eastAsia" w:ascii="宋体" w:hAnsi="宋体"/>
          <w:b/>
          <w:bCs/>
          <w:sz w:val="36"/>
          <w:szCs w:val="36"/>
        </w:rPr>
        <w:t>4.</w:t>
      </w:r>
      <w:r>
        <w:rPr>
          <w:rFonts w:hint="eastAsia" w:ascii="宋体" w:hAnsi="宋体"/>
          <w:b/>
          <w:bCs/>
          <w:sz w:val="36"/>
          <w:szCs w:val="36"/>
          <w:lang w:val="en-US" w:eastAsia="zh-CN"/>
        </w:rPr>
        <w:t>7</w:t>
      </w:r>
      <w:r>
        <w:rPr>
          <w:rFonts w:hint="eastAsia" w:ascii="宋体" w:hAnsi="宋体"/>
          <w:b/>
          <w:bCs/>
          <w:sz w:val="36"/>
          <w:szCs w:val="36"/>
        </w:rPr>
        <w:t xml:space="preserve">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4.</w:t>
      </w:r>
      <w:r>
        <w:rPr>
          <w:rFonts w:hint="eastAsia" w:ascii="宋体" w:hAnsi="宋体"/>
          <w:b/>
          <w:bCs/>
          <w:sz w:val="36"/>
          <w:szCs w:val="36"/>
          <w:lang w:val="en-US" w:eastAsia="zh-CN"/>
        </w:rPr>
        <w:t>8</w:t>
      </w:r>
      <w:r>
        <w:rPr>
          <w:rFonts w:hint="eastAsia" w:ascii="宋体" w:hAnsi="宋体"/>
          <w:b/>
          <w:bCs/>
          <w:sz w:val="36"/>
          <w:szCs w:val="36"/>
        </w:rPr>
        <w:t xml:space="preserve"> 所投产品符合国家强制性要求承诺函 </w:t>
      </w:r>
    </w:p>
    <w:p>
      <w:pPr>
        <w:spacing w:line="360" w:lineRule="auto"/>
        <w:jc w:val="center"/>
        <w:rPr>
          <w:rFonts w:ascii="宋体" w:hAnsi="宋体" w:cs="Arial"/>
          <w:kern w:val="0"/>
          <w:sz w:val="24"/>
          <w:szCs w:val="24"/>
        </w:rPr>
      </w:pPr>
      <w:r>
        <w:rPr>
          <w:rFonts w:hint="eastAsia" w:ascii="宋体" w:hAnsi="宋体" w:cs="Arial"/>
          <w:kern w:val="0"/>
          <w:sz w:val="24"/>
          <w:szCs w:val="24"/>
        </w:rPr>
        <w:t>投标人所投产品涉及国家有属强制性规定的，须承诺其所投产品符合国家强制性要求（如CCC认证、</w:t>
      </w:r>
      <w:r>
        <w:rPr>
          <w:rFonts w:ascii="宋体" w:hAnsi="宋体" w:cs="Arial"/>
          <w:kern w:val="0"/>
          <w:sz w:val="24"/>
          <w:szCs w:val="24"/>
        </w:rPr>
        <w:t>信息安全产品强制性认证</w:t>
      </w:r>
      <w:r>
        <w:rPr>
          <w:rFonts w:hint="eastAsia" w:ascii="宋体" w:hAnsi="宋体" w:cs="Arial"/>
          <w:kern w:val="0"/>
          <w:sz w:val="24"/>
          <w:szCs w:val="24"/>
        </w:rPr>
        <w:t>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除采购文件另有规定外，投标人认为需要提交的其他证明材料或资料加盖投标人的单位公章后应在此项下提交。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38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15BC35D"/>
    <w:multiLevelType w:val="singleLevel"/>
    <w:tmpl w:val="415BC35D"/>
    <w:lvl w:ilvl="0" w:tentative="0">
      <w:start w:val="1"/>
      <w:numFmt w:val="chineseCounting"/>
      <w:suff w:val="nothing"/>
      <w:lvlText w:val="%1、"/>
      <w:lvlJc w:val="left"/>
      <w:rPr>
        <w:rFonts w:hint="eastAsia"/>
      </w:rPr>
    </w:lvl>
  </w:abstractNum>
  <w:abstractNum w:abstractNumId="4">
    <w:nsid w:val="59F817C2"/>
    <w:multiLevelType w:val="singleLevel"/>
    <w:tmpl w:val="59F817C2"/>
    <w:lvl w:ilvl="0" w:tentative="0">
      <w:start w:val="2"/>
      <w:numFmt w:val="chineseCounting"/>
      <w:suff w:val="space"/>
      <w:lvlText w:val="第%1章"/>
      <w:lvlJc w:val="left"/>
    </w:lvl>
  </w:abstractNum>
  <w:abstractNum w:abstractNumId="5">
    <w:nsid w:val="59F817E8"/>
    <w:multiLevelType w:val="singleLevel"/>
    <w:tmpl w:val="59F817E8"/>
    <w:lvl w:ilvl="0" w:tentative="0">
      <w:start w:val="1"/>
      <w:numFmt w:val="chineseCounting"/>
      <w:pStyle w:val="48"/>
      <w:suff w:val="nothing"/>
      <w:lvlText w:val="%1、"/>
      <w:lvlJc w:val="left"/>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056A"/>
    <w:rsid w:val="000311FB"/>
    <w:rsid w:val="000328B5"/>
    <w:rsid w:val="00034E53"/>
    <w:rsid w:val="0003556C"/>
    <w:rsid w:val="000400E2"/>
    <w:rsid w:val="00040A19"/>
    <w:rsid w:val="00040F65"/>
    <w:rsid w:val="0004289A"/>
    <w:rsid w:val="00043FBC"/>
    <w:rsid w:val="000463C9"/>
    <w:rsid w:val="00047B44"/>
    <w:rsid w:val="000530F0"/>
    <w:rsid w:val="000609FD"/>
    <w:rsid w:val="00061CC7"/>
    <w:rsid w:val="0007075F"/>
    <w:rsid w:val="00073DCF"/>
    <w:rsid w:val="00077FF3"/>
    <w:rsid w:val="00082C6E"/>
    <w:rsid w:val="00086DE9"/>
    <w:rsid w:val="00092652"/>
    <w:rsid w:val="000936D5"/>
    <w:rsid w:val="000939A1"/>
    <w:rsid w:val="00093BD2"/>
    <w:rsid w:val="00094806"/>
    <w:rsid w:val="000A3042"/>
    <w:rsid w:val="000B59E9"/>
    <w:rsid w:val="000C05E8"/>
    <w:rsid w:val="000C2E49"/>
    <w:rsid w:val="000C393F"/>
    <w:rsid w:val="000C57C8"/>
    <w:rsid w:val="000C6651"/>
    <w:rsid w:val="000C6CC0"/>
    <w:rsid w:val="000C6E80"/>
    <w:rsid w:val="000D74F9"/>
    <w:rsid w:val="000E263E"/>
    <w:rsid w:val="000E264F"/>
    <w:rsid w:val="000E4F3B"/>
    <w:rsid w:val="001008C2"/>
    <w:rsid w:val="00104301"/>
    <w:rsid w:val="001052E3"/>
    <w:rsid w:val="00110C26"/>
    <w:rsid w:val="00111C75"/>
    <w:rsid w:val="0011232C"/>
    <w:rsid w:val="0011325E"/>
    <w:rsid w:val="001262C8"/>
    <w:rsid w:val="001276EF"/>
    <w:rsid w:val="00140426"/>
    <w:rsid w:val="00141B3F"/>
    <w:rsid w:val="00143A14"/>
    <w:rsid w:val="00147B7D"/>
    <w:rsid w:val="001624C8"/>
    <w:rsid w:val="00163CBE"/>
    <w:rsid w:val="001645B9"/>
    <w:rsid w:val="00165060"/>
    <w:rsid w:val="001650BA"/>
    <w:rsid w:val="00177750"/>
    <w:rsid w:val="001829C2"/>
    <w:rsid w:val="00183EF7"/>
    <w:rsid w:val="00185ECD"/>
    <w:rsid w:val="0018761C"/>
    <w:rsid w:val="001948F5"/>
    <w:rsid w:val="00195D1B"/>
    <w:rsid w:val="001977EA"/>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22AA"/>
    <w:rsid w:val="001F4319"/>
    <w:rsid w:val="001F4B20"/>
    <w:rsid w:val="001F7E43"/>
    <w:rsid w:val="002026FE"/>
    <w:rsid w:val="002121A9"/>
    <w:rsid w:val="00212788"/>
    <w:rsid w:val="00216728"/>
    <w:rsid w:val="002232E0"/>
    <w:rsid w:val="00223E42"/>
    <w:rsid w:val="00235E0B"/>
    <w:rsid w:val="00237179"/>
    <w:rsid w:val="00243B01"/>
    <w:rsid w:val="00247570"/>
    <w:rsid w:val="00247938"/>
    <w:rsid w:val="0025544A"/>
    <w:rsid w:val="002567BE"/>
    <w:rsid w:val="00257257"/>
    <w:rsid w:val="00263C0C"/>
    <w:rsid w:val="00264FDB"/>
    <w:rsid w:val="0026501C"/>
    <w:rsid w:val="00266A53"/>
    <w:rsid w:val="00266F38"/>
    <w:rsid w:val="002704F0"/>
    <w:rsid w:val="00272AE2"/>
    <w:rsid w:val="00273F1D"/>
    <w:rsid w:val="0027728C"/>
    <w:rsid w:val="002804A3"/>
    <w:rsid w:val="00281155"/>
    <w:rsid w:val="00281AD7"/>
    <w:rsid w:val="00282790"/>
    <w:rsid w:val="00285231"/>
    <w:rsid w:val="00296074"/>
    <w:rsid w:val="002969B1"/>
    <w:rsid w:val="002A00B7"/>
    <w:rsid w:val="002A0347"/>
    <w:rsid w:val="002A0C31"/>
    <w:rsid w:val="002A7921"/>
    <w:rsid w:val="002B2BE8"/>
    <w:rsid w:val="002C12C3"/>
    <w:rsid w:val="002D0D13"/>
    <w:rsid w:val="002E3055"/>
    <w:rsid w:val="002E60F6"/>
    <w:rsid w:val="002E744B"/>
    <w:rsid w:val="002F7C32"/>
    <w:rsid w:val="00302A87"/>
    <w:rsid w:val="0030587D"/>
    <w:rsid w:val="0031527C"/>
    <w:rsid w:val="00316537"/>
    <w:rsid w:val="00316973"/>
    <w:rsid w:val="00316D67"/>
    <w:rsid w:val="00334874"/>
    <w:rsid w:val="00336815"/>
    <w:rsid w:val="00345108"/>
    <w:rsid w:val="00345E09"/>
    <w:rsid w:val="00350E1D"/>
    <w:rsid w:val="0035386D"/>
    <w:rsid w:val="00360DAD"/>
    <w:rsid w:val="003620CD"/>
    <w:rsid w:val="00365286"/>
    <w:rsid w:val="00365BDD"/>
    <w:rsid w:val="00370DFF"/>
    <w:rsid w:val="00372753"/>
    <w:rsid w:val="00380000"/>
    <w:rsid w:val="00383277"/>
    <w:rsid w:val="00383FA4"/>
    <w:rsid w:val="00383FF4"/>
    <w:rsid w:val="00391CDE"/>
    <w:rsid w:val="00397761"/>
    <w:rsid w:val="003A02F1"/>
    <w:rsid w:val="003A2823"/>
    <w:rsid w:val="003A4C56"/>
    <w:rsid w:val="003B5BE5"/>
    <w:rsid w:val="003C013E"/>
    <w:rsid w:val="003C669F"/>
    <w:rsid w:val="003D2A39"/>
    <w:rsid w:val="003D6EA0"/>
    <w:rsid w:val="003E4CE5"/>
    <w:rsid w:val="003E5BA1"/>
    <w:rsid w:val="003E5D20"/>
    <w:rsid w:val="003E7330"/>
    <w:rsid w:val="003F11AD"/>
    <w:rsid w:val="003F635C"/>
    <w:rsid w:val="00400336"/>
    <w:rsid w:val="004040EC"/>
    <w:rsid w:val="004117D0"/>
    <w:rsid w:val="00414D08"/>
    <w:rsid w:val="00420293"/>
    <w:rsid w:val="004224AA"/>
    <w:rsid w:val="00423593"/>
    <w:rsid w:val="00427171"/>
    <w:rsid w:val="00431A4E"/>
    <w:rsid w:val="0043314E"/>
    <w:rsid w:val="00435633"/>
    <w:rsid w:val="00436C3E"/>
    <w:rsid w:val="0043706F"/>
    <w:rsid w:val="004471CC"/>
    <w:rsid w:val="00450B7E"/>
    <w:rsid w:val="004511E4"/>
    <w:rsid w:val="00452FF0"/>
    <w:rsid w:val="00454B40"/>
    <w:rsid w:val="00461772"/>
    <w:rsid w:val="0046214B"/>
    <w:rsid w:val="0046220D"/>
    <w:rsid w:val="004661DD"/>
    <w:rsid w:val="004661DE"/>
    <w:rsid w:val="00467546"/>
    <w:rsid w:val="004676F5"/>
    <w:rsid w:val="004713E9"/>
    <w:rsid w:val="00472D4C"/>
    <w:rsid w:val="00475975"/>
    <w:rsid w:val="00475BC1"/>
    <w:rsid w:val="00477E2A"/>
    <w:rsid w:val="00483BBC"/>
    <w:rsid w:val="004A1281"/>
    <w:rsid w:val="004A2AE5"/>
    <w:rsid w:val="004A35BF"/>
    <w:rsid w:val="004A3D12"/>
    <w:rsid w:val="004A69C6"/>
    <w:rsid w:val="004B0300"/>
    <w:rsid w:val="004B53B1"/>
    <w:rsid w:val="004C00FF"/>
    <w:rsid w:val="004C15CA"/>
    <w:rsid w:val="004C2A96"/>
    <w:rsid w:val="004C3610"/>
    <w:rsid w:val="004D1A38"/>
    <w:rsid w:val="004D796C"/>
    <w:rsid w:val="004D7FCC"/>
    <w:rsid w:val="004E3BC4"/>
    <w:rsid w:val="004E5A48"/>
    <w:rsid w:val="004E643B"/>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31B2"/>
    <w:rsid w:val="00546002"/>
    <w:rsid w:val="00555840"/>
    <w:rsid w:val="005601D7"/>
    <w:rsid w:val="00570BD7"/>
    <w:rsid w:val="00572C46"/>
    <w:rsid w:val="005755F7"/>
    <w:rsid w:val="00576428"/>
    <w:rsid w:val="005828A9"/>
    <w:rsid w:val="00587160"/>
    <w:rsid w:val="005939AD"/>
    <w:rsid w:val="00594467"/>
    <w:rsid w:val="0059516F"/>
    <w:rsid w:val="005958C1"/>
    <w:rsid w:val="005A1288"/>
    <w:rsid w:val="005A1C0C"/>
    <w:rsid w:val="005A2D61"/>
    <w:rsid w:val="005A34CB"/>
    <w:rsid w:val="005A3987"/>
    <w:rsid w:val="005B439F"/>
    <w:rsid w:val="005B6237"/>
    <w:rsid w:val="005C10B0"/>
    <w:rsid w:val="005C2C3A"/>
    <w:rsid w:val="005C2DB6"/>
    <w:rsid w:val="005D272E"/>
    <w:rsid w:val="005D5852"/>
    <w:rsid w:val="005D5E11"/>
    <w:rsid w:val="005D77CF"/>
    <w:rsid w:val="005E0D81"/>
    <w:rsid w:val="005E1286"/>
    <w:rsid w:val="005E4F9E"/>
    <w:rsid w:val="005E6DCD"/>
    <w:rsid w:val="005E792E"/>
    <w:rsid w:val="005F3918"/>
    <w:rsid w:val="005F730F"/>
    <w:rsid w:val="006010BB"/>
    <w:rsid w:val="00601DC9"/>
    <w:rsid w:val="00603BB7"/>
    <w:rsid w:val="00604711"/>
    <w:rsid w:val="006070B9"/>
    <w:rsid w:val="006211BD"/>
    <w:rsid w:val="00621788"/>
    <w:rsid w:val="00622134"/>
    <w:rsid w:val="00622FF6"/>
    <w:rsid w:val="006341CB"/>
    <w:rsid w:val="00636AAD"/>
    <w:rsid w:val="00644E97"/>
    <w:rsid w:val="00651415"/>
    <w:rsid w:val="006674B6"/>
    <w:rsid w:val="0066760C"/>
    <w:rsid w:val="00671218"/>
    <w:rsid w:val="00680403"/>
    <w:rsid w:val="006811AB"/>
    <w:rsid w:val="006822AF"/>
    <w:rsid w:val="0068441A"/>
    <w:rsid w:val="00685CAE"/>
    <w:rsid w:val="00687238"/>
    <w:rsid w:val="0069117B"/>
    <w:rsid w:val="006951C7"/>
    <w:rsid w:val="006B0DF4"/>
    <w:rsid w:val="006B3B14"/>
    <w:rsid w:val="006C0258"/>
    <w:rsid w:val="006C33F0"/>
    <w:rsid w:val="006C4D95"/>
    <w:rsid w:val="006C575E"/>
    <w:rsid w:val="006D1C9F"/>
    <w:rsid w:val="006D24FE"/>
    <w:rsid w:val="006D3FBB"/>
    <w:rsid w:val="006D77FA"/>
    <w:rsid w:val="006D7995"/>
    <w:rsid w:val="006E1073"/>
    <w:rsid w:val="006E2C2C"/>
    <w:rsid w:val="006E5294"/>
    <w:rsid w:val="006E69A9"/>
    <w:rsid w:val="006E7595"/>
    <w:rsid w:val="006E7D75"/>
    <w:rsid w:val="006F3EF5"/>
    <w:rsid w:val="006F42BD"/>
    <w:rsid w:val="006F4C1F"/>
    <w:rsid w:val="006F6735"/>
    <w:rsid w:val="00703498"/>
    <w:rsid w:val="007106F8"/>
    <w:rsid w:val="007111C4"/>
    <w:rsid w:val="00714EA5"/>
    <w:rsid w:val="00716754"/>
    <w:rsid w:val="00723ED1"/>
    <w:rsid w:val="0072488A"/>
    <w:rsid w:val="00725743"/>
    <w:rsid w:val="00727688"/>
    <w:rsid w:val="00730668"/>
    <w:rsid w:val="0073552F"/>
    <w:rsid w:val="0073735A"/>
    <w:rsid w:val="007373E3"/>
    <w:rsid w:val="00737B3F"/>
    <w:rsid w:val="00742F47"/>
    <w:rsid w:val="00743379"/>
    <w:rsid w:val="007445B8"/>
    <w:rsid w:val="0075246E"/>
    <w:rsid w:val="007530A0"/>
    <w:rsid w:val="0075555D"/>
    <w:rsid w:val="00755EAC"/>
    <w:rsid w:val="00761164"/>
    <w:rsid w:val="007642BA"/>
    <w:rsid w:val="00770E07"/>
    <w:rsid w:val="00771B80"/>
    <w:rsid w:val="00772048"/>
    <w:rsid w:val="00773878"/>
    <w:rsid w:val="00775A7C"/>
    <w:rsid w:val="00775C43"/>
    <w:rsid w:val="00776295"/>
    <w:rsid w:val="00780BE0"/>
    <w:rsid w:val="00784839"/>
    <w:rsid w:val="00792870"/>
    <w:rsid w:val="007942AC"/>
    <w:rsid w:val="007A05F2"/>
    <w:rsid w:val="007A0F7B"/>
    <w:rsid w:val="007A1777"/>
    <w:rsid w:val="007B1443"/>
    <w:rsid w:val="007B3355"/>
    <w:rsid w:val="007C23FB"/>
    <w:rsid w:val="007C2A45"/>
    <w:rsid w:val="007C4218"/>
    <w:rsid w:val="007C6809"/>
    <w:rsid w:val="007D2BA0"/>
    <w:rsid w:val="007D37EB"/>
    <w:rsid w:val="007D3BF6"/>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D27"/>
    <w:rsid w:val="00847A1F"/>
    <w:rsid w:val="00856E26"/>
    <w:rsid w:val="008629A1"/>
    <w:rsid w:val="00870DCD"/>
    <w:rsid w:val="00875099"/>
    <w:rsid w:val="008824BB"/>
    <w:rsid w:val="0088488A"/>
    <w:rsid w:val="008868B3"/>
    <w:rsid w:val="00893816"/>
    <w:rsid w:val="00894121"/>
    <w:rsid w:val="00896627"/>
    <w:rsid w:val="008A532F"/>
    <w:rsid w:val="008A735D"/>
    <w:rsid w:val="008B1EBC"/>
    <w:rsid w:val="008B3760"/>
    <w:rsid w:val="008B4CCA"/>
    <w:rsid w:val="008B62B1"/>
    <w:rsid w:val="008B6376"/>
    <w:rsid w:val="008B72C1"/>
    <w:rsid w:val="008C0905"/>
    <w:rsid w:val="008C380D"/>
    <w:rsid w:val="008D0251"/>
    <w:rsid w:val="008D37EF"/>
    <w:rsid w:val="008E7034"/>
    <w:rsid w:val="00902012"/>
    <w:rsid w:val="00903C60"/>
    <w:rsid w:val="00910FBF"/>
    <w:rsid w:val="009130EC"/>
    <w:rsid w:val="00913638"/>
    <w:rsid w:val="00920741"/>
    <w:rsid w:val="009270F3"/>
    <w:rsid w:val="00932A01"/>
    <w:rsid w:val="00932BA0"/>
    <w:rsid w:val="0093402B"/>
    <w:rsid w:val="009407DF"/>
    <w:rsid w:val="00944C89"/>
    <w:rsid w:val="009462A9"/>
    <w:rsid w:val="009471BE"/>
    <w:rsid w:val="00947FB1"/>
    <w:rsid w:val="00950BCD"/>
    <w:rsid w:val="0095149E"/>
    <w:rsid w:val="00951507"/>
    <w:rsid w:val="00951A0E"/>
    <w:rsid w:val="00951C8E"/>
    <w:rsid w:val="00964173"/>
    <w:rsid w:val="009652AA"/>
    <w:rsid w:val="009717EB"/>
    <w:rsid w:val="00971DFC"/>
    <w:rsid w:val="00973BD1"/>
    <w:rsid w:val="00974710"/>
    <w:rsid w:val="00976022"/>
    <w:rsid w:val="00976944"/>
    <w:rsid w:val="00977773"/>
    <w:rsid w:val="00977ACB"/>
    <w:rsid w:val="0099196E"/>
    <w:rsid w:val="00992F1F"/>
    <w:rsid w:val="0099354B"/>
    <w:rsid w:val="00994A8A"/>
    <w:rsid w:val="00995231"/>
    <w:rsid w:val="009A0AC7"/>
    <w:rsid w:val="009A296B"/>
    <w:rsid w:val="009A2BC5"/>
    <w:rsid w:val="009A47E3"/>
    <w:rsid w:val="009A6F91"/>
    <w:rsid w:val="009B3ABA"/>
    <w:rsid w:val="009C12AB"/>
    <w:rsid w:val="009C35AA"/>
    <w:rsid w:val="009C46D1"/>
    <w:rsid w:val="009D09DF"/>
    <w:rsid w:val="009D0D89"/>
    <w:rsid w:val="009D24B7"/>
    <w:rsid w:val="009D792B"/>
    <w:rsid w:val="009E037C"/>
    <w:rsid w:val="009E10B4"/>
    <w:rsid w:val="009E1FE4"/>
    <w:rsid w:val="009E2AB7"/>
    <w:rsid w:val="009E483D"/>
    <w:rsid w:val="009E6006"/>
    <w:rsid w:val="009F55F0"/>
    <w:rsid w:val="009F6831"/>
    <w:rsid w:val="00A0270D"/>
    <w:rsid w:val="00A05160"/>
    <w:rsid w:val="00A06482"/>
    <w:rsid w:val="00A066DE"/>
    <w:rsid w:val="00A1226A"/>
    <w:rsid w:val="00A146D0"/>
    <w:rsid w:val="00A244A9"/>
    <w:rsid w:val="00A2693F"/>
    <w:rsid w:val="00A26A2D"/>
    <w:rsid w:val="00A272CE"/>
    <w:rsid w:val="00A30773"/>
    <w:rsid w:val="00A409A7"/>
    <w:rsid w:val="00A44E4A"/>
    <w:rsid w:val="00A5050D"/>
    <w:rsid w:val="00A51D09"/>
    <w:rsid w:val="00A561F7"/>
    <w:rsid w:val="00A5620A"/>
    <w:rsid w:val="00A57099"/>
    <w:rsid w:val="00A577F4"/>
    <w:rsid w:val="00A608C5"/>
    <w:rsid w:val="00A630FF"/>
    <w:rsid w:val="00A634C2"/>
    <w:rsid w:val="00A64FE3"/>
    <w:rsid w:val="00A67F60"/>
    <w:rsid w:val="00A71479"/>
    <w:rsid w:val="00A72BD8"/>
    <w:rsid w:val="00A73B7F"/>
    <w:rsid w:val="00A85865"/>
    <w:rsid w:val="00A87546"/>
    <w:rsid w:val="00A9002A"/>
    <w:rsid w:val="00A97F1A"/>
    <w:rsid w:val="00AA0FE4"/>
    <w:rsid w:val="00AA16B6"/>
    <w:rsid w:val="00AA265E"/>
    <w:rsid w:val="00AB24BA"/>
    <w:rsid w:val="00AB7551"/>
    <w:rsid w:val="00AC0D4D"/>
    <w:rsid w:val="00AC4329"/>
    <w:rsid w:val="00AC62A0"/>
    <w:rsid w:val="00AC6B92"/>
    <w:rsid w:val="00AD310A"/>
    <w:rsid w:val="00AD43D5"/>
    <w:rsid w:val="00AD5C9F"/>
    <w:rsid w:val="00AE0428"/>
    <w:rsid w:val="00AE77C7"/>
    <w:rsid w:val="00B0198A"/>
    <w:rsid w:val="00B0319F"/>
    <w:rsid w:val="00B042A9"/>
    <w:rsid w:val="00B06BE5"/>
    <w:rsid w:val="00B11B79"/>
    <w:rsid w:val="00B14641"/>
    <w:rsid w:val="00B15931"/>
    <w:rsid w:val="00B17370"/>
    <w:rsid w:val="00B2055A"/>
    <w:rsid w:val="00B2067D"/>
    <w:rsid w:val="00B24B86"/>
    <w:rsid w:val="00B26A6E"/>
    <w:rsid w:val="00B3072F"/>
    <w:rsid w:val="00B30A6C"/>
    <w:rsid w:val="00B40771"/>
    <w:rsid w:val="00B40C7E"/>
    <w:rsid w:val="00B4170E"/>
    <w:rsid w:val="00B60910"/>
    <w:rsid w:val="00B64EAB"/>
    <w:rsid w:val="00B65A0E"/>
    <w:rsid w:val="00B66E6E"/>
    <w:rsid w:val="00B72960"/>
    <w:rsid w:val="00B75416"/>
    <w:rsid w:val="00B80243"/>
    <w:rsid w:val="00B80297"/>
    <w:rsid w:val="00B80C52"/>
    <w:rsid w:val="00B902ED"/>
    <w:rsid w:val="00B90F7B"/>
    <w:rsid w:val="00B91885"/>
    <w:rsid w:val="00B95A20"/>
    <w:rsid w:val="00BA6105"/>
    <w:rsid w:val="00BB1EC0"/>
    <w:rsid w:val="00BB4D42"/>
    <w:rsid w:val="00BB4EA2"/>
    <w:rsid w:val="00BB6CC2"/>
    <w:rsid w:val="00BC01E9"/>
    <w:rsid w:val="00BC05E7"/>
    <w:rsid w:val="00BC31B0"/>
    <w:rsid w:val="00BD0FE7"/>
    <w:rsid w:val="00BD2BC9"/>
    <w:rsid w:val="00BD3AFF"/>
    <w:rsid w:val="00BF1DA5"/>
    <w:rsid w:val="00BF21E1"/>
    <w:rsid w:val="00C02DE2"/>
    <w:rsid w:val="00C06F9E"/>
    <w:rsid w:val="00C1514A"/>
    <w:rsid w:val="00C1518E"/>
    <w:rsid w:val="00C23622"/>
    <w:rsid w:val="00C23E9E"/>
    <w:rsid w:val="00C3322D"/>
    <w:rsid w:val="00C36189"/>
    <w:rsid w:val="00C36302"/>
    <w:rsid w:val="00C414AD"/>
    <w:rsid w:val="00C430C9"/>
    <w:rsid w:val="00C45EEC"/>
    <w:rsid w:val="00C46442"/>
    <w:rsid w:val="00C51319"/>
    <w:rsid w:val="00C638EC"/>
    <w:rsid w:val="00C7189B"/>
    <w:rsid w:val="00C727B1"/>
    <w:rsid w:val="00C731CA"/>
    <w:rsid w:val="00C75A26"/>
    <w:rsid w:val="00C8587D"/>
    <w:rsid w:val="00C87865"/>
    <w:rsid w:val="00C932A1"/>
    <w:rsid w:val="00C956D7"/>
    <w:rsid w:val="00CA0494"/>
    <w:rsid w:val="00CA2C12"/>
    <w:rsid w:val="00CB13C7"/>
    <w:rsid w:val="00CB3DB2"/>
    <w:rsid w:val="00CB5066"/>
    <w:rsid w:val="00CB5576"/>
    <w:rsid w:val="00CD4CBE"/>
    <w:rsid w:val="00CD7E6D"/>
    <w:rsid w:val="00CE0F39"/>
    <w:rsid w:val="00CF0786"/>
    <w:rsid w:val="00CF4F24"/>
    <w:rsid w:val="00D10F92"/>
    <w:rsid w:val="00D11037"/>
    <w:rsid w:val="00D21019"/>
    <w:rsid w:val="00D227B2"/>
    <w:rsid w:val="00D228EB"/>
    <w:rsid w:val="00D23E27"/>
    <w:rsid w:val="00D31F0B"/>
    <w:rsid w:val="00D35049"/>
    <w:rsid w:val="00D409E1"/>
    <w:rsid w:val="00D44821"/>
    <w:rsid w:val="00D54C29"/>
    <w:rsid w:val="00D60BC1"/>
    <w:rsid w:val="00D717AC"/>
    <w:rsid w:val="00D80F3D"/>
    <w:rsid w:val="00D85124"/>
    <w:rsid w:val="00D87AE5"/>
    <w:rsid w:val="00D87CA6"/>
    <w:rsid w:val="00D90604"/>
    <w:rsid w:val="00D90CE2"/>
    <w:rsid w:val="00D90F4C"/>
    <w:rsid w:val="00D95770"/>
    <w:rsid w:val="00DA3386"/>
    <w:rsid w:val="00DA70EB"/>
    <w:rsid w:val="00DB2AD7"/>
    <w:rsid w:val="00DB4C7C"/>
    <w:rsid w:val="00DB748A"/>
    <w:rsid w:val="00DC2987"/>
    <w:rsid w:val="00DC3DBB"/>
    <w:rsid w:val="00DC5A3D"/>
    <w:rsid w:val="00DD116A"/>
    <w:rsid w:val="00DD1648"/>
    <w:rsid w:val="00DE58C3"/>
    <w:rsid w:val="00E05333"/>
    <w:rsid w:val="00E155B5"/>
    <w:rsid w:val="00E16A95"/>
    <w:rsid w:val="00E203D7"/>
    <w:rsid w:val="00E2286C"/>
    <w:rsid w:val="00E23924"/>
    <w:rsid w:val="00E2434C"/>
    <w:rsid w:val="00E24944"/>
    <w:rsid w:val="00E32D01"/>
    <w:rsid w:val="00E3418E"/>
    <w:rsid w:val="00E403D1"/>
    <w:rsid w:val="00E43378"/>
    <w:rsid w:val="00E52D68"/>
    <w:rsid w:val="00E6072E"/>
    <w:rsid w:val="00E62935"/>
    <w:rsid w:val="00E63001"/>
    <w:rsid w:val="00E63BD1"/>
    <w:rsid w:val="00E71FE4"/>
    <w:rsid w:val="00E72B34"/>
    <w:rsid w:val="00E81BF2"/>
    <w:rsid w:val="00E85524"/>
    <w:rsid w:val="00E86D2C"/>
    <w:rsid w:val="00E8799C"/>
    <w:rsid w:val="00E87E2A"/>
    <w:rsid w:val="00E906B8"/>
    <w:rsid w:val="00E956EC"/>
    <w:rsid w:val="00E96283"/>
    <w:rsid w:val="00E97C42"/>
    <w:rsid w:val="00EA0782"/>
    <w:rsid w:val="00EA20BB"/>
    <w:rsid w:val="00EA2CDE"/>
    <w:rsid w:val="00EB2492"/>
    <w:rsid w:val="00EB3D1C"/>
    <w:rsid w:val="00EB4C15"/>
    <w:rsid w:val="00EC0745"/>
    <w:rsid w:val="00EC2221"/>
    <w:rsid w:val="00EC2484"/>
    <w:rsid w:val="00EC384C"/>
    <w:rsid w:val="00ED4705"/>
    <w:rsid w:val="00ED4AF7"/>
    <w:rsid w:val="00EE20E3"/>
    <w:rsid w:val="00EE37D3"/>
    <w:rsid w:val="00EE38E4"/>
    <w:rsid w:val="00EE4B90"/>
    <w:rsid w:val="00EE51BD"/>
    <w:rsid w:val="00EF38CD"/>
    <w:rsid w:val="00EF4CE3"/>
    <w:rsid w:val="00EF56E4"/>
    <w:rsid w:val="00EF684F"/>
    <w:rsid w:val="00EF69A2"/>
    <w:rsid w:val="00F01880"/>
    <w:rsid w:val="00F033DE"/>
    <w:rsid w:val="00F06A23"/>
    <w:rsid w:val="00F10A63"/>
    <w:rsid w:val="00F12CE8"/>
    <w:rsid w:val="00F13EFD"/>
    <w:rsid w:val="00F165A3"/>
    <w:rsid w:val="00F206B2"/>
    <w:rsid w:val="00F21E3B"/>
    <w:rsid w:val="00F30ABD"/>
    <w:rsid w:val="00F31EB3"/>
    <w:rsid w:val="00F3359B"/>
    <w:rsid w:val="00F43428"/>
    <w:rsid w:val="00F43DCE"/>
    <w:rsid w:val="00F44074"/>
    <w:rsid w:val="00F4626B"/>
    <w:rsid w:val="00F51389"/>
    <w:rsid w:val="00F51ED8"/>
    <w:rsid w:val="00F51FCE"/>
    <w:rsid w:val="00F54292"/>
    <w:rsid w:val="00F5466E"/>
    <w:rsid w:val="00F602EB"/>
    <w:rsid w:val="00F61CEE"/>
    <w:rsid w:val="00F6477D"/>
    <w:rsid w:val="00F66967"/>
    <w:rsid w:val="00F66D61"/>
    <w:rsid w:val="00F67F31"/>
    <w:rsid w:val="00F71411"/>
    <w:rsid w:val="00F75216"/>
    <w:rsid w:val="00F847FE"/>
    <w:rsid w:val="00F849D7"/>
    <w:rsid w:val="00F85FCF"/>
    <w:rsid w:val="00F86489"/>
    <w:rsid w:val="00F8732C"/>
    <w:rsid w:val="00F90D82"/>
    <w:rsid w:val="00F92C08"/>
    <w:rsid w:val="00FA5D51"/>
    <w:rsid w:val="00FA64E7"/>
    <w:rsid w:val="00FA774A"/>
    <w:rsid w:val="00FB0DF3"/>
    <w:rsid w:val="00FC0DEB"/>
    <w:rsid w:val="00FC4909"/>
    <w:rsid w:val="00FC4962"/>
    <w:rsid w:val="00FC5ACC"/>
    <w:rsid w:val="00FD12DE"/>
    <w:rsid w:val="00FD62FF"/>
    <w:rsid w:val="00FE2F78"/>
    <w:rsid w:val="00FE61C6"/>
    <w:rsid w:val="00FF0578"/>
    <w:rsid w:val="00FF4EA4"/>
    <w:rsid w:val="030B5CFD"/>
    <w:rsid w:val="053F5432"/>
    <w:rsid w:val="064E7C45"/>
    <w:rsid w:val="09F844CC"/>
    <w:rsid w:val="0C2E2787"/>
    <w:rsid w:val="0CAE7D79"/>
    <w:rsid w:val="15EE44D7"/>
    <w:rsid w:val="197B011F"/>
    <w:rsid w:val="1AB5353E"/>
    <w:rsid w:val="1C317F37"/>
    <w:rsid w:val="1C527EEE"/>
    <w:rsid w:val="212526C8"/>
    <w:rsid w:val="21DF17AC"/>
    <w:rsid w:val="25720679"/>
    <w:rsid w:val="27B5253B"/>
    <w:rsid w:val="2C2E4C48"/>
    <w:rsid w:val="2D5F028F"/>
    <w:rsid w:val="35306958"/>
    <w:rsid w:val="3E127489"/>
    <w:rsid w:val="473960E8"/>
    <w:rsid w:val="482F04B2"/>
    <w:rsid w:val="51352836"/>
    <w:rsid w:val="514A736A"/>
    <w:rsid w:val="53F11EDB"/>
    <w:rsid w:val="57DC7F69"/>
    <w:rsid w:val="58A31F4C"/>
    <w:rsid w:val="5A033350"/>
    <w:rsid w:val="5CB139A0"/>
    <w:rsid w:val="5F7A7709"/>
    <w:rsid w:val="5F8751ED"/>
    <w:rsid w:val="67341FB4"/>
    <w:rsid w:val="723F2D64"/>
    <w:rsid w:val="755E1E93"/>
    <w:rsid w:val="7E3C29FA"/>
    <w:rsid w:val="7E4C7A10"/>
    <w:rsid w:val="7E5832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5"/>
    <w:qFormat/>
    <w:uiPriority w:val="0"/>
    <w:rPr>
      <w:rFonts w:ascii="Times New Roman" w:hAnsi="Times New Roman" w:eastAsia="宋体" w:cs="Times New Roman"/>
      <w:color w:val="FF0000"/>
      <w:sz w:val="24"/>
      <w:szCs w:val="24"/>
    </w:rPr>
  </w:style>
  <w:style w:type="paragraph" w:styleId="9">
    <w:name w:val="Body Text"/>
    <w:basedOn w:val="1"/>
    <w:link w:val="49"/>
    <w:semiHidden/>
    <w:unhideWhenUsed/>
    <w:qFormat/>
    <w:uiPriority w:val="99"/>
    <w:pPr>
      <w:spacing w:after="120"/>
    </w:p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30"/>
    <w:qFormat/>
    <w:uiPriority w:val="0"/>
    <w:rPr>
      <w:rFonts w:eastAsia="宋体"/>
      <w:sz w:val="24"/>
    </w:rPr>
  </w:style>
  <w:style w:type="paragraph" w:styleId="13">
    <w:name w:val="Date"/>
    <w:basedOn w:val="1"/>
    <w:next w:val="1"/>
    <w:link w:val="31"/>
    <w:unhideWhenUsed/>
    <w:qFormat/>
    <w:uiPriority w:val="99"/>
    <w:pPr>
      <w:ind w:left="100" w:leftChars="2500"/>
    </w:p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7">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qFormat/>
    <w:uiPriority w:val="99"/>
    <w:rPr>
      <w:rFonts w:ascii="Calibri" w:hAnsi="Calibri" w:eastAsia="宋体" w:cs="Times New Roman"/>
      <w:sz w:val="24"/>
      <w:szCs w:val="24"/>
    </w:rPr>
  </w:style>
  <w:style w:type="paragraph" w:styleId="19">
    <w:name w:val="Body Text First Indent"/>
    <w:basedOn w:val="9"/>
    <w:link w:val="50"/>
    <w:qFormat/>
    <w:uiPriority w:val="0"/>
    <w:pPr>
      <w:ind w:firstLine="420" w:firstLineChars="100"/>
    </w:pPr>
    <w:rPr>
      <w:rFonts w:ascii="宋体" w:hAnsi="Times New Roman" w:eastAsia="宋体" w:cs="Times New Roman"/>
      <w:kern w:val="0"/>
      <w:sz w:val="34"/>
      <w:szCs w:val="20"/>
    </w:rPr>
  </w:style>
  <w:style w:type="character" w:styleId="22">
    <w:name w:val="Strong"/>
    <w:basedOn w:val="21"/>
    <w:qFormat/>
    <w:uiPriority w:val="22"/>
    <w:rPr>
      <w:b/>
      <w:bCs/>
    </w:rPr>
  </w:style>
  <w:style w:type="character" w:styleId="23">
    <w:name w:val="FollowedHyperlink"/>
    <w:basedOn w:val="21"/>
    <w:semiHidden/>
    <w:unhideWhenUsed/>
    <w:qFormat/>
    <w:uiPriority w:val="99"/>
    <w:rPr>
      <w:color w:val="800080" w:themeColor="followedHyperlink"/>
      <w:u w:val="single"/>
    </w:rPr>
  </w:style>
  <w:style w:type="character" w:styleId="24">
    <w:name w:val="Emphasis"/>
    <w:basedOn w:val="21"/>
    <w:qFormat/>
    <w:uiPriority w:val="20"/>
    <w:rPr>
      <w:i/>
      <w:iCs/>
    </w:rPr>
  </w:style>
  <w:style w:type="character" w:styleId="25">
    <w:name w:val="Hyperlink"/>
    <w:basedOn w:val="21"/>
    <w:unhideWhenUsed/>
    <w:qFormat/>
    <w:uiPriority w:val="99"/>
    <w:rPr>
      <w:color w:val="0000FF"/>
      <w:u w:val="single"/>
    </w:rPr>
  </w:style>
  <w:style w:type="character" w:customStyle="1" w:styleId="26">
    <w:name w:val="标题 1 Char"/>
    <w:basedOn w:val="21"/>
    <w:link w:val="2"/>
    <w:qFormat/>
    <w:uiPriority w:val="0"/>
    <w:rPr>
      <w:rFonts w:ascii="Calibri" w:hAnsi="Calibri" w:eastAsia="宋体" w:cs="Times New Roman"/>
      <w:b/>
      <w:bCs/>
      <w:kern w:val="44"/>
      <w:sz w:val="44"/>
      <w:szCs w:val="44"/>
    </w:rPr>
  </w:style>
  <w:style w:type="character" w:customStyle="1" w:styleId="27">
    <w:name w:val="标题 2 Char"/>
    <w:basedOn w:val="21"/>
    <w:link w:val="3"/>
    <w:qFormat/>
    <w:uiPriority w:val="0"/>
    <w:rPr>
      <w:rFonts w:ascii="Arial" w:hAnsi="Arial" w:eastAsia="黑体" w:cs="Times New Roman"/>
      <w:b/>
      <w:bCs/>
      <w:kern w:val="0"/>
      <w:sz w:val="32"/>
      <w:szCs w:val="32"/>
    </w:rPr>
  </w:style>
  <w:style w:type="character" w:customStyle="1" w:styleId="28">
    <w:name w:val="标题 3 Char"/>
    <w:basedOn w:val="21"/>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1"/>
    <w:link w:val="5"/>
    <w:qFormat/>
    <w:uiPriority w:val="0"/>
    <w:rPr>
      <w:rFonts w:ascii="Arial" w:hAnsi="Arial" w:eastAsia="黑体" w:cs="Times New Roman"/>
      <w:b/>
      <w:bCs/>
      <w:kern w:val="0"/>
      <w:sz w:val="28"/>
      <w:szCs w:val="28"/>
    </w:rPr>
  </w:style>
  <w:style w:type="character" w:customStyle="1" w:styleId="30">
    <w:name w:val="纯文本 Char"/>
    <w:basedOn w:val="21"/>
    <w:link w:val="12"/>
    <w:qFormat/>
    <w:uiPriority w:val="0"/>
    <w:rPr>
      <w:rFonts w:eastAsia="宋体"/>
      <w:sz w:val="24"/>
    </w:rPr>
  </w:style>
  <w:style w:type="character" w:customStyle="1" w:styleId="31">
    <w:name w:val="日期 Char"/>
    <w:basedOn w:val="21"/>
    <w:link w:val="13"/>
    <w:qFormat/>
    <w:uiPriority w:val="99"/>
  </w:style>
  <w:style w:type="character" w:customStyle="1" w:styleId="32">
    <w:name w:val="页脚 Char"/>
    <w:basedOn w:val="21"/>
    <w:link w:val="14"/>
    <w:qFormat/>
    <w:uiPriority w:val="99"/>
    <w:rPr>
      <w:sz w:val="18"/>
      <w:szCs w:val="18"/>
    </w:rPr>
  </w:style>
  <w:style w:type="character" w:customStyle="1" w:styleId="33">
    <w:name w:val="页眉 Char"/>
    <w:basedOn w:val="21"/>
    <w:link w:val="15"/>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1"/>
    <w:link w:val="8"/>
    <w:qFormat/>
    <w:uiPriority w:val="0"/>
    <w:rPr>
      <w:rFonts w:ascii="Times New Roman" w:hAnsi="Times New Roman" w:eastAsia="宋体" w:cs="Times New Roman"/>
      <w:color w:val="FF0000"/>
      <w:sz w:val="24"/>
      <w:szCs w:val="24"/>
    </w:rPr>
  </w:style>
  <w:style w:type="character" w:customStyle="1" w:styleId="46">
    <w:name w:val="edittexttarea"/>
    <w:basedOn w:val="21"/>
    <w:qFormat/>
    <w:uiPriority w:val="0"/>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1"/>
    <w:link w:val="9"/>
    <w:semiHidden/>
    <w:qFormat/>
    <w:uiPriority w:val="99"/>
  </w:style>
  <w:style w:type="character" w:customStyle="1" w:styleId="50">
    <w:name w:val="正文首行缩进 Char"/>
    <w:basedOn w:val="49"/>
    <w:link w:val="19"/>
    <w:qFormat/>
    <w:uiPriority w:val="0"/>
    <w:rPr>
      <w:rFonts w:ascii="宋体" w:hAnsi="Times New Roman" w:eastAsia="宋体" w:cs="Times New Roman"/>
      <w:kern w:val="0"/>
      <w:sz w:val="34"/>
      <w:szCs w:val="20"/>
    </w:rPr>
  </w:style>
  <w:style w:type="character" w:customStyle="1" w:styleId="51">
    <w:name w:val="HTML 预设格式 Char"/>
    <w:basedOn w:val="21"/>
    <w:link w:val="17"/>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DAF18-6DF3-455F-B1C0-7809513D760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65</Pages>
  <Words>5169</Words>
  <Characters>29464</Characters>
  <Lines>245</Lines>
  <Paragraphs>69</Paragraphs>
  <TotalTime>2</TotalTime>
  <ScaleCrop>false</ScaleCrop>
  <LinksUpToDate>false</LinksUpToDate>
  <CharactersWithSpaces>34564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许昌市公共资源交易中心:杨丹丹</cp:lastModifiedBy>
  <cp:lastPrinted>2018-03-20T03:26:00Z</cp:lastPrinted>
  <dcterms:modified xsi:type="dcterms:W3CDTF">2019-04-22T07:16:51Z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