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firstLine="0" w:firstLineChars="0"/>
        <w:jc w:val="center"/>
        <w:rPr>
          <w:rFonts w:hint="eastAsia" w:ascii="仿宋" w:hAnsi="仿宋" w:eastAsia="仿宋" w:cs="仿宋"/>
          <w:b/>
          <w:bCs/>
          <w:kern w:val="2"/>
          <w:sz w:val="44"/>
          <w:szCs w:val="44"/>
        </w:rPr>
      </w:pPr>
      <w:r>
        <w:rPr>
          <w:rFonts w:hint="eastAsia" w:ascii="仿宋" w:hAnsi="仿宋" w:eastAsia="仿宋" w:cs="仿宋"/>
          <w:b/>
          <w:bCs/>
          <w:kern w:val="2"/>
          <w:sz w:val="44"/>
          <w:szCs w:val="44"/>
          <w:lang w:eastAsia="zh-CN"/>
        </w:rPr>
        <w:t>长葛市黄河路（人民路-魏武大道）中修铺油工程设计二次</w:t>
      </w:r>
      <w:r>
        <w:rPr>
          <w:rFonts w:hint="eastAsia" w:ascii="仿宋" w:hAnsi="仿宋" w:eastAsia="仿宋" w:cs="仿宋"/>
          <w:b/>
          <w:bCs/>
          <w:kern w:val="2"/>
          <w:sz w:val="44"/>
          <w:szCs w:val="44"/>
        </w:rPr>
        <w:t>招标公告</w:t>
      </w:r>
    </w:p>
    <w:p>
      <w:pPr>
        <w:tabs>
          <w:tab w:val="left" w:pos="4420"/>
        </w:tabs>
        <w:spacing w:line="400" w:lineRule="exact"/>
        <w:ind w:firstLine="0" w:firstLineChars="0"/>
        <w:outlineLvl w:val="0"/>
        <w:rPr>
          <w:rFonts w:hint="eastAsia" w:ascii="黑体" w:hAnsi="黑体" w:eastAsia="黑体" w:cs="黑体"/>
          <w:b/>
          <w:sz w:val="32"/>
          <w:szCs w:val="32"/>
        </w:rPr>
      </w:pPr>
      <w:r>
        <w:rPr>
          <w:rFonts w:hint="eastAsia" w:ascii="黑体" w:hAnsi="黑体" w:eastAsia="黑体" w:cs="黑体"/>
          <w:b/>
          <w:sz w:val="32"/>
          <w:szCs w:val="32"/>
        </w:rPr>
        <w:t>一、招标条件</w:t>
      </w:r>
    </w:p>
    <w:p>
      <w:pPr>
        <w:spacing w:line="440" w:lineRule="exact"/>
        <w:ind w:right="-105" w:rightChars="-50" w:firstLine="560"/>
        <w:rPr>
          <w:rFonts w:hint="eastAsia" w:ascii="仿宋" w:hAnsi="仿宋" w:eastAsia="仿宋" w:cs="仿宋"/>
          <w:bCs/>
          <w:sz w:val="32"/>
          <w:szCs w:val="32"/>
        </w:rPr>
      </w:pPr>
      <w:r>
        <w:rPr>
          <w:rFonts w:hint="eastAsia" w:ascii="仿宋" w:hAnsi="仿宋" w:eastAsia="仿宋" w:cs="仿宋"/>
          <w:bCs/>
          <w:sz w:val="32"/>
          <w:szCs w:val="32"/>
          <w:lang w:eastAsia="zh-CN"/>
        </w:rPr>
        <w:t>本招标项目长葛市黄河路（人民路-魏武大道）中修铺油工程设计二次</w:t>
      </w:r>
      <w:r>
        <w:rPr>
          <w:rFonts w:hint="eastAsia" w:ascii="仿宋" w:hAnsi="仿宋" w:eastAsia="仿宋" w:cs="仿宋"/>
          <w:bCs/>
          <w:sz w:val="32"/>
          <w:szCs w:val="32"/>
        </w:rPr>
        <w:t>，</w:t>
      </w:r>
      <w:r>
        <w:rPr>
          <w:rFonts w:hint="eastAsia" w:ascii="仿宋" w:hAnsi="仿宋" w:eastAsia="仿宋" w:cs="仿宋"/>
          <w:sz w:val="32"/>
          <w:szCs w:val="32"/>
          <w:highlight w:val="none"/>
        </w:rPr>
        <w:t>已由</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长葛市发展和改革委员会</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以</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长发改综合【2019】14</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号文件批准建设</w:t>
      </w:r>
      <w:r>
        <w:rPr>
          <w:rFonts w:hint="eastAsia" w:ascii="仿宋" w:hAnsi="仿宋" w:eastAsia="仿宋" w:cs="仿宋"/>
          <w:bCs/>
          <w:sz w:val="32"/>
          <w:szCs w:val="32"/>
        </w:rPr>
        <w:t>，招标人为</w:t>
      </w:r>
      <w:r>
        <w:rPr>
          <w:rFonts w:hint="eastAsia" w:ascii="仿宋" w:hAnsi="仿宋" w:eastAsia="仿宋" w:cs="仿宋"/>
          <w:bCs/>
          <w:sz w:val="32"/>
          <w:szCs w:val="32"/>
          <w:lang w:val="en-US" w:eastAsia="zh-CN"/>
        </w:rPr>
        <w:t>长葛市住房和城乡规划建设局，招标代理机构为中建联勘测规划设计有限公司</w:t>
      </w:r>
      <w:r>
        <w:rPr>
          <w:rFonts w:hint="eastAsia" w:ascii="仿宋" w:hAnsi="仿宋" w:eastAsia="仿宋" w:cs="仿宋"/>
          <w:bCs/>
          <w:sz w:val="32"/>
          <w:szCs w:val="32"/>
        </w:rPr>
        <w:t>，建设资金为财政资金，项目出资比例为100%。项目已具备招标条件，现对该项目的设计进行公开招标。</w:t>
      </w:r>
    </w:p>
    <w:p>
      <w:pPr>
        <w:tabs>
          <w:tab w:val="left" w:pos="4420"/>
        </w:tabs>
        <w:spacing w:line="400" w:lineRule="exact"/>
        <w:ind w:firstLine="0" w:firstLineChars="0"/>
        <w:outlineLvl w:val="0"/>
        <w:rPr>
          <w:rFonts w:hint="eastAsia" w:ascii="仿宋" w:hAnsi="仿宋" w:eastAsia="仿宋" w:cs="仿宋"/>
          <w:b/>
          <w:sz w:val="32"/>
          <w:szCs w:val="32"/>
        </w:rPr>
      </w:pPr>
      <w:r>
        <w:rPr>
          <w:rFonts w:hint="eastAsia" w:ascii="黑体" w:hAnsi="黑体" w:eastAsia="黑体" w:cs="黑体"/>
          <w:b/>
          <w:sz w:val="32"/>
          <w:szCs w:val="32"/>
        </w:rPr>
        <w:t>二、项目概况与招标内容</w:t>
      </w:r>
      <w:r>
        <w:rPr>
          <w:rFonts w:hint="eastAsia" w:ascii="仿宋" w:hAnsi="仿宋" w:eastAsia="仿宋" w:cs="仿宋"/>
          <w:b/>
          <w:sz w:val="32"/>
          <w:szCs w:val="32"/>
        </w:rPr>
        <w:tab/>
      </w:r>
    </w:p>
    <w:p>
      <w:pPr>
        <w:spacing w:line="440" w:lineRule="exact"/>
        <w:ind w:right="-105" w:rightChars="-50" w:firstLine="640" w:firstLineChars="200"/>
        <w:rPr>
          <w:rFonts w:hint="eastAsia" w:ascii="仿宋" w:hAnsi="仿宋" w:eastAsia="仿宋" w:cs="仿宋"/>
          <w:bCs/>
          <w:sz w:val="32"/>
          <w:szCs w:val="32"/>
        </w:rPr>
      </w:pPr>
      <w:r>
        <w:rPr>
          <w:rFonts w:hint="eastAsia" w:ascii="仿宋" w:hAnsi="仿宋" w:eastAsia="仿宋" w:cs="仿宋"/>
          <w:bCs/>
          <w:sz w:val="32"/>
          <w:szCs w:val="32"/>
        </w:rPr>
        <w:t>2.1项目编号：</w:t>
      </w:r>
      <w:r>
        <w:rPr>
          <w:rFonts w:hint="eastAsia" w:ascii="仿宋" w:hAnsi="仿宋" w:eastAsia="仿宋" w:cs="仿宋"/>
          <w:bCs/>
          <w:sz w:val="32"/>
          <w:szCs w:val="32"/>
          <w:lang w:eastAsia="zh-CN"/>
        </w:rPr>
        <w:t>长交建【</w:t>
      </w:r>
      <w:r>
        <w:rPr>
          <w:rFonts w:hint="eastAsia" w:ascii="仿宋" w:hAnsi="仿宋" w:eastAsia="仿宋" w:cs="仿宋"/>
          <w:bCs/>
          <w:sz w:val="32"/>
          <w:szCs w:val="32"/>
          <w:lang w:val="en-US" w:eastAsia="zh-CN"/>
        </w:rPr>
        <w:t>2019</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GZ051号</w:t>
      </w:r>
    </w:p>
    <w:p>
      <w:pPr>
        <w:spacing w:line="440" w:lineRule="exact"/>
        <w:ind w:right="-105" w:rightChars="-50" w:firstLine="560"/>
        <w:rPr>
          <w:rFonts w:hint="eastAsia" w:ascii="仿宋" w:hAnsi="仿宋" w:eastAsia="仿宋" w:cs="仿宋"/>
          <w:bCs/>
          <w:sz w:val="32"/>
          <w:szCs w:val="32"/>
          <w:lang w:val="en-US" w:eastAsia="zh-CN"/>
        </w:rPr>
      </w:pPr>
      <w:r>
        <w:rPr>
          <w:rFonts w:hint="eastAsia" w:ascii="仿宋" w:hAnsi="仿宋" w:eastAsia="仿宋" w:cs="仿宋"/>
          <w:bCs/>
          <w:sz w:val="32"/>
          <w:szCs w:val="32"/>
        </w:rPr>
        <w:t>2.2项目概况：</w:t>
      </w:r>
      <w:r>
        <w:rPr>
          <w:rFonts w:hint="eastAsia" w:ascii="仿宋" w:hAnsi="仿宋" w:eastAsia="仿宋" w:cs="仿宋"/>
          <w:bCs/>
          <w:sz w:val="32"/>
          <w:szCs w:val="32"/>
          <w:lang w:eastAsia="zh-CN"/>
        </w:rPr>
        <w:t>长葛市黄河路（人民路-魏武大道）中修铺油工程全长约</w:t>
      </w:r>
      <w:r>
        <w:rPr>
          <w:rFonts w:hint="eastAsia" w:ascii="仿宋" w:hAnsi="仿宋" w:eastAsia="仿宋" w:cs="仿宋"/>
          <w:bCs/>
          <w:sz w:val="32"/>
          <w:szCs w:val="32"/>
          <w:lang w:val="en-US" w:eastAsia="zh-CN"/>
        </w:rPr>
        <w:t>4060米，主要对现状机动车道及非机动车道沥青路面进行铣刨覆浇改造。</w:t>
      </w:r>
    </w:p>
    <w:p>
      <w:pPr>
        <w:spacing w:line="440" w:lineRule="exact"/>
        <w:ind w:right="-105" w:rightChars="-50" w:firstLine="560"/>
        <w:rPr>
          <w:rFonts w:hint="eastAsia" w:ascii="仿宋" w:hAnsi="仿宋" w:eastAsia="仿宋" w:cs="仿宋"/>
          <w:bCs/>
          <w:sz w:val="32"/>
          <w:szCs w:val="32"/>
          <w:lang w:val="en-US" w:eastAsia="zh-CN"/>
        </w:rPr>
      </w:pPr>
      <w:r>
        <w:rPr>
          <w:rFonts w:hint="eastAsia" w:ascii="仿宋" w:hAnsi="仿宋" w:eastAsia="仿宋" w:cs="仿宋"/>
          <w:bCs/>
          <w:sz w:val="32"/>
          <w:szCs w:val="32"/>
        </w:rPr>
        <w:t>2.3</w:t>
      </w:r>
      <w:r>
        <w:rPr>
          <w:rFonts w:hint="eastAsia" w:ascii="仿宋" w:hAnsi="仿宋" w:eastAsia="仿宋" w:cs="仿宋"/>
          <w:bCs/>
          <w:sz w:val="32"/>
          <w:szCs w:val="32"/>
          <w:lang w:eastAsia="zh-CN"/>
        </w:rPr>
        <w:t>建设地点：起点为人民路，起点桩号</w:t>
      </w:r>
      <w:r>
        <w:rPr>
          <w:rFonts w:hint="eastAsia" w:ascii="仿宋" w:hAnsi="仿宋" w:eastAsia="仿宋" w:cs="仿宋"/>
          <w:bCs/>
          <w:sz w:val="32"/>
          <w:szCs w:val="32"/>
          <w:lang w:val="en-US" w:eastAsia="zh-CN"/>
        </w:rPr>
        <w:t>K0+000,终点为魏武路，桩号K4+060.455.</w:t>
      </w:r>
    </w:p>
    <w:p>
      <w:pPr>
        <w:spacing w:line="440" w:lineRule="exact"/>
        <w:ind w:right="-105" w:rightChars="-50" w:firstLine="560"/>
        <w:rPr>
          <w:rFonts w:hint="eastAsia" w:ascii="仿宋" w:hAnsi="仿宋" w:eastAsia="仿宋" w:cs="仿宋"/>
          <w:bCs/>
          <w:sz w:val="32"/>
          <w:szCs w:val="32"/>
        </w:rPr>
      </w:pPr>
      <w:r>
        <w:rPr>
          <w:rFonts w:hint="eastAsia" w:ascii="仿宋" w:hAnsi="仿宋" w:eastAsia="仿宋" w:cs="仿宋"/>
          <w:bCs/>
          <w:sz w:val="32"/>
          <w:szCs w:val="32"/>
          <w:lang w:val="en-US" w:eastAsia="zh-CN"/>
        </w:rPr>
        <w:t>2.4</w:t>
      </w:r>
      <w:r>
        <w:rPr>
          <w:rFonts w:hint="eastAsia" w:ascii="仿宋" w:hAnsi="仿宋" w:eastAsia="仿宋" w:cs="仿宋"/>
          <w:bCs/>
          <w:sz w:val="32"/>
          <w:szCs w:val="32"/>
        </w:rPr>
        <w:t>招标范围：招标文件、答疑纪要（如有）和补充文件（如有）等范围内的全部内容。</w:t>
      </w:r>
    </w:p>
    <w:p>
      <w:pPr>
        <w:spacing w:line="440" w:lineRule="exact"/>
        <w:ind w:right="-105" w:rightChars="-50" w:firstLine="560"/>
        <w:rPr>
          <w:rFonts w:hint="eastAsia"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val="en-US" w:eastAsia="zh-CN"/>
        </w:rPr>
        <w:t>5</w:t>
      </w:r>
      <w:r>
        <w:rPr>
          <w:rFonts w:hint="eastAsia" w:ascii="仿宋" w:hAnsi="仿宋" w:eastAsia="仿宋" w:cs="仿宋"/>
          <w:bCs/>
          <w:sz w:val="32"/>
          <w:szCs w:val="32"/>
        </w:rPr>
        <w:t>招标控制价：</w:t>
      </w:r>
      <w:r>
        <w:rPr>
          <w:rFonts w:hint="eastAsia" w:ascii="仿宋" w:hAnsi="仿宋" w:eastAsia="仿宋" w:cs="仿宋"/>
          <w:bCs/>
          <w:sz w:val="32"/>
          <w:szCs w:val="32"/>
          <w:lang w:val="en-US" w:eastAsia="zh-CN"/>
        </w:rPr>
        <w:t>376673.27</w:t>
      </w:r>
      <w:r>
        <w:rPr>
          <w:rFonts w:hint="eastAsia" w:ascii="仿宋" w:hAnsi="仿宋" w:eastAsia="仿宋" w:cs="仿宋"/>
          <w:bCs/>
          <w:sz w:val="32"/>
          <w:szCs w:val="32"/>
        </w:rPr>
        <w:t>元。</w:t>
      </w:r>
    </w:p>
    <w:p>
      <w:pPr>
        <w:spacing w:line="440" w:lineRule="exact"/>
        <w:ind w:right="-105" w:rightChars="-50" w:firstLine="560"/>
        <w:rPr>
          <w:rFonts w:hint="eastAsia" w:ascii="仿宋" w:hAnsi="仿宋" w:eastAsia="仿宋" w:cs="仿宋"/>
          <w:bCs/>
          <w:sz w:val="32"/>
          <w:szCs w:val="32"/>
          <w:highlight w:val="none"/>
        </w:rPr>
      </w:pPr>
      <w:r>
        <w:rPr>
          <w:rFonts w:hint="eastAsia" w:ascii="仿宋" w:hAnsi="仿宋" w:eastAsia="仿宋" w:cs="仿宋"/>
          <w:bCs/>
          <w:sz w:val="32"/>
          <w:szCs w:val="32"/>
        </w:rPr>
        <w:t>2.</w:t>
      </w:r>
      <w:r>
        <w:rPr>
          <w:rFonts w:hint="eastAsia" w:ascii="仿宋" w:hAnsi="仿宋" w:eastAsia="仿宋" w:cs="仿宋"/>
          <w:bCs/>
          <w:sz w:val="32"/>
          <w:szCs w:val="32"/>
          <w:lang w:val="en-US" w:eastAsia="zh-CN"/>
        </w:rPr>
        <w:t>6设计服务期限</w:t>
      </w:r>
      <w:r>
        <w:rPr>
          <w:rFonts w:hint="eastAsia" w:ascii="仿宋" w:hAnsi="仿宋" w:eastAsia="仿宋" w:cs="仿宋"/>
          <w:bCs/>
          <w:sz w:val="32"/>
          <w:szCs w:val="32"/>
        </w:rPr>
        <w:t>：</w:t>
      </w:r>
      <w:r>
        <w:rPr>
          <w:rFonts w:hint="eastAsia" w:ascii="仿宋" w:hAnsi="仿宋" w:eastAsia="仿宋" w:cs="仿宋"/>
          <w:bCs/>
          <w:sz w:val="32"/>
          <w:szCs w:val="32"/>
          <w:highlight w:val="none"/>
          <w:lang w:val="en-US" w:eastAsia="zh-CN"/>
        </w:rPr>
        <w:t>10</w:t>
      </w:r>
      <w:r>
        <w:rPr>
          <w:rFonts w:hint="eastAsia" w:ascii="仿宋" w:hAnsi="仿宋" w:eastAsia="仿宋" w:cs="仿宋"/>
          <w:bCs/>
          <w:sz w:val="32"/>
          <w:szCs w:val="32"/>
          <w:highlight w:val="none"/>
        </w:rPr>
        <w:t>日历天。</w:t>
      </w:r>
    </w:p>
    <w:p>
      <w:pPr>
        <w:spacing w:line="440" w:lineRule="exact"/>
        <w:ind w:right="-105" w:rightChars="-50"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2.</w:t>
      </w:r>
      <w:r>
        <w:rPr>
          <w:rFonts w:hint="eastAsia" w:ascii="仿宋" w:hAnsi="仿宋" w:eastAsia="仿宋" w:cs="仿宋"/>
          <w:bCs/>
          <w:sz w:val="32"/>
          <w:szCs w:val="32"/>
          <w:highlight w:val="none"/>
          <w:lang w:val="en-US" w:eastAsia="zh-CN"/>
        </w:rPr>
        <w:t>7</w:t>
      </w:r>
      <w:r>
        <w:rPr>
          <w:rFonts w:hint="eastAsia" w:ascii="仿宋" w:hAnsi="仿宋" w:eastAsia="仿宋" w:cs="仿宋"/>
          <w:bCs/>
          <w:sz w:val="32"/>
          <w:szCs w:val="32"/>
          <w:highlight w:val="none"/>
        </w:rPr>
        <w:t>质量要求：符合现行设计规范、规程、规定、标准等。</w:t>
      </w:r>
    </w:p>
    <w:p>
      <w:pPr>
        <w:spacing w:line="440" w:lineRule="exact"/>
        <w:ind w:firstLine="0" w:firstLineChars="0"/>
        <w:outlineLvl w:val="1"/>
        <w:rPr>
          <w:rFonts w:hint="eastAsia" w:ascii="黑体" w:hAnsi="黑体" w:eastAsia="黑体" w:cs="黑体"/>
          <w:b/>
          <w:sz w:val="32"/>
          <w:szCs w:val="32"/>
          <w:highlight w:val="none"/>
        </w:rPr>
      </w:pPr>
      <w:r>
        <w:rPr>
          <w:rFonts w:hint="eastAsia" w:ascii="黑体" w:hAnsi="黑体" w:eastAsia="黑体" w:cs="黑体"/>
          <w:b/>
          <w:sz w:val="32"/>
          <w:szCs w:val="32"/>
          <w:highlight w:val="none"/>
        </w:rPr>
        <w:t>三、投标人资格要求</w:t>
      </w:r>
    </w:p>
    <w:p>
      <w:pPr>
        <w:spacing w:line="440" w:lineRule="exact"/>
        <w:ind w:right="-105" w:rightChars="-50"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3.1投标人须具有独立法人资格，</w:t>
      </w:r>
      <w:r>
        <w:rPr>
          <w:rFonts w:hint="eastAsia" w:ascii="仿宋" w:hAnsi="仿宋" w:eastAsia="仿宋" w:cs="仿宋"/>
          <w:bCs/>
          <w:sz w:val="32"/>
          <w:szCs w:val="32"/>
          <w:highlight w:val="none"/>
          <w:lang w:eastAsia="zh-CN"/>
        </w:rPr>
        <w:t>同时</w:t>
      </w:r>
      <w:r>
        <w:rPr>
          <w:rFonts w:hint="eastAsia" w:ascii="仿宋" w:hAnsi="仿宋" w:eastAsia="仿宋" w:cs="仿宋"/>
          <w:bCs/>
          <w:sz w:val="32"/>
          <w:szCs w:val="32"/>
          <w:highlight w:val="none"/>
        </w:rPr>
        <w:t>具有建设行政主管部门颁发的工程设计综合甲级或市政行业设计（道路工程）</w:t>
      </w:r>
      <w:r>
        <w:rPr>
          <w:rFonts w:hint="eastAsia" w:ascii="仿宋" w:hAnsi="仿宋" w:eastAsia="仿宋" w:cs="仿宋"/>
          <w:bCs/>
          <w:sz w:val="32"/>
          <w:szCs w:val="32"/>
          <w:highlight w:val="none"/>
          <w:lang w:eastAsia="zh-CN"/>
        </w:rPr>
        <w:t>乙</w:t>
      </w:r>
      <w:r>
        <w:rPr>
          <w:rFonts w:hint="eastAsia" w:ascii="仿宋" w:hAnsi="仿宋" w:eastAsia="仿宋" w:cs="仿宋"/>
          <w:bCs/>
          <w:sz w:val="32"/>
          <w:szCs w:val="32"/>
          <w:highlight w:val="none"/>
        </w:rPr>
        <w:t>级</w:t>
      </w:r>
      <w:r>
        <w:rPr>
          <w:rFonts w:hint="eastAsia" w:ascii="仿宋" w:hAnsi="仿宋" w:eastAsia="仿宋" w:cs="仿宋"/>
          <w:bCs/>
          <w:sz w:val="32"/>
          <w:szCs w:val="32"/>
          <w:highlight w:val="none"/>
          <w:lang w:eastAsia="zh-CN"/>
        </w:rPr>
        <w:t>及以上</w:t>
      </w:r>
      <w:r>
        <w:rPr>
          <w:rFonts w:hint="eastAsia" w:ascii="仿宋" w:hAnsi="仿宋" w:eastAsia="仿宋" w:cs="仿宋"/>
          <w:bCs/>
          <w:sz w:val="32"/>
          <w:szCs w:val="32"/>
          <w:highlight w:val="none"/>
        </w:rPr>
        <w:t>资质、并在人员、设备、资金等方面具有相应的设计能力。拟派项目负责人具有城建类或道路工程</w:t>
      </w:r>
      <w:r>
        <w:rPr>
          <w:rFonts w:hint="eastAsia" w:ascii="仿宋" w:hAnsi="仿宋" w:eastAsia="仿宋" w:cs="仿宋"/>
          <w:bCs/>
          <w:sz w:val="32"/>
          <w:szCs w:val="32"/>
          <w:highlight w:val="none"/>
          <w:lang w:val="en-US" w:eastAsia="zh-CN"/>
        </w:rPr>
        <w:t>相关专业中</w:t>
      </w:r>
      <w:r>
        <w:rPr>
          <w:rFonts w:hint="eastAsia" w:ascii="仿宋" w:hAnsi="仿宋" w:eastAsia="仿宋" w:cs="仿宋"/>
          <w:bCs/>
          <w:sz w:val="32"/>
          <w:szCs w:val="32"/>
          <w:highlight w:val="none"/>
        </w:rPr>
        <w:t>级工程师及以上职称。</w:t>
      </w:r>
    </w:p>
    <w:p>
      <w:pPr>
        <w:spacing w:line="440" w:lineRule="exact"/>
        <w:ind w:right="-105" w:rightChars="-50" w:firstLine="560"/>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rPr>
        <w:t>3.2</w:t>
      </w:r>
      <w:r>
        <w:rPr>
          <w:rFonts w:hint="eastAsia" w:ascii="仿宋" w:hAnsi="仿宋" w:eastAsia="仿宋" w:cs="仿宋"/>
          <w:bCs/>
          <w:sz w:val="32"/>
          <w:szCs w:val="32"/>
          <w:highlight w:val="none"/>
          <w:lang w:eastAsia="zh-CN"/>
        </w:rPr>
        <w:t>未被列入“信用中国”</w:t>
      </w:r>
      <w:r>
        <w:rPr>
          <w:rFonts w:hint="eastAsia" w:ascii="仿宋" w:hAnsi="仿宋" w:eastAsia="仿宋" w:cs="仿宋"/>
          <w:bCs/>
          <w:sz w:val="32"/>
          <w:szCs w:val="32"/>
          <w:highlight w:val="none"/>
          <w:lang w:val="en-US" w:eastAsia="zh-CN"/>
        </w:rPr>
        <w:t>/</w:t>
      </w:r>
      <w:r>
        <w:rPr>
          <w:rFonts w:hint="eastAsia" w:ascii="仿宋" w:hAnsi="仿宋" w:eastAsia="仿宋" w:cs="仿宋"/>
          <w:bCs/>
          <w:sz w:val="32"/>
          <w:szCs w:val="32"/>
          <w:highlight w:val="none"/>
          <w:lang w:eastAsia="zh-CN"/>
        </w:rPr>
        <w:t>“信用河南”网站信用信息栏黑名单，“国家企业信用信息公示系统”经营异常名录或严重失信黑名单，“全国法院失信被执行人名单”，或各级信用信息共享平台中列入失信被执行人名单，无行贿犯罪记录的投标人。</w:t>
      </w:r>
    </w:p>
    <w:p>
      <w:pPr>
        <w:spacing w:line="440" w:lineRule="exact"/>
        <w:ind w:right="-105" w:rightChars="-50"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3.3本次招标不接受联合体投标。</w:t>
      </w:r>
    </w:p>
    <w:p>
      <w:pPr>
        <w:spacing w:line="440" w:lineRule="exact"/>
        <w:ind w:right="-105" w:rightChars="-50"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3.4本次招标实行资格后审。</w:t>
      </w:r>
    </w:p>
    <w:p>
      <w:pPr>
        <w:spacing w:line="440" w:lineRule="exact"/>
        <w:ind w:firstLine="0" w:firstLineChars="0"/>
        <w:outlineLvl w:val="1"/>
        <w:rPr>
          <w:rFonts w:hint="eastAsia" w:ascii="黑体" w:hAnsi="黑体" w:eastAsia="黑体" w:cs="黑体"/>
          <w:b/>
          <w:sz w:val="32"/>
          <w:szCs w:val="32"/>
          <w:highlight w:val="none"/>
        </w:rPr>
      </w:pPr>
      <w:bookmarkStart w:id="0" w:name="_Toc28292"/>
      <w:r>
        <w:rPr>
          <w:rFonts w:hint="eastAsia" w:ascii="黑体" w:hAnsi="黑体" w:eastAsia="黑体" w:cs="黑体"/>
          <w:b/>
          <w:sz w:val="32"/>
          <w:szCs w:val="32"/>
          <w:highlight w:val="none"/>
        </w:rPr>
        <w:t>四、投标报名</w:t>
      </w:r>
      <w:bookmarkEnd w:id="0"/>
    </w:p>
    <w:p>
      <w:pPr>
        <w:spacing w:line="440" w:lineRule="exact"/>
        <w:ind w:right="-105" w:rightChars="-50" w:firstLine="562"/>
        <w:rPr>
          <w:rFonts w:hint="eastAsia" w:ascii="仿宋" w:hAnsi="仿宋" w:eastAsia="仿宋" w:cs="仿宋"/>
          <w:b/>
          <w:sz w:val="32"/>
          <w:szCs w:val="32"/>
          <w:highlight w:val="none"/>
        </w:rPr>
      </w:pPr>
      <w:bookmarkStart w:id="1" w:name="_Toc3684"/>
      <w:bookmarkStart w:id="2" w:name="_Toc397507922"/>
      <w:bookmarkStart w:id="3" w:name="_Toc464824541"/>
      <w:bookmarkStart w:id="4" w:name="_Toc397605791"/>
      <w:bookmarkStart w:id="5" w:name="_Toc397507510"/>
      <w:r>
        <w:rPr>
          <w:rFonts w:hint="eastAsia" w:ascii="仿宋" w:hAnsi="仿宋" w:eastAsia="仿宋" w:cs="仿宋"/>
          <w:b/>
          <w:sz w:val="32"/>
          <w:szCs w:val="32"/>
          <w:highlight w:val="none"/>
        </w:rPr>
        <w:t>4.1报名时间：</w:t>
      </w:r>
      <w:r>
        <w:rPr>
          <w:rFonts w:hint="eastAsia" w:ascii="仿宋" w:hAnsi="仿宋" w:eastAsia="仿宋" w:cs="仿宋"/>
          <w:bCs/>
          <w:sz w:val="32"/>
          <w:szCs w:val="32"/>
          <w:highlight w:val="none"/>
        </w:rPr>
        <w:t>投标人在投标文件递交截止时间前均可报名</w:t>
      </w:r>
    </w:p>
    <w:p>
      <w:pPr>
        <w:spacing w:line="440" w:lineRule="exact"/>
        <w:ind w:right="-105" w:rightChars="-50" w:firstLine="562"/>
        <w:rPr>
          <w:rFonts w:hint="eastAsia" w:ascii="仿宋" w:hAnsi="仿宋" w:eastAsia="仿宋" w:cs="仿宋"/>
          <w:bCs/>
          <w:sz w:val="32"/>
          <w:szCs w:val="32"/>
          <w:highlight w:val="none"/>
        </w:rPr>
      </w:pPr>
      <w:r>
        <w:rPr>
          <w:rFonts w:hint="eastAsia" w:ascii="仿宋" w:hAnsi="仿宋" w:eastAsia="仿宋" w:cs="仿宋"/>
          <w:b/>
          <w:sz w:val="32"/>
          <w:szCs w:val="32"/>
          <w:highlight w:val="none"/>
        </w:rPr>
        <w:t>4.2报名方式：</w:t>
      </w:r>
      <w:r>
        <w:rPr>
          <w:rFonts w:hint="eastAsia" w:ascii="仿宋" w:hAnsi="仿宋" w:eastAsia="仿宋" w:cs="仿宋"/>
          <w:bCs/>
          <w:sz w:val="32"/>
          <w:szCs w:val="32"/>
          <w:highlight w:val="none"/>
        </w:rPr>
        <w:t>网上报名。</w:t>
      </w:r>
    </w:p>
    <w:p>
      <w:pPr>
        <w:spacing w:line="440" w:lineRule="exact"/>
        <w:ind w:right="-105" w:rightChars="-50" w:firstLine="562"/>
        <w:rPr>
          <w:rFonts w:hint="eastAsia" w:ascii="仿宋" w:hAnsi="仿宋" w:eastAsia="仿宋" w:cs="仿宋"/>
          <w:bCs/>
          <w:sz w:val="32"/>
          <w:szCs w:val="32"/>
          <w:highlight w:val="none"/>
        </w:rPr>
      </w:pPr>
      <w:r>
        <w:rPr>
          <w:rFonts w:hint="eastAsia" w:ascii="仿宋" w:hAnsi="仿宋" w:eastAsia="仿宋" w:cs="仿宋"/>
          <w:b/>
          <w:sz w:val="32"/>
          <w:szCs w:val="32"/>
          <w:highlight w:val="none"/>
        </w:rPr>
        <w:t>（1）注册：</w:t>
      </w:r>
      <w:r>
        <w:rPr>
          <w:rFonts w:hint="eastAsia" w:ascii="仿宋" w:hAnsi="仿宋" w:eastAsia="仿宋" w:cs="仿宋"/>
          <w:bCs/>
          <w:sz w:val="32"/>
          <w:szCs w:val="32"/>
          <w:highlight w:val="none"/>
        </w:rPr>
        <w:t>持CA数字认证证书，登录【全国公共资源交易平台（河南省·许昌市）】“系统用户注册”入口</w:t>
      </w:r>
    </w:p>
    <w:p>
      <w:pPr>
        <w:spacing w:line="440" w:lineRule="exact"/>
        <w:ind w:right="-105" w:rightChars="-50"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（http://221.14.6.70:8088/ggzy/eps/public/RegistAllJcxx.html）进行免费注册登记（详见“常见问题解答-诚信库网上注册相关资料下载”）；</w:t>
      </w:r>
    </w:p>
    <w:p>
      <w:pPr>
        <w:spacing w:line="440" w:lineRule="exact"/>
        <w:ind w:right="-105" w:rightChars="-50" w:firstLine="562"/>
        <w:rPr>
          <w:rFonts w:hint="eastAsia" w:ascii="仿宋" w:hAnsi="仿宋" w:eastAsia="仿宋" w:cs="仿宋"/>
          <w:bCs/>
          <w:sz w:val="32"/>
          <w:szCs w:val="32"/>
          <w:highlight w:val="none"/>
        </w:rPr>
      </w:pPr>
      <w:r>
        <w:rPr>
          <w:rFonts w:hint="eastAsia" w:ascii="仿宋" w:hAnsi="仿宋" w:eastAsia="仿宋" w:cs="仿宋"/>
          <w:b/>
          <w:sz w:val="32"/>
          <w:szCs w:val="32"/>
          <w:highlight w:val="none"/>
        </w:rPr>
        <w:t>（2）报名：</w:t>
      </w:r>
      <w:r>
        <w:rPr>
          <w:rFonts w:hint="eastAsia" w:ascii="仿宋" w:hAnsi="仿宋" w:eastAsia="仿宋" w:cs="仿宋"/>
          <w:bCs/>
          <w:sz w:val="32"/>
          <w:szCs w:val="32"/>
          <w:highlight w:val="none"/>
        </w:rPr>
        <w:t>登录【全国公共资源交易平台（河南省·许昌市）】“投标人/供应商登录”入口（http://221.14.6.70:8088/ggzy/）,在报名期限内。（详见“常见问题解答-交易系统操作手册”）。</w:t>
      </w:r>
    </w:p>
    <w:p>
      <w:pPr>
        <w:spacing w:line="440" w:lineRule="exact"/>
        <w:ind w:firstLine="0" w:firstLineChars="0"/>
        <w:outlineLvl w:val="1"/>
        <w:rPr>
          <w:rFonts w:hint="eastAsia" w:ascii="黑体" w:hAnsi="黑体" w:eastAsia="黑体" w:cs="黑体"/>
          <w:b/>
          <w:sz w:val="32"/>
          <w:szCs w:val="32"/>
          <w:highlight w:val="none"/>
        </w:rPr>
      </w:pPr>
      <w:r>
        <w:rPr>
          <w:rFonts w:hint="eastAsia" w:ascii="黑体" w:hAnsi="黑体" w:eastAsia="黑体" w:cs="黑体"/>
          <w:b/>
          <w:sz w:val="32"/>
          <w:szCs w:val="32"/>
          <w:highlight w:val="none"/>
        </w:rPr>
        <w:t>五、招标文件的获取</w:t>
      </w:r>
      <w:bookmarkEnd w:id="1"/>
      <w:bookmarkEnd w:id="2"/>
      <w:bookmarkEnd w:id="3"/>
      <w:bookmarkEnd w:id="4"/>
      <w:bookmarkEnd w:id="5"/>
    </w:p>
    <w:p>
      <w:pPr>
        <w:spacing w:line="440" w:lineRule="exact"/>
        <w:ind w:firstLine="562"/>
        <w:outlineLvl w:val="0"/>
        <w:rPr>
          <w:rFonts w:hint="eastAsia" w:ascii="仿宋" w:hAnsi="仿宋" w:eastAsia="仿宋" w:cs="仿宋"/>
          <w:bCs/>
          <w:sz w:val="32"/>
          <w:szCs w:val="32"/>
          <w:highlight w:val="none"/>
        </w:rPr>
      </w:pPr>
      <w:bookmarkStart w:id="6" w:name="_Toc397507511"/>
      <w:bookmarkStart w:id="7" w:name="_Toc397605792"/>
      <w:bookmarkStart w:id="8" w:name="_Toc397507923"/>
      <w:r>
        <w:rPr>
          <w:rFonts w:hint="eastAsia" w:ascii="仿宋" w:hAnsi="仿宋" w:eastAsia="仿宋" w:cs="仿宋"/>
          <w:b/>
          <w:sz w:val="32"/>
          <w:szCs w:val="32"/>
          <w:highlight w:val="none"/>
        </w:rPr>
        <w:t>5.1招标文件的获取：</w:t>
      </w:r>
      <w:r>
        <w:rPr>
          <w:rFonts w:hint="eastAsia" w:ascii="仿宋" w:hAnsi="仿宋" w:eastAsia="仿宋" w:cs="仿宋"/>
          <w:bCs/>
          <w:sz w:val="32"/>
          <w:szCs w:val="32"/>
          <w:highlight w:val="none"/>
        </w:rPr>
        <w:t>报名期限内，投标人登录《全国公共资源交易平台（河南省·许昌市）》自行下载本项目招标文件。</w:t>
      </w:r>
    </w:p>
    <w:p>
      <w:pPr>
        <w:spacing w:line="440" w:lineRule="exact"/>
        <w:ind w:firstLine="562"/>
        <w:outlineLvl w:val="0"/>
        <w:rPr>
          <w:rFonts w:hint="eastAsia" w:ascii="仿宋" w:hAnsi="仿宋" w:eastAsia="仿宋" w:cs="仿宋"/>
          <w:bCs/>
          <w:sz w:val="32"/>
          <w:szCs w:val="32"/>
          <w:highlight w:val="none"/>
        </w:rPr>
      </w:pPr>
      <w:r>
        <w:rPr>
          <w:rFonts w:hint="eastAsia" w:ascii="仿宋" w:hAnsi="仿宋" w:eastAsia="仿宋" w:cs="仿宋"/>
          <w:b/>
          <w:sz w:val="32"/>
          <w:szCs w:val="32"/>
          <w:highlight w:val="none"/>
        </w:rPr>
        <w:t>5.2施工图纸下载：</w:t>
      </w:r>
      <w:r>
        <w:rPr>
          <w:rFonts w:hint="eastAsia" w:ascii="仿宋" w:hAnsi="仿宋" w:eastAsia="仿宋" w:cs="仿宋"/>
          <w:bCs/>
          <w:sz w:val="32"/>
          <w:szCs w:val="32"/>
          <w:highlight w:val="none"/>
        </w:rPr>
        <w:t>按照招标文件要求自行下载。</w:t>
      </w:r>
    </w:p>
    <w:p>
      <w:pPr>
        <w:spacing w:line="440" w:lineRule="exact"/>
        <w:ind w:firstLine="562"/>
        <w:outlineLvl w:val="0"/>
        <w:rPr>
          <w:rFonts w:hint="eastAsia" w:ascii="仿宋" w:hAnsi="仿宋" w:eastAsia="仿宋" w:cs="仿宋"/>
          <w:bCs/>
          <w:sz w:val="32"/>
          <w:szCs w:val="32"/>
          <w:highlight w:val="none"/>
        </w:rPr>
      </w:pPr>
      <w:r>
        <w:rPr>
          <w:rFonts w:hint="eastAsia" w:ascii="仿宋" w:hAnsi="仿宋" w:eastAsia="仿宋" w:cs="仿宋"/>
          <w:b/>
          <w:sz w:val="32"/>
          <w:szCs w:val="32"/>
          <w:highlight w:val="none"/>
        </w:rPr>
        <w:t>5.3招标文件费用：</w:t>
      </w:r>
      <w:r>
        <w:rPr>
          <w:rFonts w:hint="eastAsia" w:ascii="仿宋" w:hAnsi="仿宋" w:eastAsia="仿宋" w:cs="仿宋"/>
          <w:bCs/>
          <w:sz w:val="32"/>
          <w:szCs w:val="32"/>
          <w:highlight w:val="none"/>
        </w:rPr>
        <w:t>投标人在递交纸制投标文件时向代理公司缴纳招标文件费用，本项目招标文件费用为400元/套，售后不退。</w:t>
      </w:r>
    </w:p>
    <w:p>
      <w:pPr>
        <w:spacing w:line="440" w:lineRule="exact"/>
        <w:ind w:firstLine="562"/>
        <w:outlineLvl w:val="0"/>
        <w:rPr>
          <w:rFonts w:hint="eastAsia" w:ascii="仿宋" w:hAnsi="仿宋" w:eastAsia="仿宋" w:cs="仿宋"/>
          <w:bCs/>
          <w:sz w:val="32"/>
          <w:szCs w:val="32"/>
          <w:highlight w:val="none"/>
        </w:rPr>
      </w:pPr>
      <w:r>
        <w:rPr>
          <w:rFonts w:hint="eastAsia" w:ascii="仿宋" w:hAnsi="仿宋" w:eastAsia="仿宋" w:cs="仿宋"/>
          <w:b/>
          <w:sz w:val="32"/>
          <w:szCs w:val="32"/>
          <w:highlight w:val="none"/>
        </w:rPr>
        <w:t>5.4</w:t>
      </w:r>
      <w:r>
        <w:rPr>
          <w:rFonts w:hint="eastAsia" w:ascii="仿宋" w:hAnsi="仿宋" w:eastAsia="仿宋" w:cs="仿宋"/>
          <w:bCs/>
          <w:sz w:val="32"/>
          <w:szCs w:val="32"/>
          <w:highlight w:val="none"/>
        </w:rPr>
        <w:t>本项目实行资格后审，资格后审所需资料详见招标文件。</w:t>
      </w:r>
    </w:p>
    <w:p>
      <w:pPr>
        <w:spacing w:line="440" w:lineRule="exact"/>
        <w:ind w:firstLine="0" w:firstLineChars="0"/>
        <w:outlineLvl w:val="1"/>
        <w:rPr>
          <w:rFonts w:hint="eastAsia" w:ascii="黑体" w:hAnsi="黑体" w:eastAsia="黑体" w:cs="黑体"/>
          <w:b/>
          <w:sz w:val="32"/>
          <w:szCs w:val="32"/>
          <w:highlight w:val="none"/>
        </w:rPr>
      </w:pPr>
      <w:bookmarkStart w:id="9" w:name="_Toc17272"/>
      <w:bookmarkStart w:id="10" w:name="_Toc464824545"/>
      <w:r>
        <w:rPr>
          <w:rFonts w:hint="eastAsia" w:ascii="黑体" w:hAnsi="黑体" w:eastAsia="黑体" w:cs="黑体"/>
          <w:b/>
          <w:sz w:val="32"/>
          <w:szCs w:val="32"/>
          <w:highlight w:val="none"/>
        </w:rPr>
        <w:t>六、投标文件的递交</w:t>
      </w:r>
      <w:bookmarkEnd w:id="6"/>
      <w:bookmarkEnd w:id="7"/>
      <w:bookmarkEnd w:id="8"/>
      <w:bookmarkEnd w:id="9"/>
      <w:bookmarkEnd w:id="10"/>
    </w:p>
    <w:p>
      <w:pPr>
        <w:spacing w:line="440" w:lineRule="exact"/>
        <w:ind w:firstLine="562"/>
        <w:outlineLvl w:val="0"/>
        <w:rPr>
          <w:rFonts w:hint="eastAsia" w:ascii="仿宋" w:hAnsi="仿宋" w:eastAsia="仿宋" w:cs="仿宋"/>
          <w:bCs/>
          <w:sz w:val="32"/>
          <w:szCs w:val="32"/>
          <w:highlight w:val="none"/>
        </w:rPr>
      </w:pPr>
      <w:bookmarkStart w:id="11" w:name="_Toc397605793"/>
      <w:bookmarkStart w:id="12" w:name="_Toc397507512"/>
      <w:bookmarkStart w:id="13" w:name="_Toc397507924"/>
      <w:bookmarkStart w:id="14" w:name="_Toc464824546"/>
      <w:bookmarkStart w:id="15" w:name="_Toc6213"/>
      <w:r>
        <w:rPr>
          <w:rFonts w:hint="eastAsia" w:ascii="仿宋" w:hAnsi="仿宋" w:eastAsia="仿宋" w:cs="仿宋"/>
          <w:b/>
          <w:sz w:val="32"/>
          <w:szCs w:val="32"/>
          <w:highlight w:val="none"/>
        </w:rPr>
        <w:t>6.1</w:t>
      </w:r>
      <w:r>
        <w:rPr>
          <w:rFonts w:hint="eastAsia" w:ascii="仿宋" w:hAnsi="仿宋" w:eastAsia="仿宋" w:cs="仿宋"/>
          <w:bCs/>
          <w:sz w:val="32"/>
          <w:szCs w:val="32"/>
          <w:highlight w:val="none"/>
        </w:rPr>
        <w:t xml:space="preserve"> 本项目为全流程电子化交易项目，须提交电子投标文件和纸质投标文件（正本1份、副本4份）。</w:t>
      </w:r>
    </w:p>
    <w:p>
      <w:pPr>
        <w:spacing w:line="440" w:lineRule="exact"/>
        <w:ind w:firstLine="562"/>
        <w:outlineLvl w:val="0"/>
        <w:rPr>
          <w:rFonts w:hint="eastAsia" w:ascii="仿宋" w:hAnsi="仿宋" w:eastAsia="仿宋" w:cs="仿宋"/>
          <w:bCs/>
          <w:sz w:val="32"/>
          <w:szCs w:val="32"/>
          <w:highlight w:val="none"/>
          <w:u w:val="single"/>
        </w:rPr>
      </w:pPr>
      <w:r>
        <w:rPr>
          <w:rFonts w:hint="eastAsia" w:ascii="仿宋" w:hAnsi="仿宋" w:eastAsia="仿宋" w:cs="仿宋"/>
          <w:b/>
          <w:sz w:val="32"/>
          <w:szCs w:val="32"/>
          <w:highlight w:val="none"/>
        </w:rPr>
        <w:t>6.2</w:t>
      </w:r>
      <w:r>
        <w:rPr>
          <w:rFonts w:hint="eastAsia" w:ascii="仿宋" w:hAnsi="仿宋" w:eastAsia="仿宋" w:cs="仿宋"/>
          <w:bCs/>
          <w:sz w:val="32"/>
          <w:szCs w:val="32"/>
          <w:highlight w:val="none"/>
        </w:rPr>
        <w:t xml:space="preserve"> 投标文件提交的截止时间及开标时间：</w:t>
      </w:r>
      <w:r>
        <w:rPr>
          <w:rFonts w:hint="eastAsia" w:ascii="仿宋" w:hAnsi="仿宋" w:eastAsia="仿宋" w:cs="仿宋"/>
          <w:bCs/>
          <w:sz w:val="32"/>
          <w:szCs w:val="32"/>
          <w:highlight w:val="none"/>
          <w:u w:val="single"/>
        </w:rPr>
        <w:t>2019年</w:t>
      </w:r>
      <w:r>
        <w:rPr>
          <w:rFonts w:hint="eastAsia" w:ascii="仿宋" w:hAnsi="仿宋" w:eastAsia="仿宋" w:cs="仿宋"/>
          <w:bCs/>
          <w:sz w:val="32"/>
          <w:szCs w:val="32"/>
          <w:highlight w:val="none"/>
          <w:u w:val="single"/>
          <w:lang w:val="en-US" w:eastAsia="zh-CN"/>
        </w:rPr>
        <w:t>5</w:t>
      </w:r>
      <w:r>
        <w:rPr>
          <w:rFonts w:hint="eastAsia" w:ascii="仿宋" w:hAnsi="仿宋" w:eastAsia="仿宋" w:cs="仿宋"/>
          <w:bCs/>
          <w:sz w:val="32"/>
          <w:szCs w:val="32"/>
          <w:highlight w:val="none"/>
          <w:u w:val="single"/>
        </w:rPr>
        <w:t>月</w:t>
      </w:r>
      <w:r>
        <w:rPr>
          <w:rFonts w:hint="eastAsia" w:ascii="仿宋" w:hAnsi="仿宋" w:eastAsia="仿宋" w:cs="仿宋"/>
          <w:bCs/>
          <w:sz w:val="32"/>
          <w:szCs w:val="32"/>
          <w:highlight w:val="none"/>
          <w:u w:val="single"/>
          <w:lang w:val="en-US" w:eastAsia="zh-CN"/>
        </w:rPr>
        <w:t>15</w:t>
      </w:r>
      <w:r>
        <w:rPr>
          <w:rFonts w:hint="eastAsia" w:ascii="仿宋" w:hAnsi="仿宋" w:eastAsia="仿宋" w:cs="仿宋"/>
          <w:bCs/>
          <w:sz w:val="32"/>
          <w:szCs w:val="32"/>
          <w:highlight w:val="none"/>
          <w:u w:val="single"/>
        </w:rPr>
        <w:t xml:space="preserve"> 日</w:t>
      </w:r>
      <w:r>
        <w:rPr>
          <w:rFonts w:hint="eastAsia" w:ascii="仿宋" w:hAnsi="仿宋" w:eastAsia="仿宋" w:cs="仿宋"/>
          <w:bCs/>
          <w:sz w:val="32"/>
          <w:szCs w:val="32"/>
          <w:highlight w:val="none"/>
          <w:u w:val="single"/>
          <w:lang w:val="en-US" w:eastAsia="zh-CN"/>
        </w:rPr>
        <w:t xml:space="preserve">11 </w:t>
      </w:r>
      <w:r>
        <w:rPr>
          <w:rFonts w:hint="eastAsia" w:ascii="仿宋" w:hAnsi="仿宋" w:eastAsia="仿宋" w:cs="仿宋"/>
          <w:bCs/>
          <w:sz w:val="32"/>
          <w:szCs w:val="32"/>
          <w:highlight w:val="none"/>
          <w:u w:val="single"/>
        </w:rPr>
        <w:t>时</w:t>
      </w:r>
      <w:r>
        <w:rPr>
          <w:rFonts w:hint="eastAsia" w:ascii="仿宋" w:hAnsi="仿宋" w:eastAsia="仿宋" w:cs="仿宋"/>
          <w:bCs/>
          <w:sz w:val="32"/>
          <w:szCs w:val="32"/>
          <w:highlight w:val="none"/>
          <w:u w:val="single"/>
          <w:lang w:val="en-US" w:eastAsia="zh-CN"/>
        </w:rPr>
        <w:t>00</w:t>
      </w:r>
      <w:r>
        <w:rPr>
          <w:rFonts w:hint="eastAsia" w:ascii="仿宋" w:hAnsi="仿宋" w:eastAsia="仿宋" w:cs="仿宋"/>
          <w:bCs/>
          <w:sz w:val="32"/>
          <w:szCs w:val="32"/>
          <w:highlight w:val="none"/>
          <w:u w:val="single"/>
        </w:rPr>
        <w:t>分。</w:t>
      </w:r>
    </w:p>
    <w:p>
      <w:pPr>
        <w:spacing w:line="440" w:lineRule="exact"/>
        <w:ind w:firstLine="562"/>
        <w:outlineLvl w:val="0"/>
        <w:rPr>
          <w:rFonts w:hint="eastAsia" w:ascii="仿宋" w:hAnsi="仿宋" w:eastAsia="仿宋" w:cs="仿宋"/>
          <w:bCs/>
          <w:sz w:val="32"/>
          <w:szCs w:val="32"/>
          <w:highlight w:val="none"/>
        </w:rPr>
      </w:pPr>
      <w:r>
        <w:rPr>
          <w:rFonts w:hint="eastAsia" w:ascii="仿宋" w:hAnsi="仿宋" w:eastAsia="仿宋" w:cs="仿宋"/>
          <w:b/>
          <w:sz w:val="32"/>
          <w:szCs w:val="32"/>
          <w:highlight w:val="none"/>
        </w:rPr>
        <w:t>6.3</w:t>
      </w:r>
      <w:r>
        <w:rPr>
          <w:rFonts w:hint="eastAsia" w:ascii="仿宋" w:hAnsi="仿宋" w:eastAsia="仿宋" w:cs="仿宋"/>
          <w:bCs/>
          <w:sz w:val="32"/>
          <w:szCs w:val="32"/>
          <w:highlight w:val="none"/>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562"/>
        <w:outlineLvl w:val="0"/>
        <w:rPr>
          <w:rFonts w:hint="eastAsia" w:ascii="仿宋" w:hAnsi="仿宋" w:eastAsia="仿宋" w:cs="仿宋"/>
          <w:bCs/>
          <w:sz w:val="32"/>
          <w:szCs w:val="32"/>
          <w:highlight w:val="none"/>
        </w:rPr>
      </w:pPr>
      <w:r>
        <w:rPr>
          <w:rFonts w:hint="eastAsia" w:ascii="仿宋" w:hAnsi="仿宋" w:eastAsia="仿宋" w:cs="仿宋"/>
          <w:b/>
          <w:sz w:val="32"/>
          <w:szCs w:val="32"/>
          <w:highlight w:val="none"/>
        </w:rPr>
        <w:t>6.4</w:t>
      </w:r>
      <w:r>
        <w:rPr>
          <w:rFonts w:hint="eastAsia" w:ascii="仿宋" w:hAnsi="仿宋" w:eastAsia="仿宋" w:cs="仿宋"/>
          <w:bCs/>
          <w:sz w:val="32"/>
          <w:szCs w:val="32"/>
          <w:highlight w:val="none"/>
        </w:rPr>
        <w:t>纸质投标文件提交地点：长葛市公共资源交易中心（长葛市葛天大道东段商务区6号楼</w:t>
      </w:r>
      <w:r>
        <w:rPr>
          <w:rFonts w:hint="eastAsia" w:ascii="仿宋" w:hAnsi="仿宋" w:eastAsia="仿宋" w:cs="仿宋"/>
          <w:bCs/>
          <w:sz w:val="32"/>
          <w:szCs w:val="32"/>
          <w:highlight w:val="none"/>
          <w:u w:val="single"/>
          <w:lang w:val="en-US" w:eastAsia="zh-CN"/>
        </w:rPr>
        <w:t xml:space="preserve">  五 </w:t>
      </w:r>
      <w:r>
        <w:rPr>
          <w:rFonts w:hint="eastAsia" w:ascii="仿宋" w:hAnsi="仿宋" w:eastAsia="仿宋" w:cs="仿宋"/>
          <w:bCs/>
          <w:sz w:val="32"/>
          <w:szCs w:val="32"/>
          <w:highlight w:val="none"/>
        </w:rPr>
        <w:t>楼</w:t>
      </w:r>
      <w:r>
        <w:rPr>
          <w:rFonts w:hint="eastAsia" w:ascii="仿宋" w:hAnsi="仿宋" w:eastAsia="仿宋" w:cs="仿宋"/>
          <w:bCs/>
          <w:sz w:val="32"/>
          <w:szCs w:val="32"/>
          <w:highlight w:val="none"/>
          <w:u w:val="none"/>
          <w:lang w:eastAsia="zh-CN"/>
        </w:rPr>
        <w:t>开标</w:t>
      </w:r>
      <w:r>
        <w:rPr>
          <w:rFonts w:hint="eastAsia" w:ascii="仿宋" w:hAnsi="仿宋" w:eastAsia="仿宋" w:cs="仿宋"/>
          <w:bCs/>
          <w:sz w:val="32"/>
          <w:szCs w:val="32"/>
          <w:highlight w:val="none"/>
          <w:u w:val="single"/>
          <w:lang w:val="en-US" w:eastAsia="zh-CN"/>
        </w:rPr>
        <w:t xml:space="preserve">  一 </w:t>
      </w:r>
      <w:r>
        <w:rPr>
          <w:rFonts w:hint="eastAsia" w:ascii="仿宋" w:hAnsi="仿宋" w:eastAsia="仿宋" w:cs="仿宋"/>
          <w:bCs/>
          <w:sz w:val="32"/>
          <w:szCs w:val="32"/>
          <w:highlight w:val="none"/>
        </w:rPr>
        <w:t>室）。</w:t>
      </w:r>
      <w:bookmarkStart w:id="25" w:name="_GoBack"/>
      <w:bookmarkEnd w:id="25"/>
    </w:p>
    <w:p>
      <w:pPr>
        <w:spacing w:line="440" w:lineRule="exact"/>
        <w:ind w:firstLine="562"/>
        <w:outlineLvl w:val="0"/>
        <w:rPr>
          <w:rFonts w:hint="eastAsia" w:ascii="仿宋" w:hAnsi="仿宋" w:eastAsia="仿宋" w:cs="仿宋"/>
          <w:bCs/>
          <w:sz w:val="32"/>
          <w:szCs w:val="32"/>
          <w:highlight w:val="none"/>
        </w:rPr>
      </w:pPr>
      <w:r>
        <w:rPr>
          <w:rFonts w:hint="eastAsia" w:ascii="仿宋" w:hAnsi="仿宋" w:eastAsia="仿宋" w:cs="仿宋"/>
          <w:b/>
          <w:sz w:val="32"/>
          <w:szCs w:val="32"/>
          <w:highlight w:val="none"/>
        </w:rPr>
        <w:t>6.5</w:t>
      </w:r>
      <w:r>
        <w:rPr>
          <w:rFonts w:hint="eastAsia" w:ascii="仿宋" w:hAnsi="仿宋" w:eastAsia="仿宋" w:cs="仿宋"/>
          <w:bCs/>
          <w:sz w:val="32"/>
          <w:szCs w:val="32"/>
          <w:highlight w:val="none"/>
        </w:rPr>
        <w:t>逾期送达的或者未按招标文件要求密封的纸质投标文件、及仅提供纸质投标文件的，招标人不予受理。</w:t>
      </w:r>
    </w:p>
    <w:p>
      <w:pPr>
        <w:spacing w:line="440" w:lineRule="exact"/>
        <w:ind w:firstLine="0" w:firstLineChars="0"/>
        <w:outlineLvl w:val="1"/>
        <w:rPr>
          <w:rFonts w:hint="eastAsia" w:ascii="黑体" w:hAnsi="黑体" w:eastAsia="黑体" w:cs="黑体"/>
          <w:b/>
          <w:sz w:val="32"/>
          <w:szCs w:val="32"/>
          <w:highlight w:val="none"/>
        </w:rPr>
      </w:pPr>
      <w:r>
        <w:rPr>
          <w:rFonts w:hint="eastAsia" w:ascii="黑体" w:hAnsi="黑体" w:eastAsia="黑体" w:cs="黑体"/>
          <w:b/>
          <w:sz w:val="32"/>
          <w:szCs w:val="32"/>
          <w:highlight w:val="none"/>
        </w:rPr>
        <w:t>七、发布公告的媒介</w:t>
      </w:r>
      <w:bookmarkEnd w:id="11"/>
      <w:bookmarkEnd w:id="12"/>
      <w:bookmarkEnd w:id="13"/>
      <w:bookmarkEnd w:id="14"/>
      <w:bookmarkEnd w:id="15"/>
    </w:p>
    <w:p>
      <w:pPr>
        <w:spacing w:line="440" w:lineRule="exact"/>
        <w:ind w:firstLine="560"/>
        <w:outlineLvl w:val="0"/>
        <w:rPr>
          <w:rFonts w:hint="eastAsia" w:ascii="仿宋" w:hAnsi="仿宋" w:eastAsia="仿宋" w:cs="仿宋"/>
          <w:bCs/>
          <w:sz w:val="32"/>
          <w:szCs w:val="32"/>
          <w:highlight w:val="none"/>
        </w:rPr>
      </w:pPr>
      <w:bookmarkStart w:id="16" w:name="_Toc464824547"/>
      <w:bookmarkStart w:id="17" w:name="_Toc13976"/>
      <w:r>
        <w:rPr>
          <w:rFonts w:hint="eastAsia" w:ascii="仿宋" w:hAnsi="仿宋" w:eastAsia="仿宋" w:cs="仿宋"/>
          <w:bCs/>
          <w:sz w:val="32"/>
          <w:szCs w:val="32"/>
          <w:highlight w:val="none"/>
        </w:rPr>
        <w:t>本次招标公告同时在“河南省电子招标投标公共服务平台”、“全国公共资源交易平台（河南省·许昌市）”、“长葛市人民政府门户网站”上发布。</w:t>
      </w:r>
      <w:bookmarkEnd w:id="16"/>
      <w:bookmarkEnd w:id="17"/>
      <w:bookmarkStart w:id="18" w:name="_Toc397507513"/>
      <w:bookmarkStart w:id="19" w:name="_Toc397605794"/>
      <w:bookmarkStart w:id="20" w:name="_Toc397507925"/>
    </w:p>
    <w:p>
      <w:pPr>
        <w:spacing w:line="440" w:lineRule="exact"/>
        <w:ind w:firstLine="0" w:firstLineChars="0"/>
        <w:outlineLvl w:val="1"/>
        <w:rPr>
          <w:rFonts w:hint="eastAsia" w:ascii="黑体" w:hAnsi="黑体" w:eastAsia="黑体" w:cs="黑体"/>
          <w:b/>
          <w:sz w:val="32"/>
          <w:szCs w:val="32"/>
          <w:highlight w:val="none"/>
        </w:rPr>
      </w:pPr>
      <w:bookmarkStart w:id="21" w:name="_Toc20000"/>
      <w:bookmarkStart w:id="22" w:name="_Toc464824548"/>
      <w:r>
        <w:rPr>
          <w:rFonts w:hint="eastAsia" w:ascii="黑体" w:hAnsi="黑体" w:eastAsia="黑体" w:cs="黑体"/>
          <w:b/>
          <w:sz w:val="32"/>
          <w:szCs w:val="32"/>
          <w:highlight w:val="none"/>
        </w:rPr>
        <w:t>八、招标人及代理机构</w:t>
      </w:r>
      <w:bookmarkEnd w:id="18"/>
      <w:bookmarkEnd w:id="19"/>
      <w:bookmarkEnd w:id="20"/>
      <w:bookmarkEnd w:id="21"/>
      <w:bookmarkEnd w:id="22"/>
    </w:p>
    <w:p>
      <w:pPr>
        <w:topLinePunct/>
        <w:spacing w:line="440" w:lineRule="exact"/>
        <w:ind w:firstLine="560"/>
        <w:rPr>
          <w:rFonts w:hint="eastAsia" w:ascii="仿宋" w:hAnsi="仿宋" w:eastAsia="仿宋" w:cs="仿宋"/>
          <w:sz w:val="32"/>
          <w:szCs w:val="32"/>
          <w:highlight w:val="none"/>
        </w:rPr>
      </w:pPr>
      <w:bookmarkStart w:id="23" w:name="_Toc5621"/>
      <w:r>
        <w:rPr>
          <w:rFonts w:hint="eastAsia" w:ascii="仿宋" w:hAnsi="仿宋" w:eastAsia="仿宋" w:cs="仿宋"/>
          <w:sz w:val="32"/>
          <w:szCs w:val="32"/>
          <w:highlight w:val="none"/>
        </w:rPr>
        <w:t>招标人：长葛市住房和城乡规划建设局</w:t>
      </w:r>
    </w:p>
    <w:p>
      <w:pPr>
        <w:topLinePunct/>
        <w:spacing w:line="440" w:lineRule="exact"/>
        <w:ind w:firstLine="560"/>
        <w:rPr>
          <w:rFonts w:hint="eastAsia" w:ascii="仿宋" w:hAnsi="仿宋" w:eastAsia="仿宋" w:cs="仿宋"/>
          <w:sz w:val="32"/>
          <w:szCs w:val="32"/>
          <w:highlight w:val="none"/>
        </w:rPr>
      </w:pPr>
      <w:r>
        <w:rPr>
          <w:rFonts w:hint="eastAsia" w:ascii="仿宋" w:hAnsi="仿宋" w:eastAsia="仿宋" w:cs="仿宋"/>
          <w:sz w:val="32"/>
          <w:szCs w:val="32"/>
          <w:highlight w:val="none"/>
        </w:rPr>
        <w:t>联系人：时女士</w:t>
      </w:r>
    </w:p>
    <w:p>
      <w:pPr>
        <w:topLinePunct/>
        <w:spacing w:line="440" w:lineRule="exact"/>
        <w:ind w:firstLine="560"/>
        <w:rPr>
          <w:rFonts w:hint="eastAsia" w:ascii="仿宋" w:hAnsi="仿宋" w:eastAsia="仿宋" w:cs="仿宋"/>
          <w:sz w:val="32"/>
          <w:szCs w:val="32"/>
          <w:highlight w:val="none"/>
        </w:rPr>
      </w:pPr>
      <w:r>
        <w:rPr>
          <w:rFonts w:hint="eastAsia" w:ascii="仿宋" w:hAnsi="仿宋" w:eastAsia="仿宋" w:cs="仿宋"/>
          <w:sz w:val="32"/>
          <w:szCs w:val="32"/>
          <w:highlight w:val="none"/>
        </w:rPr>
        <w:t>联系电话：0374-6896278</w:t>
      </w:r>
    </w:p>
    <w:p>
      <w:pPr>
        <w:topLinePunct/>
        <w:spacing w:line="440" w:lineRule="exact"/>
        <w:ind w:firstLine="56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地址：长葛市葛天大道东段商务区6号楼</w:t>
      </w:r>
    </w:p>
    <w:p>
      <w:pPr>
        <w:topLinePunct/>
        <w:spacing w:line="440" w:lineRule="exact"/>
        <w:ind w:firstLine="560"/>
        <w:rPr>
          <w:rFonts w:hint="eastAsia" w:ascii="仿宋" w:hAnsi="仿宋" w:eastAsia="仿宋" w:cs="仿宋"/>
          <w:sz w:val="32"/>
          <w:szCs w:val="32"/>
          <w:highlight w:val="none"/>
        </w:rPr>
      </w:pPr>
      <w:r>
        <w:rPr>
          <w:rFonts w:hint="eastAsia" w:ascii="仿宋" w:hAnsi="仿宋" w:eastAsia="仿宋" w:cs="仿宋"/>
          <w:sz w:val="32"/>
          <w:szCs w:val="32"/>
          <w:highlight w:val="none"/>
        </w:rPr>
        <w:t>招标代理机构：中建联勘测规划设计有限公司</w:t>
      </w:r>
    </w:p>
    <w:p>
      <w:pPr>
        <w:topLinePunct/>
        <w:spacing w:line="440" w:lineRule="exact"/>
        <w:ind w:firstLine="56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项目联系人：</w:t>
      </w:r>
      <w:r>
        <w:rPr>
          <w:rFonts w:hint="eastAsia" w:ascii="仿宋" w:hAnsi="仿宋" w:eastAsia="仿宋" w:cs="仿宋"/>
          <w:sz w:val="32"/>
          <w:szCs w:val="32"/>
          <w:highlight w:val="none"/>
          <w:lang w:eastAsia="zh-CN"/>
        </w:rPr>
        <w:t>魏女士</w:t>
      </w:r>
    </w:p>
    <w:p>
      <w:pPr>
        <w:topLinePunct/>
        <w:spacing w:line="440" w:lineRule="exact"/>
        <w:ind w:firstLine="56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项目联系电话：0371-87520522  </w:t>
      </w:r>
    </w:p>
    <w:p>
      <w:pPr>
        <w:topLinePunct/>
        <w:spacing w:line="440" w:lineRule="exact"/>
        <w:ind w:firstLine="560"/>
        <w:rPr>
          <w:rFonts w:hint="eastAsia" w:ascii="仿宋" w:hAnsi="仿宋" w:eastAsia="仿宋" w:cs="仿宋"/>
          <w:sz w:val="32"/>
          <w:szCs w:val="32"/>
          <w:highlight w:val="none"/>
        </w:rPr>
      </w:pPr>
      <w:r>
        <w:rPr>
          <w:rFonts w:hint="eastAsia" w:ascii="仿宋" w:hAnsi="仿宋" w:eastAsia="仿宋" w:cs="仿宋"/>
          <w:sz w:val="32"/>
          <w:szCs w:val="32"/>
          <w:highlight w:val="none"/>
        </w:rPr>
        <w:t>地址：郑州市郑东新区正光北街王鼎国贸大厦A座12楼</w:t>
      </w:r>
    </w:p>
    <w:p>
      <w:pPr>
        <w:spacing w:line="440" w:lineRule="exact"/>
        <w:ind w:left="0" w:leftChars="0" w:firstLine="0" w:firstLineChars="0"/>
        <w:outlineLvl w:val="1"/>
        <w:rPr>
          <w:rFonts w:hint="eastAsia" w:ascii="黑体" w:hAnsi="黑体" w:eastAsia="黑体" w:cs="黑体"/>
          <w:b/>
          <w:sz w:val="32"/>
          <w:szCs w:val="32"/>
          <w:highlight w:val="none"/>
        </w:rPr>
      </w:pPr>
      <w:r>
        <w:rPr>
          <w:rFonts w:hint="eastAsia" w:ascii="黑体" w:hAnsi="黑体" w:eastAsia="黑体" w:cs="黑体"/>
          <w:b/>
          <w:sz w:val="32"/>
          <w:szCs w:val="32"/>
          <w:highlight w:val="none"/>
        </w:rPr>
        <w:t>九、特别提示：</w:t>
      </w:r>
      <w:bookmarkEnd w:id="23"/>
    </w:p>
    <w:p>
      <w:pPr>
        <w:spacing w:line="440" w:lineRule="exact"/>
        <w:ind w:firstLine="562"/>
        <w:rPr>
          <w:rFonts w:hint="eastAsia" w:ascii="仿宋" w:hAnsi="仿宋" w:eastAsia="仿宋" w:cs="仿宋"/>
          <w:b/>
          <w:sz w:val="32"/>
          <w:szCs w:val="32"/>
          <w:highlight w:val="none"/>
        </w:rPr>
      </w:pPr>
      <w:bookmarkStart w:id="24" w:name="_Toc8541"/>
      <w:r>
        <w:rPr>
          <w:rFonts w:hint="eastAsia" w:ascii="仿宋" w:hAnsi="仿宋" w:eastAsia="仿宋" w:cs="仿宋"/>
          <w:b/>
          <w:sz w:val="32"/>
          <w:szCs w:val="32"/>
          <w:highlight w:val="none"/>
        </w:rPr>
        <w:t>所有投标单位请时刻关注</w:t>
      </w:r>
      <w:r>
        <w:rPr>
          <w:rFonts w:hint="eastAsia" w:ascii="仿宋" w:hAnsi="仿宋" w:eastAsia="仿宋" w:cs="仿宋"/>
          <w:b/>
          <w:sz w:val="32"/>
          <w:szCs w:val="32"/>
          <w:highlight w:val="none"/>
          <w:shd w:val="clear" w:color="auto" w:fill="FFFFFF"/>
        </w:rPr>
        <w:t>全国公共资源交易平台（河南省.许昌市）</w:t>
      </w:r>
      <w:r>
        <w:rPr>
          <w:rFonts w:hint="eastAsia" w:ascii="仿宋" w:hAnsi="仿宋" w:eastAsia="仿宋" w:cs="仿宋"/>
          <w:b/>
          <w:sz w:val="32"/>
          <w:szCs w:val="32"/>
          <w:highlight w:val="none"/>
        </w:rPr>
        <w:t>，澄清、答疑、变更均在</w:t>
      </w:r>
      <w:r>
        <w:rPr>
          <w:rFonts w:hint="eastAsia" w:ascii="仿宋" w:hAnsi="仿宋" w:eastAsia="仿宋" w:cs="仿宋"/>
          <w:b/>
          <w:sz w:val="32"/>
          <w:szCs w:val="32"/>
          <w:highlight w:val="none"/>
          <w:shd w:val="clear" w:color="auto" w:fill="FFFFFF"/>
        </w:rPr>
        <w:t>全国公共资源交易平台（河南省.许昌市）</w:t>
      </w:r>
      <w:r>
        <w:rPr>
          <w:rFonts w:hint="eastAsia" w:ascii="仿宋" w:hAnsi="仿宋" w:eastAsia="仿宋" w:cs="仿宋"/>
          <w:b/>
          <w:sz w:val="32"/>
          <w:szCs w:val="32"/>
          <w:highlight w:val="none"/>
        </w:rPr>
        <w:t>发布，不再另行通知。如未及时查看影响其投标，后果自负。</w:t>
      </w:r>
      <w:bookmarkEnd w:id="24"/>
    </w:p>
    <w:p>
      <w:pPr>
        <w:spacing w:line="440" w:lineRule="exact"/>
        <w:ind w:firstLine="562"/>
        <w:rPr>
          <w:rFonts w:hint="eastAsia" w:ascii="仿宋" w:hAnsi="仿宋" w:eastAsia="仿宋" w:cs="仿宋"/>
          <w:b/>
          <w:sz w:val="32"/>
          <w:szCs w:val="32"/>
          <w:highlight w:val="none"/>
          <w:shd w:val="clear" w:color="auto" w:fill="FFFFFF"/>
        </w:rPr>
      </w:pPr>
      <w:r>
        <w:rPr>
          <w:rFonts w:hint="eastAsia" w:ascii="仿宋" w:hAnsi="仿宋" w:eastAsia="仿宋" w:cs="仿宋"/>
          <w:b/>
          <w:sz w:val="32"/>
          <w:szCs w:val="32"/>
          <w:highlight w:val="none"/>
          <w:shd w:val="clear" w:color="auto" w:fill="FFFFFF"/>
        </w:rPr>
        <w:t>各投标人对代理公司提供的服务不满意，或认为代理公司在服务过程中有不当行为的，可致电长葛市公共资源交易管理委员会办公室监管股（0374-6189576），经查实后将按规定作出处理。</w:t>
      </w:r>
    </w:p>
    <w:p>
      <w:pPr>
        <w:spacing w:line="440" w:lineRule="exact"/>
        <w:ind w:firstLine="562"/>
        <w:rPr>
          <w:rFonts w:hint="eastAsia" w:ascii="仿宋" w:hAnsi="仿宋" w:eastAsia="仿宋" w:cs="仿宋"/>
          <w:b/>
          <w:sz w:val="32"/>
          <w:szCs w:val="32"/>
          <w:highlight w:val="none"/>
        </w:rPr>
      </w:pPr>
    </w:p>
    <w:p>
      <w:pPr>
        <w:spacing w:line="440" w:lineRule="exact"/>
        <w:ind w:firstLine="562"/>
        <w:rPr>
          <w:rFonts w:hint="eastAsia" w:ascii="仿宋" w:hAnsi="仿宋" w:eastAsia="仿宋" w:cs="仿宋"/>
          <w:b/>
          <w:sz w:val="32"/>
          <w:szCs w:val="32"/>
          <w:highlight w:val="none"/>
        </w:rPr>
      </w:pPr>
      <w:r>
        <w:rPr>
          <w:rFonts w:hint="eastAsia" w:ascii="仿宋" w:hAnsi="仿宋" w:eastAsia="仿宋" w:cs="仿宋"/>
          <w:b/>
          <w:sz w:val="32"/>
          <w:szCs w:val="32"/>
          <w:highlight w:val="none"/>
        </w:rPr>
        <w:t>温馨提示：</w:t>
      </w:r>
    </w:p>
    <w:p>
      <w:pPr>
        <w:spacing w:line="440" w:lineRule="exact"/>
        <w:ind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本项目为全流程电子化交易项目，请认真阅读招标文件，并注意以下事项。</w:t>
      </w:r>
    </w:p>
    <w:p>
      <w:pPr>
        <w:spacing w:line="440" w:lineRule="exact"/>
        <w:ind w:firstLine="562"/>
        <w:rPr>
          <w:rFonts w:hint="eastAsia" w:ascii="仿宋" w:hAnsi="仿宋" w:eastAsia="仿宋" w:cs="仿宋"/>
          <w:bCs/>
          <w:sz w:val="32"/>
          <w:szCs w:val="32"/>
          <w:highlight w:val="none"/>
        </w:rPr>
      </w:pPr>
      <w:r>
        <w:rPr>
          <w:rFonts w:hint="eastAsia" w:ascii="仿宋" w:hAnsi="仿宋" w:eastAsia="仿宋" w:cs="仿宋"/>
          <w:b/>
          <w:bCs/>
          <w:sz w:val="32"/>
          <w:szCs w:val="32"/>
          <w:highlight w:val="none"/>
        </w:rPr>
        <w:t>1.</w:t>
      </w:r>
      <w:r>
        <w:rPr>
          <w:rFonts w:hint="eastAsia" w:ascii="仿宋" w:hAnsi="仿宋" w:eastAsia="仿宋" w:cs="仿宋"/>
          <w:bCs/>
          <w:sz w:val="32"/>
          <w:szCs w:val="32"/>
          <w:highlight w:val="none"/>
        </w:rPr>
        <w:t>投标人应按招标文件规定下载、编制、提交电子投标文件和纸质投标文件。开、评标现场不接受投标人递交的电子投标文件和纸质投标文件以外的其他资料。</w:t>
      </w:r>
    </w:p>
    <w:p>
      <w:pPr>
        <w:spacing w:line="440" w:lineRule="exact"/>
        <w:ind w:firstLine="562"/>
        <w:rPr>
          <w:rFonts w:hint="eastAsia" w:ascii="仿宋" w:hAnsi="仿宋" w:eastAsia="仿宋" w:cs="仿宋"/>
          <w:bCs/>
          <w:sz w:val="32"/>
          <w:szCs w:val="32"/>
          <w:highlight w:val="none"/>
        </w:rPr>
      </w:pPr>
      <w:r>
        <w:rPr>
          <w:rFonts w:hint="eastAsia" w:ascii="仿宋" w:hAnsi="仿宋" w:eastAsia="仿宋" w:cs="仿宋"/>
          <w:b/>
          <w:bCs/>
          <w:sz w:val="32"/>
          <w:szCs w:val="32"/>
          <w:highlight w:val="none"/>
        </w:rPr>
        <w:t>2.</w:t>
      </w:r>
      <w:r>
        <w:rPr>
          <w:rFonts w:hint="eastAsia" w:ascii="仿宋" w:hAnsi="仿宋" w:eastAsia="仿宋" w:cs="仿宋"/>
          <w:bCs/>
          <w:sz w:val="32"/>
          <w:szCs w:val="32"/>
          <w:highlight w:val="none"/>
        </w:rPr>
        <w:t>电子文件下载、制作、提交期间和开标（电子投标文件的解密）环节，投标人须使用CA数字证书（证书须在有效期内）。</w:t>
      </w:r>
    </w:p>
    <w:p>
      <w:pPr>
        <w:spacing w:line="440" w:lineRule="exact"/>
        <w:ind w:right="-105" w:rightChars="-50" w:firstLine="562"/>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3.电子投标文件的制作</w:t>
      </w:r>
    </w:p>
    <w:p>
      <w:pPr>
        <w:spacing w:line="440" w:lineRule="exact"/>
        <w:ind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3.1 投标人登录《全国公共资源交易平台(河南省▪许昌市)》公共资源交易系统（</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"http://221.14.6.70:8088/ggzy/" </w:instrText>
      </w:r>
      <w:r>
        <w:rPr>
          <w:rFonts w:hint="eastAsia" w:ascii="仿宋" w:hAnsi="仿宋" w:eastAsia="仿宋" w:cs="仿宋"/>
          <w:sz w:val="32"/>
          <w:szCs w:val="32"/>
          <w:highlight w:val="none"/>
        </w:rPr>
        <w:fldChar w:fldCharType="separate"/>
      </w:r>
      <w:r>
        <w:rPr>
          <w:rFonts w:hint="eastAsia" w:ascii="仿宋" w:hAnsi="仿宋" w:eastAsia="仿宋" w:cs="仿宋"/>
          <w:bCs/>
          <w:sz w:val="32"/>
          <w:szCs w:val="32"/>
          <w:highlight w:val="none"/>
        </w:rPr>
        <w:t>http://221.14.6.70:8088/ggzy/</w:t>
      </w:r>
      <w:r>
        <w:rPr>
          <w:rFonts w:hint="eastAsia" w:ascii="仿宋" w:hAnsi="仿宋" w:eastAsia="仿宋" w:cs="仿宋"/>
          <w:bCs/>
          <w:sz w:val="32"/>
          <w:szCs w:val="32"/>
          <w:highlight w:val="none"/>
        </w:rPr>
        <w:fldChar w:fldCharType="end"/>
      </w:r>
      <w:r>
        <w:rPr>
          <w:rFonts w:hint="eastAsia" w:ascii="仿宋" w:hAnsi="仿宋" w:eastAsia="仿宋" w:cs="仿宋"/>
          <w:bCs/>
          <w:sz w:val="32"/>
          <w:szCs w:val="32"/>
          <w:highlight w:val="none"/>
        </w:rPr>
        <w:t>）下载“许昌投标文件制作系统SEARUN V1.0”，按招标文件要求制作电子投标文件。</w:t>
      </w:r>
    </w:p>
    <w:p>
      <w:pPr>
        <w:spacing w:line="440" w:lineRule="exact"/>
        <w:ind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电子投标文件的制作，参考《全国公共资源交易平台(河南省▪许昌市)》公共资源交易系统——组件下载——交易系统操作手册（投标人、供应商）。</w:t>
      </w:r>
    </w:p>
    <w:p>
      <w:pPr>
        <w:spacing w:line="440" w:lineRule="exact"/>
        <w:ind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3.2 投标人须将招标文件要求的资质、业绩、荣誉及相关人员证明材料等资料原件扫描件（或图片）制作到所提交的电子投标文件中。</w:t>
      </w:r>
    </w:p>
    <w:p>
      <w:pPr>
        <w:spacing w:line="440" w:lineRule="exact"/>
        <w:ind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3.3投标人对同一项目多个标段进行投标的，应分别下载所投标段的招标文件，按标段制作电子投标文件，并按招标文件要求在相应位置加盖投标人电子印章和法人电子印章。</w:t>
      </w:r>
    </w:p>
    <w:p>
      <w:pPr>
        <w:spacing w:line="440" w:lineRule="exact"/>
        <w:ind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pacing w:line="440" w:lineRule="exact"/>
        <w:ind w:right="-105" w:rightChars="-50" w:firstLine="562"/>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4.电子投标文件的提交</w:t>
      </w:r>
    </w:p>
    <w:p>
      <w:pPr>
        <w:spacing w:line="440" w:lineRule="exact"/>
        <w:ind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4.1电子投标文件应在招标文件规定的投标文件提交截止时间（开标时间）之前成功提交至《全国公共资源交易平台(河南省▪许昌市)》公共资源交易系统（</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"http://221.14.6.70:8088/ggzy/" </w:instrText>
      </w:r>
      <w:r>
        <w:rPr>
          <w:rFonts w:hint="eastAsia" w:ascii="仿宋" w:hAnsi="仿宋" w:eastAsia="仿宋" w:cs="仿宋"/>
          <w:sz w:val="32"/>
          <w:szCs w:val="32"/>
          <w:highlight w:val="none"/>
        </w:rPr>
        <w:fldChar w:fldCharType="separate"/>
      </w:r>
      <w:r>
        <w:rPr>
          <w:rFonts w:hint="eastAsia" w:ascii="仿宋" w:hAnsi="仿宋" w:eastAsia="仿宋" w:cs="仿宋"/>
          <w:bCs/>
          <w:sz w:val="32"/>
          <w:szCs w:val="32"/>
          <w:highlight w:val="none"/>
        </w:rPr>
        <w:t>http://221.14.6.70:8088/ggzy/</w:t>
      </w:r>
      <w:r>
        <w:rPr>
          <w:rFonts w:hint="eastAsia" w:ascii="仿宋" w:hAnsi="仿宋" w:eastAsia="仿宋" w:cs="仿宋"/>
          <w:bCs/>
          <w:sz w:val="32"/>
          <w:szCs w:val="32"/>
          <w:highlight w:val="none"/>
        </w:rPr>
        <w:fldChar w:fldCharType="end"/>
      </w:r>
      <w:r>
        <w:rPr>
          <w:rFonts w:hint="eastAsia" w:ascii="仿宋" w:hAnsi="仿宋" w:eastAsia="仿宋" w:cs="仿宋"/>
          <w:bCs/>
          <w:sz w:val="32"/>
          <w:szCs w:val="32"/>
          <w:highlight w:val="none"/>
        </w:rPr>
        <w:t>）。</w:t>
      </w:r>
    </w:p>
    <w:p>
      <w:pPr>
        <w:spacing w:line="440" w:lineRule="exact"/>
        <w:ind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投标人应充分考虑并预留技术处理和上传数据所需时间。</w:t>
      </w:r>
    </w:p>
    <w:p>
      <w:pPr>
        <w:spacing w:line="440" w:lineRule="exact"/>
        <w:ind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4.2 投标人对同一项目多个标段进行投标的，电子投标文件应按标段分别提交。</w:t>
      </w:r>
    </w:p>
    <w:p>
      <w:pPr>
        <w:spacing w:line="440" w:lineRule="exact"/>
        <w:ind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4.3 电子投标文件成功提交后，投标人应打印“投标文件提交回执单”，供开标现场备查。</w:t>
      </w:r>
    </w:p>
    <w:p>
      <w:pPr>
        <w:spacing w:line="440" w:lineRule="exact"/>
        <w:ind w:right="-105" w:rightChars="-50" w:firstLine="562"/>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5.评标依据</w:t>
      </w:r>
    </w:p>
    <w:p>
      <w:pPr>
        <w:spacing w:line="440" w:lineRule="exact"/>
        <w:ind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5.1采用全流程电子化交易评标时，评标委员会以电子投标文件为依据评标。</w:t>
      </w:r>
    </w:p>
    <w:p>
      <w:pPr>
        <w:tabs>
          <w:tab w:val="left" w:pos="7095"/>
        </w:tabs>
        <w:spacing w:line="288" w:lineRule="auto"/>
        <w:ind w:firstLine="560"/>
        <w:rPr>
          <w:rFonts w:hint="eastAsia" w:ascii="仿宋" w:hAnsi="仿宋" w:eastAsia="仿宋" w:cs="仿宋"/>
          <w:sz w:val="32"/>
          <w:szCs w:val="32"/>
          <w:highlight w:val="none"/>
        </w:rPr>
      </w:pPr>
      <w:r>
        <w:rPr>
          <w:rFonts w:hint="eastAsia" w:ascii="仿宋" w:hAnsi="仿宋" w:eastAsia="仿宋" w:cs="仿宋"/>
          <w:bCs/>
          <w:sz w:val="32"/>
          <w:szCs w:val="32"/>
          <w:highlight w:val="none"/>
        </w:rPr>
        <w:t>5.2全流程电子化交易如因系统异常情况无法完成，将以人工方式进行。评标委员会以纸质投标文件为依据评标</w:t>
      </w:r>
      <w:r>
        <w:rPr>
          <w:rFonts w:hint="eastAsia" w:ascii="仿宋" w:hAnsi="仿宋" w:eastAsia="仿宋" w:cs="仿宋"/>
          <w:sz w:val="32"/>
          <w:szCs w:val="32"/>
          <w:highlight w:val="none"/>
        </w:rPr>
        <w:t>。</w:t>
      </w:r>
    </w:p>
    <w:p>
      <w:pPr>
        <w:widowControl/>
        <w:spacing w:line="380" w:lineRule="exact"/>
        <w:ind w:firstLine="8640" w:firstLineChars="2700"/>
        <w:jc w:val="both"/>
        <w:rPr>
          <w:rFonts w:hint="eastAsia" w:ascii="仿宋" w:hAnsi="仿宋" w:eastAsia="仿宋" w:cs="仿宋"/>
          <w:sz w:val="32"/>
          <w:szCs w:val="32"/>
          <w:highlight w:val="none"/>
        </w:rPr>
      </w:pPr>
    </w:p>
    <w:p>
      <w:pPr>
        <w:pStyle w:val="4"/>
        <w:ind w:left="0" w:firstLine="0" w:firstLineChars="0"/>
        <w:rPr>
          <w:rFonts w:hint="eastAsia" w:ascii="仿宋" w:hAnsi="仿宋" w:eastAsia="仿宋" w:cs="仿宋"/>
          <w:sz w:val="32"/>
          <w:szCs w:val="32"/>
          <w:highlight w:val="none"/>
        </w:rPr>
      </w:pPr>
    </w:p>
    <w:p>
      <w:pPr>
        <w:rPr>
          <w:rFonts w:hint="eastAsia" w:ascii="仿宋" w:hAnsi="仿宋" w:eastAsia="仿宋" w:cs="仿宋"/>
          <w:sz w:val="32"/>
          <w:szCs w:val="32"/>
        </w:rPr>
      </w:pPr>
    </w:p>
    <w:sectPr>
      <w:type w:val="continuous"/>
      <w:pgSz w:w="11910" w:h="16840"/>
      <w:pgMar w:top="1417" w:right="1134" w:bottom="1417" w:left="1134" w:header="720" w:footer="720" w:gutter="0"/>
      <w:cols w:equalWidth="0" w:num="1">
        <w:col w:w="11230"/>
      </w:cols>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F2EC0"/>
    <w:rsid w:val="0B554119"/>
    <w:rsid w:val="1DFA176F"/>
    <w:rsid w:val="20265593"/>
    <w:rsid w:val="59EF2EC0"/>
    <w:rsid w:val="64483A97"/>
    <w:rsid w:val="77BE361E"/>
    <w:rsid w:val="78440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Calibri" w:hAnsi="Calibri" w:eastAsia="宋体" w:cs="Times New Roman"/>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Body Text"/>
    <w:basedOn w:val="1"/>
    <w:qFormat/>
    <w:uiPriority w:val="0"/>
    <w:pPr>
      <w:ind w:left="100"/>
    </w:pPr>
    <w:rPr>
      <w:rFonts w:ascii="Microsoft JhengHei" w:hAnsi="Microsoft JhengHei" w:eastAsia="Microsoft JhengHei"/>
      <w:szCs w:val="21"/>
    </w:rPr>
  </w:style>
  <w:style w:type="paragraph" w:styleId="4">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2019-03-25T02:29:00Z</dcterms:created>
  <dc:creator>淡蓝色•格调</dc:creator>
  <cp:lastModifiedBy>淡蓝色•格调</cp:lastModifiedBy>
  <dcterms:modified xsi:type="dcterms:W3CDTF">2019-04-23T02:04:34Z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