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40" w:lineRule="exact"/>
        <w:ind w:firstLine="299"/>
        <w:jc w:val="center"/>
        <w:rPr>
          <w:rFonts w:hint="eastAsia" w:hAnsi="宋体"/>
          <w:b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299"/>
        <w:jc w:val="center"/>
        <w:textAlignment w:val="auto"/>
        <w:rPr>
          <w:rFonts w:hint="eastAsia"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禹州市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中医院检验科装饰装修</w:t>
      </w:r>
      <w:r>
        <w:rPr>
          <w:rFonts w:hint="eastAsia" w:hAnsi="宋体"/>
          <w:b/>
          <w:color w:val="000000"/>
          <w:sz w:val="36"/>
          <w:szCs w:val="36"/>
        </w:rPr>
        <w:t>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1"/>
        <w:jc w:val="center"/>
        <w:textAlignment w:val="auto"/>
        <w:rPr>
          <w:rFonts w:hint="eastAsia"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招　标　公　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1.招标条件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本招标项目禹州市</w:t>
      </w:r>
      <w:r>
        <w:rPr>
          <w:rFonts w:hint="eastAsia" w:hAnsi="宋体"/>
          <w:sz w:val="24"/>
          <w:szCs w:val="22"/>
          <w:lang w:eastAsia="zh-CN"/>
        </w:rPr>
        <w:t>中医院检验科装饰装修</w:t>
      </w:r>
      <w:r>
        <w:rPr>
          <w:rFonts w:hint="eastAsia" w:hAnsi="宋体"/>
          <w:sz w:val="24"/>
          <w:szCs w:val="22"/>
        </w:rPr>
        <w:t>工程由主管部门批准建设，招标人为禹州市</w:t>
      </w:r>
      <w:r>
        <w:rPr>
          <w:rFonts w:hint="eastAsia" w:hAnsi="宋体"/>
          <w:sz w:val="24"/>
          <w:szCs w:val="22"/>
          <w:lang w:eastAsia="zh-CN"/>
        </w:rPr>
        <w:t>中医院，</w:t>
      </w:r>
      <w:r>
        <w:rPr>
          <w:rFonts w:hint="eastAsia" w:hAnsi="宋体"/>
          <w:sz w:val="24"/>
          <w:szCs w:val="22"/>
        </w:rPr>
        <w:t>建设资金为</w:t>
      </w:r>
      <w:r>
        <w:rPr>
          <w:rFonts w:hint="eastAsia" w:hAnsi="宋体"/>
          <w:sz w:val="24"/>
          <w:szCs w:val="22"/>
          <w:lang w:eastAsia="zh-CN"/>
        </w:rPr>
        <w:t>自筹</w:t>
      </w:r>
      <w:r>
        <w:rPr>
          <w:rFonts w:hint="eastAsia" w:hAnsi="宋体"/>
          <w:sz w:val="24"/>
          <w:szCs w:val="22"/>
        </w:rPr>
        <w:t>资金。项目已具备招标条件，现对该项目</w:t>
      </w:r>
      <w:r>
        <w:rPr>
          <w:rFonts w:hint="eastAsia" w:hAnsi="宋体"/>
          <w:sz w:val="24"/>
          <w:szCs w:val="22"/>
          <w:lang w:eastAsia="zh-CN"/>
        </w:rPr>
        <w:t>的施工</w:t>
      </w:r>
      <w:r>
        <w:rPr>
          <w:rFonts w:hint="eastAsia" w:hAnsi="宋体"/>
          <w:sz w:val="24"/>
          <w:szCs w:val="22"/>
        </w:rPr>
        <w:t>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2.1工程名称：禹州市</w:t>
      </w:r>
      <w:r>
        <w:rPr>
          <w:rFonts w:hint="eastAsia" w:hAnsi="宋体"/>
          <w:sz w:val="24"/>
          <w:szCs w:val="22"/>
          <w:lang w:eastAsia="zh-CN"/>
        </w:rPr>
        <w:t>中医院检验科装饰装修</w:t>
      </w:r>
      <w:r>
        <w:rPr>
          <w:rFonts w:hint="eastAsia" w:hAnsi="宋体"/>
          <w:sz w:val="24"/>
          <w:szCs w:val="22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val="en-US" w:eastAsia="zh-CN"/>
        </w:rPr>
      </w:pPr>
      <w:r>
        <w:rPr>
          <w:rFonts w:hint="eastAsia" w:hAnsi="宋体"/>
          <w:sz w:val="24"/>
          <w:szCs w:val="22"/>
        </w:rPr>
        <w:t>2.2工程编号：JSGC－</w:t>
      </w:r>
      <w:r>
        <w:rPr>
          <w:rFonts w:hint="eastAsia" w:hAnsi="宋体"/>
          <w:sz w:val="24"/>
          <w:szCs w:val="22"/>
          <w:lang w:val="en-US" w:eastAsia="zh-CN"/>
        </w:rPr>
        <w:t>FJ－2019076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2.3工程地点：该项目位于禹州市境内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2.4招标控制价：</w:t>
      </w:r>
      <w:r>
        <w:rPr>
          <w:rFonts w:hint="eastAsia" w:hAnsi="宋体"/>
          <w:sz w:val="24"/>
          <w:szCs w:val="22"/>
          <w:lang w:val="en-US" w:eastAsia="zh-CN"/>
        </w:rPr>
        <w:t>1751062.12</w:t>
      </w:r>
      <w:r>
        <w:rPr>
          <w:rFonts w:hint="eastAsia" w:hAnsi="宋体"/>
          <w:sz w:val="24"/>
          <w:szCs w:val="22"/>
        </w:rPr>
        <w:t>元（含规费、税金、安全文明施工费）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2.5招标范围：招标文件、施工图纸、工程量清单、答疑纪要</w:t>
      </w:r>
      <w:r>
        <w:rPr>
          <w:rFonts w:hint="eastAsia" w:hAnsi="宋体"/>
          <w:sz w:val="24"/>
          <w:szCs w:val="22"/>
          <w:lang w:eastAsia="zh-CN"/>
        </w:rPr>
        <w:t>及</w:t>
      </w:r>
      <w:r>
        <w:rPr>
          <w:rFonts w:hint="eastAsia" w:hAnsi="宋体"/>
          <w:sz w:val="24"/>
          <w:szCs w:val="22"/>
        </w:rPr>
        <w:t>补充文件（如有）范围内的所有</w:t>
      </w:r>
      <w:r>
        <w:rPr>
          <w:rFonts w:hint="eastAsia" w:hAnsi="宋体"/>
          <w:sz w:val="24"/>
          <w:szCs w:val="22"/>
          <w:lang w:eastAsia="zh-CN"/>
        </w:rPr>
        <w:t>工程</w:t>
      </w:r>
      <w:r>
        <w:rPr>
          <w:rFonts w:hint="eastAsia" w:hAnsi="宋体"/>
          <w:sz w:val="24"/>
          <w:szCs w:val="22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2.6质量要求：合格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2.7发包方式：总承包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2.8标段划分：本项目共设1个标段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2.9计划工期：</w:t>
      </w:r>
      <w:r>
        <w:rPr>
          <w:rFonts w:hint="eastAsia" w:hAnsi="宋体"/>
          <w:sz w:val="24"/>
          <w:szCs w:val="22"/>
          <w:lang w:val="en-US" w:eastAsia="zh-CN"/>
        </w:rPr>
        <w:t>6</w:t>
      </w:r>
      <w:r>
        <w:rPr>
          <w:rFonts w:hint="eastAsia" w:hAnsi="宋体"/>
          <w:sz w:val="24"/>
          <w:szCs w:val="22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3.投标人资格要求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eastAsia="zh-CN"/>
        </w:rPr>
      </w:pPr>
      <w:r>
        <w:rPr>
          <w:rFonts w:hint="eastAsia" w:hAnsi="宋体"/>
          <w:sz w:val="24"/>
          <w:szCs w:val="22"/>
        </w:rPr>
        <w:t>3.1</w:t>
      </w:r>
      <w:r>
        <w:rPr>
          <w:rFonts w:hint="eastAsia" w:hAnsi="宋体"/>
          <w:sz w:val="24"/>
          <w:szCs w:val="22"/>
          <w:lang w:val="en-US" w:eastAsia="zh-CN"/>
        </w:rPr>
        <w:t>.</w:t>
      </w:r>
      <w:r>
        <w:rPr>
          <w:rFonts w:hint="eastAsia" w:hAnsi="宋体"/>
          <w:sz w:val="24"/>
          <w:szCs w:val="22"/>
        </w:rPr>
        <w:t>投标人须具有独立法人资格，具有有效的营业执照</w:t>
      </w:r>
      <w:r>
        <w:rPr>
          <w:rFonts w:hint="eastAsia" w:hAnsi="宋体"/>
          <w:sz w:val="24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eastAsia="zh-CN"/>
        </w:rPr>
      </w:pPr>
      <w:r>
        <w:rPr>
          <w:rFonts w:hint="eastAsia" w:hAnsi="宋体"/>
          <w:sz w:val="24"/>
          <w:szCs w:val="22"/>
        </w:rPr>
        <w:t>3</w:t>
      </w:r>
      <w:r>
        <w:rPr>
          <w:rFonts w:hint="eastAsia" w:hAnsi="宋体"/>
          <w:sz w:val="24"/>
          <w:szCs w:val="22"/>
          <w:lang w:val="en-US" w:eastAsia="zh-CN"/>
        </w:rPr>
        <w:t>.</w:t>
      </w:r>
      <w:r>
        <w:rPr>
          <w:rFonts w:hint="eastAsia" w:hAnsi="宋体"/>
          <w:sz w:val="24"/>
          <w:szCs w:val="22"/>
        </w:rPr>
        <w:t>2投标人须具备</w:t>
      </w:r>
      <w:r>
        <w:rPr>
          <w:rFonts w:hint="eastAsia" w:hAnsi="宋体"/>
          <w:sz w:val="24"/>
          <w:szCs w:val="22"/>
          <w:lang w:eastAsia="zh-CN"/>
        </w:rPr>
        <w:t>建筑装修装饰</w:t>
      </w:r>
      <w:r>
        <w:rPr>
          <w:rFonts w:hint="eastAsia" w:hAnsi="宋体"/>
          <w:sz w:val="24"/>
          <w:szCs w:val="22"/>
        </w:rPr>
        <w:t>工程</w:t>
      </w:r>
      <w:r>
        <w:rPr>
          <w:rFonts w:hint="eastAsia" w:hAnsi="宋体"/>
          <w:sz w:val="24"/>
          <w:szCs w:val="22"/>
          <w:lang w:eastAsia="zh-CN"/>
        </w:rPr>
        <w:t>专业承包贰</w:t>
      </w:r>
      <w:r>
        <w:rPr>
          <w:rFonts w:hint="eastAsia" w:hAnsi="宋体"/>
          <w:sz w:val="24"/>
          <w:szCs w:val="22"/>
        </w:rPr>
        <w:t>级及以上资质，</w:t>
      </w:r>
      <w:r>
        <w:rPr>
          <w:rFonts w:hint="eastAsia" w:hAnsi="宋体"/>
          <w:sz w:val="24"/>
          <w:szCs w:val="22"/>
          <w:lang w:eastAsia="zh-CN"/>
        </w:rPr>
        <w:t>且具有有效的安全生产许可证；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eastAsia="zh-CN"/>
        </w:rPr>
      </w:pPr>
      <w:r>
        <w:rPr>
          <w:rFonts w:hint="eastAsia" w:hAnsi="宋体"/>
          <w:sz w:val="24"/>
          <w:szCs w:val="22"/>
        </w:rPr>
        <w:t>3</w:t>
      </w:r>
      <w:r>
        <w:rPr>
          <w:rFonts w:hint="eastAsia" w:hAnsi="宋体"/>
          <w:sz w:val="24"/>
          <w:szCs w:val="22"/>
          <w:lang w:val="en-US" w:eastAsia="zh-CN"/>
        </w:rPr>
        <w:t>.</w:t>
      </w:r>
      <w:r>
        <w:rPr>
          <w:rFonts w:hint="eastAsia" w:hAnsi="宋体"/>
          <w:sz w:val="24"/>
          <w:szCs w:val="22"/>
        </w:rPr>
        <w:t>3</w:t>
      </w:r>
      <w:r>
        <w:rPr>
          <w:rFonts w:hint="eastAsia" w:hAnsi="宋体"/>
          <w:sz w:val="24"/>
          <w:szCs w:val="22"/>
          <w:lang w:eastAsia="zh-CN"/>
        </w:rPr>
        <w:t>拟派项目经理须具备建筑工程专业贰级及以上注册建造师资格，并具有有效的安全生产考核合格证（</w:t>
      </w:r>
      <w:r>
        <w:rPr>
          <w:rFonts w:hint="eastAsia" w:hAnsi="宋体"/>
          <w:sz w:val="24"/>
          <w:szCs w:val="22"/>
          <w:lang w:val="en-US" w:eastAsia="zh-CN"/>
        </w:rPr>
        <w:t>B类</w:t>
      </w:r>
      <w:r>
        <w:rPr>
          <w:rFonts w:hint="eastAsia" w:hAnsi="宋体"/>
          <w:sz w:val="24"/>
          <w:szCs w:val="22"/>
          <w:lang w:eastAsia="zh-CN"/>
        </w:rPr>
        <w:t>），且未担任其他在施建设工程项目的项目经理；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val="en-US" w:eastAsia="zh-CN"/>
        </w:rPr>
      </w:pPr>
      <w:r>
        <w:rPr>
          <w:rFonts w:hint="eastAsia" w:hAnsi="宋体"/>
          <w:sz w:val="24"/>
          <w:szCs w:val="22"/>
          <w:lang w:val="en-US" w:eastAsia="zh-CN"/>
        </w:rPr>
        <w:t xml:space="preserve">3.4在未被列入“信用中国”网站(www.creditchina.gov.cn)失信被执行人名单、“国家企业信用公示系统”网站（www.gsxt.gov.cn）严重违法失信企业名单（黑名单）的投标人（招标人或评标专家委员会于评标现场查询）；信用信息查询记录和证据留存具体方式：经评标委员会确认的查询结果截图作为查询记录和证据，与其他文件一并保存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  <w:lang w:val="en-US" w:eastAsia="zh-CN"/>
        </w:rPr>
      </w:pPr>
      <w:r>
        <w:rPr>
          <w:rFonts w:hint="eastAsia" w:hAnsi="宋体"/>
          <w:sz w:val="24"/>
          <w:szCs w:val="22"/>
          <w:lang w:val="en-US" w:eastAsia="zh-CN"/>
        </w:rPr>
        <w:t>3.5本次招标不接受联合体投标。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3</w:t>
      </w:r>
      <w:r>
        <w:rPr>
          <w:rFonts w:hint="eastAsia" w:hAnsi="宋体"/>
          <w:sz w:val="24"/>
          <w:szCs w:val="22"/>
          <w:lang w:val="en-US" w:eastAsia="zh-CN"/>
        </w:rPr>
        <w:t>.6</w:t>
      </w:r>
      <w:r>
        <w:rPr>
          <w:rFonts w:hint="eastAsia" w:hAnsi="宋体"/>
          <w:sz w:val="24"/>
          <w:szCs w:val="22"/>
        </w:rPr>
        <w:t>外省企业需在河南省建筑市场监管</w:t>
      </w:r>
      <w:r>
        <w:rPr>
          <w:rFonts w:hint="eastAsia" w:hAnsi="宋体"/>
          <w:sz w:val="24"/>
          <w:szCs w:val="22"/>
          <w:lang w:eastAsia="zh-CN"/>
        </w:rPr>
        <w:t>公共服务</w:t>
      </w:r>
      <w:r>
        <w:rPr>
          <w:rFonts w:hint="eastAsia" w:hAnsi="宋体"/>
          <w:sz w:val="24"/>
          <w:szCs w:val="22"/>
        </w:rPr>
        <w:t>平台备案；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注：项目经理如有已中标项目工期内变更情况，请按照豫建建〔2015〕23号文件规定提供《项目经理（项目总监）变更备案表》等官方手续。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4.网上下载招标文件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4.1持CA数字认证证书，登录【全国公共资源交易平台（河南省·许昌市）】</w:t>
      </w:r>
      <w:r>
        <w:rPr>
          <w:rFonts w:hint="eastAsia" w:hAnsi="宋体"/>
          <w:spacing w:val="-11"/>
          <w:sz w:val="24"/>
          <w:szCs w:val="22"/>
        </w:rPr>
        <w:t>“系统用户注册”入口（http://221.14.6.70:8088/ggzy/eps/public/RegistAllJcxx.html）进行免费注</w:t>
      </w:r>
      <w:r>
        <w:rPr>
          <w:rFonts w:hint="eastAsia" w:hAnsi="宋体"/>
          <w:sz w:val="24"/>
          <w:szCs w:val="22"/>
        </w:rPr>
        <w:t>册登记（详见“常见问题解答-诚信库网上注册相关资料下载”）；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5.招标文件和施工图纸的获取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5.1招标文件和工程量清单的获取：投标人于投标文件递交截止时间前均可登录《全国公共资源交易平台(河南省▪许昌市)》（http://xcggzy.gov.cn/），通过“投标人/供应商登录” 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5.2施工图纸下载：按照施工招标文件中第二章投标人须知前附表第2.1项所给的网址自行下载。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5.3招标文件每套售价500元，于提交纸质投标文件时缴纳给招标代理机构，售后不退。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6.1 本项目为全流程电子化交易项目，须提交电子投标文件和纸质投标文件（正本1份、副本3份）。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6.2 投标文件提交的截止时间及开标时间：201</w:t>
      </w:r>
      <w:r>
        <w:rPr>
          <w:rFonts w:hint="eastAsia" w:hAnsi="宋体"/>
          <w:sz w:val="24"/>
          <w:szCs w:val="22"/>
          <w:lang w:val="en-US" w:eastAsia="zh-CN"/>
        </w:rPr>
        <w:t>9</w:t>
      </w:r>
      <w:r>
        <w:rPr>
          <w:rFonts w:hint="eastAsia" w:hAnsi="宋体"/>
          <w:sz w:val="24"/>
          <w:szCs w:val="22"/>
        </w:rPr>
        <w:t>年</w:t>
      </w:r>
      <w:r>
        <w:rPr>
          <w:rFonts w:hint="eastAsia" w:hAnsi="宋体"/>
          <w:sz w:val="24"/>
          <w:szCs w:val="22"/>
          <w:lang w:val="en-US" w:eastAsia="zh-CN"/>
        </w:rPr>
        <w:t>5</w:t>
      </w:r>
      <w:r>
        <w:rPr>
          <w:rFonts w:hint="eastAsia" w:hAnsi="宋体"/>
          <w:sz w:val="24"/>
          <w:szCs w:val="22"/>
        </w:rPr>
        <w:t>月</w:t>
      </w:r>
      <w:r>
        <w:rPr>
          <w:rFonts w:hint="eastAsia" w:hAnsi="宋体"/>
          <w:sz w:val="24"/>
          <w:szCs w:val="22"/>
          <w:lang w:val="en-US" w:eastAsia="zh-CN"/>
        </w:rPr>
        <w:t>13</w:t>
      </w:r>
      <w:r>
        <w:rPr>
          <w:rFonts w:hint="eastAsia" w:hAnsi="宋体"/>
          <w:sz w:val="24"/>
          <w:szCs w:val="22"/>
        </w:rPr>
        <w:t>日上午</w:t>
      </w:r>
      <w:r>
        <w:rPr>
          <w:rFonts w:hint="eastAsia" w:hAnsi="宋体"/>
          <w:sz w:val="24"/>
          <w:szCs w:val="22"/>
          <w:lang w:val="en-US" w:eastAsia="zh-CN"/>
        </w:rPr>
        <w:t>10</w:t>
      </w:r>
      <w:r>
        <w:rPr>
          <w:rFonts w:hint="eastAsia" w:hAnsi="宋体"/>
          <w:sz w:val="24"/>
          <w:szCs w:val="22"/>
        </w:rPr>
        <w:t>时</w:t>
      </w:r>
      <w:r>
        <w:rPr>
          <w:rFonts w:hint="eastAsia" w:hAnsi="宋体"/>
          <w:sz w:val="24"/>
          <w:szCs w:val="22"/>
          <w:lang w:val="en-US" w:eastAsia="zh-CN"/>
        </w:rPr>
        <w:t>3</w:t>
      </w:r>
      <w:r>
        <w:rPr>
          <w:rFonts w:hint="eastAsia" w:hAnsi="宋体"/>
          <w:sz w:val="24"/>
          <w:szCs w:val="2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6.3电子投标文件的提交：电子投标文件应在投标文件提交截止时间（开标时间）之前成功提交至《全国公共资源交易平台(河南省▪许昌市)》公共资源交易系统，并随纸质投标文件同时提交1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6.4纸质投标文件提交地点：禹州市公共资源交易中心开标室（禹州市行政服务中心楼9楼）。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6.5未通过《全国公共资源交易平台(河南省▪许昌市)》公共资源交易系统下载招标文件的投标人，其投标文件将拒收。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6.6逾期送达的或者未送达指定地点的纸质投标文件、及仅提供纸质投标文件的，招标人不予受理。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7.发布公告的媒介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本公告同时在《全国公共资源交易平台（河南省·许昌市）》、《河南省电子招标投标公共服务平台》上发布。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8.联系方式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招标人：禹州市</w:t>
      </w:r>
      <w:r>
        <w:rPr>
          <w:rFonts w:hint="eastAsia" w:hAnsi="宋体"/>
          <w:sz w:val="24"/>
          <w:szCs w:val="22"/>
          <w:lang w:eastAsia="zh-CN"/>
        </w:rPr>
        <w:t>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地　址：禹州市钧官窑路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联系人：</w:t>
      </w:r>
      <w:r>
        <w:rPr>
          <w:rFonts w:hint="eastAsia" w:hAnsi="宋体"/>
          <w:sz w:val="24"/>
          <w:szCs w:val="22"/>
          <w:lang w:eastAsia="zh-CN"/>
        </w:rPr>
        <w:t>杨</w:t>
      </w:r>
      <w:r>
        <w:rPr>
          <w:rFonts w:hint="eastAsia" w:hAnsi="宋体"/>
          <w:sz w:val="24"/>
          <w:szCs w:val="22"/>
        </w:rPr>
        <w:t xml:space="preserve">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联系方式：</w:t>
      </w:r>
      <w:r>
        <w:rPr>
          <w:rFonts w:hint="eastAsia" w:hAnsi="宋体"/>
          <w:sz w:val="24"/>
          <w:szCs w:val="22"/>
          <w:lang w:val="en-US" w:eastAsia="zh-CN"/>
        </w:rPr>
        <w:t>15037433456</w:t>
      </w:r>
      <w:r>
        <w:rPr>
          <w:rFonts w:hint="eastAsia" w:hAnsi="宋体"/>
          <w:sz w:val="24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hAnsi="宋体"/>
          <w:sz w:val="24"/>
          <w:szCs w:val="22"/>
        </w:rPr>
        <w:t xml:space="preserve">联系方式：15617261112                     </w:t>
      </w:r>
    </w:p>
    <w:p>
      <w:pPr>
        <w:spacing w:line="400" w:lineRule="exact"/>
        <w:rPr>
          <w:rFonts w:hint="eastAsia" w:hAnsi="宋体"/>
          <w:b/>
          <w:color w:val="000000"/>
          <w:sz w:val="24"/>
          <w:szCs w:val="24"/>
        </w:rPr>
      </w:pPr>
    </w:p>
    <w:p>
      <w:pPr>
        <w:spacing w:line="400" w:lineRule="exact"/>
        <w:rPr>
          <w:rFonts w:hint="eastAsia" w:hAnsi="宋体"/>
          <w:b/>
          <w:color w:val="000000"/>
          <w:sz w:val="24"/>
          <w:szCs w:val="24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>
                  <w:rPr>
                    <w:sz w:val="15"/>
                    <w:szCs w:val="15"/>
                    <w:lang w:val="en-US" w:eastAsia="zh-CN"/>
                  </w:rPr>
                  <w:t>2</w:t>
                </w:r>
                <w:r>
                  <w:rPr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7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6662"/>
    <w:rsid w:val="003B2E48"/>
    <w:rsid w:val="003E385B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44C5E"/>
    <w:rsid w:val="007500EA"/>
    <w:rsid w:val="00752804"/>
    <w:rsid w:val="00761673"/>
    <w:rsid w:val="007631AF"/>
    <w:rsid w:val="00773DE4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16680"/>
    <w:rsid w:val="00B21E2C"/>
    <w:rsid w:val="00B36A1E"/>
    <w:rsid w:val="00B573E8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321238"/>
    <w:rsid w:val="018D284D"/>
    <w:rsid w:val="01D22DB2"/>
    <w:rsid w:val="01FA19F4"/>
    <w:rsid w:val="02CA715B"/>
    <w:rsid w:val="03310E6C"/>
    <w:rsid w:val="034E7EBA"/>
    <w:rsid w:val="04B441DF"/>
    <w:rsid w:val="05775FFC"/>
    <w:rsid w:val="05970229"/>
    <w:rsid w:val="05E57919"/>
    <w:rsid w:val="066279FD"/>
    <w:rsid w:val="06D12236"/>
    <w:rsid w:val="06E9268F"/>
    <w:rsid w:val="071024FF"/>
    <w:rsid w:val="07C559E5"/>
    <w:rsid w:val="08D814EC"/>
    <w:rsid w:val="09715632"/>
    <w:rsid w:val="0A0228AA"/>
    <w:rsid w:val="0A074BDD"/>
    <w:rsid w:val="0B445D5E"/>
    <w:rsid w:val="0C5E56ED"/>
    <w:rsid w:val="0C90327B"/>
    <w:rsid w:val="0CE8392D"/>
    <w:rsid w:val="0E6E3F04"/>
    <w:rsid w:val="0E701C20"/>
    <w:rsid w:val="0F491BE8"/>
    <w:rsid w:val="101F7414"/>
    <w:rsid w:val="10553DF7"/>
    <w:rsid w:val="11657B7E"/>
    <w:rsid w:val="122A60F8"/>
    <w:rsid w:val="1237374B"/>
    <w:rsid w:val="1298171B"/>
    <w:rsid w:val="12BC6DF4"/>
    <w:rsid w:val="13857254"/>
    <w:rsid w:val="142D41B0"/>
    <w:rsid w:val="15073864"/>
    <w:rsid w:val="15D27AB7"/>
    <w:rsid w:val="16B40C21"/>
    <w:rsid w:val="16C566C2"/>
    <w:rsid w:val="16C62616"/>
    <w:rsid w:val="16CC7B22"/>
    <w:rsid w:val="170762EE"/>
    <w:rsid w:val="17961DBC"/>
    <w:rsid w:val="17A13D21"/>
    <w:rsid w:val="17AC1A31"/>
    <w:rsid w:val="190E4DF4"/>
    <w:rsid w:val="19704663"/>
    <w:rsid w:val="1A082350"/>
    <w:rsid w:val="1A6629B5"/>
    <w:rsid w:val="1B175A77"/>
    <w:rsid w:val="1B746382"/>
    <w:rsid w:val="1BA41B87"/>
    <w:rsid w:val="1C1C7B89"/>
    <w:rsid w:val="1CD73743"/>
    <w:rsid w:val="1E01079F"/>
    <w:rsid w:val="1EB363DB"/>
    <w:rsid w:val="1ED44DE1"/>
    <w:rsid w:val="1F0624AB"/>
    <w:rsid w:val="1F130311"/>
    <w:rsid w:val="211221EE"/>
    <w:rsid w:val="21687EFD"/>
    <w:rsid w:val="2195649B"/>
    <w:rsid w:val="21CD5B89"/>
    <w:rsid w:val="22AC5572"/>
    <w:rsid w:val="22CE2E3D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E578DC"/>
    <w:rsid w:val="266E4932"/>
    <w:rsid w:val="26F5166B"/>
    <w:rsid w:val="27883452"/>
    <w:rsid w:val="2855735F"/>
    <w:rsid w:val="287D65D4"/>
    <w:rsid w:val="28963ED6"/>
    <w:rsid w:val="28990CB5"/>
    <w:rsid w:val="2B46273E"/>
    <w:rsid w:val="2B832123"/>
    <w:rsid w:val="2BC66BA1"/>
    <w:rsid w:val="2CA37ED6"/>
    <w:rsid w:val="2CCD704B"/>
    <w:rsid w:val="2E587C3A"/>
    <w:rsid w:val="2EDC5109"/>
    <w:rsid w:val="2EFA795F"/>
    <w:rsid w:val="312132AF"/>
    <w:rsid w:val="313542A6"/>
    <w:rsid w:val="31F66B83"/>
    <w:rsid w:val="32116F47"/>
    <w:rsid w:val="32C30F7C"/>
    <w:rsid w:val="334F1016"/>
    <w:rsid w:val="336443E8"/>
    <w:rsid w:val="336E7AC2"/>
    <w:rsid w:val="33791E09"/>
    <w:rsid w:val="33950533"/>
    <w:rsid w:val="346C26B5"/>
    <w:rsid w:val="35B30CAC"/>
    <w:rsid w:val="35E46207"/>
    <w:rsid w:val="362C5BCB"/>
    <w:rsid w:val="363A3FF2"/>
    <w:rsid w:val="364A188E"/>
    <w:rsid w:val="36DA7613"/>
    <w:rsid w:val="36F372AE"/>
    <w:rsid w:val="370619C6"/>
    <w:rsid w:val="378301C2"/>
    <w:rsid w:val="38C40879"/>
    <w:rsid w:val="392A5471"/>
    <w:rsid w:val="3A9140A3"/>
    <w:rsid w:val="3AB468F6"/>
    <w:rsid w:val="3AB56C0B"/>
    <w:rsid w:val="3B185E21"/>
    <w:rsid w:val="3BA037E1"/>
    <w:rsid w:val="3BB87E64"/>
    <w:rsid w:val="3BD3322D"/>
    <w:rsid w:val="3BE9553C"/>
    <w:rsid w:val="3C04619E"/>
    <w:rsid w:val="3C7D6822"/>
    <w:rsid w:val="3E191BF7"/>
    <w:rsid w:val="3ED75D9B"/>
    <w:rsid w:val="3F8A2BB9"/>
    <w:rsid w:val="3F9A197C"/>
    <w:rsid w:val="40592A5B"/>
    <w:rsid w:val="40B32304"/>
    <w:rsid w:val="40F65B50"/>
    <w:rsid w:val="426657F4"/>
    <w:rsid w:val="42D27E3B"/>
    <w:rsid w:val="448D41E4"/>
    <w:rsid w:val="4534104D"/>
    <w:rsid w:val="453F4D81"/>
    <w:rsid w:val="45DC1792"/>
    <w:rsid w:val="46F665D5"/>
    <w:rsid w:val="46FF1710"/>
    <w:rsid w:val="473A734D"/>
    <w:rsid w:val="479C2871"/>
    <w:rsid w:val="47EA65ED"/>
    <w:rsid w:val="48055597"/>
    <w:rsid w:val="485A0471"/>
    <w:rsid w:val="48FD4F85"/>
    <w:rsid w:val="49573CD2"/>
    <w:rsid w:val="4A35296E"/>
    <w:rsid w:val="4B0F551D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50CD50A5"/>
    <w:rsid w:val="516D0B50"/>
    <w:rsid w:val="516D30D9"/>
    <w:rsid w:val="51A72B32"/>
    <w:rsid w:val="51A90DEA"/>
    <w:rsid w:val="51FD03C5"/>
    <w:rsid w:val="522960EB"/>
    <w:rsid w:val="527E133E"/>
    <w:rsid w:val="536C3216"/>
    <w:rsid w:val="54705642"/>
    <w:rsid w:val="57A45209"/>
    <w:rsid w:val="588268A2"/>
    <w:rsid w:val="5904100F"/>
    <w:rsid w:val="5A721296"/>
    <w:rsid w:val="5AED6F61"/>
    <w:rsid w:val="5B0C6806"/>
    <w:rsid w:val="5BA1567D"/>
    <w:rsid w:val="5BAC74D7"/>
    <w:rsid w:val="5BF40633"/>
    <w:rsid w:val="5CB976AC"/>
    <w:rsid w:val="5CF440D4"/>
    <w:rsid w:val="5D560F60"/>
    <w:rsid w:val="5DE7500C"/>
    <w:rsid w:val="5DE907C1"/>
    <w:rsid w:val="5F257E2C"/>
    <w:rsid w:val="60D50621"/>
    <w:rsid w:val="60DE2F41"/>
    <w:rsid w:val="61564B7A"/>
    <w:rsid w:val="6258355A"/>
    <w:rsid w:val="63212A6C"/>
    <w:rsid w:val="64AB58D9"/>
    <w:rsid w:val="653B3863"/>
    <w:rsid w:val="65A23697"/>
    <w:rsid w:val="65FD5841"/>
    <w:rsid w:val="668D3B83"/>
    <w:rsid w:val="6730721F"/>
    <w:rsid w:val="67CA1C43"/>
    <w:rsid w:val="68F71A52"/>
    <w:rsid w:val="69B06084"/>
    <w:rsid w:val="69ED7087"/>
    <w:rsid w:val="6B6E3065"/>
    <w:rsid w:val="6B8541C1"/>
    <w:rsid w:val="6B922773"/>
    <w:rsid w:val="6BB5669C"/>
    <w:rsid w:val="6BD86780"/>
    <w:rsid w:val="6C051ABB"/>
    <w:rsid w:val="6C8A79AA"/>
    <w:rsid w:val="6D946D71"/>
    <w:rsid w:val="6DF51394"/>
    <w:rsid w:val="6E47386F"/>
    <w:rsid w:val="6EA162E7"/>
    <w:rsid w:val="6F421279"/>
    <w:rsid w:val="6F8406F6"/>
    <w:rsid w:val="6F8971D4"/>
    <w:rsid w:val="6FAB69F9"/>
    <w:rsid w:val="6FE07A5E"/>
    <w:rsid w:val="70705DCA"/>
    <w:rsid w:val="71BF06F5"/>
    <w:rsid w:val="73EB216D"/>
    <w:rsid w:val="743576A9"/>
    <w:rsid w:val="744A722F"/>
    <w:rsid w:val="75047092"/>
    <w:rsid w:val="753C52C9"/>
    <w:rsid w:val="75F31369"/>
    <w:rsid w:val="76684D5E"/>
    <w:rsid w:val="76987059"/>
    <w:rsid w:val="777574F5"/>
    <w:rsid w:val="7A7867D8"/>
    <w:rsid w:val="7AC60887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9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3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basedOn w:val="39"/>
    <w:qFormat/>
    <w:uiPriority w:val="0"/>
    <w:rPr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qFormat/>
    <w:uiPriority w:val="0"/>
    <w:rPr>
      <w:color w:val="000000"/>
      <w:u w:val="none"/>
    </w:rPr>
  </w:style>
  <w:style w:type="character" w:styleId="43">
    <w:name w:val="Emphasis"/>
    <w:basedOn w:val="39"/>
    <w:qFormat/>
    <w:uiPriority w:val="0"/>
    <w:rPr>
      <w:b w:val="0"/>
    </w:rPr>
  </w:style>
  <w:style w:type="character" w:styleId="44">
    <w:name w:val="Hyperlink"/>
    <w:basedOn w:val="39"/>
    <w:qFormat/>
    <w:uiPriority w:val="0"/>
    <w:rPr>
      <w:color w:val="000000"/>
      <w:u w:val="none"/>
    </w:rPr>
  </w:style>
  <w:style w:type="character" w:customStyle="1" w:styleId="45">
    <w:name w:val="font161"/>
    <w:basedOn w:val="39"/>
    <w:qFormat/>
    <w:uiPriority w:val="0"/>
    <w:rPr>
      <w:bCs/>
      <w:sz w:val="32"/>
      <w:szCs w:val="32"/>
    </w:rPr>
  </w:style>
  <w:style w:type="character" w:customStyle="1" w:styleId="46">
    <w:name w:val="red2"/>
    <w:basedOn w:val="39"/>
    <w:qFormat/>
    <w:uiPriority w:val="0"/>
    <w:rPr>
      <w:color w:val="FF0000"/>
      <w:sz w:val="18"/>
      <w:szCs w:val="18"/>
    </w:rPr>
  </w:style>
  <w:style w:type="character" w:customStyle="1" w:styleId="47">
    <w:name w:val="apple-converted-space"/>
    <w:basedOn w:val="39"/>
    <w:qFormat/>
    <w:uiPriority w:val="0"/>
  </w:style>
  <w:style w:type="character" w:customStyle="1" w:styleId="48">
    <w:name w:val="green"/>
    <w:basedOn w:val="39"/>
    <w:qFormat/>
    <w:uiPriority w:val="0"/>
    <w:rPr>
      <w:color w:val="66AE00"/>
      <w:sz w:val="18"/>
      <w:szCs w:val="18"/>
    </w:rPr>
  </w:style>
  <w:style w:type="character" w:customStyle="1" w:styleId="49">
    <w:name w:val="textcontents"/>
    <w:basedOn w:val="39"/>
    <w:qFormat/>
    <w:uiPriority w:val="0"/>
  </w:style>
  <w:style w:type="character" w:customStyle="1" w:styleId="50">
    <w:name w:val="gb-jt"/>
    <w:basedOn w:val="39"/>
    <w:qFormat/>
    <w:uiPriority w:val="0"/>
  </w:style>
  <w:style w:type="character" w:customStyle="1" w:styleId="51">
    <w:name w:val="red"/>
    <w:basedOn w:val="39"/>
    <w:qFormat/>
    <w:uiPriority w:val="0"/>
    <w:rPr>
      <w:color w:val="FF0000"/>
    </w:rPr>
  </w:style>
  <w:style w:type="character" w:customStyle="1" w:styleId="52">
    <w:name w:val="green1"/>
    <w:basedOn w:val="39"/>
    <w:qFormat/>
    <w:uiPriority w:val="0"/>
    <w:rPr>
      <w:color w:val="66AE00"/>
      <w:sz w:val="18"/>
      <w:szCs w:val="18"/>
    </w:rPr>
  </w:style>
  <w:style w:type="character" w:customStyle="1" w:styleId="53">
    <w:name w:val="right"/>
    <w:basedOn w:val="39"/>
    <w:qFormat/>
    <w:uiPriority w:val="0"/>
    <w:rPr>
      <w:color w:val="999999"/>
      <w:sz w:val="18"/>
      <w:szCs w:val="18"/>
    </w:rPr>
  </w:style>
  <w:style w:type="character" w:customStyle="1" w:styleId="54">
    <w:name w:val="blue"/>
    <w:basedOn w:val="39"/>
    <w:qFormat/>
    <w:uiPriority w:val="0"/>
    <w:rPr>
      <w:color w:val="0371C6"/>
      <w:sz w:val="21"/>
      <w:szCs w:val="21"/>
    </w:rPr>
  </w:style>
  <w:style w:type="character" w:customStyle="1" w:styleId="55">
    <w:name w:val="red1"/>
    <w:basedOn w:val="39"/>
    <w:qFormat/>
    <w:uiPriority w:val="0"/>
    <w:rPr>
      <w:color w:val="FF0000"/>
      <w:sz w:val="18"/>
      <w:szCs w:val="18"/>
    </w:rPr>
  </w:style>
  <w:style w:type="character" w:customStyle="1" w:styleId="56">
    <w:name w:val="hover"/>
    <w:basedOn w:val="39"/>
    <w:qFormat/>
    <w:uiPriority w:val="0"/>
  </w:style>
  <w:style w:type="paragraph" w:customStyle="1" w:styleId="5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58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9">
    <w:name w:val="1"/>
    <w:basedOn w:val="1"/>
    <w:next w:val="1"/>
    <w:qFormat/>
    <w:uiPriority w:val="0"/>
  </w:style>
  <w:style w:type="paragraph" w:customStyle="1" w:styleId="60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1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63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6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5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66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69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7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71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7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73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  <w:style w:type="paragraph" w:customStyle="1" w:styleId="74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75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6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444</Words>
  <Characters>2537</Characters>
  <Lines>21</Lines>
  <Paragraphs>5</Paragraphs>
  <TotalTime>1</TotalTime>
  <ScaleCrop>false</ScaleCrop>
  <LinksUpToDate>false</LinksUpToDate>
  <CharactersWithSpaces>2976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2018-09-27T07:26:00Z</dcterms:created>
  <dc:creator>微软用户</dc:creator>
  <cp:lastModifiedBy>金泰</cp:lastModifiedBy>
  <cp:lastPrinted>2018-09-26T01:30:00Z</cp:lastPrinted>
  <dcterms:modified xsi:type="dcterms:W3CDTF">2019-04-17T06:49:16Z</dcterms:modified>
  <dc:title>禹州市妇幼保健院整体迁建装修工程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