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center"/>
      </w:pPr>
      <w:r>
        <w:rPr>
          <w:rFonts w:hint="eastAsia" w:ascii="宋体" w:hAnsi="宋体" w:eastAsia="宋体" w:cs="宋体"/>
          <w:b/>
          <w:color w:val="000000"/>
          <w:sz w:val="44"/>
          <w:szCs w:val="44"/>
          <w:u w:val="none"/>
          <w:shd w:val="clear" w:fill="FFFFFF"/>
          <w:lang w:val="en-US" w:eastAsia="zh-CN"/>
        </w:rPr>
        <w:t>YZCG-</w:t>
      </w:r>
      <w:r>
        <w:rPr>
          <w:rFonts w:hint="eastAsia" w:ascii="宋体" w:hAnsi="宋体" w:eastAsia="宋体" w:cs="宋体"/>
          <w:b/>
          <w:color w:val="000000"/>
          <w:sz w:val="44"/>
          <w:szCs w:val="44"/>
          <w:u w:val="none"/>
          <w:shd w:val="clear" w:fill="FFFFFF"/>
          <w:lang w:val="en-US"/>
        </w:rPr>
        <w:t>G201</w:t>
      </w:r>
      <w:r>
        <w:rPr>
          <w:rFonts w:hint="eastAsia" w:ascii="宋体" w:hAnsi="宋体" w:eastAsia="宋体" w:cs="宋体"/>
          <w:b/>
          <w:color w:val="000000"/>
          <w:sz w:val="44"/>
          <w:szCs w:val="44"/>
          <w:u w:val="none"/>
          <w:shd w:val="clear" w:fill="FFFFFF"/>
          <w:lang w:val="en-US" w:eastAsia="zh-CN"/>
        </w:rPr>
        <w:t>9046</w:t>
      </w:r>
      <w:r>
        <w:rPr>
          <w:rFonts w:hint="eastAsia" w:ascii="微软雅黑" w:hAnsi="微软雅黑" w:eastAsia="微软雅黑" w:cs="微软雅黑"/>
          <w:b/>
          <w:color w:val="000000"/>
          <w:sz w:val="44"/>
          <w:szCs w:val="44"/>
          <w:u w:val="none"/>
          <w:shd w:val="clear" w:fill="FFFFFF"/>
          <w:lang w:val="en-US" w:eastAsia="zh-CN"/>
        </w:rPr>
        <w:t>禹州市城市管理局采购垃圾场垃圾堆体覆盖</w:t>
      </w:r>
      <w:r>
        <w:rPr>
          <w:rFonts w:ascii="微软雅黑" w:hAnsi="微软雅黑" w:eastAsia="微软雅黑" w:cs="微软雅黑"/>
          <w:b/>
          <w:color w:val="000000"/>
          <w:sz w:val="44"/>
          <w:szCs w:val="44"/>
          <w:u w:val="none"/>
          <w:shd w:val="clear" w:fill="FFFFFF"/>
        </w:rPr>
        <w:t>项目评标报告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641"/>
        <w:jc w:val="left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420"/>
        <w:jc w:val="left"/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（一）项目名称：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禹州市城市管理局采购垃圾场垃圾堆体覆盖</w:t>
      </w: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项目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420"/>
        <w:jc w:val="left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（二）项目编号：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YZCG-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G201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9046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420"/>
        <w:jc w:val="left"/>
        <w:rPr>
          <w:color w:val="FF0000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（三）招标公告发布日期：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日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42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（四）变更公告发布日期：无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42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4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9: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42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 xml:space="preserve">（六）采购方式：公开招标 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42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（七）最高限价：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2050000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42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（八）评标办法：综合评分法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42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（九）资格审查方式：资格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审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 w:firstLine="640"/>
        <w:jc w:val="left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(十) 招标公告刊登的媒体：中国政府采购网、河南省政府采购网、许昌市政府采购网、许昌市人民政府综合门户网、全国公共资源交易平台（河南省·许昌市）。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420"/>
        <w:jc w:val="left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/>
        </w:rPr>
        <w:t> 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tbl>
      <w:tblPr>
        <w:tblStyle w:val="3"/>
        <w:tblW w:w="8748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3867"/>
        <w:gridCol w:w="2133"/>
        <w:gridCol w:w="19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交货期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山东恒瑞通新材料工程有限公司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1763000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按合同约定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山东天恒新材料有限公司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1476000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完成该项目的最终时间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青岛柏森环保工程有限公司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1623600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30日历天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江苏海纳新型材料制造有限公司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1927000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按采购人要求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禹州市联源商贸有限公司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1697400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按合同约定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德州锦旺土工材料有限公司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1886000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按合同约定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河南企泰环境工程有限公司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1886000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30天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324" w:right="0" w:firstLine="301"/>
        <w:jc w:val="left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三、资格审查情况</w:t>
      </w:r>
    </w:p>
    <w:tbl>
      <w:tblPr>
        <w:tblStyle w:val="3"/>
        <w:tblW w:w="8748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7815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山东恒瑞通新材料工程有限公司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山东天恒新材料有限公司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青岛柏森环保工程有限公司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江苏海纳新型材料制造有限公司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禹州市联源商贸有限公司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德州锦旺土工材料有限公司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河南企泰环境工程有限公司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四、评审情况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42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（一）符合性审查</w:t>
      </w:r>
    </w:p>
    <w:tbl>
      <w:tblPr>
        <w:tblStyle w:val="3"/>
        <w:tblW w:w="8748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7815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通过符合性审查的投标人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山东恒瑞通新材料工程有限公司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禹州市联源商贸有限公司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德州锦旺土工材料有限公司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河南企泰环境工程有限公司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未通过符合性审查的投标人及原因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山东天恒新材料有限公司财务审计报告中注册会计师证未年审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青岛柏森环保工程有限公司财务审计报告中未附注册会计师证；未附开户许可证，所附银行资信证明材料不能证明为企业基本开户银行提供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江苏海纳新型材料制造有限公司财务审计报告中未附现金流量表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right="0"/>
        <w:jc w:val="left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  <w:t>（二）综合比较与评价</w:t>
      </w:r>
    </w:p>
    <w:tbl>
      <w:tblPr>
        <w:tblStyle w:val="3"/>
        <w:tblW w:w="8440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3"/>
        <w:gridCol w:w="1050"/>
        <w:gridCol w:w="2040"/>
        <w:gridCol w:w="3387"/>
        <w:gridCol w:w="680"/>
        <w:gridCol w:w="90"/>
        <w:gridCol w:w="9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11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sz w:val="18"/>
                <w:szCs w:val="18"/>
                <w:lang w:val="en-US" w:eastAsia="zh-CN"/>
              </w:rPr>
              <w:t>第一候选人</w:t>
            </w:r>
          </w:p>
        </w:tc>
        <w:tc>
          <w:tcPr>
            <w:tcW w:w="7157" w:type="dxa"/>
            <w:gridSpan w:val="4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禹州市联源商贸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</w:rPr>
              <w:t>有限公司</w:t>
            </w:r>
          </w:p>
        </w:tc>
        <w:tc>
          <w:tcPr>
            <w:tcW w:w="90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</w:trPr>
        <w:tc>
          <w:tcPr>
            <w:tcW w:w="1103" w:type="dxa"/>
            <w:vMerge w:val="restart"/>
            <w:tcBorders>
              <w:top w:val="nil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050" w:type="dxa"/>
            <w:vMerge w:val="restart"/>
            <w:tcBorders>
              <w:top w:val="nil"/>
              <w:left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50分</w:t>
            </w:r>
          </w:p>
        </w:tc>
        <w:tc>
          <w:tcPr>
            <w:tcW w:w="2040" w:type="dxa"/>
            <w:vMerge w:val="restart"/>
            <w:tcBorders>
              <w:top w:val="nil"/>
              <w:left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22分</w:t>
            </w:r>
          </w:p>
        </w:tc>
        <w:tc>
          <w:tcPr>
            <w:tcW w:w="3387" w:type="dxa"/>
            <w:vMerge w:val="restart"/>
            <w:tcBorders>
              <w:top w:val="nil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28分</w:t>
            </w:r>
          </w:p>
        </w:tc>
        <w:tc>
          <w:tcPr>
            <w:tcW w:w="680" w:type="dxa"/>
            <w:vMerge w:val="restart"/>
            <w:tcBorders>
              <w:top w:val="nil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合  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15"/>
                <w:szCs w:val="15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15"/>
                <w:szCs w:val="15"/>
                <w:u w:val="none"/>
              </w:rPr>
              <w:t>分</w:t>
            </w:r>
          </w:p>
        </w:tc>
        <w:tc>
          <w:tcPr>
            <w:tcW w:w="90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103" w:type="dxa"/>
            <w:vMerge w:val="continue"/>
            <w:tcBorders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040" w:type="dxa"/>
            <w:vMerge w:val="continue"/>
            <w:tcBorders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  <w:tc>
          <w:tcPr>
            <w:tcW w:w="3387" w:type="dxa"/>
            <w:vMerge w:val="continue"/>
            <w:tcBorders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sz w:val="15"/>
                <w:szCs w:val="15"/>
                <w:lang w:val="en-US" w:eastAsia="zh-CN"/>
              </w:rPr>
            </w:pPr>
          </w:p>
        </w:tc>
        <w:tc>
          <w:tcPr>
            <w:tcW w:w="680" w:type="dxa"/>
            <w:vMerge w:val="continue"/>
            <w:tcBorders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15"/>
                <w:szCs w:val="15"/>
                <w:u w:val="none"/>
                <w:lang w:val="en-US"/>
              </w:rPr>
            </w:pPr>
          </w:p>
        </w:tc>
        <w:tc>
          <w:tcPr>
            <w:tcW w:w="90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10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0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040" w:type="dxa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17</w:t>
            </w:r>
          </w:p>
        </w:tc>
        <w:tc>
          <w:tcPr>
            <w:tcW w:w="338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26</w:t>
            </w:r>
          </w:p>
        </w:tc>
        <w:tc>
          <w:tcPr>
            <w:tcW w:w="68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93</w:t>
            </w:r>
          </w:p>
        </w:tc>
        <w:tc>
          <w:tcPr>
            <w:tcW w:w="90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10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0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040" w:type="dxa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17</w:t>
            </w:r>
          </w:p>
        </w:tc>
        <w:tc>
          <w:tcPr>
            <w:tcW w:w="338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26</w:t>
            </w:r>
          </w:p>
        </w:tc>
        <w:tc>
          <w:tcPr>
            <w:tcW w:w="68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93</w:t>
            </w:r>
          </w:p>
        </w:tc>
        <w:tc>
          <w:tcPr>
            <w:tcW w:w="90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10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0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040" w:type="dxa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17</w:t>
            </w:r>
          </w:p>
        </w:tc>
        <w:tc>
          <w:tcPr>
            <w:tcW w:w="338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21</w:t>
            </w:r>
          </w:p>
        </w:tc>
        <w:tc>
          <w:tcPr>
            <w:tcW w:w="68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88</w:t>
            </w:r>
          </w:p>
        </w:tc>
        <w:tc>
          <w:tcPr>
            <w:tcW w:w="90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10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0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040" w:type="dxa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17</w:t>
            </w:r>
          </w:p>
        </w:tc>
        <w:tc>
          <w:tcPr>
            <w:tcW w:w="338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27</w:t>
            </w:r>
          </w:p>
        </w:tc>
        <w:tc>
          <w:tcPr>
            <w:tcW w:w="68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94</w:t>
            </w:r>
          </w:p>
        </w:tc>
        <w:tc>
          <w:tcPr>
            <w:tcW w:w="90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110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0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040" w:type="dxa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17</w:t>
            </w:r>
          </w:p>
        </w:tc>
        <w:tc>
          <w:tcPr>
            <w:tcW w:w="338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68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89</w:t>
            </w:r>
          </w:p>
        </w:tc>
        <w:tc>
          <w:tcPr>
            <w:tcW w:w="90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备注：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1、投标报价政策性加分（政策性加分是指对中小企业、监狱企业、残疾人福利性单位的价格扣除；对节能环保产品的加分等）：</w:t>
      </w:r>
      <w:r>
        <w:rPr>
          <w:rFonts w:hint="eastAsia"/>
          <w:lang w:val="en-US" w:eastAsia="zh-CN"/>
        </w:rPr>
        <w:t>扣除6%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2、投标文件填报业绩名称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评标委员会审查通过的：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  <w:color w:val="FF0000"/>
        </w:rPr>
      </w:pPr>
      <w:r>
        <w:rPr>
          <w:rFonts w:hint="default" w:ascii="Calibri" w:hAnsi="Calibri" w:eastAsia="宋体" w:cs="Calibri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  <w:t>①</w:t>
      </w:r>
      <w:r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  <w:t>内蒙古创源工贸有限公司公用工程土工膜增补采购；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  <w:color w:val="FF0000"/>
        </w:rPr>
      </w:pPr>
      <w:r>
        <w:rPr>
          <w:rFonts w:hint="default" w:ascii="Calibri" w:hAnsi="Calibri" w:eastAsia="宋体" w:cs="Calibri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  <w:t>②</w:t>
      </w:r>
      <w:r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  <w:t>上饶市风顺生活垃圾卫生填埋专场二库区工程；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    3、投标文件填报管理体系认证名称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评标委员会审查通过的：质量、环境、职业健康安全管理体系认证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评标委员会审查未通过的：无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/>
        <w:jc w:val="left"/>
        <w:rPr>
          <w:rFonts w:hint="default"/>
          <w:b w:val="0"/>
          <w:i w:val="0"/>
          <w:lang w:val="en-US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     4、投标文件填报企业信用等级证书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评标委员会审查通过的：无</w:t>
      </w:r>
    </w:p>
    <w:tbl>
      <w:tblPr>
        <w:tblStyle w:val="3"/>
        <w:tblW w:w="8306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9"/>
        <w:gridCol w:w="1036"/>
        <w:gridCol w:w="2014"/>
        <w:gridCol w:w="3345"/>
        <w:gridCol w:w="671"/>
        <w:gridCol w:w="78"/>
        <w:gridCol w:w="73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0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sz w:val="18"/>
                <w:szCs w:val="18"/>
                <w:lang w:val="en-US" w:eastAsia="zh-CN"/>
              </w:rPr>
              <w:t>第二候选人</w:t>
            </w:r>
          </w:p>
        </w:tc>
        <w:tc>
          <w:tcPr>
            <w:tcW w:w="7066" w:type="dxa"/>
            <w:gridSpan w:val="4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河南企泰环境工程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</w:rPr>
              <w:t>有限公司</w:t>
            </w:r>
          </w:p>
        </w:tc>
        <w:tc>
          <w:tcPr>
            <w:tcW w:w="78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1089" w:type="dxa"/>
            <w:vMerge w:val="restart"/>
            <w:tcBorders>
              <w:top w:val="nil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036" w:type="dxa"/>
            <w:vMerge w:val="restart"/>
            <w:tcBorders>
              <w:top w:val="nil"/>
              <w:left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50分</w:t>
            </w:r>
          </w:p>
        </w:tc>
        <w:tc>
          <w:tcPr>
            <w:tcW w:w="2014" w:type="dxa"/>
            <w:vMerge w:val="restart"/>
            <w:tcBorders>
              <w:top w:val="nil"/>
              <w:left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22分</w:t>
            </w:r>
          </w:p>
        </w:tc>
        <w:tc>
          <w:tcPr>
            <w:tcW w:w="3345" w:type="dxa"/>
            <w:vMerge w:val="restart"/>
            <w:tcBorders>
              <w:top w:val="nil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28分</w:t>
            </w:r>
          </w:p>
        </w:tc>
        <w:tc>
          <w:tcPr>
            <w:tcW w:w="671" w:type="dxa"/>
            <w:vMerge w:val="restart"/>
            <w:tcBorders>
              <w:top w:val="nil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合  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15"/>
                <w:szCs w:val="15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15"/>
                <w:szCs w:val="15"/>
                <w:u w:val="none"/>
              </w:rPr>
              <w:t>分</w:t>
            </w:r>
          </w:p>
        </w:tc>
        <w:tc>
          <w:tcPr>
            <w:tcW w:w="78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5" w:hRule="atLeast"/>
        </w:trPr>
        <w:tc>
          <w:tcPr>
            <w:tcW w:w="1089" w:type="dxa"/>
            <w:vMerge w:val="continue"/>
            <w:tcBorders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6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014" w:type="dxa"/>
            <w:vMerge w:val="continue"/>
            <w:tcBorders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  <w:tc>
          <w:tcPr>
            <w:tcW w:w="3345" w:type="dxa"/>
            <w:vMerge w:val="continue"/>
            <w:tcBorders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sz w:val="15"/>
                <w:szCs w:val="15"/>
                <w:lang w:val="en-US" w:eastAsia="zh-CN"/>
              </w:rPr>
            </w:pPr>
          </w:p>
        </w:tc>
        <w:tc>
          <w:tcPr>
            <w:tcW w:w="671" w:type="dxa"/>
            <w:vMerge w:val="continue"/>
            <w:tcBorders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15"/>
                <w:szCs w:val="15"/>
                <w:u w:val="none"/>
                <w:lang w:val="en-US"/>
              </w:rPr>
            </w:pPr>
          </w:p>
        </w:tc>
        <w:tc>
          <w:tcPr>
            <w:tcW w:w="78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8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0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45</w:t>
            </w:r>
          </w:p>
        </w:tc>
        <w:tc>
          <w:tcPr>
            <w:tcW w:w="2014" w:type="dxa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3345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23</w:t>
            </w:r>
          </w:p>
        </w:tc>
        <w:tc>
          <w:tcPr>
            <w:tcW w:w="67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b w:val="0"/>
                <w:i w:val="0"/>
                <w:sz w:val="21"/>
                <w:szCs w:val="21"/>
                <w:lang w:val="en-US" w:eastAsia="zh-CN"/>
              </w:rPr>
              <w:t>90</w:t>
            </w:r>
          </w:p>
        </w:tc>
        <w:tc>
          <w:tcPr>
            <w:tcW w:w="78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8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0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45</w:t>
            </w:r>
          </w:p>
        </w:tc>
        <w:tc>
          <w:tcPr>
            <w:tcW w:w="2014" w:type="dxa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3345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24</w:t>
            </w:r>
          </w:p>
        </w:tc>
        <w:tc>
          <w:tcPr>
            <w:tcW w:w="67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b w:val="0"/>
                <w:i w:val="0"/>
                <w:sz w:val="15"/>
                <w:szCs w:val="15"/>
                <w:lang w:val="en-US" w:eastAsia="zh-CN"/>
              </w:rPr>
              <w:t>91</w:t>
            </w:r>
          </w:p>
        </w:tc>
        <w:tc>
          <w:tcPr>
            <w:tcW w:w="78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8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0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45</w:t>
            </w:r>
          </w:p>
        </w:tc>
        <w:tc>
          <w:tcPr>
            <w:tcW w:w="2014" w:type="dxa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3345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21</w:t>
            </w:r>
          </w:p>
        </w:tc>
        <w:tc>
          <w:tcPr>
            <w:tcW w:w="67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b w:val="0"/>
                <w:i w:val="0"/>
                <w:sz w:val="15"/>
                <w:szCs w:val="15"/>
                <w:lang w:val="en-US" w:eastAsia="zh-CN"/>
              </w:rPr>
              <w:t>88</w:t>
            </w:r>
          </w:p>
        </w:tc>
        <w:tc>
          <w:tcPr>
            <w:tcW w:w="78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8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0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45</w:t>
            </w:r>
          </w:p>
        </w:tc>
        <w:tc>
          <w:tcPr>
            <w:tcW w:w="2014" w:type="dxa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3345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24</w:t>
            </w:r>
          </w:p>
        </w:tc>
        <w:tc>
          <w:tcPr>
            <w:tcW w:w="67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b w:val="0"/>
                <w:i w:val="0"/>
                <w:sz w:val="15"/>
                <w:szCs w:val="15"/>
                <w:lang w:val="en-US" w:eastAsia="zh-CN"/>
              </w:rPr>
              <w:t>91</w:t>
            </w:r>
          </w:p>
        </w:tc>
        <w:tc>
          <w:tcPr>
            <w:tcW w:w="78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8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0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45</w:t>
            </w:r>
          </w:p>
        </w:tc>
        <w:tc>
          <w:tcPr>
            <w:tcW w:w="2014" w:type="dxa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3345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67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b w:val="0"/>
                <w:i w:val="0"/>
                <w:sz w:val="15"/>
                <w:szCs w:val="15"/>
                <w:lang w:val="en-US" w:eastAsia="zh-CN"/>
              </w:rPr>
              <w:t>89</w:t>
            </w:r>
          </w:p>
        </w:tc>
        <w:tc>
          <w:tcPr>
            <w:tcW w:w="78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备注：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1、投标报价政策性加分（政策性加分是指对中小企业、监狱企业、残疾人福利性单位的价格扣除；对节能环保产品的加分等）：</w:t>
      </w:r>
      <w:r>
        <w:rPr>
          <w:rFonts w:hint="eastAsia"/>
          <w:lang w:val="en-US" w:eastAsia="zh-CN"/>
        </w:rPr>
        <w:t>扣除6%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2、投标文件填报业绩名称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评标委员会审查通过的：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  <w:color w:val="FF0000"/>
        </w:rPr>
      </w:pPr>
      <w:r>
        <w:rPr>
          <w:rFonts w:hint="default" w:ascii="Calibri" w:hAnsi="Calibri" w:eastAsia="宋体" w:cs="Calibri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  <w:t>①</w:t>
      </w:r>
      <w:r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  <w:t>六里屯垃圾填埋场堆山及覆盖工程第三标段；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  <w:color w:val="FF0000"/>
        </w:rPr>
      </w:pPr>
      <w:r>
        <w:rPr>
          <w:rFonts w:hint="default" w:ascii="Calibri" w:hAnsi="Calibri" w:eastAsia="宋体" w:cs="Calibri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  <w:t>②</w:t>
      </w:r>
      <w:r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  <w:t>青岛市黄岛区垃圾填 埋场封场工程项目/HDPE膜材料采购覆盖；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评标委员会审查未通过的：无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      3、投标文件填报管理体系认证名称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评标委员会审查通过的：质量、环境、职业健康安全管理体系认证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评标委员会审查未通过的：无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     4、投标文件填报企业信用等级证书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default"/>
          <w:b w:val="0"/>
          <w:i w:val="0"/>
          <w:lang w:val="en-US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评标委员会审查通过的：AAA等级证书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评标委员会审查未通过的：无</w:t>
      </w:r>
    </w:p>
    <w:tbl>
      <w:tblPr>
        <w:tblStyle w:val="3"/>
        <w:tblW w:w="8306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9"/>
        <w:gridCol w:w="1036"/>
        <w:gridCol w:w="2014"/>
        <w:gridCol w:w="3345"/>
        <w:gridCol w:w="671"/>
        <w:gridCol w:w="78"/>
        <w:gridCol w:w="73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0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sz w:val="18"/>
                <w:szCs w:val="18"/>
                <w:lang w:val="en-US" w:eastAsia="zh-CN"/>
              </w:rPr>
              <w:t>第三候选人</w:t>
            </w:r>
          </w:p>
        </w:tc>
        <w:tc>
          <w:tcPr>
            <w:tcW w:w="7066" w:type="dxa"/>
            <w:gridSpan w:val="4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山东恒瑞通新材料工程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</w:rPr>
              <w:t>有限公司</w:t>
            </w:r>
          </w:p>
        </w:tc>
        <w:tc>
          <w:tcPr>
            <w:tcW w:w="78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1089" w:type="dxa"/>
            <w:vMerge w:val="restart"/>
            <w:tcBorders>
              <w:top w:val="nil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036" w:type="dxa"/>
            <w:vMerge w:val="restart"/>
            <w:tcBorders>
              <w:top w:val="nil"/>
              <w:left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50分</w:t>
            </w:r>
          </w:p>
        </w:tc>
        <w:tc>
          <w:tcPr>
            <w:tcW w:w="2014" w:type="dxa"/>
            <w:vMerge w:val="restart"/>
            <w:tcBorders>
              <w:top w:val="nil"/>
              <w:left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22分</w:t>
            </w:r>
          </w:p>
        </w:tc>
        <w:tc>
          <w:tcPr>
            <w:tcW w:w="3345" w:type="dxa"/>
            <w:vMerge w:val="restart"/>
            <w:tcBorders>
              <w:top w:val="nil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28分</w:t>
            </w:r>
          </w:p>
        </w:tc>
        <w:tc>
          <w:tcPr>
            <w:tcW w:w="671" w:type="dxa"/>
            <w:vMerge w:val="restart"/>
            <w:tcBorders>
              <w:top w:val="nil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合  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15"/>
                <w:szCs w:val="15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15"/>
                <w:szCs w:val="15"/>
                <w:u w:val="none"/>
              </w:rPr>
              <w:t>分</w:t>
            </w:r>
          </w:p>
        </w:tc>
        <w:tc>
          <w:tcPr>
            <w:tcW w:w="78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5" w:hRule="atLeast"/>
        </w:trPr>
        <w:tc>
          <w:tcPr>
            <w:tcW w:w="1089" w:type="dxa"/>
            <w:vMerge w:val="continue"/>
            <w:tcBorders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6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014" w:type="dxa"/>
            <w:vMerge w:val="continue"/>
            <w:tcBorders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  <w:tc>
          <w:tcPr>
            <w:tcW w:w="3345" w:type="dxa"/>
            <w:vMerge w:val="continue"/>
            <w:tcBorders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sz w:val="15"/>
                <w:szCs w:val="15"/>
                <w:lang w:val="en-US" w:eastAsia="zh-CN"/>
              </w:rPr>
            </w:pPr>
          </w:p>
        </w:tc>
        <w:tc>
          <w:tcPr>
            <w:tcW w:w="671" w:type="dxa"/>
            <w:vMerge w:val="continue"/>
            <w:tcBorders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15"/>
                <w:szCs w:val="15"/>
                <w:u w:val="none"/>
                <w:lang w:val="en-US"/>
              </w:rPr>
            </w:pPr>
          </w:p>
        </w:tc>
        <w:tc>
          <w:tcPr>
            <w:tcW w:w="78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8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0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48.14</w:t>
            </w:r>
          </w:p>
        </w:tc>
        <w:tc>
          <w:tcPr>
            <w:tcW w:w="2014" w:type="dxa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3345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67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i w:val="0"/>
                <w:sz w:val="21"/>
                <w:szCs w:val="21"/>
                <w:lang w:val="en-US" w:eastAsia="zh-CN"/>
              </w:rPr>
              <w:t>72.14</w:t>
            </w:r>
          </w:p>
        </w:tc>
        <w:tc>
          <w:tcPr>
            <w:tcW w:w="78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8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0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48.14</w:t>
            </w:r>
          </w:p>
        </w:tc>
        <w:tc>
          <w:tcPr>
            <w:tcW w:w="2014" w:type="dxa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3345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14</w:t>
            </w:r>
          </w:p>
        </w:tc>
        <w:tc>
          <w:tcPr>
            <w:tcW w:w="67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i w:val="0"/>
                <w:sz w:val="21"/>
                <w:szCs w:val="21"/>
                <w:lang w:val="en-US" w:eastAsia="zh-CN"/>
              </w:rPr>
              <w:t>66.14</w:t>
            </w:r>
          </w:p>
        </w:tc>
        <w:tc>
          <w:tcPr>
            <w:tcW w:w="78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8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0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48.14</w:t>
            </w:r>
          </w:p>
        </w:tc>
        <w:tc>
          <w:tcPr>
            <w:tcW w:w="2014" w:type="dxa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3345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15</w:t>
            </w:r>
          </w:p>
        </w:tc>
        <w:tc>
          <w:tcPr>
            <w:tcW w:w="67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i w:val="0"/>
                <w:sz w:val="21"/>
                <w:szCs w:val="21"/>
                <w:lang w:val="en-US" w:eastAsia="zh-CN"/>
              </w:rPr>
              <w:t>67.14</w:t>
            </w:r>
          </w:p>
        </w:tc>
        <w:tc>
          <w:tcPr>
            <w:tcW w:w="78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8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0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48.14</w:t>
            </w:r>
          </w:p>
        </w:tc>
        <w:tc>
          <w:tcPr>
            <w:tcW w:w="2014" w:type="dxa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3345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15</w:t>
            </w:r>
          </w:p>
        </w:tc>
        <w:tc>
          <w:tcPr>
            <w:tcW w:w="67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i w:val="0"/>
                <w:sz w:val="21"/>
                <w:szCs w:val="21"/>
                <w:lang w:val="en-US" w:eastAsia="zh-CN"/>
              </w:rPr>
              <w:t>67.14</w:t>
            </w:r>
          </w:p>
        </w:tc>
        <w:tc>
          <w:tcPr>
            <w:tcW w:w="78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8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0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48.14</w:t>
            </w:r>
          </w:p>
        </w:tc>
        <w:tc>
          <w:tcPr>
            <w:tcW w:w="2014" w:type="dxa"/>
            <w:tcBorders>
              <w:top w:val="nil"/>
              <w:left w:val="single" w:color="auto" w:sz="4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3345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</w:t>
            </w:r>
          </w:p>
        </w:tc>
        <w:tc>
          <w:tcPr>
            <w:tcW w:w="67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sz w:val="21"/>
                <w:szCs w:val="21"/>
              </w:rPr>
            </w:pPr>
            <w:r>
              <w:rPr>
                <w:rFonts w:hint="eastAsia"/>
                <w:b w:val="0"/>
                <w:i w:val="0"/>
                <w:sz w:val="21"/>
                <w:szCs w:val="21"/>
                <w:lang w:val="en-US" w:eastAsia="zh-CN"/>
              </w:rPr>
              <w:t>60.14</w:t>
            </w:r>
          </w:p>
        </w:tc>
        <w:tc>
          <w:tcPr>
            <w:tcW w:w="78" w:type="dxa"/>
            <w:tcBorders>
              <w:top w:val="nil"/>
              <w:left w:val="single" w:color="000000" w:sz="8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备注：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1、投标报价政策性加分（政策性加分是指对中小企业、监狱企业、残疾人福利性单位的价格扣除；对节能环保产品的加分等）：</w:t>
      </w:r>
      <w:r>
        <w:rPr>
          <w:rFonts w:hint="eastAsia"/>
          <w:lang w:val="en-US" w:eastAsia="zh-CN"/>
        </w:rPr>
        <w:t>扣除6%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2、投标文件填报业绩名称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  <w:color w:val="FF000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评标委员会审查通过的：无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评标委员会审查未通过的：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   3、投标文件填报管理体系认证名称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评标委员会审查通过的：职业健康安全管理体系认证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评标委员会审查未通过的：无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     4、投标文件填报企业信用等级证书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评标委员会审查通过的：无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评标委员会审查未通过的：无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/>
        </w:rPr>
        <w:t xml:space="preserve">    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五、评标委员会推荐中标候选人（或采购人授权确定中标人）情况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第一中标候选人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中标候选人（中标人）名称：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禹州市联源商贸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有限公司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641" w:leftChars="0" w:right="0" w:rightChars="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禹州市夏都办药城路南段路西282号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吴慧玲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18103747111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3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1697400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第二中标候选人</w:t>
      </w:r>
    </w:p>
    <w:p>
      <w:pPr>
        <w:pStyle w:val="2"/>
        <w:keepNext w:val="0"/>
        <w:keepLines w:val="0"/>
        <w:widowControl/>
        <w:numPr>
          <w:ilvl w:val="0"/>
          <w:numId w:val="2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中标候选人（中标人）名称：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河南企泰环境工程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有限公司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641" w:leftChars="0" w:right="0" w:rightChars="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济源市沁园办事处御驾村南11巷7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号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晋伟伟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15239773997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3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1886000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第三中标候选人</w:t>
      </w:r>
    </w:p>
    <w:p>
      <w:pPr>
        <w:pStyle w:val="2"/>
        <w:keepNext w:val="0"/>
        <w:keepLines w:val="0"/>
        <w:widowControl/>
        <w:numPr>
          <w:ilvl w:val="0"/>
          <w:numId w:val="3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中标候选人（中标人）名称：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山东恒瑞通新材料工程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有限公司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641" w:leftChars="0" w:right="0" w:rightChars="0"/>
        <w:jc w:val="left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德州市陵城区经济技术开发区扶丰街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李雪丽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15806867898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3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1763000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0"/>
        <w:jc w:val="left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六、投标人根据评标委员会要求进行的澄清、说明或者补正：无。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</w:pP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 xml:space="preserve">       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七、是否存在评标委员会成员更换：无。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0"/>
        <w:jc w:val="left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八、评标委员会成员名单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蒋玉环 孙金伟 王利（组长） 高子谦 樊迎菊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99CFC3C"/>
    <w:multiLevelType w:val="singleLevel"/>
    <w:tmpl w:val="D99CFC3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7521E5F"/>
    <w:multiLevelType w:val="singleLevel"/>
    <w:tmpl w:val="E7521E5F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13EF9EC7"/>
    <w:multiLevelType w:val="singleLevel"/>
    <w:tmpl w:val="13EF9EC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54EA5"/>
    <w:rsid w:val="09372382"/>
    <w:rsid w:val="0E3D02A4"/>
    <w:rsid w:val="17D926FA"/>
    <w:rsid w:val="2ED67925"/>
    <w:rsid w:val="42A668D7"/>
    <w:rsid w:val="463B1FB6"/>
    <w:rsid w:val="5DE74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000000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uiPriority w:val="0"/>
    <w:rPr>
      <w:color w:val="000000"/>
      <w:u w:val="none"/>
    </w:rPr>
  </w:style>
  <w:style w:type="character" w:customStyle="1" w:styleId="8">
    <w:name w:val="red"/>
    <w:basedOn w:val="4"/>
    <w:uiPriority w:val="0"/>
    <w:rPr>
      <w:color w:val="FF0000"/>
      <w:sz w:val="18"/>
      <w:szCs w:val="18"/>
    </w:rPr>
  </w:style>
  <w:style w:type="character" w:customStyle="1" w:styleId="9">
    <w:name w:val="red1"/>
    <w:basedOn w:val="4"/>
    <w:uiPriority w:val="0"/>
    <w:rPr>
      <w:color w:val="FF0000"/>
      <w:sz w:val="18"/>
      <w:szCs w:val="18"/>
    </w:rPr>
  </w:style>
  <w:style w:type="character" w:customStyle="1" w:styleId="10">
    <w:name w:val="red2"/>
    <w:basedOn w:val="4"/>
    <w:uiPriority w:val="0"/>
    <w:rPr>
      <w:color w:val="CC0000"/>
    </w:rPr>
  </w:style>
  <w:style w:type="character" w:customStyle="1" w:styleId="11">
    <w:name w:val="red3"/>
    <w:basedOn w:val="4"/>
    <w:qFormat/>
    <w:uiPriority w:val="0"/>
    <w:rPr>
      <w:color w:val="FF0000"/>
    </w:rPr>
  </w:style>
  <w:style w:type="character" w:customStyle="1" w:styleId="12">
    <w:name w:val="green"/>
    <w:basedOn w:val="4"/>
    <w:uiPriority w:val="0"/>
    <w:rPr>
      <w:color w:val="66AE00"/>
      <w:sz w:val="18"/>
      <w:szCs w:val="18"/>
    </w:rPr>
  </w:style>
  <w:style w:type="character" w:customStyle="1" w:styleId="13">
    <w:name w:val="green1"/>
    <w:basedOn w:val="4"/>
    <w:uiPriority w:val="0"/>
    <w:rPr>
      <w:color w:val="66AE00"/>
      <w:sz w:val="18"/>
      <w:szCs w:val="18"/>
    </w:rPr>
  </w:style>
  <w:style w:type="character" w:customStyle="1" w:styleId="14">
    <w:name w:val="hover25"/>
    <w:basedOn w:val="4"/>
    <w:uiPriority w:val="0"/>
  </w:style>
  <w:style w:type="character" w:customStyle="1" w:styleId="15">
    <w:name w:val="gb-jt"/>
    <w:basedOn w:val="4"/>
    <w:uiPriority w:val="0"/>
  </w:style>
  <w:style w:type="character" w:customStyle="1" w:styleId="16">
    <w:name w:val="blue"/>
    <w:basedOn w:val="4"/>
    <w:uiPriority w:val="0"/>
    <w:rPr>
      <w:color w:val="0371C6"/>
      <w:sz w:val="21"/>
      <w:szCs w:val="21"/>
    </w:rPr>
  </w:style>
  <w:style w:type="character" w:customStyle="1" w:styleId="17">
    <w:name w:val="right"/>
    <w:basedOn w:val="4"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24</cp:lastModifiedBy>
  <cp:lastPrinted>2019-04-01T07:48:15Z</cp:lastPrinted>
  <dcterms:modified xsi:type="dcterms:W3CDTF">2019-04-01T08:46:34Z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