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仿宋" w:hAnsi="仿宋" w:eastAsia="仿宋" w:cs="仿宋"/>
          <w:b/>
          <w:bCs/>
          <w:color w:val="auto"/>
          <w:kern w:val="0"/>
          <w:sz w:val="44"/>
          <w:szCs w:val="44"/>
          <w:highlight w:val="none"/>
        </w:rPr>
      </w:pPr>
    </w:p>
    <w:p>
      <w:pPr>
        <w:adjustRightInd w:val="0"/>
        <w:snapToGrid w:val="0"/>
        <w:jc w:val="center"/>
        <w:rPr>
          <w:rFonts w:hint="eastAsia" w:ascii="仿宋" w:hAnsi="仿宋" w:eastAsia="仿宋" w:cs="仿宋"/>
          <w:b/>
          <w:bCs/>
          <w:color w:val="auto"/>
          <w:kern w:val="0"/>
          <w:sz w:val="44"/>
          <w:szCs w:val="44"/>
          <w:highlight w:val="none"/>
        </w:rPr>
      </w:pPr>
      <w:r>
        <w:rPr>
          <w:rFonts w:hint="eastAsia" w:ascii="仿宋" w:hAnsi="仿宋" w:eastAsia="仿宋" w:cs="仿宋"/>
          <w:b/>
          <w:bCs/>
          <w:color w:val="auto"/>
          <w:kern w:val="0"/>
          <w:sz w:val="44"/>
          <w:szCs w:val="44"/>
          <w:highlight w:val="none"/>
          <w:lang w:eastAsia="zh-CN"/>
        </w:rPr>
        <w:t>长葛市郑尧高速引线廊道绿化工程第2标段二次</w:t>
      </w:r>
    </w:p>
    <w:p>
      <w:pPr>
        <w:jc w:val="center"/>
        <w:rPr>
          <w:rFonts w:hint="eastAsia" w:ascii="仿宋" w:hAnsi="仿宋" w:eastAsia="仿宋" w:cs="仿宋"/>
          <w:color w:val="auto"/>
          <w:sz w:val="30"/>
          <w:szCs w:val="30"/>
          <w:highlight w:val="none"/>
        </w:rPr>
      </w:pPr>
    </w:p>
    <w:p>
      <w:pPr>
        <w:jc w:val="center"/>
        <w:rPr>
          <w:rFonts w:hint="eastAsia" w:ascii="仿宋" w:hAnsi="仿宋" w:eastAsia="仿宋" w:cs="仿宋"/>
          <w:color w:val="auto"/>
          <w:sz w:val="30"/>
          <w:szCs w:val="30"/>
          <w:highlight w:val="none"/>
        </w:rPr>
      </w:pPr>
    </w:p>
    <w:p>
      <w:pPr>
        <w:rPr>
          <w:rFonts w:hint="eastAsia" w:ascii="仿宋" w:hAnsi="仿宋" w:eastAsia="仿宋" w:cs="仿宋"/>
          <w:color w:val="auto"/>
          <w:sz w:val="30"/>
          <w:szCs w:val="30"/>
          <w:highlight w:val="none"/>
        </w:rPr>
      </w:pPr>
    </w:p>
    <w:p>
      <w:pPr>
        <w:adjustRightInd w:val="0"/>
        <w:snapToGrid w:val="0"/>
        <w:jc w:val="center"/>
        <w:rPr>
          <w:rFonts w:hint="eastAsia" w:ascii="仿宋" w:hAnsi="仿宋" w:eastAsia="仿宋" w:cs="仿宋"/>
          <w:b/>
          <w:bCs/>
          <w:color w:val="auto"/>
          <w:kern w:val="0"/>
          <w:sz w:val="44"/>
          <w:szCs w:val="44"/>
          <w:highlight w:val="none"/>
          <w:lang w:val="en-US" w:eastAsia="zh-CN"/>
        </w:rPr>
      </w:pPr>
    </w:p>
    <w:p>
      <w:pPr>
        <w:adjustRightInd w:val="0"/>
        <w:snapToGrid w:val="0"/>
        <w:jc w:val="center"/>
        <w:rPr>
          <w:rFonts w:hint="eastAsia" w:ascii="仿宋" w:hAnsi="仿宋" w:eastAsia="仿宋" w:cs="仿宋"/>
          <w:b/>
          <w:bCs/>
          <w:color w:val="auto"/>
          <w:kern w:val="0"/>
          <w:sz w:val="72"/>
          <w:szCs w:val="72"/>
          <w:highlight w:val="none"/>
        </w:rPr>
      </w:pPr>
      <w:r>
        <w:rPr>
          <w:rFonts w:hint="eastAsia" w:ascii="仿宋" w:hAnsi="仿宋" w:eastAsia="仿宋" w:cs="仿宋"/>
          <w:b/>
          <w:bCs/>
          <w:color w:val="auto"/>
          <w:kern w:val="0"/>
          <w:sz w:val="72"/>
          <w:szCs w:val="72"/>
          <w:highlight w:val="none"/>
          <w:lang w:val="en-US" w:eastAsia="zh-CN"/>
        </w:rPr>
        <w:t>监理</w:t>
      </w:r>
      <w:r>
        <w:rPr>
          <w:rFonts w:hint="eastAsia" w:ascii="仿宋" w:hAnsi="仿宋" w:eastAsia="仿宋" w:cs="仿宋"/>
          <w:b/>
          <w:bCs/>
          <w:color w:val="auto"/>
          <w:kern w:val="0"/>
          <w:sz w:val="72"/>
          <w:szCs w:val="72"/>
          <w:highlight w:val="none"/>
        </w:rPr>
        <w:t>招标文件</w:t>
      </w:r>
    </w:p>
    <w:p>
      <w:pPr>
        <w:tabs>
          <w:tab w:val="left" w:pos="4548"/>
        </w:tabs>
        <w:wordWrap w:val="0"/>
        <w:topLinePunct/>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（第2标段）</w:t>
      </w:r>
    </w:p>
    <w:p>
      <w:pPr>
        <w:tabs>
          <w:tab w:val="left" w:pos="2995"/>
          <w:tab w:val="left" w:pos="4548"/>
        </w:tabs>
        <w:wordWrap w:val="0"/>
        <w:topLinePun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ab/>
      </w:r>
    </w:p>
    <w:p>
      <w:pPr>
        <w:tabs>
          <w:tab w:val="left" w:pos="4548"/>
        </w:tabs>
        <w:wordWrap w:val="0"/>
        <w:topLinePunct/>
        <w:jc w:val="center"/>
        <w:rPr>
          <w:rFonts w:hint="eastAsia" w:ascii="仿宋" w:hAnsi="仿宋" w:eastAsia="仿宋" w:cs="仿宋"/>
          <w:color w:val="auto"/>
          <w:sz w:val="30"/>
          <w:szCs w:val="30"/>
          <w:highlight w:val="none"/>
        </w:rPr>
      </w:pPr>
    </w:p>
    <w:p>
      <w:pPr>
        <w:widowControl/>
        <w:jc w:val="center"/>
        <w:rPr>
          <w:rFonts w:hint="eastAsia" w:ascii="仿宋" w:hAnsi="仿宋" w:eastAsia="仿宋" w:cs="仿宋"/>
          <w:color w:val="auto"/>
          <w:kern w:val="0"/>
          <w:sz w:val="24"/>
          <w:highlight w:val="none"/>
        </w:rPr>
      </w:pPr>
    </w:p>
    <w:p>
      <w:pPr>
        <w:tabs>
          <w:tab w:val="left" w:pos="4548"/>
        </w:tabs>
        <w:topLinePunct/>
        <w:rPr>
          <w:rFonts w:hint="eastAsia" w:ascii="仿宋" w:hAnsi="仿宋" w:eastAsia="仿宋" w:cs="仿宋"/>
          <w:color w:val="auto"/>
          <w:sz w:val="30"/>
          <w:szCs w:val="30"/>
          <w:highlight w:val="none"/>
        </w:rPr>
      </w:pPr>
    </w:p>
    <w:p>
      <w:pPr>
        <w:tabs>
          <w:tab w:val="left" w:pos="4548"/>
        </w:tabs>
        <w:wordWrap w:val="0"/>
        <w:topLinePunct/>
        <w:jc w:val="center"/>
        <w:rPr>
          <w:rFonts w:hint="eastAsia" w:ascii="仿宋" w:hAnsi="仿宋" w:eastAsia="仿宋" w:cs="仿宋"/>
          <w:color w:val="auto"/>
          <w:sz w:val="30"/>
          <w:szCs w:val="30"/>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tabs>
          <w:tab w:val="left" w:pos="4548"/>
        </w:tabs>
        <w:wordWrap w:val="0"/>
        <w:topLinePunct/>
        <w:spacing w:line="360" w:lineRule="auto"/>
        <w:jc w:val="left"/>
        <w:rPr>
          <w:rFonts w:hint="eastAsia" w:ascii="仿宋" w:hAnsi="仿宋" w:eastAsia="仿宋" w:cs="仿宋"/>
          <w:b/>
          <w:bCs/>
          <w:color w:val="auto"/>
          <w:w w:val="80"/>
          <w:sz w:val="36"/>
          <w:szCs w:val="36"/>
          <w:highlight w:val="none"/>
        </w:rPr>
      </w:pPr>
      <w:r>
        <w:rPr>
          <w:rFonts w:hint="eastAsia" w:ascii="仿宋" w:hAnsi="仿宋" w:eastAsia="仿宋" w:cs="仿宋"/>
          <w:b/>
          <w:bCs/>
          <w:color w:val="auto"/>
          <w:w w:val="80"/>
          <w:sz w:val="36"/>
          <w:szCs w:val="36"/>
          <w:highlight w:val="none"/>
        </w:rPr>
        <w:t xml:space="preserve"> </w:t>
      </w:r>
    </w:p>
    <w:p>
      <w:pPr>
        <w:tabs>
          <w:tab w:val="left" w:pos="4548"/>
        </w:tabs>
        <w:wordWrap w:val="0"/>
        <w:topLinePunct/>
        <w:spacing w:line="360" w:lineRule="auto"/>
        <w:ind w:firstLine="1447" w:firstLineChars="500"/>
        <w:jc w:val="both"/>
        <w:rPr>
          <w:rFonts w:hint="eastAsia" w:ascii="仿宋" w:hAnsi="仿宋" w:eastAsia="仿宋" w:cs="仿宋"/>
          <w:b/>
          <w:bCs/>
          <w:color w:val="auto"/>
          <w:w w:val="80"/>
          <w:sz w:val="36"/>
          <w:szCs w:val="36"/>
          <w:highlight w:val="none"/>
        </w:rPr>
      </w:pPr>
      <w:r>
        <w:rPr>
          <w:rFonts w:hint="eastAsia" w:ascii="仿宋" w:hAnsi="仿宋" w:eastAsia="仿宋" w:cs="仿宋"/>
          <w:b/>
          <w:bCs/>
          <w:color w:val="auto"/>
          <w:w w:val="80"/>
          <w:sz w:val="36"/>
          <w:szCs w:val="36"/>
          <w:highlight w:val="none"/>
        </w:rPr>
        <w:t>项 目 编 号：长交建【2019】</w:t>
      </w:r>
      <w:r>
        <w:rPr>
          <w:rFonts w:hint="eastAsia" w:ascii="仿宋" w:hAnsi="仿宋" w:eastAsia="仿宋" w:cs="仿宋"/>
          <w:b/>
          <w:bCs/>
          <w:color w:val="auto"/>
          <w:w w:val="80"/>
          <w:sz w:val="36"/>
          <w:szCs w:val="36"/>
          <w:highlight w:val="none"/>
          <w:lang w:val="en-US" w:eastAsia="zh-CN"/>
        </w:rPr>
        <w:t>GZ020</w:t>
      </w:r>
      <w:r>
        <w:rPr>
          <w:rFonts w:hint="eastAsia" w:ascii="仿宋" w:hAnsi="仿宋" w:eastAsia="仿宋" w:cs="仿宋"/>
          <w:b/>
          <w:bCs/>
          <w:color w:val="auto"/>
          <w:w w:val="80"/>
          <w:sz w:val="36"/>
          <w:szCs w:val="36"/>
          <w:highlight w:val="none"/>
        </w:rPr>
        <w:t>号</w:t>
      </w:r>
    </w:p>
    <w:p>
      <w:pPr>
        <w:wordWrap w:val="0"/>
        <w:topLinePunct/>
        <w:spacing w:line="360" w:lineRule="auto"/>
        <w:ind w:firstLine="1447" w:firstLineChars="500"/>
        <w:jc w:val="both"/>
        <w:rPr>
          <w:rFonts w:hint="eastAsia" w:ascii="仿宋" w:hAnsi="仿宋" w:eastAsia="仿宋" w:cs="仿宋"/>
          <w:b/>
          <w:bCs/>
          <w:color w:val="auto"/>
          <w:w w:val="80"/>
          <w:sz w:val="36"/>
          <w:szCs w:val="36"/>
          <w:highlight w:val="none"/>
        </w:rPr>
      </w:pPr>
      <w:r>
        <w:rPr>
          <w:rFonts w:hint="eastAsia" w:ascii="仿宋" w:hAnsi="仿宋" w:eastAsia="仿宋" w:cs="仿宋"/>
          <w:b/>
          <w:bCs/>
          <w:color w:val="auto"/>
          <w:w w:val="80"/>
          <w:sz w:val="36"/>
          <w:szCs w:val="36"/>
          <w:highlight w:val="none"/>
        </w:rPr>
        <w:t>招   标  人：长葛市住房和城乡规划建设局</w:t>
      </w:r>
    </w:p>
    <w:p>
      <w:pPr>
        <w:wordWrap w:val="0"/>
        <w:topLinePunct/>
        <w:spacing w:line="360" w:lineRule="auto"/>
        <w:ind w:firstLine="1447" w:firstLineChars="500"/>
        <w:jc w:val="both"/>
        <w:rPr>
          <w:rFonts w:hint="eastAsia" w:ascii="仿宋" w:hAnsi="仿宋" w:eastAsia="仿宋" w:cs="仿宋"/>
          <w:b/>
          <w:bCs/>
          <w:color w:val="auto"/>
          <w:w w:val="80"/>
          <w:sz w:val="36"/>
          <w:szCs w:val="36"/>
          <w:highlight w:val="none"/>
        </w:rPr>
      </w:pPr>
      <w:r>
        <w:rPr>
          <w:rFonts w:hint="eastAsia" w:ascii="仿宋" w:hAnsi="仿宋" w:eastAsia="仿宋" w:cs="仿宋"/>
          <w:b/>
          <w:bCs/>
          <w:color w:val="auto"/>
          <w:w w:val="80"/>
          <w:sz w:val="36"/>
          <w:szCs w:val="36"/>
          <w:highlight w:val="none"/>
        </w:rPr>
        <w:t>招标代理机构：中建联勘测规划设计有限公司</w:t>
      </w:r>
    </w:p>
    <w:p>
      <w:pPr>
        <w:pStyle w:val="11"/>
        <w:spacing w:beforeAutospacing="0"/>
        <w:ind w:left="0" w:leftChars="0" w:firstLine="1447" w:firstLineChars="500"/>
        <w:jc w:val="left"/>
        <w:rPr>
          <w:rFonts w:hint="eastAsia" w:ascii="仿宋" w:hAnsi="仿宋" w:eastAsia="仿宋" w:cs="仿宋"/>
          <w:color w:val="auto"/>
          <w:highlight w:val="none"/>
        </w:rPr>
      </w:pPr>
      <w:r>
        <w:rPr>
          <w:rFonts w:hint="eastAsia" w:ascii="仿宋" w:hAnsi="仿宋" w:eastAsia="仿宋" w:cs="仿宋"/>
          <w:b/>
          <w:bCs/>
          <w:color w:val="auto"/>
          <w:w w:val="80"/>
          <w:sz w:val="36"/>
          <w:szCs w:val="36"/>
          <w:highlight w:val="none"/>
        </w:rPr>
        <w:t>日       期：二零一九年</w:t>
      </w:r>
      <w:r>
        <w:rPr>
          <w:rFonts w:hint="eastAsia" w:ascii="仿宋" w:hAnsi="仿宋" w:eastAsia="仿宋" w:cs="仿宋"/>
          <w:b/>
          <w:bCs/>
          <w:color w:val="auto"/>
          <w:w w:val="80"/>
          <w:sz w:val="36"/>
          <w:szCs w:val="36"/>
          <w:highlight w:val="none"/>
          <w:lang w:val="en-US" w:eastAsia="zh-CN"/>
        </w:rPr>
        <w:t>三</w:t>
      </w:r>
      <w:r>
        <w:rPr>
          <w:rFonts w:hint="eastAsia" w:ascii="仿宋" w:hAnsi="仿宋" w:eastAsia="仿宋" w:cs="仿宋"/>
          <w:b/>
          <w:bCs/>
          <w:color w:val="auto"/>
          <w:w w:val="80"/>
          <w:sz w:val="36"/>
          <w:szCs w:val="36"/>
          <w:highlight w:val="none"/>
        </w:rPr>
        <w:t>月</w:t>
      </w:r>
    </w:p>
    <w:p>
      <w:pPr>
        <w:rPr>
          <w:rFonts w:hint="eastAsia" w:ascii="仿宋" w:hAnsi="仿宋" w:eastAsia="仿宋" w:cs="仿宋"/>
          <w:color w:val="auto"/>
          <w:highlight w:val="none"/>
        </w:rPr>
        <w:sectPr>
          <w:pgSz w:w="11906" w:h="16838"/>
          <w:pgMar w:top="1440" w:right="1800" w:bottom="1440" w:left="1800" w:header="851" w:footer="992" w:gutter="0"/>
          <w:cols w:space="720" w:num="1"/>
          <w:docGrid w:type="lines" w:linePitch="312" w:charSpace="0"/>
        </w:sectPr>
      </w:pPr>
    </w:p>
    <w:p>
      <w:pPr>
        <w:pStyle w:val="11"/>
        <w:ind w:firstLine="210"/>
        <w:jc w:val="left"/>
        <w:rPr>
          <w:rFonts w:hint="eastAsia" w:ascii="仿宋" w:hAnsi="仿宋" w:eastAsia="仿宋" w:cs="仿宋"/>
          <w:color w:val="auto"/>
          <w:highlight w:val="none"/>
        </w:rPr>
      </w:pPr>
    </w:p>
    <w:p>
      <w:pPr>
        <w:jc w:val="center"/>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目  录</w:t>
      </w:r>
    </w:p>
    <w:p>
      <w:pPr>
        <w:rPr>
          <w:rFonts w:hint="eastAsia" w:ascii="仿宋" w:hAnsi="仿宋" w:eastAsia="仿宋" w:cs="仿宋"/>
          <w:color w:val="auto"/>
          <w:highlight w:val="none"/>
        </w:rPr>
      </w:pP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第一章 招标公告</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第二章 投标人须知</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第三章 评标办法</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第四章 合同条款及格式</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第五章 委托人要求</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第六章 投标文件格式</w:t>
      </w:r>
    </w:p>
    <w:p>
      <w:pPr>
        <w:pStyle w:val="11"/>
        <w:spacing w:beforeAutospacing="0" w:line="400" w:lineRule="exact"/>
        <w:ind w:firstLineChars="200"/>
        <w:rPr>
          <w:rFonts w:hint="eastAsia" w:ascii="仿宋" w:hAnsi="仿宋" w:eastAsia="仿宋" w:cs="仿宋"/>
          <w:color w:val="auto"/>
          <w:highlight w:val="none"/>
        </w:rPr>
      </w:pPr>
    </w:p>
    <w:p>
      <w:pPr>
        <w:pStyle w:val="11"/>
        <w:spacing w:beforeAutospacing="0" w:line="400" w:lineRule="exact"/>
        <w:ind w:firstLineChars="200"/>
        <w:rPr>
          <w:rFonts w:hint="eastAsia" w:ascii="仿宋" w:hAnsi="仿宋" w:eastAsia="仿宋" w:cs="仿宋"/>
          <w:bCs/>
          <w:color w:val="auto"/>
          <w:highlight w:val="none"/>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投标人失信行为惩戒告知</w:t>
      </w:r>
    </w:p>
    <w:p>
      <w:pPr>
        <w:pStyle w:val="11"/>
        <w:spacing w:after="0"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pStyle w:val="11"/>
        <w:spacing w:after="0"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一、投标人（供应商）的质疑投诉活动经调查有下列情形之一的，将实施“一案双查”，限制其一定期限内参与区域内公共资源交易活动，并在全国公共资源交易平台网上公示。</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1.不符合投诉（举报）受理条件，被告知后仍进行重复投诉（举报），或多头投诉（举报）的。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2.行政监督部门受理投诉（举报）处理期间，投诉（举报）人仍就同一内容、事项向其他部门另行投诉（举报）的；同一投诉（举报）人以不同名义多次、重复投诉（举报）的。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3.其他虚假恶意投诉（举报）情况。</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三、投标人（供应商）及其从业人员的不良行为记录期限一般为6—24个月。</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（一）存在下列行为之一的，记录期限为6个月：</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1.采用不正当手段干扰交易活动正常进行的；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2.不服从现场工作人员管理，扰乱开评标秩序的；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3.在投标截止时间后撤回投标文件的；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4.质疑（异议）、投诉提供的证据证明系非法取得的。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5.一年内投标人质疑（异议）后无故撤销质疑（异议）2次（含2次）以上的；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（二）存在下列行为之一的，记录期限为12个月：</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1.捏造、歪曲事实或提供虚假不实的证据恶意投诉，影响交易活动正常进行的；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2.质疑（异议）投诉（举报）双方当事人无正当理由拒不配合调查处理或不参加质证的；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3.未提供有效证明材料支持其主张，经行政监督部门2次及以上书面答复，仍缠诉或多方投诉的；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4.未按交易文件主要内容签订合同的；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（三）存在下列行为之一的，记录期限为18个月：</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1.在确定中标人之前就投标价格、投标方案等实质性内容与招标人（采购人）进行合同谈判的；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2.无正当理由放弃中标（成交）资格的；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3.中标（成交）后，不按招标文件规定提交履约保证金的；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4.中标（成交）后，无正当理由未在规定期限内与招标人签订合同的；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5.拒绝接受或者阻挠公管办和行政监督部门依法进行监督检查的。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1.投标人互相串通投标或者与招标人串通投标，投标人以向招标人或者评标委员会成员行贿的手段谋取中标的；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2.投标时提供虚假材料，或以受让、借用、涂改、盗用、伪造资质证书或年检记录、图章、签名，使用虚假身份证件以及其他弄虚作假的方式参与投标的；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以他人名义投标或者以其他方式弄虚作假，骗取中标的；以挂靠、被挂靠或其他方式允许他人以企业员工名义参与投标的；出让、出借资质，或借用其他单位资质参与投标的；经查实中标候选人项目总监有在建项目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4.中标企业将工程转包或者违法分包的；中标人将中标项目转让给他人，将中标项目肢解后分别转让给他人的，违反法律规定将中标项目的部分主体、关键性工作分包给他人的，或者分包人再次分包的；</w:t>
      </w:r>
    </w:p>
    <w:p>
      <w:pPr>
        <w:autoSpaceDE w:val="0"/>
        <w:autoSpaceDN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5.中标人不按照与招标人订立的合同履行义务，情节严重的；</w:t>
      </w:r>
    </w:p>
    <w:p>
      <w:pPr>
        <w:autoSpaceDE w:val="0"/>
        <w:autoSpaceDN w:val="0"/>
        <w:spacing w:line="400" w:lineRule="exact"/>
        <w:ind w:firstLine="480" w:firstLineChars="200"/>
        <w:jc w:val="left"/>
        <w:outlineLvl w:val="0"/>
        <w:rPr>
          <w:rFonts w:hint="eastAsia" w:ascii="仿宋" w:hAnsi="仿宋" w:eastAsia="仿宋" w:cs="仿宋"/>
          <w:bCs/>
          <w:color w:val="auto"/>
          <w:highlight w:val="none"/>
        </w:rPr>
      </w:pPr>
      <w:r>
        <w:rPr>
          <w:rFonts w:hint="eastAsia" w:ascii="仿宋" w:hAnsi="仿宋" w:eastAsia="仿宋" w:cs="仿宋"/>
          <w:color w:val="auto"/>
          <w:sz w:val="24"/>
          <w:highlight w:val="none"/>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pStyle w:val="11"/>
        <w:spacing w:beforeAutospacing="0" w:line="400" w:lineRule="exact"/>
        <w:ind w:firstLineChars="200"/>
        <w:jc w:val="center"/>
        <w:rPr>
          <w:rFonts w:hint="eastAsia" w:ascii="仿宋" w:hAnsi="仿宋" w:eastAsia="仿宋" w:cs="仿宋"/>
          <w:b/>
          <w:bCs/>
          <w:color w:val="auto"/>
          <w:sz w:val="36"/>
          <w:szCs w:val="36"/>
          <w:highlight w:val="none"/>
        </w:rPr>
      </w:pPr>
      <w:r>
        <w:rPr>
          <w:rFonts w:hint="eastAsia" w:ascii="仿宋" w:hAnsi="仿宋" w:eastAsia="仿宋" w:cs="仿宋"/>
          <w:bCs/>
          <w:color w:val="auto"/>
          <w:highlight w:val="none"/>
        </w:rPr>
        <w:br w:type="page"/>
      </w:r>
      <w:r>
        <w:rPr>
          <w:rFonts w:hint="eastAsia" w:ascii="仿宋" w:hAnsi="仿宋" w:eastAsia="仿宋" w:cs="仿宋"/>
          <w:b/>
          <w:bCs/>
          <w:color w:val="auto"/>
          <w:sz w:val="36"/>
          <w:szCs w:val="36"/>
          <w:highlight w:val="none"/>
        </w:rPr>
        <w:t>第一章  招标公告</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长交建【2019】GZ020号长葛市郑尧高速引线廊道绿化工程第2标段二次招标公告</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一、招标条件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本招标项目长葛市郑尧高速引线廊道绿化工程第2标段二次项目，已由</w:t>
      </w:r>
      <w:r>
        <w:rPr>
          <w:rFonts w:hint="eastAsia" w:ascii="仿宋" w:hAnsi="仿宋" w:eastAsia="仿宋" w:cs="仿宋"/>
          <w:kern w:val="0"/>
          <w:sz w:val="32"/>
          <w:szCs w:val="32"/>
          <w:u w:val="single"/>
          <w:lang w:val="en-US" w:eastAsia="zh-CN" w:bidi="ar"/>
        </w:rPr>
        <w:t xml:space="preserve"> 长葛市发展和改革委员会 </w:t>
      </w:r>
      <w:r>
        <w:rPr>
          <w:rFonts w:hint="eastAsia" w:ascii="仿宋" w:hAnsi="仿宋" w:eastAsia="仿宋" w:cs="仿宋"/>
          <w:kern w:val="0"/>
          <w:sz w:val="32"/>
          <w:szCs w:val="32"/>
          <w:lang w:val="en-US" w:eastAsia="zh-CN" w:bidi="ar"/>
        </w:rPr>
        <w:t>以</w:t>
      </w:r>
      <w:r>
        <w:rPr>
          <w:rFonts w:hint="eastAsia" w:ascii="仿宋" w:hAnsi="仿宋" w:eastAsia="仿宋" w:cs="仿宋"/>
          <w:kern w:val="0"/>
          <w:sz w:val="32"/>
          <w:szCs w:val="32"/>
          <w:u w:val="single"/>
          <w:lang w:val="en-US" w:eastAsia="zh-CN" w:bidi="ar"/>
        </w:rPr>
        <w:t xml:space="preserve"> 长发改综合【2018】113 </w:t>
      </w:r>
      <w:r>
        <w:rPr>
          <w:rFonts w:hint="eastAsia" w:ascii="仿宋" w:hAnsi="仿宋" w:eastAsia="仿宋" w:cs="仿宋"/>
          <w:kern w:val="0"/>
          <w:sz w:val="32"/>
          <w:szCs w:val="32"/>
          <w:lang w:val="en-US" w:eastAsia="zh-CN" w:bidi="ar"/>
        </w:rPr>
        <w:t>号文件批准建设，招标人为长葛市住房和城乡规划建设局，建设资金来自市财政资金。招标代理机构为中建联勘测规划设计有限公司，该项目已具备招标条件，现对该项目第2标段二次进行国内公开招标。</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二、项目概况及招标范围</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2.1、招标编号：</w:t>
      </w:r>
      <w:r>
        <w:rPr>
          <w:rFonts w:hint="eastAsia" w:ascii="仿宋" w:hAnsi="仿宋" w:eastAsia="仿宋" w:cs="仿宋"/>
          <w:kern w:val="0"/>
          <w:sz w:val="32"/>
          <w:szCs w:val="32"/>
          <w:lang w:val="en-US" w:eastAsia="zh-CN" w:bidi="ar"/>
        </w:rPr>
        <w:t>长交建【2019】GZ020号</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6"/>
          <w:szCs w:val="36"/>
        </w:rPr>
      </w:pPr>
      <w:r>
        <w:rPr>
          <w:rFonts w:hint="eastAsia" w:ascii="仿宋" w:hAnsi="仿宋" w:eastAsia="仿宋" w:cs="仿宋"/>
          <w:b/>
          <w:kern w:val="0"/>
          <w:sz w:val="32"/>
          <w:szCs w:val="32"/>
          <w:lang w:val="en-US" w:eastAsia="zh-CN" w:bidi="ar"/>
        </w:rPr>
        <w:t>2.2、项目概况：</w:t>
      </w:r>
      <w:r>
        <w:rPr>
          <w:rFonts w:hint="eastAsia" w:ascii="仿宋" w:hAnsi="仿宋" w:eastAsia="仿宋" w:cs="仿宋"/>
          <w:kern w:val="0"/>
          <w:sz w:val="32"/>
          <w:szCs w:val="32"/>
          <w:lang w:val="en-US" w:eastAsia="zh-CN" w:bidi="ar"/>
        </w:rPr>
        <w:t>本项目西起郑尧高速收费口，东至原新天地药业路，全长 16.2 公里，分坡胡镇段、后河镇段、和尚桥镇段、増福镇段、长社段、建设办、金桥办等七个部分。主要建设内容包括自行车道工程、绿化工程、喷灌工程等。</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2.3、建设地点：</w:t>
      </w:r>
      <w:r>
        <w:rPr>
          <w:rFonts w:hint="eastAsia" w:ascii="仿宋" w:hAnsi="仿宋" w:eastAsia="仿宋" w:cs="仿宋"/>
          <w:kern w:val="0"/>
          <w:sz w:val="32"/>
          <w:szCs w:val="32"/>
          <w:lang w:val="en-US" w:eastAsia="zh-CN" w:bidi="ar"/>
        </w:rPr>
        <w:t xml:space="preserve">西起郑尧高速收费口，东至原新天地药业路。 </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2.4、招标范围：</w:t>
      </w:r>
      <w:r>
        <w:rPr>
          <w:rFonts w:hint="eastAsia" w:ascii="仿宋" w:hAnsi="仿宋" w:eastAsia="仿宋" w:cs="仿宋"/>
          <w:kern w:val="0"/>
          <w:sz w:val="32"/>
          <w:szCs w:val="32"/>
          <w:lang w:val="en-US" w:eastAsia="zh-CN" w:bidi="ar"/>
        </w:rPr>
        <w:t>招标文件、补充文件（如有）、答疑纪要等列明的所有建设内容；</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2.5、招标控制价：</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第2标段：</w:t>
      </w:r>
      <w:r>
        <w:rPr>
          <w:rFonts w:hint="eastAsia" w:ascii="仿宋" w:hAnsi="仿宋" w:eastAsia="仿宋" w:cs="仿宋"/>
          <w:kern w:val="0"/>
          <w:sz w:val="32"/>
          <w:szCs w:val="32"/>
          <w:lang w:val="en-US" w:eastAsia="zh-CN" w:bidi="ar"/>
        </w:rPr>
        <w:t>638775.68元</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2.6、标段划分：</w:t>
      </w:r>
      <w:r>
        <w:rPr>
          <w:rFonts w:hint="eastAsia" w:ascii="仿宋" w:hAnsi="仿宋" w:eastAsia="仿宋" w:cs="仿宋"/>
          <w:b w:val="0"/>
          <w:bCs/>
          <w:kern w:val="0"/>
          <w:sz w:val="32"/>
          <w:szCs w:val="32"/>
          <w:lang w:val="en-US" w:eastAsia="zh-CN" w:bidi="ar"/>
        </w:rPr>
        <w:t>本项目共划分2个标段，本次招标为第2标段二次招标。</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第2标段：</w:t>
      </w:r>
      <w:r>
        <w:rPr>
          <w:rFonts w:hint="eastAsia" w:ascii="仿宋" w:hAnsi="仿宋" w:eastAsia="仿宋" w:cs="仿宋"/>
          <w:kern w:val="0"/>
          <w:sz w:val="32"/>
          <w:szCs w:val="32"/>
          <w:lang w:val="en-US" w:eastAsia="zh-CN" w:bidi="ar"/>
        </w:rPr>
        <w:t>监理标段</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b/>
          <w:kern w:val="0"/>
          <w:sz w:val="32"/>
          <w:szCs w:val="32"/>
          <w:lang w:val="en-US" w:eastAsia="zh-CN" w:bidi="ar"/>
        </w:rPr>
      </w:pPr>
      <w:r>
        <w:rPr>
          <w:rFonts w:hint="eastAsia" w:ascii="仿宋" w:hAnsi="仿宋" w:eastAsia="仿宋" w:cs="仿宋"/>
          <w:b/>
          <w:kern w:val="0"/>
          <w:sz w:val="32"/>
          <w:szCs w:val="32"/>
          <w:lang w:val="en-US" w:eastAsia="zh-CN" w:bidi="ar"/>
        </w:rPr>
        <w:t xml:space="preserve">2.7、计划工期： </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right="0" w:firstLine="320" w:firstLineChars="1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第2标段：本项目第1标段全过程监理服务</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2.8、质量要求：</w:t>
      </w:r>
      <w:r>
        <w:rPr>
          <w:rFonts w:hint="eastAsia" w:ascii="仿宋" w:hAnsi="仿宋" w:eastAsia="仿宋" w:cs="仿宋"/>
          <w:kern w:val="0"/>
          <w:sz w:val="32"/>
          <w:szCs w:val="32"/>
          <w:lang w:val="en-US" w:eastAsia="zh-CN" w:bidi="ar"/>
        </w:rPr>
        <w:t>合格（符合国家现行的验收规范和标准）；</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三、投标人资格要求</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3.1、第2标段投标人资格要求：</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default" w:ascii="仿宋" w:hAnsi="仿宋" w:eastAsia="仿宋" w:cs="仿宋"/>
          <w:sz w:val="32"/>
          <w:szCs w:val="32"/>
          <w:lang w:val="en-US"/>
        </w:rPr>
      </w:pPr>
      <w:r>
        <w:rPr>
          <w:rFonts w:hint="eastAsia" w:ascii="仿宋" w:hAnsi="仿宋" w:eastAsia="仿宋" w:cs="仿宋"/>
          <w:kern w:val="0"/>
          <w:sz w:val="32"/>
          <w:szCs w:val="32"/>
          <w:lang w:val="en-US" w:eastAsia="zh-CN" w:bidi="ar"/>
        </w:rPr>
        <w:t xml:space="preserve">3.1.1、投标人须具备独立法人资格，并具备建设行政主管部门颁发的工程监理综合甲级资质或市政公用工程监理专业甲级资质； </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3.1.2、拟派项目总监理工程师须具备市政公用工程专业注册监理工程师资格。</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3.2本次招标不接受联合体投标，不得转包、挂靠及违法分包。</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3.3与招标人存在利害关系可能影响招标公正性的法人、其他组织或者个人，不得参加投标；单位负责人为同一人或者存在控股、管理关系的不同单位，不得参加同一标段投标或者未划分标段的同一招标项目投标。</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3.4未被列入“信用中国”/“信用河南”网站信用信息栏黑名单，“国家企业信用信息公示系统”经营异常名录或严重失信黑名单，“中国政府采购网”政府采购严重违法失信行为记录名单，“全国法院失信被执行人名单”，或各级信用信息共享平台中列入失信被执行人名单，无行贿犯罪记录的投标人。</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四、投标报名</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4.1报名时间:投标人在投标文件递交截止时间前均可报名。</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4.2报名方式：网上报名。</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（1）注册：持CA数字认证证书，登录【全国公共资源交易平台（河南省·许昌市）】“系统用户注册”入口</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（http://221.14.6.70:8088/ggzy/eps/public/RegistAllJcxx.html）进行免费注册登记（详见“常见问题解答-诚信库网上注册相关资料下载”）；</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（2）报名：登录【全国公共资源交易平台（河南省·许昌市）】“投标人/供应商登录”入口（http://221.14.6.70:8088/ggzy/）,在报名期限内。（详见“常见问题解答-交易系统操作手册”）。</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五、招标文件和施工图纸的获取</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5.1招标文件和工程量清单的获取：报名期限内，投标人登录《全国公共资源交易平台（河南省·许昌市）》自行下载本项目招标文件。</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5.2施工图纸下载：按照招标文件要求自行下载。</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5.3招标文件费用：投标人在递交纸制投标文件时向代理公司缴纳招标文件费用，本项目招标文件费用为400元/套，售后不退。</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5.4本项目实行资格后审，资格后审所需资料详见招标文件。</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六、投标文件的递交</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6.1本项目为全流程电子化交易项目，须提交电子投标文件和纸质投标文件（正本1份、副本4份）。</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kern w:val="0"/>
          <w:sz w:val="32"/>
          <w:szCs w:val="32"/>
          <w:lang w:val="en-US" w:eastAsia="zh-CN" w:bidi="ar"/>
        </w:rPr>
        <w:t>6.2投标文件提交截止时间及开标时间：</w:t>
      </w:r>
      <w:r>
        <w:rPr>
          <w:rFonts w:hint="eastAsia" w:ascii="仿宋" w:hAnsi="仿宋" w:eastAsia="仿宋" w:cs="仿宋"/>
          <w:color w:val="auto"/>
          <w:kern w:val="0"/>
          <w:sz w:val="32"/>
          <w:szCs w:val="32"/>
          <w:lang w:val="en-US" w:eastAsia="zh-CN" w:bidi="ar"/>
        </w:rPr>
        <w:t>2019年4 月12 日11  时 00分。</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6.4纸质投标文件提交地点：长葛市公共资源交易中心（长葛市葛天大道东段商务区</w:t>
      </w:r>
      <w:r>
        <w:rPr>
          <w:rFonts w:hint="eastAsia" w:ascii="仿宋" w:hAnsi="仿宋" w:eastAsia="仿宋" w:cs="仿宋"/>
          <w:color w:val="auto"/>
          <w:kern w:val="0"/>
          <w:sz w:val="32"/>
          <w:szCs w:val="32"/>
          <w:lang w:val="en-US" w:eastAsia="zh-CN" w:bidi="ar"/>
        </w:rPr>
        <w:t>6号楼开标四</w:t>
      </w:r>
      <w:r>
        <w:rPr>
          <w:rFonts w:hint="eastAsia" w:ascii="仿宋" w:hAnsi="仿宋" w:eastAsia="仿宋" w:cs="仿宋"/>
          <w:kern w:val="0"/>
          <w:sz w:val="32"/>
          <w:szCs w:val="32"/>
          <w:lang w:val="en-US" w:eastAsia="zh-CN" w:bidi="ar"/>
        </w:rPr>
        <w:t>室）。</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6.5逾期送达的或未按照招标文件要求密封的纸质投标文件、及仅提供纸质投标文件的，招标人不予受理。</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七、发布公告的媒介</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本次招标公告同时在“河南省电子招标投标公共服务平台”、“全国公共资源交易平台（河南省·许昌市）”、“长葛市人民政府门户网站”上发布。</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八、招标人及代理机构</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招标人：</w:t>
      </w:r>
      <w:r>
        <w:rPr>
          <w:rFonts w:hint="eastAsia" w:ascii="仿宋" w:hAnsi="仿宋" w:eastAsia="仿宋" w:cs="仿宋"/>
          <w:kern w:val="0"/>
          <w:sz w:val="32"/>
          <w:szCs w:val="32"/>
          <w:lang w:val="en-US" w:eastAsia="zh-CN" w:bidi="ar"/>
        </w:rPr>
        <w:t>长葛市住房和城乡规划建设局</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联系人：</w:t>
      </w:r>
      <w:r>
        <w:rPr>
          <w:rFonts w:hint="eastAsia" w:ascii="仿宋" w:hAnsi="仿宋" w:eastAsia="仿宋" w:cs="仿宋"/>
          <w:kern w:val="0"/>
          <w:sz w:val="32"/>
          <w:szCs w:val="32"/>
          <w:lang w:val="en-US" w:eastAsia="zh-CN" w:bidi="ar"/>
        </w:rPr>
        <w:t xml:space="preserve">时女士 </w:t>
      </w:r>
      <w:r>
        <w:rPr>
          <w:rFonts w:hint="eastAsia" w:ascii="仿宋" w:hAnsi="仿宋" w:eastAsia="仿宋" w:cs="仿宋"/>
          <w:b/>
          <w:kern w:val="0"/>
          <w:sz w:val="32"/>
          <w:szCs w:val="32"/>
          <w:lang w:val="en-US" w:eastAsia="zh-CN" w:bidi="ar"/>
        </w:rPr>
        <w:t>联系电话</w:t>
      </w:r>
      <w:r>
        <w:rPr>
          <w:rFonts w:hint="eastAsia" w:ascii="仿宋" w:hAnsi="仿宋" w:eastAsia="仿宋" w:cs="仿宋"/>
          <w:kern w:val="0"/>
          <w:sz w:val="32"/>
          <w:szCs w:val="32"/>
          <w:lang w:val="en-US" w:eastAsia="zh-CN" w:bidi="ar"/>
        </w:rPr>
        <w:t>：0374-6896278</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招标代理机构：</w:t>
      </w:r>
      <w:r>
        <w:rPr>
          <w:rFonts w:hint="eastAsia" w:ascii="仿宋" w:hAnsi="仿宋" w:eastAsia="仿宋" w:cs="仿宋"/>
          <w:kern w:val="0"/>
          <w:sz w:val="32"/>
          <w:szCs w:val="32"/>
          <w:lang w:val="en-US" w:eastAsia="zh-CN" w:bidi="ar"/>
        </w:rPr>
        <w:t>中建联勘测规划设计有限公司</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联系人：</w:t>
      </w:r>
      <w:r>
        <w:rPr>
          <w:rFonts w:hint="eastAsia" w:ascii="仿宋" w:hAnsi="仿宋" w:eastAsia="仿宋" w:cs="仿宋"/>
          <w:kern w:val="0"/>
          <w:sz w:val="32"/>
          <w:szCs w:val="32"/>
          <w:lang w:val="en-US" w:eastAsia="zh-CN" w:bidi="ar"/>
        </w:rPr>
        <w:t>魏女士</w:t>
      </w:r>
      <w:r>
        <w:rPr>
          <w:rFonts w:hint="eastAsia" w:ascii="仿宋" w:hAnsi="仿宋" w:eastAsia="仿宋" w:cs="仿宋"/>
          <w:b/>
          <w:kern w:val="0"/>
          <w:sz w:val="32"/>
          <w:szCs w:val="32"/>
          <w:lang w:val="en-US" w:eastAsia="zh-CN" w:bidi="ar"/>
        </w:rPr>
        <w:t xml:space="preserve"> 联系电话：</w:t>
      </w:r>
      <w:r>
        <w:rPr>
          <w:rFonts w:hint="eastAsia" w:ascii="仿宋" w:hAnsi="仿宋" w:eastAsia="仿宋" w:cs="仿宋"/>
          <w:kern w:val="0"/>
          <w:sz w:val="32"/>
          <w:szCs w:val="32"/>
          <w:lang w:val="en-US" w:eastAsia="zh-CN" w:bidi="ar"/>
        </w:rPr>
        <w:t>0371-87520522</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九、特别提示：</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1.所有投标单位请时刻关注全国公共资源交易平台（河南省.许昌市），澄清、答疑、变更均在全国公共资源交易平台（河南省.许昌市）发布，不再另行通知。如未及时查看影响其投标，后果自负。</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2.各投标人对代理公司提供的服务不满意，或认为代理公司在服务过程中有不当行为的，可致电长葛市公共资源交易管理委员会办公室监管股（0374-6189576），经查实后将按规定作出处理。</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温馨提示：</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本项目为全流程电子化交易项目，请认真阅读招标文件，并注意以下事项。</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1.投标人应按招标文件规定下载、编制、提交电子投标文件和纸质投标文件。开、评标现场不接受投标人递交的电子投标文件和纸质投标文件以外的其他资料。</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2.电子文件下载、制作、提交期间和开标（电子投标文件的解密）环节，承包人须使用CA数字证书（证书须在有效期内）。</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3.电子投标文件的制作</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3.1 投标人登录【全国公共资源交易平台(河南省▪许昌市)】公共资源交易系统（http://221.14.6.70:8088/ggzy/）下载“许昌投标文件制作系统SEARUN V1.1”，按招标文件要求制作电子投标文件。</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电子投标文件的制作，参考【全国公共资源交易平台(河南省·许昌市)】公共资源交易系统——组件下载——交易系统操作手册（投标人、供应商）。</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3.2 投标人须将招标文件要求的资质、业绩、荣誉及相关人员证明材料等资料原件扫描件（或图片）制作到所提交的电子投标文件中。</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一个标段对应生成一个文件夹（xxxx项目xx标段）,其中包含2个文件和1个文件夹。后缀名为“.file”的文件用于电子投标使用，后缀名为“.PDF”的文件用于打印纸质投标文件，“备份文件夹”使用电子介质存储，供开标现场备用。</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4.电子投标文件的提交</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4.1电子投标文件应在招标文件规定的投标文件提交截止时间（开标时间）之前成功提交至【全国公共资源交易平台(河南省▪许昌市)】公共资源交易系统（http://221.14.6.70:8088/ggzy/）。</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投标人应充分考虑并预留技术处理和上传数据所需时间。</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4.2 投标人对同一项目多个标段进行投标的，电子投标文件应按标段分别提交。</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4.3 电子投标文件成功提交后，投标人应打印“投标文件提交回执单”，供开标现场备查。</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5.评标依据</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firstLine="42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5.1采用全流程电子化交易评标时，评标委员会以电子投标文件为依据评标。</w:t>
      </w:r>
    </w:p>
    <w:p>
      <w:pPr>
        <w:keepNext w:val="0"/>
        <w:keepLines w:val="0"/>
        <w:pageBreakBefore w:val="0"/>
        <w:widowControl/>
        <w:suppressLineNumbers w:val="0"/>
        <w:kinsoku/>
        <w:wordWrap/>
        <w:overflowPunct/>
        <w:autoSpaceDE/>
        <w:autoSpaceDN/>
        <w:bidi w:val="0"/>
        <w:adjustRightInd/>
        <w:snapToGrid/>
        <w:spacing w:before="0" w:beforeAutospacing="0" w:after="0" w:afterAutospacing="0" w:line="240" w:lineRule="atLeast"/>
        <w:ind w:left="0" w:right="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5.2全流程电子化交易如因系统异常情况无法完成，将以人工方式进行。评标委员会以纸质投标文件为依据评标。</w:t>
      </w:r>
    </w:p>
    <w:p>
      <w:pPr>
        <w:keepNext w:val="0"/>
        <w:keepLines w:val="0"/>
        <w:pageBreakBefore w:val="0"/>
        <w:kinsoku/>
        <w:wordWrap/>
        <w:overflowPunct/>
        <w:autoSpaceDE/>
        <w:autoSpaceDN/>
        <w:bidi w:val="0"/>
        <w:adjustRightInd/>
        <w:snapToGrid/>
        <w:spacing w:beforeAutospacing="0" w:afterAutospacing="0" w:line="240" w:lineRule="atLeast"/>
        <w:textAlignment w:val="auto"/>
        <w:rPr>
          <w:rFonts w:hint="eastAsia" w:ascii="仿宋" w:hAnsi="仿宋" w:eastAsia="仿宋" w:cs="仿宋"/>
          <w:sz w:val="32"/>
          <w:szCs w:val="32"/>
        </w:rPr>
      </w:pPr>
    </w:p>
    <w:p>
      <w:pPr>
        <w:autoSpaceDE w:val="0"/>
        <w:autoSpaceDN w:val="0"/>
        <w:spacing w:line="400" w:lineRule="exact"/>
        <w:ind w:firstLine="680" w:firstLineChars="200"/>
        <w:jc w:val="left"/>
        <w:outlineLvl w:val="0"/>
        <w:rPr>
          <w:rFonts w:hint="eastAsia" w:ascii="仿宋" w:hAnsi="仿宋" w:eastAsia="仿宋" w:cs="仿宋"/>
          <w:color w:val="auto"/>
          <w:kern w:val="0"/>
          <w:szCs w:val="21"/>
          <w:highlight w:val="none"/>
        </w:rPr>
      </w:pPr>
    </w:p>
    <w:p>
      <w:pPr>
        <w:autoSpaceDE w:val="0"/>
        <w:autoSpaceDN w:val="0"/>
        <w:spacing w:line="400" w:lineRule="exact"/>
        <w:ind w:firstLine="680" w:firstLineChars="200"/>
        <w:jc w:val="left"/>
        <w:outlineLvl w:val="0"/>
        <w:rPr>
          <w:rFonts w:hint="eastAsia" w:ascii="仿宋" w:hAnsi="仿宋" w:eastAsia="仿宋" w:cs="仿宋"/>
          <w:color w:val="auto"/>
          <w:kern w:val="0"/>
          <w:szCs w:val="21"/>
          <w:highlight w:val="none"/>
        </w:rPr>
      </w:pPr>
    </w:p>
    <w:p>
      <w:pPr>
        <w:autoSpaceDE w:val="0"/>
        <w:autoSpaceDN w:val="0"/>
        <w:spacing w:line="400" w:lineRule="exact"/>
        <w:ind w:firstLine="680" w:firstLineChars="200"/>
        <w:jc w:val="left"/>
        <w:outlineLvl w:val="0"/>
        <w:rPr>
          <w:rFonts w:hint="eastAsia" w:ascii="仿宋" w:hAnsi="仿宋" w:eastAsia="仿宋" w:cs="仿宋"/>
          <w:color w:val="auto"/>
          <w:kern w:val="0"/>
          <w:szCs w:val="21"/>
          <w:highlight w:val="none"/>
        </w:rPr>
      </w:pPr>
    </w:p>
    <w:p>
      <w:pPr>
        <w:autoSpaceDE w:val="0"/>
        <w:autoSpaceDN w:val="0"/>
        <w:spacing w:line="400" w:lineRule="exact"/>
        <w:ind w:firstLine="680" w:firstLineChars="200"/>
        <w:jc w:val="left"/>
        <w:outlineLvl w:val="0"/>
        <w:rPr>
          <w:rFonts w:hint="eastAsia" w:ascii="仿宋" w:hAnsi="仿宋" w:eastAsia="仿宋" w:cs="仿宋"/>
          <w:color w:val="auto"/>
          <w:kern w:val="0"/>
          <w:szCs w:val="21"/>
          <w:highlight w:val="none"/>
        </w:rPr>
      </w:pPr>
    </w:p>
    <w:p>
      <w:pPr>
        <w:pStyle w:val="24"/>
        <w:spacing w:line="440" w:lineRule="exact"/>
        <w:jc w:val="center"/>
        <w:rPr>
          <w:rFonts w:hint="eastAsia" w:ascii="仿宋" w:hAnsi="仿宋" w:eastAsia="仿宋" w:cs="仿宋"/>
          <w:b/>
          <w:bCs/>
          <w:color w:val="auto"/>
          <w:sz w:val="36"/>
          <w:szCs w:val="36"/>
          <w:highlight w:val="none"/>
        </w:rPr>
      </w:pPr>
    </w:p>
    <w:p>
      <w:pPr>
        <w:pStyle w:val="24"/>
        <w:spacing w:line="440" w:lineRule="exact"/>
        <w:jc w:val="center"/>
        <w:rPr>
          <w:rFonts w:hint="eastAsia" w:ascii="仿宋" w:hAnsi="仿宋" w:eastAsia="仿宋" w:cs="仿宋"/>
          <w:b/>
          <w:bCs/>
          <w:color w:val="auto"/>
          <w:sz w:val="36"/>
          <w:szCs w:val="36"/>
          <w:highlight w:val="none"/>
        </w:rPr>
      </w:pPr>
    </w:p>
    <w:p>
      <w:pPr>
        <w:pStyle w:val="24"/>
        <w:spacing w:line="440" w:lineRule="exact"/>
        <w:jc w:val="center"/>
        <w:rPr>
          <w:rFonts w:hint="eastAsia" w:ascii="仿宋" w:hAnsi="仿宋" w:eastAsia="仿宋" w:cs="仿宋"/>
          <w:b/>
          <w:bCs/>
          <w:color w:val="auto"/>
          <w:sz w:val="36"/>
          <w:szCs w:val="36"/>
          <w:highlight w:val="none"/>
        </w:rPr>
      </w:pPr>
    </w:p>
    <w:p>
      <w:pPr>
        <w:pStyle w:val="24"/>
        <w:spacing w:line="440" w:lineRule="exact"/>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第二章投标人须知</w:t>
      </w:r>
      <w:bookmarkStart w:id="0" w:name="_Toc283559940"/>
      <w:bookmarkEnd w:id="0"/>
    </w:p>
    <w:p>
      <w:pPr>
        <w:pStyle w:val="24"/>
        <w:spacing w:line="440" w:lineRule="exact"/>
        <w:jc w:val="left"/>
        <w:rPr>
          <w:rFonts w:hint="eastAsia" w:ascii="仿宋" w:hAnsi="仿宋" w:eastAsia="仿宋" w:cs="仿宋"/>
          <w:b/>
          <w:bCs/>
          <w:color w:val="auto"/>
          <w:sz w:val="36"/>
          <w:szCs w:val="36"/>
          <w:highlight w:val="none"/>
        </w:rPr>
      </w:pPr>
      <w:r>
        <w:rPr>
          <w:rFonts w:hint="eastAsia" w:ascii="仿宋" w:hAnsi="仿宋" w:eastAsia="仿宋" w:cs="仿宋"/>
          <w:b/>
          <w:bCs/>
          <w:color w:val="auto"/>
          <w:sz w:val="21"/>
          <w:szCs w:val="21"/>
          <w:highlight w:val="none"/>
        </w:rPr>
        <w:t>投标人须知前附表</w:t>
      </w:r>
    </w:p>
    <w:tbl>
      <w:tblPr>
        <w:tblStyle w:val="12"/>
        <w:tblW w:w="9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8"/>
        <w:gridCol w:w="2268"/>
        <w:gridCol w:w="6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 款 名 称</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w:t>
            </w:r>
          </w:p>
        </w:tc>
        <w:tc>
          <w:tcPr>
            <w:tcW w:w="6470" w:type="dxa"/>
            <w:tcBorders>
              <w:top w:val="single" w:color="auto" w:sz="4" w:space="0"/>
              <w:left w:val="nil"/>
              <w:bottom w:val="single" w:color="auto" w:sz="4" w:space="0"/>
              <w:right w:val="single" w:color="auto" w:sz="4" w:space="0"/>
            </w:tcBorders>
            <w:vAlign w:val="top"/>
          </w:tcPr>
          <w:p>
            <w:pPr>
              <w:spacing w:line="460" w:lineRule="exact"/>
              <w:contextualSpacing/>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招标人：长葛市住房和城乡规划建设局</w:t>
            </w:r>
          </w:p>
          <w:p>
            <w:pPr>
              <w:spacing w:line="460" w:lineRule="exact"/>
              <w:contextualSpacing/>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联系人：时女士         联系电话：0374-6896278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招标代理机构</w:t>
            </w:r>
          </w:p>
        </w:tc>
        <w:tc>
          <w:tcPr>
            <w:tcW w:w="6470" w:type="dxa"/>
            <w:tcBorders>
              <w:top w:val="single" w:color="auto" w:sz="4" w:space="0"/>
              <w:left w:val="nil"/>
              <w:bottom w:val="single" w:color="auto" w:sz="4" w:space="0"/>
              <w:right w:val="single" w:color="auto" w:sz="4" w:space="0"/>
            </w:tcBorders>
            <w:vAlign w:val="top"/>
          </w:tcPr>
          <w:p>
            <w:pPr>
              <w:pStyle w:val="10"/>
              <w:autoSpaceDE w:val="0"/>
              <w:spacing w:before="0" w:beforeAutospacing="0" w:after="0" w:afterAutospacing="0" w:line="38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招标代理机构：中建联勘测规划设计有限公司</w:t>
            </w:r>
          </w:p>
          <w:p>
            <w:pPr>
              <w:pStyle w:val="10"/>
              <w:autoSpaceDE w:val="0"/>
              <w:spacing w:before="0" w:beforeAutospacing="0" w:after="0" w:afterAutospacing="0" w:line="38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联系人：魏女士         联系电话：0371-87520522</w:t>
            </w:r>
          </w:p>
          <w:p>
            <w:pPr>
              <w:autoSpaceDE w:val="0"/>
              <w:autoSpaceDN w:val="0"/>
              <w:spacing w:line="400" w:lineRule="exact"/>
              <w:jc w:val="left"/>
              <w:outlineLvl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地址：郑州市郑东新区正光北街9号王鼎国贸大厦A座12楼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招标项目名称</w:t>
            </w:r>
          </w:p>
        </w:tc>
        <w:tc>
          <w:tcPr>
            <w:tcW w:w="6470" w:type="dxa"/>
            <w:tcBorders>
              <w:top w:val="single" w:color="auto" w:sz="4" w:space="0"/>
              <w:left w:val="nil"/>
              <w:bottom w:val="single" w:color="auto" w:sz="4" w:space="0"/>
              <w:right w:val="single" w:color="auto" w:sz="4" w:space="0"/>
            </w:tcBorders>
            <w:vAlign w:val="center"/>
          </w:tcPr>
          <w:p>
            <w:pPr>
              <w:adjustRightInd w:val="0"/>
              <w:snapToGrid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长葛市郑尧高速引线廊道绿化工程第2标段二次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项目建设地点</w:t>
            </w:r>
          </w:p>
        </w:tc>
        <w:tc>
          <w:tcPr>
            <w:tcW w:w="6470" w:type="dxa"/>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西起郑尧高速收费口，东至原新天地药业路。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w:t>
            </w:r>
          </w:p>
        </w:tc>
        <w:tc>
          <w:tcPr>
            <w:tcW w:w="2296" w:type="dxa"/>
            <w:gridSpan w:val="2"/>
            <w:tcBorders>
              <w:top w:val="single" w:color="auto" w:sz="4" w:space="0"/>
              <w:left w:val="nil"/>
              <w:bottom w:val="single" w:color="auto" w:sz="4" w:space="0"/>
              <w:right w:val="single" w:color="auto"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项目建设内容</w:t>
            </w:r>
          </w:p>
        </w:tc>
        <w:tc>
          <w:tcPr>
            <w:tcW w:w="6470" w:type="dxa"/>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本项目施工内容建设阶段及完善阶段全过程监理服务。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资金来源及出资比例</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财政资金100％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资金落实情况</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招标范围</w:t>
            </w:r>
          </w:p>
        </w:tc>
        <w:tc>
          <w:tcPr>
            <w:tcW w:w="6470" w:type="dxa"/>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本项目施工内容建设阶段及完善阶段全过程监理服务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监理服务期</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本项目第1标段</w:t>
            </w:r>
            <w:r>
              <w:rPr>
                <w:rFonts w:hint="eastAsia" w:ascii="仿宋" w:hAnsi="仿宋" w:eastAsia="仿宋" w:cs="仿宋"/>
                <w:color w:val="auto"/>
                <w:sz w:val="24"/>
                <w:szCs w:val="24"/>
                <w:highlight w:val="none"/>
              </w:rPr>
              <w:t>全过程监理服务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质量标准</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投标人资质条件、能力、信誉</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1、投标人须具备独立法人资格，并具备建设行政主管部门颁发的工程监理综合甲级资质或市政公用工程监理专业甲级资质；</w:t>
            </w:r>
          </w:p>
          <w:p>
            <w:pPr>
              <w:autoSpaceDE w:val="0"/>
              <w:autoSpaceDN w:val="0"/>
              <w:spacing w:line="460" w:lineRule="exact"/>
              <w:contextualSpacing/>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2、拟派项目总监理工程师须具备市政公用工程专业注册监理工程师资格。</w:t>
            </w:r>
          </w:p>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本次招标不接受联合体投标，不得转包、挂靠及违法分包。</w:t>
            </w:r>
          </w:p>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未被列入“信用中国”/“信用河南”网站信用信息栏黑名单，“国家企业信用信息公示系统”经营异常名录或严重失信黑名单，“全国法院失信被执行人名单”，或各级信用信息共享平台中列入失信被执行人名单，无行贿犯罪记录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是否接受联合体投标</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不接受</w:t>
            </w:r>
          </w:p>
          <w:p>
            <w:pPr>
              <w:autoSpaceDE w:val="0"/>
              <w:autoSpaceDN w:val="0"/>
              <w:spacing w:line="460" w:lineRule="exact"/>
              <w:contextualSpacing/>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w:t>
            </w:r>
          </w:p>
        </w:tc>
        <w:tc>
          <w:tcPr>
            <w:tcW w:w="2296" w:type="dxa"/>
            <w:gridSpan w:val="2"/>
            <w:tcBorders>
              <w:top w:val="single" w:color="auto" w:sz="4" w:space="0"/>
              <w:left w:val="nil"/>
              <w:bottom w:val="single" w:color="auto" w:sz="4" w:space="0"/>
              <w:right w:val="single" w:color="auto" w:sz="4" w:space="0"/>
            </w:tcBorders>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投标人不得存在的其他情形</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踏勘现场</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highlight w:val="none"/>
              </w:rPr>
            </w:pPr>
            <w:r>
              <w:rPr>
                <w:rFonts w:hint="eastAsia" w:ascii="仿宋" w:hAnsi="仿宋" w:eastAsia="仿宋" w:cs="仿宋"/>
                <w:color w:val="auto"/>
                <w:sz w:val="24"/>
                <w:szCs w:val="24"/>
                <w:highlight w:val="none"/>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投标预备会</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1.10.2</w:t>
            </w:r>
          </w:p>
        </w:tc>
        <w:tc>
          <w:tcPr>
            <w:tcW w:w="2296" w:type="dxa"/>
            <w:gridSpan w:val="2"/>
            <w:tcBorders>
              <w:top w:val="single" w:color="auto" w:sz="4" w:space="0"/>
              <w:left w:val="nil"/>
              <w:bottom w:val="single" w:color="auto" w:sz="4" w:space="0"/>
              <w:right w:val="single" w:color="auto"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招标文件澄清发出的形式</w:t>
            </w:r>
          </w:p>
        </w:tc>
        <w:tc>
          <w:tcPr>
            <w:tcW w:w="6470" w:type="dxa"/>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投标截止时间15日前，在【全国公共资源交易平台（河南省•许昌市）】上发出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偏差</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 </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构成招标文件的其他材料</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招标文件的下载</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招标文件的获取：投标人于投标文件递交截止时间前均可登录【全国公共资源交易平台(河南省▪许昌市)】，通过“投标人/供应商登录”后自行下载。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074" w:type="dxa"/>
            <w:vMerge w:val="restart"/>
            <w:tcBorders>
              <w:top w:val="nil"/>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p>
        </w:tc>
        <w:tc>
          <w:tcPr>
            <w:tcW w:w="2296" w:type="dxa"/>
            <w:gridSpan w:val="2"/>
            <w:vMerge w:val="restart"/>
            <w:tcBorders>
              <w:top w:val="nil"/>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投标人要求澄清招标文件</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时间：潜在投标人或者其他利害关系人对招标文件有异议的，应当在投标截止时间10日前提出。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074" w:type="dxa"/>
            <w:vMerge w:val="continue"/>
            <w:tcBorders>
              <w:top w:val="nil"/>
              <w:left w:val="single" w:color="auto" w:sz="4" w:space="0"/>
              <w:bottom w:val="single" w:color="auto" w:sz="4" w:space="0"/>
              <w:right w:val="single" w:color="auto"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2296" w:type="dxa"/>
            <w:gridSpan w:val="2"/>
            <w:vMerge w:val="continue"/>
            <w:tcBorders>
              <w:top w:val="nil"/>
              <w:left w:val="nil"/>
              <w:bottom w:val="single" w:color="auto" w:sz="4" w:space="0"/>
              <w:right w:val="single" w:color="auto"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6470"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形式：在【全国公共资源交易平台（河南省•许昌市）】上提出。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招标文件澄清回复发出的形式</w:t>
            </w:r>
          </w:p>
        </w:tc>
        <w:tc>
          <w:tcPr>
            <w:tcW w:w="6470"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招标人应当自收到异议之日起3日内在【全国公共资源交易平台（河南省•许昌市）】上作出答复。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投标人确认收到招标文件澄清</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p>
        </w:tc>
        <w:tc>
          <w:tcPr>
            <w:tcW w:w="2296" w:type="dxa"/>
            <w:gridSpan w:val="2"/>
            <w:tcBorders>
              <w:top w:val="single" w:color="auto" w:sz="4" w:space="0"/>
              <w:left w:val="nil"/>
              <w:bottom w:val="single" w:color="auto" w:sz="4" w:space="0"/>
              <w:right w:val="single" w:color="auto" w:sz="4" w:space="0"/>
            </w:tcBorders>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招标文件修改发出的形式</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在【全国公共资源交易平台（河南省•许昌市）】上发出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投标人确认收到招标文件修改</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构成投标文件的其他材料</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（1）投标人认为其它需要补充的内容</w:t>
            </w:r>
          </w:p>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6470"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自投标截止时间起60日历天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6470" w:type="dxa"/>
            <w:tcBorders>
              <w:top w:val="single" w:color="auto" w:sz="4" w:space="0"/>
              <w:left w:val="nil"/>
              <w:bottom w:val="single" w:color="auto" w:sz="4" w:space="0"/>
              <w:right w:val="single" w:color="auto" w:sz="4" w:space="0"/>
            </w:tcBorders>
          </w:tcPr>
          <w:p>
            <w:pPr>
              <w:spacing w:line="460" w:lineRule="exact"/>
              <w:ind w:firstLine="470" w:firstLineChars="196"/>
              <w:contextualSpacing/>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1.投标保证金递交截止时间：同投标截止时间。</w:t>
            </w:r>
          </w:p>
          <w:p>
            <w:pPr>
              <w:spacing w:line="460" w:lineRule="exact"/>
              <w:ind w:firstLine="470" w:firstLineChars="196"/>
              <w:contextualSpacing/>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2.金额：</w:t>
            </w:r>
          </w:p>
          <w:p>
            <w:pPr>
              <w:spacing w:line="460" w:lineRule="exact"/>
              <w:ind w:firstLine="470" w:firstLineChars="196"/>
              <w:contextualSpacing/>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第2标段</w:t>
            </w:r>
            <w:r>
              <w:rPr>
                <w:rFonts w:hint="eastAsia" w:ascii="仿宋" w:hAnsi="仿宋" w:eastAsia="仿宋" w:cs="仿宋"/>
                <w:b w:val="0"/>
                <w:bCs w:val="0"/>
                <w:color w:val="auto"/>
                <w:sz w:val="24"/>
                <w:szCs w:val="24"/>
                <w:highlight w:val="none"/>
                <w:lang w:eastAsia="zh-CN"/>
              </w:rPr>
              <w:t>人民币：</w:t>
            </w:r>
            <w:r>
              <w:rPr>
                <w:rFonts w:hint="eastAsia" w:ascii="仿宋" w:hAnsi="仿宋" w:eastAsia="仿宋" w:cs="仿宋"/>
                <w:b w:val="0"/>
                <w:bCs w:val="0"/>
                <w:color w:val="auto"/>
                <w:sz w:val="24"/>
                <w:szCs w:val="24"/>
                <w:highlight w:val="none"/>
                <w:lang w:val="en-US" w:eastAsia="zh-CN"/>
              </w:rPr>
              <w:t>壹万</w:t>
            </w:r>
            <w:r>
              <w:rPr>
                <w:rFonts w:hint="eastAsia" w:ascii="仿宋" w:hAnsi="仿宋" w:eastAsia="仿宋" w:cs="仿宋"/>
                <w:b w:val="0"/>
                <w:bCs w:val="0"/>
                <w:color w:val="auto"/>
                <w:sz w:val="24"/>
                <w:szCs w:val="24"/>
                <w:highlight w:val="none"/>
                <w:lang w:eastAsia="zh-CN"/>
              </w:rPr>
              <w:t>元整（￥</w:t>
            </w:r>
            <w:r>
              <w:rPr>
                <w:rFonts w:hint="eastAsia" w:ascii="仿宋" w:hAnsi="仿宋" w:eastAsia="仿宋" w:cs="仿宋"/>
                <w:b w:val="0"/>
                <w:bCs w:val="0"/>
                <w:color w:val="auto"/>
                <w:sz w:val="24"/>
                <w:szCs w:val="24"/>
                <w:highlight w:val="none"/>
                <w:lang w:val="en-US" w:eastAsia="zh-CN"/>
              </w:rPr>
              <w:t>10000</w:t>
            </w:r>
            <w:r>
              <w:rPr>
                <w:rFonts w:hint="eastAsia" w:ascii="仿宋" w:hAnsi="仿宋" w:eastAsia="仿宋" w:cs="仿宋"/>
                <w:b w:val="0"/>
                <w:bCs w:val="0"/>
                <w:color w:val="auto"/>
                <w:sz w:val="24"/>
                <w:szCs w:val="24"/>
                <w:highlight w:val="none"/>
                <w:lang w:eastAsia="zh-CN"/>
              </w:rPr>
              <w:t>.00）</w:t>
            </w:r>
          </w:p>
          <w:p>
            <w:pPr>
              <w:spacing w:line="460" w:lineRule="exact"/>
              <w:ind w:firstLine="470" w:firstLineChars="196"/>
              <w:contextualSpacing/>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3.递交方式：银行转账、银行电汇（均需从投标人的基本账户汇出），不接受以现金方式缴纳的投标保证金。凡以现金方式缴纳投标保证金而影响其投标结果的，由投标人自行负责。</w:t>
            </w:r>
          </w:p>
          <w:p>
            <w:pPr>
              <w:spacing w:line="460" w:lineRule="exact"/>
              <w:ind w:firstLine="470" w:firstLineChars="196"/>
              <w:contextualSpacing/>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460" w:lineRule="exact"/>
              <w:ind w:firstLine="470" w:firstLineChars="196"/>
              <w:contextualSpacing/>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4.基本户备案：自文件发布之日起，投标人需进行基本户备案；已备案的基本户，其开户银行及账户发生变化的，须在投标保证金缴纳前办理变更手续。</w:t>
            </w:r>
          </w:p>
          <w:p>
            <w:pPr>
              <w:spacing w:line="460" w:lineRule="exact"/>
              <w:ind w:firstLine="470" w:firstLineChars="196"/>
              <w:contextualSpacing/>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5.其他事项详见本招标文件投标人须知。</w:t>
            </w:r>
          </w:p>
          <w:p>
            <w:pPr>
              <w:spacing w:line="460" w:lineRule="exact"/>
              <w:ind w:firstLine="470" w:firstLineChars="196"/>
              <w:contextualSpacing/>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lang w:eastAsia="zh-CN"/>
              </w:rPr>
              <w:t>保证金缴纳绑定问题咨询电话:0374-2961598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2296" w:type="dxa"/>
            <w:gridSpan w:val="2"/>
            <w:tcBorders>
              <w:top w:val="single" w:color="auto" w:sz="4" w:space="0"/>
              <w:left w:val="nil"/>
              <w:bottom w:val="single" w:color="auto" w:sz="4" w:space="0"/>
              <w:right w:val="single" w:color="auto" w:sz="4" w:space="0"/>
            </w:tcBorders>
            <w:vAlign w:val="center"/>
          </w:tcPr>
          <w:p>
            <w:pPr>
              <w:pStyle w:val="21"/>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资格审查资料的特殊要求</w:t>
            </w:r>
          </w:p>
        </w:tc>
        <w:tc>
          <w:tcPr>
            <w:tcW w:w="6470" w:type="dxa"/>
            <w:tcBorders>
              <w:top w:val="single" w:color="auto" w:sz="4" w:space="0"/>
              <w:left w:val="nil"/>
              <w:bottom w:val="single" w:color="auto" w:sz="4" w:space="0"/>
              <w:right w:val="single" w:color="auto" w:sz="4" w:space="0"/>
            </w:tcBorders>
            <w:vAlign w:val="center"/>
          </w:tcPr>
          <w:p>
            <w:pPr>
              <w:pStyle w:val="21"/>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highlight w:val="none"/>
              </w:rPr>
              <w:t>无</w:t>
            </w:r>
          </w:p>
          <w:p>
            <w:pPr>
              <w:pStyle w:val="21"/>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3.5.2</w:t>
            </w:r>
          </w:p>
        </w:tc>
        <w:tc>
          <w:tcPr>
            <w:tcW w:w="2296" w:type="dxa"/>
            <w:gridSpan w:val="2"/>
            <w:tcBorders>
              <w:top w:val="single" w:color="auto" w:sz="4" w:space="0"/>
              <w:left w:val="nil"/>
              <w:bottom w:val="single" w:color="auto" w:sz="4" w:space="0"/>
              <w:right w:val="single" w:color="auto"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近年财务状况的年份要求</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近年，指2015年、2016年、2017年。（若公司成立未满三年，需提供从成立至今的年度财务状况）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3.5.3</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近年完成的类似项目</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近年，指201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年1月1日至今，以合同签订时间为准。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3.5.5</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近年发生的诉讼及仲裁的年份要求</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近年，指201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是否允许递交备选投标方案</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签字或盖章要求</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纸质投标文件：正本按招标文件要求签字盖章（无需逐页签字盖章），副本应与正本保持一致（可为正本的复印件）。正本与副本不一致的，以正本为准。</w:t>
            </w:r>
          </w:p>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投标文件副本份数及其他要求</w:t>
            </w:r>
          </w:p>
        </w:tc>
        <w:tc>
          <w:tcPr>
            <w:tcW w:w="6470" w:type="dxa"/>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1、电子投标文件</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（1）成功上传至【全国公共资源交易平台（河南省·许昌市）】公共资源交易系统电子投标文件1份（文件格式为：XX公司XXX项目编号.file）。</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（2）使用电子介质存储的投标文件1份文件格式为：xxx公司XXX（项目编号）.bin）。</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2、纸质投标文件</w:t>
            </w:r>
          </w:p>
          <w:p>
            <w:pPr>
              <w:spacing w:line="460" w:lineRule="exact"/>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正本1份，副本4份；</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3、电子投标文件和纸质投标文件的内容、格式、水印码、电子签章应一致。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3.7.3</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投标文件是否需分册装订</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不需要，不分册装订，投标文件采用</w:t>
            </w:r>
            <w:r>
              <w:rPr>
                <w:rFonts w:hint="eastAsia" w:ascii="仿宋" w:hAnsi="仿宋" w:eastAsia="仿宋" w:cs="仿宋"/>
                <w:color w:val="auto"/>
                <w:sz w:val="24"/>
                <w:szCs w:val="24"/>
                <w:highlight w:val="none"/>
                <w:u w:val="single"/>
              </w:rPr>
              <w:t>胶装</w:t>
            </w:r>
            <w:r>
              <w:rPr>
                <w:rFonts w:hint="eastAsia" w:ascii="仿宋" w:hAnsi="仿宋" w:eastAsia="仿宋" w:cs="仿宋"/>
                <w:color w:val="auto"/>
                <w:sz w:val="24"/>
                <w:szCs w:val="24"/>
                <w:highlight w:val="none"/>
              </w:rPr>
              <w:t>方式装订，装订应牢固、不易拆散和换页，不得采用活页装订。</w:t>
            </w:r>
          </w:p>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4.1.1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投标文件加密要求</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封套上应载明的信息</w:t>
            </w:r>
          </w:p>
        </w:tc>
        <w:tc>
          <w:tcPr>
            <w:tcW w:w="6470" w:type="dxa"/>
            <w:tcBorders>
              <w:top w:val="single" w:color="auto" w:sz="4" w:space="0"/>
              <w:left w:val="nil"/>
              <w:bottom w:val="single" w:color="auto" w:sz="4" w:space="0"/>
              <w:right w:val="single" w:color="auto" w:sz="4" w:space="0"/>
            </w:tcBorders>
          </w:tcPr>
          <w:p>
            <w:pPr>
              <w:autoSpaceDE w:val="0"/>
              <w:autoSpaceDN w:val="0"/>
              <w:spacing w:line="38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招标人名称：</w:t>
            </w:r>
          </w:p>
          <w:p>
            <w:pPr>
              <w:autoSpaceDE w:val="0"/>
              <w:autoSpaceDN w:val="0"/>
              <w:spacing w:line="38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（工程名称）（标段）           </w:t>
            </w:r>
          </w:p>
          <w:p>
            <w:pPr>
              <w:autoSpaceDE w:val="0"/>
              <w:autoSpaceDN w:val="0"/>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投标单位名称：</w:t>
            </w:r>
            <w:r>
              <w:rPr>
                <w:rFonts w:hint="eastAsia" w:ascii="仿宋" w:hAnsi="仿宋" w:eastAsia="仿宋" w:cs="仿宋"/>
                <w:color w:val="auto"/>
                <w:sz w:val="24"/>
                <w:szCs w:val="24"/>
                <w:highlight w:val="none"/>
                <w:u w:val="single"/>
              </w:rPr>
              <w:t xml:space="preserve">               （加盖投标人公章）</w:t>
            </w:r>
          </w:p>
          <w:p>
            <w:pPr>
              <w:autoSpaceDE w:val="0"/>
              <w:autoSpaceDN w:val="0"/>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 年月日时分前不得开启，不得邮寄。</w:t>
            </w:r>
          </w:p>
          <w:p>
            <w:pPr>
              <w:autoSpaceDE w:val="0"/>
              <w:autoSpaceDN w:val="0"/>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ind w:firstLine="120" w:firstLineChars="50"/>
              <w:contextualSpacing/>
              <w:rPr>
                <w:rFonts w:hint="eastAsia" w:ascii="仿宋" w:hAnsi="仿宋" w:eastAsia="仿宋" w:cs="仿宋"/>
                <w:b/>
                <w:bCs/>
                <w:color w:val="C00000"/>
                <w:sz w:val="24"/>
                <w:szCs w:val="24"/>
                <w:highlight w:val="none"/>
              </w:rPr>
            </w:pPr>
            <w:r>
              <w:rPr>
                <w:rFonts w:hint="eastAsia" w:ascii="仿宋" w:hAnsi="仿宋" w:eastAsia="仿宋" w:cs="仿宋"/>
                <w:b/>
                <w:bCs/>
                <w:color w:val="auto"/>
                <w:sz w:val="24"/>
                <w:szCs w:val="24"/>
                <w:highlight w:val="none"/>
                <w:u w:val="single"/>
              </w:rPr>
              <w:t xml:space="preserve">2019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4 </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12  </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日</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11</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时</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00  </w:t>
            </w:r>
            <w:r>
              <w:rPr>
                <w:rFonts w:hint="eastAsia" w:ascii="仿宋" w:hAnsi="仿宋" w:eastAsia="仿宋" w:cs="仿宋"/>
                <w:b/>
                <w:bCs/>
                <w:color w:val="auto"/>
                <w:sz w:val="24"/>
                <w:szCs w:val="24"/>
                <w:highlight w:val="none"/>
              </w:rPr>
              <w:t>分</w:t>
            </w:r>
            <w:r>
              <w:rPr>
                <w:rFonts w:hint="eastAsia" w:ascii="仿宋" w:hAnsi="仿宋" w:eastAsia="仿宋" w:cs="仿宋"/>
                <w:color w:val="auto"/>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递交投标文件地点</w:t>
            </w:r>
          </w:p>
        </w:tc>
        <w:tc>
          <w:tcPr>
            <w:tcW w:w="6470" w:type="dxa"/>
            <w:tcBorders>
              <w:top w:val="single" w:color="auto" w:sz="4" w:space="0"/>
              <w:left w:val="nil"/>
              <w:bottom w:val="single" w:color="auto" w:sz="4" w:space="0"/>
              <w:right w:val="single" w:color="auto" w:sz="4" w:space="0"/>
            </w:tcBorders>
            <w:vAlign w:val="bottom"/>
          </w:tcPr>
          <w:p>
            <w:pPr>
              <w:spacing w:line="460" w:lineRule="exact"/>
              <w:contextualSpacing/>
              <w:rPr>
                <w:rFonts w:hint="eastAsia" w:ascii="仿宋" w:hAnsi="仿宋" w:eastAsia="仿宋" w:cs="仿宋"/>
                <w:color w:val="C00000"/>
                <w:sz w:val="24"/>
                <w:szCs w:val="24"/>
                <w:highlight w:val="none"/>
              </w:rPr>
            </w:pPr>
            <w:r>
              <w:rPr>
                <w:rFonts w:hint="eastAsia" w:ascii="仿宋" w:hAnsi="仿宋" w:eastAsia="仿宋" w:cs="仿宋"/>
                <w:color w:val="auto"/>
                <w:sz w:val="24"/>
                <w:szCs w:val="24"/>
                <w:highlight w:val="none"/>
              </w:rPr>
              <w:t>长葛市公共资源交易中心（长葛市葛天大道东段商务区6号楼</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楼开标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四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是否退还投标文件</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开标时间和地点</w:t>
            </w:r>
          </w:p>
        </w:tc>
        <w:tc>
          <w:tcPr>
            <w:tcW w:w="6470" w:type="dxa"/>
            <w:tcBorders>
              <w:top w:val="single" w:color="auto" w:sz="4" w:space="0"/>
              <w:left w:val="nil"/>
              <w:bottom w:val="single" w:color="auto" w:sz="4" w:space="0"/>
              <w:right w:val="single" w:color="auto" w:sz="4" w:space="0"/>
            </w:tcBorders>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开标时间：同投标截止时间</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5.2 </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开标程序</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密封情况检查：由投标人代表对投标文件的密封情况进行检查。</w:t>
            </w:r>
          </w:p>
          <w:p>
            <w:pPr>
              <w:autoSpaceDE w:val="0"/>
              <w:autoSpaceDN w:val="0"/>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开标顺序：按投标文件递交顺序的逆顺序开标。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6.1.1 </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评标委员会的组建</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评标委员会构成：</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人，其中招标人代表</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人，其余</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注：评标（评审）委员会成员在评标（评审）过程中有不良行为的，按《许昌市公共资源交易当事人不良行为管理暂行办法》记录其不良行为6—18个月；情节严重的，由主管部门取消评标（评审）专家资格。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6.1.2</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评标委员会推荐中标候选人的人数</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中标候选人公示媒介及期限</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1、公示媒介：《河南省电子招标投标公共服务平台》、《全国公共资源交易平台（河南省·许昌市）》、《长葛市人民政府门户网站》</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2、公示期限：</w:t>
            </w:r>
            <w:r>
              <w:rPr>
                <w:rFonts w:hint="eastAsia" w:ascii="仿宋" w:hAnsi="仿宋" w:eastAsia="仿宋" w:cs="仿宋"/>
                <w:color w:val="auto"/>
                <w:sz w:val="24"/>
                <w:szCs w:val="24"/>
                <w:highlight w:val="none"/>
                <w:u w:val="single"/>
              </w:rPr>
              <w:t> 不少于 3</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3、排名第一的中标候选人资格核验</w:t>
            </w:r>
          </w:p>
          <w:p>
            <w:pPr>
              <w:spacing w:line="460" w:lineRule="exact"/>
              <w:ind w:firstLine="360" w:firstLineChars="1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评标结果公示期满且无异议后的5个工作日内，排名第一的中标候选人，其在投标文件中约定的拟任项目总监，应持以下证明材料，到项目招标单位接受资格核验：1、总监理工程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pStyle w:val="5"/>
              <w:spacing w:before="0" w:beforeAutospacing="0" w:line="460" w:lineRule="exact"/>
              <w:ind w:firstLine="360" w:firstLineChars="150"/>
              <w:contextualSpacing/>
              <w:rPr>
                <w:rFonts w:hint="eastAsia" w:ascii="仿宋" w:hAnsi="仿宋" w:eastAsia="仿宋" w:cs="仿宋"/>
                <w:color w:val="auto"/>
                <w:highlight w:val="none"/>
              </w:rPr>
            </w:pPr>
            <w:r>
              <w:rPr>
                <w:rFonts w:hint="eastAsia" w:ascii="仿宋" w:hAnsi="仿宋" w:eastAsia="仿宋" w:cs="仿宋"/>
                <w:color w:val="auto"/>
                <w:sz w:val="24"/>
                <w:szCs w:val="24"/>
                <w:highlight w:val="none"/>
              </w:rPr>
              <w:t>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是否授权评标委员会确定中标人</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w:t>
            </w: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ind w:firstLine="480"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6470"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是否要求中标人提交履约保证金：要求。</w:t>
            </w:r>
          </w:p>
          <w:p>
            <w:pPr>
              <w:autoSpaceDE w:val="0"/>
              <w:autoSpaceDN w:val="0"/>
              <w:spacing w:line="380" w:lineRule="exact"/>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开户行：河南长葛农村商业银行股份有限公司营业部</w:t>
            </w:r>
          </w:p>
          <w:p>
            <w:pPr>
              <w:autoSpaceDE w:val="0"/>
              <w:autoSpaceDN w:val="0"/>
              <w:spacing w:line="380" w:lineRule="exact"/>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  名：长葛市公共资源交易中心</w:t>
            </w:r>
          </w:p>
          <w:p>
            <w:pPr>
              <w:autoSpaceDE w:val="0"/>
              <w:autoSpaceDN w:val="0"/>
              <w:spacing w:line="380" w:lineRule="exact"/>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账  号：</w:t>
            </w:r>
            <w:r>
              <w:rPr>
                <w:rFonts w:hint="eastAsia" w:ascii="仿宋" w:hAnsi="仿宋" w:eastAsia="仿宋" w:cs="仿宋"/>
                <w:color w:val="auto"/>
                <w:sz w:val="24"/>
                <w:szCs w:val="24"/>
                <w:highlight w:val="none"/>
                <w:lang w:val="en-US" w:eastAsia="zh-CN"/>
              </w:rPr>
              <w:t>13201001800000552</w:t>
            </w:r>
          </w:p>
          <w:p>
            <w:pPr>
              <w:autoSpaceDE w:val="0"/>
              <w:autoSpaceDN w:val="0"/>
              <w:spacing w:line="380" w:lineRule="exact"/>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履约担保的形式：基本户转账，中标人在签订合同前提交。</w:t>
            </w:r>
          </w:p>
          <w:p>
            <w:pPr>
              <w:autoSpaceDE w:val="0"/>
              <w:autoSpaceDN w:val="0"/>
              <w:spacing w:line="380" w:lineRule="exact"/>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履约担保的金额：中标金额的10%。</w:t>
            </w:r>
          </w:p>
          <w:p>
            <w:pPr>
              <w:autoSpaceDE w:val="0"/>
              <w:autoSpaceDN w:val="0"/>
              <w:spacing w:line="38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中标人无正当理由不与招标人订立合同，在签订合同时向招标人提出附加条件，或者不按照招标文件要求提交履约保证金的，取消其中标资格，投标保证金不予退还。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296" w:type="dxa"/>
            <w:gridSpan w:val="2"/>
            <w:tcBorders>
              <w:top w:val="single" w:color="auto" w:sz="4" w:space="0"/>
              <w:left w:val="nil"/>
              <w:bottom w:val="single" w:color="auto" w:sz="4" w:space="0"/>
              <w:right w:val="single" w:color="auto" w:sz="4" w:space="0"/>
            </w:tcBorders>
          </w:tcPr>
          <w:p>
            <w:pPr>
              <w:autoSpaceDE w:val="0"/>
              <w:autoSpaceDN w:val="0"/>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是否采用电子招标投标</w:t>
            </w:r>
          </w:p>
        </w:tc>
        <w:tc>
          <w:tcPr>
            <w:tcW w:w="6470"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p>
        </w:tc>
        <w:tc>
          <w:tcPr>
            <w:tcW w:w="2296" w:type="dxa"/>
            <w:gridSpan w:val="2"/>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类似项目</w:t>
            </w:r>
          </w:p>
        </w:tc>
        <w:tc>
          <w:tcPr>
            <w:tcW w:w="6470" w:type="dxa"/>
            <w:tcBorders>
              <w:top w:val="single" w:color="auto" w:sz="4" w:space="0"/>
              <w:left w:val="nil"/>
              <w:bottom w:val="single" w:color="auto" w:sz="4" w:space="0"/>
              <w:right w:val="single" w:color="auto" w:sz="4" w:space="0"/>
            </w:tcBorders>
            <w:vAlign w:val="center"/>
          </w:tcPr>
          <w:p>
            <w:pPr>
              <w:pStyle w:val="24"/>
              <w:spacing w:line="460" w:lineRule="exact"/>
              <w:contextualSpacing/>
              <w:rPr>
                <w:rFonts w:hint="eastAsia" w:ascii="仿宋" w:hAnsi="仿宋" w:eastAsia="仿宋" w:cs="仿宋"/>
                <w:color w:val="auto"/>
                <w:highlight w:val="none"/>
              </w:rPr>
            </w:pPr>
            <w:r>
              <w:rPr>
                <w:rFonts w:hint="eastAsia" w:ascii="仿宋" w:hAnsi="仿宋" w:eastAsia="仿宋" w:cs="仿宋"/>
                <w:color w:val="auto"/>
                <w:sz w:val="24"/>
                <w:szCs w:val="24"/>
                <w:highlight w:val="none"/>
              </w:rPr>
              <w:t>类似项目指201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年1月1日以来监理过的单项合同金额不小于</w:t>
            </w:r>
            <w:r>
              <w:rPr>
                <w:rFonts w:hint="eastAsia" w:ascii="仿宋" w:hAnsi="仿宋" w:eastAsia="仿宋" w:cs="仿宋"/>
                <w:color w:val="auto"/>
                <w:sz w:val="24"/>
                <w:szCs w:val="24"/>
                <w:highlight w:val="none"/>
                <w:lang w:val="en-US" w:eastAsia="zh-CN"/>
              </w:rPr>
              <w:t>六千万</w:t>
            </w:r>
            <w:r>
              <w:rPr>
                <w:rFonts w:hint="eastAsia" w:ascii="仿宋" w:hAnsi="仿宋" w:eastAsia="仿宋" w:cs="仿宋"/>
                <w:color w:val="auto"/>
                <w:sz w:val="24"/>
                <w:szCs w:val="24"/>
                <w:highlight w:val="none"/>
              </w:rPr>
              <w:t>元的景观绿化工程或市政公用工程监理项目。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hint="eastAsia" w:ascii="仿宋" w:hAnsi="仿宋" w:eastAsia="仿宋" w:cs="仿宋"/>
                <w:color w:val="auto"/>
                <w:sz w:val="24"/>
                <w:szCs w:val="24"/>
                <w:highlight w:val="none"/>
              </w:rPr>
            </w:pPr>
          </w:p>
        </w:tc>
        <w:tc>
          <w:tcPr>
            <w:tcW w:w="8766"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ind w:firstLine="361" w:firstLineChars="150"/>
              <w:contextualSpacing/>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第1标段：</w:t>
            </w:r>
            <w:r>
              <w:rPr>
                <w:rFonts w:hint="eastAsia" w:ascii="仿宋" w:hAnsi="仿宋" w:eastAsia="仿宋" w:cs="仿宋"/>
                <w:b/>
                <w:bCs/>
                <w:color w:val="auto"/>
                <w:sz w:val="24"/>
                <w:szCs w:val="24"/>
                <w:highlight w:val="none"/>
              </w:rPr>
              <w:t>89902873.08元；</w:t>
            </w:r>
          </w:p>
          <w:p>
            <w:pPr>
              <w:autoSpaceDE w:val="0"/>
              <w:autoSpaceDN w:val="0"/>
              <w:spacing w:line="460" w:lineRule="exact"/>
              <w:ind w:firstLine="361" w:firstLineChars="150"/>
              <w:contextualSpacing/>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第2标段：638775.68元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p>
        </w:tc>
        <w:tc>
          <w:tcPr>
            <w:tcW w:w="8766" w:type="dxa"/>
            <w:gridSpan w:val="3"/>
            <w:tcBorders>
              <w:top w:val="single" w:color="auto" w:sz="4" w:space="0"/>
              <w:left w:val="nil"/>
              <w:bottom w:val="single" w:color="auto" w:sz="4" w:space="0"/>
              <w:right w:val="single" w:color="auto" w:sz="4" w:space="0"/>
            </w:tcBorders>
            <w:vAlign w:val="center"/>
          </w:tcPr>
          <w:p>
            <w:pPr>
              <w:spacing w:line="460" w:lineRule="exact"/>
              <w:ind w:firstLine="241" w:firstLineChars="100"/>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contextualSpacing/>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10.4授权函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p>
        </w:tc>
        <w:tc>
          <w:tcPr>
            <w:tcW w:w="8766" w:type="dxa"/>
            <w:gridSpan w:val="3"/>
            <w:tcBorders>
              <w:top w:val="single" w:color="auto" w:sz="4" w:space="0"/>
              <w:left w:val="nil"/>
              <w:bottom w:val="single" w:color="auto" w:sz="4" w:space="0"/>
              <w:right w:val="single" w:color="auto" w:sz="4" w:space="0"/>
            </w:tcBorders>
            <w:vAlign w:val="center"/>
          </w:tcPr>
          <w:p>
            <w:pPr>
              <w:spacing w:line="460" w:lineRule="exact"/>
              <w:ind w:firstLine="482" w:firstLineChars="200"/>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招标人单位委派代表参加开标会议，或者作为招标人代表进入评标委员会的，须向招标代理机构出具由招标人法定代表人签字并加盖单位公章的有明确授权事项的授权函。</w:t>
            </w:r>
          </w:p>
          <w:p>
            <w:pPr>
              <w:spacing w:line="460" w:lineRule="exact"/>
              <w:ind w:firstLine="482" w:firstLineChars="200"/>
              <w:contextualSpacing/>
              <w:rPr>
                <w:rFonts w:hint="eastAsia" w:ascii="仿宋" w:hAnsi="仿宋" w:eastAsia="仿宋" w:cs="仿宋"/>
                <w:color w:val="auto"/>
                <w:highlight w:val="none"/>
              </w:rPr>
            </w:pPr>
            <w:r>
              <w:rPr>
                <w:rFonts w:hint="eastAsia" w:ascii="仿宋" w:hAnsi="仿宋" w:eastAsia="仿宋" w:cs="仿宋"/>
                <w:b/>
                <w:bCs/>
                <w:color w:val="auto"/>
                <w:sz w:val="24"/>
                <w:szCs w:val="24"/>
                <w:highlight w:val="none"/>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p>
        </w:tc>
        <w:tc>
          <w:tcPr>
            <w:tcW w:w="8766" w:type="dxa"/>
            <w:gridSpan w:val="3"/>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10.6监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p>
        </w:tc>
        <w:tc>
          <w:tcPr>
            <w:tcW w:w="8766" w:type="dxa"/>
            <w:gridSpan w:val="3"/>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p>
        </w:tc>
        <w:tc>
          <w:tcPr>
            <w:tcW w:w="8766" w:type="dxa"/>
            <w:gridSpan w:val="3"/>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bookmarkStart w:id="1" w:name="_Toc225243456"/>
            <w:r>
              <w:rPr>
                <w:rFonts w:hint="eastAsia" w:ascii="仿宋" w:hAnsi="仿宋" w:eastAsia="仿宋" w:cs="仿宋"/>
                <w:b/>
                <w:bCs/>
                <w:color w:val="auto"/>
                <w:sz w:val="24"/>
                <w:szCs w:val="24"/>
                <w:highlight w:val="none"/>
              </w:rPr>
              <w:t>10.8 投标文件的拒收</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p>
        </w:tc>
        <w:tc>
          <w:tcPr>
            <w:tcW w:w="8766" w:type="dxa"/>
            <w:gridSpan w:val="3"/>
            <w:tcBorders>
              <w:top w:val="single" w:color="auto" w:sz="4" w:space="0"/>
              <w:left w:val="nil"/>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1、逾期送达的纸质投标文件或仅提供纸质投标文件的；</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2、纸质投标文件、电子介质存储的投标文件未按招标文件要求密封的；</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3、未按招标文件要求缴纳投标保证金的；</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10.9招标人、投标人不得有下列行为：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p>
        </w:tc>
        <w:tc>
          <w:tcPr>
            <w:tcW w:w="8766"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《中华人民共和国招标投标法》第三十二条： </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《中华人民共和国招标投标法》第三十三条： </w:t>
            </w:r>
            <w:r>
              <w:rPr>
                <w:rFonts w:hint="eastAsia" w:ascii="仿宋" w:hAnsi="仿宋" w:eastAsia="仿宋" w:cs="仿宋"/>
                <w:color w:val="auto"/>
                <w:sz w:val="24"/>
                <w:szCs w:val="24"/>
                <w:highlight w:val="none"/>
              </w:rPr>
              <w:t>投标人不得以低于成本的报价竞标，也不得以他人名义投标或者以其他方式弄虚作假，骗取中标。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《中华人民共和国招标投标法实施条例》第三十九条：</w:t>
            </w:r>
            <w:r>
              <w:rPr>
                <w:rFonts w:hint="eastAsia" w:ascii="仿宋" w:hAnsi="仿宋" w:eastAsia="仿宋" w:cs="仿宋"/>
                <w:color w:val="auto"/>
                <w:sz w:val="24"/>
                <w:szCs w:val="24"/>
                <w:highlight w:val="none"/>
              </w:rPr>
              <w:t> </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禁止投标人相互串通投标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有下列情形之一的，属于投标人相互串通投标：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（一）投标人之间协商投标报价等投标文件的实质性内容；</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（二）投标人之间约定中标人；</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（三）投标人之间约定部分投标人放弃投标或者中标；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（四）属于同一集团、协会、商会等组织成员的投标人按照该组织要求协同投标；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（五）投标人之间为谋取中标或者排斥特定投标人而采取的其他联合行动。</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《中华人民共和国招标投标法实施条例》第四十条：</w:t>
            </w:r>
            <w:r>
              <w:rPr>
                <w:rFonts w:hint="eastAsia" w:ascii="仿宋" w:hAnsi="仿宋" w:eastAsia="仿宋" w:cs="仿宋"/>
                <w:color w:val="auto"/>
                <w:sz w:val="24"/>
                <w:szCs w:val="24"/>
                <w:highlight w:val="none"/>
              </w:rPr>
              <w:t> </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有下列情形之一的，视为投标人相互串通投标：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（一）不同投标人的投标文件由同一单位或者个人编制；</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（二）不同投标人委托同一单位或者个人办理投标事宜；</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（三）不同投标人的投标文件载明的项目管理成员为同一人；</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（四）不同投标人的投标文件异常一致或者投标报价呈规律性差异；</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（五）不同投标人的投标文件相互混装；</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（六）不同投标人的投标保证金从同一单位或者个人的账户转出。</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《中华人民共和国招标投标法实施条例》第四十一条：</w:t>
            </w:r>
            <w:r>
              <w:rPr>
                <w:rFonts w:hint="eastAsia" w:ascii="仿宋" w:hAnsi="仿宋" w:eastAsia="仿宋" w:cs="仿宋"/>
                <w:color w:val="auto"/>
                <w:sz w:val="24"/>
                <w:szCs w:val="24"/>
                <w:highlight w:val="none"/>
              </w:rPr>
              <w:t> </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禁止招标人与投标人串通投标。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有下列情形之一的，属于招标人与投标人串通投标：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（一）招标人在开标前开启投标文件并将有关信息泄露给其他投标人;</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（二）招标人直接或者间接向投标人泄露标底、评标委员会成员等信息；</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（三）招标人明示或者暗示投标人压低或者抬高投标报价；</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（四）招标人授意投标人撤换、修改投标文件；</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（五）招标人明示或者暗示投标人为特定投标人中标提供方便；</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（六）招标人与投标人为谋求特定投标人中标而采取的其他串通行为。</w:t>
            </w:r>
          </w:p>
          <w:p>
            <w:pPr>
              <w:autoSpaceDE w:val="0"/>
              <w:autoSpaceDN w:val="0"/>
              <w:spacing w:line="460" w:lineRule="exact"/>
              <w:contextualSpacing/>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《中华人民共和国招标投标法实施条例》第四十二条：</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使用通过受让或者租借等方式获取的资格、资质证书投标的，属于招标投标法第三十三条规定的以他人名义投标。</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投标人有下列情形之一的，属于招标投标法第三十三条规定的以其他方式弄虚作假的行为：</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（一）使用伪造、变造的许可证件；</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（二）提供虚假的财务状况或者业绩；</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（三）提供虚假的项目负责人或者主要技术人员简历、劳动关系证明；</w:t>
            </w:r>
          </w:p>
          <w:p>
            <w:pPr>
              <w:autoSpaceDE w:val="0"/>
              <w:autoSpaceDN w:val="0"/>
              <w:spacing w:line="460" w:lineRule="exact"/>
              <w:contextualSpacing/>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（四）提供虚假的信用状况；</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40"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10.10特别提示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10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p>
        </w:tc>
        <w:tc>
          <w:tcPr>
            <w:tcW w:w="8738" w:type="dxa"/>
            <w:gridSpan w:val="2"/>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1、潜在投标人如对招标文件有异议，请在规定时间内在《全国公共资源交易平台（河南省•许昌市）》公共资源交易系统中提出，以其他方式递交的异议不予接受。</w:t>
            </w:r>
          </w:p>
          <w:p>
            <w:pPr>
              <w:autoSpaceDE w:val="0"/>
              <w:autoSpaceDN w:val="0"/>
              <w:spacing w:line="460" w:lineRule="exact"/>
              <w:contextualSpacing/>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2、投标人在投标截止时间前应随时关注《全国公共资源交易平台（河南省•许昌市）》公共资源交易系统发出的有关本项目的答疑、修改等相关内容。</w:t>
            </w:r>
          </w:p>
          <w:p>
            <w:pPr>
              <w:autoSpaceDE w:val="0"/>
              <w:autoSpaceDN w:val="0"/>
              <w:spacing w:line="460" w:lineRule="exact"/>
              <w:contextualSpacing/>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3、本项目试行全流程电子化交易，如因系统异常情况无法完成，将以人工方式进行。</w:t>
            </w:r>
          </w:p>
          <w:p>
            <w:pPr>
              <w:autoSpaceDE w:val="0"/>
              <w:autoSpaceDN w:val="0"/>
              <w:spacing w:line="460" w:lineRule="exact"/>
              <w:contextualSpacing/>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4、投标文件依据最终的招标文件进行编制。如果招标文件发生变更，投标人应以招标人最终发出的电子招标文件为准，编制投标文件，务请投标人随时关注项目变更信息。</w:t>
            </w:r>
          </w:p>
          <w:p>
            <w:pPr>
              <w:autoSpaceDE w:val="0"/>
              <w:autoSpaceDN w:val="0"/>
              <w:spacing w:line="460" w:lineRule="exact"/>
              <w:contextualSpacing/>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5、投标人电子投标文件成功提交后，应打印“投标文件提交回执单”，供开标现场备查。</w:t>
            </w:r>
          </w:p>
          <w:p>
            <w:pPr>
              <w:autoSpaceDE w:val="0"/>
              <w:autoSpaceDN w:val="0"/>
              <w:spacing w:line="460" w:lineRule="exact"/>
              <w:contextualSpacing/>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6、投标文件制作注意事项：</w:t>
            </w:r>
          </w:p>
          <w:p>
            <w:pPr>
              <w:autoSpaceDE w:val="0"/>
              <w:autoSpaceDN w:val="0"/>
              <w:spacing w:line="460" w:lineRule="exact"/>
              <w:contextualSpacing/>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6.1  投标人登录《全国公共资源交易平台(河南省▪许昌市）》公共资源交易系统下载“许昌投标文件制作系统SEARUN V1.1”，按招标文件要求制作电子投标文件。</w:t>
            </w:r>
          </w:p>
          <w:p>
            <w:pPr>
              <w:autoSpaceDE w:val="0"/>
              <w:autoSpaceDN w:val="0"/>
              <w:spacing w:line="460" w:lineRule="exact"/>
              <w:contextualSpacing/>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电子投标文件的制作，参考《全国公共资源交易平台(河南省▪许昌市)》公共资源交易系统——组件下载——交易系统操作手册（投标人、供应商）</w:t>
            </w:r>
          </w:p>
          <w:p>
            <w:pPr>
              <w:autoSpaceDE w:val="0"/>
              <w:autoSpaceDN w:val="0"/>
              <w:spacing w:line="460" w:lineRule="exact"/>
              <w:contextualSpacing/>
              <w:jc w:val="left"/>
              <w:outlineLvl w:val="0"/>
              <w:rPr>
                <w:rFonts w:hint="eastAsia" w:ascii="仿宋" w:hAnsi="仿宋" w:eastAsia="仿宋" w:cs="仿宋"/>
                <w:color w:val="auto"/>
                <w:highlight w:val="none"/>
              </w:rPr>
            </w:pPr>
            <w:r>
              <w:rPr>
                <w:rFonts w:hint="eastAsia" w:ascii="仿宋" w:hAnsi="仿宋" w:eastAsia="仿宋" w:cs="仿宋"/>
                <w:b/>
                <w:bCs/>
                <w:color w:val="auto"/>
                <w:sz w:val="24"/>
                <w:szCs w:val="24"/>
                <w:highlight w:val="none"/>
              </w:rPr>
              <w:t>7.2 投标文件制作技术咨询：0374-2961598。</w:t>
            </w:r>
          </w:p>
        </w:tc>
      </w:tr>
    </w:tbl>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2" w:name="_Toc283559947"/>
      <w:bookmarkEnd w:id="2"/>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rPr>
        <w:t>1. 总则</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3" w:name="_Toc144974498"/>
      <w:bookmarkEnd w:id="3"/>
      <w:bookmarkStart w:id="4" w:name="_Toc152042306"/>
      <w:bookmarkEnd w:id="4"/>
      <w:bookmarkStart w:id="5" w:name="_Toc152045530"/>
      <w:bookmarkEnd w:id="5"/>
      <w:bookmarkStart w:id="6" w:name="_Toc179632547"/>
      <w:r>
        <w:rPr>
          <w:rFonts w:hint="eastAsia" w:ascii="仿宋" w:hAnsi="仿宋" w:eastAsia="仿宋" w:cs="仿宋"/>
          <w:b/>
          <w:bCs/>
          <w:color w:val="auto"/>
          <w:sz w:val="24"/>
          <w:szCs w:val="24"/>
          <w:highlight w:val="none"/>
        </w:rPr>
        <w:t>1.1 项目概况</w:t>
      </w:r>
      <w:bookmarkEnd w:id="6"/>
      <w:r>
        <w:rPr>
          <w:rFonts w:hint="eastAsia" w:ascii="仿宋" w:hAnsi="仿宋" w:eastAsia="仿宋" w:cs="仿宋"/>
          <w:b/>
          <w:bCs/>
          <w:color w:val="auto"/>
          <w:sz w:val="24"/>
          <w:szCs w:val="24"/>
          <w:highlight w:val="none"/>
        </w:rPr>
        <w:t>（详见投标人须知前附表）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7" w:name="_Toc152042307"/>
      <w:bookmarkEnd w:id="7"/>
      <w:bookmarkStart w:id="8" w:name="_Toc179632548"/>
      <w:bookmarkEnd w:id="8"/>
      <w:bookmarkStart w:id="9" w:name="_Toc152045531"/>
      <w:bookmarkEnd w:id="9"/>
      <w:bookmarkStart w:id="10" w:name="_Toc144974499"/>
      <w:bookmarkEnd w:id="10"/>
      <w:r>
        <w:rPr>
          <w:rFonts w:hint="eastAsia" w:ascii="仿宋" w:hAnsi="仿宋" w:eastAsia="仿宋" w:cs="仿宋"/>
          <w:color w:val="auto"/>
          <w:sz w:val="24"/>
          <w:szCs w:val="24"/>
          <w:highlight w:val="none"/>
        </w:rPr>
        <w:t>1.1.1 根据《中华人民共和国招标投标法》、《中华人民共和国招标投标法实施条例》等有关 法律、法规和规章的规定，本招标项目已具备招标条件，现对监理进行招标。</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1.1.2 招标人：见投标人须知前附表。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1.1.3 招标代理机构：见投标人须知前附表。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1.1.4 招标项目名称：见投标人须知前附表。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1.1.5 项目建设地点：见投标人须知前附表。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1.1.6 项目建设规模：见投标人须知前附表。</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1.1.7 工程项目施工预计开工日期和建设周期：见投标人须知前附表。</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1.1.8 建筑安装工程费/工程概算：见投标人须知前附表。  </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1.2招标项目的资金来源和落实情况</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1.2.1 资金来源及比例：见投标人须知前附表。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1.2.2 资金落实情况：见投标人须知前附表。</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11" w:name="_Toc152045532"/>
      <w:bookmarkEnd w:id="11"/>
      <w:bookmarkStart w:id="12" w:name="_Toc144974500"/>
      <w:bookmarkEnd w:id="12"/>
      <w:bookmarkStart w:id="13" w:name="_Toc152042308"/>
      <w:bookmarkEnd w:id="13"/>
      <w:bookmarkStart w:id="14" w:name="_Toc179632549"/>
      <w:bookmarkEnd w:id="14"/>
      <w:r>
        <w:rPr>
          <w:rFonts w:hint="eastAsia" w:ascii="仿宋" w:hAnsi="仿宋" w:eastAsia="仿宋" w:cs="仿宋"/>
          <w:b/>
          <w:bCs/>
          <w:color w:val="auto"/>
          <w:sz w:val="24"/>
          <w:szCs w:val="24"/>
          <w:highlight w:val="none"/>
        </w:rPr>
        <w:t>1.3 招标范围、监理期和质量要求</w:t>
      </w:r>
      <w:bookmarkStart w:id="15" w:name="_Toc152042310"/>
      <w:bookmarkEnd w:id="15"/>
      <w:bookmarkStart w:id="16" w:name="_Toc152045534"/>
      <w:bookmarkEnd w:id="16"/>
      <w:bookmarkStart w:id="17" w:name="_Toc144974502"/>
      <w:bookmarkEnd w:id="17"/>
      <w:bookmarkStart w:id="18" w:name="_Toc179632551"/>
      <w:bookmarkEnd w:id="18"/>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1.3.1 招标范围：见投标人须知前附表。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1.3.2 监理服务期限：见投标人须知前附表。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1.3.3 质量标准：见投标人须知前附表。</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 投标人资格要求</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1.4.1 投标人应具备承担本招标项目资质条件、能力和信誉：</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（1）资质要求：见投标人须知前附表；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（2）财务要求：见投标人须知前附表；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（3）业绩要求：见投标人须知前附表；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（4）信誉要求：见投标人须知前附表；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（5）总监理工程师的资格要求： 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（6）其他主要人员要求：见投标人须知前附表。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（7）试验检测仪器设备要求：见投标人须知前附表。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（8）其他要求：见投标人须知前附表。需要提交的相关证明材料见本章第 3.5 款的规定。</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投标人须知前附表规定接受联合体投标的，联合体除应符合本章第 1.4.1 项和投标人须知前附表的要求外，还应遵守以下规定：</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（1）联合体各方应按招标文件提供的格式签订联合体协议书，明确联合体牵头人和各方权 利义务，并承诺就中标项目向招标人承担连带责任；</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（2）由同一专业的单位组成的联合体，按照资质等级较低的单位确定资质等级；</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（3）联合体各方不得再以自己名义单独或参加其他联合体在本招标项目中投标，否则各相 关投标均无效。</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投标人不得存在下列情形之一：</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（1）为招标人不具有独立法人资格的附属机构（单位）；</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（2）与招标人存在利害关系且可能影响招标公正性；</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（3）与本招标项目的其他投标人为同一个单位负责人；</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（4）与本招标项目的其他投标人存在控股、管理关系；</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（5）为本招标项目的代建人；</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（6）为本招标项目的招标代理机构；</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（7）与本招标项目的代建人或招标代理机构同为一个法定代表人；</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（8）与本招标项目的代建人或招标代理机构存在控股或参股关系；</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（9）与本招标项目的施工承包人以及建筑材料、建筑构配件和设备供应商有隶属关系或者 其他利害关系；</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（10）被依法暂停或者取消投标资格；</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（11）被责令停产停业、暂扣或者吊销许可证、暂扣或者吊销执照；</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（12）进入清算程序，或被宣告破产，或其他丧失履约能力的情形；</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（13）在最近三年内发生重大监理质量问题（以相关行业主管部门的行政处罚决定或司法 机关出具的有关法律文书为准）；</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（14）被国家发改委等部门列入联合惩戒备忘录（黑名单）的；</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（15）法律法规或投标人须知前附表规定的其他情形。</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 费用承担</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投标人准备和参加投标活动发生的费用自理。</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 保密</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参与招标投标活动的各方应对招标文件和投标文件中的商业和技术等秘密保密，否则应承担相应的法律责任。</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1.7  语言文字</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招标投标文件使用的语言文字为中文。专用术语使用外文的，应附有中文注释。</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19" w:name="_bookmark28"/>
      <w:bookmarkEnd w:id="19"/>
      <w:r>
        <w:rPr>
          <w:rFonts w:hint="eastAsia" w:ascii="仿宋" w:hAnsi="仿宋" w:eastAsia="仿宋" w:cs="仿宋"/>
          <w:b/>
          <w:bCs/>
          <w:color w:val="auto"/>
          <w:sz w:val="24"/>
          <w:szCs w:val="24"/>
          <w:highlight w:val="none"/>
        </w:rPr>
        <w:t>1.8 计量单位</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所有计量均采用中华人民共和国法定计量单位。</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1.9  踏勘现场</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pPr>
        <w:autoSpaceDE w:val="0"/>
        <w:autoSpaceDN w:val="0"/>
        <w:spacing w:line="460" w:lineRule="exact"/>
        <w:ind w:firstLine="120" w:firstLineChars="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1.9.2 投标人踏勘现场发生的费用自理。</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1.9.3 除招标人的原因外，投标人自行负责在踏勘现场中所发生的人员伤亡和财产损失。</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1.9.4 招标人在踏勘现场中介绍的工程场地和相关的周边环境情况，供投标人在编制投标文件时参考，招标人不对投标人据此作出的判断和决策负责。</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1.10 投标预备会</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1.10.1 投标人须知前附表规定召开投标预备会的，招标人按投标人须知前附表规定的时间和地点召开投标预备会，澄清投标人提出的问题。</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1.10.2 投标人应按投标人须知前附表规定的时间和形式将提出的问题送达招标人，以便招标人在会议期间澄清。</w:t>
      </w:r>
    </w:p>
    <w:p>
      <w:pPr>
        <w:autoSpaceDE w:val="0"/>
        <w:autoSpaceDN w:val="0"/>
        <w:spacing w:line="460" w:lineRule="exact"/>
        <w:jc w:val="left"/>
        <w:outlineLvl w:val="0"/>
        <w:rPr>
          <w:rFonts w:hint="eastAsia" w:ascii="仿宋" w:hAnsi="仿宋" w:eastAsia="仿宋" w:cs="仿宋"/>
          <w:color w:val="auto"/>
          <w:sz w:val="27"/>
          <w:szCs w:val="27"/>
          <w:highlight w:val="none"/>
        </w:rPr>
      </w:pPr>
      <w:r>
        <w:rPr>
          <w:rFonts w:hint="eastAsia" w:ascii="仿宋" w:hAnsi="仿宋" w:eastAsia="仿宋" w:cs="仿宋"/>
          <w:color w:val="auto"/>
          <w:sz w:val="24"/>
          <w:szCs w:val="24"/>
          <w:highlight w:val="none"/>
        </w:rPr>
        <w:t xml:space="preserve">   1.10.3 投标预备会后，招标人将对投标人所提问题的澄清，以投标人须知前附表规定的形式通知所有购买招标文件的投标人。该澄清内容为招标文件的组成部分。</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1.11 分包</w:t>
      </w:r>
    </w:p>
    <w:p>
      <w:pPr>
        <w:pStyle w:val="5"/>
        <w:spacing w:before="0" w:beforeAutospacing="0" w:line="460" w:lineRule="exact"/>
        <w:rPr>
          <w:rFonts w:hint="eastAsia" w:ascii="仿宋" w:hAnsi="仿宋" w:eastAsia="仿宋" w:cs="仿宋"/>
          <w:color w:val="auto"/>
          <w:sz w:val="27"/>
          <w:szCs w:val="27"/>
          <w:highlight w:val="none"/>
        </w:rPr>
      </w:pPr>
      <w:r>
        <w:rPr>
          <w:rFonts w:hint="eastAsia" w:ascii="仿宋" w:hAnsi="仿宋" w:eastAsia="仿宋" w:cs="仿宋"/>
          <w:color w:val="auto"/>
          <w:sz w:val="24"/>
          <w:szCs w:val="24"/>
          <w:highlight w:val="none"/>
        </w:rPr>
        <w:t>本项目严禁分包。</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1.12 响应和偏差</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 投标文件应当对招标文件的实质性要求和条件作出满足性或更有利于招标人的响应，否则，投标人的投标将被否决。实质性要求和条件见投标人须知前附表。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1.12.2 投标人应根据招标文件的要求提供投标监理大纲等内容以对招标文件作出响应。</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1.12.3 投标人须知前附表允许投标文件偏离招标文件某些要求的，偏差应当符合招标文件规定的偏差范围和幅度。</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  招标文件</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20" w:name="_bookmark34"/>
      <w:bookmarkEnd w:id="20"/>
      <w:r>
        <w:rPr>
          <w:rFonts w:hint="eastAsia" w:ascii="仿宋" w:hAnsi="仿宋" w:eastAsia="仿宋" w:cs="仿宋"/>
          <w:b/>
          <w:bCs/>
          <w:color w:val="auto"/>
          <w:sz w:val="24"/>
          <w:szCs w:val="24"/>
          <w:highlight w:val="none"/>
        </w:rPr>
        <w:t>2.1  招标文件的组成</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本招标文件包括：</w:t>
      </w:r>
    </w:p>
    <w:p>
      <w:pPr>
        <w:autoSpaceDE w:val="0"/>
        <w:autoSpaceDN w:val="0"/>
        <w:spacing w:line="460" w:lineRule="exact"/>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（1）招标公告；</w:t>
      </w:r>
    </w:p>
    <w:p>
      <w:pPr>
        <w:autoSpaceDE w:val="0"/>
        <w:autoSpaceDN w:val="0"/>
        <w:spacing w:line="460" w:lineRule="exact"/>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（2）投标人须知；</w:t>
      </w:r>
    </w:p>
    <w:p>
      <w:pPr>
        <w:autoSpaceDE w:val="0"/>
        <w:autoSpaceDN w:val="0"/>
        <w:spacing w:line="460" w:lineRule="exact"/>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（3）评标办法；</w:t>
      </w:r>
    </w:p>
    <w:p>
      <w:pPr>
        <w:autoSpaceDE w:val="0"/>
        <w:autoSpaceDN w:val="0"/>
        <w:spacing w:line="460" w:lineRule="exact"/>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（4）合同条款及格式；</w:t>
      </w:r>
    </w:p>
    <w:p>
      <w:pPr>
        <w:autoSpaceDE w:val="0"/>
        <w:autoSpaceDN w:val="0"/>
        <w:spacing w:line="460" w:lineRule="exact"/>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（5）委托人要求；</w:t>
      </w:r>
    </w:p>
    <w:p>
      <w:pPr>
        <w:autoSpaceDE w:val="0"/>
        <w:autoSpaceDN w:val="0"/>
        <w:spacing w:line="460" w:lineRule="exact"/>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（6）投标文件格式；</w:t>
      </w:r>
    </w:p>
    <w:p>
      <w:pPr>
        <w:autoSpaceDE w:val="0"/>
        <w:autoSpaceDN w:val="0"/>
        <w:spacing w:line="460" w:lineRule="exact"/>
        <w:ind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（7）投标人须知前附表规定的其他资料。</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根据本章第 1.10 款、第 2.2 款和第 2.3 款对招标文件所作的澄清、修改，构成招标文件的组成部分。</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招标文件的澄清</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 所有澄清、答疑全部以公共资源交易系统电子平台发出的为准，不再接受书面形式的递交。</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21" w:name="_bookmark37"/>
      <w:bookmarkEnd w:id="21"/>
      <w:r>
        <w:rPr>
          <w:rFonts w:hint="eastAsia" w:ascii="仿宋" w:hAnsi="仿宋" w:eastAsia="仿宋" w:cs="仿宋"/>
          <w:color w:val="auto"/>
          <w:sz w:val="24"/>
          <w:szCs w:val="24"/>
          <w:highlight w:val="none"/>
        </w:rPr>
        <w:t>2.3 招标文件的修改</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2.3.1 在投标截止时间15天前，招标人可以通过公共资源交易系统电子平台修改招标文件，如果修改招标文件的时间距投标截止时间不足15天，相应延长投标截止时间。</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2.3.2 当招标文件（含评标、定标办法）、补充通知、答疑纪要，内容相互矛盾时，以最后发出的通知（或纪要）为准。</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投标文件</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投标文件的组成</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投标文件应包括下列内容：</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（1）投标函及投标函附录；</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（2）法定代表人身份证明或授权委托书；</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（3）投标保证金；</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（4）监理单位综合情况；</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（5）拟派本项目监理机构及主要人员；</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（6）服务承诺；</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（7）近年完成的类似项目情况；</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（8）正在监理和新承接的项目情况；</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（9）近年发生的诉讼及仲裁情况；</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（10）投标人认为有必要的其它证明材料；</w:t>
      </w:r>
    </w:p>
    <w:p>
      <w:pPr>
        <w:autoSpaceDE w:val="0"/>
        <w:autoSpaceDN w:val="0"/>
        <w:spacing w:line="460" w:lineRule="exact"/>
        <w:ind w:firstLine="360" w:firstLineChars="15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（11）监理大纲； </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投标人在评标过程中作出的符合法律法规和招标文件规定的澄清确认，构成投标文件的组成部分。</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3.1.2 投标人须知前附表规定不接受联合体投标的，或投标人没有组成联合体的，投标文件不包括本章第 3.1.1（3）目所指的联合体协议书。</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3.1.3 投标人须知前附表未要求提交投标保证金的，投标文件不包括本章第 3.1.1（4）目所指的投标保证金。</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投标报价</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3.2.1 投标报价应包括国家规定的增值税税金，除投标人须知前附表另有规定外，增值税税金按一般计税方法计算。投标人应按第六章“投标文件格式”的要求在投标函中进行报价。</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3.2.2投标人的投标报价应当是在监理服务期内，在充分考虑工程性质、规模、难易程度以及工作条件等情况，并按照合同规定的范围提供全部服务所需要的费用。投标人应充分了解该项目的总体情况以及影响投标报价的其他要素。</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3.2.3 招标人设有最高投标限价的，投标人的投标报价不得超过最高投标限价，最高投标限价在投标人须知前附表中载明。</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3.3  投标有效期</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除投标人须知前附表另有规定外，投标有效期为60天。</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在投标有效期内，投标人撤销投标文件的，应承担招标文件和法律规定的责任。</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 出现特殊情况需要延长投标有效期的，招标人在【全国公共资源交易平台（河南省•许昌市）】发出延长投标有效期的通知。投标人同意延长的，应相应延长其投标保证金的有效期，但不得要求或被允许修改其投标文件；投标人拒绝延长的，其投标失效，但投标人有权收回其投标保证金。</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3.4  投标保证金</w:t>
      </w:r>
      <w:bookmarkStart w:id="22" w:name="_Toc283559961"/>
      <w:bookmarkEnd w:id="22"/>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投标保证金缴纳及退还</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1、投标保证金递交截止时间及金额见投标人须知前附表。</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2、投标保证金缴纳方式：银行转账、银行电汇（均需从投标人的基本账户汇出），不接受以现金方式缴纳的投标保证金。凡以现金方式缴纳投标保证金而影响其投标结果的，由投标人自行负责。</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3.4.2.</w:t>
      </w:r>
      <w:r>
        <w:rPr>
          <w:rFonts w:hint="eastAsia" w:ascii="仿宋" w:hAnsi="仿宋" w:eastAsia="仿宋" w:cs="仿宋"/>
          <w:color w:val="auto"/>
          <w:sz w:val="24"/>
          <w:szCs w:val="24"/>
          <w:highlight w:val="none"/>
          <w:lang w:eastAsia="zh-CN"/>
        </w:rPr>
        <w:t>1 投标人网上报名后，登录http://221.14.6.70:8088/ggzy系统，依次点击“会员向导”→“参与投标”→“费用缴纳说明”→“保证金缴纳说明单”，获取缴费说明单，根据每个标段的缴纳说明单在缴纳截止时间前缴纳；</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2.2 成功缴纳后重新登录前述系统，依次点击“会员向导”→“参与投标”→“保证金绑定”→“绑定”进行投标保证金绑定。</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2.4 每个投标人每个项目每个标段只有唯一缴纳账号，切勿重复缴纳或错误缴纳。</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3、未按上述规定操作引起的无效投标，由投标人自行负责。</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4、汇款凭证无须备注项目编号和项目名称。</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5、出现以下情形造成的投标保证金无效，由投标人自行负责。</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(1)投标保证金未从投标人的基本账户转出；</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(2)投标保证金未按照招标文件划分的标段转账。</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6、《保证金缴纳绑定操作指南》获取方法：</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登录《全国公共资源交易平台（河南省·许昌市）》系统-组件下载-《保证金缴纳绑定操作指南》。</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保证金缴纳绑定问题咨询电话:0374-2961598</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7、基本户备案</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7.1 自文件发布之日起，投标人需进行基本户备案，已备案的基本户开户银行、账户发生变化的，须在投标保证金缴纳前办理变更手续。</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 xml:space="preserve">7.2 基本户备案流程： </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7.3 因投标人的原因无法及时退还投标保证金、滞留三年以上的，投标保证金上缴同级国库。</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8、投标保证金的退还：</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电话：0374-6198229</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8.2 法定期限内未签订书面合同的，按照有关规定向中标人和其他中标候选人退还投标保证金及银行同期活期存款利息。</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8.3 项目废标或招标人终止招标的，在此后5个工作日内退还投标保证金及银行同期活期存利息。</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8.4 投标活动中出现质疑、投诉的，中标候选人、质疑人和被质疑人、投诉人和被投诉人的投标保证金暂停退还。</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8.5 相关投标人有违法违规行为的项目，其投标保证金暂不退还，待行政监督部门对相关情况处置后，按照有关规定办理。</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8.6 因投标人的原因无法及时退还投标（竞买）保证金、滞留三年以上的，投标（竞买）保证金上缴同级国库。</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8.7退还投标保证金，除另有规定外，一般以转账方式一次性退还至投标保证金的原提交账户。</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9、特殊情况处理</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室）。</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电话：0374-</w:t>
      </w:r>
      <w:r>
        <w:rPr>
          <w:rFonts w:hint="eastAsia" w:ascii="仿宋" w:hAnsi="仿宋" w:eastAsia="仿宋" w:cs="仿宋"/>
          <w:color w:val="auto"/>
          <w:sz w:val="24"/>
          <w:szCs w:val="24"/>
          <w:highlight w:val="none"/>
          <w:lang w:val="en-US" w:eastAsia="zh-CN"/>
        </w:rPr>
        <w:t>6175225</w:t>
      </w:r>
      <w:r>
        <w:rPr>
          <w:rFonts w:hint="eastAsia" w:ascii="仿宋" w:hAnsi="仿宋" w:eastAsia="仿宋" w:cs="仿宋"/>
          <w:color w:val="auto"/>
          <w:sz w:val="24"/>
          <w:szCs w:val="24"/>
          <w:highlight w:val="none"/>
          <w:lang w:eastAsia="zh-CN"/>
        </w:rPr>
        <w:t>。</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10、投标人有下列情形之一的，投标保证金不予退还：</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 xml:space="preserve">10.1 中标人无正当理由不与招标人订立合同，在签订合同时向招标人提出附加条件，或者不按照招标文件要求提交履约保证金的，取消其中标资格，投标保证金不予退还。 </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10.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 xml:space="preserve"> 投标人有违法违规行为，其投标保证金暂不退还，待行政监督部门对相关情况处置后，按照有关规定办理。</w:t>
      </w:r>
    </w:p>
    <w:p>
      <w:pPr>
        <w:autoSpaceDE w:val="0"/>
        <w:autoSpaceDN w:val="0"/>
        <w:spacing w:line="460" w:lineRule="exact"/>
        <w:ind w:firstLine="480"/>
        <w:jc w:val="left"/>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3.4.10.3 </w:t>
      </w:r>
      <w:r>
        <w:rPr>
          <w:rFonts w:hint="eastAsia" w:ascii="仿宋" w:hAnsi="仿宋" w:eastAsia="仿宋" w:cs="仿宋"/>
          <w:color w:val="auto"/>
          <w:sz w:val="24"/>
          <w:szCs w:val="24"/>
          <w:highlight w:val="none"/>
          <w:lang w:eastAsia="zh-CN"/>
        </w:rPr>
        <w:t>凡投标人投标保证金交纳至同一标段相同子账号的，保证金暂不予退还，并依照《许昌市公共资源交易当事人不良行为管理暂行办法》（许公管委〔2017〕1号）规定，进行调查、认定、记录、公示、公告。对涉嫌串通投标等违规行为的，移交有关部门进行查处。经调查核实后，按有关规定处理。不予退还的保证金上缴国库。</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lang w:eastAsia="zh-CN"/>
        </w:rPr>
        <w:t xml:space="preserve"> 相关法律、法规规定不予退还的其它情形。</w:t>
      </w:r>
    </w:p>
    <w:p>
      <w:pPr>
        <w:autoSpaceDE w:val="0"/>
        <w:autoSpaceDN w:val="0"/>
        <w:spacing w:line="460" w:lineRule="exact"/>
        <w:ind w:firstLine="482" w:firstLineChars="200"/>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3.5 资格审查资料</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3.5.1 “投标人基本情况表”应附投标人营业执照副本、资质证书副本、基本账户开户许可证等材料的原件扫描件。</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3.5.2 “近年财务状况表”应附经会计师事务所或审计机构审计的财务会计报表，包括资产负债表、现金流量表、利润表和财务情况说明书的复印件，具体年份要求见投标人须知前附表。</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3.5.3 “近年完成的类似项目情况表”应附媒介中标（成交）公示网页截图、合同、中标通知书（或竣工备案表）的复印件，开标时提供原件备查，具体年份要求见投标人须知前附表。每张表格只填写一个项目，并标明序号。</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3.5.4 “近年发生的诉讼及仲裁情况”应说明相关情况，并附法院或仲裁机构作出的判决、裁决等有关法律文书原件扫描件（或图片），具体年份要求见投标人须知前附表。</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3.5.5被列入失信被执行人名单的投标人，其投标将被拒绝。</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招标项目开标结束后、评标开始前，招标人（或招标代理机构）对投标人信用记录进行现场查询，并将查询结果随项目开标资料一并送入评标室，由专家进行评判。</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信用信息查询记录和证据留存具体方式：经评标委员会确认的查询结果网页截图作为查询记录和证据，与其他文件一并存档。</w:t>
      </w:r>
    </w:p>
    <w:p>
      <w:pPr>
        <w:autoSpaceDE w:val="0"/>
        <w:autoSpaceDN w:val="0"/>
        <w:spacing w:line="460" w:lineRule="exact"/>
        <w:ind w:firstLine="482"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3.6 备选投标方案</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 除投标人须知前附表规定允许外，投标人不得递交备选投标方案，否则其投标将被否决。</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投标人提供两个或两个以上投标报价，或者在投标文件中提供一个报价，但同时提供两个或两个以上监理方案的，视为提供备选方案。</w:t>
      </w:r>
    </w:p>
    <w:p>
      <w:pPr>
        <w:autoSpaceDE w:val="0"/>
        <w:autoSpaceDN w:val="0"/>
        <w:spacing w:line="460" w:lineRule="exact"/>
        <w:ind w:firstLine="482" w:firstLineChars="200"/>
        <w:jc w:val="left"/>
        <w:outlineLvl w:val="0"/>
        <w:rPr>
          <w:rFonts w:hint="eastAsia" w:ascii="仿宋" w:hAnsi="仿宋" w:eastAsia="仿宋" w:cs="仿宋"/>
          <w:b/>
          <w:bCs/>
          <w:color w:val="auto"/>
          <w:sz w:val="24"/>
          <w:szCs w:val="24"/>
          <w:highlight w:val="none"/>
        </w:rPr>
      </w:pPr>
      <w:bookmarkStart w:id="23" w:name="_bookmark46"/>
      <w:bookmarkEnd w:id="23"/>
      <w:r>
        <w:rPr>
          <w:rFonts w:hint="eastAsia" w:ascii="仿宋" w:hAnsi="仿宋" w:eastAsia="仿宋" w:cs="仿宋"/>
          <w:b/>
          <w:bCs/>
          <w:color w:val="auto"/>
          <w:sz w:val="24"/>
          <w:szCs w:val="24"/>
          <w:highlight w:val="none"/>
        </w:rPr>
        <w:t>3.7  投标文件的编制</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3.7.2 投标文件应当对招标文件有关监理服务期限、投标有效期、招标范围等实质性内容作出响应。</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3.7.3 投标人登录许昌公共资源交易系统下载“许昌投标文件制作系统SEARUN V1.1”，按招标文件要求制作电子投标文件。</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3.7.4 使用电子介质存储的备份文件1份。</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3.7.5 同时生成与电子投标文件内容、水印码、电子签章一致的PDF文件,用于打印纸质文件。</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3.7.8 纸质投标文件的正本与副本应分别装订成册，并编制目录，具体装订要求见投标人须知前附表规定。</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3.7.9 投标文件制作注意事项：</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3.7.9.1 投标人登录【全国公共资源交易平台（河南省•许昌市）】公共资源交易系统下载“许昌投标文件制作系统SEARUN V1.1” 和操作手册（工程项目），按招标文件要求制作投标文件。</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3.7.9.2 投标文件制作技术咨询：0374-2961598。</w:t>
      </w:r>
    </w:p>
    <w:p>
      <w:pPr>
        <w:pStyle w:val="16"/>
        <w:adjustRightInd/>
        <w:spacing w:line="460" w:lineRule="exact"/>
        <w:jc w:val="both"/>
        <w:outlineLvl w:val="0"/>
        <w:rPr>
          <w:rFonts w:hint="eastAsia" w:ascii="仿宋" w:hAnsi="仿宋" w:eastAsia="仿宋" w:cs="仿宋"/>
          <w:b/>
          <w:bCs/>
          <w:color w:val="auto"/>
          <w:highlight w:val="none"/>
        </w:rPr>
      </w:pPr>
      <w:r>
        <w:rPr>
          <w:rFonts w:hint="eastAsia" w:ascii="仿宋" w:hAnsi="仿宋" w:eastAsia="仿宋" w:cs="仿宋"/>
          <w:b/>
          <w:bCs/>
          <w:color w:val="auto"/>
          <w:highlight w:val="none"/>
        </w:rPr>
        <w:t>4. 投标</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24" w:name="_Toc283559962"/>
      <w:bookmarkEnd w:id="24"/>
      <w:r>
        <w:rPr>
          <w:rFonts w:hint="eastAsia" w:ascii="仿宋" w:hAnsi="仿宋" w:eastAsia="仿宋" w:cs="仿宋"/>
          <w:b/>
          <w:bCs/>
          <w:color w:val="auto"/>
          <w:sz w:val="24"/>
          <w:szCs w:val="24"/>
          <w:highlight w:val="none"/>
        </w:rPr>
        <w:t>4.1 投标文件的密封和标记</w:t>
      </w:r>
    </w:p>
    <w:p>
      <w:pPr>
        <w:spacing w:line="460" w:lineRule="exact"/>
        <w:ind w:firstLine="480" w:firstLineChars="200"/>
        <w:rPr>
          <w:rFonts w:hint="eastAsia" w:ascii="仿宋" w:hAnsi="仿宋" w:eastAsia="仿宋" w:cs="仿宋"/>
          <w:color w:val="auto"/>
          <w:sz w:val="24"/>
          <w:szCs w:val="24"/>
          <w:highlight w:val="none"/>
        </w:rPr>
      </w:pPr>
      <w:bookmarkStart w:id="25" w:name="_Toc283559963"/>
      <w:bookmarkEnd w:id="25"/>
      <w:r>
        <w:rPr>
          <w:rFonts w:hint="eastAsia" w:ascii="仿宋" w:hAnsi="仿宋" w:eastAsia="仿宋" w:cs="仿宋"/>
          <w:color w:val="auto"/>
          <w:sz w:val="24"/>
          <w:szCs w:val="24"/>
          <w:highlight w:val="none"/>
        </w:rPr>
        <w:t xml:space="preserve">4.1.1 纸质投标文件的正本、副本应分开包装，加贴封条，并在封套的封口处加盖投标人公章，密封不符合要求的不予受理。 </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4.1.2使用电子介质存储的投标文件应单独密封，加贴封条，并在封套的封口处加盖投标人公章，在投标截止时间前随纸质投标文件一并递交。</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 投标文件的封套上应写明的其他内容见投标人须知前附表。</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 未按本章第4.1.1项或第4.1.2项或4.1.3项要求密封和加写标记的投标文件，招标人不予受理。</w:t>
      </w:r>
    </w:p>
    <w:p>
      <w:pPr>
        <w:pStyle w:val="16"/>
        <w:adjustRightInd/>
        <w:spacing w:line="460" w:lineRule="exact"/>
        <w:jc w:val="both"/>
        <w:outlineLvl w:val="0"/>
        <w:rPr>
          <w:rFonts w:hint="eastAsia" w:ascii="仿宋" w:hAnsi="仿宋" w:eastAsia="仿宋" w:cs="仿宋"/>
          <w:b/>
          <w:bCs/>
          <w:color w:val="auto"/>
          <w:highlight w:val="none"/>
        </w:rPr>
      </w:pPr>
      <w:r>
        <w:rPr>
          <w:rFonts w:hint="eastAsia" w:ascii="仿宋" w:hAnsi="仿宋" w:eastAsia="仿宋" w:cs="仿宋"/>
          <w:b/>
          <w:bCs/>
          <w:color w:val="auto"/>
          <w:highlight w:val="none"/>
        </w:rPr>
        <w:t>4.2 投标文件的递交</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4.2.1投标人应在投标人须知前附表中规定的投标截止时间前成功上传电子投标文件和现场提交纸质投标文件、电子介质存储的投标文件。</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 投标人提交纸质投标文件及电子介质存储的投标文件地点：见投标人须知前附表。</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 除投标人须知前附表另有规定外，投标人所递交的电子投标文件、纸质投标文件及电子介质存储的投标文件不予退还。</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4.2.4 逾期送达的或者未送达指定地点的纸质投标文件及仅提供纸质投标文件的，招标人不予受理。</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26" w:name="_Toc283559964"/>
      <w:bookmarkEnd w:id="26"/>
      <w:r>
        <w:rPr>
          <w:rFonts w:hint="eastAsia" w:ascii="仿宋" w:hAnsi="仿宋" w:eastAsia="仿宋" w:cs="仿宋"/>
          <w:b/>
          <w:bCs/>
          <w:color w:val="auto"/>
          <w:sz w:val="24"/>
          <w:szCs w:val="24"/>
          <w:highlight w:val="none"/>
        </w:rPr>
        <w:t>4.3 投标文件的修改与撤回</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 在本章第2.2.2 项规定的投标截止时间前，投标人可以修改或撤回已提交的投标文件，纸质投标文件的修改或撤回应以书面形式通知招标人。</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 投标人修改或撤回已提交纸质投标文件的书面通知应按照投标人须知前附表第3.7.3 项的要求签字或盖章。招标人收到书面通知后，向投标人出具签收凭证。</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 修改的内容为投标文件的组成部分。修改的纸质投标文件应按照本章第3条、第4条规定进行编制、密封、标记和提交，并标明“修改”字样。</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 投标人应当在投标截止时间前完成电子投标文件的提交，可以补充、修改或撤回。投标截止时间前未完成电子投标文件提交、取得“投标文件提交回执单”的，视为撤回投标文件。</w:t>
      </w:r>
    </w:p>
    <w:p>
      <w:pPr>
        <w:pStyle w:val="16"/>
        <w:adjustRightInd/>
        <w:spacing w:line="460" w:lineRule="exact"/>
        <w:jc w:val="both"/>
        <w:outlineLvl w:val="0"/>
        <w:rPr>
          <w:rFonts w:hint="eastAsia" w:ascii="仿宋" w:hAnsi="仿宋" w:eastAsia="仿宋" w:cs="仿宋"/>
          <w:b/>
          <w:bCs/>
          <w:color w:val="auto"/>
          <w:highlight w:val="none"/>
        </w:rPr>
      </w:pPr>
      <w:bookmarkStart w:id="27" w:name="_Toc283559967"/>
      <w:bookmarkEnd w:id="27"/>
      <w:r>
        <w:rPr>
          <w:rFonts w:hint="eastAsia" w:ascii="仿宋" w:hAnsi="仿宋" w:eastAsia="仿宋" w:cs="仿宋"/>
          <w:b/>
          <w:bCs/>
          <w:color w:val="auto"/>
          <w:highlight w:val="none"/>
        </w:rPr>
        <w:t>5. 开标</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28" w:name="_Toc283559968"/>
      <w:bookmarkEnd w:id="28"/>
      <w:r>
        <w:rPr>
          <w:rFonts w:hint="eastAsia" w:ascii="仿宋" w:hAnsi="仿宋" w:eastAsia="仿宋" w:cs="仿宋"/>
          <w:b/>
          <w:bCs/>
          <w:color w:val="auto"/>
          <w:sz w:val="24"/>
          <w:szCs w:val="24"/>
          <w:highlight w:val="none"/>
        </w:rPr>
        <w:t>5.1 开标时间和地点</w:t>
      </w:r>
    </w:p>
    <w:p>
      <w:pPr>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招标人在本章第2.2.2项规定的投标截止时间（开标时间）和投标人须知前附表规定的地点公开开标，并邀请所有投标人的法定代表人或其被授权委托人准时参加。</w:t>
      </w:r>
    </w:p>
    <w:p>
      <w:pPr>
        <w:autoSpaceDE w:val="0"/>
        <w:autoSpaceDN w:val="0"/>
        <w:spacing w:line="46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5.2 </w:t>
      </w:r>
      <w:bookmarkStart w:id="29" w:name="_Toc283559970"/>
      <w:r>
        <w:rPr>
          <w:rFonts w:hint="eastAsia" w:ascii="仿宋" w:hAnsi="仿宋" w:eastAsia="仿宋" w:cs="仿宋"/>
          <w:b/>
          <w:bCs/>
          <w:color w:val="auto"/>
          <w:sz w:val="24"/>
          <w:szCs w:val="24"/>
          <w:highlight w:val="none"/>
        </w:rPr>
        <w:t>开标、解密、唱标程序</w:t>
      </w:r>
      <w:bookmarkEnd w:id="29"/>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5.2.1主持人按下列程序进行开标：</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（1）宣布投标截止时间，并公布招标人、代理机构、监督部门名称；</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（2）宣布开标纪律；</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（3）公布在投标截止时间前递交投标文件的投标人名称；</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（4）检查投标文件的密封情况；</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（5）电子投标文件解密；</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（6）宣布唱标顺序，按已定顺序唱标，唱标内容为：投标人名称、投标报价、质量目标、工期及其他内容，并记录；</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（7）现场抽取参与计算评标基准价的权重系数并宣布，同时公布最高投标限价；</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（8）投标人代表、招标人代表、监标人、记录人等有关人员在开标记录上签字确认；</w:t>
      </w:r>
    </w:p>
    <w:p>
      <w:pPr>
        <w:pStyle w:val="16"/>
        <w:adjustRightInd/>
        <w:spacing w:line="460" w:lineRule="exact"/>
        <w:ind w:firstLine="480" w:firstLineChars="200"/>
        <w:jc w:val="both"/>
        <w:outlineLvl w:val="0"/>
        <w:rPr>
          <w:rFonts w:hint="eastAsia" w:ascii="仿宋" w:hAnsi="仿宋" w:eastAsia="仿宋" w:cs="仿宋"/>
          <w:color w:val="auto"/>
          <w:highlight w:val="none"/>
        </w:rPr>
      </w:pPr>
      <w:r>
        <w:rPr>
          <w:rFonts w:hint="eastAsia" w:ascii="仿宋" w:hAnsi="仿宋" w:eastAsia="仿宋" w:cs="仿宋"/>
          <w:color w:val="auto"/>
          <w:highlight w:val="none"/>
        </w:rPr>
        <w:t>（9）开标结束。</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5.2.2 电子投标文件的解密</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5.2.2.1本项目为全流程电子化交易项目，电子投标文件采用双重加密。在投标截止时间到达后，分标段进行解密。</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(1)投标人解密：投标人使用本单位CA数字证书远程或现场进行解密。需现场使用一体机进行解密的，请在代理机构引导下进行。</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(2)代理机构解密：代理机构按电子投标文件到达交易系统的先后顺序，使用本单位CA数字证书进行再次解密。</w:t>
      </w:r>
    </w:p>
    <w:p>
      <w:pPr>
        <w:pStyle w:val="16"/>
        <w:adjustRightInd/>
        <w:spacing w:line="46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5.2.2.2电子投标文件解密异常情况处理</w:t>
      </w:r>
    </w:p>
    <w:p>
      <w:pPr>
        <w:pStyle w:val="16"/>
        <w:adjustRightInd/>
        <w:spacing w:line="460" w:lineRule="exact"/>
        <w:ind w:firstLine="360" w:firstLineChars="150"/>
        <w:outlineLvl w:val="0"/>
        <w:rPr>
          <w:rFonts w:hint="eastAsia" w:ascii="仿宋" w:hAnsi="仿宋" w:eastAsia="仿宋" w:cs="仿宋"/>
          <w:color w:val="auto"/>
          <w:highlight w:val="none"/>
        </w:rPr>
      </w:pPr>
      <w:r>
        <w:rPr>
          <w:rFonts w:hint="eastAsia" w:ascii="仿宋" w:hAnsi="仿宋" w:eastAsia="仿宋" w:cs="仿宋"/>
          <w:color w:val="auto"/>
          <w:highlight w:val="none"/>
        </w:rPr>
        <w:t>（1）因电子交易系统异常无法解密电子投标文件的，使用纸质投标文件，以人工方式进行。</w:t>
      </w:r>
    </w:p>
    <w:p>
      <w:pPr>
        <w:pStyle w:val="16"/>
        <w:adjustRightInd/>
        <w:spacing w:line="460" w:lineRule="exact"/>
        <w:ind w:firstLine="360" w:firstLineChars="150"/>
        <w:jc w:val="both"/>
        <w:outlineLvl w:val="0"/>
        <w:rPr>
          <w:rFonts w:hint="eastAsia" w:ascii="仿宋" w:hAnsi="仿宋" w:eastAsia="仿宋" w:cs="仿宋"/>
          <w:color w:val="auto"/>
          <w:highlight w:val="none"/>
        </w:rPr>
      </w:pPr>
      <w:r>
        <w:rPr>
          <w:rFonts w:hint="eastAsia" w:ascii="仿宋" w:hAnsi="仿宋" w:eastAsia="仿宋" w:cs="仿宋"/>
          <w:color w:val="auto"/>
          <w:highlight w:val="none"/>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6"/>
        <w:adjustRightInd/>
        <w:spacing w:line="460" w:lineRule="exact"/>
        <w:jc w:val="both"/>
        <w:outlineLvl w:val="0"/>
        <w:rPr>
          <w:rFonts w:hint="eastAsia" w:ascii="仿宋" w:hAnsi="仿宋" w:eastAsia="仿宋" w:cs="仿宋"/>
          <w:b/>
          <w:bCs/>
          <w:color w:val="auto"/>
          <w:highlight w:val="none"/>
        </w:rPr>
      </w:pPr>
      <w:r>
        <w:rPr>
          <w:rFonts w:hint="eastAsia" w:ascii="仿宋" w:hAnsi="仿宋" w:eastAsia="仿宋" w:cs="仿宋"/>
          <w:b/>
          <w:bCs/>
          <w:color w:val="auto"/>
          <w:highlight w:val="none"/>
        </w:rPr>
        <w:t>6. 评标</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30" w:name="_Toc283559971"/>
      <w:bookmarkEnd w:id="30"/>
      <w:r>
        <w:rPr>
          <w:rFonts w:hint="eastAsia" w:ascii="仿宋" w:hAnsi="仿宋" w:eastAsia="仿宋" w:cs="仿宋"/>
          <w:b/>
          <w:bCs/>
          <w:color w:val="auto"/>
          <w:sz w:val="24"/>
          <w:szCs w:val="24"/>
          <w:highlight w:val="none"/>
        </w:rPr>
        <w:t>6.1 评标委员会</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31" w:name="_Toc283559972"/>
      <w:bookmarkEnd w:id="31"/>
      <w:r>
        <w:rPr>
          <w:rFonts w:hint="eastAsia" w:ascii="仿宋" w:hAnsi="仿宋" w:eastAsia="仿宋" w:cs="仿宋"/>
          <w:color w:val="auto"/>
          <w:sz w:val="24"/>
          <w:szCs w:val="24"/>
          <w:highlight w:val="none"/>
        </w:rPr>
        <w:t xml:space="preserve">    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6.1.2 评标委员会成员有下列情形之一的，应当回避：</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（1）投标人或投标人主要负责人的近亲属；</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（2）项目主管部门或者行政监督部门的人员；</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（3）与投标人有经济利益关系，可能影响对投标公正评审的；</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（4）曾因在招标、评标以及其他与招标投标有关活动中从事违法行为而受过行政处罚 或刑事处罚的；</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（5）与投标人有其他利害关系。</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6.1.4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autoSpaceDE w:val="0"/>
        <w:autoSpaceDN w:val="0"/>
        <w:spacing w:line="460" w:lineRule="exact"/>
        <w:jc w:val="left"/>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6.2 评标原则</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评标活动遵循公平、公正、科学和择优的原则。</w:t>
      </w:r>
    </w:p>
    <w:p>
      <w:pPr>
        <w:autoSpaceDE w:val="0"/>
        <w:autoSpaceDN w:val="0"/>
        <w:spacing w:line="460" w:lineRule="exact"/>
        <w:jc w:val="left"/>
        <w:outlineLvl w:val="0"/>
        <w:rPr>
          <w:rFonts w:hint="eastAsia" w:ascii="仿宋" w:hAnsi="仿宋" w:eastAsia="仿宋" w:cs="仿宋"/>
          <w:b/>
          <w:bCs/>
          <w:color w:val="auto"/>
          <w:sz w:val="24"/>
          <w:szCs w:val="24"/>
          <w:highlight w:val="none"/>
        </w:rPr>
      </w:pPr>
      <w:bookmarkStart w:id="32" w:name="_Toc283559973"/>
      <w:bookmarkEnd w:id="32"/>
      <w:r>
        <w:rPr>
          <w:rFonts w:hint="eastAsia" w:ascii="仿宋" w:hAnsi="仿宋" w:eastAsia="仿宋" w:cs="仿宋"/>
          <w:b/>
          <w:bCs/>
          <w:color w:val="auto"/>
          <w:sz w:val="24"/>
          <w:szCs w:val="24"/>
          <w:highlight w:val="none"/>
        </w:rPr>
        <w:t>6.3 评标</w:t>
      </w:r>
    </w:p>
    <w:p>
      <w:pPr>
        <w:pStyle w:val="16"/>
        <w:adjustRightInd/>
        <w:spacing w:line="460" w:lineRule="exact"/>
        <w:outlineLvl w:val="0"/>
        <w:rPr>
          <w:rFonts w:hint="eastAsia" w:ascii="仿宋" w:hAnsi="仿宋" w:eastAsia="仿宋" w:cs="仿宋"/>
          <w:color w:val="auto"/>
          <w:highlight w:val="none"/>
        </w:rPr>
      </w:pPr>
      <w:bookmarkStart w:id="33" w:name="_Toc283559974"/>
      <w:bookmarkEnd w:id="33"/>
      <w:r>
        <w:rPr>
          <w:rFonts w:hint="eastAsia" w:ascii="仿宋" w:hAnsi="仿宋" w:eastAsia="仿宋" w:cs="仿宋"/>
          <w:color w:val="auto"/>
          <w:highlight w:val="none"/>
        </w:rPr>
        <w:t xml:space="preserve">    6.3.1 评标委员会按照第三章“评标办法”规定的方法、评审因素、标准和程序对投标文件进行评审。第三章“评标办法”没有规定的方法、评审因素和标准，不作为评标依据。</w:t>
      </w:r>
    </w:p>
    <w:p>
      <w:pPr>
        <w:pStyle w:val="16"/>
        <w:adjustRightInd/>
        <w:spacing w:line="460" w:lineRule="exact"/>
        <w:jc w:val="both"/>
        <w:outlineLvl w:val="0"/>
        <w:rPr>
          <w:rFonts w:hint="eastAsia" w:ascii="仿宋" w:hAnsi="仿宋" w:eastAsia="仿宋" w:cs="仿宋"/>
          <w:color w:val="auto"/>
          <w:highlight w:val="none"/>
        </w:rPr>
      </w:pPr>
      <w:r>
        <w:rPr>
          <w:rFonts w:hint="eastAsia" w:ascii="仿宋" w:hAnsi="仿宋" w:eastAsia="仿宋" w:cs="仿宋"/>
          <w:color w:val="auto"/>
          <w:highlight w:val="none"/>
        </w:rPr>
        <w:t xml:space="preserve">    6.3.2 评标完成后，评标委员会应当向招标人提交书面评标报告和中标候选人名单。评标委员会推荐中标候选人的人数见投标人须知前附表</w:t>
      </w:r>
    </w:p>
    <w:p>
      <w:pPr>
        <w:pStyle w:val="16"/>
        <w:adjustRightInd/>
        <w:spacing w:line="460" w:lineRule="exact"/>
        <w:jc w:val="both"/>
        <w:outlineLvl w:val="0"/>
        <w:rPr>
          <w:rFonts w:hint="eastAsia" w:ascii="仿宋" w:hAnsi="仿宋" w:eastAsia="仿宋" w:cs="仿宋"/>
          <w:b/>
          <w:bCs/>
          <w:color w:val="auto"/>
          <w:highlight w:val="none"/>
        </w:rPr>
      </w:pPr>
      <w:r>
        <w:rPr>
          <w:rFonts w:hint="eastAsia" w:ascii="仿宋" w:hAnsi="仿宋" w:eastAsia="仿宋" w:cs="仿宋"/>
          <w:b/>
          <w:bCs/>
          <w:color w:val="auto"/>
          <w:highlight w:val="none"/>
        </w:rPr>
        <w:t>7. 合同授予</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34" w:name="_Toc283559978"/>
      <w:bookmarkEnd w:id="34"/>
      <w:r>
        <w:rPr>
          <w:rFonts w:hint="eastAsia" w:ascii="仿宋" w:hAnsi="仿宋" w:eastAsia="仿宋" w:cs="仿宋"/>
          <w:color w:val="auto"/>
          <w:sz w:val="24"/>
          <w:szCs w:val="24"/>
          <w:highlight w:val="none"/>
        </w:rPr>
        <w:t>7.1  中标候选人公示</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招标人在收到评标报告之日起 3 日内，按照投标人须知前附表规定的公示媒介和期限公示中标候选人，公示期不得少于 3 天。</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35" w:name="_bookmark62"/>
      <w:bookmarkEnd w:id="35"/>
      <w:r>
        <w:rPr>
          <w:rFonts w:hint="eastAsia" w:ascii="仿宋" w:hAnsi="仿宋" w:eastAsia="仿宋" w:cs="仿宋"/>
          <w:color w:val="auto"/>
          <w:sz w:val="24"/>
          <w:szCs w:val="24"/>
          <w:highlight w:val="none"/>
        </w:rPr>
        <w:t>7.2  评标结果异议</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投标人或者其他利害关系人对评标结果有异议的，应当在中标候选人公示期间提出。招标人将在收到异议之日起 3 日内作出答复；作出答复前，将暂停招标投标活动。</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36" w:name="_bookmark63"/>
      <w:bookmarkEnd w:id="36"/>
      <w:r>
        <w:rPr>
          <w:rFonts w:hint="eastAsia" w:ascii="仿宋" w:hAnsi="仿宋" w:eastAsia="仿宋" w:cs="仿宋"/>
          <w:color w:val="auto"/>
          <w:sz w:val="24"/>
          <w:szCs w:val="24"/>
          <w:highlight w:val="none"/>
        </w:rPr>
        <w:t>7.3  中标候选人履约能力审查</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37" w:name="_bookmark64"/>
      <w:bookmarkEnd w:id="37"/>
      <w:r>
        <w:rPr>
          <w:rFonts w:hint="eastAsia" w:ascii="仿宋" w:hAnsi="仿宋" w:eastAsia="仿宋" w:cs="仿宋"/>
          <w:color w:val="auto"/>
          <w:sz w:val="24"/>
          <w:szCs w:val="24"/>
          <w:highlight w:val="none"/>
        </w:rPr>
        <w:t>7.4  定标</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按照投标人须知前附表的规定，招标人或招标人授权的评标委员会依法确定中标人。</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38" w:name="_bookmark65"/>
      <w:bookmarkEnd w:id="38"/>
      <w:r>
        <w:rPr>
          <w:rFonts w:hint="eastAsia" w:ascii="仿宋" w:hAnsi="仿宋" w:eastAsia="仿宋" w:cs="仿宋"/>
          <w:color w:val="auto"/>
          <w:sz w:val="24"/>
          <w:szCs w:val="24"/>
          <w:highlight w:val="none"/>
        </w:rPr>
        <w:t>7.5  中标通知</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在本章第 3.3 款规定的投标有效期内，招标人以书面形式向中标人发出中标通知书，同时将中标结果通知未中标的投标人。</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39" w:name="_bookmark66"/>
      <w:bookmarkEnd w:id="39"/>
      <w:r>
        <w:rPr>
          <w:rFonts w:hint="eastAsia" w:ascii="仿宋" w:hAnsi="仿宋" w:eastAsia="仿宋" w:cs="仿宋"/>
          <w:color w:val="auto"/>
          <w:sz w:val="24"/>
          <w:szCs w:val="24"/>
          <w:highlight w:val="none"/>
        </w:rPr>
        <w:t>7.6  履约保证金</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7.6.2 中标人不能按本章第 7.6.1 项要求提交履约保证金的，视为放弃中标，其投标保证金不予退还，给招标人造成的损失超过投标保证金数额的，中标人还应当对超过部分予以赔偿。</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40" w:name="_bookmark67"/>
      <w:bookmarkEnd w:id="40"/>
      <w:r>
        <w:rPr>
          <w:rFonts w:hint="eastAsia" w:ascii="仿宋" w:hAnsi="仿宋" w:eastAsia="仿宋" w:cs="仿宋"/>
          <w:color w:val="auto"/>
          <w:sz w:val="24"/>
          <w:szCs w:val="24"/>
          <w:highlight w:val="none"/>
        </w:rPr>
        <w:t>7.7 签订合同</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7.7.2 发出中标通知书后，招标人无正当理由拒签合同，或者在签订合同时向中标人提出附加条件的，招标人向中标人退还投标保证金；给中标人造成损失的，还应当赔偿损失。</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7.7.3 联合体中标的，联合体各方应当共同与招标人签订合同，就中标项目向招标人承担连带责任。</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41" w:name="_Toc283559982"/>
      <w:bookmarkEnd w:id="41"/>
      <w:r>
        <w:rPr>
          <w:rFonts w:hint="eastAsia" w:ascii="仿宋" w:hAnsi="仿宋" w:eastAsia="仿宋" w:cs="仿宋"/>
          <w:color w:val="auto"/>
          <w:sz w:val="24"/>
          <w:szCs w:val="24"/>
          <w:highlight w:val="none"/>
        </w:rPr>
        <w:t>8.纪律和监督</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42" w:name="_bookmark69"/>
      <w:bookmarkEnd w:id="42"/>
      <w:r>
        <w:rPr>
          <w:rFonts w:hint="eastAsia" w:ascii="仿宋" w:hAnsi="仿宋" w:eastAsia="仿宋" w:cs="仿宋"/>
          <w:color w:val="auto"/>
          <w:sz w:val="24"/>
          <w:szCs w:val="24"/>
          <w:highlight w:val="none"/>
        </w:rPr>
        <w:t>8.1 对招标人的纪律要求</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招标人不得泄露招标投标活动中应当保密的情况和资料，不得与投标人串通损害国家利益、社会公共利益或者他人合法权益。</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43" w:name="_bookmark70"/>
      <w:bookmarkEnd w:id="43"/>
      <w:r>
        <w:rPr>
          <w:rFonts w:hint="eastAsia" w:ascii="仿宋" w:hAnsi="仿宋" w:eastAsia="仿宋" w:cs="仿宋"/>
          <w:color w:val="auto"/>
          <w:sz w:val="24"/>
          <w:szCs w:val="24"/>
          <w:highlight w:val="none"/>
        </w:rPr>
        <w:t>8.2 对投标人的纪律要求</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44" w:name="_bookmark71"/>
      <w:bookmarkEnd w:id="44"/>
      <w:r>
        <w:rPr>
          <w:rFonts w:hint="eastAsia" w:ascii="仿宋" w:hAnsi="仿宋" w:eastAsia="仿宋" w:cs="仿宋"/>
          <w:color w:val="auto"/>
          <w:sz w:val="24"/>
          <w:szCs w:val="24"/>
          <w:highlight w:val="none"/>
        </w:rPr>
        <w:t>8.3 对评标委员会成员的纪律要求</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45" w:name="_bookmark72"/>
      <w:bookmarkEnd w:id="45"/>
      <w:r>
        <w:rPr>
          <w:rFonts w:hint="eastAsia" w:ascii="仿宋" w:hAnsi="仿宋" w:eastAsia="仿宋" w:cs="仿宋"/>
          <w:color w:val="auto"/>
          <w:sz w:val="24"/>
          <w:szCs w:val="24"/>
          <w:highlight w:val="none"/>
        </w:rPr>
        <w:t>8.4 对与评标活动有关的工作人员的纪律要求</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spacing w:line="460" w:lineRule="exact"/>
        <w:jc w:val="left"/>
        <w:outlineLvl w:val="0"/>
        <w:rPr>
          <w:rFonts w:hint="eastAsia" w:ascii="仿宋" w:hAnsi="仿宋" w:eastAsia="仿宋" w:cs="仿宋"/>
          <w:color w:val="auto"/>
          <w:sz w:val="24"/>
          <w:szCs w:val="24"/>
          <w:highlight w:val="none"/>
        </w:rPr>
      </w:pPr>
      <w:bookmarkStart w:id="46" w:name="_bookmark73"/>
      <w:bookmarkEnd w:id="46"/>
      <w:r>
        <w:rPr>
          <w:rFonts w:hint="eastAsia" w:ascii="仿宋" w:hAnsi="仿宋" w:eastAsia="仿宋" w:cs="仿宋"/>
          <w:color w:val="auto"/>
          <w:sz w:val="24"/>
          <w:szCs w:val="24"/>
          <w:highlight w:val="none"/>
        </w:rPr>
        <w:t>8.5 投诉</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spacing w:line="460" w:lineRule="exact"/>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8.5.2投标人或者其他利害关系人对招标文件、开标和评标结果提出投诉的，应当按照投标人须知第 2.4 款、第 5.3 款和第 7.2 款的规定先向招标人提出异议。异议答复期间不计算在第 8.5.1项规定的期限内。</w:t>
      </w:r>
    </w:p>
    <w:p>
      <w:pPr>
        <w:autoSpaceDE w:val="0"/>
        <w:autoSpaceDN w:val="0"/>
        <w:spacing w:line="46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8.5.3投标人提起投诉应当符合《中华人民共和国招标投标法》及其实施条例、《工程建设项目招标投标活动投诉处理办法》（七部委11号令；九部委23号令于2013年3月11日修改）规定。</w:t>
      </w:r>
    </w:p>
    <w:p>
      <w:pPr>
        <w:autoSpaceDE w:val="0"/>
        <w:autoSpaceDN w:val="0"/>
        <w:spacing w:line="460" w:lineRule="exact"/>
        <w:ind w:firstLine="480" w:firstLineChars="200"/>
        <w:jc w:val="left"/>
        <w:outlineLvl w:val="0"/>
        <w:rPr>
          <w:rFonts w:hint="eastAsia" w:ascii="仿宋" w:hAnsi="仿宋" w:eastAsia="仿宋" w:cs="仿宋"/>
          <w:color w:val="auto"/>
          <w:highlight w:val="none"/>
        </w:rPr>
      </w:pPr>
      <w:r>
        <w:rPr>
          <w:rFonts w:hint="eastAsia" w:ascii="仿宋" w:hAnsi="仿宋" w:eastAsia="仿宋" w:cs="仿宋"/>
          <w:color w:val="auto"/>
          <w:sz w:val="24"/>
          <w:szCs w:val="24"/>
          <w:highlight w:val="none"/>
        </w:rPr>
        <w:t>8.5.4投标人的投诉活动存在不良行为的，相关部门将按照《长葛市公共资源交易管理委员会关于印发长葛市公共资源交易失信主体失信行为惩戒暂行办法（试行）的通知》（长公管委〔2018〕1号）及有关规定进行处置。</w:t>
      </w:r>
    </w:p>
    <w:p>
      <w:pPr>
        <w:pStyle w:val="16"/>
        <w:adjustRightInd/>
        <w:spacing w:line="460" w:lineRule="exact"/>
        <w:jc w:val="both"/>
        <w:outlineLvl w:val="0"/>
        <w:rPr>
          <w:rFonts w:hint="eastAsia" w:ascii="仿宋" w:hAnsi="仿宋" w:eastAsia="仿宋" w:cs="仿宋"/>
          <w:b/>
          <w:bCs/>
          <w:color w:val="auto"/>
          <w:highlight w:val="none"/>
        </w:rPr>
      </w:pPr>
      <w:bookmarkStart w:id="47" w:name="_Toc283559987"/>
      <w:bookmarkEnd w:id="47"/>
      <w:r>
        <w:rPr>
          <w:rFonts w:hint="eastAsia" w:ascii="仿宋" w:hAnsi="仿宋" w:eastAsia="仿宋" w:cs="仿宋"/>
          <w:b/>
          <w:bCs/>
          <w:color w:val="auto"/>
          <w:highlight w:val="none"/>
        </w:rPr>
        <w:t>9.  是否采用电子招标投标</w:t>
      </w:r>
    </w:p>
    <w:p>
      <w:pPr>
        <w:pStyle w:val="16"/>
        <w:adjustRightInd/>
        <w:spacing w:line="460" w:lineRule="exact"/>
        <w:jc w:val="both"/>
        <w:outlineLvl w:val="0"/>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   本招标项目采用电子招标投标方式。 </w:t>
      </w:r>
    </w:p>
    <w:p>
      <w:pPr>
        <w:pStyle w:val="16"/>
        <w:adjustRightInd/>
        <w:spacing w:line="460" w:lineRule="exact"/>
        <w:jc w:val="both"/>
        <w:outlineLvl w:val="0"/>
        <w:rPr>
          <w:rFonts w:hint="eastAsia" w:ascii="仿宋" w:hAnsi="仿宋" w:eastAsia="仿宋" w:cs="仿宋"/>
          <w:b/>
          <w:bCs/>
          <w:color w:val="auto"/>
          <w:highlight w:val="none"/>
        </w:rPr>
      </w:pPr>
      <w:r>
        <w:rPr>
          <w:rFonts w:hint="eastAsia" w:ascii="仿宋" w:hAnsi="仿宋" w:eastAsia="仿宋" w:cs="仿宋"/>
          <w:b/>
          <w:bCs/>
          <w:color w:val="auto"/>
          <w:highlight w:val="none"/>
        </w:rPr>
        <w:t>10. 需要补充的其他内容</w:t>
      </w:r>
    </w:p>
    <w:p>
      <w:pPr>
        <w:autoSpaceDE w:val="0"/>
        <w:autoSpaceDN w:val="0"/>
        <w:spacing w:line="4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10.1需要补充的其他内容：见投标人须知前附表。</w:t>
      </w: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p>
    <w:p>
      <w:pPr>
        <w:spacing w:afterLines="50"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附件一：问题澄清通知</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问题澄清通知</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（编号：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（投标人名称）：</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评标委员会对你方的投标文件进行了仔细的审查，现需你方对下列问题以书面形式予以澄 清、说明或补正：</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请将上述问题的澄清、说明或补正于</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 xml:space="preserve">时前递交至           </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（详细地址）或传真至</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（传真号码）或通过下载招标文件的电子招标交易平台上传。采用传真方式的，应在</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时前将原件递交至</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（详细地址）。</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评标委员会授权的招标人或招标代理机构：</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（签字或盖章）</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jc w:val="righ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pStyle w:val="5"/>
        <w:rPr>
          <w:rFonts w:hint="eastAsia" w:ascii="仿宋" w:hAnsi="仿宋" w:eastAsia="仿宋" w:cs="仿宋"/>
          <w:color w:val="auto"/>
          <w:sz w:val="24"/>
          <w:szCs w:val="24"/>
          <w:highlight w:val="none"/>
        </w:rPr>
        <w:sectPr>
          <w:footerReference r:id="rId5" w:type="default"/>
          <w:pgSz w:w="12240" w:h="15840"/>
          <w:pgMar w:top="1400" w:right="1588" w:bottom="1247" w:left="1588" w:header="720" w:footer="720" w:gutter="0"/>
          <w:pgNumType w:start="1"/>
          <w:cols w:space="720" w:num="1"/>
          <w:docGrid w:type="lines" w:linePitch="462" w:charSpace="0"/>
        </w:sectPr>
      </w:pPr>
    </w:p>
    <w:p>
      <w:pPr>
        <w:autoSpaceDE w:val="0"/>
        <w:autoSpaceDN w:val="0"/>
        <w:adjustRightInd w:val="0"/>
        <w:spacing w:line="360" w:lineRule="auto"/>
        <w:outlineLvl w:val="0"/>
        <w:rPr>
          <w:rFonts w:hint="eastAsia" w:ascii="仿宋" w:hAnsi="仿宋" w:eastAsia="仿宋" w:cs="仿宋"/>
          <w:color w:val="auto"/>
          <w:sz w:val="24"/>
          <w:szCs w:val="24"/>
          <w:highlight w:val="none"/>
        </w:rPr>
      </w:pPr>
      <w:bookmarkStart w:id="48" w:name="_bookmark78"/>
      <w:bookmarkEnd w:id="48"/>
      <w:r>
        <w:rPr>
          <w:rFonts w:hint="eastAsia" w:ascii="仿宋" w:hAnsi="仿宋" w:eastAsia="仿宋" w:cs="仿宋"/>
          <w:color w:val="auto"/>
          <w:sz w:val="24"/>
          <w:szCs w:val="24"/>
          <w:highlight w:val="none"/>
        </w:rPr>
        <w:t>附件二：问题的澄清</w:t>
      </w:r>
    </w:p>
    <w:p>
      <w:pPr>
        <w:autoSpaceDE w:val="0"/>
        <w:autoSpaceDN w:val="0"/>
        <w:adjustRightInd w:val="0"/>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问题的澄清</w:t>
      </w:r>
    </w:p>
    <w:p>
      <w:pPr>
        <w:autoSpaceDE w:val="0"/>
        <w:autoSpaceDN w:val="0"/>
        <w:adjustRightInd w:val="0"/>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w:t>
      </w:r>
    </w:p>
    <w:p>
      <w:pPr>
        <w:autoSpaceDE w:val="0"/>
        <w:autoSpaceDN w:val="0"/>
        <w:adjustRightInd w:val="0"/>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问题澄清通知（编号：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）已收悉，现澄清、说明或补正如下：</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p>
      <w:pPr>
        <w:autoSpaceDE w:val="0"/>
        <w:autoSpaceDN w:val="0"/>
        <w:adjustRightInd w:val="0"/>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上述问题澄清、说明或补正，不改变我方投标文件的实质性内容，构成我方投标文件的组成部分。</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（盖单位章）</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（签字）</w:t>
      </w: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autoSpaceDE w:val="0"/>
        <w:autoSpaceDN w:val="0"/>
        <w:adjustRightInd w:val="0"/>
        <w:spacing w:line="360" w:lineRule="auto"/>
        <w:outlineLvl w:val="0"/>
        <w:rPr>
          <w:rFonts w:hint="eastAsia" w:ascii="仿宋" w:hAnsi="仿宋" w:eastAsia="仿宋" w:cs="仿宋"/>
          <w:color w:val="auto"/>
          <w:sz w:val="24"/>
          <w:szCs w:val="24"/>
          <w:highlight w:val="none"/>
        </w:rPr>
      </w:pPr>
    </w:p>
    <w:p>
      <w:pPr>
        <w:wordWrap w:val="0"/>
        <w:autoSpaceDE w:val="0"/>
        <w:autoSpaceDN w:val="0"/>
        <w:adjustRightInd w:val="0"/>
        <w:spacing w:line="360" w:lineRule="auto"/>
        <w:jc w:val="righ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autoSpaceDE w:val="0"/>
        <w:autoSpaceDN w:val="0"/>
        <w:adjustRightInd w:val="0"/>
        <w:spacing w:line="360" w:lineRule="auto"/>
        <w:jc w:val="right"/>
        <w:outlineLvl w:val="0"/>
        <w:rPr>
          <w:rFonts w:hint="eastAsia" w:ascii="仿宋" w:hAnsi="仿宋" w:eastAsia="仿宋" w:cs="仿宋"/>
          <w:color w:val="auto"/>
          <w:sz w:val="24"/>
          <w:szCs w:val="24"/>
          <w:highlight w:val="none"/>
        </w:rPr>
      </w:pPr>
    </w:p>
    <w:p>
      <w:pPr>
        <w:autoSpaceDE w:val="0"/>
        <w:autoSpaceDN w:val="0"/>
        <w:adjustRightInd w:val="0"/>
        <w:spacing w:line="360" w:lineRule="auto"/>
        <w:jc w:val="right"/>
        <w:outlineLvl w:val="0"/>
        <w:rPr>
          <w:rFonts w:hint="eastAsia" w:ascii="仿宋" w:hAnsi="仿宋" w:eastAsia="仿宋" w:cs="仿宋"/>
          <w:color w:val="auto"/>
          <w:sz w:val="24"/>
          <w:szCs w:val="24"/>
          <w:highlight w:val="none"/>
        </w:rPr>
      </w:pPr>
    </w:p>
    <w:p>
      <w:pPr>
        <w:autoSpaceDE w:val="0"/>
        <w:autoSpaceDN w:val="0"/>
        <w:adjustRightInd w:val="0"/>
        <w:spacing w:line="360" w:lineRule="auto"/>
        <w:jc w:val="right"/>
        <w:outlineLvl w:val="0"/>
        <w:rPr>
          <w:rFonts w:hint="eastAsia" w:ascii="仿宋" w:hAnsi="仿宋" w:eastAsia="仿宋" w:cs="仿宋"/>
          <w:color w:val="auto"/>
          <w:sz w:val="24"/>
          <w:szCs w:val="24"/>
          <w:highlight w:val="none"/>
        </w:rPr>
      </w:pPr>
    </w:p>
    <w:p>
      <w:pPr>
        <w:autoSpaceDE w:val="0"/>
        <w:autoSpaceDN w:val="0"/>
        <w:adjustRightInd w:val="0"/>
        <w:spacing w:line="360" w:lineRule="auto"/>
        <w:jc w:val="right"/>
        <w:outlineLvl w:val="0"/>
        <w:rPr>
          <w:rFonts w:hint="eastAsia" w:ascii="仿宋" w:hAnsi="仿宋" w:eastAsia="仿宋" w:cs="仿宋"/>
          <w:color w:val="auto"/>
          <w:sz w:val="24"/>
          <w:szCs w:val="24"/>
          <w:highlight w:val="none"/>
        </w:rPr>
      </w:pPr>
    </w:p>
    <w:p>
      <w:pPr>
        <w:spacing w:line="500" w:lineRule="exact"/>
        <w:rPr>
          <w:rFonts w:hint="eastAsia" w:ascii="仿宋" w:hAnsi="仿宋" w:eastAsia="仿宋" w:cs="仿宋"/>
          <w:b/>
          <w:bCs/>
          <w:color w:val="auto"/>
          <w:highlight w:val="none"/>
        </w:rPr>
      </w:pPr>
    </w:p>
    <w:p>
      <w:pPr>
        <w:spacing w:line="500" w:lineRule="exact"/>
        <w:rPr>
          <w:rFonts w:hint="eastAsia" w:ascii="仿宋" w:hAnsi="仿宋" w:eastAsia="仿宋" w:cs="仿宋"/>
          <w:b/>
          <w:bCs/>
          <w:color w:val="auto"/>
          <w:highlight w:val="none"/>
        </w:rPr>
      </w:pPr>
    </w:p>
    <w:p>
      <w:pPr>
        <w:spacing w:line="500" w:lineRule="exact"/>
        <w:rPr>
          <w:rFonts w:hint="eastAsia" w:ascii="仿宋" w:hAnsi="仿宋" w:eastAsia="仿宋" w:cs="仿宋"/>
          <w:b/>
          <w:bCs/>
          <w:color w:val="auto"/>
          <w:highlight w:val="none"/>
        </w:rPr>
      </w:pPr>
    </w:p>
    <w:p>
      <w:pPr>
        <w:pStyle w:val="5"/>
        <w:rPr>
          <w:rFonts w:hint="eastAsia" w:ascii="仿宋" w:hAnsi="仿宋" w:eastAsia="仿宋" w:cs="仿宋"/>
          <w:color w:val="auto"/>
          <w:highlight w:val="none"/>
        </w:rPr>
      </w:pPr>
    </w:p>
    <w:p>
      <w:pPr>
        <w:spacing w:line="500" w:lineRule="exact"/>
        <w:jc w:val="center"/>
        <w:rPr>
          <w:rFonts w:hint="eastAsia" w:ascii="仿宋" w:hAnsi="仿宋" w:eastAsia="仿宋" w:cs="仿宋"/>
          <w:b/>
          <w:bCs/>
          <w:color w:val="auto"/>
          <w:sz w:val="32"/>
          <w:szCs w:val="32"/>
          <w:highlight w:val="none"/>
        </w:rPr>
      </w:pPr>
      <w:bookmarkStart w:id="49" w:name="_bookmark79"/>
      <w:bookmarkEnd w:id="49"/>
      <w:bookmarkStart w:id="50" w:name="_bookmark80"/>
      <w:bookmarkEnd w:id="50"/>
      <w:r>
        <w:rPr>
          <w:rFonts w:hint="eastAsia" w:ascii="仿宋" w:hAnsi="仿宋" w:eastAsia="仿宋" w:cs="仿宋"/>
          <w:b/>
          <w:bCs/>
          <w:color w:val="auto"/>
          <w:sz w:val="32"/>
          <w:szCs w:val="32"/>
          <w:highlight w:val="none"/>
        </w:rPr>
        <w:t>第三章 评标办法（综合评标法）</w:t>
      </w:r>
    </w:p>
    <w:p>
      <w:pPr>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一、评标应遵循公平、公正、科学、择优的原则严格按照招标文件进行。</w:t>
      </w:r>
    </w:p>
    <w:p>
      <w:pPr>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二、评标由招标人依法组建的评标委员会负责，评标委员会构成：</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人，其中招标人代表</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，其余</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pPr>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三、评标采用综合评标法。</w:t>
      </w:r>
    </w:p>
    <w:p>
      <w:pPr>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四、评标委员会应按下列原则进行评分汇总统计：</w:t>
      </w:r>
    </w:p>
    <w:p>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r>
        <w:rPr>
          <w:rFonts w:hint="eastAsia" w:ascii="仿宋" w:hAnsi="仿宋" w:eastAsia="仿宋" w:cs="仿宋"/>
          <w:bCs/>
          <w:color w:val="auto"/>
          <w:sz w:val="24"/>
          <w:szCs w:val="24"/>
          <w:highlight w:val="none"/>
        </w:rPr>
        <w:t>分数汇总时，将各位评标专家对某一投标人评分中的一个最高分和一个最低分去掉后，剩余分数的算术平均值作为该投标人的最终得分。</w:t>
      </w:r>
    </w:p>
    <w:p>
      <w:pPr>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4.2分数计算过程中，保留两位小数。小数点第三位四舍五入。</w:t>
      </w:r>
    </w:p>
    <w:p>
      <w:pPr>
        <w:spacing w:line="48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五、</w:t>
      </w:r>
      <w:r>
        <w:rPr>
          <w:rFonts w:hint="eastAsia" w:ascii="仿宋" w:hAnsi="仿宋" w:eastAsia="仿宋" w:cs="仿宋"/>
          <w:color w:val="auto"/>
          <w:sz w:val="24"/>
          <w:szCs w:val="24"/>
          <w:highlight w:val="none"/>
        </w:rPr>
        <w:t>有效投标报价指投标人初步评审合格，不被评标委员会认定为废标的投标报价。</w:t>
      </w:r>
    </w:p>
    <w:p>
      <w:pPr>
        <w:pStyle w:val="36"/>
        <w:spacing w:line="480" w:lineRule="exact"/>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六、初步评审</w:t>
      </w:r>
    </w:p>
    <w:p>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招标人依法组织的评标委员会首先对投标文件进行初步评审，只有通过初步评审的投标人才能进入详细评审。初步评审的内容：</w:t>
      </w:r>
    </w:p>
    <w:p>
      <w:pPr>
        <w:pStyle w:val="35"/>
        <w:spacing w:line="480" w:lineRule="exact"/>
        <w:rPr>
          <w:rStyle w:val="31"/>
          <w:rFonts w:hint="eastAsia"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 xml:space="preserve"> 1.投标人名称是否与营业执照、资质证书一致；</w:t>
      </w:r>
    </w:p>
    <w:p>
      <w:pPr>
        <w:spacing w:line="480" w:lineRule="exact"/>
        <w:ind w:firstLine="480" w:firstLineChars="200"/>
        <w:rPr>
          <w:rFonts w:hint="eastAsia"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 xml:space="preserve"> 2.</w:t>
      </w:r>
      <w:r>
        <w:rPr>
          <w:rFonts w:hint="eastAsia" w:ascii="仿宋" w:hAnsi="仿宋" w:eastAsia="仿宋" w:cs="仿宋"/>
          <w:color w:val="auto"/>
          <w:sz w:val="24"/>
          <w:szCs w:val="24"/>
          <w:highlight w:val="none"/>
        </w:rPr>
        <w:t>投标文件正本是否按招标文件要求签字盖章（无需逐页签字盖章），副本是否与正本保持一致（可为正本的复印件）。正本与副本不一致的，以正本为准；（</w:t>
      </w:r>
      <w:r>
        <w:rPr>
          <w:rFonts w:hint="eastAsia" w:ascii="仿宋" w:hAnsi="仿宋" w:eastAsia="仿宋" w:cs="仿宋"/>
          <w:b/>
          <w:color w:val="auto"/>
          <w:sz w:val="24"/>
          <w:szCs w:val="24"/>
          <w:highlight w:val="none"/>
        </w:rPr>
        <w:t>注：电子投标文件有效时此项无需审查</w:t>
      </w:r>
      <w:r>
        <w:rPr>
          <w:rFonts w:hint="eastAsia" w:ascii="仿宋" w:hAnsi="仿宋" w:eastAsia="仿宋" w:cs="仿宋"/>
          <w:color w:val="auto"/>
          <w:sz w:val="24"/>
          <w:szCs w:val="24"/>
          <w:highlight w:val="none"/>
        </w:rPr>
        <w:t>）</w:t>
      </w:r>
      <w:r>
        <w:rPr>
          <w:rStyle w:val="33"/>
          <w:rFonts w:hint="eastAsia" w:ascii="仿宋" w:hAnsi="仿宋" w:eastAsia="仿宋" w:cs="仿宋"/>
          <w:color w:val="auto"/>
          <w:sz w:val="24"/>
          <w:szCs w:val="24"/>
          <w:highlight w:val="none"/>
        </w:rPr>
        <w:t xml:space="preserve">； </w:t>
      </w:r>
    </w:p>
    <w:p>
      <w:pPr>
        <w:pStyle w:val="35"/>
        <w:spacing w:line="480" w:lineRule="exact"/>
        <w:ind w:firstLine="540" w:firstLineChars="225"/>
        <w:rPr>
          <w:rFonts w:hint="eastAsia" w:ascii="仿宋" w:hAnsi="仿宋" w:eastAsia="仿宋" w:cs="仿宋"/>
          <w:color w:val="auto"/>
          <w:highlight w:val="none"/>
        </w:rPr>
      </w:pPr>
      <w:r>
        <w:rPr>
          <w:rStyle w:val="31"/>
          <w:rFonts w:hint="eastAsia" w:ascii="仿宋" w:hAnsi="仿宋" w:eastAsia="仿宋" w:cs="仿宋"/>
          <w:color w:val="auto"/>
          <w:sz w:val="24"/>
          <w:szCs w:val="24"/>
          <w:highlight w:val="none"/>
        </w:rPr>
        <w:t>3.投标文件格式是否符合招标文件要求；</w:t>
      </w:r>
    </w:p>
    <w:p>
      <w:pPr>
        <w:pStyle w:val="35"/>
        <w:spacing w:line="480" w:lineRule="exact"/>
        <w:ind w:firstLine="540" w:firstLineChars="225"/>
        <w:rPr>
          <w:rFonts w:hint="eastAsia" w:ascii="仿宋" w:hAnsi="仿宋" w:eastAsia="仿宋" w:cs="仿宋"/>
          <w:color w:val="auto"/>
          <w:highlight w:val="none"/>
        </w:rPr>
      </w:pPr>
      <w:r>
        <w:rPr>
          <w:rStyle w:val="31"/>
          <w:rFonts w:hint="eastAsia" w:ascii="仿宋" w:hAnsi="仿宋" w:eastAsia="仿宋" w:cs="仿宋"/>
          <w:color w:val="auto"/>
          <w:sz w:val="24"/>
          <w:szCs w:val="24"/>
          <w:highlight w:val="none"/>
        </w:rPr>
        <w:t>4.营业执照是否有效；</w:t>
      </w:r>
    </w:p>
    <w:p>
      <w:pPr>
        <w:pStyle w:val="35"/>
        <w:spacing w:line="480" w:lineRule="exact"/>
        <w:rPr>
          <w:rStyle w:val="31"/>
          <w:rFonts w:hint="eastAsia"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 xml:space="preserve"> 5.资质证书等级是否满足要求；</w:t>
      </w:r>
    </w:p>
    <w:p>
      <w:pPr>
        <w:pStyle w:val="35"/>
        <w:spacing w:line="480" w:lineRule="exact"/>
        <w:rPr>
          <w:rFonts w:hint="eastAsia" w:ascii="仿宋" w:hAnsi="仿宋" w:eastAsia="仿宋" w:cs="仿宋"/>
          <w:color w:val="auto"/>
          <w:highlight w:val="none"/>
        </w:rPr>
      </w:pPr>
      <w:r>
        <w:rPr>
          <w:rStyle w:val="31"/>
          <w:rFonts w:hint="eastAsia" w:ascii="仿宋" w:hAnsi="仿宋" w:eastAsia="仿宋" w:cs="仿宋"/>
          <w:color w:val="auto"/>
          <w:sz w:val="24"/>
          <w:szCs w:val="24"/>
          <w:highlight w:val="none"/>
        </w:rPr>
        <w:t xml:space="preserve"> 6.总监理工程师证书是否与投标文件上一致；注册单位是否</w:t>
      </w:r>
      <w:r>
        <w:rPr>
          <w:rFonts w:hint="eastAsia" w:ascii="仿宋" w:hAnsi="仿宋" w:eastAsia="仿宋" w:cs="仿宋"/>
          <w:color w:val="auto"/>
          <w:highlight w:val="none"/>
        </w:rPr>
        <w:t xml:space="preserve">和投标文件上一致； </w:t>
      </w:r>
    </w:p>
    <w:p>
      <w:pPr>
        <w:pStyle w:val="35"/>
        <w:spacing w:line="480" w:lineRule="exact"/>
        <w:rPr>
          <w:rStyle w:val="31"/>
          <w:rFonts w:hint="eastAsia"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 xml:space="preserve"> 7.投标内容、投标有效期、投标保证金等是否符合招标文件规定内容；</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投标人须提供以下网站的公示信息查询结果截图：</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（1）“信用中国”（www.creditchina.gov.cn）“失信被执行人”、“重大税收违法案件当事人名单”和“政府采购严重违法失信名单”网页查询结果截图。查询对象包括投标人、法定代表人、</w:t>
      </w:r>
      <w:r>
        <w:rPr>
          <w:rStyle w:val="31"/>
          <w:rFonts w:hint="eastAsia" w:ascii="仿宋" w:hAnsi="仿宋" w:eastAsia="仿宋" w:cs="仿宋"/>
          <w:color w:val="auto"/>
          <w:sz w:val="24"/>
          <w:szCs w:val="24"/>
          <w:highlight w:val="none"/>
        </w:rPr>
        <w:t>项目总监（注册监理工程师）</w:t>
      </w:r>
      <w:r>
        <w:rPr>
          <w:rFonts w:hint="eastAsia" w:ascii="仿宋" w:hAnsi="仿宋" w:eastAsia="仿宋" w:cs="仿宋"/>
          <w:color w:val="auto"/>
          <w:sz w:val="24"/>
          <w:szCs w:val="24"/>
          <w:highlight w:val="none"/>
        </w:rPr>
        <w:t>及授权委托人；</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“信用河南”（www.xyhn.gov.cn）黑名单查询截图。查询内容包括：严重失信债务人名单，国家人社部-拖欠农民工工资黑名单。查询对象包括投标人、法定代表人；</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（2）“全国企业信用信息公示系统”（www.gsxt.gov.cn）“经营异常名录/严重违法失信企业名单”网页查询结果截图；</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（3）“全国法院失信被执行人名单信息公布和查询系统”（http://zxgk.court.gov.cn/）网页查询结果截图。查询对象包括投标人、法定代表人、</w:t>
      </w:r>
      <w:r>
        <w:rPr>
          <w:rStyle w:val="31"/>
          <w:rFonts w:hint="eastAsia" w:ascii="仿宋" w:hAnsi="仿宋" w:eastAsia="仿宋" w:cs="仿宋"/>
          <w:color w:val="auto"/>
          <w:sz w:val="24"/>
          <w:szCs w:val="24"/>
          <w:highlight w:val="none"/>
        </w:rPr>
        <w:t>项目总监（注册监理工程师）</w:t>
      </w:r>
      <w:r>
        <w:rPr>
          <w:rFonts w:hint="eastAsia" w:ascii="仿宋" w:hAnsi="仿宋" w:eastAsia="仿宋" w:cs="仿宋"/>
          <w:color w:val="auto"/>
          <w:sz w:val="24"/>
          <w:szCs w:val="24"/>
          <w:highlight w:val="none"/>
        </w:rPr>
        <w:t>及授权委托人；</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（4）“中国裁判文书网”（wenshu.court.gov.cn）行贿犯罪网页查询结果截图。查询对象包括投标人、法定代表人、</w:t>
      </w:r>
      <w:r>
        <w:rPr>
          <w:rStyle w:val="31"/>
          <w:rFonts w:hint="eastAsia" w:ascii="仿宋" w:hAnsi="仿宋" w:eastAsia="仿宋" w:cs="仿宋"/>
          <w:color w:val="auto"/>
          <w:sz w:val="24"/>
          <w:szCs w:val="24"/>
          <w:highlight w:val="none"/>
        </w:rPr>
        <w:t>项目总监（注册监理工程师）</w:t>
      </w:r>
      <w:r>
        <w:rPr>
          <w:rFonts w:hint="eastAsia" w:ascii="仿宋" w:hAnsi="仿宋" w:eastAsia="仿宋" w:cs="仿宋"/>
          <w:color w:val="auto"/>
          <w:sz w:val="24"/>
          <w:szCs w:val="24"/>
          <w:highlight w:val="none"/>
        </w:rPr>
        <w:t>及授权委托人。</w:t>
      </w:r>
    </w:p>
    <w:p>
      <w:pPr>
        <w:spacing w:line="48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招标项目开标结束后、评标开始前，招标人（或招标代理机构）对投标人信用记录进行现场查询，并将查询结果随项目开标资料一并送入评标室，由专家进行评判。</w:t>
      </w:r>
    </w:p>
    <w:p>
      <w:pPr>
        <w:pStyle w:val="35"/>
        <w:spacing w:line="480" w:lineRule="exact"/>
        <w:ind w:firstLine="0"/>
        <w:rPr>
          <w:rStyle w:val="31"/>
          <w:rFonts w:hint="eastAsia" w:ascii="仿宋" w:hAnsi="仿宋" w:eastAsia="仿宋" w:cs="仿宋"/>
          <w:color w:val="auto"/>
          <w:sz w:val="24"/>
          <w:szCs w:val="24"/>
          <w:highlight w:val="none"/>
        </w:rPr>
      </w:pPr>
      <w:r>
        <w:rPr>
          <w:rStyle w:val="32"/>
          <w:rFonts w:hint="eastAsia" w:ascii="仿宋" w:hAnsi="仿宋" w:eastAsia="仿宋" w:cs="仿宋"/>
          <w:color w:val="auto"/>
          <w:spacing w:val="20"/>
          <w:sz w:val="24"/>
          <w:szCs w:val="24"/>
          <w:highlight w:val="none"/>
        </w:rPr>
        <w:t>9.投标文件有下列情形之一的，由评标委员会初审后按废标处理</w:t>
      </w:r>
    </w:p>
    <w:p>
      <w:pPr>
        <w:pStyle w:val="35"/>
        <w:spacing w:line="480" w:lineRule="exact"/>
        <w:rPr>
          <w:rStyle w:val="31"/>
          <w:rFonts w:hint="eastAsia"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9.1须执行政府指导价的工程项目，投标报价低于国家规定的监理服务收费基准价80%的（政府投资项目低于财政评审价80%的）；</w:t>
      </w:r>
    </w:p>
    <w:p>
      <w:pPr>
        <w:pStyle w:val="35"/>
        <w:spacing w:line="480" w:lineRule="exact"/>
        <w:rPr>
          <w:rStyle w:val="31"/>
          <w:rFonts w:hint="eastAsia"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 xml:space="preserve">9.2未提供由企业住所地人社部门出具的授权代表、项目总监（注册监理工程师）2018年6月以来三个月（含）以上社会保险证明（或相关缴纳凭证）；    </w:t>
      </w:r>
    </w:p>
    <w:p>
      <w:pPr>
        <w:pStyle w:val="35"/>
        <w:spacing w:line="480" w:lineRule="exact"/>
        <w:rPr>
          <w:rStyle w:val="31"/>
          <w:rFonts w:hint="eastAsia"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9.3投标人递交两份或两份以上，内容不同又未在投标文件中声明哪一份有效的投标文件的；</w:t>
      </w:r>
    </w:p>
    <w:p>
      <w:pPr>
        <w:pStyle w:val="35"/>
        <w:spacing w:line="480" w:lineRule="exact"/>
        <w:rPr>
          <w:rStyle w:val="31"/>
          <w:rFonts w:hint="eastAsia"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9.4投标人不符合国家或者招标文件规定的资格条件；</w:t>
      </w:r>
    </w:p>
    <w:p>
      <w:pPr>
        <w:pStyle w:val="35"/>
        <w:spacing w:line="480" w:lineRule="exact"/>
        <w:ind w:firstLine="0"/>
        <w:rPr>
          <w:rStyle w:val="31"/>
          <w:rFonts w:hint="eastAsia"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 xml:space="preserve">    9.5投标文件没有对招标文件的实质性要求和条件作出响应；                                                 </w:t>
      </w:r>
    </w:p>
    <w:p>
      <w:pPr>
        <w:pStyle w:val="35"/>
        <w:spacing w:line="480" w:lineRule="exact"/>
        <w:rPr>
          <w:rStyle w:val="31"/>
          <w:rFonts w:hint="eastAsia"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9.6投标人有串通投标、弄虚作假、行贿等违法行为；</w:t>
      </w:r>
    </w:p>
    <w:p>
      <w:pPr>
        <w:pStyle w:val="35"/>
        <w:spacing w:line="480" w:lineRule="exact"/>
        <w:rPr>
          <w:rStyle w:val="31"/>
          <w:rFonts w:hint="eastAsia"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9.7法律、法规和规章规定的其他情形。</w:t>
      </w:r>
    </w:p>
    <w:p>
      <w:pPr>
        <w:spacing w:line="460" w:lineRule="exact"/>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参与评审的所有证件及业绩，不得伪造、涂改，否则视为无效材料并按国家有关规定处理，评标委员会具有核对相关证件真伪的权利，评标开始后不再接受任何材料，投标文件中应附提交的证件、业绩的加盖公章扫描件或复印件。</w:t>
      </w:r>
    </w:p>
    <w:p>
      <w:pPr>
        <w:autoSpaceDE w:val="0"/>
        <w:autoSpaceDN w:val="0"/>
        <w:spacing w:line="460" w:lineRule="exact"/>
        <w:ind w:firstLine="482" w:firstLineChars="200"/>
        <w:contextualSpacing/>
        <w:jc w:val="left"/>
        <w:outlineLvl w:val="0"/>
        <w:rPr>
          <w:rStyle w:val="31"/>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注：工商营业执照、资质证书、</w:t>
      </w:r>
      <w:bookmarkStart w:id="51" w:name="_Toc12612"/>
      <w:bookmarkEnd w:id="51"/>
      <w:r>
        <w:rPr>
          <w:rFonts w:hint="eastAsia" w:ascii="仿宋" w:hAnsi="仿宋" w:eastAsia="仿宋" w:cs="仿宋"/>
          <w:b/>
          <w:bCs/>
          <w:color w:val="auto"/>
          <w:sz w:val="24"/>
          <w:szCs w:val="24"/>
          <w:highlight w:val="none"/>
        </w:rPr>
        <w:t>项目总监注册监理工程师证书不再提交原件，投标书文件中必须附原件扫描件或图片，以备查阅。</w:t>
      </w:r>
    </w:p>
    <w:p>
      <w:pPr>
        <w:pStyle w:val="35"/>
        <w:spacing w:line="480" w:lineRule="exact"/>
        <w:rPr>
          <w:rFonts w:hint="eastAsia" w:ascii="仿宋" w:hAnsi="仿宋" w:eastAsia="仿宋" w:cs="仿宋"/>
          <w:b/>
          <w:bCs/>
          <w:color w:val="auto"/>
          <w:highlight w:val="none"/>
        </w:rPr>
      </w:pPr>
      <w:r>
        <w:rPr>
          <w:rStyle w:val="31"/>
          <w:rFonts w:hint="eastAsia" w:ascii="仿宋" w:hAnsi="仿宋" w:eastAsia="仿宋" w:cs="仿宋"/>
          <w:color w:val="auto"/>
          <w:sz w:val="24"/>
          <w:szCs w:val="24"/>
          <w:highlight w:val="none"/>
        </w:rPr>
        <w:t>评标委员会完成初步评审所有内容后，作出初步评审结论，分别确定不合格投标人和进入下阶段评审的投标人。未通过初步评审，不能进入详细评审。只有通过初步评审的投标人才能进入下阶段评审。</w:t>
      </w:r>
    </w:p>
    <w:p>
      <w:pPr>
        <w:widowControl/>
        <w:shd w:val="clear" w:color="auto" w:fill="FFFFFF"/>
        <w:spacing w:line="480" w:lineRule="exact"/>
        <w:ind w:firstLine="42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shd w:val="clear" w:color="auto" w:fill="FFFFFF"/>
        </w:rPr>
        <w:t>七、详细评审步骤</w:t>
      </w:r>
    </w:p>
    <w:p>
      <w:pPr>
        <w:widowControl/>
        <w:shd w:val="clear" w:color="auto" w:fill="FFFFFF"/>
        <w:spacing w:line="480" w:lineRule="exact"/>
        <w:ind w:firstLine="48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7.1对通过初步评审的投标文件进行评审，再进行技术标的评审。</w:t>
      </w:r>
    </w:p>
    <w:tbl>
      <w:tblPr>
        <w:tblStyle w:val="12"/>
        <w:tblW w:w="8488" w:type="dxa"/>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3"/>
        <w:gridCol w:w="1646"/>
        <w:gridCol w:w="5670"/>
        <w:gridCol w:w="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8" w:hRule="atLeast"/>
        </w:trPr>
        <w:tc>
          <w:tcPr>
            <w:tcW w:w="1123" w:type="dxa"/>
            <w:vMerge w:val="restart"/>
            <w:tcBorders>
              <w:top w:val="single" w:color="auto" w:sz="4" w:space="0"/>
              <w:left w:val="single" w:color="auto" w:sz="4" w:space="0"/>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bookmarkStart w:id="52" w:name="_bookmark83"/>
            <w:bookmarkEnd w:id="52"/>
            <w:r>
              <w:rPr>
                <w:rFonts w:hint="eastAsia" w:ascii="仿宋" w:hAnsi="仿宋" w:eastAsia="仿宋" w:cs="仿宋"/>
                <w:color w:val="auto"/>
                <w:sz w:val="24"/>
                <w:szCs w:val="24"/>
                <w:highlight w:val="none"/>
              </w:rPr>
              <w:t>监理大纲 评分标准（30分）</w:t>
            </w:r>
          </w:p>
        </w:tc>
        <w:tc>
          <w:tcPr>
            <w:tcW w:w="1646" w:type="dxa"/>
            <w:tcBorders>
              <w:top w:val="single" w:color="auto"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质量控制5分</w:t>
            </w:r>
          </w:p>
        </w:tc>
        <w:tc>
          <w:tcPr>
            <w:tcW w:w="5719" w:type="dxa"/>
            <w:gridSpan w:val="2"/>
            <w:tcBorders>
              <w:top w:val="single" w:color="auto" w:sz="4" w:space="0"/>
              <w:left w:val="nil"/>
              <w:bottom w:val="single" w:color="000000"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1.总体质量控制目标满足招标文件要求，且对质量控制目标进行了合理分解、规划；（0-1分）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2.针对各质量控制分解目标及各施工环节提出了切实可行的控制点和控制措施；（0-1分）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3.质量控制的基本程序和手段有针对性，且能满足工程实际要求；（0-1分）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4.对分包队伍的审查、管理措施有效可行；（0-1分）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5.劳务用工持证上岗制度、劳务用工合同签订及实名制落实保障措施可行；（0-1分）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进度控制4分</w:t>
            </w:r>
          </w:p>
        </w:tc>
        <w:tc>
          <w:tcPr>
            <w:tcW w:w="5719" w:type="dxa"/>
            <w:gridSpan w:val="2"/>
            <w:tcBorders>
              <w:top w:val="single" w:color="000000" w:sz="4" w:space="0"/>
              <w:left w:val="nil"/>
              <w:bottom w:val="single" w:color="000000"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1.对总体进度目标分解合理，能体现预控和全面控制能力；（0-2分）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2.预控方法及手段明确，进度控制要点及保证措施设置合理、可行；（0-2分）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6"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造价控制4分</w:t>
            </w:r>
          </w:p>
        </w:tc>
        <w:tc>
          <w:tcPr>
            <w:tcW w:w="5719" w:type="dxa"/>
            <w:gridSpan w:val="2"/>
            <w:tcBorders>
              <w:top w:val="single" w:color="000000" w:sz="4" w:space="0"/>
              <w:left w:val="nil"/>
              <w:bottom w:val="single" w:color="000000"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1.工程计量、计价的控制方法可行，风险预测与防范对策有效；（0-2分）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2.工程款支付、结算、索赔等预控措施合理健全；（0-1分）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3.劳务用工的工资发放情况督查措施得力；（0-1分）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7"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安全措施4分</w:t>
            </w:r>
          </w:p>
        </w:tc>
        <w:tc>
          <w:tcPr>
            <w:tcW w:w="5719" w:type="dxa"/>
            <w:gridSpan w:val="2"/>
            <w:tcBorders>
              <w:top w:val="single" w:color="000000" w:sz="4" w:space="0"/>
              <w:left w:val="nil"/>
              <w:bottom w:val="single" w:color="000000"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1.安全措施满足招标文件要求，能结合工程环境、特点有针对性的分析安全隐患；（0-2分）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2.安全保证体系组织机构和控制点设置合理；（0-1分）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3.安全控制措施周密，安全控制手段合理；（0-1分）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6"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旁站监理措施4分</w:t>
            </w:r>
          </w:p>
        </w:tc>
        <w:tc>
          <w:tcPr>
            <w:tcW w:w="5719" w:type="dxa"/>
            <w:gridSpan w:val="2"/>
            <w:tcBorders>
              <w:top w:val="single" w:color="000000" w:sz="4" w:space="0"/>
              <w:left w:val="nil"/>
              <w:bottom w:val="single" w:color="000000"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1.按照国家旁站监理规定，对相应部位或施工过程设置旁站，（0-2分）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2.有监理细则和方案，制定旁站措施（人员有上岗证、记录表等）（0-2分）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7"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档案及合同管理4分</w:t>
            </w:r>
          </w:p>
        </w:tc>
        <w:tc>
          <w:tcPr>
            <w:tcW w:w="5719" w:type="dxa"/>
            <w:gridSpan w:val="2"/>
            <w:tcBorders>
              <w:top w:val="single" w:color="000000" w:sz="4" w:space="0"/>
              <w:left w:val="nil"/>
              <w:bottom w:val="single" w:color="000000"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1.有保障合同履行的可靠措施，制定了索赔与反索赔措施；（0-2分）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2.工程档案管理措施切实可行，并设置专职人员进行管理；（0-2分）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1" w:hRule="atLeast"/>
        </w:trPr>
        <w:tc>
          <w:tcPr>
            <w:tcW w:w="1123" w:type="dxa"/>
            <w:vMerge w:val="continue"/>
            <w:tcBorders>
              <w:top w:val="nil"/>
              <w:left w:val="single" w:color="auto" w:sz="4" w:space="0"/>
              <w:bottom w:val="single" w:color="auto"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tcBorders>
              <w:top w:val="single" w:color="000000" w:sz="4" w:space="0"/>
              <w:left w:val="nil"/>
              <w:bottom w:val="single" w:color="auto"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工作制度3</w:t>
            </w:r>
          </w:p>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w:t>
            </w:r>
          </w:p>
        </w:tc>
        <w:tc>
          <w:tcPr>
            <w:tcW w:w="5719" w:type="dxa"/>
            <w:gridSpan w:val="2"/>
            <w:tcBorders>
              <w:top w:val="single" w:color="000000" w:sz="4" w:space="0"/>
              <w:left w:val="nil"/>
              <w:bottom w:val="single" w:color="auto"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根据验收制度、签证制度、会议制度、公司对项目监理机构的监控制度、季报（月报）制度、公司对项目监理机构的奖惩考核制度等各项制度健全完善情况，酌情打分；（0-3分）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8" w:hRule="atLeast"/>
        </w:trPr>
        <w:tc>
          <w:tcPr>
            <w:tcW w:w="1123" w:type="dxa"/>
            <w:vMerge w:val="continue"/>
            <w:tcBorders>
              <w:top w:val="single" w:color="auto" w:sz="4" w:space="0"/>
              <w:left w:val="single" w:color="auto" w:sz="4" w:space="0"/>
              <w:bottom w:val="nil"/>
              <w:right w:val="single" w:color="auto"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组织协调及</w:t>
            </w:r>
          </w:p>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合理化建议2分</w:t>
            </w:r>
          </w:p>
        </w:tc>
        <w:tc>
          <w:tcPr>
            <w:tcW w:w="571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1.协调工作措施得当、有针对性；（0-1分）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2.合理化建议能解决工程实际问题或有利于进度控制或造价控制。（0-1分）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8" w:hRule="atLeast"/>
        </w:trPr>
        <w:tc>
          <w:tcPr>
            <w:tcW w:w="8488" w:type="dxa"/>
            <w:gridSpan w:val="4"/>
            <w:tcBorders>
              <w:top w:val="nil"/>
              <w:left w:val="nil"/>
              <w:bottom w:val="single" w:color="auto" w:sz="4" w:space="0"/>
              <w:right w:val="nil"/>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7.2商务详细评审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63" w:hRule="atLeast"/>
        </w:trPr>
        <w:tc>
          <w:tcPr>
            <w:tcW w:w="1123" w:type="dxa"/>
            <w:vMerge w:val="restart"/>
            <w:tcBorders>
              <w:top w:val="single" w:color="auto" w:sz="4" w:space="0"/>
              <w:left w:val="single" w:color="auto" w:sz="4" w:space="0"/>
              <w:bottom w:val="single" w:color="auto"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商务标</w:t>
            </w:r>
          </w:p>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评分标准（70分）</w:t>
            </w:r>
          </w:p>
        </w:tc>
        <w:tc>
          <w:tcPr>
            <w:tcW w:w="1646" w:type="dxa"/>
            <w:tcBorders>
              <w:top w:val="single" w:color="auto" w:sz="4" w:space="0"/>
              <w:left w:val="nil"/>
              <w:bottom w:val="single" w:color="auto"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投标报价15分</w:t>
            </w:r>
          </w:p>
        </w:tc>
        <w:tc>
          <w:tcPr>
            <w:tcW w:w="5719" w:type="dxa"/>
            <w:gridSpan w:val="2"/>
            <w:tcBorders>
              <w:top w:val="single" w:color="auto" w:sz="4" w:space="0"/>
              <w:left w:val="nil"/>
              <w:bottom w:val="single" w:color="auto"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评标基准价的确定：评标基准价D=α×E+β×F</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有效投标人的投标报价为不高于E值，且通过初步评审的投标人报价。</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α-为E值的权重系数，α取值在0.40-0.70之间抽取（开标时，在0.40、0.45、0.50、0.55、0.60、0.65、0.70七个数值中由招标人和投标人代表现场随机抽取）。</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β-为F值的权重系数，β=1-α</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有效投标报价在评标基准价±1%以内的，得满分15分；在此基础上，每再高于评标基准价1%的扣2分，扣完为止，每再低于评标基准价1%的扣0.5分，扣完为止；（偏差率不足1%的，按内插法赋分。计算结果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03" w:hRule="atLeast"/>
        </w:trPr>
        <w:tc>
          <w:tcPr>
            <w:tcW w:w="1123"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vMerge w:val="restart"/>
            <w:tcBorders>
              <w:top w:val="single" w:color="auto" w:sz="4" w:space="0"/>
              <w:left w:val="nil"/>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企业信誉和类似项目业绩33分</w:t>
            </w:r>
          </w:p>
          <w:p>
            <w:pPr>
              <w:spacing w:line="460" w:lineRule="exact"/>
              <w:contextualSpacing/>
              <w:jc w:val="center"/>
              <w:rPr>
                <w:rFonts w:hint="eastAsia" w:ascii="仿宋" w:hAnsi="仿宋" w:eastAsia="仿宋" w:cs="仿宋"/>
                <w:color w:val="auto"/>
                <w:sz w:val="24"/>
                <w:szCs w:val="24"/>
                <w:highlight w:val="none"/>
              </w:rPr>
            </w:pPr>
          </w:p>
        </w:tc>
        <w:tc>
          <w:tcPr>
            <w:tcW w:w="5719" w:type="dxa"/>
            <w:gridSpan w:val="2"/>
            <w:tcBorders>
              <w:top w:val="single" w:color="auto" w:sz="4" w:space="0"/>
              <w:left w:val="nil"/>
              <w:bottom w:val="single" w:color="000000"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1、企业201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年1月1日以来近三年获得建设行政主管部门或行业协会颁发的省级及以上先进监理企业奖项得5分，本项最高得5分。（以证书和获奖文件为准，其中时间以获奖证书日期为准）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9"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vMerge w:val="continue"/>
            <w:tcBorders>
              <w:left w:val="nil"/>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5719" w:type="dxa"/>
            <w:gridSpan w:val="2"/>
            <w:tcBorders>
              <w:top w:val="single" w:color="000000" w:sz="4" w:space="0"/>
              <w:left w:val="nil"/>
              <w:bottom w:val="single" w:color="000000" w:sz="4" w:space="0"/>
              <w:right w:val="single" w:color="auto" w:sz="4" w:space="0"/>
            </w:tcBorders>
            <w:vAlign w:val="center"/>
          </w:tcPr>
          <w:p>
            <w:pPr>
              <w:pStyle w:val="5"/>
              <w:spacing w:before="0" w:beforeAutospacing="0"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2、企业201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年1月1日以来监理过类似项目业绩，每项得4分，最多得16分。（应提供法定媒介中标(成交)公示网页截图、合同、中标通知书(或竣工备案表)，并在投标文件中附完整的复印件，三者缺一不计分。）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4"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vMerge w:val="continue"/>
            <w:tcBorders>
              <w:left w:val="nil"/>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5719" w:type="dxa"/>
            <w:gridSpan w:val="2"/>
            <w:tcBorders>
              <w:top w:val="single" w:color="000000" w:sz="4" w:space="0"/>
              <w:left w:val="nil"/>
              <w:bottom w:val="single" w:color="000000" w:sz="4" w:space="0"/>
              <w:right w:val="single" w:color="auto" w:sz="4" w:space="0"/>
            </w:tcBorders>
            <w:vAlign w:val="center"/>
          </w:tcPr>
          <w:p>
            <w:pPr>
              <w:spacing w:before="240"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3、具有质量、环境、职业健康管理体系认证证书，每一项得3分，最高9分（以证书原件为准，并在投标文件中附完整的复印件）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1" w:hRule="atLeast"/>
        </w:trPr>
        <w:tc>
          <w:tcPr>
            <w:tcW w:w="1123" w:type="dxa"/>
            <w:vMerge w:val="continue"/>
            <w:tcBorders>
              <w:top w:val="nil"/>
              <w:left w:val="single" w:color="auto" w:sz="4" w:space="0"/>
              <w:bottom w:val="single" w:color="auto"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vMerge w:val="continue"/>
            <w:tcBorders>
              <w:left w:val="nil"/>
              <w:bottom w:val="single" w:color="auto"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p>
        </w:tc>
        <w:tc>
          <w:tcPr>
            <w:tcW w:w="5719" w:type="dxa"/>
            <w:gridSpan w:val="2"/>
            <w:tcBorders>
              <w:top w:val="single" w:color="000000" w:sz="4" w:space="0"/>
              <w:left w:val="nil"/>
              <w:bottom w:val="single" w:color="auto" w:sz="4" w:space="0"/>
              <w:right w:val="single" w:color="auto" w:sz="4" w:space="0"/>
            </w:tcBorders>
            <w:vAlign w:val="center"/>
          </w:tcPr>
          <w:p>
            <w:pPr>
              <w:pStyle w:val="5"/>
              <w:spacing w:before="0" w:beforeAutospacing="0"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4、企业获得3A信用等级证书的得3分，本项最高得3分。（以证书原件为准，并在投标文件中附完整的复印件）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2" w:hRule="atLeast"/>
        </w:trPr>
        <w:tc>
          <w:tcPr>
            <w:tcW w:w="1123" w:type="dxa"/>
            <w:vMerge w:val="restart"/>
            <w:tcBorders>
              <w:top w:val="single" w:color="auto" w:sz="4" w:space="0"/>
              <w:left w:val="single" w:color="auto"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tcBorders>
              <w:top w:val="single" w:color="auto"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项目监理机构人员配备15分</w:t>
            </w:r>
          </w:p>
        </w:tc>
        <w:tc>
          <w:tcPr>
            <w:tcW w:w="5719" w:type="dxa"/>
            <w:gridSpan w:val="2"/>
            <w:tcBorders>
              <w:top w:val="single" w:color="000000" w:sz="4" w:space="0"/>
              <w:left w:val="nil"/>
              <w:bottom w:val="single" w:color="000000"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1、拟派的总监理工程师具有高级职称资格的得3分，中级职称资格的得2分，此项最高的3分。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2、项目监理机构人员配备齐全，各专业监理工程师、监理员、安全员、资料员持证上岗在0-4分范围内打分, 本项最高得4分。（以证书原件和2018年6月以来三个月（含）以上社保缴纳证明原件为准）</w:t>
            </w:r>
          </w:p>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3、项目监理机构具备国家注册监理工程师并具备中级以上职称有1个得2分，最多得8分。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5" w:hRule="atLeast"/>
        </w:trPr>
        <w:tc>
          <w:tcPr>
            <w:tcW w:w="1123" w:type="dxa"/>
            <w:vMerge w:val="continue"/>
            <w:tcBorders>
              <w:top w:val="nil"/>
              <w:left w:val="single" w:color="auto" w:sz="4" w:space="0"/>
              <w:bottom w:val="single" w:color="000000" w:sz="4" w:space="0"/>
              <w:right w:val="single" w:color="000000" w:sz="4" w:space="0"/>
            </w:tcBorders>
            <w:vAlign w:val="center"/>
          </w:tcPr>
          <w:p>
            <w:pPr>
              <w:widowControl/>
              <w:spacing w:line="460" w:lineRule="exact"/>
              <w:contextualSpacing/>
              <w:jc w:val="left"/>
              <w:rPr>
                <w:rFonts w:hint="eastAsia" w:ascii="仿宋" w:hAnsi="仿宋" w:eastAsia="仿宋" w:cs="仿宋"/>
                <w:color w:val="auto"/>
                <w:sz w:val="24"/>
                <w:szCs w:val="24"/>
                <w:highlight w:val="none"/>
              </w:rPr>
            </w:pPr>
          </w:p>
        </w:tc>
        <w:tc>
          <w:tcPr>
            <w:tcW w:w="1646" w:type="dxa"/>
            <w:tcBorders>
              <w:top w:val="single" w:color="000000" w:sz="4" w:space="0"/>
              <w:left w:val="nil"/>
              <w:bottom w:val="single" w:color="000000" w:sz="4" w:space="0"/>
              <w:right w:val="single" w:color="000000" w:sz="4" w:space="0"/>
            </w:tcBorders>
            <w:vAlign w:val="center"/>
          </w:tcPr>
          <w:p>
            <w:pPr>
              <w:spacing w:line="460" w:lineRule="exact"/>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服务承诺0-7分</w:t>
            </w:r>
          </w:p>
        </w:tc>
        <w:tc>
          <w:tcPr>
            <w:tcW w:w="5719" w:type="dxa"/>
            <w:gridSpan w:val="2"/>
            <w:tcBorders>
              <w:top w:val="single" w:color="000000" w:sz="4" w:space="0"/>
              <w:left w:val="nil"/>
              <w:bottom w:val="single" w:color="000000" w:sz="4" w:space="0"/>
              <w:right w:val="single" w:color="auto" w:sz="4" w:space="0"/>
            </w:tcBorders>
            <w:vAlign w:val="center"/>
          </w:tcPr>
          <w:p>
            <w:pPr>
              <w:spacing w:line="460" w:lineRule="exact"/>
              <w:ind w:firstLine="120" w:firstLineChars="5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投标人针对招标项目的特点和要求，结合自身条件和潜力为招标人排忧解难有优惠承诺者和服务承诺。由评委根据标书的具体内容在0-7分酌情打分。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8" w:hRule="atLeast"/>
        </w:trPr>
        <w:tc>
          <w:tcPr>
            <w:tcW w:w="8488" w:type="dxa"/>
            <w:gridSpan w:val="4"/>
            <w:tcBorders>
              <w:top w:val="nil"/>
              <w:left w:val="single" w:color="auto" w:sz="4" w:space="0"/>
              <w:bottom w:val="single" w:color="000000"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投标人得分=监理大纲得分＋商务标得分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531" w:hRule="atLeast"/>
        </w:trPr>
        <w:tc>
          <w:tcPr>
            <w:tcW w:w="8439" w:type="dxa"/>
            <w:gridSpan w:val="3"/>
            <w:tcBorders>
              <w:top w:val="single" w:color="000000" w:sz="4" w:space="0"/>
              <w:left w:val="single" w:color="auto" w:sz="4" w:space="0"/>
              <w:bottom w:val="single" w:color="000000"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49" w:type="dxa"/>
          <w:trHeight w:val="1424" w:hRule="atLeast"/>
        </w:trPr>
        <w:tc>
          <w:tcPr>
            <w:tcW w:w="8439" w:type="dxa"/>
            <w:gridSpan w:val="3"/>
            <w:tcBorders>
              <w:top w:val="single" w:color="000000" w:sz="4" w:space="0"/>
              <w:left w:val="single" w:color="auto" w:sz="4" w:space="0"/>
              <w:bottom w:val="single" w:color="auto" w:sz="4" w:space="0"/>
              <w:right w:val="single" w:color="auto" w:sz="4" w:space="0"/>
            </w:tcBorders>
            <w:vAlign w:val="center"/>
          </w:tcPr>
          <w:p>
            <w:pPr>
              <w:spacing w:line="460" w:lineRule="exact"/>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3、国有资金投资的建设工程依法必须进行招标的项目，评标委员会按规定否决不合格投标后，有效投标人只剩一家且投标报价为所有投标人报价中最高的，投标明显缺乏竞争的，评标委员会应当否决全部投标。</w:t>
            </w:r>
          </w:p>
        </w:tc>
      </w:tr>
    </w:tbl>
    <w:p>
      <w:pPr>
        <w:pStyle w:val="5"/>
        <w:spacing w:before="0" w:beforeAutospacing="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1.评标委员会组建和评标方法</w:t>
      </w:r>
    </w:p>
    <w:p>
      <w:pPr>
        <w:pStyle w:val="5"/>
        <w:adjustRightInd w:val="0"/>
        <w:snapToGrid w:val="0"/>
        <w:spacing w:before="0" w:beforeAutospacing="0"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1.1评标委员会组建：详见第二章投标人须知前附表</w:t>
      </w:r>
    </w:p>
    <w:p>
      <w:pPr>
        <w:pStyle w:val="5"/>
        <w:adjustRightInd w:val="0"/>
        <w:snapToGrid w:val="0"/>
        <w:spacing w:before="0" w:beforeAutospacing="0"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注：评标（评审）委员会成员在评标（评审）过程中有不良行为的，按《许昌市公共资源交易当事人不良行为管理暂行办法》记录其不良行为6—18个月；情节严重的，由主管部门取消评标（评审）专家资格。</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 投标报价也相等的，以监理大纲得分高的优先；如果监理大纲得分也相等，按照评标委员会投票的方式确定中标候选人顺序。</w:t>
      </w:r>
    </w:p>
    <w:p>
      <w:pPr>
        <w:adjustRightInd w:val="0"/>
        <w:snapToGrid w:val="0"/>
        <w:spacing w:line="460" w:lineRule="exact"/>
        <w:rPr>
          <w:rFonts w:hint="eastAsia" w:ascii="仿宋" w:hAnsi="仿宋" w:eastAsia="仿宋" w:cs="仿宋"/>
          <w:color w:val="auto"/>
          <w:sz w:val="24"/>
          <w:szCs w:val="24"/>
          <w:highlight w:val="none"/>
        </w:rPr>
      </w:pPr>
      <w:bookmarkStart w:id="53" w:name="_bookmark85"/>
      <w:bookmarkEnd w:id="53"/>
      <w:r>
        <w:rPr>
          <w:rFonts w:hint="eastAsia" w:ascii="仿宋" w:hAnsi="仿宋" w:eastAsia="仿宋" w:cs="仿宋"/>
          <w:color w:val="auto"/>
          <w:sz w:val="24"/>
          <w:szCs w:val="24"/>
          <w:highlight w:val="none"/>
        </w:rPr>
        <w:t>2.  评审标准</w:t>
      </w:r>
    </w:p>
    <w:p>
      <w:pPr>
        <w:adjustRightInd w:val="0"/>
        <w:snapToGrid w:val="0"/>
        <w:spacing w:line="460" w:lineRule="exact"/>
        <w:ind w:firstLine="480" w:firstLineChars="200"/>
        <w:rPr>
          <w:rFonts w:hint="eastAsia" w:ascii="仿宋" w:hAnsi="仿宋" w:eastAsia="仿宋" w:cs="仿宋"/>
          <w:color w:val="auto"/>
          <w:sz w:val="24"/>
          <w:szCs w:val="24"/>
          <w:highlight w:val="none"/>
        </w:rPr>
      </w:pPr>
      <w:bookmarkStart w:id="54" w:name="_bookmark86"/>
      <w:bookmarkEnd w:id="54"/>
      <w:r>
        <w:rPr>
          <w:rFonts w:hint="eastAsia" w:ascii="仿宋" w:hAnsi="仿宋" w:eastAsia="仿宋" w:cs="仿宋"/>
          <w:color w:val="auto"/>
          <w:sz w:val="24"/>
          <w:szCs w:val="24"/>
          <w:highlight w:val="none"/>
        </w:rPr>
        <w:t>2.1 初步评审标准</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形式评审标准：见评标办法前附表。</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资格评审标准：见评标办法前附表。</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响应性评审标准：见评标办法前附表。</w:t>
      </w:r>
    </w:p>
    <w:p>
      <w:pPr>
        <w:adjustRightInd w:val="0"/>
        <w:snapToGrid w:val="0"/>
        <w:spacing w:line="460" w:lineRule="exact"/>
        <w:ind w:firstLine="480" w:firstLineChars="200"/>
        <w:rPr>
          <w:rFonts w:hint="eastAsia" w:ascii="仿宋" w:hAnsi="仿宋" w:eastAsia="仿宋" w:cs="仿宋"/>
          <w:color w:val="auto"/>
          <w:sz w:val="24"/>
          <w:szCs w:val="24"/>
          <w:highlight w:val="none"/>
        </w:rPr>
      </w:pPr>
      <w:bookmarkStart w:id="55" w:name="_bookmark87"/>
      <w:bookmarkEnd w:id="55"/>
      <w:r>
        <w:rPr>
          <w:rFonts w:hint="eastAsia" w:ascii="仿宋" w:hAnsi="仿宋" w:eastAsia="仿宋" w:cs="仿宋"/>
          <w:color w:val="auto"/>
          <w:sz w:val="24"/>
          <w:szCs w:val="24"/>
          <w:highlight w:val="none"/>
        </w:rPr>
        <w:t>2.2 分值构成与评分标准</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分值构成</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（1）监理大纲部分：见评标办法前附表；</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（2）商务标部分：见评标办法前附表；</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2.2.2 评标基准价计算方法：见评标办法前附表。 </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 评分标准</w:t>
      </w:r>
    </w:p>
    <w:p>
      <w:pPr>
        <w:adjustRightInd w:val="0"/>
        <w:snapToGrid w:val="0"/>
        <w:spacing w:line="46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（1）监理大纲评分标准：见评标办法前附表；</w:t>
      </w:r>
    </w:p>
    <w:p>
      <w:pPr>
        <w:adjustRightInd w:val="0"/>
        <w:snapToGrid w:val="0"/>
        <w:spacing w:line="46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（2）商务标评分标准：见评标办法前附表；</w:t>
      </w:r>
    </w:p>
    <w:p>
      <w:pPr>
        <w:adjustRightInd w:val="0"/>
        <w:snapToGrid w:val="0"/>
        <w:spacing w:line="460" w:lineRule="exact"/>
        <w:rPr>
          <w:rFonts w:hint="eastAsia" w:ascii="仿宋" w:hAnsi="仿宋" w:eastAsia="仿宋" w:cs="仿宋"/>
          <w:color w:val="auto"/>
          <w:sz w:val="24"/>
          <w:szCs w:val="24"/>
          <w:highlight w:val="none"/>
        </w:rPr>
      </w:pPr>
      <w:bookmarkStart w:id="56" w:name="_bookmark88"/>
      <w:bookmarkEnd w:id="56"/>
      <w:r>
        <w:rPr>
          <w:rFonts w:hint="eastAsia" w:ascii="仿宋" w:hAnsi="仿宋" w:eastAsia="仿宋" w:cs="仿宋"/>
          <w:color w:val="auto"/>
          <w:sz w:val="24"/>
          <w:szCs w:val="24"/>
          <w:highlight w:val="none"/>
        </w:rPr>
        <w:t>3.  评标程序</w:t>
      </w:r>
    </w:p>
    <w:p>
      <w:pPr>
        <w:adjustRightInd w:val="0"/>
        <w:snapToGrid w:val="0"/>
        <w:spacing w:line="460" w:lineRule="exact"/>
        <w:ind w:firstLine="480" w:firstLineChars="200"/>
        <w:rPr>
          <w:rFonts w:hint="eastAsia" w:ascii="仿宋" w:hAnsi="仿宋" w:eastAsia="仿宋" w:cs="仿宋"/>
          <w:color w:val="auto"/>
          <w:sz w:val="24"/>
          <w:szCs w:val="24"/>
          <w:highlight w:val="none"/>
        </w:rPr>
      </w:pPr>
      <w:bookmarkStart w:id="57" w:name="_bookmark89"/>
      <w:bookmarkEnd w:id="57"/>
      <w:r>
        <w:rPr>
          <w:rFonts w:hint="eastAsia" w:ascii="仿宋" w:hAnsi="仿宋" w:eastAsia="仿宋" w:cs="仿宋"/>
          <w:color w:val="auto"/>
          <w:sz w:val="24"/>
          <w:szCs w:val="24"/>
          <w:highlight w:val="none"/>
        </w:rPr>
        <w:t>3.1  初步评审</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评标委员会可以要求投标人提交第二章“投标人须知”规定的有关证明和证件的原件，以便核验。评标委员会依据本章第 2.1 款规定的标准对投标文件进行初步评审。有一项不符合 评审标准的，评标委员会应当否决其投标。</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 投标人有以下情形之一的，评标委员会应当否决其投标：</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（1）投标文件没有对招标文件的实质性要求和条件作出响应，或者对招标文件的偏差超出 招标文件规定的偏差范围或最高项数；</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（2）有串通投标、弄虚作假、行贿等违法行为。</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 投标报价有算术错误及其他错误的，评标委员会按以下原则要求投标人对投标报价进 行修正，并要求投标人书面澄清确认。投标人拒不澄清确认的，评标委员会应当否决其投标：</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（1）投标文件中的大写金额与小写金额不一致的，以大写金额为准；</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（2）总价金额与单价金额不一致的，以单价金额为准，但单价金额小数点有明显错误的除外。</w:t>
      </w:r>
      <w:bookmarkStart w:id="58" w:name="_bookmark90"/>
      <w:bookmarkEnd w:id="58"/>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详细评审</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  评标委员会按本章第 2.2 款规定的量化因素和分值进行打分，并计算出综合评估得分。</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（1）按本章第 2.2.2（1）目规定的评审因素和分值对监理大纲计算出得分 A；</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（2）按本章第 2.2.2（2）目规定的评审因素和分值对商务标计算出得分 B；</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评分分值计算保留小数点后两位，小数点后第三位“四舍五入”。 分数汇总时，评委人数为7人以上（含7人）时，将各位评标专家对某一投标人评分中的最高分和最低分去掉后，剩余分数的算术平均值作为该投标人的最终得分。评委人数为7人以下时，将所有评委打分取算术平均值作为该投标人的最终得分。</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 投标人得分=A+B。</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bookmarkStart w:id="59" w:name="_bookmark91"/>
      <w:bookmarkEnd w:id="59"/>
    </w:p>
    <w:p>
      <w:pPr>
        <w:adjustRightInd w:val="0"/>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投标文件的澄清</w:t>
      </w:r>
    </w:p>
    <w:p>
      <w:pPr>
        <w:adjustRightInd w:val="0"/>
        <w:snapToGrid w:val="0"/>
        <w:spacing w:line="460" w:lineRule="exact"/>
        <w:ind w:firstLine="480" w:firstLineChars="200"/>
        <w:rPr>
          <w:rFonts w:hint="eastAsia" w:ascii="仿宋" w:hAnsi="仿宋" w:eastAsia="仿宋" w:cs="仿宋"/>
          <w:color w:val="auto"/>
          <w:sz w:val="24"/>
          <w:szCs w:val="24"/>
          <w:highlight w:val="none"/>
        </w:rPr>
      </w:pPr>
      <w:bookmarkStart w:id="60" w:name="_bookmark92"/>
      <w:bookmarkEnd w:id="60"/>
      <w:r>
        <w:rPr>
          <w:rFonts w:hint="eastAsia" w:ascii="仿宋" w:hAnsi="仿宋" w:eastAsia="仿宋" w:cs="仿宋"/>
          <w:color w:val="auto"/>
          <w:sz w:val="24"/>
          <w:szCs w:val="24"/>
          <w:highlight w:val="none"/>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评标委员会不得暗示或者诱导投标人作出澄清、说明，不得接受投标人主动提出的澄清、说明。</w:t>
      </w:r>
    </w:p>
    <w:p>
      <w:pPr>
        <w:adjustRightInd w:val="0"/>
        <w:snapToGrid w:val="0"/>
        <w:spacing w:line="46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除此之外，评标开始后，评标委员会不得再接受场外递交的任何材料。</w:t>
      </w:r>
    </w:p>
    <w:p>
      <w:pPr>
        <w:adjustRightInd w:val="0"/>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评标结果</w:t>
      </w:r>
    </w:p>
    <w:p>
      <w:pPr>
        <w:adjustRightInd w:val="0"/>
        <w:snapToGrid w:val="0"/>
        <w:spacing w:line="4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3.4.1 除第二章“投标人须知”前附表授权直接确定中标人外，评标委员会按照得分由高到低的顺序推荐中标候选人，并标明排序。</w:t>
      </w:r>
      <w:r>
        <w:rPr>
          <w:rFonts w:hint="eastAsia" w:ascii="仿宋" w:hAnsi="仿宋" w:eastAsia="仿宋" w:cs="仿宋"/>
          <w:b/>
          <w:color w:val="auto"/>
          <w:sz w:val="24"/>
          <w:szCs w:val="24"/>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评标委员会完成评标后，应当向招标人提交书面评标报告和中标候选人名单。评标委员会根据投标人须知前附表7.1条的规定向招标人提交评标报告。评标报告应当由全体评标委员会成员签字，并于评标结束时抄送有关行政监督部门。</w:t>
      </w:r>
    </w:p>
    <w:p>
      <w:pPr>
        <w:adjustRightInd w:val="0"/>
        <w:snapToGrid w:val="0"/>
        <w:spacing w:line="46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3.4.3</w:t>
      </w:r>
      <w:r>
        <w:rPr>
          <w:rFonts w:hint="eastAsia" w:ascii="仿宋" w:hAnsi="仿宋" w:eastAsia="仿宋" w:cs="仿宋"/>
          <w:b/>
          <w:bCs/>
          <w:color w:val="auto"/>
          <w:sz w:val="24"/>
          <w:szCs w:val="24"/>
          <w:highlight w:val="none"/>
        </w:rPr>
        <w:t>评标委员会对评标结果有异议的</w:t>
      </w:r>
    </w:p>
    <w:p>
      <w:pPr>
        <w:adjustRightInd w:val="0"/>
        <w:snapToGrid w:val="0"/>
        <w:spacing w:line="460" w:lineRule="exact"/>
        <w:ind w:firstLine="470" w:firstLineChars="200"/>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3.5公示</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中标人确定后，招标人应当在本招标项目招标公告发布的同一媒介上进行公示，公示时间不少于3日（不含法定节假日）。公示期满后，招标人应当向中标人发出中标通知书，并向所有合格投标人告知中标结果。</w:t>
      </w:r>
    </w:p>
    <w:p>
      <w:pPr>
        <w:adjustRightInd w:val="0"/>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特殊情况的处置程序</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3.6.1关于评标活动暂停</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3.6.1.1评标委员会应当执行连续评标的原则，按评标办法中规定的程序、内容、方法、标准完成全部评标工作。只有发生不可抗力导致评标工作无法继续时，评标活动方可暂停。</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3.6.1.2发生评标暂停情况时，评标委员会应当封存全部投标文件和评标记录，待不可抗力的影响结束且具备继续评标的条件时，由原评标委员会继续评标。</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3.6.2关于评标中途更换评标委员会成员</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3.6.2.1 除非发生下列情况之一，评标委员会成员不得在评标中途更换：</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（1）因不可抗拒的客观原因，不能到场或需在评标中途退出评标活动。</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（2）根据法律法规规定，某个或某几个评标委员会成员需要回避。</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3.6.2.2退出评标的评标委员会成员，其已完成的评标行为无效。由招标人根据本招标文件规定的评标委员会成员产生方式另行确定替代者进行评标。</w:t>
      </w:r>
    </w:p>
    <w:p>
      <w:pPr>
        <w:adjustRightInd w:val="0"/>
        <w:snapToGrid w:val="0"/>
        <w:spacing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3.6.2.3记名投票</w:t>
      </w:r>
    </w:p>
    <w:p>
      <w:pPr>
        <w:adjustRightInd w:val="0"/>
        <w:snapToGrid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在任何评标环节中，需评标委员会就某项定性的评审结论做出表决的，由评标委员会全体成员按照少数服从多数的原则，以记名投票方式表决。</w:t>
      </w:r>
    </w:p>
    <w:p>
      <w:pPr>
        <w:adjustRightInd w:val="0"/>
        <w:snapToGrid w:val="0"/>
        <w:spacing w:line="420" w:lineRule="exact"/>
        <w:jc w:val="center"/>
        <w:rPr>
          <w:rFonts w:hint="eastAsia" w:ascii="仿宋" w:hAnsi="仿宋" w:eastAsia="仿宋" w:cs="仿宋"/>
          <w:b/>
          <w:bCs/>
          <w:color w:val="auto"/>
          <w:sz w:val="36"/>
          <w:szCs w:val="36"/>
          <w:highlight w:val="none"/>
        </w:rPr>
      </w:pPr>
    </w:p>
    <w:p>
      <w:pPr>
        <w:pStyle w:val="5"/>
        <w:rPr>
          <w:rFonts w:hint="eastAsia" w:ascii="仿宋" w:hAnsi="仿宋" w:eastAsia="仿宋" w:cs="仿宋"/>
          <w:color w:val="auto"/>
          <w:highlight w:val="none"/>
        </w:rPr>
      </w:pPr>
    </w:p>
    <w:p>
      <w:pPr>
        <w:pStyle w:val="5"/>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36"/>
          <w:szCs w:val="36"/>
          <w:highlight w:val="none"/>
        </w:rPr>
        <w:br w:type="page"/>
      </w:r>
      <w:r>
        <w:rPr>
          <w:rFonts w:hint="eastAsia" w:ascii="仿宋" w:hAnsi="仿宋" w:eastAsia="仿宋" w:cs="仿宋"/>
          <w:b/>
          <w:bCs/>
          <w:color w:val="auto"/>
          <w:sz w:val="36"/>
          <w:szCs w:val="36"/>
          <w:highlight w:val="none"/>
        </w:rPr>
        <w:t>第四章   合同条款及格式</w:t>
      </w:r>
    </w:p>
    <w:p>
      <w:pPr>
        <w:spacing w:line="430" w:lineRule="exact"/>
        <w:outlineLvl w:val="0"/>
        <w:rPr>
          <w:rFonts w:hint="eastAsia" w:ascii="仿宋" w:hAnsi="仿宋" w:eastAsia="仿宋" w:cs="仿宋"/>
          <w:b/>
          <w:bCs/>
          <w:color w:val="auto"/>
          <w:sz w:val="24"/>
          <w:szCs w:val="24"/>
          <w:highlight w:val="none"/>
        </w:rPr>
      </w:pPr>
    </w:p>
    <w:p>
      <w:pPr>
        <w:snapToGrid w:val="0"/>
        <w:spacing w:line="360" w:lineRule="auto"/>
        <w:ind w:left="105" w:leftChars="31" w:firstLine="632" w:firstLineChars="225"/>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采用由中华人民共和国建设部与国家工商行政管理局联合制定的《建设工程委托监理合同》(示范文本GF-2012-0202)。</w:t>
      </w: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第五章   委托人要求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委托人要求应尽可能清晰准确，对于可以进行定量评估的工作，委托人要求不仅应明确规 定其功能、用途、质量、环境、安全，并且要规定偏差的范围和计算方法，以及检验、试验、 试运行的具体要求。对于监理人负责提供的有关服务，在委托人要求中应一并明确规定。</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委托人要求通常包括但不限于以下内容：</w:t>
      </w:r>
    </w:p>
    <w:p>
      <w:pPr>
        <w:spacing w:line="430" w:lineRule="exact"/>
        <w:rPr>
          <w:rFonts w:hint="eastAsia" w:ascii="仿宋" w:hAnsi="仿宋" w:eastAsia="仿宋" w:cs="仿宋"/>
          <w:color w:val="auto"/>
          <w:sz w:val="24"/>
          <w:szCs w:val="24"/>
          <w:highlight w:val="none"/>
        </w:rPr>
      </w:pPr>
      <w:bookmarkStart w:id="61" w:name="_bookmark163"/>
      <w:bookmarkEnd w:id="61"/>
      <w:r>
        <w:rPr>
          <w:rFonts w:hint="eastAsia" w:ascii="仿宋" w:hAnsi="仿宋" w:eastAsia="仿宋" w:cs="仿宋"/>
          <w:color w:val="auto"/>
          <w:sz w:val="24"/>
          <w:szCs w:val="24"/>
          <w:highlight w:val="none"/>
        </w:rPr>
        <w:t>一、监理要求</w:t>
      </w:r>
      <w:bookmarkStart w:id="92" w:name="_GoBack"/>
      <w:bookmarkEnd w:id="92"/>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招标人应当根据项目情况在本章中明确相应的监理要求，一般应包括以下内容：</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项目概况 包括项目名称、建设单位、建设规模、项目地理位置、周边环境、树木情况、文物情况、</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地址地貌、气候及气象条件、道路交通状况、市政情况等。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监理范围及内容</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监理依据</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监理人员和试验检测仪器设备要求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其他要求</w:t>
      </w:r>
    </w:p>
    <w:p>
      <w:pPr>
        <w:spacing w:line="430" w:lineRule="exact"/>
        <w:rPr>
          <w:rFonts w:hint="eastAsia" w:ascii="仿宋" w:hAnsi="仿宋" w:eastAsia="仿宋" w:cs="仿宋"/>
          <w:color w:val="auto"/>
          <w:sz w:val="24"/>
          <w:szCs w:val="24"/>
          <w:highlight w:val="none"/>
        </w:rPr>
      </w:pPr>
      <w:bookmarkStart w:id="62" w:name="_bookmark164"/>
      <w:bookmarkEnd w:id="62"/>
      <w:r>
        <w:rPr>
          <w:rFonts w:hint="eastAsia" w:ascii="仿宋" w:hAnsi="仿宋" w:eastAsia="仿宋" w:cs="仿宋"/>
          <w:color w:val="auto"/>
          <w:sz w:val="24"/>
          <w:szCs w:val="24"/>
          <w:highlight w:val="none"/>
        </w:rPr>
        <w:t>二、适用规范标准</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国家、行业、项目所在地规范名录</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国家、行业、项目所在地标准名录</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国家、行业、项目所在地规程名录</w:t>
      </w:r>
    </w:p>
    <w:p>
      <w:pPr>
        <w:spacing w:line="430" w:lineRule="exact"/>
        <w:rPr>
          <w:rFonts w:hint="eastAsia" w:ascii="仿宋" w:hAnsi="仿宋" w:eastAsia="仿宋" w:cs="仿宋"/>
          <w:color w:val="auto"/>
          <w:sz w:val="24"/>
          <w:szCs w:val="24"/>
          <w:highlight w:val="none"/>
        </w:rPr>
      </w:pPr>
      <w:bookmarkStart w:id="63" w:name="_bookmark165"/>
      <w:bookmarkEnd w:id="63"/>
      <w:r>
        <w:rPr>
          <w:rFonts w:hint="eastAsia" w:ascii="仿宋" w:hAnsi="仿宋" w:eastAsia="仿宋" w:cs="仿宋"/>
          <w:color w:val="auto"/>
          <w:sz w:val="24"/>
          <w:szCs w:val="24"/>
          <w:highlight w:val="none"/>
        </w:rPr>
        <w:t>三、成果文件要求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成果文件的组成</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成果文件的深度</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成果文件的格式要求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成果文件的份数要求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成果文件的载体要求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（1）纸质版的要求；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（2）电子版的要求；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（3）其他要求。</w:t>
      </w:r>
    </w:p>
    <w:p>
      <w:pPr>
        <w:spacing w:line="430" w:lineRule="exact"/>
        <w:ind w:firstLine="480" w:firstLineChars="200"/>
        <w:rPr>
          <w:rFonts w:hint="eastAsia" w:ascii="仿宋" w:hAnsi="仿宋" w:eastAsia="仿宋" w:cs="仿宋"/>
          <w:color w:val="auto"/>
          <w:sz w:val="24"/>
          <w:szCs w:val="24"/>
          <w:highlight w:val="none"/>
        </w:rPr>
        <w:sectPr>
          <w:pgSz w:w="12240" w:h="15840"/>
          <w:pgMar w:top="1400" w:right="1680" w:bottom="1120" w:left="1700" w:header="0" w:footer="921" w:gutter="0"/>
          <w:cols w:space="720" w:num="1"/>
        </w:sectPr>
      </w:pP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成果文件的其他要求</w:t>
      </w:r>
    </w:p>
    <w:p>
      <w:pPr>
        <w:spacing w:line="430" w:lineRule="exact"/>
        <w:rPr>
          <w:rFonts w:hint="eastAsia" w:ascii="仿宋" w:hAnsi="仿宋" w:eastAsia="仿宋" w:cs="仿宋"/>
          <w:color w:val="auto"/>
          <w:sz w:val="24"/>
          <w:szCs w:val="24"/>
          <w:highlight w:val="none"/>
        </w:rPr>
      </w:pPr>
      <w:bookmarkStart w:id="64" w:name="_bookmark166"/>
      <w:bookmarkEnd w:id="64"/>
      <w:r>
        <w:rPr>
          <w:rFonts w:hint="eastAsia" w:ascii="仿宋" w:hAnsi="仿宋" w:eastAsia="仿宋" w:cs="仿宋"/>
          <w:color w:val="auto"/>
          <w:sz w:val="24"/>
          <w:szCs w:val="24"/>
          <w:highlight w:val="none"/>
        </w:rPr>
        <w:t>四、委托人财产清单</w:t>
      </w:r>
    </w:p>
    <w:p>
      <w:pPr>
        <w:spacing w:line="430" w:lineRule="exact"/>
        <w:ind w:firstLine="480" w:firstLineChars="200"/>
        <w:rPr>
          <w:rFonts w:hint="eastAsia" w:ascii="仿宋" w:hAnsi="仿宋" w:eastAsia="仿宋" w:cs="仿宋"/>
          <w:color w:val="auto"/>
          <w:sz w:val="24"/>
          <w:szCs w:val="24"/>
          <w:highlight w:val="none"/>
        </w:rPr>
      </w:pPr>
      <w:bookmarkStart w:id="65" w:name="_bookmark167"/>
      <w:bookmarkEnd w:id="65"/>
      <w:r>
        <w:rPr>
          <w:rFonts w:hint="eastAsia" w:ascii="仿宋" w:hAnsi="仿宋" w:eastAsia="仿宋" w:cs="仿宋"/>
          <w:color w:val="auto"/>
          <w:sz w:val="24"/>
          <w:szCs w:val="24"/>
          <w:highlight w:val="none"/>
        </w:rPr>
        <w:t>（一）委托人提供的设备、设施</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委托人提供的办公房屋及冷暖设施：如办公室数量及面积、空调等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委托人提供的设备清单：如电脑、投影、打印机、复印机等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委托人提供的设施清单：如办公桌椅、文件柜等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430" w:lineRule="exact"/>
        <w:ind w:firstLine="480" w:firstLineChars="200"/>
        <w:rPr>
          <w:rFonts w:hint="eastAsia" w:ascii="仿宋" w:hAnsi="仿宋" w:eastAsia="仿宋" w:cs="仿宋"/>
          <w:color w:val="auto"/>
          <w:sz w:val="24"/>
          <w:szCs w:val="24"/>
          <w:highlight w:val="none"/>
        </w:rPr>
      </w:pPr>
      <w:bookmarkStart w:id="66" w:name="_bookmark168"/>
      <w:bookmarkEnd w:id="66"/>
      <w:r>
        <w:rPr>
          <w:rFonts w:hint="eastAsia" w:ascii="仿宋" w:hAnsi="仿宋" w:eastAsia="仿宋" w:cs="仿宋"/>
          <w:color w:val="auto"/>
          <w:sz w:val="24"/>
          <w:szCs w:val="24"/>
          <w:highlight w:val="none"/>
        </w:rPr>
        <w:t>（二）委托人提供的资料</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施工场地及毗邻区域内的供水、排水、供电、供气、供热、通信、广播电视等地下管线 资料、气象和水文观测资料，相邻建筑物和构筑物、地下工程的有关资料，以及其他与建设工 程有关的原始资料</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定位放线的基准点、基准线和基准标高</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委托人取得的有关审批、核准和备案材料</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勘察文件、设计文件等资料</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技术标准、规范</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工程承包合同及其他相关合同</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其他资料</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430" w:lineRule="exact"/>
        <w:ind w:firstLine="480" w:firstLineChars="200"/>
        <w:rPr>
          <w:rFonts w:hint="eastAsia" w:ascii="仿宋" w:hAnsi="仿宋" w:eastAsia="仿宋" w:cs="仿宋"/>
          <w:color w:val="auto"/>
          <w:sz w:val="24"/>
          <w:szCs w:val="24"/>
          <w:highlight w:val="none"/>
        </w:rPr>
      </w:pPr>
      <w:bookmarkStart w:id="67" w:name="_bookmark169"/>
      <w:bookmarkEnd w:id="67"/>
      <w:r>
        <w:rPr>
          <w:rFonts w:hint="eastAsia" w:ascii="仿宋" w:hAnsi="仿宋" w:eastAsia="仿宋" w:cs="仿宋"/>
          <w:color w:val="auto"/>
          <w:sz w:val="24"/>
          <w:szCs w:val="24"/>
          <w:highlight w:val="none"/>
        </w:rPr>
        <w:t>（三）委托人财产使用要求及退还要求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委托人财产使用要求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委托人财产退还要求</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430" w:lineRule="exact"/>
        <w:ind w:firstLine="480" w:firstLineChars="200"/>
        <w:rPr>
          <w:rFonts w:hint="eastAsia" w:ascii="仿宋" w:hAnsi="仿宋" w:eastAsia="仿宋" w:cs="仿宋"/>
          <w:color w:val="auto"/>
          <w:sz w:val="24"/>
          <w:szCs w:val="24"/>
          <w:highlight w:val="none"/>
        </w:rPr>
      </w:pPr>
      <w:bookmarkStart w:id="68" w:name="_bookmark170"/>
      <w:bookmarkEnd w:id="68"/>
      <w:r>
        <w:rPr>
          <w:rFonts w:hint="eastAsia" w:ascii="仿宋" w:hAnsi="仿宋" w:eastAsia="仿宋" w:cs="仿宋"/>
          <w:color w:val="auto"/>
          <w:sz w:val="24"/>
          <w:szCs w:val="24"/>
          <w:highlight w:val="none"/>
        </w:rPr>
        <w:t>五、委托人提供的便利条件</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委托人提供的生活条件</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委托人提供的交通条件</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委托人提供的网络、通讯条件</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委托人提供的协助人员</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spacing w:line="430" w:lineRule="exact"/>
        <w:ind w:firstLine="480" w:firstLineChars="200"/>
        <w:rPr>
          <w:rFonts w:hint="eastAsia" w:ascii="仿宋" w:hAnsi="仿宋" w:eastAsia="仿宋" w:cs="仿宋"/>
          <w:color w:val="auto"/>
          <w:sz w:val="24"/>
          <w:szCs w:val="24"/>
          <w:highlight w:val="none"/>
        </w:rPr>
      </w:pPr>
      <w:bookmarkStart w:id="69" w:name="_bookmark171"/>
      <w:bookmarkEnd w:id="69"/>
      <w:r>
        <w:rPr>
          <w:rFonts w:hint="eastAsia" w:ascii="仿宋" w:hAnsi="仿宋" w:eastAsia="仿宋" w:cs="仿宋"/>
          <w:color w:val="auto"/>
          <w:sz w:val="24"/>
          <w:szCs w:val="24"/>
          <w:highlight w:val="none"/>
        </w:rPr>
        <w:t>六、监理人需要自备的工作条件</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监理人自备的工作手册：如本项目必备的规范标准、图集等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监理人自备的办公设备：如电脑、软件、投影、打印机、复印机、照相机等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监理人自备的交通工具：如出行车辆等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监理人自备的现场办公设施：如办公桌椅、文件柜等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监理人自备的安全设施：如安全帽、安全鞋、手电筒等</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监理人自备的试验检测仪器、设备、工具</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监理人自备的试验用房、样品用房</w:t>
      </w:r>
    </w:p>
    <w:p>
      <w:pPr>
        <w:spacing w:line="4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autoSpaceDE w:val="0"/>
        <w:autoSpaceDN w:val="0"/>
        <w:adjustRightInd w:val="0"/>
        <w:jc w:val="center"/>
        <w:outlineLvl w:val="0"/>
        <w:rPr>
          <w:rFonts w:hint="eastAsia" w:ascii="仿宋" w:hAnsi="仿宋" w:eastAsia="仿宋" w:cs="仿宋"/>
          <w:b/>
          <w:bCs/>
          <w:color w:val="auto"/>
          <w:sz w:val="36"/>
          <w:szCs w:val="36"/>
          <w:highlight w:val="none"/>
        </w:rPr>
      </w:pPr>
      <w:bookmarkStart w:id="70" w:name="_bookmark172"/>
      <w:bookmarkEnd w:id="70"/>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p>
    <w:p>
      <w:pPr>
        <w:autoSpaceDE w:val="0"/>
        <w:autoSpaceDN w:val="0"/>
        <w:adjustRightInd w:val="0"/>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第六章  </w:t>
      </w:r>
      <w:bookmarkStart w:id="71" w:name="_Toc278443525"/>
      <w:bookmarkEnd w:id="71"/>
      <w:r>
        <w:rPr>
          <w:rFonts w:hint="eastAsia" w:ascii="仿宋" w:hAnsi="仿宋" w:eastAsia="仿宋" w:cs="仿宋"/>
          <w:b/>
          <w:bCs/>
          <w:color w:val="auto"/>
          <w:sz w:val="36"/>
          <w:szCs w:val="36"/>
          <w:highlight w:val="none"/>
        </w:rPr>
        <w:t>投标文件格式</w:t>
      </w:r>
    </w:p>
    <w:p>
      <w:pPr>
        <w:ind w:left="180"/>
        <w:jc w:val="center"/>
        <w:rPr>
          <w:rFonts w:hint="eastAsia" w:ascii="仿宋" w:hAnsi="仿宋" w:eastAsia="仿宋" w:cs="仿宋"/>
          <w:b/>
          <w:bCs/>
          <w:color w:val="auto"/>
          <w:sz w:val="24"/>
          <w:szCs w:val="24"/>
          <w:highlight w:val="none"/>
        </w:rPr>
      </w:pPr>
    </w:p>
    <w:p>
      <w:pPr>
        <w:ind w:left="180"/>
        <w:jc w:val="righ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正（副）本</w:t>
      </w:r>
    </w:p>
    <w:p>
      <w:pPr>
        <w:ind w:left="180"/>
        <w:jc w:val="right"/>
        <w:rPr>
          <w:rFonts w:hint="eastAsia" w:ascii="仿宋" w:hAnsi="仿宋" w:eastAsia="仿宋" w:cs="仿宋"/>
          <w:b/>
          <w:bCs/>
          <w:color w:val="auto"/>
          <w:sz w:val="32"/>
          <w:szCs w:val="32"/>
          <w:highlight w:val="none"/>
        </w:rPr>
      </w:pPr>
    </w:p>
    <w:p>
      <w:pPr>
        <w:ind w:left="18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u w:val="single"/>
        </w:rPr>
        <w:t xml:space="preserve">                   (项目名称)/标段 </w:t>
      </w:r>
    </w:p>
    <w:p>
      <w:pPr>
        <w:ind w:left="180"/>
        <w:rPr>
          <w:rFonts w:hint="eastAsia" w:ascii="仿宋" w:hAnsi="仿宋" w:eastAsia="仿宋" w:cs="仿宋"/>
          <w:color w:val="auto"/>
          <w:sz w:val="32"/>
          <w:szCs w:val="32"/>
          <w:highlight w:val="none"/>
        </w:rPr>
      </w:pPr>
    </w:p>
    <w:p>
      <w:pPr>
        <w:ind w:left="180"/>
        <w:rPr>
          <w:rFonts w:hint="eastAsia" w:ascii="仿宋" w:hAnsi="仿宋" w:eastAsia="仿宋" w:cs="仿宋"/>
          <w:color w:val="auto"/>
          <w:sz w:val="32"/>
          <w:szCs w:val="32"/>
          <w:highlight w:val="none"/>
        </w:rPr>
      </w:pPr>
    </w:p>
    <w:p>
      <w:pPr>
        <w:ind w:left="18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监 理 投 标 文 件</w:t>
      </w:r>
    </w:p>
    <w:p>
      <w:pPr>
        <w:ind w:left="180"/>
        <w:rPr>
          <w:rFonts w:hint="eastAsia" w:ascii="仿宋" w:hAnsi="仿宋" w:eastAsia="仿宋" w:cs="仿宋"/>
          <w:color w:val="auto"/>
          <w:sz w:val="32"/>
          <w:szCs w:val="32"/>
          <w:highlight w:val="none"/>
        </w:rPr>
      </w:pPr>
    </w:p>
    <w:p>
      <w:pPr>
        <w:ind w:left="292" w:leftChars="86" w:firstLine="3200" w:firstLineChars="10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项目编号： </w:t>
      </w:r>
    </w:p>
    <w:p>
      <w:pPr>
        <w:ind w:left="180"/>
        <w:rPr>
          <w:rFonts w:hint="eastAsia" w:ascii="仿宋" w:hAnsi="仿宋" w:eastAsia="仿宋" w:cs="仿宋"/>
          <w:color w:val="auto"/>
          <w:sz w:val="32"/>
          <w:szCs w:val="32"/>
          <w:highlight w:val="none"/>
        </w:rPr>
      </w:pPr>
    </w:p>
    <w:p>
      <w:pPr>
        <w:ind w:left="180"/>
        <w:rPr>
          <w:rFonts w:hint="eastAsia" w:ascii="仿宋" w:hAnsi="仿宋" w:eastAsia="仿宋" w:cs="仿宋"/>
          <w:color w:val="auto"/>
          <w:sz w:val="32"/>
          <w:szCs w:val="32"/>
          <w:highlight w:val="none"/>
        </w:rPr>
      </w:pPr>
    </w:p>
    <w:p>
      <w:pPr>
        <w:ind w:left="180"/>
        <w:rPr>
          <w:rFonts w:hint="eastAsia" w:ascii="仿宋" w:hAnsi="仿宋" w:eastAsia="仿宋" w:cs="仿宋"/>
          <w:color w:val="auto"/>
          <w:sz w:val="32"/>
          <w:szCs w:val="32"/>
          <w:highlight w:val="none"/>
        </w:rPr>
      </w:pPr>
    </w:p>
    <w:p>
      <w:pPr>
        <w:ind w:left="180"/>
        <w:rPr>
          <w:rFonts w:hint="eastAsia" w:ascii="仿宋" w:hAnsi="仿宋" w:eastAsia="仿宋" w:cs="仿宋"/>
          <w:color w:val="auto"/>
          <w:sz w:val="32"/>
          <w:szCs w:val="32"/>
          <w:highlight w:val="none"/>
        </w:rPr>
      </w:pPr>
    </w:p>
    <w:p>
      <w:pPr>
        <w:ind w:left="180"/>
        <w:rPr>
          <w:rFonts w:hint="eastAsia" w:ascii="仿宋" w:hAnsi="仿宋" w:eastAsia="仿宋" w:cs="仿宋"/>
          <w:color w:val="auto"/>
          <w:sz w:val="32"/>
          <w:szCs w:val="32"/>
          <w:highlight w:val="none"/>
        </w:rPr>
      </w:pPr>
    </w:p>
    <w:p>
      <w:pPr>
        <w:ind w:left="18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投标人:(盖单位章)</w:t>
      </w:r>
    </w:p>
    <w:p>
      <w:pPr>
        <w:ind w:left="180"/>
        <w:jc w:val="center"/>
        <w:rPr>
          <w:rFonts w:hint="eastAsia" w:ascii="仿宋" w:hAnsi="仿宋" w:eastAsia="仿宋" w:cs="仿宋"/>
          <w:b/>
          <w:bCs/>
          <w:color w:val="auto"/>
          <w:sz w:val="30"/>
          <w:szCs w:val="30"/>
          <w:highlight w:val="none"/>
        </w:rPr>
      </w:pPr>
    </w:p>
    <w:p>
      <w:pPr>
        <w:ind w:left="18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法定代表人或其委托代理人:(签字或盖章)</w:t>
      </w:r>
    </w:p>
    <w:p>
      <w:pPr>
        <w:ind w:left="180"/>
        <w:jc w:val="center"/>
        <w:rPr>
          <w:rFonts w:hint="eastAsia" w:ascii="仿宋" w:hAnsi="仿宋" w:eastAsia="仿宋" w:cs="仿宋"/>
          <w:b/>
          <w:bCs/>
          <w:color w:val="auto"/>
          <w:sz w:val="30"/>
          <w:szCs w:val="30"/>
          <w:highlight w:val="none"/>
        </w:rPr>
      </w:pPr>
    </w:p>
    <w:p>
      <w:pPr>
        <w:ind w:left="18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年</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月</w:t>
      </w:r>
      <w:r>
        <w:rPr>
          <w:rFonts w:hint="eastAsia" w:ascii="仿宋" w:hAnsi="仿宋" w:eastAsia="仿宋" w:cs="仿宋"/>
          <w:b/>
          <w:bCs/>
          <w:color w:val="auto"/>
          <w:sz w:val="30"/>
          <w:szCs w:val="30"/>
          <w:highlight w:val="none"/>
          <w:lang w:val="en-US" w:eastAsia="zh-CN"/>
        </w:rPr>
        <w:t xml:space="preserve">  </w:t>
      </w:r>
      <w:r>
        <w:rPr>
          <w:rFonts w:hint="eastAsia" w:ascii="仿宋" w:hAnsi="仿宋" w:eastAsia="仿宋" w:cs="仿宋"/>
          <w:b/>
          <w:bCs/>
          <w:color w:val="auto"/>
          <w:sz w:val="30"/>
          <w:szCs w:val="30"/>
          <w:highlight w:val="none"/>
        </w:rPr>
        <w:t>日</w:t>
      </w:r>
    </w:p>
    <w:p>
      <w:pPr>
        <w:pStyle w:val="5"/>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spacing w:line="360" w:lineRule="auto"/>
        <w:jc w:val="center"/>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44"/>
          <w:szCs w:val="44"/>
          <w:highlight w:val="none"/>
        </w:rPr>
        <w:t>目   录</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一、投标函</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二、投标函附录；</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三、法定代表人身份证明或附有法定代表人证明的授权委托书；</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四、投标保证金；</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五、监理单位综合情况；</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六、拟派本项目监理机构及主要人员；</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七、服务承诺；</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八、近年完成的类似项目情况；</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九、正在监理和新承接的项目情况；</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十、近年发生的诉讼及仲裁情况；</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十一、投标人认为有必要的其它证明材料；</w:t>
      </w:r>
    </w:p>
    <w:p>
      <w:pPr>
        <w:autoSpaceDE w:val="0"/>
        <w:autoSpaceDN w:val="0"/>
        <w:adjustRightInd w:val="0"/>
        <w:spacing w:line="420" w:lineRule="exact"/>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十二、监理大纲</w:t>
      </w:r>
    </w:p>
    <w:p>
      <w:pPr>
        <w:autoSpaceDE w:val="0"/>
        <w:autoSpaceDN w:val="0"/>
        <w:adjustRightInd w:val="0"/>
        <w:spacing w:line="420" w:lineRule="exact"/>
        <w:ind w:firstLine="960" w:firstLineChars="4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1、质量控制</w:t>
      </w:r>
    </w:p>
    <w:p>
      <w:pPr>
        <w:autoSpaceDE w:val="0"/>
        <w:autoSpaceDN w:val="0"/>
        <w:adjustRightInd w:val="0"/>
        <w:spacing w:line="420" w:lineRule="exact"/>
        <w:ind w:firstLine="960" w:firstLineChars="4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2、进度控制</w:t>
      </w:r>
    </w:p>
    <w:p>
      <w:pPr>
        <w:autoSpaceDE w:val="0"/>
        <w:autoSpaceDN w:val="0"/>
        <w:adjustRightInd w:val="0"/>
        <w:spacing w:line="420" w:lineRule="exact"/>
        <w:ind w:firstLine="960" w:firstLineChars="4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3、造价控制</w:t>
      </w:r>
    </w:p>
    <w:p>
      <w:pPr>
        <w:autoSpaceDE w:val="0"/>
        <w:autoSpaceDN w:val="0"/>
        <w:adjustRightInd w:val="0"/>
        <w:spacing w:line="420" w:lineRule="exact"/>
        <w:ind w:firstLine="960" w:firstLineChars="4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4、安全措施</w:t>
      </w:r>
    </w:p>
    <w:p>
      <w:pPr>
        <w:autoSpaceDE w:val="0"/>
        <w:autoSpaceDN w:val="0"/>
        <w:adjustRightInd w:val="0"/>
        <w:spacing w:line="420" w:lineRule="exact"/>
        <w:ind w:firstLine="952" w:firstLineChars="397"/>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5、旁站监理措施</w:t>
      </w:r>
    </w:p>
    <w:p>
      <w:pPr>
        <w:autoSpaceDE w:val="0"/>
        <w:autoSpaceDN w:val="0"/>
        <w:adjustRightInd w:val="0"/>
        <w:spacing w:line="420" w:lineRule="exact"/>
        <w:ind w:firstLine="960" w:firstLineChars="4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6、档案及合同管理</w:t>
      </w:r>
    </w:p>
    <w:p>
      <w:pPr>
        <w:autoSpaceDE w:val="0"/>
        <w:autoSpaceDN w:val="0"/>
        <w:adjustRightInd w:val="0"/>
        <w:spacing w:line="420" w:lineRule="exact"/>
        <w:ind w:firstLine="960" w:firstLineChars="4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7、工作制度</w:t>
      </w:r>
    </w:p>
    <w:p>
      <w:pPr>
        <w:autoSpaceDE w:val="0"/>
        <w:autoSpaceDN w:val="0"/>
        <w:adjustRightInd w:val="0"/>
        <w:spacing w:line="420" w:lineRule="exact"/>
        <w:ind w:firstLine="960" w:firstLineChars="4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8、组织协调及合理化建议</w:t>
      </w:r>
    </w:p>
    <w:p>
      <w:pPr>
        <w:autoSpaceDE w:val="0"/>
        <w:autoSpaceDN w:val="0"/>
        <w:adjustRightInd w:val="0"/>
        <w:spacing w:line="420" w:lineRule="exact"/>
        <w:outlineLvl w:val="0"/>
        <w:rPr>
          <w:rFonts w:hint="eastAsia" w:ascii="仿宋" w:hAnsi="仿宋" w:eastAsia="仿宋" w:cs="仿宋"/>
          <w:color w:val="auto"/>
          <w:sz w:val="24"/>
          <w:szCs w:val="24"/>
          <w:highlight w:val="none"/>
        </w:rPr>
      </w:pPr>
    </w:p>
    <w:p>
      <w:pPr>
        <w:spacing w:line="600" w:lineRule="exact"/>
        <w:ind w:left="1377" w:leftChars="40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投标文件编制过程中应按本章提供的格式填报。</w:t>
      </w:r>
    </w:p>
    <w:p>
      <w:pPr>
        <w:spacing w:line="600" w:lineRule="exact"/>
        <w:ind w:left="1377" w:leftChars="40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如有本章未提供的格式，投标人可自行编制。</w:t>
      </w:r>
      <w:bookmarkStart w:id="72" w:name="_bookmark176"/>
      <w:bookmarkEnd w:id="72"/>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20"/>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一、投标函及投标函附录</w:t>
      </w:r>
    </w:p>
    <w:p>
      <w:pPr>
        <w:pStyle w:val="25"/>
        <w:adjustRightInd w:val="0"/>
        <w:snapToGrid w:val="0"/>
        <w:spacing w:line="360" w:lineRule="auto"/>
        <w:jc w:val="center"/>
        <w:rPr>
          <w:rFonts w:hint="eastAsia" w:ascii="仿宋" w:hAnsi="仿宋" w:eastAsia="仿宋" w:cs="仿宋"/>
          <w:color w:val="auto"/>
          <w:sz w:val="21"/>
          <w:szCs w:val="21"/>
          <w:highlight w:val="none"/>
        </w:rPr>
      </w:pPr>
      <w:bookmarkStart w:id="73" w:name="_bookmark177"/>
      <w:bookmarkEnd w:id="73"/>
      <w:r>
        <w:rPr>
          <w:rFonts w:hint="eastAsia" w:ascii="仿宋" w:hAnsi="仿宋" w:eastAsia="仿宋" w:cs="仿宋"/>
          <w:color w:val="auto"/>
          <w:sz w:val="21"/>
          <w:szCs w:val="21"/>
          <w:highlight w:val="none"/>
        </w:rPr>
        <w:t>（一）投标函</w:t>
      </w:r>
    </w:p>
    <w:p>
      <w:pPr>
        <w:autoSpaceDE w:val="0"/>
        <w:autoSpaceDN w:val="0"/>
        <w:adjustRightInd w:val="0"/>
        <w:spacing w:line="42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p>
    <w:p>
      <w:pPr>
        <w:spacing w:line="42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我们收到了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监理项目的招标文件，经详细研究，我们决定参加该项目投标活动并投标，我们郑重声明以下诸点并负法律责任。</w:t>
      </w:r>
    </w:p>
    <w:p>
      <w:pPr>
        <w:spacing w:line="42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我方授权</w:t>
      </w:r>
      <w:r>
        <w:rPr>
          <w:rFonts w:hint="eastAsia" w:ascii="仿宋" w:hAnsi="仿宋" w:eastAsia="仿宋" w:cs="仿宋"/>
          <w:color w:val="auto"/>
          <w:sz w:val="24"/>
          <w:szCs w:val="24"/>
          <w:highlight w:val="none"/>
          <w:u w:val="single"/>
        </w:rPr>
        <w:t>（姓名、职务）</w:t>
      </w:r>
      <w:r>
        <w:rPr>
          <w:rFonts w:hint="eastAsia" w:ascii="仿宋" w:hAnsi="仿宋" w:eastAsia="仿宋" w:cs="仿宋"/>
          <w:color w:val="auto"/>
          <w:sz w:val="24"/>
          <w:szCs w:val="24"/>
          <w:highlight w:val="none"/>
        </w:rPr>
        <w:t>作为全权代表负责该工程投标及处理有关事宜。</w:t>
      </w:r>
    </w:p>
    <w:p>
      <w:pPr>
        <w:spacing w:line="42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color w:val="auto"/>
          <w:sz w:val="24"/>
          <w:szCs w:val="24"/>
          <w:highlight w:val="none"/>
        </w:rPr>
        <w:t>愿按照招标文件中的条款和要求，提供施工阶段的工程监理服务，监理费报价为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，服务期限为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，项目总监为：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42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color w:val="auto"/>
          <w:sz w:val="24"/>
          <w:szCs w:val="24"/>
          <w:highlight w:val="none"/>
        </w:rPr>
        <w:t>如果我们中标，我们保证按照招标文件的要求和招标人签订工程监理合同，按招标文件要求选派总监理工程师及监理工程师进驻施工现场实施监理合同。</w:t>
      </w:r>
    </w:p>
    <w:p>
      <w:pPr>
        <w:spacing w:line="42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4、</w:t>
      </w:r>
      <w:r>
        <w:rPr>
          <w:rFonts w:hint="eastAsia" w:ascii="仿宋" w:hAnsi="仿宋" w:eastAsia="仿宋" w:cs="仿宋"/>
          <w:color w:val="auto"/>
          <w:sz w:val="24"/>
          <w:szCs w:val="24"/>
          <w:highlight w:val="none"/>
        </w:rPr>
        <w:t>我们按照招标文件中的规定，认定本投标文件的有效期为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天，如果中标，有效期延长至合同终止日止。</w:t>
      </w:r>
    </w:p>
    <w:p>
      <w:pPr>
        <w:spacing w:line="42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5、</w:t>
      </w:r>
      <w:r>
        <w:rPr>
          <w:rFonts w:hint="eastAsia" w:ascii="仿宋" w:hAnsi="仿宋" w:eastAsia="仿宋" w:cs="仿宋"/>
          <w:color w:val="auto"/>
          <w:sz w:val="24"/>
          <w:szCs w:val="24"/>
          <w:highlight w:val="none"/>
        </w:rPr>
        <w:t>我们愿按招标文件规定，提供招标文件中要求的所有文件资料。</w:t>
      </w:r>
    </w:p>
    <w:p>
      <w:pPr>
        <w:spacing w:line="42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6、</w:t>
      </w:r>
      <w:r>
        <w:rPr>
          <w:rFonts w:hint="eastAsia" w:ascii="仿宋" w:hAnsi="仿宋" w:eastAsia="仿宋" w:cs="仿宋"/>
          <w:color w:val="auto"/>
          <w:sz w:val="24"/>
          <w:szCs w:val="24"/>
          <w:highlight w:val="none"/>
        </w:rPr>
        <w:t>我们同意从投标之日起至本工程竣工移交止均遵守本投标文件，在此期限满之前的任何时间，本投标文件一直对我们具有约束力。</w:t>
      </w:r>
    </w:p>
    <w:p>
      <w:pPr>
        <w:spacing w:line="48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7、</w:t>
      </w:r>
      <w:r>
        <w:rPr>
          <w:rFonts w:hint="eastAsia" w:ascii="仿宋" w:hAnsi="仿宋" w:eastAsia="仿宋" w:cs="仿宋"/>
          <w:color w:val="auto"/>
          <w:sz w:val="24"/>
          <w:szCs w:val="24"/>
          <w:highlight w:val="none"/>
        </w:rPr>
        <w:t>我们愿按《中华人民共和国合同法》履行自己的全部责任。</w:t>
      </w:r>
    </w:p>
    <w:p>
      <w:pPr>
        <w:spacing w:line="48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8、</w:t>
      </w:r>
      <w:r>
        <w:rPr>
          <w:rFonts w:hint="eastAsia" w:ascii="仿宋" w:hAnsi="仿宋" w:eastAsia="仿宋" w:cs="仿宋"/>
          <w:color w:val="auto"/>
          <w:sz w:val="24"/>
          <w:szCs w:val="24"/>
          <w:highlight w:val="none"/>
        </w:rPr>
        <w:t>若我方中标，我方愿意按有关文件规定缴纳招标代理费用。</w:t>
      </w:r>
    </w:p>
    <w:p>
      <w:pPr>
        <w:spacing w:line="420" w:lineRule="auto"/>
        <w:ind w:firstLine="480" w:firstLineChars="200"/>
        <w:rPr>
          <w:rFonts w:hint="eastAsia" w:ascii="仿宋" w:hAnsi="仿宋" w:eastAsia="仿宋" w:cs="仿宋"/>
          <w:color w:val="auto"/>
          <w:sz w:val="24"/>
          <w:szCs w:val="24"/>
          <w:highlight w:val="none"/>
        </w:rPr>
      </w:pP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投标人名称：（盖章）</w:t>
      </w:r>
      <w:r>
        <w:rPr>
          <w:rFonts w:hint="eastAsia" w:ascii="仿宋" w:hAnsi="仿宋" w:eastAsia="仿宋" w:cs="仿宋"/>
          <w:color w:val="auto"/>
          <w:sz w:val="24"/>
          <w:szCs w:val="24"/>
          <w:highlight w:val="none"/>
        </w:rPr>
        <w:tab/>
      </w:r>
    </w:p>
    <w:p>
      <w:pPr>
        <w:ind w:firstLine="480" w:firstLineChars="200"/>
        <w:rPr>
          <w:rFonts w:hint="eastAsia" w:ascii="仿宋" w:hAnsi="仿宋" w:eastAsia="仿宋" w:cs="仿宋"/>
          <w:color w:val="auto"/>
          <w:sz w:val="24"/>
          <w:szCs w:val="24"/>
          <w:highlight w:val="none"/>
        </w:rPr>
      </w:pPr>
    </w:p>
    <w:p>
      <w:pPr>
        <w:ind w:firstLine="480" w:firstLineChars="200"/>
        <w:rPr>
          <w:rFonts w:hint="eastAsia" w:ascii="仿宋" w:hAnsi="仿宋" w:eastAsia="仿宋" w:cs="仿宋"/>
          <w:color w:val="auto"/>
          <w:sz w:val="24"/>
          <w:szCs w:val="24"/>
          <w:highlight w:val="none"/>
        </w:rPr>
      </w:pP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法定代表人：（签字或盖章）</w:t>
      </w:r>
    </w:p>
    <w:p>
      <w:pPr>
        <w:rPr>
          <w:rFonts w:hint="eastAsia" w:ascii="仿宋" w:hAnsi="仿宋" w:eastAsia="仿宋" w:cs="仿宋"/>
          <w:color w:val="auto"/>
          <w:sz w:val="24"/>
          <w:szCs w:val="24"/>
          <w:highlight w:val="none"/>
        </w:rPr>
      </w:pPr>
    </w:p>
    <w:p>
      <w:pPr>
        <w:ind w:firstLine="4080" w:firstLineChars="170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日      期：</w:t>
      </w:r>
    </w:p>
    <w:p>
      <w:pPr>
        <w:pStyle w:val="5"/>
        <w:adjustRightInd w:val="0"/>
        <w:snapToGrid w:val="0"/>
        <w:spacing w:line="360" w:lineRule="auto"/>
        <w:ind w:left="520" w:right="113"/>
        <w:rPr>
          <w:rFonts w:hint="eastAsia" w:ascii="仿宋" w:hAnsi="仿宋" w:eastAsia="仿宋" w:cs="仿宋"/>
          <w:color w:val="auto"/>
          <w:sz w:val="21"/>
          <w:szCs w:val="21"/>
          <w:highlight w:val="none"/>
        </w:rPr>
      </w:pPr>
      <w:r>
        <w:rPr>
          <w:rFonts w:hint="eastAsia" w:ascii="仿宋" w:hAnsi="仿宋" w:eastAsia="仿宋" w:cs="仿宋"/>
          <w:b/>
          <w:bCs/>
          <w:color w:val="auto"/>
          <w:sz w:val="24"/>
          <w:szCs w:val="24"/>
          <w:highlight w:val="none"/>
        </w:rPr>
        <w:br w:type="page"/>
      </w:r>
    </w:p>
    <w:p>
      <w:pPr>
        <w:pStyle w:val="25"/>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（二）、投标函附录</w:t>
      </w:r>
    </w:p>
    <w:tbl>
      <w:tblPr>
        <w:tblStyle w:val="12"/>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3"/>
        <w:gridCol w:w="3281"/>
        <w:gridCol w:w="1279"/>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p>
        </w:tc>
        <w:tc>
          <w:tcPr>
            <w:tcW w:w="5937" w:type="dxa"/>
            <w:gridSpan w:val="3"/>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w:t>
            </w:r>
          </w:p>
        </w:tc>
        <w:tc>
          <w:tcPr>
            <w:tcW w:w="5937" w:type="dxa"/>
            <w:gridSpan w:val="3"/>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项目总监</w:t>
            </w:r>
          </w:p>
        </w:tc>
        <w:tc>
          <w:tcPr>
            <w:tcW w:w="328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c>
          <w:tcPr>
            <w:tcW w:w="127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注册证书编号</w:t>
            </w:r>
          </w:p>
        </w:tc>
        <w:tc>
          <w:tcPr>
            <w:tcW w:w="137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p>
            <w:pPr>
              <w:rPr>
                <w:rFonts w:hint="eastAsia" w:ascii="仿宋" w:hAnsi="仿宋" w:eastAsia="仿宋" w:cs="仿宋"/>
                <w:color w:val="auto"/>
                <w:sz w:val="24"/>
                <w:szCs w:val="24"/>
                <w:highlight w:val="none"/>
              </w:rPr>
            </w:pPr>
          </w:p>
        </w:tc>
        <w:tc>
          <w:tcPr>
            <w:tcW w:w="3281" w:type="dxa"/>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p>
        </w:tc>
        <w:tc>
          <w:tcPr>
            <w:tcW w:w="2656" w:type="dxa"/>
            <w:gridSpan w:val="2"/>
            <w:tcBorders>
              <w:top w:val="single" w:color="auto" w:sz="4" w:space="0"/>
              <w:left w:val="nil"/>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5937" w:type="dxa"/>
            <w:gridSpan w:val="3"/>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32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质量等级</w:t>
            </w:r>
          </w:p>
        </w:tc>
        <w:tc>
          <w:tcPr>
            <w:tcW w:w="5937" w:type="dxa"/>
            <w:gridSpan w:val="3"/>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140" w:type="dxa"/>
            <w:gridSpan w:val="4"/>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优惠与服务承诺</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tc>
      </w:tr>
    </w:tbl>
    <w:p>
      <w:pPr>
        <w:pStyle w:val="5"/>
        <w:adjustRightInd w:val="0"/>
        <w:snapToGrid w:val="0"/>
        <w:spacing w:line="360" w:lineRule="auto"/>
        <w:ind w:left="520" w:right="113"/>
        <w:rPr>
          <w:rFonts w:hint="eastAsia" w:ascii="仿宋" w:hAnsi="仿宋" w:eastAsia="仿宋" w:cs="仿宋"/>
          <w:color w:val="auto"/>
          <w:sz w:val="21"/>
          <w:szCs w:val="21"/>
          <w:highlight w:val="none"/>
        </w:rPr>
      </w:pPr>
    </w:p>
    <w:p>
      <w:pPr>
        <w:pStyle w:val="5"/>
        <w:adjustRightInd w:val="0"/>
        <w:snapToGrid w:val="0"/>
        <w:spacing w:line="360" w:lineRule="auto"/>
        <w:ind w:left="520" w:right="113"/>
        <w:rPr>
          <w:rFonts w:hint="eastAsia" w:ascii="仿宋" w:hAnsi="仿宋" w:eastAsia="仿宋" w:cs="仿宋"/>
          <w:color w:val="auto"/>
          <w:sz w:val="21"/>
          <w:szCs w:val="21"/>
          <w:highlight w:val="none"/>
        </w:rPr>
      </w:pPr>
    </w:p>
    <w:p>
      <w:pPr>
        <w:pStyle w:val="5"/>
        <w:spacing w:before="36" w:beforeAutospacing="0"/>
        <w:ind w:left="27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（盖单位章）</w:t>
      </w:r>
    </w:p>
    <w:p>
      <w:pPr>
        <w:pStyle w:val="5"/>
        <w:spacing w:before="12" w:beforeAutospacing="0"/>
        <w:rPr>
          <w:rFonts w:hint="eastAsia" w:ascii="仿宋" w:hAnsi="仿宋" w:eastAsia="仿宋" w:cs="仿宋"/>
          <w:color w:val="auto"/>
          <w:sz w:val="24"/>
          <w:szCs w:val="24"/>
          <w:highlight w:val="none"/>
        </w:rPr>
      </w:pPr>
    </w:p>
    <w:p>
      <w:pPr>
        <w:pStyle w:val="5"/>
        <w:spacing w:before="37" w:beforeAutospacing="0"/>
        <w:ind w:left="27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（签字）</w:t>
      </w:r>
    </w:p>
    <w:p>
      <w:pPr>
        <w:pStyle w:val="5"/>
        <w:spacing w:before="10" w:beforeAutospacing="0"/>
        <w:rPr>
          <w:rFonts w:hint="eastAsia" w:ascii="仿宋" w:hAnsi="仿宋" w:eastAsia="仿宋" w:cs="仿宋"/>
          <w:color w:val="auto"/>
          <w:sz w:val="24"/>
          <w:szCs w:val="24"/>
          <w:highlight w:val="none"/>
        </w:rPr>
      </w:pPr>
    </w:p>
    <w:p>
      <w:pPr>
        <w:pStyle w:val="5"/>
        <w:wordWrap w:val="0"/>
        <w:adjustRightInd w:val="0"/>
        <w:snapToGrid w:val="0"/>
        <w:spacing w:line="360" w:lineRule="auto"/>
        <w:ind w:left="520" w:right="113"/>
        <w:jc w:val="right"/>
        <w:rPr>
          <w:rFonts w:hint="eastAsia" w:ascii="仿宋" w:hAnsi="仿宋" w:eastAsia="仿宋" w:cs="仿宋"/>
          <w:color w:val="auto"/>
          <w:sz w:val="21"/>
          <w:szCs w:val="21"/>
          <w:highlight w:val="none"/>
        </w:rPr>
      </w:pPr>
      <w:r>
        <w:rPr>
          <w:rFonts w:hint="eastAsia" w:ascii="仿宋" w:hAnsi="仿宋" w:eastAsia="仿宋" w:cs="仿宋"/>
          <w:color w:val="auto"/>
          <w:sz w:val="24"/>
          <w:szCs w:val="24"/>
          <w:highlight w:val="none"/>
        </w:rPr>
        <w:t>年月日</w:t>
      </w:r>
    </w:p>
    <w:p>
      <w:pPr>
        <w:autoSpaceDE w:val="0"/>
        <w:autoSpaceDN w:val="0"/>
        <w:adjustRightInd w:val="0"/>
        <w:spacing w:beforeLines="100" w:afterLines="100" w:line="420" w:lineRule="exact"/>
        <w:jc w:val="center"/>
        <w:outlineLvl w:val="0"/>
        <w:rPr>
          <w:rFonts w:hint="eastAsia" w:ascii="仿宋" w:hAnsi="仿宋" w:eastAsia="仿宋" w:cs="仿宋"/>
          <w:color w:val="auto"/>
          <w:sz w:val="28"/>
          <w:szCs w:val="28"/>
          <w:highlight w:val="none"/>
        </w:rPr>
      </w:pPr>
    </w:p>
    <w:p>
      <w:pPr>
        <w:autoSpaceDE w:val="0"/>
        <w:autoSpaceDN w:val="0"/>
        <w:adjustRightInd w:val="0"/>
        <w:spacing w:beforeLines="100" w:afterLines="100" w:line="420" w:lineRule="exact"/>
        <w:jc w:val="center"/>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二、法定代表人身份证明或附有法定代表人证明的授权委托书</w:t>
      </w:r>
    </w:p>
    <w:p>
      <w:pPr>
        <w:autoSpaceDE w:val="0"/>
        <w:autoSpaceDN w:val="0"/>
        <w:adjustRightInd w:val="0"/>
        <w:spacing w:line="420" w:lineRule="exact"/>
        <w:jc w:val="center"/>
        <w:outlineLvl w:val="0"/>
        <w:rPr>
          <w:rFonts w:hint="eastAsia" w:ascii="仿宋" w:hAnsi="仿宋" w:eastAsia="仿宋" w:cs="仿宋"/>
          <w:color w:val="auto"/>
          <w:sz w:val="28"/>
          <w:szCs w:val="28"/>
          <w:highlight w:val="none"/>
        </w:rPr>
      </w:pPr>
      <w:bookmarkStart w:id="74" w:name="_Toc271787731"/>
      <w:bookmarkEnd w:id="74"/>
      <w:r>
        <w:rPr>
          <w:rFonts w:hint="eastAsia" w:ascii="仿宋" w:hAnsi="仿宋" w:eastAsia="仿宋" w:cs="仿宋"/>
          <w:color w:val="auto"/>
          <w:sz w:val="28"/>
          <w:szCs w:val="28"/>
          <w:highlight w:val="none"/>
        </w:rPr>
        <w:t>（一）法定代表人身份证明</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投标人名称：</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单位性质：</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成立时间：年月日</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经营期限：</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姓名：性别：年龄：职务：</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系（投标人名称）的法定代表人。</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autoSpaceDE w:val="0"/>
        <w:autoSpaceDN w:val="0"/>
        <w:adjustRightInd w:val="0"/>
        <w:spacing w:line="420" w:lineRule="exact"/>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投标人：（盖单位章）</w:t>
      </w:r>
    </w:p>
    <w:p>
      <w:pPr>
        <w:autoSpaceDE w:val="0"/>
        <w:autoSpaceDN w:val="0"/>
        <w:adjustRightInd w:val="0"/>
        <w:spacing w:line="420" w:lineRule="exact"/>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p>
      <w:pPr>
        <w:autoSpaceDE w:val="0"/>
        <w:autoSpaceDN w:val="0"/>
        <w:adjustRightInd w:val="0"/>
        <w:spacing w:line="420" w:lineRule="exact"/>
        <w:ind w:firstLine="680" w:firstLineChars="200"/>
        <w:jc w:val="right"/>
        <w:rPr>
          <w:rFonts w:hint="eastAsia" w:ascii="仿宋" w:hAnsi="仿宋" w:eastAsia="仿宋" w:cs="仿宋"/>
          <w:color w:val="auto"/>
          <w:highlight w:val="none"/>
        </w:rPr>
      </w:pPr>
    </w:p>
    <w:p>
      <w:pPr>
        <w:autoSpaceDE w:val="0"/>
        <w:autoSpaceDN w:val="0"/>
        <w:adjustRightInd w:val="0"/>
        <w:spacing w:line="420" w:lineRule="exact"/>
        <w:jc w:val="center"/>
        <w:outlineLvl w:val="0"/>
        <w:rPr>
          <w:rFonts w:hint="eastAsia" w:ascii="仿宋" w:hAnsi="仿宋" w:eastAsia="仿宋" w:cs="仿宋"/>
          <w:color w:val="auto"/>
          <w:sz w:val="28"/>
          <w:szCs w:val="28"/>
          <w:highlight w:val="none"/>
        </w:rPr>
      </w:pPr>
      <w:bookmarkStart w:id="75" w:name="_Toc271787732"/>
      <w:bookmarkEnd w:id="75"/>
      <w:r>
        <w:rPr>
          <w:rFonts w:hint="eastAsia" w:ascii="仿宋" w:hAnsi="仿宋" w:eastAsia="仿宋" w:cs="仿宋"/>
          <w:color w:val="auto"/>
          <w:sz w:val="28"/>
          <w:szCs w:val="28"/>
          <w:highlight w:val="none"/>
        </w:rPr>
        <w:t>（二）授权委托书</w:t>
      </w:r>
    </w:p>
    <w:p>
      <w:pPr>
        <w:autoSpaceDE w:val="0"/>
        <w:autoSpaceDN w:val="0"/>
        <w:adjustRightInd w:val="0"/>
        <w:spacing w:line="420" w:lineRule="exact"/>
        <w:jc w:val="center"/>
        <w:outlineLvl w:val="0"/>
        <w:rPr>
          <w:rFonts w:hint="eastAsia" w:ascii="仿宋" w:hAnsi="仿宋" w:eastAsia="仿宋" w:cs="仿宋"/>
          <w:color w:val="auto"/>
          <w:sz w:val="28"/>
          <w:szCs w:val="28"/>
          <w:highlight w:val="none"/>
        </w:rPr>
      </w:pP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（投标人名称）</w:t>
      </w:r>
      <w:r>
        <w:rPr>
          <w:rFonts w:hint="eastAsia" w:ascii="仿宋" w:hAnsi="仿宋" w:eastAsia="仿宋" w:cs="仿宋"/>
          <w:color w:val="auto"/>
          <w:sz w:val="24"/>
          <w:szCs w:val="24"/>
          <w:highlight w:val="none"/>
        </w:rPr>
        <w:t>的法定代表人，现授权委托</w:t>
      </w:r>
      <w:r>
        <w:rPr>
          <w:rFonts w:hint="eastAsia" w:ascii="仿宋" w:hAnsi="仿宋" w:eastAsia="仿宋" w:cs="仿宋"/>
          <w:color w:val="auto"/>
          <w:sz w:val="24"/>
          <w:szCs w:val="24"/>
          <w:highlight w:val="none"/>
          <w:u w:val="single"/>
        </w:rPr>
        <w:t xml:space="preserve">     （姓名）</w:t>
      </w:r>
      <w:r>
        <w:rPr>
          <w:rFonts w:hint="eastAsia" w:ascii="仿宋" w:hAnsi="仿宋" w:eastAsia="仿宋" w:cs="仿宋"/>
          <w:color w:val="auto"/>
          <w:sz w:val="24"/>
          <w:szCs w:val="24"/>
          <w:highlight w:val="none"/>
        </w:rPr>
        <w:t>（身份证号：，联系电话： ）为我公司处理</w:t>
      </w:r>
      <w:r>
        <w:rPr>
          <w:rFonts w:hint="eastAsia" w:ascii="仿宋" w:hAnsi="仿宋" w:eastAsia="仿宋" w:cs="仿宋"/>
          <w:color w:val="auto"/>
          <w:sz w:val="24"/>
          <w:szCs w:val="24"/>
          <w:highlight w:val="none"/>
          <w:u w:val="single"/>
        </w:rPr>
        <w:t xml:space="preserve">        （项目名称）（标段）</w:t>
      </w:r>
      <w:r>
        <w:rPr>
          <w:rFonts w:hint="eastAsia" w:ascii="仿宋" w:hAnsi="仿宋" w:eastAsia="仿宋" w:cs="仿宋"/>
          <w:color w:val="auto"/>
          <w:sz w:val="24"/>
          <w:szCs w:val="24"/>
          <w:highlight w:val="none"/>
        </w:rPr>
        <w:t>投标事宜的唯一授权委托人，该项委托权不得转让。</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附：法定代表人（单位负责人）及授权委托人身份证复印件（正反面）</w:t>
      </w:r>
    </w:p>
    <w:p>
      <w:pPr>
        <w:spacing w:line="600" w:lineRule="exact"/>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投标单位： </w:t>
      </w:r>
      <w:r>
        <w:rPr>
          <w:rFonts w:hint="eastAsia" w:ascii="仿宋" w:hAnsi="仿宋" w:eastAsia="仿宋" w:cs="仿宋"/>
          <w:color w:val="auto"/>
          <w:sz w:val="24"/>
          <w:szCs w:val="24"/>
          <w:highlight w:val="none"/>
          <w:u w:val="single"/>
        </w:rPr>
        <w:t xml:space="preserve">                      （盖章）</w:t>
      </w:r>
    </w:p>
    <w:p>
      <w:pPr>
        <w:spacing w:line="600" w:lineRule="exact"/>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（签字）</w:t>
      </w:r>
    </w:p>
    <w:p>
      <w:pPr>
        <w:spacing w:line="600" w:lineRule="exact"/>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受委托人：  </w:t>
      </w:r>
      <w:r>
        <w:rPr>
          <w:rFonts w:hint="eastAsia" w:ascii="仿宋" w:hAnsi="仿宋" w:eastAsia="仿宋" w:cs="仿宋"/>
          <w:color w:val="auto"/>
          <w:sz w:val="24"/>
          <w:szCs w:val="24"/>
          <w:highlight w:val="none"/>
          <w:u w:val="single"/>
        </w:rPr>
        <w:t xml:space="preserve">                     （签字）</w:t>
      </w:r>
    </w:p>
    <w:p>
      <w:pPr>
        <w:spacing w:line="600" w:lineRule="exact"/>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p>
      <w:pPr>
        <w:pStyle w:val="5"/>
        <w:adjustRightInd w:val="0"/>
        <w:snapToGrid w:val="0"/>
        <w:spacing w:line="360" w:lineRule="auto"/>
        <w:ind w:left="520" w:right="113"/>
        <w:rPr>
          <w:rFonts w:hint="eastAsia" w:ascii="仿宋" w:hAnsi="仿宋" w:eastAsia="仿宋" w:cs="仿宋"/>
          <w:color w:val="auto"/>
          <w:sz w:val="21"/>
          <w:szCs w:val="21"/>
          <w:highlight w:val="none"/>
        </w:rPr>
      </w:pPr>
    </w:p>
    <w:p>
      <w:pPr>
        <w:pStyle w:val="20"/>
        <w:spacing w:line="443" w:lineRule="exact"/>
        <w:ind w:left="3281" w:right="333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三、投标保证金</w:t>
      </w:r>
    </w:p>
    <w:p>
      <w:pPr>
        <w:rPr>
          <w:rFonts w:hint="eastAsia" w:ascii="仿宋" w:hAnsi="仿宋" w:eastAsia="仿宋" w:cs="仿宋"/>
          <w:color w:val="auto"/>
          <w:sz w:val="21"/>
          <w:szCs w:val="21"/>
          <w:highlight w:val="none"/>
        </w:rPr>
      </w:pP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（投标保证金汇款凭证和基本账户开户许可证的原件扫描件或者图片）</w:t>
      </w:r>
    </w:p>
    <w:p>
      <w:pPr>
        <w:spacing w:line="443" w:lineRule="exact"/>
        <w:ind w:left="3239" w:right="3140"/>
        <w:jc w:val="center"/>
        <w:rPr>
          <w:rFonts w:hint="eastAsia" w:ascii="仿宋" w:hAnsi="仿宋" w:eastAsia="仿宋" w:cs="仿宋"/>
          <w:b/>
          <w:bCs/>
          <w:color w:val="auto"/>
          <w:sz w:val="24"/>
          <w:szCs w:val="24"/>
          <w:highlight w:val="none"/>
        </w:rPr>
      </w:pPr>
      <w:bookmarkStart w:id="76" w:name="_bookmark183"/>
      <w:bookmarkEnd w:id="76"/>
    </w:p>
    <w:p>
      <w:pPr>
        <w:pStyle w:val="24"/>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四、监理单位综合情况</w:t>
      </w:r>
    </w:p>
    <w:p>
      <w:pPr>
        <w:pStyle w:val="24"/>
        <w:jc w:val="center"/>
        <w:rPr>
          <w:rFonts w:hint="eastAsia" w:ascii="仿宋" w:hAnsi="仿宋" w:eastAsia="仿宋" w:cs="仿宋"/>
          <w:b/>
          <w:color w:val="auto"/>
          <w:sz w:val="24"/>
          <w:szCs w:val="24"/>
          <w:highlight w:val="none"/>
        </w:rPr>
      </w:pPr>
    </w:p>
    <w:tbl>
      <w:tblPr>
        <w:tblStyle w:val="12"/>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
        <w:gridCol w:w="1620"/>
        <w:gridCol w:w="1260"/>
        <w:gridCol w:w="90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法人代表姓名</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企业主管单位</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联系传真</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监理资质等级</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企业组建时间</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企业邮编</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9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企业经营范围</w:t>
            </w:r>
          </w:p>
        </w:tc>
        <w:tc>
          <w:tcPr>
            <w:tcW w:w="162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216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240"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trPr>
        <w:tc>
          <w:tcPr>
            <w:tcW w:w="1800" w:type="dxa"/>
            <w:vMerge w:val="restart"/>
            <w:tcBorders>
              <w:top w:val="nil"/>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企业人员状况</w:t>
            </w:r>
          </w:p>
        </w:tc>
        <w:tc>
          <w:tcPr>
            <w:tcW w:w="3060" w:type="dxa"/>
            <w:gridSpan w:val="3"/>
            <w:vMerge w:val="restart"/>
            <w:tcBorders>
              <w:top w:val="nil"/>
              <w:left w:val="nil"/>
              <w:bottom w:val="single" w:color="auto" w:sz="4" w:space="0"/>
              <w:right w:val="single" w:color="auto" w:sz="4" w:space="0"/>
            </w:tcBorders>
          </w:tcPr>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企业总人数：</w:t>
            </w: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在册工程技术人员：</w:t>
            </w: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高级职称 人</w:t>
            </w: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中级职称 人</w:t>
            </w: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初级职称 人</w:t>
            </w: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国家注册监理工程师人</w:t>
            </w: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地方注册监理工程师人</w:t>
            </w:r>
          </w:p>
        </w:tc>
        <w:tc>
          <w:tcPr>
            <w:tcW w:w="4140" w:type="dxa"/>
            <w:gridSpan w:val="2"/>
            <w:tcBorders>
              <w:top w:val="single" w:color="auto" w:sz="4" w:space="0"/>
              <w:left w:val="nil"/>
              <w:bottom w:val="single" w:color="auto" w:sz="4" w:space="0"/>
              <w:right w:val="single" w:color="auto" w:sz="4" w:space="0"/>
            </w:tcBorders>
          </w:tcPr>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企业监理业绩：（可另附）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18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3060" w:type="dxa"/>
            <w:gridSpan w:val="3"/>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4140" w:type="dxa"/>
            <w:gridSpan w:val="2"/>
            <w:vMerge w:val="restart"/>
            <w:tcBorders>
              <w:top w:val="nil"/>
              <w:left w:val="nil"/>
              <w:bottom w:val="single" w:color="auto" w:sz="4" w:space="0"/>
              <w:right w:val="single" w:color="auto" w:sz="4" w:space="0"/>
            </w:tcBorders>
          </w:tcPr>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企业固定资产总额：万元</w:t>
            </w:r>
          </w:p>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设备及仪器状况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800" w:type="dxa"/>
            <w:tcBorders>
              <w:top w:val="nil"/>
              <w:left w:val="single" w:color="auto" w:sz="4" w:space="0"/>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3060" w:type="dxa"/>
            <w:gridSpan w:val="3"/>
            <w:tcBorders>
              <w:top w:val="nil"/>
              <w:left w:val="nil"/>
              <w:bottom w:val="single" w:color="auto" w:sz="4" w:space="0"/>
              <w:right w:val="single" w:color="auto" w:sz="4" w:space="0"/>
            </w:tcBorders>
          </w:tcPr>
          <w:p>
            <w:pPr>
              <w:autoSpaceDE w:val="0"/>
              <w:autoSpaceDN w:val="0"/>
              <w:adjustRightInd w:val="0"/>
              <w:spacing w:line="420" w:lineRule="exact"/>
              <w:jc w:val="center"/>
              <w:outlineLvl w:val="0"/>
              <w:rPr>
                <w:rFonts w:hint="eastAsia" w:ascii="仿宋" w:hAnsi="仿宋" w:eastAsia="仿宋" w:cs="仿宋"/>
                <w:color w:val="auto"/>
                <w:sz w:val="24"/>
                <w:szCs w:val="24"/>
                <w:highlight w:val="none"/>
              </w:rPr>
            </w:pPr>
          </w:p>
        </w:tc>
        <w:tc>
          <w:tcPr>
            <w:tcW w:w="4140" w:type="dxa"/>
            <w:gridSpan w:val="2"/>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r>
    </w:tbl>
    <w:p>
      <w:pPr>
        <w:autoSpaceDE w:val="0"/>
        <w:autoSpaceDN w:val="0"/>
        <w:adjustRightInd w:val="0"/>
        <w:spacing w:line="4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注：本表后须附有关证件（ 营业执照、资质证、近三年财务状况等）的原件扫描件或图片。</w:t>
      </w:r>
    </w:p>
    <w:p>
      <w:pPr>
        <w:pStyle w:val="24"/>
        <w:rPr>
          <w:rFonts w:hint="eastAsia" w:ascii="仿宋" w:hAnsi="仿宋" w:eastAsia="仿宋" w:cs="仿宋"/>
          <w:b/>
          <w:bCs/>
          <w:color w:val="auto"/>
          <w:highlight w:val="none"/>
        </w:rPr>
      </w:pPr>
    </w:p>
    <w:p>
      <w:pPr>
        <w:pStyle w:val="24"/>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w:t>
      </w:r>
      <w:r>
        <w:rPr>
          <w:rFonts w:hint="eastAsia" w:ascii="仿宋" w:hAnsi="仿宋" w:eastAsia="仿宋" w:cs="仿宋"/>
          <w:b/>
          <w:color w:val="auto"/>
          <w:sz w:val="24"/>
          <w:szCs w:val="24"/>
          <w:highlight w:val="none"/>
        </w:rPr>
        <w:t>、拟派本项目监理机构及主要人员</w:t>
      </w:r>
    </w:p>
    <w:p>
      <w:pPr>
        <w:autoSpaceDE w:val="0"/>
        <w:autoSpaceDN w:val="0"/>
        <w:adjustRightInd w:val="0"/>
        <w:spacing w:line="420" w:lineRule="exact"/>
        <w:jc w:val="center"/>
        <w:outlineLvl w:val="0"/>
        <w:rPr>
          <w:rFonts w:hint="eastAsia" w:ascii="仿宋" w:hAnsi="仿宋" w:eastAsia="仿宋" w:cs="仿宋"/>
          <w:color w:val="auto"/>
          <w:sz w:val="28"/>
          <w:szCs w:val="28"/>
          <w:highlight w:val="none"/>
        </w:rPr>
      </w:pPr>
      <w:bookmarkStart w:id="77" w:name="_Toc215282253"/>
      <w:bookmarkEnd w:id="77"/>
      <w:r>
        <w:rPr>
          <w:rFonts w:hint="eastAsia" w:ascii="仿宋" w:hAnsi="仿宋" w:eastAsia="仿宋" w:cs="仿宋"/>
          <w:color w:val="auto"/>
          <w:sz w:val="28"/>
          <w:szCs w:val="28"/>
          <w:highlight w:val="none"/>
        </w:rPr>
        <w:t>（</w:t>
      </w:r>
      <w:r>
        <w:rPr>
          <w:rFonts w:hint="eastAsia" w:ascii="仿宋" w:hAnsi="仿宋" w:eastAsia="仿宋" w:cs="仿宋"/>
          <w:b/>
          <w:bCs/>
          <w:color w:val="auto"/>
          <w:sz w:val="24"/>
          <w:szCs w:val="24"/>
          <w:highlight w:val="none"/>
        </w:rPr>
        <w:t>一）项目监理机构组成表</w:t>
      </w:r>
    </w:p>
    <w:tbl>
      <w:tblPr>
        <w:tblStyle w:val="12"/>
        <w:tblW w:w="9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327"/>
        <w:gridCol w:w="1327"/>
        <w:gridCol w:w="1327"/>
        <w:gridCol w:w="132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03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034"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035" w:type="dxa"/>
            <w:vMerge w:val="restart"/>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5309"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执业或职业资格证明</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1034"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1035"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证书名称</w:t>
            </w: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级别</w:t>
            </w: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证号</w:t>
            </w:r>
          </w:p>
        </w:tc>
        <w:tc>
          <w:tcPr>
            <w:tcW w:w="1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4"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0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7"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3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9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bl>
    <w:p>
      <w:pPr>
        <w:autoSpaceDE w:val="0"/>
        <w:autoSpaceDN w:val="0"/>
        <w:adjustRightInd w:val="0"/>
        <w:spacing w:line="420" w:lineRule="exact"/>
        <w:jc w:val="left"/>
        <w:rPr>
          <w:rFonts w:hint="eastAsia" w:ascii="仿宋" w:hAnsi="仿宋" w:eastAsia="仿宋" w:cs="仿宋"/>
          <w:color w:val="auto"/>
          <w:sz w:val="24"/>
          <w:szCs w:val="24"/>
          <w:highlight w:val="none"/>
        </w:rPr>
      </w:pPr>
    </w:p>
    <w:p>
      <w:pPr>
        <w:autoSpaceDE w:val="0"/>
        <w:autoSpaceDN w:val="0"/>
        <w:adjustRightInd w:val="0"/>
        <w:spacing w:line="420" w:lineRule="exact"/>
        <w:jc w:val="center"/>
        <w:outlineLvl w:val="0"/>
        <w:rPr>
          <w:rFonts w:hint="eastAsia" w:ascii="仿宋" w:hAnsi="仿宋" w:eastAsia="仿宋" w:cs="仿宋"/>
          <w:b/>
          <w:bCs/>
          <w:color w:val="auto"/>
          <w:sz w:val="24"/>
          <w:szCs w:val="24"/>
          <w:highlight w:val="none"/>
        </w:rPr>
      </w:pPr>
      <w:bookmarkStart w:id="78" w:name="_Toc215282254"/>
      <w:bookmarkEnd w:id="78"/>
      <w:r>
        <w:rPr>
          <w:rFonts w:hint="eastAsia" w:ascii="仿宋" w:hAnsi="仿宋" w:eastAsia="仿宋" w:cs="仿宋"/>
          <w:b/>
          <w:bCs/>
          <w:color w:val="auto"/>
          <w:sz w:val="24"/>
          <w:szCs w:val="24"/>
          <w:highlight w:val="none"/>
        </w:rPr>
        <w:t>（二）主要人员简历表</w:t>
      </w:r>
    </w:p>
    <w:p>
      <w:pPr>
        <w:autoSpaceDE w:val="0"/>
        <w:autoSpaceDN w:val="0"/>
        <w:adjustRightInd w:val="0"/>
        <w:spacing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“主要人员简历表”中的总监理师应附注册监理工程师证、身份证、职称证、类似项目业绩的原件扫描件或图片，其他主要人员应附执业证或上岗证的原件扫描件或图片。</w:t>
      </w:r>
    </w:p>
    <w:p>
      <w:pPr>
        <w:autoSpaceDE w:val="0"/>
        <w:autoSpaceDN w:val="0"/>
        <w:adjustRightInd w:val="0"/>
        <w:spacing w:line="420" w:lineRule="exact"/>
        <w:jc w:val="left"/>
        <w:rPr>
          <w:rFonts w:hint="eastAsia" w:ascii="仿宋" w:hAnsi="仿宋" w:eastAsia="仿宋" w:cs="仿宋"/>
          <w:color w:val="auto"/>
          <w:sz w:val="24"/>
          <w:szCs w:val="24"/>
          <w:highlight w:val="none"/>
        </w:rPr>
      </w:pPr>
    </w:p>
    <w:tbl>
      <w:tblPr>
        <w:tblStyle w:val="12"/>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55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55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155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843"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 历</w:t>
            </w:r>
          </w:p>
        </w:tc>
        <w:tc>
          <w:tcPr>
            <w:tcW w:w="126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称</w:t>
            </w:r>
          </w:p>
        </w:tc>
        <w:tc>
          <w:tcPr>
            <w:tcW w:w="1551"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555"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p>
        </w:tc>
        <w:tc>
          <w:tcPr>
            <w:tcW w:w="155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1843"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拟在本合同任职</w:t>
            </w:r>
          </w:p>
        </w:tc>
        <w:tc>
          <w:tcPr>
            <w:tcW w:w="126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毕业学校</w:t>
            </w:r>
          </w:p>
        </w:tc>
        <w:tc>
          <w:tcPr>
            <w:tcW w:w="7764" w:type="dxa"/>
            <w:gridSpan w:val="7"/>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314"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 间</w:t>
            </w:r>
          </w:p>
        </w:tc>
        <w:tc>
          <w:tcPr>
            <w:tcW w:w="232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参加过的类似项目</w:t>
            </w:r>
          </w:p>
        </w:tc>
        <w:tc>
          <w:tcPr>
            <w:tcW w:w="232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担任职务</w:t>
            </w:r>
          </w:p>
        </w:tc>
        <w:tc>
          <w:tcPr>
            <w:tcW w:w="233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2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2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3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2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2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3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29"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28"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c>
          <w:tcPr>
            <w:tcW w:w="233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20" w:lineRule="exact"/>
              <w:jc w:val="center"/>
              <w:rPr>
                <w:rFonts w:hint="eastAsia" w:ascii="仿宋" w:hAnsi="仿宋" w:eastAsia="仿宋" w:cs="仿宋"/>
                <w:color w:val="auto"/>
                <w:sz w:val="24"/>
                <w:szCs w:val="24"/>
                <w:highlight w:val="none"/>
              </w:rPr>
            </w:pPr>
          </w:p>
        </w:tc>
      </w:tr>
    </w:tbl>
    <w:p>
      <w:pPr>
        <w:autoSpaceDE w:val="0"/>
        <w:autoSpaceDN w:val="0"/>
        <w:adjustRightInd w:val="0"/>
        <w:spacing w:line="420" w:lineRule="exact"/>
        <w:jc w:val="left"/>
        <w:rPr>
          <w:rFonts w:hint="eastAsia" w:ascii="仿宋" w:hAnsi="仿宋" w:eastAsia="仿宋" w:cs="仿宋"/>
          <w:color w:val="auto"/>
          <w:sz w:val="24"/>
          <w:szCs w:val="24"/>
          <w:highlight w:val="none"/>
        </w:rPr>
      </w:pPr>
    </w:p>
    <w:p>
      <w:pPr>
        <w:pStyle w:val="20"/>
        <w:spacing w:line="457" w:lineRule="exact"/>
        <w:ind w:left="3259" w:right="3260"/>
        <w:jc w:val="center"/>
        <w:rPr>
          <w:rFonts w:hint="eastAsia" w:ascii="仿宋" w:hAnsi="仿宋" w:eastAsia="仿宋" w:cs="仿宋"/>
          <w:color w:val="auto"/>
          <w:sz w:val="21"/>
          <w:szCs w:val="21"/>
          <w:highlight w:val="none"/>
        </w:rPr>
      </w:pPr>
    </w:p>
    <w:p>
      <w:pPr>
        <w:spacing w:line="363" w:lineRule="exact"/>
        <w:ind w:left="237"/>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六、服务承诺书</w:t>
      </w:r>
    </w:p>
    <w:tbl>
      <w:tblPr>
        <w:tblStyle w:val="12"/>
        <w:tblW w:w="9238" w:type="dxa"/>
        <w:jc w:val="center"/>
        <w:tblInd w:w="0" w:type="dxa"/>
        <w:tblLayout w:type="fixed"/>
        <w:tblCellMar>
          <w:top w:w="0" w:type="dxa"/>
          <w:left w:w="108" w:type="dxa"/>
          <w:bottom w:w="0" w:type="dxa"/>
          <w:right w:w="108" w:type="dxa"/>
        </w:tblCellMar>
      </w:tblPr>
      <w:tblGrid>
        <w:gridCol w:w="2079"/>
        <w:gridCol w:w="7159"/>
      </w:tblGrid>
      <w:tr>
        <w:tblPrEx>
          <w:tblLayout w:type="fixed"/>
          <w:tblCellMar>
            <w:top w:w="0" w:type="dxa"/>
            <w:left w:w="108" w:type="dxa"/>
            <w:bottom w:w="0" w:type="dxa"/>
            <w:right w:w="108" w:type="dxa"/>
          </w:tblCellMar>
        </w:tblPrEx>
        <w:trPr>
          <w:trHeight w:val="859" w:hRule="atLeast"/>
          <w:jc w:val="center"/>
        </w:trPr>
        <w:tc>
          <w:tcPr>
            <w:tcW w:w="20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kern w:val="2"/>
                <w:sz w:val="24"/>
                <w:szCs w:val="24"/>
                <w:highlight w:val="none"/>
              </w:rPr>
            </w:pPr>
            <w:bookmarkStart w:id="79" w:name="_bookmark187"/>
            <w:bookmarkEnd w:id="79"/>
            <w:r>
              <w:rPr>
                <w:rFonts w:hint="eastAsia" w:ascii="仿宋" w:hAnsi="仿宋" w:eastAsia="仿宋" w:cs="仿宋"/>
                <w:color w:val="auto"/>
                <w:sz w:val="24"/>
                <w:szCs w:val="24"/>
                <w:highlight w:val="none"/>
              </w:rPr>
              <w:t> 投  标  单 位</w:t>
            </w:r>
          </w:p>
        </w:tc>
        <w:tc>
          <w:tcPr>
            <w:tcW w:w="7159" w:type="dxa"/>
            <w:tcBorders>
              <w:top w:val="single" w:color="auto" w:sz="4" w:space="0"/>
              <w:left w:val="nil"/>
              <w:bottom w:val="single" w:color="auto" w:sz="4" w:space="0"/>
              <w:right w:val="single" w:color="auto" w:sz="4" w:space="0"/>
            </w:tcBorders>
            <w:vAlign w:val="center"/>
          </w:tcPr>
          <w:p>
            <w:pPr>
              <w:ind w:firstLine="4440" w:firstLineChars="1850"/>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（盖章）</w:t>
            </w:r>
          </w:p>
        </w:tc>
      </w:tr>
      <w:tr>
        <w:tblPrEx>
          <w:tblLayout w:type="fixed"/>
          <w:tblCellMar>
            <w:top w:w="0" w:type="dxa"/>
            <w:left w:w="108" w:type="dxa"/>
            <w:bottom w:w="0" w:type="dxa"/>
            <w:right w:w="108" w:type="dxa"/>
          </w:tblCellMar>
        </w:tblPrEx>
        <w:trPr>
          <w:trHeight w:val="5145" w:hRule="atLeast"/>
          <w:jc w:val="center"/>
        </w:trPr>
        <w:tc>
          <w:tcPr>
            <w:tcW w:w="9238" w:type="dxa"/>
            <w:gridSpan w:val="2"/>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承诺内容：</w:t>
            </w:r>
          </w:p>
          <w:p>
            <w:pPr>
              <w:rPr>
                <w:rFonts w:hint="eastAsia" w:ascii="仿宋" w:hAnsi="仿宋" w:eastAsia="仿宋" w:cs="仿宋"/>
                <w:color w:val="auto"/>
                <w:sz w:val="24"/>
                <w:szCs w:val="24"/>
                <w:highlight w:val="none"/>
              </w:rPr>
            </w:pPr>
          </w:p>
          <w:p>
            <w:pPr>
              <w:pStyle w:val="23"/>
              <w:ind w:firstLine="240"/>
              <w:rPr>
                <w:rFonts w:hint="eastAsia" w:ascii="仿宋" w:hAnsi="仿宋" w:eastAsia="仿宋" w:cs="仿宋"/>
                <w:color w:val="auto"/>
                <w:sz w:val="24"/>
                <w:szCs w:val="24"/>
                <w:highlight w:val="none"/>
              </w:rPr>
            </w:pPr>
          </w:p>
          <w:p>
            <w:pPr>
              <w:pStyle w:val="23"/>
              <w:ind w:firstLine="240"/>
              <w:rPr>
                <w:rFonts w:hint="eastAsia" w:ascii="仿宋" w:hAnsi="仿宋" w:eastAsia="仿宋" w:cs="仿宋"/>
                <w:color w:val="auto"/>
                <w:sz w:val="24"/>
                <w:szCs w:val="24"/>
                <w:highlight w:val="none"/>
              </w:rPr>
            </w:pPr>
          </w:p>
          <w:p>
            <w:pPr>
              <w:pStyle w:val="23"/>
              <w:ind w:firstLine="240"/>
              <w:rPr>
                <w:rFonts w:hint="eastAsia" w:ascii="仿宋" w:hAnsi="仿宋" w:eastAsia="仿宋" w:cs="仿宋"/>
                <w:color w:val="auto"/>
                <w:sz w:val="24"/>
                <w:szCs w:val="24"/>
                <w:highlight w:val="none"/>
              </w:rPr>
            </w:pPr>
          </w:p>
          <w:p>
            <w:pPr>
              <w:pStyle w:val="23"/>
              <w:ind w:firstLine="240"/>
              <w:rPr>
                <w:rFonts w:hint="eastAsia" w:ascii="仿宋" w:hAnsi="仿宋" w:eastAsia="仿宋" w:cs="仿宋"/>
                <w:color w:val="auto"/>
                <w:sz w:val="24"/>
                <w:szCs w:val="24"/>
                <w:highlight w:val="none"/>
              </w:rPr>
            </w:pPr>
          </w:p>
          <w:p>
            <w:pPr>
              <w:pStyle w:val="23"/>
              <w:ind w:firstLine="240"/>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ind w:firstLine="2400" w:firstLineChars="1000"/>
              <w:rPr>
                <w:rFonts w:hint="eastAsia" w:ascii="仿宋" w:hAnsi="仿宋" w:eastAsia="仿宋" w:cs="仿宋"/>
                <w:color w:val="auto"/>
                <w:sz w:val="24"/>
                <w:szCs w:val="24"/>
                <w:highlight w:val="none"/>
              </w:rPr>
            </w:pPr>
          </w:p>
          <w:p>
            <w:pPr>
              <w:ind w:firstLine="2400" w:firstLineChars="10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投标人法定代表人或授权委托人：（签字或盖章）</w:t>
            </w:r>
          </w:p>
          <w:p>
            <w:pPr>
              <w:ind w:firstLine="2400" w:firstLineChars="1000"/>
              <w:rPr>
                <w:rFonts w:hint="eastAsia" w:ascii="仿宋" w:hAnsi="仿宋" w:eastAsia="仿宋" w:cs="仿宋"/>
                <w:color w:val="auto"/>
                <w:sz w:val="24"/>
                <w:szCs w:val="24"/>
                <w:highlight w:val="none"/>
              </w:rPr>
            </w:pPr>
          </w:p>
          <w:p>
            <w:pPr>
              <w:ind w:firstLine="3240" w:firstLineChars="1350"/>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日期：   年    月     日</w:t>
            </w:r>
            <w:r>
              <w:rPr>
                <w:rFonts w:hint="eastAsia" w:ascii="仿宋" w:hAnsi="仿宋" w:eastAsia="仿宋" w:cs="仿宋"/>
                <w:color w:val="auto"/>
                <w:sz w:val="24"/>
                <w:szCs w:val="24"/>
                <w:highlight w:val="none"/>
              </w:rPr>
              <w:tab/>
            </w:r>
          </w:p>
        </w:tc>
      </w:tr>
    </w:tbl>
    <w:p>
      <w:pPr>
        <w:spacing w:line="363" w:lineRule="exact"/>
        <w:ind w:left="237"/>
        <w:rPr>
          <w:rFonts w:hint="eastAsia" w:ascii="仿宋" w:hAnsi="仿宋" w:eastAsia="仿宋" w:cs="仿宋"/>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color w:val="auto"/>
          <w:highlight w:val="none"/>
        </w:rPr>
      </w:pPr>
    </w:p>
    <w:p>
      <w:pPr>
        <w:spacing w:line="363" w:lineRule="exact"/>
        <w:ind w:left="237"/>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七、近年完成的类似项目情况</w:t>
      </w:r>
    </w:p>
    <w:p>
      <w:pPr>
        <w:pStyle w:val="5"/>
        <w:rPr>
          <w:rFonts w:hint="eastAsia" w:ascii="仿宋" w:hAnsi="仿宋" w:eastAsia="仿宋" w:cs="仿宋"/>
          <w:color w:val="auto"/>
          <w:sz w:val="20"/>
          <w:szCs w:val="20"/>
          <w:highlight w:val="none"/>
        </w:rPr>
      </w:pPr>
    </w:p>
    <w:p>
      <w:pPr>
        <w:pStyle w:val="5"/>
        <w:spacing w:before="11" w:beforeAutospacing="0"/>
        <w:rPr>
          <w:rFonts w:hint="eastAsia" w:ascii="仿宋" w:hAnsi="仿宋" w:eastAsia="仿宋" w:cs="仿宋"/>
          <w:color w:val="auto"/>
          <w:sz w:val="22"/>
          <w:szCs w:val="22"/>
          <w:highlight w:val="none"/>
        </w:rPr>
      </w:pPr>
    </w:p>
    <w:tbl>
      <w:tblPr>
        <w:tblStyle w:val="12"/>
        <w:tblW w:w="8522" w:type="dxa"/>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atLeast"/>
        </w:trPr>
        <w:tc>
          <w:tcPr>
            <w:tcW w:w="2269"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项目所在地</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委托人名称</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2269"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spacing w:before="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委托人地址</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atLeast"/>
        </w:trPr>
        <w:tc>
          <w:tcPr>
            <w:tcW w:w="2269"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委托人电话</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合同价格</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9"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监理服务期限</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atLeast"/>
        </w:trPr>
        <w:tc>
          <w:tcPr>
            <w:tcW w:w="2269"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7"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监理内容</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9"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总监理工程师</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12"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项目描述</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9"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6253"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bl>
    <w:p>
      <w:pPr>
        <w:pStyle w:val="5"/>
        <w:spacing w:before="5" w:beforeAutospacing="0"/>
        <w:rPr>
          <w:rFonts w:hint="eastAsia" w:ascii="仿宋" w:hAnsi="仿宋" w:eastAsia="仿宋" w:cs="仿宋"/>
          <w:color w:val="auto"/>
          <w:sz w:val="5"/>
          <w:szCs w:val="5"/>
          <w:highlight w:val="none"/>
        </w:rPr>
      </w:pPr>
    </w:p>
    <w:p>
      <w:pPr>
        <w:autoSpaceDE w:val="0"/>
        <w:autoSpaceDN w:val="0"/>
        <w:spacing w:line="460" w:lineRule="exact"/>
        <w:ind w:firstLine="48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注：后附媒介中标（成交）公示网页截图、合同、中标通知书（或竣工备案表）的复印件，具体年份要求见投标人须知前附表。每张表格只填写一个项目，并标明序号。</w:t>
      </w:r>
    </w:p>
    <w:p>
      <w:pPr>
        <w:pStyle w:val="5"/>
        <w:adjustRightInd w:val="0"/>
        <w:snapToGrid w:val="0"/>
        <w:spacing w:line="360" w:lineRule="auto"/>
        <w:ind w:left="520" w:right="113"/>
        <w:rPr>
          <w:rFonts w:hint="eastAsia" w:ascii="仿宋" w:hAnsi="仿宋" w:eastAsia="仿宋" w:cs="仿宋"/>
          <w:color w:val="auto"/>
          <w:sz w:val="21"/>
          <w:szCs w:val="21"/>
          <w:highlight w:val="none"/>
        </w:rPr>
      </w:pPr>
    </w:p>
    <w:p>
      <w:pPr>
        <w:pStyle w:val="5"/>
        <w:adjustRightInd w:val="0"/>
        <w:snapToGrid w:val="0"/>
        <w:spacing w:line="360" w:lineRule="auto"/>
        <w:ind w:left="520" w:right="113"/>
        <w:rPr>
          <w:rFonts w:hint="eastAsia" w:ascii="仿宋" w:hAnsi="仿宋" w:eastAsia="仿宋" w:cs="仿宋"/>
          <w:color w:val="auto"/>
          <w:sz w:val="21"/>
          <w:szCs w:val="21"/>
          <w:highlight w:val="none"/>
        </w:rPr>
      </w:pPr>
    </w:p>
    <w:p>
      <w:pPr>
        <w:pStyle w:val="5"/>
        <w:adjustRightInd w:val="0"/>
        <w:snapToGrid w:val="0"/>
        <w:spacing w:line="360" w:lineRule="auto"/>
        <w:ind w:left="520" w:right="113"/>
        <w:rPr>
          <w:rFonts w:hint="eastAsia" w:ascii="仿宋" w:hAnsi="仿宋" w:eastAsia="仿宋" w:cs="仿宋"/>
          <w:color w:val="auto"/>
          <w:sz w:val="21"/>
          <w:szCs w:val="21"/>
          <w:highlight w:val="none"/>
        </w:rPr>
      </w:pPr>
    </w:p>
    <w:p>
      <w:pPr>
        <w:spacing w:line="363" w:lineRule="exact"/>
        <w:ind w:left="237"/>
        <w:jc w:val="center"/>
        <w:rPr>
          <w:rFonts w:hint="eastAsia" w:ascii="仿宋" w:hAnsi="仿宋" w:eastAsia="仿宋" w:cs="仿宋"/>
          <w:b/>
          <w:bCs/>
          <w:color w:val="auto"/>
          <w:sz w:val="28"/>
          <w:szCs w:val="28"/>
          <w:highlight w:val="none"/>
        </w:rPr>
      </w:pPr>
    </w:p>
    <w:p>
      <w:pPr>
        <w:spacing w:line="363" w:lineRule="exact"/>
        <w:ind w:left="237"/>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八、正在监理和新承接的项目情况</w:t>
      </w:r>
    </w:p>
    <w:p>
      <w:pPr>
        <w:pStyle w:val="5"/>
        <w:rPr>
          <w:rFonts w:hint="eastAsia" w:ascii="仿宋" w:hAnsi="仿宋" w:eastAsia="仿宋" w:cs="仿宋"/>
          <w:color w:val="auto"/>
          <w:highlight w:val="none"/>
        </w:rPr>
      </w:pPr>
    </w:p>
    <w:tbl>
      <w:tblPr>
        <w:tblStyle w:val="12"/>
        <w:tblW w:w="8572" w:type="dxa"/>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2"/>
        <w:gridCol w:w="6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1" w:hRule="atLeast"/>
        </w:trPr>
        <w:tc>
          <w:tcPr>
            <w:tcW w:w="2282"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项目所在地</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委托人名称</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8" w:hRule="atLeast"/>
        </w:trPr>
        <w:tc>
          <w:tcPr>
            <w:tcW w:w="2282"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spacing w:before="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委托人地址</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1" w:hRule="atLeast"/>
        </w:trPr>
        <w:tc>
          <w:tcPr>
            <w:tcW w:w="2282"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委托人电话</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签约合同价</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9"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监理服务期限</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1" w:hRule="atLeast"/>
        </w:trPr>
        <w:tc>
          <w:tcPr>
            <w:tcW w:w="2282"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7"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监理内容</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9"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总监理工程师</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7" w:hRule="atLeast"/>
        </w:trPr>
        <w:tc>
          <w:tcPr>
            <w:tcW w:w="2282"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20"/>
                <w:szCs w:val="20"/>
                <w:highlight w:val="none"/>
              </w:rPr>
            </w:pPr>
          </w:p>
          <w:p>
            <w:pPr>
              <w:pStyle w:val="21"/>
              <w:rPr>
                <w:rFonts w:hint="eastAsia" w:ascii="仿宋" w:hAnsi="仿宋" w:eastAsia="仿宋" w:cs="仿宋"/>
                <w:color w:val="auto"/>
                <w:sz w:val="20"/>
                <w:szCs w:val="20"/>
                <w:highlight w:val="none"/>
              </w:rPr>
            </w:pPr>
          </w:p>
          <w:p>
            <w:pPr>
              <w:pStyle w:val="21"/>
              <w:rPr>
                <w:rFonts w:hint="eastAsia" w:ascii="仿宋" w:hAnsi="仿宋" w:eastAsia="仿宋" w:cs="仿宋"/>
                <w:color w:val="auto"/>
                <w:sz w:val="20"/>
                <w:szCs w:val="20"/>
                <w:highlight w:val="none"/>
              </w:rPr>
            </w:pPr>
          </w:p>
          <w:p>
            <w:pPr>
              <w:pStyle w:val="21"/>
              <w:rPr>
                <w:rFonts w:hint="eastAsia" w:ascii="仿宋" w:hAnsi="仿宋" w:eastAsia="仿宋" w:cs="仿宋"/>
                <w:color w:val="auto"/>
                <w:sz w:val="20"/>
                <w:szCs w:val="20"/>
                <w:highlight w:val="none"/>
              </w:rPr>
            </w:pPr>
          </w:p>
          <w:p>
            <w:pPr>
              <w:pStyle w:val="21"/>
              <w:spacing w:before="1"/>
              <w:rPr>
                <w:rFonts w:hint="eastAsia" w:ascii="仿宋" w:hAnsi="仿宋" w:eastAsia="仿宋" w:cs="仿宋"/>
                <w:color w:val="auto"/>
                <w:sz w:val="29"/>
                <w:szCs w:val="29"/>
                <w:highlight w:val="none"/>
              </w:rPr>
            </w:pPr>
          </w:p>
          <w:p>
            <w:pPr>
              <w:pStyle w:val="21"/>
              <w:ind w:left="478"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项目描述</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atLeast"/>
        </w:trPr>
        <w:tc>
          <w:tcPr>
            <w:tcW w:w="2282" w:type="dxa"/>
            <w:tcBorders>
              <w:top w:val="single" w:color="000000" w:sz="4" w:space="0"/>
              <w:left w:val="single" w:color="000000" w:sz="4" w:space="0"/>
              <w:bottom w:val="single" w:color="000000" w:sz="4" w:space="0"/>
              <w:right w:val="single" w:color="000000" w:sz="4" w:space="0"/>
            </w:tcBorders>
          </w:tcPr>
          <w:p>
            <w:pPr>
              <w:pStyle w:val="21"/>
              <w:rPr>
                <w:rFonts w:hint="eastAsia" w:ascii="仿宋" w:hAnsi="仿宋" w:eastAsia="仿宋" w:cs="仿宋"/>
                <w:color w:val="auto"/>
                <w:sz w:val="17"/>
                <w:szCs w:val="17"/>
                <w:highlight w:val="none"/>
              </w:rPr>
            </w:pPr>
          </w:p>
          <w:p>
            <w:pPr>
              <w:pStyle w:val="21"/>
              <w:ind w:left="479" w:right="47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6290" w:type="dxa"/>
            <w:tcBorders>
              <w:top w:val="single" w:color="000000" w:sz="4" w:space="0"/>
              <w:left w:val="nil"/>
              <w:bottom w:val="single" w:color="000000" w:sz="4" w:space="0"/>
              <w:right w:val="single" w:color="000000" w:sz="4" w:space="0"/>
            </w:tcBorders>
          </w:tcPr>
          <w:p>
            <w:pPr>
              <w:rPr>
                <w:rFonts w:hint="eastAsia" w:ascii="仿宋" w:hAnsi="仿宋" w:eastAsia="仿宋" w:cs="仿宋"/>
                <w:color w:val="auto"/>
                <w:highlight w:val="none"/>
              </w:rPr>
            </w:pPr>
          </w:p>
        </w:tc>
      </w:tr>
    </w:tbl>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spacing w:line="363" w:lineRule="exact"/>
        <w:ind w:left="237"/>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九、近年发生的诉讼及仲裁情况</w:t>
      </w:r>
    </w:p>
    <w:p>
      <w:pPr>
        <w:spacing w:line="355" w:lineRule="exact"/>
        <w:rPr>
          <w:rFonts w:hint="eastAsia" w:ascii="仿宋" w:hAnsi="仿宋" w:eastAsia="仿宋" w:cs="仿宋"/>
          <w:color w:val="auto"/>
          <w:sz w:val="28"/>
          <w:szCs w:val="28"/>
          <w:highlight w:val="none"/>
        </w:rPr>
      </w:pPr>
    </w:p>
    <w:p>
      <w:pPr>
        <w:pStyle w:val="5"/>
        <w:spacing w:before="37" w:beforeAutospacing="0"/>
        <w:ind w:left="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注：投标人应根据投标人须知第 3.5.5 项的要求附相关证明材料。</w:t>
      </w:r>
    </w:p>
    <w:p>
      <w:pPr>
        <w:pStyle w:val="5"/>
        <w:spacing w:before="37" w:beforeAutospacing="0"/>
        <w:ind w:left="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说明：近年来发生过的诉讼和仲裁情况仅限于投标人败诉的，且履行施工承包合同有关的案件，不包括调解结案以及未裁决的仲裁或未终审判决的诉讼。</w:t>
      </w:r>
    </w:p>
    <w:p>
      <w:pPr>
        <w:spacing w:line="363" w:lineRule="exact"/>
        <w:ind w:left="100"/>
        <w:rPr>
          <w:rFonts w:hint="eastAsia" w:ascii="仿宋" w:hAnsi="仿宋" w:eastAsia="仿宋" w:cs="仿宋"/>
          <w:color w:val="auto"/>
          <w:sz w:val="28"/>
          <w:szCs w:val="28"/>
          <w:highlight w:val="none"/>
        </w:rPr>
      </w:pPr>
      <w:bookmarkStart w:id="80" w:name="_bookmark190"/>
      <w:bookmarkEnd w:id="80"/>
    </w:p>
    <w:p>
      <w:pPr>
        <w:pStyle w:val="5"/>
        <w:rPr>
          <w:rFonts w:hint="eastAsia" w:ascii="仿宋" w:hAnsi="仿宋" w:eastAsia="仿宋" w:cs="仿宋"/>
          <w:color w:val="auto"/>
          <w:sz w:val="24"/>
          <w:szCs w:val="24"/>
          <w:highlight w:val="none"/>
        </w:rPr>
      </w:pPr>
    </w:p>
    <w:p>
      <w:pPr>
        <w:pStyle w:val="5"/>
        <w:rPr>
          <w:rFonts w:hint="eastAsia" w:ascii="仿宋" w:hAnsi="仿宋" w:eastAsia="仿宋" w:cs="仿宋"/>
          <w:color w:val="auto"/>
          <w:sz w:val="24"/>
          <w:szCs w:val="24"/>
          <w:highlight w:val="none"/>
        </w:rPr>
      </w:pPr>
    </w:p>
    <w:p>
      <w:pPr>
        <w:pStyle w:val="5"/>
        <w:spacing w:before="11" w:beforeAutospacing="0"/>
        <w:rPr>
          <w:rFonts w:hint="eastAsia" w:ascii="仿宋" w:hAnsi="仿宋" w:eastAsia="仿宋" w:cs="仿宋"/>
          <w:color w:val="auto"/>
          <w:sz w:val="22"/>
          <w:szCs w:val="22"/>
          <w:highlight w:val="none"/>
        </w:rPr>
      </w:pPr>
    </w:p>
    <w:p>
      <w:pPr>
        <w:spacing w:line="360" w:lineRule="auto"/>
        <w:ind w:firstLine="1536" w:firstLineChars="445"/>
        <w:outlineLvl w:val="0"/>
        <w:rPr>
          <w:rFonts w:hint="eastAsia" w:ascii="仿宋" w:hAnsi="仿宋" w:eastAsia="仿宋" w:cs="仿宋"/>
          <w:b/>
          <w:bCs/>
          <w:color w:val="auto"/>
          <w:spacing w:val="12"/>
          <w:sz w:val="32"/>
          <w:szCs w:val="32"/>
          <w:highlight w:val="none"/>
        </w:rPr>
      </w:pPr>
    </w:p>
    <w:p>
      <w:pPr>
        <w:pStyle w:val="5"/>
        <w:jc w:val="center"/>
        <w:rPr>
          <w:rFonts w:hint="eastAsia" w:ascii="仿宋" w:hAnsi="仿宋" w:eastAsia="仿宋" w:cs="仿宋"/>
          <w:b/>
          <w:bCs/>
          <w:color w:val="auto"/>
          <w:spacing w:val="12"/>
          <w:sz w:val="32"/>
          <w:szCs w:val="32"/>
          <w:highlight w:val="none"/>
        </w:rPr>
      </w:pPr>
      <w:r>
        <w:rPr>
          <w:rFonts w:hint="eastAsia" w:ascii="仿宋" w:hAnsi="仿宋" w:eastAsia="仿宋" w:cs="仿宋"/>
          <w:b/>
          <w:bCs/>
          <w:color w:val="auto"/>
          <w:spacing w:val="12"/>
          <w:sz w:val="32"/>
          <w:szCs w:val="32"/>
          <w:highlight w:val="none"/>
        </w:rPr>
        <w:t>十、投标人认为有必要的其它证明材料</w:t>
      </w:r>
      <w:bookmarkStart w:id="81" w:name="_bookmark192"/>
      <w:bookmarkEnd w:id="81"/>
      <w:bookmarkStart w:id="82" w:name="_bookmark180"/>
      <w:bookmarkEnd w:id="82"/>
      <w:bookmarkStart w:id="83" w:name="_bookmark186"/>
      <w:bookmarkEnd w:id="83"/>
      <w:bookmarkStart w:id="84" w:name="_bookmark182"/>
      <w:bookmarkEnd w:id="84"/>
      <w:bookmarkStart w:id="85" w:name="_bookmark179"/>
      <w:bookmarkEnd w:id="85"/>
      <w:bookmarkStart w:id="86" w:name="_bookmark178"/>
      <w:bookmarkEnd w:id="86"/>
      <w:bookmarkStart w:id="87" w:name="_bookmark184"/>
      <w:bookmarkEnd w:id="87"/>
      <w:bookmarkStart w:id="88" w:name="_bookmark188"/>
      <w:bookmarkEnd w:id="88"/>
      <w:bookmarkStart w:id="89" w:name="_bookmark84"/>
      <w:bookmarkEnd w:id="89"/>
      <w:bookmarkStart w:id="90" w:name="_bookmark191"/>
      <w:bookmarkEnd w:id="90"/>
      <w:bookmarkStart w:id="91" w:name="_bookmark189"/>
      <w:bookmarkEnd w:id="91"/>
    </w:p>
    <w:p>
      <w:pPr>
        <w:spacing w:line="360" w:lineRule="auto"/>
        <w:ind w:firstLine="1536" w:firstLineChars="445"/>
        <w:outlineLvl w:val="0"/>
        <w:rPr>
          <w:rFonts w:hint="eastAsia" w:ascii="仿宋" w:hAnsi="仿宋" w:eastAsia="仿宋" w:cs="仿宋"/>
          <w:b/>
          <w:bCs/>
          <w:color w:val="auto"/>
          <w:spacing w:val="12"/>
          <w:sz w:val="32"/>
          <w:szCs w:val="32"/>
          <w:highlight w:val="none"/>
        </w:rPr>
      </w:pPr>
    </w:p>
    <w:p>
      <w:pPr>
        <w:spacing w:beforeLines="50" w:afterLines="50" w:line="0" w:lineRule="atLeast"/>
        <w:jc w:val="center"/>
        <w:rPr>
          <w:rFonts w:hint="eastAsia" w:ascii="仿宋" w:hAnsi="仿宋" w:eastAsia="仿宋" w:cs="仿宋"/>
          <w:b/>
          <w:bCs/>
          <w:color w:val="auto"/>
          <w:spacing w:val="12"/>
          <w:sz w:val="24"/>
          <w:szCs w:val="24"/>
          <w:highlight w:val="none"/>
        </w:rPr>
      </w:pPr>
    </w:p>
    <w:p>
      <w:pPr>
        <w:pStyle w:val="5"/>
        <w:jc w:val="center"/>
        <w:rPr>
          <w:rFonts w:hint="eastAsia" w:ascii="仿宋" w:hAnsi="仿宋" w:eastAsia="仿宋" w:cs="仿宋"/>
          <w:b/>
          <w:bCs/>
          <w:color w:val="auto"/>
          <w:spacing w:val="12"/>
          <w:sz w:val="32"/>
          <w:szCs w:val="32"/>
          <w:highlight w:val="none"/>
        </w:rPr>
      </w:pPr>
      <w:r>
        <w:rPr>
          <w:rFonts w:hint="eastAsia" w:ascii="仿宋" w:hAnsi="仿宋" w:eastAsia="仿宋" w:cs="仿宋"/>
          <w:b/>
          <w:bCs/>
          <w:color w:val="auto"/>
          <w:spacing w:val="12"/>
          <w:sz w:val="32"/>
          <w:szCs w:val="32"/>
          <w:highlight w:val="none"/>
        </w:rPr>
        <w:t>十一、监理大纲</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1、质量控制</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2、进度控制</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3、造价控制</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4、安全措施</w:t>
      </w:r>
    </w:p>
    <w:p>
      <w:pPr>
        <w:autoSpaceDE w:val="0"/>
        <w:autoSpaceDN w:val="0"/>
        <w:adjustRightInd w:val="0"/>
        <w:spacing w:line="420" w:lineRule="exact"/>
        <w:ind w:firstLine="472" w:firstLineChars="197"/>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5、旁站监理措施</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6、档案及合同管理</w:t>
      </w:r>
    </w:p>
    <w:p>
      <w:pPr>
        <w:autoSpaceDE w:val="0"/>
        <w:autoSpaceDN w:val="0"/>
        <w:adjustRightInd w:val="0"/>
        <w:spacing w:line="42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7、工作制度</w:t>
      </w:r>
    </w:p>
    <w:p>
      <w:pPr>
        <w:autoSpaceDE w:val="0"/>
        <w:autoSpaceDN w:val="0"/>
        <w:adjustRightInd w:val="0"/>
        <w:spacing w:line="42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sz w:val="24"/>
          <w:szCs w:val="24"/>
          <w:highlight w:val="none"/>
        </w:rPr>
        <w:t>8、组织协调及合理化建议</w:t>
      </w:r>
    </w:p>
    <w:p>
      <w:pPr>
        <w:rPr>
          <w:rFonts w:hint="eastAsia" w:ascii="仿宋" w:hAnsi="仿宋" w:eastAsia="仿宋" w:cs="仿宋"/>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153"/>
        <w:tab w:val="right" w:pos="8306"/>
      </w:tabs>
      <w:jc w:val="center"/>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8"/>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YBrIsvQEAAGIDAAAOAAAAAAAAAAEAIAAAAB4BAABkcnMvZTJvRG9jLnhtbFBLBQYAAAAA&#10;BgAGAFkBAABNBQAAAAA=&#10;">
              <v:fill on="f" focussize="0,0"/>
              <v:stroke on="f"/>
              <v:imagedata o:title=""/>
              <o:lock v:ext="edit" aspectratio="f"/>
              <v:textbox inset="0mm,0mm,0mm,0mm" style="mso-fit-shape-to-text:t;">
                <w:txbxContent>
                  <w:p>
                    <w:pPr>
                      <w:pStyle w:val="8"/>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29565" cy="227965"/>
              <wp:effectExtent l="0" t="0" r="0" b="0"/>
              <wp:wrapNone/>
              <wp:docPr id="2" name="文本框 1"/>
              <wp:cNvGraphicFramePr/>
              <a:graphic xmlns:a="http://schemas.openxmlformats.org/drawingml/2006/main">
                <a:graphicData uri="http://schemas.microsoft.com/office/word/2010/wordprocessingShape">
                  <wps:wsp>
                    <wps:cNvSpPr txBox="1"/>
                    <wps:spPr>
                      <a:xfrm>
                        <a:off x="0" y="0"/>
                        <a:ext cx="329565" cy="227965"/>
                      </a:xfrm>
                      <a:prstGeom prst="rect">
                        <a:avLst/>
                      </a:prstGeom>
                      <a:noFill/>
                      <a:ln w="9525">
                        <a:noFill/>
                      </a:ln>
                      <a:effectLst/>
                    </wps:spPr>
                    <wps:txbx>
                      <w:txbxContent>
                        <w:p>
                          <w:pPr>
                            <w:pStyle w:val="8"/>
                          </w:pPr>
                          <w:r>
                            <w:fldChar w:fldCharType="begin"/>
                          </w:r>
                          <w:r>
                            <w:instrText xml:space="preserve"> PAGE  \* MERGEFORMAT </w:instrText>
                          </w:r>
                          <w:r>
                            <w:fldChar w:fldCharType="separate"/>
                          </w:r>
                          <w:r>
                            <w:t>51</w:t>
                          </w:r>
                          <w:r>
                            <w:fldChar w:fldCharType="end"/>
                          </w:r>
                        </w:p>
                      </w:txbxContent>
                    </wps:txbx>
                    <wps:bodyPr lIns="0" tIns="0" rIns="0" bIns="0" upright="1"/>
                  </wps:wsp>
                </a:graphicData>
              </a:graphic>
            </wp:anchor>
          </w:drawing>
        </mc:Choice>
        <mc:Fallback>
          <w:pict>
            <v:shape id="文本框 1" o:spid="_x0000_s1026" o:spt="202" type="#_x0000_t202" style="position:absolute;left:0pt;margin-top:0pt;height:17.95pt;width:25.95pt;mso-position-horizontal:center;mso-position-horizontal-relative:margin;z-index:251658240;mso-width-relative:page;mso-height-relative:page;" filled="f" stroked="f" coordsize="21600,21600" o:gfxdata="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GsXIdQAAAADAQAA&#10;DwAAAAAAAAABACAAAAAiAAAAZHJzL2Rvd25yZXYueG1sUEsBAhQAFAAAAAgAh07iQOA0OPOrAQAA&#10;OgMAAA4AAAAAAAAAAQAgAAAAIwEAAGRycy9lMm9Eb2MueG1sUEsFBgAAAAAGAAYAWQEAAEAFAAAA&#10;AA==&#10;">
              <v:fill on="f" focussize="0,0"/>
              <v:stroke on="f"/>
              <v:imagedata o:title=""/>
              <o:lock v:ext="edit" aspectratio="f"/>
              <v:textbox inset="0mm,0mm,0mm,0mm">
                <w:txbxContent>
                  <w:p>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6FF"/>
    <w:rsid w:val="00017C6D"/>
    <w:rsid w:val="000257BF"/>
    <w:rsid w:val="000353AD"/>
    <w:rsid w:val="000412C7"/>
    <w:rsid w:val="00056DB8"/>
    <w:rsid w:val="000660EB"/>
    <w:rsid w:val="000739AC"/>
    <w:rsid w:val="00073FD7"/>
    <w:rsid w:val="000756E3"/>
    <w:rsid w:val="000948A0"/>
    <w:rsid w:val="000D3E62"/>
    <w:rsid w:val="000F1147"/>
    <w:rsid w:val="000F7F7A"/>
    <w:rsid w:val="00101943"/>
    <w:rsid w:val="00112918"/>
    <w:rsid w:val="0013367C"/>
    <w:rsid w:val="001376E0"/>
    <w:rsid w:val="0014118A"/>
    <w:rsid w:val="0014742C"/>
    <w:rsid w:val="00154C13"/>
    <w:rsid w:val="00177AA2"/>
    <w:rsid w:val="001B33B2"/>
    <w:rsid w:val="001B6552"/>
    <w:rsid w:val="001C1B22"/>
    <w:rsid w:val="001C5995"/>
    <w:rsid w:val="001E4CCC"/>
    <w:rsid w:val="00215E98"/>
    <w:rsid w:val="002224D8"/>
    <w:rsid w:val="00223530"/>
    <w:rsid w:val="002426C0"/>
    <w:rsid w:val="002433E8"/>
    <w:rsid w:val="0024518A"/>
    <w:rsid w:val="00246050"/>
    <w:rsid w:val="00247D92"/>
    <w:rsid w:val="0026253F"/>
    <w:rsid w:val="002D0C11"/>
    <w:rsid w:val="002D2A50"/>
    <w:rsid w:val="002F2C5A"/>
    <w:rsid w:val="00303F19"/>
    <w:rsid w:val="0037709A"/>
    <w:rsid w:val="0039101D"/>
    <w:rsid w:val="00391CE7"/>
    <w:rsid w:val="003B0C45"/>
    <w:rsid w:val="003C1AC5"/>
    <w:rsid w:val="003C6035"/>
    <w:rsid w:val="003F37DC"/>
    <w:rsid w:val="00423407"/>
    <w:rsid w:val="004241ED"/>
    <w:rsid w:val="00437B83"/>
    <w:rsid w:val="0044115C"/>
    <w:rsid w:val="00445371"/>
    <w:rsid w:val="00450995"/>
    <w:rsid w:val="0045269A"/>
    <w:rsid w:val="004527AC"/>
    <w:rsid w:val="00457D4C"/>
    <w:rsid w:val="004624A6"/>
    <w:rsid w:val="00477237"/>
    <w:rsid w:val="00483DA3"/>
    <w:rsid w:val="004B528F"/>
    <w:rsid w:val="004C1CF4"/>
    <w:rsid w:val="00544E62"/>
    <w:rsid w:val="00557BA7"/>
    <w:rsid w:val="00563B6F"/>
    <w:rsid w:val="0056457C"/>
    <w:rsid w:val="0057052C"/>
    <w:rsid w:val="00570640"/>
    <w:rsid w:val="00574ABB"/>
    <w:rsid w:val="005A2B6F"/>
    <w:rsid w:val="005A6DC1"/>
    <w:rsid w:val="005B06DF"/>
    <w:rsid w:val="005B4406"/>
    <w:rsid w:val="005C478D"/>
    <w:rsid w:val="005D3FD6"/>
    <w:rsid w:val="005D4B58"/>
    <w:rsid w:val="005E7011"/>
    <w:rsid w:val="005F2E43"/>
    <w:rsid w:val="005F7F43"/>
    <w:rsid w:val="00613994"/>
    <w:rsid w:val="006640BB"/>
    <w:rsid w:val="00686544"/>
    <w:rsid w:val="00690C6B"/>
    <w:rsid w:val="0069142E"/>
    <w:rsid w:val="0069163B"/>
    <w:rsid w:val="00695849"/>
    <w:rsid w:val="006967D4"/>
    <w:rsid w:val="00697DF9"/>
    <w:rsid w:val="006A1582"/>
    <w:rsid w:val="006A6FFA"/>
    <w:rsid w:val="006D4F89"/>
    <w:rsid w:val="006E2CF9"/>
    <w:rsid w:val="00711041"/>
    <w:rsid w:val="00714DD6"/>
    <w:rsid w:val="00715C4C"/>
    <w:rsid w:val="00733A9D"/>
    <w:rsid w:val="00734683"/>
    <w:rsid w:val="00741CEA"/>
    <w:rsid w:val="00741EFB"/>
    <w:rsid w:val="00762FEB"/>
    <w:rsid w:val="007632B2"/>
    <w:rsid w:val="00777AB8"/>
    <w:rsid w:val="007833A4"/>
    <w:rsid w:val="007874F5"/>
    <w:rsid w:val="007A02DE"/>
    <w:rsid w:val="007A1369"/>
    <w:rsid w:val="007A7587"/>
    <w:rsid w:val="007B6B86"/>
    <w:rsid w:val="007C161A"/>
    <w:rsid w:val="007C3E14"/>
    <w:rsid w:val="007C4E27"/>
    <w:rsid w:val="007E14C2"/>
    <w:rsid w:val="007E54EA"/>
    <w:rsid w:val="007F66E4"/>
    <w:rsid w:val="00801730"/>
    <w:rsid w:val="008106F8"/>
    <w:rsid w:val="008237BF"/>
    <w:rsid w:val="0087006F"/>
    <w:rsid w:val="00872F58"/>
    <w:rsid w:val="00886847"/>
    <w:rsid w:val="00896F9F"/>
    <w:rsid w:val="008A7C23"/>
    <w:rsid w:val="008B363F"/>
    <w:rsid w:val="008D2DFD"/>
    <w:rsid w:val="008E0964"/>
    <w:rsid w:val="008E73F0"/>
    <w:rsid w:val="008E7829"/>
    <w:rsid w:val="008F2B66"/>
    <w:rsid w:val="00912B10"/>
    <w:rsid w:val="00923C0E"/>
    <w:rsid w:val="00924295"/>
    <w:rsid w:val="009341B7"/>
    <w:rsid w:val="00935B17"/>
    <w:rsid w:val="00983D2D"/>
    <w:rsid w:val="00990DFA"/>
    <w:rsid w:val="00993991"/>
    <w:rsid w:val="009962B4"/>
    <w:rsid w:val="009B7124"/>
    <w:rsid w:val="009C768D"/>
    <w:rsid w:val="009E0567"/>
    <w:rsid w:val="009E3086"/>
    <w:rsid w:val="00A107CD"/>
    <w:rsid w:val="00A166FE"/>
    <w:rsid w:val="00A246D5"/>
    <w:rsid w:val="00A5546B"/>
    <w:rsid w:val="00A67462"/>
    <w:rsid w:val="00A96FBB"/>
    <w:rsid w:val="00AA36FF"/>
    <w:rsid w:val="00AA5534"/>
    <w:rsid w:val="00AA6A03"/>
    <w:rsid w:val="00AC5495"/>
    <w:rsid w:val="00AD6530"/>
    <w:rsid w:val="00AE19B1"/>
    <w:rsid w:val="00AE27F4"/>
    <w:rsid w:val="00AF257D"/>
    <w:rsid w:val="00AF581F"/>
    <w:rsid w:val="00B179E0"/>
    <w:rsid w:val="00B266D3"/>
    <w:rsid w:val="00B37936"/>
    <w:rsid w:val="00B43FE0"/>
    <w:rsid w:val="00B452CC"/>
    <w:rsid w:val="00B51328"/>
    <w:rsid w:val="00B53663"/>
    <w:rsid w:val="00B57E31"/>
    <w:rsid w:val="00B7517E"/>
    <w:rsid w:val="00B82B0E"/>
    <w:rsid w:val="00B93DF8"/>
    <w:rsid w:val="00B97812"/>
    <w:rsid w:val="00BB366C"/>
    <w:rsid w:val="00BC3CEF"/>
    <w:rsid w:val="00BF1C04"/>
    <w:rsid w:val="00BF6DB2"/>
    <w:rsid w:val="00C06208"/>
    <w:rsid w:val="00C1035B"/>
    <w:rsid w:val="00C2170B"/>
    <w:rsid w:val="00C2276E"/>
    <w:rsid w:val="00C30C1B"/>
    <w:rsid w:val="00C465DF"/>
    <w:rsid w:val="00C47E38"/>
    <w:rsid w:val="00C5536B"/>
    <w:rsid w:val="00C576C2"/>
    <w:rsid w:val="00C728C9"/>
    <w:rsid w:val="00C91A1D"/>
    <w:rsid w:val="00C91EAC"/>
    <w:rsid w:val="00CA6E48"/>
    <w:rsid w:val="00CB06A1"/>
    <w:rsid w:val="00CB6321"/>
    <w:rsid w:val="00D122B6"/>
    <w:rsid w:val="00D469BD"/>
    <w:rsid w:val="00D52F95"/>
    <w:rsid w:val="00D5366E"/>
    <w:rsid w:val="00D637E7"/>
    <w:rsid w:val="00D7143E"/>
    <w:rsid w:val="00D7390D"/>
    <w:rsid w:val="00D829B2"/>
    <w:rsid w:val="00D858FD"/>
    <w:rsid w:val="00D87EC5"/>
    <w:rsid w:val="00DA09FE"/>
    <w:rsid w:val="00DA1A65"/>
    <w:rsid w:val="00DF2709"/>
    <w:rsid w:val="00DF2C06"/>
    <w:rsid w:val="00DF7FD8"/>
    <w:rsid w:val="00E13613"/>
    <w:rsid w:val="00E54792"/>
    <w:rsid w:val="00E6305C"/>
    <w:rsid w:val="00E65813"/>
    <w:rsid w:val="00E66B6C"/>
    <w:rsid w:val="00E66C4B"/>
    <w:rsid w:val="00E75296"/>
    <w:rsid w:val="00E76E27"/>
    <w:rsid w:val="00EC5ECE"/>
    <w:rsid w:val="00ED6CDD"/>
    <w:rsid w:val="00EF5BE1"/>
    <w:rsid w:val="00EF7D36"/>
    <w:rsid w:val="00F00904"/>
    <w:rsid w:val="00F11EF5"/>
    <w:rsid w:val="00F33AE6"/>
    <w:rsid w:val="00F36647"/>
    <w:rsid w:val="00F41DA7"/>
    <w:rsid w:val="00F516FF"/>
    <w:rsid w:val="00F76A49"/>
    <w:rsid w:val="00F81224"/>
    <w:rsid w:val="00F83138"/>
    <w:rsid w:val="00F856A4"/>
    <w:rsid w:val="00F85A83"/>
    <w:rsid w:val="00F91187"/>
    <w:rsid w:val="00F92DED"/>
    <w:rsid w:val="00F96D79"/>
    <w:rsid w:val="00FB1D88"/>
    <w:rsid w:val="00FC1BA8"/>
    <w:rsid w:val="00FD6C85"/>
    <w:rsid w:val="00FF17B1"/>
    <w:rsid w:val="00FF3476"/>
    <w:rsid w:val="00FF3A04"/>
    <w:rsid w:val="00FF3A10"/>
    <w:rsid w:val="00FF71F2"/>
    <w:rsid w:val="00FF76CC"/>
    <w:rsid w:val="017320CE"/>
    <w:rsid w:val="02023488"/>
    <w:rsid w:val="029832B6"/>
    <w:rsid w:val="056365BC"/>
    <w:rsid w:val="067A6A3F"/>
    <w:rsid w:val="087376D5"/>
    <w:rsid w:val="0B741267"/>
    <w:rsid w:val="0F825A93"/>
    <w:rsid w:val="12192867"/>
    <w:rsid w:val="14162B7D"/>
    <w:rsid w:val="168006D4"/>
    <w:rsid w:val="179B22D9"/>
    <w:rsid w:val="1B316F86"/>
    <w:rsid w:val="1D9E15C8"/>
    <w:rsid w:val="216E2167"/>
    <w:rsid w:val="23BC6836"/>
    <w:rsid w:val="2AB86391"/>
    <w:rsid w:val="2CA03350"/>
    <w:rsid w:val="2F3852EC"/>
    <w:rsid w:val="364B779D"/>
    <w:rsid w:val="37520AB3"/>
    <w:rsid w:val="39CF3548"/>
    <w:rsid w:val="47227CCF"/>
    <w:rsid w:val="476B6890"/>
    <w:rsid w:val="47D86529"/>
    <w:rsid w:val="4B5E66D5"/>
    <w:rsid w:val="50CF6A12"/>
    <w:rsid w:val="5A5E2E99"/>
    <w:rsid w:val="5B890D6B"/>
    <w:rsid w:val="5B96312E"/>
    <w:rsid w:val="5E472334"/>
    <w:rsid w:val="602E15B2"/>
    <w:rsid w:val="6334095E"/>
    <w:rsid w:val="63351FB1"/>
    <w:rsid w:val="63436AA1"/>
    <w:rsid w:val="63893462"/>
    <w:rsid w:val="68991D0A"/>
    <w:rsid w:val="6A415007"/>
    <w:rsid w:val="6B0F32CE"/>
    <w:rsid w:val="6EE05615"/>
    <w:rsid w:val="6F0E2515"/>
    <w:rsid w:val="6FA93A18"/>
    <w:rsid w:val="71464C9B"/>
    <w:rsid w:val="72E74AB2"/>
    <w:rsid w:val="762A3A85"/>
    <w:rsid w:val="767658B2"/>
    <w:rsid w:val="7F1E471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z w:val="34"/>
      <w:szCs w:val="34"/>
      <w:lang w:val="en-US" w:eastAsia="zh-CN" w:bidi="ar-SA"/>
    </w:rPr>
  </w:style>
  <w:style w:type="paragraph" w:styleId="3">
    <w:name w:val="heading 3"/>
    <w:basedOn w:val="1"/>
    <w:next w:val="1"/>
    <w:link w:val="17"/>
    <w:semiHidden/>
    <w:unhideWhenUsed/>
    <w:qFormat/>
    <w:uiPriority w:val="9"/>
    <w:pPr>
      <w:keepNext/>
      <w:keepLines/>
      <w:spacing w:before="260" w:after="260" w:line="416" w:lineRule="auto"/>
      <w:outlineLvl w:val="2"/>
    </w:pPr>
    <w:rPr>
      <w:rFonts w:cs="Times New Roman"/>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Document Map"/>
    <w:basedOn w:val="1"/>
    <w:link w:val="29"/>
    <w:semiHidden/>
    <w:unhideWhenUsed/>
    <w:qFormat/>
    <w:uiPriority w:val="99"/>
    <w:rPr>
      <w:rFonts w:cs="Times New Roman"/>
      <w:sz w:val="18"/>
      <w:szCs w:val="18"/>
    </w:rPr>
  </w:style>
  <w:style w:type="paragraph" w:styleId="5">
    <w:name w:val="Body Text"/>
    <w:basedOn w:val="1"/>
    <w:link w:val="18"/>
    <w:unhideWhenUsed/>
    <w:qFormat/>
    <w:uiPriority w:val="99"/>
    <w:pPr>
      <w:spacing w:before="100" w:beforeAutospacing="1"/>
    </w:pPr>
    <w:rPr>
      <w:rFonts w:cs="Times New Roman"/>
    </w:rPr>
  </w:style>
  <w:style w:type="paragraph" w:styleId="6">
    <w:name w:val="Date"/>
    <w:basedOn w:val="1"/>
    <w:next w:val="1"/>
    <w:link w:val="30"/>
    <w:semiHidden/>
    <w:unhideWhenUsed/>
    <w:qFormat/>
    <w:uiPriority w:val="99"/>
    <w:pPr>
      <w:ind w:left="100" w:leftChars="2500"/>
    </w:pPr>
    <w:rPr>
      <w:rFonts w:cs="Times New Roman"/>
    </w:rPr>
  </w:style>
  <w:style w:type="paragraph" w:styleId="7">
    <w:name w:val="Balloon Text"/>
    <w:basedOn w:val="1"/>
    <w:link w:val="37"/>
    <w:semiHidden/>
    <w:unhideWhenUsed/>
    <w:qFormat/>
    <w:uiPriority w:val="99"/>
    <w:rPr>
      <w:rFonts w:cs="Times New Roman"/>
      <w:sz w:val="18"/>
      <w:szCs w:val="18"/>
    </w:rPr>
  </w:style>
  <w:style w:type="paragraph" w:styleId="8">
    <w:name w:val="footer"/>
    <w:basedOn w:val="1"/>
    <w:link w:val="26"/>
    <w:unhideWhenUsed/>
    <w:qFormat/>
    <w:uiPriority w:val="99"/>
    <w:pPr>
      <w:snapToGrid w:val="0"/>
      <w:jc w:val="left"/>
    </w:pPr>
    <w:rPr>
      <w:rFonts w:cs="Times New Roman"/>
      <w:sz w:val="18"/>
      <w:szCs w:val="18"/>
    </w:rPr>
  </w:style>
  <w:style w:type="paragraph" w:styleId="9">
    <w:name w:val="header"/>
    <w:basedOn w:val="1"/>
    <w:link w:val="22"/>
    <w:unhideWhenUsed/>
    <w:qFormat/>
    <w:uiPriority w:val="99"/>
    <w:pPr>
      <w:pBdr>
        <w:bottom w:val="single" w:color="auto" w:sz="6" w:space="1"/>
      </w:pBdr>
      <w:snapToGrid w:val="0"/>
      <w:jc w:val="center"/>
    </w:pPr>
    <w:rPr>
      <w:rFonts w:cs="Times New Roman"/>
      <w:sz w:val="18"/>
      <w:szCs w:val="18"/>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1">
    <w:name w:val="Body Text First Indent"/>
    <w:basedOn w:val="5"/>
    <w:link w:val="34"/>
    <w:unhideWhenUsed/>
    <w:qFormat/>
    <w:uiPriority w:val="99"/>
    <w:pPr>
      <w:spacing w:before="0" w:beforeAutospacing="0" w:after="120"/>
      <w:ind w:firstLine="420" w:firstLineChars="100"/>
    </w:pPr>
    <w:rPr>
      <w:rFonts w:ascii="Times New Roman" w:hAnsi="Times New Roman"/>
      <w:kern w:val="2"/>
      <w:sz w:val="21"/>
      <w:szCs w:val="24"/>
    </w:rPr>
  </w:style>
  <w:style w:type="character" w:styleId="14">
    <w:name w:val="FollowedHyperlink"/>
    <w:unhideWhenUsed/>
    <w:qFormat/>
    <w:uiPriority w:val="99"/>
    <w:rPr>
      <w:color w:val="800080"/>
      <w:u w:val="single"/>
    </w:rPr>
  </w:style>
  <w:style w:type="character" w:styleId="15">
    <w:name w:val="Hyperlink"/>
    <w:unhideWhenUsed/>
    <w:qFormat/>
    <w:uiPriority w:val="99"/>
    <w:rPr>
      <w:color w:val="0000FF"/>
      <w:u w:val="single"/>
    </w:rPr>
  </w:style>
  <w:style w:type="paragraph" w:customStyle="1" w:styleId="16">
    <w:name w:val="Default"/>
    <w:basedOn w:val="1"/>
    <w:qFormat/>
    <w:uiPriority w:val="0"/>
    <w:pPr>
      <w:autoSpaceDE w:val="0"/>
      <w:autoSpaceDN w:val="0"/>
      <w:adjustRightInd w:val="0"/>
      <w:jc w:val="left"/>
    </w:pPr>
    <w:rPr>
      <w:color w:val="000000"/>
      <w:sz w:val="24"/>
      <w:szCs w:val="24"/>
    </w:rPr>
  </w:style>
  <w:style w:type="character" w:customStyle="1" w:styleId="17">
    <w:name w:val="标题 3 Char"/>
    <w:link w:val="3"/>
    <w:semiHidden/>
    <w:qFormat/>
    <w:uiPriority w:val="9"/>
    <w:rPr>
      <w:rFonts w:ascii="宋体" w:hAnsi="宋体" w:cs="宋体"/>
      <w:b/>
      <w:bCs/>
      <w:sz w:val="32"/>
      <w:szCs w:val="32"/>
    </w:rPr>
  </w:style>
  <w:style w:type="character" w:customStyle="1" w:styleId="18">
    <w:name w:val="正文文本 Char"/>
    <w:link w:val="5"/>
    <w:qFormat/>
    <w:uiPriority w:val="99"/>
    <w:rPr>
      <w:rFonts w:ascii="宋体" w:hAnsi="宋体" w:eastAsia="宋体" w:cs="宋体"/>
      <w:kern w:val="0"/>
      <w:sz w:val="34"/>
      <w:szCs w:val="34"/>
    </w:rPr>
  </w:style>
  <w:style w:type="paragraph" w:customStyle="1" w:styleId="19">
    <w:name w:val="msonormal"/>
    <w:basedOn w:val="1"/>
    <w:qFormat/>
    <w:uiPriority w:val="0"/>
    <w:pPr>
      <w:widowControl/>
      <w:spacing w:before="100" w:beforeAutospacing="1" w:after="100" w:afterAutospacing="1"/>
      <w:jc w:val="left"/>
    </w:pPr>
    <w:rPr>
      <w:sz w:val="24"/>
      <w:szCs w:val="24"/>
    </w:rPr>
  </w:style>
  <w:style w:type="paragraph" w:customStyle="1" w:styleId="20">
    <w:name w:val="标题 21"/>
    <w:basedOn w:val="1"/>
    <w:qFormat/>
    <w:uiPriority w:val="0"/>
    <w:pPr>
      <w:spacing w:before="100" w:beforeAutospacing="1" w:after="100" w:afterAutospacing="1"/>
      <w:ind w:left="100" w:right="113"/>
      <w:jc w:val="left"/>
      <w:outlineLvl w:val="2"/>
    </w:pPr>
    <w:rPr>
      <w:rFonts w:ascii="Microsoft JhengHei" w:hAnsi="Microsoft JhengHei" w:eastAsia="Microsoft JhengHei"/>
      <w:b/>
      <w:bCs/>
      <w:sz w:val="32"/>
      <w:szCs w:val="32"/>
    </w:rPr>
  </w:style>
  <w:style w:type="paragraph" w:customStyle="1" w:styleId="21">
    <w:name w:val="Table Paragraph"/>
    <w:basedOn w:val="1"/>
    <w:qFormat/>
    <w:uiPriority w:val="0"/>
    <w:pPr>
      <w:jc w:val="left"/>
    </w:pPr>
    <w:rPr>
      <w:sz w:val="22"/>
      <w:szCs w:val="22"/>
    </w:rPr>
  </w:style>
  <w:style w:type="character" w:customStyle="1" w:styleId="22">
    <w:name w:val="页眉 Char"/>
    <w:link w:val="9"/>
    <w:qFormat/>
    <w:uiPriority w:val="99"/>
    <w:rPr>
      <w:rFonts w:ascii="宋体" w:hAnsi="宋体" w:eastAsia="宋体" w:cs="宋体"/>
      <w:kern w:val="0"/>
      <w:sz w:val="18"/>
      <w:szCs w:val="18"/>
    </w:rPr>
  </w:style>
  <w:style w:type="paragraph" w:customStyle="1" w:styleId="23">
    <w:name w:val="正文首行缩进1"/>
    <w:basedOn w:val="5"/>
    <w:qFormat/>
    <w:uiPriority w:val="0"/>
    <w:pPr>
      <w:ind w:firstLine="420" w:firstLineChars="100"/>
    </w:pPr>
  </w:style>
  <w:style w:type="paragraph" w:customStyle="1" w:styleId="24">
    <w:name w:val="！正文"/>
    <w:basedOn w:val="1"/>
    <w:qFormat/>
    <w:uiPriority w:val="0"/>
    <w:pPr>
      <w:spacing w:line="360" w:lineRule="auto"/>
    </w:pPr>
    <w:rPr>
      <w:rFonts w:ascii="Times New Roman" w:hAnsi="Times New Roman" w:cs="Times New Roman"/>
      <w:sz w:val="20"/>
      <w:szCs w:val="20"/>
    </w:rPr>
  </w:style>
  <w:style w:type="paragraph" w:customStyle="1" w:styleId="25">
    <w:name w:val="标题 31"/>
    <w:basedOn w:val="1"/>
    <w:qFormat/>
    <w:uiPriority w:val="0"/>
    <w:pPr>
      <w:spacing w:before="100" w:beforeAutospacing="1" w:after="100" w:afterAutospacing="1"/>
      <w:ind w:left="237" w:right="113"/>
      <w:jc w:val="left"/>
      <w:outlineLvl w:val="3"/>
    </w:pPr>
    <w:rPr>
      <w:sz w:val="28"/>
      <w:szCs w:val="28"/>
    </w:rPr>
  </w:style>
  <w:style w:type="character" w:customStyle="1" w:styleId="26">
    <w:name w:val="页脚 Char"/>
    <w:link w:val="8"/>
    <w:qFormat/>
    <w:uiPriority w:val="99"/>
    <w:rPr>
      <w:rFonts w:ascii="宋体" w:hAnsi="宋体" w:eastAsia="宋体" w:cs="宋体"/>
      <w:kern w:val="0"/>
      <w:sz w:val="18"/>
      <w:szCs w:val="18"/>
    </w:rPr>
  </w:style>
  <w:style w:type="character" w:customStyle="1" w:styleId="27">
    <w:name w:val="10"/>
    <w:qFormat/>
    <w:uiPriority w:val="0"/>
    <w:rPr>
      <w:rFonts w:hint="default" w:ascii="Times New Roman" w:hAnsi="Times New Roman" w:cs="Times New Roman"/>
    </w:rPr>
  </w:style>
  <w:style w:type="character" w:customStyle="1" w:styleId="28">
    <w:name w:val="15"/>
    <w:qFormat/>
    <w:uiPriority w:val="0"/>
    <w:rPr>
      <w:rFonts w:hint="default" w:ascii="Times New Roman" w:hAnsi="Times New Roman" w:cs="Times New Roman"/>
      <w:color w:val="0000FF"/>
      <w:u w:val="single"/>
    </w:rPr>
  </w:style>
  <w:style w:type="character" w:customStyle="1" w:styleId="29">
    <w:name w:val="文档结构图 Char"/>
    <w:link w:val="4"/>
    <w:semiHidden/>
    <w:qFormat/>
    <w:uiPriority w:val="99"/>
    <w:rPr>
      <w:rFonts w:ascii="宋体" w:hAnsi="宋体" w:cs="宋体"/>
      <w:sz w:val="18"/>
      <w:szCs w:val="18"/>
    </w:rPr>
  </w:style>
  <w:style w:type="character" w:customStyle="1" w:styleId="30">
    <w:name w:val="日期 Char"/>
    <w:link w:val="6"/>
    <w:semiHidden/>
    <w:qFormat/>
    <w:uiPriority w:val="99"/>
    <w:rPr>
      <w:rFonts w:ascii="宋体" w:hAnsi="宋体" w:cs="宋体"/>
      <w:sz w:val="34"/>
      <w:szCs w:val="34"/>
    </w:rPr>
  </w:style>
  <w:style w:type="character" w:customStyle="1" w:styleId="31">
    <w:name w:val="ca-44"/>
    <w:qFormat/>
    <w:uiPriority w:val="0"/>
    <w:rPr>
      <w:rFonts w:hint="eastAsia" w:ascii="宋体" w:hAnsi="宋体" w:eastAsia="宋体"/>
      <w:sz w:val="21"/>
      <w:szCs w:val="21"/>
    </w:rPr>
  </w:style>
  <w:style w:type="character" w:customStyle="1" w:styleId="32">
    <w:name w:val="ca-81"/>
    <w:qFormat/>
    <w:uiPriority w:val="0"/>
    <w:rPr>
      <w:rFonts w:hint="eastAsia" w:ascii="宋体" w:hAnsi="宋体" w:eastAsia="宋体"/>
      <w:b/>
      <w:bCs/>
      <w:color w:val="000000"/>
      <w:spacing w:val="-20"/>
      <w:sz w:val="21"/>
      <w:szCs w:val="21"/>
    </w:rPr>
  </w:style>
  <w:style w:type="character" w:customStyle="1" w:styleId="33">
    <w:name w:val="16"/>
    <w:qFormat/>
    <w:uiPriority w:val="0"/>
    <w:rPr>
      <w:rFonts w:hint="eastAsia" w:ascii="宋体" w:hAnsi="宋体" w:eastAsia="宋体"/>
      <w:sz w:val="21"/>
      <w:szCs w:val="21"/>
    </w:rPr>
  </w:style>
  <w:style w:type="character" w:customStyle="1" w:styleId="34">
    <w:name w:val="正文首行缩进 Char"/>
    <w:link w:val="11"/>
    <w:qFormat/>
    <w:uiPriority w:val="99"/>
    <w:rPr>
      <w:rFonts w:ascii="Times New Roman" w:hAnsi="Times New Roman" w:eastAsia="宋体" w:cs="宋体"/>
      <w:kern w:val="2"/>
      <w:sz w:val="21"/>
      <w:szCs w:val="24"/>
    </w:rPr>
  </w:style>
  <w:style w:type="paragraph" w:customStyle="1" w:styleId="35">
    <w:name w:val="pa-47"/>
    <w:basedOn w:val="1"/>
    <w:qFormat/>
    <w:uiPriority w:val="0"/>
    <w:pPr>
      <w:widowControl/>
      <w:spacing w:line="240" w:lineRule="atLeast"/>
      <w:ind w:firstLine="420"/>
    </w:pPr>
    <w:rPr>
      <w:sz w:val="24"/>
      <w:szCs w:val="24"/>
    </w:rPr>
  </w:style>
  <w:style w:type="paragraph" w:customStyle="1" w:styleId="36">
    <w:name w:val="样式 标题 3 + (中文) 黑体 小四 非加粗 段前: 7.8 磅 段后: 0 磅 行距: 固定值 20 磅"/>
    <w:basedOn w:val="3"/>
    <w:qFormat/>
    <w:uiPriority w:val="0"/>
    <w:pPr>
      <w:spacing w:before="0" w:after="0" w:line="400" w:lineRule="exact"/>
    </w:pPr>
    <w:rPr>
      <w:rFonts w:ascii="Times New Roman" w:hAnsi="Times New Roman" w:eastAsia="黑体"/>
      <w:b w:val="0"/>
      <w:bCs w:val="0"/>
      <w:kern w:val="2"/>
      <w:sz w:val="24"/>
      <w:szCs w:val="20"/>
    </w:rPr>
  </w:style>
  <w:style w:type="character" w:customStyle="1" w:styleId="37">
    <w:name w:val="批注框文本 Char"/>
    <w:link w:val="7"/>
    <w:semiHidden/>
    <w:qFormat/>
    <w:uiPriority w:val="99"/>
    <w:rPr>
      <w:rFonts w:ascii="宋体" w:hAnsi="宋体" w:cs="宋体"/>
      <w:sz w:val="18"/>
      <w:szCs w:val="18"/>
    </w:rPr>
  </w:style>
  <w:style w:type="paragraph" w:customStyle="1" w:styleId="38">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7DAF6-D3BB-4953-A422-F9C748E42BD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61</Pages>
  <Words>5190</Words>
  <Characters>29585</Characters>
  <Lines>246</Lines>
  <Paragraphs>69</Paragraphs>
  <TotalTime>186</TotalTime>
  <ScaleCrop>false</ScaleCrop>
  <LinksUpToDate>false</LinksUpToDate>
  <CharactersWithSpaces>34706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2018-11-29T07:57:00Z</dcterms:created>
  <dc:creator>汇龙工程咨询有限公司:汇龙工程咨询有限公司</dc:creator>
  <cp:lastModifiedBy>淡蓝色•格调</cp:lastModifiedBy>
  <cp:lastPrinted>2019-03-21T00:08:00Z</cp:lastPrinted>
  <dcterms:modified xsi:type="dcterms:W3CDTF">2019-03-21T02:21:43Z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