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56"/>
          <w:szCs w:val="96"/>
        </w:rPr>
      </w:pPr>
      <w:r>
        <w:rPr>
          <w:rFonts w:hint="eastAsia" w:asciiTheme="majorEastAsia" w:hAnsiTheme="majorEastAsia" w:eastAsiaTheme="majorEastAsia" w:cstheme="majorEastAsia"/>
          <w:b/>
          <w:bCs/>
          <w:sz w:val="56"/>
          <w:szCs w:val="96"/>
        </w:rPr>
        <w:t>智慧鄢陵建设项目</w:t>
      </w:r>
    </w:p>
    <w:p>
      <w:pPr>
        <w:jc w:val="center"/>
        <w:rPr>
          <w:rFonts w:asciiTheme="majorEastAsia" w:hAnsiTheme="majorEastAsia" w:eastAsiaTheme="majorEastAsia" w:cstheme="majorEastAsia"/>
          <w:b/>
          <w:bCs/>
          <w:sz w:val="56"/>
          <w:szCs w:val="96"/>
        </w:rPr>
      </w:pPr>
      <w:r>
        <w:rPr>
          <w:rFonts w:hint="eastAsia" w:asciiTheme="majorEastAsia" w:hAnsiTheme="majorEastAsia" w:eastAsiaTheme="majorEastAsia" w:cstheme="majorEastAsia"/>
          <w:b/>
          <w:bCs/>
          <w:sz w:val="56"/>
          <w:szCs w:val="96"/>
        </w:rPr>
        <w:t>设施设备采购</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52"/>
          <w:szCs w:val="52"/>
        </w:rPr>
      </w:pPr>
      <w:r>
        <w:rPr>
          <w:rFonts w:hint="eastAsia" w:asciiTheme="majorEastAsia" w:hAnsiTheme="majorEastAsia" w:eastAsiaTheme="majorEastAsia" w:cstheme="majorEastAsia"/>
          <w:b/>
          <w:color w:val="000000"/>
          <w:w w:val="90"/>
          <w:sz w:val="52"/>
          <w:szCs w:val="52"/>
        </w:rPr>
        <w:t>招　标　文　件</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项目编号：Y2018HZ291</w:t>
      </w:r>
    </w:p>
    <w:p>
      <w:pPr>
        <w:jc w:val="center"/>
        <w:rPr>
          <w:rFonts w:asciiTheme="majorEastAsia" w:hAnsiTheme="majorEastAsia" w:eastAsiaTheme="majorEastAsia" w:cstheme="majorEastAsia"/>
          <w:b/>
          <w:bCs/>
          <w:sz w:val="32"/>
          <w:szCs w:val="32"/>
          <w:highlight w:val="red"/>
        </w:rPr>
      </w:pPr>
      <w:r>
        <w:rPr>
          <w:rFonts w:hint="eastAsia" w:asciiTheme="majorEastAsia" w:hAnsiTheme="majorEastAsia" w:eastAsiaTheme="majorEastAsia" w:cstheme="majorEastAsia"/>
          <w:b/>
          <w:bCs/>
          <w:sz w:val="32"/>
          <w:szCs w:val="32"/>
        </w:rPr>
        <w:t xml:space="preserve">     招标编号：鄢招公2018103101</w:t>
      </w:r>
    </w:p>
    <w:p>
      <w:pPr>
        <w:jc w:val="center"/>
        <w:rPr>
          <w:rFonts w:asciiTheme="majorEastAsia" w:hAnsiTheme="majorEastAsia" w:eastAsiaTheme="majorEastAsia" w:cstheme="majorEastAsia"/>
          <w:b/>
          <w:bCs/>
          <w:sz w:val="32"/>
          <w:szCs w:val="32"/>
        </w:rPr>
      </w:pPr>
    </w:p>
    <w:p>
      <w:pPr>
        <w:rPr>
          <w:rFonts w:ascii="微软简隶书" w:eastAsia="微软简隶书"/>
          <w:color w:val="000000"/>
        </w:rPr>
      </w:pPr>
    </w:p>
    <w:p>
      <w:pPr>
        <w:rPr>
          <w:rFonts w:ascii="微软简隶书" w:eastAsia="微软简隶书"/>
          <w:color w:val="000000"/>
          <w:sz w:val="20"/>
          <w:szCs w:val="21"/>
        </w:rPr>
      </w:pPr>
    </w:p>
    <w:p>
      <w:pPr>
        <w:pStyle w:val="6"/>
        <w:ind w:firstLine="340"/>
      </w:pPr>
    </w:p>
    <w:p>
      <w:pPr>
        <w:pStyle w:val="6"/>
        <w:ind w:firstLine="340"/>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446" w:firstLineChars="400"/>
        <w:rPr>
          <w:rFonts w:asciiTheme="majorEastAsia" w:hAnsiTheme="majorEastAsia" w:eastAsiaTheme="majorEastAsia" w:cstheme="majorEastAsia"/>
          <w:b/>
          <w:bCs/>
          <w:sz w:val="36"/>
          <w:szCs w:val="36"/>
        </w:rPr>
      </w:pPr>
    </w:p>
    <w:p>
      <w:pPr>
        <w:ind w:firstLine="1928" w:firstLineChars="6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采购单位：鄢陵县工业和信息化委员会 </w:t>
      </w:r>
    </w:p>
    <w:p>
      <w:pPr>
        <w:ind w:firstLine="321" w:firstLineChars="1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代理机构：河南华明工程造价咨询有限公司</w:t>
      </w:r>
    </w:p>
    <w:p>
      <w:pPr>
        <w:rPr>
          <w:rFonts w:asciiTheme="majorEastAsia" w:hAnsiTheme="majorEastAsia" w:eastAsiaTheme="majorEastAsia" w:cstheme="majorEastAsia"/>
          <w:b/>
          <w:bCs/>
          <w:color w:val="000000"/>
          <w:sz w:val="28"/>
          <w:szCs w:val="28"/>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28"/>
          <w:szCs w:val="28"/>
        </w:rPr>
        <w:t>二〇一八年十二月</w:t>
      </w:r>
    </w:p>
    <w:p>
      <w:pPr>
        <w:jc w:val="center"/>
        <w:rPr>
          <w:rFonts w:ascii="黑体" w:eastAsia="黑体" w:cs="黑体"/>
          <w:b/>
          <w:bCs/>
          <w:sz w:val="44"/>
          <w:szCs w:val="44"/>
          <w:lang w:val="zh-CN"/>
        </w:rPr>
      </w:pPr>
      <w:r>
        <w:rPr>
          <w:rFonts w:hint="eastAsia" w:ascii="黑体" w:eastAsia="黑体" w:cs="黑体"/>
          <w:b/>
          <w:bCs/>
          <w:sz w:val="44"/>
          <w:szCs w:val="44"/>
          <w:lang w:val="zh-CN"/>
        </w:rPr>
        <w:t>目     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第二章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51"/>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51"/>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51"/>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w:t>
      </w:r>
    </w:p>
    <w:p>
      <w:pPr>
        <w:autoSpaceDE w:val="0"/>
        <w:autoSpaceDN w:val="0"/>
        <w:adjustRightInd w:val="0"/>
        <w:spacing w:line="700" w:lineRule="exact"/>
        <w:ind w:firstLine="551"/>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51"/>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资格审查与评标方法、评标标准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widowControl/>
        <w:jc w:val="left"/>
        <w:rPr>
          <w:rFonts w:asciiTheme="majorEastAsia" w:hAnsiTheme="majorEastAsia" w:eastAsiaTheme="majorEastAsia" w:cstheme="majorEastAsia"/>
          <w:b/>
          <w:kern w:val="0"/>
          <w:sz w:val="32"/>
          <w:szCs w:val="32"/>
        </w:rPr>
      </w:pPr>
      <w:r>
        <w:rPr>
          <w:rFonts w:asciiTheme="majorEastAsia" w:hAnsiTheme="majorEastAsia" w:eastAsiaTheme="majorEastAsia" w:cstheme="majorEastAsia"/>
          <w:b/>
          <w:kern w:val="0"/>
          <w:sz w:val="32"/>
          <w:szCs w:val="32"/>
        </w:rPr>
        <w:br w:type="page"/>
      </w:r>
    </w:p>
    <w:p>
      <w:pPr>
        <w:pStyle w:val="14"/>
        <w:widowControl/>
        <w:numPr>
          <w:ilvl w:val="0"/>
          <w:numId w:val="3"/>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4"/>
        <w:widowControl/>
        <w:shd w:val="clear" w:color="auto" w:fill="FFFFFF"/>
        <w:spacing w:line="315" w:lineRule="atLeast"/>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受鄢陵县工业和信息化委员会的委托，河南华明工程造价咨询有限公司就“智慧鄢陵建设项目设施设备采购”项目进行公开招标，欢迎合格的投标人前来投标。</w:t>
      </w:r>
    </w:p>
    <w:p>
      <w:pPr>
        <w:spacing w:line="600" w:lineRule="exact"/>
        <w:ind w:firstLine="482" w:firstLineChars="200"/>
        <w:outlineLvl w:val="0"/>
        <w:rPr>
          <w:rFonts w:cs="宋体" w:asciiTheme="minorEastAsia" w:hAnsiTheme="minorEastAsia"/>
          <w:b/>
          <w:color w:val="000000"/>
          <w:sz w:val="24"/>
          <w:szCs w:val="24"/>
        </w:rPr>
      </w:pPr>
      <w:r>
        <w:rPr>
          <w:rFonts w:hint="eastAsia" w:asciiTheme="minorEastAsia" w:hAnsiTheme="minorEastAsia"/>
          <w:b/>
          <w:color w:val="000000"/>
          <w:sz w:val="24"/>
          <w:szCs w:val="24"/>
        </w:rPr>
        <w:t>一、项目概况</w:t>
      </w:r>
    </w:p>
    <w:p>
      <w:pPr>
        <w:spacing w:line="50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（一）项目名称：智慧鄢陵建设项目设施设备采购</w:t>
      </w:r>
    </w:p>
    <w:p>
      <w:pPr>
        <w:spacing w:line="50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（二）项目编号：Y2018HZ291</w:t>
      </w:r>
    </w:p>
    <w:p>
      <w:pPr>
        <w:spacing w:line="500" w:lineRule="exact"/>
        <w:ind w:firstLine="1200" w:firstLineChars="500"/>
        <w:rPr>
          <w:rFonts w:cs="仿宋_GB2312" w:asciiTheme="minorEastAsia" w:hAnsiTheme="minorEastAsia"/>
          <w:sz w:val="24"/>
          <w:szCs w:val="24"/>
        </w:rPr>
      </w:pPr>
      <w:r>
        <w:rPr>
          <w:rFonts w:hint="eastAsia" w:cs="仿宋_GB2312" w:asciiTheme="minorEastAsia" w:hAnsiTheme="minorEastAsia"/>
          <w:sz w:val="24"/>
          <w:szCs w:val="24"/>
        </w:rPr>
        <w:t>招标编号：鄢招公2018103101</w:t>
      </w:r>
    </w:p>
    <w:p>
      <w:pPr>
        <w:spacing w:line="50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（三）采购方式：公开招标</w:t>
      </w:r>
    </w:p>
    <w:p>
      <w:pPr>
        <w:pStyle w:val="6"/>
        <w:ind w:firstLine="480" w:firstLineChars="200"/>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（四）资金来源：财政资金，已落实。</w:t>
      </w:r>
    </w:p>
    <w:p>
      <w:pPr>
        <w:spacing w:line="500" w:lineRule="exact"/>
        <w:ind w:left="420" w:leftChars="200"/>
        <w:rPr>
          <w:rFonts w:cs="仿宋_GB2312" w:asciiTheme="minorEastAsia" w:hAnsiTheme="minorEastAsia"/>
          <w:sz w:val="24"/>
          <w:szCs w:val="24"/>
        </w:rPr>
      </w:pPr>
      <w:r>
        <w:rPr>
          <w:rFonts w:hint="eastAsia" w:cs="仿宋_GB2312" w:asciiTheme="minorEastAsia" w:hAnsiTheme="minorEastAsia"/>
          <w:sz w:val="24"/>
          <w:szCs w:val="24"/>
        </w:rPr>
        <w:t>（五）主要内容：主要建设“一个中心”（智慧鄢陵大数据信息中心）、“一朵云”（智慧鄢陵专有云平台）、“七个分平台”（智慧公安平台、智慧社区平台、智慧旅游平台、智慧城管平台、智慧医疗平台、智慧教育平台、智慧养老平台）以及展示中心、机房、安全系统等。(具体内容详见招标文件)</w:t>
      </w:r>
    </w:p>
    <w:p>
      <w:pPr>
        <w:spacing w:line="500" w:lineRule="exact"/>
        <w:ind w:left="420" w:leftChars="200"/>
        <w:rPr>
          <w:rFonts w:cs="仿宋_GB2312" w:asciiTheme="minorEastAsia" w:hAnsiTheme="minorEastAsia"/>
          <w:sz w:val="24"/>
          <w:szCs w:val="24"/>
        </w:rPr>
      </w:pPr>
      <w:r>
        <w:rPr>
          <w:rFonts w:hint="eastAsia" w:cs="仿宋_GB2312" w:asciiTheme="minorEastAsia" w:hAnsiTheme="minorEastAsia"/>
          <w:sz w:val="24"/>
          <w:szCs w:val="24"/>
        </w:rPr>
        <w:t>（六）预算金额：</w:t>
      </w:r>
      <w:bookmarkStart w:id="0" w:name="_Hlk517509140"/>
      <w:bookmarkStart w:id="1" w:name="_Hlk516991096"/>
      <w:r>
        <w:rPr>
          <w:rFonts w:hint="eastAsia" w:cs="仿宋_GB2312" w:asciiTheme="minorEastAsia" w:hAnsiTheme="minorEastAsia"/>
          <w:sz w:val="24"/>
          <w:szCs w:val="24"/>
        </w:rPr>
        <w:t>51068140.00元；</w:t>
      </w:r>
      <w:bookmarkEnd w:id="0"/>
      <w:bookmarkEnd w:id="1"/>
      <w:r>
        <w:rPr>
          <w:rFonts w:hint="eastAsia" w:cs="仿宋_GB2312" w:asciiTheme="minorEastAsia" w:hAnsiTheme="minorEastAsia"/>
          <w:sz w:val="24"/>
          <w:szCs w:val="24"/>
        </w:rPr>
        <w:t>最高限价：51068140.00元。</w:t>
      </w:r>
    </w:p>
    <w:p>
      <w:pPr>
        <w:spacing w:line="500" w:lineRule="exact"/>
        <w:ind w:left="420" w:leftChars="200"/>
        <w:rPr>
          <w:rFonts w:cs="仿宋_GB2312" w:asciiTheme="minorEastAsia" w:hAnsiTheme="minorEastAsia"/>
          <w:sz w:val="24"/>
          <w:szCs w:val="24"/>
          <w:shd w:val="clear" w:color="auto" w:fill="FFFFFF"/>
        </w:rPr>
      </w:pPr>
      <w:r>
        <w:rPr>
          <w:rFonts w:hint="eastAsia" w:cs="仿宋_GB2312" w:asciiTheme="minorEastAsia" w:hAnsiTheme="minorEastAsia"/>
          <w:sz w:val="24"/>
          <w:szCs w:val="24"/>
        </w:rPr>
        <w:t>（七）交付（服务、完工）时间：合同签订后180日历天</w:t>
      </w:r>
    </w:p>
    <w:p>
      <w:pPr>
        <w:pStyle w:val="14"/>
        <w:widowControl/>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rPr>
        <w:t>（八）交付（服务、施工）地点：</w:t>
      </w:r>
      <w:r>
        <w:rPr>
          <w:rFonts w:hint="eastAsia" w:cs="仿宋_GB2312" w:asciiTheme="minorEastAsia" w:hAnsiTheme="minorEastAsia"/>
          <w:shd w:val="clear" w:color="auto" w:fill="FFFFFF"/>
        </w:rPr>
        <w:t>鄢陵县柏梁镇许鄢快速通道与锦秀路交叉口东北角。</w:t>
      </w:r>
    </w:p>
    <w:p>
      <w:pPr>
        <w:pStyle w:val="14"/>
        <w:widowControl/>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eastAsiaTheme="minorEastAsia"/>
        </w:rPr>
        <w:t>（九）进口产品：不允许</w:t>
      </w:r>
    </w:p>
    <w:p>
      <w:pPr>
        <w:spacing w:line="500" w:lineRule="exact"/>
        <w:ind w:firstLine="465"/>
        <w:rPr>
          <w:rFonts w:cs="仿宋_GB2312" w:asciiTheme="minorEastAsia" w:hAnsiTheme="minorEastAsia"/>
          <w:sz w:val="24"/>
          <w:szCs w:val="24"/>
        </w:rPr>
      </w:pPr>
      <w:r>
        <w:rPr>
          <w:rFonts w:hint="eastAsia" w:cs="仿宋_GB2312" w:asciiTheme="minorEastAsia" w:hAnsiTheme="minorEastAsia"/>
          <w:sz w:val="24"/>
          <w:szCs w:val="24"/>
        </w:rPr>
        <w:t>（十）分包：不允许</w:t>
      </w:r>
    </w:p>
    <w:p>
      <w:pPr>
        <w:spacing w:line="500" w:lineRule="exact"/>
        <w:rPr>
          <w:rFonts w:cs="仿宋_GB2312" w:asciiTheme="minorEastAsia" w:hAnsiTheme="minorEastAsia"/>
          <w:sz w:val="24"/>
          <w:szCs w:val="24"/>
        </w:rPr>
      </w:pPr>
      <w:r>
        <w:rPr>
          <w:rFonts w:hint="eastAsia" w:cs="仿宋_GB2312" w:asciiTheme="minorEastAsia" w:hAnsiTheme="minorEastAsia"/>
          <w:sz w:val="24"/>
          <w:szCs w:val="24"/>
        </w:rPr>
        <w:t xml:space="preserve">    （十一）分包：标段划分：本项目为一个标段</w:t>
      </w:r>
    </w:p>
    <w:p>
      <w:pPr>
        <w:spacing w:line="500" w:lineRule="exact"/>
        <w:ind w:firstLine="482" w:firstLineChars="200"/>
        <w:outlineLvl w:val="0"/>
        <w:rPr>
          <w:rFonts w:asciiTheme="minorEastAsia" w:hAnsiTheme="minorEastAsia"/>
          <w:b/>
          <w:color w:val="000000"/>
          <w:sz w:val="24"/>
          <w:szCs w:val="24"/>
        </w:rPr>
      </w:pPr>
      <w:r>
        <w:rPr>
          <w:rFonts w:hint="eastAsia" w:asciiTheme="minorEastAsia" w:hAnsiTheme="minorEastAsia"/>
          <w:b/>
          <w:color w:val="000000"/>
          <w:sz w:val="24"/>
          <w:szCs w:val="24"/>
        </w:rPr>
        <w:t>二、需要落实的政府采购政策</w:t>
      </w:r>
    </w:p>
    <w:p>
      <w:pPr>
        <w:spacing w:line="500" w:lineRule="exact"/>
        <w:rPr>
          <w:rFonts w:cs="仿宋_GB2312" w:asciiTheme="minorEastAsia" w:hAnsiTheme="minorEastAsia"/>
          <w:sz w:val="24"/>
          <w:szCs w:val="24"/>
        </w:rPr>
      </w:pPr>
      <w:r>
        <w:rPr>
          <w:rFonts w:hint="eastAsia" w:cs="仿宋_GB2312" w:asciiTheme="minorEastAsia" w:hAnsiTheme="minorEastAsia"/>
          <w:sz w:val="24"/>
          <w:szCs w:val="24"/>
        </w:rPr>
        <w:t>本项目落实节能环保√、中小微型企业√、监狱企业√、残疾人福利性单位扶持√等相关政府采购政策。</w:t>
      </w:r>
    </w:p>
    <w:p>
      <w:pPr>
        <w:spacing w:line="500" w:lineRule="exact"/>
        <w:ind w:firstLine="482" w:firstLineChars="200"/>
        <w:outlineLvl w:val="0"/>
        <w:rPr>
          <w:rFonts w:asciiTheme="minorEastAsia" w:hAnsiTheme="minorEastAsia"/>
          <w:b/>
          <w:sz w:val="24"/>
          <w:szCs w:val="24"/>
          <w:highlight w:val="red"/>
        </w:rPr>
      </w:pPr>
      <w:r>
        <w:rPr>
          <w:rFonts w:hint="eastAsia" w:asciiTheme="minorEastAsia" w:hAnsiTheme="minorEastAsia"/>
          <w:b/>
          <w:color w:val="000000"/>
          <w:sz w:val="24"/>
          <w:szCs w:val="24"/>
        </w:rPr>
        <w:t>三</w:t>
      </w:r>
      <w:r>
        <w:rPr>
          <w:rFonts w:hint="eastAsia" w:asciiTheme="minorEastAsia" w:hAnsiTheme="minorEastAsia"/>
          <w:b/>
          <w:sz w:val="24"/>
          <w:szCs w:val="24"/>
        </w:rPr>
        <w:t>、投标人资格要求</w:t>
      </w:r>
    </w:p>
    <w:p>
      <w:pPr>
        <w:spacing w:line="50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（一）符合《中华人民共和国政府采购法》第二十二条之规定。</w:t>
      </w:r>
    </w:p>
    <w:p>
      <w:pPr>
        <w:spacing w:line="50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二）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50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（三）本项目不接受联合体。</w:t>
      </w:r>
    </w:p>
    <w:p>
      <w:pPr>
        <w:spacing w:line="500" w:lineRule="exact"/>
        <w:ind w:firstLine="241" w:firstLineChars="100"/>
        <w:rPr>
          <w:rFonts w:cs="仿宋_GB2312" w:asciiTheme="minorEastAsia" w:hAnsiTheme="minorEastAsia"/>
          <w:sz w:val="24"/>
          <w:szCs w:val="24"/>
        </w:rPr>
      </w:pPr>
      <w:r>
        <w:rPr>
          <w:rFonts w:hint="eastAsia" w:cs="仿宋_GB2312" w:asciiTheme="minorEastAsia" w:hAnsiTheme="minorEastAsia"/>
          <w:b/>
          <w:bCs/>
          <w:sz w:val="24"/>
          <w:szCs w:val="24"/>
        </w:rPr>
        <w:t>四、获取招标文件的时间、地点、方式</w:t>
      </w:r>
      <w:r>
        <w:rPr>
          <w:rFonts w:hint="eastAsia" w:cs="仿宋_GB2312" w:asciiTheme="minorEastAsia" w:hAnsiTheme="minorEastAsia"/>
          <w:sz w:val="24"/>
          <w:szCs w:val="24"/>
        </w:rPr>
        <w:tab/>
      </w:r>
    </w:p>
    <w:p>
      <w:pPr>
        <w:autoSpaceDE w:val="0"/>
        <w:autoSpaceDN w:val="0"/>
        <w:adjustRightInd w:val="0"/>
        <w:spacing w:line="360" w:lineRule="auto"/>
        <w:jc w:val="left"/>
        <w:rPr>
          <w:rFonts w:hAnsi="宋体" w:cs="仿宋_GB2312"/>
          <w:bCs/>
          <w:sz w:val="24"/>
        </w:rPr>
      </w:pPr>
      <w:r>
        <w:rPr>
          <w:rFonts w:hint="eastAsia" w:hAnsi="宋体" w:cs="仿宋_GB2312"/>
          <w:bCs/>
          <w:sz w:val="24"/>
        </w:rPr>
        <w:t>（一）网上下载招标文件</w:t>
      </w:r>
    </w:p>
    <w:p>
      <w:pPr>
        <w:autoSpaceDE w:val="0"/>
        <w:autoSpaceDN w:val="0"/>
        <w:adjustRightInd w:val="0"/>
        <w:spacing w:line="360" w:lineRule="auto"/>
        <w:jc w:val="left"/>
        <w:rPr>
          <w:rFonts w:hAnsi="宋体" w:cs="仿宋_GB2312"/>
          <w:bCs/>
          <w:sz w:val="24"/>
        </w:rPr>
      </w:pPr>
      <w:r>
        <w:rPr>
          <w:rFonts w:hint="eastAsia" w:hAnsi="宋体" w:cs="仿宋_GB2312"/>
          <w:bCs/>
          <w:sz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jc w:val="left"/>
        <w:rPr>
          <w:rFonts w:hAnsi="宋体" w:cs="仿宋_GB2312"/>
          <w:bCs/>
          <w:sz w:val="24"/>
        </w:rPr>
      </w:pPr>
      <w:r>
        <w:rPr>
          <w:rFonts w:hint="eastAsia" w:hAnsi="宋体" w:cs="仿宋_GB2312"/>
          <w:bCs/>
          <w:sz w:val="24"/>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jc w:val="left"/>
        <w:rPr>
          <w:rFonts w:hAnsi="宋体" w:cs="仿宋_GB2312"/>
          <w:bCs/>
          <w:sz w:val="24"/>
        </w:rPr>
      </w:pPr>
      <w:r>
        <w:rPr>
          <w:rFonts w:hint="eastAsia" w:hAnsi="宋体" w:cs="仿宋_GB2312"/>
          <w:bCs/>
          <w:sz w:val="24"/>
        </w:rPr>
        <w:t>（二）网上下载招标文件时间：自招标文件在网上发出之日起至提交投标文件截止时均可进行投标报名、下载招标文件。</w:t>
      </w:r>
    </w:p>
    <w:p>
      <w:pPr>
        <w:autoSpaceDE w:val="0"/>
        <w:autoSpaceDN w:val="0"/>
        <w:adjustRightInd w:val="0"/>
        <w:spacing w:line="360" w:lineRule="auto"/>
        <w:jc w:val="left"/>
        <w:rPr>
          <w:rFonts w:hAnsi="宋体" w:cs="仿宋_GB2312"/>
          <w:bCs/>
          <w:sz w:val="24"/>
        </w:rPr>
      </w:pPr>
      <w:r>
        <w:rPr>
          <w:rFonts w:hint="eastAsia" w:hAnsi="宋体" w:cs="仿宋_GB2312"/>
          <w:bCs/>
          <w:sz w:val="24"/>
        </w:rPr>
        <w:t>（三）未通过全国公共资源交易平台（河南省·许昌市）网下载招标文件的投标企业，拒收其递交的投标文件。</w:t>
      </w:r>
    </w:p>
    <w:p>
      <w:pPr>
        <w:pStyle w:val="6"/>
        <w:ind w:firstLine="0" w:firstLineChars="0"/>
      </w:pPr>
      <w:r>
        <w:rPr>
          <w:rFonts w:hint="eastAsia" w:hAnsi="宋体" w:cs="仿宋_GB2312"/>
          <w:bCs/>
          <w:sz w:val="24"/>
        </w:rPr>
        <w:t>（四）招标文件售价</w:t>
      </w:r>
      <w:r>
        <w:rPr>
          <w:rFonts w:hint="eastAsia" w:hAnsi="宋体" w:cs="仿宋_GB2312"/>
          <w:bCs/>
          <w:sz w:val="24"/>
          <w:u w:val="single"/>
        </w:rPr>
        <w:t>300</w:t>
      </w:r>
      <w:r>
        <w:rPr>
          <w:rFonts w:hint="eastAsia" w:hAnsi="宋体" w:cs="仿宋_GB2312"/>
          <w:bCs/>
          <w:sz w:val="24"/>
        </w:rPr>
        <w:t>元/套，投标人在递交投标文件时向采购代理机构交纳采购文件费用，售后不退。</w:t>
      </w:r>
    </w:p>
    <w:p>
      <w:pPr>
        <w:autoSpaceDE w:val="0"/>
        <w:autoSpaceDN w:val="0"/>
        <w:adjustRightInd w:val="0"/>
        <w:spacing w:line="360" w:lineRule="auto"/>
        <w:jc w:val="left"/>
        <w:rPr>
          <w:rFonts w:hAnsi="宋体" w:cs="仿宋_GB2312"/>
          <w:bCs/>
          <w:sz w:val="24"/>
        </w:rPr>
      </w:pPr>
      <w:r>
        <w:rPr>
          <w:rFonts w:hint="eastAsia" w:hAnsi="宋体" w:cs="仿宋_GB2312"/>
          <w:bCs/>
          <w:sz w:val="24"/>
        </w:rPr>
        <w:t xml:space="preserve"> 五、投标截止时间、开标时间及地点：</w:t>
      </w:r>
    </w:p>
    <w:p>
      <w:pPr>
        <w:autoSpaceDE w:val="0"/>
        <w:autoSpaceDN w:val="0"/>
        <w:adjustRightInd w:val="0"/>
        <w:spacing w:line="360" w:lineRule="auto"/>
        <w:jc w:val="left"/>
        <w:rPr>
          <w:rFonts w:hAnsi="宋体" w:cs="仿宋_GB2312"/>
          <w:bCs/>
          <w:sz w:val="24"/>
        </w:rPr>
      </w:pPr>
      <w:r>
        <w:rPr>
          <w:rFonts w:hint="eastAsia" w:hAnsi="宋体" w:cs="仿宋_GB2312"/>
          <w:bCs/>
          <w:sz w:val="24"/>
        </w:rPr>
        <w:t>（一）投标截止及开标时间：</w:t>
      </w:r>
      <w:r>
        <w:rPr>
          <w:rFonts w:hint="eastAsia" w:hAnsi="宋体" w:cs="仿宋_GB2312"/>
          <w:bCs/>
          <w:color w:val="auto"/>
          <w:sz w:val="24"/>
          <w:highlight w:val="none"/>
        </w:rPr>
        <w:t>201</w:t>
      </w:r>
      <w:r>
        <w:rPr>
          <w:rFonts w:hint="eastAsia" w:hAnsi="宋体" w:cs="仿宋_GB2312"/>
          <w:bCs/>
          <w:color w:val="auto"/>
          <w:sz w:val="24"/>
          <w:highlight w:val="none"/>
          <w:lang w:val="en-US" w:eastAsia="zh-CN"/>
        </w:rPr>
        <w:t>9</w:t>
      </w:r>
      <w:r>
        <w:rPr>
          <w:rFonts w:hint="eastAsia" w:hAnsi="宋体" w:cs="仿宋_GB2312"/>
          <w:bCs/>
          <w:color w:val="auto"/>
          <w:sz w:val="24"/>
          <w:highlight w:val="none"/>
        </w:rPr>
        <w:t>年</w:t>
      </w:r>
      <w:r>
        <w:rPr>
          <w:rFonts w:hint="eastAsia" w:hAnsi="宋体" w:cs="仿宋_GB2312"/>
          <w:bCs/>
          <w:color w:val="auto"/>
          <w:sz w:val="24"/>
          <w:highlight w:val="none"/>
          <w:lang w:val="en-US" w:eastAsia="zh-CN"/>
        </w:rPr>
        <w:t>1</w:t>
      </w:r>
      <w:r>
        <w:rPr>
          <w:rFonts w:hint="eastAsia" w:hAnsi="宋体" w:cs="仿宋_GB2312"/>
          <w:bCs/>
          <w:color w:val="auto"/>
          <w:sz w:val="24"/>
          <w:highlight w:val="none"/>
        </w:rPr>
        <w:t>月</w:t>
      </w:r>
      <w:r>
        <w:rPr>
          <w:rFonts w:hint="eastAsia" w:hAnsi="宋体" w:cs="仿宋_GB2312"/>
          <w:bCs/>
          <w:color w:val="auto"/>
          <w:sz w:val="24"/>
          <w:highlight w:val="none"/>
          <w:lang w:val="en-US" w:eastAsia="zh-CN"/>
        </w:rPr>
        <w:t>17</w:t>
      </w:r>
      <w:r>
        <w:rPr>
          <w:rFonts w:hint="eastAsia" w:hAnsi="宋体" w:cs="仿宋_GB2312"/>
          <w:bCs/>
          <w:color w:val="auto"/>
          <w:sz w:val="24"/>
          <w:highlight w:val="none"/>
        </w:rPr>
        <w:t>日</w:t>
      </w:r>
      <w:r>
        <w:rPr>
          <w:rFonts w:hint="eastAsia" w:hAnsi="宋体" w:cs="仿宋_GB2312"/>
          <w:bCs/>
          <w:color w:val="auto"/>
          <w:sz w:val="24"/>
          <w:highlight w:val="none"/>
          <w:lang w:val="en-US" w:eastAsia="zh-CN"/>
        </w:rPr>
        <w:t>9</w:t>
      </w:r>
      <w:r>
        <w:rPr>
          <w:rFonts w:hint="eastAsia" w:hAnsi="宋体" w:cs="仿宋_GB2312"/>
          <w:bCs/>
          <w:color w:val="auto"/>
          <w:sz w:val="24"/>
          <w:highlight w:val="none"/>
        </w:rPr>
        <w:t>时</w:t>
      </w:r>
      <w:r>
        <w:rPr>
          <w:rFonts w:hint="eastAsia" w:hAnsi="宋体" w:cs="仿宋_GB2312"/>
          <w:bCs/>
          <w:color w:val="auto"/>
          <w:sz w:val="24"/>
          <w:highlight w:val="none"/>
          <w:lang w:val="en-US" w:eastAsia="zh-CN"/>
        </w:rPr>
        <w:t>30</w:t>
      </w:r>
      <w:r>
        <w:rPr>
          <w:rFonts w:hint="eastAsia" w:hAnsi="宋体" w:cs="仿宋_GB2312"/>
          <w:bCs/>
          <w:color w:val="auto"/>
          <w:sz w:val="24"/>
          <w:highlight w:val="none"/>
        </w:rPr>
        <w:t>分</w:t>
      </w:r>
      <w:r>
        <w:rPr>
          <w:rFonts w:hint="eastAsia" w:hAnsi="宋体" w:cs="仿宋_GB2312"/>
          <w:bCs/>
          <w:sz w:val="24"/>
        </w:rPr>
        <w:t>（北京时间），逾期送达或不符合规定的投标文件不予接受。</w:t>
      </w:r>
    </w:p>
    <w:p>
      <w:pPr>
        <w:pStyle w:val="14"/>
        <w:widowControl/>
        <w:shd w:val="clear" w:color="auto" w:fill="FFFFFF"/>
        <w:spacing w:line="360" w:lineRule="auto"/>
        <w:rPr>
          <w:rFonts w:hAnsi="宋体" w:cs="仿宋_GB2312"/>
          <w:bCs/>
        </w:rPr>
      </w:pPr>
      <w:r>
        <w:rPr>
          <w:rFonts w:hint="eastAsia" w:hAnsi="宋体" w:cs="仿宋_GB2312"/>
          <w:bCs/>
        </w:rPr>
        <w:t>（二）开标地点：鄢陵县公共资源交易中心（S219（鄢陶路）与未来大道交叉口，鄢陵创客园院内南楼四</w:t>
      </w:r>
      <w:r>
        <w:rPr>
          <w:rFonts w:hint="eastAsia" w:hAnsi="宋体" w:cs="仿宋_GB2312"/>
          <w:bCs/>
          <w:color w:val="auto"/>
          <w:highlight w:val="none"/>
        </w:rPr>
        <w:t>楼开标</w:t>
      </w:r>
      <w:r>
        <w:rPr>
          <w:rFonts w:hint="eastAsia" w:hAnsi="宋体" w:cs="仿宋_GB2312"/>
          <w:bCs/>
          <w:color w:val="auto"/>
          <w:highlight w:val="none"/>
          <w:lang w:eastAsia="zh-CN"/>
        </w:rPr>
        <w:t>二</w:t>
      </w:r>
      <w:r>
        <w:rPr>
          <w:rFonts w:hint="eastAsia" w:hAnsi="宋体" w:cs="仿宋_GB2312"/>
          <w:bCs/>
          <w:color w:val="auto"/>
          <w:highlight w:val="none"/>
        </w:rPr>
        <w:t>室）</w:t>
      </w:r>
    </w:p>
    <w:p>
      <w:pPr>
        <w:pStyle w:val="14"/>
        <w:widowControl/>
        <w:shd w:val="clear" w:color="auto" w:fill="FFFFFF"/>
        <w:spacing w:line="360" w:lineRule="auto"/>
        <w:rPr>
          <w:rFonts w:hAnsi="宋体" w:cs="仿宋_GB2312"/>
          <w:bCs/>
          <w:lang w:val="zh-CN"/>
        </w:rPr>
      </w:pPr>
      <w:r>
        <w:rPr>
          <w:rFonts w:hint="eastAsia" w:hAnsi="宋体" w:cs="仿宋_GB2312"/>
          <w:bCs/>
          <w:lang w:val="zh-CN"/>
        </w:rPr>
        <w:t>（三）本项目为全流程电子化交易项目，投标人须提交电子投标文件和纸质投标文件。</w:t>
      </w:r>
    </w:p>
    <w:p>
      <w:pPr>
        <w:pStyle w:val="14"/>
        <w:widowControl/>
        <w:shd w:val="clear" w:color="auto" w:fill="FFFFFF"/>
        <w:spacing w:line="360" w:lineRule="auto"/>
        <w:rPr>
          <w:rFonts w:hAnsi="宋体" w:cs="仿宋_GB2312"/>
          <w:bCs/>
          <w:lang w:val="zh-CN"/>
        </w:rPr>
      </w:pPr>
      <w:r>
        <w:rPr>
          <w:rFonts w:hint="eastAsia" w:hAnsi="宋体" w:cs="仿宋_GB2312"/>
          <w:bCs/>
          <w:lang w:val="zh-CN"/>
        </w:rPr>
        <w:t>1、加密电子投标文件（.file格式）须在投标截止时间（开标时间）前通过《全国公共资源交易平台(河南省·许昌市)》公共资源交易系统成功上传。</w:t>
      </w:r>
    </w:p>
    <w:p>
      <w:pPr>
        <w:pStyle w:val="14"/>
        <w:widowControl/>
        <w:shd w:val="clear" w:color="auto" w:fill="FFFFFF"/>
        <w:spacing w:line="360" w:lineRule="auto"/>
        <w:rPr>
          <w:rFonts w:hAnsi="宋体" w:cs="仿宋_GB2312"/>
          <w:bCs/>
        </w:rPr>
      </w:pPr>
      <w:r>
        <w:rPr>
          <w:rFonts w:hint="eastAsia" w:hAnsi="宋体" w:cs="仿宋_GB2312"/>
          <w:bCs/>
          <w:lang w:val="zh-CN"/>
        </w:rPr>
        <w:t>2、纸质投标文件（正本1份、副本1份）和备份文件1份（使用电子介质存储）在投标截止时间（开标时间）前递交至本项目开标地点。</w:t>
      </w:r>
    </w:p>
    <w:p>
      <w:pPr>
        <w:autoSpaceDE w:val="0"/>
        <w:autoSpaceDN w:val="0"/>
        <w:adjustRightInd w:val="0"/>
        <w:spacing w:line="360" w:lineRule="auto"/>
        <w:jc w:val="left"/>
        <w:rPr>
          <w:rFonts w:hAnsi="宋体" w:cs="仿宋_GB2312"/>
          <w:bCs/>
          <w:sz w:val="24"/>
        </w:rPr>
      </w:pPr>
      <w:r>
        <w:rPr>
          <w:rFonts w:hint="eastAsia" w:hAnsi="宋体" w:cs="仿宋_GB2312"/>
          <w:bCs/>
          <w:sz w:val="24"/>
        </w:rPr>
        <w:t>六、本次招标公告同时在《中国政府采购网》、《河南省政府采购网》、《全国公共资源交易平台（河南省·许昌市）》发布。</w:t>
      </w:r>
    </w:p>
    <w:p>
      <w:pPr>
        <w:autoSpaceDE w:val="0"/>
        <w:autoSpaceDN w:val="0"/>
        <w:adjustRightInd w:val="0"/>
        <w:spacing w:line="360" w:lineRule="auto"/>
        <w:jc w:val="left"/>
        <w:rPr>
          <w:rFonts w:hAnsi="宋体" w:cs="仿宋_GB2312"/>
          <w:bCs/>
          <w:sz w:val="24"/>
        </w:rPr>
      </w:pPr>
      <w:r>
        <w:rPr>
          <w:rFonts w:hint="eastAsia" w:hAnsi="宋体" w:cs="仿宋_GB2312"/>
          <w:bCs/>
          <w:sz w:val="24"/>
        </w:rPr>
        <w:t>七、公告期限</w:t>
      </w:r>
    </w:p>
    <w:p>
      <w:pPr>
        <w:autoSpaceDE w:val="0"/>
        <w:autoSpaceDN w:val="0"/>
        <w:adjustRightInd w:val="0"/>
        <w:spacing w:line="360" w:lineRule="auto"/>
        <w:jc w:val="left"/>
        <w:rPr>
          <w:rFonts w:hAnsi="宋体" w:cs="仿宋_GB2312"/>
          <w:bCs/>
          <w:sz w:val="24"/>
        </w:rPr>
      </w:pPr>
      <w:r>
        <w:rPr>
          <w:rFonts w:hint="eastAsia" w:hAnsi="宋体" w:cs="仿宋_GB2312"/>
          <w:bCs/>
          <w:sz w:val="24"/>
        </w:rPr>
        <w:t>本招标公告自发布之日起公告期限为5个工作日。</w:t>
      </w:r>
    </w:p>
    <w:p>
      <w:pPr>
        <w:pStyle w:val="14"/>
        <w:widowControl/>
        <w:shd w:val="clear" w:color="auto" w:fill="FFFFFF"/>
        <w:spacing w:line="360" w:lineRule="auto"/>
        <w:rPr>
          <w:rFonts w:ascii="宋体" w:hAnsi="宋体" w:cs="宋体"/>
          <w:b/>
          <w:color w:val="000000"/>
          <w:shd w:val="clear" w:color="auto" w:fill="FFFFFF"/>
        </w:rPr>
      </w:pPr>
      <w:r>
        <w:rPr>
          <w:rFonts w:hint="eastAsia" w:hAnsi="宋体" w:cs="仿宋_GB2312"/>
          <w:bCs/>
        </w:rPr>
        <w:t>八</w:t>
      </w:r>
      <w:r>
        <w:rPr>
          <w:rFonts w:hint="eastAsia" w:ascii="宋体" w:hAnsi="宋体" w:cs="宋体"/>
          <w:b/>
          <w:color w:val="000000"/>
          <w:shd w:val="clear" w:color="auto" w:fill="FFFFFF"/>
        </w:rPr>
        <w:t>、</w:t>
      </w:r>
      <w:r>
        <w:rPr>
          <w:rFonts w:ascii="宋体" w:hAnsi="宋体" w:cs="宋体"/>
          <w:b/>
          <w:color w:val="000000"/>
          <w:shd w:val="clear" w:color="auto" w:fill="FFFFFF"/>
        </w:rPr>
        <w:t>采购单位</w:t>
      </w:r>
      <w:r>
        <w:rPr>
          <w:rFonts w:hint="eastAsia" w:ascii="宋体" w:hAnsi="宋体" w:cs="宋体"/>
          <w:b/>
          <w:color w:val="000000"/>
          <w:shd w:val="clear" w:color="auto" w:fill="FFFFFF"/>
        </w:rPr>
        <w:t>及</w:t>
      </w:r>
      <w:r>
        <w:rPr>
          <w:rFonts w:ascii="宋体" w:hAnsi="宋体" w:cs="宋体"/>
          <w:b/>
          <w:color w:val="000000"/>
          <w:shd w:val="clear" w:color="auto" w:fill="FFFFFF"/>
        </w:rPr>
        <w:t>代理机构地址、联系人、联系电话</w:t>
      </w:r>
    </w:p>
    <w:p>
      <w:pPr>
        <w:pStyle w:val="14"/>
        <w:widowControl/>
        <w:shd w:val="clear" w:color="auto" w:fill="FFFFFF"/>
        <w:spacing w:line="360" w:lineRule="auto"/>
        <w:ind w:firstLine="720" w:firstLineChars="300"/>
        <w:rPr>
          <w:rFonts w:ascii="宋体" w:hAnsi="宋体" w:cs="宋体"/>
          <w:color w:val="000000"/>
          <w:shd w:val="clear" w:color="auto" w:fill="FFFFFF"/>
        </w:rPr>
      </w:pPr>
      <w:r>
        <w:rPr>
          <w:rFonts w:hint="eastAsia" w:cs="宋体"/>
          <w:color w:val="000000"/>
          <w:shd w:val="clear" w:color="auto" w:fill="FFFFFF"/>
        </w:rPr>
        <w:t>采 购</w:t>
      </w:r>
      <w:r>
        <w:rPr>
          <w:rFonts w:hint="eastAsia" w:ascii="宋体" w:hAnsi="宋体" w:cs="宋体"/>
          <w:color w:val="000000"/>
          <w:shd w:val="clear" w:color="auto" w:fill="FFFFFF"/>
        </w:rPr>
        <w:t xml:space="preserve"> 人：鄢陵县工业和信息化委员会        </w:t>
      </w:r>
    </w:p>
    <w:p>
      <w:pPr>
        <w:pStyle w:val="14"/>
        <w:widowControl/>
        <w:shd w:val="clear" w:color="auto" w:fill="FFFFFF"/>
        <w:spacing w:line="360" w:lineRule="auto"/>
        <w:ind w:firstLine="720" w:firstLineChars="300"/>
        <w:rPr>
          <w:rFonts w:ascii="宋体" w:hAnsi="宋体" w:cs="宋体"/>
          <w:color w:val="000000"/>
          <w:shd w:val="clear" w:color="auto" w:fill="FFFFFF"/>
        </w:rPr>
      </w:pPr>
      <w:r>
        <w:rPr>
          <w:rFonts w:hint="eastAsia" w:ascii="宋体" w:hAnsi="宋体" w:cs="宋体"/>
          <w:color w:val="000000"/>
          <w:shd w:val="clear" w:color="auto" w:fill="FFFFFF"/>
        </w:rPr>
        <w:t>地    址：鄢陵县梅里路149号工信委</w:t>
      </w:r>
    </w:p>
    <w:p>
      <w:pPr>
        <w:pStyle w:val="14"/>
        <w:widowControl/>
        <w:shd w:val="clear" w:color="auto" w:fill="FFFFFF"/>
        <w:spacing w:line="360" w:lineRule="auto"/>
        <w:ind w:firstLine="720" w:firstLineChars="300"/>
        <w:rPr>
          <w:rFonts w:ascii="宋体" w:hAnsi="宋体" w:cs="宋体"/>
          <w:color w:val="000000"/>
          <w:shd w:val="clear" w:color="auto" w:fill="FFFFFF"/>
        </w:rPr>
      </w:pPr>
      <w:r>
        <w:rPr>
          <w:rFonts w:hint="eastAsia" w:ascii="宋体" w:hAnsi="宋体" w:cs="宋体"/>
          <w:color w:val="000000"/>
          <w:shd w:val="clear" w:color="auto" w:fill="FFFFFF"/>
        </w:rPr>
        <w:t>联 系 人：王主任</w:t>
      </w:r>
    </w:p>
    <w:p>
      <w:pPr>
        <w:pStyle w:val="14"/>
        <w:widowControl/>
        <w:shd w:val="clear" w:color="auto" w:fill="FFFFFF"/>
        <w:spacing w:line="360" w:lineRule="auto"/>
        <w:ind w:firstLine="720" w:firstLineChars="300"/>
        <w:rPr>
          <w:rFonts w:ascii="宋体" w:hAnsi="宋体" w:cs="宋体"/>
          <w:color w:val="000000"/>
          <w:shd w:val="clear" w:color="auto" w:fill="FFFFFF"/>
        </w:rPr>
      </w:pPr>
      <w:r>
        <w:rPr>
          <w:rFonts w:hint="eastAsia" w:ascii="宋体" w:hAnsi="宋体" w:cs="宋体"/>
          <w:color w:val="000000"/>
          <w:shd w:val="clear" w:color="auto" w:fill="FFFFFF"/>
        </w:rPr>
        <w:t>联系电话：0374-7165656</w:t>
      </w:r>
    </w:p>
    <w:p>
      <w:pPr>
        <w:pStyle w:val="14"/>
        <w:widowControl/>
        <w:shd w:val="clear" w:color="auto" w:fill="FFFFFF"/>
        <w:spacing w:line="360" w:lineRule="auto"/>
        <w:ind w:firstLine="720" w:firstLineChars="300"/>
        <w:rPr>
          <w:rFonts w:ascii="宋体" w:hAnsi="宋体" w:cs="宋体"/>
          <w:color w:val="000000"/>
          <w:shd w:val="clear" w:color="auto" w:fill="FFFFFF"/>
        </w:rPr>
      </w:pPr>
      <w:r>
        <w:rPr>
          <w:rFonts w:hint="eastAsia" w:cs="宋体"/>
          <w:color w:val="000000"/>
          <w:shd w:val="clear" w:color="auto" w:fill="FFFFFF"/>
        </w:rPr>
        <w:t>代理</w:t>
      </w:r>
      <w:r>
        <w:rPr>
          <w:rFonts w:hint="eastAsia" w:ascii="宋体" w:hAnsi="宋体" w:cs="宋体"/>
          <w:color w:val="000000"/>
          <w:shd w:val="clear" w:color="auto" w:fill="FFFFFF"/>
        </w:rPr>
        <w:t>机构：河南华明工程造价咨询有限公司</w:t>
      </w:r>
    </w:p>
    <w:p>
      <w:pPr>
        <w:pStyle w:val="14"/>
        <w:widowControl/>
        <w:shd w:val="clear" w:color="auto" w:fill="FFFFFF"/>
        <w:spacing w:line="360" w:lineRule="auto"/>
        <w:ind w:firstLine="720" w:firstLineChars="300"/>
        <w:rPr>
          <w:rFonts w:ascii="宋体" w:hAnsi="宋体" w:cs="宋体"/>
          <w:color w:val="000000"/>
          <w:shd w:val="clear" w:color="auto" w:fill="FFFFFF"/>
        </w:rPr>
      </w:pPr>
      <w:r>
        <w:rPr>
          <w:rFonts w:hint="eastAsia" w:ascii="宋体" w:hAnsi="宋体" w:cs="宋体"/>
          <w:color w:val="000000"/>
          <w:shd w:val="clear" w:color="auto" w:fill="FFFFFF"/>
        </w:rPr>
        <w:t>地址：郑州市高新开发区西三环路283号国家大学科技园（东区）18号楼14层</w:t>
      </w:r>
    </w:p>
    <w:p>
      <w:pPr>
        <w:pStyle w:val="14"/>
        <w:widowControl/>
        <w:shd w:val="clear" w:color="auto" w:fill="FFFFFF"/>
        <w:spacing w:line="360" w:lineRule="auto"/>
        <w:ind w:firstLine="720" w:firstLineChars="300"/>
        <w:rPr>
          <w:rFonts w:cs="宋体"/>
          <w:color w:val="000000"/>
          <w:shd w:val="clear" w:color="auto" w:fill="FFFFFF"/>
        </w:rPr>
      </w:pPr>
      <w:r>
        <w:rPr>
          <w:rFonts w:hint="eastAsia" w:cs="宋体"/>
          <w:color w:val="000000"/>
          <w:shd w:val="clear" w:color="auto" w:fill="FFFFFF"/>
        </w:rPr>
        <w:t>联 系 人：马先生</w:t>
      </w:r>
    </w:p>
    <w:p>
      <w:pPr>
        <w:pStyle w:val="14"/>
        <w:widowControl/>
        <w:shd w:val="clear" w:color="auto" w:fill="FFFFFF"/>
        <w:spacing w:line="360" w:lineRule="auto"/>
        <w:ind w:firstLine="720" w:firstLineChars="300"/>
        <w:rPr>
          <w:rFonts w:ascii="宋体" w:hAnsi="宋体" w:cs="宋体"/>
          <w:color w:val="000000"/>
          <w:shd w:val="clear" w:color="auto" w:fill="FFFFFF"/>
        </w:rPr>
      </w:pPr>
      <w:r>
        <w:rPr>
          <w:rFonts w:hint="eastAsia" w:cs="宋体"/>
          <w:color w:val="000000"/>
          <w:shd w:val="clear" w:color="auto" w:fill="FFFFFF"/>
        </w:rPr>
        <w:t>电    话：</w:t>
      </w:r>
      <w:r>
        <w:rPr>
          <w:rFonts w:hint="eastAsia" w:ascii="宋体" w:hAnsi="宋体" w:cs="宋体"/>
          <w:color w:val="000000"/>
          <w:shd w:val="clear" w:color="auto" w:fill="FFFFFF"/>
        </w:rPr>
        <w:t>0374-3117600</w:t>
      </w:r>
    </w:p>
    <w:p>
      <w:pPr>
        <w:pStyle w:val="14"/>
        <w:widowControl/>
        <w:shd w:val="clear" w:color="auto" w:fill="FFFFFF"/>
        <w:spacing w:line="360" w:lineRule="auto"/>
        <w:ind w:firstLine="720" w:firstLineChars="300"/>
        <w:rPr>
          <w:rFonts w:ascii="宋体" w:hAnsi="宋体" w:cs="宋体"/>
          <w:color w:val="000000"/>
          <w:shd w:val="clear" w:color="auto" w:fill="FFFFFF"/>
        </w:rPr>
      </w:pPr>
    </w:p>
    <w:p>
      <w:pPr>
        <w:pStyle w:val="14"/>
        <w:widowControl/>
        <w:shd w:val="clear" w:color="auto" w:fill="FFFFFF"/>
        <w:spacing w:line="360" w:lineRule="auto"/>
        <w:ind w:firstLine="720" w:firstLineChars="300"/>
        <w:rPr>
          <w:rFonts w:ascii="宋体" w:hAnsi="宋体" w:cs="宋体"/>
          <w:color w:val="000000"/>
          <w:shd w:val="clear" w:color="auto" w:fill="FFFFFF"/>
        </w:rPr>
      </w:pPr>
      <w:r>
        <w:rPr>
          <w:rFonts w:hint="eastAsia" w:ascii="宋体" w:hAnsi="宋体" w:cs="宋体"/>
          <w:color w:val="000000"/>
          <w:shd w:val="clear" w:color="auto" w:fill="FFFFFF"/>
        </w:rPr>
        <w:t xml:space="preserve">                                           鄢陵县工业和信息化委员会</w:t>
      </w:r>
    </w:p>
    <w:p>
      <w:pPr>
        <w:pStyle w:val="14"/>
        <w:widowControl/>
        <w:shd w:val="clear" w:color="auto" w:fill="FFFFFF"/>
        <w:spacing w:line="360" w:lineRule="auto"/>
        <w:ind w:firstLine="6240" w:firstLineChars="26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  2018年12月</w:t>
      </w:r>
      <w:r>
        <w:rPr>
          <w:rFonts w:hint="eastAsia" w:ascii="宋体" w:hAnsi="宋体" w:cs="宋体"/>
          <w:color w:val="auto"/>
          <w:highlight w:val="none"/>
          <w:shd w:val="clear" w:color="auto" w:fill="FFFFFF"/>
          <w:lang w:val="en-US" w:eastAsia="zh-CN"/>
        </w:rPr>
        <w:t>26</w:t>
      </w:r>
      <w:r>
        <w:rPr>
          <w:rFonts w:hint="eastAsia" w:ascii="宋体" w:hAnsi="宋体" w:cs="宋体"/>
          <w:color w:val="auto"/>
          <w:highlight w:val="none"/>
          <w:shd w:val="clear" w:color="auto" w:fill="FFFFFF"/>
        </w:rPr>
        <w:t>日</w:t>
      </w:r>
    </w:p>
    <w:p>
      <w:pPr>
        <w:spacing w:line="360" w:lineRule="auto"/>
        <w:jc w:val="left"/>
        <w:rPr>
          <w:rFonts w:cs="宋体"/>
          <w:color w:val="000000"/>
          <w:sz w:val="24"/>
          <w:shd w:val="clear" w:color="auto" w:fill="FFFFFF"/>
        </w:rPr>
      </w:pPr>
    </w:p>
    <w:p>
      <w:pPr>
        <w:pStyle w:val="14"/>
        <w:widowControl/>
        <w:shd w:val="clear" w:color="auto" w:fill="FFFFFF"/>
        <w:spacing w:line="360" w:lineRule="auto"/>
        <w:ind w:firstLine="482" w:firstLineChars="200"/>
        <w:rPr>
          <w:rFonts w:ascii="宋体" w:hAnsi="宋体" w:cs="宋体"/>
          <w:b/>
          <w:color w:val="000000"/>
        </w:rPr>
      </w:pPr>
      <w:r>
        <w:rPr>
          <w:rFonts w:hint="eastAsia" w:ascii="宋体" w:hAnsi="宋体" w:cs="宋体"/>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温馨提示：本项目为全流程电子化交易项目，请认真阅读招标文件，并注意以下事项。</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1.投标人应按招标文件规定编制、提交电子投标文件和纸质投标文件。开、评标现场不接受投标人递交的备份电子投标文件和纸质投标文件以外的其他资料。</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2.电子文件下载、制作、提交期间和开标（电子投标文件的解密）环节，投标人须使用CA数字证书（证书须在有效期内）。</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3.电子投标文件的制作</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b/>
          <w:color w:val="000000"/>
          <w:shd w:val="clear" w:color="auto" w:fill="FFFFFF"/>
        </w:rPr>
        <w:t>http://221.14.6.70:8088/ggzy/</w:t>
      </w:r>
      <w:r>
        <w:rPr>
          <w:rFonts w:hint="eastAsia" w:ascii="宋体" w:hAnsi="宋体" w:cs="宋体"/>
          <w:b/>
          <w:color w:val="000000"/>
          <w:shd w:val="clear" w:color="auto" w:fill="FFFFFF"/>
        </w:rPr>
        <w:fldChar w:fldCharType="end"/>
      </w:r>
      <w:r>
        <w:rPr>
          <w:rFonts w:hint="eastAsia" w:ascii="宋体" w:hAnsi="宋体" w:cs="宋体"/>
          <w:b/>
          <w:color w:val="000000"/>
          <w:shd w:val="clear" w:color="auto" w:fill="FFFFFF"/>
        </w:rPr>
        <w:t>）下载“许昌投标文件制作系统SEARUN V1.0”，按招标文件要求制作电子投标文件。</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电子投标文件的制作，参考《全国公共资源交易平台(河南省▪许昌市)》公共资源交易系统——组件下载——交易系统操作手册（投标人、供应商）。</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3.2 投标人须将招标文件要求的资质、业绩、荣誉及相关人员证明材料等资料原件扫描件（或图片）制作到所提交的电子投标文件中。</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4.加密电子投标文件的提交</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b/>
          <w:color w:val="000000"/>
          <w:shd w:val="clear" w:color="auto" w:fill="FFFFFF"/>
        </w:rPr>
        <w:t>http://221.14.6.70:8088/ggzy/</w:t>
      </w:r>
      <w:r>
        <w:rPr>
          <w:rFonts w:hint="eastAsia" w:ascii="宋体" w:hAnsi="宋体" w:cs="宋体"/>
          <w:b/>
          <w:color w:val="000000"/>
          <w:shd w:val="clear" w:color="auto" w:fill="FFFFFF"/>
        </w:rPr>
        <w:fldChar w:fldCharType="end"/>
      </w:r>
      <w:r>
        <w:rPr>
          <w:rFonts w:hint="eastAsia" w:ascii="宋体" w:hAnsi="宋体" w:cs="宋体"/>
          <w:b/>
          <w:color w:val="000000"/>
          <w:shd w:val="clear" w:color="auto" w:fill="FFFFFF"/>
        </w:rPr>
        <w:t>）。投标人应充分考虑并预留技术处理和上传数据所需时间。</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4.2 投标人对同一项目多个标段进行投标的，加密电子投标文件应按标段分别提交。</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4.3 加密电子投标文件成功提交后，投标人应打印“投标文件提交回执单”供开标现场备查。</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5.评标依据</w:t>
      </w:r>
    </w:p>
    <w:p>
      <w:pPr>
        <w:pStyle w:val="14"/>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5.1采用全流程电子化交易评标时，评标委员会以电子投标文件为依据评标。</w:t>
      </w:r>
    </w:p>
    <w:p>
      <w:pPr>
        <w:pStyle w:val="14"/>
        <w:widowControl/>
        <w:shd w:val="clear" w:color="auto" w:fill="FFFFFF"/>
        <w:spacing w:line="360" w:lineRule="auto"/>
        <w:ind w:firstLine="482" w:firstLineChars="200"/>
      </w:pPr>
      <w:r>
        <w:rPr>
          <w:rFonts w:hint="eastAsia" w:ascii="宋体" w:hAnsi="宋体" w:cs="宋体"/>
          <w:b/>
          <w:color w:val="000000"/>
          <w:shd w:val="clear" w:color="auto" w:fill="FFFFFF"/>
        </w:rPr>
        <w:t>5.2全流程电子化交易如因系统异常情况无法完成，将以人工方式进行。评标委员会以纸质投标文件为依据评标。</w:t>
      </w:r>
    </w:p>
    <w:p>
      <w:pPr>
        <w:numPr>
          <w:ilvl w:val="0"/>
          <w:numId w:val="3"/>
        </w:num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投标人须知</w:t>
      </w:r>
    </w:p>
    <w:p>
      <w:pPr>
        <w:autoSpaceDE w:val="0"/>
        <w:autoSpaceDN w:val="0"/>
        <w:adjustRightInd w:val="0"/>
        <w:ind w:firstLine="3092" w:firstLineChars="1100"/>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投标人须知前附表</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项目综合说明</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项目名称：智慧鄢陵建设项目设施设备采购</w:t>
            </w:r>
          </w:p>
          <w:p>
            <w:pPr>
              <w:autoSpaceDE w:val="0"/>
              <w:autoSpaceDN w:val="0"/>
              <w:adjustRightInd w:val="0"/>
              <w:spacing w:line="360" w:lineRule="auto"/>
              <w:jc w:val="left"/>
              <w:rPr>
                <w:rFonts w:cs="仿宋_GB2312" w:asciiTheme="minorEastAsia" w:hAnsiTheme="minorEastAsia"/>
                <w:sz w:val="24"/>
                <w:szCs w:val="24"/>
                <w:highlight w:val="yellow"/>
              </w:rPr>
            </w:pPr>
            <w:r>
              <w:rPr>
                <w:rFonts w:hint="eastAsia" w:cs="仿宋_GB2312" w:asciiTheme="minorEastAsia" w:hAnsiTheme="minorEastAsia"/>
                <w:sz w:val="24"/>
                <w:szCs w:val="24"/>
              </w:rPr>
              <w:t>项目编号：Y2018HZ291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招标编号：鄢招公2018103101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采购方式：公开招标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资金来源：财政资金，已落实</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内容：主要建设“一个中心”（智慧鄢陵大数据信息中心）、“一朵云”（智慧鄢陵专有云平台）、“七个分平台”（智慧公安平台、智慧社区平台、智慧旅游平台、智慧城管平台、智慧医疗平台、智慧教育平台、智慧养老平台）以及展示中心、机房、安全系统等。(具体内容详见招标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交付（服务、完工）时间：合同签订后180日历天内</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付款方式：</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（一）支付方式：银行转账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（二）支付时间及条件：签订供货合同时，以双方协定为准。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shd w:val="clear" w:color="auto" w:fill="FFFFFF"/>
              </w:rPr>
              <w:t xml:space="preserve">鄢陵县工业和信息化委员会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ascii="宋体" w:hAnsi="宋体" w:cs="宋体"/>
                <w:color w:val="000000"/>
                <w:sz w:val="24"/>
                <w:szCs w:val="24"/>
                <w:shd w:val="clear" w:color="auto" w:fill="FFFFFF"/>
              </w:rPr>
              <w:t>鄢陵县梅里路149号工信委</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shd w:val="clear" w:color="auto" w:fill="FFFFFF"/>
              </w:rPr>
              <w:t>王主任   电话：</w:t>
            </w:r>
            <w:r>
              <w:rPr>
                <w:rFonts w:hint="eastAsia" w:ascii="宋体" w:hAnsi="宋体" w:cs="宋体"/>
                <w:color w:val="000000"/>
                <w:sz w:val="24"/>
                <w:szCs w:val="24"/>
                <w:shd w:val="clear" w:color="auto" w:fill="FFFFFF"/>
              </w:rPr>
              <w:t>0374-7165656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shd w:val="clear" w:color="auto" w:fill="FFFFFF"/>
              </w:rPr>
            </w:pPr>
            <w:r>
              <w:rPr>
                <w:rFonts w:hint="eastAsia" w:cs="仿宋_GB2312" w:asciiTheme="minorEastAsia" w:hAnsiTheme="minorEastAsia"/>
                <w:sz w:val="24"/>
                <w:szCs w:val="24"/>
              </w:rPr>
              <w:t>名称：</w:t>
            </w:r>
            <w:r>
              <w:rPr>
                <w:rFonts w:hint="eastAsia" w:cs="仿宋_GB2312" w:asciiTheme="minorEastAsia" w:hAnsiTheme="minorEastAsia"/>
                <w:sz w:val="24"/>
                <w:szCs w:val="24"/>
                <w:shd w:val="clear" w:color="auto" w:fill="FFFFFF"/>
              </w:rPr>
              <w:t>河南华明工程造价咨询有限公司</w:t>
            </w:r>
          </w:p>
          <w:p>
            <w:pPr>
              <w:autoSpaceDE w:val="0"/>
              <w:autoSpaceDN w:val="0"/>
              <w:adjustRightInd w:val="0"/>
              <w:spacing w:line="360" w:lineRule="auto"/>
              <w:jc w:val="left"/>
              <w:rPr>
                <w:rFonts w:cs="仿宋_GB2312" w:asciiTheme="minorEastAsia" w:hAnsiTheme="minorEastAsia"/>
                <w:sz w:val="24"/>
                <w:szCs w:val="24"/>
                <w:shd w:val="clear" w:color="auto" w:fill="FFFFFF"/>
              </w:rPr>
            </w:pPr>
            <w:r>
              <w:rPr>
                <w:rFonts w:hint="eastAsia" w:cs="仿宋_GB2312" w:asciiTheme="minorEastAsia" w:hAnsiTheme="minorEastAsia"/>
                <w:sz w:val="24"/>
                <w:szCs w:val="24"/>
              </w:rPr>
              <w:t>地址</w:t>
            </w:r>
            <w:r>
              <w:rPr>
                <w:rFonts w:hint="eastAsia" w:cs="仿宋_GB2312" w:asciiTheme="minorEastAsia" w:hAnsiTheme="minorEastAsia"/>
                <w:sz w:val="24"/>
                <w:szCs w:val="24"/>
                <w:shd w:val="clear" w:color="auto" w:fill="FFFFFF"/>
              </w:rPr>
              <w:t>：郑州市高新开发区西三环路283号国家大学科技园（东区）18号楼14层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shd w:val="clear" w:color="auto" w:fill="FFFFFF"/>
              </w:rPr>
              <w:t>：马先生   电话：</w:t>
            </w:r>
            <w:r>
              <w:rPr>
                <w:rFonts w:hint="eastAsia" w:ascii="宋体" w:hAnsi="宋体" w:cs="宋体"/>
                <w:color w:val="000000"/>
                <w:sz w:val="24"/>
                <w:szCs w:val="24"/>
                <w:shd w:val="clear" w:color="auto" w:fill="FFFFFF"/>
              </w:rPr>
              <w:t>0374-3117600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color w:val="000000" w:themeColor="text1"/>
                <w:sz w:val="24"/>
                <w:szCs w:val="24"/>
              </w:rPr>
              <w:t>投标人资格</w:t>
            </w:r>
          </w:p>
        </w:tc>
        <w:tc>
          <w:tcPr>
            <w:tcW w:w="6813" w:type="dxa"/>
            <w:vAlign w:val="center"/>
          </w:tcPr>
          <w:p>
            <w:pPr>
              <w:autoSpaceDE w:val="0"/>
              <w:autoSpaceDN w:val="0"/>
              <w:spacing w:line="360" w:lineRule="auto"/>
              <w:contextualSpacing/>
              <w:rPr>
                <w:sz w:val="24"/>
                <w:szCs w:val="24"/>
              </w:rPr>
            </w:pPr>
            <w:r>
              <w:rPr>
                <w:rFonts w:hint="eastAsia"/>
                <w:sz w:val="24"/>
                <w:szCs w:val="24"/>
              </w:rPr>
              <w:t>（一）符合《中华人民共和国政府采购法》第二十二条之规定。</w:t>
            </w:r>
          </w:p>
          <w:p>
            <w:pPr>
              <w:autoSpaceDE w:val="0"/>
              <w:autoSpaceDN w:val="0"/>
              <w:spacing w:line="360" w:lineRule="auto"/>
              <w:contextualSpacing/>
              <w:rPr>
                <w:sz w:val="24"/>
                <w:szCs w:val="24"/>
              </w:rPr>
            </w:pPr>
            <w:r>
              <w:rPr>
                <w:rFonts w:hint="eastAsia"/>
                <w:sz w:val="24"/>
                <w:szCs w:val="24"/>
              </w:rPr>
              <w:t>（二）未被列入“信用中国”网站(www.creditchina.gov.cn)信用记录失信被执行人、重大税收违法案件当事人名单、政府采购严重违法失信名单的投标人；中国政府采购网(www.ccgp.gov.cn)政府采购严重违法失信行为记录名单的投标人。</w:t>
            </w:r>
          </w:p>
          <w:p>
            <w:pPr>
              <w:autoSpaceDE w:val="0"/>
              <w:autoSpaceDN w:val="0"/>
              <w:spacing w:line="360" w:lineRule="auto"/>
              <w:contextualSpacing/>
              <w:rPr>
                <w:rFonts w:cs="仿宋_GB2312" w:asciiTheme="minorEastAsia" w:hAnsiTheme="minorEastAsia"/>
                <w:sz w:val="24"/>
                <w:szCs w:val="24"/>
              </w:rPr>
            </w:pPr>
            <w:r>
              <w:rPr>
                <w:rFonts w:hint="eastAsia"/>
                <w:sz w:val="24"/>
                <w:szCs w:val="24"/>
              </w:rPr>
              <w:t>（三）本项目不接受联合体。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eq \o\ac(□,√)</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0" w:firstLineChars="150"/>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仿宋_GB2312" w:asciiTheme="minorEastAsia" w:hAnsiTheme="minorEastAsia"/>
                <w:sz w:val="24"/>
                <w:szCs w:val="24"/>
              </w:rPr>
              <w:t>51068140.00元；</w:t>
            </w:r>
            <w:r>
              <w:rPr>
                <w:rFonts w:hint="eastAsia" w:cs="宋体" w:asciiTheme="minorEastAsia" w:hAnsiTheme="minorEastAsia"/>
                <w:kern w:val="0"/>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eq \o\ac(□,√)</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不组织</w:t>
            </w:r>
          </w:p>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eq \o\ac(□,√)</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不召开</w:t>
            </w:r>
          </w:p>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cs="宋体" w:asciiTheme="minorEastAsia" w:hAnsiTheme="minorEastAsia"/>
                <w:kern w:val="0"/>
                <w:sz w:val="24"/>
                <w:szCs w:val="24"/>
              </w:rPr>
            </w:pPr>
            <w:r>
              <w:rPr>
                <w:rFonts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eq \o\ac(□,√)</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hAnsi="宋体" w:cs="仿宋_GB2312"/>
                <w:sz w:val="24"/>
                <w:szCs w:val="24"/>
              </w:rPr>
              <w:t>60天（自</w:t>
            </w:r>
            <w:r>
              <w:rPr>
                <w:rFonts w:hint="eastAsia" w:cs="宋体" w:asciiTheme="minorEastAsia" w:hAnsiTheme="minorEastAsia"/>
                <w:kern w:val="0"/>
                <w:sz w:val="24"/>
                <w:szCs w:val="24"/>
              </w:rPr>
              <w:t>提交投标文件的截止之日起算</w:t>
            </w:r>
            <w:r>
              <w:rPr>
                <w:rFonts w:hint="eastAsia"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宋体" w:asciiTheme="minorEastAsia" w:hAnsiTheme="minorEastAsia"/>
                <w:kern w:val="0"/>
                <w:sz w:val="24"/>
                <w:szCs w:val="24"/>
              </w:rPr>
            </w:pPr>
            <w:r>
              <w:rPr>
                <w:rFonts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eq \o\ac(□,√)</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kern w:val="0"/>
                <w:sz w:val="24"/>
                <w:szCs w:val="24"/>
              </w:rPr>
            </w:pPr>
            <w:r>
              <w:rPr>
                <w:rFonts w:hint="eastAsia" w:cs="宋体" w:asciiTheme="minorEastAsia" w:hAnsiTheme="minorEastAsia"/>
                <w:color w:val="auto"/>
                <w:kern w:val="0"/>
                <w:sz w:val="24"/>
                <w:szCs w:val="24"/>
                <w:shd w:val="clear" w:color="auto"/>
              </w:rPr>
              <w:t>201</w:t>
            </w:r>
            <w:r>
              <w:rPr>
                <w:rFonts w:hint="eastAsia" w:cs="宋体" w:asciiTheme="minorEastAsia" w:hAnsiTheme="minorEastAsia"/>
                <w:color w:val="auto"/>
                <w:kern w:val="0"/>
                <w:sz w:val="24"/>
                <w:szCs w:val="24"/>
                <w:shd w:val="clear" w:color="auto"/>
                <w:lang w:val="en-US" w:eastAsia="zh-CN"/>
              </w:rPr>
              <w:t>9</w:t>
            </w:r>
            <w:r>
              <w:rPr>
                <w:rFonts w:hint="eastAsia" w:cs="宋体" w:asciiTheme="minorEastAsia" w:hAnsiTheme="minorEastAsia"/>
                <w:color w:val="auto"/>
                <w:kern w:val="0"/>
                <w:sz w:val="24"/>
                <w:szCs w:val="24"/>
                <w:shd w:val="clear" w:color="auto"/>
              </w:rPr>
              <w:t>年</w:t>
            </w:r>
            <w:r>
              <w:rPr>
                <w:rFonts w:hint="eastAsia" w:cs="宋体" w:asciiTheme="minorEastAsia" w:hAnsiTheme="minorEastAsia"/>
                <w:color w:val="auto"/>
                <w:kern w:val="0"/>
                <w:sz w:val="24"/>
                <w:szCs w:val="24"/>
                <w:shd w:val="clear" w:color="auto"/>
                <w:lang w:val="en-US" w:eastAsia="zh-CN"/>
              </w:rPr>
              <w:t>1</w:t>
            </w:r>
            <w:r>
              <w:rPr>
                <w:rFonts w:hint="eastAsia" w:cs="宋体" w:asciiTheme="minorEastAsia" w:hAnsiTheme="minorEastAsia"/>
                <w:color w:val="auto"/>
                <w:kern w:val="0"/>
                <w:sz w:val="24"/>
                <w:szCs w:val="24"/>
                <w:shd w:val="clear" w:color="auto"/>
              </w:rPr>
              <w:t>月</w:t>
            </w:r>
            <w:r>
              <w:rPr>
                <w:rFonts w:hint="eastAsia" w:cs="宋体" w:asciiTheme="minorEastAsia" w:hAnsiTheme="minorEastAsia"/>
                <w:color w:val="auto"/>
                <w:kern w:val="0"/>
                <w:sz w:val="24"/>
                <w:szCs w:val="24"/>
                <w:shd w:val="clear" w:color="auto"/>
                <w:lang w:val="en-US" w:eastAsia="zh-CN"/>
              </w:rPr>
              <w:t>17</w:t>
            </w:r>
            <w:r>
              <w:rPr>
                <w:rFonts w:hint="eastAsia" w:cs="宋体" w:asciiTheme="minorEastAsia" w:hAnsiTheme="minorEastAsia"/>
                <w:color w:val="auto"/>
                <w:kern w:val="0"/>
                <w:sz w:val="24"/>
                <w:szCs w:val="24"/>
                <w:shd w:val="clear" w:color="auto"/>
              </w:rPr>
              <w:t>日</w:t>
            </w:r>
            <w:r>
              <w:rPr>
                <w:rFonts w:hint="eastAsia" w:cs="宋体" w:asciiTheme="minorEastAsia" w:hAnsiTheme="minorEastAsia"/>
                <w:color w:val="auto"/>
                <w:kern w:val="0"/>
                <w:sz w:val="24"/>
                <w:szCs w:val="24"/>
                <w:shd w:val="clear" w:color="auto"/>
                <w:lang w:val="en-US" w:eastAsia="zh-CN"/>
              </w:rPr>
              <w:t>9</w:t>
            </w:r>
            <w:r>
              <w:rPr>
                <w:rFonts w:hint="eastAsia" w:cs="宋体" w:asciiTheme="minorEastAsia" w:hAnsiTheme="minorEastAsia"/>
                <w:color w:val="auto"/>
                <w:kern w:val="0"/>
                <w:sz w:val="24"/>
                <w:szCs w:val="24"/>
                <w:shd w:val="clear" w:color="auto"/>
              </w:rPr>
              <w:t>时</w:t>
            </w:r>
            <w:r>
              <w:rPr>
                <w:rFonts w:hint="eastAsia" w:cs="宋体" w:asciiTheme="minorEastAsia" w:hAnsiTheme="minorEastAsia"/>
                <w:color w:val="auto"/>
                <w:kern w:val="0"/>
                <w:sz w:val="24"/>
                <w:szCs w:val="24"/>
                <w:shd w:val="clear" w:color="auto"/>
                <w:lang w:val="en-US" w:eastAsia="zh-CN"/>
              </w:rPr>
              <w:t>30</w:t>
            </w:r>
            <w:r>
              <w:rPr>
                <w:rFonts w:hint="eastAsia" w:cs="宋体" w:asciiTheme="minorEastAsia" w:hAnsiTheme="minorEastAsia"/>
                <w:color w:val="auto"/>
                <w:kern w:val="0"/>
                <w:sz w:val="24"/>
                <w:szCs w:val="24"/>
                <w:shd w:val="clear" w:color="auto"/>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鄢陵县公共资源交易中心（S219鄢陶路与未来大道交叉口鄢陵创客园院内</w:t>
            </w:r>
            <w:r>
              <w:rPr>
                <w:rFonts w:hint="eastAsia" w:cs="宋体" w:asciiTheme="minorEastAsia" w:hAnsiTheme="minorEastAsia"/>
                <w:color w:val="auto"/>
                <w:kern w:val="0"/>
                <w:sz w:val="24"/>
                <w:szCs w:val="24"/>
                <w:highlight w:val="none"/>
              </w:rPr>
              <w:t>南楼四楼开标</w:t>
            </w:r>
            <w:r>
              <w:rPr>
                <w:rFonts w:hint="eastAsia" w:cs="宋体" w:asciiTheme="minorEastAsia" w:hAnsiTheme="minorEastAsia"/>
                <w:color w:val="auto"/>
                <w:kern w:val="0"/>
                <w:sz w:val="24"/>
                <w:szCs w:val="24"/>
                <w:highlight w:val="none"/>
                <w:lang w:eastAsia="zh-CN"/>
              </w:rPr>
              <w:t>二</w:t>
            </w:r>
            <w:r>
              <w:rPr>
                <w:rFonts w:hint="eastAsia" w:cs="宋体" w:asciiTheme="minorEastAsia" w:hAnsiTheme="minorEastAsia"/>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缴纳截止时间：同投标截止时间。</w:t>
            </w:r>
          </w:p>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金额：捌拾万元整（¥ 800</w:t>
            </w:r>
            <w:r>
              <w:rPr>
                <w:rFonts w:cs="宋体" w:asciiTheme="minorEastAsia" w:hAnsiTheme="minorEastAsia"/>
                <w:kern w:val="0"/>
                <w:sz w:val="24"/>
                <w:szCs w:val="24"/>
              </w:rPr>
              <w:t>000</w:t>
            </w:r>
            <w:r>
              <w:rPr>
                <w:rFonts w:hint="eastAsia" w:cs="宋体" w:asciiTheme="minorEastAsia" w:hAnsiTheme="minorEastAsia"/>
                <w:kern w:val="0"/>
                <w:sz w:val="24"/>
                <w:szCs w:val="24"/>
              </w:rPr>
              <w:t>.00元 ）</w:t>
            </w:r>
          </w:p>
          <w:p>
            <w:pPr>
              <w:tabs>
                <w:tab w:val="left" w:pos="1260"/>
              </w:tabs>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三、投标保证金缴纳方式：</w:t>
            </w:r>
          </w:p>
          <w:p>
            <w:pPr>
              <w:tabs>
                <w:tab w:val="left" w:pos="1260"/>
              </w:tabs>
              <w:autoSpaceDE w:val="0"/>
              <w:autoSpaceDN w:val="0"/>
              <w:spacing w:line="360" w:lineRule="auto"/>
              <w:contextualSpacing/>
              <w:rPr>
                <w:rFonts w:cs="宋体" w:asciiTheme="minorEastAsia" w:hAnsiTheme="minorEastAsia"/>
                <w:kern w:val="0"/>
                <w:sz w:val="22"/>
              </w:rPr>
            </w:pPr>
            <w:r>
              <w:rPr>
                <w:rFonts w:hint="eastAsia" w:cs="宋体" w:asciiTheme="minorEastAsia" w:hAnsiTheme="minorEastAsia"/>
                <w:kern w:val="0"/>
                <w:sz w:val="22"/>
              </w:rPr>
              <w:t>1、投标人网上下载招标文件后，登录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 w:val="22"/>
              </w:rPr>
              <w:t>http://221.14.6.70:8088/ggzy</w:t>
            </w:r>
            <w:r>
              <w:rPr>
                <w:rFonts w:hint="eastAsia" w:cs="宋体" w:asciiTheme="minorEastAsia" w:hAnsiTheme="minorEastAsia"/>
                <w:kern w:val="0"/>
                <w:sz w:val="22"/>
              </w:rPr>
              <w:fldChar w:fldCharType="end"/>
            </w:r>
            <w:r>
              <w:rPr>
                <w:rFonts w:hint="eastAsia" w:cs="宋体" w:asciiTheme="minorEastAsia" w:hAnsiTheme="minorEastAsia"/>
                <w:kern w:val="0"/>
                <w:sz w:val="22"/>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3、《保证金缴纳绑定操作指南》获取方法：登录许昌公共资源交易系统-组件下载-《保证金缴纳绑定操作指南》。</w:t>
            </w:r>
          </w:p>
          <w:p>
            <w:pPr>
              <w:snapToGri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Calibri" w:eastAsia="宋体" w:cs="宋体"/>
                <w:b/>
                <w:sz w:val="24"/>
                <w:szCs w:val="24"/>
                <w:lang w:val="zh-CN"/>
              </w:rPr>
            </w:pPr>
            <w:r>
              <w:rPr>
                <w:rFonts w:hint="eastAsia" w:ascii="宋体" w:hAnsi="Calibri" w:eastAsia="宋体" w:cs="宋体"/>
                <w:b/>
                <w:sz w:val="24"/>
                <w:szCs w:val="24"/>
                <w:lang w:val="zh-CN"/>
              </w:rPr>
              <w:t>投标人可根据提示情况决定是否重新缴纳。</w:t>
            </w:r>
          </w:p>
          <w:p>
            <w:pPr>
              <w:tabs>
                <w:tab w:val="left" w:pos="1260"/>
              </w:tabs>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5、汇款凭证无须备注项目编号和项目名称。</w:t>
            </w:r>
          </w:p>
          <w:p>
            <w:pPr>
              <w:tabs>
                <w:tab w:val="left" w:pos="1260"/>
              </w:tabs>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6、每个投标人每个项目每个标段只有唯一缴纳账号，切勿重复额缴或错误缴纳。</w:t>
            </w:r>
            <w:r>
              <w:rPr>
                <w:rFonts w:hint="eastAsia" w:cs="宋体" w:asciiTheme="minorEastAsia" w:hAnsiTheme="minorEastAsia"/>
                <w:b/>
                <w:bCs/>
                <w:kern w:val="0"/>
                <w:sz w:val="24"/>
                <w:szCs w:val="24"/>
                <w:lang w:val="zh-CN"/>
              </w:rPr>
              <w:t>(由于每个项目每个标段每个投标人系统会生成唯一的 缴纳账号，请投标企业严格按照“保证金缴纳说明单”进行交纳)。</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7</w:t>
            </w:r>
            <w:r>
              <w:rPr>
                <w:rFonts w:hint="eastAsia" w:cs="宋体" w:asciiTheme="minorEastAsia" w:hAnsiTheme="minorEastAsia"/>
                <w:kern w:val="0"/>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五、投标保证金的退还</w:t>
            </w:r>
          </w:p>
          <w:p>
            <w:pPr>
              <w:snapToGrid w:val="0"/>
              <w:spacing w:line="360" w:lineRule="auto"/>
              <w:jc w:val="left"/>
              <w:rPr>
                <w:rFonts w:ascii="宋体" w:hAnsi="Calibri" w:eastAsia="宋体" w:cs="宋体"/>
                <w:sz w:val="24"/>
                <w:szCs w:val="24"/>
                <w:lang w:val="zh-CN"/>
              </w:rPr>
            </w:pPr>
            <w:r>
              <w:rPr>
                <w:rFonts w:hint="eastAsia" w:ascii="宋体" w:cs="宋体"/>
                <w:sz w:val="24"/>
                <w:szCs w:val="24"/>
                <w:lang w:val="zh-CN"/>
              </w:rPr>
              <w:t>1、</w:t>
            </w:r>
            <w:r>
              <w:rPr>
                <w:rFonts w:hint="eastAsia" w:ascii="宋体" w:hAnsi="Calibri" w:eastAsia="宋体" w:cs="宋体"/>
                <w:sz w:val="24"/>
                <w:szCs w:val="24"/>
                <w:lang w:val="zh-CN"/>
              </w:rPr>
              <w:t>退还投标保证金时，区别成交与否，按不同时序由银行按来款途径退还原账户。</w:t>
            </w:r>
          </w:p>
          <w:p>
            <w:pPr>
              <w:snapToGrid w:val="0"/>
              <w:spacing w:line="360" w:lineRule="auto"/>
              <w:jc w:val="left"/>
              <w:rPr>
                <w:rFonts w:ascii="宋体" w:hAnsi="Calibri" w:eastAsia="宋体" w:cs="宋体"/>
                <w:sz w:val="24"/>
                <w:szCs w:val="24"/>
                <w:lang w:val="zh-CN"/>
              </w:rPr>
            </w:pPr>
            <w:r>
              <w:rPr>
                <w:rFonts w:hint="eastAsia" w:ascii="宋体" w:cs="宋体"/>
                <w:color w:val="000000"/>
                <w:sz w:val="24"/>
                <w:szCs w:val="24"/>
                <w:lang w:val="zh-CN"/>
              </w:rPr>
              <w:t>2、</w:t>
            </w:r>
            <w:r>
              <w:rPr>
                <w:rFonts w:hint="eastAsia" w:ascii="宋体" w:hAnsi="Calibri" w:eastAsia="宋体" w:cs="宋体"/>
                <w:sz w:val="24"/>
                <w:szCs w:val="24"/>
                <w:lang w:val="zh-CN"/>
              </w:rPr>
              <w:t>未中标的投标人的投标保证金，在中标通知书发出后5个工作日内退还。（业务四部电话：0374-7363617）</w:t>
            </w:r>
          </w:p>
          <w:p>
            <w:pPr>
              <w:snapToGrid w:val="0"/>
              <w:spacing w:line="360" w:lineRule="auto"/>
              <w:jc w:val="left"/>
              <w:rPr>
                <w:rFonts w:ascii="宋体" w:hAnsi="宋体" w:eastAsia="宋体" w:cs="Times New Roman"/>
                <w:kern w:val="0"/>
                <w:sz w:val="24"/>
                <w:szCs w:val="24"/>
              </w:rPr>
            </w:pPr>
            <w:r>
              <w:rPr>
                <w:rFonts w:hint="eastAsia" w:ascii="宋体" w:hAnsi="宋体"/>
                <w:kern w:val="0"/>
                <w:sz w:val="24"/>
                <w:szCs w:val="24"/>
              </w:rPr>
              <w:t>3</w:t>
            </w:r>
            <w:r>
              <w:rPr>
                <w:rFonts w:hint="eastAsia" w:ascii="宋体" w:hAnsi="宋体" w:eastAsia="宋体" w:cs="Times New Roman"/>
                <w:kern w:val="0"/>
                <w:sz w:val="24"/>
                <w:szCs w:val="24"/>
              </w:rPr>
              <w:t>、中标的投标人的投标保证金，在合同（原件）和履约保证金缴纳凭据（复印件）备案（业务四部）之日起5个工作日内退还投标保证金。（向业务四部提交合同原件（业务四部电话：0374-7363617）</w:t>
            </w:r>
          </w:p>
          <w:p>
            <w:pPr>
              <w:snapToGrid w:val="0"/>
              <w:spacing w:line="360" w:lineRule="auto"/>
              <w:jc w:val="left"/>
              <w:rPr>
                <w:rFonts w:ascii="宋体" w:hAnsi="Calibri" w:eastAsia="宋体" w:cs="宋体"/>
                <w:sz w:val="24"/>
                <w:szCs w:val="24"/>
                <w:lang w:val="zh-CN"/>
              </w:rPr>
            </w:pPr>
            <w:r>
              <w:rPr>
                <w:rFonts w:ascii="宋体" w:hAnsi="宋体" w:eastAsia="宋体" w:cs="宋体"/>
                <w:kern w:val="0"/>
                <w:sz w:val="24"/>
                <w:szCs w:val="24"/>
              </w:rPr>
              <w:t>4、</w:t>
            </w:r>
            <w:r>
              <w:rPr>
                <w:rFonts w:ascii="宋体" w:hAnsi="Calibri" w:eastAsia="宋体" w:cs="宋体"/>
                <w:sz w:val="24"/>
                <w:szCs w:val="24"/>
                <w:lang w:val="zh-CN"/>
              </w:rPr>
              <w:t xml:space="preserve">投标截止后，确因投标人技术原因造成的投标文件无法解密、导入失败的，视为其撤销投标文件，投标保证金予以退还。 </w:t>
            </w:r>
          </w:p>
          <w:p>
            <w:pPr>
              <w:snapToGrid w:val="0"/>
              <w:spacing w:line="360" w:lineRule="auto"/>
              <w:jc w:val="left"/>
              <w:rPr>
                <w:rFonts w:ascii="宋体" w:hAnsi="Calibri" w:eastAsia="宋体" w:cs="宋体"/>
                <w:b/>
                <w:bCs/>
                <w:sz w:val="24"/>
                <w:szCs w:val="24"/>
                <w:lang w:val="zh-CN"/>
              </w:rPr>
            </w:pPr>
            <w:r>
              <w:rPr>
                <w:rFonts w:hint="eastAsia" w:ascii="宋体" w:hAnsi="宋体" w:eastAsia="宋体" w:cs="Times New Roman"/>
                <w:b/>
                <w:bCs/>
                <w:sz w:val="24"/>
                <w:szCs w:val="24"/>
              </w:rPr>
              <w:t>以上事项，请投标人仔细研读，未按规定操作引起的无效投标，由投标人自行负责。</w:t>
            </w:r>
          </w:p>
          <w:p>
            <w:pPr>
              <w:snapToGrid w:val="0"/>
              <w:spacing w:line="360" w:lineRule="auto"/>
              <w:jc w:val="left"/>
              <w:rPr>
                <w:rFonts w:ascii="宋体" w:hAnsi="宋体" w:eastAsia="宋体" w:cs="Times New Roman"/>
                <w:sz w:val="24"/>
                <w:szCs w:val="24"/>
              </w:rPr>
            </w:pPr>
            <w:r>
              <w:rPr>
                <w:rFonts w:hint="eastAsia" w:ascii="宋体" w:hAnsi="宋体"/>
                <w:sz w:val="24"/>
                <w:szCs w:val="24"/>
              </w:rPr>
              <w:t>六、</w:t>
            </w:r>
            <w:r>
              <w:rPr>
                <w:rFonts w:hint="eastAsia" w:ascii="宋体" w:hAnsi="宋体" w:eastAsia="宋体" w:cs="Times New Roman"/>
                <w:sz w:val="24"/>
                <w:szCs w:val="24"/>
              </w:rPr>
              <w:t xml:space="preserve"> 特殊情况处理</w:t>
            </w:r>
          </w:p>
          <w:p>
            <w:pPr>
              <w:snapToGrid w:val="0"/>
              <w:spacing w:line="360" w:lineRule="auto"/>
              <w:jc w:val="left"/>
              <w:rPr>
                <w:rFonts w:ascii="宋体" w:hAnsi="宋体"/>
                <w:sz w:val="24"/>
                <w:szCs w:val="24"/>
              </w:rPr>
            </w:pPr>
            <w:r>
              <w:rPr>
                <w:rFonts w:hint="eastAsia" w:ascii="宋体" w:hAnsi="宋体" w:eastAsia="宋体" w:cs="Times New Roman"/>
                <w:sz w:val="24"/>
                <w:szCs w:val="24"/>
              </w:rPr>
              <w:t>投标人投标过程中因账户信息发生变化，不能原帐户返还投标保证金的，投标人须提供原账户开户银行相关证明及新开账户开户许可证，到中心综合部办理退款手续（0374-7363600）。</w:t>
            </w:r>
          </w:p>
          <w:p>
            <w:pPr>
              <w:snapToGrid w:val="0"/>
              <w:spacing w:line="360" w:lineRule="auto"/>
              <w:rPr>
                <w:rFonts w:ascii="宋体" w:hAnsi="Calibri" w:eastAsia="宋体" w:cs="宋体"/>
                <w:sz w:val="24"/>
                <w:szCs w:val="24"/>
                <w:lang w:val="zh-CN"/>
              </w:rPr>
            </w:pPr>
            <w:r>
              <w:rPr>
                <w:rFonts w:hint="eastAsia" w:ascii="宋体" w:cs="宋体"/>
                <w:sz w:val="24"/>
                <w:szCs w:val="24"/>
                <w:lang w:val="zh-CN"/>
              </w:rPr>
              <w:t>七、</w:t>
            </w:r>
            <w:r>
              <w:rPr>
                <w:rFonts w:hint="eastAsia" w:ascii="宋体" w:hAnsi="Calibri" w:eastAsia="宋体" w:cs="宋体"/>
                <w:sz w:val="24"/>
                <w:szCs w:val="24"/>
                <w:lang w:val="zh-CN"/>
              </w:rPr>
              <w:t>发生以下情况投标保证金不予退还：</w:t>
            </w:r>
          </w:p>
          <w:p>
            <w:pPr>
              <w:snapToGrid w:val="0"/>
              <w:spacing w:line="360" w:lineRule="auto"/>
              <w:rPr>
                <w:rFonts w:ascii="宋体" w:hAnsi="Calibri" w:eastAsia="宋体" w:cs="宋体"/>
                <w:sz w:val="24"/>
                <w:szCs w:val="24"/>
                <w:lang w:val="zh-CN"/>
              </w:rPr>
            </w:pPr>
            <w:r>
              <w:rPr>
                <w:rFonts w:hint="eastAsia" w:ascii="宋体" w:hAnsi="Calibri" w:eastAsia="宋体" w:cs="宋体"/>
                <w:sz w:val="24"/>
                <w:szCs w:val="24"/>
                <w:lang w:val="zh-CN"/>
              </w:rPr>
              <w:t>1</w:t>
            </w:r>
            <w:r>
              <w:rPr>
                <w:rFonts w:hint="eastAsia" w:ascii="宋体" w:cs="宋体"/>
                <w:sz w:val="24"/>
                <w:szCs w:val="24"/>
                <w:lang w:val="zh-CN"/>
              </w:rPr>
              <w:t>、</w:t>
            </w:r>
            <w:r>
              <w:rPr>
                <w:rFonts w:ascii="宋体" w:hAnsi="Calibri" w:eastAsia="宋体" w:cs="宋体"/>
                <w:sz w:val="24"/>
                <w:szCs w:val="24"/>
                <w:lang w:val="zh-CN"/>
              </w:rPr>
              <w:t>供应商在提交</w:t>
            </w:r>
            <w:r>
              <w:rPr>
                <w:rFonts w:hint="eastAsia" w:ascii="宋体" w:hAnsi="Calibri" w:eastAsia="宋体" w:cs="宋体"/>
                <w:sz w:val="24"/>
                <w:szCs w:val="24"/>
                <w:lang w:val="zh-CN"/>
              </w:rPr>
              <w:t>投标</w:t>
            </w:r>
            <w:r>
              <w:rPr>
                <w:rFonts w:ascii="宋体" w:hAnsi="Calibri" w:eastAsia="宋体" w:cs="宋体"/>
                <w:sz w:val="24"/>
                <w:szCs w:val="24"/>
                <w:lang w:val="zh-CN"/>
              </w:rPr>
              <w:t>文件截止时间后撤回</w:t>
            </w:r>
            <w:r>
              <w:rPr>
                <w:rFonts w:hint="eastAsia" w:ascii="宋体" w:hAnsi="Calibri" w:eastAsia="宋体" w:cs="宋体"/>
                <w:sz w:val="24"/>
                <w:szCs w:val="24"/>
                <w:lang w:val="zh-CN"/>
              </w:rPr>
              <w:t>投标</w:t>
            </w:r>
            <w:r>
              <w:rPr>
                <w:rFonts w:ascii="宋体" w:hAnsi="Calibri" w:eastAsia="宋体" w:cs="宋体"/>
                <w:sz w:val="24"/>
                <w:szCs w:val="24"/>
                <w:lang w:val="zh-CN"/>
              </w:rPr>
              <w:t>文件的；</w:t>
            </w:r>
          </w:p>
          <w:p>
            <w:pPr>
              <w:snapToGrid w:val="0"/>
              <w:spacing w:line="360" w:lineRule="auto"/>
              <w:rPr>
                <w:rFonts w:ascii="宋体" w:hAnsi="Calibri" w:eastAsia="宋体" w:cs="宋体"/>
                <w:sz w:val="24"/>
                <w:szCs w:val="24"/>
                <w:lang w:val="zh-CN"/>
              </w:rPr>
            </w:pPr>
            <w:r>
              <w:rPr>
                <w:rFonts w:hint="eastAsia" w:ascii="宋体" w:hAnsi="Calibri" w:eastAsia="宋体" w:cs="宋体"/>
                <w:sz w:val="24"/>
                <w:szCs w:val="24"/>
                <w:lang w:val="zh-CN"/>
              </w:rPr>
              <w:t>2</w:t>
            </w:r>
            <w:r>
              <w:rPr>
                <w:rFonts w:hint="eastAsia" w:ascii="宋体" w:cs="宋体"/>
                <w:sz w:val="24"/>
                <w:szCs w:val="24"/>
                <w:lang w:val="zh-CN"/>
              </w:rPr>
              <w:t>、</w:t>
            </w:r>
            <w:r>
              <w:rPr>
                <w:rFonts w:ascii="宋体" w:hAnsi="Calibri" w:eastAsia="宋体" w:cs="宋体"/>
                <w:sz w:val="24"/>
                <w:szCs w:val="24"/>
                <w:lang w:val="zh-CN"/>
              </w:rPr>
              <w:t>供应商在</w:t>
            </w:r>
            <w:r>
              <w:rPr>
                <w:rFonts w:hint="eastAsia" w:ascii="宋体" w:hAnsi="Calibri" w:eastAsia="宋体" w:cs="宋体"/>
                <w:sz w:val="24"/>
                <w:szCs w:val="24"/>
                <w:lang w:val="zh-CN"/>
              </w:rPr>
              <w:t>投标</w:t>
            </w:r>
            <w:r>
              <w:rPr>
                <w:rFonts w:ascii="宋体" w:hAnsi="Calibri" w:eastAsia="宋体" w:cs="宋体"/>
                <w:sz w:val="24"/>
                <w:szCs w:val="24"/>
                <w:lang w:val="zh-CN"/>
              </w:rPr>
              <w:t>文件中提供虚假材料的；</w:t>
            </w:r>
          </w:p>
          <w:p>
            <w:pPr>
              <w:snapToGrid w:val="0"/>
              <w:spacing w:line="360" w:lineRule="auto"/>
              <w:rPr>
                <w:rFonts w:ascii="宋体" w:hAnsi="Calibri" w:eastAsia="宋体" w:cs="宋体"/>
                <w:sz w:val="24"/>
                <w:szCs w:val="24"/>
                <w:lang w:val="zh-CN"/>
              </w:rPr>
            </w:pPr>
            <w:r>
              <w:rPr>
                <w:rFonts w:hint="eastAsia" w:ascii="宋体" w:hAnsi="Calibri" w:eastAsia="宋体" w:cs="宋体"/>
                <w:sz w:val="24"/>
                <w:szCs w:val="24"/>
                <w:lang w:val="zh-CN"/>
              </w:rPr>
              <w:t>3</w:t>
            </w:r>
            <w:r>
              <w:rPr>
                <w:rFonts w:hint="eastAsia" w:ascii="宋体" w:cs="宋体"/>
                <w:sz w:val="24"/>
                <w:szCs w:val="24"/>
                <w:lang w:val="zh-CN"/>
              </w:rPr>
              <w:t>、</w:t>
            </w:r>
            <w:r>
              <w:rPr>
                <w:rFonts w:ascii="宋体" w:hAnsi="Calibri" w:eastAsia="宋体" w:cs="宋体"/>
                <w:sz w:val="24"/>
                <w:szCs w:val="24"/>
                <w:lang w:val="zh-CN"/>
              </w:rPr>
              <w:t>除因不可抗力或</w:t>
            </w:r>
            <w:r>
              <w:rPr>
                <w:rFonts w:hint="eastAsia" w:ascii="宋体" w:hAnsi="Calibri" w:eastAsia="宋体" w:cs="宋体"/>
                <w:sz w:val="24"/>
                <w:szCs w:val="24"/>
                <w:lang w:val="zh-CN"/>
              </w:rPr>
              <w:t>招标</w:t>
            </w:r>
            <w:r>
              <w:rPr>
                <w:rFonts w:ascii="宋体" w:hAnsi="Calibri" w:eastAsia="宋体" w:cs="宋体"/>
                <w:sz w:val="24"/>
                <w:szCs w:val="24"/>
                <w:lang w:val="zh-CN"/>
              </w:rPr>
              <w:t>文件认可的情形以外，</w:t>
            </w:r>
            <w:r>
              <w:rPr>
                <w:rFonts w:hint="eastAsia" w:ascii="宋体" w:hAnsi="Calibri" w:eastAsia="宋体" w:cs="宋体"/>
                <w:sz w:val="24"/>
                <w:szCs w:val="24"/>
                <w:lang w:val="zh-CN"/>
              </w:rPr>
              <w:t>中标</w:t>
            </w:r>
            <w:r>
              <w:rPr>
                <w:rFonts w:ascii="宋体" w:hAnsi="Calibri" w:eastAsia="宋体" w:cs="宋体"/>
                <w:sz w:val="24"/>
                <w:szCs w:val="24"/>
                <w:lang w:val="zh-CN"/>
              </w:rPr>
              <w:t>供应商不与采购人签订合同的；</w:t>
            </w:r>
          </w:p>
          <w:p>
            <w:pPr>
              <w:snapToGrid w:val="0"/>
              <w:spacing w:line="360" w:lineRule="auto"/>
              <w:rPr>
                <w:rFonts w:ascii="宋体" w:hAnsi="Calibri" w:eastAsia="宋体" w:cs="宋体"/>
                <w:sz w:val="24"/>
                <w:szCs w:val="24"/>
                <w:lang w:val="zh-CN"/>
              </w:rPr>
            </w:pPr>
            <w:r>
              <w:rPr>
                <w:rFonts w:hint="eastAsia" w:ascii="宋体" w:hAnsi="Calibri" w:eastAsia="宋体" w:cs="宋体"/>
                <w:sz w:val="24"/>
                <w:szCs w:val="24"/>
                <w:lang w:val="zh-CN"/>
              </w:rPr>
              <w:t>4</w:t>
            </w:r>
            <w:r>
              <w:rPr>
                <w:rFonts w:hint="eastAsia" w:ascii="宋体" w:cs="宋体"/>
                <w:sz w:val="24"/>
                <w:szCs w:val="24"/>
                <w:lang w:val="zh-CN"/>
              </w:rPr>
              <w:t>、</w:t>
            </w:r>
            <w:r>
              <w:rPr>
                <w:rFonts w:ascii="宋体" w:hAnsi="Calibri" w:eastAsia="宋体" w:cs="宋体"/>
                <w:sz w:val="24"/>
                <w:szCs w:val="24"/>
                <w:lang w:val="zh-CN"/>
              </w:rPr>
              <w:t>供应商与采购人、其他供应商或者采购代理机构恶意串通的；</w:t>
            </w:r>
          </w:p>
          <w:p>
            <w:pPr>
              <w:snapToGrid w:val="0"/>
              <w:spacing w:line="360" w:lineRule="auto"/>
              <w:rPr>
                <w:rFonts w:ascii="宋体" w:hAnsi="Calibri" w:eastAsia="宋体" w:cs="宋体"/>
                <w:sz w:val="24"/>
                <w:szCs w:val="24"/>
                <w:lang w:val="zh-CN"/>
              </w:rPr>
            </w:pPr>
            <w:r>
              <w:rPr>
                <w:rFonts w:hint="eastAsia" w:ascii="宋体" w:cs="宋体"/>
                <w:sz w:val="24"/>
                <w:szCs w:val="24"/>
              </w:rPr>
              <w:t>5</w:t>
            </w:r>
            <w:r>
              <w:rPr>
                <w:rFonts w:hint="eastAsia" w:ascii="宋体" w:cs="宋体"/>
                <w:sz w:val="24"/>
                <w:szCs w:val="24"/>
                <w:lang w:val="zh-CN"/>
              </w:rPr>
              <w:t>、</w:t>
            </w:r>
            <w:r>
              <w:rPr>
                <w:rFonts w:hint="eastAsia" w:ascii="宋体" w:hAnsi="宋体" w:eastAsia="宋体" w:cs="Times New Roman"/>
                <w:kern w:val="0"/>
                <w:sz w:val="24"/>
                <w:szCs w:val="24"/>
              </w:rPr>
              <w:t>因投标人自身原因导致无法及时退还的；</w:t>
            </w:r>
          </w:p>
          <w:p>
            <w:pPr>
              <w:tabs>
                <w:tab w:val="left" w:pos="1260"/>
              </w:tabs>
              <w:autoSpaceDE w:val="0"/>
              <w:autoSpaceDN w:val="0"/>
              <w:spacing w:line="360" w:lineRule="auto"/>
              <w:contextualSpacing/>
              <w:rPr>
                <w:rFonts w:cs="宋体" w:asciiTheme="minorEastAsia" w:hAnsiTheme="minorEastAsia"/>
                <w:kern w:val="0"/>
                <w:sz w:val="24"/>
                <w:szCs w:val="24"/>
              </w:rPr>
            </w:pPr>
            <w:r>
              <w:rPr>
                <w:rFonts w:hint="eastAsia" w:ascii="宋体" w:hAnsi="Calibri" w:eastAsia="宋体" w:cs="宋体"/>
                <w:sz w:val="24"/>
                <w:szCs w:val="24"/>
              </w:rPr>
              <w:t>6</w:t>
            </w:r>
            <w:r>
              <w:rPr>
                <w:rFonts w:hint="eastAsia" w:ascii="宋体" w:cs="宋体"/>
                <w:sz w:val="24"/>
                <w:szCs w:val="24"/>
                <w:lang w:val="zh-CN"/>
              </w:rPr>
              <w:t>、</w:t>
            </w:r>
            <w:r>
              <w:rPr>
                <w:rFonts w:hint="eastAsia" w:ascii="宋体" w:hAnsi="Calibri" w:eastAsia="宋体" w:cs="宋体"/>
                <w:sz w:val="24"/>
                <w:szCs w:val="24"/>
                <w:lang w:val="zh-CN"/>
              </w:rPr>
              <w:t>法律法规及</w:t>
            </w:r>
            <w:r>
              <w:rPr>
                <w:rFonts w:ascii="宋体" w:hAnsi="Calibri" w:eastAsia="宋体" w:cs="宋体"/>
                <w:sz w:val="24"/>
                <w:szCs w:val="24"/>
                <w:lang w:val="zh-CN"/>
              </w:rPr>
              <w:t>采购文件规定的其他情形。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spacing w:line="360" w:lineRule="auto"/>
              <w:ind w:left="-50" w:leftChars="-24" w:right="-1031" w:rightChars="-491" w:firstLine="600" w:firstLineChars="250"/>
              <w:rPr>
                <w:rFonts w:ascii="宋体" w:hAnsi="宋体"/>
                <w:sz w:val="24"/>
                <w:szCs w:val="24"/>
              </w:rPr>
            </w:pPr>
            <w:r>
              <w:rPr>
                <w:rFonts w:hint="eastAsia" w:ascii="宋体" w:hAnsi="宋体"/>
                <w:sz w:val="24"/>
                <w:szCs w:val="24"/>
              </w:rPr>
              <w:t>履约保证金</w:t>
            </w:r>
          </w:p>
          <w:p>
            <w:pPr>
              <w:autoSpaceDE w:val="0"/>
              <w:autoSpaceDN w:val="0"/>
              <w:adjustRightInd w:val="0"/>
              <w:spacing w:line="276" w:lineRule="auto"/>
              <w:jc w:val="center"/>
              <w:rPr>
                <w:rFonts w:cs="宋体" w:asciiTheme="minorEastAsia" w:hAnsiTheme="minorEastAsia"/>
                <w:kern w:val="0"/>
                <w:sz w:val="24"/>
                <w:szCs w:val="24"/>
              </w:rPr>
            </w:pPr>
            <w:r>
              <w:rPr>
                <w:rFonts w:hint="eastAsia" w:ascii="宋体" w:hAnsi="宋体"/>
                <w:color w:val="FF00FF"/>
                <w:sz w:val="24"/>
                <w:szCs w:val="24"/>
              </w:rPr>
              <w:t>((签订合同前缴纳)</w:t>
            </w:r>
          </w:p>
        </w:tc>
        <w:tc>
          <w:tcPr>
            <w:tcW w:w="6813" w:type="dxa"/>
            <w:vAlign w:val="center"/>
          </w:tcPr>
          <w:p>
            <w:pPr>
              <w:tabs>
                <w:tab w:val="left" w:pos="5884"/>
              </w:tabs>
              <w:spacing w:line="360" w:lineRule="auto"/>
              <w:rPr>
                <w:rFonts w:ascii="宋体" w:hAnsi="宋体"/>
                <w:sz w:val="24"/>
                <w:szCs w:val="24"/>
              </w:rPr>
            </w:pPr>
            <w:r>
              <w:rPr>
                <w:rFonts w:hint="eastAsia" w:ascii="宋体" w:hAnsi="宋体"/>
                <w:sz w:val="24"/>
                <w:szCs w:val="24"/>
              </w:rPr>
              <w:t>履约保证金递交方式：以支票、汇票、本票或者金融机构、担保机构出具的保函等非现金形式提交。</w:t>
            </w:r>
          </w:p>
          <w:p>
            <w:pPr>
              <w:tabs>
                <w:tab w:val="left" w:pos="5884"/>
              </w:tabs>
              <w:spacing w:line="360" w:lineRule="auto"/>
              <w:rPr>
                <w:rFonts w:ascii="宋体" w:hAnsi="宋体"/>
                <w:sz w:val="24"/>
                <w:szCs w:val="24"/>
              </w:rPr>
            </w:pPr>
            <w:r>
              <w:rPr>
                <w:rFonts w:hint="eastAsia" w:ascii="宋体" w:hAnsi="宋体"/>
                <w:sz w:val="24"/>
                <w:szCs w:val="24"/>
              </w:rPr>
              <w:t>履约保证金的金额：中标合同金额的10%</w:t>
            </w:r>
          </w:p>
          <w:p>
            <w:pPr>
              <w:tabs>
                <w:tab w:val="left" w:pos="1260"/>
              </w:tabs>
              <w:autoSpaceDE w:val="0"/>
              <w:autoSpaceDN w:val="0"/>
              <w:spacing w:line="360" w:lineRule="auto"/>
              <w:contextualSpacing/>
              <w:rPr>
                <w:rFonts w:ascii="宋体" w:hAnsi="Calibri" w:eastAsia="宋体" w:cs="宋体"/>
                <w:sz w:val="24"/>
                <w:szCs w:val="24"/>
              </w:rPr>
            </w:pPr>
            <w:r>
              <w:rPr>
                <w:rFonts w:hint="eastAsia" w:ascii="宋体" w:hAnsi="宋体"/>
                <w:sz w:val="24"/>
                <w:szCs w:val="24"/>
              </w:rPr>
              <w:t>履约保证金的收款人：本项目采购人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eq \o\ac(□,√)</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cs="宋体" w:asciiTheme="minorEastAsia" w:hAnsiTheme="minorEastAsia"/>
                <w:kern w:val="0"/>
                <w:sz w:val="24"/>
                <w:szCs w:val="24"/>
              </w:rPr>
            </w:pPr>
            <w:r>
              <w:rPr>
                <w:rFonts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eq \o\ac(□,√)</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纸质投标文件：正本一份，副本一份。使用格式为“投标文件（供打印）.PDF”的文件</w:t>
            </w:r>
          </w:p>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纸质投标文件：正本按招标文件要求签字盖章（无需逐页签</w:t>
            </w:r>
          </w:p>
          <w:p>
            <w:pPr>
              <w:autoSpaceDE w:val="0"/>
              <w:autoSpaceDN w:val="0"/>
              <w:adjustRightInd w:val="0"/>
              <w:spacing w:line="420" w:lineRule="exact"/>
              <w:rPr>
                <w:rFonts w:cs="宋体" w:asciiTheme="minorEastAsia" w:hAnsiTheme="minorEastAsia"/>
                <w:kern w:val="0"/>
                <w:sz w:val="24"/>
                <w:szCs w:val="24"/>
              </w:rPr>
            </w:pPr>
            <w:r>
              <w:rPr>
                <w:rFonts w:hint="eastAsia" w:ascii="新宋体" w:hAnsi="新宋体" w:eastAsia="新宋体"/>
                <w:sz w:val="24"/>
              </w:rPr>
              <w:t>字盖章），副本应与正本保持一致（可为正本的复印件）。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ascii="宋体" w:hAnsi="宋体"/>
                <w:kern w:val="0"/>
                <w:sz w:val="24"/>
                <w:szCs w:val="24"/>
              </w:rPr>
              <w:t>装订要求</w:t>
            </w:r>
          </w:p>
        </w:tc>
        <w:tc>
          <w:tcPr>
            <w:tcW w:w="6813" w:type="dxa"/>
            <w:vAlign w:val="center"/>
          </w:tcPr>
          <w:p>
            <w:pPr>
              <w:autoSpaceDE w:val="0"/>
              <w:autoSpaceDN w:val="0"/>
              <w:adjustRightInd w:val="0"/>
              <w:spacing w:line="420" w:lineRule="exact"/>
              <w:rPr>
                <w:rFonts w:cs="宋体" w:asciiTheme="minorEastAsia" w:hAnsiTheme="minorEastAsia"/>
                <w:kern w:val="0"/>
                <w:sz w:val="24"/>
                <w:szCs w:val="24"/>
              </w:rPr>
            </w:pPr>
            <w:r>
              <w:rPr>
                <w:rFonts w:hint="eastAsia" w:cs="宋体" w:asciiTheme="minorEastAsia" w:hAnsiTheme="minorEastAsia"/>
                <w:kern w:val="0"/>
                <w:sz w:val="24"/>
                <w:szCs w:val="24"/>
              </w:rPr>
              <w:t>采用胶装方式装订、软封面，不得采用活页夹等可随时拆换的</w:t>
            </w:r>
          </w:p>
          <w:p>
            <w:pPr>
              <w:autoSpaceDE w:val="0"/>
              <w:autoSpaceDN w:val="0"/>
              <w:adjustRightInd w:val="0"/>
              <w:spacing w:line="420" w:lineRule="exact"/>
              <w:rPr>
                <w:rFonts w:cs="宋体" w:asciiTheme="minorEastAsia" w:hAnsiTheme="minorEastAsia"/>
                <w:kern w:val="0"/>
                <w:sz w:val="24"/>
                <w:szCs w:val="24"/>
              </w:rPr>
            </w:pPr>
            <w:r>
              <w:rPr>
                <w:rFonts w:hint="eastAsia" w:cs="宋体" w:asciiTheme="minorEastAsia" w:hAnsiTheme="minorEastAsia"/>
                <w:kern w:val="0"/>
                <w:sz w:val="24"/>
                <w:szCs w:val="24"/>
              </w:rPr>
              <w:t>方式装订。在投标文件封皮的右上角加盖或打印 “正本”、</w:t>
            </w:r>
          </w:p>
          <w:p>
            <w:pPr>
              <w:autoSpaceDE w:val="0"/>
              <w:autoSpaceDN w:val="0"/>
              <w:adjustRightInd w:val="0"/>
              <w:spacing w:line="420" w:lineRule="exact"/>
              <w:rPr>
                <w:rFonts w:cs="宋体" w:asciiTheme="minorEastAsia" w:hAnsiTheme="minorEastAsia"/>
                <w:kern w:val="0"/>
                <w:sz w:val="24"/>
                <w:szCs w:val="24"/>
              </w:rPr>
            </w:pPr>
            <w:r>
              <w:rPr>
                <w:rFonts w:hint="eastAsia" w:cs="宋体" w:asciiTheme="minorEastAsia" w:hAnsiTheme="minorEastAsia"/>
                <w:kern w:val="0"/>
                <w:sz w:val="24"/>
                <w:szCs w:val="24"/>
              </w:rPr>
              <w:t>“副本”字样。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评标委员会组建：由采购人代表1人和评审专家6人组成。</w:t>
            </w:r>
          </w:p>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eq \o\ac(□,√)</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采购单位委派代表参加评审委员会的，须向采购代理机构出具授权函。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中标候选人</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中标人需提交</w:t>
            </w:r>
          </w:p>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中标人在接到中标通知时，须向代理机构发送投标报价及分项报价一览表（包含主要中标标的的名称、规格型号、数量、单价、服务要求等）电子文档，并同时通知代理机构联系人。代理机构联系电话：0374-3117600，邮箱：1015768909@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kern w:val="0"/>
                <w:sz w:val="24"/>
                <w:szCs w:val="24"/>
              </w:rPr>
            </w:pPr>
            <w:r>
              <w:rPr>
                <w:rFonts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eq \o\ac(□,√)</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是。投标人投标时须提供加密电子投标文件、备份文件（使用电子介质存储）、纸质投标文件。投标人资质、业绩、荣誉及相关人员证明材料等资料原件开标现场不再提供。</w:t>
            </w:r>
            <w:r>
              <w:rPr>
                <w:rFonts w:cs="宋体" w:asciiTheme="minorEastAsia" w:hAnsiTheme="minorEastAsia"/>
                <w:kern w:val="0"/>
                <w:sz w:val="24"/>
                <w:szCs w:val="24"/>
              </w:rPr>
              <w:t>（参加开标会议</w:t>
            </w:r>
            <w:r>
              <w:rPr>
                <w:rFonts w:hint="eastAsia" w:cs="宋体" w:asciiTheme="minorEastAsia" w:hAnsiTheme="minorEastAsia"/>
                <w:kern w:val="0"/>
                <w:sz w:val="24"/>
                <w:szCs w:val="24"/>
              </w:rPr>
              <w:t>投标</w:t>
            </w:r>
            <w:r>
              <w:rPr>
                <w:rFonts w:cs="宋体" w:asciiTheme="minorEastAsia" w:hAnsiTheme="minorEastAsia"/>
                <w:kern w:val="0"/>
                <w:sz w:val="24"/>
                <w:szCs w:val="24"/>
              </w:rPr>
              <w:t>人代表须提供身份证明原件核验身份）</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投标文件的拒收</w:t>
            </w:r>
          </w:p>
        </w:tc>
        <w:tc>
          <w:tcPr>
            <w:tcW w:w="6813" w:type="dxa"/>
            <w:vAlign w:val="center"/>
          </w:tcPr>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1、对于未按招标文件要求缴纳、绑定投标保证金的投标人，其投标文件将视为不响应招标文件而被拒收；</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2、法定代表人或其委托代理人未在规定时间内持有效证件到场的；</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逾期送达或者未送达指定地点的纸质投标文件和电子介质存储投标文件的，电子投标文件在投标文件提交截止时间（开标时间）之前未成功提交至《全国公共资源交易平台(河南省许昌市)》公共资源交易系统的；</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4、投标文件未按招标文件要求密封的；</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5、开标时，投标人法定代表人未持法定代表人有效身份证明原件（法定代表人资格证明书和身份证）或其委托人未持授权委托证明原件（授权委托书和身份证）的。</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6、开标时到场的投标企业与在许昌市公共资源交易保证金系统下载的有效匹配成功的交纳保证金名单不一致的；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投标人/供应商注意事项：</w:t>
            </w:r>
          </w:p>
        </w:tc>
        <w:tc>
          <w:tcPr>
            <w:tcW w:w="6813" w:type="dxa"/>
            <w:vAlign w:val="center"/>
          </w:tcPr>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l、投标人需及时查看CA证书信息是否过期，确保所投项目从文件下载至项目结束整个周期CA证书的信息不能变更（包括不能办理延期、丢失补锁、损坏补锁等）。</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2、使用电子签章需下载PDF阅读器。</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3、投标人/供应商需确保CA证书的单位、法人等电子签章有效可用。</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4、招标文件中“投标文件格式”发生变更的，投标人/供应商需重新下载招标文件（EGP版）并重新制作、上传投标文件。</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5、谨慎使用“重新报名”功能。点击“重新报名”后，已上传投标文件会被清除、已缴纳保证金无效。</w:t>
            </w:r>
          </w:p>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6、保证金汇款、转账异常时，须联系汇出方银行查询原因。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本项目采购代理服务费参照计价格[2002]1980号、发改办价格[2003]857号、发改价格[2011]534号文件计取，由中标人在领取中标通知书前一次性以银行划账、电汇、汇票或支票的形式向本项目采购代理机构缴纳支付。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9081" w:type="dxa"/>
            <w:gridSpan w:val="2"/>
            <w:vAlign w:val="center"/>
          </w:tcPr>
          <w:p>
            <w:pPr>
              <w:autoSpaceDE w:val="0"/>
              <w:autoSpaceDN w:val="0"/>
              <w:adjustRightInd w:val="0"/>
              <w:spacing w:line="360" w:lineRule="auto"/>
              <w:contextualSpacing/>
              <w:jc w:val="center"/>
              <w:rPr>
                <w:rFonts w:cs="宋体" w:asciiTheme="minorEastAsia" w:hAnsiTheme="minorEastAsia"/>
                <w:kern w:val="0"/>
                <w:sz w:val="24"/>
                <w:szCs w:val="24"/>
              </w:rPr>
            </w:pPr>
            <w:r>
              <w:rPr>
                <w:rFonts w:hint="eastAsia" w:cs="宋体" w:asciiTheme="minorEastAsia" w:hAnsiTheme="minorEastAsia"/>
                <w:color w:val="auto"/>
                <w:kern w:val="0"/>
                <w:sz w:val="24"/>
                <w:szCs w:val="24"/>
              </w:rPr>
              <w:t>本采购项目为交钥匙工程。</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w:t>
      </w:r>
      <w:r>
        <w:rPr>
          <w:rFonts w:hint="eastAsia" w:cs="宋体" w:asciiTheme="minorEastAsia" w:hAnsiTheme="minorEastAsia"/>
          <w:b/>
          <w:kern w:val="0"/>
          <w:sz w:val="32"/>
          <w:szCs w:val="32"/>
        </w:rPr>
        <w:t>、说  明</w:t>
      </w:r>
    </w:p>
    <w:p>
      <w:pPr>
        <w:pStyle w:val="1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19"/>
        <w:numPr>
          <w:ilvl w:val="0"/>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19"/>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p>
    <w:p>
      <w:pPr>
        <w:pStyle w:val="1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2.2招标文件所称的“以上”、“以下”、“内”、“以内”，包括本数；所称的“不足”，不包括本数。</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2.3“招标人”系指组织本次招标的采购单位。</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2.4“投标人”系指向招标人提交投标文件的供应商（公司或企业）。</w:t>
      </w:r>
    </w:p>
    <w:p>
      <w:pPr>
        <w:autoSpaceDE w:val="0"/>
        <w:autoSpaceDN w:val="0"/>
        <w:adjustRightInd w:val="0"/>
        <w:snapToGri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2.5“项目”系指供应商按招标文件规定，须向采购方提供的货物</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pStyle w:val="19"/>
        <w:autoSpaceDE w:val="0"/>
        <w:autoSpaceDN w:val="0"/>
        <w:spacing w:line="360" w:lineRule="auto"/>
        <w:ind w:firstLine="0" w:firstLineChars="0"/>
        <w:contextualSpacing/>
        <w:rPr>
          <w:rFonts w:cs="宋体" w:asciiTheme="minorEastAsia" w:hAnsiTheme="minorEastAsia"/>
          <w:kern w:val="0"/>
          <w:sz w:val="24"/>
          <w:szCs w:val="24"/>
        </w:rPr>
      </w:pPr>
    </w:p>
    <w:p>
      <w:pPr>
        <w:pStyle w:val="1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合格的投标人</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3.1 符合本项目《投标邀请》和《投标人须知》前附表中规定的合格投标人所必须具备的条件。</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3.2单位负责人为同一人或者存在直接控股、管理关系的不同供应商，不得参加同一合同项下的政府采购活动；</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3.3除单一来源采购项目外，为采购项目提供整体设计、规范编制或者项目管理、监理、检测等服务的供应商，不得再参加该采购项目的其他采购活动。</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3.4以联合体形式参加投标的供应商应当具备《中华人民共和国政府采购法》之规定。</w:t>
      </w:r>
    </w:p>
    <w:p>
      <w:pPr>
        <w:pStyle w:val="1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3.5 法律、行政法规规定的其他条件。</w:t>
      </w:r>
    </w:p>
    <w:p>
      <w:pPr>
        <w:pStyle w:val="19"/>
        <w:autoSpaceDE w:val="0"/>
        <w:autoSpaceDN w:val="0"/>
        <w:spacing w:line="360" w:lineRule="auto"/>
        <w:ind w:firstLine="480"/>
        <w:contextualSpacing/>
        <w:rPr>
          <w:rFonts w:cs="宋体" w:asciiTheme="minorEastAsia" w:hAnsiTheme="minorEastAsia"/>
          <w:kern w:val="0"/>
          <w:sz w:val="24"/>
          <w:szCs w:val="24"/>
        </w:rPr>
      </w:pPr>
    </w:p>
    <w:p>
      <w:pPr>
        <w:pStyle w:val="1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合格的货物和服务</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9"/>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投标人所提供的服务应当没有侵犯任何第三方的知识产权、技术秘密等合法权利。</w:t>
      </w:r>
    </w:p>
    <w:p>
      <w:pPr>
        <w:pStyle w:val="19"/>
        <w:autoSpaceDE w:val="0"/>
        <w:autoSpaceDN w:val="0"/>
        <w:spacing w:line="360" w:lineRule="auto"/>
        <w:ind w:left="964" w:firstLine="0" w:firstLineChars="0"/>
        <w:contextualSpacing/>
        <w:rPr>
          <w:rFonts w:cs="宋体" w:asciiTheme="minorEastAsia" w:hAnsiTheme="minorEastAsia"/>
          <w:kern w:val="0"/>
          <w:sz w:val="24"/>
          <w:szCs w:val="24"/>
          <w:highlight w:val="yellow"/>
        </w:rPr>
      </w:pPr>
    </w:p>
    <w:p>
      <w:pPr>
        <w:pStyle w:val="1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投标费用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 w:val="24"/>
          <w:szCs w:val="24"/>
        </w:rPr>
      </w:pPr>
    </w:p>
    <w:p>
      <w:pPr>
        <w:pStyle w:val="1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保密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参与招标投标活动的各方应对招标文件和投标文件中的商业和技术等秘密保密，违者应对由此造成的后果承担法律责任。</w:t>
      </w:r>
    </w:p>
    <w:p>
      <w:pPr>
        <w:autoSpaceDE w:val="0"/>
        <w:autoSpaceDN w:val="0"/>
        <w:spacing w:line="360" w:lineRule="auto"/>
        <w:ind w:left="964"/>
        <w:contextualSpacing/>
        <w:rPr>
          <w:rFonts w:cs="宋体" w:asciiTheme="minorEastAsia" w:hAnsiTheme="minorEastAsia"/>
          <w:kern w:val="0"/>
          <w:sz w:val="24"/>
          <w:szCs w:val="24"/>
        </w:rPr>
      </w:pPr>
    </w:p>
    <w:p>
      <w:pPr>
        <w:pStyle w:val="1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语言文字</w:t>
      </w:r>
    </w:p>
    <w:p>
      <w:pPr>
        <w:spacing w:line="360" w:lineRule="auto"/>
        <w:ind w:firstLine="1200" w:firstLineChars="500"/>
        <w:rPr>
          <w:rFonts w:ascii="宋体" w:hAnsi="宋体"/>
          <w:sz w:val="24"/>
          <w:szCs w:val="24"/>
        </w:rPr>
      </w:pPr>
      <w:r>
        <w:rPr>
          <w:rFonts w:hint="eastAsia" w:ascii="宋体" w:hAnsi="宋体"/>
          <w:sz w:val="24"/>
          <w:szCs w:val="24"/>
        </w:rPr>
        <w:t>除专用术语外，与招标投标有关的语言均使用中文。必要时专用术语应附有中文注释。</w:t>
      </w:r>
    </w:p>
    <w:p>
      <w:pPr>
        <w:pStyle w:val="19"/>
        <w:autoSpaceDE w:val="0"/>
        <w:autoSpaceDN w:val="0"/>
        <w:spacing w:line="360" w:lineRule="auto"/>
        <w:ind w:left="964" w:firstLine="0" w:firstLineChars="0"/>
        <w:contextualSpacing/>
        <w:rPr>
          <w:rFonts w:cs="宋体" w:asciiTheme="minorEastAsia" w:hAnsiTheme="minorEastAsia"/>
          <w:kern w:val="0"/>
          <w:sz w:val="24"/>
          <w:szCs w:val="24"/>
        </w:rPr>
      </w:pPr>
    </w:p>
    <w:p>
      <w:pPr>
        <w:numPr>
          <w:ilvl w:val="0"/>
          <w:numId w:val="4"/>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计量单位</w:t>
      </w:r>
    </w:p>
    <w:p>
      <w:pPr>
        <w:spacing w:line="360" w:lineRule="auto"/>
        <w:ind w:firstLine="1200" w:firstLineChars="500"/>
        <w:rPr>
          <w:rFonts w:ascii="宋体" w:hAnsi="宋体"/>
          <w:sz w:val="24"/>
          <w:szCs w:val="24"/>
        </w:rPr>
      </w:pPr>
      <w:r>
        <w:rPr>
          <w:rFonts w:hint="eastAsia" w:ascii="宋体" w:hAnsi="宋体"/>
          <w:sz w:val="24"/>
          <w:szCs w:val="24"/>
        </w:rPr>
        <w:t>所有计量均采用中华人民共和国法定计量单位。</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二、招标文件</w:t>
      </w:r>
    </w:p>
    <w:p>
      <w:pPr>
        <w:pStyle w:val="1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9.1.1投标邀请（招标公告）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9.1.2投标人须知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9.1.3项目需求及其他要求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9.1.4政府采购政策功能</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9.1.5资格审查、评标方法与评标标准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9.1.6合同条款及格式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9.1.7投标文件有关格式</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根据本章第10款和第11款对招标文件所作的澄清、修改，构成招标文件的组成部分。</w:t>
      </w:r>
    </w:p>
    <w:p>
      <w:pPr>
        <w:pStyle w:val="19"/>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9"/>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9"/>
        <w:autoSpaceDE w:val="0"/>
        <w:autoSpaceDN w:val="0"/>
        <w:spacing w:line="360" w:lineRule="auto"/>
        <w:ind w:left="964" w:firstLine="0" w:firstLineChars="0"/>
        <w:contextualSpacing/>
        <w:rPr>
          <w:rFonts w:cs="宋体" w:asciiTheme="minorEastAsia" w:hAnsiTheme="minorEastAsia"/>
          <w:kern w:val="0"/>
          <w:sz w:val="24"/>
          <w:szCs w:val="24"/>
        </w:rPr>
      </w:pPr>
    </w:p>
    <w:p>
      <w:pPr>
        <w:pStyle w:val="1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招标文件的澄清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投标人应仔细阅读和检查招标文件的全部内容。如发现缺页或附件不全，应及时向招标人提出，以便补齐。如有疑问，应在投标人须知前附表规定的时间前在全国公共资源交易平台（河南省·许昌市）平台上发布疑问内容，要求招标人对招标文件予以澄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文件的澄清将在投标人须知前附表规定的投标截止时间15天前发布在全国公共资源交易平台（河南省·许昌市）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11.招标文件的修改</w:t>
      </w:r>
    </w:p>
    <w:p>
      <w:pPr>
        <w:autoSpaceDE w:val="0"/>
        <w:autoSpaceDN w:val="0"/>
        <w:spacing w:line="360" w:lineRule="auto"/>
        <w:ind w:firstLine="480" w:firstLineChars="200"/>
        <w:contextualSpacing/>
        <w:rPr>
          <w:rFonts w:cs="宋体" w:asciiTheme="minorEastAsia" w:hAnsiTheme="minorEastAsia"/>
          <w:kern w:val="0"/>
          <w:sz w:val="24"/>
          <w:szCs w:val="24"/>
        </w:rPr>
      </w:pPr>
      <w:bookmarkStart w:id="2" w:name="_Toc256519655"/>
      <w:r>
        <w:rPr>
          <w:rFonts w:hint="eastAsia" w:cs="宋体" w:asciiTheme="minorEastAsia" w:hAnsiTheme="minorEastAsia"/>
          <w:kern w:val="0"/>
          <w:sz w:val="24"/>
          <w:szCs w:val="24"/>
        </w:rPr>
        <w:t>11.1</w:t>
      </w:r>
      <w:bookmarkEnd w:id="2"/>
      <w:r>
        <w:rPr>
          <w:rFonts w:hint="eastAsia" w:cs="宋体" w:asciiTheme="minorEastAsia" w:hAnsiTheme="minorEastAsia"/>
          <w:kern w:val="0"/>
          <w:sz w:val="24"/>
          <w:szCs w:val="24"/>
        </w:rPr>
        <w:t xml:space="preserve">  在投标截止时间15天前，招标人在全国公共资源交易平台（河南省·许昌市）平台上发布修改招标文件，各投标单位请及时查看。如果修改招标文件的时间距投标截止时间不足15天，相应延长投标截止时间。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备注：如果供应商认为本次采购项目存在倾向性或排斥性内容，请在公告期限截止之日起七个工作日内，通过公共资源交易平台提出询问和澄清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autoSpaceDE w:val="0"/>
        <w:autoSpaceDN w:val="0"/>
        <w:spacing w:line="360" w:lineRule="auto"/>
        <w:ind w:firstLine="480" w:firstLineChars="200"/>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三、投标文件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12.投标文件的组成</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投标文件的构成应符合法律法规及招标文件的要求。</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投标人应当按照招标文件的要求编制投标文件。投标文件应当对招标文件提出的要求和条件作出明确响应。</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12.3   投标文件由资格证明材料、符合性证明材料、其它材料等组成。</w:t>
      </w:r>
    </w:p>
    <w:p>
      <w:pPr>
        <w:tabs>
          <w:tab w:val="left" w:pos="1260"/>
        </w:tabs>
        <w:autoSpaceDE w:val="0"/>
        <w:autoSpaceDN w:val="0"/>
        <w:spacing w:line="360" w:lineRule="auto"/>
        <w:ind w:firstLine="480" w:firstLineChars="200"/>
        <w:contextualSpacing/>
        <w:rPr>
          <w:rFonts w:cs="宋体" w:asciiTheme="minorEastAsia" w:hAnsiTheme="minorEastAsia"/>
          <w:b/>
          <w:bCs/>
          <w:kern w:val="0"/>
          <w:sz w:val="24"/>
          <w:szCs w:val="24"/>
        </w:rPr>
      </w:pPr>
      <w:r>
        <w:rPr>
          <w:rFonts w:hint="eastAsia" w:cs="宋体" w:asciiTheme="minorEastAsia" w:hAnsiTheme="minorEastAsia"/>
          <w:kern w:val="0"/>
          <w:sz w:val="24"/>
          <w:szCs w:val="24"/>
        </w:rPr>
        <w:t>12.4   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b/>
          <w:bCs/>
          <w:kern w:val="0"/>
          <w:sz w:val="24"/>
          <w:szCs w:val="24"/>
        </w:rPr>
        <w:t xml:space="preserve">本项目采购单位不允许分包。 </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12.5   投标人登录许昌公共资源交易系统下载“许昌投标文件制作系统SEARUN V1.0”，按招标文件要求根据所投标段制作电子投标文件。 </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1260"/>
        </w:tabs>
        <w:autoSpaceDE w:val="0"/>
        <w:autoSpaceDN w:val="0"/>
        <w:spacing w:line="360" w:lineRule="auto"/>
        <w:ind w:firstLine="723" w:firstLineChars="300"/>
        <w:contextualSpacing/>
        <w:rPr>
          <w:rFonts w:cs="宋体" w:asciiTheme="minorEastAsia" w:hAnsiTheme="minorEastAsia"/>
          <w:b/>
          <w:bCs/>
          <w:kern w:val="0"/>
          <w:sz w:val="24"/>
          <w:szCs w:val="24"/>
        </w:rPr>
      </w:pPr>
      <w:r>
        <w:rPr>
          <w:rFonts w:hint="eastAsia" w:cs="宋体" w:asciiTheme="minorEastAsia" w:hAnsiTheme="minorEastAsia"/>
          <w:b/>
          <w:bCs/>
          <w:kern w:val="0"/>
          <w:sz w:val="24"/>
          <w:szCs w:val="24"/>
        </w:rPr>
        <w:t>电子投标文件制作技术咨询：0374-2961598。</w:t>
      </w:r>
    </w:p>
    <w:p>
      <w:pPr>
        <w:tabs>
          <w:tab w:val="left" w:pos="1260"/>
        </w:tabs>
        <w:autoSpaceDE w:val="0"/>
        <w:autoSpaceDN w:val="0"/>
        <w:spacing w:line="360" w:lineRule="auto"/>
        <w:contextualSpacing/>
        <w:rPr>
          <w:rFonts w:cs="宋体" w:asciiTheme="minorEastAsia" w:hAnsiTheme="minorEastAsia"/>
          <w:b/>
          <w:kern w:val="0"/>
          <w:sz w:val="24"/>
          <w:szCs w:val="24"/>
        </w:rPr>
      </w:pPr>
    </w:p>
    <w:p>
      <w:pPr>
        <w:tabs>
          <w:tab w:val="left" w:pos="1260"/>
        </w:tabs>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13.投标报价</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投标人根据采购人提供的有关资料、招标文件及招标文件补充答疑，结合本项目实际情况和市场行情自主合理报价。</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   投标报价为投标人完成采购范围内各项费用的总和。投标人不得以任何理由重复计算相关费用。</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13.5   成交价结算时除合同约定可调整内容以外，均不作调整。</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13.6   投标人所提供的产品必须是符合国家相关质量标准的正规厂家的合格产品。</w:t>
      </w:r>
    </w:p>
    <w:p>
      <w:pPr>
        <w:tabs>
          <w:tab w:val="left" w:pos="1260"/>
        </w:tabs>
        <w:autoSpaceDE w:val="0"/>
        <w:autoSpaceDN w:val="0"/>
        <w:spacing w:line="360" w:lineRule="auto"/>
        <w:contextualSpacing/>
        <w:rPr>
          <w:rFonts w:cs="宋体" w:asciiTheme="minorEastAsia" w:hAnsiTheme="minorEastAsia"/>
          <w:b/>
          <w:kern w:val="0"/>
          <w:sz w:val="24"/>
          <w:szCs w:val="24"/>
        </w:rPr>
      </w:pPr>
    </w:p>
    <w:p>
      <w:pPr>
        <w:tabs>
          <w:tab w:val="left" w:pos="1260"/>
        </w:tabs>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 投标货币</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本次招标项目的投标均以人民币报价。</w:t>
      </w:r>
    </w:p>
    <w:p>
      <w:pPr>
        <w:tabs>
          <w:tab w:val="left" w:pos="1260"/>
        </w:tabs>
        <w:autoSpaceDE w:val="0"/>
        <w:autoSpaceDN w:val="0"/>
        <w:spacing w:line="360" w:lineRule="auto"/>
        <w:contextualSpacing/>
        <w:rPr>
          <w:rFonts w:cs="宋体" w:asciiTheme="minorEastAsia" w:hAnsiTheme="minorEastAsia"/>
          <w:b/>
          <w:kern w:val="0"/>
          <w:sz w:val="24"/>
          <w:szCs w:val="24"/>
        </w:rPr>
      </w:pPr>
    </w:p>
    <w:p>
      <w:pPr>
        <w:tabs>
          <w:tab w:val="left" w:pos="1260"/>
        </w:tabs>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15．投标有效期</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投标有效期从提交投标文件的截止之日起算为60天，投标文件中承诺的投标有效期应当不少于《投标人须知》前附表载明的投标有效期。投标有效期比招标文件规定短的属于非实质性响应，将被认定为无效投标。</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投标有效期内投标人撤销投标文件的，招标人将不退还投标保证金。</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15.4   中标人的投标文件作为项目合同的附件，其有效期至中标人全部合同义务履行完毕为止。</w:t>
      </w:r>
    </w:p>
    <w:p>
      <w:pPr>
        <w:tabs>
          <w:tab w:val="left" w:pos="1260"/>
        </w:tabs>
        <w:autoSpaceDE w:val="0"/>
        <w:autoSpaceDN w:val="0"/>
        <w:spacing w:line="360" w:lineRule="auto"/>
        <w:contextualSpacing/>
        <w:rPr>
          <w:rFonts w:cs="宋体" w:asciiTheme="minorEastAsia" w:hAnsiTheme="minorEastAsia"/>
          <w:b/>
          <w:kern w:val="0"/>
          <w:sz w:val="24"/>
          <w:szCs w:val="24"/>
        </w:rPr>
      </w:pPr>
    </w:p>
    <w:p>
      <w:pPr>
        <w:tabs>
          <w:tab w:val="left" w:pos="1260"/>
        </w:tabs>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ind w:left="420" w:left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 投标保证金</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投标人应按《投标人须知前附表》规定时间及金额提交投标保证金，并作为其投标的一部分，未按要求提交投标保证金的投标文件为无效投标。</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投标保证金用于避免和减少本次招标由于投标人的行为而给采购人带来的损失。</w:t>
      </w:r>
    </w:p>
    <w:p>
      <w:pPr>
        <w:tabs>
          <w:tab w:val="left" w:pos="1260"/>
        </w:tabs>
        <w:autoSpaceDE w:val="0"/>
        <w:autoSpaceDN w:val="0"/>
        <w:spacing w:line="360" w:lineRule="auto"/>
        <w:contextualSpacing/>
        <w:rPr>
          <w:rFonts w:cs="宋体" w:asciiTheme="minorEastAsia" w:hAnsiTheme="minorEastAsia"/>
          <w:b/>
          <w:kern w:val="0"/>
          <w:sz w:val="24"/>
          <w:szCs w:val="24"/>
        </w:rPr>
      </w:pPr>
    </w:p>
    <w:p>
      <w:pPr>
        <w:tabs>
          <w:tab w:val="left" w:pos="1260"/>
        </w:tabs>
        <w:autoSpaceDE w:val="0"/>
        <w:autoSpaceDN w:val="0"/>
        <w:spacing w:line="360" w:lineRule="auto"/>
        <w:ind w:firstLine="482" w:firstLineChars="200"/>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w:t>
      </w:r>
      <w:r>
        <w:rPr>
          <w:rFonts w:hint="eastAsia" w:ascii="新宋体" w:hAnsi="新宋体" w:eastAsia="新宋体" w:cs="仿宋_GB2312"/>
          <w:b/>
          <w:sz w:val="24"/>
          <w:szCs w:val="24"/>
        </w:rPr>
        <w:t>8</w:t>
      </w:r>
      <w:r>
        <w:rPr>
          <w:rFonts w:hint="eastAsia" w:ascii="新宋体" w:hAnsi="新宋体" w:eastAsia="新宋体" w:cs="仿宋_GB2312"/>
          <w:b/>
          <w:sz w:val="24"/>
          <w:szCs w:val="24"/>
          <w:lang w:val="zh-CN"/>
        </w:rPr>
        <w:t>. 投标文件的数量和签署</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投标人应提交投标文件份数见投标人须知前附表。</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纸质投标文件正本和副本投标文件封面上应清楚标明“正本”或“副本”字样；一旦正本和副本内容不一致时，以正本为准。投标文件的正本及所有副本的封面均须由投标人加盖投标人公章。</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纸质投标文件副本，所有资料都可以是投标文件的正本复印而成。</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18.4 除投标人对错处做必要修改外，投标文件不得行间插字、涂改或增删。如有修改错漏处，必须由法定代表人或经其正式授权的代表签字并加盖投标人公章。</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ind w:firstLine="482" w:firstLineChars="200"/>
        <w:contextualSpacing/>
        <w:rPr>
          <w:rFonts w:ascii="新宋体" w:hAnsi="新宋体" w:eastAsia="新宋体" w:cs="仿宋_GB2312"/>
          <w:b/>
          <w:sz w:val="24"/>
          <w:szCs w:val="24"/>
          <w:lang w:val="zh-CN"/>
        </w:rPr>
      </w:pPr>
    </w:p>
    <w:p>
      <w:pPr>
        <w:tabs>
          <w:tab w:val="left" w:pos="1260"/>
        </w:tabs>
        <w:autoSpaceDE w:val="0"/>
        <w:autoSpaceDN w:val="0"/>
        <w:spacing w:line="360" w:lineRule="auto"/>
        <w:ind w:firstLine="482" w:firstLineChars="200"/>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w:t>
      </w:r>
      <w:r>
        <w:rPr>
          <w:rFonts w:hint="eastAsia" w:ascii="新宋体" w:hAnsi="新宋体" w:eastAsia="新宋体" w:cs="仿宋_GB2312"/>
          <w:b/>
          <w:sz w:val="24"/>
          <w:szCs w:val="24"/>
        </w:rPr>
        <w:t>9</w:t>
      </w:r>
      <w:r>
        <w:rPr>
          <w:rFonts w:hint="eastAsia" w:ascii="新宋体" w:hAnsi="新宋体" w:eastAsia="新宋体" w:cs="仿宋_GB2312"/>
          <w:b/>
          <w:sz w:val="24"/>
          <w:szCs w:val="24"/>
          <w:lang w:val="zh-CN"/>
        </w:rPr>
        <w:t xml:space="preserve"> 备选投标方案</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不允许递交备选投标方案。</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四、投标文件的递交</w:t>
      </w:r>
    </w:p>
    <w:p>
      <w:pPr>
        <w:tabs>
          <w:tab w:val="left" w:pos="1260"/>
        </w:tabs>
        <w:autoSpaceDE w:val="0"/>
        <w:autoSpaceDN w:val="0"/>
        <w:spacing w:line="360" w:lineRule="auto"/>
        <w:ind w:firstLine="482" w:firstLineChars="200"/>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20</w:t>
      </w:r>
      <w:r>
        <w:rPr>
          <w:rFonts w:hint="eastAsia" w:ascii="新宋体" w:hAnsi="新宋体" w:eastAsia="新宋体" w:cs="仿宋_GB2312"/>
          <w:b/>
          <w:sz w:val="24"/>
          <w:szCs w:val="24"/>
          <w:lang w:val="zh-CN"/>
        </w:rPr>
        <w:t>.投标文件的密封</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20.1 投标人应将纸质投标文件“正本”、“副本”密封包装。使用电子介质存储的投标文件单独密封包装，并随纸质投标文件一并提交。</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20.2 投标文件如果未按规定密封，招标人将拒绝接收。</w:t>
      </w:r>
    </w:p>
    <w:p>
      <w:pPr>
        <w:tabs>
          <w:tab w:val="left" w:pos="1260"/>
        </w:tabs>
        <w:autoSpaceDE w:val="0"/>
        <w:autoSpaceDN w:val="0"/>
        <w:spacing w:line="360" w:lineRule="auto"/>
        <w:ind w:firstLine="482" w:firstLineChars="200"/>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21</w:t>
      </w:r>
      <w:r>
        <w:rPr>
          <w:rFonts w:hint="eastAsia" w:ascii="新宋体" w:hAnsi="新宋体" w:eastAsia="新宋体" w:cs="仿宋_GB2312"/>
          <w:b/>
          <w:sz w:val="24"/>
          <w:szCs w:val="24"/>
          <w:lang w:val="zh-CN"/>
        </w:rPr>
        <w:t>．投标截止时间</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zh-CN"/>
        </w:rPr>
        <w:t>投标人必须在</w:t>
      </w:r>
      <w:r>
        <w:rPr>
          <w:rFonts w:hint="eastAsia" w:cs="宋体" w:asciiTheme="minorEastAsia" w:hAnsiTheme="minorEastAsia"/>
          <w:kern w:val="0"/>
          <w:sz w:val="24"/>
          <w:szCs w:val="24"/>
        </w:rPr>
        <w:t>《投标邀请》和《投标人须知》前附表中规定的投标截止时间前，将所有投标文件送达招标文件指定的开标地点。</w:t>
      </w:r>
    </w:p>
    <w:p>
      <w:pPr>
        <w:tabs>
          <w:tab w:val="left" w:pos="1260"/>
        </w:tabs>
        <w:autoSpaceDE w:val="0"/>
        <w:autoSpaceDN w:val="0"/>
        <w:spacing w:line="360" w:lineRule="auto"/>
        <w:ind w:firstLine="482" w:firstLineChars="200"/>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22</w:t>
      </w:r>
      <w:r>
        <w:rPr>
          <w:rFonts w:hint="eastAsia" w:ascii="新宋体" w:hAnsi="新宋体" w:eastAsia="新宋体" w:cs="仿宋_GB2312"/>
          <w:b/>
          <w:sz w:val="24"/>
          <w:szCs w:val="24"/>
          <w:lang w:val="zh-CN"/>
        </w:rPr>
        <w:t>. 迟交的投标文件</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投标截止时间之后送达的投标文件，招标人将拒绝接收。</w:t>
      </w:r>
    </w:p>
    <w:p>
      <w:pPr>
        <w:tabs>
          <w:tab w:val="left" w:pos="1260"/>
        </w:tabs>
        <w:autoSpaceDE w:val="0"/>
        <w:autoSpaceDN w:val="0"/>
        <w:spacing w:line="360" w:lineRule="auto"/>
        <w:ind w:firstLine="482" w:firstLineChars="200"/>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2</w:t>
      </w:r>
      <w:r>
        <w:rPr>
          <w:rFonts w:hint="eastAsia" w:ascii="新宋体" w:hAnsi="新宋体" w:eastAsia="新宋体" w:cs="仿宋_GB2312"/>
          <w:b/>
          <w:sz w:val="24"/>
          <w:szCs w:val="24"/>
        </w:rPr>
        <w:t>3</w:t>
      </w:r>
      <w:r>
        <w:rPr>
          <w:rFonts w:hint="eastAsia" w:ascii="新宋体" w:hAnsi="新宋体" w:eastAsia="新宋体" w:cs="仿宋_GB2312"/>
          <w:b/>
          <w:sz w:val="24"/>
          <w:szCs w:val="24"/>
          <w:lang w:val="zh-CN"/>
        </w:rPr>
        <w:t>. 投标文件的修改和撤回</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23.2</w:t>
      </w:r>
      <w:r>
        <w:rPr>
          <w:rFonts w:hint="eastAsia" w:cs="宋体" w:asciiTheme="minorEastAsia" w:hAnsiTheme="minorEastAsia"/>
          <w:kern w:val="0"/>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 xml:space="preserve"> 投标人补充、修改的内容并作为投标文件的组成部分。补充或修改应当按招标文件要求签署、盖章、密封、递交，并应注明“修改”或“补充”字样。</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w:t>
      </w:r>
      <w:r>
        <w:rPr>
          <w:rFonts w:hint="eastAsia" w:cs="宋体" w:asciiTheme="minorEastAsia" w:hAnsiTheme="minorEastAsia"/>
          <w:kern w:val="0"/>
          <w:sz w:val="24"/>
          <w:szCs w:val="24"/>
        </w:rPr>
        <w:t>4</w:t>
      </w:r>
      <w:r>
        <w:rPr>
          <w:rFonts w:hint="eastAsia" w:cs="宋体" w:asciiTheme="minorEastAsia" w:hAnsiTheme="minorEastAsia"/>
          <w:kern w:val="0"/>
          <w:sz w:val="24"/>
          <w:szCs w:val="24"/>
          <w:lang w:val="zh-CN"/>
        </w:rPr>
        <w:t xml:space="preserve"> 投标人在递交投标文件后，可以撤回其投标，但投标人必须在规定的投标截止时间前以书面形式告知招标人。</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w:t>
      </w:r>
      <w:r>
        <w:rPr>
          <w:rFonts w:hint="eastAsia" w:cs="宋体" w:asciiTheme="minorEastAsia" w:hAnsiTheme="minorEastAsia"/>
          <w:kern w:val="0"/>
          <w:sz w:val="24"/>
          <w:szCs w:val="24"/>
        </w:rPr>
        <w:t>5</w:t>
      </w:r>
      <w:r>
        <w:rPr>
          <w:rFonts w:hint="eastAsia" w:cs="宋体" w:asciiTheme="minorEastAsia" w:hAnsiTheme="minorEastAsia"/>
          <w:kern w:val="0"/>
          <w:sz w:val="24"/>
          <w:szCs w:val="24"/>
          <w:lang w:val="zh-CN"/>
        </w:rPr>
        <w:t xml:space="preserve">  投标人不得在投标有效期内撤销投标文件，否则招标人将不退还其投标保证金。</w:t>
      </w:r>
    </w:p>
    <w:p>
      <w:pPr>
        <w:tabs>
          <w:tab w:val="left" w:pos="1260"/>
        </w:tabs>
        <w:autoSpaceDE w:val="0"/>
        <w:autoSpaceDN w:val="0"/>
        <w:spacing w:line="360" w:lineRule="auto"/>
        <w:ind w:firstLine="482" w:firstLineChars="200"/>
        <w:contextualSpacing/>
        <w:rPr>
          <w:rFonts w:cs="宋体" w:asciiTheme="minorEastAsia" w:hAnsiTheme="minorEastAsia"/>
          <w:b/>
          <w:bCs/>
          <w:kern w:val="0"/>
          <w:sz w:val="24"/>
          <w:szCs w:val="24"/>
          <w:lang w:val="zh-CN"/>
        </w:rPr>
      </w:pPr>
      <w:r>
        <w:rPr>
          <w:rFonts w:hint="eastAsia" w:cs="宋体" w:asciiTheme="minorEastAsia" w:hAnsiTheme="minorEastAsia"/>
          <w:b/>
          <w:bCs/>
          <w:kern w:val="0"/>
          <w:sz w:val="24"/>
          <w:szCs w:val="24"/>
          <w:lang w:val="zh-CN"/>
        </w:rPr>
        <w:t>2</w:t>
      </w:r>
      <w:r>
        <w:rPr>
          <w:rFonts w:hint="eastAsia" w:cs="宋体" w:asciiTheme="minorEastAsia" w:hAnsiTheme="minorEastAsia"/>
          <w:b/>
          <w:bCs/>
          <w:kern w:val="0"/>
          <w:sz w:val="24"/>
          <w:szCs w:val="24"/>
        </w:rPr>
        <w:t>3</w:t>
      </w:r>
      <w:r>
        <w:rPr>
          <w:rFonts w:hint="eastAsia" w:cs="宋体" w:asciiTheme="minorEastAsia" w:hAnsiTheme="minorEastAsia"/>
          <w:b/>
          <w:bCs/>
          <w:kern w:val="0"/>
          <w:sz w:val="24"/>
          <w:szCs w:val="24"/>
          <w:lang w:val="zh-CN"/>
        </w:rPr>
        <w:t>.</w:t>
      </w:r>
      <w:r>
        <w:rPr>
          <w:rFonts w:hint="eastAsia" w:cs="宋体" w:asciiTheme="minorEastAsia" w:hAnsiTheme="minorEastAsia"/>
          <w:b/>
          <w:bCs/>
          <w:kern w:val="0"/>
          <w:sz w:val="24"/>
          <w:szCs w:val="24"/>
        </w:rPr>
        <w:t>6</w:t>
      </w:r>
      <w:r>
        <w:rPr>
          <w:rFonts w:hint="eastAsia" w:cs="宋体" w:asciiTheme="minorEastAsia" w:hAnsiTheme="minorEastAsia"/>
          <w:b/>
          <w:bCs/>
          <w:kern w:val="0"/>
          <w:sz w:val="24"/>
          <w:szCs w:val="24"/>
          <w:lang w:val="zh-CN"/>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五、开标和评标</w:t>
      </w:r>
    </w:p>
    <w:p>
      <w:pPr>
        <w:pStyle w:val="1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24.开标</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24.1  招标人将按招标文件规定的时间和地点组织公开开标。开标由代理机构主持，邀请投标人参加。评标委员会成员不得参加开标活动。</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招标人应当对开标、评标现场活动进行全程录音录像。录音录像应当清晰可辨，音像资料作为采购文件一并存档。</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24.3.1电子投标文件的解密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24.3.2 电子投标文件解密异常情况处理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因投标人原因电子投标文件解密失败的，由系统技术人员协助投标人将备份文件（电子介质存储）导入系统。若备份文件（电子介质存储）无法导入系统或导入系统仍无法解密的，其投标将被拒绝。</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24.4  投标人不足3家的，不得开标。</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24.5  开标过程由采购代理机构负责记录，由参加开标的各投标人代表和相关工作人员签字确认后随采购文件一并存档。</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24.7  投标人未参加开标的，视同认可开标结果。</w:t>
      </w:r>
    </w:p>
    <w:p>
      <w:pPr>
        <w:pStyle w:val="19"/>
        <w:autoSpaceDE w:val="0"/>
        <w:autoSpaceDN w:val="0"/>
        <w:spacing w:line="360" w:lineRule="auto"/>
        <w:ind w:left="964" w:firstLine="0" w:firstLineChars="0"/>
        <w:contextualSpacing/>
        <w:rPr>
          <w:rFonts w:cs="宋体" w:asciiTheme="minorEastAsia" w:hAnsiTheme="minorEastAsia"/>
          <w:kern w:val="0"/>
          <w:sz w:val="24"/>
          <w:szCs w:val="24"/>
        </w:rPr>
      </w:pPr>
    </w:p>
    <w:p>
      <w:pPr>
        <w:pStyle w:val="1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25.资格审查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 w:val="24"/>
          <w:szCs w:val="24"/>
        </w:rPr>
      </w:pPr>
    </w:p>
    <w:p>
      <w:pPr>
        <w:pStyle w:val="1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26.评标委员会的组成</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26.1  </w:t>
      </w:r>
      <w:r>
        <w:rPr>
          <w:rFonts w:hint="eastAsia" w:cs="宋体" w:asciiTheme="minorEastAsia" w:hAnsiTheme="minorEastAsia"/>
          <w:kern w:val="0"/>
          <w:sz w:val="24"/>
          <w:szCs w:val="24"/>
          <w:lang w:val="zh-CN"/>
        </w:rPr>
        <w:t>招标人将依法组建评标委员会，评标委员会由采购人代表和评审专家组成.评标委员会成员人数确定方式见投标人须知前附表。</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评审专家对本单位的采购项目只能作为采购人代表参与评标。采购代理机构工作人员不得参加由本机构代理的政府采购项目的评标。</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评审专家与投标人存在下列利害关系之一的,应当回避:</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（1）采购人或供应商的主要负责人的近亲属；</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（2）项目主管部门或者行政监督部门的人员；</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（3）与投标人有经济利益关系，可能影响对投标公正评审的；</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zh-CN"/>
        </w:rPr>
        <w:t>（4）曾因在招标、评标以及其他与招标投标有关活动中从事违法行为而受过行政处罚或</w:t>
      </w:r>
      <w:r>
        <w:rPr>
          <w:rFonts w:hint="eastAsia" w:cs="宋体" w:asciiTheme="minorEastAsia" w:hAnsiTheme="minorEastAsia"/>
          <w:kern w:val="0"/>
          <w:sz w:val="24"/>
          <w:szCs w:val="24"/>
        </w:rPr>
        <w:t>刑事处罚的。</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26.4  评审专家发现本人与参加采购活动的供应商有利害关系的,应当主动提出回避。采购人或者代理机构发现评审专家与参加采购活动的供应商有利害关系的,应当要求其回避。</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26.5  采购人不得担任评标小组长。</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26.6 评标委员会成员名单在评标结果公告前应当保密。</w:t>
      </w:r>
    </w:p>
    <w:p>
      <w:pPr>
        <w:autoSpaceDE w:val="0"/>
        <w:autoSpaceDN w:val="0"/>
        <w:spacing w:line="360" w:lineRule="auto"/>
        <w:ind w:left="420"/>
        <w:contextualSpacing/>
        <w:rPr>
          <w:rFonts w:cs="宋体" w:asciiTheme="minorEastAsia" w:hAnsiTheme="minorEastAsia"/>
          <w:kern w:val="0"/>
          <w:sz w:val="24"/>
          <w:szCs w:val="24"/>
        </w:rPr>
      </w:pPr>
    </w:p>
    <w:p>
      <w:pPr>
        <w:pStyle w:val="1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27.符合性审查</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w:t>
      </w: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.1评标委员会应当对符合资格的投标人的投标文件进行符合性审查，以确定其是否满足招标文件的实质性要求。</w:t>
      </w:r>
    </w:p>
    <w:p>
      <w:pPr>
        <w:wordWrap w:val="0"/>
        <w:topLinePunct/>
        <w:autoSpaceDE w:val="0"/>
        <w:autoSpaceDN w:val="0"/>
        <w:spacing w:line="360" w:lineRule="auto"/>
        <w:ind w:firstLine="480" w:firstLineChars="200"/>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w:t>
      </w: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.2评标委员会将拒绝被确定为非实质性响应的投标，投标人不能通过修正或撤销不符之处而使投标成为实质性响应的投标。</w:t>
      </w:r>
    </w:p>
    <w:p>
      <w:pPr>
        <w:wordWrap w:val="0"/>
        <w:topLinePunct/>
        <w:autoSpaceDE w:val="0"/>
        <w:autoSpaceDN w:val="0"/>
        <w:spacing w:line="360" w:lineRule="auto"/>
        <w:ind w:firstLine="480" w:firstLineChars="200"/>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w:t>
      </w: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.3.对投标文件的评估和比较</w:t>
      </w:r>
    </w:p>
    <w:p>
      <w:pPr>
        <w:wordWrap w:val="0"/>
        <w:topLinePunct/>
        <w:autoSpaceDE w:val="0"/>
        <w:autoSpaceDN w:val="0"/>
        <w:spacing w:line="360" w:lineRule="auto"/>
        <w:ind w:firstLine="480" w:firstLineChars="200"/>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评标委员会将对实质性响应的投标文件进行比较和评价。</w:t>
      </w:r>
    </w:p>
    <w:p>
      <w:pPr>
        <w:pStyle w:val="19"/>
        <w:autoSpaceDE w:val="0"/>
        <w:autoSpaceDN w:val="0"/>
        <w:spacing w:line="360" w:lineRule="auto"/>
        <w:ind w:firstLine="0" w:firstLineChars="0"/>
        <w:contextualSpacing/>
        <w:rPr>
          <w:rFonts w:cs="宋体" w:asciiTheme="minorEastAsia" w:hAnsiTheme="minorEastAsia"/>
          <w:b/>
          <w:kern w:val="0"/>
          <w:sz w:val="24"/>
          <w:szCs w:val="24"/>
        </w:rPr>
      </w:pPr>
    </w:p>
    <w:p>
      <w:pPr>
        <w:pStyle w:val="1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28.投标文件的澄清</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  对于投标文件中含义不明确、同类问题表述不一致或者有明显文字和计算错误的内容，评标委员会应当以书面形式要求投标人作出必要的澄清、说明或者补正。</w:t>
      </w:r>
    </w:p>
    <w:p>
      <w:pPr>
        <w:pStyle w:val="1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28.3  投标人的澄清文件是其投标文件的组成部分。</w:t>
      </w:r>
    </w:p>
    <w:p>
      <w:pPr>
        <w:tabs>
          <w:tab w:val="left" w:pos="1260"/>
        </w:tabs>
        <w:autoSpaceDE w:val="0"/>
        <w:autoSpaceDN w:val="0"/>
        <w:spacing w:line="360" w:lineRule="auto"/>
        <w:contextualSpacing/>
        <w:rPr>
          <w:rFonts w:ascii="宋体" w:cs="宋体"/>
          <w:b/>
          <w:bCs/>
          <w:sz w:val="24"/>
          <w:szCs w:val="24"/>
          <w:lang w:val="zh-CN"/>
        </w:rPr>
      </w:pPr>
    </w:p>
    <w:p>
      <w:pPr>
        <w:tabs>
          <w:tab w:val="left" w:pos="1260"/>
        </w:tabs>
        <w:autoSpaceDE w:val="0"/>
        <w:autoSpaceDN w:val="0"/>
        <w:spacing w:line="360" w:lineRule="auto"/>
        <w:contextualSpacing/>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2</w:t>
      </w:r>
      <w:r>
        <w:rPr>
          <w:rFonts w:hint="eastAsia" w:cs="宋体" w:asciiTheme="minorEastAsia" w:hAnsiTheme="minorEastAsia"/>
          <w:b/>
          <w:kern w:val="0"/>
          <w:sz w:val="24"/>
          <w:szCs w:val="24"/>
        </w:rPr>
        <w:t>9</w:t>
      </w:r>
      <w:r>
        <w:rPr>
          <w:rFonts w:hint="eastAsia" w:cs="宋体" w:asciiTheme="minorEastAsia" w:hAnsiTheme="minorEastAsia"/>
          <w:b/>
          <w:kern w:val="0"/>
          <w:sz w:val="24"/>
          <w:szCs w:val="24"/>
          <w:lang w:val="zh-CN"/>
        </w:rPr>
        <w:t>.评标委员会判断投标文件的响应性仅基于投标文件本身而不依靠外部证据。</w:t>
      </w:r>
    </w:p>
    <w:p>
      <w:pPr>
        <w:pStyle w:val="19"/>
        <w:autoSpaceDE w:val="0"/>
        <w:autoSpaceDN w:val="0"/>
        <w:spacing w:line="360" w:lineRule="auto"/>
        <w:ind w:firstLine="0" w:firstLineChars="0"/>
        <w:contextualSpacing/>
        <w:rPr>
          <w:rFonts w:cs="宋体" w:asciiTheme="minorEastAsia" w:hAnsiTheme="minorEastAsia"/>
          <w:kern w:val="0"/>
          <w:sz w:val="24"/>
          <w:szCs w:val="24"/>
        </w:rPr>
      </w:pPr>
    </w:p>
    <w:p>
      <w:pPr>
        <w:pStyle w:val="1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30.投标文件报价出现前后不一致的修正</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30</w:t>
      </w:r>
      <w:r>
        <w:rPr>
          <w:rFonts w:hint="eastAsia" w:cs="宋体" w:asciiTheme="minorEastAsia" w:hAnsiTheme="minorEastAsia"/>
          <w:kern w:val="0"/>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30</w:t>
      </w:r>
      <w:r>
        <w:rPr>
          <w:rFonts w:hint="eastAsia" w:cs="宋体" w:asciiTheme="minorEastAsia" w:hAnsiTheme="minorEastAsia"/>
          <w:kern w:val="0"/>
          <w:sz w:val="24"/>
          <w:szCs w:val="24"/>
          <w:lang w:val="zh-CN"/>
        </w:rPr>
        <w:t>.2 大写金额和小写金额不一致的，以大写金额为准；</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30</w:t>
      </w:r>
      <w:r>
        <w:rPr>
          <w:rFonts w:hint="eastAsia" w:cs="宋体" w:asciiTheme="minorEastAsia" w:hAnsiTheme="minorEastAsia"/>
          <w:kern w:val="0"/>
          <w:sz w:val="24"/>
          <w:szCs w:val="24"/>
          <w:lang w:val="zh-CN"/>
        </w:rPr>
        <w:t>.3 单价金额小数点或者百分比有明显错位的，以开标一览表的总价为准，并修改单价；</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30</w:t>
      </w:r>
      <w:r>
        <w:rPr>
          <w:rFonts w:hint="eastAsia" w:cs="宋体" w:asciiTheme="minorEastAsia" w:hAnsiTheme="minorEastAsia"/>
          <w:kern w:val="0"/>
          <w:sz w:val="24"/>
          <w:szCs w:val="24"/>
          <w:lang w:val="zh-CN"/>
        </w:rPr>
        <w:t>.4 总价金额与按单价汇总金额不一致的，以单价金额计算结果为准。</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zh-CN"/>
        </w:rPr>
        <w:t>同时出现两种以上不一致的，按照前款规定的顺序修正。修正后的报价按照《投标人须知》2</w:t>
      </w: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.2规定经投标人确认后产生约束力，投标人不确认的，其投标无效。</w:t>
      </w:r>
    </w:p>
    <w:p>
      <w:pPr>
        <w:autoSpaceDE w:val="0"/>
        <w:autoSpaceDN w:val="0"/>
        <w:spacing w:line="360" w:lineRule="auto"/>
        <w:ind w:firstLine="482" w:firstLineChars="200"/>
        <w:outlineLvl w:val="3"/>
        <w:rPr>
          <w:rFonts w:ascii="黑体" w:hAnsi="新宋体" w:eastAsia="黑体" w:cs="宋体"/>
          <w:kern w:val="0"/>
          <w:sz w:val="24"/>
          <w:szCs w:val="24"/>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w:t>
      </w:r>
      <w:r>
        <w:rPr>
          <w:rFonts w:hint="eastAsia" w:ascii="黑体" w:hAnsi="新宋体" w:eastAsia="黑体" w:cs="宋体"/>
          <w:b/>
          <w:bCs/>
          <w:kern w:val="0"/>
          <w:sz w:val="24"/>
          <w:szCs w:val="24"/>
        </w:rPr>
        <w:t>评标原则</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评标活动遵循公开、公平、公正的原则。</w:t>
      </w:r>
    </w:p>
    <w:p>
      <w:pPr>
        <w:ind w:firstLine="482" w:firstLineChars="200"/>
        <w:rPr>
          <w:rFonts w:cs="仿宋_GB2312" w:asciiTheme="minorEastAsia" w:hAnsiTheme="minorEastAsia"/>
          <w:b/>
          <w:sz w:val="24"/>
          <w:szCs w:val="24"/>
          <w:lang w:val="zh-CN"/>
        </w:rPr>
      </w:pPr>
    </w:p>
    <w:p>
      <w:pPr>
        <w:ind w:firstLine="482" w:firstLineChars="200"/>
        <w:rPr>
          <w:b/>
          <w:sz w:val="24"/>
          <w:szCs w:val="24"/>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.评标方法及评标标准（见</w:t>
      </w:r>
      <w:r>
        <w:rPr>
          <w:rFonts w:hint="eastAsia"/>
          <w:b/>
          <w:sz w:val="24"/>
          <w:szCs w:val="24"/>
        </w:rPr>
        <w:t>第五章资格审查、评标方法及评标标准）</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评标委员会及其成员有下列行为之一的，其评审意见无效：</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.1 确定参与评标至评标结束前私自接触投标人；</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.2 接受投标人提出的与投标文件不一致的澄清或者说明，《投标人须知》27条规定的情形除外；</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.3 违反评标纪律发表倾向性意见或者征询采购人的倾向性意见；</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.4 对需要专业判断的主观评审因素协商评分；</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.5 在评标过程中擅离职守，影响评标程序正常进行的；</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.6 记录、复制或者带走任何评标资料；</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.7 其他不遵守评标纪律的行为。</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4</w:t>
      </w:r>
      <w:r>
        <w:rPr>
          <w:rFonts w:hint="eastAsia" w:cs="宋体" w:asciiTheme="minorEastAsia" w:hAnsiTheme="minorEastAsia"/>
          <w:kern w:val="0"/>
          <w:sz w:val="24"/>
          <w:szCs w:val="24"/>
          <w:lang w:val="zh-CN"/>
        </w:rPr>
        <w:t>.1有关投标文件的审查、澄清、评估和比较以及有关授予合同的意向的一切情况都不得透露给任一投标人或与上述评标工作无关的人员。</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4</w:t>
      </w:r>
      <w:r>
        <w:rPr>
          <w:rFonts w:hint="eastAsia" w:cs="宋体" w:asciiTheme="minorEastAsia" w:hAnsiTheme="minorEastAsia"/>
          <w:kern w:val="0"/>
          <w:sz w:val="24"/>
          <w:szCs w:val="24"/>
          <w:lang w:val="zh-CN"/>
        </w:rPr>
        <w:t>.2投标人不得干扰招标人的评标活动，否则将废除其投标。</w:t>
      </w: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六、定标和授予合同</w:t>
      </w:r>
    </w:p>
    <w:p>
      <w:pPr>
        <w:tabs>
          <w:tab w:val="left" w:pos="1260"/>
        </w:tabs>
        <w:autoSpaceDE w:val="0"/>
        <w:autoSpaceDN w:val="0"/>
        <w:spacing w:line="360" w:lineRule="auto"/>
        <w:ind w:firstLine="482" w:firstLineChars="200"/>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3</w:t>
      </w:r>
      <w:r>
        <w:rPr>
          <w:rFonts w:hint="eastAsia" w:ascii="新宋体" w:hAnsi="新宋体" w:eastAsia="新宋体" w:cs="仿宋_GB2312"/>
          <w:b/>
          <w:sz w:val="24"/>
          <w:szCs w:val="24"/>
        </w:rPr>
        <w:t>5</w:t>
      </w:r>
      <w:r>
        <w:rPr>
          <w:rFonts w:hint="eastAsia" w:ascii="新宋体" w:hAnsi="新宋体" w:eastAsia="新宋体" w:cs="仿宋_GB2312"/>
          <w:b/>
          <w:sz w:val="24"/>
          <w:szCs w:val="24"/>
          <w:lang w:val="zh-CN"/>
        </w:rPr>
        <w:t>. 确定中标人</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5</w:t>
      </w:r>
      <w:r>
        <w:rPr>
          <w:rFonts w:hint="eastAsia" w:cs="宋体" w:asciiTheme="minorEastAsia" w:hAnsiTheme="minorEastAsia"/>
          <w:kern w:val="0"/>
          <w:sz w:val="24"/>
          <w:szCs w:val="24"/>
          <w:lang w:val="zh-CN"/>
        </w:rPr>
        <w:t>.1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5</w:t>
      </w:r>
      <w:r>
        <w:rPr>
          <w:rFonts w:hint="eastAsia" w:cs="宋体" w:asciiTheme="minorEastAsia" w:hAnsiTheme="minorEastAsia"/>
          <w:kern w:val="0"/>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6</w:t>
      </w:r>
      <w:r>
        <w:rPr>
          <w:rFonts w:hint="eastAsia" w:cs="宋体" w:asciiTheme="minorEastAsia" w:hAnsiTheme="minorEastAsia"/>
          <w:kern w:val="0"/>
          <w:sz w:val="24"/>
          <w:szCs w:val="24"/>
          <w:lang w:val="zh-CN"/>
        </w:rPr>
        <w:t>.1 采购人确认中标人后，招标人在公告中标结果的同时，向中标人发出中标通知书。</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6</w:t>
      </w:r>
      <w:r>
        <w:rPr>
          <w:rFonts w:hint="eastAsia" w:cs="宋体" w:asciiTheme="minorEastAsia" w:hAnsiTheme="minorEastAsia"/>
          <w:kern w:val="0"/>
          <w:sz w:val="24"/>
          <w:szCs w:val="24"/>
          <w:lang w:val="zh-CN"/>
        </w:rPr>
        <w:t>.2 中标通知书发出后，采购人不得违法改变中标结果，中标人无正当理由不得放弃中标。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rPr>
      </w:pP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w:t>
      </w: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rPr>
      </w:pP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rPr>
      </w:pP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autoSpaceDE w:val="0"/>
        <w:autoSpaceDN w:val="0"/>
        <w:spacing w:line="360" w:lineRule="auto"/>
        <w:ind w:firstLine="480" w:firstLineChars="200"/>
        <w:jc w:val="left"/>
        <w:outlineLvl w:val="3"/>
        <w:rPr>
          <w:rFonts w:ascii="黑体" w:hAnsi="新宋体" w:eastAsia="黑体" w:cs="宋体"/>
          <w:b/>
          <w:bCs/>
          <w:kern w:val="0"/>
          <w:sz w:val="24"/>
          <w:szCs w:val="24"/>
        </w:rPr>
      </w:pPr>
      <w:r>
        <w:rPr>
          <w:rFonts w:hint="eastAsia" w:cs="宋体" w:asciiTheme="minorEastAsia" w:hAnsiTheme="minorEastAsia"/>
          <w:kern w:val="0"/>
          <w:sz w:val="24"/>
          <w:szCs w:val="24"/>
          <w:lang w:val="zh-CN"/>
        </w:rPr>
        <w:t>以支票、汇票、本票或者金融机构、担保机构出具的保函等非现金形式向采购人提交。履约保证金的金额：中标合同金额的10%。</w:t>
      </w:r>
    </w:p>
    <w:p>
      <w:pPr>
        <w:autoSpaceDE w:val="0"/>
        <w:autoSpaceDN w:val="0"/>
        <w:spacing w:line="360" w:lineRule="auto"/>
        <w:ind w:firstLine="482" w:firstLineChars="200"/>
        <w:jc w:val="left"/>
        <w:outlineLvl w:val="3"/>
        <w:rPr>
          <w:rFonts w:ascii="黑体" w:hAnsi="新宋体" w:eastAsia="黑体" w:cs="宋体"/>
          <w:b/>
          <w:bCs/>
          <w:kern w:val="0"/>
          <w:sz w:val="24"/>
          <w:szCs w:val="24"/>
        </w:rPr>
      </w:pPr>
      <w:r>
        <w:rPr>
          <w:rFonts w:hint="eastAsia" w:ascii="黑体" w:hAnsi="新宋体" w:eastAsia="黑体" w:cs="宋体"/>
          <w:b/>
          <w:bCs/>
          <w:kern w:val="0"/>
          <w:sz w:val="24"/>
          <w:szCs w:val="24"/>
        </w:rPr>
        <w:t>40.重新招标</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 xml:space="preserve">有下列情形之一的，采购人将重新招标： </w:t>
      </w:r>
    </w:p>
    <w:p>
      <w:pPr>
        <w:tabs>
          <w:tab w:val="left" w:pos="1260"/>
        </w:tabs>
        <w:autoSpaceDE w:val="0"/>
        <w:autoSpaceDN w:val="0"/>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（1）投标截止时间止，供应商少于3家的；</w:t>
      </w:r>
    </w:p>
    <w:p>
      <w:pPr>
        <w:tabs>
          <w:tab w:val="left" w:pos="1260"/>
        </w:tabs>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lang w:val="zh-CN"/>
        </w:rPr>
        <w:t>（2）经评标委员会评审后实质性响应招标文件的供应商不足三家的。</w:t>
      </w: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pStyle w:val="28"/>
        <w:numPr>
          <w:ilvl w:val="0"/>
          <w:numId w:val="3"/>
        </w:numPr>
        <w:ind w:firstLine="0" w:firstLineChars="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项目需求及其他要求</w:t>
      </w:r>
    </w:p>
    <w:p>
      <w:pPr>
        <w:spacing w:line="360" w:lineRule="auto"/>
        <w:rPr>
          <w:rFonts w:asciiTheme="minorEastAsia" w:hAnsiTheme="minorEastAsia"/>
          <w:b/>
          <w:sz w:val="24"/>
          <w:szCs w:val="24"/>
        </w:rPr>
      </w:pPr>
      <w:r>
        <w:rPr>
          <w:rFonts w:hint="eastAsia" w:asciiTheme="minorEastAsia" w:hAnsiTheme="minorEastAsia"/>
          <w:b/>
          <w:sz w:val="24"/>
          <w:szCs w:val="24"/>
        </w:rPr>
        <w:t>（一）本项目需实现的功能或者目标</w:t>
      </w:r>
    </w:p>
    <w:p>
      <w:pPr>
        <w:pStyle w:val="28"/>
        <w:ind w:firstLine="480"/>
        <w:rPr>
          <w:rFonts w:cs="宋体" w:asciiTheme="minorEastAsia" w:hAnsiTheme="minorEastAsia"/>
          <w:kern w:val="0"/>
          <w:sz w:val="24"/>
          <w:lang w:val="zh-CN"/>
        </w:rPr>
      </w:pPr>
      <w:r>
        <w:rPr>
          <w:rFonts w:hint="eastAsia" w:cs="宋体" w:asciiTheme="minorEastAsia" w:hAnsiTheme="minorEastAsia"/>
          <w:kern w:val="0"/>
          <w:sz w:val="24"/>
          <w:lang w:val="zh-CN"/>
        </w:rPr>
        <w:t>2018年底前，智慧鄢陵项目建设范围将覆盖全县866平方公里的、纵向到底横向到边的智慧城市各个平台，形成联接所有职能部门和社会力量、覆盖县、街道（乡镇）、社区（村）的城市管理信息化支撑体系，改变以往条与条、条与块各自为政，管理资源匮乏的局面。</w:t>
      </w:r>
    </w:p>
    <w:p>
      <w:pPr>
        <w:pStyle w:val="28"/>
        <w:ind w:firstLine="480"/>
        <w:rPr>
          <w:rFonts w:cs="宋体" w:asciiTheme="minorEastAsia" w:hAnsiTheme="minorEastAsia"/>
          <w:kern w:val="0"/>
          <w:sz w:val="24"/>
          <w:lang w:val="zh-CN"/>
        </w:rPr>
      </w:pPr>
      <w:bookmarkStart w:id="3" w:name="_Hlk520101745"/>
      <w:r>
        <w:rPr>
          <w:rFonts w:hint="eastAsia" w:cs="宋体" w:asciiTheme="minorEastAsia" w:hAnsiTheme="minorEastAsia"/>
          <w:kern w:val="0"/>
          <w:sz w:val="24"/>
          <w:lang w:val="zh-CN"/>
        </w:rPr>
        <w:t>智慧鄢陵将科学地运用社会化、市场化、专业化资源，打造社会服务、管理、执法为一体的综合管理平台；通过前端队伍整合、职能融合、网格划分、工作联动、信息共享、业务协同等举措，实现信息采集及时全面、任务指挥准确权威、问题处置快速高效。并且将社会资源进行整合纳入整个流程，主动为老百姓提供公共服务和便民服务，最终形成良性循环，促进和谐社会建设。</w:t>
      </w:r>
      <w:bookmarkEnd w:id="3"/>
    </w:p>
    <w:p>
      <w:pPr>
        <w:pStyle w:val="28"/>
        <w:ind w:firstLine="480"/>
        <w:rPr>
          <w:rFonts w:cs="宋体" w:asciiTheme="minorEastAsia" w:hAnsiTheme="minorEastAsia"/>
          <w:kern w:val="0"/>
          <w:sz w:val="24"/>
          <w:lang w:val="zh-CN"/>
        </w:rPr>
      </w:pPr>
      <w:r>
        <w:rPr>
          <w:rFonts w:hint="eastAsia" w:cs="宋体" w:asciiTheme="minorEastAsia" w:hAnsiTheme="minorEastAsia"/>
          <w:kern w:val="0"/>
          <w:sz w:val="24"/>
          <w:lang w:val="zh-CN"/>
        </w:rPr>
        <w:t>本次智慧城市项目中各种数据需要进行收集、分类和处理，其中数据量最大，智能应用前景最突出的为视频数据。本次智慧鄢陵项目从视频数据为着眼点，收集视频数据，形成智慧鄢陵大数据库，进而打造各种智慧鄢陵的智能化应用，并为今后各种其他数据留下数据接口，使得智慧鄢陵项目落地生根。</w:t>
      </w:r>
    </w:p>
    <w:p>
      <w:pPr>
        <w:pStyle w:val="28"/>
        <w:numPr>
          <w:ilvl w:val="0"/>
          <w:numId w:val="6"/>
        </w:numPr>
        <w:ind w:firstLineChars="0"/>
        <w:rPr>
          <w:rFonts w:asciiTheme="minorEastAsia" w:hAnsiTheme="minorEastAsia"/>
          <w:b/>
          <w:sz w:val="24"/>
          <w:lang w:val="zh-CN"/>
        </w:rPr>
      </w:pPr>
      <w:bookmarkStart w:id="4" w:name="_Toc496774914"/>
      <w:r>
        <w:rPr>
          <w:rFonts w:hint="eastAsia" w:asciiTheme="minorEastAsia" w:hAnsiTheme="minorEastAsia"/>
          <w:b/>
          <w:sz w:val="24"/>
          <w:lang w:val="zh-CN"/>
        </w:rPr>
        <w:t>运用网格化治理手段，提高社会治理水平</w:t>
      </w:r>
      <w:bookmarkEnd w:id="4"/>
    </w:p>
    <w:p>
      <w:pPr>
        <w:pStyle w:val="28"/>
        <w:ind w:firstLine="480"/>
        <w:rPr>
          <w:rFonts w:cs="宋体" w:asciiTheme="minorEastAsia" w:hAnsiTheme="minorEastAsia"/>
          <w:kern w:val="0"/>
          <w:sz w:val="24"/>
          <w:lang w:val="zh-CN"/>
        </w:rPr>
      </w:pPr>
      <w:r>
        <w:rPr>
          <w:rFonts w:hint="eastAsia" w:cs="宋体" w:asciiTheme="minorEastAsia" w:hAnsiTheme="minorEastAsia"/>
          <w:kern w:val="0"/>
          <w:sz w:val="24"/>
          <w:lang w:val="zh-CN"/>
        </w:rPr>
        <w:t>智慧鄢陵大数据信息总平台，应用和整合了各类信息化资源，运用了网格化管理思路，创新社会治理信息实时传输手段，创建社会治理信息中心管理体制，再造社会治理流程，从而形成全方位覆盖，高效率运行的社会治理新模式。运用这种模式管理，可以实现快速发现问题，快速解决问题的目的，从而实现社会治理水平的进一步提升。</w:t>
      </w:r>
    </w:p>
    <w:p>
      <w:pPr>
        <w:pStyle w:val="28"/>
        <w:ind w:firstLine="480"/>
        <w:rPr>
          <w:rFonts w:cs="宋体" w:asciiTheme="minorEastAsia" w:hAnsiTheme="minorEastAsia"/>
          <w:kern w:val="0"/>
          <w:sz w:val="24"/>
          <w:lang w:val="zh-CN"/>
        </w:rPr>
      </w:pPr>
      <w:r>
        <w:rPr>
          <w:rFonts w:hint="eastAsia" w:cs="宋体" w:asciiTheme="minorEastAsia" w:hAnsiTheme="minorEastAsia"/>
          <w:kern w:val="0"/>
          <w:sz w:val="24"/>
          <w:lang w:val="zh-CN"/>
        </w:rPr>
        <w:t>通过智慧鄢陵大数据信息总平台的建设，逐步建立起政府、企业与公众之间的信息共享平台和良性互动机制，协调、和谐人与环境的关系，特别在化解矛盾纠纷、改善治安状况和完善村、社区服务等方面可以发挥积极的辅助作用，促进城市经济与社会的可持续发展，为人们创造和谐的生活信息空间，为社会治理与服务一体化，提高政府执政能力和水平，促进和谐社会建设提供可靠的先进技术保障。</w:t>
      </w:r>
    </w:p>
    <w:p>
      <w:pPr>
        <w:pStyle w:val="28"/>
        <w:numPr>
          <w:ilvl w:val="0"/>
          <w:numId w:val="6"/>
        </w:numPr>
        <w:ind w:firstLineChars="0"/>
        <w:rPr>
          <w:rFonts w:asciiTheme="minorEastAsia" w:hAnsiTheme="minorEastAsia"/>
          <w:b/>
          <w:sz w:val="24"/>
          <w:lang w:val="zh-CN"/>
        </w:rPr>
      </w:pPr>
      <w:bookmarkStart w:id="5" w:name="_Toc496774915"/>
      <w:r>
        <w:rPr>
          <w:rFonts w:hint="eastAsia" w:asciiTheme="minorEastAsia" w:hAnsiTheme="minorEastAsia"/>
          <w:b/>
          <w:sz w:val="24"/>
          <w:lang w:val="zh-CN"/>
        </w:rPr>
        <w:t>提升城市品位，增强人民幸福安全感</w:t>
      </w:r>
      <w:bookmarkEnd w:id="5"/>
    </w:p>
    <w:p>
      <w:pPr>
        <w:pStyle w:val="28"/>
        <w:ind w:firstLine="480"/>
        <w:rPr>
          <w:rFonts w:cs="宋体" w:asciiTheme="minorEastAsia" w:hAnsiTheme="minorEastAsia"/>
          <w:kern w:val="0"/>
          <w:sz w:val="24"/>
          <w:lang w:val="zh-CN"/>
        </w:rPr>
      </w:pPr>
      <w:r>
        <w:rPr>
          <w:rFonts w:hint="eastAsia" w:cs="宋体" w:asciiTheme="minorEastAsia" w:hAnsiTheme="minorEastAsia"/>
          <w:kern w:val="0"/>
          <w:sz w:val="24"/>
          <w:lang w:val="zh-CN"/>
        </w:rPr>
        <w:t>创新社会治理理念，改革社会治理体制，转变社会治理方式，提高社会治理水平，终极目的就是为了给广大市民提供优良的居住环境。这是政府的职责所在，也是政府的效能体现所在。</w:t>
      </w:r>
    </w:p>
    <w:p>
      <w:pPr>
        <w:pStyle w:val="28"/>
        <w:ind w:firstLine="480"/>
        <w:rPr>
          <w:rFonts w:cs="宋体" w:asciiTheme="minorEastAsia" w:hAnsiTheme="minorEastAsia"/>
          <w:kern w:val="0"/>
          <w:sz w:val="24"/>
          <w:lang w:val="zh-CN"/>
        </w:rPr>
      </w:pPr>
      <w:r>
        <w:rPr>
          <w:rFonts w:hint="eastAsia" w:cs="宋体" w:asciiTheme="minorEastAsia" w:hAnsiTheme="minorEastAsia"/>
          <w:kern w:val="0"/>
          <w:sz w:val="24"/>
          <w:lang w:val="zh-CN"/>
        </w:rPr>
        <w:t>智慧鄢陵大数据信息总平台是计算机、空间技术、通信等信息技术的综合运用，体现了21世纪的最先进的生产力，是发展节约型城市的新兴动力。智慧鄢陵将实现经济发展和人民需求的相互平衡，有力地促进城市的可持续发展，大大提升人民群众幸福安全感。</w:t>
      </w:r>
    </w:p>
    <w:p>
      <w:pPr>
        <w:pStyle w:val="28"/>
        <w:numPr>
          <w:ilvl w:val="0"/>
          <w:numId w:val="6"/>
        </w:numPr>
        <w:ind w:firstLineChars="0"/>
        <w:rPr>
          <w:rFonts w:asciiTheme="minorEastAsia" w:hAnsiTheme="minorEastAsia"/>
          <w:b/>
          <w:sz w:val="24"/>
          <w:lang w:val="zh-CN"/>
        </w:rPr>
      </w:pPr>
      <w:bookmarkStart w:id="6" w:name="_Toc496774916"/>
      <w:r>
        <w:rPr>
          <w:rFonts w:hint="eastAsia" w:asciiTheme="minorEastAsia" w:hAnsiTheme="minorEastAsia"/>
          <w:b/>
          <w:sz w:val="24"/>
          <w:lang w:val="zh-CN"/>
        </w:rPr>
        <w:t>减少重复建设、充分利用资源</w:t>
      </w:r>
      <w:bookmarkEnd w:id="6"/>
    </w:p>
    <w:p>
      <w:pPr>
        <w:pStyle w:val="28"/>
        <w:ind w:firstLine="480"/>
        <w:rPr>
          <w:rFonts w:cs="宋体" w:asciiTheme="minorEastAsia" w:hAnsiTheme="minorEastAsia"/>
          <w:kern w:val="0"/>
          <w:sz w:val="24"/>
          <w:lang w:val="zh-CN"/>
        </w:rPr>
      </w:pPr>
      <w:r>
        <w:rPr>
          <w:rFonts w:hint="eastAsia" w:cs="宋体" w:asciiTheme="minorEastAsia" w:hAnsiTheme="minorEastAsia"/>
          <w:kern w:val="0"/>
          <w:sz w:val="24"/>
          <w:lang w:val="zh-CN"/>
        </w:rPr>
        <w:t>通过基础软硬件平台的集中基础建设。集成共享、基础能力的共享、信息数据的共享等举措，可以极大地提高资源的共享利用，节约财政资源。事实证明，数据的有效共享能取得明显的社会效益和经济效益：提高了政府服务水平和管理效益；解决了部分失业下岗人员再就业问题；减少了专业部门巡查成本和人员、车辆等费用；化解了居民百姓绝大部分的矛盾纠纷；降低了违法犯罪案件的发生率；给老百姓提供一个和谐、优美、安全、整洁的生活环境，并极大降低社会治理成本。</w:t>
      </w:r>
    </w:p>
    <w:p>
      <w:pPr>
        <w:pStyle w:val="28"/>
        <w:numPr>
          <w:ilvl w:val="0"/>
          <w:numId w:val="6"/>
        </w:numPr>
        <w:ind w:firstLineChars="0"/>
        <w:rPr>
          <w:rFonts w:asciiTheme="minorEastAsia" w:hAnsiTheme="minorEastAsia"/>
          <w:b/>
          <w:sz w:val="24"/>
          <w:lang w:val="zh-CN"/>
        </w:rPr>
      </w:pPr>
      <w:bookmarkStart w:id="7" w:name="_Toc496774917"/>
      <w:r>
        <w:rPr>
          <w:rFonts w:hint="eastAsia" w:asciiTheme="minorEastAsia" w:hAnsiTheme="minorEastAsia"/>
          <w:b/>
          <w:sz w:val="24"/>
          <w:lang w:val="zh-CN"/>
        </w:rPr>
        <w:t>转变政府职能、服务经济建设</w:t>
      </w:r>
      <w:bookmarkEnd w:id="7"/>
    </w:p>
    <w:p>
      <w:pPr>
        <w:pStyle w:val="29"/>
        <w:rPr>
          <w:rFonts w:cs="宋体" w:asciiTheme="majorEastAsia" w:hAnsiTheme="majorEastAsia" w:eastAsiaTheme="majorEastAsia"/>
          <w:b/>
          <w:kern w:val="0"/>
          <w:sz w:val="36"/>
          <w:szCs w:val="36"/>
        </w:rPr>
      </w:pPr>
      <w:r>
        <w:rPr>
          <w:rFonts w:hint="eastAsia" w:cs="宋体" w:asciiTheme="minorEastAsia" w:hAnsiTheme="minorEastAsia" w:eastAsiaTheme="minorEastAsia"/>
          <w:kern w:val="0"/>
          <w:sz w:val="24"/>
          <w:lang w:val="zh-CN"/>
        </w:rPr>
        <w:t>在新一轮城市发展中, 鄢陵智慧化面临着“硬件”需要继续建设完善,“软件”亟待改善提高的要求。智慧鄢陵要保障大规模建设的顺利推进,更要服务于居民功能的整体提升，实现从“监管型政府”到“服务型政府”的转变。一方面,大力建设所提供高质量物质基础和载体,将对社会治理提出新的更高要求。另一方面,现有基础设施的优化运作,将要求社会治理手段不断更新。随着基础设施容量的不断扩大,市民对公共服务、环境、居住等质量要求日趋增强,进一步提高城市的运行效率,不断满足经济发展和人民生活的需要。</w:t>
      </w:r>
    </w:p>
    <w:p>
      <w:pP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32"/>
          <w:szCs w:val="32"/>
        </w:rPr>
        <w:t>（二）采购清单</w:t>
      </w:r>
    </w:p>
    <w:tbl>
      <w:tblPr>
        <w:tblStyle w:val="18"/>
        <w:tblW w:w="1017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80"/>
        <w:gridCol w:w="7092"/>
        <w:gridCol w:w="515"/>
        <w:gridCol w:w="760"/>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微软雅黑" w:hAnsi="微软雅黑" w:eastAsia="微软雅黑" w:cs="宋体"/>
                <w:b/>
                <w:bCs/>
              </w:rPr>
            </w:pPr>
            <w:r>
              <w:rPr>
                <w:rFonts w:hint="eastAsia" w:ascii="微软雅黑" w:hAnsi="微软雅黑" w:eastAsia="微软雅黑" w:cs="宋体"/>
                <w:b/>
                <w:bCs/>
              </w:rPr>
              <w:t>序号</w:t>
            </w:r>
          </w:p>
        </w:tc>
        <w:tc>
          <w:tcPr>
            <w:tcW w:w="780" w:type="dxa"/>
            <w:shd w:val="clear" w:color="auto" w:fill="auto"/>
            <w:vAlign w:val="center"/>
          </w:tcPr>
          <w:p>
            <w:pPr>
              <w:jc w:val="center"/>
              <w:rPr>
                <w:rFonts w:ascii="微软雅黑" w:hAnsi="微软雅黑" w:eastAsia="微软雅黑" w:cs="宋体"/>
                <w:b/>
                <w:bCs/>
              </w:rPr>
            </w:pPr>
            <w:r>
              <w:rPr>
                <w:rFonts w:hint="eastAsia" w:ascii="微软雅黑" w:hAnsi="微软雅黑" w:eastAsia="微软雅黑" w:cs="宋体"/>
                <w:b/>
                <w:bCs/>
              </w:rPr>
              <w:t>设备名称</w:t>
            </w:r>
          </w:p>
        </w:tc>
        <w:tc>
          <w:tcPr>
            <w:tcW w:w="7092" w:type="dxa"/>
            <w:shd w:val="clear" w:color="auto" w:fill="auto"/>
            <w:vAlign w:val="center"/>
          </w:tcPr>
          <w:p>
            <w:pPr>
              <w:jc w:val="center"/>
              <w:rPr>
                <w:rFonts w:ascii="微软雅黑" w:hAnsi="微软雅黑" w:eastAsia="微软雅黑" w:cs="宋体"/>
                <w:b/>
                <w:bCs/>
              </w:rPr>
            </w:pPr>
            <w:r>
              <w:rPr>
                <w:rFonts w:hint="eastAsia" w:ascii="微软雅黑" w:hAnsi="微软雅黑" w:eastAsia="微软雅黑" w:cs="宋体"/>
                <w:b/>
                <w:bCs/>
              </w:rPr>
              <w:t>技术规格、参数</w:t>
            </w:r>
          </w:p>
        </w:tc>
        <w:tc>
          <w:tcPr>
            <w:tcW w:w="515" w:type="dxa"/>
            <w:shd w:val="clear" w:color="auto" w:fill="auto"/>
            <w:vAlign w:val="center"/>
          </w:tcPr>
          <w:p>
            <w:pPr>
              <w:jc w:val="center"/>
              <w:rPr>
                <w:rFonts w:ascii="微软雅黑" w:hAnsi="微软雅黑" w:eastAsia="微软雅黑" w:cs="宋体"/>
                <w:b/>
                <w:bCs/>
              </w:rPr>
            </w:pPr>
            <w:r>
              <w:rPr>
                <w:rFonts w:hint="eastAsia" w:ascii="微软雅黑" w:hAnsi="微软雅黑" w:eastAsia="微软雅黑" w:cs="宋体"/>
                <w:b/>
                <w:bCs/>
              </w:rPr>
              <w:t>单位</w:t>
            </w:r>
          </w:p>
        </w:tc>
        <w:tc>
          <w:tcPr>
            <w:tcW w:w="760" w:type="dxa"/>
            <w:shd w:val="clear" w:color="auto" w:fill="auto"/>
            <w:vAlign w:val="center"/>
          </w:tcPr>
          <w:p>
            <w:pPr>
              <w:jc w:val="center"/>
              <w:rPr>
                <w:rFonts w:ascii="微软雅黑" w:hAnsi="微软雅黑" w:eastAsia="微软雅黑" w:cs="宋体"/>
                <w:b/>
                <w:bCs/>
              </w:rPr>
            </w:pPr>
            <w:r>
              <w:rPr>
                <w:rFonts w:hint="eastAsia" w:ascii="微软雅黑" w:hAnsi="微软雅黑" w:eastAsia="微软雅黑" w:cs="宋体"/>
                <w:b/>
                <w:bCs/>
              </w:rPr>
              <w:t>数量</w:t>
            </w:r>
          </w:p>
        </w:tc>
        <w:tc>
          <w:tcPr>
            <w:tcW w:w="590" w:type="dxa"/>
            <w:shd w:val="clear" w:color="auto" w:fill="auto"/>
            <w:vAlign w:val="center"/>
          </w:tcPr>
          <w:p>
            <w:pPr>
              <w:jc w:val="center"/>
              <w:rPr>
                <w:rFonts w:ascii="微软雅黑" w:hAnsi="微软雅黑" w:eastAsia="微软雅黑" w:cs="宋体"/>
                <w:b/>
                <w:bCs/>
              </w:rPr>
            </w:pPr>
            <w:r>
              <w:rPr>
                <w:rFonts w:hint="eastAsia" w:ascii="微软雅黑" w:hAnsi="微软雅黑" w:eastAsia="微软雅黑" w:cs="宋体"/>
                <w:b/>
                <w:bCs/>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75" w:type="dxa"/>
            <w:gridSpan w:val="6"/>
            <w:shd w:val="clear" w:color="000000" w:fill="FFC000"/>
            <w:vAlign w:val="bottom"/>
          </w:tcPr>
          <w:p>
            <w:pPr>
              <w:rPr>
                <w:rFonts w:ascii="微软雅黑" w:hAnsi="微软雅黑" w:eastAsia="微软雅黑" w:cs="宋体"/>
                <w:sz w:val="32"/>
                <w:szCs w:val="32"/>
              </w:rPr>
            </w:pPr>
            <w:r>
              <w:rPr>
                <w:rFonts w:hint="eastAsia" w:ascii="微软雅黑" w:hAnsi="微软雅黑" w:eastAsia="微软雅黑" w:cs="宋体"/>
                <w:sz w:val="32"/>
                <w:szCs w:val="32"/>
              </w:rPr>
              <w:t>一、软件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基础服务软件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★平台应能支持200万像素图片，1000万张/天接入能力。系统应能支持800万条/天数据总量的计算、分析；支持1年的特征与结构化信息存储；系统需提供340T存储空间用于视频片段和图片文件的存储。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★平台应能提供24路1080P或8路4K视频流中人脸图像进行检测、跟踪、抓拍和特征提取。</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平台应能提供200路1080P实时视频结构化，支持实时视频结构化或历史视频结构化或文件结构化，系统接入视频进行多目标（人体、车辆、非机动车信息）结构化分析与识别。基于深度学习视频智能分析技术，提供接入视频图像的多目标（人体、车辆、非机动车信息）图片提取，以及结构化分析和特征值提取的能力，为人体、机动车辆、非机动车辆的视图检索、以图搜图、智能分析提供数据支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★平台应能提供160路人脸抓拍机接入能力，提供对图片中的人脸图片进行特征提取，提取的特征信息用于以图搜图、身份确认等应用。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★平台应能提供1080P分辨率每天800万张车辆或人体的图片结构化，峰值处理能力应达到100张/秒。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★平台应具备提供300路4000Kbps码流并发查看实时视频能力。</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▲50个用户并发，加载展示22级矢量地图时或进行自定义图层加载平均响应时间小于200ms</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▲平台支持亿级数据规模下，多区域人脸碰撞分析、轨迹查人分析、人员伴随分析，响应时间不大于5秒</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▲千亿数据规模，不少于20个用户并发，精确查询、模糊查询或组合查询人体、人脸、车辆、WiFi、RFID、ETC、手机串码平均响应时间不大于3s（</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▲千亿数据规模，不少于20个用户并发，对人脸、车辆进行碰撞分析或聚类分析，平均响应时间不大于5s（</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▲1亿数据规模，对轨迹查人分析、多区域人脸碰撞分析或人脸、人体、车辆碰撞比对检索分析的平均响应时间不大于5s（</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▲设备资源数量不小于5万或单个机构下设备资源数量不小于5000的情况下，设备资源树加载平均响应时间不大于3s（</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▲在单一页面的同一张电子地图上进行不低于5万个数据点位聚合展示的平均响应时间小于2秒，不低于10万个数据点位聚合展示的平均响应时间小于3秒（</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▲人脸图片处理后的特征文件不大于1K（</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支持30000路授权接入，负责基础联网控制，与各个应用服务（接入服务、转发服务、存储服务）进行信令交换，管理各类视频任务（浏览、回放、录像、云台、上墙等）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支持在集群内进行负载评估和均衡控制，把流请求动态的透明重定向到负载最轻的媒体转发服务节点，新增的访问请求根据负载计算结果来自动选择负荷最轻的流服务器，以此缓解海量访问压力。</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支持组织机构配置、角色/用户权限配置、外部认证系统配置、资源等数据配置功能；支持国标20位编号快速生成，支持数据字典定义，支持前端设备快速添加；支持国标设备数据自动读取；支持用户数据、组织机构、资源资产统一管理；支持资源入网审核。多个配置服务可以进行节点间级联，级联后上级节点管理员对下级节点有绝对的管理权。用户登录用户所在配置系统可以配置本级、下级的所有配置项；通过配置服务可以实现节点间数据的统一配置管理，并保证上级用户的绝对管理权。</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支持平台进行信令管控和传输。通过国标协议根据接收到的设备主机、摄像机、报警输入和报警输出等注册信息进行解析，调用相关接入组件创建不同的对象，并将对象增加到信息管理集合里；通过国标协议接收上层系统发送的云台控制指令，根据传送过来的对象名找到相应对象，使用传送过来的控制命令和控制参数信息调用相关组件的云台控制接口进行控制设备的云台；通过国标协议支持全端录像点播主要包括录像查询、录像回放和录像控制，支持按文件/时间进行前端录像回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存储系统应符合：</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 ★系统应具有视频流直存功能，支持接入多厂家的前端摄像机，支持接入符合GB/T 28181的前端设备和平台、支持接入具有ONVIF协议设置选项的前端设备，支持RTSP视频流接入。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▲当系统损坏的硬盘数量超过纠删组最大允许损坏的数量M个时，剩余的数据可被正常读取，且系统支持存储新数据。当系统损坏到仅剩一块硬盘时，依然支持这块硬盘上数据的读取和新数据的存储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▲系统支持某一个存储节点断网后，用网线与装载了客户端的电脑直连，通过客户端可查看该存储节点上的录像。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支持存储空间共享，底层采用分布式块文件系统构建，并以唯一IP地址方式对外提供存储服务。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支持物理存储节点虚拟成统一的存储空间，支持通过NFS协议访问。</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支持存储空间的统一管理与分配，允许多个用户同时独立使用存储空间。</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支持对存储空间进行挂载、卸载。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支持视频、音频、图片、文档等多种类型数据文件的直接存储，无需经过其他服务器中转。</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支持文件的基本操作，包括文件创建、删除、重命名、打开、关闭、读写、属性显示、目录操作。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支持以统一存储空间的形式对接多个视频管理平台，每个视频管理平台对应一个独立的存储域，系统可同时执行多个视频管理平台设置的录像计划。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支持对录像或实时视频数据进行I帧、1/2、1/4、1/8抽帧存储的功能。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支持将接入通道按照一定数量和不同厂商分为不同的进程组。</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支持对设备接入组件进程隔离，单个组建关闭或异常退出时，其他组件设备的视频仍可正常调阅和存储，异常退出的组件设备可自动恢复。</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支持按时间范围查询录像，并进行单帧播放、快进（最快16倍速）、慢放（最慢1/16倍速）、倒放（最快16倍速）、单帧倒放、暂停播放的功能。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支持对选定的视频通道，进行不同时间段的录像下载功能。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▲系统存储系统应具有高可靠性，系统同时支持多种N+M冗余模式（如：12+1、12+2、24+7、24+8、24+9、24+10、24+11、24+12）。系统满足单个硬盘组内6块硬盘同时发生故障，历史数据不丢失，存储业务不中断。</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支持按时间周期进行循环覆盖的功能，录像覆盖周期可按月、天、小时为单位进行设定。</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支持在存储空间不足时，可自动按照存储空间当前最大容量进行录像循环覆盖。</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19) 支持对特定时间段录像进行锁定操作，被锁定的时间段录像不会被循环覆盖。</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20) 支持对已锁定的单个或多个录像时间段进行解锁操作，解锁后的录像时间段可被循环覆盖。</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21) 支持对录像数据的自校验，可屏蔽异常帧后输出的功能。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22) 系统内的存储节点对不同视频通道的录像覆盖周期进行单独设置，并自动分配存储容量。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23) 支持在线设置录像存储周期和循环类型。</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24) 支持数据切片，切片数据可分散存储在不同存储节点或同一存储节点的不同硬盘内。</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25) 支持同时提供多副本和纠删数据冗余保护机制。多副本和纠删数据冗余保护可在同一存储空间内混合使用。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26) 支持存储节点宕机或移除时，将存储业务自动切换至有效存储节点，无需人工干预，业务不中断，原有数据不丢失。</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27) 支持依据各节点的负载状况，进行数据写入的负载均衡。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28) 支持系统进行负载均衡时，录像业务不中断，不产生录像间隙。</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29) 支持在线增加硬盘时，不需进行数据迁移，数据在系统使用过程中自动负载均衡。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30) 支持在线增加存储节点时，存储业务不中断，不需进行数据迁移，数据在系统使用过程中自动负载均衡。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31) 支持对不同存储容量的设备机型数据写入的负载均衡。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32) ▲当系统的元数据数据全部损坏的情况下，支持两种数据保护方式，首先支持通过系统剩余数据恢复元数据，保证数据正常读写；另外支持将数据盘插入另一套系统中，保证原来的数据正常读写。</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33) 支持用户通过用户名、密码进行登录，支持当前用户登出。</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基础大数据软件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支持实现结构化数据、非结构化数据的高速缓存服务，确保在短时间数据骤增情况下数据不丢失。支持在内存和硬盘中开辟缓存空间，实现对缓存空间的管理和安全控制。</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支持系统中配置数据、业务数据、用户权限数据、组织结构数据的存储与管理。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支持提供大数据检索、分析、特征比对和挖据服务的能力，为大数据业务应用提供计算分析模型的技术支撑能力</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支持提供大数据业务管理服务，包括平台元数据管理和数据管理，系统通过可视化开发环境，提供数据开发、调度、数据仓库设计、数据质量管理等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采用分布式数据库技术对结构化数据进行存储，为大数据检索提供统一的结构化存储框架；支持结构化数据存储的负载均衡；支持将结构化数据按照一定的规则并行分布式存储到n组数据库节点中，实现数据存储和查询检索的并行处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基于云存储技术，对非结构化数据存储提供统一的存储框架，建立非结构化数据存储资源池，实现存储的动态资源调度、负载均衡。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▲平台须支持CPU+GPU异构计算，具备根据任务类型选择CPU或GPU资源进行计算的功能；支持算法动态加载的能力，支持资源超额自适应功能（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▲平台须支持对结构化信息、半结构化信息进行抽取并转化成统一数据格式进行存储的功能，并支持对非结构化数据地址链接进行抽取。（</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▲平台须支持对抽取的数据源及抽取规则进行增删及编辑的功能。（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▲平台须支持建立人脸数据仓库、人体数据仓库、车辆（机动车、非机动车）数据仓库的功能。（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▲平台应支持车辆信息，MAC地址信息，ETC信息的采集，报警类设备联动报警接入以及手机信息监测。（</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提供基于设备和位置的检索功能，实现对摄像机、车辆卡口、人脸卡口、WIFI采集设备、出租车GPS等设备的综合检索，方便设备位置查找；并可对不同类别设备进行批量操作，通过查人、找车功能，实现数据检索分析。</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支持全文检索的方式实现全部资源及关联资源对象的检索查看</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支持WIFI探针所采集的移动端MAC地址信息的接入检索查看。</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大数据地图软件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支持与电子地图系统信息交换，支持多种地图类型的切片服务接入和匹配功能，至少包括PGIS、百度、高德、天地图、WMTS、WMS、OSM、卫星地图等；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支持三维地图缩放、旋转、漫游等；提供专业的地图服务引擎，综合提供地图可视化的服务与展示能力，</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支持主流地图引擎，应用层不用再做单独的地图适配，包括Arcgis、Google、 搜狗地图、百度地图、天地图、高德地图、PGIS等;支持10万个POI信息点的快速撒点展示能力;基于不同资源点位，提供周边资源、商圈、兴趣点的搜索能力;提供地图缩放、截图、路网分析、路径规划导航等地图等应用支撑.</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视频处理软件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支持实时视频结构化或历史视频结构化或文件结构化，系统接入视频进行多目标（人体、车辆、非机动车信息）结构化分析与识别。基于深度学习视频智能分析技术，提供接入视频图像的多目标（人体、车辆、非机动车信息）图片提取，以及结构化分析和特征值提取的能力，为人体、机动车辆、非机动车辆的视图检索、以图搜图、智能分析提供数据支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支持结构化分析能力的视频设备通常包括前端具有智能分析的摄像机或卡口，以及通过后台实现分析的摄像机，此类视频或卡口设备具有车辆识别、人脸识别、人体检测的能力。</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3) 支持将视频进行切片，每一个片段给一个核进行处理；支持哈希调度；支持数据常驻内存的方法，提升计算吞吐量，每个节点尽可能只是计算本节点内存储的数据，最大限度的降低节点间的数据搬移开销；支持在节点异常时其他节点可以自动加载副本，保证系统的可用性。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实现人脸、车辆、人体、MAC地址等采集数据的实时动态展现，展现信息包括图片、采集时间、采集地点等。同时针对具有结构化能力的单路摄像机，支持显示当前实时结构化结果及数据量。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支持视频亮度，对比度，色调，饱和度设置</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人脸智能应用软件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★应能提供24路1080P或8路4K视频流中人脸图像进行检测、跟踪、抓拍和特征提取。</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★应能提供160路人脸抓拍机接入能力，提供对图片中的人脸图片进行特征提取，提取的特征信息用于以图搜图、身份确认等应用。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支持按照性别、特征、抓拍卡口、年龄段、抓拍时间检索、查看人脸目标资源，其中人脸特征包括：全部、有眼镜、无眼镜。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支持按照人体上身颜色、下身颜色、抓拍卡口、抓拍时间检索，查看实时接入的人体结构化信息，按抓拍时间倒序分页显示。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支持导入的人脸照片，针对常驻人口库等进行身份确认。</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支持通过身份证号码检索照片的能力，并与实际照片进行比对，给出相似度对比。</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支持根据多个区域，不同时间段进行碰撞，找出同时出现的人脸。</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支持特定监控点位出没人员数量及次数的分析与排序，查找目标人员。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支持分析指定人脸图片在各监控点出现的次数，并对结果排序。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▲平台须支持通过人员照片、时间段、出现地点、人员相似度、跟随间隔时间等要素，进行人员跟随分析的功能。（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支持基于指定人员出现的轨迹点位，分析出与该人前后伴随出现的其他人员。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支持按照轨迹查找符合轨迹的人脸信息，结果按照相似人员聚类方式展示。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支持系统自动分析识别上传的人脸、人体、车辆图片，或系统通行记录的人脸、人体、车辆图片，检索一段时间内，一定空间范围内，与上传图片相同及相似的通行记录图片，并提供检索结果的统计、比对、导出。</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车辆智能应用软件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★平台应能提供1080P分辨率每天800万张车辆或人体的图片结构化，峰值处理能力应达到100张/秒。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支持按照车辆条件进行检索，条件包括：车牌号码（支持模糊搜索）、有牌车/无牌车、车身颜色、车牌颜色、车辆品牌、车辆子品牌、车道方向、副驾驶是否有人、年检标数量、时间范围、卡口范围等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特征搜车查找相似车辆。通过对上传图片自动识别出车型信息，包括车辆品牌、车辆型号和车辆年款，并基于车型信息和二次识别的局部或整车特征在全库中进行特征比对，系统自动筛选出的结果按照与上传图片的相似度倒序排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支持在地图中进行与人脸和车辆相关的技战法模型应用，实现图上人脸与车辆大数据研判。</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支持对指定车辆的行驶轨迹分析功能，支持用户指定车牌号码和时间范围，系统根据该车在所查时间范围内的通行记录在GIS上动态绘制行驶轨迹。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支持基于地图路网数据，实现指定两个点之间的路径规划与周边卡口资源查询，同时基于卡口资源点位查询通过车辆与规划路径相匹配的车辆，并展示这些车辆的轨迹信息。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支持通过提供车辆的车牌号码及分析时间范围，自动筛选跟随指定车辆的频率高的车辆，并在GIS地图中自动绘制跟车车辆和被跟车车辆的行驶轨迹，实现一车锁定全体，掌握所有关联车辆的目的。</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支持选定多个区域设定多个作案时间段，系统自动比对出经过地点与选定时间吻合的车辆。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支持分析一段时间内指定车辆的活动规律，统计出现在各个卡口的次数。支持分析一段时间内指定卡口经过车辆的规律，统计所有车辆经过该卡口的次数。</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通过分析车辆在一段时间内的活动规律，可以了解车辆经常去哪，在哪停留较长，从而为车辆智智慧应用处理提供信息支撑。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▲平台须支持以图搜图功能，在同一页面中，可以选取图片作为检索条件，也可以选取图片作为排除条件（</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视频智能控制软件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支持8方向的云台控制，支持焦点、焦距、光圈调节；支持添加、删除、修改、调用预置位，支持巡航</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支持单画面、四画面、九画面、十六画面的视频播放模式。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▲平台具有多路视频播放时，通过GPU加速降低CPU占用率的功能，并支持将监控画面发送到扩展屏显示。（</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支持多种分辨率视频解码功能，支持QCIF、CIF、Half-D1、D1、720P、1080P、4k等分辨率的视频解码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支持实时视频和历史录像在同一窗口切换播放，支持同时回放多个服务器或本地的多个存储通道的同一时间的录像文件。</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支持多功能回放，录像可随机回放（任意时间段选择、回放速率选择），并且可实现单帧播放；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支持多种回放操作：回放时可以进行暂停、快放、慢放等操作，可查看录像片段的播放进度；</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支持历史调阅快进（×1、×2、×4、×8），慢放（×1/2、×1/4、×1/8），暂停以及播放进度条展示，显示每一帧的时间；</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支持把资源树上的摄像机点位拖动上墙；地图上支持设备上墙；</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支持轮播，对所有的视频监控图像，依次切换到电视墙上显示，实现轮巡，同时支持高权限抢占正在轮巡画面功能；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支持电视墙布局面板进行鼠标滑动缩小放大查看；支持电视墙解码通道进行布局设置，并对布局进行保存；支持电视墙解码通道进行布局设置，并对布局进行保存；</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视频大数据应用软件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▲平台应支持人脸图像、MAC地址、SIM卡串号、车牌号码等条件进行一键布控。（</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▲平台应支持轨迹查人和轨迹查车功能，即自动形成一段时间的人员轨迹和车辆轨迹，按照人员或车辆的符合率查询人员或车辆。同时应支持分析检索无牌车辆。（</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▲平台须支持多种用户登录模式，包括用户名密码登录、移动数字证书登录、指静脉仪登录（</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平台应支持在同一设备资源树上以图示的方式对视频监控、MAC采集、RFID采集、ECT车辆采集等设备进行展示的功能。应支持设备资源树和地图上进行点位的双向定位展示，并支持在同一地图画面中同时打开摄像机、WIFI、RFID、ETC等设备进行监控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▲系统应具有检索视频中所有人脸或车牌功能，检索结果能以缩略图展示，双击缩略图可播放对应的视频片断（</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▲平台应具有根据系统视图资源信息，按照相同车牌号码、相同地点、相同人员人脸、颜色进行聚类分析的功能（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★平台应具有检索单页面显示不低于10000张图片，检索结果可以按照瀑布流模式或翻页模式切换展示并可以手动选择数据或自定义范围数据进行EXCEL导出。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应支持在地图上标注关注点，查找关注点周围的摄像机和信息；对人员进行调度。</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应支持选择需要关注的车或人员，在地图上以手绘线的形式选取巡逻路线，选取巡逻路线后，设定巡逻路线的一定范围缓冲区，系统自动选择道路沿途的摄像机。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应支持建立防控圈，包括摄像机和卡口资源；查看防控圈的实时视频等资源。</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应支持通过全景在地图上打开视频，以九宫格的方式展示周边8方向最近的实时视频，以通过摄像机中的目标移动方向，指挥人员快速点击播放目标在下一个摄像机出现的图像，以在追踪时的使用，快速切换临近视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应支持视频图像分组展示，提供模糊检索功能，快速定位视频设备。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▲平台须支持一键搜索功能，对平台内的多维数据进行模糊检索，搜索结果可直接进行轨迹生成或直接进行布控。（</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应支持对单个视频资源的快捷操作，包括实时预览、历史调阅、添加到电视墙、添加到我的分组；</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应支持对当前视频进行添加帧标记、视频截图、局部放大、云台控制、关闭视频、全屏功能；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▲平台须支持在地图中进行与人脸、车辆相关的技战法模型应用，实现图上人脸与车辆大数据研判，同时支持在地图界面对技战法进行增删。（</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应支持对某一目标区域进行有效监测，发现侵入该区域的入侵行为时发生报警。</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应支持在摄像机监视的场景范围内，根据监控需要和目的设置检测线，并制定穿越检测线的非法方向，当有移动目标按照禁止穿越方向穿越用户设定的检测线时进行告警。</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19) 应支持在摄像机监视的场景范围内，根据监控需要设置物品检测，出现有物品丢失进行告警。</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20) 应支持对视频监控区域内出现的目标进行基于位置的匹配跟踪，并对所跟踪的目标的存在时间或呈现次数进行记录并对超过阈值的记录进行报警。</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21) 应支持针对车辆、人脸、WIFI、RFID、移动终端等视图对象中某一种对象的布控，将布控指令下发至相应对象种类的终端，对于符合布控规则的目标给出实时报警提醒。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22) 应支持对同一人员不同信息进行多个维度布控，掌握人脸相貌、曾经开过的车辆、用过的手机、互联网上过终端的mac等多个维度的信息，立即给予报警。</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23) 应支持重点区域、重点路段、重点场所，如机场、车站、政府机关等区域建立体化布控防控体系，实现同一时空区域不同人员、不同车辆的密集、立体布控。</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播放器应用软件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支持调用播放器工具，用户可以用此播放器播放视频等操作。</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模糊图像处理系统软件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模糊图像处理系统软件主要功能是对各种降质影像进行恢复，提升图像质量，突出影像细节，以辅助应用人员更好的挖掘图像中有用信息，如车牌照号、人脸信息、身高信息等。主要用于解决视频数据的偏色、模糊、偏暗等情况的应用问题，具备调整视频图像亮度、对比度、锐化、去雾、去噪、去模糊等图像处理的功能以及视频信息重建和恢复的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 ▲系统应支持自动估计运动模糊、散焦模糊核大小和方向参数，一键进行去模糊功能。同时支持用户手动输入运动模糊、散焦模糊核大小和方向参数，去除模糊的功能（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支持雾天增强、夜景增强、逆光（背光）增强等对环境干扰的校正，支持对图像像素点奇数场和偶数场进行移动，支持去除图像混叠；</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支持基本图像处理功能、去除噪声干扰、颜色干扰校正、去模糊处理、单帧处理、多帧处理等；支持导入单张图片处理，或将多幅图像、视频或截取的视频片段导入系统并生成图像序列文件进行批量处理；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亮度、对比度、伽马值调节图像参数，均衡化或曲线方式调整直方图，提高图像的亮度和对比度，改善图像的视觉效果；支持图像锐化、梯度与拉普拉斯结合锐化、USM锐化、自适应锐化等增强图像细节信息的方法，便于操作人员辨识图像中的目标信息和细节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分块局部增强、图像边缘增强、Retinex增强等图像增强方式，支持根据图像的内容自动估计图像的亮度、对比度、光线等信息，对图像进行自动增强。支持雾天增强、夜景增强、逆光（背光）增强等对环境干扰的校正，支持对图像像素点奇数场和偶数场进行移动，支持去除图像混叠。</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云平台核心底座软件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★平台本期建设支持1万路互联网摄像机接入，具备10万路摄像机接入能力，可平滑扩展。</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平台设备资源在达到10万的条件下，设备资源树平台加载时间不大于2秒。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云平台对大数据集群节点管理能力不小于1000个。</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平台用户在线数量支持1000个以上。</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▲普通手机在非WIFI网络环境，从发出指令到显示实时视频画面打开的平均时间不大于2秒。（</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按照标准规范测定，云平台系统平均响应时间不大于4秒。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100个用户并发登录手机APP，用户登录平均响应时间不大于3秒。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支持1亿数据规模，进行人脸、人体特征比对检索分析，平均响应时间不超过3秒。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平台支持专有云服务在互联网上，独立、完整运行，支持B/S运维客户端，查看云平台所有服务器运行状况统计表、所有软件模块运行状况、所有摄像机工作状态，并可查询异常告警记录，包括服务器、服务与角色、前端摄像机的异常（</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提供云平台可视化操作管理界面，管理服务器集群，管理设备接入、存储、转发等服务，可通过配置接入云平台协议摄像机、CIG网关设备、国标相机设备，可查看设备在线状态。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在互联网上，为主动注册方式接入的前端设备提供统一的认证鉴权服务，确保安全性，为授权的前端设备提供动态令牌（token），基于密钥多重加密、动态过期。</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负责对前端设备进行运维监控。包括设备接入数量，设备在线状态，以及供调试使用的基础实时视频查看和录像回放的功能。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负责为运维人员APP提供后台服务，完成向导式安装注册摄像机，以及配置过程中必要的参数。</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支持通过B/S运维客户端查看服务器运行状态统、软件模块的运行状况统计表。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可查看服务器的在线状态与磁盘占用，包括当前的CPU使用率、内存使用率、磁盘I/O读、磁盘I/O写、输入带宽、输出带宽，并支持查看7天内的历史状态。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可查看在线推流设备数、转发数、输入带宽、输出带宽、数据包接收数、数据包回应数，并支持查看7天内的历史状态。</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视频图像连接传输及处理服务软件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支持专有编码协议，通过AHDT混合分发系统，多路径同时传输视频数据，预防网络抖动，数据传输更快速更实时，数据在传输过程中不会丢失，更可靠更安全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▲支持接入互联网上非固定IP摄像机。可通过互联网直接接入两种以上不同品牌的互联网摄像机。（</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▲可接入的设备种类至少包括：纯视频摄像机、移动侦测摄像机、人脸抓拍机。（</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▲可通过互联网配置和对接符合国标GB/T 28181、ONVIF、海康SDK、大华SDK的摄像机。（</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▲支持数据传输加密，对视频流进行加密，加密后的视频无密钥的则不能正常播放。支持HLS、RTMP等通用流媒体传输协议查看实时视频。（</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数据对象化及智能服务软件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负责将前端抓拍的人脸图片进行去重服务，在较短时间段内同一抓拍机上传的同一个人的图片中选取一张质量最高的图片进行展示。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以实时提取抓拍到的人、车、物等目标的特征为基础，通过积累充分的特征进行目标比对和追踪，最终建立目标身份系统，并对其不断标签化；基于场景分析这些虚拟目标的行为、目标与目标之间的相互关系。</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支持以插件式集成智能分析算法，支持人脸、人体、车辆等多种结构化算法调度，实现智能分布式算力调度，云端-边缘高效协同，达到充分利用算力的目的。</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提供大数据智能分析服务，结合数据与业务建立关联数据表，索引表，建立数据关联分析模型将分析结果导入到高性能关系型数据库中，为进一步智能化应用提供分析结果；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提供大数据可视化，图形化展示云平台运营数据，可上大屏展示。包括：地图统计、警情统计、资源统计、状态统计、趋势统计等信息</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场景应用服务软件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支持视频浏览、历史视频回放、视频分组、视频轮巡、图片抓拍等基础功能应用。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支持人脸/人体智能化应用，可根据时间、地点、点位设备、人脸/人体特征进行图片结构化数据检索。</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支持上传一张人脸/人体图片以图搜图，并可将搜索的图片生成时空轨迹。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支持布控告警功能，支持布控库、布控任务、告警推送等功能。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▲支持通过平台进行信息发布，可发布不同类型的新闻，信息包含文本、图片和视频，可在移动端进行展示查看（</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支持对组织、用户、角色、设备等配置管理，支持对平台功能权限配置，可对不同级别用户进行设备范围与功能权限赋予。</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支持信息管理检索分析，如日志管理、线索管理、用户管理，通过全文检索进行文字内容的分析，针对检索关键字对全库文字内容进行检索并输出匹配结果</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移动应用服务软件</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1) ▲支持APP登陆后在全页面添加水印的功能，以防数据外泄。（</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应提供APP的功能以及授权管理，APP与后台信令同步、数据交互。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应提供安卓、IOS两个版本的APP。</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▲支持通过移动端查看权限范围内的人脸、人体图库。（</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可实现基于APP的以图搜图、人员追踪、告警处理等智能应用。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可通过app查看平台推送的新闻等信息，也可将视频、图片、文字等信息上报道平台，实现信息交互。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支持单套服务可支持10万用户注册。</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智慧公安系统软件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★平台应提供不低于300路4000Kbps码流并发查看实时视频。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平台须支持获取鄢陵县公共安全视频图像信息共享平台共享的视频资源的功能；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平台须支持向鄢陵大数据中心推送视频资源的功能；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平台须支持通过国标、onvif、私有SDK整合各类视频资源的能力，满足不同标准的主流视频平台接入，能够兼容主流平台及前端摄像机厂家的SDK开发包接入，能够满足模/数前端监控设备视频信号的接入，如网络视频监控摄像头、网络视频录像机、网络视频服务器、网络视频编码器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▲平台须具备设备接入组件进程隔离的功能，单个组件异常不影响其他组件正常调阅（</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▲平台须支持故障切换能力，一旦核心服务节点发生故障，可将任务自动切换到其他正常节点继续处理（</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平台须具备状态一致性，各节点状态始终处于一致的状态，即使某节点在很短时间内状态发生了变化，但整个系统的各个节点很快能重新同步；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平台须支持自由上下电，意外重启后始终保持文件系统的一致性，不会造成系统启动失败。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平台须具备网络容错能力，当网络恢复正常后系统也能重新正常工作；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平台须具备活动通知能力，即媒体转发服务器检测到目标服务器不活动，经过一段时间须释放有关资源；</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▲平台须支持录像多级转发的功能（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平台须具备自动恢复能力，当某些视频转发服务器由于某种情况意外重启，系统提供自动恢复机制，可恢复转发服务器之间的视频连接通路，无需用户重新发起视频请求；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▲平台须支持手动或自动读取满足GB/T 28181-2016协议的设备的通道名称和20位通道编号的功能（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平台须具备负载均衡能力，支持中心管理服务器把流请求动态的透明重定向到负载最轻的媒体转发服务器，新增的访问请求根据负载计算结果来自动选择负荷最轻的流服务器，以此缓解海量访问压力；</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▲平台须支持视频传输时默认路径出现连接故障时，可自动选择其它可用路径进行传输，保证正常浏览视频（</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平台须支持将一个视频源分发给一个或多个用户，其网络连接方式可以为单播、组播和TCP方式；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▲平台须在视频多级级联应用时，具备对共享推送的视频资源中重复的资源进行去重的功能（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▲平台须具备向上级或下级平台共享推送视频资源时，对视频资源的实时视频浏览、录像下载、云台控制等操作权限支持设置管理的功能（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19) ▲平台须具备上级平台对下级平台共享推送的视频查看权限进行屏蔽的功能（</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20) 平台须具备多个上级用户使用同一干线访问下级平台的同一路视频的功能，同时支持高级别用户可抢占低级别用户的干线进行视频播放；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21) 平台须支持视频资源锁定和解锁，对锁定的资源，不管用户的级别如何，使用前必须先解锁；级别高的用户可以解除级别低的用户对某资源的锁定。可以做到当遇到重要事件，直接挤占或屏蔽其他下级浏览视频权限，用于给控制中心显示需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22) ▲平台须支持手动或自动将视频画面分辨率进行标清和高清的切换（</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23) 平台的权限体系须支持用户帐号的全网漫游，用户在全系统中只需要记住一个帐号和密码就可以访问任何有权限的图像资源；</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24) 平台须支持将用户划分成组，一个用户可隶属于多个组，对组进行授权将作用到该组中的所有用户；支持权限继承：下级图像节点可直接继承上级节点的权限，方便系统的配置管理；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25) 平台须支持高级别用户可以抢占级别低的用户对图像资源的PTZ控制权，用户的控制权被抢占时会得到明显的通知；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26) 平台须支持针对任何一个用户，针对任何一个图像资源进行精细权限设置，比如可为每个用户设置对每个摄像头的权限（是否可以实时监控、录像文件点播、云台控制等），权限类型和用户级别数量都没有限制；</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27) 平台须对所有重要操作，如登录、控制、退出等均有日志记录，可对日志记录进行查询和统计。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28) 平台须支持窗口布局切换，可以在1、4、6、8、9、10、13、16、全屏等多种画面模式中显示视频；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29) 平台须支持对节点树的排序功能：分为不排序，按标题排序、按名称排序、按在线状态排序；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30) 平台须支持节点的快速搜索：在节点较多的情况下，用户可通过快速查找功能在繁多的节点中快速搜索到要查找的设备，搜索过程中可动态显示搜索结果；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31) 平台须支持对实时/录像视频按帧加标记的功能，用户可以在查看实时视频及录像时手动为每帧图像增加标记；</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32) 平台须支持当前窗口数字放大、其他窗口数字放大两种数字放大模式，用户在浏览实时/历史视频时可对重点区域进行数字放大操作，进行重点监控；</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33) 平台须支持对视频的亮度、对比度、饱和度、色调进行手动调节，支持参数重置；</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34) 平台须支持云台和快球的方向控制、自动扫描、光圈焦距管理、镜头缩放，支持云台速度调节，支持灯光、雨刷、电源开关控制，支持自定义辅助开关控制；</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35) 平台须支持图片预览式预置位设置，用户在调用预置位时可查看调用的预置位与设置的预置位是否为同一点位；</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36) 平台须支持预置位巡航设置，可以根据用户需求添加多个巡航组，不同需求调用不同的巡航组进行巡航；</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37) 平台须支持3D控制，在视频窗口内对摄像机云台、镜头自动调节，可在实时窗口中进行拉近/拉远等操作；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38) 平台须支持对录像文件进行检索：按日期、时间、类型、服务器、通道检索客户端本地、存储服务器、前端设备录像文件；</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39) 平台须支持多画面同时回放：支持同时回放多个服务器或本地的多个存储通道的同一时间的录像文件，支持16画面同时同步回放，支持1/4/6/9/16画面显示；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40) 平台须支持多种回放操作：回放时可以进行暂停、播放、停止、快放、慢放、单帧步进、单帧后退、循环播放、精确定位到某帧、打印、缩放、备份、调节音量、调节亮度／色度／对比度／色调等操作，支持录像倒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41) 平台须支持画面抓拍：将任意一副回放图像存放成JPEG或BMP格式的图像；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42) 平台须支持在同一视频预览窗口中打开轮巡视频、实时视频、录像视频，如：选择4画面显示，可选择轮巡只占用2个画面，实时、历史图像各占用1个画面，这种情况下只有轮巡选择的2个画面会进行轮巡，其他2个画面不受影响；</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智慧社区系统软件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管理模块与数据库的统一访问接口，数据库链接及验证，系统消息流的接收、处理、过滤、转发、模块的信令调度，实时信息交互处理。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全系统网上信息浏览服务，提供WEB用户界面。实现功能的快速跳转。支持输入一个人脸和时间段，查询该人的出入记录，在地图上按照时间先后顺序进行展示；支持输入一个车牌和时间段，查询该车的出入记录，在地图上按照时间先后顺序进行展示；支持输入一个MAC和时间段，查询该MAC的出入记录，在地图上按照时间先后顺序进行展示，以可视化方式将系统内数据分类分辖区划进行展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支持系统内的用户认证、权限控制和分配可访问的资源。</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支持动态业务负载均衡管理，支持多用户并发操作下对业务模块进行负载均衡和双机热备，确保服务稳定性。</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支持输入关键字实现对平台内相关资源（如人员、车辆、房屋、人脸等）进行智能搜索；</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社区地图软件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应支持小区地图PGIS地图。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应支持电子地图和电子地图导入。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应支持地图系统信息交换，支持各类GIS平台接口对接。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应支持地图点位直接进行操作。</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智慧社区应用软件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系统须支持定位到具体位置，动态显示最新人脸抓拍、车辆过车等信息；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系统须支持在地图上点击实有单位，查看单位信息和从业人员信息；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系统须支持在地图上点击房屋，弹出该楼栋平面图，进一步查看户和人员档案；</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▲系统须支持展示实有安防设施信息，支持柱状图形式分类展示实有安防设施数量并支持查看设施信息（</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 xml:space="preserve">）；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▲系统须支持展示实有力量信息，支持分标签展示当前实有力量的数量并查看各类力量对应的人员列表以及小区的消防设备等信息（</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系统须支持查看抓拍的人员的历史活动轨迹情况；</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系统须支持按照饼状图、柱状图、标签分别展示小区内实有人口情况，点击某一类进入人员列表；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系统须支持根据各种查询条件、人员标签对小区内实有人口进行查询的列表展示，并可以跳转到该人的人员档案中；</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9) 系统须支持查看小区内各楼栋楼层信息，房屋信息（自住、出租、闲置），住户信息，如是否有特殊人员（如独居老人、志愿者等），并可查看该房对应的档案中；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系统须支持查看社区内及周边实有单位，包括单位名称、照片、地址，以及从业人员详细信息，加强对社区周边单位及其从业人员的精准管理；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系统须支持统计小区内部现有实有力量，包括居委干部、楼组长、志愿者、保安、保洁、保绿等，通过人脸抓拍等，实时感知小区内部的实有力量信息；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系统须支持统计社区内部已部署的各类感知设备，包含监控、人脸抓拍机、车辆微卡口、消防感知设备等，全面掌控社区内部安防设施的种类、数量、运行状态等；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系统须支持通过输入关键字实现对人、车、房进行快速检索，包括根据身份证号对人员的档案进行查找并显示人员照片、基本信息、住房信息、车辆信息、人脸抓拍信息、事件等；根据楼栋号、房间号进行搜索展示某户业主的详细信息；根据车牌号对车辆的档案进行查找并展示车辆基本信息、车主信息、过车信息等（</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▲系统须具备与三维地图对接的能力，实现点击摄像机自动播放实时视频；点击某栋楼查看此栋楼所有的业主户信息；进入楼内可查看楼层平面图并查看某户的人员信息（</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多维感知应用软件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★系统须支持在电子地图上动态感知人脸抓拍信息、车辆过车信息、实有房屋信息、实有单位信息、实有力量信息、实有安防设施信息等；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系统须支持获取最新人脸抓拍照，包括抓拍地点、抓拍时间；</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系统须支持展现“新发现”的小区经常出入人员信息；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系统须支持展示最近一段时间未在小区出现的登记人员信息，可以进一步核查处置；</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系统须支持获取最新过车记录(包括过车图片、车牌号、时间、进出等)统计小区车辆登记数，登记车辆今日进出数量、未登记车辆今日进出数量以及目前滞留车辆数等；并展示在小区内停留超过3天的非小区车辆（</w:t>
            </w:r>
            <w:r>
              <w:rPr>
                <w:rFonts w:hint="eastAsia" w:ascii="微软雅黑" w:hAnsi="微软雅黑" w:eastAsia="微软雅黑" w:cs="宋体"/>
                <w:b/>
                <w:sz w:val="20"/>
                <w:szCs w:val="20"/>
              </w:rPr>
              <w:t>需提供国家权威检测机构出具的检测报告复印件并加盖原厂公章</w:t>
            </w:r>
            <w:r>
              <w:rPr>
                <w:rFonts w:hint="eastAsia" w:ascii="微软雅黑" w:hAnsi="微软雅黑" w:eastAsia="微软雅黑" w:cs="宋体"/>
                <w:sz w:val="20"/>
                <w:szCs w:val="20"/>
              </w:rPr>
              <w: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系统须支持展示未登记的在小区经常出入车辆信息；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系统须支持展示最后一次记录为出小区，且最近一段时间未来过小区的登记车辆信息；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应支持人脸感知模块、开门感知模块、过车感知模块、wifi感知模块、消防感知模块、位移感知模块和视频感知模块统一的应用和管理。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应支持获取最新开门记录，包括开门人员姓名、身份证号、开门方式、时间、地点、开门截图、短视频。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应支持获取最新MAC记录，包括MAC地址、基站MAC、基站地址、查看MAC轨迹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系统须支持统计小区内可用的警用装备以及消防设施，通过对实有力量的感知及实有装备的统计。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应支持列表显示窨井盖相关信息。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应支持获取监控列表，监控在线状态，点击可查看实时视频。</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数据资源管理软件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应支持对各种数据资源，机构管理模块、角色管理模块、用户管理模块、日志管理模块、运维管理模块、其它资源管理模块进行统一的应用和管理。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应支持进行组织机构新增、修改、删除操作，支持模板批量导入。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应支持角色新增、修改、删除、赋权操作。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应支持用户新增、修改、删除操作，可以设置用户和角色挂钩、用户属于某个组织机构。</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应支持对于用户的操作访问日志进行查询和管理。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应支持实时监控目前已接入各类动态感知数据的状态。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应支持对于系统内辖区划及小区信息的维护。</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应支持针对结构化数据的存储，提供高效的查询速度。</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应支持人脸和车辆抓拍图片、门禁短视频及系统汇聚的海量非结构化文件的存储。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应支持数据的接入管理、组件管理与任务管理，对各类数据的接入进行接口适配、规则适配，并将所接入的数据写入到数据仓库中。</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应支持对接各类关系型数据库，支持对各类数据库数据进行接入。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应支持导入各类离线文件，支持对离线文件数据进行接入。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应支持对接各类数据流接口，支持对数据流进行接入。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应支持对接各类业务系统，通过系统数据服务接口对系统数据进行接入。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应支持对各类数据进行字段映射和规则处理，实现数据的标准化转换。</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人脸门禁管理软件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应支持接入多台门口机。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应支持可将报警信息发给指定的用户</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应支持对各种类型的报警记录进行查询，可按时间段进行报警记录查询，所有报警记录都可以进行即时打印，报警记录查询、处理。</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人脸门禁手机APP软件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应支持互联网对讲通话开锁。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应支持手机 APP 远程监视单元门，可实时查看门口机摄像机图像。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应支持手机 APP 远程一键开锁。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应支持手机 APP 授权随机密码开门。</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停车场管理系统软件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停车管理包括入口控制部分：自动挡车器、车辆检测器、一体式智慧车场入口控制机（含TCP/IP通讯ARM主控制器、语音提示、双层信息显示屏、机箱）、车牌识别高清网络摄像机、频闪灯；出口控制部分：自动挡车器、车辆检测器、一体式智慧车场入口控制机（含TCP/IP通讯ARM主控制器、语音提示、双层信息显示屏、机箱）、车牌识别高清网络摄像机、频闪灯。出入口管理工作站部分：电脑、交换机、管理软件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停车管理系统软件应能对小区停车场进行管理统计，对小区的进出车辆进行识别和管理</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智慧旅游系统软件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★平台应提供不低于300路4000Kbps码流并发查看实时视频。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应支持通过国标、onvif、私有SDK整合各类视频资源的能力，满足不同标准的主流视频平台接入，能够兼容主流平台及前端摄像机厂家的SDK开发包接入，能够满足模/数前端监控设备视频信号的接入，如网络视频监控摄像头、网络视频录像机、网络视频服务器、网络视频编码器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应支持智慧旅游平台基础联网相关服务，可实现与上下级联网的管理、认证和日志；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应支持通过加载中间件模块，可选配异构模拟矩阵、异构设备（硬盘录像机、视频服务器、网络摄像机、网络硬盘录像机等）、异构视频监控平台、报警主机、语音主机模块，以实现与各类异构资源的接入管理；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应支持双机热备、集群管理功能。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应支持智慧旅游平台的组织机构、用户、资源等数据进行配置。</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应支持智慧旅游平台用户认证功能，支持智慧旅游平台用户鉴权功能。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应支持与电子地图系统信息接入，支持GIS平台接口对接；支持与总平台地图接口进行对接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应支持各业务模块之间的交互、以及与数据库之间的交互。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应支持集群部署、负载均衡，保证高可用。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应支持与其他国标设备或国标平台进行信令管控和传输。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应支持将实时或历史图像数据转发监控客户端、电视墙服务、视频存储服务、上级平台等。支持平台转发视频和数据向平级或总平台传输。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应支持标清、高清视频图像的并发存储和录像点播功能；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应支持集中存储任意存储策略；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应支持7x24小时的全天候实时存储策略部署，或重点监控点位冗余备份存储策略部署。</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应支持各类磁盘阵列挂接。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应支持回放功能，对视频流和数据流进行处理。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应支持对B/S架构应用进行管理、配置等，为实时图像浏览、云台控制、历史图像回放等视频监控功能提供底层技术支撑。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19) 平台须支持多画面同时回放：支持同时回放多个服务器或本地的多个存储通道的同一时间的录像文件，支持16画面同时同步回放，支持1/4/6/9/16画面显示；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20) 平台须支持多种回放操作：回放时可以进行暂停、播放、停止、快放、慢放、单帧步进、单帧后退、循环播放、精确定位到某帧、打印、缩放、备份、调节音量、调节亮度／色度／对比度／色调等操作，支持录像倒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21) 平台须支持画面抓拍：将任意一副回放图像存放成JPEG或BMP格式的图像；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22) 平台须支持在同一视频预览窗口中打开轮巡视频、实时视频、录像视频，如：选择4画面显示，可选择轮巡只占用2个画面，实时、历史图像各占用1个画面，这种情况下只有轮巡选择的2个画面会进行轮巡，其他2个画面不受影响；</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人群应用系统</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平台应具有根据过去某一段时间内某一点位的数据，统计出该通道人群的状态变化趋势，可快速统计近一天，近一周，近一个月的数据变化趋势。用户也可以通过选择具体的日期来选择具体需要统计的时间段。</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平台应具有对视频进行实时分析，检测出画面中人群的区域，并对其进行人群分割，将人体、人群和背景进行分割，识别出人体和人群，从而可以统计场景中的实时人数。同时根据人群和人体之间的关系，估计各区域的人群密度，得到整个场景的人群密度分布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平台应具有滞留分析功能。滞留分析主要用于识别场景中有人长时间滞留的区域，在展现层用不同的颜色进行标记。</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支持分析场景中群体运动的一致性，根据混乱程度的定义。对于混乱程度高的场景，进行报警。</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实景指挥应用软件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系统支持接入50个高点，1000个低点（包含500路低点AR化）；</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支持对前端视频设备的接入管理，接收客户端的请求命令后将命令分发给相应的服务模块进行响应。</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支持系统数据管理以及备份，提供数据库访问代理，支持大容量数据库访问。</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支持视频流的分层转发，支持级联和分布式部署，支持流媒体负载均衡。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支持录像存储的管理服务，包含存储服务管理、存储策略管理、计划录像管理。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支持分层显示模块、标签屏蔽模块、标签搜索模块、标签跟随模块统一管理和应用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支持分多个图层显示，可根据摄像机镜头变倍显示相应图层的标签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支持勾选标签显示类型，在视频画面中屏蔽、显示相应类型的标签；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支持从标签列表中选择或模糊输入标签标题两种方式检索，并能通过云台转动，将搜索的标签定位到屏幕中心</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支持当摄像机云台转动或镜头变倍时，标签可跟随所标定的目标物移动。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支持切换到不同高点摄像机画面进行视频预览；</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支持通过预先配置好标签对应的摄像机参数，通过点击标签，在当前视频画面中以画中画的形式调看该摄像机的视频，并全屏进入该摄像机画面，当摄像机为球机时，支持在全屏画面中控制球机云台。</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支持对超融合实景指挥系统中的高点视频、标签、人脸/车辆弹窗信息、报警弹窗信息、外部系统链接等场景元素进行存储，内嵌场景元素重建与时间轴同步引擎，提供对存储的高点视频、标签、人脸/车辆弹窗信息、报警弹窗信息、外部系统链接等场景元素进行重建与同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支持用户管理与配置、自动/手动/组合预案管理与配置、地图管理与配置、对接管理等功能，为系统应用提供后台配置和支撑。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支持标签模板创建对应类型的标签，包括监控点、图片、文档、语音、录像文件、图文、组合类型的标签模板；</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支持创建重点标签，对重点标签关联多个低点摄像机及其预置位；</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支持创建多摄像机标签，点击标签可四分屏显示低点视频和设备列表；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支持创建矢量标签，在视频画面中指明道路或其他物体方向；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19) 支持创建区域标签，在视频画面中进行图形框定标注。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20) 提供分别在三块屏上调度显示全局、重点区域、重点点位的实时情况，实现既能把控全局又能掌握细节的实景指挥体系，同时实现资源的快速调度，实现指挥的高效化、精准化，其中主屏为超融合实景指挥系统，一个屏幕为地图应用，实现对高点防控单元及低点监控的落地及呈现；辅屏主要呈现重点关注的低点点位视频，查看细节。</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智慧城管系统软件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★平台应提供不低于300路4000Kbps码流并发查看实时视频。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平台须支持通过国标、onvif、私有SDK整合各类视频资源的能力，满足不同标准的主流视频平台接入，能够兼容主流平台及前端摄像机厂家的SDK开发包接入，能够满足模/数前端监控设备视频信号的接入，如网络视频监控摄像头、网络视频录像机、网络视频服务器、网络视频编码器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支持智慧城管平台基础联网相关服务，可实现与上下级联网的管理、认证和日志；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支持通过加载中间件模块，可选配异构模拟矩阵、异构设备（硬盘录像机、视频服务器、网络摄像机、网络硬盘录像机等）、异构视频监控平台、报警主机、语音主机模块，以实现与各类异构资源的接入管理；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支持双机热备、集群管理功能。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支持智慧城管平台的组织机构、用户、资源等数据进行配置。支持智慧城管平台用户认证功能，支持智慧城管平台用户鉴权功能。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支持与电子地图系统信息接入，支持GIS平台接口对接；支持与总平台地图接口进行对接。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支持各业务模块之间的交互、以及与数据库之间的交互。支持集群部署、负载均衡，保证高可用。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支持与其他国标设备或国标平台进行信令管控和传输。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支持将实时或历史图像数据转发监控客户端、电视墙服务、视频存储服务、上级平台等。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支持平台转发视频和数据向平级或总平台传输。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支持标清、高清视频图像的并发存储和录像点播功能；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支持集中存储任意存储策略；支持各类磁盘阵列挂接。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支持7x24小时的全天候实时存储策略部署，或重点监控点位冗余备份存储策略部署。</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支持回放功能，对视频流和数据流进行处理。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支持对B/S架构应用进行管理、配置等，为实时图像浏览、云台控制、历史图像回放等视频监控功能提供底层技术支撑。</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智慧城管应用软件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应支持对布控摄像机进行人脸检测区域，最小检测尺寸以及最大检测尺寸的参数设置；支持查看设置的布控区域。</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应支持新建人员布控库，包括库名称和比分阈值的设置；</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应支持对人员布控库的统一管理，可对布控库新增人员、批量导入以及批量删除布控人员；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应支持对人员库布控库里的人员信息进行查看、编辑、移动及删除操作。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应支持通过智能图像处理技术，自动检测进入警戒区的人、动物、汽车等运动目标。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应支持通过智能图像处理技术，自动检测穿越警戒线的运动目标。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应支持通过算法检测到特定区域是否有车辆停放，超过设定时间则自动产生告警。检测区域可以多样化设置，参数选项可以由用户来设定，如布防时间段、车辆的合法停留时间等。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应支持通过智能图像处理技术，自动进行对摄像机采集的视频中的烟火进行检测。</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应支持通过智能图像处理技术，自动检测异常人体行为，如徘徊、倒地、异常速度。</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应支持通过智能图像处理技术，自动检测打架行为，如多人扭打在一起，倒地等异常行为。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应支持物品遗留检测能够自动检测出监控防区内的可疑行李或遗弃物，发出报警并触发其他行为。</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智慧医疗系统软件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★平台应提供不低于300路4000Kbps码流并发查看实时视频。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平台须支持通过国标、onvif、私有SDK整合各类视频资源的能力，满足不同标准的主流视频平台接入，能够兼容主流平台及前端摄像机厂家的SDK开发包接入，能够满足模/数前端监控设备视频信号的接入，如网络视频监控摄像头、网络视频录像机、网络视频服务器、网络视频编码器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支持智慧医疗平台基础联网相关服务，可实现与上下级联网的管理、认证和日志；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支持通过加载中间件模块，可选配异构模拟矩阵、异构设备（硬盘录像机、视频服务器、网络摄像机、网络硬盘录像机等）、异构视频监控平台、报警主机、语音主机模块，以实现与各类异构资源的接入管理；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支持双机热备、集群管理功能。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支持智慧医疗平台的组织机构、用户、资源等数据进行配置。支持智慧医疗平台用户认证功能。支持智慧医疗平台用户鉴权功能。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支持与电子地图系统信息接入，支持GIS平台接口对接。支持与总平台地图接口进行对接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支持各业务模块之间的交互、以及与数据库之间的交互，支持集群部署、负载均衡，保证高可用。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支持与其他国标设备或国标平台进行信令管控和传输。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支持将实时或历史图像数据转发监控客户端、电视墙服务、视频存储服务、上级平台等。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支持平台转发视频和数据向平级或总平台传输。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支持标清、高清视频图像的并发存储和录像点播功能；支持集中存储任意存储策略；支持7x24小时的全天候实时存储策略部署，或重点监控点位冗余备份存储策略部署。支持各类磁盘阵列挂接。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支持回放功能，对视频流和数据流进行处理。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支持对B/S架构应用进行管理、配置等，为实时图像浏览、云台控制、历史图像回放等视频监控功能提供底层技术支撑。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平台须支持3D控制，在视频窗口内对摄像机云台、镜头自动调节，可在实时窗口中进行拉近/拉远等操作；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平台须支持对录像文件进行检索：按日期、时间、类型、服务器、通道检索客户端本地、存储服务器、前端设备录像文件；</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平台须支持多画面同时回放：支持同时回放多个服务器或本地的多个存储通道的同一时间的录像文件，支持16画面同时同步回放，支持1/4/6/9/16画面显示；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平台须支持多种回放操作：回放时可以进行暂停、播放、停止、快放、慢放、单帧步进、单帧后退、循环播放、精确定位到某帧、打印、缩放、备份、调节音量、调节亮度／色度／对比度／色调等操作，支持录像倒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19) 平台须支持画面抓拍：将任意一副回放图像存放成JPEG或BMP格式的图像；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20) 平台须支持在同一视频预览窗口中打开轮巡视频、实时视频、录像视频，如：选择4画面显示，可选择轮巡只占用2个画面，实时、历史图像各占用1个画面，这种情况下只有轮巡选择的2个画面会进行轮巡，其他2个画面不受影响；</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21) 支持与现有的平台进行对接。</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智慧医疗应用软件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支持将医闹医代表等重点人员照片导入动态布控库，利用前端人脸识别点位进行动态布控，一旦有高于阈值的抓拍人员照片匹配上，系统自动报警，可对该人员进行定位，掌握其行踪。</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智慧教育系统软件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★平台应提供不低于300路4000Kbps码流并发查看实时视频。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平台须支持通过国标、onvif、私有SDK整合各类视频资源的能力，满足不同标准的主流视频平台接入，能够兼容主流平台及前端摄像机厂家的SDK开发包接入，能够满足模/数前端监控设备视频信号的接入，如网络视频监控摄像头、网络视频录像机、网络视频服务器、网络视频编码器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汇聚全县学校视频资源，进行实时播放和历史回放。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支持智慧教育平台基础联网相关服务，可实现与上下级联网的管理、认证和日志；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支持通过加载中间件模块，可选配异构模拟矩阵、异构设备（硬盘录像机、视频服务器、网络摄像机、网络硬盘录像机等）、异构视频监控平台、报警主机、语音主机模块，以实现与各类异构资源的接入管理；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支持双机热备、集群管理功能。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支持智慧教育平台的组织机构、用户、资源等数据进行配置。支持智慧教育平台用户认证功能。支持智慧教育平台用户鉴权功能。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支持与电子地图系统信息接入，支持GIS平台接口对接。支持与总平台地图接口进行对接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支持各业务模块之间的交互、以及与数据库之间的交互。支持集群部署、负载均衡，保证高可用。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支持与其他国标设备或国标平台进行信令管控和传输。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支持将实时或历史图像数据转发监控客户端、电视墙服务、视频存储服务、上级平台等。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支持平台转发视频和数据向平级或总平台传输。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支持标清、高清视频图像的并发存储和录像点播功能；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支持集中存储任意存储策略；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支持7x24小时的全天候实时存储策略部署，或重点监控点位冗余备份存储策略部署。</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支持各类磁盘阵列挂接。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支持回放功能，对视频流和数据流进行处理。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支持对B/S架构应用进行管理、配置等，为实时图像浏览、云台控制、历史图像回放等视频监控功能提供底层技术支撑。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19) 构建智慧教育平台框架，预留智慧教育功能模块接口。</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智慧养老系统软件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★平台应提供不低于300路4000Kbps码流并发查看实时视频。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汇聚全县养老院视频资源，进行实时播放和历史回放。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应支持通过国标、onvif、私有SDK整合各类视频资源的能力，满足不同标准的主流视频平台接入，能够兼容主流平台及前端摄像机厂家的SDK开发包接入，能够满足模/数前端监控设备视频信号的接入，如网络视频监控摄像头、网络视频录像机、网络视频服务器、网络视频编码器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应支持智慧养老平台基础联网相关服务，可实现与上下级联网的管理、认证和日志；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应支持通过加载中间件模块，可选配异构模拟矩阵、异构设备（硬盘录像机、视频服务器、网络摄像机、网络硬盘录像机等）、异构视频监控平台、报警主机、语音主机模块，以实现与各类异构资源的接入管理；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应支持双机热备、集群管理功能。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应支持智慧养老平台的组织机构、用户、资源等数据进行配置。支持智慧养老平台用户认证功能。支持智慧养老平台用户鉴权功能。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应支持与电子地图系统信息接入，支持GIS平台接口对接。支持与总平台地图接口进行对接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应支持各业务模块之间的交互、以及与数据库之间的交互。支持集群部署、负载均衡，保证高可用。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应支持与其他国标设备或国标平台进行信令管控和传输。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应支持将实时或历史图像数据转发监控客户端、电视墙服务、视频存储服务、上级平台等。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应支持平台转发视频和数据向平级或总平台传输。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13) 应支持标清、高清视频图像的并发存储和录像点播功能；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应支持集中存储任意存储策略；支持各类磁盘阵列挂接。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15) 应支持7x24小时的全天候实时存储策略部署，或重点监控点位冗余备份存储策略部署。</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应支持回放功能，对视频流和数据流进行处理。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应支持对B/S架构应用进行管理、配置等，为实时图像浏览、云台控制、历史图像回放等视频监控功能提供底层技术支撑。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构建智慧养老框架，预留智慧养老功能模块接口。</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75" w:type="dxa"/>
            <w:gridSpan w:val="6"/>
            <w:shd w:val="clear" w:color="000000" w:fill="FFC000"/>
            <w:vAlign w:val="bottom"/>
          </w:tcPr>
          <w:p>
            <w:pPr>
              <w:rPr>
                <w:rFonts w:ascii="微软雅黑" w:hAnsi="微软雅黑" w:eastAsia="微软雅黑" w:cs="宋体"/>
                <w:sz w:val="32"/>
                <w:szCs w:val="32"/>
              </w:rPr>
            </w:pPr>
            <w:r>
              <w:rPr>
                <w:rFonts w:hint="eastAsia" w:ascii="微软雅黑" w:hAnsi="微软雅黑" w:eastAsia="微软雅黑" w:cs="宋体"/>
                <w:sz w:val="32"/>
                <w:szCs w:val="32"/>
              </w:rPr>
              <w:t>二、硬件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人群分析系统视频网关</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 xml:space="preserve"> 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CPU: 1颗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内存：8GB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硬盘：2TB SATA（企业级）热插拔3.5"硬盘，最大支持4T*8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网卡：板载2*1000Mb网卡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电源：550W冗余电源(动态承载)</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视频网关</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支持Onvif协议，8路接入，2路并发。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▲视频设备接入功能，支持接入与本机同一局域网（同一网段）内的视频设备，包括具有ONVIF设置选项的IPC、NVR、DVR设备，符合GB/T 28181协议的IPC、NVR、DVR设备，以及通过SDK协议接入的海康、大华IPC、NVR、DVR设备。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图片接入功能，支持接入前端摄像机产生的抓拍图片。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▲支持与云平台间的视频流进行加密，实现数据加密传输。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实时视频查看平均响应时间，从点击到显示实时视频画面不大于1秒。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▲支持双网口、双网段IP分配功能。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实时视频播放网络延迟时间不超过2秒。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支持视频流或图片的转发和存储。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支持断网重连、断电重连功能。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▲支持通过互联网远程批量重启、批量升级功能。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400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视频网关</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支持GB/T28181、Onvif及私有协议，64路接入，16路1080P并发。</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▲视频设备接入功能，支持接入与本机同一局域网（同一网段）内的视频设备，包括具有ONVIF设置选项的IPC、NVR、DVR设备，符合GB/T 28181协议的IPC、NVR、DVR设备，以及通过SDK协议接入的海康、大华IPC、NVR、DVR设备。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图片接入功能，支持接入前端摄像机产生的抓拍图片。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▲支持与云平台间的视频流进行加密，实现数据加密传输。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实时视频查看平均响应时间，从点击到显示实时视频画面不大于1秒。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▲支持双网口、双网段IP分配功能。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实时视频播放网络延迟时间不超过2秒。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支持视频流或图片的转发和存储。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支持断网重连、断电重连功能。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▲支持通过互联网远程批量重启、批量升级功能。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200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大数据业务一体机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 xml:space="preserve"> 硬件配置要求：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整机标配CPU数量≥16颗CPU；</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整机标配内存数量≥512G DDR4 内存；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整机标配存储硬盘容量≥ 64T；</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整机标配电源应满足1200W冗余电源（2+2），整机耗电量2400W；</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图片人像特征提取一体机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CPU：2颗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GPU：NVIDIA GPU高性能运算卡 *2</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内存：64GB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硬盘：2*1TB SATA硬盘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网卡：板载2*1000Mb网卡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电源：1100W或1200W冗余电源模块</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视频人像特征提取一体机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CPU：2颗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GPU：NVIDIA GPU高性能运算卡 *2</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内存：64GB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硬盘：2*1TB SATA硬盘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网卡：板载2*1000Mb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电源：1100W或1200W冗余电源模块</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视频结构化一体机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机箱：标准2U；</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CPU：标配2颗；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内存：标配64G内存；最大可支持768G；</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硬盘：8盘位，标配1块120G SSD和2块4T企业级硬盘，最大还可扩展6块。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GPU：标配2块NVIDIA  GPU高性能运算卡；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网卡：双千兆；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g) 电源：1200W冗余电源（1+1）；</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5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车辆图片结构化一体机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内存：标配64G内存；最大可支持768G；</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硬盘：8盘位，标配1块120G SSD和2块4T企业级硬盘，最大还可扩展6块。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GPU：标配2块NVIDIA  GPU高性能运算卡；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网卡：双千兆；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电源：1200W冗余电源（1+1）；</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g) 机箱：标准2U；</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事件布防一体机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CPU：标配2颗（12核/24线程，主频2.2GHz）；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内存：标配8GB*8；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硬盘：标配2*1TB SATA（企业级）热插拔3.5"硬盘，最大支持4T硬盘*12；</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电源：800W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流媒体转发一体机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 （8核/16线程，主频2.1GHz）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内存：标配32GB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d)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流媒体点播一体机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 （8核/16线程，主频2.1GHz）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内存：标配32GB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d)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全局管理服务一体机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 xml:space="preserve"> 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 (8核/16线程，主频2.1GHz)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内存：128GB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硬盘：1*480GB SSD，2*1TB SATA</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电源：1+1 冗余电源</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网卡：板载2x1000Mb网卡</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3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全局数据库服务一体机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 (8核/16线程，主频2.1GHz)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内存：128GB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硬盘：1*480GB SSD，2*1TB SATA</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电源：1+1 冗余电源</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网卡：板载2x1000Mb网卡</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3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负载均衡服务一体机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内存：标配8GB*4</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SATA（企业级）热插拔3.5"硬盘，最大支持4T*8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d)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电源：550W  1+1冗余电源(动态承载)</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2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平台运营服务一体机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 （8核/16线程，主频2.1GHz）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内存：64GB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1TB，1块4TB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d)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宋体" w:hAnsi="宋体" w:eastAsia="宋体" w:cs="宋体"/>
              </w:rPr>
            </w:pPr>
            <w:r>
              <w:rPr>
                <w:rFonts w:hint="eastAsia" w:ascii="宋体" w:hAnsi="宋体" w:eastAsia="宋体"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云平台协议视频转发服务一体机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内存：标配32GB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SATA（企业级）热插拔3.5"硬盘，最大支持36块 8T SATA 3.5''硬盘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固态硬盘：标配1块2.5" 250G SSD（内置）；</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Raid卡： 标配1张raid卡,支持raid级别 0/1/5/6/10/50/60;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网卡：4x1Gb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g) 电源：1400W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国标相机接入服务一体机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内存：标配32GB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SATA（企业级）热插拔3.5"硬盘，最大支持36块 8T SATA 3.5''硬盘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固态硬盘：标配1块2.5" 250G SSD（内置）；</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Raid卡： 标配1张raid卡,支持raid级别 0/1/5/6/10/50/60;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网卡：4x1Gb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g) 电源：1400W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文件接收缓存服务一体机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CPU：标配2颗（10核/20线程，主频2.2GHz）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内存：256GB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固态硬盘：标配1块Intel P4600 PCI-E 2TB SSD</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e) 网卡：1*sfp+接口万兆网卡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3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国标视频输出服务一体机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内存：标配32GB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d)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结构化数据同步一体机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内存：标配32GB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固态硬盘：增加1块Intel S3520 240G企业级SSD（或同级别型号）</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e)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宋体" w:hAnsi="宋体" w:eastAsia="宋体" w:cs="宋体"/>
              </w:rPr>
            </w:pPr>
            <w:r>
              <w:rPr>
                <w:rFonts w:hint="eastAsia" w:ascii="宋体" w:hAnsi="宋体" w:eastAsia="宋体"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对象存储系统一体机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配置如下：（配置不低于以下要求）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 标配2颗（8核/16线程，主频2.1GHz）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内存：128GB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硬盘：系统盘标配1块2.5" 250G SSD（内置）；存储配置36块 8T SATA 3.5''硬盘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Raid卡： 标配1张raid卡,支持raid级别 0/1/5/6/10/50/60;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网卡：4x1Gb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电源：1400W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宋体" w:hAnsi="宋体" w:eastAsia="宋体" w:cs="宋体"/>
              </w:rPr>
            </w:pPr>
            <w:r>
              <w:rPr>
                <w:rFonts w:hint="eastAsia" w:ascii="宋体" w:hAnsi="宋体" w:eastAsia="宋体" w:cs="宋体"/>
              </w:rPr>
              <w:t xml:space="preserve">3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视频图像处理服务一体机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CPU：标配2颗（12核/24线程，主频2.2GHz）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内存：128GB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硬盘：标配1TB SATA（企业级）热插拔3.5"硬盘，最大支持6T硬盘*12；</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固态硬盘：增加1块Intel S3520 480G企业级SSD（或同级别型号）</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e)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电源：800W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互联网视频图像结构化一体机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机箱：标准2U；</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CPU：标配2颗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内存：标配64G内存；最大可支持768G；</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硬盘：8盘位，标配1块120G SSD和1块4T企业级硬盘，最大还可扩展6块。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GPU：标配2块NVIDIA  GPU高性能运算卡；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网卡：双千兆；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g) 电源：1200W冗余电源（1+1）；</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宋体" w:hAnsi="宋体" w:eastAsia="宋体" w:cs="宋体"/>
              </w:rPr>
            </w:pPr>
            <w:r>
              <w:rPr>
                <w:rFonts w:hint="eastAsia" w:ascii="宋体" w:hAnsi="宋体" w:eastAsia="宋体" w:cs="宋体"/>
              </w:rPr>
              <w:t xml:space="preserve">1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视频智能身份聚合服务一体机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 （10核/20线程，主频2.2GHz）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内存：256GB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网卡：板载2x1000Mb网卡；增加2块高性能 GPU加速卡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宋体" w:hAnsi="宋体" w:eastAsia="宋体" w:cs="宋体"/>
              </w:rPr>
            </w:pPr>
            <w:r>
              <w:rPr>
                <w:rFonts w:hint="eastAsia" w:ascii="宋体" w:hAnsi="宋体" w:eastAsia="宋体" w:cs="宋体"/>
              </w:rPr>
              <w:t xml:space="preserve">2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大数据服务一体机-管理服务</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CPU：标配2颗（10核/20线程，主频2.2GHz）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内存：256GB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固态硬盘：标配1块Intel P4600 PCI-E 4TB SSD</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e)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宋体" w:hAnsi="宋体" w:eastAsia="宋体" w:cs="宋体"/>
              </w:rPr>
            </w:pPr>
            <w:r>
              <w:rPr>
                <w:rFonts w:hint="eastAsia" w:ascii="宋体" w:hAnsi="宋体" w:eastAsia="宋体" w:cs="宋体"/>
              </w:rPr>
              <w:t xml:space="preserve">2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大数据服务一体机-分析服务</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CPU：标配2颗（10核/20线程，主频2.2GHz）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内存：512GB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固态硬盘：标配1块Intel P4600 PCI-E 4TB SSD</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e)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宋体" w:hAnsi="宋体" w:eastAsia="宋体" w:cs="宋体"/>
              </w:rPr>
            </w:pPr>
            <w:r>
              <w:rPr>
                <w:rFonts w:hint="eastAsia" w:ascii="宋体" w:hAnsi="宋体" w:eastAsia="宋体" w:cs="宋体"/>
              </w:rPr>
              <w:t xml:space="preserve">3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视频图像综合应用一体机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CPU：标配2颗（8核/16线程，主频2.1GHz）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内存：128GB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d) 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宋体" w:hAnsi="宋体" w:eastAsia="宋体" w:cs="宋体"/>
              </w:rPr>
            </w:pPr>
            <w:r>
              <w:rPr>
                <w:rFonts w:hint="eastAsia" w:ascii="宋体" w:hAnsi="宋体" w:eastAsia="宋体" w:cs="宋体"/>
              </w:rPr>
              <w:t xml:space="preserve">3 </w:t>
            </w:r>
          </w:p>
        </w:tc>
        <w:tc>
          <w:tcPr>
            <w:tcW w:w="590" w:type="dxa"/>
            <w:shd w:val="clear" w:color="auto" w:fill="auto"/>
            <w:vAlign w:val="center"/>
          </w:tcPr>
          <w:p>
            <w:pPr>
              <w:rPr>
                <w:rFonts w:ascii="等线" w:hAnsi="等线" w:eastAsia="等线" w:cs="宋体"/>
              </w:rPr>
            </w:pPr>
            <w:r>
              <w:rPr>
                <w:rFonts w:hint="eastAsia" w:ascii="等线" w:hAnsi="等线" w:eastAsia="等线"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人群分析服务主机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 2颗</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内存：32G</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硬盘：4TB硬盘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GPU：NVIDIA  GPU高性能运算卡*1</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网卡：板载2*1000Mb网卡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电源：1600W冗余电源（1+1）</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29</w:t>
            </w:r>
          </w:p>
        </w:tc>
        <w:tc>
          <w:tcPr>
            <w:tcW w:w="78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存储</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CPU 标配2颗（8核/16线程，主频2.1GHz）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内存：8GB*4</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硬盘：系统盘标配1块2.5" 250G SSD（内置）；存储标配36块 6T SATA 3.5''硬盘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Raid卡： 标配1张raid卡,支持raid级别 0/1/5/6/10/50/60;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网卡：双千兆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电源：1400W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30</w:t>
            </w:r>
          </w:p>
        </w:tc>
        <w:tc>
          <w:tcPr>
            <w:tcW w:w="78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存储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CPU 标配2颗 （8核/16线程，主频2.1GHz）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内存：32GB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硬盘：系统盘标配1块2.5" ,10000转/分 及以，250G SSD（后置）；存储标配12块6T SATA 3.5''硬盘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缓存：64MB 及以上</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Raid卡： 标配1张raid卡,支持raid级别 0/1/5/6/10/50/60;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网卡：双千兆</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电源：800W 1+1冗余电源(动态承载)</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软件：配合数据文件存储服务软件使用</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31</w:t>
            </w:r>
          </w:p>
        </w:tc>
        <w:tc>
          <w:tcPr>
            <w:tcW w:w="78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存储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硬盘框：单机16盘位，支持扩展，单盘最大支持4TB硬盘，单机最大支持64TB存储容量；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硬盘：支持SAS或者SATA磁盘；标配不带硬盘；</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RAID：支持RAID级别 0/1/3/5/6/10/30/50/60；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主机接口：4个千兆网络接口，1个千兆管理接口，1个3Gb SAS扩展接口；</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电源：550W 1+1冗余电源(动态承载)。</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通用服务器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CPU：标配2颗 （12核/24线程，主频2.2GHz）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内存：标配64GB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硬盘：标配2TB SATA（企业级）热插拔3.5"硬盘，最大支持6T硬盘*12</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电源：800W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4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通用服务器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CPU：标配2颗（10核/20线程，主频2.2GHz）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内存：标配32GB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硬盘：标配2块 1TB SATA（企业级）热插拔3.5"硬盘，最大支持4T*8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电源：550W 1+1冗余电源(动态承载)</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通用服务器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CPU：标配2颗 （10核/20线程，主频2.2GHz）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内存：64GB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硬盘：2块 2TB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电源：550W 1+1冗余电源(动态承载)</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3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35</w:t>
            </w:r>
          </w:p>
        </w:tc>
        <w:tc>
          <w:tcPr>
            <w:tcW w:w="78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通用服务器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Intel®  Processor I7-4790（3.6G/8M/4C/8T/84W）；</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8G/DDR4/ECC/2133；</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2*1TB/SATA/7200RPM/3.5寸/企业级；</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GV-N1060G1 GAMING-6GD GDDR5 全高双宽（GB）；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2个10/100/1000M自适应以太网口；</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550W 高效节能服务器电源；</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包含3个27英寸显示器。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操作系统：</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64位 Win7/Win10</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通用服务器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CPU：标配2颗 （8核/16线程，主频2.1GHz）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内存：标配32GB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电源：550W  1+1冗余电源(动态承载)</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34 </w:t>
            </w:r>
          </w:p>
        </w:tc>
        <w:tc>
          <w:tcPr>
            <w:tcW w:w="590" w:type="dxa"/>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云资源服务器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CPU：标配2颗 （8核/16线程，主频2.1GHz）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内存：标配32GB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硬盘：标配2块 1TB SATA（企业级）热插拔3.5"硬盘，最大支持6T*8</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网卡：板载2x1000Mb网卡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电源：550W  1+1冗余电源(动态承载)</w:t>
            </w:r>
          </w:p>
        </w:tc>
        <w:tc>
          <w:tcPr>
            <w:tcW w:w="515"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20 </w:t>
            </w:r>
          </w:p>
        </w:tc>
        <w:tc>
          <w:tcPr>
            <w:tcW w:w="590" w:type="dxa"/>
            <w:shd w:val="clear" w:color="auto" w:fill="auto"/>
            <w:vAlign w:val="center"/>
          </w:tcPr>
          <w:p>
            <w:pPr>
              <w:jc w:val="center"/>
              <w:rPr>
                <w:rFonts w:ascii="等线" w:hAnsi="等线" w:eastAsia="等线" w:cs="宋体"/>
              </w:rPr>
            </w:pPr>
            <w:r>
              <w:rPr>
                <w:rFonts w:hint="eastAsia" w:ascii="等线" w:hAnsi="等线" w:eastAsia="等线"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小区入口挡车器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直臂、机电一体化机芯、杆长≤6米</w:t>
            </w:r>
          </w:p>
        </w:tc>
        <w:tc>
          <w:tcPr>
            <w:tcW w:w="515" w:type="dxa"/>
            <w:shd w:val="clear" w:color="auto" w:fill="auto"/>
            <w:vAlign w:val="center"/>
          </w:tcPr>
          <w:p>
            <w:pPr>
              <w:jc w:val="center"/>
              <w:rPr>
                <w:rFonts w:ascii="宋体" w:hAnsi="宋体" w:eastAsia="宋体" w:cs="宋体"/>
              </w:rPr>
            </w:pPr>
            <w:r>
              <w:rPr>
                <w:rFonts w:hint="eastAsia" w:ascii="宋体" w:hAnsi="宋体" w:eastAsia="宋体"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8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小区车辆检测器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单环路车辆检测器</w:t>
            </w:r>
          </w:p>
        </w:tc>
        <w:tc>
          <w:tcPr>
            <w:tcW w:w="515" w:type="dxa"/>
            <w:shd w:val="clear" w:color="auto" w:fill="auto"/>
            <w:vAlign w:val="center"/>
          </w:tcPr>
          <w:p>
            <w:pPr>
              <w:jc w:val="center"/>
              <w:rPr>
                <w:rFonts w:ascii="宋体" w:hAnsi="宋体" w:eastAsia="宋体" w:cs="宋体"/>
              </w:rPr>
            </w:pPr>
            <w:r>
              <w:rPr>
                <w:rFonts w:hint="eastAsia" w:ascii="宋体" w:hAnsi="宋体" w:eastAsia="宋体"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16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小区出\入口车牌识别一体机（含主控器、语音提示、双层信息显示屏、车牌识别摄像机、机箱）</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200万像素1/2.8"逐行扫描 CMOS，分辨率可达1920*1080。采用先进视频压缩技术H .264 做视频编码，抓拍帧采用JPEG编码。支持地感触发、视频流、地感+视频流等多种车辆检测识别方式。支持智能检测识别功能。支持OSD信息叠加功能，支持视频/图片叠加水印，水印可校验。支持SSD卡本地图片存储、自动覆盖、自动上传。 支持远程客户端控制功能，进行参数配置、视频预览、远程升级。支持配置文件导入导出</w:t>
            </w:r>
          </w:p>
        </w:tc>
        <w:tc>
          <w:tcPr>
            <w:tcW w:w="515" w:type="dxa"/>
            <w:shd w:val="clear" w:color="auto" w:fill="auto"/>
            <w:vAlign w:val="center"/>
          </w:tcPr>
          <w:p>
            <w:pPr>
              <w:jc w:val="center"/>
              <w:rPr>
                <w:rFonts w:ascii="宋体" w:hAnsi="宋体" w:eastAsia="宋体" w:cs="宋体"/>
              </w:rPr>
            </w:pPr>
            <w:r>
              <w:rPr>
                <w:rFonts w:hint="eastAsia" w:ascii="宋体" w:hAnsi="宋体" w:eastAsia="宋体"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8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人像抓拍机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最大图像尺寸≥1920×1080像素，帧率≥25帧；</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灰度等级：不小于11级（RJ45输出）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最低照度：彩色≤0.001 1x（AGC ON，RJ45输出，应能分辨反射式视频矩阵测试卡中彩色色块）；黑白≤0.0001 1x（AGC ON，RJ45输出，应能分辨反射式视频分辨率测试卡中圆形轮廓）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具有自动白平衡功能，当使用环境实际色温在2800K~10000K范围内变化时，能自动调整白平衡，使输出图像准确重现出观察场景的实际色彩。</w:t>
            </w:r>
          </w:p>
        </w:tc>
        <w:tc>
          <w:tcPr>
            <w:tcW w:w="515" w:type="dxa"/>
            <w:shd w:val="clear" w:color="auto" w:fill="auto"/>
            <w:vAlign w:val="center"/>
          </w:tcPr>
          <w:p>
            <w:pPr>
              <w:jc w:val="center"/>
              <w:rPr>
                <w:rFonts w:ascii="宋体" w:hAnsi="宋体" w:eastAsia="宋体" w:cs="宋体"/>
              </w:rPr>
            </w:pPr>
            <w:r>
              <w:rPr>
                <w:rFonts w:hint="eastAsia" w:ascii="宋体" w:hAnsi="宋体" w:eastAsia="宋体" w:cs="宋体"/>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8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4.3寸彩色可视门口机</w:t>
            </w:r>
          </w:p>
        </w:tc>
        <w:tc>
          <w:tcPr>
            <w:tcW w:w="7092" w:type="dxa"/>
            <w:shd w:val="clear" w:color="auto" w:fill="auto"/>
          </w:tcPr>
          <w:p>
            <w:pPr>
              <w:rPr>
                <w:rFonts w:ascii="微软雅黑" w:hAnsi="微软雅黑" w:eastAsia="微软雅黑" w:cs="宋体"/>
                <w:sz w:val="20"/>
                <w:szCs w:val="20"/>
              </w:rPr>
            </w:pPr>
            <w:r>
              <w:rPr>
                <w:rFonts w:hint="eastAsia" w:ascii="微软雅黑" w:hAnsi="微软雅黑" w:eastAsia="微软雅黑" w:cs="宋体"/>
                <w:sz w:val="20"/>
                <w:szCs w:val="20"/>
              </w:rPr>
              <w:t>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设备外观：铝合金面板、ABS外壳</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显示方式：4.3英寸液晶显示屏，采用大屏幕LCD显示界面，多语言操作提示， 按键编码式操作，夜视背光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摄像头：1/3″彩色CMOS，130万像素</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最低照度：0.05LUX</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e) 主芯片：工作频率 四核1.5GHz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f) 内存：512MB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g) 闪存：4GB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h) 视频H.264编解码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i) 音频G.711/G.729编解码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j) 通信方式: 10M-100M LAN，标准RJ-45接口</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k) 操作系统：Android4.4</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l) 音频信噪比：≥25dB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m) 通话时间：120~1800S</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n) 工作电压：DC12V</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o) 待机功耗：3W</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p) 工作功耗：6W(4.3寸)/7W（10寸）</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q) 工作温度：-40℃～+70℃</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60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43</w:t>
            </w:r>
          </w:p>
        </w:tc>
        <w:tc>
          <w:tcPr>
            <w:tcW w:w="78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红外网络高清高速智能球机</w:t>
            </w:r>
          </w:p>
        </w:tc>
        <w:tc>
          <w:tcPr>
            <w:tcW w:w="7092" w:type="dxa"/>
            <w:shd w:val="clear" w:color="auto" w:fill="auto"/>
          </w:tcPr>
          <w:p>
            <w:pPr>
              <w:rPr>
                <w:rFonts w:ascii="等线" w:hAnsi="等线" w:eastAsia="等线" w:cs="宋体"/>
                <w:color w:val="000000"/>
              </w:rPr>
            </w:pPr>
            <w:r>
              <w:rPr>
                <w:rFonts w:hint="eastAsia" w:ascii="等线" w:hAnsi="等线" w:eastAsia="等线" w:cs="宋体"/>
                <w:color w:val="000000"/>
              </w:rPr>
              <w:t>配置要求：（配置不低于以下要求）</w:t>
            </w:r>
            <w:r>
              <w:rPr>
                <w:rFonts w:hint="eastAsia" w:ascii="等线" w:hAnsi="等线" w:eastAsia="等线" w:cs="宋体"/>
                <w:color w:val="000000"/>
              </w:rPr>
              <w:br w:type="textWrapping"/>
            </w:r>
            <w:r>
              <w:rPr>
                <w:rFonts w:hint="eastAsia" w:ascii="等线" w:hAnsi="等线" w:eastAsia="等线" w:cs="宋体"/>
                <w:color w:val="000000"/>
              </w:rPr>
              <w:t>a) 支持最大1920×1080@60fps高清画面输出</w:t>
            </w:r>
            <w:r>
              <w:rPr>
                <w:rFonts w:hint="eastAsia" w:ascii="等线" w:hAnsi="等线" w:eastAsia="等线" w:cs="宋体"/>
                <w:color w:val="000000"/>
              </w:rPr>
              <w:br w:type="textWrapping"/>
            </w:r>
            <w:r>
              <w:rPr>
                <w:rFonts w:hint="eastAsia" w:ascii="等线" w:hAnsi="等线" w:eastAsia="等线" w:cs="宋体"/>
                <w:color w:val="000000"/>
              </w:rPr>
              <w:t>b) 支持H.265高效压缩算法，可较大节省存储空间</w:t>
            </w:r>
            <w:r>
              <w:rPr>
                <w:rFonts w:hint="eastAsia" w:ascii="等线" w:hAnsi="等线" w:eastAsia="等线" w:cs="宋体"/>
                <w:color w:val="000000"/>
              </w:rPr>
              <w:br w:type="textWrapping"/>
            </w:r>
            <w:r>
              <w:rPr>
                <w:rFonts w:hint="eastAsia" w:ascii="等线" w:hAnsi="等线" w:eastAsia="等线" w:cs="宋体"/>
                <w:color w:val="000000"/>
              </w:rPr>
              <w:t>c) 采用高效红外阵列，低功耗，照射距离达200m</w:t>
            </w:r>
            <w:r>
              <w:rPr>
                <w:rFonts w:hint="eastAsia" w:ascii="等线" w:hAnsi="等线" w:eastAsia="等线" w:cs="宋体"/>
                <w:color w:val="000000"/>
              </w:rPr>
              <w:br w:type="textWrapping"/>
            </w:r>
            <w:r>
              <w:rPr>
                <w:rFonts w:hint="eastAsia" w:ascii="等线" w:hAnsi="等线" w:eastAsia="等线" w:cs="宋体"/>
                <w:color w:val="000000"/>
              </w:rPr>
              <w:t>d) 支持宽动态范围达120dB，适合逆光环境监控</w:t>
            </w:r>
            <w:r>
              <w:rPr>
                <w:rFonts w:hint="eastAsia" w:ascii="等线" w:hAnsi="等线" w:eastAsia="等线" w:cs="宋体"/>
                <w:color w:val="000000"/>
              </w:rPr>
              <w:br w:type="textWrapping"/>
            </w:r>
            <w:r>
              <w:rPr>
                <w:rFonts w:hint="eastAsia" w:ascii="等线" w:hAnsi="等线" w:eastAsia="等线" w:cs="宋体"/>
                <w:color w:val="000000"/>
              </w:rPr>
              <w:t>e) 采用光学透雾技术，极大提升透雾效果</w:t>
            </w:r>
            <w:r>
              <w:rPr>
                <w:rFonts w:hint="eastAsia" w:ascii="等线" w:hAnsi="等线" w:eastAsia="等线" w:cs="宋体"/>
                <w:color w:val="000000"/>
              </w:rPr>
              <w:br w:type="textWrapping"/>
            </w:r>
            <w:r>
              <w:rPr>
                <w:rFonts w:hint="eastAsia" w:ascii="等线" w:hAnsi="等线" w:eastAsia="等线" w:cs="宋体"/>
                <w:color w:val="000000"/>
              </w:rPr>
              <w:t>f) 支持1080p@60fps、960p@60fps、720p@60fps高帧率输出</w:t>
            </w:r>
            <w:r>
              <w:rPr>
                <w:rFonts w:hint="eastAsia" w:ascii="等线" w:hAnsi="等线" w:eastAsia="等线" w:cs="宋体"/>
                <w:color w:val="000000"/>
              </w:rPr>
              <w:br w:type="textWrapping"/>
            </w:r>
            <w:r>
              <w:rPr>
                <w:rFonts w:hint="eastAsia" w:ascii="等线" w:hAnsi="等线" w:eastAsia="等线" w:cs="宋体"/>
                <w:color w:val="000000"/>
              </w:rPr>
              <w:t>g) 支持三码流技术，每路码流可独立配置分辨率及帧率</w:t>
            </w:r>
            <w:r>
              <w:rPr>
                <w:rFonts w:hint="eastAsia" w:ascii="等线" w:hAnsi="等线" w:eastAsia="等线" w:cs="宋体"/>
                <w:color w:val="000000"/>
              </w:rPr>
              <w:br w:type="textWrapping"/>
            </w:r>
            <w:r>
              <w:rPr>
                <w:rFonts w:hint="eastAsia" w:ascii="等线" w:hAnsi="等线" w:eastAsia="等线" w:cs="宋体"/>
                <w:color w:val="000000"/>
              </w:rPr>
              <w:t>h) 支持断网续传功能保证录像不丢失，配合Smart NVR实现事件录像的二次智能检索、分析和浓缩播放</w:t>
            </w:r>
            <w:r>
              <w:rPr>
                <w:rFonts w:hint="eastAsia" w:ascii="等线" w:hAnsi="等线" w:eastAsia="等线" w:cs="宋体"/>
                <w:color w:val="000000"/>
              </w:rPr>
              <w:br w:type="textWrapping"/>
            </w:r>
            <w:r>
              <w:rPr>
                <w:rFonts w:hint="eastAsia" w:ascii="等线" w:hAnsi="等线" w:eastAsia="等线" w:cs="宋体"/>
                <w:color w:val="000000"/>
              </w:rPr>
              <w:t>i) 支持3D数字降噪、强光抑制、电子防抖、SmartIR</w:t>
            </w:r>
            <w:r>
              <w:rPr>
                <w:rFonts w:hint="eastAsia" w:ascii="等线" w:hAnsi="等线" w:eastAsia="等线" w:cs="宋体"/>
                <w:color w:val="000000"/>
              </w:rPr>
              <w:br w:type="textWrapping"/>
            </w:r>
            <w:r>
              <w:rPr>
                <w:rFonts w:hint="eastAsia" w:ascii="等线" w:hAnsi="等线" w:eastAsia="等线" w:cs="宋体"/>
                <w:color w:val="000000"/>
              </w:rPr>
              <w:t>j) 支持360°水平旋转，垂直方向-20°-90°</w:t>
            </w:r>
            <w:r>
              <w:rPr>
                <w:rFonts w:hint="eastAsia" w:ascii="等线" w:hAnsi="等线" w:eastAsia="等线" w:cs="宋体"/>
                <w:color w:val="000000"/>
              </w:rPr>
              <w:br w:type="textWrapping"/>
            </w:r>
            <w:r>
              <w:rPr>
                <w:rFonts w:hint="eastAsia" w:ascii="等线" w:hAnsi="等线" w:eastAsia="等线" w:cs="宋体"/>
                <w:color w:val="000000"/>
              </w:rPr>
              <w:t>k) 支持300个预置位，8条巡航扫描</w:t>
            </w:r>
            <w:r>
              <w:rPr>
                <w:rFonts w:hint="eastAsia" w:ascii="等线" w:hAnsi="等线" w:eastAsia="等线" w:cs="宋体"/>
                <w:color w:val="000000"/>
              </w:rPr>
              <w:br w:type="textWrapping"/>
            </w:r>
            <w:r>
              <w:rPr>
                <w:rFonts w:hint="eastAsia" w:ascii="等线" w:hAnsi="等线" w:eastAsia="等线" w:cs="宋体"/>
                <w:color w:val="000000"/>
              </w:rPr>
              <w:t>l) 支持3D定位，可通过鼠标框选目标以实现目标的快速定位与捕捉</w:t>
            </w:r>
            <w:r>
              <w:rPr>
                <w:rFonts w:hint="eastAsia" w:ascii="等线" w:hAnsi="等线" w:eastAsia="等线" w:cs="宋体"/>
                <w:color w:val="000000"/>
              </w:rPr>
              <w:br w:type="textWrapping"/>
            </w:r>
            <w:r>
              <w:rPr>
                <w:rFonts w:hint="eastAsia" w:ascii="等线" w:hAnsi="等线" w:eastAsia="等线" w:cs="宋体"/>
                <w:color w:val="000000"/>
              </w:rPr>
              <w:t>m) 支持定时抓图与事件抓图功能</w:t>
            </w:r>
            <w:r>
              <w:rPr>
                <w:rFonts w:hint="eastAsia" w:ascii="等线" w:hAnsi="等线" w:eastAsia="等线" w:cs="宋体"/>
                <w:color w:val="000000"/>
              </w:rPr>
              <w:br w:type="textWrapping"/>
            </w:r>
            <w:r>
              <w:rPr>
                <w:rFonts w:hint="eastAsia" w:ascii="等线" w:hAnsi="等线" w:eastAsia="等线" w:cs="宋体"/>
                <w:color w:val="000000"/>
              </w:rPr>
              <w:t>n) 支持定时任务、一键守望、一键巡航功能</w:t>
            </w:r>
            <w:r>
              <w:rPr>
                <w:rFonts w:hint="eastAsia" w:ascii="等线" w:hAnsi="等线" w:eastAsia="等线" w:cs="宋体"/>
                <w:color w:val="000000"/>
              </w:rPr>
              <w:br w:type="textWrapping"/>
            </w:r>
            <w:r>
              <w:rPr>
                <w:rFonts w:hint="eastAsia" w:ascii="等线" w:hAnsi="等线" w:eastAsia="等线" w:cs="宋体"/>
                <w:color w:val="000000"/>
              </w:rPr>
              <w:t>o) 支持1路音频输入和1路音频输出</w:t>
            </w:r>
            <w:r>
              <w:rPr>
                <w:rFonts w:hint="eastAsia" w:ascii="等线" w:hAnsi="等线" w:eastAsia="等线" w:cs="宋体"/>
                <w:color w:val="000000"/>
              </w:rPr>
              <w:br w:type="textWrapping"/>
            </w:r>
            <w:r>
              <w:rPr>
                <w:rFonts w:hint="eastAsia" w:ascii="等线" w:hAnsi="等线" w:eastAsia="等线" w:cs="宋体"/>
                <w:color w:val="000000"/>
              </w:rPr>
              <w:t>p) 内置7路报警输入和2路报警输出，支持报警联动功能</w:t>
            </w:r>
            <w:r>
              <w:rPr>
                <w:rFonts w:hint="eastAsia" w:ascii="等线" w:hAnsi="等线" w:eastAsia="等线" w:cs="宋体"/>
                <w:color w:val="000000"/>
              </w:rPr>
              <w:br w:type="textWrapping"/>
            </w:r>
            <w:r>
              <w:rPr>
                <w:rFonts w:hint="eastAsia" w:ascii="等线" w:hAnsi="等线" w:eastAsia="等线" w:cs="宋体"/>
                <w:color w:val="000000"/>
              </w:rPr>
              <w:t>q) 支持最大256G的 Micro SD/SDHC/SDXC卡存储</w:t>
            </w:r>
            <w:r>
              <w:rPr>
                <w:rFonts w:hint="eastAsia" w:ascii="等线" w:hAnsi="等线" w:eastAsia="等线" w:cs="宋体"/>
                <w:color w:val="000000"/>
              </w:rPr>
              <w:br w:type="textWrapping"/>
            </w:r>
            <w:r>
              <w:rPr>
                <w:rFonts w:hint="eastAsia" w:ascii="等线" w:hAnsi="等线" w:eastAsia="等线" w:cs="宋体"/>
                <w:color w:val="000000"/>
              </w:rPr>
              <w:t>r) AC24V±25%宽幅电压输入，并支持DC24V供电。(-A型号)</w:t>
            </w:r>
            <w:r>
              <w:rPr>
                <w:rFonts w:hint="eastAsia" w:ascii="等线" w:hAnsi="等线" w:eastAsia="等线" w:cs="宋体"/>
                <w:color w:val="000000"/>
              </w:rPr>
              <w:br w:type="textWrapping"/>
            </w:r>
            <w:r>
              <w:rPr>
                <w:rFonts w:hint="eastAsia" w:ascii="等线" w:hAnsi="等线" w:eastAsia="等线" w:cs="宋体"/>
                <w:color w:val="000000"/>
              </w:rPr>
              <w:t>s) 防雷、防浪涌、防突波，IP66防护等级</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4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安全数据交换系统</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硬件参数：</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标准机架式，包含两台设备；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每台设备具备≥4个10/100/1000Mbps（电口）×4；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每台主机配置120G企业级固态硬盘；</w:t>
            </w:r>
          </w:p>
        </w:tc>
        <w:tc>
          <w:tcPr>
            <w:tcW w:w="515"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60"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数据网闸</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标准机架式，采用2+1双主机架构和专用硬件隔离技术；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保证信任网络和非信任网络之间链路层的断开，彻底阻断TCP/IP协议以及其他网络协议；</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隔离硬件上采用物理开关进行通道控制，可根据使用用户的具体业务需要进行数据传输通道方向开关控制；</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隔离硬件内部程序固化防篡改：设计以可靠性为第一原则，一旦出现任何异常，就切断传输，保证不出现在数据内容检查、完整性校验功能失效的情况下继续传输数据的情况；</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10/100/1000Mbps（电口）×8；4个USB接口，2个RJ45串口。</w:t>
            </w:r>
          </w:p>
        </w:tc>
        <w:tc>
          <w:tcPr>
            <w:tcW w:w="51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60"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万兆安全视频交换系统</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由视频接入认证服务器、视频用户认证服务器，用于媒体传输和视频协议信令控制</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标准机架式</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每台设备具备10/100/1000Mbps（电口）×4，SFP（光纤口）×2</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应用吞吐量：9Gbps</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图像传输性能线性：线性7500Mbps,1250路1080p图像传输能力（单路码流6Mbps）</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延时&lt;50ms</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图像码率支持&lt;20Mbps（单路）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并发数&gt;2000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无故障运行时间≧50000小时</w:t>
            </w:r>
          </w:p>
        </w:tc>
        <w:tc>
          <w:tcPr>
            <w:tcW w:w="51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60"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万兆视频网闸</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标准机架式设备；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采用2+1双主机架构和专用硬件隔离技术；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DDR3内存技术，支持双通道；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保证信任网络和非信任网络之间链路层的断开，彻底阻断TCP/IP协议以及其他网络协议；</w:t>
            </w:r>
          </w:p>
        </w:tc>
        <w:tc>
          <w:tcPr>
            <w:tcW w:w="51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60"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防火墙</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2) 吞吐量：10Gbit/s 每秒新建连接数：10万 最大并发连接数：400万。 2U机型，含交流冗余电源，1*RJ45串口，1*RJ45管理口，2*USB接口，6*GE电口（Bypass），2*SFP+（万兆插槽，不含光纤接口模块）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支持对1500+ 种应用平台及2200+种的应用进行识别和控制，至少支持5大类，比如：商业系统、协作应用、一般网络应用、媒体等及28子类，比如：认证服务、数据库、ERP-CRM、软件更新、电子邮件、VOIP视频、游戏等。</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支持应用过滤器，至少支持4个维度进行过滤，比如：应用类别、实现技术、风险等级、标签。</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能够将通过应用过滤器筛选出来的应用直接生成模板供用户统一管理使用。</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支持联动外部扫描器，外部扫描器定期将漏洞推送至防火墙，通过防火墙可查看扫描器上报的内部资产漏洞的拦截情况。</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支持信誉、僵尸网络防护。云端定期下发Web信誉、僵尸网络服务器、恶意站点信息到防火墙上，由防火墙对匹配相关特征的恶意攻击进行拦截。</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能够支持云端入侵防护事件的记录和分析，可通过互联网接入云端，支持任意时间任意地点的安全事件查看和管理。</w:t>
            </w:r>
          </w:p>
        </w:tc>
        <w:tc>
          <w:tcPr>
            <w:tcW w:w="51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60"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3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IPS</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网络吞吐量：1800Mbps</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应用层（HTTP）吞吐量：1000Mbps</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c) 并发连接数：200万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d) 新建连接数：40000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功能：过滤防护，攻击防护，逃逸检测防护，策略自定义，策略初始模板，策略初始模板，响应处理，报表和统计，HTTPS支持，入侵防御，大于8000条特征库事件，流量监测，入侵响应，安全告警，入侵事件审计，安全报表，串联或旁路部署方式，集中管理，安全审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产品及特征库：特征库升级频率:每周，策略管理，产品灵活性:旁路或串联，https设备管理，身份鉴别:用户名+密码、令牌、证书，用户管理:三权分立，支持安全审计，产品自身安全:安全OS，加密传输，部署方式:旁路或串联，高可用性:支持主备或主主模式，APT检测:扩展支持，防病毒检测:扩展支持,内容防护:支持，漏洞挖掘数量:30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支持用户以安全区、IP地址（网段）、时间、用户、应用多维度的对流量进行管理和控制，包括限制应用上下行最大带宽、保证应用上下行最小带宽、保证带宽下的优先级排序以及每IP的进行应用流量控制。</w:t>
            </w:r>
          </w:p>
        </w:tc>
        <w:tc>
          <w:tcPr>
            <w:tcW w:w="51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60"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50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核心交换机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交换容量≥2.56Tbps，包转发率≥1600Mpps；</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主机提供≥48个1G/10G SFP+接口，2个QSFP+接口，配置2个万兆多模光模块；模块化双电源，双风扇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3) MAC地址表≥128K，设备支持缓存≥8M缓存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支持完善的堆叠分裂检测机制，堆叠分裂后能自动完成MAC和IP地址的重配置，无需手动干预</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支持IPv4静态路由、RIP V1/V2、OSPF、BGP</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支持IPv6静态路由、RIPng、OSPFv3、BGP4+</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支持IPv4和IPv6环境下的策略路由</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支持IPv6手动隧道、6to4隧道和ISATAP隧道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支持设备自动扫描功能，可防止非法终端私接入网，保证整网安全</w:t>
            </w:r>
          </w:p>
        </w:tc>
        <w:tc>
          <w:tcPr>
            <w:tcW w:w="51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60"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3 </w:t>
            </w:r>
          </w:p>
        </w:tc>
        <w:tc>
          <w:tcPr>
            <w:tcW w:w="590" w:type="dxa"/>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51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交换机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配置要求：（配置不低于以下要求）</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a) 24个10/100/1000Base-T自适应以太网口，2个千兆SFP端口，2万兆SFP+口；</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b) 1个Console口；转发速率：10/100/1000Mbps；</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支持XModem/FTP/TFTP加载升级</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支持命令行接口（CLI），Telnet，Console口进行基本业务配置，支持SNMP，支持RMON（Remote Monitoring），支持iMC智能管理中心，支持系统日志，分级告警，调试信息输出</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支持NTP，支持Ping，Tracert，支持VCT（Virtual Cable Test）电缆检测功能纠错；</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支持用户分级管理和口令保护，支持AAA认证，支持Radius认证，支持HWTACACS，支持SSH2.0，支持端口隔离，支持 802.1X，支持端口安全，支持MAC地址认证</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支持IP Source Guard，支持HTTPs，支持PKI(Public Key Infrastructure，公钥基础设施)，支持EAD纠错</w:t>
            </w:r>
          </w:p>
        </w:tc>
        <w:tc>
          <w:tcPr>
            <w:tcW w:w="51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60"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28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52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光模块</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SFP+ 万兆模块(850nm,300m,LC)</w:t>
            </w:r>
          </w:p>
        </w:tc>
        <w:tc>
          <w:tcPr>
            <w:tcW w:w="51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块</w:t>
            </w:r>
          </w:p>
        </w:tc>
        <w:tc>
          <w:tcPr>
            <w:tcW w:w="760"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70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53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光模块</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SFP+ 万兆模块(1310nm,10km,LC)</w:t>
            </w:r>
          </w:p>
        </w:tc>
        <w:tc>
          <w:tcPr>
            <w:tcW w:w="51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块</w:t>
            </w:r>
          </w:p>
        </w:tc>
        <w:tc>
          <w:tcPr>
            <w:tcW w:w="760"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3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75" w:type="dxa"/>
            <w:gridSpan w:val="6"/>
            <w:shd w:val="clear" w:color="000000" w:fill="FFC000"/>
            <w:vAlign w:val="bottom"/>
          </w:tcPr>
          <w:p>
            <w:pPr>
              <w:rPr>
                <w:rFonts w:ascii="微软雅黑" w:hAnsi="微软雅黑" w:eastAsia="微软雅黑" w:cs="宋体"/>
                <w:sz w:val="32"/>
                <w:szCs w:val="32"/>
              </w:rPr>
            </w:pPr>
            <w:r>
              <w:rPr>
                <w:rFonts w:hint="eastAsia" w:ascii="微软雅黑" w:hAnsi="微软雅黑" w:eastAsia="微软雅黑" w:cs="宋体"/>
                <w:sz w:val="32"/>
                <w:szCs w:val="32"/>
              </w:rPr>
              <w:t>三、展厅设施设备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大屏</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 本项目需要对展厅进行设计和规划。展厅应划分不同区域，按照智慧鄢陵大数据中心展示区域、智慧鄢陵专有云平台展示区域、智慧公安展示区域、智慧社区展示区域、智慧旅游展示区域、智慧城管展示区域、智慧医疗展示区域、智慧教育展示区域、智慧养老展示区域。各个区域展示风格设计应根据平台风格进行设计。</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 本项目应根据各个智慧平台设计数字配套内容，数字配套内容包括平台特色，互动内容，特效制作。</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 本项目展示中心建设应通过超高分可视化大屏幕显示系统，可以轻松实现直观、实时、全方位地集中显示各个系统的信息。</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4) 本项目各系统信息在大屏幕上根据业务逻辑分布显示，并且对显示信息进行智能化管理，以便于指挥中枢准确、实时全面的观看和掌握各方面信息并做出正确的决策，大大提高指挥调度决策（尤其在紧急情况处置时）的效率。</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5) 像素间距应≤2.5mm</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6) 单元板参数应达到：320 mm ×160mm</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7) 单元板分辨率应达到128 Pixel × 64Pixel</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8) 模组像素密度应达到: 160000点/m2 定制压铸铝箱，精加工</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9) 驱动方式应为恒流驱动，32扫</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10) 水平、垂直视角应≥160°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11) 视觉刷新频率（Hz）应≥3000Hz</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白平衡亮度应350-1200可调</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13) 对比度应达到2000:1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14) 色温应达到3200-9300K可调</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15) 颜色处理位数应16bit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16) 平均功耗应≤245W/m2</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17) 平均无故障时间应≥10000小时</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应具有CCC、CE、Rosh、FCC认证</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平方米</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225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配套屏幕</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拼接屏42寸，亮度500CD，分辨率1920*1080，支持HDMI，自动休眠</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4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LED控制器</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 xml:space="preserve">发送卡 接收卡+转接卡 15KW 显示屏安装支架结构 系统控制软件 "高清混合矩阵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1.全通道纯数字1080P无损处理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2.单机最高支持30720*17280LED等效点阵，多机级联可以驱动无限幅度。</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触摸屏</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32寸触摸显示一体机、分辨率1920*1080、主机配置：双核、4G、500G；</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8.00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音响系统</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含2.0无源音响设备、含功放系统一套</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5.00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LED+灯光膜 +地面箱体</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LED直流驱动灯带、采用2835芯片、材质：高透光PVC、功率5w/米、发光角度120度、色温暖白</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平方米</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50.00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透明LED</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 xml:space="preserve">1) 像素间距应≤10.41mm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2) 箱体分辨率应 96点（W）*96点(H)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3) 像素组成应为1R1G1B（三合一）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4) 像素密度应≥ 9216点/m2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5) 扫描方式应为3扫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6) 刷新频率应 ≥1920Hz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7) 驱动应IC MY9868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8) 灰度等级 ≥14Bit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9) 箱体尺寸应1000mm*1000mm（根据现场情况定制）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10) 亮度水平应5000-6000cd/ m2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11) 色温应8000K±500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12) 可视角度水平140°垂直140°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13) 最佳视距应&gt;10m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14) 箱体工作电压应AC110~ 240V,  50/60Hz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15) 最大功耗应≤680W/m² ；平均功耗≤ 240W/pcs（视视频源而定）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16) 使用寿命应＞50000小时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 xml:space="preserve">17) 工作温度应 -20℃ ～ 60℃ </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18) 净重应≤18kg/㎡</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平方米</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29.00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滑动轨道</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工业支架设计、安装、焊接、限位及拼接对位防撞系统，保证系统拼接的准确度。 应具有良好的安全风险管控。</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平方米</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5.50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开篇影片</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智慧鄢陵总体宣传片</w:t>
            </w:r>
          </w:p>
          <w:p>
            <w:pPr>
              <w:rPr>
                <w:rFonts w:ascii="微软雅黑" w:hAnsi="微软雅黑" w:eastAsia="微软雅黑" w:cs="宋体"/>
                <w:sz w:val="20"/>
                <w:szCs w:val="20"/>
              </w:rPr>
            </w:pPr>
            <w:r>
              <w:rPr>
                <w:rFonts w:hint="eastAsia" w:ascii="微软雅黑" w:hAnsi="微软雅黑" w:eastAsia="微软雅黑" w:cs="宋体"/>
                <w:sz w:val="20"/>
                <w:szCs w:val="20"/>
              </w:rPr>
              <w:t>定智慧鄢陵开篇影片，介绍智慧鄢陵整个系统以及鄢陵总体介绍。</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分钟</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4.00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全馆LED流线配套数字内容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互动软件内容、特效制作；</w:t>
            </w:r>
          </w:p>
          <w:p>
            <w:pPr>
              <w:pStyle w:val="28"/>
              <w:ind w:firstLine="0" w:firstLineChars="0"/>
            </w:pPr>
            <w:r>
              <w:rPr>
                <w:rFonts w:hint="eastAsia" w:ascii="微软雅黑" w:hAnsi="微软雅黑" w:eastAsia="微软雅黑" w:cs="宋体"/>
                <w:sz w:val="20"/>
                <w:szCs w:val="20"/>
              </w:rPr>
              <w:t>模拟动态的数据传输特效，时时刻刻动态的数据流使得整体展示空间犹如一个真实的智慧城市数据组内部空间，给予参观者极大的视觉震撼，同时把智慧鄢陵的每个分节点连接贯穿起来。</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序厅配套数字内容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定制、互动软件内容、特效制作；</w:t>
            </w:r>
          </w:p>
          <w:p>
            <w:pPr>
              <w:pStyle w:val="28"/>
              <w:ind w:firstLine="0" w:firstLineChars="0"/>
              <w:rPr>
                <w:rFonts w:ascii="微软雅黑" w:hAnsi="微软雅黑" w:eastAsia="微软雅黑" w:cs="宋体"/>
                <w:sz w:val="20"/>
                <w:szCs w:val="20"/>
              </w:rPr>
            </w:pPr>
            <w:r>
              <w:rPr>
                <w:rFonts w:hint="eastAsia" w:ascii="微软雅黑" w:hAnsi="微软雅黑" w:eastAsia="微软雅黑" w:cs="宋体"/>
                <w:sz w:val="20"/>
                <w:szCs w:val="20"/>
              </w:rPr>
              <w:t>入口感应式通电玻璃结合投影特效，参观者在进入展厅之前就感受到鄢陵智慧特色，一门入智慧，从初始就给予参观者全新的感官体验，同时承担欢迎词的播放。</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智慧鄢陵专有云平台配套数字内容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定制、互动软件内容、特效制作；</w:t>
            </w:r>
          </w:p>
          <w:p>
            <w:pPr>
              <w:pStyle w:val="28"/>
              <w:ind w:firstLine="0" w:firstLineChars="0"/>
            </w:pPr>
            <w:r>
              <w:rPr>
                <w:rFonts w:hint="eastAsia" w:ascii="微软雅黑" w:hAnsi="微软雅黑" w:eastAsia="微软雅黑" w:cs="宋体"/>
                <w:sz w:val="20"/>
                <w:szCs w:val="20"/>
              </w:rPr>
              <w:t>数字内容主要包括：鄢陵智慧云平台，在互联网上实现以视频为核心的物联网资源接入，实现旅游、医疗、教育、养老、城市管理等多场所资源汇聚，云平台建设在互联网上，可为各委办局、社会单位提供视频应用服务，实现视频资源共享应用、视频惠民服务，实现群防群治。形成统一的互联网视图资源出口，并将视图资源共享到智慧鄢陵大数据信息中心。</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项</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智慧公安平台,配套数字内容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互动软件内容、特效制作；</w:t>
            </w:r>
          </w:p>
          <w:p>
            <w:pPr>
              <w:pStyle w:val="28"/>
              <w:ind w:firstLine="0" w:firstLineChars="0"/>
            </w:pPr>
            <w:r>
              <w:rPr>
                <w:rFonts w:hint="eastAsia" w:ascii="微软雅黑" w:hAnsi="微软雅黑" w:eastAsia="微软雅黑" w:cs="宋体"/>
                <w:sz w:val="20"/>
                <w:szCs w:val="20"/>
              </w:rPr>
              <w:t>数字内容主要包括：公共安全视频图像信息共享分平台建设于公安信息网中，平台主要实现各类视频信息整合和管理，整合各类不同的图像资源、不同编码格式的图像资源、公安业务信息等数据，具备信息资源管理、设备管理、用户管理、网络管理、安全管理等功能。实现视频资源统一调度，和数据资源的全面共享，并在此基础上深度挖掘实战应用功能，以公安业务需求为导向，依托系统之间的有效关联和对接以及系统平台的业务开发能力，为各部门、警种提供实战支撑。</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智慧社区，多媒体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定制、互动软件内容、特效制作；</w:t>
            </w:r>
          </w:p>
          <w:p>
            <w:pPr>
              <w:pStyle w:val="28"/>
              <w:ind w:firstLine="0" w:firstLineChars="0"/>
            </w:pPr>
            <w:r>
              <w:rPr>
                <w:rFonts w:hint="eastAsia" w:ascii="微软雅黑" w:hAnsi="微软雅黑" w:eastAsia="微软雅黑" w:cs="宋体"/>
                <w:sz w:val="20"/>
                <w:szCs w:val="20"/>
              </w:rPr>
              <w:t>数字内容主要包括：智能社区系统，通过汇聚小区视频、出入口人脸抓拍、车辆抓拍、门禁通行记录、地图数据、小区实有人口数据等，实现了通过小区感知数据找人的最后100米，并提供了人像比对、轨迹刻画、碰撞分析、异常发现等多种研判分析手段，为政府各部门的信息检索、数据分析处理及关联应用提供有利的信息和技术支撑。</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智慧城管，配套多媒体</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定制、互动软件内容、特效制作；</w:t>
            </w:r>
          </w:p>
          <w:p>
            <w:pPr>
              <w:pStyle w:val="28"/>
              <w:ind w:firstLine="0" w:firstLineChars="0"/>
            </w:pPr>
            <w:r>
              <w:rPr>
                <w:rFonts w:hint="eastAsia" w:ascii="微软雅黑" w:hAnsi="微软雅黑" w:eastAsia="微软雅黑" w:cs="宋体"/>
                <w:sz w:val="20"/>
                <w:szCs w:val="20"/>
              </w:rPr>
              <w:t>数字内容主要包括：通过智能图像处理技术，自动检测进入警戒区的人、动物、汽车等运动目标。在摄像机监视的场景范围内，可根据需要设置任意形状、多个警戒区域。一旦有满足预设条件的目标进入警戒区域，则自动产生告警，并用告警框标识出进入警戒区域的目标，同时依据预设告警动作做出相应反应，并标示出其运动轨迹，提醒相关人员注意有运动目标入侵。</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智慧教育，配套数字内容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定制、互动软件内容、特效制作；</w:t>
            </w:r>
          </w:p>
          <w:p>
            <w:pPr>
              <w:pStyle w:val="28"/>
              <w:ind w:firstLine="0" w:firstLineChars="0"/>
            </w:pPr>
            <w:r>
              <w:rPr>
                <w:rFonts w:hint="eastAsia" w:ascii="微软雅黑" w:hAnsi="微软雅黑" w:eastAsia="微软雅黑" w:cs="宋体"/>
                <w:sz w:val="20"/>
                <w:szCs w:val="20"/>
              </w:rPr>
              <w:t>构建出一个数字空间，快速调用授课资源，即时批注讲解：大屏与课桌触摸屏结合演示，配合批注工具对重点进行圈划、讲解，十分方便和及时,提升传统教育的管理、运行效率。</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智慧养老，配套数字内容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定制、互动软件内容、特效制作；</w:t>
            </w:r>
          </w:p>
          <w:p>
            <w:pPr>
              <w:pStyle w:val="28"/>
              <w:ind w:firstLine="0" w:firstLineChars="0"/>
            </w:pPr>
            <w:r>
              <w:rPr>
                <w:rFonts w:hint="eastAsia" w:ascii="微软雅黑" w:hAnsi="微软雅黑" w:eastAsia="微软雅黑" w:cs="宋体"/>
                <w:sz w:val="20"/>
                <w:szCs w:val="20"/>
              </w:rPr>
              <w:t>智慧养老是面向居家老人、社区及养老机构的传感网系统与信息平台，并在此基础上提供实时、快捷、高效、低成本的，物联化、互联化、智能化的养老服务，查看智慧养老的具体实施程序演示视频。</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智慧旅游平台，配套数字内容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互动软件内容、特效制作；</w:t>
            </w:r>
          </w:p>
          <w:p>
            <w:pPr>
              <w:pStyle w:val="28"/>
              <w:ind w:firstLine="0" w:firstLineChars="0"/>
            </w:pPr>
            <w:r>
              <w:rPr>
                <w:rFonts w:hint="eastAsia" w:ascii="微软雅黑" w:hAnsi="微软雅黑" w:eastAsia="微软雅黑" w:cs="宋体"/>
                <w:sz w:val="20"/>
                <w:szCs w:val="20"/>
              </w:rPr>
              <w:t>数字内容主要包括：智慧旅游平台的人群分析功能和鄢陵视频名片，各个旅游景点的视频，汇聚进行展示分析。</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智慧医疗配套数字内容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定制、互动软件内容、特效制作；</w:t>
            </w:r>
          </w:p>
          <w:p>
            <w:pPr>
              <w:pStyle w:val="28"/>
              <w:ind w:firstLine="0" w:firstLineChars="0"/>
            </w:pPr>
            <w:r>
              <w:rPr>
                <w:rFonts w:hint="eastAsia" w:ascii="微软雅黑" w:hAnsi="微软雅黑" w:eastAsia="微软雅黑" w:cs="宋体"/>
                <w:sz w:val="20"/>
                <w:szCs w:val="20"/>
              </w:rPr>
              <w:t>数字内容主要包括：医院、养老院等医疗行业视频资源展示，视频资源实时播放，历史回放。实现特殊人员动态布控展示。</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VR软件；智慧党建，配套数字内容</w:t>
            </w:r>
          </w:p>
          <w:p>
            <w:pPr>
              <w:pStyle w:val="28"/>
              <w:ind w:firstLine="0" w:firstLineChars="0"/>
            </w:pPr>
            <w:r>
              <w:rPr>
                <w:rFonts w:hint="eastAsia" w:ascii="微软雅黑" w:hAnsi="微软雅黑" w:eastAsia="微软雅黑" w:cs="宋体"/>
                <w:sz w:val="20"/>
                <w:szCs w:val="20"/>
              </w:rPr>
              <w:t>旨在运用新媒体VR技术提升组织工作质量，探索以大数据助推党建工作智能化，打造新时代党员教育管理的服务平台。</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配套数字内容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展示鄢陵未来，配套数字内容</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定制、互动软件内容、特效制作；</w:t>
            </w:r>
          </w:p>
          <w:p>
            <w:pPr>
              <w:pStyle w:val="28"/>
              <w:ind w:firstLine="0" w:firstLineChars="0"/>
            </w:pPr>
            <w:r>
              <w:rPr>
                <w:rFonts w:hint="eastAsia" w:ascii="微软雅黑" w:hAnsi="微软雅黑" w:eastAsia="微软雅黑" w:cs="宋体"/>
                <w:sz w:val="20"/>
                <w:szCs w:val="20"/>
              </w:rPr>
              <w:t>定制、互动软件内容、特效制作；智慧城市的建设必然来带城市的飞速剧变，未来的场景通过全景屏幕的方式展示在参观者面前，未来的交通，医疗，公安，旅游等等，每个分场景都给予参观者对未来生活的美好描绘，智构建，秀未来。</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轻量化VR交互</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智慧旅游平台，轻量化VR交互</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VR平台交互软件</w:t>
            </w:r>
          </w:p>
          <w:p>
            <w:pPr>
              <w:pStyle w:val="28"/>
              <w:ind w:firstLine="0" w:firstLineChars="0"/>
            </w:pPr>
            <w:r>
              <w:rPr>
                <w:rFonts w:hint="eastAsia" w:ascii="微软雅黑" w:hAnsi="微软雅黑" w:eastAsia="微软雅黑" w:cs="宋体"/>
                <w:sz w:val="20"/>
                <w:szCs w:val="20"/>
              </w:rPr>
              <w:t>虚拟现实眼镜高清画质，利用计算机生成一种模拟环境是一种多源信息融合的交互式的三维动态视景，并结合相应的实体行为系统仿真使用户沉浸到该环境中,从而体验到虚拟世界的乐趣。</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指挥中心辅助及智慧设备</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大屏播放，视频矩阵，多级视频信号呼入控制软件，分屏显示设备，多路信号源管理设备 20进8出</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主机设备</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播放设备 处理器I5\内存8G\硬盘120GSSD\专业独立显卡输出；</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62.00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25</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VR内容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VR软件包含一个景区;VR内容（2处）</w:t>
            </w:r>
          </w:p>
          <w:p>
            <w:pPr>
              <w:pStyle w:val="28"/>
              <w:ind w:firstLine="0" w:firstLineChars="0"/>
            </w:pPr>
            <w:r>
              <w:rPr>
                <w:rFonts w:hint="eastAsia" w:ascii="微软雅黑" w:hAnsi="微软雅黑" w:eastAsia="微软雅黑" w:cs="宋体"/>
                <w:sz w:val="20"/>
                <w:szCs w:val="20"/>
              </w:rPr>
              <w:t>虚拟驾驶是指利用现代高科技手段让体验者在一个虚拟的驾驶环境中，感受到接近真实效果的视觉、听觉和体感的汽车驾驶体验。我们在展厅中摆放设备，参观者可以开着车看遍鄢陵美景</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26</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轻量化数字内容</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VR轻量化平台软件；智慧党建，轻量化数字内容</w:t>
            </w:r>
          </w:p>
          <w:p>
            <w:pPr>
              <w:pStyle w:val="28"/>
              <w:ind w:firstLine="0" w:firstLineChars="0"/>
            </w:pPr>
            <w:r>
              <w:rPr>
                <w:rFonts w:hint="eastAsia" w:ascii="微软雅黑" w:hAnsi="微软雅黑" w:eastAsia="微软雅黑" w:cs="宋体"/>
                <w:sz w:val="20"/>
                <w:szCs w:val="20"/>
              </w:rPr>
              <w:t>旨在运用新媒体VR技术提升组织工作质量，探索以大数据助推党建工作智能化，打造新时代党员教育管理的服务平台。</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27</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轻量化VR设备</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头戴式、内置显示器、内置八核1.9mhz处理器，操作系统基于安卓4.42、储存：支持tf卡内存卡扩充、运行内存2g、屏幕分辨率1080p高清，支持重力感应器、网络wifi、传输蓝牙4.0、电池可运行四小时以上、可调节物理目距；</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3.00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28</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VR设备</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Vive头戴式设备×1、三合一连接线×1、音频线×1、耳塞式耳机×1、面部衬垫×2、清洁布×1、串流盒×1、电源适配器×1HDMI连接线×1、固定贴片×1、Vive操控手柄×2、电源适配器×2、挂绳×2、Micro-USB数据线×2、激光定位器×2、电源适配器×2、安装工具包×1、同步数据线×1、安装U盘，</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2.00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29</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VR主机</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工作站：I7 8700 32G内存，500G固态硬盘 NV1080显卡，</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2.00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30</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传感器及软件</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导轨位置感应器、互动采集系统、互动下位机软件、相关通讯协议</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镜面化处理</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定制玻璃贴覆</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平方米</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14.40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32</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全馆中控</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基本功能：开关机、播放、联动控制、灯控等、投影机开关控制：电脑开关控制； 灯光控制、控制灯光开关、及设置联动开光功能 门禁系统：移动端扫码形式，控制门禁的打开、关闭 电动幕布系统：移动端、实现幕布的自动打开，关闭 电动窗帘、实现电动窗帘的自动打开，关闭 空调系统：实现空调开关、冷热模式设定</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33</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微网站</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包含公众号微网站、全景、虚拟展馆复原、室内导览功能、后台管理、新闻发布等功能</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34</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空调系统</w:t>
            </w:r>
          </w:p>
        </w:tc>
        <w:tc>
          <w:tcPr>
            <w:tcW w:w="7092"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1.总制冷量≥24.9KW 平均每平米≥250w 连接率100%</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2.夏季：室内设计温度：27℃DB，19℃WB；室外设计温度：4</w:t>
            </w:r>
            <w:r>
              <w:rPr>
                <w:rFonts w:ascii="微软雅黑" w:hAnsi="微软雅黑" w:eastAsia="微软雅黑" w:cs="宋体"/>
                <w:sz w:val="20"/>
                <w:szCs w:val="20"/>
              </w:rPr>
              <w:t>0</w:t>
            </w:r>
            <w:r>
              <w:rPr>
                <w:rFonts w:hint="eastAsia" w:ascii="微软雅黑" w:hAnsi="微软雅黑" w:eastAsia="微软雅黑" w:cs="宋体"/>
                <w:sz w:val="20"/>
                <w:szCs w:val="20"/>
              </w:rPr>
              <w:t>℃DB；</w:t>
            </w:r>
            <w:r>
              <w:rPr>
                <w:rFonts w:hint="eastAsia" w:ascii="微软雅黑" w:hAnsi="微软雅黑" w:eastAsia="微软雅黑" w:cs="宋体"/>
                <w:sz w:val="20"/>
                <w:szCs w:val="20"/>
              </w:rPr>
              <w:br w:type="textWrapping"/>
            </w:r>
            <w:r>
              <w:rPr>
                <w:rFonts w:hint="eastAsia" w:ascii="微软雅黑" w:hAnsi="微软雅黑" w:eastAsia="微软雅黑" w:cs="宋体"/>
                <w:sz w:val="20"/>
                <w:szCs w:val="20"/>
              </w:rPr>
              <w:t>3.冬季：室内设计温度：20℃DB；室外设计温度：-10℃DB。</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等线" w:hAnsi="等线" w:eastAsia="等线" w:cs="宋体"/>
                <w:b/>
                <w:bCs/>
              </w:rPr>
            </w:pPr>
            <w:r>
              <w:rPr>
                <w:rFonts w:hint="eastAsia" w:ascii="等线" w:hAnsi="等线" w:eastAsia="等线" w:cs="宋体"/>
                <w:b/>
                <w:bCs/>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75" w:type="dxa"/>
            <w:gridSpan w:val="6"/>
            <w:shd w:val="clear" w:color="000000" w:fill="FFC000"/>
            <w:vAlign w:val="bottom"/>
          </w:tcPr>
          <w:p>
            <w:pPr>
              <w:rPr>
                <w:rFonts w:ascii="微软雅黑" w:hAnsi="微软雅黑" w:eastAsia="微软雅黑" w:cs="宋体"/>
                <w:sz w:val="32"/>
                <w:szCs w:val="32"/>
              </w:rPr>
            </w:pPr>
            <w:r>
              <w:rPr>
                <w:rFonts w:hint="eastAsia" w:ascii="微软雅黑" w:hAnsi="微软雅黑" w:eastAsia="微软雅黑" w:cs="宋体"/>
                <w:sz w:val="32"/>
                <w:szCs w:val="32"/>
              </w:rPr>
              <w:t>四、机房设施设备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市电智能配电柜</w:t>
            </w:r>
          </w:p>
        </w:tc>
        <w:tc>
          <w:tcPr>
            <w:tcW w:w="7092" w:type="dxa"/>
            <w:shd w:val="clear" w:color="auto" w:fill="auto"/>
          </w:tcPr>
          <w:p>
            <w:pPr>
              <w:rPr>
                <w:rFonts w:ascii="黑体" w:hAnsi="黑体" w:eastAsia="黑体" w:cs="宋体"/>
                <w:sz w:val="20"/>
                <w:szCs w:val="20"/>
              </w:rPr>
            </w:pPr>
            <w:r>
              <w:rPr>
                <w:rFonts w:hint="eastAsia" w:ascii="黑体" w:hAnsi="黑体" w:eastAsia="黑体" w:cs="宋体"/>
                <w:sz w:val="20"/>
                <w:szCs w:val="20"/>
              </w:rPr>
              <w:t>柜体尺寸：800mm*600mm*2000mm；/B级防雷器/带接口/全电量监控，总输入250A/PC级/ATS/1个；空调输出80A/3P/3个，预留16A/1P/3个，32A/2P/3个；市电直供IT空开200A/3P/1个；至精密列头柜开关125A/3P/5个；防雷1套，铜排一批，智能电表触摸屏及电量采集等，电流互感器一批。</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UPS智能配电柜</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柜体尺寸：800mm*600mm*2000mm；/B级防雷器/带接口/全电量监控，UPS输入以及旁路开关125A/3P/2个；UPS输出开关125A/3P/5个；防雷1套，铜排一批，智能电表触摸屏及电量采集等，电流互感器一批。</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精密列头柜</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柜体尺寸：600*1000*2000mm；/C级防雷器/带RS485接口/全电量监控，总输入125A/3P/2个，输出32A/1P/18个。OBO防雷2套，铜排一批，智能电表触摸屏及电量采集等，电流互感器一批。</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4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4</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万用孔PDU</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电源分配单元，16A\12位，含6个万用插孔和6个IEC C13 插孔</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60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5</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智能电量仪</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三相电力参数监控：电压、电流、功率、频率、功率因数、有功功率、无功功率、电度计量，RS485上联</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黑体" w:hAnsi="黑体" w:eastAsia="黑体" w:cs="宋体"/>
                <w:color w:val="000000"/>
                <w:sz w:val="20"/>
                <w:szCs w:val="20"/>
              </w:rPr>
            </w:pPr>
            <w:r>
              <w:rPr>
                <w:rFonts w:hint="eastAsia" w:ascii="黑体" w:hAnsi="黑体" w:eastAsia="黑体" w:cs="宋体"/>
                <w:color w:val="000000"/>
                <w:sz w:val="20"/>
                <w:szCs w:val="20"/>
              </w:rPr>
              <w:t>6</w:t>
            </w:r>
          </w:p>
        </w:tc>
        <w:tc>
          <w:tcPr>
            <w:tcW w:w="59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6</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电量仪接口模块</w:t>
            </w:r>
          </w:p>
        </w:tc>
        <w:tc>
          <w:tcPr>
            <w:tcW w:w="7092" w:type="dxa"/>
            <w:shd w:val="clear" w:color="auto" w:fill="auto"/>
            <w:vAlign w:val="center"/>
          </w:tcPr>
          <w:p>
            <w:pPr>
              <w:rPr>
                <w:rFonts w:ascii="黑体" w:hAnsi="黑体" w:eastAsia="黑体" w:cs="宋体"/>
                <w:sz w:val="20"/>
                <w:szCs w:val="20"/>
              </w:rPr>
            </w:pPr>
            <w:r>
              <w:rPr>
                <w:rFonts w:hint="eastAsia" w:ascii="黑体" w:hAnsi="宋体" w:eastAsia="黑体" w:cs="黑体"/>
                <w:kern w:val="0"/>
                <w:sz w:val="20"/>
                <w:szCs w:val="20"/>
              </w:rPr>
              <w:t>从电量仪接口上读取：电力参数 模拟量：电压、电流、功率、功率因数、频率等；</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7</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通讯转换模块</w:t>
            </w:r>
          </w:p>
        </w:tc>
        <w:tc>
          <w:tcPr>
            <w:tcW w:w="7092" w:type="dxa"/>
            <w:shd w:val="clear" w:color="auto" w:fill="auto"/>
            <w:vAlign w:val="center"/>
          </w:tcPr>
          <w:p>
            <w:pPr>
              <w:rPr>
                <w:rFonts w:ascii="黑体" w:hAnsi="黑体" w:eastAsia="黑体" w:cs="宋体"/>
                <w:sz w:val="20"/>
                <w:szCs w:val="20"/>
              </w:rPr>
            </w:pPr>
            <w:r>
              <w:rPr>
                <w:rFonts w:hint="eastAsia" w:ascii="黑体" w:hAnsi="宋体" w:eastAsia="黑体" w:cs="黑体"/>
                <w:kern w:val="0"/>
                <w:sz w:val="20"/>
                <w:szCs w:val="20"/>
              </w:rPr>
              <w:t>供电电源： 12VDC；输出形式：RS485转232  静态电流：&lt;45mA； 工作环境：-10 55℃，10~98%RH；</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 xml:space="preserve">个 </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8</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UPS接口模块</w:t>
            </w:r>
          </w:p>
        </w:tc>
        <w:tc>
          <w:tcPr>
            <w:tcW w:w="7092" w:type="dxa"/>
            <w:shd w:val="clear" w:color="auto" w:fill="auto"/>
            <w:vAlign w:val="center"/>
          </w:tcPr>
          <w:p>
            <w:pPr>
              <w:rPr>
                <w:rFonts w:ascii="黑体" w:hAnsi="黑体" w:eastAsia="黑体" w:cs="宋体"/>
                <w:sz w:val="20"/>
                <w:szCs w:val="20"/>
              </w:rPr>
            </w:pPr>
            <w:r>
              <w:rPr>
                <w:rFonts w:hint="eastAsia" w:ascii="黑体" w:hAnsi="宋体" w:eastAsia="黑体" w:cs="黑体"/>
                <w:kern w:val="0"/>
                <w:sz w:val="20"/>
                <w:szCs w:val="20"/>
              </w:rPr>
              <w:t>从UPS通讯卡上读取：A、模拟量：输入相电压，输出相电压，旁路相电压，输入相电流，输出相电流，旁路相电流，电池电压，电池电流，输出频率，系统负载，电池充电程度，电池后备时间等；</w:t>
            </w:r>
            <w:r>
              <w:rPr>
                <w:rFonts w:hint="eastAsia" w:ascii="黑体" w:hAnsi="宋体" w:eastAsia="黑体" w:cs="黑体"/>
                <w:kern w:val="0"/>
                <w:sz w:val="20"/>
                <w:szCs w:val="20"/>
              </w:rPr>
              <w:br w:type="textWrapping"/>
            </w:r>
            <w:r>
              <w:rPr>
                <w:rFonts w:hint="eastAsia" w:ascii="黑体" w:hAnsi="宋体" w:eastAsia="黑体" w:cs="黑体"/>
                <w:kern w:val="0"/>
                <w:sz w:val="20"/>
                <w:szCs w:val="20"/>
              </w:rPr>
              <w:t>B、数字量：输入电压越限，输出电压越限，输出频率越限，过载，电池工作模式，旁路工作模式，电池电压高，电池电压低，系统报警，整流器报警，逆变器报警，系统关机，旁路电压超限等</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9</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通讯转换模块</w:t>
            </w:r>
          </w:p>
        </w:tc>
        <w:tc>
          <w:tcPr>
            <w:tcW w:w="7092" w:type="dxa"/>
            <w:shd w:val="clear" w:color="auto" w:fill="auto"/>
            <w:vAlign w:val="center"/>
          </w:tcPr>
          <w:p>
            <w:pPr>
              <w:rPr>
                <w:rFonts w:ascii="黑体" w:hAnsi="黑体" w:eastAsia="黑体" w:cs="宋体"/>
                <w:sz w:val="20"/>
                <w:szCs w:val="20"/>
              </w:rPr>
            </w:pPr>
            <w:r>
              <w:rPr>
                <w:rFonts w:hint="eastAsia" w:ascii="黑体" w:hAnsi="宋体" w:eastAsia="黑体" w:cs="黑体"/>
                <w:kern w:val="0"/>
                <w:sz w:val="20"/>
                <w:szCs w:val="20"/>
              </w:rPr>
              <w:t>供电电源： 12VDC；输出形式：RS485转232  静态电流：&lt;45mA； 工作环境：-10 55℃，10~98%RH；</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10</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精密空调接口模块</w:t>
            </w:r>
          </w:p>
        </w:tc>
        <w:tc>
          <w:tcPr>
            <w:tcW w:w="7092" w:type="dxa"/>
            <w:shd w:val="clear" w:color="auto" w:fill="auto"/>
            <w:vAlign w:val="center"/>
          </w:tcPr>
          <w:p>
            <w:pPr>
              <w:rPr>
                <w:rFonts w:ascii="黑体" w:hAnsi="黑体" w:eastAsia="黑体" w:cs="宋体"/>
                <w:sz w:val="20"/>
                <w:szCs w:val="20"/>
              </w:rPr>
            </w:pPr>
            <w:r>
              <w:rPr>
                <w:rFonts w:hint="eastAsia" w:ascii="黑体" w:hAnsi="宋体" w:eastAsia="黑体" w:cs="黑体"/>
                <w:kern w:val="0"/>
                <w:sz w:val="20"/>
                <w:szCs w:val="20"/>
              </w:rPr>
              <w:t>从空调通讯板卡，实时监控空调的运行状态及各部件（压缩机、风机等）状态，报警，控制空调的开关机、温湿度设定。</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11</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智能温湿度传感器</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供电电源：12VDC电流：&lt;10mA显示：数码显示测量值测湿范围：0～100％RH精度：±3%RH（25℃时）测温范围：-20～60℃精度：±0.5℃（全量程内）串行输出：RS485工作环境：-20～60℃，0～100%RH最大尺寸：86mm×86mm×30mm重量：100g</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个</w:t>
            </w:r>
          </w:p>
        </w:tc>
        <w:tc>
          <w:tcPr>
            <w:tcW w:w="760" w:type="dxa"/>
            <w:shd w:val="clear" w:color="auto" w:fill="auto"/>
            <w:vAlign w:val="center"/>
          </w:tcPr>
          <w:p>
            <w:pPr>
              <w:jc w:val="center"/>
              <w:rPr>
                <w:rFonts w:ascii="黑体" w:hAnsi="黑体" w:eastAsia="黑体" w:cs="宋体"/>
                <w:color w:val="000000"/>
                <w:sz w:val="20"/>
                <w:szCs w:val="20"/>
              </w:rPr>
            </w:pPr>
            <w:r>
              <w:rPr>
                <w:rFonts w:hint="eastAsia" w:ascii="黑体" w:hAnsi="黑体" w:eastAsia="黑体" w:cs="宋体"/>
                <w:color w:val="000000"/>
                <w:sz w:val="20"/>
                <w:szCs w:val="20"/>
              </w:rPr>
              <w:t>4</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12</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温湿度传感器接口模块</w:t>
            </w:r>
          </w:p>
        </w:tc>
        <w:tc>
          <w:tcPr>
            <w:tcW w:w="7092" w:type="dxa"/>
            <w:shd w:val="clear" w:color="auto" w:fill="auto"/>
            <w:vAlign w:val="center"/>
          </w:tcPr>
          <w:p>
            <w:pPr>
              <w:rPr>
                <w:rFonts w:ascii="黑体" w:hAnsi="黑体" w:eastAsia="黑体" w:cs="宋体"/>
                <w:sz w:val="20"/>
                <w:szCs w:val="20"/>
              </w:rPr>
            </w:pPr>
            <w:r>
              <w:rPr>
                <w:rFonts w:hint="eastAsia" w:ascii="黑体" w:hAnsi="宋体" w:eastAsia="黑体" w:cs="黑体"/>
                <w:kern w:val="0"/>
                <w:sz w:val="20"/>
                <w:szCs w:val="20"/>
              </w:rPr>
              <w:t>由温湿度传感器采集各机房内的信号，实时显示温度信号、湿度信号。以电子地图方式实时显示并记录每个温湿度传感器所检测到的室内温度与湿度的数值，显示短时间段内的变化情况曲线图。并可设定每个温湿度传感器的温度与湿度的上限与下限值。当任意一个温湿度传感器检测到的数据超过设定的上限或下限时，监控主系统发出报警。</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13</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门禁接口模块</w:t>
            </w:r>
          </w:p>
        </w:tc>
        <w:tc>
          <w:tcPr>
            <w:tcW w:w="7092" w:type="dxa"/>
            <w:shd w:val="clear" w:color="auto" w:fill="auto"/>
            <w:vAlign w:val="center"/>
          </w:tcPr>
          <w:p>
            <w:pPr>
              <w:rPr>
                <w:rFonts w:ascii="黑体" w:hAnsi="黑体" w:eastAsia="黑体" w:cs="宋体"/>
                <w:sz w:val="20"/>
                <w:szCs w:val="20"/>
              </w:rPr>
            </w:pPr>
            <w:r>
              <w:rPr>
                <w:rFonts w:hint="eastAsia" w:ascii="黑体" w:hAnsi="宋体" w:eastAsia="黑体" w:cs="黑体"/>
                <w:kern w:val="0"/>
                <w:sz w:val="20"/>
                <w:szCs w:val="20"/>
              </w:rPr>
              <w:t>对门禁系统集成，读取门的开关状态，展现门的状态</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14</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摄像头</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400万像素网络摄像机</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个</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5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15</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网络硬盘录像机（含硬盘）</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网络硬盘录像机，8路视音频输入和2路回放,支持SATA硬盘,支持双输出,接入网络硬盘录像机通过IP接入；硬盘4T容量</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16</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摄像机电源</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摄像机配套电源</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5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17</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管理服务器</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双核2.0、4G内存、500G硬盘</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18</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显示器</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19英寸液晶显示屏</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19</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监控管理平台</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监控管理平台，实现对数据中心动力、环境集中监控管理，可扩展报警管理、报表管理、数据管理、3D管理、云图管理等功能，</w:t>
            </w:r>
          </w:p>
          <w:p>
            <w:pPr>
              <w:rPr>
                <w:rFonts w:ascii="黑体" w:hAnsi="黑体" w:eastAsia="黑体" w:cs="宋体"/>
                <w:sz w:val="20"/>
                <w:szCs w:val="20"/>
              </w:rPr>
            </w:pPr>
            <w:r>
              <w:rPr>
                <w:rFonts w:hint="eastAsia" w:ascii="黑体" w:hAnsi="黑体" w:eastAsia="黑体" w:cs="宋体"/>
                <w:sz w:val="20"/>
                <w:szCs w:val="20"/>
              </w:rPr>
              <w:t>1）要求机房网络门禁系统应为独立监控系统。</w:t>
            </w:r>
            <w:r>
              <w:rPr>
                <w:rFonts w:hint="eastAsia" w:ascii="黑体" w:hAnsi="黑体" w:eastAsia="黑体" w:cs="宋体"/>
                <w:sz w:val="20"/>
                <w:szCs w:val="20"/>
              </w:rPr>
              <w:br w:type="textWrapping"/>
            </w:r>
            <w:r>
              <w:rPr>
                <w:rFonts w:hint="eastAsia" w:ascii="黑体" w:hAnsi="黑体" w:eastAsia="黑体" w:cs="宋体"/>
                <w:sz w:val="20"/>
                <w:szCs w:val="20"/>
              </w:rPr>
              <w:t>2) 要求系统软件可以连续稳定运行，在非人为退出系统的情况下，整个监控系统平均故障间隔时间MTBF应大于10000h，DCIM系统平均修复时间MTTR不超过2小时。</w:t>
            </w:r>
            <w:r>
              <w:rPr>
                <w:rFonts w:hint="eastAsia" w:ascii="黑体" w:hAnsi="黑体" w:eastAsia="黑体" w:cs="宋体"/>
                <w:sz w:val="20"/>
                <w:szCs w:val="20"/>
              </w:rPr>
              <w:br w:type="textWrapping"/>
            </w:r>
            <w:r>
              <w:rPr>
                <w:rFonts w:hint="eastAsia" w:ascii="黑体" w:hAnsi="黑体" w:eastAsia="黑体" w:cs="宋体"/>
                <w:sz w:val="20"/>
                <w:szCs w:val="20"/>
              </w:rPr>
              <w:t>3) 要求系统软件的最大测点量不少于150000测点；</w:t>
            </w:r>
            <w:r>
              <w:rPr>
                <w:rFonts w:hint="eastAsia" w:ascii="黑体" w:hAnsi="黑体" w:eastAsia="黑体" w:cs="宋体"/>
                <w:sz w:val="20"/>
                <w:szCs w:val="20"/>
              </w:rPr>
              <w:br w:type="textWrapping"/>
            </w:r>
            <w:r>
              <w:rPr>
                <w:rFonts w:hint="eastAsia" w:ascii="黑体" w:hAnsi="黑体" w:eastAsia="黑体" w:cs="宋体"/>
                <w:sz w:val="20"/>
                <w:szCs w:val="20"/>
              </w:rPr>
              <w:t>4) 要求单测试点动态数据获取时间：小于2秒；每秒10,000测试点刷新；</w:t>
            </w:r>
            <w:r>
              <w:rPr>
                <w:rFonts w:hint="eastAsia" w:ascii="黑体" w:hAnsi="黑体" w:eastAsia="黑体" w:cs="宋体"/>
                <w:sz w:val="20"/>
                <w:szCs w:val="20"/>
              </w:rPr>
              <w:br w:type="textWrapping"/>
            </w:r>
            <w:r>
              <w:rPr>
                <w:rFonts w:hint="eastAsia" w:ascii="黑体" w:hAnsi="黑体" w:eastAsia="黑体" w:cs="宋体"/>
                <w:sz w:val="20"/>
                <w:szCs w:val="20"/>
              </w:rPr>
              <w:t>5) 要求控制延时：小于10秒；告警延时：小于30秒；</w:t>
            </w:r>
            <w:r>
              <w:rPr>
                <w:rFonts w:hint="eastAsia" w:ascii="黑体" w:hAnsi="黑体" w:eastAsia="黑体" w:cs="宋体"/>
                <w:sz w:val="20"/>
                <w:szCs w:val="20"/>
              </w:rPr>
              <w:br w:type="textWrapping"/>
            </w:r>
            <w:r>
              <w:rPr>
                <w:rFonts w:hint="eastAsia" w:ascii="黑体" w:hAnsi="黑体" w:eastAsia="黑体" w:cs="宋体"/>
                <w:sz w:val="20"/>
                <w:szCs w:val="20"/>
              </w:rPr>
              <w:t>6) 要求数据中心满配状态，管理服务器CPU占用率小于40%，内存占用率小于75%；</w:t>
            </w:r>
            <w:r>
              <w:rPr>
                <w:rFonts w:hint="eastAsia" w:ascii="黑体" w:hAnsi="黑体" w:eastAsia="黑体" w:cs="宋体"/>
                <w:sz w:val="20"/>
                <w:szCs w:val="20"/>
              </w:rPr>
              <w:br w:type="textWrapping"/>
            </w:r>
            <w:r>
              <w:rPr>
                <w:rFonts w:hint="eastAsia" w:ascii="黑体" w:hAnsi="黑体" w:eastAsia="黑体" w:cs="宋体"/>
                <w:sz w:val="20"/>
                <w:szCs w:val="20"/>
              </w:rPr>
              <w:t>7) 要求访问人数：在保证系统性能的情况下，支持100人同时访问系统，系统运行流畅不卡顿。</w:t>
            </w:r>
            <w:r>
              <w:rPr>
                <w:rFonts w:hint="eastAsia" w:ascii="黑体" w:hAnsi="黑体" w:eastAsia="黑体" w:cs="宋体"/>
                <w:sz w:val="20"/>
                <w:szCs w:val="20"/>
              </w:rPr>
              <w:br w:type="textWrapping"/>
            </w:r>
            <w:r>
              <w:rPr>
                <w:rFonts w:hint="eastAsia" w:ascii="黑体" w:hAnsi="黑体" w:eastAsia="黑体" w:cs="宋体"/>
                <w:sz w:val="20"/>
                <w:szCs w:val="20"/>
              </w:rPr>
              <w:t>8) 要求DCIM系统冗余切换：双机切换时间（秒）≤ 10。</w:t>
            </w:r>
            <w:r>
              <w:rPr>
                <w:rFonts w:hint="eastAsia" w:ascii="黑体" w:hAnsi="黑体" w:eastAsia="黑体" w:cs="宋体"/>
                <w:sz w:val="20"/>
                <w:szCs w:val="20"/>
              </w:rPr>
              <w:br w:type="textWrapping"/>
            </w:r>
            <w:r>
              <w:rPr>
                <w:rFonts w:hint="eastAsia" w:ascii="黑体" w:hAnsi="黑体" w:eastAsia="黑体" w:cs="宋体"/>
                <w:sz w:val="20"/>
                <w:szCs w:val="20"/>
              </w:rPr>
              <w:t>9) 要求DCIM系统历史数据存储时间不少于3年。</w:t>
            </w:r>
            <w:r>
              <w:rPr>
                <w:rFonts w:hint="eastAsia" w:ascii="黑体" w:hAnsi="黑体" w:eastAsia="黑体" w:cs="宋体"/>
                <w:sz w:val="20"/>
                <w:szCs w:val="20"/>
              </w:rPr>
              <w:br w:type="textWrapping"/>
            </w:r>
            <w:r>
              <w:rPr>
                <w:rFonts w:hint="eastAsia" w:ascii="黑体" w:hAnsi="黑体" w:eastAsia="黑体" w:cs="宋体"/>
                <w:sz w:val="20"/>
                <w:szCs w:val="20"/>
              </w:rPr>
              <w:t>10) 要求要求系统报表查询时间每20000条数据不超过1分钟。</w:t>
            </w:r>
            <w:r>
              <w:rPr>
                <w:rFonts w:hint="eastAsia" w:ascii="黑体" w:hAnsi="黑体" w:eastAsia="黑体" w:cs="宋体"/>
                <w:sz w:val="20"/>
                <w:szCs w:val="20"/>
              </w:rPr>
              <w:br w:type="textWrapping"/>
            </w:r>
            <w:r>
              <w:rPr>
                <w:rFonts w:hint="eastAsia" w:ascii="黑体" w:hAnsi="黑体" w:eastAsia="黑体" w:cs="宋体"/>
                <w:sz w:val="20"/>
                <w:szCs w:val="20"/>
              </w:rPr>
              <w:t>11) 要求监控实时数据响应时间要求不超过5秒（采集服务器采集发起时间至设备返回数据时间），告警响应时间不超过5秒(为避免过多重复报警,设备通信中断告警根据实际情况可延长到3分钟))。</w:t>
            </w:r>
            <w:r>
              <w:rPr>
                <w:rFonts w:hint="eastAsia" w:ascii="黑体" w:hAnsi="黑体" w:eastAsia="黑体" w:cs="宋体"/>
                <w:sz w:val="20"/>
                <w:szCs w:val="20"/>
              </w:rPr>
              <w:br w:type="textWrapping"/>
            </w:r>
            <w:r>
              <w:rPr>
                <w:rFonts w:hint="eastAsia" w:ascii="黑体" w:hAnsi="黑体" w:eastAsia="黑体" w:cs="宋体"/>
                <w:sz w:val="20"/>
                <w:szCs w:val="20"/>
              </w:rPr>
              <w:t>12) 要求系统采用模块化的架构进行设计，功能模块、采集模块均是可扩展的插件，能分期扩展，实现容量扩展、功能模块扩展,满足招标方对软件功能模块的增减、以及任何模块出现故障，都不会影响同级别的其他模块的正常工作。</w:t>
            </w:r>
            <w:r>
              <w:rPr>
                <w:rFonts w:hint="eastAsia" w:ascii="黑体" w:hAnsi="黑体" w:eastAsia="黑体" w:cs="宋体"/>
                <w:sz w:val="20"/>
                <w:szCs w:val="20"/>
              </w:rPr>
              <w:br w:type="textWrapping"/>
            </w:r>
            <w:r>
              <w:rPr>
                <w:rFonts w:hint="eastAsia" w:ascii="黑体" w:hAnsi="黑体" w:eastAsia="黑体" w:cs="宋体"/>
                <w:sz w:val="20"/>
                <w:szCs w:val="20"/>
              </w:rPr>
              <w:t>13) 要求系统应具有兼容性，向上能向更高层系统通过标准接口交互数据，向下能集成各种弱电智能化系统， 与第三方系统或管理平台实现数据交互。支持的接口、协议包括但不限于：基于TCP/IP的SNMP、OPC、ODBC、API、Socket等。</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20</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嵌入式监控工作站主机</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 应采用基于嵌入式Linux平台；</w:t>
            </w:r>
            <w:r>
              <w:rPr>
                <w:rFonts w:hint="eastAsia" w:ascii="黑体" w:hAnsi="黑体" w:eastAsia="黑体" w:cs="宋体"/>
                <w:sz w:val="20"/>
                <w:szCs w:val="20"/>
              </w:rPr>
              <w:br w:type="textWrapping"/>
            </w:r>
            <w:r>
              <w:rPr>
                <w:rFonts w:hint="eastAsia" w:ascii="黑体" w:hAnsi="黑体" w:eastAsia="黑体" w:cs="宋体"/>
                <w:sz w:val="20"/>
                <w:szCs w:val="20"/>
              </w:rPr>
              <w:t>2) 应采用低功耗、散热好、抗干扰性较强、适应能力好、稳定性高的ARM处理器；具有来电自启动、远程数据采集、数据预处理、脱网运行及WEB配置网页等诸多功能；具有不受病毒感染，不需安装系统补丁等特点；组网方式：基于IP的局域网、广域网、因特网、以太网等；12路RS485光隔离接口（6位扩展槽(最大可扩展至12路串口)网络接口：2×10/100 Base-T工作温度：0～60℃，尺寸大小：2U机架位，1个Console串口，2个USB2.0、1路VGA、1路HDMI，功耗：35W左右</w:t>
            </w:r>
            <w:r>
              <w:rPr>
                <w:rFonts w:hint="eastAsia" w:ascii="黑体" w:hAnsi="黑体" w:eastAsia="黑体" w:cs="宋体"/>
                <w:sz w:val="20"/>
                <w:szCs w:val="20"/>
              </w:rPr>
              <w:br w:type="textWrapping"/>
            </w:r>
            <w:r>
              <w:rPr>
                <w:rFonts w:hint="eastAsia" w:ascii="黑体" w:hAnsi="黑体" w:eastAsia="黑体" w:cs="宋体"/>
                <w:sz w:val="20"/>
                <w:szCs w:val="20"/>
              </w:rPr>
              <w:t>3) 必须使用ESB数据总线，整合能力强大:对数据中心的信息资源进行整合，并具备流程协同能力；规范各系统及各数据源接口，方便各子系统的对接及扩充；集成BA系统、网络管理系统，实现数据中心的集中监控管理；实现与资产管理系统、应用管理系统的资源共享与业务协同。</w:t>
            </w:r>
            <w:r>
              <w:rPr>
                <w:rFonts w:hint="eastAsia" w:ascii="黑体" w:hAnsi="黑体" w:eastAsia="黑体" w:cs="宋体"/>
                <w:sz w:val="20"/>
                <w:szCs w:val="20"/>
              </w:rPr>
              <w:br w:type="textWrapping"/>
            </w:r>
            <w:r>
              <w:rPr>
                <w:rFonts w:hint="eastAsia" w:ascii="黑体" w:hAnsi="黑体" w:eastAsia="黑体" w:cs="宋体"/>
                <w:sz w:val="20"/>
                <w:szCs w:val="20"/>
              </w:rPr>
              <w:t>4) 多屏展示功能：系统可将对机房不同设备运行参数的监控和图像监控分屏展示，同时显示在一个显示器上，同时可浮动拖拉不同机房或不同设备显示在多个监控显示器上，用户可以实时观察到数据和图像。</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21</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短信报警接口模块</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根据用户需要,对重要的报警信息可实现发送手机短信报警，可设置不同的手机号码</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22</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电话语音报警模块</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根据用户需要,对重要的报警信息可实现手机电话语音远程报警，可根据设备设置不同的电话号码,不同时间段给不同值班人员报警</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23</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GSM短信模块</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双频GSM GPRS MODEM(900/1800MHz)</w:t>
            </w:r>
          </w:p>
          <w:p>
            <w:pPr>
              <w:rPr>
                <w:rFonts w:ascii="黑体" w:hAnsi="黑体" w:eastAsia="黑体" w:cs="宋体"/>
                <w:sz w:val="20"/>
                <w:szCs w:val="20"/>
              </w:rPr>
            </w:pPr>
            <w:r>
              <w:rPr>
                <w:rFonts w:hint="eastAsia" w:ascii="黑体" w:hAnsi="黑体" w:eastAsia="黑体" w:cs="宋体"/>
                <w:sz w:val="20"/>
                <w:szCs w:val="20"/>
              </w:rPr>
              <w:t>其设计及开发符合ETSI GSM Phase2+标准</w:t>
            </w:r>
          </w:p>
          <w:p>
            <w:pPr>
              <w:rPr>
                <w:rFonts w:ascii="黑体" w:hAnsi="黑体" w:eastAsia="黑体" w:cs="宋体"/>
                <w:sz w:val="20"/>
                <w:szCs w:val="20"/>
              </w:rPr>
            </w:pPr>
            <w:r>
              <w:rPr>
                <w:rFonts w:hint="eastAsia" w:ascii="黑体" w:hAnsi="黑体" w:eastAsia="黑体" w:cs="宋体"/>
                <w:sz w:val="20"/>
                <w:szCs w:val="20"/>
              </w:rPr>
              <w:t>输出功率：</w:t>
            </w:r>
          </w:p>
          <w:p>
            <w:pPr>
              <w:rPr>
                <w:rFonts w:ascii="黑体" w:hAnsi="黑体" w:eastAsia="黑体" w:cs="宋体"/>
                <w:sz w:val="20"/>
                <w:szCs w:val="20"/>
              </w:rPr>
            </w:pPr>
            <w:r>
              <w:rPr>
                <w:rFonts w:hint="eastAsia" w:ascii="黑体" w:hAnsi="黑体" w:eastAsia="黑体" w:cs="宋体"/>
                <w:sz w:val="20"/>
                <w:szCs w:val="20"/>
              </w:rPr>
              <w:t>Class 4（2W @ 850/900MHz）</w:t>
            </w:r>
          </w:p>
          <w:p>
            <w:pPr>
              <w:rPr>
                <w:rFonts w:ascii="黑体" w:hAnsi="黑体" w:eastAsia="黑体" w:cs="宋体"/>
                <w:sz w:val="20"/>
                <w:szCs w:val="20"/>
              </w:rPr>
            </w:pPr>
            <w:r>
              <w:rPr>
                <w:rFonts w:hint="eastAsia" w:ascii="黑体" w:hAnsi="黑体" w:eastAsia="黑体" w:cs="宋体"/>
                <w:sz w:val="20"/>
                <w:szCs w:val="20"/>
              </w:rPr>
              <w:t>Class 1（1W @ 1800/1900MHz）</w:t>
            </w:r>
          </w:p>
          <w:p>
            <w:pPr>
              <w:rPr>
                <w:rFonts w:ascii="黑体" w:hAnsi="黑体" w:eastAsia="黑体" w:cs="宋体"/>
                <w:sz w:val="20"/>
                <w:szCs w:val="20"/>
              </w:rPr>
            </w:pPr>
            <w:r>
              <w:rPr>
                <w:rFonts w:hint="eastAsia" w:ascii="黑体" w:hAnsi="黑体" w:eastAsia="黑体" w:cs="宋体"/>
                <w:sz w:val="20"/>
                <w:szCs w:val="20"/>
              </w:rPr>
              <w:t>接口：RS232</w:t>
            </w:r>
          </w:p>
          <w:p>
            <w:pPr>
              <w:rPr>
                <w:rFonts w:ascii="黑体" w:hAnsi="黑体" w:eastAsia="黑体" w:cs="宋体"/>
                <w:sz w:val="20"/>
                <w:szCs w:val="20"/>
              </w:rPr>
            </w:pPr>
            <w:r>
              <w:rPr>
                <w:rFonts w:hint="eastAsia" w:ascii="黑体" w:hAnsi="黑体" w:eastAsia="黑体" w:cs="宋体"/>
                <w:sz w:val="20"/>
                <w:szCs w:val="20"/>
              </w:rPr>
              <w:t>输入电压：6V～36VDC</w:t>
            </w:r>
          </w:p>
          <w:p>
            <w:pPr>
              <w:rPr>
                <w:rFonts w:ascii="黑体" w:hAnsi="黑体" w:eastAsia="黑体" w:cs="宋体"/>
                <w:sz w:val="20"/>
                <w:szCs w:val="20"/>
              </w:rPr>
            </w:pPr>
            <w:r>
              <w:rPr>
                <w:rFonts w:hint="eastAsia" w:ascii="黑体" w:hAnsi="黑体" w:eastAsia="黑体" w:cs="宋体"/>
                <w:sz w:val="20"/>
                <w:szCs w:val="20"/>
              </w:rPr>
              <w:t>输入电流：1A-2A</w:t>
            </w:r>
          </w:p>
          <w:p>
            <w:pPr>
              <w:rPr>
                <w:rFonts w:ascii="黑体" w:hAnsi="黑体" w:eastAsia="黑体" w:cs="宋体"/>
                <w:sz w:val="20"/>
                <w:szCs w:val="20"/>
              </w:rPr>
            </w:pPr>
            <w:r>
              <w:rPr>
                <w:rFonts w:hint="eastAsia" w:ascii="黑体" w:hAnsi="黑体" w:eastAsia="黑体" w:cs="宋体"/>
                <w:sz w:val="20"/>
                <w:szCs w:val="20"/>
              </w:rPr>
              <w:t>5mA 待机状态，140mA在GSM 850/900MHz @ 12V 通话状态</w:t>
            </w:r>
          </w:p>
          <w:p>
            <w:pPr>
              <w:rPr>
                <w:rFonts w:ascii="黑体" w:hAnsi="黑体" w:eastAsia="黑体" w:cs="宋体"/>
                <w:sz w:val="20"/>
                <w:szCs w:val="20"/>
              </w:rPr>
            </w:pPr>
            <w:r>
              <w:rPr>
                <w:rFonts w:hint="eastAsia" w:ascii="黑体" w:hAnsi="黑体" w:eastAsia="黑体" w:cs="宋体"/>
                <w:sz w:val="20"/>
                <w:szCs w:val="20"/>
              </w:rPr>
              <w:t>5mA 待机状态，100mA在GSM 1800/1900MHz @ 12V通话状态</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24</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WEB浏览接口模块</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远程通过IE浏览器登陆访问管理软件，界面功能与客户端完全一致</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25</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安装箱</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安装模块箱；三年质保</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个</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26</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工业电源</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DC12V/10A,三年质保</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个</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27</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UPS主机</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对于中心机房内的设备来说，不间断的电源供应是极为重要的。但公用供电系统由于电网范围大受各种因素的影响，时常会有不正常的现象发生，往往会对计算机系统造成不利的作用，为此，采用UPS不间断电源极为重要，它不但能提供稳定可靠的高质量的电源，在正常电源因故断电时，也可由后备电池支撑，继续供电，保证计算机有一定的时间内进行正常处理，确保数据信息安全储存。</w:t>
            </w:r>
            <w:r>
              <w:rPr>
                <w:rFonts w:hint="eastAsia" w:ascii="黑体" w:hAnsi="黑体" w:eastAsia="黑体" w:cs="宋体"/>
                <w:sz w:val="20"/>
                <w:szCs w:val="20"/>
              </w:rPr>
              <w:br w:type="textWrapping"/>
            </w:r>
            <w:r>
              <w:rPr>
                <w:rFonts w:hint="eastAsia" w:ascii="黑体" w:hAnsi="黑体" w:eastAsia="黑体" w:cs="宋体"/>
                <w:sz w:val="20"/>
                <w:szCs w:val="20"/>
              </w:rPr>
              <w:t>UPS供电对象</w:t>
            </w:r>
            <w:r>
              <w:rPr>
                <w:rFonts w:hint="eastAsia" w:ascii="黑体" w:hAnsi="黑体" w:eastAsia="黑体" w:cs="宋体"/>
                <w:sz w:val="20"/>
                <w:szCs w:val="20"/>
              </w:rPr>
              <w:br w:type="textWrapping"/>
            </w:r>
            <w:r>
              <w:rPr>
                <w:rFonts w:hint="eastAsia" w:ascii="黑体" w:hAnsi="黑体" w:eastAsia="黑体" w:cs="宋体"/>
                <w:sz w:val="20"/>
                <w:szCs w:val="20"/>
              </w:rPr>
              <w:t>1) 监控服务器、工作站等用电；</w:t>
            </w:r>
            <w:r>
              <w:rPr>
                <w:rFonts w:hint="eastAsia" w:ascii="黑体" w:hAnsi="黑体" w:eastAsia="黑体" w:cs="宋体"/>
                <w:sz w:val="20"/>
                <w:szCs w:val="20"/>
              </w:rPr>
              <w:br w:type="textWrapping"/>
            </w:r>
            <w:r>
              <w:rPr>
                <w:rFonts w:hint="eastAsia" w:ascii="黑体" w:hAnsi="黑体" w:eastAsia="黑体" w:cs="宋体"/>
                <w:sz w:val="20"/>
                <w:szCs w:val="20"/>
              </w:rPr>
              <w:t>2) 网络交换设备，服务器等用电；</w:t>
            </w:r>
            <w:r>
              <w:rPr>
                <w:rFonts w:hint="eastAsia" w:ascii="黑体" w:hAnsi="黑体" w:eastAsia="黑体" w:cs="宋体"/>
                <w:sz w:val="20"/>
                <w:szCs w:val="20"/>
              </w:rPr>
              <w:br w:type="textWrapping"/>
            </w:r>
            <w:r>
              <w:rPr>
                <w:rFonts w:hint="eastAsia" w:ascii="黑体" w:hAnsi="黑体" w:eastAsia="黑体" w:cs="宋体"/>
                <w:sz w:val="20"/>
                <w:szCs w:val="20"/>
              </w:rPr>
              <w:t>3) 外设用电(如：磁带机、网络设备、行打印机、激光打印机等)；</w:t>
            </w:r>
            <w:r>
              <w:rPr>
                <w:rFonts w:hint="eastAsia" w:ascii="黑体" w:hAnsi="黑体" w:eastAsia="黑体" w:cs="宋体"/>
                <w:sz w:val="20"/>
                <w:szCs w:val="20"/>
              </w:rPr>
              <w:br w:type="textWrapping"/>
            </w:r>
            <w:r>
              <w:rPr>
                <w:rFonts w:hint="eastAsia" w:ascii="黑体" w:hAnsi="黑体" w:eastAsia="黑体" w:cs="宋体"/>
                <w:sz w:val="20"/>
                <w:szCs w:val="20"/>
              </w:rPr>
              <w:t>4) 应急照明；</w:t>
            </w:r>
            <w:r>
              <w:rPr>
                <w:rFonts w:hint="eastAsia" w:ascii="黑体" w:hAnsi="黑体" w:eastAsia="黑体" w:cs="宋体"/>
                <w:sz w:val="20"/>
                <w:szCs w:val="20"/>
              </w:rPr>
              <w:br w:type="textWrapping"/>
            </w:r>
            <w:r>
              <w:rPr>
                <w:rFonts w:hint="eastAsia" w:ascii="黑体" w:hAnsi="黑体" w:eastAsia="黑体" w:cs="宋体"/>
                <w:sz w:val="20"/>
                <w:szCs w:val="20"/>
              </w:rPr>
              <w:t>5) 感应卡、监控系统用电；</w:t>
            </w:r>
            <w:r>
              <w:rPr>
                <w:rFonts w:hint="eastAsia" w:ascii="黑体" w:hAnsi="黑体" w:eastAsia="黑体" w:cs="宋体"/>
                <w:sz w:val="20"/>
                <w:szCs w:val="20"/>
              </w:rPr>
              <w:br w:type="textWrapping"/>
            </w:r>
            <w:r>
              <w:rPr>
                <w:rFonts w:hint="eastAsia" w:ascii="黑体" w:hAnsi="黑体" w:eastAsia="黑体" w:cs="宋体"/>
                <w:sz w:val="20"/>
                <w:szCs w:val="20"/>
              </w:rPr>
              <w:t>6) 消防系统用电。</w:t>
            </w:r>
            <w:r>
              <w:rPr>
                <w:rFonts w:hint="eastAsia" w:ascii="黑体" w:hAnsi="黑体" w:eastAsia="黑体" w:cs="宋体"/>
                <w:sz w:val="20"/>
                <w:szCs w:val="20"/>
              </w:rPr>
              <w:br w:type="textWrapping"/>
            </w:r>
            <w:r>
              <w:rPr>
                <w:rFonts w:hint="eastAsia" w:ascii="黑体" w:hAnsi="黑体" w:eastAsia="黑体" w:cs="宋体"/>
                <w:sz w:val="20"/>
                <w:szCs w:val="20"/>
              </w:rPr>
              <w:t>UPS主机详细参数要求：</w:t>
            </w:r>
            <w:r>
              <w:rPr>
                <w:rFonts w:hint="eastAsia" w:ascii="黑体" w:hAnsi="黑体" w:eastAsia="黑体" w:cs="宋体"/>
                <w:sz w:val="20"/>
                <w:szCs w:val="20"/>
              </w:rPr>
              <w:br w:type="textWrapping"/>
            </w:r>
            <w:r>
              <w:rPr>
                <w:rFonts w:hint="eastAsia" w:ascii="黑体" w:hAnsi="黑体" w:eastAsia="黑体" w:cs="宋体"/>
                <w:sz w:val="20"/>
                <w:szCs w:val="20"/>
              </w:rPr>
              <w:t>1、 产品技术参数表</w:t>
            </w:r>
            <w:r>
              <w:rPr>
                <w:rFonts w:hint="eastAsia" w:ascii="黑体" w:hAnsi="黑体" w:eastAsia="黑体" w:cs="宋体"/>
                <w:sz w:val="20"/>
                <w:szCs w:val="20"/>
              </w:rPr>
              <w:br w:type="textWrapping"/>
            </w:r>
            <w:r>
              <w:rPr>
                <w:rFonts w:hint="eastAsia" w:ascii="黑体" w:hAnsi="黑体" w:eastAsia="黑体" w:cs="宋体"/>
                <w:sz w:val="20"/>
                <w:szCs w:val="20"/>
              </w:rPr>
              <w:t>主路输入</w:t>
            </w:r>
            <w:r>
              <w:rPr>
                <w:rFonts w:hint="eastAsia" w:ascii="黑体" w:hAnsi="黑体" w:eastAsia="黑体" w:cs="宋体"/>
                <w:sz w:val="20"/>
                <w:szCs w:val="20"/>
              </w:rPr>
              <w:br w:type="textWrapping"/>
            </w:r>
            <w:r>
              <w:rPr>
                <w:rFonts w:hint="eastAsia" w:ascii="黑体" w:hAnsi="黑体" w:eastAsia="黑体" w:cs="宋体"/>
                <w:sz w:val="20"/>
                <w:szCs w:val="20"/>
              </w:rPr>
              <w:t>输入配线 3相+N线+地线</w:t>
            </w:r>
          </w:p>
          <w:p>
            <w:pPr>
              <w:rPr>
                <w:rFonts w:ascii="黑体" w:hAnsi="黑体" w:eastAsia="黑体" w:cs="宋体"/>
                <w:sz w:val="20"/>
                <w:szCs w:val="20"/>
              </w:rPr>
            </w:pPr>
            <w:r>
              <w:rPr>
                <w:rFonts w:hint="eastAsia" w:ascii="黑体" w:hAnsi="黑体" w:eastAsia="黑体" w:cs="宋体"/>
                <w:sz w:val="20"/>
                <w:szCs w:val="20"/>
              </w:rPr>
              <w:t>额定功率：60KVA</w:t>
            </w:r>
            <w:r>
              <w:rPr>
                <w:rFonts w:hint="eastAsia" w:ascii="黑体" w:hAnsi="黑体" w:eastAsia="黑体" w:cs="宋体"/>
                <w:sz w:val="20"/>
                <w:szCs w:val="20"/>
              </w:rPr>
              <w:br w:type="textWrapping"/>
            </w:r>
            <w:r>
              <w:rPr>
                <w:rFonts w:hint="eastAsia" w:ascii="黑体" w:hAnsi="黑体" w:eastAsia="黑体" w:cs="宋体"/>
                <w:sz w:val="20"/>
                <w:szCs w:val="20"/>
              </w:rPr>
              <w:t>额定输入电压 380/400/415VAC (线电压)</w:t>
            </w:r>
            <w:r>
              <w:rPr>
                <w:rFonts w:hint="eastAsia" w:ascii="黑体" w:hAnsi="黑体" w:eastAsia="黑体" w:cs="宋体"/>
                <w:sz w:val="20"/>
                <w:szCs w:val="20"/>
              </w:rPr>
              <w:br w:type="textWrapping"/>
            </w:r>
            <w:r>
              <w:rPr>
                <w:rFonts w:hint="eastAsia" w:ascii="黑体" w:hAnsi="黑体" w:eastAsia="黑体" w:cs="宋体"/>
                <w:sz w:val="20"/>
                <w:szCs w:val="20"/>
              </w:rPr>
              <w:t>额定频率 50/60Hz</w:t>
            </w:r>
            <w:r>
              <w:rPr>
                <w:rFonts w:hint="eastAsia" w:ascii="黑体" w:hAnsi="黑体" w:eastAsia="黑体" w:cs="宋体"/>
                <w:sz w:val="20"/>
                <w:szCs w:val="20"/>
              </w:rPr>
              <w:br w:type="textWrapping"/>
            </w:r>
            <w:r>
              <w:rPr>
                <w:rFonts w:hint="eastAsia" w:ascii="黑体" w:hAnsi="黑体" w:eastAsia="黑体" w:cs="宋体"/>
                <w:sz w:val="20"/>
                <w:szCs w:val="20"/>
              </w:rPr>
              <w:t>输入电压范围 304～478Vac(线电压)满载，304V～228Vac (线电压)负载从100%到75%之间线性降额</w:t>
            </w:r>
            <w:r>
              <w:rPr>
                <w:rFonts w:hint="eastAsia" w:ascii="黑体" w:hAnsi="黑体" w:eastAsia="黑体" w:cs="宋体"/>
                <w:sz w:val="20"/>
                <w:szCs w:val="20"/>
              </w:rPr>
              <w:br w:type="textWrapping"/>
            </w:r>
            <w:r>
              <w:rPr>
                <w:rFonts w:hint="eastAsia" w:ascii="黑体" w:hAnsi="黑体" w:eastAsia="黑体" w:cs="宋体"/>
                <w:sz w:val="20"/>
                <w:szCs w:val="20"/>
              </w:rPr>
              <w:t>输入频率范围 40Hz～70Hz</w:t>
            </w:r>
            <w:r>
              <w:rPr>
                <w:rFonts w:hint="eastAsia" w:ascii="黑体" w:hAnsi="黑体" w:eastAsia="黑体" w:cs="宋体"/>
                <w:sz w:val="20"/>
                <w:szCs w:val="20"/>
              </w:rPr>
              <w:br w:type="textWrapping"/>
            </w:r>
            <w:r>
              <w:rPr>
                <w:rFonts w:hint="eastAsia" w:ascii="黑体" w:hAnsi="黑体" w:eastAsia="黑体" w:cs="宋体"/>
                <w:sz w:val="20"/>
                <w:szCs w:val="20"/>
              </w:rPr>
              <w:t>输入功率因数 &gt;0.99</w:t>
            </w:r>
            <w:r>
              <w:rPr>
                <w:rFonts w:hint="eastAsia" w:ascii="黑体" w:hAnsi="黑体" w:eastAsia="黑体" w:cs="宋体"/>
                <w:sz w:val="20"/>
                <w:szCs w:val="20"/>
              </w:rPr>
              <w:br w:type="textWrapping"/>
            </w:r>
            <w:r>
              <w:rPr>
                <w:rFonts w:hint="eastAsia" w:ascii="黑体" w:hAnsi="黑体" w:eastAsia="黑体" w:cs="宋体"/>
                <w:sz w:val="20"/>
                <w:szCs w:val="20"/>
              </w:rPr>
              <w:t>输入总谐波失真（THDi) &lt;3% （100%线性负载）</w:t>
            </w:r>
            <w:r>
              <w:rPr>
                <w:rFonts w:hint="eastAsia" w:ascii="黑体" w:hAnsi="黑体" w:eastAsia="黑体" w:cs="宋体"/>
                <w:sz w:val="20"/>
                <w:szCs w:val="20"/>
              </w:rPr>
              <w:br w:type="textWrapping"/>
            </w:r>
            <w:r>
              <w:rPr>
                <w:rFonts w:hint="eastAsia" w:ascii="黑体" w:hAnsi="黑体" w:eastAsia="黑体" w:cs="宋体"/>
                <w:sz w:val="20"/>
                <w:szCs w:val="20"/>
              </w:rPr>
              <w:t>旁路</w:t>
            </w:r>
            <w:r>
              <w:rPr>
                <w:rFonts w:hint="eastAsia" w:ascii="黑体" w:hAnsi="黑体" w:eastAsia="黑体" w:cs="宋体"/>
                <w:sz w:val="20"/>
                <w:szCs w:val="20"/>
              </w:rPr>
              <w:br w:type="textWrapping"/>
            </w:r>
            <w:r>
              <w:rPr>
                <w:rFonts w:hint="eastAsia" w:ascii="黑体" w:hAnsi="黑体" w:eastAsia="黑体" w:cs="宋体"/>
                <w:sz w:val="20"/>
                <w:szCs w:val="20"/>
              </w:rPr>
              <w:t>旁路额定电压 380/400/415VAC(线电压)</w:t>
            </w:r>
            <w:r>
              <w:rPr>
                <w:rFonts w:hint="eastAsia" w:ascii="黑体" w:hAnsi="黑体" w:eastAsia="黑体" w:cs="宋体"/>
                <w:sz w:val="20"/>
                <w:szCs w:val="20"/>
              </w:rPr>
              <w:br w:type="textWrapping"/>
            </w:r>
            <w:r>
              <w:rPr>
                <w:rFonts w:hint="eastAsia" w:ascii="黑体" w:hAnsi="黑体" w:eastAsia="黑体" w:cs="宋体"/>
                <w:sz w:val="20"/>
                <w:szCs w:val="20"/>
              </w:rPr>
              <w:t>旁路额定频率 50/60Hz</w:t>
            </w:r>
            <w:r>
              <w:rPr>
                <w:rFonts w:hint="eastAsia" w:ascii="黑体" w:hAnsi="黑体" w:eastAsia="黑体" w:cs="宋体"/>
                <w:sz w:val="20"/>
                <w:szCs w:val="20"/>
              </w:rPr>
              <w:br w:type="textWrapping"/>
            </w:r>
            <w:r>
              <w:rPr>
                <w:rFonts w:hint="eastAsia" w:ascii="黑体" w:hAnsi="黑体" w:eastAsia="黑体" w:cs="宋体"/>
                <w:sz w:val="20"/>
                <w:szCs w:val="20"/>
              </w:rPr>
              <w:t>旁路电压范围 可设置,  默认 -20%～+15%；上限: +10%, +15%, +20%, +25%；下限: -10%,  -15%, -20%, -30%,  -40%</w:t>
            </w:r>
            <w:r>
              <w:rPr>
                <w:rFonts w:hint="eastAsia" w:ascii="黑体" w:hAnsi="黑体" w:eastAsia="黑体" w:cs="宋体"/>
                <w:sz w:val="20"/>
                <w:szCs w:val="20"/>
              </w:rPr>
              <w:br w:type="textWrapping"/>
            </w:r>
            <w:r>
              <w:rPr>
                <w:rFonts w:hint="eastAsia" w:ascii="黑体" w:hAnsi="黑体" w:eastAsia="黑体" w:cs="宋体"/>
                <w:sz w:val="20"/>
                <w:szCs w:val="20"/>
              </w:rPr>
              <w:t>旁路频率范围 可设置 ±1Hz ±3Hz ±5Hz</w:t>
            </w:r>
            <w:r>
              <w:rPr>
                <w:rFonts w:hint="eastAsia" w:ascii="黑体" w:hAnsi="黑体" w:eastAsia="黑体" w:cs="宋体"/>
                <w:sz w:val="20"/>
                <w:szCs w:val="20"/>
              </w:rPr>
              <w:br w:type="textWrapping"/>
            </w:r>
            <w:r>
              <w:rPr>
                <w:rFonts w:hint="eastAsia" w:ascii="黑体" w:hAnsi="黑体" w:eastAsia="黑体" w:cs="宋体"/>
                <w:sz w:val="20"/>
                <w:szCs w:val="20"/>
              </w:rPr>
              <w:t>输出</w:t>
            </w:r>
            <w:r>
              <w:rPr>
                <w:rFonts w:hint="eastAsia" w:ascii="黑体" w:hAnsi="黑体" w:eastAsia="黑体" w:cs="宋体"/>
                <w:sz w:val="20"/>
                <w:szCs w:val="20"/>
              </w:rPr>
              <w:br w:type="textWrapping"/>
            </w:r>
            <w:r>
              <w:rPr>
                <w:rFonts w:hint="eastAsia" w:ascii="黑体" w:hAnsi="黑体" w:eastAsia="黑体" w:cs="宋体"/>
                <w:sz w:val="20"/>
                <w:szCs w:val="20"/>
              </w:rPr>
              <w:t>额定输出电压 380/400/415VAC  (线电压)</w:t>
            </w:r>
            <w:r>
              <w:rPr>
                <w:rFonts w:hint="eastAsia" w:ascii="黑体" w:hAnsi="黑体" w:eastAsia="黑体" w:cs="宋体"/>
                <w:sz w:val="20"/>
                <w:szCs w:val="20"/>
              </w:rPr>
              <w:br w:type="textWrapping"/>
            </w:r>
            <w:r>
              <w:rPr>
                <w:rFonts w:hint="eastAsia" w:ascii="黑体" w:hAnsi="黑体" w:eastAsia="黑体" w:cs="宋体"/>
                <w:sz w:val="20"/>
                <w:szCs w:val="20"/>
              </w:rPr>
              <w:t>额定输出频率 50/60Hz</w:t>
            </w:r>
            <w:r>
              <w:rPr>
                <w:rFonts w:hint="eastAsia" w:ascii="黑体" w:hAnsi="黑体" w:eastAsia="黑体" w:cs="宋体"/>
                <w:sz w:val="20"/>
                <w:szCs w:val="20"/>
              </w:rPr>
              <w:br w:type="textWrapping"/>
            </w:r>
            <w:r>
              <w:rPr>
                <w:rFonts w:hint="eastAsia" w:ascii="黑体" w:hAnsi="黑体" w:eastAsia="黑体" w:cs="宋体"/>
                <w:sz w:val="20"/>
                <w:szCs w:val="20"/>
              </w:rPr>
              <w:t>输出功率因数 1</w:t>
            </w:r>
            <w:r>
              <w:rPr>
                <w:rFonts w:hint="eastAsia" w:ascii="黑体" w:hAnsi="黑体" w:eastAsia="黑体" w:cs="宋体"/>
                <w:sz w:val="20"/>
                <w:szCs w:val="20"/>
              </w:rPr>
              <w:br w:type="textWrapping"/>
            </w:r>
            <w:r>
              <w:rPr>
                <w:rFonts w:hint="eastAsia" w:ascii="黑体" w:hAnsi="黑体" w:eastAsia="黑体" w:cs="宋体"/>
                <w:sz w:val="20"/>
                <w:szCs w:val="20"/>
              </w:rPr>
              <w:t>电压精度 ±1.0%</w:t>
            </w:r>
            <w:r>
              <w:rPr>
                <w:rFonts w:hint="eastAsia" w:ascii="黑体" w:hAnsi="黑体" w:eastAsia="黑体" w:cs="宋体"/>
                <w:sz w:val="20"/>
                <w:szCs w:val="20"/>
              </w:rPr>
              <w:br w:type="textWrapping"/>
            </w:r>
            <w:r>
              <w:rPr>
                <w:rFonts w:hint="eastAsia" w:ascii="黑体" w:hAnsi="黑体" w:eastAsia="黑体" w:cs="宋体"/>
                <w:sz w:val="20"/>
                <w:szCs w:val="20"/>
              </w:rPr>
              <w:t>输出动态响应 &lt;5%</w:t>
            </w:r>
            <w:r>
              <w:rPr>
                <w:rFonts w:hint="eastAsia" w:ascii="黑体" w:hAnsi="黑体" w:eastAsia="黑体" w:cs="宋体"/>
                <w:sz w:val="20"/>
                <w:szCs w:val="20"/>
              </w:rPr>
              <w:br w:type="textWrapping"/>
            </w:r>
            <w:r>
              <w:rPr>
                <w:rFonts w:hint="eastAsia" w:ascii="黑体" w:hAnsi="黑体" w:eastAsia="黑体" w:cs="宋体"/>
                <w:sz w:val="20"/>
                <w:szCs w:val="20"/>
              </w:rPr>
              <w:t>动态恢复时间 ≤ 40ms</w:t>
            </w:r>
            <w:r>
              <w:rPr>
                <w:rFonts w:hint="eastAsia" w:ascii="黑体" w:hAnsi="黑体" w:eastAsia="黑体" w:cs="宋体"/>
                <w:sz w:val="20"/>
                <w:szCs w:val="20"/>
              </w:rPr>
              <w:br w:type="textWrapping"/>
            </w:r>
            <w:r>
              <w:rPr>
                <w:rFonts w:hint="eastAsia" w:ascii="黑体" w:hAnsi="黑体" w:eastAsia="黑体" w:cs="宋体"/>
                <w:sz w:val="20"/>
                <w:szCs w:val="20"/>
              </w:rPr>
              <w:t xml:space="preserve">输出总谐波失真（THDu） &lt;1.5%  （线性负载），&lt;4% （非线性负载） </w:t>
            </w:r>
            <w:r>
              <w:rPr>
                <w:rFonts w:hint="eastAsia" w:ascii="黑体" w:hAnsi="黑体" w:eastAsia="黑体" w:cs="宋体"/>
                <w:sz w:val="20"/>
                <w:szCs w:val="20"/>
              </w:rPr>
              <w:br w:type="textWrapping"/>
            </w:r>
            <w:r>
              <w:rPr>
                <w:rFonts w:hint="eastAsia" w:ascii="黑体" w:hAnsi="黑体" w:eastAsia="黑体" w:cs="宋体"/>
                <w:sz w:val="20"/>
                <w:szCs w:val="20"/>
              </w:rPr>
              <w:t>逆变器过载  110%, 1小时； 125%,10分钟； 150%,1分钟；&gt;150%,200ms</w:t>
            </w:r>
            <w:r>
              <w:rPr>
                <w:rFonts w:hint="eastAsia" w:ascii="黑体" w:hAnsi="黑体" w:eastAsia="黑体" w:cs="宋体"/>
                <w:sz w:val="20"/>
                <w:szCs w:val="20"/>
              </w:rPr>
              <w:br w:type="textWrapping"/>
            </w:r>
            <w:r>
              <w:rPr>
                <w:rFonts w:hint="eastAsia" w:ascii="黑体" w:hAnsi="黑体" w:eastAsia="黑体" w:cs="宋体"/>
                <w:sz w:val="20"/>
                <w:szCs w:val="20"/>
              </w:rPr>
              <w:t>频率精度 50/60Hz±0.02%</w:t>
            </w:r>
            <w:r>
              <w:rPr>
                <w:rFonts w:hint="eastAsia" w:ascii="黑体" w:hAnsi="黑体" w:eastAsia="黑体" w:cs="宋体"/>
                <w:sz w:val="20"/>
                <w:szCs w:val="20"/>
              </w:rPr>
              <w:br w:type="textWrapping"/>
            </w:r>
            <w:r>
              <w:rPr>
                <w:rFonts w:hint="eastAsia" w:ascii="黑体" w:hAnsi="黑体" w:eastAsia="黑体" w:cs="宋体"/>
                <w:sz w:val="20"/>
                <w:szCs w:val="20"/>
              </w:rPr>
              <w:t>跟踪范围 可设置, ±0.5Hz ～ ±5Hz, 默认 ±3Hz</w:t>
            </w:r>
            <w:r>
              <w:rPr>
                <w:rFonts w:hint="eastAsia" w:ascii="黑体" w:hAnsi="黑体" w:eastAsia="黑体" w:cs="宋体"/>
                <w:sz w:val="20"/>
                <w:szCs w:val="20"/>
              </w:rPr>
              <w:br w:type="textWrapping"/>
            </w:r>
            <w:r>
              <w:rPr>
                <w:rFonts w:hint="eastAsia" w:ascii="黑体" w:hAnsi="黑体" w:eastAsia="黑体" w:cs="宋体"/>
                <w:sz w:val="20"/>
                <w:szCs w:val="20"/>
              </w:rPr>
              <w:t>跟踪速率 可设置, 0.5Hz/S ～ 3Hz/S, 默认 0.5Hz/S</w:t>
            </w:r>
            <w:r>
              <w:rPr>
                <w:rFonts w:hint="eastAsia" w:ascii="黑体" w:hAnsi="黑体" w:eastAsia="黑体" w:cs="宋体"/>
                <w:sz w:val="20"/>
                <w:szCs w:val="20"/>
              </w:rPr>
              <w:br w:type="textWrapping"/>
            </w:r>
            <w:r>
              <w:rPr>
                <w:rFonts w:hint="eastAsia" w:ascii="黑体" w:hAnsi="黑体" w:eastAsia="黑体" w:cs="宋体"/>
                <w:sz w:val="20"/>
                <w:szCs w:val="20"/>
              </w:rPr>
              <w:t>电池</w:t>
            </w:r>
            <w:r>
              <w:rPr>
                <w:rFonts w:hint="eastAsia" w:ascii="黑体" w:hAnsi="黑体" w:eastAsia="黑体" w:cs="宋体"/>
                <w:sz w:val="20"/>
                <w:szCs w:val="20"/>
              </w:rPr>
              <w:br w:type="textWrapping"/>
            </w:r>
            <w:r>
              <w:rPr>
                <w:rFonts w:hint="eastAsia" w:ascii="黑体" w:hAnsi="黑体" w:eastAsia="黑体" w:cs="宋体"/>
                <w:sz w:val="20"/>
                <w:szCs w:val="20"/>
              </w:rPr>
              <w:t>电池额定电压 ±240VDC（可设）</w:t>
            </w:r>
            <w:r>
              <w:rPr>
                <w:rFonts w:hint="eastAsia" w:ascii="黑体" w:hAnsi="黑体" w:eastAsia="黑体" w:cs="宋体"/>
                <w:sz w:val="20"/>
                <w:szCs w:val="20"/>
              </w:rPr>
              <w:br w:type="textWrapping"/>
            </w:r>
            <w:r>
              <w:rPr>
                <w:rFonts w:hint="eastAsia" w:ascii="黑体" w:hAnsi="黑体" w:eastAsia="黑体" w:cs="宋体"/>
                <w:sz w:val="20"/>
                <w:szCs w:val="20"/>
              </w:rPr>
              <w:t>充电电压精度 1%</w:t>
            </w:r>
            <w:r>
              <w:rPr>
                <w:rFonts w:hint="eastAsia" w:ascii="黑体" w:hAnsi="黑体" w:eastAsia="黑体" w:cs="宋体"/>
                <w:sz w:val="20"/>
                <w:szCs w:val="20"/>
              </w:rPr>
              <w:br w:type="textWrapping"/>
            </w:r>
            <w:r>
              <w:rPr>
                <w:rFonts w:hint="eastAsia" w:ascii="黑体" w:hAnsi="黑体" w:eastAsia="黑体" w:cs="宋体"/>
                <w:sz w:val="20"/>
                <w:szCs w:val="20"/>
              </w:rPr>
              <w:t>充电功率 20%*系统功率</w:t>
            </w:r>
            <w:r>
              <w:rPr>
                <w:rFonts w:hint="eastAsia" w:ascii="黑体" w:hAnsi="黑体" w:eastAsia="黑体" w:cs="宋体"/>
                <w:sz w:val="20"/>
                <w:szCs w:val="20"/>
              </w:rPr>
              <w:br w:type="textWrapping"/>
            </w:r>
            <w:r>
              <w:rPr>
                <w:rFonts w:hint="eastAsia" w:ascii="黑体" w:hAnsi="黑体" w:eastAsia="黑体" w:cs="宋体"/>
                <w:sz w:val="20"/>
                <w:szCs w:val="20"/>
              </w:rPr>
              <w:t>整机效率</w:t>
            </w:r>
            <w:r>
              <w:rPr>
                <w:rFonts w:hint="eastAsia" w:ascii="黑体" w:hAnsi="黑体" w:eastAsia="黑体" w:cs="宋体"/>
                <w:sz w:val="20"/>
                <w:szCs w:val="20"/>
              </w:rPr>
              <w:br w:type="textWrapping"/>
            </w:r>
            <w:r>
              <w:rPr>
                <w:rFonts w:hint="eastAsia" w:ascii="黑体" w:hAnsi="黑体" w:eastAsia="黑体" w:cs="宋体"/>
                <w:sz w:val="20"/>
                <w:szCs w:val="20"/>
              </w:rPr>
              <w:t>主路模式 ≥96%（50%~100%负载）</w:t>
            </w:r>
            <w:r>
              <w:rPr>
                <w:rFonts w:hint="eastAsia" w:ascii="黑体" w:hAnsi="黑体" w:eastAsia="黑体" w:cs="宋体"/>
                <w:sz w:val="20"/>
                <w:szCs w:val="20"/>
              </w:rPr>
              <w:br w:type="textWrapping"/>
            </w:r>
            <w:r>
              <w:rPr>
                <w:rFonts w:hint="eastAsia" w:ascii="黑体" w:hAnsi="黑体" w:eastAsia="黑体" w:cs="宋体"/>
                <w:sz w:val="20"/>
                <w:szCs w:val="20"/>
              </w:rPr>
              <w:t>电池模式 ≥96%（50%~100%负载）</w:t>
            </w:r>
            <w:r>
              <w:rPr>
                <w:rFonts w:hint="eastAsia" w:ascii="黑体" w:hAnsi="黑体" w:eastAsia="黑体" w:cs="宋体"/>
                <w:sz w:val="20"/>
                <w:szCs w:val="20"/>
              </w:rPr>
              <w:br w:type="textWrapping"/>
            </w:r>
            <w:r>
              <w:rPr>
                <w:rFonts w:hint="eastAsia" w:ascii="黑体" w:hAnsi="黑体" w:eastAsia="黑体" w:cs="宋体"/>
                <w:sz w:val="20"/>
                <w:szCs w:val="20"/>
              </w:rPr>
              <w:t>系统</w:t>
            </w:r>
            <w:r>
              <w:rPr>
                <w:rFonts w:hint="eastAsia" w:ascii="黑体" w:hAnsi="黑体" w:eastAsia="黑体" w:cs="宋体"/>
                <w:sz w:val="20"/>
                <w:szCs w:val="20"/>
              </w:rPr>
              <w:br w:type="textWrapping"/>
            </w:r>
            <w:r>
              <w:rPr>
                <w:rFonts w:hint="eastAsia" w:ascii="黑体" w:hAnsi="黑体" w:eastAsia="黑体" w:cs="宋体"/>
                <w:sz w:val="20"/>
                <w:szCs w:val="20"/>
              </w:rPr>
              <w:t xml:space="preserve">显示 LED +7寸及以上LCD彩色触摸屏 </w:t>
            </w:r>
            <w:r>
              <w:rPr>
                <w:rFonts w:hint="eastAsia" w:ascii="黑体" w:hAnsi="黑体" w:eastAsia="黑体" w:cs="宋体"/>
                <w:sz w:val="20"/>
                <w:szCs w:val="20"/>
              </w:rPr>
              <w:br w:type="textWrapping"/>
            </w:r>
            <w:r>
              <w:rPr>
                <w:rFonts w:hint="eastAsia" w:ascii="黑体" w:hAnsi="黑体" w:eastAsia="黑体" w:cs="宋体"/>
                <w:sz w:val="20"/>
                <w:szCs w:val="20"/>
              </w:rPr>
              <w:t>接口 标准:RS232 RS485 USB 可编程干接点</w:t>
            </w:r>
            <w:r>
              <w:rPr>
                <w:rFonts w:hint="eastAsia" w:ascii="黑体" w:hAnsi="黑体" w:eastAsia="黑体" w:cs="宋体"/>
                <w:sz w:val="20"/>
                <w:szCs w:val="20"/>
              </w:rPr>
              <w:br w:type="textWrapping"/>
            </w:r>
            <w:r>
              <w:rPr>
                <w:rFonts w:hint="eastAsia" w:ascii="黑体" w:hAnsi="黑体" w:eastAsia="黑体" w:cs="宋体"/>
                <w:sz w:val="20"/>
                <w:szCs w:val="20"/>
              </w:rPr>
              <w:t>工作温度 0 ～ 40 ℃</w:t>
            </w:r>
            <w:r>
              <w:rPr>
                <w:rFonts w:hint="eastAsia" w:ascii="黑体" w:hAnsi="黑体" w:eastAsia="黑体" w:cs="宋体"/>
                <w:sz w:val="20"/>
                <w:szCs w:val="20"/>
              </w:rPr>
              <w:br w:type="textWrapping"/>
            </w:r>
            <w:r>
              <w:rPr>
                <w:rFonts w:hint="eastAsia" w:ascii="黑体" w:hAnsi="黑体" w:eastAsia="黑体" w:cs="宋体"/>
                <w:sz w:val="20"/>
                <w:szCs w:val="20"/>
              </w:rPr>
              <w:t>存储温度 -25℃～70℃</w:t>
            </w:r>
            <w:r>
              <w:rPr>
                <w:rFonts w:hint="eastAsia" w:ascii="黑体" w:hAnsi="黑体" w:eastAsia="黑体" w:cs="宋体"/>
                <w:sz w:val="20"/>
                <w:szCs w:val="20"/>
              </w:rPr>
              <w:br w:type="textWrapping"/>
            </w:r>
            <w:r>
              <w:rPr>
                <w:rFonts w:hint="eastAsia" w:ascii="黑体" w:hAnsi="黑体" w:eastAsia="黑体" w:cs="宋体"/>
                <w:sz w:val="20"/>
                <w:szCs w:val="20"/>
              </w:rPr>
              <w:t>相对湿度 0 ～ 95% 无凝露</w:t>
            </w:r>
            <w:r>
              <w:rPr>
                <w:rFonts w:hint="eastAsia" w:ascii="黑体" w:hAnsi="黑体" w:eastAsia="黑体" w:cs="宋体"/>
                <w:sz w:val="20"/>
                <w:szCs w:val="20"/>
              </w:rPr>
              <w:br w:type="textWrapping"/>
            </w:r>
            <w:r>
              <w:rPr>
                <w:rFonts w:hint="eastAsia" w:ascii="黑体" w:hAnsi="黑体" w:eastAsia="黑体" w:cs="宋体"/>
                <w:sz w:val="20"/>
                <w:szCs w:val="20"/>
              </w:rPr>
              <w:t>海拔高度 ＜1000m, 1000～2000米之间，每升高100米功率降额1%</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28</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电池柜定制</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定制。</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29</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蓄电池</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12V 100AH；应采用板栅和合金设计，有效抵抗极板腐蚀；卓越的大电流放电特性，可靠的快速充电性能，优越的深度放电恢复能力，确保电池的使用寿命。</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节</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64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30</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直流开关箱</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原厂配套</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31</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精密空调</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由于计算机机房的环境必须满足计算机等各种网络设备和工作人员对温度、湿度、洁净度等要求。所以，一个合格的现代化计算机机房，应该是一个安全可靠、舒适实用、节能高效和具有可扩充性的机房环境系统。</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32</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室外机支架</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根据空调室外机数量和尺寸定制，5#角钢制作，并刷防锈漆。</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2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33</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空调铜管</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Ф22-Ф16铜管，含保温</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米</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200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34</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新风机</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G=1800m</w:t>
            </w:r>
            <w:r>
              <w:rPr>
                <w:rFonts w:ascii="Calibri" w:hAnsi="Calibri" w:eastAsia="黑体" w:cs="Calibri"/>
                <w:sz w:val="20"/>
                <w:szCs w:val="20"/>
              </w:rPr>
              <w:t>³</w:t>
            </w:r>
            <w:r>
              <w:rPr>
                <w:rFonts w:hint="eastAsia" w:ascii="黑体" w:hAnsi="黑体" w:eastAsia="黑体" w:cs="宋体"/>
                <w:sz w:val="20"/>
                <w:szCs w:val="20"/>
              </w:rPr>
              <w:t>/h，二级过滤加电辅热和中效过滤器。</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35</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风管、附件</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400mm×300mm，方管含保温，附件</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36</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气体灭火控制盘</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气体灭火控制盘</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套</w:t>
            </w:r>
          </w:p>
        </w:tc>
        <w:tc>
          <w:tcPr>
            <w:tcW w:w="760" w:type="dxa"/>
            <w:shd w:val="clear" w:color="auto" w:fill="auto"/>
            <w:vAlign w:val="center"/>
          </w:tcPr>
          <w:p>
            <w:pPr>
              <w:jc w:val="center"/>
              <w:rPr>
                <w:rFonts w:ascii="黑体" w:hAnsi="黑体" w:eastAsia="黑体" w:cs="宋体"/>
                <w:sz w:val="20"/>
                <w:szCs w:val="20"/>
              </w:rPr>
            </w:pPr>
            <w:r>
              <w:rPr>
                <w:rFonts w:hint="eastAsia" w:ascii="黑体" w:hAnsi="黑体" w:eastAsia="黑体" w:cs="宋体"/>
                <w:sz w:val="20"/>
                <w:szCs w:val="20"/>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37</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服务器机柜</w:t>
            </w:r>
          </w:p>
        </w:tc>
        <w:tc>
          <w:tcPr>
            <w:tcW w:w="7092"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1) 规格：600mm(W)*2000mm(H)*1000mm(D)、符合19英寸安装规范；设备安装空间不低于43U。</w:t>
            </w:r>
          </w:p>
          <w:p>
            <w:pPr>
              <w:rPr>
                <w:rFonts w:ascii="黑体" w:hAnsi="黑体" w:eastAsia="黑体" w:cs="宋体"/>
                <w:sz w:val="20"/>
                <w:szCs w:val="20"/>
              </w:rPr>
            </w:pPr>
            <w:r>
              <w:rPr>
                <w:rFonts w:hint="eastAsia" w:ascii="黑体" w:hAnsi="黑体" w:eastAsia="黑体" w:cs="宋体"/>
                <w:sz w:val="20"/>
                <w:szCs w:val="20"/>
              </w:rPr>
              <w:t>2)柜门采用前门单开弧形六角孔门或平板门，1.2mm厚优质冷轧钢板制作；后门双开网孔门，1.2mm厚优质冷轧钢板制作，通风率不小于75%；</w:t>
            </w:r>
          </w:p>
          <w:p>
            <w:pPr>
              <w:rPr>
                <w:rFonts w:ascii="黑体" w:hAnsi="黑体" w:eastAsia="黑体" w:cs="宋体"/>
                <w:sz w:val="20"/>
                <w:szCs w:val="20"/>
              </w:rPr>
            </w:pPr>
            <w:r>
              <w:rPr>
                <w:rFonts w:hint="eastAsia" w:ascii="黑体" w:hAnsi="黑体" w:eastAsia="黑体" w:cs="宋体"/>
                <w:sz w:val="20"/>
                <w:szCs w:val="20"/>
              </w:rPr>
              <w:t>3)机柜表面经过脱硫、磷化、酸洗、静电粉末喷，表面喷塑粉满足ROHS要求；</w:t>
            </w:r>
          </w:p>
          <w:p>
            <w:pPr>
              <w:rPr>
                <w:rFonts w:ascii="黑体" w:hAnsi="黑体" w:eastAsia="黑体" w:cs="宋体"/>
                <w:sz w:val="20"/>
                <w:szCs w:val="20"/>
              </w:rPr>
            </w:pPr>
            <w:r>
              <w:rPr>
                <w:rFonts w:hint="eastAsia" w:ascii="黑体" w:hAnsi="黑体" w:eastAsia="黑体" w:cs="宋体"/>
                <w:sz w:val="20"/>
                <w:szCs w:val="20"/>
              </w:rPr>
              <w:t>4)承重：机柜静载荷能力要求不低于1800KG；</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台</w:t>
            </w:r>
          </w:p>
        </w:tc>
        <w:tc>
          <w:tcPr>
            <w:tcW w:w="760" w:type="dxa"/>
            <w:shd w:val="clear" w:color="auto" w:fill="auto"/>
            <w:vAlign w:val="center"/>
          </w:tcPr>
          <w:p>
            <w:pPr>
              <w:jc w:val="center"/>
              <w:rPr>
                <w:rFonts w:ascii="黑体" w:hAnsi="黑体" w:eastAsia="黑体" w:cs="宋体"/>
                <w:color w:val="000000"/>
                <w:sz w:val="20"/>
                <w:szCs w:val="20"/>
              </w:rPr>
            </w:pPr>
            <w:r>
              <w:rPr>
                <w:rFonts w:hint="eastAsia" w:ascii="黑体" w:hAnsi="黑体" w:eastAsia="黑体" w:cs="宋体"/>
                <w:color w:val="000000"/>
                <w:sz w:val="20"/>
                <w:szCs w:val="20"/>
              </w:rPr>
              <w:t>30</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38</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光纤配线架</w:t>
            </w:r>
          </w:p>
        </w:tc>
        <w:tc>
          <w:tcPr>
            <w:tcW w:w="7092" w:type="dxa"/>
            <w:shd w:val="clear" w:color="auto" w:fill="auto"/>
            <w:vAlign w:val="center"/>
          </w:tcPr>
          <w:p>
            <w:pPr>
              <w:rPr>
                <w:rFonts w:ascii="黑体" w:hAnsi="黑体" w:eastAsia="黑体" w:cs="宋体"/>
                <w:sz w:val="20"/>
                <w:szCs w:val="20"/>
              </w:rPr>
            </w:pPr>
            <w:r>
              <w:rPr>
                <w:rFonts w:hint="eastAsia" w:ascii="宋体" w:hAnsi="宋体" w:eastAsia="宋体" w:cs="宋体"/>
                <w:szCs w:val="24"/>
              </w:rPr>
              <w:t>24口含耦合器</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个</w:t>
            </w:r>
          </w:p>
        </w:tc>
        <w:tc>
          <w:tcPr>
            <w:tcW w:w="760" w:type="dxa"/>
            <w:shd w:val="clear" w:color="auto" w:fill="auto"/>
            <w:vAlign w:val="center"/>
          </w:tcPr>
          <w:p>
            <w:pPr>
              <w:jc w:val="center"/>
              <w:rPr>
                <w:rFonts w:ascii="黑体" w:hAnsi="黑体" w:eastAsia="黑体" w:cs="宋体"/>
                <w:color w:val="000000"/>
                <w:sz w:val="20"/>
                <w:szCs w:val="20"/>
              </w:rPr>
            </w:pPr>
            <w:r>
              <w:rPr>
                <w:rFonts w:hint="eastAsia" w:ascii="黑体" w:hAnsi="黑体" w:eastAsia="黑体" w:cs="宋体"/>
                <w:color w:val="000000"/>
                <w:sz w:val="20"/>
                <w:szCs w:val="20"/>
              </w:rPr>
              <w:t>6</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39</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网络配线架</w:t>
            </w:r>
          </w:p>
        </w:tc>
        <w:tc>
          <w:tcPr>
            <w:tcW w:w="7092" w:type="dxa"/>
            <w:shd w:val="clear" w:color="auto" w:fill="auto"/>
            <w:vAlign w:val="center"/>
          </w:tcPr>
          <w:p>
            <w:pPr>
              <w:rPr>
                <w:rFonts w:ascii="黑体" w:hAnsi="黑体" w:eastAsia="黑体" w:cs="宋体"/>
                <w:sz w:val="20"/>
                <w:szCs w:val="20"/>
              </w:rPr>
            </w:pPr>
            <w:r>
              <w:rPr>
                <w:rFonts w:hint="eastAsia" w:ascii="宋体" w:hAnsi="宋体" w:eastAsia="宋体" w:cs="宋体"/>
                <w:sz w:val="20"/>
                <w:szCs w:val="24"/>
              </w:rPr>
              <w:t>24口含接口模块</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个</w:t>
            </w:r>
          </w:p>
        </w:tc>
        <w:tc>
          <w:tcPr>
            <w:tcW w:w="760" w:type="dxa"/>
            <w:shd w:val="clear" w:color="auto" w:fill="auto"/>
            <w:vAlign w:val="center"/>
          </w:tcPr>
          <w:p>
            <w:pPr>
              <w:jc w:val="center"/>
              <w:rPr>
                <w:rFonts w:ascii="黑体" w:hAnsi="黑体" w:eastAsia="黑体" w:cs="宋体"/>
                <w:color w:val="000000"/>
                <w:sz w:val="20"/>
                <w:szCs w:val="20"/>
              </w:rPr>
            </w:pPr>
            <w:r>
              <w:rPr>
                <w:rFonts w:hint="eastAsia" w:ascii="黑体" w:hAnsi="黑体" w:eastAsia="黑体" w:cs="宋体"/>
                <w:color w:val="000000"/>
                <w:sz w:val="20"/>
                <w:szCs w:val="20"/>
              </w:rPr>
              <w:t>50</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40</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非屏蔽六类网线</w:t>
            </w:r>
          </w:p>
        </w:tc>
        <w:tc>
          <w:tcPr>
            <w:tcW w:w="7092" w:type="dxa"/>
            <w:shd w:val="clear" w:color="auto" w:fill="auto"/>
            <w:vAlign w:val="center"/>
          </w:tcPr>
          <w:p>
            <w:pPr>
              <w:rPr>
                <w:rFonts w:ascii="黑体" w:hAnsi="黑体" w:eastAsia="黑体" w:cs="宋体"/>
                <w:sz w:val="20"/>
                <w:szCs w:val="20"/>
              </w:rPr>
            </w:pPr>
            <w:r>
              <w:rPr>
                <w:rFonts w:hint="eastAsia" w:ascii="宋体" w:hAnsi="宋体" w:eastAsia="宋体" w:cs="宋体"/>
                <w:sz w:val="20"/>
                <w:szCs w:val="24"/>
              </w:rPr>
              <w:t>非屏蔽六类网线</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米</w:t>
            </w:r>
          </w:p>
        </w:tc>
        <w:tc>
          <w:tcPr>
            <w:tcW w:w="760" w:type="dxa"/>
            <w:shd w:val="clear" w:color="auto" w:fill="auto"/>
            <w:vAlign w:val="center"/>
          </w:tcPr>
          <w:p>
            <w:pPr>
              <w:jc w:val="center"/>
              <w:rPr>
                <w:rFonts w:ascii="黑体" w:hAnsi="黑体" w:eastAsia="黑体" w:cs="宋体"/>
                <w:color w:val="000000"/>
                <w:sz w:val="20"/>
                <w:szCs w:val="20"/>
              </w:rPr>
            </w:pPr>
            <w:r>
              <w:rPr>
                <w:rFonts w:hint="eastAsia" w:ascii="黑体" w:hAnsi="黑体" w:eastAsia="黑体" w:cs="宋体"/>
                <w:color w:val="000000"/>
                <w:sz w:val="20"/>
                <w:szCs w:val="20"/>
              </w:rPr>
              <w:t>4500</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41</w:t>
            </w:r>
          </w:p>
        </w:tc>
        <w:tc>
          <w:tcPr>
            <w:tcW w:w="780" w:type="dxa"/>
            <w:shd w:val="clear" w:color="auto" w:fill="auto"/>
            <w:vAlign w:val="center"/>
          </w:tcPr>
          <w:p>
            <w:pPr>
              <w:rPr>
                <w:rFonts w:ascii="黑体" w:hAnsi="黑体" w:eastAsia="黑体" w:cs="宋体"/>
                <w:sz w:val="20"/>
                <w:szCs w:val="20"/>
              </w:rPr>
            </w:pPr>
            <w:r>
              <w:rPr>
                <w:rFonts w:hint="eastAsia" w:ascii="黑体" w:hAnsi="黑体" w:eastAsia="黑体" w:cs="宋体"/>
                <w:sz w:val="20"/>
                <w:szCs w:val="20"/>
              </w:rPr>
              <w:t>机房系统安装调试服务费</w:t>
            </w:r>
          </w:p>
        </w:tc>
        <w:tc>
          <w:tcPr>
            <w:tcW w:w="7092" w:type="dxa"/>
            <w:shd w:val="clear" w:color="auto" w:fill="auto"/>
            <w:vAlign w:val="center"/>
          </w:tcPr>
          <w:p>
            <w:pPr>
              <w:rPr>
                <w:rFonts w:ascii="黑体" w:hAnsi="黑体" w:eastAsia="黑体" w:cs="宋体"/>
                <w:sz w:val="20"/>
                <w:szCs w:val="20"/>
              </w:rPr>
            </w:pPr>
            <w:r>
              <w:rPr>
                <w:rFonts w:hint="eastAsia" w:ascii="宋体" w:hAnsi="宋体" w:eastAsia="宋体" w:cs="宋体"/>
                <w:sz w:val="20"/>
                <w:szCs w:val="24"/>
              </w:rPr>
              <w:t>机房整体的安装调试，使机房各个部分有效的成为一个整体。</w:t>
            </w:r>
          </w:p>
        </w:tc>
        <w:tc>
          <w:tcPr>
            <w:tcW w:w="515" w:type="dxa"/>
            <w:shd w:val="clear" w:color="auto" w:fill="auto"/>
            <w:vAlign w:val="center"/>
          </w:tcPr>
          <w:p>
            <w:pPr>
              <w:jc w:val="center"/>
              <w:rPr>
                <w:rFonts w:ascii="微软雅黑" w:hAnsi="微软雅黑" w:eastAsia="微软雅黑" w:cs="宋体"/>
                <w:sz w:val="20"/>
                <w:szCs w:val="20"/>
              </w:rPr>
            </w:pPr>
            <w:r>
              <w:rPr>
                <w:rFonts w:hint="eastAsia" w:ascii="微软雅黑" w:hAnsi="微软雅黑" w:eastAsia="微软雅黑" w:cs="宋体"/>
                <w:sz w:val="20"/>
                <w:szCs w:val="20"/>
              </w:rPr>
              <w:t>项</w:t>
            </w:r>
          </w:p>
        </w:tc>
        <w:tc>
          <w:tcPr>
            <w:tcW w:w="760" w:type="dxa"/>
            <w:shd w:val="clear" w:color="auto" w:fill="auto"/>
            <w:vAlign w:val="center"/>
          </w:tcPr>
          <w:p>
            <w:pPr>
              <w:jc w:val="center"/>
              <w:rPr>
                <w:rFonts w:ascii="黑体" w:hAnsi="黑体" w:eastAsia="黑体" w:cs="宋体"/>
                <w:color w:val="000000"/>
                <w:sz w:val="20"/>
                <w:szCs w:val="20"/>
              </w:rPr>
            </w:pPr>
            <w:r>
              <w:rPr>
                <w:rFonts w:hint="eastAsia" w:ascii="黑体" w:hAnsi="黑体" w:eastAsia="黑体" w:cs="宋体"/>
                <w:color w:val="000000"/>
                <w:sz w:val="20"/>
                <w:szCs w:val="20"/>
              </w:rPr>
              <w:t>1</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75" w:type="dxa"/>
            <w:gridSpan w:val="6"/>
            <w:shd w:val="clear" w:color="000000" w:fill="FFC000"/>
            <w:vAlign w:val="bottom"/>
          </w:tcPr>
          <w:p>
            <w:pPr>
              <w:rPr>
                <w:rFonts w:ascii="微软雅黑" w:hAnsi="微软雅黑" w:eastAsia="微软雅黑" w:cs="宋体"/>
                <w:sz w:val="32"/>
                <w:szCs w:val="32"/>
              </w:rPr>
            </w:pPr>
            <w:r>
              <w:rPr>
                <w:rFonts w:hint="eastAsia" w:ascii="微软雅黑" w:hAnsi="微软雅黑" w:eastAsia="微软雅黑" w:cs="宋体"/>
                <w:sz w:val="32"/>
                <w:szCs w:val="32"/>
              </w:rPr>
              <w:t>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38" w:type="dxa"/>
            <w:shd w:val="clear" w:color="auto" w:fill="auto"/>
            <w:vAlign w:val="center"/>
          </w:tcPr>
          <w:p>
            <w:pPr>
              <w:jc w:val="center"/>
              <w:rPr>
                <w:rFonts w:ascii="等线" w:hAnsi="等线" w:eastAsia="等线" w:cs="宋体"/>
              </w:rPr>
            </w:pPr>
            <w:r>
              <w:rPr>
                <w:rFonts w:hint="eastAsia" w:ascii="等线" w:hAnsi="等线" w:eastAsia="等线" w:cs="宋体"/>
              </w:rPr>
              <w:t>1</w:t>
            </w:r>
          </w:p>
        </w:tc>
        <w:tc>
          <w:tcPr>
            <w:tcW w:w="780" w:type="dxa"/>
            <w:shd w:val="clear" w:color="auto" w:fill="auto"/>
            <w:vAlign w:val="center"/>
          </w:tcPr>
          <w:p>
            <w:pPr>
              <w:rPr>
                <w:rFonts w:ascii="微软雅黑" w:hAnsi="微软雅黑" w:eastAsia="微软雅黑" w:cs="宋体"/>
                <w:sz w:val="20"/>
                <w:szCs w:val="20"/>
              </w:rPr>
            </w:pPr>
            <w:r>
              <w:rPr>
                <w:rFonts w:hint="eastAsia" w:ascii="微软雅黑" w:hAnsi="微软雅黑" w:eastAsia="微软雅黑" w:cs="宋体"/>
                <w:sz w:val="20"/>
                <w:szCs w:val="20"/>
              </w:rPr>
              <w:t>软件系统集成服务</w:t>
            </w:r>
          </w:p>
        </w:tc>
        <w:tc>
          <w:tcPr>
            <w:tcW w:w="7092" w:type="dxa"/>
            <w:shd w:val="clear" w:color="auto" w:fill="auto"/>
            <w:vAlign w:val="center"/>
          </w:tcPr>
          <w:p>
            <w:pPr>
              <w:rPr>
                <w:rFonts w:ascii="宋体" w:hAnsi="宋体" w:eastAsia="宋体" w:cs="宋体"/>
                <w:color w:val="000000"/>
                <w:sz w:val="20"/>
                <w:szCs w:val="24"/>
              </w:rPr>
            </w:pPr>
            <w:r>
              <w:rPr>
                <w:rFonts w:hint="eastAsia" w:ascii="宋体" w:hAnsi="宋体" w:eastAsia="宋体" w:cs="宋体"/>
                <w:color w:val="000000"/>
                <w:sz w:val="20"/>
                <w:szCs w:val="24"/>
              </w:rPr>
              <w:t>各个子系统和主系统之间功能应用调测服务，使其成为一个统一协调的平台。</w:t>
            </w:r>
          </w:p>
          <w:p>
            <w:pPr>
              <w:rPr>
                <w:rFonts w:ascii="宋体" w:hAnsi="宋体" w:eastAsia="宋体" w:cs="宋体"/>
                <w:sz w:val="20"/>
                <w:szCs w:val="24"/>
              </w:rPr>
            </w:pPr>
            <w:r>
              <w:rPr>
                <w:rFonts w:hint="eastAsia" w:ascii="宋体" w:hAnsi="宋体" w:eastAsia="宋体" w:cs="宋体"/>
                <w:color w:val="000000"/>
                <w:sz w:val="20"/>
                <w:szCs w:val="24"/>
              </w:rPr>
              <w:t>承诺五年内免费提供不少于20台服务器硬件资源服务以便于智慧鄢陵发展应用</w:t>
            </w:r>
            <w:r>
              <w:rPr>
                <w:rFonts w:hint="eastAsia" w:ascii="宋体" w:hAnsi="宋体" w:eastAsia="宋体" w:cs="宋体"/>
                <w:sz w:val="20"/>
                <w:szCs w:val="24"/>
              </w:rPr>
              <w:t>（每台服务器CPU资源2颗，内存32G，2*1T硬盘）</w:t>
            </w:r>
          </w:p>
          <w:p>
            <w:pPr>
              <w:rPr>
                <w:rFonts w:ascii="宋体" w:hAnsi="宋体" w:eastAsia="宋体" w:cs="宋体"/>
                <w:sz w:val="20"/>
                <w:szCs w:val="24"/>
              </w:rPr>
            </w:pPr>
            <w:r>
              <w:rPr>
                <w:rFonts w:hint="eastAsia" w:ascii="宋体" w:hAnsi="宋体" w:eastAsia="宋体" w:cs="宋体"/>
                <w:sz w:val="20"/>
                <w:szCs w:val="24"/>
              </w:rPr>
              <w:t>提供不低于16小时系统使用培训服务。</w:t>
            </w:r>
          </w:p>
          <w:p>
            <w:pPr>
              <w:rPr>
                <w:rFonts w:ascii="宋体" w:hAnsi="宋体" w:eastAsia="宋体" w:cs="宋体"/>
                <w:sz w:val="20"/>
                <w:szCs w:val="24"/>
              </w:rPr>
            </w:pPr>
            <w:r>
              <w:rPr>
                <w:rFonts w:hint="eastAsia" w:ascii="宋体" w:hAnsi="宋体" w:eastAsia="宋体" w:cs="宋体"/>
                <w:sz w:val="20"/>
                <w:szCs w:val="24"/>
              </w:rPr>
              <w:t>对所有设备提供7x24x365的三年售后服务。</w:t>
            </w:r>
          </w:p>
          <w:p>
            <w:pPr>
              <w:rPr>
                <w:rFonts w:ascii="宋体" w:hAnsi="宋体" w:eastAsia="宋体" w:cs="宋体"/>
                <w:sz w:val="20"/>
                <w:szCs w:val="24"/>
              </w:rPr>
            </w:pPr>
            <w:r>
              <w:rPr>
                <w:rFonts w:hint="eastAsia" w:ascii="宋体" w:hAnsi="宋体" w:eastAsia="宋体" w:cs="宋体"/>
                <w:sz w:val="20"/>
                <w:szCs w:val="24"/>
              </w:rPr>
              <w:t>提供软件调整服务，软件可以根据客户的需要进行相应调整的服务。</w:t>
            </w:r>
          </w:p>
          <w:p>
            <w:r>
              <w:rPr>
                <w:rFonts w:hint="eastAsia" w:ascii="宋体" w:hAnsi="宋体" w:eastAsia="宋体" w:cs="宋体"/>
                <w:sz w:val="20"/>
                <w:szCs w:val="24"/>
              </w:rPr>
              <w:t>软件5年内免费升级服务。</w:t>
            </w:r>
            <w:r>
              <w:rPr>
                <w:rFonts w:ascii="宋体" w:hAnsi="宋体" w:eastAsia="宋体" w:cs="宋体"/>
                <w:sz w:val="20"/>
                <w:szCs w:val="24"/>
              </w:rPr>
              <w:br w:type="textWrapping"/>
            </w:r>
            <w:r>
              <w:rPr>
                <w:rFonts w:hint="eastAsia"/>
              </w:rPr>
              <w:t>免费提供10块1TB SATA（企业级）热插拔3.5"硬盘做为备品备件。</w:t>
            </w:r>
            <w:r>
              <w:br w:type="textWrapping"/>
            </w:r>
            <w:r>
              <w:rPr>
                <w:rFonts w:hint="eastAsia"/>
              </w:rPr>
              <w:t>为各单位应用提供免费国标对接接口。</w:t>
            </w:r>
            <w:r>
              <w:rPr>
                <w:rFonts w:hint="eastAsia"/>
              </w:rPr>
              <w:br w:type="textWrapping"/>
            </w:r>
          </w:p>
        </w:tc>
        <w:tc>
          <w:tcPr>
            <w:tcW w:w="515" w:type="dxa"/>
            <w:shd w:val="clear" w:color="auto" w:fill="auto"/>
            <w:vAlign w:val="center"/>
          </w:tcPr>
          <w:p>
            <w:pPr>
              <w:jc w:val="center"/>
              <w:rPr>
                <w:rFonts w:ascii="宋体" w:hAnsi="宋体" w:eastAsia="宋体" w:cs="宋体"/>
              </w:rPr>
            </w:pPr>
            <w:r>
              <w:rPr>
                <w:rFonts w:hint="eastAsia" w:ascii="宋体" w:hAnsi="宋体" w:eastAsia="宋体" w:cs="宋体"/>
              </w:rPr>
              <w:t>套</w:t>
            </w:r>
          </w:p>
        </w:tc>
        <w:tc>
          <w:tcPr>
            <w:tcW w:w="760" w:type="dxa"/>
            <w:shd w:val="clear" w:color="auto" w:fill="auto"/>
            <w:vAlign w:val="center"/>
          </w:tcPr>
          <w:p>
            <w:pPr>
              <w:jc w:val="center"/>
              <w:rPr>
                <w:rFonts w:ascii="微软雅黑" w:hAnsi="微软雅黑" w:eastAsia="微软雅黑" w:cs="宋体"/>
              </w:rPr>
            </w:pPr>
            <w:r>
              <w:rPr>
                <w:rFonts w:hint="eastAsia" w:ascii="微软雅黑" w:hAnsi="微软雅黑" w:eastAsia="微软雅黑" w:cs="宋体"/>
              </w:rPr>
              <w:t xml:space="preserve">1 </w:t>
            </w:r>
          </w:p>
        </w:tc>
        <w:tc>
          <w:tcPr>
            <w:tcW w:w="590" w:type="dxa"/>
            <w:shd w:val="clear" w:color="auto" w:fill="auto"/>
            <w:vAlign w:val="center"/>
          </w:tcPr>
          <w:p>
            <w:pPr>
              <w:rPr>
                <w:rFonts w:ascii="等线" w:hAnsi="等线" w:eastAsia="等线" w:cs="宋体"/>
                <w:color w:val="000000"/>
              </w:rPr>
            </w:pPr>
            <w:r>
              <w:rPr>
                <w:rFonts w:hint="eastAsia" w:ascii="等线" w:hAnsi="等线" w:eastAsia="等线" w:cs="宋体"/>
                <w:color w:val="000000"/>
              </w:rPr>
              <w:t>　</w:t>
            </w:r>
          </w:p>
        </w:tc>
      </w:tr>
    </w:tbl>
    <w:p>
      <w:pPr>
        <w:pStyle w:val="29"/>
        <w:ind w:firstLine="0" w:firstLineChars="0"/>
        <w:rPr>
          <w:rFonts w:cs="宋体" w:asciiTheme="minorEastAsia" w:hAnsiTheme="minorEastAsia" w:eastAsiaTheme="minorEastAsia"/>
          <w:kern w:val="0"/>
          <w:sz w:val="24"/>
          <w:lang w:val="zh-CN"/>
        </w:rPr>
      </w:pPr>
    </w:p>
    <w:p>
      <w:pPr>
        <w:spacing w:line="360" w:lineRule="auto"/>
        <w:rPr>
          <w:rFonts w:hAnsi="仿宋_GB2312" w:eastAsia="仿宋_GB2312" w:cs="仿宋_GB2312"/>
          <w:b/>
          <w:bCs/>
          <w:sz w:val="32"/>
          <w:szCs w:val="32"/>
        </w:rPr>
      </w:pPr>
    </w:p>
    <w:p>
      <w:pPr>
        <w:spacing w:line="360" w:lineRule="auto"/>
        <w:rPr>
          <w:rFonts w:hAnsi="仿宋_GB2312" w:eastAsia="仿宋_GB2312" w:cs="仿宋_GB2312"/>
          <w:b/>
          <w:bCs/>
          <w:sz w:val="32"/>
          <w:szCs w:val="32"/>
        </w:rPr>
      </w:pPr>
    </w:p>
    <w:p>
      <w:pPr>
        <w:spacing w:line="360" w:lineRule="auto"/>
        <w:rPr>
          <w:rFonts w:cs="Arial" w:asciiTheme="minorEastAsia" w:hAnsiTheme="minorEastAsia"/>
          <w:b/>
          <w:sz w:val="24"/>
          <w:szCs w:val="24"/>
        </w:rPr>
      </w:pPr>
      <w:r>
        <w:rPr>
          <w:rFonts w:hint="eastAsia" w:hAnsi="仿宋_GB2312" w:eastAsia="仿宋_GB2312" w:cs="仿宋_GB2312"/>
          <w:b/>
          <w:bCs/>
          <w:sz w:val="32"/>
          <w:szCs w:val="32"/>
        </w:rPr>
        <w:t>（三）</w:t>
      </w:r>
      <w:r>
        <w:rPr>
          <w:rFonts w:cs="仿宋" w:asciiTheme="minorEastAsia" w:hAnsiTheme="minorEastAsia"/>
          <w:b/>
          <w:kern w:val="0"/>
          <w:sz w:val="24"/>
          <w:szCs w:val="24"/>
        </w:rPr>
        <w:t>采购标的执行标准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1.国家标准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2.符合国家和履约地相关安全质量标准、行业技术规范标准。</w:t>
      </w:r>
    </w:p>
    <w:p>
      <w:pPr>
        <w:spacing w:line="360" w:lineRule="auto"/>
        <w:rPr>
          <w:rFonts w:hAnsi="仿宋_GB2312" w:eastAsia="仿宋_GB2312" w:cs="仿宋_GB2312"/>
          <w:b/>
          <w:bCs/>
          <w:sz w:val="32"/>
          <w:szCs w:val="32"/>
        </w:rPr>
      </w:pPr>
      <w:r>
        <w:rPr>
          <w:rFonts w:hint="eastAsia" w:hAnsi="仿宋_GB2312" w:eastAsia="仿宋_GB2312" w:cs="仿宋_GB2312"/>
          <w:b/>
          <w:bCs/>
          <w:sz w:val="32"/>
          <w:szCs w:val="32"/>
        </w:rPr>
        <w:t>（四）其他要求</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1、投标人须明确投标产品的厂家、产地、品牌、型号、详细参数，否则为无效投标。</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2、投标人应就该项目完整投标，否则为无效投标。</w:t>
      </w:r>
    </w:p>
    <w:p>
      <w:pPr>
        <w:wordWrap w:val="0"/>
        <w:topLinePunct/>
        <w:autoSpaceDE w:val="0"/>
        <w:autoSpaceDN w:val="0"/>
        <w:adjustRightInd w:val="0"/>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3、招标文件中所列需求为最低要求，对招标文件中没有列出而对本项目必不可少的其他要求，投标人必须给予实现，否则为无效投标。</w:t>
      </w:r>
    </w:p>
    <w:p>
      <w:pPr>
        <w:wordWrap w:val="0"/>
        <w:topLinePunct/>
        <w:autoSpaceDE w:val="0"/>
        <w:autoSpaceDN w:val="0"/>
        <w:adjustRightInd w:val="0"/>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5、交货期：合同签订后180日历天内，不响应者为无效投标。</w:t>
      </w: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6、最高限价：51068140.00元，超出者为无效投标。</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（五）、验收标准</w:t>
      </w:r>
      <w:bookmarkStart w:id="8" w:name="_Toc529779392"/>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采购人成立验收小组,按照采购合同的约定对中标人履约情况进行评审。验收时,按照采购合同的约定对每一项技术、服务、安全标准的履约情况进行确认。验收结束后，出具验收书，列明各项标准的验收情况及项目总体评价,由验收双方共同签署。</w:t>
      </w:r>
    </w:p>
    <w:p>
      <w:pPr>
        <w:pStyle w:val="3"/>
        <w:spacing w:line="320" w:lineRule="exact"/>
        <w:rPr>
          <w:rFonts w:ascii="仿宋_GB2312" w:hAnsi="仿宋_GB2312" w:eastAsia="仿宋_GB2312" w:cs="仿宋_GB2312"/>
          <w:b w:val="0"/>
          <w:bCs w:val="0"/>
          <w:kern w:val="2"/>
          <w:sz w:val="28"/>
          <w:szCs w:val="28"/>
        </w:rPr>
      </w:pPr>
      <w:r>
        <w:rPr>
          <w:rFonts w:hint="eastAsia" w:ascii="仿宋_GB2312" w:hAnsi="仿宋_GB2312" w:eastAsia="仿宋_GB2312" w:cs="仿宋_GB2312"/>
          <w:b w:val="0"/>
          <w:bCs w:val="0"/>
          <w:kern w:val="2"/>
          <w:sz w:val="28"/>
          <w:szCs w:val="28"/>
        </w:rPr>
        <w:t>1、按照国家相关标准、行业标准、地方标准或者其他标准、规范验收；</w:t>
      </w:r>
    </w:p>
    <w:p>
      <w:pPr>
        <w:pStyle w:val="3"/>
        <w:spacing w:line="320" w:lineRule="exact"/>
        <w:ind w:firstLine="280" w:firstLineChars="100"/>
        <w:rPr>
          <w:rFonts w:ascii="仿宋_GB2312" w:hAnsi="仿宋_GB2312" w:eastAsia="仿宋_GB2312" w:cs="仿宋_GB2312"/>
          <w:b w:val="0"/>
          <w:bCs w:val="0"/>
          <w:kern w:val="2"/>
          <w:sz w:val="28"/>
          <w:szCs w:val="28"/>
        </w:rPr>
      </w:pPr>
      <w:r>
        <w:rPr>
          <w:rFonts w:hint="eastAsia" w:ascii="仿宋_GB2312" w:hAnsi="仿宋_GB2312" w:eastAsia="仿宋_GB2312" w:cs="仿宋_GB2312"/>
          <w:b w:val="0"/>
          <w:bCs w:val="0"/>
          <w:kern w:val="2"/>
          <w:sz w:val="28"/>
          <w:szCs w:val="28"/>
        </w:rPr>
        <w:t>2、按照招标文件要求、投标文件响应和承诺验收。</w:t>
      </w:r>
    </w:p>
    <w:bookmarkEnd w:id="8"/>
    <w:p>
      <w:pPr>
        <w:spacing w:line="360" w:lineRule="auto"/>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（六）采购资金支付</w:t>
      </w:r>
    </w:p>
    <w:p>
      <w:pPr>
        <w:widowControl/>
        <w:shd w:val="clear" w:color="auto" w:fill="FFFFFF"/>
        <w:spacing w:line="360" w:lineRule="auto"/>
        <w:ind w:firstLine="560" w:firstLineChars="200"/>
        <w:contextualSpacing/>
        <w:jc w:val="left"/>
        <w:rPr>
          <w:rFonts w:hint="eastAsia" w:ascii="仿宋_GB2312" w:hAnsi="仿宋_GB2312" w:eastAsia="仿宋_GB2312" w:cs="仿宋_GB2312"/>
          <w:b w:val="0"/>
          <w:bCs w:val="0"/>
          <w:kern w:val="2"/>
          <w:sz w:val="28"/>
          <w:szCs w:val="28"/>
          <w:lang w:val="zh-CN" w:eastAsia="zh-CN" w:bidi="ar-SA"/>
        </w:rPr>
      </w:pPr>
      <w:r>
        <w:rPr>
          <w:rFonts w:hint="eastAsia" w:ascii="仿宋_GB2312" w:hAnsi="仿宋_GB2312" w:eastAsia="仿宋_GB2312" w:cs="仿宋_GB2312"/>
          <w:b w:val="0"/>
          <w:bCs w:val="0"/>
          <w:kern w:val="2"/>
          <w:sz w:val="28"/>
          <w:szCs w:val="28"/>
          <w:lang w:val="zh-CN" w:eastAsia="zh-CN" w:bidi="ar-SA"/>
        </w:rPr>
        <w:t>1、支付方式：银行转账</w:t>
      </w:r>
    </w:p>
    <w:p>
      <w:pPr>
        <w:widowControl/>
        <w:shd w:val="clear" w:color="auto" w:fill="FFFFFF"/>
        <w:spacing w:line="360" w:lineRule="auto"/>
        <w:ind w:firstLine="560" w:firstLineChars="200"/>
        <w:contextualSpacing/>
        <w:jc w:val="left"/>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zh-CN" w:eastAsia="zh-CN" w:bidi="ar-SA"/>
        </w:rPr>
        <w:t>2、支付时间及条件：签订供货合同时，以双方协定为准。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政府采购政策功能</w:t>
      </w:r>
    </w:p>
    <w:p>
      <w:pPr>
        <w:jc w:val="center"/>
        <w:rPr>
          <w:rFonts w:cs="宋体" w:asciiTheme="majorEastAsia" w:hAnsiTheme="majorEastAsia" w:eastAsiaTheme="majorEastAsia"/>
          <w:b/>
          <w:kern w:val="0"/>
          <w:sz w:val="24"/>
          <w:szCs w:val="24"/>
        </w:rPr>
      </w:pP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hd w:val="clear" w:color="auto" w:fill="FFFFFF"/>
        <w:spacing w:line="360" w:lineRule="auto"/>
        <w:ind w:firstLine="482" w:firstLineChars="200"/>
        <w:contextualSpacing/>
        <w:jc w:val="left"/>
        <w:rPr>
          <w:rFonts w:cs="宋体" w:asciiTheme="minorEastAsia" w:hAnsiTheme="minorEastAsia"/>
          <w:b/>
          <w:bCs/>
          <w:kern w:val="0"/>
          <w:sz w:val="24"/>
          <w:szCs w:val="24"/>
          <w:lang w:val="zh-CN"/>
        </w:rPr>
      </w:pPr>
      <w:r>
        <w:rPr>
          <w:rFonts w:hint="eastAsia" w:cs="宋体" w:asciiTheme="minorEastAsia" w:hAnsiTheme="minorEastAsia"/>
          <w:b/>
          <w:bCs/>
          <w:kern w:val="0"/>
          <w:sz w:val="24"/>
          <w:szCs w:val="24"/>
          <w:lang w:val="zh-CN"/>
        </w:rPr>
        <w:t>一、节能能源、保护环境</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3、对于同时列入环保清单和节能产品政府采购清单的产品，应当优先于只列入其中一个清单的产品。</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4、上述“节能产品政府采购清单”、“环境标志产品政府采购清单”，在采购公告发布前已经过期的以及尚在公示期的均不得作为评标时的依据。</w:t>
      </w:r>
    </w:p>
    <w:p>
      <w:pPr>
        <w:widowControl/>
        <w:shd w:val="clear" w:color="auto" w:fill="FFFFFF"/>
        <w:spacing w:line="360" w:lineRule="auto"/>
        <w:ind w:firstLine="482" w:firstLineChars="200"/>
        <w:contextualSpacing/>
        <w:jc w:val="left"/>
        <w:rPr>
          <w:rFonts w:cs="宋体" w:asciiTheme="minorEastAsia" w:hAnsiTheme="minorEastAsia"/>
          <w:b/>
          <w:bCs/>
          <w:kern w:val="0"/>
          <w:sz w:val="24"/>
          <w:szCs w:val="24"/>
          <w:lang w:val="zh-CN"/>
        </w:rPr>
      </w:pPr>
      <w:r>
        <w:rPr>
          <w:rFonts w:hint="eastAsia" w:cs="宋体" w:asciiTheme="minorEastAsia" w:hAnsiTheme="minorEastAsia"/>
          <w:b/>
          <w:bCs/>
          <w:kern w:val="0"/>
          <w:sz w:val="24"/>
          <w:szCs w:val="24"/>
          <w:lang w:val="zh-CN"/>
        </w:rPr>
        <w:t>二、促进中小企业发展</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4、中小企业投标应提供《中小企业声明函》，同时提供有效的证明材料且加盖单位公章。如为联合投标的，联合体各方需分别填写《中小企业声明函》。</w:t>
      </w:r>
    </w:p>
    <w:p>
      <w:pPr>
        <w:widowControl/>
        <w:shd w:val="clear" w:color="auto" w:fill="FFFFFF"/>
        <w:spacing w:line="360" w:lineRule="auto"/>
        <w:ind w:firstLine="482" w:firstLineChars="200"/>
        <w:contextualSpacing/>
        <w:jc w:val="left"/>
        <w:rPr>
          <w:rFonts w:cs="宋体" w:asciiTheme="minorEastAsia" w:hAnsiTheme="minorEastAsia"/>
          <w:b/>
          <w:bCs/>
          <w:kern w:val="0"/>
          <w:sz w:val="24"/>
          <w:szCs w:val="24"/>
          <w:lang w:val="zh-CN"/>
        </w:rPr>
      </w:pPr>
      <w:r>
        <w:rPr>
          <w:rFonts w:hint="eastAsia" w:cs="宋体" w:asciiTheme="minorEastAsia" w:hAnsiTheme="minorEastAsia"/>
          <w:b/>
          <w:bCs/>
          <w:kern w:val="0"/>
          <w:sz w:val="24"/>
          <w:szCs w:val="24"/>
          <w:lang w:val="zh-CN"/>
        </w:rPr>
        <w:t>三、支持监狱企业发展</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按照财政部、司法部发布的《关于政府采购支持监狱企业发展有关问题的通知》（</w:t>
      </w:r>
      <w:bookmarkStart w:id="9" w:name="OLE_LINK6"/>
      <w:r>
        <w:rPr>
          <w:rFonts w:hint="eastAsia" w:cs="宋体" w:asciiTheme="minorEastAsia" w:hAnsiTheme="minorEastAsia"/>
          <w:kern w:val="0"/>
          <w:sz w:val="24"/>
          <w:szCs w:val="24"/>
          <w:lang w:val="zh-CN"/>
        </w:rPr>
        <w:t>财库[2014]68号</w:t>
      </w:r>
      <w:bookmarkEnd w:id="9"/>
      <w:r>
        <w:rPr>
          <w:rFonts w:hint="eastAsia" w:cs="宋体" w:asciiTheme="minorEastAsia" w:hAnsiTheme="minorEastAsia"/>
          <w:kern w:val="0"/>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widowControl/>
        <w:shd w:val="clear" w:color="auto" w:fill="FFFFFF"/>
        <w:spacing w:line="360" w:lineRule="auto"/>
        <w:ind w:firstLine="482" w:firstLineChars="200"/>
        <w:contextualSpacing/>
        <w:jc w:val="left"/>
        <w:rPr>
          <w:rFonts w:cs="宋体" w:asciiTheme="minorEastAsia" w:hAnsiTheme="minorEastAsia"/>
          <w:b/>
          <w:bCs/>
          <w:kern w:val="0"/>
          <w:sz w:val="24"/>
          <w:szCs w:val="24"/>
          <w:lang w:val="zh-CN"/>
        </w:rPr>
      </w:pPr>
      <w:r>
        <w:rPr>
          <w:rFonts w:hint="eastAsia" w:cs="宋体" w:asciiTheme="minorEastAsia" w:hAnsiTheme="minorEastAsia"/>
          <w:b/>
          <w:bCs/>
          <w:kern w:val="0"/>
          <w:sz w:val="24"/>
          <w:szCs w:val="24"/>
          <w:lang w:val="zh-CN"/>
        </w:rPr>
        <w:t>四、促进残疾人就业</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残疾人福利性单位属于小型、微型企业的，不重复享受政策。</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3、中标人为残疾人福利性单位的，招标人应当随中标结果同时公告其《残疾人福利性单位声明函》，接受社会监督。</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资格审查与评标办法、评标标准</w:t>
      </w:r>
    </w:p>
    <w:p>
      <w:pPr>
        <w:pStyle w:val="9"/>
        <w:spacing w:line="420" w:lineRule="exact"/>
        <w:contextualSpacing/>
        <w:rPr>
          <w:rFonts w:cs="仿宋_GB2312" w:asciiTheme="minorEastAsia" w:hAnsiTheme="minorEastAsia"/>
          <w:b/>
          <w:szCs w:val="24"/>
          <w:lang w:val="zh-CN"/>
        </w:rPr>
      </w:pPr>
      <w:r>
        <w:rPr>
          <w:rFonts w:cs="仿宋_GB2312" w:asciiTheme="minorEastAsia" w:hAnsiTheme="minorEastAsia"/>
          <w:b/>
          <w:szCs w:val="24"/>
          <w:lang w:val="zh-CN"/>
        </w:rPr>
        <w:t>一、</w:t>
      </w:r>
      <w:r>
        <w:rPr>
          <w:rFonts w:hint="eastAsia" w:ascii="宋体" w:hAnsi="宋体" w:cs="宋体"/>
          <w:b/>
          <w:bCs/>
          <w:szCs w:val="24"/>
        </w:rPr>
        <w:t>评标方法</w:t>
      </w:r>
    </w:p>
    <w:p>
      <w:pPr>
        <w:tabs>
          <w:tab w:val="left" w:pos="360"/>
          <w:tab w:val="left" w:pos="540"/>
        </w:tabs>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1、本次评标采用综合评分法，是指投标文件满足招标文件全部实质性要求，且按照评审因素的量化指标评审得分最高的投标人为中标候选人的评标方法。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 因落实政府采购政策进行价格调整的，以调整后的价格计算评标基准价和投标报价。</w:t>
      </w:r>
    </w:p>
    <w:p>
      <w:pPr>
        <w:tabs>
          <w:tab w:val="left" w:pos="360"/>
          <w:tab w:val="left" w:pos="540"/>
        </w:tabs>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w:t>
      </w:r>
      <w:r>
        <w:rPr>
          <w:rFonts w:cs="仿宋_GB2312" w:asciiTheme="minorEastAsia" w:hAnsiTheme="minorEastAsia"/>
          <w:b/>
          <w:sz w:val="24"/>
          <w:szCs w:val="24"/>
          <w:lang w:val="zh-CN"/>
        </w:rPr>
        <w:t>资格审查</w:t>
      </w:r>
    </w:p>
    <w:p>
      <w:pPr>
        <w:pStyle w:val="9"/>
        <w:spacing w:line="420" w:lineRule="exact"/>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1、开标结束后，采购人（采购代理机构）依法对投标人资格进行审查。</w:t>
      </w:r>
    </w:p>
    <w:p>
      <w:pPr>
        <w:spacing w:line="420" w:lineRule="exact"/>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2、资格审查因素：见下表。（表格所列内容为本项目的资格审查条件，如有一项不符合要求，则不能进入下一步评审）。</w:t>
      </w:r>
    </w:p>
    <w:p>
      <w:pPr>
        <w:pStyle w:val="9"/>
        <w:spacing w:line="420" w:lineRule="exact"/>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3、资格审查因素中所涉及到的证书材料，均须在电子投标文件中提供原件扫描件（或图片）。</w:t>
      </w:r>
    </w:p>
    <w:tbl>
      <w:tblPr>
        <w:tblStyle w:val="18"/>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left"/>
              <w:rPr>
                <w:rFonts w:ascii="宋体" w:hAnsi="宋体"/>
                <w:b/>
                <w:sz w:val="24"/>
                <w:szCs w:val="24"/>
              </w:rPr>
            </w:pPr>
            <w:r>
              <w:rPr>
                <w:rFonts w:hint="eastAsia" w:ascii="宋体" w:hAnsi="宋体"/>
                <w:b/>
                <w:sz w:val="24"/>
                <w:szCs w:val="24"/>
              </w:rPr>
              <w:t>一、投标函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二、法人或者其他组织的营业执照等证明文件，自然人的身份证明</w:t>
            </w:r>
          </w:p>
          <w:p>
            <w:pPr>
              <w:spacing w:line="420" w:lineRule="exact"/>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1、企业法人营业执照或营业执照。（企业投标提供）</w:t>
            </w:r>
          </w:p>
          <w:p>
            <w:pPr>
              <w:spacing w:line="420" w:lineRule="exact"/>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2、事业单位法人证书。（事业单位投标提供）</w:t>
            </w:r>
          </w:p>
          <w:p>
            <w:pPr>
              <w:spacing w:line="420" w:lineRule="exact"/>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3、执业许可证。（非专业服务机构投标提供）</w:t>
            </w:r>
          </w:p>
          <w:p>
            <w:pPr>
              <w:spacing w:line="420" w:lineRule="exact"/>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4、个体工商户营业执照。（个体工商户投标提供）</w:t>
            </w:r>
          </w:p>
          <w:p>
            <w:pPr>
              <w:spacing w:line="420" w:lineRule="exact"/>
              <w:ind w:right="420" w:rightChars="200"/>
              <w:contextualSpacing/>
              <w:rPr>
                <w:rFonts w:ascii="宋体" w:hAnsi="宋体"/>
                <w:b/>
                <w:sz w:val="24"/>
                <w:szCs w:val="24"/>
              </w:rPr>
            </w:pPr>
            <w:r>
              <w:rPr>
                <w:rFonts w:hint="eastAsia" w:cs="仿宋_GB2312" w:asciiTheme="minorEastAsia" w:hAnsiTheme="minorEastAsia"/>
                <w:sz w:val="24"/>
                <w:szCs w:val="24"/>
                <w:lang w:val="zh-CN"/>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三、财务状况报告相关材料</w:t>
            </w:r>
          </w:p>
          <w:p>
            <w:pPr>
              <w:spacing w:line="420" w:lineRule="exact"/>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1、2017年度经审计的财务报告；或基本开户银行出具的资信证明。（法人投标提供。法人包括企业法人、机关法人、事业单位法人和社会团体法人。）</w:t>
            </w:r>
          </w:p>
          <w:p>
            <w:pPr>
              <w:spacing w:line="420" w:lineRule="exact"/>
              <w:ind w:right="420" w:rightChars="200"/>
              <w:contextualSpacing/>
              <w:rPr>
                <w:rFonts w:ascii="宋体" w:hAnsi="宋体"/>
                <w:bCs/>
                <w:sz w:val="24"/>
                <w:szCs w:val="24"/>
              </w:rPr>
            </w:pPr>
            <w:r>
              <w:rPr>
                <w:rFonts w:hint="eastAsia" w:cs="仿宋_GB2312" w:asciiTheme="minorEastAsia" w:hAnsiTheme="minorEastAsia"/>
                <w:sz w:val="24"/>
                <w:szCs w:val="24"/>
                <w:lang w:val="zh-CN"/>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四、依法缴纳税收相关材料</w:t>
            </w:r>
          </w:p>
          <w:p>
            <w:pPr>
              <w:spacing w:line="420" w:lineRule="exact"/>
              <w:jc w:val="left"/>
              <w:rPr>
                <w:rFonts w:ascii="宋体" w:hAnsi="宋体"/>
                <w:b/>
                <w:sz w:val="24"/>
                <w:szCs w:val="24"/>
              </w:rPr>
            </w:pPr>
            <w:r>
              <w:rPr>
                <w:rFonts w:hint="eastAsia" w:cs="仿宋_GB2312" w:asciiTheme="minorEastAsia" w:hAnsiTheme="minorEastAsia"/>
                <w:sz w:val="24"/>
                <w:szCs w:val="24"/>
                <w:lang w:val="zh-CN"/>
              </w:rPr>
              <w:t>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五、依法缴纳社会保障资金的证明材料</w:t>
            </w:r>
          </w:p>
          <w:p>
            <w:pPr>
              <w:spacing w:line="420" w:lineRule="exact"/>
              <w:jc w:val="left"/>
              <w:rPr>
                <w:rFonts w:ascii="宋体" w:hAnsi="宋体"/>
                <w:bCs/>
                <w:sz w:val="24"/>
                <w:szCs w:val="24"/>
              </w:rPr>
            </w:pPr>
            <w:r>
              <w:rPr>
                <w:rFonts w:hint="eastAsia" w:cs="仿宋_GB2312" w:asciiTheme="minorEastAsia" w:hAnsiTheme="minorEastAsia"/>
                <w:sz w:val="24"/>
                <w:szCs w:val="24"/>
                <w:lang w:val="zh-CN"/>
              </w:rPr>
              <w:t>投标截止时间前三个月内任意一个月投标人缴纳社会保险凭据复印件。（依法不需要缴纳社会保障资金的投标人，应提供相应文件证明依法不需要缴纳社会保障资金）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9040" w:type="dxa"/>
            <w:vAlign w:val="center"/>
          </w:tcPr>
          <w:p>
            <w:pPr>
              <w:spacing w:line="420" w:lineRule="exact"/>
              <w:jc w:val="left"/>
              <w:rPr>
                <w:rFonts w:ascii="宋体" w:hAnsi="宋体"/>
                <w:b/>
                <w:bCs/>
                <w:sz w:val="24"/>
                <w:szCs w:val="24"/>
              </w:rPr>
            </w:pPr>
            <w:r>
              <w:rPr>
                <w:rFonts w:hint="eastAsia" w:ascii="宋体" w:hAnsi="宋体"/>
                <w:b/>
                <w:bCs/>
                <w:sz w:val="24"/>
                <w:szCs w:val="24"/>
              </w:rPr>
              <w:t>六、参加政府采购活动前3年内在经营活动中没有重大违法记录的书面声明（</w:t>
            </w:r>
            <w:r>
              <w:rPr>
                <w:rFonts w:hint="eastAsia" w:ascii="宋体" w:hAnsi="宋体" w:eastAsia="宋体" w:cs="Times New Roman"/>
                <w:b/>
                <w:bCs/>
                <w:sz w:val="24"/>
                <w:szCs w:val="24"/>
              </w:rPr>
              <w:t>投标人成立不足三年的，按成立之日计算）</w:t>
            </w:r>
          </w:p>
          <w:p>
            <w:pPr>
              <w:spacing w:line="420" w:lineRule="exact"/>
              <w:jc w:val="left"/>
              <w:rPr>
                <w:rFonts w:ascii="宋体" w:hAnsi="宋体"/>
                <w:bCs/>
                <w:sz w:val="24"/>
                <w:szCs w:val="24"/>
              </w:rPr>
            </w:pPr>
            <w:r>
              <w:rPr>
                <w:rFonts w:hint="eastAsia" w:cs="仿宋_GB2312" w:asciiTheme="minorEastAsia" w:hAnsiTheme="minorEastAsia"/>
                <w:sz w:val="24"/>
                <w:szCs w:val="24"/>
                <w:lang w:val="zh-CN"/>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宋体" w:hAnsi="宋体"/>
                <w:b/>
                <w:sz w:val="24"/>
                <w:szCs w:val="24"/>
              </w:rPr>
            </w:pPr>
            <w:r>
              <w:rPr>
                <w:rFonts w:hint="eastAsia" w:ascii="宋体" w:hAnsi="宋体"/>
                <w:sz w:val="24"/>
                <w:szCs w:val="24"/>
              </w:rPr>
              <w:t>七</w:t>
            </w:r>
            <w:r>
              <w:rPr>
                <w:rFonts w:hint="eastAsia" w:ascii="宋体" w:hAnsi="宋体"/>
                <w:b/>
                <w:sz w:val="24"/>
                <w:szCs w:val="24"/>
              </w:rPr>
              <w:t>、投标保证金</w:t>
            </w:r>
          </w:p>
          <w:p>
            <w:pPr>
              <w:pStyle w:val="26"/>
              <w:spacing w:line="360" w:lineRule="auto"/>
              <w:jc w:val="both"/>
              <w:rPr>
                <w:rFonts w:hAnsi="宋体"/>
                <w:b/>
                <w:bCs/>
              </w:rPr>
            </w:pPr>
            <w:r>
              <w:rPr>
                <w:rFonts w:hint="eastAsia" w:cs="仿宋_GB2312" w:asciiTheme="minorEastAsia" w:hAnsiTheme="minorEastAsia" w:eastAsiaTheme="minorEastAsia"/>
                <w:kern w:val="2"/>
                <w:lang w:val="zh-CN"/>
              </w:rPr>
              <w:t>是否成功交纳。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宋体" w:hAnsi="宋体"/>
                <w:sz w:val="24"/>
                <w:szCs w:val="24"/>
              </w:rPr>
            </w:pPr>
            <w:r>
              <w:rPr>
                <w:rFonts w:hint="eastAsia" w:ascii="宋体" w:hAnsi="宋体"/>
                <w:b/>
                <w:sz w:val="24"/>
                <w:szCs w:val="24"/>
              </w:rPr>
              <w:t>八、</w:t>
            </w:r>
            <w:r>
              <w:rPr>
                <w:rFonts w:hint="eastAsia" w:ascii="宋体" w:hAnsi="宋体"/>
                <w:b/>
                <w:sz w:val="24"/>
                <w:szCs w:val="24"/>
                <w:lang w:val="zh-CN"/>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宋体" w:hAnsi="宋体"/>
                <w:b/>
                <w:sz w:val="24"/>
                <w:szCs w:val="24"/>
              </w:rPr>
            </w:pPr>
            <w:r>
              <w:rPr>
                <w:rFonts w:hint="eastAsia" w:ascii="宋体" w:hAnsi="宋体"/>
                <w:b/>
                <w:sz w:val="24"/>
                <w:szCs w:val="24"/>
              </w:rPr>
              <w:t>九、</w:t>
            </w:r>
            <w:r>
              <w:rPr>
                <w:rFonts w:ascii="宋体" w:hAnsi="宋体"/>
                <w:b/>
                <w:sz w:val="24"/>
                <w:szCs w:val="24"/>
              </w:rPr>
              <w:t>未被列入“信用中国”网站(www.creditchina.gov.cn)失信被执行人、重大税收违法案件当事人名单、政府采购严重违法失信名单的投标人；</w:t>
            </w:r>
            <w:r>
              <w:rPr>
                <w:rFonts w:hint="eastAsia" w:ascii="宋体" w:hAnsi="宋体"/>
                <w:b/>
                <w:sz w:val="24"/>
                <w:szCs w:val="24"/>
              </w:rPr>
              <w:t>“</w:t>
            </w:r>
            <w:r>
              <w:rPr>
                <w:rFonts w:ascii="宋体" w:hAnsi="宋体"/>
                <w:b/>
                <w:sz w:val="24"/>
                <w:szCs w:val="24"/>
              </w:rPr>
              <w:t>中国政府采购网</w:t>
            </w:r>
            <w:r>
              <w:rPr>
                <w:rFonts w:hint="eastAsia" w:ascii="宋体" w:hAnsi="宋体"/>
                <w:b/>
                <w:sz w:val="24"/>
                <w:szCs w:val="24"/>
              </w:rPr>
              <w:t>”</w:t>
            </w:r>
            <w:r>
              <w:rPr>
                <w:rFonts w:ascii="宋体" w:hAnsi="宋体"/>
                <w:b/>
                <w:sz w:val="24"/>
                <w:szCs w:val="24"/>
              </w:rPr>
              <w:t>(www.ccgp.gov.cn)政府采购严重违法失信行为记录名单的投标人</w:t>
            </w:r>
            <w:r>
              <w:rPr>
                <w:rFonts w:hint="eastAsia"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9040"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十、</w:t>
            </w:r>
            <w:r>
              <w:rPr>
                <w:rFonts w:hint="eastAsia" w:cs="仿宋_GB2312" w:asciiTheme="minorEastAsia" w:hAnsiTheme="minorEastAsia"/>
                <w:b/>
                <w:sz w:val="24"/>
                <w:szCs w:val="24"/>
                <w:lang w:val="zh-CN"/>
              </w:rPr>
              <w:t>报价</w:t>
            </w:r>
          </w:p>
          <w:p>
            <w:pPr>
              <w:spacing w:line="420" w:lineRule="exact"/>
              <w:contextualSpacing/>
              <w:rPr>
                <w:rFonts w:ascii="宋体" w:hAnsi="宋体"/>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是否超出招标文件中规定的预算金额，超出预算金额的投标无效。如投标人须知前附表规定最高限价，则超出预算金额和最高限价的投标无效。</w:t>
            </w:r>
          </w:p>
        </w:tc>
      </w:tr>
    </w:tbl>
    <w:p>
      <w:pPr>
        <w:autoSpaceDE w:val="0"/>
        <w:autoSpaceDN w:val="0"/>
        <w:adjustRightInd w:val="0"/>
        <w:spacing w:line="360" w:lineRule="auto"/>
        <w:rPr>
          <w:rFonts w:cs="仿宋_GB2312" w:asciiTheme="minorEastAsia" w:hAnsiTheme="minorEastAsia"/>
          <w:b/>
          <w:sz w:val="24"/>
          <w:szCs w:val="24"/>
        </w:rPr>
      </w:pPr>
      <w:r>
        <w:rPr>
          <w:rFonts w:hint="eastAsia" w:cs="仿宋_GB2312" w:asciiTheme="minorEastAsia" w:hAnsiTheme="minorEastAsia"/>
          <w:b/>
          <w:sz w:val="24"/>
          <w:szCs w:val="24"/>
        </w:rPr>
        <w:t>4、供应商信用信息查询：</w:t>
      </w:r>
    </w:p>
    <w:p>
      <w:pPr>
        <w:autoSpaceDE w:val="0"/>
        <w:autoSpaceDN w:val="0"/>
        <w:adjustRightInd w:val="0"/>
        <w:spacing w:line="360" w:lineRule="auto"/>
        <w:ind w:firstLine="482" w:firstLineChars="200"/>
        <w:rPr>
          <w:rFonts w:ascii="宋体" w:hAnsi="宋体"/>
          <w:b/>
          <w:bCs/>
          <w:sz w:val="24"/>
          <w:szCs w:val="24"/>
        </w:rPr>
      </w:pPr>
      <w:r>
        <w:rPr>
          <w:rFonts w:hint="eastAsia" w:ascii="宋体" w:hAnsi="宋体"/>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（1）查询渠道：“信用中国”网站（www.creditchina.gov.cn）和中国政府采购网（www.ccgp.gov.cn）；</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（2）查询截止时间：投标截止时间至资格性审查结束；</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（3）信用信息查询记录和证据留存具体方式：经采购人确认的查询结果网页截图作为查询记录和证据，与其他采购文件一并保存；</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（4）信用信息的使用原则：经采购人认定的被列入失信被执行人、重大税收违法案件当事人名单、政府采购严重违法失信行为记录名单的投标人，将拒绝其参与政府采购活动。</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p>
      <w:pPr>
        <w:pStyle w:val="9"/>
        <w:spacing w:line="420" w:lineRule="exact"/>
        <w:contextualSpacing/>
        <w:rPr>
          <w:rFonts w:cs="仿宋_GB2312" w:asciiTheme="minorEastAsia" w:hAnsiTheme="minorEastAsia"/>
          <w:b/>
          <w:szCs w:val="24"/>
          <w:lang w:val="zh-CN"/>
        </w:rPr>
      </w:pPr>
      <w:r>
        <w:rPr>
          <w:rFonts w:hint="eastAsia" w:cs="仿宋_GB2312" w:asciiTheme="minorEastAsia" w:hAnsiTheme="minorEastAsia"/>
          <w:b/>
          <w:szCs w:val="24"/>
          <w:lang w:val="zh-CN"/>
        </w:rPr>
        <w:t>三、符合性审查</w:t>
      </w:r>
    </w:p>
    <w:p>
      <w:pPr>
        <w:pStyle w:val="9"/>
        <w:spacing w:line="420" w:lineRule="exact"/>
        <w:ind w:firstLine="482" w:firstLineChars="200"/>
        <w:contextualSpacing/>
        <w:rPr>
          <w:rFonts w:ascii="宋体" w:hAnsi="宋体" w:eastAsiaTheme="minorEastAsia"/>
          <w:b/>
          <w:szCs w:val="24"/>
          <w:lang w:val="zh-CN"/>
        </w:rPr>
      </w:pPr>
      <w:r>
        <w:rPr>
          <w:rFonts w:hint="eastAsia" w:ascii="宋体" w:hAnsi="宋体" w:eastAsiaTheme="minorEastAsia"/>
          <w:b/>
          <w:szCs w:val="24"/>
          <w:lang w:val="zh-CN"/>
        </w:rPr>
        <w:t>符合性审查中所涉及到的证明文件及材料，均须在电子投标文件中提供原件扫描件（或图片）。</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评标委员会依据有关法律法规和招标文件的规定，对符合资格的投标人的投标文件进行符合性审查，以确定其是否满足招标文件的实质性要求，并记录评审结果。</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2、投标文件属下列情况之一的，按照无效投标处理：</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（1）未按照招标文件的规定提交投标保证金的；</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（2）投标文件未按招标文件要求签署、盖章的；</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（3）不具备招标文件中规定的资格要求的；</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（4）报价超过招标文件中规定的预算金额或者最高限价的；</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（5）投标文件含有采购人不能接受的附加条件的；</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（6）法律、法规和招标文件规定的其他无效情形。</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（1）不同投标人的投标文件由同一单位或者个人编制；</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（2）不同投标人委托同一单位或者个人办理投标事宜；</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（3）不同投标人的投标文件载明的项目管理成员或者联系人员为同一人；</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（4）不同投标人的投标文件异常一致或者投标报价呈规律性差异；</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（5）不同投标人的投标文件相互混装；</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（6）不同投标人的投标保证金从同一单位或者个人的账户转出。</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4、细微偏差不影响投标文件的有效性。</w:t>
      </w:r>
    </w:p>
    <w:p>
      <w:pPr>
        <w:pStyle w:val="9"/>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pStyle w:val="9"/>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rPr>
        <w:t>5、</w:t>
      </w:r>
      <w:r>
        <w:rPr>
          <w:rFonts w:hint="eastAsia" w:cs="仿宋_GB2312" w:asciiTheme="minorEastAsia" w:hAnsiTheme="minorEastAsia" w:eastAsiaTheme="minorEastAsia"/>
          <w:szCs w:val="24"/>
          <w:lang w:val="zh-CN"/>
        </w:rPr>
        <w:t>使用综合评分法的采购项目，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四、综合比较与评价</w:t>
      </w:r>
    </w:p>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评标委员会对实质性响应的投标文件按照评分标准进行评判和打分。</w:t>
      </w:r>
    </w:p>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（一）评标方法：综合评分法</w:t>
      </w:r>
    </w:p>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（二）综合评分法评标标准：</w:t>
      </w:r>
    </w:p>
    <w:tbl>
      <w:tblPr>
        <w:tblStyle w:val="18"/>
        <w:tblW w:w="9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575"/>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500" w:type="dxa"/>
            <w:vAlign w:val="center"/>
          </w:tcPr>
          <w:p>
            <w:pPr>
              <w:adjustRightInd w:val="0"/>
              <w:snapToGrid w:val="0"/>
              <w:jc w:val="center"/>
              <w:rPr>
                <w:rFonts w:ascii="仿宋_GB2312" w:hAnsi="仿宋" w:eastAsia="仿宋_GB2312" w:cs="仿宋"/>
                <w:sz w:val="28"/>
                <w:szCs w:val="28"/>
              </w:rPr>
            </w:pPr>
            <w:r>
              <w:rPr>
                <w:rFonts w:hint="eastAsia" w:ascii="仿宋_GB2312" w:hAnsi="仿宋" w:eastAsia="仿宋_GB2312" w:cs="仿宋"/>
                <w:sz w:val="28"/>
                <w:szCs w:val="28"/>
              </w:rPr>
              <w:t>分值构成</w:t>
            </w:r>
          </w:p>
          <w:p>
            <w:pPr>
              <w:adjustRightInd w:val="0"/>
              <w:snapToGrid w:val="0"/>
              <w:jc w:val="center"/>
              <w:rPr>
                <w:rFonts w:ascii="仿宋_GB2312" w:hAnsi="仿宋" w:eastAsia="仿宋_GB2312" w:cs="仿宋"/>
                <w:sz w:val="28"/>
                <w:szCs w:val="28"/>
              </w:rPr>
            </w:pPr>
            <w:r>
              <w:rPr>
                <w:rFonts w:hint="eastAsia" w:ascii="仿宋_GB2312" w:hAnsi="仿宋" w:eastAsia="仿宋_GB2312" w:cs="仿宋"/>
                <w:sz w:val="28"/>
                <w:szCs w:val="28"/>
              </w:rPr>
              <w:t>(总分100分)</w:t>
            </w:r>
          </w:p>
        </w:tc>
        <w:tc>
          <w:tcPr>
            <w:tcW w:w="7512" w:type="dxa"/>
            <w:gridSpan w:val="2"/>
            <w:vAlign w:val="center"/>
          </w:tcPr>
          <w:p>
            <w:pPr>
              <w:adjustRightInd w:val="0"/>
              <w:snapToGrid w:val="0"/>
              <w:ind w:firstLine="560" w:firstLineChars="200"/>
              <w:rPr>
                <w:rFonts w:ascii="仿宋_GB2312" w:hAnsi="仿宋" w:eastAsia="仿宋_GB2312" w:cs="仿宋"/>
                <w:color w:val="000000" w:themeColor="text1"/>
                <w:sz w:val="28"/>
                <w:szCs w:val="28"/>
              </w:rPr>
            </w:pPr>
            <w:r>
              <w:rPr>
                <w:rFonts w:hint="eastAsia" w:ascii="仿宋_GB2312" w:hAnsi="仿宋" w:eastAsia="仿宋_GB2312" w:cs="仿宋"/>
                <w:sz w:val="28"/>
                <w:szCs w:val="28"/>
              </w:rPr>
              <w:t>价格分值：</w:t>
            </w:r>
            <w:r>
              <w:rPr>
                <w:rFonts w:hint="eastAsia" w:ascii="仿宋_GB2312" w:hAnsi="仿宋" w:eastAsia="仿宋_GB2312" w:cs="仿宋"/>
                <w:color w:val="000000" w:themeColor="text1"/>
                <w:sz w:val="28"/>
                <w:szCs w:val="28"/>
              </w:rPr>
              <w:t>30分</w:t>
            </w:r>
          </w:p>
          <w:p>
            <w:pPr>
              <w:adjustRightInd w:val="0"/>
              <w:snapToGrid w:val="0"/>
              <w:ind w:firstLine="560" w:firstLineChars="200"/>
              <w:rPr>
                <w:rFonts w:ascii="仿宋_GB2312" w:hAnsi="仿宋" w:eastAsia="仿宋_GB2312" w:cs="仿宋"/>
                <w:color w:val="000000" w:themeColor="text1"/>
                <w:sz w:val="28"/>
                <w:szCs w:val="28"/>
              </w:rPr>
            </w:pPr>
            <w:r>
              <w:rPr>
                <w:rFonts w:hint="eastAsia" w:ascii="仿宋_GB2312" w:hAnsi="仿宋" w:eastAsia="仿宋_GB2312" w:cs="仿宋"/>
                <w:color w:val="000000" w:themeColor="text1"/>
                <w:sz w:val="28"/>
                <w:szCs w:val="28"/>
              </w:rPr>
              <w:t>商务部分：25分</w:t>
            </w:r>
          </w:p>
          <w:p>
            <w:pPr>
              <w:adjustRightInd w:val="0"/>
              <w:snapToGrid w:val="0"/>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9012" w:type="dxa"/>
            <w:gridSpan w:val="3"/>
            <w:tcBorders>
              <w:bottom w:val="single" w:color="auto" w:sz="4" w:space="0"/>
            </w:tcBorders>
            <w:vAlign w:val="center"/>
          </w:tcPr>
          <w:p>
            <w:pPr>
              <w:adjustRightInd w:val="0"/>
              <w:snapToGrid w:val="0"/>
              <w:jc w:val="center"/>
              <w:rPr>
                <w:rFonts w:ascii="仿宋_GB2312" w:hAnsi="仿宋" w:eastAsia="仿宋_GB2312" w:cs="仿宋"/>
                <w:sz w:val="28"/>
                <w:szCs w:val="28"/>
              </w:rPr>
            </w:pPr>
            <w:r>
              <w:rPr>
                <w:rFonts w:hint="eastAsia" w:ascii="仿宋_GB2312" w:hAnsi="仿宋" w:eastAsia="仿宋_GB2312" w:cs="仿宋"/>
                <w:sz w:val="28"/>
                <w:szCs w:val="28"/>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500" w:type="dxa"/>
            <w:tcBorders>
              <w:top w:val="single" w:color="auto" w:sz="4" w:space="0"/>
            </w:tcBorders>
            <w:vAlign w:val="center"/>
          </w:tcPr>
          <w:p>
            <w:pPr>
              <w:adjustRightInd w:val="0"/>
              <w:snapToGrid w:val="0"/>
              <w:jc w:val="center"/>
              <w:rPr>
                <w:rFonts w:ascii="仿宋_GB2312" w:hAnsi="仿宋" w:eastAsia="仿宋_GB2312" w:cs="仿宋"/>
                <w:sz w:val="28"/>
                <w:szCs w:val="28"/>
              </w:rPr>
            </w:pPr>
            <w:r>
              <w:rPr>
                <w:rFonts w:hint="eastAsia" w:ascii="仿宋_GB2312" w:hAnsi="仿宋" w:eastAsia="仿宋_GB2312" w:cs="仿宋"/>
                <w:sz w:val="28"/>
                <w:szCs w:val="28"/>
              </w:rPr>
              <w:t>评分因素</w:t>
            </w:r>
          </w:p>
        </w:tc>
        <w:tc>
          <w:tcPr>
            <w:tcW w:w="6575" w:type="dxa"/>
            <w:tcBorders>
              <w:top w:val="single" w:color="auto" w:sz="4" w:space="0"/>
            </w:tcBorders>
            <w:vAlign w:val="center"/>
          </w:tcPr>
          <w:p>
            <w:pPr>
              <w:adjustRightInd w:val="0"/>
              <w:snapToGrid w:val="0"/>
              <w:jc w:val="center"/>
              <w:rPr>
                <w:rFonts w:ascii="仿宋_GB2312" w:hAnsi="仿宋" w:eastAsia="仿宋_GB2312" w:cs="仿宋"/>
                <w:sz w:val="28"/>
                <w:szCs w:val="28"/>
              </w:rPr>
            </w:pPr>
            <w:r>
              <w:rPr>
                <w:rFonts w:hint="eastAsia" w:ascii="仿宋_GB2312" w:hAnsi="仿宋" w:eastAsia="仿宋_GB2312" w:cs="仿宋"/>
                <w:sz w:val="28"/>
                <w:szCs w:val="28"/>
              </w:rPr>
              <w:t>评分标准</w:t>
            </w:r>
          </w:p>
        </w:tc>
        <w:tc>
          <w:tcPr>
            <w:tcW w:w="937" w:type="dxa"/>
            <w:tcBorders>
              <w:top w:val="single" w:color="auto" w:sz="4" w:space="0"/>
            </w:tcBorders>
            <w:vAlign w:val="center"/>
          </w:tcPr>
          <w:p>
            <w:pPr>
              <w:adjustRightInd w:val="0"/>
              <w:snapToGrid w:val="0"/>
              <w:jc w:val="center"/>
              <w:rPr>
                <w:rFonts w:ascii="仿宋_GB2312" w:hAnsi="仿宋" w:eastAsia="仿宋_GB2312" w:cs="仿宋"/>
                <w:sz w:val="24"/>
              </w:rPr>
            </w:pPr>
            <w:r>
              <w:rPr>
                <w:rFonts w:hint="eastAsia" w:ascii="仿宋_GB2312" w:hAnsi="仿宋" w:eastAsia="仿宋_GB2312"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500" w:type="dxa"/>
            <w:tcBorders>
              <w:top w:val="single" w:color="auto" w:sz="4" w:space="0"/>
            </w:tcBorders>
            <w:vAlign w:val="center"/>
          </w:tcPr>
          <w:p>
            <w:pPr>
              <w:adjustRightInd w:val="0"/>
              <w:snapToGrid w:val="0"/>
              <w:jc w:val="center"/>
              <w:rPr>
                <w:rFonts w:ascii="仿宋_GB2312" w:hAnsi="仿宋" w:eastAsia="仿宋_GB2312" w:cs="仿宋"/>
                <w:sz w:val="28"/>
                <w:szCs w:val="28"/>
              </w:rPr>
            </w:pPr>
            <w:r>
              <w:rPr>
                <w:rFonts w:hint="eastAsia" w:ascii="仿宋_GB2312" w:hAnsi="仿宋" w:eastAsia="仿宋_GB2312" w:cs="仿宋"/>
                <w:sz w:val="28"/>
                <w:szCs w:val="28"/>
              </w:rPr>
              <w:t>投标报价</w:t>
            </w:r>
          </w:p>
          <w:p>
            <w:pPr>
              <w:adjustRightInd w:val="0"/>
              <w:snapToGrid w:val="0"/>
              <w:jc w:val="center"/>
              <w:rPr>
                <w:rFonts w:ascii="仿宋_GB2312" w:hAnsi="仿宋" w:eastAsia="仿宋_GB2312" w:cs="仿宋"/>
                <w:sz w:val="28"/>
                <w:szCs w:val="28"/>
              </w:rPr>
            </w:pPr>
            <w:r>
              <w:rPr>
                <w:rFonts w:hint="eastAsia" w:ascii="仿宋_GB2312" w:hAnsi="仿宋" w:eastAsia="仿宋_GB2312" w:cs="仿宋"/>
                <w:sz w:val="28"/>
                <w:szCs w:val="28"/>
              </w:rPr>
              <w:t>评分标准</w:t>
            </w:r>
          </w:p>
        </w:tc>
        <w:tc>
          <w:tcPr>
            <w:tcW w:w="6575" w:type="dxa"/>
            <w:tcBorders>
              <w:top w:val="single" w:color="auto" w:sz="4" w:space="0"/>
            </w:tcBorders>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评标基准价：满足招标文件要求的有效投标报价中，最低的投标报价为评标基准价。</w:t>
            </w:r>
          </w:p>
          <w:p>
            <w:pPr>
              <w:adjustRightInd w:val="0"/>
              <w:snapToGrid w:val="0"/>
              <w:spacing w:line="276" w:lineRule="auto"/>
              <w:jc w:val="left"/>
              <w:rPr>
                <w:rFonts w:ascii="仿宋_GB2312" w:eastAsia="仿宋_GB2312"/>
                <w:sz w:val="28"/>
                <w:szCs w:val="28"/>
              </w:rPr>
            </w:pPr>
            <w:r>
              <w:rPr>
                <w:rFonts w:hint="eastAsia" w:ascii="仿宋_GB2312" w:hAnsi="仿宋" w:eastAsia="仿宋_GB2312" w:cs="仿宋"/>
                <w:sz w:val="28"/>
                <w:szCs w:val="28"/>
              </w:rPr>
              <w:t xml:space="preserve">投标报价得分=（评标基准价/投标报价）×30 </w:t>
            </w:r>
          </w:p>
        </w:tc>
        <w:tc>
          <w:tcPr>
            <w:tcW w:w="937" w:type="dxa"/>
            <w:tcBorders>
              <w:top w:val="single" w:color="auto" w:sz="4" w:space="0"/>
            </w:tcBorders>
            <w:vAlign w:val="center"/>
          </w:tcPr>
          <w:p>
            <w:pPr>
              <w:adjustRightInd w:val="0"/>
              <w:snapToGrid w:val="0"/>
              <w:jc w:val="center"/>
              <w:rPr>
                <w:rFonts w:ascii="仿宋_GB2312" w:hAnsi="仿宋" w:eastAsia="仿宋_GB2312" w:cs="仿宋"/>
                <w:sz w:val="24"/>
              </w:rPr>
            </w:pPr>
            <w:r>
              <w:rPr>
                <w:rFonts w:hint="eastAsia" w:ascii="仿宋_GB2312" w:hAnsi="仿宋" w:eastAsia="仿宋_GB2312" w:cs="仿宋"/>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9012" w:type="dxa"/>
            <w:gridSpan w:val="3"/>
            <w:vAlign w:val="center"/>
          </w:tcPr>
          <w:p>
            <w:pPr>
              <w:adjustRightInd w:val="0"/>
              <w:snapToGrid w:val="0"/>
              <w:spacing w:line="276" w:lineRule="auto"/>
              <w:jc w:val="center"/>
              <w:rPr>
                <w:rFonts w:ascii="仿宋_GB2312" w:hAnsi="仿宋" w:eastAsia="仿宋_GB2312" w:cs="仿宋"/>
                <w:sz w:val="28"/>
                <w:szCs w:val="28"/>
              </w:rPr>
            </w:pPr>
            <w:r>
              <w:rPr>
                <w:rFonts w:hint="eastAsia" w:ascii="仿宋_GB2312" w:hAnsi="仿宋" w:eastAsia="仿宋_GB2312" w:cs="仿宋"/>
                <w:sz w:val="28"/>
                <w:szCs w:val="28"/>
              </w:rPr>
              <w:t>二、商务部分(满分25分)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500" w:type="dxa"/>
            <w:tcBorders>
              <w:bottom w:val="single" w:color="auto" w:sz="4" w:space="0"/>
            </w:tcBorders>
            <w:vAlign w:val="center"/>
          </w:tcPr>
          <w:p>
            <w:pPr>
              <w:adjustRightInd w:val="0"/>
              <w:snapToGrid w:val="0"/>
              <w:jc w:val="center"/>
              <w:rPr>
                <w:rFonts w:ascii="仿宋_GB2312" w:hAnsi="仿宋" w:eastAsia="仿宋_GB2312" w:cs="仿宋"/>
                <w:sz w:val="28"/>
                <w:szCs w:val="28"/>
              </w:rPr>
            </w:pPr>
            <w:r>
              <w:rPr>
                <w:rFonts w:hint="eastAsia" w:ascii="仿宋_GB2312" w:hAnsi="仿宋" w:eastAsia="仿宋_GB2312" w:cs="仿宋"/>
                <w:sz w:val="28"/>
                <w:szCs w:val="28"/>
              </w:rPr>
              <w:t>评分因素</w:t>
            </w:r>
          </w:p>
        </w:tc>
        <w:tc>
          <w:tcPr>
            <w:tcW w:w="6575" w:type="dxa"/>
            <w:vAlign w:val="center"/>
          </w:tcPr>
          <w:p>
            <w:pPr>
              <w:adjustRightInd w:val="0"/>
              <w:snapToGrid w:val="0"/>
              <w:spacing w:line="276" w:lineRule="auto"/>
              <w:jc w:val="center"/>
              <w:rPr>
                <w:rFonts w:ascii="仿宋_GB2312" w:hAnsi="仿宋" w:eastAsia="仿宋_GB2312" w:cs="仿宋"/>
                <w:sz w:val="28"/>
                <w:szCs w:val="28"/>
              </w:rPr>
            </w:pPr>
            <w:r>
              <w:rPr>
                <w:rFonts w:hint="eastAsia" w:ascii="仿宋_GB2312" w:hAnsi="仿宋" w:eastAsia="仿宋_GB2312" w:cs="仿宋"/>
                <w:sz w:val="28"/>
                <w:szCs w:val="28"/>
              </w:rPr>
              <w:t>评分标准</w:t>
            </w:r>
          </w:p>
        </w:tc>
        <w:tc>
          <w:tcPr>
            <w:tcW w:w="937" w:type="dxa"/>
            <w:vAlign w:val="center"/>
          </w:tcPr>
          <w:p>
            <w:pPr>
              <w:adjustRightInd w:val="0"/>
              <w:snapToGrid w:val="0"/>
              <w:jc w:val="center"/>
              <w:rPr>
                <w:rFonts w:ascii="仿宋_GB2312" w:hAnsi="仿宋" w:eastAsia="仿宋_GB2312" w:cs="仿宋"/>
                <w:sz w:val="24"/>
              </w:rPr>
            </w:pPr>
            <w:r>
              <w:rPr>
                <w:rFonts w:hint="eastAsia" w:ascii="仿宋_GB2312" w:hAnsi="仿宋" w:eastAsia="仿宋_GB2312"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500" w:type="dxa"/>
            <w:vMerge w:val="restart"/>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投标人实力</w:t>
            </w: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投标人具备ISO9001、OHSAS18001、ISO14001认证证书，每具备1个得1分(须提供证书复印件并加盖公章)。</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500" w:type="dxa"/>
            <w:vMerge w:val="continue"/>
            <w:vAlign w:val="center"/>
          </w:tcPr>
          <w:p>
            <w:pPr>
              <w:adjustRightInd w:val="0"/>
              <w:snapToGrid w:val="0"/>
              <w:spacing w:line="276" w:lineRule="auto"/>
              <w:jc w:val="left"/>
              <w:rPr>
                <w:rFonts w:ascii="仿宋_GB2312" w:hAnsi="仿宋" w:eastAsia="仿宋_GB2312" w:cs="仿宋"/>
                <w:sz w:val="28"/>
                <w:szCs w:val="28"/>
              </w:rPr>
            </w:pP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投标人具备信息安全管理体系、IT服务管理体系证书，每具备1个得1分(须提供证书复印件并加盖公章)。</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500" w:type="dxa"/>
            <w:vMerge w:val="continue"/>
            <w:vAlign w:val="center"/>
          </w:tcPr>
          <w:p>
            <w:pPr>
              <w:adjustRightInd w:val="0"/>
              <w:snapToGrid w:val="0"/>
              <w:spacing w:line="276" w:lineRule="auto"/>
              <w:jc w:val="left"/>
              <w:rPr>
                <w:rFonts w:ascii="仿宋_GB2312" w:hAnsi="仿宋" w:eastAsia="仿宋_GB2312" w:cs="仿宋"/>
                <w:sz w:val="28"/>
                <w:szCs w:val="28"/>
              </w:rPr>
            </w:pP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投标人具备ITSS授予的私有云服务能力标准符合性证书三级或以上，同时具备ITSS授予的公有云服务能力标准符合性证书三级或以上，得3分，否则不得分。（须提供证书复印件并加盖原厂公章）</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00" w:type="dxa"/>
            <w:vMerge w:val="restart"/>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所投产品制造商实力</w:t>
            </w: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投标人所投智慧鄢陵专有云平台的产品具备通过信息系统安全等级保护测评三级或以上级别的能力，提供信息系统安全等级保护测评报告复印件并加盖原厂公章得3分，否则不得分。</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00" w:type="dxa"/>
            <w:vMerge w:val="continue"/>
            <w:vAlign w:val="center"/>
          </w:tcPr>
          <w:p>
            <w:pPr>
              <w:adjustRightInd w:val="0"/>
              <w:snapToGrid w:val="0"/>
              <w:spacing w:line="276" w:lineRule="auto"/>
              <w:jc w:val="left"/>
              <w:rPr>
                <w:rFonts w:ascii="仿宋_GB2312" w:hAnsi="仿宋" w:eastAsia="仿宋_GB2312" w:cs="仿宋"/>
                <w:sz w:val="28"/>
                <w:szCs w:val="28"/>
              </w:rPr>
            </w:pP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投标人所投智慧社区平台软件的产品制造商具备CMMI-5证书得3分，CMMI-4证书得1分，其余不得分。（须提供证书复印件并加盖原厂公章）</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00" w:type="dxa"/>
            <w:vMerge w:val="continue"/>
            <w:vAlign w:val="center"/>
          </w:tcPr>
          <w:p>
            <w:pPr>
              <w:adjustRightInd w:val="0"/>
              <w:snapToGrid w:val="0"/>
              <w:spacing w:line="276" w:lineRule="auto"/>
              <w:jc w:val="left"/>
              <w:rPr>
                <w:rFonts w:ascii="仿宋_GB2312" w:hAnsi="仿宋" w:eastAsia="仿宋_GB2312" w:cs="仿宋"/>
                <w:sz w:val="28"/>
                <w:szCs w:val="28"/>
              </w:rPr>
            </w:pP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投标人所投智慧鄢陵大数据信息中心产品的产品制造商同时具备视频数据治理、多维数据感知相关的软件著作权，得3分，否则不得分。（须提供证书复印件并加盖原厂公章）</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00" w:type="dxa"/>
            <w:vMerge w:val="continue"/>
            <w:vAlign w:val="center"/>
          </w:tcPr>
          <w:p>
            <w:pPr>
              <w:adjustRightInd w:val="0"/>
              <w:snapToGrid w:val="0"/>
              <w:spacing w:line="276" w:lineRule="auto"/>
              <w:jc w:val="left"/>
              <w:rPr>
                <w:rFonts w:ascii="仿宋_GB2312" w:hAnsi="仿宋" w:eastAsia="仿宋_GB2312" w:cs="仿宋"/>
                <w:sz w:val="28"/>
                <w:szCs w:val="28"/>
              </w:rPr>
            </w:pP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投标人所投智慧鄢陵大数据信息中心产品的产品制造商具备ITSS授予的私有云服务能力标准符合性证书三级或以上，同时具备ITSS授予的公有云服务能力标准符合性证书三级或以上，得3分，否则不得分。（须提供证书复印件并加盖原厂公章）</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500"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售后服务及培训</w:t>
            </w: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lang w:val="en-GB"/>
              </w:rPr>
              <w:t>评委根据投标人提供的售后服务方案及培训方案进行评分，优得5分，一般得3分，不提供不得分。</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ascii="仿宋_GB2312" w:hAnsi="仿宋" w:eastAsia="仿宋_GB2312" w:cs="仿宋"/>
                <w:sz w:val="28"/>
                <w:szCs w:val="28"/>
              </w:rPr>
              <w:t>5</w:t>
            </w:r>
            <w:r>
              <w:rPr>
                <w:rFonts w:hint="eastAsia" w:ascii="仿宋_GB2312" w:hAnsi="仿宋" w:eastAsia="仿宋_GB2312"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012" w:type="dxa"/>
            <w:gridSpan w:val="3"/>
            <w:vAlign w:val="center"/>
          </w:tcPr>
          <w:p>
            <w:pPr>
              <w:adjustRightInd w:val="0"/>
              <w:snapToGrid w:val="0"/>
              <w:spacing w:line="276" w:lineRule="auto"/>
              <w:jc w:val="center"/>
              <w:rPr>
                <w:rFonts w:ascii="仿宋_GB2312" w:hAnsi="仿宋" w:eastAsia="仿宋_GB2312" w:cs="仿宋"/>
                <w:sz w:val="28"/>
                <w:szCs w:val="28"/>
              </w:rPr>
            </w:pPr>
            <w:r>
              <w:rPr>
                <w:rFonts w:hint="eastAsia" w:ascii="仿宋_GB2312" w:hAnsi="仿宋" w:eastAsia="仿宋_GB2312" w:cs="仿宋"/>
                <w:sz w:val="28"/>
                <w:szCs w:val="28"/>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500"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评分因素</w:t>
            </w: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评分标准</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500"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技术响应程度</w:t>
            </w:r>
          </w:p>
        </w:tc>
        <w:tc>
          <w:tcPr>
            <w:tcW w:w="6575" w:type="dxa"/>
            <w:vAlign w:val="center"/>
          </w:tcPr>
          <w:p>
            <w:pPr>
              <w:adjustRightInd w:val="0"/>
              <w:snapToGrid w:val="0"/>
              <w:spacing w:line="276" w:lineRule="auto"/>
              <w:jc w:val="left"/>
              <w:rPr>
                <w:rFonts w:ascii="仿宋_GB2312" w:hAnsi="仿宋" w:eastAsia="仿宋_GB2312" w:cs="仿宋"/>
                <w:sz w:val="28"/>
                <w:szCs w:val="28"/>
                <w:lang w:val="en-GB"/>
              </w:rPr>
            </w:pPr>
            <w:r>
              <w:rPr>
                <w:rFonts w:hint="eastAsia" w:ascii="仿宋_GB2312" w:hAnsi="仿宋" w:eastAsia="仿宋_GB2312" w:cs="仿宋"/>
                <w:sz w:val="28"/>
                <w:szCs w:val="28"/>
                <w:lang w:val="en-GB"/>
              </w:rPr>
              <w:t>投标人所有产品技术参数性能指标带▲项每有一项不满足要求扣2分，其他技术参数每一项不满足扣1分，扣完为止。对于要求提供相关检测报告的，未提供或提供材料不符合要求视为不满足。所提供的检测报告报告日期需在招标公告发布之日前，否则视为无效检测报告。带★项为必须符合项，若有一项不满足技术响应程度</w:t>
            </w:r>
            <w:r>
              <w:rPr>
                <w:rFonts w:hint="eastAsia" w:ascii="仿宋_GB2312" w:hAnsi="仿宋" w:eastAsia="仿宋_GB2312" w:cs="仿宋"/>
                <w:sz w:val="28"/>
                <w:szCs w:val="28"/>
              </w:rPr>
              <w:t>该项</w:t>
            </w:r>
            <w:r>
              <w:rPr>
                <w:rFonts w:hint="eastAsia" w:ascii="仿宋_GB2312" w:hAnsi="仿宋" w:eastAsia="仿宋_GB2312" w:cs="仿宋"/>
                <w:sz w:val="28"/>
                <w:szCs w:val="28"/>
                <w:lang w:val="en-GB"/>
              </w:rPr>
              <w:t>即为0分</w:t>
            </w:r>
            <w:r>
              <w:rPr>
                <w:rFonts w:hint="eastAsia" w:ascii="仿宋_GB2312" w:hAnsi="仿宋" w:eastAsia="仿宋_GB2312" w:cs="仿宋"/>
                <w:sz w:val="28"/>
                <w:szCs w:val="28"/>
              </w:rPr>
              <w:t>。</w:t>
            </w:r>
            <w:r>
              <w:rPr>
                <w:rFonts w:hint="eastAsia" w:ascii="仿宋_GB2312" w:hAnsi="仿宋" w:eastAsia="仿宋_GB2312" w:cs="仿宋"/>
                <w:sz w:val="28"/>
                <w:szCs w:val="28"/>
                <w:lang w:val="en-GB"/>
              </w:rPr>
              <w:t>（具体详见</w:t>
            </w:r>
            <w:r>
              <w:rPr>
                <w:rFonts w:hint="eastAsia" w:ascii="仿宋_GB2312" w:hAnsi="仿宋" w:eastAsia="仿宋_GB2312" w:cs="仿宋"/>
                <w:sz w:val="28"/>
                <w:szCs w:val="28"/>
              </w:rPr>
              <w:t>采购清单</w:t>
            </w:r>
            <w:r>
              <w:rPr>
                <w:rFonts w:hint="eastAsia" w:ascii="仿宋_GB2312" w:hAnsi="仿宋" w:eastAsia="仿宋_GB2312" w:cs="仿宋"/>
                <w:sz w:val="28"/>
                <w:szCs w:val="28"/>
                <w:lang w:val="en-GB"/>
              </w:rPr>
              <w:t>）</w:t>
            </w:r>
          </w:p>
        </w:tc>
        <w:tc>
          <w:tcPr>
            <w:tcW w:w="937"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500"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总体方案</w:t>
            </w:r>
          </w:p>
        </w:tc>
        <w:tc>
          <w:tcPr>
            <w:tcW w:w="6575" w:type="dxa"/>
            <w:vAlign w:val="center"/>
          </w:tcPr>
          <w:p>
            <w:pPr>
              <w:adjustRightInd w:val="0"/>
              <w:snapToGrid w:val="0"/>
              <w:spacing w:line="276" w:lineRule="auto"/>
              <w:jc w:val="left"/>
              <w:rPr>
                <w:rFonts w:ascii="仿宋_GB2312" w:hAnsi="仿宋" w:eastAsia="仿宋_GB2312" w:cs="仿宋"/>
                <w:sz w:val="28"/>
                <w:szCs w:val="28"/>
              </w:rPr>
            </w:pPr>
            <w:r>
              <w:rPr>
                <w:rFonts w:hint="eastAsia" w:ascii="仿宋_GB2312" w:hAnsi="仿宋" w:eastAsia="仿宋_GB2312" w:cs="仿宋"/>
                <w:sz w:val="28"/>
                <w:szCs w:val="28"/>
              </w:rPr>
              <w:t>应针对项目有详尽的分析、设计，并结合本项目的实际情况进行分析说明。方案中需包含系统架构图、数据流向图，评委根据方案质量进行评分，优得5分，一般得3分，不提供不得分。</w:t>
            </w:r>
          </w:p>
        </w:tc>
        <w:tc>
          <w:tcPr>
            <w:tcW w:w="937" w:type="dxa"/>
            <w:vAlign w:val="center"/>
          </w:tcPr>
          <w:p>
            <w:pPr>
              <w:adjustRightInd w:val="0"/>
              <w:snapToGrid w:val="0"/>
              <w:spacing w:line="276" w:lineRule="auto"/>
              <w:jc w:val="left"/>
              <w:rPr>
                <w:rFonts w:ascii="仿宋_GB2312" w:hAnsi="仿宋" w:eastAsia="仿宋_GB2312" w:cs="仿宋"/>
                <w:sz w:val="28"/>
                <w:szCs w:val="28"/>
                <w:lang w:val="en-GB"/>
              </w:rPr>
            </w:pPr>
            <w:r>
              <w:rPr>
                <w:rFonts w:ascii="仿宋_GB2312" w:hAnsi="仿宋" w:eastAsia="仿宋_GB2312" w:cs="仿宋"/>
                <w:sz w:val="28"/>
                <w:szCs w:val="28"/>
                <w:lang w:val="en-GB"/>
              </w:rPr>
              <w:t>5</w:t>
            </w:r>
            <w:r>
              <w:rPr>
                <w:rFonts w:hint="eastAsia" w:ascii="仿宋_GB2312" w:hAnsi="仿宋" w:eastAsia="仿宋_GB2312" w:cs="仿宋"/>
                <w:sz w:val="28"/>
                <w:szCs w:val="28"/>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012" w:type="dxa"/>
            <w:gridSpan w:val="3"/>
            <w:vAlign w:val="center"/>
          </w:tcPr>
          <w:p>
            <w:pPr>
              <w:adjustRightInd w:val="0"/>
              <w:snapToGrid w:val="0"/>
              <w:jc w:val="left"/>
              <w:rPr>
                <w:rFonts w:ascii="仿宋_GB2312" w:hAnsi="仿宋" w:eastAsia="仿宋_GB2312" w:cs="仿宋"/>
                <w:color w:val="000000" w:themeColor="text1"/>
                <w:sz w:val="28"/>
                <w:szCs w:val="28"/>
              </w:rPr>
            </w:pPr>
            <w:r>
              <w:rPr>
                <w:rFonts w:hint="eastAsia" w:ascii="仿宋_GB2312" w:hAnsi="仿宋" w:eastAsia="仿宋_GB2312" w:cs="仿宋"/>
                <w:color w:val="000000" w:themeColor="text1"/>
                <w:sz w:val="28"/>
                <w:szCs w:val="28"/>
              </w:rPr>
              <w:t>注：评标标准中所涉及到的证书及材料，均须在电子投标文件中提供原件扫描件（或图片），否则不得分。</w:t>
            </w:r>
          </w:p>
        </w:tc>
      </w:tr>
    </w:tbl>
    <w:p>
      <w:pPr>
        <w:spacing w:line="360" w:lineRule="auto"/>
        <w:ind w:firstLine="422" w:firstLineChars="200"/>
        <w:rPr>
          <w:rFonts w:hint="eastAsia" w:cs="仿宋_GB2312" w:asciiTheme="minorEastAsia" w:hAnsiTheme="minorEastAsia"/>
          <w:b/>
          <w:lang w:val="zh-CN"/>
        </w:rPr>
      </w:pPr>
    </w:p>
    <w:p>
      <w:pPr>
        <w:spacing w:line="360" w:lineRule="auto"/>
        <w:ind w:firstLine="422" w:firstLineChars="200"/>
        <w:rPr>
          <w:rFonts w:cs="仿宋_GB2312" w:asciiTheme="minorEastAsia" w:hAnsiTheme="minorEastAsia"/>
          <w:b/>
          <w:lang w:val="zh-CN"/>
        </w:rPr>
      </w:pPr>
      <w:r>
        <w:rPr>
          <w:rFonts w:hint="eastAsia" w:cs="仿宋_GB2312" w:asciiTheme="minorEastAsia" w:hAnsiTheme="minorEastAsia"/>
          <w:b/>
          <w:lang w:val="zh-CN"/>
        </w:rPr>
        <w:t>其中：价格分计算（落实政府采购政策价格调整部分）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序号</w:t>
            </w:r>
          </w:p>
        </w:tc>
        <w:tc>
          <w:tcPr>
            <w:tcW w:w="2823" w:type="dxa"/>
            <w:vAlign w:val="center"/>
          </w:tcPr>
          <w:p>
            <w:pPr>
              <w:jc w:val="center"/>
              <w:rPr>
                <w:rFonts w:ascii="宋体" w:hAnsi="宋体"/>
                <w:b/>
                <w:color w:val="000000"/>
                <w:lang w:val="en-GB"/>
              </w:rPr>
            </w:pPr>
            <w:r>
              <w:rPr>
                <w:rFonts w:hint="eastAsia" w:ascii="宋体" w:hAnsi="宋体"/>
                <w:b/>
                <w:color w:val="000000"/>
                <w:lang w:val="en-GB"/>
              </w:rPr>
              <w:t>情形</w:t>
            </w:r>
          </w:p>
        </w:tc>
        <w:tc>
          <w:tcPr>
            <w:tcW w:w="2552" w:type="dxa"/>
            <w:vAlign w:val="center"/>
          </w:tcPr>
          <w:p>
            <w:pPr>
              <w:jc w:val="center"/>
              <w:rPr>
                <w:rFonts w:ascii="宋体" w:hAnsi="宋体"/>
                <w:b/>
                <w:color w:val="000000"/>
                <w:lang w:val="en-GB"/>
              </w:rPr>
            </w:pPr>
            <w:r>
              <w:rPr>
                <w:rFonts w:hint="eastAsia" w:ascii="宋体" w:hAnsi="宋体"/>
                <w:b/>
                <w:color w:val="000000"/>
              </w:rPr>
              <w:t>价格扣除</w:t>
            </w:r>
            <w:r>
              <w:rPr>
                <w:rFonts w:hint="eastAsia" w:ascii="宋体" w:hAnsi="宋体"/>
                <w:b/>
                <w:color w:val="000000"/>
                <w:lang w:val="en-GB"/>
              </w:rPr>
              <w:t>比例</w:t>
            </w:r>
          </w:p>
        </w:tc>
        <w:tc>
          <w:tcPr>
            <w:tcW w:w="2835" w:type="dxa"/>
            <w:vAlign w:val="center"/>
          </w:tcPr>
          <w:p>
            <w:pPr>
              <w:jc w:val="center"/>
              <w:rPr>
                <w:rFonts w:ascii="宋体" w:hAnsi="宋体"/>
                <w:b/>
                <w:color w:val="000000"/>
                <w:lang w:val="en-GB"/>
              </w:rPr>
            </w:pPr>
            <w:r>
              <w:rPr>
                <w:rFonts w:hint="eastAsia" w:ascii="宋体" w:hAnsi="宋体"/>
                <w:b/>
                <w:color w:val="000000"/>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1</w:t>
            </w:r>
          </w:p>
        </w:tc>
        <w:tc>
          <w:tcPr>
            <w:tcW w:w="2823" w:type="dxa"/>
            <w:vAlign w:val="center"/>
          </w:tcPr>
          <w:p>
            <w:pPr>
              <w:jc w:val="center"/>
              <w:rPr>
                <w:rFonts w:ascii="宋体" w:hAnsi="宋体"/>
                <w:color w:val="000000"/>
                <w:lang w:val="en-GB"/>
              </w:rPr>
            </w:pPr>
            <w:r>
              <w:rPr>
                <w:rFonts w:hint="eastAsia" w:ascii="宋体" w:hAnsi="宋体"/>
                <w:color w:val="000000"/>
                <w:lang w:val="en-GB"/>
              </w:rPr>
              <w:t>非联合体投标人</w:t>
            </w:r>
          </w:p>
          <w:p>
            <w:pPr>
              <w:jc w:val="center"/>
              <w:rPr>
                <w:rFonts w:ascii="宋体" w:hAnsi="宋体"/>
                <w:b/>
                <w:color w:val="000000"/>
                <w:lang w:val="en-GB"/>
              </w:rPr>
            </w:pPr>
            <w:r>
              <w:rPr>
                <w:rFonts w:hint="eastAsia" w:ascii="宋体" w:hAnsi="宋体"/>
                <w:color w:val="000000"/>
                <w:lang w:val="en-GB"/>
              </w:rPr>
              <w:t>（投标人须为中小企业）</w:t>
            </w:r>
          </w:p>
        </w:tc>
        <w:tc>
          <w:tcPr>
            <w:tcW w:w="2552" w:type="dxa"/>
            <w:vAlign w:val="center"/>
          </w:tcPr>
          <w:p>
            <w:pPr>
              <w:jc w:val="center"/>
              <w:rPr>
                <w:rFonts w:ascii="宋体" w:hAnsi="宋体"/>
                <w:b/>
                <w:lang w:val="en-GB"/>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tc>
        <w:tc>
          <w:tcPr>
            <w:tcW w:w="2835" w:type="dxa"/>
            <w:vMerge w:val="restart"/>
            <w:shd w:val="clear" w:color="auto" w:fill="auto"/>
            <w:vAlign w:val="center"/>
          </w:tcPr>
          <w:p>
            <w:pPr>
              <w:jc w:val="center"/>
              <w:rPr>
                <w:color w:val="000000"/>
                <w:lang w:val="en-GB"/>
              </w:rPr>
            </w:pPr>
            <w:r>
              <w:rPr>
                <w:rFonts w:hint="eastAsia"/>
                <w:color w:val="000000"/>
                <w:lang w:val="en-GB"/>
              </w:rPr>
              <w:t>评标价格＝投标报价—</w:t>
            </w:r>
            <w:r>
              <w:rPr>
                <w:rFonts w:hint="eastAsia"/>
                <w:color w:val="000000"/>
              </w:rPr>
              <w:t>小型和微型企业产品的价格</w:t>
            </w:r>
            <w:r>
              <w:rPr>
                <w:rFonts w:hint="eastAsia" w:ascii="宋体" w:hAnsi="宋体"/>
                <w:color w:val="000000"/>
                <w:lang w:val="en-GB"/>
              </w:rPr>
              <w:t>×</w:t>
            </w:r>
            <w:r>
              <w:rPr>
                <w:rFonts w:hint="eastAsia"/>
                <w:color w:val="000000"/>
                <w:lang w:val="en-GB"/>
              </w:rPr>
              <w:t>6%</w:t>
            </w:r>
          </w:p>
          <w:p>
            <w:pPr>
              <w:jc w:val="center"/>
              <w:rPr>
                <w:rFonts w:ascii="宋体" w:hAnsi="宋体"/>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2</w:t>
            </w:r>
          </w:p>
        </w:tc>
        <w:tc>
          <w:tcPr>
            <w:tcW w:w="2823" w:type="dxa"/>
            <w:vAlign w:val="center"/>
          </w:tcPr>
          <w:p>
            <w:pPr>
              <w:jc w:val="center"/>
              <w:rPr>
                <w:rFonts w:ascii="宋体" w:hAnsi="宋体"/>
                <w:b/>
                <w:color w:val="000000"/>
              </w:rPr>
            </w:pPr>
            <w:r>
              <w:rPr>
                <w:rFonts w:hint="eastAsia" w:ascii="宋体" w:hAnsi="宋体"/>
                <w:color w:val="000000"/>
                <w:lang w:val="en-GB"/>
              </w:rPr>
              <w:t>联合体各方均为小型、微型企业</w:t>
            </w:r>
          </w:p>
        </w:tc>
        <w:tc>
          <w:tcPr>
            <w:tcW w:w="2552" w:type="dxa"/>
            <w:vAlign w:val="center"/>
          </w:tcPr>
          <w:p>
            <w:pPr>
              <w:jc w:val="center"/>
              <w:rPr>
                <w:rFonts w:ascii="宋体" w:hAnsi="宋体"/>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p>
            <w:pPr>
              <w:jc w:val="center"/>
              <w:rPr>
                <w:rFonts w:ascii="宋体" w:hAnsi="宋体"/>
                <w:b/>
                <w:lang w:val="en-GB"/>
              </w:rPr>
            </w:pPr>
            <w:r>
              <w:rPr>
                <w:rFonts w:hint="eastAsia" w:ascii="宋体" w:hAnsi="宋体"/>
              </w:rPr>
              <w:t>（不再享受序号3的价格折扣）</w:t>
            </w:r>
          </w:p>
        </w:tc>
        <w:tc>
          <w:tcPr>
            <w:tcW w:w="2835" w:type="dxa"/>
            <w:vMerge w:val="continue"/>
            <w:shd w:val="clear" w:color="auto" w:fill="auto"/>
          </w:tcPr>
          <w:p>
            <w:pPr>
              <w:rPr>
                <w:rFonts w:ascii="宋体" w:hAnsi="宋体"/>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3</w:t>
            </w:r>
          </w:p>
        </w:tc>
        <w:tc>
          <w:tcPr>
            <w:tcW w:w="2823" w:type="dxa"/>
            <w:vAlign w:val="center"/>
          </w:tcPr>
          <w:p>
            <w:pPr>
              <w:jc w:val="center"/>
              <w:rPr>
                <w:rFonts w:ascii="宋体" w:hAnsi="宋体"/>
                <w:b/>
                <w:color w:val="000000"/>
                <w:lang w:val="en-GB"/>
              </w:rPr>
            </w:pPr>
            <w:r>
              <w:rPr>
                <w:rFonts w:hint="eastAsia" w:ascii="宋体" w:hAnsi="宋体"/>
                <w:color w:val="000000"/>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lang w:val="en-GB"/>
              </w:rPr>
            </w:pPr>
            <w:r>
              <w:rPr>
                <w:rFonts w:hint="eastAsia" w:ascii="宋体" w:hAnsi="宋体"/>
                <w:color w:val="000000"/>
                <w:lang w:val="en-GB"/>
              </w:rPr>
              <w:t>对联合体总金额扣除</w:t>
            </w:r>
          </w:p>
          <w:p>
            <w:pPr>
              <w:jc w:val="center"/>
              <w:rPr>
                <w:rFonts w:ascii="宋体" w:hAnsi="宋体"/>
                <w:b/>
                <w:lang w:val="en-GB"/>
              </w:rPr>
            </w:pPr>
            <w:r>
              <w:rPr>
                <w:rFonts w:ascii="宋体" w:hAnsi="宋体"/>
                <w:u w:val="single"/>
              </w:rPr>
              <w:t>2</w:t>
            </w:r>
            <w:r>
              <w:rPr>
                <w:rFonts w:hint="eastAsia" w:ascii="宋体" w:hAnsi="宋体"/>
              </w:rPr>
              <w:t>%</w:t>
            </w:r>
          </w:p>
        </w:tc>
        <w:tc>
          <w:tcPr>
            <w:tcW w:w="2835" w:type="dxa"/>
            <w:shd w:val="clear" w:color="auto" w:fill="auto"/>
            <w:vAlign w:val="center"/>
          </w:tcPr>
          <w:p>
            <w:pPr>
              <w:jc w:val="center"/>
              <w:rPr>
                <w:rFonts w:ascii="宋体" w:hAnsi="宋体"/>
                <w:color w:val="FF0000"/>
                <w:u w:val="single"/>
              </w:rPr>
            </w:pPr>
            <w:r>
              <w:rPr>
                <w:rFonts w:hint="eastAsia" w:ascii="宋体" w:hAnsi="宋体"/>
                <w:color w:val="000000"/>
                <w:lang w:val="en-GB"/>
              </w:rPr>
              <w:t>评标价格＝投标报价×</w:t>
            </w:r>
            <w:r>
              <w:rPr>
                <w:rFonts w:hint="eastAsia" w:ascii="宋体" w:hAnsi="宋体"/>
                <w:color w:val="000000" w:themeColor="text1"/>
              </w:rPr>
              <w:t>(1-</w:t>
            </w:r>
            <w:r>
              <w:rPr>
                <w:rFonts w:ascii="宋体" w:hAnsi="宋体"/>
                <w:color w:val="000000" w:themeColor="text1"/>
                <w:u w:val="single"/>
              </w:rPr>
              <w:t>2</w:t>
            </w:r>
            <w:r>
              <w:rPr>
                <w:rFonts w:hint="eastAsia" w:ascii="宋体" w:hAnsi="宋体"/>
                <w:color w:val="000000" w:themeColor="text1"/>
                <w:u w:val="single"/>
              </w:rPr>
              <w:t>%)</w:t>
            </w:r>
          </w:p>
          <w:p>
            <w:pPr>
              <w:jc w:val="center"/>
              <w:rPr>
                <w:rFonts w:ascii="宋体" w:hAnsi="宋体"/>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4</w:t>
            </w:r>
          </w:p>
        </w:tc>
        <w:tc>
          <w:tcPr>
            <w:tcW w:w="2823" w:type="dxa"/>
            <w:vAlign w:val="center"/>
          </w:tcPr>
          <w:p>
            <w:pPr>
              <w:jc w:val="center"/>
              <w:rPr>
                <w:rFonts w:ascii="宋体" w:hAnsi="宋体"/>
                <w:color w:val="000000"/>
                <w:lang w:val="en-GB"/>
              </w:rPr>
            </w:pPr>
            <w:r>
              <w:rPr>
                <w:rFonts w:hint="eastAsia" w:ascii="宋体" w:hAnsi="宋体"/>
                <w:color w:val="000000"/>
                <w:lang w:val="en-GB"/>
              </w:rPr>
              <w:t>监狱企业</w:t>
            </w:r>
          </w:p>
        </w:tc>
        <w:tc>
          <w:tcPr>
            <w:tcW w:w="2552" w:type="dxa"/>
            <w:vAlign w:val="center"/>
          </w:tcPr>
          <w:p>
            <w:pPr>
              <w:jc w:val="center"/>
              <w:rPr>
                <w:rFonts w:ascii="宋体" w:hAnsi="宋体"/>
                <w:color w:val="000000"/>
                <w:lang w:val="en-GB"/>
              </w:rPr>
            </w:pPr>
            <w:r>
              <w:rPr>
                <w:rFonts w:hint="eastAsia" w:ascii="宋体" w:hAnsi="宋体"/>
                <w:color w:val="000000"/>
                <w:lang w:val="en-GB"/>
              </w:rPr>
              <w:t>视同小型、微型企业</w:t>
            </w:r>
          </w:p>
          <w:p>
            <w:pPr>
              <w:jc w:val="center"/>
              <w:rPr>
                <w:rFonts w:ascii="宋体" w:hAnsi="宋体"/>
                <w:color w:val="000000"/>
                <w:lang w:val="en-GB"/>
              </w:rPr>
            </w:pPr>
            <w:r>
              <w:rPr>
                <w:rFonts w:hint="eastAsia" w:ascii="宋体" w:hAnsi="宋体"/>
                <w:color w:val="000000"/>
                <w:lang w:val="en-GB"/>
              </w:rPr>
              <w:t>对监狱企业产品价格扣除</w:t>
            </w:r>
            <w:r>
              <w:rPr>
                <w:rFonts w:ascii="宋体" w:hAnsi="宋体"/>
                <w:u w:val="single"/>
              </w:rPr>
              <w:t>6</w:t>
            </w:r>
            <w:r>
              <w:rPr>
                <w:rFonts w:hint="eastAsia" w:ascii="宋体" w:hAnsi="宋体"/>
              </w:rPr>
              <w:t>%</w:t>
            </w:r>
          </w:p>
        </w:tc>
        <w:tc>
          <w:tcPr>
            <w:tcW w:w="2835" w:type="dxa"/>
            <w:shd w:val="clear" w:color="auto" w:fill="auto"/>
            <w:vAlign w:val="center"/>
          </w:tcPr>
          <w:p>
            <w:pPr>
              <w:jc w:val="center"/>
              <w:rPr>
                <w:rFonts w:ascii="宋体" w:hAnsi="宋体"/>
                <w:color w:val="000000"/>
                <w:lang w:val="en-GB"/>
              </w:rPr>
            </w:pPr>
            <w:r>
              <w:rPr>
                <w:rFonts w:hint="eastAsia"/>
                <w:color w:val="000000"/>
                <w:lang w:val="en-GB"/>
              </w:rPr>
              <w:t>评标价格＝投标报价—</w:t>
            </w:r>
            <w:r>
              <w:rPr>
                <w:rFonts w:hint="eastAsia"/>
                <w:color w:val="000000"/>
              </w:rPr>
              <w:t>监狱企业产品的价格</w:t>
            </w:r>
            <w:r>
              <w:rPr>
                <w:rFonts w:hint="eastAsia" w:ascii="宋体" w:hAnsi="宋体"/>
                <w:color w:val="000000"/>
                <w:lang w:val="en-GB"/>
              </w:rPr>
              <w:t>×</w:t>
            </w:r>
            <w:r>
              <w:rPr>
                <w:rFonts w:hint="eastAsia"/>
                <w:color w:val="000000"/>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5</w:t>
            </w:r>
          </w:p>
        </w:tc>
        <w:tc>
          <w:tcPr>
            <w:tcW w:w="2823" w:type="dxa"/>
            <w:vAlign w:val="center"/>
          </w:tcPr>
          <w:p>
            <w:pPr>
              <w:jc w:val="center"/>
              <w:rPr>
                <w:rFonts w:ascii="宋体" w:hAnsi="宋体"/>
                <w:color w:val="000000"/>
                <w:lang w:val="en-GB"/>
              </w:rPr>
            </w:pPr>
            <w:r>
              <w:rPr>
                <w:rFonts w:hint="eastAsia" w:ascii="宋体" w:hAnsi="宋体"/>
                <w:color w:val="000000"/>
                <w:lang w:val="en-GB"/>
              </w:rPr>
              <w:t>残疾人福利性单位</w:t>
            </w:r>
          </w:p>
        </w:tc>
        <w:tc>
          <w:tcPr>
            <w:tcW w:w="2552" w:type="dxa"/>
            <w:vAlign w:val="center"/>
          </w:tcPr>
          <w:p>
            <w:pPr>
              <w:jc w:val="center"/>
              <w:rPr>
                <w:rFonts w:ascii="宋体" w:hAnsi="宋体"/>
                <w:color w:val="000000"/>
                <w:lang w:val="en-GB"/>
              </w:rPr>
            </w:pPr>
            <w:r>
              <w:rPr>
                <w:rFonts w:hint="eastAsia" w:ascii="宋体" w:hAnsi="宋体"/>
                <w:color w:val="000000"/>
                <w:lang w:val="en-GB"/>
              </w:rPr>
              <w:t>视同小型、微型企业</w:t>
            </w:r>
          </w:p>
          <w:p>
            <w:pPr>
              <w:jc w:val="center"/>
              <w:rPr>
                <w:rFonts w:ascii="宋体" w:hAnsi="宋体"/>
                <w:color w:val="000000"/>
                <w:lang w:val="en-GB"/>
              </w:rPr>
            </w:pPr>
            <w:r>
              <w:rPr>
                <w:rFonts w:hint="eastAsia" w:ascii="宋体" w:hAnsi="宋体"/>
                <w:color w:val="000000"/>
                <w:lang w:val="en-GB"/>
              </w:rPr>
              <w:t>对残疾人福利性单位产品价格扣除</w:t>
            </w:r>
            <w:r>
              <w:rPr>
                <w:rFonts w:ascii="宋体" w:hAnsi="宋体"/>
                <w:u w:val="single"/>
              </w:rPr>
              <w:t>6</w:t>
            </w:r>
            <w:r>
              <w:rPr>
                <w:rFonts w:hint="eastAsia" w:ascii="宋体" w:hAnsi="宋体"/>
              </w:rPr>
              <w:t>%</w:t>
            </w:r>
          </w:p>
        </w:tc>
        <w:tc>
          <w:tcPr>
            <w:tcW w:w="2835" w:type="dxa"/>
            <w:shd w:val="clear" w:color="auto" w:fill="auto"/>
            <w:vAlign w:val="center"/>
          </w:tcPr>
          <w:p>
            <w:pPr>
              <w:jc w:val="center"/>
              <w:rPr>
                <w:color w:val="000000"/>
                <w:lang w:val="en-GB"/>
              </w:rPr>
            </w:pPr>
            <w:r>
              <w:rPr>
                <w:rFonts w:hint="eastAsia"/>
                <w:color w:val="000000"/>
                <w:lang w:val="en-GB"/>
              </w:rPr>
              <w:t>评标价格＝投标报价—</w:t>
            </w:r>
            <w:r>
              <w:rPr>
                <w:rFonts w:hint="eastAsia"/>
                <w:color w:val="000000"/>
              </w:rPr>
              <w:t>残疾人福利性单位产品的价格</w:t>
            </w:r>
            <w:r>
              <w:rPr>
                <w:rFonts w:hint="eastAsia" w:ascii="宋体" w:hAnsi="宋体"/>
                <w:color w:val="000000"/>
                <w:lang w:val="en-GB"/>
              </w:rPr>
              <w:t>×</w:t>
            </w:r>
            <w:r>
              <w:rPr>
                <w:rFonts w:hint="eastAsia"/>
                <w:color w:val="000000"/>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8931" w:type="dxa"/>
            <w:gridSpan w:val="4"/>
            <w:vAlign w:val="center"/>
          </w:tcPr>
          <w:p>
            <w:pPr>
              <w:adjustRightInd w:val="0"/>
              <w:spacing w:line="360" w:lineRule="auto"/>
              <w:ind w:left="-2" w:leftChars="-1" w:firstLine="420" w:firstLineChars="200"/>
              <w:rPr>
                <w:rFonts w:cs="仿宋_GB2312" w:asciiTheme="minorEastAsia" w:hAnsiTheme="minorEastAsia"/>
                <w:lang w:val="zh-CN"/>
              </w:rPr>
            </w:pPr>
            <w:r>
              <w:rPr>
                <w:rFonts w:hint="eastAsia" w:cs="仿宋_GB2312" w:asciiTheme="minorEastAsia" w:hAnsiTheme="minor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2" w:leftChars="-1" w:firstLine="420" w:firstLineChars="200"/>
              <w:rPr>
                <w:rFonts w:cs="仿宋_GB2312" w:asciiTheme="minorEastAsia" w:hAnsiTheme="minorEastAsia"/>
                <w:lang w:val="zh-CN"/>
              </w:rPr>
            </w:pPr>
            <w:r>
              <w:rPr>
                <w:rFonts w:hint="eastAsia" w:cs="仿宋_GB2312" w:asciiTheme="minorEastAsia" w:hAnsiTheme="minorEastAsia"/>
                <w:lang w:val="zh-CN"/>
              </w:rPr>
              <w:t>2、</w:t>
            </w:r>
            <w:r>
              <w:rPr>
                <w:rFonts w:cs="仿宋_GB2312" w:asciiTheme="minorEastAsia" w:hAnsiTheme="minorEastAsia"/>
                <w:lang w:val="zh-CN"/>
              </w:rPr>
              <w:t>经评标委员会</w:t>
            </w:r>
            <w:r>
              <w:rPr>
                <w:rFonts w:hint="eastAsia" w:cs="仿宋_GB2312" w:asciiTheme="minorEastAsia" w:hAnsiTheme="minorEastAsia"/>
                <w:lang w:val="zh-CN"/>
              </w:rPr>
              <w:t>审查、评价</w:t>
            </w:r>
            <w:r>
              <w:rPr>
                <w:rFonts w:cs="仿宋_GB2312" w:asciiTheme="minorEastAsia" w:hAnsiTheme="minorEastAsia"/>
                <w:lang w:val="zh-CN"/>
              </w:rPr>
              <w:t>，</w:t>
            </w:r>
            <w:r>
              <w:rPr>
                <w:rFonts w:hint="eastAsia" w:cs="仿宋_GB2312" w:asciiTheme="minorEastAsia" w:hAnsiTheme="minorEastAsia"/>
                <w:lang w:val="zh-CN"/>
              </w:rPr>
              <w:t>投标文件符合</w:t>
            </w:r>
            <w:r>
              <w:rPr>
                <w:rFonts w:cs="仿宋_GB2312" w:asciiTheme="minorEastAsia" w:hAnsiTheme="minorEastAsia"/>
                <w:lang w:val="zh-CN"/>
              </w:rPr>
              <w:t>招标文件</w:t>
            </w:r>
            <w:r>
              <w:rPr>
                <w:rFonts w:hint="eastAsia" w:cs="仿宋_GB2312" w:asciiTheme="minorEastAsia" w:hAnsiTheme="minorEastAsia"/>
                <w:lang w:val="zh-CN"/>
              </w:rPr>
              <w:t>实质性</w:t>
            </w:r>
            <w:r>
              <w:rPr>
                <w:rFonts w:cs="仿宋_GB2312" w:asciiTheme="minorEastAsia" w:hAnsiTheme="minorEastAsia"/>
                <w:lang w:val="zh-CN"/>
              </w:rPr>
              <w:t>要求且</w:t>
            </w:r>
            <w:r>
              <w:rPr>
                <w:rFonts w:hint="eastAsia" w:cs="仿宋_GB2312" w:asciiTheme="minorEastAsia" w:hAnsiTheme="minorEastAsia"/>
                <w:lang w:val="zh-CN"/>
              </w:rPr>
              <w:t>进行了政策性价格扣除后，</w:t>
            </w:r>
            <w:r>
              <w:rPr>
                <w:rFonts w:cs="仿宋_GB2312" w:asciiTheme="minorEastAsia" w:hAnsiTheme="minorEastAsia"/>
                <w:lang w:val="zh-CN"/>
              </w:rPr>
              <w:t>以</w:t>
            </w:r>
            <w:r>
              <w:rPr>
                <w:rFonts w:hint="eastAsia" w:cs="仿宋_GB2312" w:asciiTheme="minorEastAsia" w:hAnsiTheme="minorEastAsia"/>
                <w:lang w:val="zh-CN"/>
              </w:rPr>
              <w:t>评标价格的</w:t>
            </w:r>
            <w:r>
              <w:rPr>
                <w:rFonts w:cs="仿宋_GB2312" w:asciiTheme="minorEastAsia" w:hAnsiTheme="minorEastAsia"/>
                <w:lang w:val="zh-CN"/>
              </w:rPr>
              <w:t>最低价者定为评标基准价，其价格分为满分。其他投标人的价格分统一按下列公式</w:t>
            </w:r>
            <w:r>
              <w:rPr>
                <w:rFonts w:hint="eastAsia" w:cs="仿宋_GB2312" w:asciiTheme="minorEastAsia" w:hAnsiTheme="minorEastAsia"/>
                <w:lang w:val="zh-CN"/>
              </w:rPr>
              <w:t>计算</w:t>
            </w:r>
            <w:r>
              <w:rPr>
                <w:rFonts w:cs="仿宋_GB2312" w:asciiTheme="minorEastAsia" w:hAnsiTheme="minorEastAsia"/>
                <w:lang w:val="zh-CN"/>
              </w:rPr>
              <w:t>。即：</w:t>
            </w:r>
          </w:p>
          <w:p>
            <w:pPr>
              <w:adjustRightInd w:val="0"/>
              <w:spacing w:line="360" w:lineRule="auto"/>
              <w:ind w:left="-88" w:leftChars="-42" w:firstLine="449" w:firstLineChars="214"/>
              <w:rPr>
                <w:rFonts w:cs="仿宋_GB2312" w:asciiTheme="minorEastAsia" w:hAnsiTheme="minorEastAsia"/>
                <w:lang w:val="zh-CN"/>
              </w:rPr>
            </w:pPr>
            <w:r>
              <w:rPr>
                <w:rFonts w:cs="仿宋_GB2312" w:asciiTheme="minorEastAsia" w:hAnsiTheme="minorEastAsia"/>
                <w:lang w:val="zh-CN"/>
              </w:rPr>
              <w:t>评标基准价</w:t>
            </w:r>
            <w:r>
              <w:rPr>
                <w:rFonts w:hint="eastAsia" w:cs="仿宋_GB2312" w:asciiTheme="minorEastAsia" w:hAnsiTheme="minorEastAsia"/>
                <w:lang w:val="zh-CN"/>
              </w:rPr>
              <w:t>=评标价格的最低价</w:t>
            </w:r>
          </w:p>
          <w:p>
            <w:pPr>
              <w:adjustRightInd w:val="0"/>
              <w:spacing w:line="360" w:lineRule="auto"/>
              <w:ind w:left="-88" w:leftChars="-42" w:firstLine="449" w:firstLineChars="214"/>
              <w:rPr>
                <w:rFonts w:cs="仿宋_GB2312" w:asciiTheme="minorEastAsia" w:hAnsiTheme="minorEastAsia"/>
                <w:lang w:val="zh-CN"/>
              </w:rPr>
            </w:pPr>
            <w:r>
              <w:rPr>
                <w:rFonts w:cs="仿宋_GB2312" w:asciiTheme="minorEastAsia" w:hAnsiTheme="minorEastAsia"/>
                <w:lang w:val="zh-CN"/>
              </w:rPr>
              <w:t>其他投标报价得分</w:t>
            </w:r>
            <w:r>
              <w:rPr>
                <w:rFonts w:hint="eastAsia" w:cs="仿宋_GB2312" w:asciiTheme="minorEastAsia" w:hAnsiTheme="minorEastAsia"/>
                <w:lang w:val="zh-CN"/>
              </w:rPr>
              <w:t>=（</w:t>
            </w:r>
            <w:r>
              <w:rPr>
                <w:rFonts w:cs="仿宋_GB2312" w:asciiTheme="minorEastAsia" w:hAnsiTheme="minorEastAsia"/>
                <w:lang w:val="zh-CN"/>
              </w:rPr>
              <w:t>评标基准价</w:t>
            </w:r>
            <w:r>
              <w:rPr>
                <w:rFonts w:hint="eastAsia" w:cs="仿宋_GB2312" w:asciiTheme="minorEastAsia" w:hAnsiTheme="minorEastAsia"/>
                <w:lang w:val="zh-CN"/>
              </w:rPr>
              <w:t>/评标价格）</w:t>
            </w:r>
            <w:r>
              <w:rPr>
                <w:rFonts w:cs="仿宋_GB2312" w:asciiTheme="minorEastAsia" w:hAnsiTheme="minorEastAsia"/>
                <w:lang w:val="zh-CN"/>
              </w:rPr>
              <w:t>×</w:t>
            </w:r>
            <w:r>
              <w:rPr>
                <w:rFonts w:hint="eastAsia" w:cs="仿宋_GB2312" w:asciiTheme="minorEastAsia" w:hAnsiTheme="minorEastAsia"/>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cs="仿宋_GB2312" w:asciiTheme="minorEastAsia" w:hAnsiTheme="minorEastAsia"/>
          <w:b/>
          <w:sz w:val="24"/>
          <w:szCs w:val="24"/>
          <w:lang w:val="zh-CN"/>
        </w:rPr>
      </w:pPr>
      <w:r>
        <w:rPr>
          <w:rFonts w:hint="eastAsia" w:ascii="宋体" w:hAnsi="宋体"/>
          <w:bCs/>
          <w:szCs w:val="21"/>
          <w:lang w:val="en-GB"/>
        </w:rPr>
        <w:t>d、残疾人福利性单位属于小型、微型企业的，不重复享受政策。</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五、评标结果</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360" w:lineRule="auto"/>
        <w:ind w:firstLine="420" w:firstLineChars="200"/>
        <w:rPr>
          <w:rFonts w:cs="仿宋_GB2312" w:asciiTheme="minorEastAsia" w:hAnsiTheme="minorEastAsia"/>
          <w:b/>
          <w:szCs w:val="21"/>
          <w:lang w:val="zh-CN"/>
        </w:rPr>
      </w:pPr>
      <w:r>
        <w:rPr>
          <w:rFonts w:hint="eastAsia" w:cs="仿宋_GB2312" w:asciiTheme="minorEastAsia" w:hAnsiTheme="minorEastAsia"/>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合同条款</w:t>
      </w: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一、合同一般条款</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widowControl/>
        <w:jc w:val="center"/>
        <w:rPr>
          <w:rFonts w:ascii="黑体" w:eastAsia="黑体" w:cs="黑体"/>
          <w:b/>
          <w:bCs/>
          <w:sz w:val="28"/>
          <w:szCs w:val="28"/>
          <w:lang w:val="zh-CN"/>
        </w:rPr>
      </w:pPr>
      <w:r>
        <w:rPr>
          <w:rFonts w:hint="eastAsia" w:ascii="黑体" w:eastAsia="黑体" w:cs="黑体"/>
          <w:b/>
          <w:bCs/>
          <w:sz w:val="28"/>
          <w:szCs w:val="28"/>
          <w:lang w:val="zh-CN"/>
        </w:rPr>
        <w:t>二、合同特殊条款</w:t>
      </w:r>
    </w:p>
    <w:p>
      <w:pPr>
        <w:autoSpaceDE w:val="0"/>
        <w:autoSpaceDN w:val="0"/>
        <w:adjustRightInd w:val="0"/>
        <w:spacing w:line="360" w:lineRule="auto"/>
        <w:jc w:val="center"/>
        <w:rPr>
          <w:rFonts w:ascii="宋体" w:cs="宋体"/>
          <w:b/>
          <w:bCs/>
          <w:sz w:val="30"/>
          <w:szCs w:val="30"/>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三、合同书</w:t>
      </w:r>
    </w:p>
    <w:p>
      <w:pPr>
        <w:autoSpaceDE w:val="0"/>
        <w:autoSpaceDN w:val="0"/>
        <w:adjustRightInd w:val="0"/>
        <w:spacing w:line="360" w:lineRule="auto"/>
        <w:jc w:val="center"/>
        <w:outlineLvl w:val="0"/>
        <w:rPr>
          <w:rFonts w:ascii="黑体" w:eastAsia="黑体" w:cs="黑体"/>
          <w:b/>
          <w:bCs/>
          <w:sz w:val="24"/>
          <w:szCs w:val="24"/>
          <w:lang w:val="zh-CN"/>
        </w:rPr>
      </w:pPr>
      <w:r>
        <w:rPr>
          <w:rFonts w:hint="eastAsia" w:ascii="黑体" w:eastAsia="黑体" w:cs="黑体"/>
          <w:b/>
          <w:bCs/>
          <w:sz w:val="24"/>
          <w:szCs w:val="24"/>
          <w:lang w:val="zh-CN"/>
        </w:rPr>
        <w:t>（仅供参考，最终以签订合同为准最终签订合同的主要条款不能与招标文件有冲突）</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p>
    <w:p>
      <w:pPr>
        <w:autoSpaceDE w:val="0"/>
        <w:autoSpaceDN w:val="0"/>
        <w:adjustRightInd w:val="0"/>
        <w:spacing w:line="360" w:lineRule="auto"/>
        <w:rPr>
          <w:rFonts w:ascii="宋体" w:cs="宋体"/>
          <w:sz w:val="24"/>
          <w:lang w:val="zh-CN"/>
        </w:rPr>
      </w:pP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8"/>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                                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                                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                          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                          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                                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                            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                                帐号：</w:t>
      </w:r>
    </w:p>
    <w:p>
      <w:pPr>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税务登记证号：                        签定时间：</w:t>
      </w:r>
    </w:p>
    <w:p>
      <w:pPr>
        <w:tabs>
          <w:tab w:val="left" w:pos="1260"/>
        </w:tabs>
        <w:autoSpaceDE w:val="0"/>
        <w:autoSpaceDN w:val="0"/>
        <w:adjustRightInd w:val="0"/>
        <w:spacing w:line="360" w:lineRule="auto"/>
        <w:contextualSpacing/>
        <w:jc w:val="center"/>
        <w:rPr>
          <w:rStyle w:val="27"/>
          <w:rFonts w:ascii="宋体" w:hAnsi="宋体" w:eastAsia="宋体"/>
        </w:rPr>
      </w:pPr>
      <w:r>
        <w:rPr>
          <w:rFonts w:hint="eastAsia" w:cs="宋体" w:asciiTheme="majorEastAsia" w:hAnsiTheme="majorEastAsia" w:eastAsiaTheme="majorEastAsia"/>
          <w:b/>
          <w:kern w:val="0"/>
          <w:sz w:val="32"/>
          <w:szCs w:val="32"/>
        </w:rPr>
        <w:t>第七章  投标文件有关格式</w:t>
      </w:r>
      <w:bookmarkStart w:id="10" w:name="_Toc24837"/>
      <w:bookmarkStart w:id="11" w:name="_Toc4786"/>
      <w:bookmarkStart w:id="12" w:name="_Toc10789"/>
    </w:p>
    <w:p>
      <w:pPr>
        <w:rPr>
          <w:rStyle w:val="27"/>
          <w:rFonts w:ascii="宋体" w:hAnsi="宋体" w:eastAsia="宋体"/>
        </w:rPr>
      </w:pPr>
      <w:r>
        <w:rPr>
          <w:rStyle w:val="27"/>
          <w:rFonts w:hint="eastAsia" w:ascii="宋体" w:hAnsi="宋体" w:eastAsia="宋体"/>
        </w:rPr>
        <w:t xml:space="preserve">一、投标文件封皮格式                              </w:t>
      </w:r>
    </w:p>
    <w:p>
      <w:pPr>
        <w:ind w:firstLine="7068" w:firstLineChars="2200"/>
        <w:rPr>
          <w:rStyle w:val="30"/>
          <w:rFonts w:ascii="宋体" w:hAnsi="宋体" w:eastAsia="宋体"/>
        </w:rPr>
      </w:pPr>
      <w:r>
        <w:rPr>
          <w:rStyle w:val="30"/>
          <w:rFonts w:hint="eastAsia" w:ascii="宋体" w:hAnsi="宋体" w:eastAsia="宋体"/>
        </w:rPr>
        <w:t>正本/副本</w:t>
      </w:r>
    </w:p>
    <w:p>
      <w:pPr>
        <w:jc w:val="left"/>
        <w:rPr>
          <w:rStyle w:val="27"/>
          <w:rFonts w:ascii="宋体" w:hAnsi="宋体" w:eastAsia="宋体"/>
        </w:rPr>
      </w:pPr>
    </w:p>
    <w:bookmarkEnd w:id="10"/>
    <w:bookmarkEnd w:id="11"/>
    <w:bookmarkEnd w:id="12"/>
    <w:p>
      <w:pPr>
        <w:jc w:val="left"/>
        <w:rPr>
          <w:rStyle w:val="27"/>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   </w:t>
      </w: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ind w:firstLine="3080" w:firstLineChars="1100"/>
        <w:rPr>
          <w:rFonts w:ascii="宋体" w:hAnsi="宋体" w:eastAsia="宋体" w:cs="微软雅黑"/>
          <w:sz w:val="28"/>
          <w:szCs w:val="28"/>
        </w:rPr>
      </w:pPr>
      <w:r>
        <w:rPr>
          <w:rFonts w:hint="eastAsia" w:ascii="宋体" w:hAnsi="宋体" w:eastAsia="宋体" w:cs="微软雅黑"/>
          <w:sz w:val="28"/>
          <w:szCs w:val="28"/>
        </w:rPr>
        <w:t>招标编号: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firstLine="700" w:firstLineChars="25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firstLine="700" w:firstLineChars="250"/>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left="1079" w:leftChars="514" w:firstLine="700" w:firstLineChars="250"/>
        <w:jc w:val="left"/>
        <w:rPr>
          <w:rFonts w:ascii="宋体" w:hAnsi="宋体" w:eastAsia="宋体" w:cs="微软雅黑"/>
          <w:sz w:val="28"/>
          <w:szCs w:val="28"/>
        </w:rPr>
      </w:pPr>
      <w:r>
        <w:rPr>
          <w:rFonts w:hint="eastAsia" w:ascii="宋体" w:hAnsi="宋体" w:eastAsia="宋体" w:cs="微软雅黑"/>
          <w:sz w:val="28"/>
          <w:szCs w:val="28"/>
        </w:rPr>
        <w:t>日      期： 年  月  日</w:t>
      </w:r>
    </w:p>
    <w:p>
      <w:pPr>
        <w:adjustRightInd w:val="0"/>
        <w:snapToGrid w:val="0"/>
        <w:spacing w:line="360" w:lineRule="auto"/>
        <w:rPr>
          <w:rFonts w:ascii="宋体" w:hAnsi="宋体"/>
          <w:color w:val="000000"/>
          <w:sz w:val="24"/>
          <w:szCs w:val="24"/>
        </w:rPr>
      </w:pPr>
    </w:p>
    <w:p>
      <w:pPr>
        <w:widowControl/>
        <w:jc w:val="left"/>
        <w:rPr>
          <w:rFonts w:cs="黑体" w:asciiTheme="minorEastAsia" w:hAnsiTheme="minorEastAsia"/>
          <w:sz w:val="32"/>
          <w:szCs w:val="32"/>
          <w:lang w:val="zh-CN"/>
        </w:rPr>
      </w:pPr>
      <w:bookmarkStart w:id="13" w:name="_Toc174185203"/>
      <w:bookmarkStart w:id="14" w:name="_Toc184023138"/>
      <w:bookmarkStart w:id="15" w:name="_Toc186274126"/>
      <w:r>
        <w:rPr>
          <w:rFonts w:cs="黑体" w:asciiTheme="minorEastAsia" w:hAnsiTheme="minorEastAsia"/>
          <w:sz w:val="32"/>
          <w:szCs w:val="32"/>
          <w:lang w:val="zh-CN"/>
        </w:rPr>
        <w:br w:type="page"/>
      </w:r>
    </w:p>
    <w:bookmarkEnd w:id="13"/>
    <w:bookmarkEnd w:id="14"/>
    <w:bookmarkEnd w:id="15"/>
    <w:p>
      <w:pPr>
        <w:pStyle w:val="9"/>
        <w:spacing w:line="360" w:lineRule="auto"/>
        <w:jc w:val="center"/>
        <w:rPr>
          <w:rFonts w:hAnsi="宋体"/>
          <w:b/>
          <w:snapToGrid w:val="0"/>
          <w:kern w:val="0"/>
          <w:sz w:val="32"/>
          <w:szCs w:val="32"/>
        </w:rPr>
      </w:pPr>
      <w:r>
        <w:rPr>
          <w:rFonts w:hint="eastAsia" w:hAnsi="宋体"/>
          <w:b/>
          <w:snapToGrid w:val="0"/>
          <w:kern w:val="0"/>
          <w:sz w:val="32"/>
          <w:szCs w:val="32"/>
        </w:rPr>
        <w:t>二、开标一览表</w:t>
      </w:r>
    </w:p>
    <w:p>
      <w:pPr>
        <w:pStyle w:val="9"/>
        <w:spacing w:line="360" w:lineRule="auto"/>
        <w:jc w:val="left"/>
        <w:rPr>
          <w:rFonts w:hAnsi="宋体"/>
          <w:b/>
          <w:snapToGrid w:val="0"/>
          <w:kern w:val="0"/>
          <w:szCs w:val="24"/>
        </w:rPr>
      </w:pPr>
      <w:r>
        <w:rPr>
          <w:rFonts w:hint="eastAsia" w:hAnsi="宋体"/>
          <w:b/>
          <w:snapToGrid w:val="0"/>
          <w:kern w:val="0"/>
          <w:szCs w:val="24"/>
        </w:rPr>
        <w:t>项目编号：</w:t>
      </w:r>
    </w:p>
    <w:p>
      <w:pPr>
        <w:pStyle w:val="9"/>
        <w:spacing w:line="360" w:lineRule="auto"/>
        <w:jc w:val="left"/>
        <w:rPr>
          <w:rFonts w:hAnsi="宋体"/>
          <w:b/>
          <w:snapToGrid w:val="0"/>
          <w:kern w:val="0"/>
          <w:szCs w:val="24"/>
        </w:rPr>
      </w:pPr>
      <w:r>
        <w:rPr>
          <w:rFonts w:hint="eastAsia" w:hAnsi="宋体"/>
          <w:b/>
          <w:snapToGrid w:val="0"/>
          <w:kern w:val="0"/>
          <w:szCs w:val="24"/>
        </w:rPr>
        <w:t>项目名称：</w:t>
      </w:r>
    </w:p>
    <w:tbl>
      <w:tblPr>
        <w:tblStyle w:val="18"/>
        <w:tblpPr w:leftFromText="180" w:rightFromText="180" w:vertAnchor="text" w:horzAnchor="page" w:tblpXSpec="center" w:tblpY="32"/>
        <w:tblOverlap w:val="never"/>
        <w:tblW w:w="8971" w:type="dxa"/>
        <w:tblInd w:w="0" w:type="dxa"/>
        <w:tblLayout w:type="fixed"/>
        <w:tblCellMar>
          <w:top w:w="0" w:type="dxa"/>
          <w:left w:w="108" w:type="dxa"/>
          <w:bottom w:w="0" w:type="dxa"/>
          <w:right w:w="108" w:type="dxa"/>
        </w:tblCellMar>
      </w:tblPr>
      <w:tblGrid>
        <w:gridCol w:w="2660"/>
        <w:gridCol w:w="3238"/>
        <w:gridCol w:w="1418"/>
        <w:gridCol w:w="1655"/>
      </w:tblGrid>
      <w:tr>
        <w:tblPrEx>
          <w:tblLayout w:type="fixed"/>
          <w:tblCellMar>
            <w:top w:w="0" w:type="dxa"/>
            <w:left w:w="108" w:type="dxa"/>
            <w:bottom w:w="0" w:type="dxa"/>
            <w:right w:w="108" w:type="dxa"/>
          </w:tblCellMar>
        </w:tblPrEx>
        <w:trPr>
          <w:trHeight w:val="509" w:hRule="atLeast"/>
        </w:trPr>
        <w:tc>
          <w:tcPr>
            <w:tcW w:w="2660"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投标人名称</w:t>
            </w:r>
          </w:p>
        </w:tc>
        <w:tc>
          <w:tcPr>
            <w:tcW w:w="3238"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交付日期（天）</w:t>
            </w:r>
          </w:p>
        </w:tc>
        <w:tc>
          <w:tcPr>
            <w:tcW w:w="1655"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投标有效期（天）</w:t>
            </w:r>
          </w:p>
        </w:tc>
      </w:tr>
      <w:tr>
        <w:tblPrEx>
          <w:tblLayout w:type="fixed"/>
          <w:tblCellMar>
            <w:top w:w="0" w:type="dxa"/>
            <w:left w:w="108" w:type="dxa"/>
            <w:bottom w:w="0" w:type="dxa"/>
            <w:right w:w="108" w:type="dxa"/>
          </w:tblCellMar>
        </w:tblPrEx>
        <w:trPr>
          <w:trHeight w:val="485" w:hRule="atLeast"/>
        </w:trPr>
        <w:tc>
          <w:tcPr>
            <w:tcW w:w="2660"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rPr>
                <w:rFonts w:cs="仿宋_GB2312" w:asciiTheme="minorEastAsia" w:hAnsiTheme="minorEastAsia"/>
                <w:sz w:val="24"/>
                <w:szCs w:val="24"/>
                <w:lang w:val="zh-CN"/>
              </w:rPr>
            </w:pPr>
          </w:p>
        </w:tc>
        <w:tc>
          <w:tcPr>
            <w:tcW w:w="3238"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大写：小写：</w:t>
            </w:r>
          </w:p>
        </w:tc>
        <w:tc>
          <w:tcPr>
            <w:tcW w:w="1418"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rPr>
                <w:rFonts w:cs="仿宋_GB2312" w:asciiTheme="minorEastAsia" w:hAnsiTheme="minorEastAsia"/>
                <w:sz w:val="24"/>
                <w:szCs w:val="24"/>
                <w:lang w:val="zh-CN"/>
              </w:rPr>
            </w:pPr>
          </w:p>
        </w:tc>
        <w:tc>
          <w:tcPr>
            <w:tcW w:w="1655" w:type="dxa"/>
            <w:tcBorders>
              <w:top w:val="single" w:color="auto" w:sz="6" w:space="0"/>
              <w:left w:val="single" w:color="auto" w:sz="6" w:space="0"/>
              <w:bottom w:val="single" w:color="auto" w:sz="6" w:space="0"/>
              <w:right w:val="single" w:color="auto" w:sz="6" w:space="0"/>
            </w:tcBorders>
            <w:vAlign w:val="center"/>
          </w:tcPr>
          <w:p>
            <w:pPr>
              <w:spacing w:line="420" w:lineRule="exact"/>
              <w:contextualSpacing/>
              <w:rPr>
                <w:rFonts w:cs="仿宋_GB2312" w:asciiTheme="minorEastAsia" w:hAnsiTheme="minorEastAsia"/>
                <w:sz w:val="24"/>
                <w:szCs w:val="24"/>
                <w:lang w:val="zh-CN"/>
              </w:rPr>
            </w:pPr>
          </w:p>
        </w:tc>
      </w:tr>
    </w:tbl>
    <w:p>
      <w:pPr>
        <w:autoSpaceDE w:val="0"/>
        <w:autoSpaceDN w:val="0"/>
        <w:adjustRightInd w:val="0"/>
        <w:spacing w:line="360" w:lineRule="auto"/>
        <w:rPr>
          <w:rFonts w:ascii="宋体" w:cs="宋体"/>
          <w:sz w:val="24"/>
          <w:szCs w:val="24"/>
        </w:rPr>
      </w:pP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注：本表为本次招标的所有货物及服务的总报价是货物交付使用前的全部费用，</w:t>
      </w:r>
    </w:p>
    <w:p>
      <w:pPr>
        <w:autoSpaceDE w:val="0"/>
        <w:autoSpaceDN w:val="0"/>
        <w:adjustRightInd w:val="0"/>
        <w:spacing w:line="480" w:lineRule="auto"/>
        <w:rPr>
          <w:rFonts w:ascii="宋体" w:cs="宋体"/>
          <w:sz w:val="24"/>
          <w:szCs w:val="24"/>
          <w:lang w:val="zh-CN"/>
        </w:rPr>
      </w:pPr>
    </w:p>
    <w:p>
      <w:pPr>
        <w:autoSpaceDE w:val="0"/>
        <w:autoSpaceDN w:val="0"/>
        <w:adjustRightInd w:val="0"/>
        <w:spacing w:line="480" w:lineRule="auto"/>
        <w:rPr>
          <w:rFonts w:cs="仿宋_GB2312" w:asciiTheme="minorEastAsia" w:hAnsiTheme="minorEastAsia"/>
          <w:sz w:val="24"/>
          <w:szCs w:val="24"/>
          <w:lang w:val="zh-CN"/>
        </w:rPr>
      </w:pPr>
    </w:p>
    <w:p>
      <w:pPr>
        <w:autoSpaceDE w:val="0"/>
        <w:autoSpaceDN w:val="0"/>
        <w:adjustRightInd w:val="0"/>
        <w:spacing w:line="480" w:lineRule="auto"/>
        <w:rPr>
          <w:rFonts w:ascii="宋体" w:cs="宋体"/>
          <w:sz w:val="24"/>
          <w:szCs w:val="24"/>
          <w:lang w:val="zh-CN"/>
        </w:rPr>
      </w:pPr>
      <w:r>
        <w:rPr>
          <w:rFonts w:hint="eastAsia" w:cs="仿宋_GB2312" w:asciiTheme="minorEastAsia" w:hAnsiTheme="minorEastAsia"/>
          <w:sz w:val="24"/>
          <w:szCs w:val="24"/>
          <w:lang w:val="zh-CN"/>
        </w:rPr>
        <w:t>投标人名称</w:t>
      </w:r>
      <w:r>
        <w:rPr>
          <w:rFonts w:hint="eastAsia" w:cs="仿宋_GB2312" w:asciiTheme="minorEastAsia" w:hAnsiTheme="minorEastAsia"/>
          <w:sz w:val="24"/>
          <w:szCs w:val="24"/>
          <w:u w:val="single"/>
          <w:lang w:val="zh-CN"/>
        </w:rPr>
        <w:t>（全称）</w:t>
      </w:r>
      <w:r>
        <w:rPr>
          <w:rFonts w:hint="eastAsia" w:cs="仿宋_GB2312" w:asciiTheme="minorEastAsia" w:hAnsiTheme="minorEastAsia"/>
          <w:sz w:val="24"/>
          <w:szCs w:val="24"/>
          <w:lang w:val="zh-CN"/>
        </w:rPr>
        <w:t>（公章）</w:t>
      </w:r>
      <w:r>
        <w:rPr>
          <w:rFonts w:hint="eastAsia" w:ascii="宋体" w:cs="宋体"/>
          <w:sz w:val="24"/>
          <w:szCs w:val="24"/>
          <w:lang w:val="zh-CN"/>
        </w:rPr>
        <w:t>：</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法定代表人或授权代表（签字）：</w:t>
      </w:r>
    </w:p>
    <w:p>
      <w:pPr>
        <w:spacing w:line="420" w:lineRule="exact"/>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日 期（年/月/日）:</w:t>
      </w: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widowControl/>
        <w:jc w:val="center"/>
        <w:rPr>
          <w:rFonts w:ascii="宋体" w:hAnsi="宋体" w:eastAsia="宋体" w:cs="宋体"/>
          <w:b/>
          <w:bCs/>
          <w:sz w:val="24"/>
          <w:szCs w:val="24"/>
          <w:lang w:val="zh-CN"/>
        </w:rPr>
      </w:pPr>
    </w:p>
    <w:p>
      <w:pPr>
        <w:widowControl/>
        <w:jc w:val="center"/>
        <w:rPr>
          <w:rFonts w:ascii="宋体" w:hAnsi="宋体" w:eastAsia="宋体" w:cs="宋体"/>
          <w:b/>
          <w:bCs/>
          <w:sz w:val="24"/>
          <w:szCs w:val="24"/>
          <w:lang w:val="zh-CN"/>
        </w:rPr>
      </w:pPr>
    </w:p>
    <w:p>
      <w:pPr>
        <w:widowControl/>
        <w:jc w:val="center"/>
        <w:rPr>
          <w:rFonts w:ascii="宋体" w:hAnsi="宋体" w:eastAsia="宋体" w:cs="宋体"/>
          <w:b/>
          <w:bCs/>
          <w:sz w:val="24"/>
          <w:szCs w:val="24"/>
          <w:lang w:val="zh-CN"/>
        </w:rPr>
      </w:pPr>
    </w:p>
    <w:p>
      <w:pPr>
        <w:widowControl/>
        <w:jc w:val="center"/>
        <w:rPr>
          <w:rFonts w:ascii="宋体" w:hAnsi="宋体" w:eastAsia="宋体" w:cs="宋体"/>
          <w:b/>
          <w:bCs/>
          <w:sz w:val="24"/>
          <w:szCs w:val="24"/>
          <w:lang w:val="zh-CN"/>
        </w:rPr>
      </w:pPr>
    </w:p>
    <w:p>
      <w:pPr>
        <w:widowControl/>
        <w:jc w:val="left"/>
        <w:rPr>
          <w:rFonts w:ascii="宋体" w:hAnsi="宋体" w:eastAsia="宋体" w:cs="宋体"/>
          <w:b/>
          <w:bCs/>
          <w:sz w:val="24"/>
          <w:szCs w:val="24"/>
          <w:lang w:val="zh-CN"/>
        </w:rPr>
      </w:pPr>
      <w:r>
        <w:rPr>
          <w:rFonts w:ascii="宋体" w:hAnsi="宋体" w:eastAsia="宋体" w:cs="宋体"/>
          <w:b/>
          <w:bCs/>
          <w:sz w:val="24"/>
          <w:szCs w:val="24"/>
          <w:lang w:val="zh-CN"/>
        </w:rPr>
        <w:br w:type="page"/>
      </w:r>
    </w:p>
    <w:p>
      <w:pPr>
        <w:widowControl/>
        <w:jc w:val="center"/>
        <w:rPr>
          <w:rFonts w:ascii="宋体" w:hAnsi="宋体" w:eastAsia="宋体" w:cs="宋体"/>
          <w:sz w:val="28"/>
          <w:szCs w:val="28"/>
          <w:lang w:val="zh-CN"/>
        </w:rPr>
      </w:pPr>
      <w:r>
        <w:rPr>
          <w:rFonts w:hint="eastAsia" w:ascii="宋体" w:hAnsi="宋体" w:eastAsia="宋体" w:cs="宋体"/>
          <w:b/>
          <w:bCs/>
          <w:sz w:val="28"/>
          <w:szCs w:val="28"/>
          <w:lang w:val="zh-CN"/>
        </w:rPr>
        <w:t>三、资格审查证明材料</w:t>
      </w:r>
    </w:p>
    <w:p>
      <w:pPr>
        <w:pStyle w:val="9"/>
        <w:spacing w:line="360" w:lineRule="auto"/>
        <w:jc w:val="center"/>
        <w:rPr>
          <w:rFonts w:ascii="宋体" w:hAnsi="宋体" w:cs="宋体"/>
          <w:b/>
          <w:bCs/>
          <w:szCs w:val="24"/>
          <w:lang w:val="zh-CN"/>
        </w:rPr>
      </w:pPr>
      <w:r>
        <w:rPr>
          <w:rFonts w:hint="eastAsia" w:ascii="宋体" w:hAnsi="宋体" w:cs="宋体"/>
          <w:b/>
          <w:bCs/>
          <w:szCs w:val="24"/>
          <w:lang w:val="zh-CN"/>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根据贵方（项目名称、项目编号）采购的招标公告及投标邀请，_______（姓名和职务）被正式授权并代表投标人（投标人名称、地址）提交。</w:t>
      </w:r>
    </w:p>
    <w:p>
      <w:pPr>
        <w:pStyle w:val="9"/>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9"/>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lang w:val="en-US" w:eastAsia="zh-CN"/>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9"/>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9"/>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9"/>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9"/>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9"/>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9"/>
        <w:adjustRightInd w:val="0"/>
        <w:snapToGrid w:val="0"/>
        <w:spacing w:line="360" w:lineRule="auto"/>
        <w:rPr>
          <w:rFonts w:asciiTheme="minorEastAsia" w:hAnsiTheme="minorEastAsia" w:eastAsiaTheme="minorEastAsia"/>
          <w:szCs w:val="24"/>
        </w:rPr>
      </w:pPr>
    </w:p>
    <w:p>
      <w:pPr>
        <w:pStyle w:val="9"/>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jc w:val="center"/>
        <w:rPr>
          <w:rFonts w:asciiTheme="majorEastAsia" w:hAnsiTheme="majorEastAsia" w:eastAsiaTheme="majorEastAsia"/>
          <w:b/>
          <w:bCs/>
          <w:sz w:val="36"/>
          <w:szCs w:val="36"/>
        </w:rPr>
      </w:pPr>
      <w:r>
        <w:rPr>
          <w:rFonts w:hint="eastAsia" w:cs="宋体" w:asciiTheme="minorEastAsia" w:hAnsiTheme="minorEastAsia"/>
          <w:sz w:val="24"/>
          <w:szCs w:val="24"/>
        </w:rPr>
        <w:t xml:space="preserve">                        日期：   年   月   日</w:t>
      </w:r>
    </w:p>
    <w:p>
      <w:pPr>
        <w:widowControl/>
        <w:jc w:val="left"/>
        <w:rPr>
          <w:rFonts w:asciiTheme="majorEastAsia" w:hAnsiTheme="majorEastAsia" w:eastAsiaTheme="majorEastAsia"/>
          <w:b/>
          <w:bCs/>
          <w:sz w:val="36"/>
          <w:szCs w:val="36"/>
        </w:rPr>
      </w:pPr>
      <w:r>
        <w:rPr>
          <w:rFonts w:asciiTheme="majorEastAsia" w:hAnsiTheme="majorEastAsia" w:eastAsiaTheme="majorEastAsia"/>
          <w:b/>
          <w:bCs/>
          <w:sz w:val="36"/>
          <w:szCs w:val="36"/>
        </w:rPr>
        <w:br w:type="page"/>
      </w:r>
    </w:p>
    <w:p>
      <w:pPr>
        <w:spacing w:line="48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3.2法定代表人资格证明书</w:t>
      </w:r>
    </w:p>
    <w:p>
      <w:pPr>
        <w:autoSpaceDE w:val="0"/>
        <w:autoSpaceDN w:val="0"/>
        <w:adjustRightInd w:val="0"/>
        <w:spacing w:line="480" w:lineRule="auto"/>
        <w:ind w:firstLine="616" w:firstLineChars="257"/>
        <w:rPr>
          <w:rFonts w:ascii="宋体" w:hAnsi="宋体"/>
          <w:sz w:val="24"/>
          <w:szCs w:val="24"/>
        </w:rPr>
      </w:pPr>
    </w:p>
    <w:p>
      <w:pPr>
        <w:pStyle w:val="21"/>
        <w:spacing w:line="480" w:lineRule="auto"/>
        <w:ind w:firstLine="540" w:firstLineChars="225"/>
        <w:jc w:val="left"/>
        <w:rPr>
          <w:rFonts w:asciiTheme="minorEastAsia" w:hAnsiTheme="minorEastAsia"/>
          <w:szCs w:val="24"/>
          <w:u w:val="single"/>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2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2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职务</w:t>
      </w:r>
      <w:r>
        <w:rPr>
          <w:rFonts w:hint="eastAsia" w:asciiTheme="minorEastAsia" w:hAnsiTheme="minorEastAsia"/>
          <w:szCs w:val="24"/>
        </w:rPr>
        <w:t>：</w:t>
      </w:r>
    </w:p>
    <w:p>
      <w:pPr>
        <w:pStyle w:val="2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2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21"/>
        <w:spacing w:line="480" w:lineRule="auto"/>
        <w:ind w:firstLine="540" w:firstLineChars="225"/>
        <w:jc w:val="left"/>
        <w:rPr>
          <w:rFonts w:asciiTheme="minorEastAsia" w:hAnsiTheme="minorEastAsia"/>
          <w:szCs w:val="24"/>
        </w:rPr>
      </w:pPr>
    </w:p>
    <w:p>
      <w:pPr>
        <w:spacing w:line="360" w:lineRule="auto"/>
        <w:ind w:firstLine="540" w:firstLineChars="225"/>
        <w:jc w:val="left"/>
        <w:rPr>
          <w:sz w:val="24"/>
          <w:szCs w:val="24"/>
        </w:rPr>
      </w:pPr>
    </w:p>
    <w:tbl>
      <w:tblPr>
        <w:tblStyle w:val="18"/>
        <w:tblW w:w="77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0"/>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trPr>
        <w:tc>
          <w:tcPr>
            <w:tcW w:w="3730" w:type="dxa"/>
            <w:vAlign w:val="center"/>
          </w:tcPr>
          <w:p>
            <w:pPr>
              <w:jc w:val="center"/>
              <w:rPr>
                <w:rFonts w:ascii="宋体" w:hAnsi="宋体" w:eastAsia="宋体" w:cs="宋体"/>
                <w:sz w:val="24"/>
                <w:szCs w:val="24"/>
              </w:rPr>
            </w:pPr>
            <w:r>
              <w:rPr>
                <w:rFonts w:hint="eastAsia" w:cs="仿宋_GB2312" w:asciiTheme="minorEastAsia" w:hAnsiTheme="minorEastAsia"/>
                <w:sz w:val="24"/>
                <w:szCs w:val="24"/>
                <w:lang w:val="zh-CN"/>
              </w:rPr>
              <w:t>法定代表人身份证（正面）</w:t>
            </w:r>
          </w:p>
        </w:tc>
        <w:tc>
          <w:tcPr>
            <w:tcW w:w="4053" w:type="dxa"/>
            <w:vAlign w:val="center"/>
          </w:tcPr>
          <w:p>
            <w:pPr>
              <w:jc w:val="center"/>
              <w:rPr>
                <w:rFonts w:ascii="宋体" w:hAnsi="宋体" w:eastAsia="宋体" w:cs="宋体"/>
                <w:sz w:val="24"/>
                <w:szCs w:val="24"/>
              </w:rPr>
            </w:pPr>
            <w:r>
              <w:rPr>
                <w:rFonts w:hint="eastAsia" w:cs="仿宋_GB2312" w:asciiTheme="minorEastAsia" w:hAnsiTheme="minorEastAsia"/>
                <w:sz w:val="24"/>
                <w:szCs w:val="24"/>
                <w:lang w:val="zh-CN"/>
              </w:rPr>
              <w:t>法定代表人身份证（反面）</w:t>
            </w:r>
          </w:p>
        </w:tc>
      </w:tr>
    </w:tbl>
    <w:p>
      <w:pPr>
        <w:spacing w:line="360" w:lineRule="auto"/>
        <w:ind w:firstLine="491" w:firstLineChars="205"/>
        <w:jc w:val="left"/>
        <w:rPr>
          <w:rFonts w:ascii="宋体" w:hAnsi="宋体"/>
          <w:sz w:val="24"/>
          <w:szCs w:val="24"/>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2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2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tabs>
          <w:tab w:val="left" w:pos="210"/>
        </w:tabs>
        <w:spacing w:line="320" w:lineRule="exact"/>
        <w:ind w:firstLine="420"/>
        <w:rPr>
          <w:rFonts w:ascii="宋体" w:hAnsi="宋体" w:eastAsia="宋体" w:cs="宋体"/>
          <w:bCs/>
          <w:color w:val="000000"/>
          <w:kern w:val="12"/>
          <w:sz w:val="24"/>
          <w:szCs w:val="24"/>
        </w:rPr>
      </w:pPr>
    </w:p>
    <w:p>
      <w:pPr>
        <w:spacing w:line="48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3.3法定代表人授权书</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18"/>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sz w:val="24"/>
                <w:szCs w:val="24"/>
              </w:rPr>
            </w:pPr>
            <w:bookmarkStart w:id="16" w:name="_资格证明文件"/>
            <w:bookmarkEnd w:id="16"/>
            <w:bookmarkStart w:id="17" w:name="_Toc364329026"/>
            <w:r>
              <w:rPr>
                <w:rFonts w:hint="eastAsia" w:asciiTheme="minorEastAsia" w:hAnsiTheme="minorEastAsia"/>
                <w:sz w:val="24"/>
                <w:szCs w:val="24"/>
              </w:rPr>
              <w:t>法定代表人授权代表身份证（正面）</w:t>
            </w:r>
            <w:bookmarkEnd w:id="17"/>
          </w:p>
        </w:tc>
        <w:tc>
          <w:tcPr>
            <w:tcW w:w="4492" w:type="dxa"/>
            <w:gridSpan w:val="2"/>
            <w:vAlign w:val="center"/>
          </w:tcPr>
          <w:p>
            <w:pPr>
              <w:jc w:val="center"/>
              <w:rPr>
                <w:rFonts w:asciiTheme="minorEastAsia" w:hAnsiTheme="minorEastAsia"/>
                <w:sz w:val="24"/>
                <w:szCs w:val="24"/>
              </w:rPr>
            </w:pPr>
            <w:bookmarkStart w:id="18" w:name="_Toc364329027"/>
            <w:r>
              <w:rPr>
                <w:rFonts w:hint="eastAsia" w:asciiTheme="minorEastAsia" w:hAnsiTheme="minorEastAsia"/>
                <w:sz w:val="24"/>
                <w:szCs w:val="24"/>
              </w:rPr>
              <w:t>法定代表人授权代表身份证（反面）</w:t>
            </w:r>
            <w:bookmarkEnd w:id="18"/>
          </w:p>
        </w:tc>
      </w:tr>
    </w:tbl>
    <w:p>
      <w:pPr>
        <w:autoSpaceDE w:val="0"/>
        <w:autoSpaceDN w:val="0"/>
        <w:adjustRightInd w:val="0"/>
        <w:spacing w:line="360" w:lineRule="auto"/>
        <w:outlineLvl w:val="0"/>
        <w:rPr>
          <w:rFonts w:hAnsi="宋体" w:eastAsia="宋体"/>
          <w:b/>
          <w:snapToGrid w:val="0"/>
          <w:kern w:val="0"/>
          <w:sz w:val="24"/>
          <w:szCs w:val="24"/>
        </w:rPr>
      </w:pPr>
    </w:p>
    <w:p>
      <w:pPr>
        <w:widowControl/>
        <w:spacing w:before="100" w:beforeAutospacing="1" w:after="100" w:afterAutospacing="1" w:line="360" w:lineRule="auto"/>
        <w:jc w:val="center"/>
        <w:rPr>
          <w:rFonts w:asciiTheme="majorEastAsia" w:hAnsiTheme="majorEastAsia" w:eastAsiaTheme="majorEastAsia"/>
          <w:b/>
          <w:bCs/>
          <w:sz w:val="24"/>
          <w:szCs w:val="24"/>
        </w:rPr>
      </w:pPr>
    </w:p>
    <w:p>
      <w:pPr>
        <w:widowControl/>
        <w:spacing w:before="100" w:beforeAutospacing="1" w:after="100" w:afterAutospacing="1" w:line="360" w:lineRule="auto"/>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日    期：</w:t>
      </w:r>
      <w:r>
        <w:rPr>
          <w:rFonts w:hint="eastAsia" w:cs="宋体" w:asciiTheme="minorEastAsia" w:hAnsiTheme="minorEastAsia"/>
          <w:szCs w:val="21"/>
        </w:rPr>
        <w:t>年    月    日</w:t>
      </w:r>
    </w:p>
    <w:p>
      <w:pPr>
        <w:pStyle w:val="23"/>
        <w:spacing w:line="480" w:lineRule="auto"/>
        <w:rPr>
          <w:rFonts w:ascii="宋体" w:hAnsi="宋体" w:cs="宋体"/>
          <w:color w:val="000000"/>
          <w:szCs w:val="24"/>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hAnsi="宋体" w:eastAsia="宋体"/>
          <w:b/>
          <w:snapToGrid w:val="0"/>
          <w:kern w:val="0"/>
          <w:sz w:val="36"/>
          <w:szCs w:val="36"/>
        </w:rPr>
      </w:pPr>
      <w:r>
        <w:rPr>
          <w:rFonts w:hAnsi="宋体" w:eastAsia="宋体"/>
          <w:b/>
          <w:snapToGrid w:val="0"/>
          <w:kern w:val="0"/>
          <w:sz w:val="36"/>
          <w:szCs w:val="36"/>
        </w:rPr>
        <w:br w:type="page"/>
      </w:r>
    </w:p>
    <w:p>
      <w:pPr>
        <w:autoSpaceDE w:val="0"/>
        <w:autoSpaceDN w:val="0"/>
        <w:adjustRightInd w:val="0"/>
        <w:spacing w:line="360" w:lineRule="auto"/>
        <w:jc w:val="center"/>
        <w:outlineLvl w:val="0"/>
        <w:rPr>
          <w:rFonts w:hAnsi="宋体" w:eastAsia="宋体"/>
          <w:b/>
          <w:snapToGrid w:val="0"/>
          <w:kern w:val="0"/>
          <w:sz w:val="32"/>
          <w:szCs w:val="32"/>
        </w:rPr>
      </w:pPr>
      <w:r>
        <w:rPr>
          <w:rFonts w:hint="eastAsia" w:hAnsi="宋体" w:eastAsia="宋体"/>
          <w:b/>
          <w:snapToGrid w:val="0"/>
          <w:kern w:val="0"/>
          <w:sz w:val="32"/>
          <w:szCs w:val="32"/>
        </w:rPr>
        <w:t>3.5 投标保证金</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480" w:lineRule="auto"/>
        <w:jc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（附许昌公共资源交易中心保证金缴纳回执）</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widowControl/>
        <w:spacing w:before="100" w:beforeAutospacing="1" w:after="100" w:afterAutospacing="1" w:line="360" w:lineRule="auto"/>
        <w:jc w:val="center"/>
        <w:rPr>
          <w:rFonts w:cs="黑体" w:asciiTheme="minorEastAsia" w:hAnsiTheme="minorEastAsia"/>
          <w:b/>
          <w:bCs/>
          <w:sz w:val="32"/>
          <w:szCs w:val="32"/>
        </w:rPr>
      </w:pPr>
      <w:r>
        <w:rPr>
          <w:rFonts w:hint="eastAsia" w:ascii="宋体" w:hAnsi="宋体"/>
          <w:b/>
          <w:bCs/>
          <w:sz w:val="32"/>
          <w:szCs w:val="32"/>
        </w:rPr>
        <w:t xml:space="preserve">3.6 其他资格证明文件或材料 </w:t>
      </w:r>
    </w:p>
    <w:p>
      <w:pPr>
        <w:rPr>
          <w:b/>
          <w:bCs/>
        </w:rPr>
      </w:pPr>
    </w:p>
    <w:p>
      <w:pPr>
        <w:autoSpaceDE w:val="0"/>
        <w:autoSpaceDN w:val="0"/>
        <w:adjustRightInd w:val="0"/>
        <w:spacing w:line="480" w:lineRule="auto"/>
        <w:jc w:val="center"/>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（投标人须按照“第五章 资格审查与评标办法、评标标准”中“资格审查因素表”要求，提交其他资格证明文件或材料，加盖投标人的单位公章后在此项下提交。）</w:t>
      </w:r>
    </w:p>
    <w:p>
      <w:pPr>
        <w:autoSpaceDE w:val="0"/>
        <w:autoSpaceDN w:val="0"/>
        <w:adjustRightInd w:val="0"/>
        <w:spacing w:line="360" w:lineRule="auto"/>
        <w:rPr>
          <w:rFonts w:ascii="宋体" w:hAnsi="宋体" w:eastAsia="宋体" w:cs="宋体"/>
          <w:sz w:val="24"/>
          <w:szCs w:val="24"/>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widowControl/>
        <w:jc w:val="left"/>
        <w:rPr>
          <w:rFonts w:ascii="宋体" w:hAnsi="宋体" w:eastAsia="宋体" w:cs="宋体"/>
          <w:sz w:val="28"/>
          <w:szCs w:val="28"/>
          <w:lang w:val="zh-CN"/>
        </w:rPr>
      </w:pPr>
      <w:r>
        <w:rPr>
          <w:rFonts w:ascii="宋体" w:hAnsi="宋体" w:eastAsia="宋体" w:cs="宋体"/>
          <w:sz w:val="28"/>
          <w:szCs w:val="28"/>
          <w:lang w:val="zh-CN"/>
        </w:rPr>
        <w:br w:type="page"/>
      </w: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四、符合性审查证明材料</w:t>
      </w:r>
    </w:p>
    <w:p>
      <w:pPr>
        <w:spacing w:before="50" w:after="156" w:afterLines="50" w:line="360" w:lineRule="auto"/>
        <w:contextualSpacing/>
        <w:jc w:val="center"/>
        <w:rPr>
          <w:rFonts w:hAnsi="宋体" w:eastAsia="宋体"/>
          <w:b/>
          <w:snapToGrid w:val="0"/>
          <w:kern w:val="0"/>
          <w:sz w:val="32"/>
          <w:szCs w:val="32"/>
        </w:rPr>
      </w:pPr>
      <w:r>
        <w:rPr>
          <w:rFonts w:hint="eastAsia" w:ascii="宋体" w:hAnsi="宋体"/>
          <w:b/>
          <w:bCs/>
          <w:sz w:val="32"/>
          <w:szCs w:val="32"/>
        </w:rPr>
        <w:t xml:space="preserve">4.1 </w:t>
      </w:r>
      <w:r>
        <w:rPr>
          <w:rFonts w:hint="eastAsia" w:hAnsi="宋体" w:eastAsia="宋体"/>
          <w:b/>
          <w:snapToGrid w:val="0"/>
          <w:kern w:val="0"/>
          <w:sz w:val="32"/>
          <w:szCs w:val="32"/>
        </w:rPr>
        <w:t>投标分项报价一览表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eastAsia="宋体"/>
          <w:b/>
          <w:snapToGrid w:val="0"/>
          <w:kern w:val="0"/>
          <w:sz w:val="32"/>
          <w:szCs w:val="32"/>
        </w:rPr>
      </w:pPr>
      <w:r>
        <w:rPr>
          <w:rFonts w:hint="eastAsia" w:ascii="宋体" w:hAnsi="宋体"/>
          <w:sz w:val="24"/>
          <w:szCs w:val="24"/>
        </w:rPr>
        <w:t xml:space="preserve">项目名称：   </w:t>
      </w:r>
    </w:p>
    <w:p>
      <w:pPr>
        <w:rPr>
          <w:rFonts w:ascii="宋体" w:hAnsi="宋体" w:eastAsia="宋体" w:cs="宋体"/>
          <w:sz w:val="24"/>
          <w:szCs w:val="24"/>
        </w:rPr>
      </w:pPr>
    </w:p>
    <w:tbl>
      <w:tblPr>
        <w:tblStyle w:val="18"/>
        <w:tblW w:w="9400" w:type="dxa"/>
        <w:jc w:val="center"/>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数量</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Layout w:type="fixed"/>
          <w:tblCellMar>
            <w:top w:w="0" w:type="dxa"/>
            <w:left w:w="108" w:type="dxa"/>
            <w:bottom w:w="0" w:type="dxa"/>
            <w:right w:w="108" w:type="dxa"/>
          </w:tblCellMar>
        </w:tblPrEx>
        <w:trPr>
          <w:trHeight w:val="851" w:hRule="atLeast"/>
          <w:jc w:val="center"/>
        </w:trPr>
        <w:tc>
          <w:tcPr>
            <w:tcW w:w="53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500"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260"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jc w:val="center"/>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cs="仿宋_GB2312" w:asciiTheme="minorEastAsia" w:hAnsiTheme="minorEastAsia"/>
          <w:sz w:val="24"/>
          <w:szCs w:val="24"/>
          <w:lang w:val="zh-CN"/>
        </w:rPr>
      </w:pP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r>
        <w:rPr>
          <w:rFonts w:hint="eastAsia" w:hAnsi="宋体" w:eastAsia="宋体"/>
          <w:b/>
          <w:snapToGrid w:val="0"/>
          <w:kern w:val="0"/>
          <w:sz w:val="32"/>
          <w:szCs w:val="32"/>
        </w:rPr>
        <w:t>4.2 技术规格偏离表</w:t>
      </w:r>
    </w:p>
    <w:p>
      <w:pPr>
        <w:spacing w:before="50" w:after="156" w:afterLines="50" w:line="360" w:lineRule="auto"/>
        <w:contextualSpacing/>
        <w:jc w:val="left"/>
        <w:rPr>
          <w:rFonts w:asciiTheme="minorEastAsia" w:hAnsiTheme="minorEastAsia"/>
          <w:szCs w:val="21"/>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18"/>
        <w:tblW w:w="9322" w:type="dxa"/>
        <w:jc w:val="center"/>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pacing w:line="360" w:lineRule="auto"/>
        <w:rPr>
          <w:rFonts w:ascii="黑体" w:eastAsia="黑体"/>
          <w:sz w:val="28"/>
          <w:szCs w:val="28"/>
        </w:rPr>
      </w:pPr>
    </w:p>
    <w:p>
      <w:pPr>
        <w:jc w:val="center"/>
        <w:rPr>
          <w:rFonts w:ascii="宋体" w:hAnsi="宋体"/>
          <w:b/>
          <w:bCs/>
          <w:color w:val="FF0000"/>
          <w:sz w:val="28"/>
          <w:szCs w:val="28"/>
        </w:rPr>
      </w:pPr>
    </w:p>
    <w:p>
      <w:pPr>
        <w:jc w:val="center"/>
        <w:rPr>
          <w:rFonts w:ascii="宋体" w:hAnsi="宋体"/>
          <w:b/>
          <w:bCs/>
          <w:color w:val="FF0000"/>
          <w:sz w:val="28"/>
          <w:szCs w:val="28"/>
        </w:rPr>
      </w:pPr>
    </w:p>
    <w:p>
      <w:pPr>
        <w:jc w:val="center"/>
        <w:rPr>
          <w:rFonts w:ascii="宋体" w:hAnsi="宋体"/>
          <w:b/>
          <w:bCs/>
          <w:color w:val="FF0000"/>
          <w:sz w:val="28"/>
          <w:szCs w:val="28"/>
        </w:rPr>
      </w:pPr>
    </w:p>
    <w:p>
      <w:pPr>
        <w:jc w:val="center"/>
      </w:pPr>
      <w:r>
        <w:rPr>
          <w:rFonts w:hint="eastAsia" w:ascii="宋体" w:hAnsi="宋体"/>
          <w:b/>
          <w:bCs/>
          <w:sz w:val="28"/>
          <w:szCs w:val="28"/>
        </w:rPr>
        <w:t>4.3 技术方案（实施方案）</w:t>
      </w:r>
    </w:p>
    <w:p>
      <w:pPr>
        <w:spacing w:line="360" w:lineRule="auto"/>
        <w:jc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（投标人根据招标文件要求自行编制。格式自拟）</w:t>
      </w:r>
    </w:p>
    <w:p>
      <w:pPr>
        <w:spacing w:line="360" w:lineRule="auto"/>
        <w:ind w:firstLine="560" w:firstLineChars="200"/>
        <w:jc w:val="center"/>
        <w:rPr>
          <w:rFonts w:ascii="黑体" w:eastAsia="黑体"/>
          <w:color w:val="FF0000"/>
          <w:sz w:val="28"/>
          <w:szCs w:val="28"/>
        </w:rPr>
      </w:pPr>
    </w:p>
    <w:p>
      <w:pPr>
        <w:spacing w:line="360" w:lineRule="auto"/>
        <w:ind w:firstLine="560" w:firstLineChars="200"/>
        <w:jc w:val="center"/>
        <w:rPr>
          <w:rFonts w:ascii="黑体" w:eastAsia="黑体"/>
          <w:color w:val="FF0000"/>
          <w:sz w:val="28"/>
          <w:szCs w:val="28"/>
        </w:rPr>
      </w:pPr>
    </w:p>
    <w:p>
      <w:pPr>
        <w:spacing w:line="360" w:lineRule="auto"/>
        <w:ind w:firstLine="560" w:firstLineChars="200"/>
        <w:jc w:val="center"/>
        <w:rPr>
          <w:rFonts w:ascii="黑体" w:eastAsia="黑体"/>
          <w:color w:val="FF0000"/>
          <w:sz w:val="28"/>
          <w:szCs w:val="28"/>
        </w:rPr>
      </w:pPr>
    </w:p>
    <w:p>
      <w:pPr>
        <w:spacing w:line="360" w:lineRule="auto"/>
        <w:ind w:firstLine="560" w:firstLineChars="200"/>
        <w:jc w:val="center"/>
        <w:rPr>
          <w:rFonts w:ascii="黑体" w:eastAsia="黑体"/>
          <w:color w:val="FF0000"/>
          <w:sz w:val="28"/>
          <w:szCs w:val="28"/>
        </w:rPr>
      </w:pPr>
    </w:p>
    <w:p>
      <w:pPr>
        <w:spacing w:line="360" w:lineRule="auto"/>
        <w:rPr>
          <w:rFonts w:ascii="黑体" w:eastAsia="黑体"/>
          <w:color w:val="FF0000"/>
          <w:sz w:val="28"/>
          <w:szCs w:val="28"/>
        </w:rPr>
      </w:pPr>
    </w:p>
    <w:p>
      <w:pPr>
        <w:spacing w:line="360" w:lineRule="auto"/>
        <w:ind w:firstLine="562" w:firstLineChars="200"/>
        <w:jc w:val="center"/>
        <w:rPr>
          <w:rFonts w:ascii="黑体" w:eastAsia="黑体"/>
          <w:b/>
          <w:bCs/>
          <w:sz w:val="28"/>
          <w:szCs w:val="28"/>
        </w:rPr>
      </w:pPr>
      <w:r>
        <w:rPr>
          <w:rFonts w:hint="eastAsia" w:ascii="黑体" w:eastAsia="黑体"/>
          <w:b/>
          <w:bCs/>
          <w:sz w:val="28"/>
          <w:szCs w:val="28"/>
        </w:rPr>
        <w:t>4.4 业绩情况表</w:t>
      </w:r>
    </w:p>
    <w:p>
      <w:pPr>
        <w:spacing w:before="50" w:after="156" w:afterLines="50" w:line="360" w:lineRule="auto"/>
        <w:contextualSpacing/>
        <w:jc w:val="left"/>
        <w:rPr>
          <w:rFonts w:asciiTheme="minorEastAsia" w:hAnsiTheme="minorEastAsia"/>
          <w:sz w:val="24"/>
          <w:szCs w:val="24"/>
        </w:rPr>
      </w:pP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18"/>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shd w:val="clear" w:color="auto" w:fill="auto"/>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widowControl/>
        <w:jc w:val="center"/>
        <w:rPr>
          <w:rFonts w:ascii="宋体" w:hAnsi="宋体"/>
          <w:b/>
          <w:bCs/>
          <w:sz w:val="28"/>
          <w:szCs w:val="28"/>
        </w:rPr>
      </w:pPr>
    </w:p>
    <w:p>
      <w:pPr>
        <w:jc w:val="center"/>
        <w:rPr>
          <w:rFonts w:ascii="宋体" w:hAnsi="宋体"/>
          <w:b/>
          <w:bCs/>
          <w:sz w:val="28"/>
          <w:szCs w:val="28"/>
        </w:rPr>
      </w:pPr>
    </w:p>
    <w:p>
      <w:pPr>
        <w:jc w:val="center"/>
        <w:rPr>
          <w:rFonts w:ascii="宋体" w:hAnsi="宋体"/>
          <w:b/>
          <w:bCs/>
          <w:color w:val="FF0000"/>
          <w:sz w:val="28"/>
          <w:szCs w:val="28"/>
        </w:rPr>
      </w:pPr>
    </w:p>
    <w:p>
      <w:pPr>
        <w:widowControl/>
        <w:jc w:val="center"/>
        <w:rPr>
          <w:rFonts w:ascii="宋体" w:hAnsi="宋体"/>
          <w:b/>
          <w:bCs/>
          <w:sz w:val="28"/>
          <w:szCs w:val="28"/>
        </w:rPr>
      </w:pPr>
      <w:r>
        <w:rPr>
          <w:rFonts w:hint="eastAsia" w:ascii="宋体" w:hAnsi="宋体"/>
          <w:b/>
          <w:bCs/>
          <w:sz w:val="28"/>
          <w:szCs w:val="28"/>
        </w:rPr>
        <w:t>4.5 售后服务方案</w:t>
      </w:r>
    </w:p>
    <w:p>
      <w:pPr>
        <w:widowControl/>
        <w:jc w:val="center"/>
        <w:rPr>
          <w:rFonts w:ascii="宋体" w:hAnsi="宋体"/>
          <w:bCs/>
          <w:sz w:val="24"/>
          <w:szCs w:val="24"/>
        </w:rPr>
      </w:pPr>
    </w:p>
    <w:p>
      <w:pPr>
        <w:spacing w:line="360" w:lineRule="auto"/>
        <w:jc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（投标人根据招标文件要求自行编制）</w:t>
      </w:r>
    </w:p>
    <w:p>
      <w:pPr>
        <w:widowControl/>
        <w:jc w:val="center"/>
        <w:rPr>
          <w:rFonts w:ascii="宋体" w:hAnsi="宋体"/>
          <w:b/>
          <w:bCs/>
          <w:sz w:val="24"/>
          <w:szCs w:val="24"/>
        </w:rPr>
      </w:pPr>
    </w:p>
    <w:p>
      <w:pPr>
        <w:widowControl/>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szCs w:val="21"/>
        </w:rPr>
        <w:t>项目名称：</w:t>
      </w:r>
    </w:p>
    <w:tbl>
      <w:tblPr>
        <w:tblStyle w:val="1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jc w:val="center"/>
        </w:trPr>
        <w:tc>
          <w:tcPr>
            <w:tcW w:w="537"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8"/>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8"/>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37"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8"/>
              <w:spacing w:line="360" w:lineRule="auto"/>
              <w:rPr>
                <w:rFonts w:ascii="宋体" w:hAnsi="宋体" w:eastAsia="宋体" w:cs="Times New Roman"/>
                <w:sz w:val="21"/>
                <w:szCs w:val="21"/>
              </w:rPr>
            </w:pPr>
          </w:p>
        </w:tc>
        <w:tc>
          <w:tcPr>
            <w:tcW w:w="991" w:type="dxa"/>
            <w:vAlign w:val="center"/>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135" w:type="dxa"/>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439" w:type="dxa"/>
          </w:tcPr>
          <w:p>
            <w:pPr>
              <w:pStyle w:val="8"/>
              <w:spacing w:line="360" w:lineRule="auto"/>
              <w:rPr>
                <w:rFonts w:ascii="宋体" w:hAnsi="宋体" w:eastAsia="宋体" w:cs="Times New Roman"/>
                <w:sz w:val="21"/>
                <w:szCs w:val="21"/>
              </w:rPr>
            </w:pPr>
          </w:p>
        </w:tc>
        <w:tc>
          <w:tcPr>
            <w:tcW w:w="1252"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37"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8"/>
              <w:spacing w:line="360" w:lineRule="auto"/>
              <w:rPr>
                <w:rFonts w:ascii="宋体" w:hAnsi="宋体" w:eastAsia="宋体" w:cs="Times New Roman"/>
                <w:sz w:val="21"/>
                <w:szCs w:val="21"/>
              </w:rPr>
            </w:pPr>
          </w:p>
        </w:tc>
        <w:tc>
          <w:tcPr>
            <w:tcW w:w="991" w:type="dxa"/>
            <w:vAlign w:val="center"/>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135" w:type="dxa"/>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439" w:type="dxa"/>
          </w:tcPr>
          <w:p>
            <w:pPr>
              <w:pStyle w:val="8"/>
              <w:spacing w:line="360" w:lineRule="auto"/>
              <w:rPr>
                <w:rFonts w:ascii="宋体" w:hAnsi="宋体" w:eastAsia="宋体" w:cs="Times New Roman"/>
                <w:sz w:val="21"/>
                <w:szCs w:val="21"/>
              </w:rPr>
            </w:pPr>
          </w:p>
        </w:tc>
        <w:tc>
          <w:tcPr>
            <w:tcW w:w="1252"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37"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8"/>
              <w:spacing w:line="360" w:lineRule="auto"/>
              <w:rPr>
                <w:rFonts w:ascii="宋体" w:hAnsi="宋体" w:eastAsia="宋体" w:cs="Times New Roman"/>
                <w:sz w:val="21"/>
                <w:szCs w:val="21"/>
              </w:rPr>
            </w:pPr>
          </w:p>
        </w:tc>
        <w:tc>
          <w:tcPr>
            <w:tcW w:w="991" w:type="dxa"/>
            <w:vAlign w:val="center"/>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135" w:type="dxa"/>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439" w:type="dxa"/>
          </w:tcPr>
          <w:p>
            <w:pPr>
              <w:pStyle w:val="8"/>
              <w:spacing w:line="360" w:lineRule="auto"/>
              <w:rPr>
                <w:rFonts w:ascii="宋体" w:hAnsi="宋体" w:eastAsia="宋体" w:cs="Times New Roman"/>
                <w:sz w:val="21"/>
                <w:szCs w:val="21"/>
              </w:rPr>
            </w:pPr>
          </w:p>
        </w:tc>
        <w:tc>
          <w:tcPr>
            <w:tcW w:w="1252"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widowControl/>
        <w:jc w:val="center"/>
        <w:rPr>
          <w:rFonts w:ascii="宋体" w:hAnsi="宋体"/>
          <w:b/>
          <w:bCs/>
          <w:color w:val="000000"/>
          <w:sz w:val="24"/>
        </w:rPr>
      </w:pPr>
      <w:r>
        <w:rPr>
          <w:rFonts w:ascii="宋体" w:hAnsi="宋体"/>
          <w:b/>
          <w:bCs/>
          <w:sz w:val="36"/>
          <w:szCs w:val="36"/>
        </w:rPr>
        <w:br w:type="page"/>
      </w:r>
    </w:p>
    <w:p>
      <w:pPr>
        <w:pageBreakBefore/>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4.7“节能产品政府采购清单”优先采购产品情况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szCs w:val="21"/>
        </w:rPr>
        <w:t>项目名称：</w:t>
      </w:r>
    </w:p>
    <w:tbl>
      <w:tblPr>
        <w:tblStyle w:val="1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jc w:val="center"/>
        </w:trPr>
        <w:tc>
          <w:tcPr>
            <w:tcW w:w="537"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8"/>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8"/>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37"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8"/>
              <w:spacing w:line="360" w:lineRule="auto"/>
              <w:rPr>
                <w:rFonts w:ascii="宋体" w:hAnsi="宋体" w:eastAsia="宋体" w:cs="Times New Roman"/>
                <w:sz w:val="21"/>
                <w:szCs w:val="21"/>
              </w:rPr>
            </w:pPr>
          </w:p>
        </w:tc>
        <w:tc>
          <w:tcPr>
            <w:tcW w:w="991" w:type="dxa"/>
            <w:vAlign w:val="center"/>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135" w:type="dxa"/>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439" w:type="dxa"/>
          </w:tcPr>
          <w:p>
            <w:pPr>
              <w:pStyle w:val="8"/>
              <w:spacing w:line="360" w:lineRule="auto"/>
              <w:rPr>
                <w:rFonts w:ascii="宋体" w:hAnsi="宋体" w:eastAsia="宋体" w:cs="Times New Roman"/>
                <w:sz w:val="21"/>
                <w:szCs w:val="21"/>
              </w:rPr>
            </w:pPr>
          </w:p>
        </w:tc>
        <w:tc>
          <w:tcPr>
            <w:tcW w:w="1252"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37"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8"/>
              <w:spacing w:line="360" w:lineRule="auto"/>
              <w:rPr>
                <w:rFonts w:ascii="宋体" w:hAnsi="宋体" w:eastAsia="宋体" w:cs="Times New Roman"/>
                <w:sz w:val="21"/>
                <w:szCs w:val="21"/>
              </w:rPr>
            </w:pPr>
          </w:p>
        </w:tc>
        <w:tc>
          <w:tcPr>
            <w:tcW w:w="991" w:type="dxa"/>
            <w:vAlign w:val="center"/>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135" w:type="dxa"/>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439" w:type="dxa"/>
          </w:tcPr>
          <w:p>
            <w:pPr>
              <w:pStyle w:val="8"/>
              <w:spacing w:line="360" w:lineRule="auto"/>
              <w:rPr>
                <w:rFonts w:ascii="宋体" w:hAnsi="宋体" w:eastAsia="宋体" w:cs="Times New Roman"/>
                <w:sz w:val="21"/>
                <w:szCs w:val="21"/>
              </w:rPr>
            </w:pPr>
          </w:p>
        </w:tc>
        <w:tc>
          <w:tcPr>
            <w:tcW w:w="1252"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37"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8"/>
              <w:spacing w:line="360" w:lineRule="auto"/>
              <w:rPr>
                <w:rFonts w:ascii="宋体" w:hAnsi="宋体" w:eastAsia="宋体" w:cs="Times New Roman"/>
                <w:sz w:val="21"/>
                <w:szCs w:val="21"/>
              </w:rPr>
            </w:pPr>
          </w:p>
        </w:tc>
        <w:tc>
          <w:tcPr>
            <w:tcW w:w="991" w:type="dxa"/>
            <w:vAlign w:val="center"/>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135" w:type="dxa"/>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439" w:type="dxa"/>
          </w:tcPr>
          <w:p>
            <w:pPr>
              <w:pStyle w:val="8"/>
              <w:spacing w:line="360" w:lineRule="auto"/>
              <w:rPr>
                <w:rFonts w:ascii="宋体" w:hAnsi="宋体" w:eastAsia="宋体" w:cs="Times New Roman"/>
                <w:sz w:val="21"/>
                <w:szCs w:val="21"/>
              </w:rPr>
            </w:pPr>
          </w:p>
        </w:tc>
        <w:tc>
          <w:tcPr>
            <w:tcW w:w="1252"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sz w:val="36"/>
          <w:szCs w:val="36"/>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4.8 “环境标志产品政府采购清单”优先采购产品情况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szCs w:val="21"/>
        </w:rPr>
        <w:t>项目名称：</w:t>
      </w:r>
    </w:p>
    <w:tbl>
      <w:tblPr>
        <w:tblStyle w:val="1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jc w:val="center"/>
        </w:trPr>
        <w:tc>
          <w:tcPr>
            <w:tcW w:w="537"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8"/>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auto"/>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37"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8"/>
              <w:spacing w:line="360" w:lineRule="auto"/>
              <w:rPr>
                <w:rFonts w:ascii="宋体" w:hAnsi="宋体" w:eastAsia="宋体" w:cs="Times New Roman"/>
                <w:sz w:val="21"/>
                <w:szCs w:val="21"/>
              </w:rPr>
            </w:pPr>
          </w:p>
        </w:tc>
        <w:tc>
          <w:tcPr>
            <w:tcW w:w="991" w:type="dxa"/>
            <w:vAlign w:val="center"/>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135" w:type="dxa"/>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439" w:type="dxa"/>
          </w:tcPr>
          <w:p>
            <w:pPr>
              <w:pStyle w:val="8"/>
              <w:spacing w:line="360" w:lineRule="auto"/>
              <w:rPr>
                <w:rFonts w:ascii="宋体" w:hAnsi="宋体" w:eastAsia="宋体" w:cs="Times New Roman"/>
                <w:sz w:val="21"/>
                <w:szCs w:val="21"/>
              </w:rPr>
            </w:pPr>
          </w:p>
        </w:tc>
        <w:tc>
          <w:tcPr>
            <w:tcW w:w="1252"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37"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8"/>
              <w:spacing w:line="360" w:lineRule="auto"/>
              <w:rPr>
                <w:rFonts w:ascii="宋体" w:hAnsi="宋体" w:eastAsia="宋体" w:cs="Times New Roman"/>
                <w:sz w:val="21"/>
                <w:szCs w:val="21"/>
              </w:rPr>
            </w:pPr>
          </w:p>
        </w:tc>
        <w:tc>
          <w:tcPr>
            <w:tcW w:w="991" w:type="dxa"/>
            <w:vAlign w:val="center"/>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135" w:type="dxa"/>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439" w:type="dxa"/>
          </w:tcPr>
          <w:p>
            <w:pPr>
              <w:pStyle w:val="8"/>
              <w:spacing w:line="360" w:lineRule="auto"/>
              <w:rPr>
                <w:rFonts w:ascii="宋体" w:hAnsi="宋体" w:eastAsia="宋体" w:cs="Times New Roman"/>
                <w:sz w:val="21"/>
                <w:szCs w:val="21"/>
              </w:rPr>
            </w:pPr>
          </w:p>
        </w:tc>
        <w:tc>
          <w:tcPr>
            <w:tcW w:w="1252"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37"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8"/>
              <w:spacing w:line="360" w:lineRule="auto"/>
              <w:rPr>
                <w:rFonts w:ascii="宋体" w:hAnsi="宋体" w:eastAsia="宋体" w:cs="Times New Roman"/>
                <w:sz w:val="21"/>
                <w:szCs w:val="21"/>
              </w:rPr>
            </w:pPr>
          </w:p>
        </w:tc>
        <w:tc>
          <w:tcPr>
            <w:tcW w:w="991" w:type="dxa"/>
            <w:vAlign w:val="center"/>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135" w:type="dxa"/>
          </w:tcPr>
          <w:p>
            <w:pPr>
              <w:pStyle w:val="8"/>
              <w:spacing w:line="360" w:lineRule="auto"/>
              <w:rPr>
                <w:rFonts w:ascii="宋体" w:hAnsi="宋体" w:eastAsia="宋体" w:cs="Times New Roman"/>
                <w:sz w:val="21"/>
                <w:szCs w:val="21"/>
              </w:rPr>
            </w:pPr>
          </w:p>
        </w:tc>
        <w:tc>
          <w:tcPr>
            <w:tcW w:w="1276" w:type="dxa"/>
          </w:tcPr>
          <w:p>
            <w:pPr>
              <w:pStyle w:val="8"/>
              <w:spacing w:line="360" w:lineRule="auto"/>
              <w:rPr>
                <w:rFonts w:ascii="宋体" w:hAnsi="宋体" w:eastAsia="宋体" w:cs="Times New Roman"/>
                <w:sz w:val="21"/>
                <w:szCs w:val="21"/>
              </w:rPr>
            </w:pPr>
          </w:p>
        </w:tc>
        <w:tc>
          <w:tcPr>
            <w:tcW w:w="1439" w:type="dxa"/>
          </w:tcPr>
          <w:p>
            <w:pPr>
              <w:pStyle w:val="8"/>
              <w:spacing w:line="360" w:lineRule="auto"/>
              <w:rPr>
                <w:rFonts w:ascii="宋体" w:hAnsi="宋体" w:eastAsia="宋体" w:cs="Times New Roman"/>
                <w:sz w:val="21"/>
                <w:szCs w:val="21"/>
              </w:rPr>
            </w:pPr>
          </w:p>
        </w:tc>
        <w:tc>
          <w:tcPr>
            <w:tcW w:w="1252"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widowControl/>
        <w:jc w:val="left"/>
        <w:rPr>
          <w:rFonts w:ascii="宋体" w:hAnsi="宋体"/>
          <w:b/>
          <w:bCs/>
          <w:sz w:val="36"/>
          <w:szCs w:val="36"/>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32"/>
          <w:szCs w:val="32"/>
        </w:rPr>
      </w:pPr>
      <w:r>
        <w:rPr>
          <w:rFonts w:hint="eastAsia" w:ascii="宋体" w:hAnsi="宋体"/>
          <w:b/>
          <w:bCs/>
          <w:sz w:val="32"/>
          <w:szCs w:val="32"/>
        </w:rPr>
        <w:t xml:space="preserve">4.9 </w:t>
      </w:r>
      <w:r>
        <w:rPr>
          <w:rFonts w:ascii="宋体" w:hAnsi="宋体"/>
          <w:b/>
          <w:bCs/>
          <w:sz w:val="32"/>
          <w:szCs w:val="32"/>
        </w:rPr>
        <w:t>其他</w:t>
      </w:r>
      <w:r>
        <w:rPr>
          <w:rFonts w:hint="eastAsia" w:ascii="宋体" w:hAnsi="宋体"/>
          <w:b/>
          <w:bCs/>
          <w:sz w:val="32"/>
          <w:szCs w:val="32"/>
        </w:rPr>
        <w:t>符合性证明文件或材料</w:t>
      </w:r>
    </w:p>
    <w:p/>
    <w:p>
      <w:pPr>
        <w:autoSpaceDE w:val="0"/>
        <w:autoSpaceDN w:val="0"/>
        <w:adjustRightInd w:val="0"/>
        <w:spacing w:line="360" w:lineRule="auto"/>
        <w:jc w:val="left"/>
        <w:outlineLvl w:val="0"/>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（根据招标文件要求或投标人认为需要提交的其他证明文件或材料，加盖投标人的单位公章后应在此项下提交。）</w:t>
      </w:r>
    </w:p>
    <w:p>
      <w:pPr>
        <w:autoSpaceDE w:val="0"/>
        <w:autoSpaceDN w:val="0"/>
        <w:adjustRightInd w:val="0"/>
        <w:spacing w:line="360" w:lineRule="auto"/>
        <w:jc w:val="left"/>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p>
    <w:p>
      <w:pPr>
        <w:widowControl/>
        <w:jc w:val="left"/>
        <w:rPr>
          <w:rFonts w:ascii="宋体" w:hAnsi="宋体"/>
          <w:b/>
          <w:bCs/>
          <w:color w:val="000000"/>
          <w:sz w:val="30"/>
          <w:szCs w:val="30"/>
        </w:rPr>
      </w:pPr>
      <w:r>
        <w:rPr>
          <w:rFonts w:ascii="宋体" w:hAnsi="宋体"/>
          <w:b/>
          <w:bCs/>
          <w:color w:val="000000"/>
          <w:sz w:val="30"/>
          <w:szCs w:val="30"/>
        </w:rPr>
        <w:br w:type="page"/>
      </w:r>
    </w:p>
    <w:p>
      <w:pPr>
        <w:autoSpaceDE w:val="0"/>
        <w:autoSpaceDN w:val="0"/>
        <w:adjustRightInd w:val="0"/>
        <w:spacing w:line="360" w:lineRule="auto"/>
        <w:jc w:val="center"/>
        <w:outlineLvl w:val="0"/>
        <w:rPr>
          <w:rFonts w:ascii="宋体" w:hAnsi="宋体"/>
          <w:b/>
          <w:bCs/>
          <w:color w:val="000000"/>
          <w:sz w:val="32"/>
          <w:szCs w:val="32"/>
        </w:rPr>
      </w:pPr>
      <w:r>
        <w:rPr>
          <w:rFonts w:hint="eastAsia" w:ascii="宋体" w:hAnsi="宋体"/>
          <w:b/>
          <w:bCs/>
          <w:color w:val="000000"/>
          <w:sz w:val="32"/>
          <w:szCs w:val="32"/>
        </w:rPr>
        <w:t>4.10 中小企业、监狱企业、残疾人福利性单位声明函</w:t>
      </w:r>
    </w:p>
    <w:p>
      <w:pPr>
        <w:pStyle w:val="6"/>
        <w:ind w:firstLine="0" w:firstLineChars="0"/>
        <w:jc w:val="center"/>
        <w:rPr>
          <w:rFonts w:hAnsi="宋体" w:cs="宋体"/>
          <w:b/>
          <w:bCs/>
          <w:sz w:val="24"/>
        </w:rPr>
      </w:pPr>
      <w:r>
        <w:rPr>
          <w:rFonts w:hint="eastAsia" w:hAnsi="宋体" w:cs="宋体"/>
          <w:b/>
          <w:bCs/>
          <w:sz w:val="24"/>
        </w:rPr>
        <w:t>（投标人属于该类型的提供，否则不提供）</w:t>
      </w:r>
    </w:p>
    <w:p>
      <w:pPr>
        <w:pStyle w:val="6"/>
        <w:ind w:firstLine="0" w:firstLineChars="0"/>
        <w:jc w:val="center"/>
        <w:rPr>
          <w:rFonts w:hAnsi="宋体" w:cs="宋体" w:eastAsiaTheme="minorEastAsia"/>
          <w:b/>
          <w:bCs/>
          <w:sz w:val="24"/>
          <w:szCs w:val="24"/>
        </w:rPr>
      </w:pPr>
      <w:r>
        <w:rPr>
          <w:rFonts w:hint="eastAsia" w:hAnsi="宋体" w:cs="宋体" w:eastAsiaTheme="minorEastAsia"/>
          <w:b/>
          <w:bCs/>
          <w:sz w:val="24"/>
          <w:szCs w:val="24"/>
        </w:rPr>
        <w:t>1、中小企业声明函</w:t>
      </w:r>
    </w:p>
    <w:p>
      <w:pPr>
        <w:widowControl/>
        <w:spacing w:after="240" w:line="360" w:lineRule="auto"/>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 </w:t>
      </w:r>
      <w:r>
        <w:rPr>
          <w:rFonts w:hint="eastAsia" w:ascii="宋体" w:hAnsi="宋体" w:cs="宋体"/>
          <w:kern w:val="0"/>
          <w:sz w:val="24"/>
          <w:szCs w:val="24"/>
          <w:u w:val="single"/>
        </w:rPr>
        <w:t>     </w:t>
      </w:r>
      <w:r>
        <w:rPr>
          <w:rFonts w:hint="eastAsia" w:ascii="宋体" w:hAnsi="宋体" w:cs="宋体"/>
          <w:kern w:val="0"/>
          <w:sz w:val="24"/>
          <w:szCs w:val="24"/>
        </w:rPr>
        <w:t>（请填写：中型、小型、微型）企业。即，本公司同时满足以下条件：</w:t>
      </w:r>
    </w:p>
    <w:p>
      <w:pPr>
        <w:widowControl/>
        <w:spacing w:after="240" w:line="360" w:lineRule="auto"/>
        <w:ind w:firstLine="720" w:firstLineChars="3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szCs w:val="24"/>
          <w:u w:val="single"/>
        </w:rPr>
        <w:t>      </w:t>
      </w:r>
      <w:r>
        <w:rPr>
          <w:rFonts w:hint="eastAsia" w:ascii="宋体" w:hAnsi="宋体" w:cs="宋体"/>
          <w:kern w:val="0"/>
          <w:sz w:val="24"/>
          <w:szCs w:val="24"/>
        </w:rPr>
        <w:t>（请填写：中型、小型、微型）企业。</w:t>
      </w:r>
    </w:p>
    <w:p>
      <w:pPr>
        <w:widowControl/>
        <w:spacing w:after="240" w:line="360" w:lineRule="auto"/>
        <w:ind w:firstLine="720" w:firstLineChars="300"/>
        <w:rPr>
          <w:rFonts w:ascii="宋体" w:hAnsi="宋体" w:cs="宋体"/>
          <w:kern w:val="0"/>
          <w:sz w:val="24"/>
          <w:szCs w:val="24"/>
        </w:rPr>
      </w:pPr>
      <w:r>
        <w:rPr>
          <w:rFonts w:hint="eastAsia" w:ascii="宋体" w:hAnsi="宋体" w:cs="宋体"/>
          <w:kern w:val="0"/>
          <w:sz w:val="24"/>
          <w:szCs w:val="24"/>
        </w:rPr>
        <w:t>2.本公司参加</w:t>
      </w:r>
      <w:r>
        <w:rPr>
          <w:rFonts w:hint="eastAsia" w:ascii="宋体" w:hAnsi="宋体" w:cs="宋体"/>
          <w:kern w:val="0"/>
          <w:sz w:val="24"/>
          <w:szCs w:val="24"/>
          <w:u w:val="single"/>
        </w:rPr>
        <w:t>             </w:t>
      </w:r>
      <w:r>
        <w:rPr>
          <w:rFonts w:hint="eastAsia" w:ascii="宋体" w:hAnsi="宋体" w:cs="宋体"/>
          <w:kern w:val="0"/>
          <w:sz w:val="24"/>
          <w:szCs w:val="24"/>
        </w:rPr>
        <w:t>单位的</w:t>
      </w:r>
      <w:r>
        <w:rPr>
          <w:rFonts w:hint="eastAsia" w:ascii="宋体" w:hAnsi="宋体" w:cs="宋体"/>
          <w:kern w:val="0"/>
          <w:sz w:val="24"/>
          <w:szCs w:val="24"/>
          <w:u w:val="single"/>
        </w:rPr>
        <w:t>        </w:t>
      </w:r>
      <w:r>
        <w:rPr>
          <w:rFonts w:hint="eastAsia" w:ascii="宋体" w:hAnsi="宋体" w:cs="宋体"/>
          <w:kern w:val="0"/>
          <w:sz w:val="24"/>
          <w:szCs w:val="24"/>
        </w:rPr>
        <w:t>项目采购活动提供本企业制造的货物，由本企业承担工程、提供服务，或者提供其他</w:t>
      </w:r>
      <w:r>
        <w:rPr>
          <w:rFonts w:hint="eastAsia" w:ascii="宋体" w:hAnsi="宋体" w:cs="宋体"/>
          <w:kern w:val="0"/>
          <w:sz w:val="24"/>
          <w:szCs w:val="24"/>
          <w:u w:val="single"/>
        </w:rPr>
        <w:t>      </w:t>
      </w:r>
      <w:r>
        <w:rPr>
          <w:rFonts w:hint="eastAsia" w:ascii="宋体" w:hAnsi="宋体" w:cs="宋体"/>
          <w:kern w:val="0"/>
          <w:sz w:val="24"/>
          <w:szCs w:val="24"/>
        </w:rPr>
        <w:t>（请填写：中型、小型、微型）企业制造的货物。本条所称货物不包括使用大型企业注册商标的货物。</w:t>
      </w:r>
    </w:p>
    <w:p>
      <w:pPr>
        <w:widowControl/>
        <w:spacing w:after="240" w:line="360" w:lineRule="auto"/>
        <w:ind w:firstLine="720" w:firstLineChars="300"/>
        <w:rPr>
          <w:rFonts w:ascii="宋体" w:hAnsi="宋体" w:cs="宋体"/>
          <w:kern w:val="0"/>
          <w:sz w:val="24"/>
          <w:szCs w:val="24"/>
        </w:rPr>
      </w:pPr>
      <w:r>
        <w:rPr>
          <w:rFonts w:hint="eastAsia" w:ascii="宋体" w:hAnsi="宋体" w:cs="宋体"/>
          <w:kern w:val="0"/>
          <w:sz w:val="24"/>
          <w:szCs w:val="24"/>
        </w:rPr>
        <w:t>3.本公司对上述声明的真实性负责。如有虚假，将依法承担相应责任。</w:t>
      </w:r>
    </w:p>
    <w:p>
      <w:pPr>
        <w:widowControl/>
        <w:spacing w:after="240" w:line="360" w:lineRule="auto"/>
        <w:ind w:firstLine="4200" w:firstLineChars="1750"/>
        <w:rPr>
          <w:rFonts w:ascii="宋体" w:hAnsi="宋体" w:cs="宋体"/>
          <w:kern w:val="0"/>
          <w:sz w:val="24"/>
          <w:szCs w:val="24"/>
        </w:rPr>
      </w:pPr>
      <w:r>
        <w:rPr>
          <w:rFonts w:hint="eastAsia" w:ascii="宋体" w:hAnsi="宋体" w:cs="宋体"/>
          <w:kern w:val="0"/>
          <w:sz w:val="24"/>
          <w:szCs w:val="24"/>
        </w:rPr>
        <w:t>企业名称（盖章）：   </w:t>
      </w:r>
    </w:p>
    <w:p>
      <w:pPr>
        <w:widowControl/>
        <w:spacing w:after="240" w:line="360" w:lineRule="auto"/>
        <w:ind w:firstLine="4200" w:firstLineChars="1750"/>
        <w:rPr>
          <w:rFonts w:ascii="宋体" w:hAnsi="宋体" w:cs="宋体"/>
          <w:kern w:val="0"/>
          <w:sz w:val="24"/>
          <w:szCs w:val="24"/>
        </w:rPr>
      </w:pPr>
      <w:r>
        <w:rPr>
          <w:rFonts w:hint="eastAsia" w:ascii="宋体" w:hAnsi="宋体" w:cs="宋体"/>
          <w:kern w:val="0"/>
          <w:sz w:val="24"/>
          <w:szCs w:val="24"/>
        </w:rPr>
        <w:t>日  期： </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bCs/>
          <w:spacing w:val="6"/>
          <w:sz w:val="24"/>
          <w:szCs w:val="24"/>
        </w:rPr>
        <w:t>2、残疾人福利性单位声明函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spacing w:line="588" w:lineRule="exact"/>
        <w:ind w:firstLine="506" w:firstLineChars="200"/>
        <w:rPr>
          <w:rFonts w:ascii="宋体" w:hAnsi="宋体" w:cs="宋体"/>
          <w:b/>
          <w:spacing w:val="6"/>
          <w:sz w:val="24"/>
          <w:szCs w:val="24"/>
        </w:rPr>
      </w:pPr>
      <w:r>
        <w:rPr>
          <w:rFonts w:hint="eastAsia" w:ascii="宋体" w:hAnsi="宋体" w:cs="宋体"/>
          <w:b/>
          <w:spacing w:val="6"/>
          <w:sz w:val="24"/>
          <w:szCs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pPr>
        <w:spacing w:line="588" w:lineRule="exact"/>
        <w:ind w:firstLine="506" w:firstLineChars="200"/>
        <w:rPr>
          <w:rFonts w:ascii="宋体" w:hAnsi="宋体" w:cs="宋体"/>
          <w:b/>
          <w:spacing w:val="6"/>
          <w:sz w:val="24"/>
          <w:szCs w:val="24"/>
        </w:rPr>
      </w:pPr>
      <w:r>
        <w:rPr>
          <w:rFonts w:hint="eastAsia" w:ascii="宋体" w:hAnsi="宋体" w:cs="宋体"/>
          <w:b/>
          <w:spacing w:val="6"/>
          <w:sz w:val="24"/>
          <w:szCs w:val="24"/>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sz w:val="24"/>
          <w:szCs w:val="24"/>
        </w:rPr>
      </w:pPr>
      <w:r>
        <w:rPr>
          <w:rFonts w:hint="eastAsia" w:ascii="宋体" w:cs="宋体"/>
          <w:sz w:val="24"/>
          <w:szCs w:val="24"/>
        </w:rPr>
        <w:tab/>
      </w:r>
      <w:r>
        <w:rPr>
          <w:rFonts w:hint="eastAsia" w:ascii="宋体" w:cs="宋体"/>
          <w:sz w:val="24"/>
          <w:szCs w:val="24"/>
        </w:rPr>
        <w:tab/>
      </w:r>
    </w:p>
    <w:p>
      <w:pPr>
        <w:rPr>
          <w:sz w:val="24"/>
          <w:szCs w:val="24"/>
        </w:rPr>
      </w:pPr>
    </w:p>
    <w:p>
      <w:pPr>
        <w:autoSpaceDE w:val="0"/>
        <w:autoSpaceDN w:val="0"/>
        <w:adjustRightInd w:val="0"/>
        <w:spacing w:before="156" w:beforeLines="50" w:after="156" w:afterLines="50" w:line="360" w:lineRule="auto"/>
        <w:jc w:val="center"/>
        <w:rPr>
          <w:rFonts w:cs="黑体" w:asciiTheme="minorEastAsia" w:hAnsiTheme="minorEastAsia"/>
          <w:b/>
          <w:bCs/>
          <w:sz w:val="44"/>
          <w:szCs w:val="44"/>
          <w:lang w:val="zh-CN"/>
        </w:rPr>
      </w:pPr>
    </w:p>
    <w:p>
      <w:pPr>
        <w:autoSpaceDE w:val="0"/>
        <w:autoSpaceDN w:val="0"/>
        <w:adjustRightInd w:val="0"/>
        <w:spacing w:before="156" w:beforeLines="50" w:after="156" w:afterLines="50" w:line="360" w:lineRule="auto"/>
        <w:jc w:val="center"/>
        <w:rPr>
          <w:rFonts w:cs="黑体" w:asciiTheme="minorEastAsia" w:hAnsiTheme="minorEastAsia"/>
          <w:b/>
          <w:bCs/>
          <w:sz w:val="44"/>
          <w:szCs w:val="44"/>
          <w:lang w:val="zh-CN"/>
        </w:rPr>
      </w:pPr>
    </w:p>
    <w:p>
      <w:pPr>
        <w:autoSpaceDE w:val="0"/>
        <w:autoSpaceDN w:val="0"/>
        <w:adjustRightInd w:val="0"/>
        <w:spacing w:before="156" w:beforeLines="50" w:after="156" w:afterLines="50" w:line="360" w:lineRule="auto"/>
        <w:jc w:val="center"/>
        <w:rPr>
          <w:sz w:val="30"/>
          <w:szCs w:val="30"/>
        </w:rPr>
      </w:pPr>
      <w:r>
        <w:rPr>
          <w:rFonts w:hint="eastAsia" w:cs="黑体" w:asciiTheme="minorEastAsia" w:hAnsiTheme="minorEastAsia"/>
          <w:b/>
          <w:bCs/>
          <w:sz w:val="32"/>
          <w:szCs w:val="32"/>
          <w:lang w:val="zh-CN"/>
        </w:rPr>
        <w:t>（五）、</w:t>
      </w:r>
      <w:r>
        <w:rPr>
          <w:rFonts w:cs="黑体" w:asciiTheme="minorEastAsia" w:hAnsiTheme="minorEastAsia"/>
          <w:b/>
          <w:bCs/>
          <w:sz w:val="32"/>
          <w:szCs w:val="32"/>
          <w:lang w:val="zh-CN"/>
        </w:rPr>
        <w:t>其他资料（若有）</w:t>
      </w:r>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w:t>
      </w:r>
      <w:bookmarkStart w:id="19" w:name="_GoBack"/>
      <w:bookmarkEnd w:id="19"/>
      <w:r>
        <w:rPr>
          <w:rFonts w:ascii="宋体" w:hAnsi="宋体"/>
          <w:b/>
          <w:bCs/>
          <w:sz w:val="28"/>
          <w:szCs w:val="28"/>
        </w:rPr>
        <w:t>后应在此项下提交。</w:t>
      </w:r>
    </w:p>
    <w:p>
      <w:pPr>
        <w:spacing w:line="360" w:lineRule="auto"/>
        <w:jc w:val="center"/>
        <w:rPr>
          <w:rFonts w:ascii="宋体" w:hAnsi="宋体"/>
          <w:b/>
          <w:bCs/>
          <w:sz w:val="28"/>
          <w:szCs w:val="28"/>
        </w:rPr>
      </w:pPr>
    </w:p>
    <w:p>
      <w:pPr>
        <w:rPr>
          <w:sz w:val="24"/>
          <w:szCs w:val="24"/>
        </w:rPr>
      </w:pPr>
    </w:p>
    <w:p>
      <w:pPr>
        <w:rPr>
          <w:sz w:val="24"/>
          <w:szCs w:val="24"/>
        </w:rPr>
      </w:pPr>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imesNewRomanPSMT">
    <w:altName w:val="宋体"/>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fldChar w:fldCharType="begin"/>
                          </w:r>
                          <w:r>
                            <w:instrText xml:space="preserve"> PAGE  \* MERGEFORMAT </w:instrText>
                          </w:r>
                          <w:r>
                            <w:fldChar w:fldCharType="separate"/>
                          </w:r>
                          <w:r>
                            <w:t>119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3lzaQvQEAAGUDAAAOAAAAAAAAAAEAIAAAAB4BAABkcnMvZTJvRG9jLnhtbFBLBQYAAAAA&#10;BgAGAFkBAABN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1C8300"/>
    <w:multiLevelType w:val="singleLevel"/>
    <w:tmpl w:val="D61C8300"/>
    <w:lvl w:ilvl="0" w:tentative="0">
      <w:start w:val="1"/>
      <w:numFmt w:val="chineseCounting"/>
      <w:suff w:val="space"/>
      <w:lvlText w:val="第%1章"/>
      <w:lvlJc w:val="left"/>
      <w:rPr>
        <w:rFonts w:hint="eastAsia"/>
      </w:rPr>
    </w:lvl>
  </w:abstractNum>
  <w:abstractNum w:abstractNumId="1">
    <w:nsid w:val="00000007"/>
    <w:multiLevelType w:val="multilevel"/>
    <w:tmpl w:val="00000007"/>
    <w:lvl w:ilvl="0" w:tentative="0">
      <w:start w:val="1"/>
      <w:numFmt w:val="chineseCountingThousand"/>
      <w:suff w:val="nothing"/>
      <w:lvlText w:val="第%1部分"/>
      <w:lvlJc w:val="center"/>
      <w:pPr>
        <w:ind w:left="-288" w:firstLine="288"/>
      </w:pPr>
      <w:rPr>
        <w:rFonts w:hint="eastAsia"/>
        <w:sz w:val="28"/>
      </w:rPr>
    </w:lvl>
    <w:lvl w:ilvl="1" w:tentative="0">
      <w:start w:val="1"/>
      <w:numFmt w:val="chineseCountingThousand"/>
      <w:pStyle w:val="4"/>
      <w:suff w:val="nothing"/>
      <w:lvlText w:val="%2、"/>
      <w:lvlJc w:val="left"/>
      <w:pPr>
        <w:ind w:left="254" w:firstLine="0"/>
      </w:pPr>
      <w:rPr>
        <w:rFonts w:hint="eastAsia" w:ascii="宋体" w:hAnsi="宋体" w:eastAsia="宋体"/>
        <w:sz w:val="21"/>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38055797"/>
    <w:multiLevelType w:val="multilevel"/>
    <w:tmpl w:val="3805579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9F817E8"/>
    <w:multiLevelType w:val="singleLevel"/>
    <w:tmpl w:val="59F817E8"/>
    <w:lvl w:ilvl="0" w:tentative="0">
      <w:start w:val="1"/>
      <w:numFmt w:val="chineseCounting"/>
      <w:pStyle w:val="20"/>
      <w:suff w:val="nothing"/>
      <w:lvlText w:val="%1、"/>
      <w:lvlJc w:val="left"/>
    </w:lvl>
  </w:abstractNum>
  <w:abstractNum w:abstractNumId="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C7C2F"/>
    <w:rsid w:val="000A49D4"/>
    <w:rsid w:val="001412CC"/>
    <w:rsid w:val="001439B0"/>
    <w:rsid w:val="001862BA"/>
    <w:rsid w:val="00264B63"/>
    <w:rsid w:val="002655D3"/>
    <w:rsid w:val="00274415"/>
    <w:rsid w:val="00303DCF"/>
    <w:rsid w:val="00317C88"/>
    <w:rsid w:val="003559A0"/>
    <w:rsid w:val="003C1642"/>
    <w:rsid w:val="0046320E"/>
    <w:rsid w:val="004E1A2A"/>
    <w:rsid w:val="00502C74"/>
    <w:rsid w:val="00511AF9"/>
    <w:rsid w:val="00526C58"/>
    <w:rsid w:val="00533BD5"/>
    <w:rsid w:val="005F760B"/>
    <w:rsid w:val="00605AF0"/>
    <w:rsid w:val="00616D37"/>
    <w:rsid w:val="006724D0"/>
    <w:rsid w:val="00693A59"/>
    <w:rsid w:val="006A69FC"/>
    <w:rsid w:val="006D0414"/>
    <w:rsid w:val="006F2215"/>
    <w:rsid w:val="007223FE"/>
    <w:rsid w:val="007412A8"/>
    <w:rsid w:val="007B6DE5"/>
    <w:rsid w:val="007F3627"/>
    <w:rsid w:val="00806326"/>
    <w:rsid w:val="008360B9"/>
    <w:rsid w:val="00852F72"/>
    <w:rsid w:val="00884358"/>
    <w:rsid w:val="008C4F92"/>
    <w:rsid w:val="008C5B3F"/>
    <w:rsid w:val="008F12B9"/>
    <w:rsid w:val="00922E0E"/>
    <w:rsid w:val="00943765"/>
    <w:rsid w:val="009665B7"/>
    <w:rsid w:val="009A0CE4"/>
    <w:rsid w:val="00A32E42"/>
    <w:rsid w:val="00AA6B1D"/>
    <w:rsid w:val="00AB2E06"/>
    <w:rsid w:val="00AD530C"/>
    <w:rsid w:val="00AF0E1F"/>
    <w:rsid w:val="00B11CEB"/>
    <w:rsid w:val="00BA2A77"/>
    <w:rsid w:val="00BB02D8"/>
    <w:rsid w:val="00C94F36"/>
    <w:rsid w:val="00CC4595"/>
    <w:rsid w:val="00CF7922"/>
    <w:rsid w:val="00D12285"/>
    <w:rsid w:val="00D4243E"/>
    <w:rsid w:val="00D81949"/>
    <w:rsid w:val="00DC4968"/>
    <w:rsid w:val="00E32C8D"/>
    <w:rsid w:val="00E55797"/>
    <w:rsid w:val="00E812D0"/>
    <w:rsid w:val="00E86D35"/>
    <w:rsid w:val="00E91EF7"/>
    <w:rsid w:val="00EF7484"/>
    <w:rsid w:val="00F15194"/>
    <w:rsid w:val="00F73154"/>
    <w:rsid w:val="00FB33F7"/>
    <w:rsid w:val="04AF6743"/>
    <w:rsid w:val="05757557"/>
    <w:rsid w:val="06357CE6"/>
    <w:rsid w:val="06BA7506"/>
    <w:rsid w:val="0C506D4F"/>
    <w:rsid w:val="100123D7"/>
    <w:rsid w:val="10907365"/>
    <w:rsid w:val="116443FA"/>
    <w:rsid w:val="11C81249"/>
    <w:rsid w:val="127045E2"/>
    <w:rsid w:val="13C82584"/>
    <w:rsid w:val="1CF9110D"/>
    <w:rsid w:val="24B40C2C"/>
    <w:rsid w:val="24CC7C2F"/>
    <w:rsid w:val="25D77CDC"/>
    <w:rsid w:val="25DF12DB"/>
    <w:rsid w:val="25E53F38"/>
    <w:rsid w:val="261A3AE8"/>
    <w:rsid w:val="28526D6B"/>
    <w:rsid w:val="286F7BA4"/>
    <w:rsid w:val="291125D3"/>
    <w:rsid w:val="2BA9052D"/>
    <w:rsid w:val="2EB7718E"/>
    <w:rsid w:val="2F505C77"/>
    <w:rsid w:val="2FD55D97"/>
    <w:rsid w:val="35260575"/>
    <w:rsid w:val="375873A8"/>
    <w:rsid w:val="39864ED8"/>
    <w:rsid w:val="3A726A02"/>
    <w:rsid w:val="3CBF629E"/>
    <w:rsid w:val="463128E6"/>
    <w:rsid w:val="4B16560A"/>
    <w:rsid w:val="4B5F56FA"/>
    <w:rsid w:val="4B801EA5"/>
    <w:rsid w:val="503E2512"/>
    <w:rsid w:val="5580510A"/>
    <w:rsid w:val="5C324D09"/>
    <w:rsid w:val="612266BE"/>
    <w:rsid w:val="61DD23E7"/>
    <w:rsid w:val="62F45BBF"/>
    <w:rsid w:val="67131A28"/>
    <w:rsid w:val="6B263D1B"/>
    <w:rsid w:val="6D535020"/>
    <w:rsid w:val="75F4601E"/>
    <w:rsid w:val="769416D6"/>
    <w:rsid w:val="78417A8C"/>
    <w:rsid w:val="7D5A56E1"/>
    <w:rsid w:val="7D5F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rFonts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default="1" w:styleId="15">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customStyle="1" w:styleId="2">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shd w:val="pct20" w:color="auto" w:fill="auto"/>
    </w:rPr>
  </w:style>
  <w:style w:type="paragraph" w:styleId="6">
    <w:name w:val="Body Text First Indent"/>
    <w:basedOn w:val="7"/>
    <w:qFormat/>
    <w:uiPriority w:val="0"/>
    <w:pPr>
      <w:ind w:firstLine="420" w:firstLineChars="100"/>
    </w:pPr>
    <w:rPr>
      <w:rFonts w:ascii="宋体" w:hAnsi="Times New Roman" w:eastAsia="宋体" w:cs="Times New Roman"/>
      <w:kern w:val="0"/>
      <w:sz w:val="34"/>
      <w:szCs w:val="20"/>
    </w:rPr>
  </w:style>
  <w:style w:type="paragraph" w:styleId="7">
    <w:name w:val="Body Text"/>
    <w:basedOn w:val="1"/>
    <w:unhideWhenUsed/>
    <w:qFormat/>
    <w:uiPriority w:val="99"/>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Plain Text"/>
    <w:basedOn w:val="1"/>
    <w:qFormat/>
    <w:uiPriority w:val="0"/>
    <w:rPr>
      <w:rFonts w:eastAsia="宋体"/>
      <w:sz w:val="24"/>
    </w:rPr>
  </w:style>
  <w:style w:type="paragraph" w:styleId="10">
    <w:name w:val="Balloon Text"/>
    <w:basedOn w:val="1"/>
    <w:link w:val="87"/>
    <w:qFormat/>
    <w:uiPriority w:val="0"/>
    <w:rPr>
      <w:sz w:val="18"/>
      <w:szCs w:val="18"/>
    </w:rPr>
  </w:style>
  <w:style w:type="paragraph" w:styleId="11">
    <w:name w:val="footer"/>
    <w:basedOn w:val="1"/>
    <w:link w:val="86"/>
    <w:unhideWhenUsed/>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4">
    <w:name w:val="Normal (Web)"/>
    <w:basedOn w:val="1"/>
    <w:qFormat/>
    <w:uiPriority w:val="99"/>
    <w:rPr>
      <w:rFonts w:ascii="Calibri" w:hAnsi="Calibri" w:eastAsia="宋体" w:cs="Times New Roman"/>
      <w:sz w:val="24"/>
      <w:szCs w:val="24"/>
    </w:rPr>
  </w:style>
  <w:style w:type="character" w:styleId="16">
    <w:name w:val="FollowedHyperlink"/>
    <w:basedOn w:val="15"/>
    <w:unhideWhenUsed/>
    <w:qFormat/>
    <w:uiPriority w:val="99"/>
    <w:rPr>
      <w:color w:val="954F72"/>
      <w:u w:val="single"/>
    </w:rPr>
  </w:style>
  <w:style w:type="character" w:styleId="17">
    <w:name w:val="Hyperlink"/>
    <w:basedOn w:val="15"/>
    <w:unhideWhenUsed/>
    <w:qFormat/>
    <w:uiPriority w:val="99"/>
    <w:rPr>
      <w:color w:val="0000FF"/>
      <w:u w:val="single"/>
    </w:rPr>
  </w:style>
  <w:style w:type="paragraph" w:customStyle="1" w:styleId="19">
    <w:name w:val="列出段落1"/>
    <w:basedOn w:val="1"/>
    <w:unhideWhenUsed/>
    <w:qFormat/>
    <w:uiPriority w:val="99"/>
    <w:pPr>
      <w:ind w:firstLine="420" w:firstLineChars="200"/>
    </w:pPr>
  </w:style>
  <w:style w:type="paragraph" w:customStyle="1" w:styleId="20">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21">
    <w:name w:val="正文文本缩进1"/>
    <w:basedOn w:val="1"/>
    <w:qFormat/>
    <w:uiPriority w:val="0"/>
    <w:pPr>
      <w:spacing w:line="360" w:lineRule="auto"/>
      <w:ind w:firstLine="480" w:firstLineChars="200"/>
    </w:pPr>
    <w:rPr>
      <w:rFonts w:ascii="宋体"/>
      <w:sz w:val="24"/>
    </w:rPr>
  </w:style>
  <w:style w:type="paragraph" w:customStyle="1" w:styleId="2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3">
    <w:name w:val="日期1"/>
    <w:basedOn w:val="1"/>
    <w:next w:val="1"/>
    <w:qFormat/>
    <w:uiPriority w:val="0"/>
    <w:rPr>
      <w:sz w:val="24"/>
    </w:rPr>
  </w:style>
  <w:style w:type="character" w:customStyle="1" w:styleId="24">
    <w:name w:val="标题 2 字符"/>
    <w:qFormat/>
    <w:uiPriority w:val="0"/>
    <w:rPr>
      <w:rFonts w:ascii="Arial" w:hAnsi="Arial" w:eastAsia="黑体"/>
      <w:b/>
      <w:kern w:val="0"/>
      <w:sz w:val="32"/>
    </w:rPr>
  </w:style>
  <w:style w:type="character" w:customStyle="1" w:styleId="25">
    <w:name w:val="页眉 Char"/>
    <w:basedOn w:val="15"/>
    <w:link w:val="12"/>
    <w:qFormat/>
    <w:uiPriority w:val="99"/>
    <w:rPr>
      <w:rFonts w:asciiTheme="minorHAnsi" w:hAnsiTheme="minorHAnsi" w:eastAsiaTheme="minorEastAsia" w:cstheme="minorBidi"/>
      <w:kern w:val="2"/>
      <w:sz w:val="18"/>
      <w:szCs w:val="18"/>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7">
    <w:name w:val="标题 2 Char"/>
    <w:basedOn w:val="15"/>
    <w:qFormat/>
    <w:uiPriority w:val="0"/>
    <w:rPr>
      <w:rFonts w:ascii="Arial" w:hAnsi="Arial" w:eastAsia="微软雅黑" w:cs="Times New Roman"/>
      <w:b/>
      <w:kern w:val="0"/>
      <w:sz w:val="28"/>
      <w:szCs w:val="20"/>
    </w:rPr>
  </w:style>
  <w:style w:type="paragraph" w:customStyle="1" w:styleId="28">
    <w:name w:val="*正文"/>
    <w:basedOn w:val="1"/>
    <w:qFormat/>
    <w:uiPriority w:val="0"/>
    <w:pPr>
      <w:ind w:firstLine="200" w:firstLineChars="200"/>
    </w:pPr>
    <w:rPr>
      <w:rFonts w:ascii="宋体" w:hAnsi="宋体"/>
      <w:szCs w:val="24"/>
    </w:rPr>
  </w:style>
  <w:style w:type="paragraph" w:customStyle="1" w:styleId="29">
    <w:name w:val="456"/>
    <w:basedOn w:val="1"/>
    <w:qFormat/>
    <w:uiPriority w:val="0"/>
    <w:pPr>
      <w:ind w:firstLine="480" w:firstLineChars="200"/>
    </w:pPr>
    <w:rPr>
      <w:rFonts w:ascii="宋体" w:hAnsi="宋体" w:eastAsia="宋体" w:cs="Times New Roman"/>
      <w:szCs w:val="24"/>
    </w:rPr>
  </w:style>
  <w:style w:type="character" w:customStyle="1" w:styleId="30">
    <w:name w:val="标题 2 Char1"/>
    <w:basedOn w:val="15"/>
    <w:link w:val="4"/>
    <w:qFormat/>
    <w:uiPriority w:val="0"/>
    <w:rPr>
      <w:rFonts w:ascii="Arial" w:hAnsi="Arial" w:eastAsia="黑体"/>
      <w:b/>
      <w:sz w:val="32"/>
      <w:szCs w:val="22"/>
    </w:rPr>
  </w:style>
  <w:style w:type="paragraph" w:customStyle="1" w:styleId="3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3">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6">
    <w:name w:val="font9"/>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7">
    <w:name w:val="font10"/>
    <w:basedOn w:val="1"/>
    <w:qFormat/>
    <w:uiPriority w:val="0"/>
    <w:pPr>
      <w:widowControl/>
      <w:spacing w:before="100" w:beforeAutospacing="1" w:after="100" w:afterAutospacing="1"/>
      <w:jc w:val="left"/>
    </w:pPr>
    <w:rPr>
      <w:rFonts w:ascii="Calibri" w:hAnsi="Calibri" w:eastAsia="宋体" w:cs="Calibri"/>
      <w:color w:val="000000"/>
      <w:kern w:val="0"/>
      <w:sz w:val="24"/>
      <w:szCs w:val="24"/>
    </w:rPr>
  </w:style>
  <w:style w:type="paragraph" w:customStyle="1" w:styleId="38">
    <w:name w:val="font1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4"/>
      <w:szCs w:val="14"/>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5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5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5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6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6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0"/>
      <w:szCs w:val="20"/>
    </w:rPr>
  </w:style>
  <w:style w:type="paragraph" w:customStyle="1" w:styleId="6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6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3">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7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7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8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8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黑体" w:hAnsi="黑体" w:eastAsia="黑体" w:cs="宋体"/>
      <w:kern w:val="0"/>
      <w:sz w:val="20"/>
      <w:szCs w:val="20"/>
    </w:rPr>
  </w:style>
  <w:style w:type="paragraph" w:customStyle="1" w:styleId="8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textAlignment w:val="bottom"/>
    </w:pPr>
    <w:rPr>
      <w:rFonts w:ascii="微软雅黑" w:hAnsi="微软雅黑" w:eastAsia="微软雅黑" w:cs="宋体"/>
      <w:kern w:val="0"/>
      <w:sz w:val="32"/>
      <w:szCs w:val="32"/>
    </w:rPr>
  </w:style>
  <w:style w:type="paragraph" w:customStyle="1" w:styleId="8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bottom"/>
    </w:pPr>
    <w:rPr>
      <w:rFonts w:ascii="微软雅黑" w:hAnsi="微软雅黑" w:eastAsia="微软雅黑" w:cs="宋体"/>
      <w:kern w:val="0"/>
      <w:sz w:val="32"/>
      <w:szCs w:val="32"/>
    </w:rPr>
  </w:style>
  <w:style w:type="character" w:customStyle="1" w:styleId="86">
    <w:name w:val="页脚 Char"/>
    <w:basedOn w:val="15"/>
    <w:link w:val="11"/>
    <w:qFormat/>
    <w:uiPriority w:val="99"/>
    <w:rPr>
      <w:kern w:val="2"/>
      <w:sz w:val="18"/>
      <w:szCs w:val="18"/>
    </w:rPr>
  </w:style>
  <w:style w:type="character" w:customStyle="1" w:styleId="87">
    <w:name w:val="批注框文本 Char"/>
    <w:basedOn w:val="15"/>
    <w:link w:val="10"/>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145</Pages>
  <Words>11821</Words>
  <Characters>67382</Characters>
  <Lines>561</Lines>
  <Paragraphs>158</Paragraphs>
  <TotalTime>47</TotalTime>
  <ScaleCrop>false</ScaleCrop>
  <LinksUpToDate>false</LinksUpToDate>
  <CharactersWithSpaces>79045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2018-12-19T07:07:00Z</dcterms:created>
  <dc:creator>蜡笔没有新*</dc:creator>
  <cp:lastModifiedBy>Administrator</cp:lastModifiedBy>
  <cp:lastPrinted>2018-12-25T01:54:12Z</cp:lastPrinted>
  <dcterms:modified xsi:type="dcterms:W3CDTF">2018-12-25T02:01:10Z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