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hint="eastAsia" w:ascii="宋体" w:hAnsi="宋体" w:eastAsia="宋体" w:cs="宋体"/>
          <w:b/>
          <w:bCs w:val="0"/>
          <w:i w:val="0"/>
          <w:color w:val="auto"/>
          <w:sz w:val="32"/>
          <w:szCs w:val="32"/>
          <w:lang w:val="en-US" w:eastAsia="zh-CN"/>
        </w:rPr>
        <w:t>JZFCG-G2018</w:t>
      </w:r>
      <w:r>
        <w:rPr>
          <w:rFonts w:hint="eastAsia" w:ascii="宋体" w:hAnsi="宋体" w:cs="宋体"/>
          <w:b/>
          <w:bCs w:val="0"/>
          <w:i w:val="0"/>
          <w:color w:val="auto"/>
          <w:sz w:val="32"/>
          <w:szCs w:val="32"/>
          <w:lang w:val="en-US" w:eastAsia="zh-CN"/>
        </w:rPr>
        <w:t>117号</w:t>
      </w:r>
      <w:r>
        <w:rPr>
          <w:rFonts w:hint="eastAsia" w:ascii="仿宋_GB2312" w:hAnsi="宋体"/>
          <w:b/>
          <w:color w:val="auto"/>
          <w:sz w:val="32"/>
          <w:szCs w:val="22"/>
          <w:shd w:val="clear" w:color="auto" w:fill="FFFFFF"/>
        </w:rPr>
        <w:t>许昌市魏都区机关事务管理局</w:t>
      </w:r>
      <w:r>
        <w:rPr>
          <w:rFonts w:hint="eastAsia" w:ascii="仿宋_GB2312" w:hAnsi="宋体"/>
          <w:b/>
          <w:color w:val="auto"/>
          <w:sz w:val="32"/>
          <w:szCs w:val="22"/>
          <w:shd w:val="clear" w:color="auto" w:fill="FFFFFF"/>
          <w:lang w:eastAsia="zh-CN"/>
        </w:rPr>
        <w:t>“魏都区中奥鑫天办公楼物业服务”项目</w:t>
      </w:r>
      <w:r>
        <w:rPr>
          <w:rFonts w:hint="eastAsia" w:ascii="仿宋_GB2312" w:hAnsi="宋体"/>
          <w:b/>
          <w:color w:val="auto"/>
          <w:sz w:val="32"/>
          <w:szCs w:val="22"/>
          <w:shd w:val="clear" w:color="auto" w:fill="FFFFFF"/>
        </w:rPr>
        <w:t>采</w:t>
      </w:r>
      <w:r>
        <w:rPr>
          <w:rFonts w:ascii="仿宋_GB2312" w:hAnsi="宋体"/>
          <w:b/>
          <w:color w:val="auto"/>
          <w:sz w:val="32"/>
          <w:szCs w:val="22"/>
          <w:shd w:val="clear" w:color="auto" w:fill="FFFFFF"/>
        </w:rPr>
        <w:t>购需</w:t>
      </w:r>
      <w:r>
        <w:rPr>
          <w:rFonts w:ascii="仿宋_GB2312" w:hAnsi="宋体"/>
          <w:b/>
          <w:color w:val="auto"/>
          <w:sz w:val="32"/>
          <w:shd w:val="clear" w:color="auto" w:fill="FFFFFF"/>
        </w:rPr>
        <w:t>求</w:t>
      </w:r>
    </w:p>
    <w:p>
      <w:pPr>
        <w:shd w:val="solid" w:color="FFFFFF" w:fill="auto"/>
        <w:autoSpaceDN w:val="0"/>
        <w:spacing w:line="360" w:lineRule="atLeast"/>
        <w:ind w:firstLine="96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一、项目概况</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（一）项目名称：魏都区中奥鑫天办公楼物业服务</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（二）采购方式：公开招标      </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（三）主要内容、数量及要求：（1）保洁服务；（2）保安及停车管理服务（仅负责建筑物内公共秩序维护、监控）；（3）公用部位、公用设施设备的维修管理；（4）地下停车场综合管理</w:t>
      </w:r>
      <w:r>
        <w:rPr>
          <w:rFonts w:hint="eastAsia" w:ascii="宋体" w:hAnsi="宋体" w:eastAsia="宋体" w:cs="宋体"/>
          <w:color w:val="auto"/>
          <w:sz w:val="24"/>
          <w:szCs w:val="24"/>
          <w:shd w:val="clear" w:color="auto" w:fill="FFFFFF"/>
          <w:lang w:eastAsia="zh-CN"/>
        </w:rPr>
        <w:t>。</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（四）预算金额：1192859元；最高限价：1192859元</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（五）交付（服务、完工）时间：自合同签订之日起一年</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（六）交付（服务、施工）地点：许昌市天宝路魏都区政府东临中奥鑫天商务综合楼</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（七）进口产品：不允许</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（八）分包：不允许</w:t>
      </w:r>
    </w:p>
    <w:p>
      <w:pPr>
        <w:shd w:val="solid" w:color="FFFFFF" w:fill="auto"/>
        <w:autoSpaceDN w:val="0"/>
        <w:spacing w:line="360" w:lineRule="atLeast"/>
        <w:ind w:firstLine="60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 xml:space="preserve">二、需要落实的政府采购政策 </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（一）符合《中华人民共和国政府采购法》第二十二条之规定；</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（三）本次招标不接受联合体投标。</w:t>
      </w:r>
    </w:p>
    <w:p>
      <w:pPr>
        <w:shd w:val="solid" w:color="FFFFFF" w:fill="auto"/>
        <w:autoSpaceDN w:val="0"/>
        <w:spacing w:line="360" w:lineRule="atLeast"/>
        <w:ind w:firstLine="600"/>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四、采购需求</w:t>
      </w:r>
    </w:p>
    <w:p>
      <w:pPr>
        <w:shd w:val="solid" w:color="FFFFFF" w:fill="auto"/>
        <w:autoSpaceDN w:val="0"/>
        <w:spacing w:line="360" w:lineRule="atLeast"/>
        <w:ind w:firstLine="600"/>
        <w:jc w:val="both"/>
        <w:rPr>
          <w:rFonts w:hint="eastAsia" w:ascii="宋体" w:hAnsi="宋体" w:eastAsia="宋体" w:cs="宋体"/>
          <w:b w:val="0"/>
          <w:bCs/>
          <w:color w:val="auto"/>
          <w:sz w:val="24"/>
          <w:szCs w:val="24"/>
          <w:shd w:val="clear" w:color="auto" w:fill="FFFFFF"/>
        </w:rPr>
      </w:pPr>
      <w:r>
        <w:rPr>
          <w:rFonts w:hint="eastAsia" w:ascii="宋体" w:hAnsi="宋体" w:eastAsia="宋体" w:cs="宋体"/>
          <w:b w:val="0"/>
          <w:bCs/>
          <w:color w:val="auto"/>
          <w:sz w:val="24"/>
          <w:szCs w:val="24"/>
          <w:shd w:val="clear" w:color="auto" w:fill="FFFFFF"/>
        </w:rPr>
        <w:t xml:space="preserve">（一）本项目需实现的功能或者目标 </w:t>
      </w:r>
    </w:p>
    <w:p>
      <w:pPr>
        <w:widowControl/>
        <w:shd w:val="clear" w:color="auto" w:fill="FFFFFF"/>
        <w:spacing w:line="360" w:lineRule="auto"/>
        <w:ind w:firstLine="480" w:firstLineChars="200"/>
        <w:contextualSpacing/>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至三层为办税服务大厅、行政服务大厅，建筑面积依次为1789平方米、1615平方米、1789平方米；四至十二层为行政办公用房，每层均为1402平方米；总建筑面积为17811平方米。保洁服务、保安及停车管理服务（仅负责建筑物内公共秩序维护、监控）、公用部位、公用设施设备的维修管理、地下停车场综合管理等方面的服务，更好的向社会提供一流管理、一流服务。</w:t>
      </w:r>
    </w:p>
    <w:p>
      <w:pPr>
        <w:widowControl/>
        <w:shd w:val="clear" w:color="auto" w:fill="FFFFFF"/>
        <w:spacing w:line="360" w:lineRule="auto"/>
        <w:ind w:firstLine="480" w:firstLineChars="200"/>
        <w:contextualSpacing/>
        <w:jc w:val="left"/>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二</w:t>
      </w:r>
      <w:r>
        <w:rPr>
          <w:rFonts w:hint="eastAsia" w:ascii="宋体" w:hAnsi="宋体" w:eastAsia="宋体" w:cs="宋体"/>
          <w:b w:val="0"/>
          <w:bCs w:val="0"/>
          <w:color w:val="auto"/>
          <w:sz w:val="24"/>
          <w:szCs w:val="24"/>
          <w:shd w:val="clear" w:color="auto" w:fill="FFFFFF"/>
          <w:lang w:eastAsia="zh-CN"/>
        </w:rPr>
        <w:t>）服务内容</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  投标人应满足人员配置要求：本次物业招标核定人员27人。具体如下：</w:t>
      </w:r>
    </w:p>
    <w:tbl>
      <w:tblPr>
        <w:tblStyle w:val="1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岗位</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人数</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项目经理</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管理员（客户服务人员）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负责报纸分发，会议服务，物业服务中心档案管理，会议室，值班室及领导办公室，休息室的卫生。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秩序维护人员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一层每个主入口按1人配置（共4人）、次出入口共配置2人，夜间值班及巡逻人员3人，监控室3人，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公用部位、公用设施设备的维修人员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负责办公楼水电维修，设施设备日常巡检，监管与维保单位履行维保协议的有关内容，办公区24小时水电维修工作。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保洁人员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负责区域内的保洁卫生工作。</w:t>
            </w:r>
          </w:p>
        </w:tc>
      </w:tr>
    </w:tbl>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  人员基本要求</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1.2.1岗位人员年龄：所有上岗岗位人员年龄均在50岁以下。</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1.2.2各岗位人员均无犯罪记录。</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1.2.3各岗位人员身体健康。</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1.2.4工作时间统一着装，佩戴标志；服务热情主动、礼貌、细致。</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1.2.5管理人员有较高的政治思想素养和业务水平；内勤岗位人员应具有大专以上学历。</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1.2.7投标人须定期每三个月对管理服务人员进行岗位再培训。</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1.2.8工作期间管理服务人员对于突发事件必须能够在第一时间进行现场处置。 </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  技术要求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1.3.1</w:t>
      </w:r>
      <w:r>
        <w:rPr>
          <w:rFonts w:hint="eastAsia" w:ascii="宋体" w:hAnsi="宋体" w:eastAsia="宋体" w:cs="宋体"/>
          <w:b w:val="0"/>
          <w:bCs/>
          <w:color w:val="auto"/>
          <w:sz w:val="24"/>
          <w:szCs w:val="24"/>
        </w:rPr>
        <w:t>公共区域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定人定岗，全天候对物业服务区域不间断保洁，做到地面清洁、光亮、无污迹。</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走道保持干净，无垃圾。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垃圾桶按指定位置摆放，垃圾袋套在垃圾桶上；四周无散积垃圾，无异味。</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走道设施、通风口，保持干净。</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 场地的台阶及地面，做到无垃圾、无烟蒂、无纸屑，使人感到宽广、舒畅。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1.3.2</w:t>
      </w:r>
      <w:r>
        <w:rPr>
          <w:rFonts w:hint="eastAsia" w:ascii="宋体" w:hAnsi="宋体" w:eastAsia="宋体" w:cs="宋体"/>
          <w:b w:val="0"/>
          <w:bCs/>
          <w:color w:val="auto"/>
          <w:sz w:val="24"/>
          <w:szCs w:val="24"/>
        </w:rPr>
        <w:t>水电维护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负责服务范围内水、电等维护工作，及时检查是否完好，始终保持正常状态，坚决杜绝事故发生。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特殊、重大维修超出中标单位承担范围的，中标单位须书面出具维修建议书。</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要经常检查办公区域内的电灯是否正常，及时发现问题，及时处理。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关键岗位中标单位应坚持值班制度，不得脱岗漏岗，随时处置突发事件。</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1.3.3</w:t>
      </w:r>
      <w:r>
        <w:rPr>
          <w:rFonts w:hint="eastAsia" w:ascii="宋体" w:hAnsi="宋体" w:eastAsia="宋体" w:cs="宋体"/>
          <w:b w:val="0"/>
          <w:bCs/>
          <w:color w:val="auto"/>
          <w:sz w:val="24"/>
          <w:szCs w:val="24"/>
        </w:rPr>
        <w:t>公厕</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每天早班、中班必须全面清洁洗公厕、坐厕、面盆、托把池，地面应定期清洗，保持卫生间无积尘、杂物、污渍。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公厕内的垃圾桶、纸桶、当天清理，保持桶内无垃圾，桶外地面无垃圾。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便池樟脑丸须及时补充。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1.3.4</w:t>
      </w:r>
      <w:r>
        <w:rPr>
          <w:rFonts w:hint="eastAsia" w:ascii="宋体" w:hAnsi="宋体" w:eastAsia="宋体" w:cs="宋体"/>
          <w:b w:val="0"/>
          <w:bCs/>
          <w:color w:val="auto"/>
          <w:sz w:val="24"/>
          <w:szCs w:val="24"/>
        </w:rPr>
        <w:t>垃圾清运要求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每天分上午下午对垃圾清理两遍。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上午9：00分之前清理完毕，下午1：00分之前清理完毕，如特殊情况时需调整清运时间的根据需要随时清理。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按照要求将垃圾分类清运到相应的垃圾中转站或存放点。严禁随处倾倒或随处存放垃圾。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清运车辆要封闭，严禁垃圾在运输过程中撒落造成二次污染。</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定期对垃圾箱内外进行清洗。5月—10月份每周清洗两遍，11月—次年4月份每周清洗一遍。如遇重特殊情况时根据需要随时清洗。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1.3.5</w:t>
      </w:r>
      <w:r>
        <w:rPr>
          <w:rFonts w:hint="eastAsia" w:ascii="宋体" w:hAnsi="宋体" w:eastAsia="宋体" w:cs="宋体"/>
          <w:b w:val="0"/>
          <w:bCs/>
          <w:color w:val="auto"/>
          <w:sz w:val="24"/>
          <w:szCs w:val="24"/>
        </w:rPr>
        <w:t>车辆管理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全天24小时值班。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对物业服务区域内各个进出口定人定岗，负责进出车辆的管控。对进出口周边车辆进行疏导，保证畅通。对一些存在安全隐患的现象及时发现及时制止并报告监控室。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1.3.6</w:t>
      </w:r>
      <w:r>
        <w:rPr>
          <w:rFonts w:hint="eastAsia" w:ascii="宋体" w:hAnsi="宋体" w:eastAsia="宋体" w:cs="宋体"/>
          <w:b w:val="0"/>
          <w:bCs/>
          <w:color w:val="auto"/>
          <w:sz w:val="24"/>
          <w:szCs w:val="24"/>
        </w:rPr>
        <w:t>消防监控需求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消防控制室自动消防系统的操作人员，应熟练操作消防控制系统。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本标段范围内，所有需要值守的区域在符合国家相关法律法规（劳动法、消防法等）的情况下，按预设的位置安排专人24小时值班。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消防监控服务技术标准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消防控制室工作人员应严格遵守消防控制室的各项安全操作规程和各项消防安全管理制度；各项管理严格按照中华人民共和国公安部《消防控制室通用技术要求》执行。</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报警联动控制设备需要设置在手动状态时，应有火灾时能迅速将手动控制转换为自动控制的可靠措施。严禁将自动喷水灭火系统和联动控制的防火卷帘等防火分隔设施设置在手动控制状态；</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消防控制室应当实行每日24小时专人值班制度，确保及时发现并准确处置火灾和故障报警，确保控制室内所有设施设备的良好运行状态及事件处理；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消防控制室工作人员每班不得少于2人，一名负责值班时报警部位的核实和紧急情况的处置，一名负责自动消防系统的操作；</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消防控制室工作人员应按时上岗，并做好交接班工作，接班人员未到岗前交班人员不得擅自离岗；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应在消防控制室的入口处设置明显的标志；消防控制室应设置火灾事故应急照明、灭火器等消防器材，并配备相应的通讯联络工具；</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消防控制室工作人员要爱护消防控制室的设施，保持控制室内的卫生；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严禁无关人员进入消防控制室，随意触动设备；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消防控制室内严禁存放易燃易爆危险物品和堆放与设备运行无关的物品或杂物，严禁与消防控制室无关的电气线路和管道穿过；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消防控制室内严禁吸烟或动用明火。</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考核内容</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劳动纪律</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爱岗敬业，服从命令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岗位纪律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请消假制度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电话管理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 xml:space="preserve">环境卫生 、仪容仪表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携带危险品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工作态度</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工作主动性及工作完成质量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工作职责及设备管理</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设备操作技能及应急处置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设施设备检查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监控查看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非工作期间巡查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广场及周边情况监控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业务知识与工作技能</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相关制度及知识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了解本单位情况及安全防范措施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安防系统的操作使用</w:t>
            </w:r>
          </w:p>
        </w:tc>
      </w:tr>
    </w:tbl>
    <w:p>
      <w:pPr>
        <w:shd w:val="solid" w:color="FFFFFF" w:fill="auto"/>
        <w:autoSpaceDN w:val="0"/>
        <w:spacing w:line="360" w:lineRule="atLeast"/>
        <w:ind w:firstLine="601"/>
        <w:jc w:val="both"/>
        <w:rPr>
          <w:rFonts w:hint="eastAsia" w:ascii="宋体" w:hAnsi="宋体" w:eastAsia="宋体" w:cs="宋体"/>
          <w:b/>
          <w:color w:val="auto"/>
          <w:sz w:val="24"/>
          <w:szCs w:val="24"/>
          <w:shd w:val="clear" w:color="auto" w:fill="FFFFFF"/>
        </w:rPr>
      </w:pPr>
      <w:r>
        <w:rPr>
          <w:rFonts w:hint="eastAsia" w:ascii="宋体" w:hAnsi="宋体" w:eastAsia="宋体" w:cs="宋体"/>
          <w:b w:val="0"/>
          <w:bCs/>
          <w:color w:val="auto"/>
          <w:sz w:val="24"/>
          <w:szCs w:val="24"/>
          <w:shd w:val="clear" w:color="auto" w:fill="FFFFFF"/>
        </w:rPr>
        <w:t>（</w:t>
      </w:r>
      <w:r>
        <w:rPr>
          <w:rFonts w:hint="eastAsia" w:ascii="宋体" w:hAnsi="宋体" w:cs="宋体"/>
          <w:b w:val="0"/>
          <w:bCs/>
          <w:color w:val="auto"/>
          <w:sz w:val="24"/>
          <w:szCs w:val="24"/>
          <w:shd w:val="clear" w:color="auto" w:fill="FFFFFF"/>
          <w:lang w:eastAsia="zh-CN"/>
        </w:rPr>
        <w:t>三</w:t>
      </w:r>
      <w:r>
        <w:rPr>
          <w:rFonts w:hint="eastAsia" w:ascii="宋体" w:hAnsi="宋体" w:eastAsia="宋体" w:cs="宋体"/>
          <w:b w:val="0"/>
          <w:bCs/>
          <w:color w:val="auto"/>
          <w:sz w:val="24"/>
          <w:szCs w:val="24"/>
          <w:shd w:val="clear" w:color="auto" w:fill="FFFFFF"/>
        </w:rPr>
        <w:t>）、验收标准</w:t>
      </w:r>
      <w:r>
        <w:rPr>
          <w:rFonts w:hint="eastAsia" w:ascii="宋体" w:hAnsi="宋体" w:eastAsia="宋体" w:cs="宋体"/>
          <w:b/>
          <w:color w:val="auto"/>
          <w:sz w:val="24"/>
          <w:szCs w:val="24"/>
          <w:shd w:val="clear" w:color="auto" w:fill="FFFFFF"/>
        </w:rPr>
        <w:t xml:space="preserve"> </w:t>
      </w:r>
    </w:p>
    <w:p>
      <w:pPr>
        <w:shd w:val="solid" w:color="FFFFFF" w:fill="auto"/>
        <w:autoSpaceDN w:val="0"/>
        <w:spacing w:line="360" w:lineRule="atLeast"/>
        <w:ind w:firstLine="601"/>
        <w:jc w:val="both"/>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solid" w:color="FFFFFF" w:fill="auto"/>
        <w:autoSpaceDN w:val="0"/>
        <w:spacing w:line="360" w:lineRule="atLeast"/>
        <w:ind w:firstLine="601"/>
        <w:jc w:val="both"/>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2.按照招标文件要求、投标文件响应和承诺验收。</w:t>
      </w:r>
    </w:p>
    <w:p>
      <w:pPr>
        <w:shd w:val="solid" w:color="FFFFFF" w:fill="auto"/>
        <w:autoSpaceDN w:val="0"/>
        <w:spacing w:line="360" w:lineRule="atLeast"/>
        <w:ind w:firstLine="601"/>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五、评标方法和评标标准</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（一）评标方法：综合评分法</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（二）综合评分法评标标准： </w:t>
      </w:r>
    </w:p>
    <w:tbl>
      <w:tblPr>
        <w:tblStyle w:val="15"/>
        <w:tblW w:w="8533" w:type="dxa"/>
        <w:jc w:val="center"/>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分值构成</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价格分值：</w:t>
            </w:r>
            <w:r>
              <w:rPr>
                <w:rFonts w:hint="eastAsia" w:ascii="宋体" w:hAnsi="宋体" w:cs="宋体"/>
                <w:b/>
                <w:bCs/>
                <w:color w:val="auto"/>
                <w:sz w:val="21"/>
                <w:szCs w:val="21"/>
                <w:u w:val="single"/>
                <w:shd w:val="clear" w:color="auto" w:fill="FFFFFF"/>
                <w:lang w:val="en-US" w:eastAsia="zh-CN"/>
              </w:rPr>
              <w:t>15</w:t>
            </w:r>
            <w:r>
              <w:rPr>
                <w:rFonts w:hint="eastAsia" w:ascii="宋体" w:hAnsi="宋体" w:eastAsia="宋体" w:cs="宋体"/>
                <w:b/>
                <w:bCs/>
                <w:color w:val="auto"/>
                <w:sz w:val="21"/>
                <w:szCs w:val="21"/>
                <w:u w:val="single"/>
                <w:shd w:val="clear" w:color="auto" w:fill="FFFFFF"/>
              </w:rPr>
              <w:t xml:space="preserve">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商务部分：</w:t>
            </w:r>
            <w:r>
              <w:rPr>
                <w:rFonts w:hint="eastAsia" w:ascii="宋体" w:hAnsi="宋体" w:cs="宋体"/>
                <w:b/>
                <w:bCs/>
                <w:color w:val="auto"/>
                <w:sz w:val="21"/>
                <w:szCs w:val="21"/>
                <w:u w:val="single"/>
                <w:shd w:val="clear" w:color="auto" w:fill="FFFFFF"/>
                <w:lang w:val="en-US" w:eastAsia="zh-CN"/>
              </w:rPr>
              <w:t xml:space="preserve">56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技术部分：</w:t>
            </w:r>
            <w:r>
              <w:rPr>
                <w:rFonts w:hint="eastAsia" w:ascii="宋体" w:hAnsi="宋体" w:cs="宋体"/>
                <w:b/>
                <w:bCs/>
                <w:color w:val="auto"/>
                <w:sz w:val="21"/>
                <w:szCs w:val="21"/>
                <w:u w:val="single"/>
                <w:shd w:val="clear" w:color="auto" w:fill="FFFFFF"/>
                <w:lang w:val="en-US" w:eastAsia="zh-CN"/>
              </w:rPr>
              <w:t xml:space="preserve">29 </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2" w:firstLineChars="200"/>
              <w:jc w:val="center"/>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价格部分（满分 </w:t>
            </w:r>
            <w:r>
              <w:rPr>
                <w:rFonts w:hint="eastAsia" w:ascii="宋体" w:hAnsi="宋体" w:cs="宋体"/>
                <w:b/>
                <w:bCs/>
                <w:color w:val="auto"/>
                <w:sz w:val="21"/>
                <w:szCs w:val="21"/>
                <w:shd w:val="clear" w:color="auto" w:fill="FFFFFF"/>
                <w:lang w:val="en-US" w:eastAsia="zh-CN"/>
              </w:rPr>
              <w:t>15</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评标基准价</w:t>
            </w:r>
            <w:r>
              <w:rPr>
                <w:rFonts w:hint="eastAsia" w:ascii="宋体" w:hAnsi="宋体" w:eastAsia="宋体" w:cs="宋体"/>
                <w:color w:val="auto"/>
                <w:sz w:val="21"/>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投标报价得分=（评标基准价/投标报价）×</w:t>
            </w:r>
            <w:r>
              <w:rPr>
                <w:rFonts w:hint="eastAsia" w:ascii="宋体" w:hAnsi="宋体" w:cs="宋体"/>
                <w:color w:val="auto"/>
                <w:sz w:val="21"/>
                <w:szCs w:val="21"/>
                <w:shd w:val="clear" w:color="auto" w:fill="FFFFFF"/>
                <w:lang w:val="en-US" w:eastAsia="zh-CN"/>
              </w:rPr>
              <w:t>15</w:t>
            </w:r>
            <w:r>
              <w:rPr>
                <w:rFonts w:hint="eastAsia" w:ascii="宋体" w:hAnsi="宋体" w:eastAsia="宋体" w:cs="宋体"/>
                <w:color w:val="auto"/>
                <w:sz w:val="21"/>
                <w:szCs w:val="21"/>
                <w:shd w:val="clear" w:color="auto" w:fill="FFFFFF"/>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951" w:firstLineChars="14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商务部分（满分 </w:t>
            </w:r>
            <w:r>
              <w:rPr>
                <w:rFonts w:hint="eastAsia" w:ascii="宋体" w:hAnsi="宋体" w:cs="宋体"/>
                <w:b/>
                <w:bCs/>
                <w:color w:val="auto"/>
                <w:sz w:val="21"/>
                <w:szCs w:val="21"/>
                <w:shd w:val="clear" w:color="auto" w:fill="FFFFFF"/>
                <w:lang w:val="en-US" w:eastAsia="zh-CN"/>
              </w:rPr>
              <w:t>56</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投标人提供信用评级机构出具的企业信用报告及信用等级证书，信用评定等级为AAA得</w:t>
            </w:r>
            <w:r>
              <w:rPr>
                <w:rFonts w:hint="eastAsia" w:ascii="宋体" w:hAnsi="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分，AA得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A得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未提供者不得分</w:t>
            </w:r>
            <w:r>
              <w:rPr>
                <w:rFonts w:hint="eastAsia" w:ascii="宋体" w:hAnsi="宋体" w:eastAsia="宋体" w:cs="宋体"/>
                <w:color w:val="auto"/>
                <w:sz w:val="21"/>
                <w:szCs w:val="21"/>
                <w:shd w:val="clear" w:color="auto" w:fill="FFFFFF"/>
                <w:lang w:val="en-US" w:eastAsia="zh-CN"/>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投标人自2015年以来，具有物业管理项目业绩，合同金额在</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万元及以上（含</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万元）的每份加4分，此项最高20分。（以合同或中标通知书为准</w:t>
            </w:r>
            <w:r>
              <w:rPr>
                <w:rFonts w:hint="eastAsia" w:ascii="宋体" w:hAnsi="宋体" w:cs="宋体"/>
                <w:color w:val="auto"/>
                <w:sz w:val="21"/>
                <w:szCs w:val="21"/>
                <w:shd w:val="clear" w:color="auto" w:fill="FFFFFF"/>
                <w:lang w:eastAsia="zh-CN"/>
              </w:rPr>
              <w:t>，单个项目认定为一份合同，不重复加分</w:t>
            </w:r>
            <w:r>
              <w:rPr>
                <w:rFonts w:hint="eastAsia" w:ascii="宋体" w:hAnsi="宋体" w:eastAsia="宋体" w:cs="宋体"/>
                <w:color w:val="auto"/>
                <w:sz w:val="21"/>
                <w:szCs w:val="21"/>
                <w:shd w:val="clear" w:color="auto" w:fill="FFFFFF"/>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1、投标人</w:t>
            </w:r>
            <w:r>
              <w:rPr>
                <w:rFonts w:hint="eastAsia" w:ascii="宋体" w:hAnsi="宋体" w:eastAsia="宋体" w:cs="宋体"/>
                <w:color w:val="auto"/>
                <w:sz w:val="21"/>
                <w:szCs w:val="21"/>
                <w:shd w:val="clear" w:color="auto" w:fill="FFFFFF"/>
                <w:lang w:val="en-US" w:eastAsia="zh-CN"/>
              </w:rPr>
              <w:t>在本项目之前</w:t>
            </w:r>
            <w:r>
              <w:rPr>
                <w:rFonts w:hint="eastAsia" w:ascii="宋体" w:hAnsi="宋体" w:eastAsia="宋体" w:cs="宋体"/>
                <w:color w:val="auto"/>
                <w:sz w:val="21"/>
                <w:szCs w:val="21"/>
                <w:shd w:val="clear" w:color="auto" w:fill="FFFFFF"/>
              </w:rPr>
              <w:t>，物业管理项目获得过住建部门授予的优秀（示范）项目</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val="en-US" w:eastAsia="zh-CN"/>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2、投标人提供质量管理体系认证得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分、环境管理体系认证得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分、职业健康安全管理体系认证得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分。不提供不得分，满分</w:t>
            </w:r>
            <w:r>
              <w:rPr>
                <w:rFonts w:hint="eastAsia" w:ascii="宋体" w:hAnsi="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3、根据投标人在本项目以前工商、行业协会颁发的荣誉证书等情况，每提供一份荣誉证书加1分；满分4分。</w:t>
            </w:r>
          </w:p>
          <w:p>
            <w:pPr>
              <w:autoSpaceDE w:val="0"/>
              <w:autoSpaceDN w:val="0"/>
              <w:adjustRightInd w:val="0"/>
              <w:spacing w:line="480" w:lineRule="exac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4、根据项目需要为强化特种设备安全管理，团队中配备45岁以下电梯管理员，每人3分，满分6分（人员需为本单位缴纳社保人员并提供2018年以来不低于三个月的相应社保证明，否则不得分</w:t>
            </w:r>
            <w:bookmarkStart w:id="0" w:name="_GoBack"/>
            <w:bookmarkEnd w:id="0"/>
            <w:r>
              <w:rPr>
                <w:rFonts w:hint="eastAsia" w:ascii="宋体" w:hAnsi="宋体" w:cs="宋体"/>
                <w:color w:val="auto"/>
                <w:sz w:val="21"/>
                <w:szCs w:val="21"/>
                <w:shd w:val="clear" w:color="auto" w:fill="FFFFFF"/>
                <w:lang w:val="en-US" w:eastAsia="zh-CN"/>
              </w:rPr>
              <w:t>）。</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5、企业提供与保安公司签订的用工协议的得2分；提供公安机关出具的《自行招用保安员单位备案证明》的得4分；两者均不提供者得0分；本项满分4分。（需提供协议或自行招用保安员单位备案证明）</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27</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项目</w:t>
            </w:r>
            <w:r>
              <w:rPr>
                <w:rFonts w:hint="eastAsia" w:ascii="宋体" w:hAnsi="宋体" w:cs="宋体"/>
                <w:color w:val="auto"/>
                <w:sz w:val="21"/>
                <w:szCs w:val="21"/>
                <w:shd w:val="clear" w:color="auto" w:fill="FFFFFF"/>
                <w:lang w:eastAsia="zh-CN"/>
              </w:rPr>
              <w:t>经理</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项目经理提供住房和城乡建设部颁发的注册物业管理师上岗证书，得1分，项目经理获得过第三方认证机构出具的诚信企业家荣誉证书、诚信经理人荣誉证书的每项得1分（或三年以上社保），本项累计满分3分</w:t>
            </w:r>
          </w:p>
        </w:tc>
        <w:tc>
          <w:tcPr>
            <w:tcW w:w="9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530" w:firstLineChars="1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技术部分（满分 </w:t>
            </w:r>
            <w:r>
              <w:rPr>
                <w:rFonts w:hint="eastAsia" w:ascii="宋体" w:hAnsi="宋体" w:cs="宋体"/>
                <w:b/>
                <w:bCs/>
                <w:color w:val="auto"/>
                <w:sz w:val="21"/>
                <w:szCs w:val="21"/>
                <w:shd w:val="clear" w:color="auto" w:fill="FFFFFF"/>
                <w:lang w:val="en-US" w:eastAsia="zh-CN"/>
              </w:rPr>
              <w:t>29</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投标文件的规范程度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1、投标文件的编制符合招标文件的规定，投标文件编制规范的，得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2、投标人编制投标文件逻辑严紧、条理清楚、无文字错误的，得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5"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服务方案</w:t>
            </w:r>
          </w:p>
        </w:tc>
        <w:tc>
          <w:tcPr>
            <w:tcW w:w="5969" w:type="dxa"/>
            <w:tcBorders>
              <w:top w:val="single" w:color="auto" w:sz="4" w:space="0"/>
              <w:left w:val="nil"/>
              <w:right w:val="single" w:color="auto" w:sz="4" w:space="0"/>
            </w:tcBorders>
            <w:vAlign w:val="top"/>
          </w:tcPr>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1、对服务项目背景现状、实际需求、运作要求等理解到位、分析全面深入的得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2、工作流程、作业程序及管理方案全面、规范、无漏项的，得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3、员工培训计划方案、绩效考核、管理全面、有效的，得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4、应急情况处理方案全面、有效的，得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5、管理人员岗位配置全面无缺岗，且人员数量科学合理的，得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分</w:t>
            </w:r>
          </w:p>
        </w:tc>
      </w:tr>
    </w:tbl>
    <w:p>
      <w:pPr>
        <w:numPr>
          <w:ilvl w:val="0"/>
          <w:numId w:val="0"/>
        </w:numPr>
        <w:shd w:val="solid" w:color="FFFFFF" w:fill="auto"/>
        <w:autoSpaceDN w:val="0"/>
        <w:spacing w:line="360" w:lineRule="atLeast"/>
        <w:ind w:firstLine="482" w:firstLineChars="200"/>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六、</w:t>
      </w:r>
      <w:r>
        <w:rPr>
          <w:rFonts w:hint="eastAsia" w:ascii="宋体" w:hAnsi="宋体" w:eastAsia="宋体" w:cs="宋体"/>
          <w:b/>
          <w:bCs/>
          <w:color w:val="auto"/>
          <w:sz w:val="24"/>
          <w:szCs w:val="24"/>
          <w:shd w:val="clear" w:color="auto" w:fill="FFFFFF"/>
        </w:rPr>
        <w:t xml:space="preserve">资金支付 </w:t>
      </w:r>
    </w:p>
    <w:p>
      <w:pPr>
        <w:shd w:val="solid" w:color="FFFFFF" w:fill="auto"/>
        <w:autoSpaceDN w:val="0"/>
        <w:spacing w:line="360" w:lineRule="atLeast"/>
        <w:ind w:firstLine="48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1.支付方式：银行转账。</w:t>
      </w:r>
    </w:p>
    <w:p>
      <w:pPr>
        <w:shd w:val="solid" w:color="FFFFFF" w:fill="auto"/>
        <w:autoSpaceDN w:val="0"/>
        <w:spacing w:line="360" w:lineRule="atLeast"/>
        <w:ind w:firstLine="48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2.支付时间及条件：服务期限一年。每满三个月支付一次，服务期满支付全部物业管理费用。</w:t>
      </w:r>
    </w:p>
    <w:p>
      <w:pPr>
        <w:shd w:val="solid" w:color="FFFFFF" w:fill="auto"/>
        <w:autoSpaceDN w:val="0"/>
        <w:spacing w:line="360" w:lineRule="atLeast"/>
        <w:ind w:firstLine="48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七、联系方式</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采购人：许昌市魏都区机关事务管理局</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 址：许昌市天宝路666号魏都区政府209室</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联系人：焦思源             联系电话：0374-5056606</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5E07B7F"/>
    <w:rsid w:val="06CE5194"/>
    <w:rsid w:val="07C469A9"/>
    <w:rsid w:val="0A9E2559"/>
    <w:rsid w:val="0B613855"/>
    <w:rsid w:val="0C5E449E"/>
    <w:rsid w:val="0D2D3970"/>
    <w:rsid w:val="0D406949"/>
    <w:rsid w:val="0DF807A2"/>
    <w:rsid w:val="0EBF69ED"/>
    <w:rsid w:val="0F6D17CE"/>
    <w:rsid w:val="11042F28"/>
    <w:rsid w:val="11F645BB"/>
    <w:rsid w:val="1378301B"/>
    <w:rsid w:val="14C84776"/>
    <w:rsid w:val="1B55100D"/>
    <w:rsid w:val="1DAA648C"/>
    <w:rsid w:val="1DDA3611"/>
    <w:rsid w:val="1F92504F"/>
    <w:rsid w:val="21652125"/>
    <w:rsid w:val="251022E9"/>
    <w:rsid w:val="26970E59"/>
    <w:rsid w:val="28962A5B"/>
    <w:rsid w:val="2AD330CA"/>
    <w:rsid w:val="2C511174"/>
    <w:rsid w:val="2F2C3AB4"/>
    <w:rsid w:val="310E2887"/>
    <w:rsid w:val="312149B3"/>
    <w:rsid w:val="31D14245"/>
    <w:rsid w:val="33AD2577"/>
    <w:rsid w:val="34943CCE"/>
    <w:rsid w:val="372C7C36"/>
    <w:rsid w:val="3AC0087F"/>
    <w:rsid w:val="3E491A58"/>
    <w:rsid w:val="3EDF7417"/>
    <w:rsid w:val="40F511B6"/>
    <w:rsid w:val="4371077A"/>
    <w:rsid w:val="43BC2FD6"/>
    <w:rsid w:val="43C50EC6"/>
    <w:rsid w:val="4ABE57C9"/>
    <w:rsid w:val="4B0E5437"/>
    <w:rsid w:val="4BA3744D"/>
    <w:rsid w:val="4BA84870"/>
    <w:rsid w:val="4C6B2A12"/>
    <w:rsid w:val="4CB226B6"/>
    <w:rsid w:val="4D2D77D9"/>
    <w:rsid w:val="588111CF"/>
    <w:rsid w:val="599F2DE2"/>
    <w:rsid w:val="5CDC5000"/>
    <w:rsid w:val="5FBD3BAD"/>
    <w:rsid w:val="5FCC1B20"/>
    <w:rsid w:val="60941321"/>
    <w:rsid w:val="60BE20FC"/>
    <w:rsid w:val="611D2CB6"/>
    <w:rsid w:val="61873DE3"/>
    <w:rsid w:val="61F849F4"/>
    <w:rsid w:val="6489371E"/>
    <w:rsid w:val="64EB6E1C"/>
    <w:rsid w:val="65375600"/>
    <w:rsid w:val="675501A8"/>
    <w:rsid w:val="6AC0466B"/>
    <w:rsid w:val="6ACA1A42"/>
    <w:rsid w:val="6DE03CB0"/>
    <w:rsid w:val="6DE17D73"/>
    <w:rsid w:val="711558A1"/>
    <w:rsid w:val="73F90B9C"/>
    <w:rsid w:val="74094FFC"/>
    <w:rsid w:val="74565A98"/>
    <w:rsid w:val="753450E7"/>
    <w:rsid w:val="756A3611"/>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spacing w:before="240" w:after="60"/>
      <w:outlineLvl w:val="0"/>
    </w:pPr>
    <w:rPr>
      <w:rFonts w:ascii="Arial" w:hAnsi="Arial"/>
      <w:b/>
      <w:kern w:val="28"/>
      <w:sz w:val="28"/>
    </w:rPr>
  </w:style>
  <w:style w:type="paragraph" w:styleId="5">
    <w:name w:val="heading 2"/>
    <w:basedOn w:val="1"/>
    <w:next w:val="1"/>
    <w:qFormat/>
    <w:uiPriority w:val="0"/>
    <w:pPr>
      <w:keepNext/>
      <w:spacing w:before="240" w:after="60"/>
      <w:outlineLvl w:val="1"/>
    </w:pPr>
    <w:rPr>
      <w:rFonts w:ascii="Arial" w:hAnsi="Arial"/>
      <w:b/>
      <w:i/>
    </w:rPr>
  </w:style>
  <w:style w:type="paragraph" w:styleId="6">
    <w:name w:val="heading 3"/>
    <w:basedOn w:val="1"/>
    <w:next w:val="1"/>
    <w:qFormat/>
    <w:uiPriority w:val="0"/>
    <w:pPr>
      <w:keepNext/>
      <w:spacing w:before="240" w:after="60"/>
      <w:outlineLvl w:val="2"/>
    </w:pPr>
    <w:rPr>
      <w:b/>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7">
    <w:name w:val="annotation text"/>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100" w:beforeAutospacing="1" w:after="100" w:afterAutospacing="1"/>
    </w:pPr>
    <w:rPr>
      <w:rFonts w:ascii="宋体" w:hAnsi="宋体"/>
      <w:sz w:val="18"/>
      <w:szCs w:val="18"/>
    </w:rPr>
  </w:style>
  <w:style w:type="paragraph" w:styleId="1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13">
    <w:name w:val="Strong"/>
    <w:qFormat/>
    <w:uiPriority w:val="0"/>
    <w:rPr>
      <w:b/>
    </w:rPr>
  </w:style>
  <w:style w:type="character" w:styleId="14">
    <w:name w:val="Hyperlink"/>
    <w:qFormat/>
    <w:uiPriority w:val="0"/>
    <w:rPr>
      <w:color w:val="000000"/>
      <w:u w:val="none"/>
    </w:rPr>
  </w:style>
  <w:style w:type="table" w:styleId="16">
    <w:name w:val="Table Grid"/>
    <w:basedOn w:val="15"/>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普通(网站)1"/>
    <w:basedOn w:val="1"/>
    <w:qFormat/>
    <w:uiPriority w:val="0"/>
    <w:pPr>
      <w:spacing w:before="100" w:beforeAutospacing="1" w:after="100" w:afterAutospacing="1"/>
    </w:pPr>
    <w:rPr>
      <w:sz w:val="24"/>
    </w:rPr>
  </w:style>
  <w:style w:type="paragraph" w:customStyle="1" w:styleId="18">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19">
    <w:name w:val="列出段落2"/>
    <w:basedOn w:val="1"/>
    <w:unhideWhenUsed/>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5</TotalTime>
  <ScaleCrop>false</ScaleCrop>
  <LinksUpToDate>false</LinksUpToDate>
  <CharactersWithSpaces>12758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吉旦</cp:lastModifiedBy>
  <cp:lastPrinted>2018-07-26T01:11:00Z</cp:lastPrinted>
  <dcterms:modified xsi:type="dcterms:W3CDTF">2018-11-22T08:40:59Z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