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4E" w:rsidRDefault="00494468">
      <w:pPr>
        <w:jc w:val="center"/>
        <w:rPr>
          <w:rFonts w:ascii="宋体" w:eastAsia="宋体" w:hAnsi="宋体"/>
          <w:b/>
          <w:bCs/>
          <w:sz w:val="36"/>
          <w:szCs w:val="36"/>
        </w:rPr>
      </w:pPr>
      <w:r>
        <w:rPr>
          <w:rFonts w:ascii="宋体" w:eastAsia="宋体" w:hAnsi="宋体" w:hint="eastAsia"/>
          <w:b/>
          <w:bCs/>
          <w:sz w:val="36"/>
          <w:szCs w:val="36"/>
        </w:rPr>
        <w:t>许昌经济技术开发区法制与社会服务局“农村集体产权制度改革工作第三方委托服务”采购需求</w:t>
      </w:r>
    </w:p>
    <w:p w:rsidR="00F71F4E" w:rsidRDefault="00494468">
      <w:pPr>
        <w:pStyle w:val="aa"/>
        <w:widowControl/>
        <w:shd w:val="clear" w:color="auto" w:fill="FFFFFF"/>
        <w:spacing w:line="360" w:lineRule="auto"/>
        <w:contextualSpacing/>
        <w:jc w:val="left"/>
        <w:rPr>
          <w:rFonts w:ascii="宋体" w:hAnsi="宋体" w:cs="宋体"/>
          <w:b/>
          <w:bCs/>
          <w:sz w:val="21"/>
          <w:szCs w:val="21"/>
        </w:rPr>
      </w:pPr>
      <w:r>
        <w:rPr>
          <w:rFonts w:ascii="宋体" w:hAnsi="宋体" w:cs="宋体" w:hint="eastAsia"/>
          <w:b/>
          <w:bCs/>
          <w:sz w:val="21"/>
          <w:szCs w:val="21"/>
          <w:shd w:val="clear" w:color="auto" w:fill="FFFFFF"/>
        </w:rPr>
        <w:t>一、项目基本情况</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（一）项目名称：许昌经济技术开发区法制与社会服务局“农村集体产权制度改革工作第三方委托服务”</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 xml:space="preserve">（二）采购方式：公开招标    </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 xml:space="preserve">（三）项目主要内容：对许昌经济技术开发区农村集体产权制度改革工作进行全过程跟踪服务；推动以清产核资、资产量化、股权配置、股权界定、股权管理为主要内容的农村集体产权制度改革工作等全过程技术指导服务，全面完成许昌经济技术开发区农村集体资产产权制度改革工作。     </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（四）预算金额：892400.00元，最高限价：892400.00元。</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（五）交付（服务、完工）时间 ：合同签订后180日历天内交付。</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（六）交付（服务、完工）地点：许昌经济技术开发区。</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（七）分包：允许□不允许</w:t>
      </w:r>
      <w:r>
        <w:rPr>
          <w:rFonts w:ascii="宋体" w:hAnsi="宋体" w:cs="宋体" w:hint="eastAsia"/>
          <w:sz w:val="28"/>
          <w:szCs w:val="28"/>
          <w:shd w:val="clear" w:color="auto" w:fill="FFFFFF"/>
        </w:rPr>
        <w:t>☑。</w:t>
      </w:r>
    </w:p>
    <w:p w:rsidR="00F71F4E" w:rsidRDefault="00494468">
      <w:pPr>
        <w:pStyle w:val="aa"/>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二、需要落实的政府采购政策</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本项目落实节能环保</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、中小微型企业扶持</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、支持监狱企业发展</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、残疾人福利性单位扶持</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等相关政府采购政策。</w:t>
      </w:r>
    </w:p>
    <w:p w:rsidR="00F71F4E" w:rsidRDefault="00494468">
      <w:pPr>
        <w:pStyle w:val="aa"/>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三、投标人资格要求</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（一）具备《政府采购法》第二十二条第一款规定条件并提供相关材料；</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（二）未被列入“信用中国”网站(www.creditchina.gov.cn)失信被执行人、重大税收违法案件当事人名单、政府采购严重违法失信名单的投标人；</w:t>
      </w:r>
      <w:r w:rsidR="006C3CBA">
        <w:rPr>
          <w:rFonts w:ascii="宋体" w:hAnsi="宋体" w:cs="宋体" w:hint="eastAsia"/>
          <w:sz w:val="21"/>
          <w:szCs w:val="21"/>
          <w:shd w:val="clear" w:color="auto" w:fill="FFFFFF"/>
        </w:rPr>
        <w:t>未被列入</w:t>
      </w:r>
      <w:r>
        <w:rPr>
          <w:rFonts w:ascii="宋体" w:hAnsi="宋体" w:cs="宋体" w:hint="eastAsia"/>
          <w:sz w:val="21"/>
          <w:szCs w:val="21"/>
          <w:shd w:val="clear" w:color="auto" w:fill="FFFFFF"/>
        </w:rPr>
        <w:t>“中国政府采购网” (www.ccgp.gov.cn)政府采购严重违法失信行为记录名单的投标人；</w:t>
      </w:r>
      <w:r w:rsidR="006C3CBA">
        <w:rPr>
          <w:rFonts w:ascii="宋体" w:hAnsi="宋体" w:cs="宋体" w:hint="eastAsia"/>
          <w:sz w:val="21"/>
          <w:szCs w:val="21"/>
          <w:shd w:val="clear" w:color="auto" w:fill="FFFFFF"/>
        </w:rPr>
        <w:t>未被列入工商行政管理机关在</w:t>
      </w:r>
      <w:r>
        <w:rPr>
          <w:rFonts w:ascii="宋体" w:hAnsi="宋体" w:cs="宋体" w:hint="eastAsia"/>
          <w:sz w:val="21"/>
          <w:szCs w:val="21"/>
          <w:shd w:val="clear" w:color="auto" w:fill="FFFFFF"/>
        </w:rPr>
        <w:t>“国家企业信用公示系统”网站（www.gsxt.gov.cn）严重违法失信企业名单（黑名单）的投标人；</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(三) 本次招标不接受联合体投标。</w:t>
      </w:r>
    </w:p>
    <w:p w:rsidR="00F71F4E" w:rsidRDefault="00494468">
      <w:pPr>
        <w:pStyle w:val="aa"/>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四、项目需求</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本项目为农村集体产权制度改革工作，2个办事处、3个行政村的农村集体产权制度改革工作的开展，提供农村集体产权制度改革工作全程的技术指导服务。</w:t>
      </w:r>
    </w:p>
    <w:p w:rsidR="00F71F4E" w:rsidRDefault="00494468">
      <w:pPr>
        <w:pStyle w:val="aa"/>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shd w:val="clear" w:color="auto" w:fill="FFFFFF"/>
        </w:rPr>
        <w:t>制定方案：1、按照中央和省委有关清产核资的政策要求，结合本地实际情况，研究拟定清产核资实施方案、工作细则等配套文件，规范清产核资程序、明确清产核资结果审批流程、细化清查明细表和登记表等。制订出具2个办事处、3个行政村的农村集体产权制度改革方案并协助实施</w:t>
      </w:r>
      <w:r>
        <w:rPr>
          <w:rFonts w:ascii="宋体" w:hAnsi="宋体" w:cs="宋体" w:hint="eastAsia"/>
          <w:sz w:val="21"/>
          <w:szCs w:val="21"/>
        </w:rPr>
        <w:t>。</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lastRenderedPageBreak/>
        <w:t xml:space="preserve">2、培训：对区、办事处、行政村的产权制度改革工作小组开展业务培训,协助对行政村居民小组居民宣传动员。指导甲方准备培训材料，派遣专业人员对区、办事处、行政村、居民小组四级工作人员展开业务培训（包括清产核资、成员界定、股权量化的培训、指导、咨询服务、提供相关县市经验，解决方案和其它产权改革相关事宜事项），指导并通过村组产权改革实施方案。  </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3、专业测量：利用土地确权影像资料，对村组集体资源性资产（机动地、四荒地、坑塘等）专业测量（面积、四至、位置等）登记，绘制权属成果图件。</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4、表格规范性审核：指导行政村工作人员开展清产核资、成员界定、股权量化工作，包括制定清产核资、成员界定、股权量化作业方案，并指导对清产核资、成员界定、股权量化登记形成的数据成果的规范性进行审查核实，确保相关数据符合要求。指导行政村完成村级集体经济股份合作社成立,包括制定章程建立完善经济股份合作社规章等相关制度，协助行政村、居民组完成股权证打印</w:t>
      </w:r>
      <w:bookmarkStart w:id="0" w:name="_GoBack"/>
      <w:bookmarkEnd w:id="0"/>
      <w:r>
        <w:rPr>
          <w:rFonts w:ascii="宋体" w:hAnsi="宋体" w:cs="宋体" w:hint="eastAsia"/>
          <w:sz w:val="21"/>
          <w:szCs w:val="21"/>
          <w:shd w:val="clear" w:color="auto" w:fill="FFFFFF"/>
        </w:rPr>
        <w:t>，程序合法有效，措施客观实际。指导行政村工作人员进行档案整理，统一规范档案体系格式，形成规范资料，总结出经验、宣传显亮点，达到省市区要求。</w:t>
      </w:r>
    </w:p>
    <w:p w:rsidR="00F71F4E" w:rsidRDefault="00494468">
      <w:pPr>
        <w:pStyle w:val="aa"/>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shd w:val="clear" w:color="auto" w:fill="FFFFFF"/>
        </w:rPr>
        <w:t>5、清产核资：指导行政村的所有资产和债权债务、净资产进行账务清查，集体资产清产核资制定工作方案，开展宣传培训，做好资产清理、资产登记、资产核实、</w:t>
      </w:r>
      <w:r>
        <w:rPr>
          <w:rFonts w:ascii="宋体" w:hAnsi="宋体" w:cs="宋体" w:hint="eastAsia"/>
          <w:sz w:val="21"/>
          <w:szCs w:val="21"/>
        </w:rPr>
        <w:t>资产公示、资产确认、资产清产核资数据成果上报、建立数据库、数据录入、与上级数据库的数据导入衔接、建立台账；查清核实资源性资产和经营性资产、非经营性资产等农村集体各类资产，摸清集体资产家底，实地资产核实、公示确认、明确产权归属、建立台账和管理制度、审核备案、整理审核录入清产核资数据、汇总上报、纳入产权制度改革信息化平台管理。</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6、成立集体经济合作社：指导依规成立集体经济合作社或股份经济合作社，拟定章程，产生机构，公示确认，做好注册登记等全过程服务。</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7、数据录入：指导区、涉农办事处验收后的清产核资、成员界定、股权量化成果逐村逐组、逐表逐项形成电子表格，录入产权制度改革信息化平台。协助落实培训区、涉农办事处相关人员熟练掌握电子表格的录入、转换、能够熟练操作软件。</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8、建立产权制度改革信息化管理平台并录入数据库：协助甲方建立农村集体资产清产核资、股份合作改革数据库，能实现与国家、省、市对应的数据对接，整理审核录入清产核资数据、汇总上报、总结备案，将清产核资股份合作制改革成果录入产权制度改革信息化入平台管理。</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9、资料汇编：协助起草股份合作制改革及成立股份经济合作社全程所需要的文件、资料、表格、证书、表决票等。协助区、办事处、行政村、居民组工作人员进行工作宣传、培训、督导检查、按照时间顺序和法律逻辑，分别将2个办事处、3个行政村的改制档案进行收集整理及装订成册整理档案归档，一式四份，汇编好资料。</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lastRenderedPageBreak/>
        <w:t>10、项目建设地点：许昌经济技术开发区境内</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11、项目内容：对许昌经济技术开发区农村集体产权制度改革工作进行全过程跟踪技术指导服务；推动以清产核资、资产量化、股权配置、股权界定、股权管理为主要内容的农村集体产权制度改革工作等全过程技术指导服务，全面完成许昌经济技术开发区农村集体资产产权制度改革工作。</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12、本项目需要落实的政府采购政策：本项目落实节约能源、保护环境、扶持不发达地区和少数民族地区、促进中小企业、监狱企业发展等政府采购政策。</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13、服务质量：达到国家及行业验收合格标准，确保通过各级检查验收。</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lang w:val="zh-CN"/>
        </w:rPr>
      </w:pPr>
      <w:r>
        <w:rPr>
          <w:rFonts w:ascii="宋体" w:hAnsi="宋体" w:cs="宋体" w:hint="eastAsia"/>
          <w:sz w:val="21"/>
          <w:szCs w:val="21"/>
          <w:shd w:val="clear" w:color="auto" w:fill="FFFFFF"/>
        </w:rPr>
        <w:t>14、服务期限：180日历天。</w:t>
      </w:r>
    </w:p>
    <w:p w:rsidR="00F71F4E" w:rsidRDefault="00494468">
      <w:pPr>
        <w:pStyle w:val="aa"/>
        <w:widowControl/>
        <w:shd w:val="clear" w:color="auto" w:fill="FFFFFF"/>
        <w:spacing w:line="360" w:lineRule="auto"/>
        <w:ind w:firstLine="420"/>
        <w:contextualSpacing/>
        <w:jc w:val="left"/>
        <w:rPr>
          <w:rFonts w:ascii="宋体" w:hAnsi="宋体" w:cs="宋体"/>
          <w:b/>
          <w:bCs/>
          <w:kern w:val="0"/>
          <w:sz w:val="21"/>
          <w:szCs w:val="21"/>
          <w:shd w:val="clear" w:color="auto" w:fill="FFFFFF"/>
        </w:rPr>
      </w:pPr>
      <w:r>
        <w:rPr>
          <w:rFonts w:ascii="宋体" w:hAnsi="宋体" w:cs="宋体" w:hint="eastAsia"/>
          <w:sz w:val="21"/>
          <w:szCs w:val="21"/>
          <w:shd w:val="clear" w:color="auto" w:fill="FFFFFF"/>
          <w:lang w:val="zh-CN"/>
        </w:rPr>
        <w:t>15、未尽事宜须符合国家现行法律法规要求。</w:t>
      </w:r>
    </w:p>
    <w:p w:rsidR="00F71F4E" w:rsidRDefault="00494468">
      <w:pPr>
        <w:widowControl/>
        <w:shd w:val="clear" w:color="auto" w:fill="FFFFFF"/>
        <w:spacing w:line="360" w:lineRule="atLeast"/>
        <w:jc w:val="left"/>
        <w:rPr>
          <w:rFonts w:ascii="宋体" w:eastAsia="宋体" w:hAnsi="宋体" w:cs="宋体"/>
          <w:b/>
          <w:bCs/>
          <w:kern w:val="0"/>
          <w:szCs w:val="21"/>
          <w:shd w:val="clear" w:color="auto" w:fill="FFFFFF"/>
        </w:rPr>
      </w:pPr>
      <w:r>
        <w:rPr>
          <w:rFonts w:ascii="宋体" w:eastAsia="宋体" w:hAnsi="宋体" w:cs="宋体" w:hint="eastAsia"/>
          <w:b/>
          <w:bCs/>
          <w:kern w:val="0"/>
          <w:szCs w:val="21"/>
          <w:shd w:val="clear" w:color="auto" w:fill="FFFFFF"/>
        </w:rPr>
        <w:t>五、采购资金支付</w:t>
      </w:r>
    </w:p>
    <w:p w:rsidR="00F71F4E" w:rsidRDefault="00494468">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（一）支付方式：银行转账</w:t>
      </w:r>
    </w:p>
    <w:p w:rsidR="00F71F4E" w:rsidRDefault="00494468">
      <w:pPr>
        <w:pStyle w:val="aa"/>
        <w:widowControl/>
        <w:shd w:val="clear" w:color="auto" w:fill="FFFFFF"/>
        <w:spacing w:line="360" w:lineRule="auto"/>
        <w:ind w:firstLine="420"/>
        <w:contextualSpacing/>
        <w:jc w:val="left"/>
        <w:rPr>
          <w:rFonts w:ascii="宋体" w:hAnsi="宋体" w:cs="宋体"/>
          <w:b/>
          <w:bCs/>
          <w:kern w:val="0"/>
          <w:sz w:val="21"/>
          <w:szCs w:val="21"/>
          <w:shd w:val="clear" w:color="auto" w:fill="FFFFFF"/>
        </w:rPr>
      </w:pPr>
      <w:r>
        <w:rPr>
          <w:rFonts w:ascii="宋体" w:hAnsi="宋体" w:cs="宋体" w:hint="eastAsia"/>
          <w:sz w:val="21"/>
          <w:szCs w:val="21"/>
          <w:shd w:val="clear" w:color="auto" w:fill="FFFFFF"/>
        </w:rPr>
        <w:t>（二）支付时间及条件：全区清产核资完成后,经省市农业部门验收合格后，支付中标价的40%，完成农村集体产权制度改革成果报告、档案整理移交后支付至中标价的90%，剩余10%质保金待验收合格质保期满一年支付。</w:t>
      </w:r>
    </w:p>
    <w:p w:rsidR="00F71F4E" w:rsidRDefault="00494468">
      <w:pPr>
        <w:widowControl/>
        <w:shd w:val="clear" w:color="auto" w:fill="FFFFFF"/>
        <w:spacing w:line="360" w:lineRule="atLeast"/>
        <w:jc w:val="left"/>
        <w:rPr>
          <w:rFonts w:ascii="宋体" w:eastAsia="宋体" w:hAnsi="宋体" w:cs="宋体"/>
          <w:b/>
          <w:bCs/>
          <w:kern w:val="0"/>
          <w:szCs w:val="21"/>
        </w:rPr>
      </w:pPr>
      <w:r>
        <w:rPr>
          <w:rFonts w:ascii="宋体" w:eastAsia="宋体" w:hAnsi="宋体" w:cs="宋体" w:hint="eastAsia"/>
          <w:b/>
          <w:bCs/>
          <w:kern w:val="0"/>
          <w:szCs w:val="21"/>
          <w:shd w:val="clear" w:color="auto" w:fill="FFFFFF"/>
        </w:rPr>
        <w:t>六、评标方法和评标标准</w:t>
      </w:r>
    </w:p>
    <w:p w:rsidR="00F71F4E" w:rsidRDefault="00494468">
      <w:pPr>
        <w:pStyle w:val="a6"/>
        <w:spacing w:line="360" w:lineRule="auto"/>
        <w:ind w:firstLineChars="200" w:firstLine="422"/>
        <w:contextualSpacing/>
        <w:rPr>
          <w:rFonts w:ascii="宋体" w:hAnsi="宋体" w:cs="宋体"/>
          <w:shd w:val="clear" w:color="auto" w:fill="FFFFFF"/>
        </w:rPr>
      </w:pPr>
      <w:r>
        <w:rPr>
          <w:rFonts w:ascii="宋体" w:hAnsi="宋体" w:cs="宋体" w:hint="eastAsia"/>
          <w:b/>
          <w:sz w:val="21"/>
          <w:szCs w:val="21"/>
          <w:lang w:val="zh-CN"/>
        </w:rPr>
        <w:t>（一）评标方法：</w:t>
      </w:r>
      <w:r>
        <w:rPr>
          <w:rFonts w:ascii="宋体" w:hAnsi="宋体" w:cs="宋体" w:hint="eastAsia"/>
          <w:sz w:val="21"/>
          <w:szCs w:val="21"/>
          <w:shd w:val="clear" w:color="auto" w:fill="FFFFFF"/>
        </w:rPr>
        <w:t>最低评标价法</w:t>
      </w:r>
      <w:r>
        <w:rPr>
          <w:rFonts w:ascii="宋体" w:hAnsi="宋体" w:cs="宋体" w:hint="eastAsia"/>
          <w:sz w:val="21"/>
          <w:szCs w:val="21"/>
          <w:shd w:val="clear" w:color="auto" w:fill="FFFFFF"/>
        </w:rPr>
        <w:sym w:font="Wingdings" w:char="00A8"/>
      </w:r>
      <w:r>
        <w:rPr>
          <w:rFonts w:ascii="宋体" w:hAnsi="宋体" w:cs="宋体" w:hint="eastAsia"/>
          <w:sz w:val="21"/>
          <w:szCs w:val="21"/>
          <w:shd w:val="clear" w:color="auto" w:fill="FFFFFF"/>
          <w:lang w:val="zh-CN"/>
        </w:rPr>
        <w:t>综合评分法</w:t>
      </w:r>
      <w:r>
        <w:rPr>
          <w:rFonts w:ascii="宋体" w:hAnsi="宋体" w:cs="宋体" w:hint="eastAsia"/>
          <w:shd w:val="clear" w:color="auto" w:fill="FFFFFF"/>
        </w:rPr>
        <w:sym w:font="Wingdings" w:char="00FE"/>
      </w:r>
    </w:p>
    <w:p w:rsidR="00F71F4E" w:rsidRDefault="00494468">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rPr>
        <w:t>二）综合评分法</w:t>
      </w:r>
      <w:r>
        <w:rPr>
          <w:rFonts w:asciiTheme="minorEastAsia" w:eastAsiaTheme="minorEastAsia" w:hAnsiTheme="minorEastAsia" w:cs="仿宋_GB2312" w:hint="eastAsia"/>
          <w:b/>
          <w:sz w:val="21"/>
          <w:szCs w:val="21"/>
          <w:lang w:val="zh-CN"/>
        </w:rPr>
        <w:t>评标标准</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7940"/>
        <w:gridCol w:w="667"/>
      </w:tblGrid>
      <w:tr w:rsidR="00F71F4E">
        <w:trPr>
          <w:trHeight w:val="1805"/>
          <w:jc w:val="center"/>
        </w:trPr>
        <w:tc>
          <w:tcPr>
            <w:tcW w:w="773" w:type="dxa"/>
            <w:vAlign w:val="center"/>
          </w:tcPr>
          <w:p w:rsidR="00F71F4E" w:rsidRDefault="00494468">
            <w:pPr>
              <w:jc w:val="center"/>
              <w:rPr>
                <w:rFonts w:ascii="宋体" w:eastAsia="宋体" w:hAnsi="宋体" w:cs="宋体"/>
                <w:szCs w:val="21"/>
              </w:rPr>
            </w:pPr>
            <w:r>
              <w:rPr>
                <w:rFonts w:ascii="宋体" w:eastAsia="宋体" w:hAnsi="宋体" w:cs="宋体" w:hint="eastAsia"/>
                <w:szCs w:val="21"/>
              </w:rPr>
              <w:t>分值构成</w:t>
            </w:r>
          </w:p>
          <w:p w:rsidR="00F71F4E" w:rsidRDefault="00494468">
            <w:pPr>
              <w:jc w:val="center"/>
              <w:rPr>
                <w:rFonts w:ascii="宋体" w:eastAsia="宋体" w:hAnsi="宋体" w:cs="宋体"/>
                <w:szCs w:val="21"/>
              </w:rPr>
            </w:pPr>
            <w:r>
              <w:rPr>
                <w:rFonts w:ascii="宋体" w:eastAsia="宋体" w:hAnsi="宋体" w:cs="宋体" w:hint="eastAsia"/>
                <w:szCs w:val="21"/>
              </w:rPr>
              <w:t>(总分100分)</w:t>
            </w:r>
          </w:p>
        </w:tc>
        <w:tc>
          <w:tcPr>
            <w:tcW w:w="8607" w:type="dxa"/>
            <w:gridSpan w:val="2"/>
            <w:vAlign w:val="center"/>
          </w:tcPr>
          <w:p w:rsidR="00F71F4E" w:rsidRDefault="00494468">
            <w:pPr>
              <w:spacing w:line="360" w:lineRule="auto"/>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10</w:t>
            </w:r>
            <w:r>
              <w:rPr>
                <w:rFonts w:ascii="宋体" w:eastAsia="宋体" w:hAnsi="宋体" w:cs="宋体" w:hint="eastAsia"/>
                <w:szCs w:val="21"/>
              </w:rPr>
              <w:t>分</w:t>
            </w:r>
          </w:p>
          <w:p w:rsidR="00F71F4E" w:rsidRDefault="00494468">
            <w:pPr>
              <w:spacing w:line="360" w:lineRule="auto"/>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65</w:t>
            </w:r>
            <w:r>
              <w:rPr>
                <w:rFonts w:ascii="宋体" w:eastAsia="宋体" w:hAnsi="宋体" w:cs="宋体" w:hint="eastAsia"/>
                <w:szCs w:val="21"/>
              </w:rPr>
              <w:t>分</w:t>
            </w:r>
          </w:p>
          <w:p w:rsidR="00F71F4E" w:rsidRDefault="00494468">
            <w:pPr>
              <w:spacing w:line="360" w:lineRule="auto"/>
              <w:ind w:firstLineChars="200" w:firstLine="420"/>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szCs w:val="21"/>
                <w:u w:val="single"/>
              </w:rPr>
              <w:t>25</w:t>
            </w:r>
            <w:r>
              <w:rPr>
                <w:rFonts w:ascii="宋体" w:eastAsia="宋体" w:hAnsi="宋体" w:cs="宋体" w:hint="eastAsia"/>
                <w:szCs w:val="21"/>
              </w:rPr>
              <w:t>分</w:t>
            </w:r>
          </w:p>
        </w:tc>
      </w:tr>
      <w:tr w:rsidR="00F71F4E">
        <w:trPr>
          <w:trHeight w:val="347"/>
          <w:jc w:val="center"/>
        </w:trPr>
        <w:tc>
          <w:tcPr>
            <w:tcW w:w="9380" w:type="dxa"/>
            <w:gridSpan w:val="3"/>
            <w:tcBorders>
              <w:bottom w:val="single" w:sz="4" w:space="0" w:color="auto"/>
            </w:tcBorders>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（一）价格部分（满分</w:t>
            </w:r>
            <w:r>
              <w:rPr>
                <w:rFonts w:ascii="宋体" w:eastAsia="宋体" w:hAnsi="宋体" w:cs="宋体" w:hint="eastAsia"/>
                <w:b/>
                <w:szCs w:val="21"/>
                <w:u w:val="single"/>
              </w:rPr>
              <w:t xml:space="preserve">10 </w:t>
            </w:r>
            <w:r>
              <w:rPr>
                <w:rFonts w:ascii="宋体" w:eastAsia="宋体" w:hAnsi="宋体" w:cs="宋体" w:hint="eastAsia"/>
                <w:b/>
                <w:szCs w:val="21"/>
              </w:rPr>
              <w:t>分）</w:t>
            </w:r>
          </w:p>
        </w:tc>
      </w:tr>
      <w:tr w:rsidR="00F71F4E">
        <w:trPr>
          <w:trHeight w:val="622"/>
          <w:jc w:val="center"/>
        </w:trPr>
        <w:tc>
          <w:tcPr>
            <w:tcW w:w="773" w:type="dxa"/>
            <w:tcBorders>
              <w:top w:val="single" w:sz="4" w:space="0" w:color="auto"/>
            </w:tcBorders>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评分因素</w:t>
            </w:r>
          </w:p>
        </w:tc>
        <w:tc>
          <w:tcPr>
            <w:tcW w:w="7940" w:type="dxa"/>
            <w:tcBorders>
              <w:top w:val="single" w:sz="4" w:space="0" w:color="auto"/>
            </w:tcBorders>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评分标准</w:t>
            </w:r>
          </w:p>
        </w:tc>
        <w:tc>
          <w:tcPr>
            <w:tcW w:w="667" w:type="dxa"/>
            <w:tcBorders>
              <w:top w:val="single" w:sz="4" w:space="0" w:color="auto"/>
            </w:tcBorders>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分值</w:t>
            </w:r>
          </w:p>
        </w:tc>
      </w:tr>
      <w:tr w:rsidR="00F71F4E">
        <w:trPr>
          <w:trHeight w:val="1234"/>
          <w:jc w:val="center"/>
        </w:trPr>
        <w:tc>
          <w:tcPr>
            <w:tcW w:w="773" w:type="dxa"/>
            <w:tcBorders>
              <w:top w:val="single" w:sz="4" w:space="0" w:color="auto"/>
            </w:tcBorders>
            <w:vAlign w:val="center"/>
          </w:tcPr>
          <w:p w:rsidR="00F71F4E" w:rsidRDefault="00494468">
            <w:pPr>
              <w:jc w:val="center"/>
              <w:rPr>
                <w:rFonts w:ascii="宋体" w:eastAsia="宋体" w:hAnsi="宋体" w:cs="宋体"/>
                <w:szCs w:val="21"/>
              </w:rPr>
            </w:pPr>
            <w:r>
              <w:rPr>
                <w:rFonts w:ascii="宋体" w:eastAsia="宋体" w:hAnsi="宋体" w:cs="宋体" w:hint="eastAsia"/>
                <w:szCs w:val="21"/>
              </w:rPr>
              <w:t>投标报价</w:t>
            </w:r>
          </w:p>
          <w:p w:rsidR="00F71F4E" w:rsidRDefault="00494468">
            <w:pPr>
              <w:jc w:val="center"/>
              <w:rPr>
                <w:rFonts w:ascii="宋体" w:eastAsia="宋体" w:hAnsi="宋体" w:cs="宋体"/>
                <w:szCs w:val="21"/>
              </w:rPr>
            </w:pPr>
            <w:r>
              <w:rPr>
                <w:rFonts w:ascii="宋体" w:eastAsia="宋体" w:hAnsi="宋体" w:cs="宋体" w:hint="eastAsia"/>
                <w:szCs w:val="21"/>
              </w:rPr>
              <w:t>评分标准</w:t>
            </w:r>
          </w:p>
        </w:tc>
        <w:tc>
          <w:tcPr>
            <w:tcW w:w="7940" w:type="dxa"/>
            <w:tcBorders>
              <w:top w:val="single" w:sz="4" w:space="0" w:color="auto"/>
            </w:tcBorders>
            <w:vAlign w:val="center"/>
          </w:tcPr>
          <w:p w:rsidR="00F71F4E" w:rsidRDefault="00494468">
            <w:pPr>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F71F4E" w:rsidRDefault="00494468">
            <w:pPr>
              <w:rPr>
                <w:rFonts w:ascii="宋体" w:eastAsia="宋体" w:hAnsi="宋体" w:cs="宋体"/>
                <w:szCs w:val="21"/>
              </w:rPr>
            </w:pPr>
            <w:r>
              <w:rPr>
                <w:rFonts w:ascii="宋体" w:eastAsia="宋体" w:hAnsi="宋体" w:cs="宋体" w:hint="eastAsia"/>
                <w:szCs w:val="21"/>
              </w:rPr>
              <w:t>投标报价得分=（评标基准价/投标报价）×10</w:t>
            </w:r>
          </w:p>
        </w:tc>
        <w:tc>
          <w:tcPr>
            <w:tcW w:w="667" w:type="dxa"/>
            <w:tcBorders>
              <w:top w:val="single" w:sz="4" w:space="0" w:color="auto"/>
            </w:tcBorders>
            <w:vAlign w:val="center"/>
          </w:tcPr>
          <w:p w:rsidR="00F71F4E" w:rsidRDefault="00494468">
            <w:pPr>
              <w:jc w:val="center"/>
              <w:rPr>
                <w:rFonts w:ascii="宋体" w:eastAsia="宋体" w:hAnsi="宋体" w:cs="宋体"/>
                <w:szCs w:val="21"/>
              </w:rPr>
            </w:pPr>
            <w:r>
              <w:rPr>
                <w:rFonts w:ascii="宋体" w:eastAsia="宋体" w:hAnsi="宋体" w:cs="宋体" w:hint="eastAsia"/>
                <w:szCs w:val="21"/>
              </w:rPr>
              <w:t>10分</w:t>
            </w:r>
          </w:p>
        </w:tc>
      </w:tr>
      <w:tr w:rsidR="00F71F4E">
        <w:trPr>
          <w:trHeight w:val="347"/>
          <w:jc w:val="center"/>
        </w:trPr>
        <w:tc>
          <w:tcPr>
            <w:tcW w:w="9380" w:type="dxa"/>
            <w:gridSpan w:val="3"/>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（二）商务部分（满分65分）</w:t>
            </w:r>
          </w:p>
        </w:tc>
      </w:tr>
      <w:tr w:rsidR="00F71F4E">
        <w:trPr>
          <w:trHeight w:val="622"/>
          <w:jc w:val="center"/>
        </w:trPr>
        <w:tc>
          <w:tcPr>
            <w:tcW w:w="773" w:type="dxa"/>
            <w:tcBorders>
              <w:bottom w:val="single" w:sz="4" w:space="0" w:color="auto"/>
            </w:tcBorders>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评分因素</w:t>
            </w:r>
          </w:p>
        </w:tc>
        <w:tc>
          <w:tcPr>
            <w:tcW w:w="7940" w:type="dxa"/>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评分标准</w:t>
            </w:r>
          </w:p>
        </w:tc>
        <w:tc>
          <w:tcPr>
            <w:tcW w:w="667" w:type="dxa"/>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分值</w:t>
            </w:r>
          </w:p>
        </w:tc>
      </w:tr>
      <w:tr w:rsidR="00F71F4E">
        <w:trPr>
          <w:trHeight w:val="1169"/>
          <w:jc w:val="center"/>
        </w:trPr>
        <w:tc>
          <w:tcPr>
            <w:tcW w:w="773" w:type="dxa"/>
            <w:vAlign w:val="center"/>
          </w:tcPr>
          <w:p w:rsidR="00F71F4E" w:rsidRDefault="00494468">
            <w:pPr>
              <w:spacing w:line="360" w:lineRule="exact"/>
              <w:jc w:val="center"/>
              <w:rPr>
                <w:rFonts w:ascii="宋体" w:eastAsia="宋体" w:hAnsi="宋体" w:cs="宋体"/>
                <w:szCs w:val="21"/>
              </w:rPr>
            </w:pPr>
            <w:r>
              <w:rPr>
                <w:rFonts w:ascii="宋体" w:eastAsia="宋体" w:hAnsi="宋体" w:cs="宋体" w:hint="eastAsia"/>
                <w:szCs w:val="21"/>
              </w:rPr>
              <w:lastRenderedPageBreak/>
              <w:t>1、投标人业绩</w:t>
            </w:r>
          </w:p>
        </w:tc>
        <w:tc>
          <w:tcPr>
            <w:tcW w:w="7940" w:type="dxa"/>
            <w:vAlign w:val="center"/>
          </w:tcPr>
          <w:p w:rsidR="00F71F4E" w:rsidRDefault="00494468">
            <w:pPr>
              <w:pStyle w:val="ad"/>
              <w:numPr>
                <w:ilvl w:val="0"/>
                <w:numId w:val="1"/>
              </w:numPr>
              <w:spacing w:line="360" w:lineRule="auto"/>
              <w:rPr>
                <w:szCs w:val="21"/>
              </w:rPr>
            </w:pPr>
            <w:r>
              <w:rPr>
                <w:rFonts w:hint="eastAsia"/>
              </w:rPr>
              <w:t>投标人2017年</w:t>
            </w:r>
            <w:r>
              <w:rPr>
                <w:rFonts w:hint="eastAsia"/>
                <w:bCs/>
                <w:szCs w:val="21"/>
              </w:rPr>
              <w:t>1月1日以来（以合同签订时间）</w:t>
            </w:r>
            <w:r>
              <w:rPr>
                <w:rFonts w:hint="eastAsia"/>
              </w:rPr>
              <w:t>承担过农村集体产权制度改革服务项目业绩，每项业绩得3分，最高得30分。</w:t>
            </w:r>
            <w:r>
              <w:rPr>
                <w:rFonts w:hint="eastAsia"/>
                <w:bCs/>
                <w:szCs w:val="21"/>
              </w:rPr>
              <w:t>（以中标通知书、合同为准）</w:t>
            </w:r>
          </w:p>
        </w:tc>
        <w:tc>
          <w:tcPr>
            <w:tcW w:w="667" w:type="dxa"/>
            <w:vAlign w:val="center"/>
          </w:tcPr>
          <w:p w:rsidR="00F71F4E" w:rsidRDefault="00494468">
            <w:pPr>
              <w:jc w:val="center"/>
              <w:rPr>
                <w:rFonts w:ascii="宋体" w:eastAsia="宋体" w:hAnsi="宋体" w:cs="宋体"/>
                <w:szCs w:val="21"/>
              </w:rPr>
            </w:pPr>
            <w:r>
              <w:rPr>
                <w:rFonts w:ascii="宋体" w:eastAsia="宋体" w:hAnsi="宋体" w:cs="宋体" w:hint="eastAsia"/>
                <w:szCs w:val="21"/>
              </w:rPr>
              <w:t>30分</w:t>
            </w:r>
          </w:p>
        </w:tc>
      </w:tr>
      <w:tr w:rsidR="00F71F4E">
        <w:trPr>
          <w:trHeight w:val="3186"/>
          <w:jc w:val="center"/>
        </w:trPr>
        <w:tc>
          <w:tcPr>
            <w:tcW w:w="773" w:type="dxa"/>
            <w:vAlign w:val="center"/>
          </w:tcPr>
          <w:p w:rsidR="00F71F4E" w:rsidRDefault="00494468">
            <w:pPr>
              <w:spacing w:line="360" w:lineRule="auto"/>
              <w:rPr>
                <w:rFonts w:ascii="宋体" w:eastAsia="宋体" w:hAnsi="宋体" w:cs="宋体"/>
                <w:szCs w:val="21"/>
              </w:rPr>
            </w:pPr>
            <w:r>
              <w:rPr>
                <w:rFonts w:ascii="宋体" w:eastAsia="宋体" w:hAnsi="宋体" w:cs="宋体" w:hint="eastAsia"/>
                <w:szCs w:val="21"/>
              </w:rPr>
              <w:t>2、</w:t>
            </w:r>
            <w:r>
              <w:rPr>
                <w:rFonts w:ascii="宋体" w:hAnsi="宋体" w:hint="eastAsia"/>
              </w:rPr>
              <w:t>投标人实力</w:t>
            </w:r>
          </w:p>
        </w:tc>
        <w:tc>
          <w:tcPr>
            <w:tcW w:w="7940" w:type="dxa"/>
            <w:vAlign w:val="center"/>
          </w:tcPr>
          <w:p w:rsidR="00F71F4E" w:rsidRDefault="00494468">
            <w:pPr>
              <w:spacing w:line="360" w:lineRule="exact"/>
              <w:rPr>
                <w:rFonts w:ascii="宋体" w:hAnsi="宋体" w:cs="宋体"/>
                <w:kern w:val="0"/>
                <w:szCs w:val="21"/>
              </w:rPr>
            </w:pPr>
            <w:r>
              <w:rPr>
                <w:rFonts w:ascii="宋体" w:hAnsi="宋体" w:cs="宋体" w:hint="eastAsia"/>
                <w:kern w:val="0"/>
                <w:szCs w:val="21"/>
              </w:rPr>
              <w:t>1、投标人拟投入本项目的项目负责人及项目副经理是正规院校毕业的测绘专业的人员，每提供1人得5分，最高15分；</w:t>
            </w:r>
          </w:p>
          <w:p w:rsidR="00F71F4E" w:rsidRDefault="00494468">
            <w:pPr>
              <w:spacing w:line="360" w:lineRule="exact"/>
              <w:rPr>
                <w:rFonts w:ascii="宋体" w:hAnsi="宋体" w:cs="宋体"/>
                <w:kern w:val="0"/>
                <w:szCs w:val="21"/>
              </w:rPr>
            </w:pPr>
            <w:r>
              <w:rPr>
                <w:rFonts w:ascii="宋体" w:hAnsi="宋体" w:cs="宋体" w:hint="eastAsia"/>
                <w:kern w:val="0"/>
                <w:szCs w:val="21"/>
              </w:rPr>
              <w:t>2、投标人拟投入本项目的技术负责人及其他技术人员具有正规院校毕业的会计专业的人员，每提供1人得2人，最高6分；</w:t>
            </w:r>
          </w:p>
          <w:p w:rsidR="00F71F4E" w:rsidRDefault="00494468">
            <w:pPr>
              <w:spacing w:line="360" w:lineRule="exact"/>
              <w:rPr>
                <w:rFonts w:ascii="宋体" w:hAnsi="宋体" w:cs="宋体"/>
                <w:kern w:val="0"/>
                <w:szCs w:val="21"/>
              </w:rPr>
            </w:pPr>
            <w:r>
              <w:rPr>
                <w:rFonts w:ascii="宋体" w:hAnsi="宋体" w:cs="宋体" w:hint="eastAsia"/>
                <w:kern w:val="0"/>
                <w:szCs w:val="21"/>
              </w:rPr>
              <w:t>3、投标人拟投入本项目的技术人员具有正规院校毕业的计算机专业的人员，每提供1人得2人，最高14分；</w:t>
            </w:r>
          </w:p>
          <w:p w:rsidR="00F71F4E" w:rsidRDefault="00494468">
            <w:pPr>
              <w:spacing w:line="360" w:lineRule="exact"/>
              <w:rPr>
                <w:rFonts w:ascii="宋体" w:hAnsi="宋体" w:cs="宋体"/>
                <w:kern w:val="0"/>
                <w:szCs w:val="21"/>
              </w:rPr>
            </w:pPr>
            <w:r>
              <w:rPr>
                <w:rFonts w:ascii="宋体" w:hAnsi="宋体" w:cs="宋体" w:hint="eastAsia"/>
                <w:kern w:val="0"/>
                <w:szCs w:val="21"/>
              </w:rPr>
              <w:t>注：1、以毕业证书</w:t>
            </w:r>
            <w:r w:rsidR="003A57AB">
              <w:rPr>
                <w:rFonts w:ascii="宋体" w:hAnsi="宋体" w:cs="宋体" w:hint="eastAsia"/>
                <w:kern w:val="0"/>
                <w:szCs w:val="21"/>
              </w:rPr>
              <w:t>在</w:t>
            </w:r>
            <w:r>
              <w:rPr>
                <w:rFonts w:ascii="宋体" w:hAnsi="宋体" w:cs="宋体" w:hint="eastAsia"/>
                <w:kern w:val="0"/>
                <w:szCs w:val="21"/>
              </w:rPr>
              <w:t>学信网（www.chsi.com.cn）最近1个月内的有效查询证明、所在单位的劳动合同及缴纳社保证明为准。</w:t>
            </w:r>
          </w:p>
          <w:p w:rsidR="00F71F4E" w:rsidRDefault="00494468">
            <w:pPr>
              <w:spacing w:line="360" w:lineRule="exact"/>
              <w:rPr>
                <w:rFonts w:eastAsia="宋体" w:cs="Times New Roman"/>
              </w:rPr>
            </w:pPr>
            <w:r>
              <w:rPr>
                <w:rFonts w:ascii="宋体" w:hAnsi="宋体" w:cs="宋体" w:hint="eastAsia"/>
                <w:kern w:val="0"/>
                <w:szCs w:val="21"/>
              </w:rPr>
              <w:t>2、同一人员不重复计分。</w:t>
            </w:r>
          </w:p>
        </w:tc>
        <w:tc>
          <w:tcPr>
            <w:tcW w:w="667" w:type="dxa"/>
            <w:vAlign w:val="center"/>
          </w:tcPr>
          <w:p w:rsidR="00F71F4E" w:rsidRDefault="00494468">
            <w:pPr>
              <w:jc w:val="center"/>
              <w:rPr>
                <w:rFonts w:ascii="宋体" w:eastAsia="宋体" w:hAnsi="宋体" w:cs="宋体"/>
                <w:szCs w:val="21"/>
              </w:rPr>
            </w:pPr>
            <w:r>
              <w:rPr>
                <w:rFonts w:ascii="宋体" w:eastAsia="宋体" w:hAnsi="宋体" w:cs="宋体" w:hint="eastAsia"/>
                <w:szCs w:val="21"/>
              </w:rPr>
              <w:t>35分</w:t>
            </w:r>
          </w:p>
        </w:tc>
      </w:tr>
      <w:tr w:rsidR="00F71F4E">
        <w:trPr>
          <w:trHeight w:val="347"/>
          <w:jc w:val="center"/>
        </w:trPr>
        <w:tc>
          <w:tcPr>
            <w:tcW w:w="9380" w:type="dxa"/>
            <w:gridSpan w:val="3"/>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（三）技术部分（满分25分）</w:t>
            </w:r>
          </w:p>
        </w:tc>
      </w:tr>
      <w:tr w:rsidR="00F71F4E">
        <w:trPr>
          <w:trHeight w:val="622"/>
          <w:jc w:val="center"/>
        </w:trPr>
        <w:tc>
          <w:tcPr>
            <w:tcW w:w="773" w:type="dxa"/>
            <w:vAlign w:val="center"/>
          </w:tcPr>
          <w:p w:rsidR="00F71F4E" w:rsidRDefault="00494468">
            <w:pPr>
              <w:jc w:val="center"/>
              <w:rPr>
                <w:rFonts w:ascii="宋体" w:eastAsia="宋体" w:hAnsi="宋体" w:cs="宋体"/>
                <w:bCs/>
                <w:szCs w:val="21"/>
              </w:rPr>
            </w:pPr>
            <w:r>
              <w:rPr>
                <w:rFonts w:ascii="宋体" w:eastAsia="宋体" w:hAnsi="宋体" w:cs="宋体" w:hint="eastAsia"/>
                <w:bCs/>
                <w:szCs w:val="21"/>
              </w:rPr>
              <w:t>项目名称</w:t>
            </w:r>
          </w:p>
        </w:tc>
        <w:tc>
          <w:tcPr>
            <w:tcW w:w="7940" w:type="dxa"/>
            <w:vAlign w:val="center"/>
          </w:tcPr>
          <w:p w:rsidR="00F71F4E" w:rsidRDefault="00494468">
            <w:pPr>
              <w:jc w:val="center"/>
              <w:rPr>
                <w:rFonts w:ascii="宋体" w:eastAsia="宋体" w:hAnsi="宋体" w:cs="宋体"/>
                <w:bCs/>
                <w:szCs w:val="21"/>
              </w:rPr>
            </w:pPr>
            <w:r>
              <w:rPr>
                <w:rFonts w:ascii="宋体" w:eastAsia="宋体" w:hAnsi="宋体" w:cs="宋体" w:hint="eastAsia"/>
                <w:bCs/>
                <w:szCs w:val="21"/>
              </w:rPr>
              <w:t>评分细则</w:t>
            </w:r>
          </w:p>
        </w:tc>
        <w:tc>
          <w:tcPr>
            <w:tcW w:w="667" w:type="dxa"/>
            <w:vAlign w:val="center"/>
          </w:tcPr>
          <w:p w:rsidR="00F71F4E" w:rsidRDefault="00494468">
            <w:pPr>
              <w:jc w:val="center"/>
              <w:rPr>
                <w:rFonts w:ascii="宋体" w:eastAsia="宋体" w:hAnsi="宋体" w:cs="宋体"/>
                <w:b/>
                <w:szCs w:val="21"/>
              </w:rPr>
            </w:pPr>
            <w:r>
              <w:rPr>
                <w:rFonts w:ascii="宋体" w:eastAsia="宋体" w:hAnsi="宋体" w:cs="宋体" w:hint="eastAsia"/>
                <w:b/>
                <w:szCs w:val="21"/>
              </w:rPr>
              <w:t>分值</w:t>
            </w:r>
          </w:p>
        </w:tc>
      </w:tr>
      <w:tr w:rsidR="00F71F4E">
        <w:trPr>
          <w:trHeight w:val="702"/>
          <w:jc w:val="center"/>
        </w:trPr>
        <w:tc>
          <w:tcPr>
            <w:tcW w:w="773" w:type="dxa"/>
            <w:vMerge w:val="restart"/>
            <w:vAlign w:val="center"/>
          </w:tcPr>
          <w:p w:rsidR="00F71F4E" w:rsidRDefault="00494468">
            <w:pPr>
              <w:spacing w:line="460" w:lineRule="exact"/>
              <w:rPr>
                <w:rFonts w:ascii="宋体" w:hAnsi="宋体"/>
              </w:rPr>
            </w:pPr>
            <w:r>
              <w:rPr>
                <w:rFonts w:ascii="宋体" w:hAnsi="宋体" w:hint="eastAsia"/>
              </w:rPr>
              <w:t>服务大纲</w:t>
            </w:r>
          </w:p>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hAnsi="宋体" w:cs="宋体" w:hint="eastAsia"/>
                <w:kern w:val="0"/>
                <w:szCs w:val="21"/>
              </w:rPr>
              <w:t>专业性：投标单位制订的农村集体产权制度改革方案突出专业性、政策性、规范性，以专业知识和技能提供解决方案</w:t>
            </w:r>
            <w:r>
              <w:rPr>
                <w:rFonts w:ascii="宋体" w:eastAsia="宋体" w:hAnsi="宋体" w:cs="宋体" w:hint="eastAsia"/>
                <w:bCs/>
                <w:szCs w:val="21"/>
              </w:rPr>
              <w:t>得2.5分，只进行简单概括描述的得1.5分。</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597"/>
          <w:jc w:val="center"/>
        </w:trPr>
        <w:tc>
          <w:tcPr>
            <w:tcW w:w="773" w:type="dxa"/>
            <w:vMerge/>
            <w:vAlign w:val="center"/>
          </w:tcPr>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hAnsi="宋体" w:cs="宋体" w:hint="eastAsia"/>
                <w:kern w:val="0"/>
                <w:szCs w:val="21"/>
              </w:rPr>
              <w:t>针对性：方案的制定应充分结合农村集体产权制度改革的实际出发，方案体现针对性</w:t>
            </w:r>
            <w:r>
              <w:rPr>
                <w:rFonts w:ascii="宋体" w:eastAsia="宋体" w:hAnsi="宋体" w:cs="宋体" w:hint="eastAsia"/>
                <w:bCs/>
                <w:szCs w:val="21"/>
              </w:rPr>
              <w:t>得2.5分，只进行简单概括描述的得1.5分。</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716"/>
          <w:jc w:val="center"/>
        </w:trPr>
        <w:tc>
          <w:tcPr>
            <w:tcW w:w="773" w:type="dxa"/>
            <w:vMerge/>
            <w:vAlign w:val="center"/>
          </w:tcPr>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hAnsi="宋体" w:cs="宋体" w:hint="eastAsia"/>
                <w:kern w:val="0"/>
                <w:szCs w:val="21"/>
              </w:rPr>
              <w:t>严谨性：方案制定统筹考虑农村集体产权制度改革过程中可能出现的问题，以及相对应的解决方案</w:t>
            </w:r>
            <w:r>
              <w:rPr>
                <w:rFonts w:ascii="宋体" w:eastAsia="宋体" w:hAnsi="宋体" w:cs="宋体" w:hint="eastAsia"/>
                <w:bCs/>
                <w:szCs w:val="21"/>
              </w:rPr>
              <w:t>得2.5分，只进行简单概括描述的得1.5分。</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716"/>
          <w:jc w:val="center"/>
        </w:trPr>
        <w:tc>
          <w:tcPr>
            <w:tcW w:w="773" w:type="dxa"/>
            <w:vMerge/>
            <w:vAlign w:val="center"/>
          </w:tcPr>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hAnsi="宋体" w:cs="宋体" w:hint="eastAsia"/>
                <w:kern w:val="0"/>
                <w:szCs w:val="21"/>
              </w:rPr>
              <w:t>可操作性：农村集体产权制度改革方案的制定要切合实际，具备操作性</w:t>
            </w:r>
            <w:r>
              <w:rPr>
                <w:rFonts w:ascii="宋体" w:eastAsia="宋体" w:hAnsi="宋体" w:cs="宋体" w:hint="eastAsia"/>
                <w:bCs/>
                <w:szCs w:val="21"/>
              </w:rPr>
              <w:t>得2.5分，只进行简单概括描述的得1.5分。</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716"/>
          <w:jc w:val="center"/>
        </w:trPr>
        <w:tc>
          <w:tcPr>
            <w:tcW w:w="773" w:type="dxa"/>
            <w:vMerge/>
            <w:vAlign w:val="center"/>
          </w:tcPr>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hAnsi="宋体" w:cs="宋体" w:hint="eastAsia"/>
                <w:kern w:val="0"/>
                <w:szCs w:val="21"/>
              </w:rPr>
              <w:t>项目实施进度安排科学合理，组织实施措施得力，工期、质量有保障，能够满足工期需要的</w:t>
            </w:r>
            <w:r>
              <w:rPr>
                <w:rFonts w:ascii="宋体" w:eastAsia="宋体" w:hAnsi="宋体" w:cs="宋体" w:hint="eastAsia"/>
                <w:bCs/>
                <w:szCs w:val="21"/>
              </w:rPr>
              <w:t>得2.5分，只进行简单概括描述的得1.5分。</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716"/>
          <w:jc w:val="center"/>
        </w:trPr>
        <w:tc>
          <w:tcPr>
            <w:tcW w:w="773" w:type="dxa"/>
            <w:vMerge/>
            <w:vAlign w:val="center"/>
          </w:tcPr>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hAnsi="宋体" w:cs="宋体" w:hint="eastAsia"/>
                <w:kern w:val="0"/>
                <w:szCs w:val="21"/>
              </w:rPr>
              <w:t>项目组织结构，项目主要人员安排及机构职责明确，确保项目工期的保障措施充分得力的</w:t>
            </w:r>
            <w:r>
              <w:rPr>
                <w:rFonts w:ascii="宋体" w:eastAsia="宋体" w:hAnsi="宋体" w:cs="宋体" w:hint="eastAsia"/>
                <w:bCs/>
                <w:szCs w:val="21"/>
              </w:rPr>
              <w:t>得2.5分，只进行简单概括描述的得1.5分。</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1069"/>
          <w:jc w:val="center"/>
        </w:trPr>
        <w:tc>
          <w:tcPr>
            <w:tcW w:w="773" w:type="dxa"/>
            <w:vMerge/>
            <w:vAlign w:val="center"/>
          </w:tcPr>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hAnsi="宋体" w:cs="宋体" w:hint="eastAsia"/>
                <w:kern w:val="0"/>
                <w:szCs w:val="21"/>
              </w:rPr>
              <w:t>项目实施工作技术路线正确，满足中央、省、市、区农村集体产权制度改革相关规定的，方案科学合理，符合招标要求，且满足投标人项目需求的</w:t>
            </w:r>
            <w:r>
              <w:rPr>
                <w:rFonts w:ascii="宋体" w:eastAsia="宋体" w:hAnsi="宋体" w:cs="宋体" w:hint="eastAsia"/>
                <w:bCs/>
                <w:szCs w:val="21"/>
              </w:rPr>
              <w:t>得2.5分，只进行简单概括描述的得1.5分。</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716"/>
          <w:jc w:val="center"/>
        </w:trPr>
        <w:tc>
          <w:tcPr>
            <w:tcW w:w="773" w:type="dxa"/>
            <w:vMerge/>
            <w:vAlign w:val="center"/>
          </w:tcPr>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hAnsi="宋体" w:cs="宋体" w:hint="eastAsia"/>
                <w:kern w:val="0"/>
                <w:szCs w:val="21"/>
              </w:rPr>
              <w:t>技术方案内容齐全、结构清晰、表述准确、主题明确，关键技术的作业流程和方法先进、可行、规范、周密</w:t>
            </w:r>
            <w:r>
              <w:rPr>
                <w:rFonts w:ascii="宋体" w:eastAsia="宋体" w:hAnsi="宋体" w:cs="宋体" w:hint="eastAsia"/>
                <w:bCs/>
                <w:szCs w:val="21"/>
              </w:rPr>
              <w:t>得2.5分，只进行简单概括描述的得1.5分。</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716"/>
          <w:jc w:val="center"/>
        </w:trPr>
        <w:tc>
          <w:tcPr>
            <w:tcW w:w="773" w:type="dxa"/>
            <w:vMerge/>
            <w:vAlign w:val="center"/>
          </w:tcPr>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hAnsi="宋体" w:cs="宋体" w:hint="eastAsia"/>
                <w:kern w:val="0"/>
                <w:szCs w:val="21"/>
              </w:rPr>
              <w:t>管理体制和组织机构设置科学合理，分工明确，能够满足项目实施实际需要，</w:t>
            </w:r>
            <w:r>
              <w:rPr>
                <w:rFonts w:ascii="宋体" w:hAnsi="宋体" w:cs="宋体" w:hint="eastAsia"/>
                <w:szCs w:val="21"/>
              </w:rPr>
              <w:t>投标人须提供详细的驻场人员名单</w:t>
            </w:r>
            <w:r>
              <w:rPr>
                <w:rFonts w:ascii="宋体" w:eastAsia="宋体" w:hAnsi="宋体" w:cs="宋体" w:hint="eastAsia"/>
                <w:bCs/>
                <w:szCs w:val="21"/>
              </w:rPr>
              <w:t>得2.5分，只进行简单概括描述的得1.5分</w:t>
            </w:r>
            <w:r>
              <w:rPr>
                <w:rFonts w:ascii="宋体" w:hAnsi="宋体" w:cs="宋体" w:hint="eastAsia"/>
                <w:szCs w:val="21"/>
              </w:rPr>
              <w:t>。</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716"/>
          <w:jc w:val="center"/>
        </w:trPr>
        <w:tc>
          <w:tcPr>
            <w:tcW w:w="773" w:type="dxa"/>
            <w:vMerge/>
            <w:vAlign w:val="center"/>
          </w:tcPr>
          <w:p w:rsidR="00F71F4E" w:rsidRDefault="00F71F4E">
            <w:pPr>
              <w:jc w:val="center"/>
              <w:rPr>
                <w:rFonts w:ascii="宋体" w:eastAsia="宋体" w:hAnsi="宋体" w:cs="宋体"/>
                <w:bCs/>
                <w:szCs w:val="21"/>
              </w:rPr>
            </w:pPr>
          </w:p>
        </w:tc>
        <w:tc>
          <w:tcPr>
            <w:tcW w:w="7940" w:type="dxa"/>
            <w:vAlign w:val="center"/>
          </w:tcPr>
          <w:p w:rsidR="00F71F4E" w:rsidRDefault="00494468">
            <w:pPr>
              <w:spacing w:line="360" w:lineRule="exact"/>
              <w:rPr>
                <w:rFonts w:ascii="宋体" w:eastAsia="宋体" w:hAnsi="宋体" w:cs="宋体"/>
                <w:bCs/>
                <w:szCs w:val="21"/>
              </w:rPr>
            </w:pPr>
            <w:r>
              <w:rPr>
                <w:rFonts w:ascii="宋体" w:eastAsia="宋体" w:hAnsi="宋体" w:cs="宋体" w:hint="eastAsia"/>
                <w:bCs/>
                <w:szCs w:val="21"/>
              </w:rPr>
              <w:t>投标人提供的质保期内售后服务方案科学、合理、全面得2.5分，只进行简单概括描述的得1.5分。</w:t>
            </w:r>
          </w:p>
        </w:tc>
        <w:tc>
          <w:tcPr>
            <w:tcW w:w="667" w:type="dxa"/>
            <w:vAlign w:val="center"/>
          </w:tcPr>
          <w:p w:rsidR="00F71F4E" w:rsidRDefault="00494468">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71F4E">
        <w:trPr>
          <w:trHeight w:val="410"/>
          <w:jc w:val="center"/>
        </w:trPr>
        <w:tc>
          <w:tcPr>
            <w:tcW w:w="773" w:type="dxa"/>
            <w:vMerge/>
            <w:vAlign w:val="center"/>
          </w:tcPr>
          <w:p w:rsidR="00F71F4E" w:rsidRDefault="00F71F4E">
            <w:pPr>
              <w:jc w:val="center"/>
              <w:rPr>
                <w:rFonts w:ascii="宋体" w:eastAsia="宋体" w:hAnsi="宋体" w:cs="宋体"/>
                <w:bCs/>
                <w:szCs w:val="21"/>
              </w:rPr>
            </w:pPr>
          </w:p>
        </w:tc>
        <w:tc>
          <w:tcPr>
            <w:tcW w:w="8607" w:type="dxa"/>
            <w:gridSpan w:val="2"/>
            <w:vAlign w:val="center"/>
          </w:tcPr>
          <w:p w:rsidR="00F71F4E" w:rsidRDefault="00494468">
            <w:pPr>
              <w:widowControl/>
              <w:spacing w:line="253" w:lineRule="atLeast"/>
              <w:jc w:val="left"/>
              <w:rPr>
                <w:rFonts w:ascii="宋体" w:hAnsi="宋体"/>
                <w:kern w:val="0"/>
              </w:rPr>
            </w:pPr>
            <w:r>
              <w:rPr>
                <w:rFonts w:ascii="宋体" w:hAnsi="宋体" w:hint="eastAsia"/>
                <w:b/>
                <w:bCs/>
              </w:rPr>
              <w:t>注：以上项目若有缺项，所缺项为0分。</w:t>
            </w:r>
          </w:p>
        </w:tc>
      </w:tr>
    </w:tbl>
    <w:p w:rsidR="00F71F4E" w:rsidRDefault="00F71F4E">
      <w:pPr>
        <w:pStyle w:val="aa"/>
        <w:widowControl/>
        <w:spacing w:after="180" w:line="408" w:lineRule="auto"/>
        <w:rPr>
          <w:rFonts w:asciiTheme="minorEastAsia" w:eastAsiaTheme="minorEastAsia" w:hAnsiTheme="minorEastAsia" w:cs="仿宋_GB2312"/>
          <w:shd w:val="clear" w:color="auto" w:fill="FFFFFF"/>
        </w:rPr>
      </w:pPr>
    </w:p>
    <w:p w:rsidR="00F71F4E" w:rsidRDefault="00494468">
      <w:pPr>
        <w:widowControl/>
        <w:shd w:val="clear" w:color="auto" w:fill="FFFFFF"/>
        <w:spacing w:line="500" w:lineRule="atLeast"/>
        <w:jc w:val="left"/>
        <w:rPr>
          <w:rFonts w:ascii="宋体" w:eastAsia="宋体" w:hAnsi="宋体" w:cs="宋体"/>
          <w:b/>
          <w:bCs/>
          <w:kern w:val="0"/>
          <w:sz w:val="24"/>
        </w:rPr>
      </w:pPr>
      <w:r>
        <w:rPr>
          <w:rFonts w:ascii="宋体" w:eastAsia="宋体" w:hAnsi="宋体" w:cs="宋体" w:hint="eastAsia"/>
          <w:b/>
          <w:bCs/>
          <w:kern w:val="0"/>
          <w:sz w:val="24"/>
          <w:shd w:val="clear" w:color="auto" w:fill="FFFFFF"/>
        </w:rPr>
        <w:lastRenderedPageBreak/>
        <w:t>七、联系方式</w:t>
      </w:r>
    </w:p>
    <w:p w:rsidR="00F71F4E" w:rsidRDefault="0049446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采购人：许昌经济技术开发区法制与社会服务局</w:t>
      </w:r>
    </w:p>
    <w:p w:rsidR="00F71F4E" w:rsidRDefault="0049446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联系人：蔡女士</w:t>
      </w:r>
    </w:p>
    <w:p w:rsidR="00F71F4E" w:rsidRDefault="0049446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联系电话：0374-8581693</w:t>
      </w:r>
    </w:p>
    <w:p w:rsidR="00F71F4E" w:rsidRDefault="00494468">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地址：许昌市魏都区瑞祥路1969号</w:t>
      </w:r>
    </w:p>
    <w:p w:rsidR="00F71F4E" w:rsidRDefault="00F71F4E">
      <w:pPr>
        <w:widowControl/>
        <w:shd w:val="clear" w:color="auto" w:fill="FFFFFF"/>
        <w:spacing w:line="500" w:lineRule="atLeast"/>
        <w:ind w:firstLine="4350"/>
        <w:jc w:val="center"/>
        <w:rPr>
          <w:rFonts w:ascii="仿宋" w:eastAsia="仿宋" w:hAnsi="仿宋" w:cs="仿宋"/>
          <w:kern w:val="0"/>
          <w:sz w:val="30"/>
          <w:szCs w:val="30"/>
          <w:shd w:val="clear" w:color="auto" w:fill="FFFFFF"/>
        </w:rPr>
      </w:pPr>
    </w:p>
    <w:p w:rsidR="00F71F4E" w:rsidRDefault="00494468">
      <w:pPr>
        <w:widowControl/>
        <w:shd w:val="clear" w:color="auto" w:fill="FFFFFF"/>
        <w:spacing w:line="500" w:lineRule="atLeast"/>
        <w:ind w:firstLine="4350"/>
        <w:jc w:val="center"/>
        <w:rPr>
          <w:rFonts w:asciiTheme="minorEastAsia" w:hAnsiTheme="minorEastAsia" w:cs="仿宋_GB2312"/>
          <w:sz w:val="24"/>
          <w:shd w:val="clear" w:color="auto" w:fill="FFFFFF"/>
        </w:rPr>
      </w:pPr>
      <w:r>
        <w:rPr>
          <w:rFonts w:asciiTheme="minorEastAsia" w:hAnsiTheme="minorEastAsia" w:cs="仿宋_GB2312" w:hint="eastAsia"/>
          <w:sz w:val="24"/>
          <w:shd w:val="clear" w:color="auto" w:fill="FFFFFF"/>
        </w:rPr>
        <w:t>许昌经济技术开发区法制与社会服务局</w:t>
      </w:r>
    </w:p>
    <w:p w:rsidR="00F71F4E" w:rsidRDefault="00494468">
      <w:pPr>
        <w:widowControl/>
        <w:shd w:val="clear" w:color="auto" w:fill="FFFFFF"/>
        <w:spacing w:line="500" w:lineRule="atLeast"/>
        <w:ind w:firstLine="4350"/>
        <w:jc w:val="center"/>
        <w:rPr>
          <w:rFonts w:ascii="宋体" w:eastAsia="宋体" w:hAnsi="宋体" w:cs="宋体"/>
          <w:kern w:val="0"/>
          <w:sz w:val="24"/>
          <w:shd w:val="clear" w:color="auto" w:fill="FFFFFF"/>
        </w:rPr>
      </w:pPr>
      <w:r>
        <w:rPr>
          <w:rFonts w:asciiTheme="minorEastAsia" w:hAnsiTheme="minorEastAsia" w:cs="仿宋_GB2312" w:hint="eastAsia"/>
          <w:sz w:val="24"/>
          <w:shd w:val="clear" w:color="auto" w:fill="FFFFFF"/>
        </w:rPr>
        <w:t xml:space="preserve">                2018年11月</w:t>
      </w:r>
      <w:r w:rsidR="001D16DC">
        <w:rPr>
          <w:rFonts w:asciiTheme="minorEastAsia" w:hAnsiTheme="minorEastAsia" w:cs="仿宋_GB2312" w:hint="eastAsia"/>
          <w:sz w:val="24"/>
          <w:shd w:val="clear" w:color="auto" w:fill="FFFFFF"/>
        </w:rPr>
        <w:t>22</w:t>
      </w:r>
      <w:r>
        <w:rPr>
          <w:rFonts w:asciiTheme="minorEastAsia" w:hAnsiTheme="minorEastAsia" w:cs="仿宋_GB2312" w:hint="eastAsia"/>
          <w:sz w:val="24"/>
          <w:shd w:val="clear" w:color="auto" w:fill="FFFFFF"/>
        </w:rPr>
        <w:t>日</w:t>
      </w:r>
    </w:p>
    <w:p w:rsidR="00F71F4E" w:rsidRDefault="00F71F4E">
      <w:pPr>
        <w:pStyle w:val="2"/>
        <w:ind w:left="0" w:firstLineChars="0" w:firstLine="0"/>
      </w:pPr>
    </w:p>
    <w:sectPr w:rsidR="00F71F4E" w:rsidSect="00F71F4E">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532" w:rsidRDefault="00A75532" w:rsidP="00F71F4E">
      <w:r>
        <w:separator/>
      </w:r>
    </w:p>
  </w:endnote>
  <w:endnote w:type="continuationSeparator" w:id="1">
    <w:p w:rsidR="00A75532" w:rsidRDefault="00A75532" w:rsidP="00F7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4E" w:rsidRDefault="0022557D">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F71F4E" w:rsidRDefault="0022557D">
                <w:pPr>
                  <w:pStyle w:val="a8"/>
                </w:pPr>
                <w:r>
                  <w:rPr>
                    <w:rFonts w:hint="eastAsia"/>
                  </w:rPr>
                  <w:fldChar w:fldCharType="begin"/>
                </w:r>
                <w:r w:rsidR="00494468">
                  <w:rPr>
                    <w:rFonts w:hint="eastAsia"/>
                  </w:rPr>
                  <w:instrText xml:space="preserve"> PAGE  \* MERGEFORMAT </w:instrText>
                </w:r>
                <w:r>
                  <w:rPr>
                    <w:rFonts w:hint="eastAsia"/>
                  </w:rPr>
                  <w:fldChar w:fldCharType="separate"/>
                </w:r>
                <w:r w:rsidR="003A57AB">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532" w:rsidRDefault="00A75532" w:rsidP="00F71F4E">
      <w:r>
        <w:separator/>
      </w:r>
    </w:p>
  </w:footnote>
  <w:footnote w:type="continuationSeparator" w:id="1">
    <w:p w:rsidR="00A75532" w:rsidRDefault="00A75532" w:rsidP="00F71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D6155"/>
    <w:multiLevelType w:val="multilevel"/>
    <w:tmpl w:val="62AD615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924713"/>
    <w:rsid w:val="00082317"/>
    <w:rsid w:val="0016617B"/>
    <w:rsid w:val="001D16DC"/>
    <w:rsid w:val="0022557D"/>
    <w:rsid w:val="00341431"/>
    <w:rsid w:val="00344951"/>
    <w:rsid w:val="00393A58"/>
    <w:rsid w:val="003A57AB"/>
    <w:rsid w:val="004861DE"/>
    <w:rsid w:val="00494468"/>
    <w:rsid w:val="00501C1C"/>
    <w:rsid w:val="0052657E"/>
    <w:rsid w:val="005809D4"/>
    <w:rsid w:val="005D1103"/>
    <w:rsid w:val="00644A07"/>
    <w:rsid w:val="006C3CBA"/>
    <w:rsid w:val="00705919"/>
    <w:rsid w:val="007317F4"/>
    <w:rsid w:val="0076394B"/>
    <w:rsid w:val="00766152"/>
    <w:rsid w:val="007F4425"/>
    <w:rsid w:val="0083193A"/>
    <w:rsid w:val="008950BB"/>
    <w:rsid w:val="00947903"/>
    <w:rsid w:val="009609C9"/>
    <w:rsid w:val="00974A71"/>
    <w:rsid w:val="00975DC2"/>
    <w:rsid w:val="00A26D72"/>
    <w:rsid w:val="00A71DDD"/>
    <w:rsid w:val="00A75532"/>
    <w:rsid w:val="00A824AD"/>
    <w:rsid w:val="00B05CD0"/>
    <w:rsid w:val="00B37D37"/>
    <w:rsid w:val="00CB353A"/>
    <w:rsid w:val="00D73802"/>
    <w:rsid w:val="00E42D4D"/>
    <w:rsid w:val="00EC349E"/>
    <w:rsid w:val="00F71F4E"/>
    <w:rsid w:val="00F9751E"/>
    <w:rsid w:val="00FC26D5"/>
    <w:rsid w:val="00FE6CF8"/>
    <w:rsid w:val="02253325"/>
    <w:rsid w:val="024717BD"/>
    <w:rsid w:val="03183131"/>
    <w:rsid w:val="03664887"/>
    <w:rsid w:val="03D51344"/>
    <w:rsid w:val="03D95F97"/>
    <w:rsid w:val="03F917AD"/>
    <w:rsid w:val="04125998"/>
    <w:rsid w:val="04F13441"/>
    <w:rsid w:val="06211670"/>
    <w:rsid w:val="062E25CC"/>
    <w:rsid w:val="073C66F2"/>
    <w:rsid w:val="07994871"/>
    <w:rsid w:val="088626D9"/>
    <w:rsid w:val="08A20BCC"/>
    <w:rsid w:val="08B70EF2"/>
    <w:rsid w:val="0979435B"/>
    <w:rsid w:val="0AB5751D"/>
    <w:rsid w:val="0AD61C41"/>
    <w:rsid w:val="0C66039C"/>
    <w:rsid w:val="0C6A3E37"/>
    <w:rsid w:val="0CDC4CF8"/>
    <w:rsid w:val="0F4E733B"/>
    <w:rsid w:val="10C16A6B"/>
    <w:rsid w:val="115A0E75"/>
    <w:rsid w:val="12227063"/>
    <w:rsid w:val="124B30FE"/>
    <w:rsid w:val="12592AE7"/>
    <w:rsid w:val="135B5B5D"/>
    <w:rsid w:val="1450134F"/>
    <w:rsid w:val="14AF4967"/>
    <w:rsid w:val="15452078"/>
    <w:rsid w:val="15635BE2"/>
    <w:rsid w:val="158600D0"/>
    <w:rsid w:val="158F10CD"/>
    <w:rsid w:val="16F5133C"/>
    <w:rsid w:val="16FF1719"/>
    <w:rsid w:val="17E56EBD"/>
    <w:rsid w:val="18D64C85"/>
    <w:rsid w:val="19F53EC5"/>
    <w:rsid w:val="1B777006"/>
    <w:rsid w:val="1D6E254A"/>
    <w:rsid w:val="1DCE58A0"/>
    <w:rsid w:val="1E8E114B"/>
    <w:rsid w:val="1FC41EC3"/>
    <w:rsid w:val="208F3C65"/>
    <w:rsid w:val="20EB3E63"/>
    <w:rsid w:val="20FF3FD9"/>
    <w:rsid w:val="217F2C55"/>
    <w:rsid w:val="21CE7F37"/>
    <w:rsid w:val="222B47C3"/>
    <w:rsid w:val="22700FF2"/>
    <w:rsid w:val="23EB5280"/>
    <w:rsid w:val="24805556"/>
    <w:rsid w:val="24A323BD"/>
    <w:rsid w:val="252F2F8E"/>
    <w:rsid w:val="25565969"/>
    <w:rsid w:val="2BA754DE"/>
    <w:rsid w:val="2C1A4688"/>
    <w:rsid w:val="2C594D61"/>
    <w:rsid w:val="2D4D0E87"/>
    <w:rsid w:val="2DB371D4"/>
    <w:rsid w:val="2DB43042"/>
    <w:rsid w:val="2E3C4C26"/>
    <w:rsid w:val="2EAF3112"/>
    <w:rsid w:val="316E032C"/>
    <w:rsid w:val="33452F64"/>
    <w:rsid w:val="33BD12BB"/>
    <w:rsid w:val="342E735E"/>
    <w:rsid w:val="34927B4E"/>
    <w:rsid w:val="349D13F4"/>
    <w:rsid w:val="34A301D0"/>
    <w:rsid w:val="34D64F98"/>
    <w:rsid w:val="35B71D62"/>
    <w:rsid w:val="361669BF"/>
    <w:rsid w:val="362323B5"/>
    <w:rsid w:val="363C5811"/>
    <w:rsid w:val="36D421C8"/>
    <w:rsid w:val="36EC690F"/>
    <w:rsid w:val="36EE3F6D"/>
    <w:rsid w:val="37DC274B"/>
    <w:rsid w:val="398D1940"/>
    <w:rsid w:val="39D44A37"/>
    <w:rsid w:val="39ED4EA1"/>
    <w:rsid w:val="3A396A33"/>
    <w:rsid w:val="3AC506FA"/>
    <w:rsid w:val="3BD00411"/>
    <w:rsid w:val="3CA06166"/>
    <w:rsid w:val="3CB10AB6"/>
    <w:rsid w:val="3D787DDD"/>
    <w:rsid w:val="3DF537E1"/>
    <w:rsid w:val="3E24043E"/>
    <w:rsid w:val="3E945CCD"/>
    <w:rsid w:val="3F563118"/>
    <w:rsid w:val="3FB2540B"/>
    <w:rsid w:val="40F81266"/>
    <w:rsid w:val="41275604"/>
    <w:rsid w:val="41BD3DE3"/>
    <w:rsid w:val="424C33C5"/>
    <w:rsid w:val="42AE2B5B"/>
    <w:rsid w:val="42E558CA"/>
    <w:rsid w:val="436479C1"/>
    <w:rsid w:val="43764980"/>
    <w:rsid w:val="439C3521"/>
    <w:rsid w:val="44D32D08"/>
    <w:rsid w:val="45FE7929"/>
    <w:rsid w:val="46054FE2"/>
    <w:rsid w:val="46095C87"/>
    <w:rsid w:val="4616237F"/>
    <w:rsid w:val="46465708"/>
    <w:rsid w:val="48330F55"/>
    <w:rsid w:val="48CE400C"/>
    <w:rsid w:val="491D6B47"/>
    <w:rsid w:val="4979529E"/>
    <w:rsid w:val="4AF030D5"/>
    <w:rsid w:val="4BD06BA6"/>
    <w:rsid w:val="4C5F2E2C"/>
    <w:rsid w:val="4CB471D0"/>
    <w:rsid w:val="4D764E26"/>
    <w:rsid w:val="4EE3203E"/>
    <w:rsid w:val="4F146799"/>
    <w:rsid w:val="4F2C63AE"/>
    <w:rsid w:val="4F392383"/>
    <w:rsid w:val="4FB52CB3"/>
    <w:rsid w:val="501238D7"/>
    <w:rsid w:val="50810BA7"/>
    <w:rsid w:val="50DB3657"/>
    <w:rsid w:val="51536AC4"/>
    <w:rsid w:val="530B4001"/>
    <w:rsid w:val="534D7683"/>
    <w:rsid w:val="539939DB"/>
    <w:rsid w:val="54536DAC"/>
    <w:rsid w:val="54541576"/>
    <w:rsid w:val="54BE0606"/>
    <w:rsid w:val="54CB4A8C"/>
    <w:rsid w:val="559A580F"/>
    <w:rsid w:val="572B728B"/>
    <w:rsid w:val="578F2154"/>
    <w:rsid w:val="5826411B"/>
    <w:rsid w:val="59BC67A2"/>
    <w:rsid w:val="5B9E09B9"/>
    <w:rsid w:val="5C1665C0"/>
    <w:rsid w:val="5CE467DB"/>
    <w:rsid w:val="5CEA490D"/>
    <w:rsid w:val="5DBF2D4F"/>
    <w:rsid w:val="5E3F3208"/>
    <w:rsid w:val="5E65109E"/>
    <w:rsid w:val="5FFB69D0"/>
    <w:rsid w:val="6152057D"/>
    <w:rsid w:val="61692831"/>
    <w:rsid w:val="63A36531"/>
    <w:rsid w:val="64293D66"/>
    <w:rsid w:val="6555426D"/>
    <w:rsid w:val="65A5468C"/>
    <w:rsid w:val="668D343F"/>
    <w:rsid w:val="66912DA9"/>
    <w:rsid w:val="66CD3168"/>
    <w:rsid w:val="67463F59"/>
    <w:rsid w:val="6843042D"/>
    <w:rsid w:val="68C56867"/>
    <w:rsid w:val="69E72E75"/>
    <w:rsid w:val="6B0379E4"/>
    <w:rsid w:val="6B3E048D"/>
    <w:rsid w:val="6BF13BF1"/>
    <w:rsid w:val="6CE43378"/>
    <w:rsid w:val="6D5B2D4D"/>
    <w:rsid w:val="6DD01414"/>
    <w:rsid w:val="6E496176"/>
    <w:rsid w:val="6EDF7BCA"/>
    <w:rsid w:val="6F022597"/>
    <w:rsid w:val="6F256B1D"/>
    <w:rsid w:val="6F514FD1"/>
    <w:rsid w:val="6FB11724"/>
    <w:rsid w:val="6FE766F0"/>
    <w:rsid w:val="707F0BA0"/>
    <w:rsid w:val="71293F76"/>
    <w:rsid w:val="71771DE5"/>
    <w:rsid w:val="71A13964"/>
    <w:rsid w:val="720C0C41"/>
    <w:rsid w:val="722701AF"/>
    <w:rsid w:val="72BF506E"/>
    <w:rsid w:val="73E434B4"/>
    <w:rsid w:val="7407751D"/>
    <w:rsid w:val="74532FED"/>
    <w:rsid w:val="748C573B"/>
    <w:rsid w:val="75387585"/>
    <w:rsid w:val="75D63841"/>
    <w:rsid w:val="76E946F6"/>
    <w:rsid w:val="782E7A45"/>
    <w:rsid w:val="79F61640"/>
    <w:rsid w:val="7AF524BD"/>
    <w:rsid w:val="7B9162DA"/>
    <w:rsid w:val="7CD0738B"/>
    <w:rsid w:val="7D0542D7"/>
    <w:rsid w:val="7DFC36AB"/>
    <w:rsid w:val="7EFD6E3D"/>
    <w:rsid w:val="7F924713"/>
    <w:rsid w:val="7FB430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1F4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F71F4E"/>
    <w:pPr>
      <w:ind w:firstLineChars="100" w:firstLine="100"/>
    </w:pPr>
  </w:style>
  <w:style w:type="paragraph" w:styleId="a4">
    <w:name w:val="Body Text"/>
    <w:basedOn w:val="a"/>
    <w:qFormat/>
    <w:rsid w:val="00F71F4E"/>
    <w:pPr>
      <w:spacing w:line="360" w:lineRule="auto"/>
    </w:pPr>
    <w:rPr>
      <w:rFonts w:ascii="仿宋_GB2312" w:eastAsia="仿宋_GB2312" w:hAnsi="宋体"/>
      <w:sz w:val="24"/>
      <w:szCs w:val="28"/>
    </w:rPr>
  </w:style>
  <w:style w:type="paragraph" w:styleId="a5">
    <w:name w:val="Body Text Indent"/>
    <w:basedOn w:val="a"/>
    <w:qFormat/>
    <w:rsid w:val="00F71F4E"/>
    <w:pPr>
      <w:spacing w:line="400" w:lineRule="exact"/>
      <w:ind w:left="630"/>
    </w:pPr>
    <w:rPr>
      <w:rFonts w:ascii="楷体_GB2312"/>
      <w:szCs w:val="20"/>
    </w:rPr>
  </w:style>
  <w:style w:type="paragraph" w:styleId="a6">
    <w:name w:val="Plain Text"/>
    <w:basedOn w:val="a"/>
    <w:qFormat/>
    <w:rsid w:val="00F71F4E"/>
    <w:rPr>
      <w:rFonts w:eastAsia="宋体"/>
      <w:sz w:val="24"/>
    </w:rPr>
  </w:style>
  <w:style w:type="paragraph" w:styleId="a7">
    <w:name w:val="Balloon Text"/>
    <w:basedOn w:val="a"/>
    <w:link w:val="Char"/>
    <w:qFormat/>
    <w:rsid w:val="00F71F4E"/>
    <w:rPr>
      <w:sz w:val="18"/>
      <w:szCs w:val="18"/>
    </w:rPr>
  </w:style>
  <w:style w:type="paragraph" w:styleId="a8">
    <w:name w:val="footer"/>
    <w:basedOn w:val="a"/>
    <w:qFormat/>
    <w:rsid w:val="00F71F4E"/>
    <w:pPr>
      <w:tabs>
        <w:tab w:val="center" w:pos="4153"/>
        <w:tab w:val="right" w:pos="8306"/>
      </w:tabs>
      <w:snapToGrid w:val="0"/>
      <w:jc w:val="left"/>
    </w:pPr>
    <w:rPr>
      <w:sz w:val="18"/>
    </w:rPr>
  </w:style>
  <w:style w:type="paragraph" w:styleId="2">
    <w:name w:val="Body Text First Indent 2"/>
    <w:basedOn w:val="a5"/>
    <w:qFormat/>
    <w:rsid w:val="00F71F4E"/>
    <w:pPr>
      <w:ind w:firstLineChars="200" w:firstLine="420"/>
    </w:pPr>
  </w:style>
  <w:style w:type="paragraph" w:styleId="a9">
    <w:name w:val="header"/>
    <w:basedOn w:val="a"/>
    <w:qFormat/>
    <w:rsid w:val="00F71F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sid w:val="00F71F4E"/>
    <w:rPr>
      <w:rFonts w:ascii="Calibri" w:eastAsia="宋体" w:hAnsi="Calibri" w:cs="Times New Roman"/>
      <w:sz w:val="24"/>
    </w:rPr>
  </w:style>
  <w:style w:type="character" w:styleId="ab">
    <w:name w:val="FollowedHyperlink"/>
    <w:basedOn w:val="a1"/>
    <w:qFormat/>
    <w:rsid w:val="00F71F4E"/>
    <w:rPr>
      <w:color w:val="800080"/>
      <w:u w:val="none"/>
    </w:rPr>
  </w:style>
  <w:style w:type="character" w:styleId="ac">
    <w:name w:val="Hyperlink"/>
    <w:basedOn w:val="a1"/>
    <w:qFormat/>
    <w:rsid w:val="00F71F4E"/>
    <w:rPr>
      <w:color w:val="0000FF"/>
      <w:u w:val="none"/>
    </w:rPr>
  </w:style>
  <w:style w:type="character" w:customStyle="1" w:styleId="Char">
    <w:name w:val="批注框文本 Char"/>
    <w:basedOn w:val="a1"/>
    <w:link w:val="a7"/>
    <w:qFormat/>
    <w:rsid w:val="00F71F4E"/>
    <w:rPr>
      <w:rFonts w:asciiTheme="minorHAnsi" w:eastAsiaTheme="minorEastAsia" w:hAnsiTheme="minorHAnsi" w:cstheme="minorBidi"/>
      <w:kern w:val="2"/>
      <w:sz w:val="18"/>
      <w:szCs w:val="18"/>
    </w:rPr>
  </w:style>
  <w:style w:type="paragraph" w:customStyle="1" w:styleId="ad">
    <w:name w:val="表格格式"/>
    <w:basedOn w:val="a"/>
    <w:qFormat/>
    <w:rsid w:val="00F71F4E"/>
    <w:pPr>
      <w:adjustRightInd w:val="0"/>
      <w:snapToGrid w:val="0"/>
      <w:jc w:val="left"/>
      <w:textAlignment w:val="baseline"/>
    </w:pPr>
    <w:rPr>
      <w:rFonts w:ascii="宋体" w:eastAsia="宋体" w:hAnsi="宋体" w:cs="宋体"/>
      <w:kern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Miss汪         王利霞</dc:creator>
  <cp:lastModifiedBy>河南方正水利工程咨询有限公司:河南方正水利工程咨询有限公司</cp:lastModifiedBy>
  <cp:revision>24</cp:revision>
  <cp:lastPrinted>2018-11-14T08:14:00Z</cp:lastPrinted>
  <dcterms:created xsi:type="dcterms:W3CDTF">2018-03-01T02:21:00Z</dcterms:created>
  <dcterms:modified xsi:type="dcterms:W3CDTF">2018-11-22T06:35:00Z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