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360" w:lineRule="atLeast"/>
        <w:jc w:val="center"/>
        <w:rPr>
          <w:rFonts w:ascii="微软雅黑" w:hAnsi="微软雅黑" w:eastAsia="微软雅黑"/>
          <w:color w:val="auto"/>
          <w:sz w:val="27"/>
          <w:shd w:val="clear" w:color="auto" w:fill="FFFFFF"/>
        </w:rPr>
      </w:pPr>
      <w:bookmarkStart w:id="0" w:name="_GoBack"/>
      <w:r>
        <w:rPr>
          <w:rFonts w:hint="eastAsia" w:ascii="宋体" w:hAnsi="宋体" w:eastAsia="宋体" w:cs="宋体"/>
          <w:b/>
          <w:bCs w:val="0"/>
          <w:i w:val="0"/>
          <w:color w:val="auto"/>
          <w:sz w:val="32"/>
          <w:szCs w:val="32"/>
          <w:lang w:val="en-US" w:eastAsia="zh-CN"/>
        </w:rPr>
        <w:t>JZFCG-G2018</w:t>
      </w:r>
      <w:r>
        <w:rPr>
          <w:rFonts w:hint="eastAsia" w:ascii="宋体" w:hAnsi="宋体" w:cs="宋体"/>
          <w:b/>
          <w:bCs w:val="0"/>
          <w:i w:val="0"/>
          <w:color w:val="auto"/>
          <w:sz w:val="32"/>
          <w:szCs w:val="32"/>
          <w:lang w:val="en-US" w:eastAsia="zh-CN"/>
        </w:rPr>
        <w:t>117号</w:t>
      </w:r>
      <w:r>
        <w:rPr>
          <w:rFonts w:hint="eastAsia" w:ascii="仿宋_GB2312" w:hAnsi="宋体"/>
          <w:b/>
          <w:color w:val="auto"/>
          <w:sz w:val="32"/>
          <w:szCs w:val="22"/>
          <w:shd w:val="clear" w:color="auto" w:fill="FFFFFF"/>
        </w:rPr>
        <w:t>许昌市魏都区机关事务管理局</w:t>
      </w:r>
      <w:r>
        <w:rPr>
          <w:rFonts w:hint="eastAsia" w:ascii="仿宋_GB2312" w:hAnsi="宋体"/>
          <w:b/>
          <w:color w:val="auto"/>
          <w:sz w:val="32"/>
          <w:szCs w:val="22"/>
          <w:shd w:val="clear" w:color="auto" w:fill="FFFFFF"/>
          <w:lang w:eastAsia="zh-CN"/>
        </w:rPr>
        <w:t>“魏都区中奥鑫天办公楼物业服务”项目</w:t>
      </w:r>
      <w:r>
        <w:rPr>
          <w:rFonts w:hint="eastAsia" w:ascii="仿宋_GB2312" w:hAnsi="宋体"/>
          <w:b/>
          <w:color w:val="auto"/>
          <w:sz w:val="32"/>
          <w:szCs w:val="22"/>
          <w:shd w:val="clear" w:color="auto" w:fill="FFFFFF"/>
        </w:rPr>
        <w:t>采</w:t>
      </w:r>
      <w:r>
        <w:rPr>
          <w:rFonts w:ascii="仿宋_GB2312" w:hAnsi="宋体"/>
          <w:b/>
          <w:color w:val="auto"/>
          <w:sz w:val="32"/>
          <w:szCs w:val="22"/>
          <w:shd w:val="clear" w:color="auto" w:fill="FFFFFF"/>
        </w:rPr>
        <w:t>购需</w:t>
      </w:r>
      <w:r>
        <w:rPr>
          <w:rFonts w:ascii="仿宋_GB2312" w:hAnsi="宋体"/>
          <w:b/>
          <w:color w:val="auto"/>
          <w:sz w:val="32"/>
          <w:shd w:val="clear" w:color="auto" w:fill="FFFFFF"/>
        </w:rPr>
        <w:t>求</w:t>
      </w:r>
    </w:p>
    <w:p>
      <w:pPr>
        <w:shd w:val="solid" w:color="FFFFFF" w:fill="auto"/>
        <w:autoSpaceDN w:val="0"/>
        <w:spacing w:line="360" w:lineRule="atLeast"/>
        <w:ind w:firstLine="960"/>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 </w:t>
      </w:r>
    </w:p>
    <w:p>
      <w:pPr>
        <w:shd w:val="solid" w:color="FFFFFF" w:fill="auto"/>
        <w:autoSpaceDN w:val="0"/>
        <w:spacing w:line="360" w:lineRule="atLeast"/>
        <w:ind w:firstLine="600"/>
        <w:rPr>
          <w:rFonts w:hint="eastAsia" w:ascii="宋体" w:hAnsi="宋体" w:eastAsia="宋体" w:cs="宋体"/>
          <w:b/>
          <w:bCs/>
          <w:color w:val="auto"/>
          <w:sz w:val="24"/>
          <w:szCs w:val="24"/>
          <w:shd w:val="clear" w:color="auto" w:fill="FFFFFF"/>
        </w:rPr>
      </w:pPr>
      <w:r>
        <w:rPr>
          <w:rFonts w:hint="eastAsia" w:ascii="宋体" w:hAnsi="宋体" w:eastAsia="宋体" w:cs="宋体"/>
          <w:b/>
          <w:bCs/>
          <w:color w:val="auto"/>
          <w:sz w:val="24"/>
          <w:szCs w:val="24"/>
          <w:shd w:val="clear" w:color="auto" w:fill="FFFFFF"/>
        </w:rPr>
        <w:t>一、项目概况</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（一）项目名称：魏都区中奥鑫天办公楼物业服务</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（二）采购方式：公开招标      </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（三）主要内容、数量及要求：（1）保洁服务；（2）保安及停车管理服务（仅负责建筑物内公共秩序维护、监控）；（3）公用部位、公用设施设备的维修管理；（4）地下停车场综合管理</w:t>
      </w:r>
      <w:r>
        <w:rPr>
          <w:rFonts w:hint="eastAsia" w:ascii="宋体" w:hAnsi="宋体" w:eastAsia="宋体" w:cs="宋体"/>
          <w:color w:val="auto"/>
          <w:sz w:val="24"/>
          <w:szCs w:val="24"/>
          <w:shd w:val="clear" w:color="auto" w:fill="FFFFFF"/>
          <w:lang w:eastAsia="zh-CN"/>
        </w:rPr>
        <w:t>。</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（四）预算金额：1192859元；最高限价：1192859元</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（五）交付（服务、完工）时间：自合同签订之日起一年</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（六）交付（服务、施工）地点：许昌市天宝路魏都区政府东临中奥鑫天商务综合楼</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（七）进口产品：不允许</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（八）分包：不允许</w:t>
      </w:r>
    </w:p>
    <w:p>
      <w:pPr>
        <w:shd w:val="solid" w:color="FFFFFF" w:fill="auto"/>
        <w:autoSpaceDN w:val="0"/>
        <w:spacing w:line="360" w:lineRule="atLeast"/>
        <w:ind w:firstLine="600"/>
        <w:rPr>
          <w:rFonts w:hint="eastAsia" w:ascii="宋体" w:hAnsi="宋体" w:eastAsia="宋体" w:cs="宋体"/>
          <w:b/>
          <w:bCs/>
          <w:color w:val="auto"/>
          <w:sz w:val="24"/>
          <w:szCs w:val="24"/>
          <w:shd w:val="clear" w:color="auto" w:fill="FFFFFF"/>
        </w:rPr>
      </w:pPr>
      <w:r>
        <w:rPr>
          <w:rFonts w:hint="eastAsia" w:ascii="宋体" w:hAnsi="宋体" w:eastAsia="宋体" w:cs="宋体"/>
          <w:b/>
          <w:bCs/>
          <w:color w:val="auto"/>
          <w:sz w:val="24"/>
          <w:szCs w:val="24"/>
          <w:shd w:val="clear" w:color="auto" w:fill="FFFFFF"/>
        </w:rPr>
        <w:t>二、需要落实的政府采购政策</w:t>
      </w:r>
      <w:r>
        <w:rPr>
          <w:rFonts w:hint="eastAsia" w:ascii="宋体" w:hAnsi="宋体" w:eastAsia="宋体" w:cs="宋体"/>
          <w:b/>
          <w:bCs/>
          <w:color w:val="auto"/>
          <w:sz w:val="24"/>
          <w:szCs w:val="24"/>
          <w:shd w:val="clear" w:color="auto" w:fill="FFFFFF"/>
        </w:rPr>
        <w:t xml:space="preserve"> </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本项目落实节能环保、中小微型企业扶持、支持监狱企业发展、残疾人福利性单位扶持等相关政府采购政策。</w:t>
      </w:r>
    </w:p>
    <w:p>
      <w:pPr>
        <w:shd w:val="solid" w:color="FFFFFF" w:fill="auto"/>
        <w:autoSpaceDN w:val="0"/>
        <w:spacing w:line="360" w:lineRule="atLeast"/>
        <w:ind w:firstLine="600"/>
        <w:jc w:val="both"/>
        <w:rPr>
          <w:rFonts w:hint="eastAsia" w:ascii="宋体" w:hAnsi="宋体" w:eastAsia="宋体" w:cs="宋体"/>
          <w:b/>
          <w:bCs/>
          <w:color w:val="auto"/>
          <w:sz w:val="24"/>
          <w:szCs w:val="24"/>
          <w:shd w:val="clear" w:color="auto" w:fill="FFFFFF"/>
        </w:rPr>
      </w:pPr>
      <w:r>
        <w:rPr>
          <w:rFonts w:hint="eastAsia" w:ascii="宋体" w:hAnsi="宋体" w:eastAsia="宋体" w:cs="宋体"/>
          <w:b/>
          <w:bCs/>
          <w:color w:val="auto"/>
          <w:sz w:val="24"/>
          <w:szCs w:val="24"/>
          <w:shd w:val="clear" w:color="auto" w:fill="FFFFFF"/>
        </w:rPr>
        <w:t>三、投标人资格要求</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（一）符合《中华人民共和国政府采购法》第二十二条之规定；</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(二) 未被列入“信用中国”网站(www.creditchina.gov.cn)失信被执行人、重大税收违法案件当事人名单、政府采购严重违法失信名单的投标人；“中国政府采购网” (www.ccgp.gov.cn)政府采购严重违法失信行为记录名单的投标人；</w:t>
      </w:r>
    </w:p>
    <w:p>
      <w:pPr>
        <w:shd w:val="solid" w:color="FFFFFF" w:fill="auto"/>
        <w:autoSpaceDN w:val="0"/>
        <w:spacing w:line="360" w:lineRule="atLeast"/>
        <w:ind w:firstLine="6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（三）本次招标不接受联合体投标。</w:t>
      </w:r>
    </w:p>
    <w:p>
      <w:pPr>
        <w:shd w:val="solid" w:color="FFFFFF" w:fill="auto"/>
        <w:autoSpaceDN w:val="0"/>
        <w:spacing w:line="360" w:lineRule="atLeast"/>
        <w:ind w:firstLine="600"/>
        <w:jc w:val="both"/>
        <w:rPr>
          <w:rFonts w:hint="eastAsia" w:ascii="宋体" w:hAnsi="宋体" w:eastAsia="宋体" w:cs="宋体"/>
          <w:b/>
          <w:bCs/>
          <w:color w:val="auto"/>
          <w:sz w:val="24"/>
          <w:szCs w:val="24"/>
          <w:shd w:val="clear" w:color="auto" w:fill="FFFFFF"/>
        </w:rPr>
      </w:pPr>
      <w:r>
        <w:rPr>
          <w:rFonts w:hint="eastAsia" w:ascii="宋体" w:hAnsi="宋体" w:eastAsia="宋体" w:cs="宋体"/>
          <w:b/>
          <w:bCs/>
          <w:color w:val="auto"/>
          <w:sz w:val="24"/>
          <w:szCs w:val="24"/>
          <w:shd w:val="clear" w:color="auto" w:fill="FFFFFF"/>
        </w:rPr>
        <w:t>四、采购需求</w:t>
      </w:r>
    </w:p>
    <w:p>
      <w:pPr>
        <w:shd w:val="solid" w:color="FFFFFF" w:fill="auto"/>
        <w:autoSpaceDN w:val="0"/>
        <w:spacing w:line="360" w:lineRule="atLeast"/>
        <w:ind w:firstLine="600"/>
        <w:jc w:val="both"/>
        <w:rPr>
          <w:rFonts w:hint="eastAsia" w:ascii="宋体" w:hAnsi="宋体" w:eastAsia="宋体" w:cs="宋体"/>
          <w:b w:val="0"/>
          <w:bCs/>
          <w:color w:val="auto"/>
          <w:sz w:val="24"/>
          <w:szCs w:val="24"/>
          <w:shd w:val="clear" w:color="auto" w:fill="FFFFFF"/>
        </w:rPr>
      </w:pPr>
      <w:r>
        <w:rPr>
          <w:rFonts w:hint="eastAsia" w:ascii="宋体" w:hAnsi="宋体" w:eastAsia="宋体" w:cs="宋体"/>
          <w:b w:val="0"/>
          <w:bCs/>
          <w:color w:val="auto"/>
          <w:sz w:val="24"/>
          <w:szCs w:val="24"/>
          <w:shd w:val="clear" w:color="auto" w:fill="FFFFFF"/>
        </w:rPr>
        <w:t xml:space="preserve">（一）本项目需实现的功能或者目标 </w:t>
      </w:r>
    </w:p>
    <w:p>
      <w:pPr>
        <w:widowControl/>
        <w:shd w:val="clear" w:color="auto" w:fill="FFFFFF"/>
        <w:spacing w:line="360" w:lineRule="auto"/>
        <w:ind w:firstLine="480" w:firstLineChars="200"/>
        <w:contextualSpacing/>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一至三层为办税服务大厅、行政服务大厅，建筑面积依次为1789平方米、1615平方米、1789平方米；四至十二层为行政办公用房，每层均为1402平方米；总建筑面积为17811平方米。保洁服务、保安及停车管理服务（仅负责建筑物内公共秩序维护、监控）、公用部位、公用设施设备的维修管理、地下停车场综合管理等方面的服务，更好的向社会提供一流管理、一流服务。</w:t>
      </w:r>
    </w:p>
    <w:p>
      <w:pPr>
        <w:widowControl/>
        <w:shd w:val="clear" w:color="auto" w:fill="FFFFFF"/>
        <w:spacing w:line="360" w:lineRule="auto"/>
        <w:ind w:firstLine="480" w:firstLineChars="200"/>
        <w:contextualSpacing/>
        <w:jc w:val="left"/>
        <w:rPr>
          <w:rFonts w:hint="eastAsia" w:ascii="宋体" w:hAnsi="宋体" w:eastAsia="宋体" w:cs="宋体"/>
          <w:b w:val="0"/>
          <w:bCs w:val="0"/>
          <w:color w:val="auto"/>
          <w:kern w:val="0"/>
          <w:sz w:val="28"/>
          <w:szCs w:val="28"/>
          <w:lang w:val="zh-CN" w:eastAsia="zh-CN"/>
        </w:rPr>
      </w:pPr>
      <w:r>
        <w:rPr>
          <w:rFonts w:hint="eastAsia" w:ascii="宋体" w:hAnsi="宋体" w:eastAsia="宋体" w:cs="宋体"/>
          <w:b w:val="0"/>
          <w:bCs w:val="0"/>
          <w:color w:val="auto"/>
          <w:sz w:val="24"/>
          <w:szCs w:val="24"/>
          <w:shd w:val="clear" w:color="auto" w:fill="FFFFFF"/>
          <w:lang w:eastAsia="zh-CN"/>
        </w:rPr>
        <w:t>（</w:t>
      </w:r>
      <w:r>
        <w:rPr>
          <w:rFonts w:hint="eastAsia" w:ascii="宋体" w:hAnsi="宋体" w:eastAsia="宋体" w:cs="宋体"/>
          <w:b w:val="0"/>
          <w:bCs w:val="0"/>
          <w:color w:val="auto"/>
          <w:sz w:val="24"/>
          <w:szCs w:val="24"/>
          <w:shd w:val="clear" w:color="auto" w:fill="FFFFFF"/>
        </w:rPr>
        <w:t>二</w:t>
      </w:r>
      <w:r>
        <w:rPr>
          <w:rFonts w:hint="eastAsia" w:ascii="宋体" w:hAnsi="宋体" w:eastAsia="宋体" w:cs="宋体"/>
          <w:b w:val="0"/>
          <w:bCs w:val="0"/>
          <w:color w:val="auto"/>
          <w:sz w:val="24"/>
          <w:szCs w:val="24"/>
          <w:shd w:val="clear" w:color="auto" w:fill="FFFFFF"/>
          <w:lang w:eastAsia="zh-CN"/>
        </w:rPr>
        <w:t>）服务内容</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  投标人应满足人员配置要求：本次物业招标核定人员27人。具体如下：</w:t>
      </w:r>
    </w:p>
    <w:tbl>
      <w:tblPr>
        <w:tblStyle w:val="15"/>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125"/>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岗位</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人数</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项目经理</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负责服务中心各项管理事务，监管各服务人员严格落实各项管理制度和服务标准，做好与甲方的沟通、对接等工作。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管理员（客户服务人员）</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负责报纸分发，会议服务，物业服务中心档案管理，会议室，值班室及领导办公室，休息室的卫生。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秩序维护人员</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一层每个主入口按1人配置（共4人）、次出入口共配置2人，夜间值班及巡逻人员3人，监控室3人，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公用部位、公用设施设备的维修人员</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负责办公楼水电维修，设施设备日常巡检，监管与维保单位履行维保协议的有关内容，办公区24小时水电维修工作。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保洁人员</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9人</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负责区域内的保洁卫生工作。</w:t>
            </w:r>
          </w:p>
        </w:tc>
      </w:tr>
    </w:tbl>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1.2  人员基本要求</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1.2.1岗位人员年龄：所有上岗岗位人员年龄均在50岁以下。</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1.2.2各岗位人员均无犯罪记录。</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1.2.3各岗位人员身体健康。</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1.2.4工作时间统一着装，佩戴标志；服务热情主动、礼貌、细致。</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1.2.5管理人员有较高的政治思想素养和业务水平；内勤岗位人员应具有大专以上学历。</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1.2.6所派管理服务人员必须恪守职责，遵守招标人的各项规章制度，服从采购单位的管理。采购单位有权对管理服务人员进行具体的工作安排，并对工作进行监督检查，对不称职的管理服务人员采购单位有权要求调换。</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1.2.7投标人须定期每三个月对管理服务人员进行岗位再培训。</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1.2.8工作期间管理服务人员对于突发事件必须能够在第一时间进行现场处置。 </w:t>
      </w:r>
    </w:p>
    <w:p>
      <w:pPr>
        <w:spacing w:line="360" w:lineRule="auto"/>
        <w:contextualSpacing/>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1.3  技术要求</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1.3.1</w:t>
      </w:r>
      <w:r>
        <w:rPr>
          <w:rFonts w:hint="eastAsia" w:ascii="宋体" w:hAnsi="宋体" w:eastAsia="宋体" w:cs="宋体"/>
          <w:b w:val="0"/>
          <w:bCs/>
          <w:color w:val="auto"/>
          <w:sz w:val="24"/>
          <w:szCs w:val="24"/>
        </w:rPr>
        <w:t>公共区域</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定人定岗，全天候对物业服务区域不间断保洁，做到地面清洁、光亮、无污迹。</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走道保持干净，无垃圾。</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垃圾桶按指定位置摆放，垃圾袋套在垃圾桶上；四周无散积垃圾，无异味。</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走道设施、通风口，保持干净。</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 xml:space="preserve"> 场地的台阶及地面，做到无垃圾、无烟蒂、无纸屑，使人感到宽广、舒畅。</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1.3.2</w:t>
      </w:r>
      <w:r>
        <w:rPr>
          <w:rFonts w:hint="eastAsia" w:ascii="宋体" w:hAnsi="宋体" w:eastAsia="宋体" w:cs="宋体"/>
          <w:b w:val="0"/>
          <w:bCs/>
          <w:color w:val="auto"/>
          <w:sz w:val="24"/>
          <w:szCs w:val="24"/>
        </w:rPr>
        <w:t>水电维护</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负责服务范围内水、电等维护工作，及时检查是否完好，始终保持正常状态，坚决杜绝事故发生。</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特殊、重大维修超出中标单位承担范围的，中标单位须书面出具维修建议书。</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要经常检查办公区域内的电灯是否正常，及时发现问题，及时处理。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关键岗位中标单位应坚持值班制度，不得脱岗漏岗，随时处置突发事件。</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1.3.3</w:t>
      </w:r>
      <w:r>
        <w:rPr>
          <w:rFonts w:hint="eastAsia" w:ascii="宋体" w:hAnsi="宋体" w:eastAsia="宋体" w:cs="宋体"/>
          <w:b w:val="0"/>
          <w:bCs/>
          <w:color w:val="auto"/>
          <w:sz w:val="24"/>
          <w:szCs w:val="24"/>
        </w:rPr>
        <w:t>公厕</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每天早班、中班必须全面清洁洗公厕、坐厕、面盆、托把池，地面应定期清洗，保持卫生间无积尘、杂物、污渍。</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公厕内的垃圾桶、纸桶、当天清理，保持桶内无垃圾，桶外地面无垃圾。</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便池樟脑丸须及时补充。</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1.3.4</w:t>
      </w:r>
      <w:r>
        <w:rPr>
          <w:rFonts w:hint="eastAsia" w:ascii="宋体" w:hAnsi="宋体" w:eastAsia="宋体" w:cs="宋体"/>
          <w:b w:val="0"/>
          <w:bCs/>
          <w:color w:val="auto"/>
          <w:sz w:val="24"/>
          <w:szCs w:val="24"/>
        </w:rPr>
        <w:t>垃圾清运要求</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每天分上午下午对垃圾清理两遍。</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上午9：00分之前清理完毕，下午1：00分之前清理完毕，如特殊情况时需调整清运时间的根据需要随时清理。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按照要求将垃圾分类清运到相应的垃圾中转站或存放点。严禁随处倾倒或随处存放垃圾。</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清运车辆要封闭，严禁垃圾在运输过程中撒落造成二次污染。</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定期对垃圾箱内外进行清洗。5月—10月份每周清洗两遍，11月—次年4月份每周清洗一遍。如遇重特殊情况时根据需要随时清洗。</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1.3.5</w:t>
      </w:r>
      <w:r>
        <w:rPr>
          <w:rFonts w:hint="eastAsia" w:ascii="宋体" w:hAnsi="宋体" w:eastAsia="宋体" w:cs="宋体"/>
          <w:b w:val="0"/>
          <w:bCs/>
          <w:color w:val="auto"/>
          <w:sz w:val="24"/>
          <w:szCs w:val="24"/>
        </w:rPr>
        <w:t>车辆管理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全天24小时值班。</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对物业服务区域内各个进出口定人定岗，负责进出车辆的管控。对进出口周边车辆进行疏导，保证畅通。对一些存在安全隐患的现象及时发现及时制止并报告监控室。</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1.3.6</w:t>
      </w:r>
      <w:r>
        <w:rPr>
          <w:rFonts w:hint="eastAsia" w:ascii="宋体" w:hAnsi="宋体" w:eastAsia="宋体" w:cs="宋体"/>
          <w:b w:val="0"/>
          <w:bCs/>
          <w:color w:val="auto"/>
          <w:sz w:val="24"/>
          <w:szCs w:val="24"/>
        </w:rPr>
        <w:t>消防监控需求</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消防控制室自动消防系统的操作人员，应熟练操作消防控制系统。</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本标段范围内，所有需要值守的区域在符合国家相关法律法规（劳动法、消防法等）的情况下，按预设的位置安排专人24小时值班。</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消防监控服务技术标准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消防控制室工作人员应严格遵守消防控制室的各项安全操作规程和各项消防安全管理制度；各项管理严格按照中华人民共和国公安部《消防控制室通用技术要求》执行。</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报警联动控制设备需要设置在手动状态时，应有火灾时能迅速将手动控制转换为自动控制的可靠措施。严禁将自动喷水灭火系统和联动控制的防火卷帘等防火分隔设施设置在手动控制状态；</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消防控制室应当实行每日24小时专人值班制度，确保及时发现并准确处置火灾和故障报警，确保控制室内所有设施设备的良好运行状态及事件处理；</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消防控制室工作人员每班不得少于2人，一名负责值班时报警部位的核实和紧急情况的处置，一名负责自动消防系统的操作；</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消防控制室工作人员应按时上岗，并做好交接班工作，接班人员未到岗前交班人员不得擅自离岗；</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应在消防控制室的入口处设置明显的标志；消防控制室应设置火灾事故应急照明、灭火器等消防器材，并配备相应的通讯联络工具；</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消防控制室工作人员要爱护消防控制室的设施，保持控制室内的卫生；</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严禁无关人员进入消防控制室，随意触动设备；</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消防控制室内严禁存放易燃易爆危险物品和堆放与设备运行无关的物品或杂物，严禁与消防控制室无关的电气线路和管道穿过；</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消防控制室内严禁吸烟或动用明火。</w:t>
      </w:r>
    </w:p>
    <w:p>
      <w:pPr>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考核内容</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restart"/>
            <w:vAlign w:val="center"/>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劳动纪律</w:t>
            </w: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爱岗敬业，服从命令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岗位纪律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请消假制度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电话管理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 xml:space="preserve">环境卫生 、仪容仪表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携带危险品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Align w:val="center"/>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工作态度</w:t>
            </w: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工作主动性及工作完成质量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restart"/>
            <w:vAlign w:val="center"/>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工作职责及设备管理</w:t>
            </w: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设备操作技能及应急处置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设施设备检查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保密制度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监控查看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交接班制度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非工作期间巡查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vAlign w:val="center"/>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广场及周边情况监控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restart"/>
            <w:vAlign w:val="center"/>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业务知识与工作技能</w:t>
            </w: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相关制度及知识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了解本单位情况及安全防范措施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08" w:type="dxa"/>
            <w:vMerge w:val="continue"/>
          </w:tcPr>
          <w:p>
            <w:pPr>
              <w:widowControl w:val="0"/>
              <w:spacing w:line="360" w:lineRule="auto"/>
              <w:contextualSpacing/>
              <w:jc w:val="both"/>
              <w:rPr>
                <w:rFonts w:hint="eastAsia" w:ascii="宋体" w:hAnsi="宋体" w:eastAsia="宋体" w:cs="宋体"/>
                <w:b w:val="0"/>
                <w:bCs/>
                <w:color w:val="auto"/>
                <w:kern w:val="0"/>
                <w:sz w:val="24"/>
                <w:szCs w:val="24"/>
              </w:rPr>
            </w:pPr>
          </w:p>
        </w:tc>
        <w:tc>
          <w:tcPr>
            <w:tcW w:w="4814" w:type="dxa"/>
          </w:tcPr>
          <w:p>
            <w:pPr>
              <w:widowControl w:val="0"/>
              <w:spacing w:line="360" w:lineRule="auto"/>
              <w:contextualSpacing/>
              <w:jc w:val="both"/>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安防系统的操作使用</w:t>
            </w:r>
          </w:p>
        </w:tc>
      </w:tr>
    </w:tbl>
    <w:p>
      <w:pPr>
        <w:shd w:val="solid" w:color="FFFFFF" w:fill="auto"/>
        <w:autoSpaceDN w:val="0"/>
        <w:spacing w:line="360" w:lineRule="atLeast"/>
        <w:ind w:firstLine="601"/>
        <w:jc w:val="both"/>
        <w:rPr>
          <w:rFonts w:hint="eastAsia" w:ascii="宋体" w:hAnsi="宋体" w:eastAsia="宋体" w:cs="宋体"/>
          <w:b/>
          <w:color w:val="auto"/>
          <w:sz w:val="24"/>
          <w:szCs w:val="24"/>
          <w:shd w:val="clear" w:color="auto" w:fill="FFFFFF"/>
        </w:rPr>
      </w:pPr>
      <w:r>
        <w:rPr>
          <w:rFonts w:hint="eastAsia" w:ascii="宋体" w:hAnsi="宋体" w:eastAsia="宋体" w:cs="宋体"/>
          <w:b w:val="0"/>
          <w:bCs/>
          <w:color w:val="auto"/>
          <w:sz w:val="24"/>
          <w:szCs w:val="24"/>
          <w:shd w:val="clear" w:color="auto" w:fill="FFFFFF"/>
        </w:rPr>
        <w:t>（</w:t>
      </w:r>
      <w:r>
        <w:rPr>
          <w:rFonts w:hint="eastAsia" w:ascii="宋体" w:hAnsi="宋体" w:cs="宋体"/>
          <w:b w:val="0"/>
          <w:bCs/>
          <w:color w:val="auto"/>
          <w:sz w:val="24"/>
          <w:szCs w:val="24"/>
          <w:shd w:val="clear" w:color="auto" w:fill="FFFFFF"/>
          <w:lang w:eastAsia="zh-CN"/>
        </w:rPr>
        <w:t>三</w:t>
      </w:r>
      <w:r>
        <w:rPr>
          <w:rFonts w:hint="eastAsia" w:ascii="宋体" w:hAnsi="宋体" w:eastAsia="宋体" w:cs="宋体"/>
          <w:b w:val="0"/>
          <w:bCs/>
          <w:color w:val="auto"/>
          <w:sz w:val="24"/>
          <w:szCs w:val="24"/>
          <w:shd w:val="clear" w:color="auto" w:fill="FFFFFF"/>
        </w:rPr>
        <w:t>）、验收标准</w:t>
      </w:r>
      <w:r>
        <w:rPr>
          <w:rFonts w:hint="eastAsia" w:ascii="宋体" w:hAnsi="宋体" w:eastAsia="宋体" w:cs="宋体"/>
          <w:b/>
          <w:color w:val="auto"/>
          <w:sz w:val="24"/>
          <w:szCs w:val="24"/>
          <w:shd w:val="clear" w:color="auto" w:fill="FFFFFF"/>
        </w:rPr>
        <w:t xml:space="preserve"> </w:t>
      </w:r>
    </w:p>
    <w:p>
      <w:pPr>
        <w:shd w:val="solid" w:color="FFFFFF" w:fill="auto"/>
        <w:autoSpaceDN w:val="0"/>
        <w:spacing w:line="360" w:lineRule="atLeast"/>
        <w:ind w:firstLine="601"/>
        <w:jc w:val="both"/>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hd w:val="solid" w:color="FFFFFF" w:fill="auto"/>
        <w:autoSpaceDN w:val="0"/>
        <w:spacing w:line="360" w:lineRule="atLeast"/>
        <w:ind w:firstLine="601"/>
        <w:jc w:val="both"/>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2.按照招标文件要求、投标文件响应和承诺验收。</w:t>
      </w:r>
    </w:p>
    <w:p>
      <w:pPr>
        <w:shd w:val="solid" w:color="FFFFFF" w:fill="auto"/>
        <w:autoSpaceDN w:val="0"/>
        <w:spacing w:line="360" w:lineRule="atLeast"/>
        <w:ind w:firstLine="601"/>
        <w:jc w:val="both"/>
        <w:rPr>
          <w:rFonts w:hint="eastAsia" w:ascii="宋体" w:hAnsi="宋体" w:eastAsia="宋体" w:cs="宋体"/>
          <w:b/>
          <w:bCs/>
          <w:color w:val="auto"/>
          <w:sz w:val="24"/>
          <w:szCs w:val="24"/>
          <w:shd w:val="clear" w:color="auto" w:fill="FFFFFF"/>
        </w:rPr>
      </w:pPr>
      <w:r>
        <w:rPr>
          <w:rFonts w:hint="eastAsia" w:ascii="宋体" w:hAnsi="宋体" w:eastAsia="宋体" w:cs="宋体"/>
          <w:b/>
          <w:bCs/>
          <w:color w:val="auto"/>
          <w:sz w:val="24"/>
          <w:szCs w:val="24"/>
          <w:shd w:val="clear" w:color="auto" w:fill="FFFFFF"/>
        </w:rPr>
        <w:t>五、评标方法和评标标准</w:t>
      </w:r>
    </w:p>
    <w:p>
      <w:pPr>
        <w:shd w:val="solid" w:color="FFFFFF" w:fill="auto"/>
        <w:autoSpaceDN w:val="0"/>
        <w:spacing w:line="360" w:lineRule="atLeast"/>
        <w:ind w:firstLine="601"/>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（一）评标方法：综合评分法</w:t>
      </w:r>
    </w:p>
    <w:p>
      <w:pPr>
        <w:shd w:val="solid" w:color="FFFFFF" w:fill="auto"/>
        <w:autoSpaceDN w:val="0"/>
        <w:spacing w:line="360" w:lineRule="atLeast"/>
        <w:ind w:firstLine="601"/>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（二）综合评分法评标标准： </w:t>
      </w:r>
    </w:p>
    <w:tbl>
      <w:tblPr>
        <w:tblStyle w:val="15"/>
        <w:tblW w:w="8533" w:type="dxa"/>
        <w:jc w:val="center"/>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596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分值构成</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(总分100分)</w:t>
            </w:r>
          </w:p>
        </w:tc>
        <w:tc>
          <w:tcPr>
            <w:tcW w:w="693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ind w:firstLine="422" w:firstLineChars="200"/>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价格分值：</w:t>
            </w:r>
            <w:r>
              <w:rPr>
                <w:rFonts w:hint="eastAsia" w:ascii="宋体" w:hAnsi="宋体" w:cs="宋体"/>
                <w:b/>
                <w:bCs/>
                <w:color w:val="auto"/>
                <w:sz w:val="21"/>
                <w:szCs w:val="21"/>
                <w:u w:val="single"/>
                <w:shd w:val="clear" w:color="auto" w:fill="FFFFFF"/>
                <w:lang w:val="en-US" w:eastAsia="zh-CN"/>
              </w:rPr>
              <w:t>15</w:t>
            </w:r>
            <w:r>
              <w:rPr>
                <w:rFonts w:hint="eastAsia" w:ascii="宋体" w:hAnsi="宋体" w:eastAsia="宋体" w:cs="宋体"/>
                <w:b/>
                <w:bCs/>
                <w:color w:val="auto"/>
                <w:sz w:val="21"/>
                <w:szCs w:val="21"/>
                <w:u w:val="single"/>
                <w:shd w:val="clear" w:color="auto" w:fill="FFFFFF"/>
              </w:rPr>
              <w:t xml:space="preserve"> </w:t>
            </w:r>
            <w:r>
              <w:rPr>
                <w:rFonts w:hint="eastAsia" w:ascii="宋体" w:hAnsi="宋体" w:eastAsia="宋体" w:cs="宋体"/>
                <w:b/>
                <w:bCs/>
                <w:color w:val="auto"/>
                <w:sz w:val="21"/>
                <w:szCs w:val="21"/>
                <w:shd w:val="clear" w:color="auto" w:fill="FFFFFF"/>
              </w:rPr>
              <w:t>分</w:t>
            </w:r>
          </w:p>
          <w:p>
            <w:pPr>
              <w:autoSpaceDE w:val="0"/>
              <w:autoSpaceDN w:val="0"/>
              <w:adjustRightInd w:val="0"/>
              <w:spacing w:line="480" w:lineRule="exact"/>
              <w:ind w:firstLine="422" w:firstLineChars="200"/>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商务部分：</w:t>
            </w:r>
            <w:r>
              <w:rPr>
                <w:rFonts w:hint="eastAsia" w:ascii="宋体" w:hAnsi="宋体" w:cs="宋体"/>
                <w:b/>
                <w:bCs/>
                <w:color w:val="auto"/>
                <w:sz w:val="21"/>
                <w:szCs w:val="21"/>
                <w:u w:val="single"/>
                <w:shd w:val="clear" w:color="auto" w:fill="FFFFFF"/>
                <w:lang w:val="en-US" w:eastAsia="zh-CN"/>
              </w:rPr>
              <w:t xml:space="preserve">56 </w:t>
            </w:r>
            <w:r>
              <w:rPr>
                <w:rFonts w:hint="eastAsia" w:ascii="宋体" w:hAnsi="宋体" w:eastAsia="宋体" w:cs="宋体"/>
                <w:b/>
                <w:bCs/>
                <w:color w:val="auto"/>
                <w:sz w:val="21"/>
                <w:szCs w:val="21"/>
                <w:shd w:val="clear" w:color="auto" w:fill="FFFFFF"/>
              </w:rPr>
              <w:t>分</w:t>
            </w:r>
          </w:p>
          <w:p>
            <w:pPr>
              <w:autoSpaceDE w:val="0"/>
              <w:autoSpaceDN w:val="0"/>
              <w:adjustRightInd w:val="0"/>
              <w:spacing w:line="480" w:lineRule="exact"/>
              <w:ind w:firstLine="422" w:firstLineChars="200"/>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技术部分：</w:t>
            </w:r>
            <w:r>
              <w:rPr>
                <w:rFonts w:hint="eastAsia" w:ascii="宋体" w:hAnsi="宋体" w:cs="宋体"/>
                <w:b/>
                <w:bCs/>
                <w:color w:val="auto"/>
                <w:sz w:val="21"/>
                <w:szCs w:val="21"/>
                <w:u w:val="single"/>
                <w:shd w:val="clear" w:color="auto" w:fill="FFFFFF"/>
                <w:lang w:val="en-US" w:eastAsia="zh-CN"/>
              </w:rPr>
              <w:t xml:space="preserve">29 </w:t>
            </w:r>
            <w:r>
              <w:rPr>
                <w:rFonts w:hint="eastAsia" w:ascii="宋体" w:hAnsi="宋体" w:eastAsia="宋体" w:cs="宋体"/>
                <w:b/>
                <w:bCs/>
                <w:color w:val="auto"/>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2" w:firstLineChars="200"/>
              <w:jc w:val="center"/>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 xml:space="preserve">价格部分（满分 </w:t>
            </w:r>
            <w:r>
              <w:rPr>
                <w:rFonts w:hint="eastAsia" w:ascii="宋体" w:hAnsi="宋体" w:cs="宋体"/>
                <w:b/>
                <w:bCs/>
                <w:color w:val="auto"/>
                <w:sz w:val="21"/>
                <w:szCs w:val="21"/>
                <w:shd w:val="clear" w:color="auto" w:fill="FFFFFF"/>
                <w:lang w:val="en-US" w:eastAsia="zh-CN"/>
              </w:rPr>
              <w:t>15</w:t>
            </w:r>
            <w:r>
              <w:rPr>
                <w:rFonts w:hint="eastAsia" w:ascii="宋体" w:hAnsi="宋体" w:eastAsia="宋体" w:cs="宋体"/>
                <w:b/>
                <w:bCs/>
                <w:color w:val="auto"/>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both"/>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ind w:firstLine="422" w:firstLineChars="200"/>
              <w:jc w:val="both"/>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投标报价</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评分标准</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评标基准价</w:t>
            </w:r>
            <w:r>
              <w:rPr>
                <w:rFonts w:hint="eastAsia" w:ascii="宋体" w:hAnsi="宋体" w:eastAsia="宋体" w:cs="宋体"/>
                <w:color w:val="auto"/>
                <w:sz w:val="21"/>
                <w:szCs w:val="21"/>
                <w:shd w:val="clear" w:color="auto" w:fill="FFFFFF"/>
              </w:rPr>
              <w:t>：满足招标文件要求的有效投标报价中，最低的投标报价为评标基准价。</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投标报价得分=（评标基准价/投标报价）×</w:t>
            </w:r>
            <w:r>
              <w:rPr>
                <w:rFonts w:hint="eastAsia" w:ascii="宋体" w:hAnsi="宋体" w:cs="宋体"/>
                <w:color w:val="auto"/>
                <w:sz w:val="21"/>
                <w:szCs w:val="21"/>
                <w:shd w:val="clear" w:color="auto" w:fill="FFFFFF"/>
                <w:lang w:val="en-US" w:eastAsia="zh-CN"/>
              </w:rPr>
              <w:t>15</w:t>
            </w:r>
            <w:r>
              <w:rPr>
                <w:rFonts w:hint="eastAsia" w:ascii="宋体" w:hAnsi="宋体" w:eastAsia="宋体" w:cs="宋体"/>
                <w:color w:val="auto"/>
                <w:sz w:val="21"/>
                <w:szCs w:val="21"/>
                <w:shd w:val="clear" w:color="auto" w:fill="FFFFFF"/>
              </w:rPr>
              <w:t xml:space="preserve"> </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15</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951" w:firstLineChars="1400"/>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 xml:space="preserve">商务部分（满分 </w:t>
            </w:r>
            <w:r>
              <w:rPr>
                <w:rFonts w:hint="eastAsia" w:ascii="宋体" w:hAnsi="宋体" w:cs="宋体"/>
                <w:b/>
                <w:bCs/>
                <w:color w:val="auto"/>
                <w:sz w:val="21"/>
                <w:szCs w:val="21"/>
                <w:shd w:val="clear" w:color="auto" w:fill="FFFFFF"/>
                <w:lang w:val="en-US" w:eastAsia="zh-CN"/>
              </w:rPr>
              <w:t>56</w:t>
            </w:r>
            <w:r>
              <w:rPr>
                <w:rFonts w:hint="eastAsia" w:ascii="宋体" w:hAnsi="宋体" w:eastAsia="宋体" w:cs="宋体"/>
                <w:b/>
                <w:bCs/>
                <w:color w:val="auto"/>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both"/>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ind w:firstLine="422" w:firstLineChars="200"/>
              <w:jc w:val="both"/>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信誉</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投标人提供信用评级机构出具的企业信用报告及信用等级证书，信用评定等级为AAA得</w:t>
            </w:r>
            <w:r>
              <w:rPr>
                <w:rFonts w:hint="eastAsia" w:ascii="宋体" w:hAnsi="宋体" w:cs="宋体"/>
                <w:color w:val="auto"/>
                <w:sz w:val="21"/>
                <w:szCs w:val="21"/>
                <w:shd w:val="clear" w:color="auto" w:fill="FFFFFF"/>
                <w:lang w:val="en-US" w:eastAsia="zh-CN"/>
              </w:rPr>
              <w:t>6</w:t>
            </w:r>
            <w:r>
              <w:rPr>
                <w:rFonts w:hint="eastAsia" w:ascii="宋体" w:hAnsi="宋体" w:eastAsia="宋体" w:cs="宋体"/>
                <w:color w:val="auto"/>
                <w:sz w:val="21"/>
                <w:szCs w:val="21"/>
                <w:shd w:val="clear" w:color="auto" w:fill="FFFFFF"/>
              </w:rPr>
              <w:t>分，AA得</w:t>
            </w:r>
            <w:r>
              <w:rPr>
                <w:rFonts w:hint="eastAsia" w:ascii="宋体" w:hAnsi="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分</w:t>
            </w:r>
            <w:r>
              <w:rPr>
                <w:rFonts w:hint="eastAsia" w:ascii="宋体" w:hAnsi="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A得</w:t>
            </w:r>
            <w:r>
              <w:rPr>
                <w:rFonts w:hint="eastAsia" w:ascii="宋体" w:hAnsi="宋体" w:cs="宋体"/>
                <w:color w:val="auto"/>
                <w:sz w:val="21"/>
                <w:szCs w:val="21"/>
                <w:shd w:val="clear" w:color="auto" w:fill="FFFFFF"/>
                <w:lang w:val="en-US" w:eastAsia="zh-CN"/>
              </w:rPr>
              <w:t>2</w:t>
            </w:r>
            <w:r>
              <w:rPr>
                <w:rFonts w:hint="eastAsia" w:ascii="宋体" w:hAnsi="宋体" w:eastAsia="宋体" w:cs="宋体"/>
                <w:color w:val="auto"/>
                <w:sz w:val="21"/>
                <w:szCs w:val="21"/>
                <w:shd w:val="clear" w:color="auto" w:fill="FFFFFF"/>
              </w:rPr>
              <w:t>分</w:t>
            </w:r>
            <w:r>
              <w:rPr>
                <w:rFonts w:hint="eastAsia" w:ascii="宋体" w:hAnsi="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未提供者不得分</w:t>
            </w:r>
            <w:r>
              <w:rPr>
                <w:rFonts w:hint="eastAsia" w:ascii="宋体" w:hAnsi="宋体" w:eastAsia="宋体" w:cs="宋体"/>
                <w:color w:val="auto"/>
                <w:sz w:val="21"/>
                <w:szCs w:val="21"/>
                <w:shd w:val="clear" w:color="auto" w:fill="FFFFFF"/>
                <w:lang w:val="en-US" w:eastAsia="zh-CN"/>
              </w:rPr>
              <w:t>。</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10" w:firstLineChars="1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企业业绩</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投标人自2015年以来，具有物业管理项目业绩，合同金额在</w:t>
            </w:r>
            <w:r>
              <w:rPr>
                <w:rFonts w:hint="eastAsia" w:ascii="宋体" w:hAnsi="宋体" w:eastAsia="宋体" w:cs="宋体"/>
                <w:color w:val="auto"/>
                <w:sz w:val="21"/>
                <w:szCs w:val="21"/>
                <w:shd w:val="clear" w:color="auto" w:fill="FFFFFF"/>
                <w:lang w:val="en-US" w:eastAsia="zh-CN"/>
              </w:rPr>
              <w:t>100</w:t>
            </w:r>
            <w:r>
              <w:rPr>
                <w:rFonts w:hint="eastAsia" w:ascii="宋体" w:hAnsi="宋体" w:eastAsia="宋体" w:cs="宋体"/>
                <w:color w:val="auto"/>
                <w:sz w:val="21"/>
                <w:szCs w:val="21"/>
                <w:shd w:val="clear" w:color="auto" w:fill="FFFFFF"/>
              </w:rPr>
              <w:t>万元及以上（含</w:t>
            </w:r>
            <w:r>
              <w:rPr>
                <w:rFonts w:hint="eastAsia" w:ascii="宋体" w:hAnsi="宋体" w:eastAsia="宋体" w:cs="宋体"/>
                <w:color w:val="auto"/>
                <w:sz w:val="21"/>
                <w:szCs w:val="21"/>
                <w:shd w:val="clear" w:color="auto" w:fill="FFFFFF"/>
                <w:lang w:val="en-US" w:eastAsia="zh-CN"/>
              </w:rPr>
              <w:t>100</w:t>
            </w:r>
            <w:r>
              <w:rPr>
                <w:rFonts w:hint="eastAsia" w:ascii="宋体" w:hAnsi="宋体" w:eastAsia="宋体" w:cs="宋体"/>
                <w:color w:val="auto"/>
                <w:sz w:val="21"/>
                <w:szCs w:val="21"/>
                <w:shd w:val="clear" w:color="auto" w:fill="FFFFFF"/>
              </w:rPr>
              <w:t>万元）的每份加4分，此项最高20分。（以合同或中标通知书为准）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10" w:firstLineChars="1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企业实力</w:t>
            </w:r>
          </w:p>
        </w:tc>
        <w:tc>
          <w:tcPr>
            <w:tcW w:w="5969" w:type="dxa"/>
            <w:tcBorders>
              <w:top w:val="single" w:color="auto" w:sz="4" w:space="0"/>
              <w:left w:val="nil"/>
              <w:bottom w:val="single" w:color="auto" w:sz="4" w:space="0"/>
              <w:right w:val="single" w:color="auto" w:sz="4" w:space="0"/>
            </w:tcBorders>
            <w:vAlign w:val="center"/>
          </w:tcPr>
          <w:p>
            <w:pPr>
              <w:numPr>
                <w:ilvl w:val="0"/>
                <w:numId w:val="0"/>
              </w:numPr>
              <w:spacing w:line="36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1、投标人</w:t>
            </w:r>
            <w:r>
              <w:rPr>
                <w:rFonts w:hint="eastAsia" w:ascii="宋体" w:hAnsi="宋体" w:eastAsia="宋体" w:cs="宋体"/>
                <w:color w:val="auto"/>
                <w:sz w:val="21"/>
                <w:szCs w:val="21"/>
                <w:shd w:val="clear" w:color="auto" w:fill="FFFFFF"/>
                <w:lang w:val="en-US" w:eastAsia="zh-CN"/>
              </w:rPr>
              <w:t>在本项目之前</w:t>
            </w:r>
            <w:r>
              <w:rPr>
                <w:rFonts w:hint="eastAsia" w:ascii="宋体" w:hAnsi="宋体" w:eastAsia="宋体" w:cs="宋体"/>
                <w:color w:val="auto"/>
                <w:sz w:val="21"/>
                <w:szCs w:val="21"/>
                <w:shd w:val="clear" w:color="auto" w:fill="FFFFFF"/>
              </w:rPr>
              <w:t>，物业管理项目获得过住建部门授予的优秀（示范）项目</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得</w:t>
            </w:r>
            <w:r>
              <w:rPr>
                <w:rFonts w:hint="eastAsia" w:ascii="宋体" w:hAnsi="宋体" w:cs="宋体"/>
                <w:color w:val="auto"/>
                <w:sz w:val="21"/>
                <w:szCs w:val="21"/>
                <w:shd w:val="clear" w:color="auto" w:fill="FFFFFF"/>
                <w:lang w:val="en-US" w:eastAsia="zh-CN"/>
              </w:rPr>
              <w:t>1</w:t>
            </w:r>
            <w:r>
              <w:rPr>
                <w:rFonts w:hint="eastAsia" w:ascii="宋体" w:hAnsi="宋体" w:eastAsia="宋体" w:cs="宋体"/>
                <w:color w:val="auto"/>
                <w:sz w:val="21"/>
                <w:szCs w:val="21"/>
                <w:shd w:val="clear" w:color="auto" w:fill="FFFFFF"/>
                <w:lang w:val="en-US" w:eastAsia="zh-CN"/>
              </w:rPr>
              <w:t>分。</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2、投标人提供质量管理体系认证得</w:t>
            </w:r>
            <w:r>
              <w:rPr>
                <w:rFonts w:hint="eastAsia" w:ascii="宋体" w:hAnsi="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分、环境管理体系认证得</w:t>
            </w:r>
            <w:r>
              <w:rPr>
                <w:rFonts w:hint="eastAsia" w:ascii="宋体" w:hAnsi="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分、职业健康安全管理体系认证得</w:t>
            </w:r>
            <w:r>
              <w:rPr>
                <w:rFonts w:hint="eastAsia" w:ascii="宋体" w:hAnsi="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分。不提供不得分，满分</w:t>
            </w:r>
            <w:r>
              <w:rPr>
                <w:rFonts w:hint="eastAsia" w:ascii="宋体" w:hAnsi="宋体" w:cs="宋体"/>
                <w:color w:val="auto"/>
                <w:sz w:val="21"/>
                <w:szCs w:val="21"/>
                <w:shd w:val="clear" w:color="auto" w:fill="FFFFFF"/>
                <w:lang w:val="en-US" w:eastAsia="zh-CN"/>
              </w:rPr>
              <w:t>12</w:t>
            </w:r>
            <w:r>
              <w:rPr>
                <w:rFonts w:hint="eastAsia" w:ascii="宋体" w:hAnsi="宋体" w:eastAsia="宋体" w:cs="宋体"/>
                <w:color w:val="auto"/>
                <w:sz w:val="21"/>
                <w:szCs w:val="21"/>
                <w:shd w:val="clear" w:color="auto" w:fill="FFFFFF"/>
              </w:rPr>
              <w:t>分。</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3、根据投标人在本项目以前工商、行业协会颁发的荣誉证书等情况，每提供一份荣誉证书加1分；满分4分。</w:t>
            </w:r>
          </w:p>
          <w:p>
            <w:pPr>
              <w:autoSpaceDE w:val="0"/>
              <w:autoSpaceDN w:val="0"/>
              <w:adjustRightInd w:val="0"/>
              <w:spacing w:line="480" w:lineRule="exact"/>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4、根据投标人在本项目以前获得行业协会颁发的荣誉证书等情况，每提供一份荣誉证书加2分；满分6分。</w:t>
            </w:r>
          </w:p>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cs="宋体"/>
                <w:color w:val="auto"/>
                <w:sz w:val="21"/>
                <w:szCs w:val="21"/>
                <w:shd w:val="clear" w:color="auto" w:fill="FFFFFF"/>
                <w:lang w:val="en-US" w:eastAsia="zh-CN"/>
              </w:rPr>
              <w:t>5、企业提供与保安公司签订的用工协议的得2分；提供公安机关出具的《自行招用保安员单位备案证明》的得4分；两者均不提供者得0分；本项满分4分。（需提供协议或自行招用保安员单位备案证明）</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27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项目</w:t>
            </w:r>
            <w:r>
              <w:rPr>
                <w:rFonts w:hint="eastAsia" w:ascii="宋体" w:hAnsi="宋体" w:cs="宋体"/>
                <w:color w:val="auto"/>
                <w:sz w:val="21"/>
                <w:szCs w:val="21"/>
                <w:shd w:val="clear" w:color="auto" w:fill="FFFFFF"/>
                <w:lang w:eastAsia="zh-CN"/>
              </w:rPr>
              <w:t>经理</w:t>
            </w:r>
          </w:p>
        </w:tc>
        <w:tc>
          <w:tcPr>
            <w:tcW w:w="5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项目经理提供住房和城乡建设部颁发的注册物业管理师上岗证书，得1分，项目经理获得过第三方认证机构出具的诚信企业家荣誉证书、诚信经理人荣誉证书的每项得1分（或三年以上社保），本项累计满分3分</w:t>
            </w:r>
          </w:p>
        </w:tc>
        <w:tc>
          <w:tcPr>
            <w:tcW w:w="96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firstLine="2530" w:firstLineChars="1200"/>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 xml:space="preserve">技术部分（满分 </w:t>
            </w:r>
            <w:r>
              <w:rPr>
                <w:rFonts w:hint="eastAsia" w:ascii="宋体" w:hAnsi="宋体" w:cs="宋体"/>
                <w:b/>
                <w:bCs/>
                <w:color w:val="auto"/>
                <w:sz w:val="21"/>
                <w:szCs w:val="21"/>
                <w:shd w:val="clear" w:color="auto" w:fill="FFFFFF"/>
                <w:lang w:val="en-US" w:eastAsia="zh-CN"/>
              </w:rPr>
              <w:t>29</w:t>
            </w:r>
            <w:r>
              <w:rPr>
                <w:rFonts w:hint="eastAsia" w:ascii="宋体" w:hAnsi="宋体" w:eastAsia="宋体" w:cs="宋体"/>
                <w:b/>
                <w:bCs/>
                <w:color w:val="auto"/>
                <w:sz w:val="21"/>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ind w:firstLine="422" w:firstLineChars="200"/>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597"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投标文件的规范程度</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1、投标文件的编制符合招标文件的规定，投标文件编制规范的，得</w:t>
            </w:r>
            <w:r>
              <w:rPr>
                <w:rFonts w:hint="eastAsia" w:ascii="宋体" w:hAnsi="宋体" w:eastAsia="宋体" w:cs="宋体"/>
                <w:color w:val="auto"/>
                <w:sz w:val="21"/>
                <w:szCs w:val="21"/>
                <w:shd w:val="clear" w:color="auto" w:fill="FFFFFF"/>
                <w:lang w:val="en-US" w:eastAsia="zh-CN"/>
              </w:rPr>
              <w:t>2</w:t>
            </w:r>
            <w:r>
              <w:rPr>
                <w:rFonts w:hint="eastAsia" w:ascii="宋体" w:hAnsi="宋体" w:eastAsia="宋体" w:cs="宋体"/>
                <w:color w:val="auto"/>
                <w:sz w:val="21"/>
                <w:szCs w:val="21"/>
                <w:shd w:val="clear" w:color="auto" w:fill="FFFFFF"/>
              </w:rPr>
              <w:t>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597"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480" w:lineRule="exact"/>
              <w:ind w:firstLine="420" w:firstLineChars="200"/>
              <w:rPr>
                <w:rFonts w:hint="eastAsia" w:ascii="宋体" w:hAnsi="宋体" w:eastAsia="宋体" w:cs="宋体"/>
                <w:color w:val="auto"/>
                <w:sz w:val="21"/>
                <w:szCs w:val="21"/>
                <w:shd w:val="clear" w:color="auto" w:fill="FFFFFF"/>
              </w:rPr>
            </w:pP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2、投标人编制投标文件逻辑严紧、条理清楚、无文字错误的，得</w:t>
            </w:r>
            <w:r>
              <w:rPr>
                <w:rFonts w:hint="eastAsia" w:ascii="宋体" w:hAnsi="宋体" w:eastAsia="宋体" w:cs="宋体"/>
                <w:color w:val="auto"/>
                <w:sz w:val="21"/>
                <w:szCs w:val="21"/>
                <w:shd w:val="clear" w:color="auto" w:fill="FFFFFF"/>
                <w:lang w:val="en-US" w:eastAsia="zh-CN"/>
              </w:rPr>
              <w:t>2</w:t>
            </w:r>
            <w:r>
              <w:rPr>
                <w:rFonts w:hint="eastAsia" w:ascii="宋体" w:hAnsi="宋体" w:eastAsia="宋体" w:cs="宋体"/>
                <w:color w:val="auto"/>
                <w:sz w:val="21"/>
                <w:szCs w:val="21"/>
                <w:shd w:val="clear" w:color="auto" w:fill="FFFFFF"/>
              </w:rPr>
              <w:t>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5" w:hRule="atLeast"/>
          <w:jc w:val="center"/>
        </w:trPr>
        <w:tc>
          <w:tcPr>
            <w:tcW w:w="1597" w:type="dxa"/>
            <w:tcBorders>
              <w:top w:val="single" w:color="auto" w:sz="4" w:space="0"/>
              <w:left w:val="single" w:color="auto" w:sz="4" w:space="0"/>
              <w:right w:val="single" w:color="auto" w:sz="4" w:space="0"/>
            </w:tcBorders>
            <w:vAlign w:val="center"/>
          </w:tcPr>
          <w:p>
            <w:pPr>
              <w:autoSpaceDE w:val="0"/>
              <w:autoSpaceDN w:val="0"/>
              <w:adjustRightInd w:val="0"/>
              <w:spacing w:line="480" w:lineRule="exac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服务方案</w:t>
            </w:r>
          </w:p>
        </w:tc>
        <w:tc>
          <w:tcPr>
            <w:tcW w:w="5969" w:type="dxa"/>
            <w:tcBorders>
              <w:top w:val="single" w:color="auto" w:sz="4" w:space="0"/>
              <w:left w:val="nil"/>
              <w:right w:val="single" w:color="auto" w:sz="4" w:space="0"/>
            </w:tcBorders>
            <w:vAlign w:val="top"/>
          </w:tcPr>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1、对服务项目背景现状、实际需求、运作要求等理解到位、分析全面深入的得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2、工作流程、作业程序及管理方案全面、规范、无漏项的，得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3、员工培训计划方案、绩效考核、管理全面、有效的，得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4、应急情况处理方案全面、有效的，得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p>
            <w:pPr>
              <w:autoSpaceDE w:val="0"/>
              <w:autoSpaceDN w:val="0"/>
              <w:adjustRightInd w:val="0"/>
              <w:spacing w:line="480" w:lineRule="exact"/>
              <w:jc w:val="both"/>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5、管理人员岗位配置全面无缺岗，且人员数量科学合理的，得</w:t>
            </w:r>
            <w:r>
              <w:rPr>
                <w:rFonts w:hint="eastAsia" w:ascii="宋体" w:hAnsi="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lang w:val="en-US" w:eastAsia="zh-CN"/>
              </w:rPr>
              <w:t>分，有相关描述的得2分，不提供不得分。</w:t>
            </w:r>
          </w:p>
        </w:tc>
        <w:tc>
          <w:tcPr>
            <w:tcW w:w="9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25</w:t>
            </w:r>
            <w:r>
              <w:rPr>
                <w:rFonts w:hint="eastAsia" w:ascii="宋体" w:hAnsi="宋体" w:eastAsia="宋体" w:cs="宋体"/>
                <w:color w:val="auto"/>
                <w:sz w:val="21"/>
                <w:szCs w:val="21"/>
              </w:rPr>
              <w:t>分</w:t>
            </w:r>
          </w:p>
        </w:tc>
      </w:tr>
    </w:tbl>
    <w:p>
      <w:pPr>
        <w:numPr>
          <w:ilvl w:val="0"/>
          <w:numId w:val="0"/>
        </w:numPr>
        <w:shd w:val="solid" w:color="FFFFFF" w:fill="auto"/>
        <w:autoSpaceDN w:val="0"/>
        <w:spacing w:line="360" w:lineRule="atLeast"/>
        <w:ind w:firstLine="482" w:firstLineChars="200"/>
        <w:rPr>
          <w:rFonts w:hint="eastAsia" w:ascii="宋体" w:hAnsi="宋体" w:eastAsia="宋体" w:cs="宋体"/>
          <w:b/>
          <w:bCs/>
          <w:color w:val="auto"/>
          <w:sz w:val="24"/>
          <w:szCs w:val="24"/>
          <w:shd w:val="clear" w:color="auto" w:fill="FFFFFF"/>
        </w:rPr>
      </w:pPr>
      <w:r>
        <w:rPr>
          <w:rFonts w:hint="eastAsia" w:ascii="宋体" w:hAnsi="宋体" w:cs="宋体"/>
          <w:b/>
          <w:bCs/>
          <w:color w:val="auto"/>
          <w:sz w:val="24"/>
          <w:szCs w:val="24"/>
          <w:shd w:val="clear" w:color="auto" w:fill="FFFFFF"/>
          <w:lang w:eastAsia="zh-CN"/>
        </w:rPr>
        <w:t>六、</w:t>
      </w:r>
      <w:r>
        <w:rPr>
          <w:rFonts w:hint="eastAsia" w:ascii="宋体" w:hAnsi="宋体" w:eastAsia="宋体" w:cs="宋体"/>
          <w:b/>
          <w:bCs/>
          <w:color w:val="auto"/>
          <w:sz w:val="24"/>
          <w:szCs w:val="24"/>
          <w:shd w:val="clear" w:color="auto" w:fill="FFFFFF"/>
        </w:rPr>
        <w:t xml:space="preserve">资金支付 </w:t>
      </w:r>
    </w:p>
    <w:p>
      <w:pPr>
        <w:shd w:val="solid" w:color="FFFFFF" w:fill="auto"/>
        <w:autoSpaceDN w:val="0"/>
        <w:spacing w:line="360" w:lineRule="atLeast"/>
        <w:ind w:firstLine="481"/>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1.支付方式：银行转账。</w:t>
      </w:r>
    </w:p>
    <w:p>
      <w:pPr>
        <w:shd w:val="solid" w:color="FFFFFF" w:fill="auto"/>
        <w:autoSpaceDN w:val="0"/>
        <w:spacing w:line="360" w:lineRule="atLeast"/>
        <w:ind w:firstLine="481"/>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2.支付时间及条件：服务期限一年。每满三个月支付一次，服务期满支付全部物业管理费用。</w:t>
      </w:r>
    </w:p>
    <w:p>
      <w:pPr>
        <w:shd w:val="solid" w:color="FFFFFF" w:fill="auto"/>
        <w:autoSpaceDN w:val="0"/>
        <w:spacing w:line="360" w:lineRule="atLeast"/>
        <w:ind w:firstLine="481"/>
        <w:rPr>
          <w:rFonts w:hint="eastAsia" w:ascii="宋体" w:hAnsi="宋体" w:eastAsia="宋体" w:cs="宋体"/>
          <w:b/>
          <w:bCs/>
          <w:color w:val="auto"/>
          <w:sz w:val="24"/>
          <w:szCs w:val="24"/>
          <w:shd w:val="clear" w:color="auto" w:fill="FFFFFF"/>
        </w:rPr>
      </w:pPr>
      <w:r>
        <w:rPr>
          <w:rFonts w:hint="eastAsia" w:ascii="宋体" w:hAnsi="宋体" w:eastAsia="宋体" w:cs="宋体"/>
          <w:b/>
          <w:bCs/>
          <w:color w:val="auto"/>
          <w:sz w:val="24"/>
          <w:szCs w:val="24"/>
          <w:shd w:val="clear" w:color="auto" w:fill="FFFFFF"/>
        </w:rPr>
        <w:t>七、联系方式</w:t>
      </w:r>
    </w:p>
    <w:p>
      <w:pPr>
        <w:shd w:val="solid" w:color="FFFFFF" w:fill="auto"/>
        <w:autoSpaceDN w:val="0"/>
        <w:spacing w:line="360" w:lineRule="atLeas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采购人：许昌市魏都区机关事务管理局</w:t>
      </w:r>
    </w:p>
    <w:p>
      <w:pPr>
        <w:shd w:val="solid" w:color="FFFFFF" w:fill="auto"/>
        <w:autoSpaceDN w:val="0"/>
        <w:spacing w:line="360" w:lineRule="atLeas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地 址：许昌市天宝路666号魏都区政府209室</w:t>
      </w:r>
    </w:p>
    <w:p>
      <w:pPr>
        <w:shd w:val="solid" w:color="FFFFFF" w:fill="auto"/>
        <w:autoSpaceDN w:val="0"/>
        <w:spacing w:line="360" w:lineRule="atLeas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联系人：焦思源             联系电话：0374-5056606</w:t>
      </w:r>
    </w:p>
    <w:bookmarkEnd w:id="0"/>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172A27"/>
    <w:rsid w:val="00057B59"/>
    <w:rsid w:val="00082B7B"/>
    <w:rsid w:val="000B2F35"/>
    <w:rsid w:val="001319E5"/>
    <w:rsid w:val="00172A27"/>
    <w:rsid w:val="001A7945"/>
    <w:rsid w:val="001B054E"/>
    <w:rsid w:val="002178F0"/>
    <w:rsid w:val="0025180F"/>
    <w:rsid w:val="002E42D0"/>
    <w:rsid w:val="00342799"/>
    <w:rsid w:val="003668A6"/>
    <w:rsid w:val="003729AF"/>
    <w:rsid w:val="003C4E8C"/>
    <w:rsid w:val="003D287F"/>
    <w:rsid w:val="00425694"/>
    <w:rsid w:val="005033B0"/>
    <w:rsid w:val="00633091"/>
    <w:rsid w:val="006B244C"/>
    <w:rsid w:val="006F4010"/>
    <w:rsid w:val="00743E9F"/>
    <w:rsid w:val="007A7B60"/>
    <w:rsid w:val="007C5EFB"/>
    <w:rsid w:val="008302D0"/>
    <w:rsid w:val="008E4372"/>
    <w:rsid w:val="00966E24"/>
    <w:rsid w:val="009735CC"/>
    <w:rsid w:val="00A75B91"/>
    <w:rsid w:val="00AF1A2D"/>
    <w:rsid w:val="00B25B88"/>
    <w:rsid w:val="00B76520"/>
    <w:rsid w:val="00C76BA7"/>
    <w:rsid w:val="00C932AF"/>
    <w:rsid w:val="00D359C3"/>
    <w:rsid w:val="00D56F15"/>
    <w:rsid w:val="00D7160A"/>
    <w:rsid w:val="00D72FF8"/>
    <w:rsid w:val="00E279B7"/>
    <w:rsid w:val="00E566BE"/>
    <w:rsid w:val="00EB38AB"/>
    <w:rsid w:val="00EF5F17"/>
    <w:rsid w:val="00F10622"/>
    <w:rsid w:val="00F85CBB"/>
    <w:rsid w:val="00F86E3F"/>
    <w:rsid w:val="05E07B7F"/>
    <w:rsid w:val="06CE5194"/>
    <w:rsid w:val="07C469A9"/>
    <w:rsid w:val="0A9E2559"/>
    <w:rsid w:val="0B613855"/>
    <w:rsid w:val="0C5E449E"/>
    <w:rsid w:val="0D2D3970"/>
    <w:rsid w:val="0D406949"/>
    <w:rsid w:val="0DF807A2"/>
    <w:rsid w:val="0EBF69ED"/>
    <w:rsid w:val="0F6D17CE"/>
    <w:rsid w:val="11042F28"/>
    <w:rsid w:val="11F645BB"/>
    <w:rsid w:val="1378301B"/>
    <w:rsid w:val="14C84776"/>
    <w:rsid w:val="1B55100D"/>
    <w:rsid w:val="1DAA648C"/>
    <w:rsid w:val="1DDA3611"/>
    <w:rsid w:val="1F92504F"/>
    <w:rsid w:val="21652125"/>
    <w:rsid w:val="251022E9"/>
    <w:rsid w:val="26970E59"/>
    <w:rsid w:val="28962A5B"/>
    <w:rsid w:val="2AD330CA"/>
    <w:rsid w:val="2C511174"/>
    <w:rsid w:val="2F2C3AB4"/>
    <w:rsid w:val="310E2887"/>
    <w:rsid w:val="312149B3"/>
    <w:rsid w:val="31D14245"/>
    <w:rsid w:val="33AD2577"/>
    <w:rsid w:val="34943CCE"/>
    <w:rsid w:val="372C7C36"/>
    <w:rsid w:val="3AC0087F"/>
    <w:rsid w:val="3E491A58"/>
    <w:rsid w:val="3EDF7417"/>
    <w:rsid w:val="40F511B6"/>
    <w:rsid w:val="4371077A"/>
    <w:rsid w:val="43BC2FD6"/>
    <w:rsid w:val="43C50EC6"/>
    <w:rsid w:val="4ABE57C9"/>
    <w:rsid w:val="4B0E5437"/>
    <w:rsid w:val="4BA3744D"/>
    <w:rsid w:val="4BA84870"/>
    <w:rsid w:val="4C6B2A12"/>
    <w:rsid w:val="4CB226B6"/>
    <w:rsid w:val="4D2D77D9"/>
    <w:rsid w:val="588111CF"/>
    <w:rsid w:val="599F2DE2"/>
    <w:rsid w:val="5CDC5000"/>
    <w:rsid w:val="5FBD3BAD"/>
    <w:rsid w:val="5FCC1B20"/>
    <w:rsid w:val="60941321"/>
    <w:rsid w:val="60BE20FC"/>
    <w:rsid w:val="611D2CB6"/>
    <w:rsid w:val="61873DE3"/>
    <w:rsid w:val="61F849F4"/>
    <w:rsid w:val="6489371E"/>
    <w:rsid w:val="64EB6E1C"/>
    <w:rsid w:val="65375600"/>
    <w:rsid w:val="675501A8"/>
    <w:rsid w:val="6AC0466B"/>
    <w:rsid w:val="6ACA1A42"/>
    <w:rsid w:val="6DE03CB0"/>
    <w:rsid w:val="6DE17D73"/>
    <w:rsid w:val="73F90B9C"/>
    <w:rsid w:val="74094FFC"/>
    <w:rsid w:val="74565A98"/>
    <w:rsid w:val="753450E7"/>
    <w:rsid w:val="756A3611"/>
    <w:rsid w:val="75AA3CF9"/>
    <w:rsid w:val="75ED25C7"/>
    <w:rsid w:val="766C65D5"/>
    <w:rsid w:val="7A6433CF"/>
    <w:rsid w:val="7B0B70CB"/>
    <w:rsid w:val="7BE267E8"/>
    <w:rsid w:val="7E461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basedOn w:val="1"/>
    <w:next w:val="1"/>
    <w:qFormat/>
    <w:uiPriority w:val="0"/>
    <w:pPr>
      <w:keepNext/>
      <w:spacing w:before="240" w:after="60"/>
      <w:outlineLvl w:val="0"/>
    </w:pPr>
    <w:rPr>
      <w:rFonts w:ascii="Arial" w:hAnsi="Arial"/>
      <w:b/>
      <w:kern w:val="28"/>
      <w:sz w:val="28"/>
    </w:rPr>
  </w:style>
  <w:style w:type="paragraph" w:styleId="5">
    <w:name w:val="heading 2"/>
    <w:basedOn w:val="1"/>
    <w:next w:val="1"/>
    <w:qFormat/>
    <w:uiPriority w:val="0"/>
    <w:pPr>
      <w:keepNext/>
      <w:spacing w:before="240" w:after="60"/>
      <w:outlineLvl w:val="1"/>
    </w:pPr>
    <w:rPr>
      <w:rFonts w:ascii="Arial" w:hAnsi="Arial"/>
      <w:b/>
      <w:i/>
    </w:rPr>
  </w:style>
  <w:style w:type="paragraph" w:styleId="6">
    <w:name w:val="heading 3"/>
    <w:basedOn w:val="1"/>
    <w:next w:val="1"/>
    <w:qFormat/>
    <w:uiPriority w:val="0"/>
    <w:pPr>
      <w:keepNext/>
      <w:spacing w:before="240" w:after="60"/>
      <w:outlineLvl w:val="2"/>
    </w:pPr>
    <w:rPr>
      <w:b/>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ascii="宋体" w:hAnsi="Times New Roman"/>
      <w:kern w:val="0"/>
      <w:sz w:val="34"/>
      <w:szCs w:val="20"/>
    </w:rPr>
  </w:style>
  <w:style w:type="paragraph" w:styleId="3">
    <w:name w:val="Body Text"/>
    <w:basedOn w:val="1"/>
    <w:semiHidden/>
    <w:qFormat/>
    <w:uiPriority w:val="99"/>
    <w:pPr>
      <w:spacing w:after="120"/>
    </w:pPr>
  </w:style>
  <w:style w:type="paragraph" w:styleId="7">
    <w:name w:val="annotation text"/>
    <w:basedOn w:val="1"/>
    <w:qFormat/>
    <w:uiPriority w:val="0"/>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Normal (Web)"/>
    <w:basedOn w:val="1"/>
    <w:qFormat/>
    <w:uiPriority w:val="0"/>
    <w:pPr>
      <w:spacing w:before="100" w:beforeAutospacing="1" w:after="100" w:afterAutospacing="1"/>
    </w:pPr>
    <w:rPr>
      <w:rFonts w:ascii="宋体" w:hAnsi="宋体"/>
      <w:sz w:val="18"/>
      <w:szCs w:val="18"/>
    </w:rPr>
  </w:style>
  <w:style w:type="paragraph" w:styleId="11">
    <w:name w:val="Title"/>
    <w:basedOn w:val="1"/>
    <w:next w:val="1"/>
    <w:qFormat/>
    <w:uiPriority w:val="0"/>
    <w:pPr>
      <w:widowControl w:val="0"/>
      <w:spacing w:before="240" w:after="60"/>
      <w:jc w:val="center"/>
      <w:outlineLvl w:val="0"/>
    </w:pPr>
    <w:rPr>
      <w:rFonts w:ascii="Cambria" w:hAnsi="Cambria"/>
      <w:b/>
      <w:bCs/>
      <w:kern w:val="2"/>
      <w:sz w:val="32"/>
      <w:szCs w:val="32"/>
    </w:rPr>
  </w:style>
  <w:style w:type="character" w:styleId="13">
    <w:name w:val="Strong"/>
    <w:qFormat/>
    <w:uiPriority w:val="0"/>
    <w:rPr>
      <w:b/>
    </w:rPr>
  </w:style>
  <w:style w:type="character" w:styleId="14">
    <w:name w:val="Hyperlink"/>
    <w:qFormat/>
    <w:uiPriority w:val="0"/>
    <w:rPr>
      <w:color w:val="000000"/>
      <w:u w:val="none"/>
    </w:rPr>
  </w:style>
  <w:style w:type="table" w:styleId="16">
    <w:name w:val="Table Grid"/>
    <w:basedOn w:val="15"/>
    <w:qFormat/>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普通(网站)1"/>
    <w:basedOn w:val="1"/>
    <w:qFormat/>
    <w:uiPriority w:val="0"/>
    <w:pPr>
      <w:spacing w:before="100" w:beforeAutospacing="1" w:after="100" w:afterAutospacing="1"/>
    </w:pPr>
    <w:rPr>
      <w:sz w:val="24"/>
    </w:rPr>
  </w:style>
  <w:style w:type="paragraph" w:customStyle="1" w:styleId="18">
    <w:name w:val="列出段落1"/>
    <w:basedOn w:val="1"/>
    <w:qFormat/>
    <w:uiPriority w:val="34"/>
    <w:pPr>
      <w:widowControl w:val="0"/>
      <w:ind w:firstLine="420" w:firstLineChars="200"/>
      <w:jc w:val="both"/>
    </w:pPr>
    <w:rPr>
      <w:rFonts w:ascii="Calibri" w:hAnsi="Calibri"/>
      <w:kern w:val="2"/>
      <w:sz w:val="21"/>
      <w:szCs w:val="22"/>
    </w:rPr>
  </w:style>
  <w:style w:type="paragraph" w:customStyle="1" w:styleId="19">
    <w:name w:val="列出段落2"/>
    <w:basedOn w:val="1"/>
    <w:unhideWhenUsed/>
    <w:qFormat/>
    <w:uiPriority w:val="99"/>
    <w:pPr>
      <w:widowControl w:val="0"/>
      <w:ind w:firstLine="420" w:firstLineChars="200"/>
      <w:jc w:val="both"/>
    </w:pPr>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796CC6-5095-4A3A-9DC0-8AFBFF27F69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10155</Words>
  <Characters>2628</Characters>
  <Lines>21</Lines>
  <Paragraphs>25</Paragraphs>
  <TotalTime>0</TotalTime>
  <ScaleCrop>false</ScaleCrop>
  <LinksUpToDate>false</LinksUpToDate>
  <CharactersWithSpaces>12758</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2018-07-13T02:39:00Z</dcterms:created>
  <dc:creator>Administrator</dc:creator>
  <cp:lastModifiedBy>吉旦</cp:lastModifiedBy>
  <cp:lastPrinted>2018-07-26T01:11:00Z</cp:lastPrinted>
  <dcterms:modified xsi:type="dcterms:W3CDTF">2018-11-19T06:45:00Z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