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32"/>
          <w:szCs w:val="32"/>
        </w:rPr>
      </w:pPr>
      <w:r>
        <w:rPr>
          <w:rFonts w:hint="eastAsia" w:asciiTheme="majorEastAsia" w:hAnsiTheme="majorEastAsia" w:eastAsiaTheme="majorEastAsia" w:cstheme="majorEastAsia"/>
          <w:b/>
          <w:bCs/>
          <w:color w:val="000000"/>
          <w:sz w:val="32"/>
          <w:szCs w:val="32"/>
        </w:rPr>
        <w:t>JZFCG-</w:t>
      </w:r>
      <w:r>
        <w:rPr>
          <w:rFonts w:hint="eastAsia" w:asciiTheme="majorEastAsia" w:hAnsiTheme="majorEastAsia" w:eastAsiaTheme="majorEastAsia" w:cstheme="majorEastAsia"/>
          <w:b/>
          <w:bCs/>
          <w:color w:val="000000"/>
          <w:sz w:val="32"/>
          <w:szCs w:val="32"/>
          <w:lang w:val="en-US" w:eastAsia="zh-CN"/>
        </w:rPr>
        <w:t>C</w:t>
      </w:r>
      <w:r>
        <w:rPr>
          <w:rFonts w:hint="eastAsia" w:asciiTheme="majorEastAsia" w:hAnsiTheme="majorEastAsia" w:eastAsiaTheme="majorEastAsia" w:cstheme="majorEastAsia"/>
          <w:b/>
          <w:bCs/>
          <w:color w:val="000000"/>
          <w:sz w:val="32"/>
          <w:szCs w:val="32"/>
        </w:rPr>
        <w:t>2018</w:t>
      </w:r>
      <w:r>
        <w:rPr>
          <w:rFonts w:hint="eastAsia" w:asciiTheme="majorEastAsia" w:hAnsiTheme="majorEastAsia" w:eastAsiaTheme="majorEastAsia" w:cstheme="majorEastAsia"/>
          <w:b/>
          <w:bCs/>
          <w:color w:val="000000"/>
          <w:sz w:val="32"/>
          <w:szCs w:val="32"/>
          <w:lang w:val="en-US" w:eastAsia="zh-CN"/>
        </w:rPr>
        <w:t>003</w:t>
      </w:r>
      <w:r>
        <w:rPr>
          <w:rFonts w:hint="eastAsia" w:asciiTheme="majorEastAsia" w:hAnsiTheme="majorEastAsia" w:eastAsiaTheme="majorEastAsia" w:cstheme="majorEastAsia"/>
          <w:b/>
          <w:bCs/>
          <w:color w:val="000000"/>
          <w:sz w:val="32"/>
          <w:szCs w:val="32"/>
        </w:rPr>
        <w:t>号</w:t>
      </w:r>
      <w:r>
        <w:rPr>
          <w:rFonts w:hint="eastAsia" w:asciiTheme="majorEastAsia" w:hAnsiTheme="majorEastAsia" w:eastAsiaTheme="majorEastAsia" w:cstheme="majorEastAsia"/>
          <w:b/>
          <w:bCs/>
          <w:color w:val="000000"/>
          <w:sz w:val="32"/>
          <w:szCs w:val="32"/>
          <w:lang w:eastAsia="zh-CN"/>
        </w:rPr>
        <w:t>许昌市魏都投资有限责任公司“2018年企业债券主承销商等选聘项目”</w:t>
      </w:r>
      <w:r>
        <w:rPr>
          <w:rFonts w:hint="eastAsia" w:asciiTheme="majorEastAsia" w:hAnsiTheme="majorEastAsia" w:eastAsiaTheme="majorEastAsia" w:cstheme="majorEastAsia"/>
          <w:b/>
          <w:bCs/>
          <w:color w:val="000000"/>
          <w:sz w:val="32"/>
          <w:szCs w:val="32"/>
        </w:rPr>
        <w:t>采购需求、评标标准等说明</w:t>
      </w:r>
    </w:p>
    <w:p>
      <w:pPr>
        <w:pStyle w:val="4"/>
        <w:widowControl/>
        <w:shd w:val="clear" w:color="auto" w:fill="FFFFFF"/>
        <w:spacing w:line="360" w:lineRule="auto"/>
        <w:contextualSpacing/>
        <w:jc w:val="left"/>
        <w:rPr>
          <w:rFonts w:ascii="黑体" w:hAnsi="黑体" w:eastAsia="黑体" w:cs="黑体"/>
          <w:b/>
          <w:bCs/>
          <w:color w:val="000000"/>
          <w:sz w:val="28"/>
          <w:szCs w:val="28"/>
        </w:rPr>
      </w:pPr>
      <w:r>
        <w:rPr>
          <w:rFonts w:hint="eastAsia" w:ascii="黑体" w:hAnsi="黑体" w:eastAsia="黑体" w:cs="黑体"/>
          <w:b/>
          <w:bCs/>
          <w:color w:val="000000"/>
          <w:sz w:val="28"/>
          <w:szCs w:val="28"/>
          <w:shd w:val="clear" w:color="auto" w:fill="FFFFFF"/>
        </w:rPr>
        <w:t>一、项目基本情况</w:t>
      </w:r>
    </w:p>
    <w:p>
      <w:pPr>
        <w:pStyle w:val="4"/>
        <w:widowControl/>
        <w:shd w:val="clear" w:color="auto" w:fill="FFFFFF"/>
        <w:spacing w:line="360" w:lineRule="auto"/>
        <w:ind w:firstLine="420"/>
        <w:contextualSpacing/>
        <w:jc w:val="left"/>
        <w:rPr>
          <w:rFonts w:hint="eastAsia" w:ascii="仿宋" w:hAnsi="仿宋" w:eastAsia="仿宋" w:cs="仿宋_GB2312"/>
          <w:color w:val="000000"/>
          <w:sz w:val="28"/>
          <w:szCs w:val="28"/>
          <w:shd w:val="clear" w:color="auto" w:fill="FFFFFF"/>
          <w:lang w:eastAsia="zh-CN"/>
        </w:rPr>
      </w:pPr>
      <w:r>
        <w:rPr>
          <w:rFonts w:hint="eastAsia" w:ascii="仿宋" w:hAnsi="仿宋" w:eastAsia="仿宋" w:cs="仿宋_GB2312"/>
          <w:color w:val="000000"/>
          <w:sz w:val="28"/>
          <w:szCs w:val="28"/>
          <w:shd w:val="clear" w:color="auto" w:fill="FFFFFF"/>
        </w:rPr>
        <w:t>（一）项目名称：</w:t>
      </w:r>
      <w:r>
        <w:rPr>
          <w:rFonts w:hint="eastAsia" w:ascii="仿宋" w:hAnsi="仿宋" w:eastAsia="仿宋" w:cs="仿宋_GB2312"/>
          <w:color w:val="000000"/>
          <w:sz w:val="28"/>
          <w:szCs w:val="28"/>
          <w:shd w:val="clear" w:color="auto" w:fill="FFFFFF"/>
          <w:lang w:eastAsia="zh-CN"/>
        </w:rPr>
        <w:t>许昌市魏都投资有限责任公司“2018年企业债券主承销商等选聘项目”</w:t>
      </w:r>
    </w:p>
    <w:p>
      <w:pPr>
        <w:pStyle w:val="4"/>
        <w:widowControl/>
        <w:shd w:val="clear" w:color="auto" w:fill="FFFFFF"/>
        <w:spacing w:line="360" w:lineRule="auto"/>
        <w:ind w:firstLine="420"/>
        <w:contextualSpacing/>
        <w:jc w:val="left"/>
        <w:rPr>
          <w:rFonts w:hint="eastAsia" w:ascii="仿宋" w:hAnsi="仿宋" w:eastAsia="仿宋" w:cs="仿宋_GB2312"/>
          <w:color w:val="000000"/>
          <w:sz w:val="28"/>
          <w:szCs w:val="28"/>
          <w:shd w:val="clear" w:color="auto" w:fill="FFFFFF"/>
          <w:lang w:eastAsia="zh-CN"/>
        </w:rPr>
      </w:pPr>
      <w:r>
        <w:rPr>
          <w:rFonts w:hint="eastAsia" w:ascii="仿宋" w:hAnsi="仿宋" w:eastAsia="仿宋" w:cs="仿宋_GB2312"/>
          <w:color w:val="000000"/>
          <w:sz w:val="28"/>
          <w:szCs w:val="28"/>
          <w:shd w:val="clear" w:color="auto" w:fill="FFFFFF"/>
        </w:rPr>
        <w:t>（</w:t>
      </w:r>
      <w:r>
        <w:rPr>
          <w:rFonts w:hint="eastAsia" w:ascii="仿宋" w:hAnsi="仿宋" w:eastAsia="仿宋" w:cs="仿宋_GB2312"/>
          <w:color w:val="000000"/>
          <w:sz w:val="28"/>
          <w:szCs w:val="28"/>
          <w:shd w:val="clear" w:color="auto" w:fill="FFFFFF"/>
          <w:lang w:eastAsia="zh-CN"/>
        </w:rPr>
        <w:t>二</w:t>
      </w:r>
      <w:r>
        <w:rPr>
          <w:rFonts w:hint="eastAsia" w:ascii="仿宋" w:hAnsi="仿宋" w:eastAsia="仿宋" w:cs="仿宋_GB2312"/>
          <w:color w:val="000000"/>
          <w:sz w:val="28"/>
          <w:szCs w:val="28"/>
          <w:shd w:val="clear" w:color="auto" w:fill="FFFFFF"/>
        </w:rPr>
        <w:t>）采购方式</w:t>
      </w:r>
      <w:r>
        <w:rPr>
          <w:rFonts w:hint="eastAsia" w:ascii="仿宋" w:hAnsi="仿宋" w:eastAsia="仿宋" w:cs="仿宋_GB2312"/>
          <w:color w:val="000000"/>
          <w:sz w:val="28"/>
          <w:szCs w:val="28"/>
          <w:shd w:val="clear" w:color="auto" w:fill="FFFFFF"/>
          <w:lang w:eastAsia="zh-CN"/>
        </w:rPr>
        <w:t>：竞争性磋商</w:t>
      </w:r>
    </w:p>
    <w:p>
      <w:pPr>
        <w:pStyle w:val="4"/>
        <w:widowControl/>
        <w:shd w:val="clear" w:color="auto" w:fill="FFFFFF"/>
        <w:spacing w:line="360" w:lineRule="auto"/>
        <w:ind w:firstLine="420"/>
        <w:contextualSpacing/>
        <w:jc w:val="left"/>
        <w:rPr>
          <w:rFonts w:hint="eastAsia" w:ascii="仿宋" w:hAnsi="仿宋" w:eastAsia="仿宋" w:cs="仿宋_GB2312"/>
          <w:color w:val="000000"/>
          <w:sz w:val="28"/>
          <w:szCs w:val="28"/>
          <w:shd w:val="clear" w:color="auto" w:fill="FFFFFF"/>
        </w:rPr>
      </w:pPr>
      <w:r>
        <w:rPr>
          <w:rFonts w:hint="eastAsia" w:ascii="仿宋" w:hAnsi="仿宋" w:eastAsia="仿宋" w:cs="仿宋_GB2312"/>
          <w:color w:val="000000"/>
          <w:sz w:val="28"/>
          <w:szCs w:val="28"/>
          <w:shd w:val="clear" w:color="auto" w:fill="FFFFFF"/>
        </w:rPr>
        <w:t>（</w:t>
      </w:r>
      <w:r>
        <w:rPr>
          <w:rFonts w:hint="eastAsia" w:ascii="仿宋" w:hAnsi="仿宋" w:eastAsia="仿宋" w:cs="仿宋_GB2312"/>
          <w:color w:val="000000"/>
          <w:sz w:val="28"/>
          <w:szCs w:val="28"/>
          <w:shd w:val="clear" w:color="auto" w:fill="FFFFFF"/>
          <w:lang w:eastAsia="zh-CN"/>
        </w:rPr>
        <w:t>三</w:t>
      </w:r>
      <w:r>
        <w:rPr>
          <w:rFonts w:hint="eastAsia" w:ascii="仿宋" w:hAnsi="仿宋" w:eastAsia="仿宋" w:cs="仿宋_GB2312"/>
          <w:color w:val="000000"/>
          <w:sz w:val="28"/>
          <w:szCs w:val="28"/>
          <w:shd w:val="clear" w:color="auto" w:fill="FFFFFF"/>
        </w:rPr>
        <w:t>）项目主要内容、数量及要求：</w:t>
      </w:r>
    </w:p>
    <w:p>
      <w:pPr>
        <w:pStyle w:val="4"/>
        <w:widowControl/>
        <w:shd w:val="clear" w:color="auto" w:fill="FFFFFF"/>
        <w:spacing w:line="360" w:lineRule="auto"/>
        <w:ind w:firstLine="560" w:firstLineChars="200"/>
        <w:contextualSpacing/>
        <w:jc w:val="left"/>
        <w:rPr>
          <w:rFonts w:hint="eastAsia" w:ascii="仿宋" w:hAnsi="仿宋" w:eastAsia="仿宋" w:cs="仿宋_GB2312"/>
          <w:color w:val="000000"/>
          <w:sz w:val="28"/>
          <w:szCs w:val="28"/>
          <w:shd w:val="clear" w:color="auto" w:fill="FFFFFF"/>
        </w:rPr>
      </w:pPr>
      <w:r>
        <w:rPr>
          <w:rFonts w:hint="eastAsia" w:ascii="仿宋" w:hAnsi="仿宋" w:eastAsia="仿宋" w:cs="仿宋_GB2312"/>
          <w:color w:val="000000"/>
          <w:sz w:val="28"/>
          <w:szCs w:val="28"/>
          <w:shd w:val="clear" w:color="auto" w:fill="FFFFFF"/>
        </w:rPr>
        <w:t>中标的主承销商负责本公司企业债券发行方案编制、报批、后续的发行承销、备案工作及债券本息的代理兑付等。本次企业债券发行的主要技术指标要求如下：</w:t>
      </w:r>
    </w:p>
    <w:p>
      <w:pPr>
        <w:pStyle w:val="4"/>
        <w:widowControl/>
        <w:shd w:val="clear" w:color="auto" w:fill="FFFFFF"/>
        <w:spacing w:line="360" w:lineRule="auto"/>
        <w:contextualSpacing/>
        <w:jc w:val="left"/>
        <w:rPr>
          <w:rFonts w:hint="eastAsia" w:ascii="仿宋" w:hAnsi="仿宋" w:eastAsia="仿宋" w:cs="仿宋_GB2312"/>
          <w:color w:val="000000"/>
          <w:sz w:val="28"/>
          <w:szCs w:val="28"/>
          <w:shd w:val="clear" w:color="auto" w:fill="FFFFFF"/>
        </w:rPr>
      </w:pPr>
      <w:r>
        <w:rPr>
          <w:rFonts w:hint="eastAsia" w:ascii="仿宋" w:hAnsi="仿宋" w:eastAsia="仿宋" w:cs="仿宋_GB2312"/>
          <w:color w:val="000000"/>
          <w:sz w:val="28"/>
          <w:szCs w:val="28"/>
          <w:shd w:val="clear" w:color="auto" w:fill="FFFFFF"/>
        </w:rPr>
        <w:t>债券性质：公开发行企业债券</w:t>
      </w:r>
    </w:p>
    <w:p>
      <w:pPr>
        <w:pStyle w:val="4"/>
        <w:widowControl/>
        <w:shd w:val="clear" w:color="auto" w:fill="FFFFFF"/>
        <w:spacing w:line="360" w:lineRule="auto"/>
        <w:contextualSpacing/>
        <w:jc w:val="left"/>
        <w:rPr>
          <w:rFonts w:hint="eastAsia" w:ascii="仿宋" w:hAnsi="仿宋" w:eastAsia="仿宋" w:cs="仿宋_GB2312"/>
          <w:color w:val="000000"/>
          <w:sz w:val="28"/>
          <w:szCs w:val="28"/>
          <w:shd w:val="clear" w:color="auto" w:fill="FFFFFF"/>
        </w:rPr>
      </w:pPr>
      <w:r>
        <w:rPr>
          <w:rFonts w:hint="eastAsia" w:ascii="仿宋" w:hAnsi="仿宋" w:eastAsia="仿宋" w:cs="仿宋_GB2312"/>
          <w:color w:val="000000"/>
          <w:sz w:val="28"/>
          <w:szCs w:val="28"/>
          <w:shd w:val="clear" w:color="auto" w:fill="FFFFFF"/>
        </w:rPr>
        <w:t>发行规模：不超过13亿元</w:t>
      </w:r>
    </w:p>
    <w:p>
      <w:pPr>
        <w:pStyle w:val="4"/>
        <w:widowControl/>
        <w:shd w:val="clear" w:color="auto" w:fill="FFFFFF"/>
        <w:spacing w:line="360" w:lineRule="auto"/>
        <w:contextualSpacing/>
        <w:jc w:val="left"/>
        <w:rPr>
          <w:rFonts w:hint="eastAsia" w:ascii="仿宋" w:hAnsi="仿宋" w:eastAsia="仿宋" w:cs="仿宋_GB2312"/>
          <w:color w:val="000000"/>
          <w:sz w:val="28"/>
          <w:szCs w:val="28"/>
          <w:shd w:val="clear" w:color="auto" w:fill="FFFFFF"/>
        </w:rPr>
      </w:pPr>
      <w:r>
        <w:rPr>
          <w:rFonts w:hint="eastAsia" w:ascii="仿宋" w:hAnsi="仿宋" w:eastAsia="仿宋" w:cs="仿宋_GB2312"/>
          <w:color w:val="000000"/>
          <w:sz w:val="28"/>
          <w:szCs w:val="28"/>
          <w:shd w:val="clear" w:color="auto" w:fill="FFFFFF"/>
        </w:rPr>
        <w:t>债券期限：不超过7年</w:t>
      </w:r>
    </w:p>
    <w:p>
      <w:pPr>
        <w:pStyle w:val="4"/>
        <w:widowControl/>
        <w:shd w:val="clear" w:color="auto" w:fill="FFFFFF"/>
        <w:spacing w:line="360" w:lineRule="auto"/>
        <w:contextualSpacing/>
        <w:jc w:val="left"/>
        <w:rPr>
          <w:rFonts w:hint="eastAsia" w:ascii="仿宋" w:hAnsi="仿宋" w:eastAsia="仿宋" w:cs="仿宋_GB2312"/>
          <w:color w:val="000000"/>
          <w:sz w:val="28"/>
          <w:szCs w:val="28"/>
          <w:shd w:val="clear" w:color="auto" w:fill="FFFFFF"/>
        </w:rPr>
      </w:pPr>
      <w:r>
        <w:rPr>
          <w:rFonts w:hint="eastAsia" w:ascii="仿宋" w:hAnsi="仿宋" w:eastAsia="仿宋" w:cs="仿宋_GB2312"/>
          <w:color w:val="000000"/>
          <w:sz w:val="28"/>
          <w:szCs w:val="28"/>
          <w:shd w:val="clear" w:color="auto" w:fill="FFFFFF"/>
        </w:rPr>
        <w:t>承销方式：由中标的主承销商的承销团以余额包销的方式承销本期债券。</w:t>
      </w:r>
    </w:p>
    <w:p>
      <w:pPr>
        <w:pStyle w:val="4"/>
        <w:widowControl/>
        <w:shd w:val="clear" w:color="auto" w:fill="FFFFFF"/>
        <w:spacing w:line="360" w:lineRule="auto"/>
        <w:contextualSpacing/>
        <w:jc w:val="left"/>
        <w:rPr>
          <w:rFonts w:hint="eastAsia" w:ascii="仿宋" w:hAnsi="仿宋" w:eastAsia="仿宋" w:cs="仿宋_GB2312"/>
          <w:color w:val="000000"/>
          <w:sz w:val="28"/>
          <w:szCs w:val="28"/>
          <w:shd w:val="clear" w:color="auto" w:fill="FFFFFF"/>
        </w:rPr>
      </w:pPr>
      <w:r>
        <w:rPr>
          <w:rFonts w:hint="eastAsia" w:ascii="仿宋" w:hAnsi="仿宋" w:eastAsia="仿宋" w:cs="仿宋_GB2312"/>
          <w:color w:val="000000"/>
          <w:sz w:val="28"/>
          <w:szCs w:val="28"/>
          <w:shd w:val="clear" w:color="auto" w:fill="FFFFFF"/>
        </w:rPr>
        <w:t>发行方式：向合格投资者公开发行；</w:t>
      </w:r>
    </w:p>
    <w:p>
      <w:pPr>
        <w:pStyle w:val="4"/>
        <w:widowControl/>
        <w:shd w:val="clear" w:color="auto" w:fill="FFFFFF"/>
        <w:spacing w:line="360" w:lineRule="auto"/>
        <w:contextualSpacing/>
        <w:jc w:val="left"/>
        <w:rPr>
          <w:rFonts w:hint="eastAsia" w:ascii="仿宋" w:hAnsi="仿宋" w:eastAsia="仿宋" w:cs="仿宋_GB2312"/>
          <w:color w:val="000000"/>
          <w:sz w:val="28"/>
          <w:szCs w:val="28"/>
          <w:shd w:val="clear" w:color="auto" w:fill="FFFFFF"/>
        </w:rPr>
      </w:pPr>
      <w:r>
        <w:rPr>
          <w:rFonts w:hint="eastAsia" w:ascii="仿宋" w:hAnsi="仿宋" w:eastAsia="仿宋" w:cs="仿宋_GB2312"/>
          <w:color w:val="000000"/>
          <w:sz w:val="28"/>
          <w:szCs w:val="28"/>
          <w:shd w:val="clear" w:color="auto" w:fill="FFFFFF"/>
        </w:rPr>
        <w:t>承销佣金支付方式：发行成功后支付全部承销佣金。</w:t>
      </w:r>
    </w:p>
    <w:p>
      <w:pPr>
        <w:pStyle w:val="4"/>
        <w:widowControl/>
        <w:shd w:val="clear" w:color="auto" w:fill="FFFFFF"/>
        <w:spacing w:line="360" w:lineRule="auto"/>
        <w:ind w:firstLine="560" w:firstLineChars="200"/>
        <w:contextualSpacing/>
        <w:jc w:val="left"/>
        <w:rPr>
          <w:rFonts w:hint="eastAsia" w:ascii="仿宋" w:hAnsi="仿宋" w:eastAsia="仿宋" w:cs="仿宋_GB2312"/>
          <w:color w:val="000000"/>
          <w:sz w:val="28"/>
          <w:szCs w:val="28"/>
          <w:shd w:val="clear" w:color="auto" w:fill="FFFFFF"/>
        </w:rPr>
      </w:pPr>
      <w:r>
        <w:rPr>
          <w:rFonts w:hint="eastAsia" w:ascii="仿宋" w:hAnsi="仿宋" w:eastAsia="仿宋" w:cs="仿宋_GB2312"/>
          <w:color w:val="000000"/>
          <w:sz w:val="28"/>
          <w:szCs w:val="28"/>
          <w:shd w:val="clear" w:color="auto" w:fill="FFFFFF"/>
        </w:rPr>
        <w:t>可研咨询机构负责可行性研究报告的咨询编制服务，并协调发改委取得项目批复意见，保证通过相关行政部门的审批，且符合国家、地方及招标人相关规范和要求。</w:t>
      </w:r>
    </w:p>
    <w:p>
      <w:pPr>
        <w:pStyle w:val="4"/>
        <w:widowControl/>
        <w:shd w:val="clear" w:color="auto" w:fill="FFFFFF"/>
        <w:spacing w:line="360" w:lineRule="auto"/>
        <w:ind w:firstLine="560" w:firstLineChars="200"/>
        <w:contextualSpacing/>
        <w:jc w:val="left"/>
        <w:rPr>
          <w:rFonts w:hint="eastAsia" w:ascii="仿宋" w:hAnsi="仿宋" w:eastAsia="仿宋" w:cs="仿宋_GB2312"/>
          <w:color w:val="000000"/>
          <w:sz w:val="28"/>
          <w:szCs w:val="28"/>
          <w:shd w:val="clear" w:color="auto" w:fill="FFFFFF"/>
        </w:rPr>
      </w:pPr>
      <w:r>
        <w:rPr>
          <w:rFonts w:hint="eastAsia" w:ascii="仿宋" w:hAnsi="仿宋" w:eastAsia="仿宋" w:cs="仿宋_GB2312"/>
          <w:color w:val="000000"/>
          <w:sz w:val="28"/>
          <w:szCs w:val="28"/>
          <w:shd w:val="clear" w:color="auto" w:fill="FFFFFF"/>
        </w:rPr>
        <w:t>会计师事务所为许昌市魏都投资有限责任公司发行企业债券提供审计等相关服务。对许昌市魏都投资有限责任公司及其子公司进行审计，并按照发行企业债券的要求提供审计报告以及其他必要文件。</w:t>
      </w:r>
    </w:p>
    <w:p>
      <w:pPr>
        <w:pStyle w:val="4"/>
        <w:widowControl/>
        <w:shd w:val="clear" w:color="auto" w:fill="FFFFFF"/>
        <w:spacing w:line="360" w:lineRule="auto"/>
        <w:ind w:firstLine="420"/>
        <w:contextualSpacing/>
        <w:jc w:val="left"/>
        <w:rPr>
          <w:rFonts w:hint="eastAsia" w:ascii="仿宋" w:hAnsi="仿宋" w:eastAsia="仿宋" w:cs="仿宋_GB2312"/>
          <w:color w:val="000000"/>
          <w:sz w:val="28"/>
          <w:szCs w:val="28"/>
          <w:shd w:val="clear" w:color="auto" w:fill="FFFFFF"/>
          <w:lang w:eastAsia="zh-CN"/>
        </w:rPr>
      </w:pPr>
      <w:r>
        <w:rPr>
          <w:rFonts w:hint="eastAsia" w:ascii="仿宋" w:hAnsi="仿宋" w:eastAsia="仿宋" w:cs="仿宋_GB2312"/>
          <w:color w:val="000000"/>
          <w:sz w:val="28"/>
          <w:szCs w:val="28"/>
          <w:shd w:val="clear" w:color="auto" w:fill="FFFFFF"/>
          <w:lang w:eastAsia="zh-CN"/>
        </w:rPr>
        <w:t>（四）标包划分：本项目共设3个包。A包：选聘2018年企业债券主承销商 ；B包：选聘2018年企业债券可研性咨询机构；C包：选聘2018年企业债券会计师事务所。</w:t>
      </w:r>
    </w:p>
    <w:p>
      <w:pPr>
        <w:pStyle w:val="4"/>
        <w:widowControl/>
        <w:numPr>
          <w:ilvl w:val="0"/>
          <w:numId w:val="0"/>
        </w:numPr>
        <w:shd w:val="clear" w:color="auto" w:fill="FFFFFF"/>
        <w:spacing w:line="360" w:lineRule="auto"/>
        <w:ind w:firstLine="560" w:firstLineChars="200"/>
        <w:contextualSpacing/>
        <w:jc w:val="left"/>
        <w:rPr>
          <w:rFonts w:hint="eastAsia" w:ascii="仿宋" w:hAnsi="仿宋" w:eastAsia="仿宋" w:cs="仿宋_GB2312"/>
          <w:color w:val="000000"/>
          <w:sz w:val="28"/>
          <w:szCs w:val="28"/>
          <w:u w:val="none"/>
          <w:shd w:val="clear" w:color="auto" w:fill="FFFFFF"/>
          <w:lang w:val="en-US" w:eastAsia="zh-CN"/>
        </w:rPr>
      </w:pPr>
      <w:r>
        <w:rPr>
          <w:rFonts w:hint="eastAsia" w:ascii="仿宋" w:hAnsi="仿宋" w:eastAsia="仿宋" w:cs="仿宋_GB2312"/>
          <w:color w:val="000000"/>
          <w:sz w:val="28"/>
          <w:szCs w:val="28"/>
          <w:shd w:val="clear" w:color="auto" w:fill="FFFFFF"/>
          <w:lang w:eastAsia="zh-CN"/>
        </w:rPr>
        <w:t>（五）</w:t>
      </w:r>
      <w:r>
        <w:rPr>
          <w:rFonts w:hint="eastAsia" w:ascii="仿宋" w:hAnsi="仿宋" w:eastAsia="仿宋" w:cs="仿宋_GB2312"/>
          <w:color w:val="000000"/>
          <w:sz w:val="28"/>
          <w:szCs w:val="28"/>
          <w:shd w:val="clear" w:color="auto" w:fill="FFFFFF"/>
        </w:rPr>
        <w:t>预算金额：</w:t>
      </w:r>
      <w:r>
        <w:rPr>
          <w:rFonts w:hint="eastAsia" w:ascii="仿宋" w:hAnsi="仿宋" w:eastAsia="仿宋" w:cs="仿宋_GB2312"/>
          <w:color w:val="000000"/>
          <w:sz w:val="28"/>
          <w:szCs w:val="28"/>
          <w:u w:val="none"/>
          <w:shd w:val="clear" w:color="auto" w:fill="FFFFFF"/>
          <w:lang w:val="en-US" w:eastAsia="zh-CN"/>
        </w:rPr>
        <w:t>A包：800万元，最高限价：800万元；</w:t>
      </w:r>
    </w:p>
    <w:p>
      <w:pPr>
        <w:pStyle w:val="4"/>
        <w:widowControl/>
        <w:numPr>
          <w:ilvl w:val="0"/>
          <w:numId w:val="0"/>
        </w:numPr>
        <w:shd w:val="clear" w:color="auto" w:fill="FFFFFF"/>
        <w:spacing w:line="360" w:lineRule="auto"/>
        <w:ind w:firstLine="2800" w:firstLineChars="1000"/>
        <w:contextualSpacing/>
        <w:jc w:val="left"/>
        <w:rPr>
          <w:rFonts w:hint="eastAsia" w:ascii="仿宋" w:hAnsi="仿宋" w:eastAsia="仿宋" w:cs="仿宋_GB2312"/>
          <w:color w:val="000000"/>
          <w:sz w:val="28"/>
          <w:szCs w:val="28"/>
          <w:u w:val="none"/>
          <w:shd w:val="clear" w:color="auto" w:fill="FFFFFF"/>
          <w:lang w:val="en-US" w:eastAsia="zh-CN"/>
        </w:rPr>
      </w:pPr>
      <w:r>
        <w:rPr>
          <w:rFonts w:hint="eastAsia" w:ascii="仿宋" w:hAnsi="仿宋" w:eastAsia="仿宋" w:cs="仿宋_GB2312"/>
          <w:color w:val="000000"/>
          <w:sz w:val="28"/>
          <w:szCs w:val="28"/>
          <w:u w:val="none"/>
          <w:shd w:val="clear" w:color="auto" w:fill="FFFFFF"/>
          <w:lang w:val="en-US" w:eastAsia="zh-CN"/>
        </w:rPr>
        <w:t>B包：40万元，最高限价：40万元；</w:t>
      </w:r>
    </w:p>
    <w:p>
      <w:pPr>
        <w:pStyle w:val="4"/>
        <w:widowControl/>
        <w:numPr>
          <w:ilvl w:val="0"/>
          <w:numId w:val="0"/>
        </w:numPr>
        <w:shd w:val="clear" w:color="auto" w:fill="FFFFFF"/>
        <w:spacing w:line="360" w:lineRule="auto"/>
        <w:ind w:firstLine="2800" w:firstLineChars="1000"/>
        <w:contextualSpacing/>
        <w:jc w:val="left"/>
        <w:rPr>
          <w:rFonts w:hint="eastAsia" w:ascii="仿宋" w:hAnsi="仿宋" w:eastAsia="仿宋" w:cs="仿宋_GB2312"/>
          <w:color w:val="000000"/>
          <w:sz w:val="28"/>
          <w:szCs w:val="28"/>
          <w:shd w:val="clear" w:color="auto" w:fill="FFFFFF"/>
          <w:lang w:eastAsia="zh-CN"/>
        </w:rPr>
      </w:pPr>
      <w:r>
        <w:rPr>
          <w:rFonts w:hint="eastAsia" w:ascii="仿宋" w:hAnsi="仿宋" w:eastAsia="仿宋" w:cs="仿宋_GB2312"/>
          <w:color w:val="000000"/>
          <w:sz w:val="28"/>
          <w:szCs w:val="28"/>
          <w:u w:val="none"/>
          <w:shd w:val="clear" w:color="auto" w:fill="FFFFFF"/>
          <w:lang w:val="en-US" w:eastAsia="zh-CN"/>
        </w:rPr>
        <w:t>C包：90万元，最高限价：90万元。</w:t>
      </w:r>
    </w:p>
    <w:p>
      <w:pPr>
        <w:pStyle w:val="4"/>
        <w:widowControl/>
        <w:shd w:val="clear" w:color="auto" w:fill="FFFFFF"/>
        <w:spacing w:line="360" w:lineRule="auto"/>
        <w:ind w:firstLine="420"/>
        <w:contextualSpacing/>
        <w:jc w:val="left"/>
        <w:rPr>
          <w:rFonts w:ascii="仿宋" w:hAnsi="仿宋" w:eastAsia="仿宋" w:cs="仿宋_GB2312"/>
          <w:color w:val="auto"/>
          <w:sz w:val="28"/>
          <w:szCs w:val="28"/>
        </w:rPr>
      </w:pPr>
      <w:r>
        <w:rPr>
          <w:rFonts w:hint="eastAsia" w:ascii="仿宋" w:hAnsi="仿宋" w:eastAsia="仿宋" w:cs="仿宋_GB2312"/>
          <w:color w:val="auto"/>
          <w:sz w:val="28"/>
          <w:szCs w:val="28"/>
        </w:rPr>
        <w:t>（</w:t>
      </w:r>
      <w:r>
        <w:rPr>
          <w:rFonts w:hint="eastAsia" w:ascii="仿宋" w:hAnsi="仿宋" w:eastAsia="仿宋" w:cs="仿宋_GB2312"/>
          <w:color w:val="auto"/>
          <w:sz w:val="28"/>
          <w:szCs w:val="28"/>
          <w:lang w:eastAsia="zh-CN"/>
        </w:rPr>
        <w:t>六</w:t>
      </w:r>
      <w:r>
        <w:rPr>
          <w:rFonts w:hint="eastAsia" w:ascii="仿宋" w:hAnsi="仿宋" w:eastAsia="仿宋" w:cs="仿宋_GB2312"/>
          <w:color w:val="auto"/>
          <w:sz w:val="28"/>
          <w:szCs w:val="28"/>
        </w:rPr>
        <w:t>）服务时间：签订合同后360日历天；</w:t>
      </w:r>
    </w:p>
    <w:p>
      <w:pPr>
        <w:pStyle w:val="4"/>
        <w:widowControl/>
        <w:shd w:val="clear" w:color="auto" w:fill="FFFFFF"/>
        <w:spacing w:line="360" w:lineRule="auto"/>
        <w:ind w:firstLine="420"/>
        <w:contextualSpacing/>
        <w:jc w:val="left"/>
        <w:rPr>
          <w:rFonts w:hint="eastAsia" w:ascii="仿宋" w:hAnsi="仿宋" w:eastAsia="仿宋" w:cs="仿宋_GB2312"/>
          <w:color w:val="000000"/>
          <w:sz w:val="28"/>
          <w:szCs w:val="28"/>
          <w:shd w:val="clear" w:color="auto" w:fill="FFFFFF"/>
          <w:lang w:eastAsia="zh-CN"/>
        </w:rPr>
      </w:pPr>
      <w:r>
        <w:rPr>
          <w:rFonts w:hint="eastAsia" w:ascii="仿宋" w:hAnsi="仿宋" w:eastAsia="仿宋" w:cs="仿宋_GB2312"/>
          <w:color w:val="000000"/>
          <w:sz w:val="28"/>
          <w:szCs w:val="28"/>
          <w:shd w:val="clear" w:color="auto" w:fill="FFFFFF"/>
        </w:rPr>
        <w:t>（</w:t>
      </w:r>
      <w:r>
        <w:rPr>
          <w:rFonts w:hint="eastAsia" w:ascii="仿宋" w:hAnsi="仿宋" w:eastAsia="仿宋" w:cs="仿宋_GB2312"/>
          <w:color w:val="000000"/>
          <w:sz w:val="28"/>
          <w:szCs w:val="28"/>
          <w:shd w:val="clear" w:color="auto" w:fill="FFFFFF"/>
          <w:lang w:eastAsia="zh-CN"/>
        </w:rPr>
        <w:t>七</w:t>
      </w:r>
      <w:r>
        <w:rPr>
          <w:rFonts w:hint="eastAsia" w:ascii="仿宋" w:hAnsi="仿宋" w:eastAsia="仿宋" w:cs="仿宋_GB2312"/>
          <w:color w:val="000000"/>
          <w:sz w:val="28"/>
          <w:szCs w:val="28"/>
          <w:shd w:val="clear" w:color="auto" w:fill="FFFFFF"/>
        </w:rPr>
        <w:t>）服务地点：</w:t>
      </w:r>
      <w:r>
        <w:rPr>
          <w:rFonts w:hint="eastAsia" w:ascii="仿宋" w:hAnsi="仿宋" w:eastAsia="仿宋" w:cs="仿宋_GB2312"/>
          <w:color w:val="000000"/>
          <w:sz w:val="28"/>
          <w:szCs w:val="28"/>
          <w:shd w:val="clear" w:color="auto" w:fill="FFFFFF"/>
          <w:lang w:eastAsia="zh-CN"/>
        </w:rPr>
        <w:t>许昌市魏都投资有限责任公司（许昌市天宝路中段魏都区市民之家九楼）；</w:t>
      </w:r>
    </w:p>
    <w:p>
      <w:pPr>
        <w:pStyle w:val="4"/>
        <w:widowControl/>
        <w:shd w:val="clear" w:color="auto" w:fill="FFFFFF"/>
        <w:spacing w:line="360" w:lineRule="auto"/>
        <w:ind w:firstLine="420"/>
        <w:contextualSpacing/>
        <w:jc w:val="left"/>
        <w:rPr>
          <w:rFonts w:hint="eastAsia" w:ascii="仿宋" w:hAnsi="仿宋" w:eastAsia="仿宋" w:cs="仿宋_GB2312"/>
          <w:color w:val="000000"/>
          <w:sz w:val="28"/>
          <w:szCs w:val="28"/>
          <w:shd w:val="clear" w:color="auto" w:fill="FFFFFF"/>
          <w:lang w:eastAsia="zh-CN"/>
        </w:rPr>
      </w:pPr>
      <w:r>
        <w:rPr>
          <w:rFonts w:hint="eastAsia" w:ascii="仿宋" w:hAnsi="仿宋" w:eastAsia="仿宋" w:cs="仿宋_GB2312"/>
          <w:color w:val="000000"/>
          <w:sz w:val="28"/>
          <w:szCs w:val="28"/>
          <w:shd w:val="clear" w:color="auto" w:fill="FFFFFF"/>
          <w:lang w:eastAsia="zh-CN"/>
        </w:rPr>
        <w:t>（八）分包：不允许。</w:t>
      </w:r>
    </w:p>
    <w:p>
      <w:pPr>
        <w:pStyle w:val="4"/>
        <w:widowControl/>
        <w:shd w:val="clear" w:color="auto" w:fill="FFFFFF"/>
        <w:spacing w:line="360" w:lineRule="auto"/>
        <w:contextualSpacing/>
        <w:jc w:val="left"/>
        <w:rPr>
          <w:rFonts w:hint="eastAsia" w:ascii="黑体" w:hAnsi="黑体" w:eastAsia="黑体" w:cs="黑体"/>
          <w:b/>
          <w:bCs/>
          <w:color w:val="000000"/>
          <w:sz w:val="28"/>
          <w:szCs w:val="28"/>
          <w:shd w:val="clear" w:color="auto" w:fill="FFFFFF"/>
        </w:rPr>
      </w:pPr>
      <w:r>
        <w:rPr>
          <w:rFonts w:hint="eastAsia" w:ascii="黑体" w:hAnsi="黑体" w:eastAsia="黑体" w:cs="黑体"/>
          <w:b/>
          <w:bCs/>
          <w:color w:val="000000"/>
          <w:sz w:val="28"/>
          <w:szCs w:val="28"/>
          <w:shd w:val="clear" w:color="auto" w:fill="FFFFFF"/>
        </w:rPr>
        <w:t>二、需要落实的政府采购政策</w:t>
      </w:r>
    </w:p>
    <w:p>
      <w:pPr>
        <w:pStyle w:val="4"/>
        <w:widowControl/>
        <w:shd w:val="clear" w:color="auto" w:fill="FFFFFF"/>
        <w:spacing w:line="360" w:lineRule="auto"/>
        <w:ind w:firstLine="548" w:firstLineChars="196"/>
        <w:contextualSpacing/>
        <w:jc w:val="left"/>
        <w:rPr>
          <w:rFonts w:ascii="黑体" w:hAnsi="黑体" w:eastAsia="黑体" w:cs="黑体"/>
          <w:b/>
          <w:bCs/>
          <w:color w:val="000000"/>
          <w:sz w:val="28"/>
          <w:szCs w:val="28"/>
          <w:shd w:val="clear" w:color="auto" w:fill="FFFFFF"/>
        </w:rPr>
      </w:pPr>
      <w:r>
        <w:rPr>
          <w:rFonts w:hint="eastAsia" w:ascii="仿宋" w:hAnsi="仿宋" w:eastAsia="仿宋" w:cs="仿宋_GB2312"/>
          <w:color w:val="000000"/>
          <w:sz w:val="28"/>
          <w:szCs w:val="28"/>
          <w:shd w:val="clear" w:color="auto" w:fill="FFFFFF"/>
        </w:rPr>
        <w:t>本项目落实</w:t>
      </w:r>
      <w:r>
        <w:rPr>
          <w:rFonts w:hint="eastAsia" w:ascii="仿宋" w:hAnsi="仿宋" w:eastAsia="仿宋" w:cs="仿宋_GB2312"/>
          <w:color w:val="000000"/>
          <w:sz w:val="28"/>
          <w:szCs w:val="28"/>
          <w:u w:val="single"/>
          <w:shd w:val="clear" w:color="auto" w:fill="FFFFFF"/>
        </w:rPr>
        <w:t>节能环保</w:t>
      </w:r>
      <w:r>
        <w:rPr>
          <w:rFonts w:hint="eastAsia" w:ascii="仿宋" w:hAnsi="仿宋" w:eastAsia="仿宋" w:cs="仿宋_GB2312"/>
          <w:color w:val="000000"/>
          <w:sz w:val="28"/>
          <w:szCs w:val="28"/>
          <w:shd w:val="clear" w:color="auto" w:fill="FFFFFF"/>
        </w:rPr>
        <w:t>、</w:t>
      </w:r>
      <w:r>
        <w:rPr>
          <w:rFonts w:hint="eastAsia" w:ascii="仿宋" w:hAnsi="仿宋" w:eastAsia="仿宋" w:cs="仿宋_GB2312"/>
          <w:color w:val="000000"/>
          <w:sz w:val="28"/>
          <w:szCs w:val="28"/>
          <w:u w:val="single"/>
          <w:shd w:val="clear" w:color="auto" w:fill="FFFFFF"/>
        </w:rPr>
        <w:t>中小微型企业</w:t>
      </w:r>
      <w:r>
        <w:rPr>
          <w:rFonts w:hint="eastAsia" w:ascii="仿宋" w:hAnsi="仿宋" w:eastAsia="仿宋" w:cs="仿宋_GB2312"/>
          <w:color w:val="000000"/>
          <w:sz w:val="28"/>
          <w:szCs w:val="28"/>
          <w:shd w:val="clear" w:color="auto" w:fill="FFFFFF"/>
        </w:rPr>
        <w:t>、</w:t>
      </w:r>
      <w:r>
        <w:rPr>
          <w:rFonts w:hint="eastAsia" w:ascii="仿宋" w:hAnsi="仿宋" w:eastAsia="仿宋" w:cs="仿宋_GB2312"/>
          <w:color w:val="000000"/>
          <w:sz w:val="28"/>
          <w:szCs w:val="28"/>
          <w:u w:val="single"/>
          <w:shd w:val="clear" w:color="auto" w:fill="FFFFFF"/>
        </w:rPr>
        <w:t>残疾人福利性单位</w:t>
      </w:r>
      <w:r>
        <w:rPr>
          <w:rFonts w:hint="eastAsia" w:ascii="仿宋" w:hAnsi="仿宋" w:eastAsia="仿宋" w:cs="仿宋_GB2312"/>
          <w:color w:val="000000"/>
          <w:sz w:val="28"/>
          <w:szCs w:val="28"/>
          <w:shd w:val="clear" w:color="auto" w:fill="FFFFFF"/>
        </w:rPr>
        <w:t>扶持等相关政府采购政策。</w:t>
      </w:r>
    </w:p>
    <w:p>
      <w:pPr>
        <w:pStyle w:val="4"/>
        <w:widowControl/>
        <w:shd w:val="clear" w:color="auto" w:fill="FFFFFF"/>
        <w:spacing w:line="360" w:lineRule="auto"/>
        <w:contextualSpacing/>
        <w:jc w:val="left"/>
        <w:rPr>
          <w:rFonts w:ascii="黑体" w:hAnsi="黑体" w:eastAsia="黑体" w:cs="黑体"/>
          <w:b/>
          <w:bCs/>
          <w:color w:val="000000"/>
          <w:sz w:val="28"/>
          <w:szCs w:val="28"/>
          <w:shd w:val="clear" w:color="auto" w:fill="FFFFFF"/>
        </w:rPr>
      </w:pPr>
      <w:r>
        <w:rPr>
          <w:rFonts w:hint="eastAsia" w:ascii="黑体" w:hAnsi="黑体" w:eastAsia="黑体" w:cs="黑体"/>
          <w:b/>
          <w:bCs/>
          <w:color w:val="000000"/>
          <w:sz w:val="28"/>
          <w:szCs w:val="28"/>
          <w:shd w:val="clear" w:color="auto" w:fill="FFFFFF"/>
        </w:rPr>
        <w:t>三、投标人资格要求</w:t>
      </w:r>
    </w:p>
    <w:p>
      <w:pPr>
        <w:pStyle w:val="4"/>
        <w:widowControl/>
        <w:shd w:val="clear" w:color="auto" w:fill="FFFFFF"/>
        <w:spacing w:line="360" w:lineRule="auto"/>
        <w:contextualSpacing/>
        <w:jc w:val="left"/>
        <w:rPr>
          <w:rFonts w:hint="eastAsia" w:ascii="仿宋" w:hAnsi="仿宋" w:eastAsia="仿宋" w:cs="仿宋_GB2312"/>
          <w:color w:val="000000"/>
          <w:sz w:val="28"/>
          <w:szCs w:val="28"/>
          <w:shd w:val="clear" w:color="auto" w:fill="FFFFFF"/>
        </w:rPr>
      </w:pPr>
      <w:r>
        <w:rPr>
          <w:rFonts w:hint="eastAsia" w:ascii="仿宋" w:hAnsi="仿宋" w:eastAsia="仿宋" w:cs="仿宋_GB2312"/>
          <w:color w:val="000000"/>
          <w:sz w:val="28"/>
          <w:szCs w:val="28"/>
          <w:shd w:val="clear" w:color="auto" w:fill="FFFFFF"/>
        </w:rPr>
        <w:t>1、符合《中华人民共和国政府采购法》第二十二条之规定；</w:t>
      </w:r>
    </w:p>
    <w:p>
      <w:pPr>
        <w:pStyle w:val="4"/>
        <w:widowControl/>
        <w:shd w:val="clear" w:color="auto" w:fill="FFFFFF"/>
        <w:spacing w:line="360" w:lineRule="auto"/>
        <w:contextualSpacing/>
        <w:jc w:val="left"/>
        <w:rPr>
          <w:rFonts w:hint="eastAsia" w:ascii="仿宋" w:hAnsi="仿宋" w:eastAsia="仿宋" w:cs="仿宋_GB2312"/>
          <w:color w:val="000000"/>
          <w:sz w:val="28"/>
          <w:szCs w:val="28"/>
          <w:shd w:val="clear" w:color="auto" w:fill="FFFFFF"/>
        </w:rPr>
      </w:pPr>
      <w:r>
        <w:rPr>
          <w:rFonts w:hint="eastAsia" w:ascii="仿宋" w:hAnsi="仿宋" w:eastAsia="仿宋" w:cs="仿宋_GB2312"/>
          <w:color w:val="000000"/>
          <w:sz w:val="28"/>
          <w:szCs w:val="28"/>
          <w:shd w:val="clear" w:color="auto" w:fill="FFFFFF"/>
        </w:rPr>
        <w:t>2、未被列入“信用中国”网站(www.creditchina.gov.cn)失信被执行人、重大税收违法案件当事人名单、政府采购严重违法失信名单的供应商；“中国政府采购网” (www.ccgp.gov.cn)政府采购严重违法失信行为记录名单的供应商；</w:t>
      </w:r>
    </w:p>
    <w:p>
      <w:pPr>
        <w:pStyle w:val="4"/>
        <w:widowControl/>
        <w:shd w:val="clear" w:color="auto" w:fill="FFFFFF"/>
        <w:spacing w:line="360" w:lineRule="auto"/>
        <w:contextualSpacing/>
        <w:jc w:val="left"/>
        <w:rPr>
          <w:rFonts w:hint="eastAsia" w:ascii="仿宋" w:hAnsi="仿宋" w:eastAsia="仿宋" w:cs="仿宋_GB2312"/>
          <w:color w:val="000000"/>
          <w:sz w:val="28"/>
          <w:szCs w:val="28"/>
          <w:shd w:val="clear" w:color="auto" w:fill="FFFFFF"/>
        </w:rPr>
      </w:pPr>
      <w:r>
        <w:rPr>
          <w:rFonts w:hint="eastAsia" w:ascii="仿宋" w:hAnsi="仿宋" w:eastAsia="仿宋" w:cs="仿宋_GB2312"/>
          <w:color w:val="000000"/>
          <w:sz w:val="28"/>
          <w:szCs w:val="28"/>
          <w:shd w:val="clear" w:color="auto" w:fill="FFFFFF"/>
        </w:rPr>
        <w:t>3、本项目不接受联合体磋商。</w:t>
      </w:r>
    </w:p>
    <w:p>
      <w:pPr>
        <w:pStyle w:val="4"/>
        <w:widowControl/>
        <w:shd w:val="clear" w:color="auto" w:fill="FFFFFF"/>
        <w:spacing w:line="360" w:lineRule="auto"/>
        <w:contextualSpacing/>
        <w:jc w:val="left"/>
        <w:rPr>
          <w:rFonts w:ascii="黑体" w:hAnsi="黑体" w:eastAsia="黑体" w:cs="黑体"/>
          <w:b/>
          <w:bCs/>
          <w:color w:val="000000"/>
          <w:sz w:val="28"/>
          <w:szCs w:val="28"/>
          <w:shd w:val="clear" w:color="auto" w:fill="FFFFFF"/>
        </w:rPr>
      </w:pPr>
      <w:r>
        <w:rPr>
          <w:rFonts w:hint="eastAsia" w:ascii="黑体" w:hAnsi="黑体" w:eastAsia="黑体" w:cs="黑体"/>
          <w:b/>
          <w:bCs/>
          <w:color w:val="000000"/>
          <w:sz w:val="28"/>
          <w:szCs w:val="28"/>
          <w:shd w:val="clear" w:color="auto" w:fill="FFFFFF"/>
        </w:rPr>
        <w:t>四、采购需求</w:t>
      </w:r>
    </w:p>
    <w:p>
      <w:pPr>
        <w:pStyle w:val="4"/>
        <w:widowControl/>
        <w:shd w:val="clear" w:color="auto" w:fill="FFFFFF"/>
        <w:spacing w:line="360" w:lineRule="auto"/>
        <w:contextualSpacing/>
        <w:jc w:val="left"/>
        <w:rPr>
          <w:rFonts w:hint="eastAsia" w:ascii="仿宋" w:hAnsi="仿宋" w:eastAsia="仿宋" w:cs="仿宋"/>
          <w:b/>
          <w:color w:val="000000"/>
          <w:kern w:val="0"/>
          <w:sz w:val="28"/>
          <w:szCs w:val="28"/>
          <w:lang w:val="zh-CN"/>
        </w:rPr>
      </w:pPr>
      <w:r>
        <w:rPr>
          <w:rFonts w:hint="eastAsia" w:ascii="仿宋" w:hAnsi="仿宋" w:eastAsia="仿宋" w:cs="仿宋"/>
          <w:b/>
          <w:color w:val="000000"/>
          <w:kern w:val="0"/>
          <w:sz w:val="28"/>
          <w:szCs w:val="28"/>
          <w:lang w:val="en-US" w:eastAsia="zh-CN"/>
        </w:rPr>
        <w:t>1</w:t>
      </w:r>
      <w:r>
        <w:rPr>
          <w:rFonts w:hint="eastAsia" w:ascii="仿宋" w:hAnsi="仿宋" w:eastAsia="仿宋" w:cs="仿宋"/>
          <w:b/>
          <w:color w:val="000000"/>
          <w:kern w:val="0"/>
          <w:sz w:val="28"/>
          <w:szCs w:val="28"/>
          <w:lang w:val="zh-CN"/>
        </w:rPr>
        <w:t>、本项目需实现的功能或者目标：</w:t>
      </w:r>
    </w:p>
    <w:p>
      <w:pPr>
        <w:pStyle w:val="4"/>
        <w:widowControl/>
        <w:shd w:val="clear" w:color="auto" w:fill="FFFFFF"/>
        <w:spacing w:line="360" w:lineRule="auto"/>
        <w:ind w:firstLine="560" w:firstLineChars="200"/>
        <w:contextualSpacing/>
        <w:jc w:val="left"/>
        <w:rPr>
          <w:rFonts w:hint="eastAsia" w:ascii="仿宋" w:hAnsi="仿宋" w:eastAsia="仿宋" w:cs="仿宋"/>
          <w:b w:val="0"/>
          <w:bCs/>
          <w:color w:val="000000"/>
          <w:kern w:val="0"/>
          <w:sz w:val="28"/>
          <w:szCs w:val="28"/>
          <w:lang w:val="zh-CN"/>
        </w:rPr>
      </w:pPr>
      <w:r>
        <w:rPr>
          <w:rFonts w:hint="eastAsia" w:ascii="仿宋" w:hAnsi="仿宋" w:eastAsia="仿宋" w:cs="仿宋"/>
          <w:b w:val="0"/>
          <w:bCs/>
          <w:color w:val="000000"/>
          <w:kern w:val="0"/>
          <w:sz w:val="28"/>
          <w:szCs w:val="28"/>
          <w:lang w:val="zh-CN"/>
        </w:rPr>
        <w:t>为筹措我公司项目建设资金，创新公司的债券融资方式，拓宽公司融资渠道，加快构建适应市场经济发展的多元化融资体系，缓解我区经济发展与建设资金不足的矛盾，推动重大基础设施和重点项目建设，为经济平稳较快发展提供坚实的资金保障，我公司计划通过发行企业债券的方式，在资本市场上进行融资。</w:t>
      </w:r>
    </w:p>
    <w:p>
      <w:pPr>
        <w:pStyle w:val="4"/>
        <w:widowControl/>
        <w:shd w:val="clear" w:color="auto" w:fill="FFFFFF"/>
        <w:spacing w:line="360" w:lineRule="auto"/>
        <w:ind w:firstLine="560" w:firstLineChars="200"/>
        <w:contextualSpacing/>
        <w:jc w:val="left"/>
        <w:rPr>
          <w:rFonts w:hint="eastAsia" w:ascii="仿宋" w:hAnsi="仿宋" w:eastAsia="仿宋" w:cs="仿宋"/>
          <w:b w:val="0"/>
          <w:bCs/>
          <w:color w:val="000000"/>
          <w:kern w:val="0"/>
          <w:sz w:val="28"/>
          <w:szCs w:val="28"/>
          <w:lang w:val="zh-CN"/>
        </w:rPr>
      </w:pPr>
      <w:r>
        <w:rPr>
          <w:rFonts w:hint="eastAsia" w:ascii="仿宋" w:hAnsi="仿宋" w:eastAsia="仿宋" w:cs="仿宋"/>
          <w:b w:val="0"/>
          <w:bCs/>
          <w:color w:val="000000"/>
          <w:kern w:val="0"/>
          <w:sz w:val="28"/>
          <w:szCs w:val="28"/>
          <w:lang w:val="zh-CN"/>
        </w:rPr>
        <w:t>除此之外，通过发行本次企业债券，能够力促公司加强和改进管理、实现资本有效运作和资产做大、迅速增强企业的实力和建设能力、有利于企业的快速和规范发展。因此，本次企业债券发行不仅仅是融资更是企业发展的契机、是公司做大做强的重大机遇。</w:t>
      </w:r>
    </w:p>
    <w:p>
      <w:pPr>
        <w:pStyle w:val="4"/>
        <w:widowControl/>
        <w:shd w:val="clear" w:color="auto" w:fill="FFFFFF"/>
        <w:spacing w:line="360" w:lineRule="auto"/>
        <w:contextualSpacing/>
        <w:jc w:val="left"/>
        <w:rPr>
          <w:rFonts w:hint="eastAsia" w:ascii="仿宋" w:hAnsi="仿宋" w:eastAsia="仿宋" w:cs="仿宋"/>
          <w:b/>
          <w:color w:val="000000"/>
          <w:kern w:val="0"/>
          <w:sz w:val="28"/>
          <w:szCs w:val="28"/>
          <w:lang w:val="zh-CN"/>
        </w:rPr>
      </w:pPr>
      <w:r>
        <w:rPr>
          <w:rFonts w:hint="eastAsia" w:ascii="仿宋" w:hAnsi="仿宋" w:eastAsia="仿宋" w:cs="仿宋"/>
          <w:b/>
          <w:color w:val="000000"/>
          <w:kern w:val="0"/>
          <w:sz w:val="28"/>
          <w:szCs w:val="28"/>
          <w:lang w:val="en-US" w:eastAsia="zh-CN"/>
        </w:rPr>
        <w:t>2</w:t>
      </w:r>
      <w:r>
        <w:rPr>
          <w:rFonts w:hint="eastAsia" w:ascii="仿宋" w:hAnsi="仿宋" w:eastAsia="仿宋" w:cs="仿宋"/>
          <w:b/>
          <w:color w:val="000000"/>
          <w:kern w:val="0"/>
          <w:sz w:val="28"/>
          <w:szCs w:val="28"/>
          <w:lang w:val="zh-CN"/>
        </w:rPr>
        <w:t>、采购标的成果</w:t>
      </w:r>
    </w:p>
    <w:p>
      <w:pPr>
        <w:pStyle w:val="4"/>
        <w:widowControl/>
        <w:shd w:val="clear" w:color="auto" w:fill="FFFFFF"/>
        <w:spacing w:line="360" w:lineRule="auto"/>
        <w:ind w:firstLine="560" w:firstLineChars="200"/>
        <w:contextualSpacing/>
        <w:jc w:val="left"/>
        <w:rPr>
          <w:rFonts w:hint="eastAsia" w:ascii="仿宋" w:hAnsi="仿宋" w:eastAsia="仿宋" w:cs="仿宋"/>
          <w:b w:val="0"/>
          <w:bCs/>
          <w:color w:val="000000"/>
          <w:kern w:val="0"/>
          <w:sz w:val="28"/>
          <w:szCs w:val="28"/>
          <w:lang w:val="zh-CN"/>
        </w:rPr>
      </w:pPr>
      <w:r>
        <w:rPr>
          <w:rFonts w:hint="eastAsia" w:ascii="仿宋" w:hAnsi="仿宋" w:eastAsia="仿宋" w:cs="仿宋"/>
          <w:b w:val="0"/>
          <w:bCs/>
          <w:color w:val="000000"/>
          <w:kern w:val="0"/>
          <w:sz w:val="28"/>
          <w:szCs w:val="28"/>
          <w:lang w:val="zh-CN"/>
        </w:rPr>
        <w:t>本次采购项目为公司企业债券发行的主承销商、可行性研究报告咨询机构、会计师事务所。</w:t>
      </w:r>
    </w:p>
    <w:p>
      <w:pPr>
        <w:pStyle w:val="4"/>
        <w:widowControl/>
        <w:shd w:val="clear" w:color="auto" w:fill="FFFFFF"/>
        <w:spacing w:line="360" w:lineRule="auto"/>
        <w:ind w:firstLine="560" w:firstLineChars="200"/>
        <w:contextualSpacing/>
        <w:jc w:val="left"/>
        <w:rPr>
          <w:rFonts w:hint="eastAsia" w:ascii="仿宋" w:hAnsi="仿宋" w:eastAsia="仿宋" w:cs="仿宋"/>
          <w:b w:val="0"/>
          <w:bCs/>
          <w:color w:val="000000"/>
          <w:kern w:val="0"/>
          <w:sz w:val="28"/>
          <w:szCs w:val="28"/>
          <w:lang w:val="zh-CN"/>
        </w:rPr>
      </w:pPr>
      <w:r>
        <w:rPr>
          <w:rFonts w:hint="eastAsia" w:ascii="仿宋" w:hAnsi="仿宋" w:eastAsia="仿宋" w:cs="仿宋"/>
          <w:b w:val="0"/>
          <w:bCs/>
          <w:color w:val="000000"/>
          <w:kern w:val="0"/>
          <w:sz w:val="28"/>
          <w:szCs w:val="28"/>
          <w:lang w:val="zh-CN"/>
        </w:rPr>
        <w:t>中标的主承销商在与采购人签订合同后，负责企业债券发行方案编制、报批、后续的发行承销、备案工作及债券本息的代理兑付等。</w:t>
      </w:r>
    </w:p>
    <w:p>
      <w:pPr>
        <w:pStyle w:val="4"/>
        <w:widowControl/>
        <w:shd w:val="clear" w:color="auto" w:fill="FFFFFF"/>
        <w:spacing w:line="360" w:lineRule="auto"/>
        <w:ind w:firstLine="560" w:firstLineChars="200"/>
        <w:contextualSpacing/>
        <w:jc w:val="left"/>
        <w:rPr>
          <w:rFonts w:hint="eastAsia" w:ascii="仿宋" w:hAnsi="仿宋" w:eastAsia="仿宋" w:cs="仿宋"/>
          <w:b w:val="0"/>
          <w:bCs/>
          <w:color w:val="000000"/>
          <w:kern w:val="0"/>
          <w:sz w:val="28"/>
          <w:szCs w:val="28"/>
          <w:lang w:val="zh-CN"/>
        </w:rPr>
      </w:pPr>
      <w:r>
        <w:rPr>
          <w:rFonts w:hint="eastAsia" w:ascii="仿宋" w:hAnsi="仿宋" w:eastAsia="仿宋" w:cs="仿宋"/>
          <w:b w:val="0"/>
          <w:bCs/>
          <w:color w:val="000000"/>
          <w:kern w:val="0"/>
          <w:sz w:val="28"/>
          <w:szCs w:val="28"/>
          <w:lang w:val="zh-CN"/>
        </w:rPr>
        <w:t>中标的可研咨询机构负责可行性研究报告的咨询编制服务，并协调发改委取得项目批复意见，保证通过相关行政部门的审批，且符合国家、地方及招标人相关规范和要求。</w:t>
      </w:r>
    </w:p>
    <w:p>
      <w:pPr>
        <w:pStyle w:val="4"/>
        <w:widowControl/>
        <w:shd w:val="clear" w:color="auto" w:fill="FFFFFF"/>
        <w:spacing w:line="360" w:lineRule="auto"/>
        <w:ind w:firstLine="560" w:firstLineChars="200"/>
        <w:contextualSpacing/>
        <w:jc w:val="left"/>
        <w:rPr>
          <w:rFonts w:hint="eastAsia" w:ascii="仿宋" w:hAnsi="仿宋" w:eastAsia="仿宋" w:cs="仿宋"/>
          <w:b w:val="0"/>
          <w:bCs/>
          <w:color w:val="000000"/>
          <w:kern w:val="0"/>
          <w:sz w:val="28"/>
          <w:szCs w:val="28"/>
          <w:lang w:val="zh-CN"/>
        </w:rPr>
      </w:pPr>
      <w:r>
        <w:rPr>
          <w:rFonts w:hint="eastAsia" w:ascii="仿宋" w:hAnsi="仿宋" w:eastAsia="仿宋" w:cs="仿宋"/>
          <w:b w:val="0"/>
          <w:bCs/>
          <w:color w:val="000000"/>
          <w:kern w:val="0"/>
          <w:sz w:val="28"/>
          <w:szCs w:val="28"/>
          <w:lang w:val="zh-CN"/>
        </w:rPr>
        <w:t>中标的会计师事务所为许昌市魏都投资有限责任公司发行企业债券提供审计等相关服务。对许昌市魏都投资有限责任公司及其子公司进行审计，并按照发行企业债券的要求提供审计报告以及其他必要文件。</w:t>
      </w:r>
    </w:p>
    <w:p>
      <w:pPr>
        <w:pStyle w:val="4"/>
        <w:widowControl/>
        <w:shd w:val="clear" w:color="auto" w:fill="FFFFFF"/>
        <w:spacing w:line="360" w:lineRule="auto"/>
        <w:contextualSpacing/>
        <w:jc w:val="left"/>
        <w:rPr>
          <w:rFonts w:hint="eastAsia" w:ascii="仿宋" w:hAnsi="仿宋" w:eastAsia="仿宋" w:cs="仿宋"/>
          <w:b/>
          <w:color w:val="000000"/>
          <w:kern w:val="0"/>
          <w:sz w:val="28"/>
          <w:szCs w:val="28"/>
          <w:lang w:val="zh-CN"/>
        </w:rPr>
      </w:pPr>
      <w:r>
        <w:rPr>
          <w:rFonts w:hint="eastAsia" w:ascii="仿宋" w:hAnsi="仿宋" w:eastAsia="仿宋" w:cs="仿宋"/>
          <w:b/>
          <w:color w:val="000000"/>
          <w:kern w:val="0"/>
          <w:sz w:val="28"/>
          <w:szCs w:val="28"/>
          <w:lang w:val="en-US" w:eastAsia="zh-CN"/>
        </w:rPr>
        <w:t>3</w:t>
      </w:r>
      <w:r>
        <w:rPr>
          <w:rFonts w:hint="eastAsia" w:ascii="仿宋" w:hAnsi="仿宋" w:eastAsia="仿宋" w:cs="仿宋"/>
          <w:b/>
          <w:color w:val="000000"/>
          <w:kern w:val="0"/>
          <w:sz w:val="28"/>
          <w:szCs w:val="28"/>
          <w:lang w:val="zh-CN"/>
        </w:rPr>
        <w:t>、验收标准</w:t>
      </w:r>
    </w:p>
    <w:p>
      <w:pPr>
        <w:pStyle w:val="4"/>
        <w:widowControl/>
        <w:shd w:val="clear" w:color="auto" w:fill="FFFFFF"/>
        <w:spacing w:line="360" w:lineRule="auto"/>
        <w:ind w:firstLine="560" w:firstLineChars="200"/>
        <w:contextualSpacing/>
        <w:jc w:val="left"/>
        <w:rPr>
          <w:rFonts w:hint="eastAsia" w:ascii="仿宋" w:hAnsi="仿宋" w:eastAsia="仿宋" w:cs="仿宋"/>
          <w:b w:val="0"/>
          <w:bCs/>
          <w:color w:val="000000"/>
          <w:kern w:val="0"/>
          <w:sz w:val="28"/>
          <w:szCs w:val="28"/>
          <w:lang w:val="zh-CN"/>
        </w:rPr>
      </w:pPr>
      <w:r>
        <w:rPr>
          <w:rFonts w:hint="eastAsia" w:ascii="仿宋" w:hAnsi="仿宋" w:eastAsia="仿宋" w:cs="仿宋"/>
          <w:b w:val="0"/>
          <w:bCs/>
          <w:color w:val="000000"/>
          <w:kern w:val="0"/>
          <w:sz w:val="28"/>
          <w:szCs w:val="28"/>
          <w:lang w:val="zh-CN"/>
        </w:rPr>
        <w:t>由采购人成立方案评审小组(包含有省级以上同类项目专家参加),按照采购合同的约定对成交人履约情况进行验收。验收时,按照采购合同的约定对本项目服务的履约情况进行确认。评审结束后,出具评审通过验收书,列明验收情况及项目总体评价,由验收双方共同签署。</w:t>
      </w:r>
    </w:p>
    <w:p>
      <w:pPr>
        <w:pStyle w:val="4"/>
        <w:widowControl/>
        <w:shd w:val="clear" w:color="auto" w:fill="FFFFFF"/>
        <w:spacing w:line="360" w:lineRule="auto"/>
        <w:contextualSpacing/>
        <w:jc w:val="left"/>
        <w:rPr>
          <w:rFonts w:ascii="黑体" w:hAnsi="黑体" w:eastAsia="黑体" w:cs="黑体"/>
          <w:b/>
          <w:bCs/>
          <w:color w:val="000000"/>
          <w:sz w:val="28"/>
          <w:szCs w:val="28"/>
          <w:shd w:val="clear" w:color="auto" w:fill="FFFFFF"/>
        </w:rPr>
      </w:pPr>
      <w:r>
        <w:rPr>
          <w:rFonts w:hint="eastAsia" w:ascii="黑体" w:hAnsi="黑体" w:eastAsia="黑体" w:cs="黑体"/>
          <w:b/>
          <w:bCs/>
          <w:color w:val="000000"/>
          <w:sz w:val="28"/>
          <w:szCs w:val="28"/>
          <w:shd w:val="clear" w:color="auto" w:fill="FFFFFF"/>
        </w:rPr>
        <w:t>五、评标方法和评标标准</w:t>
      </w:r>
    </w:p>
    <w:p>
      <w:pPr>
        <w:rPr>
          <w:rFonts w:ascii="仿宋" w:hAnsi="仿宋" w:eastAsia="仿宋"/>
          <w:sz w:val="28"/>
          <w:szCs w:val="28"/>
        </w:rPr>
      </w:pPr>
      <w:r>
        <w:rPr>
          <w:rFonts w:hint="eastAsia" w:ascii="仿宋" w:hAnsi="仿宋" w:eastAsia="仿宋"/>
          <w:sz w:val="28"/>
          <w:szCs w:val="28"/>
        </w:rPr>
        <w:t>（一）评标方法：综合评分（百分制）法</w:t>
      </w:r>
    </w:p>
    <w:p>
      <w:pPr>
        <w:rPr>
          <w:rFonts w:ascii="仿宋" w:hAnsi="仿宋" w:eastAsia="仿宋"/>
          <w:sz w:val="28"/>
          <w:szCs w:val="28"/>
        </w:rPr>
      </w:pPr>
      <w:r>
        <w:rPr>
          <w:rFonts w:hint="eastAsia" w:ascii="仿宋" w:hAnsi="仿宋" w:eastAsia="仿宋"/>
          <w:sz w:val="28"/>
          <w:szCs w:val="28"/>
        </w:rPr>
        <w:t>（二）评标标准：</w:t>
      </w:r>
    </w:p>
    <w:p>
      <w:pPr>
        <w:tabs>
          <w:tab w:val="left" w:pos="1260"/>
        </w:tabs>
        <w:autoSpaceDE w:val="0"/>
        <w:autoSpaceDN w:val="0"/>
        <w:spacing w:line="360" w:lineRule="auto"/>
        <w:contextualSpacing/>
        <w:rPr>
          <w:rFonts w:cs="仿宋_GB2312" w:asciiTheme="minorEastAsia" w:hAnsiTheme="minorEastAsia"/>
          <w:b/>
          <w:color w:val="auto"/>
          <w:sz w:val="28"/>
          <w:szCs w:val="24"/>
          <w:lang w:val="zh-CN"/>
        </w:rPr>
      </w:pPr>
      <w:r>
        <w:rPr>
          <w:rFonts w:hint="eastAsia" w:cs="仿宋_GB2312" w:asciiTheme="minorEastAsia" w:hAnsiTheme="minorEastAsia"/>
          <w:b/>
          <w:color w:val="auto"/>
          <w:sz w:val="28"/>
          <w:szCs w:val="24"/>
          <w:lang w:val="zh-CN"/>
        </w:rPr>
        <w:t>A包</w:t>
      </w:r>
    </w:p>
    <w:tbl>
      <w:tblPr>
        <w:tblStyle w:val="6"/>
        <w:tblpPr w:leftFromText="180" w:rightFromText="180" w:vertAnchor="text" w:tblpXSpec="center" w:tblpY="1"/>
        <w:tblOverlap w:val="never"/>
        <w:tblW w:w="8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5776"/>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167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评审部分</w:t>
            </w:r>
          </w:p>
        </w:tc>
        <w:tc>
          <w:tcPr>
            <w:tcW w:w="57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评审因素</w:t>
            </w:r>
          </w:p>
        </w:tc>
        <w:tc>
          <w:tcPr>
            <w:tcW w:w="11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打分标准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2" w:hRule="atLeast"/>
        </w:trPr>
        <w:tc>
          <w:tcPr>
            <w:tcW w:w="167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auto"/>
                <w:sz w:val="24"/>
                <w:szCs w:val="24"/>
              </w:rPr>
            </w:pPr>
            <w:r>
              <w:rPr>
                <w:rFonts w:hint="eastAsia" w:ascii="Times New Roman" w:hAnsi="Times New Roman"/>
                <w:b/>
                <w:color w:val="auto"/>
                <w:kern w:val="0"/>
                <w:sz w:val="24"/>
                <w:szCs w:val="24"/>
              </w:rPr>
              <w:t>投标报价20分</w:t>
            </w:r>
          </w:p>
        </w:tc>
        <w:tc>
          <w:tcPr>
            <w:tcW w:w="5776"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color w:val="auto"/>
                <w:sz w:val="24"/>
                <w:szCs w:val="24"/>
              </w:rPr>
            </w:pPr>
            <w:r>
              <w:rPr>
                <w:rFonts w:hint="eastAsia" w:ascii="Times New Roman" w:hAnsi="Times New Roman"/>
                <w:color w:val="auto"/>
                <w:sz w:val="24"/>
                <w:szCs w:val="24"/>
              </w:rPr>
              <w:t>满足磋商文件要求且最后报价最低的供应商为磋商基准价，其价格分为满分，其他供应商的价格分计算公式：磋商报价得分=（磋商基准价/最后磋商报价）×20。</w:t>
            </w:r>
          </w:p>
          <w:p>
            <w:pPr>
              <w:spacing w:line="340" w:lineRule="exact"/>
              <w:rPr>
                <w:rFonts w:ascii="Times New Roman" w:hAnsi="Times New Roman"/>
                <w:color w:val="auto"/>
                <w:sz w:val="24"/>
                <w:szCs w:val="24"/>
              </w:rPr>
            </w:pPr>
            <w:r>
              <w:rPr>
                <w:rFonts w:hint="eastAsia" w:ascii="Times New Roman" w:hAnsi="Times New Roman"/>
                <w:color w:val="auto"/>
                <w:sz w:val="24"/>
                <w:szCs w:val="24"/>
              </w:rPr>
              <w:t>本项目落实节能环保、中小微型企业、监狱企业、残疾人福利性单位扶持等相关政府采购政策。（详见第五章）</w:t>
            </w:r>
          </w:p>
          <w:p>
            <w:pPr>
              <w:spacing w:line="340" w:lineRule="exact"/>
              <w:rPr>
                <w:rFonts w:ascii="Times New Roman" w:hAnsi="Times New Roman"/>
                <w:color w:val="auto"/>
                <w:sz w:val="24"/>
                <w:szCs w:val="24"/>
              </w:rPr>
            </w:pPr>
            <w:r>
              <w:rPr>
                <w:rFonts w:hint="eastAsia" w:ascii="Times New Roman" w:hAnsi="Times New Roman"/>
                <w:color w:val="auto"/>
                <w:sz w:val="24"/>
                <w:szCs w:val="24"/>
              </w:rPr>
              <w:t>注：项目评审过程中，不得去掉最后报价中的最高报价和最低报价。</w:t>
            </w:r>
          </w:p>
        </w:tc>
        <w:tc>
          <w:tcPr>
            <w:tcW w:w="11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6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商务部分评审</w:t>
            </w:r>
          </w:p>
          <w:p>
            <w:pPr>
              <w:jc w:val="center"/>
              <w:rPr>
                <w:rFonts w:ascii="Times New Roman" w:hAnsi="Times New Roman"/>
                <w:b/>
                <w:color w:val="auto"/>
                <w:sz w:val="24"/>
                <w:szCs w:val="24"/>
              </w:rPr>
            </w:pPr>
            <w:r>
              <w:rPr>
                <w:rFonts w:hint="eastAsia" w:ascii="Times New Roman" w:hAnsi="Times New Roman"/>
                <w:b/>
                <w:color w:val="auto"/>
                <w:sz w:val="24"/>
                <w:szCs w:val="24"/>
              </w:rPr>
              <w:t>30分</w:t>
            </w:r>
          </w:p>
        </w:tc>
        <w:tc>
          <w:tcPr>
            <w:tcW w:w="5776"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color w:val="auto"/>
                <w:sz w:val="24"/>
                <w:szCs w:val="24"/>
              </w:rPr>
            </w:pPr>
            <w:r>
              <w:rPr>
                <w:rFonts w:hint="eastAsia" w:ascii="Times New Roman" w:hAnsi="Times New Roman"/>
                <w:color w:val="auto"/>
                <w:sz w:val="24"/>
                <w:szCs w:val="24"/>
              </w:rPr>
              <w:t>按中国证监会最新公布的2015年证券公司分类结果，来判断候选券商的综合实力（按“中国证监会公布2015年证券公司分类结果”口径）A类7分，B类5分，其他为1分；</w:t>
            </w:r>
          </w:p>
        </w:tc>
        <w:tc>
          <w:tcPr>
            <w:tcW w:w="11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color w:val="auto"/>
                <w:sz w:val="24"/>
                <w:szCs w:val="24"/>
              </w:rPr>
            </w:pPr>
          </w:p>
        </w:tc>
        <w:tc>
          <w:tcPr>
            <w:tcW w:w="5776"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color w:val="auto"/>
                <w:sz w:val="24"/>
                <w:szCs w:val="24"/>
              </w:rPr>
            </w:pPr>
            <w:r>
              <w:rPr>
                <w:rFonts w:hint="eastAsia" w:ascii="Times New Roman" w:hAnsi="Times New Roman"/>
                <w:color w:val="auto"/>
                <w:sz w:val="24"/>
                <w:szCs w:val="24"/>
              </w:rPr>
              <w:t>2015年以来被中国证监会授予“全国证券期货投资者教育基地”的得7分，没有不得分。</w:t>
            </w:r>
          </w:p>
        </w:tc>
        <w:tc>
          <w:tcPr>
            <w:tcW w:w="11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1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color w:val="auto"/>
                <w:sz w:val="24"/>
                <w:szCs w:val="24"/>
              </w:rPr>
            </w:pPr>
          </w:p>
        </w:tc>
        <w:tc>
          <w:tcPr>
            <w:tcW w:w="5776"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b/>
                <w:color w:val="auto"/>
                <w:sz w:val="24"/>
                <w:szCs w:val="24"/>
              </w:rPr>
            </w:pPr>
            <w:r>
              <w:rPr>
                <w:rFonts w:hint="eastAsia" w:ascii="Times New Roman" w:hAnsi="Times New Roman"/>
                <w:color w:val="auto"/>
                <w:sz w:val="24"/>
                <w:szCs w:val="24"/>
              </w:rPr>
              <w:t>2015年1月1日至今投标人承担过单个项目合同承销金额不低于预算金额的得2分；满分16分。（类似业绩证明材料须提供批文或协议，</w:t>
            </w:r>
            <w:r>
              <w:rPr>
                <w:rFonts w:hint="eastAsia" w:ascii="Times New Roman" w:hAnsi="Times New Roman"/>
                <w:b/>
                <w:color w:val="auto"/>
                <w:sz w:val="24"/>
                <w:szCs w:val="24"/>
              </w:rPr>
              <w:t>业绩证明材料的原件的首页、金额页、盖章页扫描件须附在投标文件中。）</w:t>
            </w:r>
          </w:p>
        </w:tc>
        <w:tc>
          <w:tcPr>
            <w:tcW w:w="11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6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技术部分评审</w:t>
            </w:r>
          </w:p>
          <w:p>
            <w:pPr>
              <w:jc w:val="center"/>
              <w:rPr>
                <w:rFonts w:ascii="Times New Roman" w:hAnsi="Times New Roman"/>
                <w:b/>
                <w:color w:val="auto"/>
                <w:sz w:val="24"/>
                <w:szCs w:val="24"/>
              </w:rPr>
            </w:pPr>
            <w:r>
              <w:rPr>
                <w:rFonts w:hint="eastAsia" w:ascii="Times New Roman" w:hAnsi="Times New Roman"/>
                <w:b/>
                <w:color w:val="auto"/>
                <w:sz w:val="24"/>
                <w:szCs w:val="24"/>
              </w:rPr>
              <w:t>满分50分</w:t>
            </w:r>
          </w:p>
        </w:tc>
        <w:tc>
          <w:tcPr>
            <w:tcW w:w="5776"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bCs/>
                <w:color w:val="auto"/>
                <w:sz w:val="24"/>
                <w:szCs w:val="24"/>
              </w:rPr>
            </w:pPr>
            <w:r>
              <w:rPr>
                <w:rFonts w:hint="eastAsia" w:ascii="Times New Roman" w:hAnsi="Times New Roman"/>
                <w:bCs/>
                <w:color w:val="auto"/>
                <w:sz w:val="24"/>
                <w:szCs w:val="24"/>
              </w:rPr>
              <w:t>1、项目实施工作计划安排：整体及阶段计划明确，安排合理，满足招标文件服务期要求的得15分；有相关描述的得10分；没有的不得分。</w:t>
            </w:r>
          </w:p>
          <w:p>
            <w:pPr>
              <w:spacing w:line="340" w:lineRule="exact"/>
              <w:rPr>
                <w:rFonts w:ascii="Times New Roman" w:hAnsi="Times New Roman"/>
                <w:color w:val="auto"/>
                <w:sz w:val="24"/>
                <w:szCs w:val="24"/>
              </w:rPr>
            </w:pPr>
            <w:r>
              <w:rPr>
                <w:rFonts w:hint="eastAsia" w:ascii="Times New Roman" w:hAnsi="Times New Roman"/>
                <w:bCs/>
                <w:color w:val="auto"/>
                <w:sz w:val="24"/>
                <w:szCs w:val="24"/>
              </w:rPr>
              <w:t>2、项目组织机构：机构设置合理，人员配备合理，便于项目开展的得10分；有相关描述的得5分；没有的不得分。</w:t>
            </w:r>
          </w:p>
        </w:tc>
        <w:tc>
          <w:tcPr>
            <w:tcW w:w="11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color w:val="auto"/>
                <w:sz w:val="24"/>
                <w:szCs w:val="24"/>
              </w:rPr>
            </w:pPr>
          </w:p>
        </w:tc>
        <w:tc>
          <w:tcPr>
            <w:tcW w:w="5776"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color w:val="auto"/>
                <w:sz w:val="24"/>
                <w:szCs w:val="24"/>
              </w:rPr>
            </w:pPr>
            <w:r>
              <w:rPr>
                <w:rFonts w:hint="eastAsia" w:ascii="Times New Roman" w:hAnsi="Times New Roman"/>
                <w:color w:val="auto"/>
                <w:sz w:val="24"/>
                <w:szCs w:val="24"/>
              </w:rPr>
              <w:t>总体技术实施方案针对性强，方案介绍内容详尽、准确、全面，总体说明构思详尽、内容完整、合理的得10分，</w:t>
            </w:r>
          </w:p>
          <w:p>
            <w:pPr>
              <w:spacing w:line="340" w:lineRule="exact"/>
              <w:rPr>
                <w:rFonts w:ascii="Times New Roman" w:hAnsi="Times New Roman"/>
                <w:color w:val="auto"/>
                <w:sz w:val="24"/>
                <w:szCs w:val="24"/>
              </w:rPr>
            </w:pPr>
            <w:r>
              <w:rPr>
                <w:rFonts w:hint="eastAsia" w:ascii="Times New Roman" w:hAnsi="Times New Roman"/>
                <w:color w:val="auto"/>
                <w:sz w:val="24"/>
                <w:szCs w:val="24"/>
              </w:rPr>
              <w:t>有相关描述的得5分，不提供不得分。</w:t>
            </w:r>
          </w:p>
        </w:tc>
        <w:tc>
          <w:tcPr>
            <w:tcW w:w="11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8" w:hRule="atLeast"/>
        </w:trPr>
        <w:tc>
          <w:tcPr>
            <w:tcW w:w="1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color w:val="auto"/>
                <w:sz w:val="24"/>
                <w:szCs w:val="24"/>
              </w:rPr>
            </w:pPr>
          </w:p>
        </w:tc>
        <w:tc>
          <w:tcPr>
            <w:tcW w:w="5776"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color w:val="auto"/>
                <w:sz w:val="24"/>
                <w:szCs w:val="24"/>
              </w:rPr>
            </w:pPr>
            <w:r>
              <w:rPr>
                <w:rFonts w:hint="eastAsia" w:ascii="Times New Roman" w:hAnsi="Times New Roman"/>
                <w:color w:val="auto"/>
                <w:sz w:val="24"/>
                <w:szCs w:val="24"/>
              </w:rPr>
              <w:t>1、投标人提供的售后服务及现场技术支持方案的完整、可行、响应处理机制合理的得5分，有相关描述的得2分，不提供不得分。</w:t>
            </w:r>
          </w:p>
          <w:p>
            <w:pPr>
              <w:spacing w:line="340" w:lineRule="exact"/>
              <w:rPr>
                <w:rFonts w:ascii="Times New Roman" w:hAnsi="Times New Roman"/>
                <w:color w:val="auto"/>
                <w:sz w:val="24"/>
                <w:szCs w:val="24"/>
              </w:rPr>
            </w:pPr>
            <w:r>
              <w:rPr>
                <w:rFonts w:hint="eastAsia" w:ascii="Times New Roman" w:hAnsi="Times New Roman"/>
                <w:color w:val="auto"/>
                <w:sz w:val="24"/>
                <w:szCs w:val="24"/>
              </w:rPr>
              <w:t>2、投标人就如何做好后续服务保障工作提供一套优秀服务方案的得5分，有相关描述的得2分，不提供不得分。</w:t>
            </w:r>
          </w:p>
          <w:p>
            <w:pPr>
              <w:spacing w:line="340" w:lineRule="exact"/>
              <w:rPr>
                <w:rFonts w:ascii="Times New Roman" w:hAnsi="Times New Roman"/>
                <w:color w:val="auto"/>
                <w:sz w:val="24"/>
                <w:szCs w:val="24"/>
              </w:rPr>
            </w:pPr>
            <w:r>
              <w:rPr>
                <w:rFonts w:hint="eastAsia" w:ascii="Times New Roman" w:hAnsi="Times New Roman"/>
                <w:color w:val="auto"/>
                <w:sz w:val="24"/>
                <w:szCs w:val="24"/>
              </w:rPr>
              <w:t>3、投标人在项目实施完成后所承诺的责任、服务内容合理完整的得5分，有相关描述的得2分，不提供不得分。</w:t>
            </w:r>
          </w:p>
        </w:tc>
        <w:tc>
          <w:tcPr>
            <w:tcW w:w="11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rPr>
              <w:t>15</w:t>
            </w:r>
          </w:p>
        </w:tc>
      </w:tr>
    </w:tbl>
    <w:p>
      <w:pPr>
        <w:tabs>
          <w:tab w:val="left" w:pos="1260"/>
        </w:tabs>
        <w:autoSpaceDE w:val="0"/>
        <w:autoSpaceDN w:val="0"/>
        <w:spacing w:line="360" w:lineRule="auto"/>
        <w:contextualSpacing/>
        <w:rPr>
          <w:rFonts w:ascii="Times New Roman" w:hAnsi="Times New Roman"/>
          <w:b/>
          <w:color w:val="auto"/>
          <w:sz w:val="28"/>
          <w:szCs w:val="24"/>
        </w:rPr>
      </w:pPr>
      <w:r>
        <w:rPr>
          <w:rFonts w:hint="eastAsia" w:ascii="Times New Roman" w:hAnsi="Times New Roman"/>
          <w:b/>
          <w:color w:val="auto"/>
          <w:sz w:val="28"/>
          <w:szCs w:val="24"/>
        </w:rPr>
        <w:t>B包</w:t>
      </w:r>
    </w:p>
    <w:tbl>
      <w:tblPr>
        <w:tblStyle w:val="6"/>
        <w:tblpPr w:leftFromText="180" w:rightFromText="180" w:vertAnchor="text" w:tblpXSpec="center" w:tblpY="1"/>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6136"/>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774" w:type="dxa"/>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评审部分</w:t>
            </w:r>
          </w:p>
        </w:tc>
        <w:tc>
          <w:tcPr>
            <w:tcW w:w="6136" w:type="dxa"/>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评审因素</w:t>
            </w:r>
          </w:p>
        </w:tc>
        <w:tc>
          <w:tcPr>
            <w:tcW w:w="1230" w:type="dxa"/>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打分标准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3" w:hRule="atLeast"/>
        </w:trPr>
        <w:tc>
          <w:tcPr>
            <w:tcW w:w="1774" w:type="dxa"/>
            <w:vAlign w:val="center"/>
          </w:tcPr>
          <w:p>
            <w:pPr>
              <w:rPr>
                <w:rFonts w:ascii="Times New Roman" w:hAnsi="Times New Roman"/>
                <w:b/>
                <w:color w:val="auto"/>
                <w:sz w:val="24"/>
                <w:szCs w:val="24"/>
              </w:rPr>
            </w:pPr>
            <w:r>
              <w:rPr>
                <w:rFonts w:hint="eastAsia" w:ascii="Times New Roman" w:hAnsi="Times New Roman"/>
                <w:b/>
                <w:color w:val="auto"/>
                <w:kern w:val="0"/>
                <w:sz w:val="24"/>
                <w:szCs w:val="24"/>
              </w:rPr>
              <w:t>投标报价20分</w:t>
            </w:r>
          </w:p>
        </w:tc>
        <w:tc>
          <w:tcPr>
            <w:tcW w:w="6136" w:type="dxa"/>
            <w:vAlign w:val="center"/>
          </w:tcPr>
          <w:p>
            <w:pPr>
              <w:spacing w:line="340" w:lineRule="exact"/>
              <w:rPr>
                <w:rFonts w:ascii="Times New Roman" w:hAnsi="Times New Roman"/>
                <w:color w:val="auto"/>
                <w:sz w:val="24"/>
                <w:szCs w:val="24"/>
              </w:rPr>
            </w:pPr>
            <w:r>
              <w:rPr>
                <w:rFonts w:hint="eastAsia" w:ascii="Times New Roman" w:hAnsi="Times New Roman"/>
                <w:color w:val="auto"/>
                <w:sz w:val="24"/>
                <w:szCs w:val="24"/>
              </w:rPr>
              <w:t>满足磋商文件要求且最后报价最低的供应商为磋商基准价，其价格分为满分，其他供应商的价格分计算公式：磋商报价得分=（磋商基准价/最后磋商报价）×20。</w:t>
            </w:r>
          </w:p>
          <w:p>
            <w:pPr>
              <w:spacing w:line="340" w:lineRule="exact"/>
              <w:rPr>
                <w:rFonts w:ascii="Times New Roman" w:hAnsi="Times New Roman"/>
                <w:color w:val="auto"/>
                <w:sz w:val="24"/>
                <w:szCs w:val="24"/>
              </w:rPr>
            </w:pPr>
            <w:r>
              <w:rPr>
                <w:rFonts w:hint="eastAsia" w:ascii="Times New Roman" w:hAnsi="Times New Roman"/>
                <w:color w:val="auto"/>
                <w:sz w:val="24"/>
                <w:szCs w:val="24"/>
              </w:rPr>
              <w:t>本项目落实节能环保、中小微型企业、监狱企业、残疾人福利性单位扶持等相关政府采购政策。（详见第五章）</w:t>
            </w:r>
          </w:p>
          <w:p>
            <w:pPr>
              <w:spacing w:line="340" w:lineRule="exact"/>
              <w:rPr>
                <w:rFonts w:ascii="Times New Roman" w:hAnsi="Times New Roman"/>
                <w:color w:val="auto"/>
                <w:sz w:val="24"/>
                <w:szCs w:val="24"/>
              </w:rPr>
            </w:pPr>
            <w:r>
              <w:rPr>
                <w:rFonts w:hint="eastAsia" w:ascii="Times New Roman" w:hAnsi="Times New Roman"/>
                <w:color w:val="auto"/>
                <w:sz w:val="24"/>
                <w:szCs w:val="24"/>
              </w:rPr>
              <w:t>注：项目评审过程中，不得去掉最后报价中的最高报价和最低报价。</w:t>
            </w:r>
          </w:p>
        </w:tc>
        <w:tc>
          <w:tcPr>
            <w:tcW w:w="1230" w:type="dxa"/>
            <w:vAlign w:val="center"/>
          </w:tcPr>
          <w:p>
            <w:pPr>
              <w:jc w:val="center"/>
              <w:rPr>
                <w:rFonts w:ascii="Times New Roman" w:hAnsi="Times New Roman"/>
                <w:color w:val="auto"/>
                <w:szCs w:val="21"/>
              </w:rPr>
            </w:pPr>
            <w:r>
              <w:rPr>
                <w:rFonts w:hint="eastAsia" w:ascii="Times New Roman" w:hAnsi="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774" w:type="dxa"/>
            <w:vMerge w:val="restart"/>
            <w:vAlign w:val="center"/>
          </w:tcPr>
          <w:p>
            <w:pPr>
              <w:jc w:val="center"/>
              <w:rPr>
                <w:rFonts w:ascii="Times New Roman" w:hAnsi="Times New Roman"/>
                <w:b/>
                <w:color w:val="auto"/>
                <w:kern w:val="0"/>
                <w:sz w:val="24"/>
                <w:szCs w:val="24"/>
              </w:rPr>
            </w:pPr>
            <w:r>
              <w:rPr>
                <w:rFonts w:hint="eastAsia" w:ascii="Times New Roman" w:hAnsi="Times New Roman"/>
                <w:b/>
                <w:color w:val="auto"/>
                <w:kern w:val="0"/>
                <w:sz w:val="24"/>
                <w:szCs w:val="24"/>
              </w:rPr>
              <w:t>商务部分评审</w:t>
            </w:r>
          </w:p>
          <w:p>
            <w:pPr>
              <w:jc w:val="center"/>
              <w:rPr>
                <w:rFonts w:ascii="Times New Roman" w:hAnsi="Times New Roman"/>
                <w:color w:val="auto"/>
                <w:sz w:val="24"/>
                <w:szCs w:val="24"/>
              </w:rPr>
            </w:pPr>
            <w:r>
              <w:rPr>
                <w:rFonts w:hint="eastAsia" w:ascii="Times New Roman" w:hAnsi="Times New Roman"/>
                <w:b/>
                <w:color w:val="auto"/>
                <w:kern w:val="0"/>
                <w:sz w:val="24"/>
                <w:szCs w:val="24"/>
              </w:rPr>
              <w:t>30分</w:t>
            </w:r>
          </w:p>
        </w:tc>
        <w:tc>
          <w:tcPr>
            <w:tcW w:w="6136" w:type="dxa"/>
            <w:vAlign w:val="center"/>
          </w:tcPr>
          <w:p>
            <w:pPr>
              <w:spacing w:line="340" w:lineRule="exact"/>
              <w:rPr>
                <w:rFonts w:ascii="Times New Roman" w:hAnsi="Times New Roman"/>
                <w:color w:val="auto"/>
                <w:sz w:val="24"/>
                <w:szCs w:val="24"/>
              </w:rPr>
            </w:pPr>
            <w:r>
              <w:rPr>
                <w:rFonts w:hint="eastAsia" w:ascii="Times New Roman" w:hAnsi="Times New Roman"/>
                <w:color w:val="auto"/>
                <w:sz w:val="24"/>
                <w:szCs w:val="24"/>
              </w:rPr>
              <w:t>通过ISO9001系列质量管理体系认证，提供认证证书复印件且在有效期内得3分，否则0分。</w:t>
            </w:r>
          </w:p>
        </w:tc>
        <w:tc>
          <w:tcPr>
            <w:tcW w:w="1230" w:type="dxa"/>
            <w:vAlign w:val="center"/>
          </w:tcPr>
          <w:p>
            <w:pPr>
              <w:jc w:val="center"/>
              <w:rPr>
                <w:rFonts w:ascii="Times New Roman" w:hAnsi="Times New Roman"/>
                <w:color w:val="auto"/>
                <w:szCs w:val="21"/>
              </w:rPr>
            </w:pPr>
            <w:r>
              <w:rPr>
                <w:rFonts w:hint="eastAsia" w:ascii="Times New Roman" w:hAnsi="Times New Roman"/>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1774" w:type="dxa"/>
            <w:vMerge w:val="continue"/>
            <w:vAlign w:val="center"/>
          </w:tcPr>
          <w:p>
            <w:pPr>
              <w:jc w:val="center"/>
              <w:rPr>
                <w:rFonts w:ascii="Times New Roman" w:hAnsi="Times New Roman"/>
                <w:b/>
                <w:color w:val="auto"/>
                <w:sz w:val="24"/>
                <w:szCs w:val="24"/>
              </w:rPr>
            </w:pPr>
          </w:p>
        </w:tc>
        <w:tc>
          <w:tcPr>
            <w:tcW w:w="6136" w:type="dxa"/>
            <w:vAlign w:val="center"/>
          </w:tcPr>
          <w:p>
            <w:pPr>
              <w:pStyle w:val="9"/>
              <w:spacing w:before="22"/>
              <w:rPr>
                <w:rFonts w:ascii="Times New Roman" w:hAnsi="Times New Roman" w:cs="Times New Roman"/>
                <w:color w:val="auto"/>
                <w:sz w:val="24"/>
                <w:szCs w:val="24"/>
              </w:rPr>
            </w:pPr>
            <w:r>
              <w:rPr>
                <w:rFonts w:hint="eastAsia" w:ascii="Times New Roman" w:hAnsi="Times New Roman" w:cs="Times New Roman"/>
                <w:color w:val="auto"/>
                <w:sz w:val="24"/>
                <w:szCs w:val="24"/>
                <w:lang w:val="en-US" w:bidi="ar-SA"/>
              </w:rPr>
              <w:t>投标人须提供2015年以来具有可行性研究报告编制业绩的，每有一项得2分；最多得10分。</w:t>
            </w:r>
          </w:p>
        </w:tc>
        <w:tc>
          <w:tcPr>
            <w:tcW w:w="1230" w:type="dxa"/>
            <w:vAlign w:val="center"/>
          </w:tcPr>
          <w:p>
            <w:pPr>
              <w:jc w:val="center"/>
              <w:rPr>
                <w:rFonts w:ascii="Times New Roman" w:hAnsi="Times New Roman"/>
                <w:color w:val="auto"/>
                <w:szCs w:val="21"/>
              </w:rPr>
            </w:pPr>
            <w:r>
              <w:rPr>
                <w:rFonts w:hint="eastAsia" w:ascii="Times New Roman" w:hAnsi="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3" w:hRule="atLeast"/>
        </w:trPr>
        <w:tc>
          <w:tcPr>
            <w:tcW w:w="1774" w:type="dxa"/>
            <w:vMerge w:val="continue"/>
            <w:vAlign w:val="center"/>
          </w:tcPr>
          <w:p>
            <w:pPr>
              <w:jc w:val="center"/>
              <w:rPr>
                <w:rFonts w:ascii="Times New Roman" w:hAnsi="Times New Roman"/>
                <w:b/>
                <w:color w:val="auto"/>
                <w:sz w:val="24"/>
                <w:szCs w:val="24"/>
              </w:rPr>
            </w:pPr>
          </w:p>
        </w:tc>
        <w:tc>
          <w:tcPr>
            <w:tcW w:w="6136" w:type="dxa"/>
            <w:vAlign w:val="center"/>
          </w:tcPr>
          <w:p>
            <w:pPr>
              <w:spacing w:line="400" w:lineRule="exact"/>
              <w:rPr>
                <w:rFonts w:ascii="Times New Roman" w:hAnsi="Times New Roman"/>
                <w:color w:val="auto"/>
                <w:sz w:val="24"/>
                <w:szCs w:val="24"/>
              </w:rPr>
            </w:pPr>
            <w:r>
              <w:rPr>
                <w:rFonts w:hint="eastAsia" w:ascii="Times New Roman" w:hAnsi="Times New Roman"/>
                <w:color w:val="auto"/>
                <w:sz w:val="24"/>
                <w:szCs w:val="24"/>
              </w:rPr>
              <w:t>1、项目负责人：</w:t>
            </w:r>
          </w:p>
          <w:p>
            <w:pPr>
              <w:pStyle w:val="9"/>
              <w:spacing w:before="22"/>
              <w:rPr>
                <w:rFonts w:ascii="Times New Roman" w:hAnsi="Times New Roman" w:cs="Times New Roman"/>
                <w:color w:val="auto"/>
                <w:sz w:val="24"/>
                <w:szCs w:val="24"/>
                <w:lang w:val="en-US" w:bidi="ar-SA"/>
              </w:rPr>
            </w:pPr>
            <w:r>
              <w:rPr>
                <w:rFonts w:hint="eastAsia" w:ascii="Times New Roman" w:hAnsi="Times New Roman" w:cs="Times New Roman"/>
                <w:color w:val="auto"/>
                <w:sz w:val="24"/>
                <w:szCs w:val="24"/>
                <w:lang w:val="en-US" w:bidi="ar-SA"/>
              </w:rPr>
              <w:t>须有注册咨询师资格，同时具有高级及以上职称证的得3分；</w:t>
            </w:r>
          </w:p>
          <w:p>
            <w:pPr>
              <w:pStyle w:val="9"/>
              <w:spacing w:line="269" w:lineRule="exact"/>
              <w:rPr>
                <w:rFonts w:ascii="Times New Roman" w:hAnsi="Times New Roman" w:cs="Times New Roman"/>
                <w:color w:val="auto"/>
                <w:sz w:val="24"/>
                <w:szCs w:val="24"/>
                <w:lang w:val="en-US" w:bidi="ar-SA"/>
              </w:rPr>
            </w:pPr>
            <w:r>
              <w:rPr>
                <w:rFonts w:hint="eastAsia" w:ascii="Times New Roman" w:hAnsi="Times New Roman" w:cs="Times New Roman"/>
                <w:color w:val="auto"/>
                <w:sz w:val="24"/>
                <w:szCs w:val="24"/>
                <w:lang w:val="en-US" w:bidi="ar-SA"/>
              </w:rPr>
              <w:t>2、项目组成员</w:t>
            </w:r>
          </w:p>
          <w:p>
            <w:pPr>
              <w:spacing w:line="360" w:lineRule="exact"/>
              <w:rPr>
                <w:rFonts w:ascii="Times New Roman" w:hAnsi="Times New Roman"/>
                <w:color w:val="auto"/>
                <w:sz w:val="24"/>
                <w:szCs w:val="24"/>
              </w:rPr>
            </w:pPr>
            <w:r>
              <w:rPr>
                <w:rFonts w:hint="eastAsia" w:ascii="Times New Roman" w:hAnsi="Times New Roman"/>
                <w:color w:val="auto"/>
                <w:sz w:val="24"/>
                <w:szCs w:val="24"/>
              </w:rPr>
              <w:t>项目组成员（不含项目负责人）为本单位注册咨询工程师资格每有1个得2分，最高得6分，没有不得分。同时又具有中级及以上职称的，每人加2分，最多加6分。只具有中级及以上职称的，不得分；此项最多得12分。</w:t>
            </w:r>
          </w:p>
          <w:p>
            <w:pPr>
              <w:pStyle w:val="9"/>
              <w:spacing w:before="43"/>
              <w:rPr>
                <w:rFonts w:ascii="Times New Roman" w:hAnsi="Times New Roman" w:cs="Times New Roman"/>
                <w:color w:val="auto"/>
                <w:szCs w:val="21"/>
                <w:lang w:val="en-US"/>
              </w:rPr>
            </w:pPr>
            <w:r>
              <w:rPr>
                <w:rFonts w:hint="eastAsia" w:ascii="Times New Roman" w:hAnsi="Times New Roman" w:cs="Times New Roman"/>
                <w:color w:val="auto"/>
                <w:sz w:val="24"/>
                <w:szCs w:val="24"/>
                <w:lang w:val="en-US" w:bidi="ar-SA"/>
              </w:rPr>
              <w:t>（</w:t>
            </w:r>
            <w:r>
              <w:rPr>
                <w:rFonts w:hint="eastAsia" w:ascii="Times New Roman" w:hAnsi="Times New Roman" w:cs="Times New Roman"/>
                <w:color w:val="auto"/>
                <w:kern w:val="0"/>
                <w:sz w:val="24"/>
              </w:rPr>
              <w:t>须为投标人本单位正式员工，以社保机构出具的相关人员社保证明为依据，否则本项不得分。</w:t>
            </w:r>
            <w:r>
              <w:rPr>
                <w:rFonts w:hint="eastAsia" w:ascii="Times New Roman" w:hAnsi="Times New Roman" w:cs="Times New Roman"/>
                <w:color w:val="auto"/>
                <w:sz w:val="24"/>
                <w:szCs w:val="24"/>
                <w:lang w:val="en-US" w:bidi="ar-SA"/>
              </w:rPr>
              <w:t>）</w:t>
            </w:r>
          </w:p>
        </w:tc>
        <w:tc>
          <w:tcPr>
            <w:tcW w:w="1230" w:type="dxa"/>
            <w:vAlign w:val="center"/>
          </w:tcPr>
          <w:p>
            <w:pPr>
              <w:jc w:val="center"/>
              <w:rPr>
                <w:rFonts w:ascii="Times New Roman" w:hAnsi="Times New Roman"/>
                <w:color w:val="auto"/>
                <w:szCs w:val="21"/>
              </w:rPr>
            </w:pPr>
            <w:r>
              <w:rPr>
                <w:rFonts w:hint="eastAsia" w:ascii="Times New Roman" w:hAnsi="Times New Roman"/>
                <w:color w:val="auto"/>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1774" w:type="dxa"/>
            <w:vMerge w:val="continue"/>
            <w:vAlign w:val="center"/>
          </w:tcPr>
          <w:p>
            <w:pPr>
              <w:jc w:val="center"/>
              <w:rPr>
                <w:rFonts w:ascii="Times New Roman" w:hAnsi="Times New Roman"/>
                <w:b/>
                <w:color w:val="auto"/>
                <w:sz w:val="24"/>
                <w:szCs w:val="24"/>
              </w:rPr>
            </w:pPr>
          </w:p>
        </w:tc>
        <w:tc>
          <w:tcPr>
            <w:tcW w:w="6136" w:type="dxa"/>
            <w:vAlign w:val="center"/>
          </w:tcPr>
          <w:p>
            <w:pPr>
              <w:spacing w:line="360" w:lineRule="exact"/>
              <w:rPr>
                <w:rFonts w:ascii="Times New Roman" w:hAnsi="Times New Roman"/>
                <w:color w:val="auto"/>
                <w:szCs w:val="21"/>
              </w:rPr>
            </w:pPr>
            <w:r>
              <w:rPr>
                <w:rFonts w:hint="eastAsia" w:ascii="Times New Roman" w:hAnsi="Times New Roman"/>
                <w:color w:val="auto"/>
                <w:sz w:val="24"/>
                <w:szCs w:val="24"/>
              </w:rPr>
              <w:t>投标人2015年以来获得全国优秀工程咨询成果奖的加2分；获得省级优秀工程咨询成果奖的加1分；最多得2分</w:t>
            </w:r>
          </w:p>
        </w:tc>
        <w:tc>
          <w:tcPr>
            <w:tcW w:w="1230" w:type="dxa"/>
            <w:vAlign w:val="center"/>
          </w:tcPr>
          <w:p>
            <w:pPr>
              <w:jc w:val="center"/>
              <w:rPr>
                <w:rFonts w:ascii="Times New Roman" w:hAnsi="Times New Roman"/>
                <w:color w:val="auto"/>
                <w:szCs w:val="21"/>
              </w:rPr>
            </w:pPr>
            <w:r>
              <w:rPr>
                <w:rFonts w:hint="eastAsia" w:ascii="Times New Roman" w:hAnsi="Times New Roman"/>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8" w:hRule="atLeast"/>
        </w:trPr>
        <w:tc>
          <w:tcPr>
            <w:tcW w:w="1774" w:type="dxa"/>
            <w:vMerge w:val="restart"/>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技术部分评审</w:t>
            </w:r>
          </w:p>
          <w:p>
            <w:pPr>
              <w:jc w:val="center"/>
              <w:rPr>
                <w:rFonts w:ascii="Times New Roman" w:hAnsi="Times New Roman"/>
                <w:b/>
                <w:color w:val="auto"/>
                <w:sz w:val="24"/>
                <w:szCs w:val="24"/>
              </w:rPr>
            </w:pPr>
            <w:r>
              <w:rPr>
                <w:rFonts w:hint="eastAsia" w:ascii="Times New Roman" w:hAnsi="Times New Roman"/>
                <w:b/>
                <w:color w:val="auto"/>
                <w:sz w:val="24"/>
                <w:szCs w:val="24"/>
              </w:rPr>
              <w:t>满分50分</w:t>
            </w:r>
          </w:p>
        </w:tc>
        <w:tc>
          <w:tcPr>
            <w:tcW w:w="6136" w:type="dxa"/>
            <w:vAlign w:val="center"/>
          </w:tcPr>
          <w:p>
            <w:pPr>
              <w:spacing w:line="340" w:lineRule="exact"/>
              <w:rPr>
                <w:rFonts w:ascii="Times New Roman" w:hAnsi="Times New Roman"/>
                <w:bCs/>
                <w:color w:val="auto"/>
                <w:sz w:val="24"/>
                <w:szCs w:val="24"/>
              </w:rPr>
            </w:pPr>
            <w:r>
              <w:rPr>
                <w:rFonts w:hint="eastAsia" w:ascii="Times New Roman" w:hAnsi="Times New Roman"/>
                <w:bCs/>
                <w:color w:val="auto"/>
                <w:sz w:val="24"/>
                <w:szCs w:val="24"/>
              </w:rPr>
              <w:t>1、项目实施工作计划安排：整体及阶段计划明确，安排合理，满足招标文件服务期要求的得15分；有相关描述的得10分；没有的不得分。</w:t>
            </w:r>
          </w:p>
          <w:p>
            <w:pPr>
              <w:spacing w:line="340" w:lineRule="exact"/>
              <w:rPr>
                <w:rFonts w:ascii="Times New Roman" w:hAnsi="Times New Roman"/>
                <w:color w:val="auto"/>
                <w:sz w:val="24"/>
                <w:szCs w:val="24"/>
              </w:rPr>
            </w:pPr>
            <w:r>
              <w:rPr>
                <w:rFonts w:hint="eastAsia" w:ascii="Times New Roman" w:hAnsi="Times New Roman"/>
                <w:bCs/>
                <w:color w:val="auto"/>
                <w:sz w:val="24"/>
                <w:szCs w:val="24"/>
              </w:rPr>
              <w:t>2、项目组织机构：机构设置合理，人员配备合理，便于项目开展的得10分；有相关描述的得5分；没有的不得分。</w:t>
            </w:r>
          </w:p>
        </w:tc>
        <w:tc>
          <w:tcPr>
            <w:tcW w:w="1230" w:type="dxa"/>
            <w:vAlign w:val="center"/>
          </w:tcPr>
          <w:p>
            <w:pPr>
              <w:jc w:val="center"/>
              <w:rPr>
                <w:rFonts w:ascii="Times New Roman" w:hAnsi="Times New Roman"/>
                <w:color w:val="auto"/>
                <w:szCs w:val="21"/>
              </w:rPr>
            </w:pPr>
            <w:r>
              <w:rPr>
                <w:rFonts w:hint="eastAsia" w:ascii="Times New Roman" w:hAnsi="Times New Roman"/>
                <w:color w:val="auto"/>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trPr>
        <w:tc>
          <w:tcPr>
            <w:tcW w:w="1774" w:type="dxa"/>
            <w:vMerge w:val="continue"/>
            <w:vAlign w:val="center"/>
          </w:tcPr>
          <w:p>
            <w:pPr>
              <w:rPr>
                <w:rFonts w:ascii="Times New Roman" w:hAnsi="Times New Roman"/>
                <w:b/>
                <w:color w:val="auto"/>
                <w:sz w:val="24"/>
                <w:szCs w:val="24"/>
              </w:rPr>
            </w:pPr>
          </w:p>
        </w:tc>
        <w:tc>
          <w:tcPr>
            <w:tcW w:w="6136" w:type="dxa"/>
            <w:vAlign w:val="center"/>
          </w:tcPr>
          <w:p>
            <w:pPr>
              <w:spacing w:line="340" w:lineRule="exact"/>
              <w:rPr>
                <w:rFonts w:ascii="Times New Roman" w:hAnsi="Times New Roman"/>
                <w:color w:val="auto"/>
                <w:sz w:val="24"/>
                <w:szCs w:val="24"/>
              </w:rPr>
            </w:pPr>
            <w:r>
              <w:rPr>
                <w:rFonts w:hint="eastAsia" w:ascii="Times New Roman" w:hAnsi="Times New Roman"/>
                <w:color w:val="auto"/>
                <w:sz w:val="24"/>
                <w:szCs w:val="24"/>
              </w:rPr>
              <w:t>总体技术实施方案针对性强，方案介绍内容详尽、准确、全面，总体说明构思详尽、内容完整、合理的得10分，</w:t>
            </w:r>
          </w:p>
          <w:p>
            <w:pPr>
              <w:spacing w:line="340" w:lineRule="exact"/>
              <w:rPr>
                <w:rFonts w:ascii="Times New Roman" w:hAnsi="Times New Roman"/>
                <w:color w:val="auto"/>
                <w:sz w:val="24"/>
                <w:szCs w:val="24"/>
              </w:rPr>
            </w:pPr>
            <w:r>
              <w:rPr>
                <w:rFonts w:hint="eastAsia" w:ascii="Times New Roman" w:hAnsi="Times New Roman"/>
                <w:color w:val="auto"/>
                <w:sz w:val="24"/>
                <w:szCs w:val="24"/>
              </w:rPr>
              <w:t>有相关描述的得5分，不提供不得分。</w:t>
            </w:r>
          </w:p>
        </w:tc>
        <w:tc>
          <w:tcPr>
            <w:tcW w:w="1230" w:type="dxa"/>
            <w:vAlign w:val="center"/>
          </w:tcPr>
          <w:p>
            <w:pPr>
              <w:jc w:val="center"/>
              <w:rPr>
                <w:rFonts w:ascii="Times New Roman" w:hAnsi="Times New Roman"/>
                <w:color w:val="auto"/>
                <w:szCs w:val="21"/>
              </w:rPr>
            </w:pPr>
            <w:r>
              <w:rPr>
                <w:rFonts w:hint="eastAsia" w:ascii="Times New Roman" w:hAnsi="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9" w:hRule="atLeast"/>
        </w:trPr>
        <w:tc>
          <w:tcPr>
            <w:tcW w:w="1774" w:type="dxa"/>
            <w:vMerge w:val="continue"/>
            <w:vAlign w:val="center"/>
          </w:tcPr>
          <w:p>
            <w:pPr>
              <w:rPr>
                <w:rFonts w:ascii="Times New Roman" w:hAnsi="Times New Roman"/>
                <w:b/>
                <w:color w:val="auto"/>
                <w:sz w:val="24"/>
                <w:szCs w:val="24"/>
              </w:rPr>
            </w:pPr>
          </w:p>
        </w:tc>
        <w:tc>
          <w:tcPr>
            <w:tcW w:w="6136" w:type="dxa"/>
            <w:vAlign w:val="center"/>
          </w:tcPr>
          <w:p>
            <w:pPr>
              <w:spacing w:line="340" w:lineRule="exact"/>
              <w:rPr>
                <w:rFonts w:ascii="Times New Roman" w:hAnsi="Times New Roman"/>
                <w:color w:val="auto"/>
                <w:sz w:val="24"/>
                <w:szCs w:val="24"/>
              </w:rPr>
            </w:pPr>
            <w:r>
              <w:rPr>
                <w:rFonts w:hint="eastAsia" w:ascii="Times New Roman" w:hAnsi="Times New Roman"/>
                <w:color w:val="auto"/>
                <w:sz w:val="24"/>
                <w:szCs w:val="24"/>
              </w:rPr>
              <w:t>1、投标人提供的售后服务及现场技术支持方案的完整、可行、响应处理机制合理的得5分，有相关描述的得2分，不提供不得分。</w:t>
            </w:r>
          </w:p>
          <w:p>
            <w:pPr>
              <w:spacing w:line="340" w:lineRule="exact"/>
              <w:rPr>
                <w:rFonts w:ascii="Times New Roman" w:hAnsi="Times New Roman"/>
                <w:color w:val="auto"/>
                <w:sz w:val="24"/>
                <w:szCs w:val="24"/>
              </w:rPr>
            </w:pPr>
            <w:r>
              <w:rPr>
                <w:rFonts w:hint="eastAsia" w:ascii="Times New Roman" w:hAnsi="Times New Roman"/>
                <w:color w:val="auto"/>
                <w:sz w:val="24"/>
                <w:szCs w:val="24"/>
              </w:rPr>
              <w:t>2、投标人就如何做好后续服务保障工作提供一套优秀服务方案的得5分，有相关描述的得2分，不提供不得分。</w:t>
            </w:r>
          </w:p>
          <w:p>
            <w:pPr>
              <w:spacing w:line="340" w:lineRule="exact"/>
              <w:rPr>
                <w:rFonts w:ascii="Times New Roman" w:hAnsi="Times New Roman"/>
                <w:color w:val="auto"/>
                <w:sz w:val="24"/>
                <w:szCs w:val="24"/>
              </w:rPr>
            </w:pPr>
            <w:r>
              <w:rPr>
                <w:rFonts w:hint="eastAsia" w:ascii="Times New Roman" w:hAnsi="Times New Roman"/>
                <w:color w:val="auto"/>
                <w:sz w:val="24"/>
                <w:szCs w:val="24"/>
              </w:rPr>
              <w:t>3、投标人在项目实施完成后所承诺的责任、服务内容合理完整的得5分，有相关描述的得2分，不提供不得分。</w:t>
            </w:r>
          </w:p>
        </w:tc>
        <w:tc>
          <w:tcPr>
            <w:tcW w:w="1230" w:type="dxa"/>
            <w:vAlign w:val="center"/>
          </w:tcPr>
          <w:p>
            <w:pPr>
              <w:jc w:val="center"/>
              <w:rPr>
                <w:rFonts w:ascii="Times New Roman" w:hAnsi="Times New Roman"/>
                <w:color w:val="auto"/>
                <w:szCs w:val="21"/>
              </w:rPr>
            </w:pPr>
            <w:r>
              <w:rPr>
                <w:rFonts w:hint="eastAsia" w:ascii="Times New Roman" w:hAnsi="Times New Roman"/>
                <w:color w:val="auto"/>
                <w:szCs w:val="21"/>
              </w:rPr>
              <w:t>15</w:t>
            </w:r>
          </w:p>
        </w:tc>
      </w:tr>
    </w:tbl>
    <w:p>
      <w:pPr>
        <w:tabs>
          <w:tab w:val="left" w:pos="1260"/>
        </w:tabs>
        <w:autoSpaceDE w:val="0"/>
        <w:autoSpaceDN w:val="0"/>
        <w:spacing w:line="360" w:lineRule="auto"/>
        <w:contextualSpacing/>
        <w:rPr>
          <w:rFonts w:ascii="Times New Roman" w:hAnsi="Times New Roman"/>
          <w:b/>
          <w:color w:val="auto"/>
          <w:sz w:val="28"/>
          <w:szCs w:val="24"/>
        </w:rPr>
      </w:pPr>
      <w:r>
        <w:rPr>
          <w:rFonts w:hint="eastAsia" w:ascii="Times New Roman" w:hAnsi="Times New Roman"/>
          <w:b/>
          <w:color w:val="auto"/>
          <w:sz w:val="28"/>
          <w:szCs w:val="24"/>
        </w:rPr>
        <w:t>C包</w:t>
      </w:r>
    </w:p>
    <w:tbl>
      <w:tblPr>
        <w:tblStyle w:val="6"/>
        <w:tblpPr w:leftFromText="180" w:rightFromText="180" w:vertAnchor="text" w:tblpXSpec="center" w:tblpY="1"/>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6136"/>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774" w:type="dxa"/>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评审部分</w:t>
            </w:r>
          </w:p>
        </w:tc>
        <w:tc>
          <w:tcPr>
            <w:tcW w:w="6136" w:type="dxa"/>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评审因素</w:t>
            </w:r>
          </w:p>
        </w:tc>
        <w:tc>
          <w:tcPr>
            <w:tcW w:w="1230" w:type="dxa"/>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打分标准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3" w:hRule="atLeast"/>
        </w:trPr>
        <w:tc>
          <w:tcPr>
            <w:tcW w:w="1774" w:type="dxa"/>
            <w:vAlign w:val="center"/>
          </w:tcPr>
          <w:p>
            <w:pPr>
              <w:rPr>
                <w:rFonts w:ascii="Times New Roman" w:hAnsi="Times New Roman"/>
                <w:b/>
                <w:color w:val="auto"/>
                <w:sz w:val="24"/>
                <w:szCs w:val="24"/>
              </w:rPr>
            </w:pPr>
            <w:r>
              <w:rPr>
                <w:rFonts w:hint="eastAsia" w:ascii="Times New Roman" w:hAnsi="Times New Roman"/>
                <w:b/>
                <w:color w:val="auto"/>
                <w:kern w:val="0"/>
                <w:sz w:val="24"/>
                <w:szCs w:val="24"/>
              </w:rPr>
              <w:t>投标报价20分</w:t>
            </w:r>
          </w:p>
        </w:tc>
        <w:tc>
          <w:tcPr>
            <w:tcW w:w="6136" w:type="dxa"/>
            <w:vAlign w:val="center"/>
          </w:tcPr>
          <w:p>
            <w:pPr>
              <w:spacing w:line="340" w:lineRule="exact"/>
              <w:rPr>
                <w:rFonts w:ascii="Times New Roman" w:hAnsi="Times New Roman"/>
                <w:color w:val="auto"/>
                <w:sz w:val="24"/>
                <w:szCs w:val="24"/>
              </w:rPr>
            </w:pPr>
            <w:r>
              <w:rPr>
                <w:rFonts w:hint="eastAsia" w:ascii="Times New Roman" w:hAnsi="Times New Roman"/>
                <w:color w:val="auto"/>
                <w:sz w:val="24"/>
                <w:szCs w:val="24"/>
              </w:rPr>
              <w:t>满足磋商文件要求且最后报价最低的供应商为磋商基准价，其价格分为满分，其他供应商的价格分计算公式：磋商报价得分=（磋商基准价/最后磋商报价）×20。</w:t>
            </w:r>
          </w:p>
          <w:p>
            <w:pPr>
              <w:spacing w:line="340" w:lineRule="exact"/>
              <w:rPr>
                <w:rFonts w:ascii="Times New Roman" w:hAnsi="Times New Roman"/>
                <w:color w:val="auto"/>
                <w:sz w:val="24"/>
                <w:szCs w:val="24"/>
              </w:rPr>
            </w:pPr>
            <w:r>
              <w:rPr>
                <w:rFonts w:hint="eastAsia" w:ascii="Times New Roman" w:hAnsi="Times New Roman"/>
                <w:color w:val="auto"/>
                <w:sz w:val="24"/>
                <w:szCs w:val="24"/>
              </w:rPr>
              <w:t>本项目落实节能环保、中小微型企业、监狱企业、残疾人福利性单位扶持等相关政府采购政策。（详见第五章）</w:t>
            </w:r>
          </w:p>
          <w:p>
            <w:pPr>
              <w:spacing w:line="340" w:lineRule="exact"/>
              <w:rPr>
                <w:rFonts w:ascii="Times New Roman" w:hAnsi="Times New Roman"/>
                <w:color w:val="auto"/>
                <w:sz w:val="24"/>
                <w:szCs w:val="24"/>
              </w:rPr>
            </w:pPr>
            <w:r>
              <w:rPr>
                <w:rFonts w:hint="eastAsia" w:ascii="Times New Roman" w:hAnsi="Times New Roman"/>
                <w:color w:val="auto"/>
                <w:sz w:val="24"/>
                <w:szCs w:val="24"/>
              </w:rPr>
              <w:t>注：项目评审过程中，不得去掉最后报价中的最高报价和最低报价。</w:t>
            </w:r>
          </w:p>
        </w:tc>
        <w:tc>
          <w:tcPr>
            <w:tcW w:w="1230" w:type="dxa"/>
            <w:vAlign w:val="center"/>
          </w:tcPr>
          <w:p>
            <w:pPr>
              <w:jc w:val="center"/>
              <w:rPr>
                <w:rFonts w:ascii="Times New Roman" w:hAnsi="Times New Roman"/>
                <w:color w:val="auto"/>
                <w:szCs w:val="21"/>
              </w:rPr>
            </w:pPr>
            <w:r>
              <w:rPr>
                <w:rFonts w:hint="eastAsia" w:ascii="Times New Roman" w:hAnsi="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1774" w:type="dxa"/>
            <w:vMerge w:val="restart"/>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商务部分评审3</w:t>
            </w:r>
            <w:r>
              <w:rPr>
                <w:rFonts w:ascii="Times New Roman" w:hAnsi="Times New Roman"/>
                <w:b/>
                <w:color w:val="auto"/>
                <w:sz w:val="24"/>
                <w:szCs w:val="24"/>
              </w:rPr>
              <w:t>5</w:t>
            </w:r>
            <w:r>
              <w:rPr>
                <w:rFonts w:hint="eastAsia" w:ascii="Times New Roman" w:hAnsi="Times New Roman"/>
                <w:b/>
                <w:color w:val="auto"/>
                <w:sz w:val="24"/>
                <w:szCs w:val="24"/>
              </w:rPr>
              <w:t>分</w:t>
            </w:r>
          </w:p>
        </w:tc>
        <w:tc>
          <w:tcPr>
            <w:tcW w:w="6136" w:type="dxa"/>
            <w:vAlign w:val="center"/>
          </w:tcPr>
          <w:p>
            <w:pPr>
              <w:pStyle w:val="9"/>
              <w:spacing w:before="22"/>
              <w:rPr>
                <w:rFonts w:ascii="Times New Roman" w:hAnsi="Times New Roman" w:cs="Times New Roman"/>
                <w:color w:val="auto"/>
                <w:sz w:val="24"/>
                <w:szCs w:val="24"/>
              </w:rPr>
            </w:pPr>
            <w:r>
              <w:rPr>
                <w:rFonts w:hint="eastAsia" w:ascii="Times New Roman" w:hAnsi="Times New Roman"/>
                <w:color w:val="auto"/>
                <w:sz w:val="24"/>
                <w:szCs w:val="24"/>
              </w:rPr>
              <w:t>提供2013年1月1日以后（以签订时间为准），完成的政府平台发债审计项目（包括不限于企业债、公司债等），累计数量达到15个的，得15分。</w:t>
            </w:r>
          </w:p>
        </w:tc>
        <w:tc>
          <w:tcPr>
            <w:tcW w:w="1230" w:type="dxa"/>
            <w:vAlign w:val="center"/>
          </w:tcPr>
          <w:p>
            <w:pPr>
              <w:jc w:val="center"/>
              <w:rPr>
                <w:rFonts w:ascii="Times New Roman" w:hAnsi="Times New Roman"/>
                <w:color w:val="auto"/>
                <w:szCs w:val="21"/>
              </w:rPr>
            </w:pPr>
            <w:r>
              <w:rPr>
                <w:rFonts w:hint="eastAsia" w:ascii="Times New Roman" w:hAnsi="Times New Roman"/>
                <w:color w:val="auto"/>
                <w:szCs w:val="21"/>
              </w:rPr>
              <w:t>1</w:t>
            </w:r>
            <w:r>
              <w:rPr>
                <w:rFonts w:ascii="Times New Roman" w:hAnsi="Times New Roman"/>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trPr>
        <w:tc>
          <w:tcPr>
            <w:tcW w:w="1774" w:type="dxa"/>
            <w:vMerge w:val="continue"/>
            <w:vAlign w:val="center"/>
          </w:tcPr>
          <w:p>
            <w:pPr>
              <w:jc w:val="center"/>
              <w:rPr>
                <w:rFonts w:ascii="Times New Roman" w:hAnsi="Times New Roman"/>
                <w:b/>
                <w:color w:val="auto"/>
                <w:sz w:val="24"/>
                <w:szCs w:val="24"/>
              </w:rPr>
            </w:pPr>
          </w:p>
        </w:tc>
        <w:tc>
          <w:tcPr>
            <w:tcW w:w="6136" w:type="dxa"/>
            <w:vAlign w:val="center"/>
          </w:tcPr>
          <w:p>
            <w:pPr>
              <w:pStyle w:val="9"/>
              <w:spacing w:before="43"/>
              <w:rPr>
                <w:rFonts w:ascii="Times New Roman" w:hAnsi="Times New Roman" w:cs="Times New Roman"/>
                <w:color w:val="auto"/>
                <w:szCs w:val="21"/>
                <w:lang w:val="en-US"/>
              </w:rPr>
            </w:pPr>
            <w:r>
              <w:rPr>
                <w:rFonts w:hint="eastAsia" w:ascii="Times New Roman" w:hAnsi="Times New Roman"/>
                <w:color w:val="auto"/>
                <w:sz w:val="24"/>
                <w:szCs w:val="24"/>
              </w:rPr>
              <w:t>根据各供应商拟派财务审计人员的数量、执业资格、执业经验等情况进行打分：完全满足要求得1</w:t>
            </w:r>
            <w:r>
              <w:rPr>
                <w:rFonts w:ascii="Times New Roman" w:hAnsi="Times New Roman"/>
                <w:color w:val="auto"/>
                <w:sz w:val="24"/>
                <w:szCs w:val="24"/>
              </w:rPr>
              <w:t>0</w:t>
            </w:r>
            <w:r>
              <w:rPr>
                <w:rFonts w:hint="eastAsia" w:ascii="Times New Roman" w:hAnsi="Times New Roman"/>
                <w:color w:val="auto"/>
                <w:sz w:val="24"/>
                <w:szCs w:val="24"/>
              </w:rPr>
              <w:t>分；仅做简单概述得2分，没有不得分。</w:t>
            </w:r>
          </w:p>
        </w:tc>
        <w:tc>
          <w:tcPr>
            <w:tcW w:w="1230" w:type="dxa"/>
            <w:vAlign w:val="center"/>
          </w:tcPr>
          <w:p>
            <w:pPr>
              <w:jc w:val="center"/>
              <w:rPr>
                <w:rFonts w:ascii="Times New Roman" w:hAnsi="Times New Roman"/>
                <w:color w:val="auto"/>
                <w:szCs w:val="21"/>
              </w:rPr>
            </w:pPr>
            <w:r>
              <w:rPr>
                <w:rFonts w:hint="eastAsia" w:ascii="Times New Roman" w:hAnsi="Times New Roman"/>
                <w:color w:val="auto"/>
                <w:szCs w:val="21"/>
              </w:rPr>
              <w:t>1</w:t>
            </w:r>
            <w:r>
              <w:rPr>
                <w:rFonts w:ascii="Times New Roman" w:hAnsi="Times New Roman"/>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1774" w:type="dxa"/>
            <w:vMerge w:val="continue"/>
            <w:vAlign w:val="center"/>
          </w:tcPr>
          <w:p>
            <w:pPr>
              <w:jc w:val="center"/>
              <w:rPr>
                <w:rFonts w:ascii="Times New Roman" w:hAnsi="Times New Roman"/>
                <w:b/>
                <w:color w:val="auto"/>
                <w:sz w:val="24"/>
                <w:szCs w:val="24"/>
              </w:rPr>
            </w:pPr>
          </w:p>
        </w:tc>
        <w:tc>
          <w:tcPr>
            <w:tcW w:w="6136" w:type="dxa"/>
            <w:vAlign w:val="center"/>
          </w:tcPr>
          <w:p>
            <w:pPr>
              <w:spacing w:line="360" w:lineRule="exact"/>
              <w:rPr>
                <w:rFonts w:ascii="Times New Roman" w:hAnsi="Times New Roman"/>
                <w:color w:val="auto"/>
                <w:szCs w:val="21"/>
              </w:rPr>
            </w:pPr>
            <w:r>
              <w:rPr>
                <w:rFonts w:hint="eastAsia" w:ascii="Times New Roman" w:hAnsi="Times New Roman"/>
                <w:color w:val="auto"/>
                <w:sz w:val="24"/>
                <w:szCs w:val="24"/>
              </w:rPr>
              <w:t>拟派项目负责人注册会计师执业资格取得的（以注册证书时间为准，下同）有十年以上</w:t>
            </w:r>
            <w:r>
              <w:rPr>
                <w:rFonts w:hint="eastAsia" w:ascii="Times New Roman" w:hAnsi="Times New Roman"/>
                <w:color w:val="auto"/>
                <w:sz w:val="24"/>
                <w:szCs w:val="24"/>
                <w:lang w:eastAsia="zh-CN"/>
              </w:rPr>
              <w:t>（含十年）</w:t>
            </w:r>
            <w:r>
              <w:rPr>
                <w:rFonts w:hint="eastAsia" w:ascii="Times New Roman" w:hAnsi="Times New Roman"/>
                <w:color w:val="auto"/>
                <w:sz w:val="24"/>
                <w:szCs w:val="24"/>
              </w:rPr>
              <w:t>工作经验得10分；五年以上</w:t>
            </w:r>
            <w:r>
              <w:rPr>
                <w:rFonts w:hint="eastAsia" w:ascii="Times New Roman" w:hAnsi="Times New Roman"/>
                <w:color w:val="auto"/>
                <w:sz w:val="24"/>
                <w:szCs w:val="24"/>
                <w:lang w:eastAsia="zh-CN"/>
              </w:rPr>
              <w:t>（含五年）</w:t>
            </w:r>
            <w:r>
              <w:rPr>
                <w:rFonts w:hint="eastAsia" w:ascii="Times New Roman" w:hAnsi="Times New Roman"/>
                <w:color w:val="auto"/>
                <w:sz w:val="24"/>
                <w:szCs w:val="24"/>
              </w:rPr>
              <w:t>不满十年的得5分；五年以下不得分。最高1</w:t>
            </w:r>
            <w:r>
              <w:rPr>
                <w:rFonts w:ascii="Times New Roman" w:hAnsi="Times New Roman"/>
                <w:color w:val="auto"/>
                <w:sz w:val="24"/>
                <w:szCs w:val="24"/>
              </w:rPr>
              <w:t>0</w:t>
            </w:r>
            <w:r>
              <w:rPr>
                <w:rFonts w:hint="eastAsia" w:ascii="Times New Roman" w:hAnsi="Times New Roman"/>
                <w:color w:val="auto"/>
                <w:sz w:val="24"/>
                <w:szCs w:val="24"/>
              </w:rPr>
              <w:t>分。</w:t>
            </w:r>
            <w:r>
              <w:rPr>
                <w:rFonts w:ascii="Times New Roman" w:hAnsi="Times New Roman"/>
                <w:color w:val="auto"/>
                <w:szCs w:val="21"/>
              </w:rPr>
              <w:t xml:space="preserve"> </w:t>
            </w:r>
          </w:p>
        </w:tc>
        <w:tc>
          <w:tcPr>
            <w:tcW w:w="1230" w:type="dxa"/>
            <w:vAlign w:val="center"/>
          </w:tcPr>
          <w:p>
            <w:pPr>
              <w:jc w:val="center"/>
              <w:rPr>
                <w:rFonts w:ascii="Times New Roman" w:hAnsi="Times New Roman"/>
                <w:color w:val="auto"/>
                <w:szCs w:val="21"/>
              </w:rPr>
            </w:pPr>
            <w:r>
              <w:rPr>
                <w:rFonts w:ascii="Times New Roman" w:hAnsi="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8" w:hRule="atLeast"/>
        </w:trPr>
        <w:tc>
          <w:tcPr>
            <w:tcW w:w="1774" w:type="dxa"/>
            <w:vMerge w:val="restart"/>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技术部分评审</w:t>
            </w:r>
          </w:p>
          <w:p>
            <w:pPr>
              <w:jc w:val="center"/>
              <w:rPr>
                <w:rFonts w:ascii="Times New Roman" w:hAnsi="Times New Roman"/>
                <w:b/>
                <w:color w:val="auto"/>
                <w:sz w:val="24"/>
                <w:szCs w:val="24"/>
              </w:rPr>
            </w:pPr>
            <w:r>
              <w:rPr>
                <w:rFonts w:hint="eastAsia" w:ascii="Times New Roman" w:hAnsi="Times New Roman"/>
                <w:b/>
                <w:color w:val="auto"/>
                <w:sz w:val="24"/>
                <w:szCs w:val="24"/>
              </w:rPr>
              <w:t>满分</w:t>
            </w:r>
            <w:r>
              <w:rPr>
                <w:rFonts w:ascii="Times New Roman" w:hAnsi="Times New Roman"/>
                <w:b/>
                <w:color w:val="auto"/>
                <w:sz w:val="24"/>
                <w:szCs w:val="24"/>
              </w:rPr>
              <w:t>45</w:t>
            </w:r>
            <w:r>
              <w:rPr>
                <w:rFonts w:hint="eastAsia" w:ascii="Times New Roman" w:hAnsi="Times New Roman"/>
                <w:b/>
                <w:color w:val="auto"/>
                <w:sz w:val="24"/>
                <w:szCs w:val="24"/>
              </w:rPr>
              <w:t>分</w:t>
            </w:r>
          </w:p>
        </w:tc>
        <w:tc>
          <w:tcPr>
            <w:tcW w:w="6136" w:type="dxa"/>
            <w:vAlign w:val="center"/>
          </w:tcPr>
          <w:p>
            <w:pPr>
              <w:spacing w:line="340" w:lineRule="exact"/>
              <w:rPr>
                <w:rFonts w:ascii="Times New Roman" w:hAnsi="Times New Roman"/>
                <w:bCs/>
                <w:color w:val="auto"/>
                <w:sz w:val="24"/>
                <w:szCs w:val="24"/>
              </w:rPr>
            </w:pPr>
            <w:r>
              <w:rPr>
                <w:rFonts w:hint="eastAsia" w:ascii="Times New Roman" w:hAnsi="Times New Roman"/>
                <w:bCs/>
                <w:color w:val="auto"/>
                <w:sz w:val="24"/>
                <w:szCs w:val="24"/>
              </w:rPr>
              <w:t>1、项目实施工作计划安排：整体及阶段计划明确，安排合理，满足招标文件服务期要求的得1</w:t>
            </w:r>
            <w:r>
              <w:rPr>
                <w:rFonts w:ascii="Times New Roman" w:hAnsi="Times New Roman"/>
                <w:bCs/>
                <w:color w:val="auto"/>
                <w:sz w:val="24"/>
                <w:szCs w:val="24"/>
              </w:rPr>
              <w:t>0</w:t>
            </w:r>
            <w:r>
              <w:rPr>
                <w:rFonts w:hint="eastAsia" w:ascii="Times New Roman" w:hAnsi="Times New Roman"/>
                <w:bCs/>
                <w:color w:val="auto"/>
                <w:sz w:val="24"/>
                <w:szCs w:val="24"/>
              </w:rPr>
              <w:t>分；有相关描述的得</w:t>
            </w:r>
            <w:r>
              <w:rPr>
                <w:rFonts w:ascii="Times New Roman" w:hAnsi="Times New Roman"/>
                <w:bCs/>
                <w:color w:val="auto"/>
                <w:sz w:val="24"/>
                <w:szCs w:val="24"/>
              </w:rPr>
              <w:t>5</w:t>
            </w:r>
            <w:r>
              <w:rPr>
                <w:rFonts w:hint="eastAsia" w:ascii="Times New Roman" w:hAnsi="Times New Roman"/>
                <w:bCs/>
                <w:color w:val="auto"/>
                <w:sz w:val="24"/>
                <w:szCs w:val="24"/>
              </w:rPr>
              <w:t>分；没有的不得分。</w:t>
            </w:r>
          </w:p>
          <w:p>
            <w:pPr>
              <w:spacing w:line="340" w:lineRule="exact"/>
              <w:rPr>
                <w:rFonts w:ascii="Times New Roman" w:hAnsi="Times New Roman"/>
                <w:color w:val="auto"/>
                <w:sz w:val="24"/>
                <w:szCs w:val="24"/>
              </w:rPr>
            </w:pPr>
            <w:r>
              <w:rPr>
                <w:rFonts w:hint="eastAsia" w:ascii="Times New Roman" w:hAnsi="Times New Roman"/>
                <w:bCs/>
                <w:color w:val="auto"/>
                <w:sz w:val="24"/>
                <w:szCs w:val="24"/>
              </w:rPr>
              <w:t>2、项目组织机构：机构设置合理，人员配备合理，便于项目开展的得10分；有相关描述的得5分；没有的不得分。</w:t>
            </w:r>
          </w:p>
        </w:tc>
        <w:tc>
          <w:tcPr>
            <w:tcW w:w="1230" w:type="dxa"/>
            <w:vAlign w:val="center"/>
          </w:tcPr>
          <w:p>
            <w:pPr>
              <w:jc w:val="center"/>
              <w:rPr>
                <w:rFonts w:ascii="Times New Roman" w:hAnsi="Times New Roman"/>
                <w:color w:val="auto"/>
                <w:szCs w:val="21"/>
              </w:rPr>
            </w:pPr>
            <w:r>
              <w:rPr>
                <w:rFonts w:hint="eastAsia" w:ascii="Times New Roman" w:hAnsi="Times New Roman"/>
                <w:color w:val="auto"/>
                <w:szCs w:val="21"/>
              </w:rPr>
              <w:t>2</w:t>
            </w:r>
            <w:r>
              <w:rPr>
                <w:rFonts w:ascii="Times New Roman" w:hAnsi="Times New Roman"/>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trPr>
        <w:tc>
          <w:tcPr>
            <w:tcW w:w="1774" w:type="dxa"/>
            <w:vMerge w:val="continue"/>
            <w:vAlign w:val="center"/>
          </w:tcPr>
          <w:p>
            <w:pPr>
              <w:rPr>
                <w:rFonts w:ascii="Times New Roman" w:hAnsi="Times New Roman"/>
                <w:b/>
                <w:color w:val="auto"/>
                <w:sz w:val="24"/>
                <w:szCs w:val="24"/>
              </w:rPr>
            </w:pPr>
          </w:p>
        </w:tc>
        <w:tc>
          <w:tcPr>
            <w:tcW w:w="6136" w:type="dxa"/>
            <w:vAlign w:val="center"/>
          </w:tcPr>
          <w:p>
            <w:pPr>
              <w:spacing w:line="340" w:lineRule="exact"/>
              <w:rPr>
                <w:rFonts w:ascii="Times New Roman" w:hAnsi="Times New Roman"/>
                <w:color w:val="auto"/>
                <w:sz w:val="24"/>
                <w:szCs w:val="24"/>
              </w:rPr>
            </w:pPr>
            <w:r>
              <w:rPr>
                <w:rFonts w:hint="eastAsia" w:ascii="Times New Roman" w:hAnsi="Times New Roman"/>
                <w:color w:val="auto"/>
                <w:sz w:val="24"/>
                <w:szCs w:val="24"/>
              </w:rPr>
              <w:t>总体技术实施方案针对性强，方案介绍内容详尽、准确、全面，总体说明构思详尽、内容完整、合理的得10分，</w:t>
            </w:r>
          </w:p>
          <w:p>
            <w:pPr>
              <w:spacing w:line="340" w:lineRule="exact"/>
              <w:rPr>
                <w:rFonts w:ascii="Times New Roman" w:hAnsi="Times New Roman"/>
                <w:color w:val="auto"/>
                <w:sz w:val="24"/>
                <w:szCs w:val="24"/>
              </w:rPr>
            </w:pPr>
            <w:r>
              <w:rPr>
                <w:rFonts w:hint="eastAsia" w:ascii="Times New Roman" w:hAnsi="Times New Roman"/>
                <w:color w:val="auto"/>
                <w:sz w:val="24"/>
                <w:szCs w:val="24"/>
              </w:rPr>
              <w:t>有相关描述的得5分，不提供不得分。</w:t>
            </w:r>
          </w:p>
        </w:tc>
        <w:tc>
          <w:tcPr>
            <w:tcW w:w="1230" w:type="dxa"/>
            <w:vAlign w:val="center"/>
          </w:tcPr>
          <w:p>
            <w:pPr>
              <w:jc w:val="center"/>
              <w:rPr>
                <w:rFonts w:ascii="Times New Roman" w:hAnsi="Times New Roman"/>
                <w:color w:val="auto"/>
                <w:szCs w:val="21"/>
              </w:rPr>
            </w:pPr>
            <w:r>
              <w:rPr>
                <w:rFonts w:hint="eastAsia" w:ascii="Times New Roman" w:hAnsi="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9" w:hRule="atLeast"/>
        </w:trPr>
        <w:tc>
          <w:tcPr>
            <w:tcW w:w="1774" w:type="dxa"/>
            <w:vMerge w:val="continue"/>
            <w:vAlign w:val="center"/>
          </w:tcPr>
          <w:p>
            <w:pPr>
              <w:rPr>
                <w:rFonts w:ascii="Times New Roman" w:hAnsi="Times New Roman"/>
                <w:b/>
                <w:color w:val="auto"/>
                <w:sz w:val="24"/>
                <w:szCs w:val="24"/>
              </w:rPr>
            </w:pPr>
          </w:p>
        </w:tc>
        <w:tc>
          <w:tcPr>
            <w:tcW w:w="6136" w:type="dxa"/>
            <w:vAlign w:val="center"/>
          </w:tcPr>
          <w:p>
            <w:pPr>
              <w:spacing w:line="340" w:lineRule="exact"/>
              <w:rPr>
                <w:rFonts w:ascii="Times New Roman" w:hAnsi="Times New Roman"/>
                <w:color w:val="auto"/>
                <w:sz w:val="24"/>
                <w:szCs w:val="24"/>
              </w:rPr>
            </w:pPr>
            <w:r>
              <w:rPr>
                <w:rFonts w:hint="eastAsia" w:ascii="Times New Roman" w:hAnsi="Times New Roman"/>
                <w:color w:val="auto"/>
                <w:sz w:val="24"/>
                <w:szCs w:val="24"/>
              </w:rPr>
              <w:t>1、投标人提供的售后服务及现场技术支持方案的完整、可行、响应处理机制合理的得5分，有相关描述的得2分，不提供不得分。</w:t>
            </w:r>
          </w:p>
          <w:p>
            <w:pPr>
              <w:spacing w:line="340" w:lineRule="exact"/>
              <w:rPr>
                <w:rFonts w:ascii="Times New Roman" w:hAnsi="Times New Roman"/>
                <w:color w:val="auto"/>
                <w:sz w:val="24"/>
                <w:szCs w:val="24"/>
              </w:rPr>
            </w:pPr>
            <w:r>
              <w:rPr>
                <w:rFonts w:hint="eastAsia" w:ascii="Times New Roman" w:hAnsi="Times New Roman"/>
                <w:color w:val="auto"/>
                <w:sz w:val="24"/>
                <w:szCs w:val="24"/>
              </w:rPr>
              <w:t>2、投标人就如何做好后续服务保障工作提供一套优秀服务方案的得5分，有相关描述的得2分，不提供不得分。</w:t>
            </w:r>
          </w:p>
          <w:p>
            <w:pPr>
              <w:spacing w:line="340" w:lineRule="exact"/>
              <w:rPr>
                <w:rFonts w:ascii="Times New Roman" w:hAnsi="Times New Roman"/>
                <w:color w:val="auto"/>
                <w:sz w:val="24"/>
                <w:szCs w:val="24"/>
              </w:rPr>
            </w:pPr>
            <w:r>
              <w:rPr>
                <w:rFonts w:hint="eastAsia" w:ascii="Times New Roman" w:hAnsi="Times New Roman"/>
                <w:color w:val="auto"/>
                <w:sz w:val="24"/>
                <w:szCs w:val="24"/>
              </w:rPr>
              <w:t>3、投标人在项目实施完成后所承诺的责任、服务内容合理完整的得5分，有相关描述的得2分，不提供不得分。</w:t>
            </w:r>
          </w:p>
        </w:tc>
        <w:tc>
          <w:tcPr>
            <w:tcW w:w="1230" w:type="dxa"/>
            <w:vAlign w:val="center"/>
          </w:tcPr>
          <w:p>
            <w:pPr>
              <w:jc w:val="center"/>
              <w:rPr>
                <w:rFonts w:ascii="Times New Roman" w:hAnsi="Times New Roman"/>
                <w:color w:val="auto"/>
                <w:szCs w:val="21"/>
              </w:rPr>
            </w:pPr>
            <w:r>
              <w:rPr>
                <w:rFonts w:hint="eastAsia" w:ascii="Times New Roman" w:hAnsi="Times New Roman"/>
                <w:color w:val="auto"/>
                <w:szCs w:val="21"/>
              </w:rPr>
              <w:t>15</w:t>
            </w:r>
          </w:p>
        </w:tc>
      </w:tr>
    </w:tbl>
    <w:p>
      <w:pPr>
        <w:tabs>
          <w:tab w:val="left" w:pos="1260"/>
        </w:tabs>
        <w:autoSpaceDE w:val="0"/>
        <w:autoSpaceDN w:val="0"/>
        <w:spacing w:line="360" w:lineRule="auto"/>
        <w:contextualSpacing/>
        <w:rPr>
          <w:rFonts w:ascii="Times New Roman" w:hAnsi="Times New Roman"/>
          <w:color w:val="FF0000"/>
          <w:sz w:val="24"/>
          <w:szCs w:val="24"/>
          <w:lang w:val="zh-CN"/>
        </w:rPr>
      </w:pPr>
      <w:r>
        <w:rPr>
          <w:rFonts w:hint="eastAsia" w:ascii="Times New Roman" w:hAnsi="Times New Roman"/>
          <w:color w:val="FF0000"/>
          <w:sz w:val="24"/>
          <w:szCs w:val="24"/>
          <w:lang w:val="zh-CN"/>
        </w:rPr>
        <w:t>注：所有涉及加分项的证书、合同等证件均需附图片扫描件或复印件加盖公章至响应文件中，否则不得分。</w:t>
      </w:r>
    </w:p>
    <w:p>
      <w:pPr>
        <w:tabs>
          <w:tab w:val="left" w:pos="1260"/>
        </w:tabs>
        <w:autoSpaceDE w:val="0"/>
        <w:autoSpaceDN w:val="0"/>
        <w:spacing w:line="360" w:lineRule="auto"/>
        <w:contextualSpacing/>
        <w:rPr>
          <w:rFonts w:ascii="Times New Roman" w:hAnsi="Times New Roman"/>
          <w:b/>
          <w:color w:val="auto"/>
          <w:sz w:val="28"/>
          <w:szCs w:val="24"/>
        </w:rPr>
      </w:pPr>
    </w:p>
    <w:p>
      <w:pPr>
        <w:pStyle w:val="4"/>
        <w:widowControl/>
        <w:shd w:val="clear" w:color="auto" w:fill="FFFFFF"/>
        <w:spacing w:line="360" w:lineRule="auto"/>
        <w:contextualSpacing/>
        <w:jc w:val="left"/>
        <w:rPr>
          <w:rFonts w:ascii="仿宋" w:hAnsi="仿宋" w:eastAsia="仿宋" w:cs="黑体"/>
          <w:color w:val="000000"/>
          <w:kern w:val="0"/>
          <w:sz w:val="28"/>
          <w:szCs w:val="28"/>
          <w:lang w:val="zh-CN"/>
        </w:rPr>
      </w:pPr>
      <w:r>
        <w:rPr>
          <w:rFonts w:hint="eastAsia" w:ascii="黑体" w:hAnsi="黑体" w:eastAsia="黑体" w:cs="黑体"/>
          <w:b/>
          <w:bCs/>
          <w:color w:val="000000"/>
          <w:sz w:val="28"/>
          <w:szCs w:val="28"/>
          <w:shd w:val="clear" w:color="auto" w:fill="FFFFFF"/>
        </w:rPr>
        <w:t>六、资金支付</w:t>
      </w:r>
    </w:p>
    <w:p>
      <w:pPr>
        <w:widowControl/>
        <w:shd w:val="clear" w:color="auto" w:fill="FFFFFF"/>
        <w:spacing w:line="360" w:lineRule="auto"/>
        <w:contextualSpacing/>
        <w:jc w:val="left"/>
        <w:rPr>
          <w:rFonts w:ascii="仿宋" w:hAnsi="仿宋" w:eastAsia="仿宋" w:cs="黑体"/>
          <w:color w:val="000000"/>
          <w:kern w:val="0"/>
          <w:sz w:val="28"/>
          <w:szCs w:val="28"/>
          <w:lang w:val="zh-CN"/>
        </w:rPr>
      </w:pPr>
      <w:r>
        <w:rPr>
          <w:rFonts w:hint="eastAsia" w:ascii="仿宋" w:hAnsi="仿宋" w:eastAsia="仿宋" w:cs="黑体"/>
          <w:color w:val="000000"/>
          <w:kern w:val="0"/>
          <w:sz w:val="28"/>
          <w:szCs w:val="28"/>
          <w:lang w:val="zh-CN"/>
        </w:rPr>
        <w:t>1、支付方式：银行转账</w:t>
      </w:r>
    </w:p>
    <w:p>
      <w:pPr>
        <w:widowControl/>
        <w:shd w:val="clear" w:color="auto" w:fill="FFFFFF"/>
        <w:spacing w:line="360" w:lineRule="auto"/>
        <w:contextualSpacing/>
        <w:jc w:val="left"/>
        <w:rPr>
          <w:rFonts w:hint="eastAsia" w:ascii="仿宋" w:hAnsi="仿宋" w:eastAsia="仿宋" w:cs="黑体"/>
          <w:color w:val="000000"/>
          <w:kern w:val="0"/>
          <w:sz w:val="28"/>
          <w:szCs w:val="28"/>
          <w:lang w:val="zh-CN"/>
        </w:rPr>
      </w:pPr>
      <w:r>
        <w:rPr>
          <w:rFonts w:hint="eastAsia" w:ascii="仿宋" w:hAnsi="仿宋" w:eastAsia="仿宋" w:cs="黑体"/>
          <w:color w:val="000000"/>
          <w:kern w:val="0"/>
          <w:sz w:val="28"/>
          <w:szCs w:val="28"/>
          <w:lang w:val="zh-CN"/>
        </w:rPr>
        <w:t>2、支付时间及条件：</w:t>
      </w:r>
    </w:p>
    <w:p>
      <w:pPr>
        <w:widowControl/>
        <w:shd w:val="clear" w:color="auto" w:fill="FFFFFF"/>
        <w:spacing w:line="360" w:lineRule="auto"/>
        <w:ind w:firstLine="560" w:firstLineChars="200"/>
        <w:contextualSpacing/>
        <w:jc w:val="left"/>
        <w:rPr>
          <w:rFonts w:hint="eastAsia" w:ascii="仿宋" w:hAnsi="仿宋" w:eastAsia="仿宋" w:cs="黑体"/>
          <w:color w:val="000000"/>
          <w:kern w:val="0"/>
          <w:sz w:val="28"/>
          <w:szCs w:val="28"/>
          <w:lang w:val="zh-CN"/>
        </w:rPr>
      </w:pPr>
      <w:r>
        <w:rPr>
          <w:rFonts w:hint="eastAsia" w:ascii="仿宋" w:hAnsi="仿宋" w:eastAsia="仿宋" w:cs="黑体"/>
          <w:color w:val="000000"/>
          <w:kern w:val="0"/>
          <w:sz w:val="28"/>
          <w:szCs w:val="28"/>
          <w:lang w:val="zh-CN"/>
        </w:rPr>
        <w:t>A包：承销费用的支付采取主承销商从募集资金总额中一次性扣取的方式。</w:t>
      </w:r>
    </w:p>
    <w:p>
      <w:pPr>
        <w:widowControl/>
        <w:shd w:val="clear" w:color="auto" w:fill="FFFFFF"/>
        <w:spacing w:line="360" w:lineRule="auto"/>
        <w:ind w:firstLine="560" w:firstLineChars="200"/>
        <w:contextualSpacing/>
        <w:jc w:val="left"/>
        <w:rPr>
          <w:rFonts w:hint="eastAsia" w:ascii="仿宋" w:hAnsi="仿宋" w:eastAsia="仿宋" w:cs="黑体"/>
          <w:color w:val="000000"/>
          <w:kern w:val="0"/>
          <w:sz w:val="28"/>
          <w:szCs w:val="28"/>
          <w:lang w:val="zh-CN"/>
        </w:rPr>
      </w:pPr>
      <w:r>
        <w:rPr>
          <w:rFonts w:hint="eastAsia" w:ascii="仿宋" w:hAnsi="仿宋" w:eastAsia="仿宋" w:cs="黑体"/>
          <w:color w:val="000000"/>
          <w:kern w:val="0"/>
          <w:sz w:val="28"/>
          <w:szCs w:val="28"/>
          <w:lang w:val="zh-CN"/>
        </w:rPr>
        <w:t>B包：双方签订合同5个工作日内招标人支付合同总价款的10%作为预付款；其余款项于取得国家发改委债券发行批文后5日内结清。</w:t>
      </w:r>
    </w:p>
    <w:p>
      <w:pPr>
        <w:widowControl/>
        <w:shd w:val="clear" w:color="auto" w:fill="FFFFFF"/>
        <w:spacing w:line="360" w:lineRule="auto"/>
        <w:ind w:firstLine="560" w:firstLineChars="200"/>
        <w:contextualSpacing/>
        <w:jc w:val="left"/>
        <w:rPr>
          <w:rFonts w:ascii="仿宋" w:hAnsi="仿宋" w:eastAsia="仿宋" w:cs="黑体"/>
          <w:color w:val="000000"/>
          <w:kern w:val="0"/>
          <w:sz w:val="28"/>
          <w:szCs w:val="28"/>
          <w:lang w:val="zh-CN"/>
        </w:rPr>
      </w:pPr>
      <w:r>
        <w:rPr>
          <w:rFonts w:hint="eastAsia" w:ascii="仿宋" w:hAnsi="仿宋" w:eastAsia="仿宋" w:cs="黑体"/>
          <w:color w:val="000000"/>
          <w:kern w:val="0"/>
          <w:sz w:val="28"/>
          <w:szCs w:val="28"/>
          <w:lang w:val="zh-CN"/>
        </w:rPr>
        <w:t>C包：双方签订合同5个工作日内招标人支付合同总价款的10%作为预付款；出具审计报告后5日内支付合同总价款50%；其余款项在取得国家发改委债券发行批文后5日内结清。</w:t>
      </w:r>
    </w:p>
    <w:p>
      <w:pPr>
        <w:pStyle w:val="4"/>
        <w:widowControl/>
        <w:shd w:val="clear" w:color="auto" w:fill="FFFFFF"/>
        <w:spacing w:line="360" w:lineRule="auto"/>
        <w:contextualSpacing/>
        <w:jc w:val="left"/>
        <w:rPr>
          <w:rFonts w:ascii="黑体" w:hAnsi="黑体" w:eastAsia="黑体" w:cs="黑体"/>
          <w:b/>
          <w:bCs/>
          <w:color w:val="000000"/>
          <w:sz w:val="28"/>
          <w:szCs w:val="28"/>
          <w:shd w:val="clear" w:color="auto" w:fill="FFFFFF"/>
        </w:rPr>
      </w:pPr>
      <w:r>
        <w:rPr>
          <w:rFonts w:hint="eastAsia" w:ascii="黑体" w:hAnsi="黑体" w:eastAsia="黑体" w:cs="黑体"/>
          <w:b/>
          <w:bCs/>
          <w:color w:val="000000"/>
          <w:sz w:val="28"/>
          <w:szCs w:val="28"/>
          <w:shd w:val="clear" w:color="auto" w:fill="FFFFFF"/>
        </w:rPr>
        <w:t>七、联系方式</w:t>
      </w:r>
    </w:p>
    <w:p>
      <w:pPr>
        <w:spacing w:line="360" w:lineRule="auto"/>
        <w:rPr>
          <w:rFonts w:hint="eastAsia" w:ascii="仿宋" w:hAnsi="仿宋" w:eastAsia="仿宋" w:cs="仿宋_GB2312"/>
          <w:color w:val="000000"/>
          <w:sz w:val="28"/>
          <w:szCs w:val="28"/>
          <w:lang w:eastAsia="zh-CN"/>
        </w:rPr>
      </w:pPr>
      <w:r>
        <w:rPr>
          <w:rFonts w:hint="eastAsia" w:ascii="仿宋" w:hAnsi="仿宋" w:eastAsia="仿宋" w:cs="仿宋_GB2312"/>
          <w:color w:val="000000"/>
          <w:sz w:val="28"/>
          <w:szCs w:val="28"/>
        </w:rPr>
        <w:t>联系人：杨亚攀</w:t>
      </w:r>
      <w:r>
        <w:rPr>
          <w:rFonts w:hint="eastAsia" w:ascii="仿宋" w:hAnsi="仿宋" w:eastAsia="仿宋" w:cs="仿宋_GB2312"/>
          <w:color w:val="000000"/>
          <w:sz w:val="28"/>
          <w:szCs w:val="28"/>
          <w:lang w:val="en-US" w:eastAsia="zh-CN"/>
        </w:rPr>
        <w:t xml:space="preserve"> </w:t>
      </w:r>
      <w:r>
        <w:rPr>
          <w:rFonts w:hint="eastAsia" w:ascii="仿宋" w:hAnsi="仿宋" w:eastAsia="仿宋" w:cs="仿宋_GB2312"/>
          <w:color w:val="000000"/>
          <w:sz w:val="28"/>
          <w:szCs w:val="28"/>
        </w:rPr>
        <w:t xml:space="preserve">        联系电话：0374-3327689</w:t>
      </w:r>
      <w:r>
        <w:rPr>
          <w:rFonts w:hint="eastAsia" w:ascii="仿宋" w:hAnsi="仿宋" w:eastAsia="仿宋" w:cs="仿宋_GB2312"/>
          <w:color w:val="000000"/>
          <w:sz w:val="28"/>
          <w:szCs w:val="28"/>
          <w:lang w:val="en-US" w:eastAsia="zh-CN"/>
        </w:rPr>
        <w:t xml:space="preserve"> </w:t>
      </w:r>
    </w:p>
    <w:p>
      <w:pPr>
        <w:spacing w:line="360" w:lineRule="auto"/>
        <w:rPr>
          <w:rFonts w:hint="eastAsia" w:ascii="仿宋" w:hAnsi="仿宋" w:eastAsia="仿宋" w:cs="仿宋_GB2312"/>
          <w:color w:val="000000"/>
          <w:sz w:val="28"/>
          <w:szCs w:val="28"/>
          <w:lang w:eastAsia="zh-CN"/>
        </w:rPr>
      </w:pPr>
      <w:r>
        <w:rPr>
          <w:rFonts w:hint="eastAsia" w:ascii="仿宋" w:hAnsi="仿宋" w:eastAsia="仿宋" w:cs="仿宋_GB2312"/>
          <w:color w:val="000000"/>
          <w:sz w:val="28"/>
          <w:szCs w:val="28"/>
        </w:rPr>
        <w:t>地 址：许昌市天宝路中段魏都区市民之家九楼</w:t>
      </w:r>
    </w:p>
    <w:p>
      <w:pPr>
        <w:spacing w:line="360" w:lineRule="auto"/>
        <w:rPr>
          <w:rFonts w:hint="eastAsia" w:cs="仿宋_GB2312" w:asciiTheme="minorEastAsia" w:hAnsiTheme="minorEastAsia"/>
          <w:color w:val="000000"/>
          <w:szCs w:val="21"/>
        </w:rPr>
      </w:pPr>
    </w:p>
    <w:p>
      <w:pPr>
        <w:spacing w:line="360" w:lineRule="auto"/>
        <w:jc w:val="right"/>
        <w:rPr>
          <w:rFonts w:hint="eastAsia" w:cs="仿宋_GB2312" w:asciiTheme="minorEastAsia" w:hAnsiTheme="minorEastAsia" w:eastAsiaTheme="minorEastAsia"/>
          <w:bCs/>
          <w:color w:val="000000"/>
          <w:sz w:val="28"/>
          <w:szCs w:val="28"/>
          <w:lang w:eastAsia="zh-CN"/>
        </w:rPr>
      </w:pPr>
      <w:r>
        <w:rPr>
          <w:rFonts w:hint="eastAsia" w:cs="仿宋_GB2312" w:asciiTheme="minorEastAsia" w:hAnsiTheme="minorEastAsia"/>
          <w:bCs/>
          <w:color w:val="000000"/>
          <w:sz w:val="28"/>
          <w:szCs w:val="28"/>
          <w:lang w:eastAsia="zh-CN"/>
        </w:rPr>
        <w:t>许昌市魏都投资有限责任公司</w:t>
      </w:r>
    </w:p>
    <w:p>
      <w:pPr>
        <w:wordWrap w:val="0"/>
        <w:spacing w:line="360" w:lineRule="auto"/>
        <w:jc w:val="right"/>
        <w:rPr>
          <w:rFonts w:cs="仿宋_GB2312" w:asciiTheme="minorEastAsia" w:hAnsiTheme="minorEastAsia"/>
          <w:color w:val="000000"/>
          <w:sz w:val="28"/>
          <w:szCs w:val="28"/>
          <w:u w:val="none"/>
        </w:rPr>
      </w:pPr>
      <w:r>
        <w:rPr>
          <w:rFonts w:hint="eastAsia" w:cs="仿宋_GB2312" w:asciiTheme="minorEastAsia" w:hAnsiTheme="minorEastAsia"/>
          <w:bCs/>
          <w:color w:val="000000"/>
          <w:sz w:val="28"/>
          <w:szCs w:val="28"/>
          <w:u w:val="none"/>
        </w:rPr>
        <w:t>2018年</w:t>
      </w:r>
      <w:r>
        <w:rPr>
          <w:rFonts w:hint="eastAsia" w:cs="仿宋_GB2312" w:asciiTheme="minorEastAsia" w:hAnsiTheme="minorEastAsia"/>
          <w:bCs/>
          <w:color w:val="000000"/>
          <w:sz w:val="28"/>
          <w:szCs w:val="28"/>
          <w:u w:val="none"/>
          <w:lang w:val="en-US" w:eastAsia="zh-CN"/>
        </w:rPr>
        <w:t>11</w:t>
      </w:r>
      <w:r>
        <w:rPr>
          <w:rFonts w:hint="eastAsia" w:cs="仿宋_GB2312" w:asciiTheme="minorEastAsia" w:hAnsiTheme="minorEastAsia"/>
          <w:bCs/>
          <w:color w:val="000000"/>
          <w:sz w:val="28"/>
          <w:szCs w:val="28"/>
          <w:u w:val="none"/>
        </w:rPr>
        <w:t>月</w:t>
      </w:r>
      <w:r>
        <w:rPr>
          <w:rFonts w:hint="eastAsia" w:cs="仿宋_GB2312" w:asciiTheme="minorEastAsia" w:hAnsiTheme="minorEastAsia"/>
          <w:bCs/>
          <w:color w:val="000000"/>
          <w:sz w:val="28"/>
          <w:szCs w:val="28"/>
          <w:u w:val="none"/>
          <w:lang w:val="en-US" w:eastAsia="zh-CN"/>
        </w:rPr>
        <w:t>16</w:t>
      </w:r>
      <w:bookmarkStart w:id="0" w:name="_GoBack"/>
      <w:bookmarkEnd w:id="0"/>
      <w:r>
        <w:rPr>
          <w:rFonts w:hint="eastAsia" w:cs="仿宋_GB2312" w:asciiTheme="minorEastAsia" w:hAnsiTheme="minorEastAsia"/>
          <w:bCs/>
          <w:color w:val="000000"/>
          <w:sz w:val="28"/>
          <w:szCs w:val="28"/>
          <w:u w:val="none"/>
        </w:rPr>
        <w:t>日</w:t>
      </w:r>
    </w:p>
    <w:sectPr>
      <w:pgSz w:w="11906" w:h="16838"/>
      <w:pgMar w:top="1440" w:right="184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1711"/>
    <w:rsid w:val="00067869"/>
    <w:rsid w:val="000D0DC7"/>
    <w:rsid w:val="001B1711"/>
    <w:rsid w:val="00790FFE"/>
    <w:rsid w:val="00AA07B1"/>
    <w:rsid w:val="00C833BB"/>
    <w:rsid w:val="00F3199A"/>
    <w:rsid w:val="04D4335A"/>
    <w:rsid w:val="10874288"/>
    <w:rsid w:val="11880E4D"/>
    <w:rsid w:val="2D1F30D7"/>
    <w:rsid w:val="324D7972"/>
    <w:rsid w:val="32B4587E"/>
    <w:rsid w:val="396011AD"/>
    <w:rsid w:val="3B4B672C"/>
    <w:rsid w:val="414A07AE"/>
    <w:rsid w:val="445320C8"/>
    <w:rsid w:val="458C5B42"/>
    <w:rsid w:val="49611D10"/>
    <w:rsid w:val="51C0636D"/>
    <w:rsid w:val="5AEB4803"/>
    <w:rsid w:val="5F245FA3"/>
    <w:rsid w:val="6B005077"/>
    <w:rsid w:val="6E6714F9"/>
    <w:rsid w:val="6F023DAF"/>
    <w:rsid w:val="71BC52DE"/>
    <w:rsid w:val="767736BD"/>
    <w:rsid w:val="76E8114A"/>
    <w:rsid w:val="7B042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rPr>
      <w:rFonts w:ascii="Calibri" w:hAnsi="Calibri" w:eastAsia="宋体" w:cs="Times New Roman"/>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595</Words>
  <Characters>3398</Characters>
  <Lines>28</Lines>
  <Paragraphs>7</Paragraphs>
  <TotalTime>1</TotalTime>
  <ScaleCrop>false</ScaleCrop>
  <LinksUpToDate>false</LinksUpToDate>
  <CharactersWithSpaces>3986</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2018-07-24T05:27:00Z</dcterms:created>
  <dc:creator>河南鼎华招标代理有限公司:河南鼎华招标代理有限公司</dc:creator>
  <cp:lastModifiedBy>甛╚＞</cp:lastModifiedBy>
  <cp:lastPrinted>2018-11-14T00:35:00Z</cp:lastPrinted>
  <dcterms:modified xsi:type="dcterms:W3CDTF">2018-11-16T02:53:08Z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