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keepNext/>
        <w:keepLines/>
        <w:spacing w:line="360" w:lineRule="auto"/>
        <w:rPr>
          <w:rFonts w:asciiTheme="minorEastAsia" w:hAnsiTheme="minorEastAsia" w:eastAsiaTheme="minorEastAsia" w:cstheme="minorEastAsia"/>
          <w:szCs w:val="21"/>
        </w:rPr>
      </w:pPr>
    </w:p>
    <w:p>
      <w:pPr>
        <w:spacing w:line="360" w:lineRule="auto"/>
        <w:jc w:val="center"/>
        <w:rPr>
          <w:rFonts w:asciiTheme="minorEastAsia" w:hAnsiTheme="minorEastAsia" w:eastAsiaTheme="minorEastAsia" w:cstheme="minorEastAsia"/>
          <w:b/>
          <w:bCs/>
          <w:szCs w:val="21"/>
        </w:rPr>
      </w:pPr>
    </w:p>
    <w:p>
      <w:pPr>
        <w:spacing w:line="360" w:lineRule="auto"/>
        <w:jc w:val="center"/>
        <w:rPr>
          <w:rFonts w:asciiTheme="minorEastAsia" w:hAnsiTheme="minorEastAsia" w:eastAsiaTheme="minorEastAsia" w:cstheme="minorEastAsia"/>
          <w:b/>
          <w:bCs/>
          <w:sz w:val="44"/>
          <w:szCs w:val="44"/>
        </w:rPr>
      </w:pPr>
    </w:p>
    <w:p>
      <w:pPr>
        <w:spacing w:line="360" w:lineRule="auto"/>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长葛市国土资源局“长葛市第三次全国土地调查” 项目</w:t>
      </w:r>
    </w:p>
    <w:p>
      <w:pPr>
        <w:spacing w:line="360" w:lineRule="auto"/>
        <w:rPr>
          <w:rFonts w:asciiTheme="minorEastAsia" w:hAnsiTheme="minorEastAsia" w:eastAsiaTheme="minorEastAsia" w:cstheme="minorEastAsia"/>
          <w:szCs w:val="21"/>
          <w:u w:val="single"/>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pStyle w:val="2"/>
        <w:ind w:firstLine="240"/>
      </w:pPr>
    </w:p>
    <w:p>
      <w:pPr>
        <w:spacing w:line="360" w:lineRule="auto"/>
        <w:rPr>
          <w:rFonts w:asciiTheme="minorEastAsia" w:hAnsiTheme="minorEastAsia" w:eastAsiaTheme="minorEastAsia" w:cstheme="minorEastAsia"/>
          <w:szCs w:val="21"/>
        </w:rPr>
      </w:pPr>
    </w:p>
    <w:p>
      <w:pPr>
        <w:spacing w:line="360" w:lineRule="auto"/>
        <w:jc w:val="center"/>
        <w:rPr>
          <w:rFonts w:asciiTheme="minorEastAsia" w:hAnsiTheme="minorEastAsia" w:eastAsiaTheme="minorEastAsia" w:cstheme="minorEastAsia"/>
          <w:b/>
          <w:bCs/>
          <w:w w:val="90"/>
          <w:sz w:val="72"/>
          <w:szCs w:val="72"/>
        </w:rPr>
      </w:pPr>
      <w:r>
        <w:rPr>
          <w:rFonts w:hint="eastAsia" w:asciiTheme="minorEastAsia" w:hAnsiTheme="minorEastAsia" w:eastAsiaTheme="minorEastAsia" w:cstheme="minorEastAsia"/>
          <w:b/>
          <w:bCs/>
          <w:w w:val="90"/>
          <w:sz w:val="72"/>
          <w:szCs w:val="72"/>
        </w:rPr>
        <w:t>招　标　文　件</w:t>
      </w:r>
    </w:p>
    <w:p>
      <w:pPr>
        <w:spacing w:line="360" w:lineRule="auto"/>
        <w:rPr>
          <w:rFonts w:asciiTheme="minorEastAsia" w:hAnsiTheme="minorEastAsia" w:eastAsiaTheme="minorEastAsia" w:cstheme="minorEastAsia"/>
          <w:sz w:val="28"/>
          <w:szCs w:val="28"/>
        </w:rPr>
      </w:pPr>
    </w:p>
    <w:p>
      <w:pPr>
        <w:pStyle w:val="2"/>
        <w:ind w:firstLine="240"/>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pStyle w:val="2"/>
        <w:ind w:firstLine="240"/>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Cs w:val="21"/>
        </w:rPr>
        <w:t xml:space="preserve">   </w:t>
      </w:r>
      <w:r>
        <w:rPr>
          <w:rFonts w:hint="eastAsia" w:asciiTheme="minorEastAsia" w:hAnsiTheme="minorEastAsia" w:eastAsiaTheme="minorEastAsia" w:cstheme="minorEastAsia"/>
          <w:b/>
          <w:bCs/>
          <w:sz w:val="28"/>
          <w:szCs w:val="28"/>
        </w:rPr>
        <w:t xml:space="preserve">    项目编号：长招采公字[2018]068号</w:t>
      </w:r>
    </w:p>
    <w:p>
      <w:pPr>
        <w:spacing w:line="360" w:lineRule="auto"/>
        <w:ind w:firstLine="843" w:firstLineChars="3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采购单位：长葛市国土资源局</w:t>
      </w:r>
    </w:p>
    <w:p>
      <w:pPr>
        <w:spacing w:line="360" w:lineRule="auto"/>
        <w:ind w:firstLine="843" w:firstLineChars="3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代理机构：许昌建设工程项目管理有限公司</w:t>
      </w:r>
    </w:p>
    <w:p>
      <w:pPr>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w:t>
      </w:r>
    </w:p>
    <w:p>
      <w:pPr>
        <w:spacing w:line="360" w:lineRule="auto"/>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二〇一八年十月</w:t>
      </w:r>
    </w:p>
    <w:p>
      <w:pPr>
        <w:keepNext/>
        <w:keepLines/>
        <w:spacing w:line="360" w:lineRule="auto"/>
        <w:jc w:val="center"/>
        <w:rPr>
          <w:rFonts w:asciiTheme="minorEastAsia" w:hAnsiTheme="minorEastAsia" w:eastAsiaTheme="minorEastAsia" w:cstheme="minorEastAsia"/>
          <w:sz w:val="28"/>
          <w:szCs w:val="28"/>
        </w:rPr>
        <w:sectPr>
          <w:pgSz w:w="11906" w:h="16838"/>
          <w:pgMar w:top="1435" w:right="1797" w:bottom="1435" w:left="1797" w:header="851" w:footer="992" w:gutter="0"/>
          <w:cols w:space="720" w:num="1"/>
          <w:docGrid w:type="lines" w:linePitch="312" w:charSpace="0"/>
        </w:sectPr>
      </w:pPr>
    </w:p>
    <w:p>
      <w:pPr>
        <w:widowControl/>
        <w:shd w:val="clear" w:color="auto" w:fill="FFFFFF"/>
        <w:spacing w:line="360" w:lineRule="auto"/>
        <w:ind w:firstLine="562" w:firstLineChars="200"/>
        <w:jc w:val="center"/>
        <w:rPr>
          <w:rFonts w:asciiTheme="minorEastAsia" w:hAnsiTheme="minorEastAsia" w:eastAsiaTheme="minorEastAsia" w:cstheme="minorEastAsia"/>
          <w:b/>
          <w:bCs/>
          <w:sz w:val="28"/>
          <w:szCs w:val="28"/>
          <w:shd w:val="clear" w:color="auto" w:fill="FFFFFF"/>
        </w:rPr>
      </w:pPr>
      <w:r>
        <w:rPr>
          <w:rFonts w:hint="eastAsia" w:asciiTheme="minorEastAsia" w:hAnsiTheme="minorEastAsia" w:eastAsiaTheme="minorEastAsia" w:cstheme="minorEastAsia"/>
          <w:b/>
          <w:bCs/>
          <w:sz w:val="28"/>
          <w:szCs w:val="28"/>
          <w:shd w:val="clear" w:color="auto" w:fill="FFFFFF"/>
        </w:rPr>
        <w:t>供应商失信行为惩戒告知</w:t>
      </w:r>
    </w:p>
    <w:p>
      <w:pPr>
        <w:widowControl/>
        <w:shd w:val="clear" w:color="auto" w:fill="FFFFFF"/>
        <w:spacing w:line="360" w:lineRule="auto"/>
        <w:ind w:firstLine="420" w:firstLineChars="200"/>
        <w:jc w:val="left"/>
        <w:rPr>
          <w:rFonts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widowControl/>
        <w:shd w:val="clear" w:color="auto" w:fill="FFFFFF"/>
        <w:spacing w:line="360" w:lineRule="auto"/>
        <w:ind w:firstLine="422" w:firstLineChars="200"/>
        <w:jc w:val="left"/>
        <w:rPr>
          <w:rFonts w:asciiTheme="minorEastAsia" w:hAnsiTheme="minorEastAsia" w:eastAsiaTheme="minorEastAsia" w:cstheme="minorEastAsia"/>
          <w:b/>
          <w:szCs w:val="21"/>
          <w:shd w:val="clear" w:color="auto" w:fill="FFFFFF"/>
        </w:rPr>
      </w:pPr>
      <w:r>
        <w:rPr>
          <w:rFonts w:hint="eastAsia" w:asciiTheme="minorEastAsia" w:hAnsiTheme="minorEastAsia" w:eastAsiaTheme="minorEastAsia" w:cstheme="minorEastAsia"/>
          <w:b/>
          <w:szCs w:val="21"/>
          <w:shd w:val="clear" w:color="auto" w:fill="FFFFFF"/>
        </w:rPr>
        <w:t>一、供应商（供应商）的质疑投诉活动经调查有下列情形之一的，将实施“一案双查”，限制其一定期限内参与区域内公共资源交易活动，并在全国公共资源交易平台网上公示。</w:t>
      </w:r>
    </w:p>
    <w:p>
      <w:pPr>
        <w:widowControl/>
        <w:shd w:val="clear" w:color="auto" w:fill="FFFFFF"/>
        <w:spacing w:line="360" w:lineRule="auto"/>
        <w:ind w:firstLine="420" w:firstLineChars="200"/>
        <w:jc w:val="left"/>
        <w:rPr>
          <w:rFonts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1. 不符合投诉（举报）受理条件，被告知后仍进行重复投诉（举报），或多头投诉（举报）的。</w:t>
      </w:r>
    </w:p>
    <w:p>
      <w:pPr>
        <w:widowControl/>
        <w:shd w:val="clear" w:color="auto" w:fill="FFFFFF"/>
        <w:spacing w:line="360" w:lineRule="auto"/>
        <w:ind w:firstLine="420" w:firstLineChars="200"/>
        <w:jc w:val="left"/>
        <w:rPr>
          <w:rFonts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2. 行政监督部门受理投诉（举报）处理期间，投诉（举报）人仍就同一内容、事项向其他部门另行投诉（举报）的；同一投诉（举报）人以不同名义多次、重复投诉（举报）的。</w:t>
      </w:r>
    </w:p>
    <w:p>
      <w:pPr>
        <w:widowControl/>
        <w:shd w:val="clear" w:color="auto" w:fill="FFFFFF"/>
        <w:spacing w:line="360" w:lineRule="auto"/>
        <w:ind w:firstLine="420" w:firstLineChars="200"/>
        <w:jc w:val="left"/>
        <w:rPr>
          <w:rFonts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3.其他虚假恶意投诉（举报）情况。</w:t>
      </w:r>
    </w:p>
    <w:p>
      <w:pPr>
        <w:widowControl/>
        <w:shd w:val="clear" w:color="auto" w:fill="FFFFFF"/>
        <w:spacing w:line="360" w:lineRule="auto"/>
        <w:ind w:firstLine="422" w:firstLineChars="200"/>
        <w:jc w:val="left"/>
        <w:rPr>
          <w:rFonts w:asciiTheme="minorEastAsia" w:hAnsiTheme="minorEastAsia" w:eastAsiaTheme="minorEastAsia" w:cstheme="minorEastAsia"/>
          <w:b/>
          <w:szCs w:val="21"/>
          <w:shd w:val="clear" w:color="auto" w:fill="FFFFFF"/>
        </w:rPr>
      </w:pPr>
      <w:r>
        <w:rPr>
          <w:rFonts w:hint="eastAsia" w:asciiTheme="minorEastAsia" w:hAnsiTheme="minorEastAsia" w:eastAsiaTheme="minorEastAsia" w:cstheme="minorEastAsia"/>
          <w:b/>
          <w:szCs w:val="21"/>
          <w:shd w:val="clear" w:color="auto" w:fill="FFFFFF"/>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pPr>
        <w:widowControl/>
        <w:shd w:val="clear" w:color="auto" w:fill="FFFFFF"/>
        <w:spacing w:line="360" w:lineRule="auto"/>
        <w:ind w:firstLine="422" w:firstLineChars="200"/>
        <w:jc w:val="left"/>
        <w:rPr>
          <w:rFonts w:asciiTheme="minorEastAsia" w:hAnsiTheme="minorEastAsia" w:eastAsiaTheme="minorEastAsia" w:cstheme="minorEastAsia"/>
          <w:b/>
          <w:szCs w:val="21"/>
          <w:shd w:val="clear" w:color="auto" w:fill="FFFFFF"/>
        </w:rPr>
      </w:pPr>
      <w:r>
        <w:rPr>
          <w:rFonts w:hint="eastAsia" w:asciiTheme="minorEastAsia" w:hAnsiTheme="minorEastAsia" w:eastAsiaTheme="minorEastAsia" w:cstheme="minorEastAsia"/>
          <w:b/>
          <w:szCs w:val="21"/>
          <w:shd w:val="clear" w:color="auto" w:fill="FFFFFF"/>
        </w:rPr>
        <w:t>三、供应商（供应商）及其从业人员的不良行为记录期限一般为6—24个月。</w:t>
      </w:r>
    </w:p>
    <w:p>
      <w:pPr>
        <w:widowControl/>
        <w:shd w:val="clear" w:color="auto" w:fill="FFFFFF"/>
        <w:spacing w:line="360" w:lineRule="auto"/>
        <w:ind w:firstLine="422" w:firstLineChars="200"/>
        <w:jc w:val="left"/>
        <w:rPr>
          <w:rFonts w:asciiTheme="minorEastAsia" w:hAnsiTheme="minorEastAsia" w:eastAsiaTheme="minorEastAsia" w:cstheme="minorEastAsia"/>
          <w:b/>
          <w:szCs w:val="21"/>
          <w:shd w:val="clear" w:color="auto" w:fill="FFFFFF"/>
        </w:rPr>
      </w:pPr>
      <w:r>
        <w:rPr>
          <w:rFonts w:hint="eastAsia" w:asciiTheme="minorEastAsia" w:hAnsiTheme="minorEastAsia" w:eastAsiaTheme="minorEastAsia" w:cstheme="minorEastAsia"/>
          <w:b/>
          <w:szCs w:val="21"/>
          <w:shd w:val="clear" w:color="auto" w:fill="FFFFFF"/>
        </w:rPr>
        <w:t>（一）存在下列行为之一的，记录期限为6个月：</w:t>
      </w:r>
    </w:p>
    <w:p>
      <w:pPr>
        <w:widowControl/>
        <w:shd w:val="clear" w:color="auto" w:fill="FFFFFF"/>
        <w:spacing w:line="360" w:lineRule="auto"/>
        <w:ind w:firstLine="420" w:firstLineChars="200"/>
        <w:jc w:val="left"/>
        <w:rPr>
          <w:rFonts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1.采用不正当手段干扰交易活动正常进行的；</w:t>
      </w:r>
    </w:p>
    <w:p>
      <w:pPr>
        <w:widowControl/>
        <w:shd w:val="clear" w:color="auto" w:fill="FFFFFF"/>
        <w:spacing w:line="360" w:lineRule="auto"/>
        <w:ind w:firstLine="420" w:firstLineChars="200"/>
        <w:jc w:val="left"/>
        <w:rPr>
          <w:rFonts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2.不服从现场工作人员管理，扰乱开评标秩序的；</w:t>
      </w:r>
    </w:p>
    <w:p>
      <w:pPr>
        <w:widowControl/>
        <w:shd w:val="clear" w:color="auto" w:fill="FFFFFF"/>
        <w:spacing w:line="360" w:lineRule="auto"/>
        <w:ind w:firstLine="420" w:firstLineChars="200"/>
        <w:jc w:val="left"/>
        <w:rPr>
          <w:rFonts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3.在投标截止时间后撤回投标文件的；</w:t>
      </w:r>
    </w:p>
    <w:p>
      <w:pPr>
        <w:widowControl/>
        <w:shd w:val="clear" w:color="auto" w:fill="FFFFFF"/>
        <w:spacing w:line="360" w:lineRule="auto"/>
        <w:ind w:firstLine="420" w:firstLineChars="200"/>
        <w:jc w:val="left"/>
        <w:rPr>
          <w:rFonts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4.质疑（异议）、投诉提供的证据证明系非法取得的。</w:t>
      </w:r>
    </w:p>
    <w:p>
      <w:pPr>
        <w:widowControl/>
        <w:shd w:val="clear" w:color="auto" w:fill="FFFFFF"/>
        <w:spacing w:line="360" w:lineRule="auto"/>
        <w:ind w:firstLine="420" w:firstLineChars="200"/>
        <w:jc w:val="left"/>
        <w:rPr>
          <w:rFonts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5.一年内供应商质疑（异议）后无故撤销质疑（异议）2次（含2次）以上的；</w:t>
      </w:r>
    </w:p>
    <w:p>
      <w:pPr>
        <w:widowControl/>
        <w:shd w:val="clear" w:color="auto" w:fill="FFFFFF"/>
        <w:spacing w:line="360" w:lineRule="auto"/>
        <w:ind w:firstLine="422" w:firstLineChars="200"/>
        <w:jc w:val="left"/>
        <w:rPr>
          <w:rFonts w:asciiTheme="minorEastAsia" w:hAnsiTheme="minorEastAsia" w:eastAsiaTheme="minorEastAsia" w:cstheme="minorEastAsia"/>
          <w:b/>
          <w:szCs w:val="21"/>
          <w:shd w:val="clear" w:color="auto" w:fill="FFFFFF"/>
        </w:rPr>
      </w:pPr>
      <w:r>
        <w:rPr>
          <w:rFonts w:hint="eastAsia" w:asciiTheme="minorEastAsia" w:hAnsiTheme="minorEastAsia" w:eastAsiaTheme="minorEastAsia" w:cstheme="minorEastAsia"/>
          <w:b/>
          <w:szCs w:val="21"/>
          <w:shd w:val="clear" w:color="auto" w:fill="FFFFFF"/>
        </w:rPr>
        <w:t>（二）存在下列行为之一的，记录期限为12个月：</w:t>
      </w:r>
    </w:p>
    <w:p>
      <w:pPr>
        <w:widowControl/>
        <w:shd w:val="clear" w:color="auto" w:fill="FFFFFF"/>
        <w:spacing w:line="360" w:lineRule="auto"/>
        <w:ind w:firstLine="420" w:firstLineChars="200"/>
        <w:jc w:val="left"/>
        <w:rPr>
          <w:rFonts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1.捏造、歪曲事实或提供虚假不实的证据恶意投诉，影响交易活动正常进行的；</w:t>
      </w:r>
    </w:p>
    <w:p>
      <w:pPr>
        <w:widowControl/>
        <w:shd w:val="clear" w:color="auto" w:fill="FFFFFF"/>
        <w:spacing w:line="360" w:lineRule="auto"/>
        <w:ind w:firstLine="420" w:firstLineChars="200"/>
        <w:jc w:val="left"/>
        <w:rPr>
          <w:rFonts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2.质疑（异议）投诉（举报）双方当事人无正当理由拒不配合调查处理或不参加质证的；</w:t>
      </w:r>
    </w:p>
    <w:p>
      <w:pPr>
        <w:widowControl/>
        <w:shd w:val="clear" w:color="auto" w:fill="FFFFFF"/>
        <w:spacing w:line="360" w:lineRule="auto"/>
        <w:ind w:firstLine="420" w:firstLineChars="200"/>
        <w:jc w:val="left"/>
        <w:rPr>
          <w:rFonts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3.未提供有效证明材料支持其主张，经行政监督部门2次及以上书面答复，仍缠诉或多方投诉的；</w:t>
      </w:r>
    </w:p>
    <w:p>
      <w:pPr>
        <w:widowControl/>
        <w:shd w:val="clear" w:color="auto" w:fill="FFFFFF"/>
        <w:spacing w:line="360" w:lineRule="auto"/>
        <w:ind w:firstLine="420" w:firstLineChars="200"/>
        <w:jc w:val="left"/>
        <w:rPr>
          <w:rFonts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4.未按交易文件主要内容签订合同的；</w:t>
      </w:r>
    </w:p>
    <w:p>
      <w:pPr>
        <w:widowControl/>
        <w:shd w:val="clear" w:color="auto" w:fill="FFFFFF"/>
        <w:spacing w:line="360" w:lineRule="auto"/>
        <w:ind w:firstLine="420" w:firstLineChars="200"/>
        <w:jc w:val="left"/>
        <w:rPr>
          <w:rFonts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widowControl/>
        <w:shd w:val="clear" w:color="auto" w:fill="FFFFFF"/>
        <w:spacing w:line="360" w:lineRule="auto"/>
        <w:ind w:firstLine="422" w:firstLineChars="200"/>
        <w:jc w:val="left"/>
        <w:rPr>
          <w:rFonts w:asciiTheme="minorEastAsia" w:hAnsiTheme="minorEastAsia" w:eastAsiaTheme="minorEastAsia" w:cstheme="minorEastAsia"/>
          <w:b/>
          <w:szCs w:val="21"/>
          <w:shd w:val="clear" w:color="auto" w:fill="FFFFFF"/>
        </w:rPr>
      </w:pPr>
      <w:r>
        <w:rPr>
          <w:rFonts w:hint="eastAsia" w:asciiTheme="minorEastAsia" w:hAnsiTheme="minorEastAsia" w:eastAsiaTheme="minorEastAsia" w:cstheme="minorEastAsia"/>
          <w:b/>
          <w:szCs w:val="21"/>
          <w:shd w:val="clear" w:color="auto" w:fill="FFFFFF"/>
        </w:rPr>
        <w:t>（三）存在下列行为之一的，记录期限为18个月：</w:t>
      </w:r>
    </w:p>
    <w:p>
      <w:pPr>
        <w:widowControl/>
        <w:shd w:val="clear" w:color="auto" w:fill="FFFFFF"/>
        <w:spacing w:line="360" w:lineRule="auto"/>
        <w:ind w:firstLine="420" w:firstLineChars="200"/>
        <w:jc w:val="left"/>
        <w:rPr>
          <w:rFonts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1.在确定中标人之前就投标价格、投标方案等实质性内容与招标人（采购人）进行合同谈判的；</w:t>
      </w:r>
    </w:p>
    <w:p>
      <w:pPr>
        <w:widowControl/>
        <w:shd w:val="clear" w:color="auto" w:fill="FFFFFF"/>
        <w:spacing w:line="360" w:lineRule="auto"/>
        <w:ind w:firstLine="420" w:firstLineChars="200"/>
        <w:jc w:val="left"/>
        <w:rPr>
          <w:rFonts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2.无正当理由放弃中标（成交）资格的；</w:t>
      </w:r>
    </w:p>
    <w:p>
      <w:pPr>
        <w:widowControl/>
        <w:shd w:val="clear" w:color="auto" w:fill="FFFFFF"/>
        <w:spacing w:line="360" w:lineRule="auto"/>
        <w:ind w:firstLine="420" w:firstLineChars="200"/>
        <w:jc w:val="left"/>
        <w:rPr>
          <w:rFonts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3.中标（成交）后，不按招标文件规定提交履约保证金的；</w:t>
      </w:r>
    </w:p>
    <w:p>
      <w:pPr>
        <w:widowControl/>
        <w:shd w:val="clear" w:color="auto" w:fill="FFFFFF"/>
        <w:spacing w:line="360" w:lineRule="auto"/>
        <w:ind w:firstLine="420" w:firstLineChars="200"/>
        <w:jc w:val="left"/>
        <w:rPr>
          <w:rFonts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4.中标（成交）后，无正当理由未在规定期限内与招标人签订合同的；</w:t>
      </w:r>
    </w:p>
    <w:p>
      <w:pPr>
        <w:widowControl/>
        <w:shd w:val="clear" w:color="auto" w:fill="FFFFFF"/>
        <w:spacing w:line="360" w:lineRule="auto"/>
        <w:ind w:firstLine="420" w:firstLineChars="200"/>
        <w:jc w:val="left"/>
        <w:rPr>
          <w:rFonts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5.拒绝接受或者阻挠公管办和行政监督部门依法进行监督检查的。</w:t>
      </w:r>
    </w:p>
    <w:p>
      <w:pPr>
        <w:widowControl/>
        <w:shd w:val="clear" w:color="auto" w:fill="FFFFFF"/>
        <w:spacing w:line="360" w:lineRule="auto"/>
        <w:ind w:firstLine="422" w:firstLineChars="200"/>
        <w:jc w:val="left"/>
        <w:rPr>
          <w:rFonts w:asciiTheme="minorEastAsia" w:hAnsiTheme="minorEastAsia" w:eastAsiaTheme="minorEastAsia" w:cstheme="minorEastAsia"/>
          <w:b/>
          <w:szCs w:val="21"/>
          <w:shd w:val="clear" w:color="auto" w:fill="FFFFFF"/>
        </w:rPr>
      </w:pPr>
      <w:r>
        <w:rPr>
          <w:rFonts w:hint="eastAsia" w:asciiTheme="minorEastAsia" w:hAnsiTheme="minorEastAsia" w:eastAsiaTheme="minorEastAsia" w:cstheme="minorEastAsia"/>
          <w:b/>
          <w:szCs w:val="21"/>
          <w:shd w:val="clear" w:color="auto" w:fill="FFFFFF"/>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widowControl/>
        <w:shd w:val="clear" w:color="auto" w:fill="FFFFFF"/>
        <w:spacing w:line="360" w:lineRule="auto"/>
        <w:ind w:firstLine="420" w:firstLineChars="200"/>
        <w:jc w:val="left"/>
        <w:rPr>
          <w:rFonts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1.供应商互相串通投标或者与招标人串通投标，供应商以向招标人或者评标委员会成员行贿的手段谋取中标的；</w:t>
      </w:r>
    </w:p>
    <w:p>
      <w:pPr>
        <w:widowControl/>
        <w:shd w:val="clear" w:color="auto" w:fill="FFFFFF"/>
        <w:spacing w:line="360" w:lineRule="auto"/>
        <w:ind w:firstLine="420" w:firstLineChars="200"/>
        <w:jc w:val="left"/>
        <w:rPr>
          <w:rFonts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2.投标时提供虚假材料，或以受让、借用、涂改、盗用、伪造资质证书或年检记录、图章、签名，使用虚假身份证件以及其他弄虚作假的方式参与投标的；</w:t>
      </w:r>
    </w:p>
    <w:p>
      <w:pPr>
        <w:widowControl/>
        <w:shd w:val="clear" w:color="auto" w:fill="FFFFFF"/>
        <w:spacing w:line="360" w:lineRule="auto"/>
        <w:ind w:firstLine="420" w:firstLineChars="200"/>
        <w:jc w:val="left"/>
        <w:rPr>
          <w:rFonts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widowControl/>
        <w:shd w:val="clear" w:color="auto" w:fill="FFFFFF"/>
        <w:spacing w:line="360" w:lineRule="auto"/>
        <w:ind w:firstLine="420" w:firstLineChars="200"/>
        <w:jc w:val="left"/>
        <w:rPr>
          <w:rFonts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4.中标企业将工程转包或者违法分包的；中标人将中标项目转让给他人，将中标项目肢解后分别转让给他人的，违反法律规定将中标项目的部分主体、关键性工作分包给他人的，或者分包人再次分包的；</w:t>
      </w:r>
    </w:p>
    <w:p>
      <w:pPr>
        <w:widowControl/>
        <w:shd w:val="clear" w:color="auto" w:fill="FFFFFF"/>
        <w:spacing w:line="360" w:lineRule="auto"/>
        <w:ind w:firstLine="420" w:firstLineChars="200"/>
        <w:jc w:val="left"/>
        <w:rPr>
          <w:rFonts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5.中标人不按照与招标人订立的合同履行义务，情节严重的；</w:t>
      </w:r>
    </w:p>
    <w:p>
      <w:pPr>
        <w:widowControl/>
        <w:shd w:val="clear" w:color="auto" w:fill="FFFFFF"/>
        <w:spacing w:line="360" w:lineRule="auto"/>
        <w:ind w:firstLine="420" w:firstLineChars="200"/>
        <w:jc w:val="left"/>
        <w:rPr>
          <w:rFonts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widowControl/>
        <w:shd w:val="clear" w:color="auto" w:fill="FFFFFF"/>
        <w:spacing w:line="360" w:lineRule="auto"/>
        <w:ind w:firstLine="420" w:firstLineChars="200"/>
        <w:jc w:val="left"/>
        <w:rPr>
          <w:rFonts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7.其它违反诚信原则或公共资源交易管理规定影响恶劣的行为。</w:t>
      </w:r>
    </w:p>
    <w:p>
      <w:pPr>
        <w:widowControl/>
        <w:shd w:val="clear" w:color="auto" w:fill="FFFFFF"/>
        <w:spacing w:line="360" w:lineRule="auto"/>
        <w:ind w:firstLine="420" w:firstLineChars="200"/>
        <w:jc w:val="left"/>
        <w:rPr>
          <w:rFonts w:asciiTheme="minorEastAsia" w:hAnsiTheme="minorEastAsia" w:eastAsiaTheme="minorEastAsia" w:cstheme="minorEastAsia"/>
          <w:szCs w:val="21"/>
          <w:shd w:val="clear" w:color="auto" w:fill="FFFFFF"/>
        </w:rPr>
      </w:pPr>
    </w:p>
    <w:p>
      <w:pPr>
        <w:widowControl/>
        <w:shd w:val="clear" w:color="auto" w:fill="FFFFFF"/>
        <w:spacing w:line="360" w:lineRule="auto"/>
        <w:ind w:firstLine="420" w:firstLineChars="200"/>
        <w:jc w:val="left"/>
        <w:rPr>
          <w:rFonts w:asciiTheme="minorEastAsia" w:hAnsiTheme="minorEastAsia" w:eastAsiaTheme="minorEastAsia" w:cstheme="minorEastAsia"/>
          <w:szCs w:val="21"/>
          <w:shd w:val="clear" w:color="auto" w:fill="FFFFFF"/>
        </w:rPr>
      </w:pPr>
    </w:p>
    <w:p>
      <w:pPr>
        <w:widowControl/>
        <w:shd w:val="clear" w:color="auto" w:fill="FFFFFF"/>
        <w:spacing w:line="360" w:lineRule="auto"/>
        <w:ind w:firstLine="420" w:firstLineChars="200"/>
        <w:jc w:val="left"/>
        <w:rPr>
          <w:rFonts w:asciiTheme="minorEastAsia" w:hAnsiTheme="minorEastAsia" w:eastAsiaTheme="minorEastAsia" w:cstheme="minorEastAsia"/>
          <w:szCs w:val="21"/>
          <w:shd w:val="clear" w:color="auto" w:fill="FFFFFF"/>
        </w:rPr>
      </w:pPr>
    </w:p>
    <w:p>
      <w:pPr>
        <w:widowControl/>
        <w:shd w:val="clear" w:color="auto" w:fill="FFFFFF"/>
        <w:spacing w:line="360" w:lineRule="auto"/>
        <w:ind w:firstLine="420" w:firstLineChars="200"/>
        <w:jc w:val="left"/>
        <w:rPr>
          <w:rFonts w:asciiTheme="minorEastAsia" w:hAnsiTheme="minorEastAsia" w:eastAsiaTheme="minorEastAsia" w:cstheme="minorEastAsia"/>
          <w:szCs w:val="21"/>
          <w:shd w:val="clear" w:color="auto" w:fill="FFFFFF"/>
        </w:rPr>
      </w:pPr>
    </w:p>
    <w:p>
      <w:pPr>
        <w:widowControl/>
        <w:shd w:val="clear" w:color="auto" w:fill="FFFFFF"/>
        <w:spacing w:line="360" w:lineRule="auto"/>
        <w:ind w:firstLine="420" w:firstLineChars="200"/>
        <w:jc w:val="left"/>
        <w:rPr>
          <w:rFonts w:asciiTheme="minorEastAsia" w:hAnsiTheme="minorEastAsia" w:eastAsiaTheme="minorEastAsia" w:cstheme="minorEastAsia"/>
          <w:szCs w:val="21"/>
          <w:shd w:val="clear" w:color="auto" w:fill="FFFFFF"/>
        </w:rPr>
      </w:pPr>
    </w:p>
    <w:p>
      <w:pPr>
        <w:widowControl/>
        <w:shd w:val="clear" w:color="auto" w:fill="FFFFFF"/>
        <w:spacing w:line="360" w:lineRule="auto"/>
        <w:ind w:firstLine="420" w:firstLineChars="200"/>
        <w:jc w:val="left"/>
        <w:rPr>
          <w:rFonts w:asciiTheme="minorEastAsia" w:hAnsiTheme="minorEastAsia" w:eastAsiaTheme="minorEastAsia" w:cstheme="minorEastAsia"/>
          <w:szCs w:val="21"/>
          <w:shd w:val="clear" w:color="auto" w:fill="FFFFFF"/>
        </w:rPr>
      </w:pPr>
    </w:p>
    <w:p>
      <w:pPr>
        <w:widowControl/>
        <w:shd w:val="clear" w:color="auto" w:fill="FFFFFF"/>
        <w:spacing w:line="360" w:lineRule="auto"/>
        <w:ind w:firstLine="420" w:firstLineChars="200"/>
        <w:jc w:val="left"/>
        <w:rPr>
          <w:rFonts w:asciiTheme="minorEastAsia" w:hAnsiTheme="minorEastAsia" w:eastAsiaTheme="minorEastAsia" w:cstheme="minorEastAsia"/>
          <w:szCs w:val="21"/>
          <w:shd w:val="clear" w:color="auto" w:fill="FFFFFF"/>
        </w:rPr>
      </w:pPr>
    </w:p>
    <w:p>
      <w:pPr>
        <w:widowControl/>
        <w:shd w:val="clear" w:color="auto" w:fill="FFFFFF"/>
        <w:spacing w:line="360" w:lineRule="auto"/>
        <w:ind w:firstLine="420" w:firstLineChars="200"/>
        <w:jc w:val="left"/>
        <w:rPr>
          <w:rFonts w:asciiTheme="minorEastAsia" w:hAnsiTheme="minorEastAsia" w:eastAsiaTheme="minorEastAsia" w:cstheme="minorEastAsia"/>
          <w:szCs w:val="21"/>
          <w:shd w:val="clear" w:color="auto" w:fill="FFFFFF"/>
        </w:rPr>
      </w:pPr>
    </w:p>
    <w:p>
      <w:pPr>
        <w:widowControl/>
        <w:shd w:val="clear" w:color="auto" w:fill="FFFFFF"/>
        <w:spacing w:line="360" w:lineRule="auto"/>
        <w:ind w:firstLine="420" w:firstLineChars="200"/>
        <w:jc w:val="left"/>
        <w:rPr>
          <w:rFonts w:asciiTheme="minorEastAsia" w:hAnsiTheme="minorEastAsia" w:eastAsiaTheme="minorEastAsia" w:cstheme="minorEastAsia"/>
          <w:szCs w:val="21"/>
          <w:shd w:val="clear" w:color="auto" w:fill="FFFFFF"/>
        </w:rPr>
      </w:pPr>
    </w:p>
    <w:p>
      <w:pPr>
        <w:widowControl/>
        <w:shd w:val="clear" w:color="auto" w:fill="FFFFFF"/>
        <w:spacing w:line="360" w:lineRule="auto"/>
        <w:ind w:firstLine="420" w:firstLineChars="200"/>
        <w:jc w:val="left"/>
        <w:rPr>
          <w:rFonts w:asciiTheme="minorEastAsia" w:hAnsiTheme="minorEastAsia" w:eastAsiaTheme="minorEastAsia" w:cstheme="minorEastAsia"/>
          <w:szCs w:val="21"/>
          <w:shd w:val="clear" w:color="auto" w:fill="FFFFFF"/>
        </w:rPr>
      </w:pPr>
    </w:p>
    <w:p>
      <w:pPr>
        <w:widowControl/>
        <w:shd w:val="clear" w:color="auto" w:fill="FFFFFF"/>
        <w:spacing w:line="360" w:lineRule="auto"/>
        <w:ind w:firstLine="420" w:firstLineChars="200"/>
        <w:jc w:val="left"/>
        <w:rPr>
          <w:rFonts w:asciiTheme="minorEastAsia" w:hAnsiTheme="minorEastAsia" w:eastAsiaTheme="minorEastAsia" w:cstheme="minorEastAsia"/>
          <w:szCs w:val="21"/>
          <w:shd w:val="clear" w:color="auto" w:fill="FFFFFF"/>
        </w:rPr>
      </w:pPr>
    </w:p>
    <w:p>
      <w:pPr>
        <w:keepNext/>
        <w:keepLines/>
        <w:widowControl/>
        <w:spacing w:line="360" w:lineRule="auto"/>
        <w:jc w:val="center"/>
        <w:rPr>
          <w:rFonts w:asciiTheme="minorEastAsia" w:hAnsiTheme="minorEastAsia" w:eastAsiaTheme="minorEastAsia" w:cstheme="minorEastAsia"/>
          <w:b/>
          <w:kern w:val="36"/>
          <w:szCs w:val="21"/>
        </w:rPr>
      </w:pPr>
    </w:p>
    <w:p>
      <w:pPr>
        <w:keepNext/>
        <w:keepLines/>
        <w:widowControl/>
        <w:spacing w:line="360" w:lineRule="auto"/>
        <w:jc w:val="center"/>
        <w:rPr>
          <w:rFonts w:asciiTheme="minorEastAsia" w:hAnsiTheme="minorEastAsia" w:eastAsiaTheme="minorEastAsia" w:cstheme="minorEastAsia"/>
          <w:b/>
          <w:kern w:val="36"/>
          <w:szCs w:val="21"/>
        </w:rPr>
      </w:pPr>
    </w:p>
    <w:p>
      <w:pPr>
        <w:keepNext/>
        <w:keepLines/>
        <w:widowControl/>
        <w:spacing w:line="360" w:lineRule="auto"/>
        <w:jc w:val="center"/>
        <w:rPr>
          <w:rFonts w:asciiTheme="minorEastAsia" w:hAnsiTheme="minorEastAsia" w:eastAsiaTheme="minorEastAsia" w:cstheme="minorEastAsia"/>
          <w:b/>
          <w:kern w:val="36"/>
          <w:szCs w:val="21"/>
        </w:rPr>
      </w:pPr>
    </w:p>
    <w:p>
      <w:pPr>
        <w:keepNext/>
        <w:keepLines/>
        <w:widowControl/>
        <w:spacing w:line="360" w:lineRule="auto"/>
        <w:jc w:val="center"/>
        <w:rPr>
          <w:rFonts w:asciiTheme="minorEastAsia" w:hAnsiTheme="minorEastAsia" w:eastAsiaTheme="minorEastAsia" w:cstheme="minorEastAsia"/>
          <w:b/>
          <w:kern w:val="36"/>
          <w:szCs w:val="21"/>
        </w:rPr>
      </w:pPr>
    </w:p>
    <w:p>
      <w:pPr>
        <w:keepNext/>
        <w:keepLines/>
        <w:widowControl/>
        <w:spacing w:line="360" w:lineRule="auto"/>
        <w:jc w:val="center"/>
        <w:rPr>
          <w:rFonts w:asciiTheme="minorEastAsia" w:hAnsiTheme="minorEastAsia" w:eastAsiaTheme="minorEastAsia" w:cstheme="minorEastAsia"/>
          <w:b/>
          <w:kern w:val="36"/>
          <w:szCs w:val="21"/>
        </w:rPr>
      </w:pPr>
    </w:p>
    <w:p>
      <w:pPr>
        <w:keepNext/>
        <w:keepLines/>
        <w:widowControl/>
        <w:spacing w:line="360" w:lineRule="auto"/>
        <w:jc w:val="center"/>
        <w:rPr>
          <w:rFonts w:asciiTheme="minorEastAsia" w:hAnsiTheme="minorEastAsia" w:eastAsiaTheme="minorEastAsia" w:cstheme="minorEastAsia"/>
          <w:b/>
          <w:kern w:val="36"/>
          <w:szCs w:val="21"/>
        </w:rPr>
      </w:pPr>
    </w:p>
    <w:p>
      <w:pPr>
        <w:keepNext/>
        <w:keepLines/>
        <w:widowControl/>
        <w:spacing w:line="360" w:lineRule="auto"/>
        <w:jc w:val="center"/>
        <w:rPr>
          <w:rFonts w:asciiTheme="minorEastAsia" w:hAnsiTheme="minorEastAsia" w:eastAsiaTheme="minorEastAsia" w:cstheme="minorEastAsia"/>
          <w:b/>
          <w:kern w:val="36"/>
          <w:szCs w:val="21"/>
        </w:rPr>
      </w:pPr>
    </w:p>
    <w:p>
      <w:pPr>
        <w:widowControl/>
        <w:spacing w:line="360" w:lineRule="auto"/>
        <w:ind w:firstLine="420" w:firstLineChars="200"/>
        <w:rPr>
          <w:rFonts w:asciiTheme="minorEastAsia" w:hAnsiTheme="minorEastAsia" w:eastAsiaTheme="minorEastAsia" w:cstheme="minorEastAsia"/>
          <w:szCs w:val="21"/>
          <w:shd w:val="clear" w:color="auto" w:fill="FFFFFF"/>
        </w:rPr>
      </w:pPr>
    </w:p>
    <w:p>
      <w:pPr>
        <w:widowControl/>
        <w:spacing w:line="360" w:lineRule="auto"/>
        <w:ind w:firstLine="420" w:firstLineChars="200"/>
        <w:rPr>
          <w:rFonts w:asciiTheme="minorEastAsia" w:hAnsiTheme="minorEastAsia" w:eastAsiaTheme="minorEastAsia" w:cstheme="minorEastAsia"/>
          <w:szCs w:val="21"/>
          <w:shd w:val="clear" w:color="auto" w:fill="FFFFFF"/>
        </w:rPr>
      </w:pPr>
    </w:p>
    <w:p>
      <w:pPr>
        <w:widowControl/>
        <w:spacing w:line="360" w:lineRule="auto"/>
        <w:ind w:firstLine="420" w:firstLineChars="200"/>
        <w:rPr>
          <w:rFonts w:asciiTheme="minorEastAsia" w:hAnsiTheme="minorEastAsia" w:eastAsiaTheme="minorEastAsia" w:cstheme="minorEastAsia"/>
          <w:szCs w:val="21"/>
          <w:shd w:val="clear" w:color="auto" w:fill="FFFFFF"/>
        </w:rPr>
      </w:pPr>
    </w:p>
    <w:p>
      <w:pPr>
        <w:widowControl/>
        <w:spacing w:line="360" w:lineRule="auto"/>
        <w:ind w:firstLine="420" w:firstLineChars="200"/>
        <w:rPr>
          <w:rFonts w:asciiTheme="minorEastAsia" w:hAnsiTheme="minorEastAsia" w:eastAsiaTheme="minorEastAsia" w:cstheme="minorEastAsia"/>
          <w:szCs w:val="21"/>
          <w:shd w:val="clear" w:color="auto" w:fill="FFFFFF"/>
        </w:rPr>
      </w:pPr>
    </w:p>
    <w:p>
      <w:pPr>
        <w:widowControl/>
        <w:spacing w:line="360" w:lineRule="auto"/>
        <w:ind w:firstLine="420" w:firstLineChars="200"/>
        <w:rPr>
          <w:rFonts w:asciiTheme="minorEastAsia" w:hAnsiTheme="minorEastAsia" w:eastAsiaTheme="minorEastAsia" w:cstheme="minorEastAsia"/>
          <w:szCs w:val="21"/>
          <w:shd w:val="clear" w:color="auto" w:fill="FFFFFF"/>
        </w:rPr>
      </w:pPr>
    </w:p>
    <w:p>
      <w:pPr>
        <w:widowControl/>
        <w:spacing w:line="360" w:lineRule="auto"/>
        <w:ind w:firstLine="420" w:firstLineChars="200"/>
        <w:rPr>
          <w:rFonts w:asciiTheme="minorEastAsia" w:hAnsiTheme="minorEastAsia" w:eastAsiaTheme="minorEastAsia" w:cstheme="minorEastAsia"/>
          <w:szCs w:val="21"/>
          <w:shd w:val="clear" w:color="auto" w:fill="FFFFFF"/>
        </w:rPr>
      </w:pPr>
    </w:p>
    <w:p>
      <w:pPr>
        <w:widowControl/>
        <w:spacing w:line="360" w:lineRule="auto"/>
        <w:ind w:firstLine="420" w:firstLineChars="200"/>
        <w:rPr>
          <w:rFonts w:asciiTheme="minorEastAsia" w:hAnsiTheme="minorEastAsia" w:eastAsiaTheme="minorEastAsia" w:cstheme="minorEastAsia"/>
          <w:szCs w:val="21"/>
          <w:shd w:val="clear" w:color="auto" w:fill="FFFFFF"/>
        </w:rPr>
      </w:pPr>
    </w:p>
    <w:p>
      <w:pPr>
        <w:widowControl/>
        <w:spacing w:line="360" w:lineRule="auto"/>
        <w:ind w:firstLine="420" w:firstLineChars="200"/>
        <w:rPr>
          <w:rFonts w:asciiTheme="minorEastAsia" w:hAnsiTheme="minorEastAsia" w:eastAsiaTheme="minorEastAsia" w:cstheme="minorEastAsia"/>
          <w:szCs w:val="21"/>
          <w:shd w:val="clear" w:color="auto" w:fill="FFFFFF"/>
        </w:rPr>
      </w:pPr>
    </w:p>
    <w:p>
      <w:pPr>
        <w:widowControl/>
        <w:spacing w:line="360" w:lineRule="auto"/>
        <w:ind w:firstLine="420" w:firstLineChars="200"/>
        <w:rPr>
          <w:rFonts w:asciiTheme="minorEastAsia" w:hAnsiTheme="minorEastAsia" w:eastAsiaTheme="minorEastAsia" w:cstheme="minorEastAsia"/>
          <w:szCs w:val="21"/>
          <w:shd w:val="clear" w:color="auto" w:fill="FFFFFF"/>
        </w:rPr>
      </w:pPr>
    </w:p>
    <w:p>
      <w:pPr>
        <w:widowControl/>
        <w:spacing w:line="360" w:lineRule="auto"/>
        <w:ind w:firstLine="562" w:firstLineChars="200"/>
        <w:jc w:val="center"/>
        <w:rPr>
          <w:rFonts w:asciiTheme="minorEastAsia" w:hAnsiTheme="minorEastAsia" w:eastAsiaTheme="minorEastAsia" w:cstheme="minorEastAsia"/>
          <w:b/>
          <w:bCs/>
          <w:sz w:val="28"/>
          <w:szCs w:val="28"/>
          <w:shd w:val="clear" w:color="auto" w:fill="FFFFFF"/>
        </w:rPr>
      </w:pPr>
      <w:r>
        <w:rPr>
          <w:rFonts w:hint="eastAsia" w:asciiTheme="minorEastAsia" w:hAnsiTheme="minorEastAsia" w:eastAsiaTheme="minorEastAsia" w:cstheme="minorEastAsia"/>
          <w:b/>
          <w:bCs/>
          <w:sz w:val="28"/>
          <w:szCs w:val="28"/>
          <w:shd w:val="clear" w:color="auto" w:fill="FFFFFF"/>
        </w:rPr>
        <w:t>目   录</w:t>
      </w:r>
    </w:p>
    <w:p>
      <w:pPr>
        <w:autoSpaceDE w:val="0"/>
        <w:autoSpaceDN w:val="0"/>
        <w:adjustRightInd w:val="0"/>
        <w:spacing w:line="360" w:lineRule="auto"/>
        <w:ind w:firstLine="560"/>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第一章 招标公告</w:t>
      </w:r>
    </w:p>
    <w:p>
      <w:pPr>
        <w:autoSpaceDE w:val="0"/>
        <w:autoSpaceDN w:val="0"/>
        <w:adjustRightInd w:val="0"/>
        <w:spacing w:line="360" w:lineRule="auto"/>
        <w:ind w:firstLine="560"/>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第二章 供应商须知</w:t>
      </w:r>
    </w:p>
    <w:p>
      <w:pPr>
        <w:autoSpaceDE w:val="0"/>
        <w:autoSpaceDN w:val="0"/>
        <w:adjustRightInd w:val="0"/>
        <w:spacing w:line="360" w:lineRule="auto"/>
        <w:ind w:firstLine="560"/>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第三章 招标项目需求</w:t>
      </w:r>
    </w:p>
    <w:p>
      <w:pPr>
        <w:autoSpaceDE w:val="0"/>
        <w:autoSpaceDN w:val="0"/>
        <w:adjustRightInd w:val="0"/>
        <w:spacing w:line="360" w:lineRule="auto"/>
        <w:ind w:firstLine="560"/>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第四章 资格审查</w:t>
      </w:r>
    </w:p>
    <w:p>
      <w:pPr>
        <w:autoSpaceDE w:val="0"/>
        <w:autoSpaceDN w:val="0"/>
        <w:adjustRightInd w:val="0"/>
        <w:spacing w:line="360" w:lineRule="auto"/>
        <w:ind w:firstLine="560"/>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第五章 评标方法及标准</w:t>
      </w:r>
    </w:p>
    <w:p>
      <w:pPr>
        <w:autoSpaceDE w:val="0"/>
        <w:autoSpaceDN w:val="0"/>
        <w:adjustRightInd w:val="0"/>
        <w:spacing w:line="360" w:lineRule="auto"/>
        <w:ind w:firstLine="560"/>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第六章 拟签订政府采购合同文本</w:t>
      </w:r>
    </w:p>
    <w:p>
      <w:pPr>
        <w:autoSpaceDE w:val="0"/>
        <w:autoSpaceDN w:val="0"/>
        <w:adjustRightInd w:val="0"/>
        <w:spacing w:line="360" w:lineRule="auto"/>
        <w:ind w:firstLine="560"/>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第七章 附  件</w:t>
      </w:r>
    </w:p>
    <w:p>
      <w:pPr>
        <w:autoSpaceDE w:val="0"/>
        <w:autoSpaceDN w:val="0"/>
        <w:adjustRightInd w:val="0"/>
        <w:spacing w:line="360" w:lineRule="auto"/>
        <w:ind w:firstLine="560"/>
        <w:rPr>
          <w:rFonts w:asciiTheme="minorEastAsia" w:hAnsiTheme="minorEastAsia" w:eastAsiaTheme="minorEastAsia" w:cstheme="minorEastAsia"/>
          <w:b/>
          <w:kern w:val="0"/>
          <w:szCs w:val="21"/>
        </w:rPr>
      </w:pPr>
    </w:p>
    <w:p>
      <w:pPr>
        <w:keepNext/>
        <w:keepLines/>
        <w:spacing w:line="360" w:lineRule="auto"/>
        <w:rPr>
          <w:rFonts w:asciiTheme="minorEastAsia" w:hAnsiTheme="minorEastAsia" w:eastAsiaTheme="minorEastAsia" w:cstheme="minorEastAsia"/>
          <w:b/>
          <w:szCs w:val="21"/>
        </w:rPr>
      </w:pPr>
    </w:p>
    <w:p>
      <w:pPr>
        <w:keepNext/>
        <w:keepLines/>
        <w:adjustRightInd w:val="0"/>
        <w:snapToGrid w:val="0"/>
        <w:spacing w:afterLines="50" w:line="360" w:lineRule="auto"/>
        <w:ind w:right="521" w:rightChars="248"/>
        <w:rPr>
          <w:rFonts w:asciiTheme="minorEastAsia" w:hAnsiTheme="minorEastAsia" w:eastAsiaTheme="minorEastAsia" w:cstheme="minorEastAsia"/>
          <w:szCs w:val="21"/>
        </w:rPr>
      </w:pPr>
    </w:p>
    <w:p>
      <w:pPr>
        <w:keepNext/>
        <w:keepLines/>
        <w:adjustRightInd w:val="0"/>
        <w:snapToGrid w:val="0"/>
        <w:spacing w:afterLines="50" w:line="360" w:lineRule="auto"/>
        <w:ind w:right="521" w:rightChars="248"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r>
        <w:rPr>
          <w:rFonts w:hint="eastAsia" w:asciiTheme="minorEastAsia" w:hAnsiTheme="minorEastAsia" w:eastAsiaTheme="minorEastAsia" w:cstheme="minorEastAsia"/>
          <w:szCs w:val="21"/>
        </w:rPr>
        <w:t>招标文件由正文和附件两部分组成。供应商应当完整地阅读、理解构成本招标文件的所有内容。正文和附件如有不一致的地方，须以正文为准。</w:t>
      </w:r>
    </w:p>
    <w:p>
      <w:pPr>
        <w:keepNext/>
        <w:keepLines/>
        <w:spacing w:afterLines="100"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kern w:val="36"/>
          <w:szCs w:val="21"/>
        </w:rPr>
        <w:br w:type="page"/>
      </w:r>
      <w:r>
        <w:rPr>
          <w:rFonts w:hint="eastAsia" w:asciiTheme="minorEastAsia" w:hAnsiTheme="minorEastAsia" w:eastAsiaTheme="minorEastAsia" w:cstheme="minorEastAsia"/>
          <w:b/>
          <w:sz w:val="28"/>
          <w:szCs w:val="28"/>
        </w:rPr>
        <w:t>第一章 招标公告</w:t>
      </w:r>
    </w:p>
    <w:p>
      <w:pPr>
        <w:widowControl/>
        <w:spacing w:line="360" w:lineRule="auto"/>
        <w:ind w:firstLine="420" w:firstLineChars="200"/>
        <w:rPr>
          <w:rFonts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受长葛市国土资源局的委托，许昌建设工程项目管理有限公司就其长葛市第三次全国土地调查项目进行公开招标采购，欢迎符合条件的供应商前来投标。</w:t>
      </w:r>
    </w:p>
    <w:p>
      <w:pPr>
        <w:widowControl/>
        <w:spacing w:line="360" w:lineRule="auto"/>
        <w:ind w:firstLine="422" w:firstLineChars="200"/>
        <w:rPr>
          <w:rFonts w:asciiTheme="minorEastAsia" w:hAnsiTheme="minorEastAsia" w:eastAsiaTheme="minorEastAsia" w:cstheme="minorEastAsia"/>
          <w:b/>
          <w:szCs w:val="21"/>
          <w:shd w:val="clear" w:color="auto" w:fill="FFFFFF"/>
        </w:rPr>
      </w:pPr>
      <w:r>
        <w:rPr>
          <w:rFonts w:hint="eastAsia" w:asciiTheme="minorEastAsia" w:hAnsiTheme="minorEastAsia" w:eastAsiaTheme="minorEastAsia" w:cstheme="minorEastAsia"/>
          <w:b/>
          <w:szCs w:val="21"/>
          <w:shd w:val="clear" w:color="auto" w:fill="FFFFFF"/>
        </w:rPr>
        <w:t xml:space="preserve"> 一、项目基本情况</w:t>
      </w:r>
    </w:p>
    <w:p>
      <w:pPr>
        <w:widowControl/>
        <w:spacing w:line="360" w:lineRule="auto"/>
        <w:ind w:firstLine="420" w:firstLineChars="200"/>
        <w:rPr>
          <w:rFonts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1.1项目名称：长葛市国土资源局“长葛市第三次全国土地调查”项目</w:t>
      </w:r>
    </w:p>
    <w:p>
      <w:pPr>
        <w:widowControl/>
        <w:spacing w:line="360" w:lineRule="auto"/>
        <w:ind w:firstLine="420" w:firstLineChars="200"/>
        <w:rPr>
          <w:rFonts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1.2项目编号：长招采公字[2018]068号</w:t>
      </w:r>
    </w:p>
    <w:p>
      <w:pPr>
        <w:widowControl/>
        <w:spacing w:line="360" w:lineRule="auto"/>
        <w:ind w:firstLine="420" w:firstLineChars="200"/>
        <w:rPr>
          <w:rFonts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1.3采购方式：公开招标</w:t>
      </w:r>
    </w:p>
    <w:p>
      <w:pPr>
        <w:widowControl/>
        <w:spacing w:line="360" w:lineRule="auto"/>
        <w:ind w:firstLine="420" w:firstLineChars="20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szCs w:val="21"/>
          <w:shd w:val="clear" w:color="auto" w:fill="FFFFFF"/>
        </w:rPr>
        <w:t>1.4项目概况及内容：组织实施工作、基础资料购置、土地利用现状调查、集体土地所有权以外的权属调查、耕地细化调查、批准未建设的建设用地调查、耕地质量等级调查评价和耕地分等定级调查评价、农村土地利用综合潜力调查、数据库建设系统软件采购、数据建库建设和数据分析与应用平台开发及数据更新汇总、图件编制、成果验收、监理工作等。本项目分</w:t>
      </w:r>
      <w:r>
        <w:rPr>
          <w:rFonts w:hint="eastAsia" w:asciiTheme="minorEastAsia" w:hAnsiTheme="minorEastAsia" w:eastAsiaTheme="minorEastAsia" w:cstheme="minorEastAsia"/>
          <w:kern w:val="0"/>
          <w:szCs w:val="21"/>
          <w:shd w:val="clear" w:color="auto" w:fill="FFFFFF"/>
        </w:rPr>
        <w:t>为六个标包：</w:t>
      </w:r>
    </w:p>
    <w:p>
      <w:pPr>
        <w:widowControl/>
        <w:spacing w:line="360" w:lineRule="auto"/>
        <w:ind w:firstLine="420" w:firstLineChars="20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一标包:土地调查与数据库建设服务。工作内容为后河镇、增福镇、佛耳湖镇、坡胡镇、石固镇等五镇范围内建制镇及村庄42.41平方公里和一般农村174.2922平方公里的土地调查与数据库建设工作。</w:t>
      </w:r>
    </w:p>
    <w:p>
      <w:pPr>
        <w:widowControl/>
        <w:spacing w:line="360" w:lineRule="auto"/>
        <w:ind w:firstLine="420" w:firstLineChars="20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二标包：土地调查与数据库建设服务。工作内容为南席镇、古桥镇、石象镇、董村镇、大周镇等五镇范围内建制镇及村庄部分49.9467平方公里、一般农村部分238.8711平方公里的土地调查与数据库建设工作。</w:t>
      </w:r>
    </w:p>
    <w:p>
      <w:pPr>
        <w:widowControl/>
        <w:spacing w:line="360" w:lineRule="auto"/>
        <w:ind w:firstLine="420" w:firstLineChars="20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三标包：土地调查与数据库建设服务。工作内容为市区（含四个办事处）、老城镇、和尚桥镇等两镇四个办事处范围内城市部分30.2604平方公里、建制镇及村庄部分27.3352平方公里、一般农村部分72.9393平方公里的土地调查和数据库建设工作。</w:t>
      </w:r>
    </w:p>
    <w:p>
      <w:pPr>
        <w:widowControl/>
        <w:spacing w:line="360" w:lineRule="auto"/>
        <w:ind w:firstLine="420" w:firstLineChars="20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四标包：航测服务。工作内容为全域的航测工作。</w:t>
      </w:r>
    </w:p>
    <w:p>
      <w:pPr>
        <w:widowControl/>
        <w:spacing w:line="360" w:lineRule="auto"/>
        <w:ind w:firstLine="420" w:firstLineChars="20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五标包：合库、整理验收服务。工作内容为长葛市全区域合库工作、软件及平台建设、成果整理验收等。</w:t>
      </w:r>
    </w:p>
    <w:p>
      <w:pPr>
        <w:widowControl/>
        <w:spacing w:line="360" w:lineRule="auto"/>
        <w:ind w:firstLine="420" w:firstLineChars="20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六标包：监理服务。工作内容为三调工作的全域全过程的监理。</w:t>
      </w:r>
    </w:p>
    <w:p>
      <w:pPr>
        <w:widowControl/>
        <w:spacing w:line="360" w:lineRule="auto"/>
        <w:ind w:firstLine="420" w:firstLineChars="20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1.5预算金额（最高限价）：</w:t>
      </w:r>
    </w:p>
    <w:p>
      <w:pPr>
        <w:widowControl/>
        <w:spacing w:line="360" w:lineRule="auto"/>
        <w:ind w:firstLine="420" w:firstLineChars="20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第一标包： 1142300元；第二标包：1493400元；第三标包：962700元；第四标包：636000元；第五标包：1040000元；第六标包：以最终各标包中标价4.5%计算监理费；</w:t>
      </w:r>
    </w:p>
    <w:p>
      <w:pPr>
        <w:widowControl/>
        <w:spacing w:line="360" w:lineRule="auto"/>
        <w:ind w:left="42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1.6服务期限：</w:t>
      </w:r>
    </w:p>
    <w:p>
      <w:pPr>
        <w:widowControl/>
        <w:spacing w:line="360" w:lineRule="auto"/>
        <w:ind w:firstLine="1050" w:firstLineChars="50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 xml:space="preserve">一至五标包：合同签订之日起90日历天。  </w:t>
      </w:r>
    </w:p>
    <w:p>
      <w:pPr>
        <w:widowControl/>
        <w:spacing w:line="360" w:lineRule="auto"/>
        <w:ind w:firstLine="1050" w:firstLineChars="50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六标包：同一至五标包服务期。</w:t>
      </w:r>
    </w:p>
    <w:p>
      <w:pPr>
        <w:widowControl/>
        <w:spacing w:line="360" w:lineRule="auto"/>
        <w:ind w:firstLine="315" w:firstLineChars="15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1.7质量要求：符合国家及行业等相关验收标准，达到国家、省、市有关长葛市第三次全国土地调查技术要求。</w:t>
      </w:r>
    </w:p>
    <w:p>
      <w:pPr>
        <w:widowControl/>
        <w:spacing w:line="360" w:lineRule="auto"/>
        <w:ind w:firstLine="315" w:firstLineChars="15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1.8目标要求：通过采购人及相关部门的验收。</w:t>
      </w:r>
    </w:p>
    <w:p>
      <w:pPr>
        <w:widowControl/>
        <w:spacing w:line="360" w:lineRule="auto"/>
        <w:ind w:firstLine="315" w:firstLineChars="15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1.9分包：不允许。</w:t>
      </w:r>
    </w:p>
    <w:p>
      <w:pPr>
        <w:widowControl/>
        <w:spacing w:line="360" w:lineRule="auto"/>
        <w:ind w:firstLine="422" w:firstLineChars="200"/>
        <w:rPr>
          <w:rFonts w:asciiTheme="minorEastAsia" w:hAnsiTheme="minorEastAsia" w:eastAsiaTheme="minorEastAsia" w:cstheme="minorEastAsia"/>
          <w:b/>
          <w:kern w:val="0"/>
          <w:szCs w:val="21"/>
          <w:shd w:val="clear" w:color="auto" w:fill="FFFFFF"/>
        </w:rPr>
      </w:pPr>
      <w:r>
        <w:rPr>
          <w:rFonts w:hint="eastAsia" w:asciiTheme="minorEastAsia" w:hAnsiTheme="minorEastAsia" w:eastAsiaTheme="minorEastAsia" w:cstheme="minorEastAsia"/>
          <w:b/>
          <w:kern w:val="0"/>
          <w:szCs w:val="21"/>
          <w:shd w:val="clear" w:color="auto" w:fill="FFFFFF"/>
        </w:rPr>
        <w:t>二、需要落实的政府采购政策</w:t>
      </w:r>
    </w:p>
    <w:p>
      <w:pPr>
        <w:widowControl/>
        <w:spacing w:line="360" w:lineRule="auto"/>
        <w:ind w:firstLine="420" w:firstLineChars="20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本项目落实节能环保√、中小微型企业扶持√、支持监狱企业发展√、残疾人福利性单位扶持√等相关政府采购政策。</w:t>
      </w:r>
    </w:p>
    <w:p>
      <w:pPr>
        <w:widowControl/>
        <w:spacing w:line="360" w:lineRule="auto"/>
        <w:ind w:firstLine="422" w:firstLineChars="200"/>
        <w:rPr>
          <w:rFonts w:asciiTheme="minorEastAsia" w:hAnsiTheme="minorEastAsia" w:eastAsiaTheme="minorEastAsia" w:cstheme="minorEastAsia"/>
          <w:b/>
          <w:kern w:val="0"/>
          <w:szCs w:val="21"/>
          <w:shd w:val="clear" w:color="auto" w:fill="FFFFFF"/>
        </w:rPr>
      </w:pPr>
      <w:r>
        <w:rPr>
          <w:rFonts w:hint="eastAsia" w:asciiTheme="minorEastAsia" w:hAnsiTheme="minorEastAsia" w:eastAsiaTheme="minorEastAsia" w:cstheme="minorEastAsia"/>
          <w:b/>
          <w:kern w:val="0"/>
          <w:szCs w:val="21"/>
          <w:shd w:val="clear" w:color="auto" w:fill="FFFFFF"/>
        </w:rPr>
        <w:t>三、供应商资格要求</w:t>
      </w:r>
    </w:p>
    <w:p>
      <w:pPr>
        <w:widowControl/>
        <w:spacing w:line="360" w:lineRule="auto"/>
        <w:ind w:firstLine="420" w:firstLineChars="20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3.1符合《政府采购法》第二十二条规定；</w:t>
      </w:r>
    </w:p>
    <w:p>
      <w:pPr>
        <w:widowControl/>
        <w:spacing w:line="360" w:lineRule="auto"/>
        <w:ind w:firstLine="420" w:firstLineChars="20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3.2符合以下相关专业资格要求；</w:t>
      </w:r>
    </w:p>
    <w:p>
      <w:pPr>
        <w:widowControl/>
        <w:spacing w:line="360" w:lineRule="auto"/>
        <w:ind w:firstLine="420" w:firstLineChars="20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3.2.1一至三标包：供应商须具有测绘乙级以上（含乙级）【含工程测量、不动产（地籍）测绘、地理信息系统及数据库建设】资质，拟派项目负责人须具有高级以上（含高级）技术职称或国家注册测绘师资格；</w:t>
      </w:r>
    </w:p>
    <w:p>
      <w:pPr>
        <w:widowControl/>
        <w:spacing w:line="360" w:lineRule="auto"/>
        <w:ind w:firstLine="420" w:firstLineChars="20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3.2.2四标包：供应商须具有测绘乙级以上（含乙级）（含测绘航空摄影、摄影测量与遥感）资质，拟派项目负责人须具有高级以上（含高级）技术职称或国家注册测绘师资格；</w:t>
      </w:r>
    </w:p>
    <w:p>
      <w:pPr>
        <w:widowControl/>
        <w:spacing w:line="360" w:lineRule="auto"/>
        <w:ind w:firstLine="420" w:firstLineChars="20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3.2.3五标包：供应商须具备测绘乙级以上（含乙级）（含地理信息系统及数据库建设)资质，供应商拟派项目负责人须具有测绘专业中级以上（含中级）职称；</w:t>
      </w:r>
    </w:p>
    <w:p>
      <w:pPr>
        <w:widowControl/>
        <w:spacing w:line="360" w:lineRule="auto"/>
        <w:ind w:firstLine="420" w:firstLineChars="20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3.2.4六标包：供应商须具备测绘甲级（含工程测量、摄影测量与遥感、地理信息系统及数据库建设、地理信息系统工程监理、不动产测绘监理)资质，供应商拟派项目负责人须具有测绘专业高级以上（含高级）职称；</w:t>
      </w:r>
    </w:p>
    <w:p>
      <w:pPr>
        <w:widowControl/>
        <w:spacing w:line="360" w:lineRule="auto"/>
        <w:ind w:firstLine="420" w:firstLineChars="20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3.3未被列入“信用中国”网站(www.creditchina.gov.cn)失信被执行人、重大税收违法案件当事人名单、政府采购严重违法失信名单；“中国政府采购网” (www.ccgp.gov.cn)政府采购严重违法失信行为记录名单；“全国法院（http://shixin.court.gov.cn/）失信被执行人名单”；“国家企业信用公示系统”网站（www.gsxt.gov.cn）严重违法失信企业名单（黑名单）的供应商；</w:t>
      </w:r>
    </w:p>
    <w:p>
      <w:pPr>
        <w:widowControl/>
        <w:spacing w:line="360" w:lineRule="auto"/>
        <w:ind w:firstLine="420" w:firstLineChars="20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3.4参加政府采购活动前3年内在经营活动中没有重大违法记录；</w:t>
      </w:r>
    </w:p>
    <w:p>
      <w:pPr>
        <w:widowControl/>
        <w:spacing w:line="360" w:lineRule="auto"/>
        <w:ind w:firstLine="420" w:firstLineChars="20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3.5与招标人存在利害关系可能影响招标公正性的法人、其他组织或者个人，不得参加投标；单位负责人为同一人或者存在控股、管理关系的不同单位，不得参加同一标包投标或者未划分标包的同一招标项目投标；</w:t>
      </w:r>
    </w:p>
    <w:p>
      <w:pPr>
        <w:widowControl/>
        <w:spacing w:line="360" w:lineRule="auto"/>
        <w:ind w:firstLine="420" w:firstLineChars="20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3.6本次招标不接受联合体投标。</w:t>
      </w:r>
    </w:p>
    <w:p>
      <w:pPr>
        <w:widowControl/>
        <w:spacing w:line="360" w:lineRule="auto"/>
        <w:ind w:firstLine="422" w:firstLineChars="200"/>
        <w:rPr>
          <w:rFonts w:asciiTheme="minorEastAsia" w:hAnsiTheme="minorEastAsia" w:eastAsiaTheme="minorEastAsia" w:cstheme="minorEastAsia"/>
          <w:b/>
          <w:kern w:val="0"/>
          <w:szCs w:val="21"/>
          <w:shd w:val="clear" w:color="auto" w:fill="FFFFFF"/>
        </w:rPr>
      </w:pPr>
      <w:r>
        <w:rPr>
          <w:rFonts w:hint="eastAsia" w:asciiTheme="minorEastAsia" w:hAnsiTheme="minorEastAsia" w:eastAsiaTheme="minorEastAsia" w:cstheme="minorEastAsia"/>
          <w:b/>
          <w:kern w:val="0"/>
          <w:szCs w:val="21"/>
          <w:shd w:val="clear" w:color="auto" w:fill="FFFFFF"/>
        </w:rPr>
        <w:t>四、投标报名和招标文件的获取的时间、地点、方式</w:t>
      </w:r>
    </w:p>
    <w:p>
      <w:pPr>
        <w:widowControl/>
        <w:spacing w:line="360" w:lineRule="auto"/>
        <w:ind w:firstLine="420" w:firstLineChars="20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4.1报名时间：供应商于投标文件递交截止时间前均可报名。</w:t>
      </w:r>
    </w:p>
    <w:p>
      <w:pPr>
        <w:widowControl/>
        <w:spacing w:line="360" w:lineRule="auto"/>
        <w:ind w:firstLine="420" w:firstLineChars="20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4.2报名方式：网上报名。</w:t>
      </w:r>
    </w:p>
    <w:p>
      <w:pPr>
        <w:widowControl/>
        <w:spacing w:line="360" w:lineRule="auto"/>
        <w:ind w:firstLine="420" w:firstLineChars="20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4.2.1注册：持CA数字认证证书，登录【全国公共资源交易平台（河南省·许昌市）】（网址http://xcggzy.gov.cn/）“系统用户注册”入口（http://221.14.6.70:8088/ggzy/eps/public/RegistAllJcxx.html）进行免费注册登记（详见网站首页“常见问题解答-诚信库网上注册相关资料下载”）；</w:t>
      </w:r>
    </w:p>
    <w:p>
      <w:pPr>
        <w:widowControl/>
        <w:spacing w:line="360" w:lineRule="auto"/>
        <w:ind w:firstLine="420" w:firstLineChars="20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4.2.2报名：登录【全国公共资源交易平台（河南省·许昌市）】（网址http://xcggzy.gov.cn/）“供应商/供应商登录”入口（http://221.14.6.70:8088/ggzy/），在报名期限内报名。（详见网站首页“常见问题解答-交易系统操作手册”）。</w:t>
      </w:r>
    </w:p>
    <w:p>
      <w:pPr>
        <w:widowControl/>
        <w:spacing w:line="360" w:lineRule="auto"/>
        <w:ind w:firstLine="420" w:firstLineChars="20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4.3未通过全国公共资源交易平台（河南省·许昌市）下载招标文件的投标企业,拒收其递交的投标文件。</w:t>
      </w:r>
    </w:p>
    <w:p>
      <w:pPr>
        <w:widowControl/>
        <w:spacing w:line="360" w:lineRule="auto"/>
        <w:ind w:firstLine="420" w:firstLineChars="20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4.4招标文件的下载：报名期限内，供应商登录《全国公共资源交易平台（河南省·许昌市）》自行下载本项目招标文件。</w:t>
      </w:r>
    </w:p>
    <w:p>
      <w:pPr>
        <w:widowControl/>
        <w:spacing w:line="360" w:lineRule="auto"/>
        <w:ind w:firstLine="420" w:firstLineChars="20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4.5招标文件费用：供应商在递交纸制投标文件时向代理公司缴纳招标文件费用，本项目招标文件费用为300元/</w:t>
      </w:r>
      <w:r>
        <w:rPr>
          <w:rFonts w:hint="eastAsia" w:asciiTheme="minorEastAsia" w:hAnsiTheme="minorEastAsia" w:eastAsiaTheme="minorEastAsia" w:cstheme="minorEastAsia"/>
          <w:kern w:val="0"/>
          <w:szCs w:val="21"/>
          <w:shd w:val="clear" w:color="auto" w:fill="FFFFFF"/>
          <w:lang w:eastAsia="zh-CN"/>
        </w:rPr>
        <w:t>标包</w:t>
      </w:r>
      <w:r>
        <w:rPr>
          <w:rFonts w:hint="eastAsia" w:asciiTheme="minorEastAsia" w:hAnsiTheme="minorEastAsia" w:eastAsiaTheme="minorEastAsia" w:cstheme="minorEastAsia"/>
          <w:kern w:val="0"/>
          <w:szCs w:val="21"/>
          <w:shd w:val="clear" w:color="auto" w:fill="FFFFFF"/>
        </w:rPr>
        <w:t>，售后不退。</w:t>
      </w:r>
    </w:p>
    <w:p>
      <w:pPr>
        <w:widowControl/>
        <w:spacing w:line="360" w:lineRule="auto"/>
        <w:ind w:firstLine="422" w:firstLineChars="200"/>
        <w:rPr>
          <w:rFonts w:asciiTheme="minorEastAsia" w:hAnsiTheme="minorEastAsia" w:eastAsiaTheme="minorEastAsia" w:cstheme="minorEastAsia"/>
          <w:b/>
          <w:kern w:val="0"/>
          <w:szCs w:val="21"/>
          <w:shd w:val="clear" w:color="auto" w:fill="FFFFFF"/>
        </w:rPr>
      </w:pPr>
      <w:r>
        <w:rPr>
          <w:rFonts w:hint="eastAsia" w:asciiTheme="minorEastAsia" w:hAnsiTheme="minorEastAsia" w:eastAsiaTheme="minorEastAsia" w:cstheme="minorEastAsia"/>
          <w:b/>
          <w:kern w:val="0"/>
          <w:szCs w:val="21"/>
          <w:shd w:val="clear" w:color="auto" w:fill="FFFFFF"/>
        </w:rPr>
        <w:t>五、投标截止时间、开标时间及地点</w:t>
      </w:r>
    </w:p>
    <w:p>
      <w:pPr>
        <w:widowControl/>
        <w:spacing w:line="360" w:lineRule="auto"/>
        <w:ind w:firstLine="420" w:firstLineChars="20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5.1投标截止及开标时间：2018年11月</w:t>
      </w:r>
      <w:r>
        <w:rPr>
          <w:rFonts w:hint="eastAsia" w:asciiTheme="minorEastAsia" w:hAnsiTheme="minorEastAsia" w:eastAsiaTheme="minorEastAsia" w:cstheme="minorEastAsia"/>
          <w:kern w:val="0"/>
          <w:szCs w:val="21"/>
          <w:shd w:val="clear" w:color="auto" w:fill="FFFFFF"/>
          <w:lang w:val="en-US" w:eastAsia="zh-CN"/>
        </w:rPr>
        <w:t>19</w:t>
      </w:r>
      <w:r>
        <w:rPr>
          <w:rFonts w:hint="eastAsia" w:asciiTheme="minorEastAsia" w:hAnsiTheme="minorEastAsia" w:eastAsiaTheme="minorEastAsia" w:cstheme="minorEastAsia"/>
          <w:kern w:val="0"/>
          <w:szCs w:val="21"/>
          <w:shd w:val="clear" w:color="auto" w:fill="FFFFFF"/>
        </w:rPr>
        <w:t>日</w:t>
      </w:r>
      <w:r>
        <w:rPr>
          <w:rFonts w:hint="eastAsia" w:asciiTheme="minorEastAsia" w:hAnsiTheme="minorEastAsia" w:eastAsiaTheme="minorEastAsia" w:cstheme="minorEastAsia"/>
          <w:kern w:val="0"/>
          <w:szCs w:val="21"/>
          <w:shd w:val="clear" w:color="auto" w:fill="FFFFFF"/>
          <w:lang w:val="en-US" w:eastAsia="zh-CN"/>
        </w:rPr>
        <w:t>9</w:t>
      </w:r>
      <w:r>
        <w:rPr>
          <w:rFonts w:hint="eastAsia" w:asciiTheme="minorEastAsia" w:hAnsiTheme="minorEastAsia" w:eastAsiaTheme="minorEastAsia" w:cstheme="minorEastAsia"/>
          <w:kern w:val="0"/>
          <w:szCs w:val="21"/>
          <w:shd w:val="clear" w:color="auto" w:fill="FFFFFF"/>
        </w:rPr>
        <w:t xml:space="preserve"> 时</w:t>
      </w:r>
      <w:r>
        <w:rPr>
          <w:rFonts w:hint="eastAsia" w:asciiTheme="minorEastAsia" w:hAnsiTheme="minorEastAsia" w:eastAsiaTheme="minorEastAsia" w:cstheme="minorEastAsia"/>
          <w:kern w:val="0"/>
          <w:szCs w:val="21"/>
          <w:shd w:val="clear" w:color="auto" w:fill="FFFFFF"/>
          <w:lang w:val="en-US" w:eastAsia="zh-CN"/>
        </w:rPr>
        <w:t>00</w:t>
      </w:r>
      <w:r>
        <w:rPr>
          <w:rFonts w:hint="eastAsia" w:asciiTheme="minorEastAsia" w:hAnsiTheme="minorEastAsia" w:eastAsiaTheme="minorEastAsia" w:cstheme="minorEastAsia"/>
          <w:kern w:val="0"/>
          <w:szCs w:val="21"/>
          <w:shd w:val="clear" w:color="auto" w:fill="FFFFFF"/>
        </w:rPr>
        <w:t>分（北京时间），逾期提交或不符合规定的投标文件不予接受。</w:t>
      </w:r>
    </w:p>
    <w:p>
      <w:pPr>
        <w:widowControl/>
        <w:spacing w:line="360" w:lineRule="auto"/>
        <w:ind w:firstLine="420" w:firstLineChars="20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5.2开标地点：长葛市公共资源交易中心（长葛市葛天大道东段商务区6#楼</w:t>
      </w:r>
      <w:r>
        <w:rPr>
          <w:rFonts w:hint="eastAsia" w:asciiTheme="minorEastAsia" w:hAnsiTheme="minorEastAsia" w:eastAsiaTheme="minorEastAsia" w:cstheme="minorEastAsia"/>
          <w:kern w:val="0"/>
          <w:szCs w:val="21"/>
          <w:shd w:val="clear" w:color="auto" w:fill="FFFFFF"/>
          <w:lang w:val="en-US" w:eastAsia="zh-CN"/>
        </w:rPr>
        <w:t>4</w:t>
      </w:r>
      <w:r>
        <w:rPr>
          <w:rFonts w:hint="eastAsia" w:asciiTheme="minorEastAsia" w:hAnsiTheme="minorEastAsia" w:eastAsiaTheme="minorEastAsia" w:cstheme="minorEastAsia"/>
          <w:kern w:val="0"/>
          <w:szCs w:val="21"/>
          <w:shd w:val="clear" w:color="auto" w:fill="FFFFFF"/>
        </w:rPr>
        <w:t>楼</w:t>
      </w:r>
      <w:r>
        <w:rPr>
          <w:rFonts w:hint="eastAsia" w:asciiTheme="minorEastAsia" w:hAnsiTheme="minorEastAsia" w:eastAsiaTheme="minorEastAsia" w:cstheme="minorEastAsia"/>
          <w:kern w:val="0"/>
          <w:szCs w:val="21"/>
          <w:shd w:val="clear" w:color="auto" w:fill="FFFFFF"/>
          <w:lang w:val="en-US" w:eastAsia="zh-CN"/>
        </w:rPr>
        <w:t>418</w:t>
      </w:r>
      <w:r>
        <w:rPr>
          <w:rFonts w:hint="eastAsia" w:asciiTheme="minorEastAsia" w:hAnsiTheme="minorEastAsia" w:eastAsiaTheme="minorEastAsia" w:cstheme="minorEastAsia"/>
          <w:kern w:val="0"/>
          <w:szCs w:val="21"/>
          <w:shd w:val="clear" w:color="auto" w:fill="FFFFFF"/>
        </w:rPr>
        <w:t>室）。</w:t>
      </w:r>
    </w:p>
    <w:p>
      <w:pPr>
        <w:widowControl/>
        <w:spacing w:line="360" w:lineRule="auto"/>
        <w:ind w:firstLine="420" w:firstLineChars="20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5.3本项目为全流程电子化交易项目，供应商须提交电子投标文件和纸质投标文件。</w:t>
      </w:r>
    </w:p>
    <w:p>
      <w:pPr>
        <w:widowControl/>
        <w:spacing w:line="360" w:lineRule="auto"/>
        <w:ind w:firstLine="420" w:firstLineChars="20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5.3.1加密电子投标文件（.file格式）须在投标截止时间（开标时间）前通过《全国公共资源交易平台(河南省▪许昌市)》公共资源交易系统成功上传。</w:t>
      </w:r>
    </w:p>
    <w:p>
      <w:pPr>
        <w:widowControl/>
        <w:spacing w:line="360" w:lineRule="auto"/>
        <w:ind w:firstLine="420" w:firstLineChars="20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5.3.2纸质投标文件（正本1份、副本4份）和备份文件1份（使用电子介质存储）在投标截止时间（开标时间）前递交至本项目开标地点。</w:t>
      </w:r>
    </w:p>
    <w:p>
      <w:pPr>
        <w:widowControl/>
        <w:spacing w:line="360" w:lineRule="auto"/>
        <w:ind w:firstLine="422" w:firstLineChars="20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b/>
          <w:kern w:val="0"/>
          <w:szCs w:val="21"/>
          <w:shd w:val="clear" w:color="auto" w:fill="FFFFFF"/>
        </w:rPr>
        <w:t>六、本次招标公告</w:t>
      </w:r>
      <w:r>
        <w:rPr>
          <w:rFonts w:hint="eastAsia" w:asciiTheme="minorEastAsia" w:hAnsiTheme="minorEastAsia" w:eastAsiaTheme="minorEastAsia" w:cstheme="minorEastAsia"/>
          <w:kern w:val="0"/>
          <w:szCs w:val="21"/>
          <w:shd w:val="clear" w:color="auto" w:fill="FFFFFF"/>
        </w:rPr>
        <w:t>同时在《河南省政府采购网》、《全国公共资源交易平台（河南省·许昌市）》、《长葛市人民政府门户网站》发布。</w:t>
      </w:r>
    </w:p>
    <w:p>
      <w:pPr>
        <w:widowControl/>
        <w:spacing w:line="360" w:lineRule="auto"/>
        <w:ind w:firstLine="422" w:firstLineChars="200"/>
        <w:rPr>
          <w:rFonts w:asciiTheme="minorEastAsia" w:hAnsiTheme="minorEastAsia" w:eastAsiaTheme="minorEastAsia" w:cstheme="minorEastAsia"/>
          <w:b/>
          <w:kern w:val="0"/>
          <w:szCs w:val="21"/>
          <w:shd w:val="clear" w:color="auto" w:fill="FFFFFF"/>
        </w:rPr>
      </w:pPr>
      <w:r>
        <w:rPr>
          <w:rFonts w:hint="eastAsia" w:asciiTheme="minorEastAsia" w:hAnsiTheme="minorEastAsia" w:eastAsiaTheme="minorEastAsia" w:cstheme="minorEastAsia"/>
          <w:b/>
          <w:kern w:val="0"/>
          <w:szCs w:val="21"/>
          <w:shd w:val="clear" w:color="auto" w:fill="FFFFFF"/>
        </w:rPr>
        <w:t>七、公告期限</w:t>
      </w:r>
    </w:p>
    <w:p>
      <w:pPr>
        <w:widowControl/>
        <w:spacing w:line="360" w:lineRule="auto"/>
        <w:ind w:firstLine="422" w:firstLineChars="200"/>
        <w:rPr>
          <w:rFonts w:asciiTheme="minorEastAsia" w:hAnsiTheme="minorEastAsia" w:eastAsiaTheme="minorEastAsia" w:cstheme="minorEastAsia"/>
          <w:b/>
          <w:kern w:val="0"/>
          <w:szCs w:val="21"/>
          <w:shd w:val="clear" w:color="auto" w:fill="FFFFFF"/>
        </w:rPr>
      </w:pPr>
      <w:r>
        <w:rPr>
          <w:rFonts w:hint="eastAsia" w:asciiTheme="minorEastAsia" w:hAnsiTheme="minorEastAsia" w:eastAsiaTheme="minorEastAsia" w:cstheme="minorEastAsia"/>
          <w:b/>
          <w:kern w:val="0"/>
          <w:szCs w:val="21"/>
          <w:shd w:val="clear" w:color="auto" w:fill="FFFFFF"/>
        </w:rPr>
        <w:t>本招标公告自发布之日起公告期限为5个工作日。</w:t>
      </w:r>
    </w:p>
    <w:p>
      <w:pPr>
        <w:widowControl/>
        <w:spacing w:line="360" w:lineRule="auto"/>
        <w:ind w:firstLine="422" w:firstLineChars="200"/>
        <w:rPr>
          <w:rFonts w:asciiTheme="minorEastAsia" w:hAnsiTheme="minorEastAsia" w:eastAsiaTheme="minorEastAsia" w:cstheme="minorEastAsia"/>
          <w:b/>
          <w:kern w:val="0"/>
          <w:szCs w:val="21"/>
          <w:shd w:val="clear" w:color="auto" w:fill="FFFFFF"/>
        </w:rPr>
      </w:pPr>
      <w:r>
        <w:rPr>
          <w:rFonts w:hint="eastAsia" w:asciiTheme="minorEastAsia" w:hAnsiTheme="minorEastAsia" w:eastAsiaTheme="minorEastAsia" w:cstheme="minorEastAsia"/>
          <w:b/>
          <w:kern w:val="0"/>
          <w:szCs w:val="21"/>
          <w:shd w:val="clear" w:color="auto" w:fill="FFFFFF"/>
        </w:rPr>
        <w:t>八、代理机构及采购单位地址、联系人、联系电话</w:t>
      </w:r>
    </w:p>
    <w:p>
      <w:pPr>
        <w:widowControl/>
        <w:spacing w:line="360" w:lineRule="auto"/>
        <w:ind w:firstLine="420" w:firstLineChars="20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采购人：长葛市国土资源局</w:t>
      </w:r>
    </w:p>
    <w:p>
      <w:pPr>
        <w:widowControl/>
        <w:spacing w:line="360" w:lineRule="auto"/>
        <w:ind w:firstLine="420" w:firstLineChars="20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地 址：长葛市葛天大道东段商务办公区8#楼</w:t>
      </w:r>
    </w:p>
    <w:p>
      <w:pPr>
        <w:widowControl/>
        <w:spacing w:line="360" w:lineRule="auto"/>
        <w:ind w:firstLine="420" w:firstLineChars="20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联 系 人：闫先生    联系电话：0374-6110380</w:t>
      </w:r>
    </w:p>
    <w:p>
      <w:pPr>
        <w:widowControl/>
        <w:spacing w:line="360" w:lineRule="auto"/>
        <w:ind w:firstLine="420" w:firstLineChars="20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代理机构：许昌建设工程项目管理有限公司</w:t>
      </w:r>
    </w:p>
    <w:p>
      <w:pPr>
        <w:widowControl/>
        <w:spacing w:line="360" w:lineRule="auto"/>
        <w:ind w:firstLine="420" w:firstLineChars="20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地 址：许昌市东泰街与兴业路交叉口东泰大厦5楼513室</w:t>
      </w:r>
    </w:p>
    <w:p>
      <w:pPr>
        <w:widowControl/>
        <w:spacing w:line="360" w:lineRule="auto"/>
        <w:ind w:firstLine="420" w:firstLineChars="20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联系人：赵女士      联系电话：0374-6098899</w:t>
      </w:r>
    </w:p>
    <w:p>
      <w:pPr>
        <w:autoSpaceDE w:val="0"/>
        <w:autoSpaceDN w:val="0"/>
        <w:adjustRightInd w:val="0"/>
        <w:spacing w:line="360" w:lineRule="auto"/>
        <w:ind w:firstLine="56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zh-CN"/>
        </w:rPr>
        <w:t>长葛市国土资源局</w:t>
      </w:r>
    </w:p>
    <w:p>
      <w:pPr>
        <w:autoSpaceDE w:val="0"/>
        <w:autoSpaceDN w:val="0"/>
        <w:adjustRightInd w:val="0"/>
        <w:spacing w:line="360" w:lineRule="auto"/>
        <w:ind w:firstLine="56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二〇一八年十月</w:t>
      </w:r>
      <w:r>
        <w:rPr>
          <w:rFonts w:hint="eastAsia" w:asciiTheme="minorEastAsia" w:hAnsiTheme="minorEastAsia" w:eastAsiaTheme="minorEastAsia" w:cstheme="minorEastAsia"/>
          <w:szCs w:val="21"/>
          <w:lang w:eastAsia="zh-CN"/>
        </w:rPr>
        <w:t>二十九</w:t>
      </w:r>
      <w:r>
        <w:rPr>
          <w:rFonts w:hint="eastAsia" w:asciiTheme="minorEastAsia" w:hAnsiTheme="minorEastAsia" w:eastAsiaTheme="minorEastAsia" w:cstheme="minorEastAsia"/>
          <w:szCs w:val="21"/>
        </w:rPr>
        <w:t>日</w:t>
      </w:r>
    </w:p>
    <w:p>
      <w:pPr>
        <w:spacing w:line="360" w:lineRule="auto"/>
        <w:rPr>
          <w:rFonts w:asciiTheme="minorEastAsia" w:hAnsiTheme="minorEastAsia" w:eastAsiaTheme="minorEastAsia" w:cstheme="minorEastAsia"/>
          <w:b/>
          <w:szCs w:val="21"/>
        </w:rPr>
      </w:pP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温馨提示：</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本项目为全流程电子化交易项目，请认真阅读招标文件，并注意以下事项。</w:t>
      </w:r>
    </w:p>
    <w:p>
      <w:pPr>
        <w:tabs>
          <w:tab w:val="left" w:pos="7095"/>
        </w:tabs>
        <w:spacing w:line="360" w:lineRule="auto"/>
        <w:ind w:firstLine="422" w:firstLineChars="200"/>
        <w:contextualSpacing/>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1.供应商应按招标文件规定编制、提交电子投标文件和纸质投标文件。开、评标现场不接受供应商递交的备份电子投标文件和纸质投标文件以外的其他资料。</w:t>
      </w:r>
    </w:p>
    <w:p>
      <w:pPr>
        <w:tabs>
          <w:tab w:val="left" w:pos="7095"/>
        </w:tabs>
        <w:spacing w:line="360" w:lineRule="auto"/>
        <w:ind w:firstLine="422" w:firstLineChars="200"/>
        <w:contextualSpacing/>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2.电子文件下载、制作、提交期间和开标（</w:t>
      </w:r>
      <w:r>
        <w:rPr>
          <w:rFonts w:hint="eastAsia" w:asciiTheme="minorEastAsia" w:hAnsiTheme="minorEastAsia" w:eastAsiaTheme="minorEastAsia" w:cstheme="minorEastAsia"/>
          <w:szCs w:val="21"/>
        </w:rPr>
        <w:t>电子投标文件的解密</w:t>
      </w:r>
      <w:r>
        <w:rPr>
          <w:rFonts w:hint="eastAsia" w:asciiTheme="minorEastAsia" w:hAnsiTheme="minorEastAsia" w:eastAsiaTheme="minorEastAsia" w:cstheme="minorEastAsia"/>
          <w:b/>
          <w:szCs w:val="21"/>
        </w:rPr>
        <w:t>）环节，供应商须使用CA数字证书（证书须在有效期内）。</w:t>
      </w:r>
    </w:p>
    <w:p>
      <w:pPr>
        <w:tabs>
          <w:tab w:val="left" w:pos="7095"/>
        </w:tabs>
        <w:spacing w:line="360" w:lineRule="auto"/>
        <w:ind w:firstLine="422" w:firstLineChars="200"/>
        <w:contextualSpacing/>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3.电子投标文件的制作</w:t>
      </w:r>
    </w:p>
    <w:p>
      <w:pPr>
        <w:tabs>
          <w:tab w:val="left" w:pos="7095"/>
        </w:tabs>
        <w:spacing w:line="360" w:lineRule="auto"/>
        <w:ind w:firstLine="42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 供应商登录《全国公共资源交易平台(河南省▪许昌市)》公共资源交易系统（</w:t>
      </w:r>
      <w:r>
        <w:fldChar w:fldCharType="begin"/>
      </w:r>
      <w:r>
        <w:instrText xml:space="preserve"> HYPERLINK "http://221.14.6.70:8088/ggzy/" </w:instrText>
      </w:r>
      <w:r>
        <w:fldChar w:fldCharType="separate"/>
      </w:r>
      <w:r>
        <w:rPr>
          <w:rStyle w:val="32"/>
          <w:rFonts w:hint="eastAsia" w:asciiTheme="minorEastAsia" w:hAnsiTheme="minorEastAsia" w:eastAsiaTheme="minorEastAsia" w:cstheme="minorEastAsia"/>
          <w:color w:val="auto"/>
          <w:szCs w:val="21"/>
        </w:rPr>
        <w:t>http://221.14.6.70:8088/ggzy/</w:t>
      </w:r>
      <w:r>
        <w:rPr>
          <w:rStyle w:val="32"/>
          <w:rFonts w:hint="eastAsia" w:asciiTheme="minorEastAsia" w:hAnsiTheme="minorEastAsia" w:eastAsiaTheme="minorEastAsia" w:cstheme="minorEastAsia"/>
          <w:color w:val="auto"/>
          <w:szCs w:val="21"/>
        </w:rPr>
        <w:fldChar w:fldCharType="end"/>
      </w:r>
      <w:r>
        <w:rPr>
          <w:rFonts w:hint="eastAsia" w:asciiTheme="minorEastAsia" w:hAnsiTheme="minorEastAsia" w:eastAsiaTheme="minorEastAsia" w:cstheme="minorEastAsia"/>
          <w:szCs w:val="21"/>
        </w:rPr>
        <w:t>）下载“许昌投标文件制作系统SEARUN V1.0”，按招标文件要求制作电子投标文件。</w:t>
      </w:r>
    </w:p>
    <w:p>
      <w:pPr>
        <w:tabs>
          <w:tab w:val="left" w:pos="7095"/>
        </w:tabs>
        <w:spacing w:line="360" w:lineRule="auto"/>
        <w:ind w:firstLine="42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电子投标文件的制作，参考《全国公共资源交易平台(河南省▪许昌市)》公共资源交易系统——组件下载——交易系统操作手册（供应商、供应商）。</w:t>
      </w:r>
    </w:p>
    <w:p>
      <w:pPr>
        <w:tabs>
          <w:tab w:val="left" w:pos="7095"/>
        </w:tabs>
        <w:spacing w:line="360" w:lineRule="auto"/>
        <w:ind w:firstLine="42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 供应商须将招标文件要求的资质、业绩、荣誉及相关人员证明材料等资料原件扫描件（或图片）制作到所提交的电子投标文件中。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3.3供应商对同一项目多个标包进行投标的，应分别下载所投标包的招标文件，按标包制作电子投标文件，并按招标文件要求在相应位置加盖供应商电子印章和法人电子印章。</w:t>
      </w:r>
    </w:p>
    <w:p>
      <w:pPr>
        <w:tabs>
          <w:tab w:val="left" w:pos="7095"/>
        </w:tabs>
        <w:spacing w:line="360" w:lineRule="auto"/>
        <w:ind w:left="105" w:leftChars="50" w:firstLine="315" w:firstLineChars="15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一个标包对应生成一个文件夹（xxxx项目xx标包）, 其中包含2个文件和1个文件夹。后缀名为“.file”的文件用于电子投标使用，后缀名为“.PDF”的文件用于打印纸质投标文件，名称为“备份”的文件夹使用电子介质存储，供开标现场备用。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4.加密电子投标文件的提交</w:t>
      </w:r>
    </w:p>
    <w:p>
      <w:pPr>
        <w:tabs>
          <w:tab w:val="left" w:pos="7095"/>
        </w:tabs>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4.1加密电子投标文件应在招标文件规定的投标截止时间（开标时间）之前成功提交至《全国公共资源交易平台(河南省▪许昌市)》公共资源交易系统（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2"/>
          <w:rFonts w:hint="eastAsia" w:asciiTheme="minorEastAsia" w:hAnsiTheme="minorEastAsia" w:eastAsiaTheme="minorEastAsia" w:cstheme="minorEastAsia"/>
          <w:color w:val="auto"/>
          <w:szCs w:val="21"/>
        </w:rPr>
        <w:t>http://221.14.6.70:8088/ggzy/</w:t>
      </w:r>
      <w:r>
        <w:rPr>
          <w:rStyle w:val="32"/>
          <w:rFonts w:hint="eastAsia" w:asciiTheme="minorEastAsia" w:hAnsiTheme="minorEastAsia" w:eastAsiaTheme="minorEastAsia" w:cstheme="minorEastAsia"/>
          <w:color w:val="auto"/>
          <w:szCs w:val="21"/>
        </w:rPr>
        <w:fldChar w:fldCharType="end"/>
      </w:r>
      <w:r>
        <w:rPr>
          <w:rFonts w:hint="eastAsia" w:asciiTheme="minorEastAsia" w:hAnsiTheme="minorEastAsia" w:eastAsiaTheme="minorEastAsia" w:cstheme="minorEastAsia"/>
          <w:szCs w:val="21"/>
        </w:rPr>
        <w:t>）。</w:t>
      </w:r>
    </w:p>
    <w:p>
      <w:pPr>
        <w:tabs>
          <w:tab w:val="left" w:pos="7095"/>
        </w:tabs>
        <w:spacing w:line="360" w:lineRule="auto"/>
        <w:ind w:firstLine="42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供应商应充分考虑并预留技术处理和上传数据所需时间。</w:t>
      </w:r>
    </w:p>
    <w:p>
      <w:pPr>
        <w:tabs>
          <w:tab w:val="left" w:pos="7095"/>
        </w:tabs>
        <w:spacing w:line="360" w:lineRule="auto"/>
        <w:ind w:firstLine="42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 供应商对同一项目多个标包进行投标的，加密电子投标文件应按标包分别提交。</w:t>
      </w:r>
    </w:p>
    <w:p>
      <w:pPr>
        <w:tabs>
          <w:tab w:val="left" w:pos="7095"/>
        </w:tabs>
        <w:spacing w:line="360" w:lineRule="auto"/>
        <w:ind w:firstLine="42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 加密电子投标文件成功提交后，供应商应打印“投标文件提交回执单”供开标现场备查。</w:t>
      </w:r>
    </w:p>
    <w:p>
      <w:pPr>
        <w:tabs>
          <w:tab w:val="left" w:pos="7095"/>
        </w:tabs>
        <w:spacing w:line="360" w:lineRule="auto"/>
        <w:ind w:firstLine="422" w:firstLineChars="200"/>
        <w:contextualSpacing/>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5.评标依据</w:t>
      </w:r>
    </w:p>
    <w:p>
      <w:pPr>
        <w:tabs>
          <w:tab w:val="left" w:pos="7095"/>
        </w:tabs>
        <w:spacing w:line="360" w:lineRule="auto"/>
        <w:ind w:firstLine="42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5.1采用全流程电子化交易评标时，评标委员会以电子投标文件为依据评标。</w:t>
      </w:r>
    </w:p>
    <w:p>
      <w:pPr>
        <w:tabs>
          <w:tab w:val="left" w:pos="7095"/>
        </w:tabs>
        <w:spacing w:line="360" w:lineRule="auto"/>
        <w:ind w:firstLine="42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5.2全流程电子化交易如因系统异常情况无法完成，将以人工方式进行。评标委员会以纸质投标文件为依据评标。</w:t>
      </w:r>
    </w:p>
    <w:p>
      <w:pPr>
        <w:tabs>
          <w:tab w:val="left" w:pos="7095"/>
        </w:tabs>
        <w:spacing w:line="360" w:lineRule="auto"/>
        <w:ind w:firstLine="422" w:firstLineChars="200"/>
        <w:contextualSpacing/>
        <w:rPr>
          <w:rFonts w:asciiTheme="minorEastAsia" w:hAnsiTheme="minorEastAsia" w:eastAsiaTheme="minorEastAsia" w:cstheme="minorEastAsia"/>
          <w:b/>
          <w:szCs w:val="21"/>
        </w:rPr>
      </w:pPr>
    </w:p>
    <w:p>
      <w:pPr>
        <w:tabs>
          <w:tab w:val="left" w:pos="7095"/>
        </w:tabs>
        <w:spacing w:line="360" w:lineRule="auto"/>
        <w:ind w:firstLine="422" w:firstLineChars="200"/>
        <w:contextualSpacing/>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特别提示：</w:t>
      </w:r>
    </w:p>
    <w:p>
      <w:pPr>
        <w:tabs>
          <w:tab w:val="left" w:pos="7095"/>
        </w:tabs>
        <w:spacing w:line="360" w:lineRule="auto"/>
        <w:ind w:firstLine="422" w:firstLineChars="200"/>
        <w:contextualSpacing/>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1、所有投标单位请时刻关注全国公共资源交易平台（河南省.许昌市），澄清、答疑、变更均在全国公共资源交易平台（河南省.许昌市）发布，不再另行通知。如未及时查看影响其投标，后果自负。</w:t>
      </w:r>
    </w:p>
    <w:p>
      <w:pPr>
        <w:tabs>
          <w:tab w:val="left" w:pos="7095"/>
        </w:tabs>
        <w:spacing w:line="360" w:lineRule="auto"/>
        <w:ind w:firstLine="422" w:firstLineChars="200"/>
        <w:contextualSpacing/>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2、各供应商对代理公司提供的服务不满意，或认为代</w:t>
      </w:r>
    </w:p>
    <w:p>
      <w:pPr>
        <w:tabs>
          <w:tab w:val="left" w:pos="7095"/>
        </w:tabs>
        <w:spacing w:line="360" w:lineRule="auto"/>
        <w:ind w:firstLine="422" w:firstLineChars="200"/>
        <w:contextualSpacing/>
        <w:rPr>
          <w:rFonts w:asciiTheme="minorEastAsia" w:hAnsiTheme="minorEastAsia" w:eastAsiaTheme="minorEastAsia" w:cstheme="minorEastAsia"/>
          <w:b/>
          <w:szCs w:val="21"/>
        </w:rPr>
      </w:pPr>
    </w:p>
    <w:p>
      <w:pPr>
        <w:tabs>
          <w:tab w:val="left" w:pos="7095"/>
        </w:tabs>
        <w:spacing w:line="360" w:lineRule="auto"/>
        <w:ind w:firstLine="422" w:firstLineChars="200"/>
        <w:contextualSpacing/>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理公司在服务过程中有不当行为的，可致电长葛市公共资源交易管理委员会办公室监管股（0374-6189576），经查实后将视情况作出处理。</w:t>
      </w:r>
    </w:p>
    <w:p>
      <w:pPr>
        <w:pStyle w:val="2"/>
        <w:ind w:firstLine="240"/>
      </w:pPr>
    </w:p>
    <w:p>
      <w:pPr>
        <w:tabs>
          <w:tab w:val="left" w:pos="7095"/>
        </w:tabs>
        <w:spacing w:line="360" w:lineRule="auto"/>
        <w:ind w:firstLine="422" w:firstLineChars="200"/>
        <w:contextualSpacing/>
        <w:rPr>
          <w:rFonts w:asciiTheme="minorEastAsia" w:hAnsiTheme="minorEastAsia" w:eastAsiaTheme="minorEastAsia" w:cstheme="minorEastAsia"/>
          <w:b/>
          <w:szCs w:val="21"/>
        </w:rPr>
      </w:pPr>
    </w:p>
    <w:p>
      <w:pPr>
        <w:pStyle w:val="27"/>
        <w:keepNext/>
        <w:keepLines/>
        <w:adjustRightInd w:val="0"/>
        <w:snapToGrid w:val="0"/>
        <w:spacing w:before="0" w:beforeAutospacing="0" w:after="0" w:afterAutospacing="0" w:line="360" w:lineRule="auto"/>
        <w:ind w:firstLine="0"/>
        <w:jc w:val="center"/>
        <w:rPr>
          <w:rFonts w:asciiTheme="minorEastAsia" w:hAnsiTheme="minorEastAsia" w:eastAsiaTheme="minorEastAsia" w:cstheme="minorEastAsia"/>
          <w:b/>
          <w:sz w:val="21"/>
          <w:szCs w:val="21"/>
        </w:rPr>
      </w:pPr>
    </w:p>
    <w:p>
      <w:pPr>
        <w:pStyle w:val="27"/>
        <w:keepNext/>
        <w:keepLines/>
        <w:adjustRightInd w:val="0"/>
        <w:snapToGrid w:val="0"/>
        <w:spacing w:before="0" w:beforeAutospacing="0" w:after="0" w:afterAutospacing="0" w:line="360" w:lineRule="auto"/>
        <w:ind w:firstLine="0"/>
        <w:jc w:val="center"/>
        <w:rPr>
          <w:rFonts w:asciiTheme="minorEastAsia" w:hAnsiTheme="minorEastAsia" w:eastAsiaTheme="minorEastAsia" w:cstheme="minorEastAsia"/>
          <w:b/>
          <w:sz w:val="21"/>
          <w:szCs w:val="21"/>
        </w:rPr>
      </w:pPr>
    </w:p>
    <w:p>
      <w:pPr>
        <w:pStyle w:val="27"/>
        <w:keepNext/>
        <w:keepLines/>
        <w:adjustRightInd w:val="0"/>
        <w:snapToGrid w:val="0"/>
        <w:spacing w:before="0" w:beforeAutospacing="0" w:after="0" w:afterAutospacing="0" w:line="360" w:lineRule="auto"/>
        <w:ind w:firstLine="0"/>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第二章 供应商须知</w:t>
      </w:r>
    </w:p>
    <w:p>
      <w:pPr>
        <w:pStyle w:val="4"/>
        <w:spacing w:before="0" w:after="0"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供应商须知前附表</w:t>
      </w:r>
    </w:p>
    <w:tbl>
      <w:tblPr>
        <w:tblStyle w:val="33"/>
        <w:tblpPr w:leftFromText="180" w:rightFromText="180" w:vertAnchor="text" w:tblpXSpec="center" w:tblpY="1"/>
        <w:tblOverlap w:val="never"/>
        <w:tblW w:w="9622"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60"/>
        <w:gridCol w:w="786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trPr>
        <w:tc>
          <w:tcPr>
            <w:tcW w:w="1760" w:type="dxa"/>
            <w:vAlign w:val="center"/>
          </w:tcPr>
          <w:p>
            <w:pPr>
              <w:keepNext/>
              <w:keepLines/>
              <w:widowControl/>
              <w:spacing w:line="360" w:lineRule="auto"/>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分项名称</w:t>
            </w:r>
          </w:p>
        </w:tc>
        <w:tc>
          <w:tcPr>
            <w:tcW w:w="7862" w:type="dxa"/>
            <w:vAlign w:val="center"/>
          </w:tcPr>
          <w:p>
            <w:pPr>
              <w:keepNext/>
              <w:keepLines/>
              <w:widowControl/>
              <w:spacing w:line="360" w:lineRule="auto"/>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详细内容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760" w:type="dxa"/>
            <w:vAlign w:val="center"/>
          </w:tcPr>
          <w:p>
            <w:pPr>
              <w:keepNext/>
              <w:keepLines/>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采购人</w:t>
            </w:r>
          </w:p>
        </w:tc>
        <w:tc>
          <w:tcPr>
            <w:tcW w:w="7862" w:type="dxa"/>
            <w:vAlign w:val="center"/>
          </w:tcPr>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长葛市国土资源局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53" w:hRule="atLeast"/>
        </w:trPr>
        <w:tc>
          <w:tcPr>
            <w:tcW w:w="1760" w:type="dxa"/>
            <w:vAlign w:val="center"/>
          </w:tcPr>
          <w:p>
            <w:pPr>
              <w:keepNext/>
              <w:keepLines/>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项目名称</w:t>
            </w:r>
          </w:p>
        </w:tc>
        <w:tc>
          <w:tcPr>
            <w:tcW w:w="7862" w:type="dxa"/>
            <w:vAlign w:val="center"/>
          </w:tcPr>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长葛市国土资源局“长葛市第三次全国土地调查” 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rPr>
        <w:tc>
          <w:tcPr>
            <w:tcW w:w="1760" w:type="dxa"/>
            <w:vAlign w:val="center"/>
          </w:tcPr>
          <w:p>
            <w:pPr>
              <w:keepNext/>
              <w:keepLines/>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项目编号</w:t>
            </w:r>
          </w:p>
        </w:tc>
        <w:tc>
          <w:tcPr>
            <w:tcW w:w="7862" w:type="dxa"/>
            <w:vAlign w:val="center"/>
          </w:tcPr>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长招采公字[2018]</w:t>
            </w:r>
            <w:r>
              <w:rPr>
                <w:rFonts w:hint="eastAsia" w:asciiTheme="minorEastAsia" w:hAnsiTheme="minorEastAsia" w:eastAsiaTheme="minorEastAsia" w:cstheme="minorEastAsia"/>
                <w:szCs w:val="21"/>
              </w:rPr>
              <w:t>068</w:t>
            </w:r>
            <w:r>
              <w:rPr>
                <w:rFonts w:hint="eastAsia" w:asciiTheme="minorEastAsia" w:hAnsiTheme="minorEastAsia" w:eastAsiaTheme="minorEastAsia" w:cstheme="minorEastAsia"/>
                <w:szCs w:val="21"/>
                <w:lang w:val="zh-CN"/>
              </w:rPr>
              <w:t>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53" w:hRule="atLeast"/>
        </w:trPr>
        <w:tc>
          <w:tcPr>
            <w:tcW w:w="1760" w:type="dxa"/>
            <w:vAlign w:val="center"/>
          </w:tcPr>
          <w:p>
            <w:pPr>
              <w:keepNext/>
              <w:keepLines/>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代理机构</w:t>
            </w:r>
          </w:p>
        </w:tc>
        <w:tc>
          <w:tcPr>
            <w:tcW w:w="7862" w:type="dxa"/>
            <w:vAlign w:val="center"/>
          </w:tcPr>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长葛市国土资源局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53" w:hRule="atLeast"/>
        </w:trPr>
        <w:tc>
          <w:tcPr>
            <w:tcW w:w="1760" w:type="dxa"/>
            <w:vAlign w:val="center"/>
          </w:tcPr>
          <w:p>
            <w:pPr>
              <w:keepNext/>
              <w:keepLines/>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采购方式</w:t>
            </w:r>
          </w:p>
        </w:tc>
        <w:tc>
          <w:tcPr>
            <w:tcW w:w="7862" w:type="dxa"/>
            <w:vAlign w:val="center"/>
          </w:tcPr>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53" w:hRule="atLeast"/>
        </w:trPr>
        <w:tc>
          <w:tcPr>
            <w:tcW w:w="1760" w:type="dxa"/>
            <w:vAlign w:val="center"/>
          </w:tcPr>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合格供应商</w:t>
            </w:r>
          </w:p>
          <w:p>
            <w:pPr>
              <w:widowControl/>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的资格条件</w:t>
            </w:r>
          </w:p>
        </w:tc>
        <w:tc>
          <w:tcPr>
            <w:tcW w:w="7862" w:type="dxa"/>
            <w:vAlign w:val="center"/>
          </w:tcPr>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1、符合《政府采购法》第二十二条规定；</w:t>
            </w:r>
          </w:p>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2、符合以下相关专业资格要求；</w:t>
            </w:r>
          </w:p>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2.1一至三标包：供应商须具有测绘乙级以上（含乙级）【含工程测量、不动产（地籍）测绘、地理信息系统及数据库建设】资质，拟派项目负责人须具有高级以上（含高级）技术职称或国家注册测绘师资格；</w:t>
            </w:r>
          </w:p>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2.2四标包：供应商须具有测绘乙级以上（含乙级）（含测绘航空摄影、摄影测量与遥感）资质，拟派项目负责人须具有高级以上（含高级）技术职称或国家注册测绘师资格；</w:t>
            </w:r>
          </w:p>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2.3五标包：供应商须具备测绘乙级以上（含乙级）（含地理信息系统及数据库建设)资质，供应商拟派项目负责人须具有测绘专业中级以上（含中级）职称；</w:t>
            </w:r>
          </w:p>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2.4</w:t>
            </w:r>
            <w:r>
              <w:rPr>
                <w:rFonts w:hint="eastAsia" w:asciiTheme="minorEastAsia" w:hAnsiTheme="minorEastAsia" w:eastAsiaTheme="minorEastAsia" w:cstheme="minorEastAsia"/>
                <w:kern w:val="0"/>
                <w:szCs w:val="21"/>
                <w:shd w:val="clear" w:color="auto" w:fill="FFFFFF"/>
              </w:rPr>
              <w:t>六标包：供应商须具备测绘甲级（含工程测量、摄影测量与遥感、地理信息系统及数据库建设、地理信息系统工程监理、不动产测绘监理)资质，供应商拟派项目负责人须具有测绘专业高级以上（含高级）职称；</w:t>
            </w:r>
          </w:p>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3、未被列入“信用中国”网站(www.creditchina.gov.cn)失信被执行人、重大税收违法案件当事人名单、政府采购严重违法失信名单；“中国政府采购网” (www.ccgp.gov.cn)政府采购严重违法失信行为记录名单；“全国法院（http://shixin.court.gov.cn/）失信被执行人名单”；“国家企业信用公示系统”网站（www.gsxt.gov.cn）严重违法失信企业名单（黑名单）的供应商；</w:t>
            </w:r>
          </w:p>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3.1查询渠道：“信用中国”网站（www.creditchina.gov.cn）、“国家企业信用公示系统”（ www.gsxt.gov.cn）、“全国法院”（ http://shixin.court.gov.cn/）和“中国政府采购网”（www.ccgp.gov.cn）；</w:t>
            </w:r>
          </w:p>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3.2截止时间：同投标截止时间；</w:t>
            </w:r>
          </w:p>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3.3信用信息查询记录和证据留存具体方式：经采购人确认的查询结果网页截图作为查询记录和证据，与其他采购文件一并保存；</w:t>
            </w:r>
          </w:p>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3.4信用信息的使用原则：经采购人认定的被列入失信被执行人、重大税收违法案件当事人名单、政府采购严重违法失信行为记录名单的供应商，将拒绝其参与政府采购活动。</w:t>
            </w:r>
          </w:p>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3.5供应商不良信用记录以采购人查询结果为准，采购人查询之后，网站信息发生的任何变更不再作为评审依据，供应商自行提供的与网站信息不一致的其他证明材料亦不作为评审依据。</w:t>
            </w:r>
          </w:p>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4、参加政府采购活动前3年内在经营活动中没有重大违法记录；</w:t>
            </w:r>
          </w:p>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5、与招标人存在利害关系可能影响招标公正性的法人、其他组织或者个人，不得参加投标；单位负责人为同一人或者存在控股、管理关系的不同单位，不得参加同一标包投标或者未划分标包的同一招标项目投标；</w:t>
            </w:r>
          </w:p>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6、本次招标不接受联合体投标。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2" w:hRule="atLeast"/>
        </w:trPr>
        <w:tc>
          <w:tcPr>
            <w:tcW w:w="1760" w:type="dxa"/>
            <w:vAlign w:val="center"/>
          </w:tcPr>
          <w:p>
            <w:pPr>
              <w:keepNext/>
              <w:keepLines/>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项目资金</w:t>
            </w:r>
          </w:p>
        </w:tc>
        <w:tc>
          <w:tcPr>
            <w:tcW w:w="7862" w:type="dxa"/>
            <w:vAlign w:val="center"/>
          </w:tcPr>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1.财政性资金。</w:t>
            </w:r>
          </w:p>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2.预算金额：</w:t>
            </w:r>
            <w:r>
              <w:rPr>
                <w:rFonts w:hint="eastAsia" w:asciiTheme="minorEastAsia" w:hAnsiTheme="minorEastAsia" w:eastAsiaTheme="minorEastAsia" w:cstheme="minorEastAsia"/>
                <w:bCs/>
                <w:szCs w:val="21"/>
                <w:lang w:val="zh-CN"/>
              </w:rPr>
              <w:t>第一标包：1142300元；第二标包：1493400元；第三标包：962700元；第四标包：636000元；第五标包：1040000元；第六标包：以最终各标包中标价4.5%计算监理费；</w:t>
            </w:r>
            <w:r>
              <w:rPr>
                <w:rFonts w:hint="eastAsia" w:asciiTheme="minorEastAsia" w:hAnsiTheme="minorEastAsia" w:eastAsiaTheme="minorEastAsia" w:cstheme="minorEastAsia"/>
                <w:szCs w:val="21"/>
                <w:lang w:val="zh-CN"/>
              </w:rPr>
              <w:t>投标报价超过者为无效投标。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27" w:hRule="atLeast"/>
        </w:trPr>
        <w:tc>
          <w:tcPr>
            <w:tcW w:w="1760" w:type="dxa"/>
            <w:vAlign w:val="center"/>
          </w:tcPr>
          <w:p>
            <w:pPr>
              <w:keepNext/>
              <w:keepLines/>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招标文件获取</w:t>
            </w:r>
          </w:p>
        </w:tc>
        <w:tc>
          <w:tcPr>
            <w:tcW w:w="7862" w:type="dxa"/>
            <w:vAlign w:val="center"/>
          </w:tcPr>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报名方式</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zh-CN"/>
              </w:rPr>
              <w:t>网上报名。</w:t>
            </w:r>
          </w:p>
          <w:p>
            <w:pPr>
              <w:autoSpaceDE w:val="0"/>
              <w:autoSpaceDN w:val="0"/>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zh-CN"/>
              </w:rPr>
              <w:t>注册</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zh-CN"/>
              </w:rPr>
              <w:t>持</w:t>
            </w:r>
            <w:r>
              <w:rPr>
                <w:rFonts w:hint="eastAsia" w:asciiTheme="minorEastAsia" w:hAnsiTheme="minorEastAsia" w:eastAsiaTheme="minorEastAsia" w:cstheme="minorEastAsia"/>
                <w:szCs w:val="21"/>
              </w:rPr>
              <w:t>CA</w:t>
            </w:r>
            <w:r>
              <w:rPr>
                <w:rFonts w:hint="eastAsia" w:asciiTheme="minorEastAsia" w:hAnsiTheme="minorEastAsia" w:eastAsiaTheme="minorEastAsia" w:cstheme="minorEastAsia"/>
                <w:szCs w:val="21"/>
                <w:lang w:val="zh-CN"/>
              </w:rPr>
              <w:t>数字认证证书</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zh-CN"/>
              </w:rPr>
              <w:t>登录【全国公共资源交易平台</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zh-CN"/>
              </w:rPr>
              <w:t>河南省</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zh-CN"/>
              </w:rPr>
              <w:t>许昌市</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zh-CN"/>
              </w:rPr>
              <w:t>系统用户注册</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zh-CN"/>
              </w:rPr>
              <w:t>入口</w:t>
            </w:r>
            <w:r>
              <w:rPr>
                <w:rFonts w:hint="eastAsia" w:asciiTheme="minorEastAsia" w:hAnsiTheme="minorEastAsia" w:eastAsiaTheme="minorEastAsia" w:cstheme="minorEastAsia"/>
                <w:szCs w:val="21"/>
              </w:rPr>
              <w:t>（http://221.14.6.70:8088/ggzy/eps/public/RegistAllJcxx.html）</w:t>
            </w:r>
            <w:r>
              <w:rPr>
                <w:rFonts w:hint="eastAsia" w:asciiTheme="minorEastAsia" w:hAnsiTheme="minorEastAsia" w:eastAsiaTheme="minorEastAsia" w:cstheme="minorEastAsia"/>
                <w:szCs w:val="21"/>
                <w:lang w:val="zh-CN"/>
              </w:rPr>
              <w:t>进行免费注册登记</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zh-CN"/>
              </w:rPr>
              <w:t>详见网站首页</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zh-CN"/>
              </w:rPr>
              <w:t>常见问题解答</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zh-CN"/>
              </w:rPr>
              <w:t>诚信库网上注册相关资料下载</w:t>
            </w:r>
            <w:r>
              <w:rPr>
                <w:rFonts w:hint="eastAsia" w:asciiTheme="minorEastAsia" w:hAnsiTheme="minorEastAsia" w:eastAsiaTheme="minorEastAsia" w:cstheme="minorEastAsia"/>
                <w:szCs w:val="21"/>
              </w:rPr>
              <w:t>”）；</w:t>
            </w:r>
          </w:p>
          <w:p>
            <w:pPr>
              <w:autoSpaceDE w:val="0"/>
              <w:autoSpaceDN w:val="0"/>
              <w:adjustRightInd w:val="0"/>
              <w:spacing w:line="360" w:lineRule="auto"/>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zh-CN"/>
              </w:rPr>
              <w:t>报名</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zh-CN"/>
              </w:rPr>
              <w:t>登录【全国公共资源交易平台</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zh-CN"/>
              </w:rPr>
              <w:t>河南省</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zh-CN"/>
              </w:rPr>
              <w:t>许昌市</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zh-CN"/>
              </w:rPr>
              <w:t>供应商</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zh-CN"/>
              </w:rPr>
              <w:t>供应商登录</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zh-CN"/>
              </w:rPr>
              <w:t>入口</w:t>
            </w:r>
            <w:r>
              <w:rPr>
                <w:rFonts w:hint="eastAsia" w:asciiTheme="minorEastAsia" w:hAnsiTheme="minorEastAsia" w:eastAsiaTheme="minorEastAsia" w:cstheme="minorEastAsia"/>
                <w:szCs w:val="21"/>
              </w:rPr>
              <w:t>（http://221.14.6.70:8088/ggzy/），</w:t>
            </w:r>
            <w:r>
              <w:rPr>
                <w:rFonts w:hint="eastAsia" w:asciiTheme="minorEastAsia" w:hAnsiTheme="minorEastAsia" w:eastAsiaTheme="minorEastAsia" w:cstheme="minorEastAsia"/>
                <w:szCs w:val="21"/>
                <w:lang w:val="zh-CN"/>
              </w:rPr>
              <w:t>在报名期限内报名。（详见网站首页“常见问题解答-交易系统操作手册”）。</w:t>
            </w:r>
          </w:p>
          <w:p>
            <w:pPr>
              <w:autoSpaceDE w:val="0"/>
              <w:autoSpaceDN w:val="0"/>
              <w:adjustRightInd w:val="0"/>
              <w:spacing w:line="360" w:lineRule="auto"/>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（3）未通过全国公共资源交易平台（河南省·许昌市）下载招标文件的投标企业,拒收其递交的投标文件。</w:t>
            </w:r>
          </w:p>
          <w:p>
            <w:pPr>
              <w:autoSpaceDE w:val="0"/>
              <w:autoSpaceDN w:val="0"/>
              <w:adjustRightInd w:val="0"/>
              <w:spacing w:line="360" w:lineRule="auto"/>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（4）招标文件的下载：报名期限内，供应商登录《全国公共资源交易平台（河南省·许昌市）》自行下载本项目招标文件。</w:t>
            </w:r>
          </w:p>
          <w:p>
            <w:pPr>
              <w:autoSpaceDE w:val="0"/>
              <w:autoSpaceDN w:val="0"/>
              <w:adjustRightInd w:val="0"/>
              <w:spacing w:line="360" w:lineRule="auto"/>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（5）招标文件费用：供应商在递交纸制投标文件时向代理公司缴纳招标文件费用，本项目招标文件费用为300元/标包，售后不退。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4" w:hRule="atLeast"/>
        </w:trPr>
        <w:tc>
          <w:tcPr>
            <w:tcW w:w="1760" w:type="dxa"/>
            <w:vAlign w:val="center"/>
          </w:tcPr>
          <w:p>
            <w:pPr>
              <w:keepNext/>
              <w:keepLines/>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现场勘查</w:t>
            </w:r>
          </w:p>
        </w:tc>
        <w:tc>
          <w:tcPr>
            <w:tcW w:w="7862" w:type="dxa"/>
            <w:vAlign w:val="center"/>
          </w:tcPr>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供应商自行组织调研。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202" w:hRule="atLeast"/>
        </w:trPr>
        <w:tc>
          <w:tcPr>
            <w:tcW w:w="1760" w:type="dxa"/>
            <w:vAlign w:val="center"/>
          </w:tcPr>
          <w:p>
            <w:pPr>
              <w:keepNext/>
              <w:keepLines/>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投标文件</w:t>
            </w:r>
          </w:p>
        </w:tc>
        <w:tc>
          <w:tcPr>
            <w:tcW w:w="7862" w:type="dxa"/>
            <w:vAlign w:val="center"/>
          </w:tcPr>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本项目为全流程电子化交易项目，供应商须提交电子投标文件和纸质投标文件。</w:t>
            </w:r>
          </w:p>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1、加密电子投标文件（.file格式）须在投标截止时间（开标时间）前通过《全国公共资源交易平台(河南省▪许昌市)》公共资源交易系统成功上传。</w:t>
            </w:r>
          </w:p>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2、纸质投标文件（正本1份、副本4份）和备份文件1份（使用电子U盘存储）在投标截止时间（开标时间）前递交至本项目开标地点。</w:t>
            </w:r>
          </w:p>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纸质版投标文件需按招标文件的格式，在规定签字的地方签字，在规定盖章的地方盖章（单位公章）。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2" w:hRule="atLeast"/>
        </w:trPr>
        <w:tc>
          <w:tcPr>
            <w:tcW w:w="1760" w:type="dxa"/>
            <w:vAlign w:val="center"/>
          </w:tcPr>
          <w:p>
            <w:pPr>
              <w:keepNext/>
              <w:keepLines/>
              <w:spacing w:line="360" w:lineRule="auto"/>
              <w:ind w:left="-199" w:leftChars="-95" w:right="-134" w:rightChars="-64"/>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投标书递交地点</w:t>
            </w:r>
          </w:p>
        </w:tc>
        <w:tc>
          <w:tcPr>
            <w:tcW w:w="7862" w:type="dxa"/>
            <w:vAlign w:val="center"/>
          </w:tcPr>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长葛市公共资源交易中心开标室（长葛市葛天大道东段商务区6#楼4楼418室）。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2" w:hRule="atLeast"/>
        </w:trPr>
        <w:tc>
          <w:tcPr>
            <w:tcW w:w="1760" w:type="dxa"/>
            <w:vAlign w:val="center"/>
          </w:tcPr>
          <w:p>
            <w:pPr>
              <w:keepNext/>
              <w:keepLines/>
              <w:spacing w:line="360" w:lineRule="auto"/>
              <w:ind w:left="-199" w:leftChars="-95" w:right="-134" w:rightChars="-64"/>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投标截止时间</w:t>
            </w:r>
          </w:p>
        </w:tc>
        <w:tc>
          <w:tcPr>
            <w:tcW w:w="7862" w:type="dxa"/>
            <w:vAlign w:val="center"/>
          </w:tcPr>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投标截止时间及开标时间：2018年</w:t>
            </w:r>
            <w:r>
              <w:rPr>
                <w:rFonts w:hint="eastAsia" w:asciiTheme="minorEastAsia" w:hAnsiTheme="minorEastAsia" w:eastAsiaTheme="minorEastAsia" w:cstheme="minorEastAsia"/>
                <w:szCs w:val="21"/>
                <w:lang w:val="en-US" w:eastAsia="zh-CN"/>
              </w:rPr>
              <w:t>11</w:t>
            </w:r>
            <w:r>
              <w:rPr>
                <w:rFonts w:hint="eastAsia" w:asciiTheme="minorEastAsia" w:hAnsiTheme="minorEastAsia" w:eastAsiaTheme="minorEastAsia" w:cstheme="minorEastAsia"/>
                <w:szCs w:val="21"/>
                <w:lang w:val="zh-CN"/>
              </w:rPr>
              <w:t>月</w:t>
            </w:r>
            <w:r>
              <w:rPr>
                <w:rFonts w:hint="eastAsia" w:asciiTheme="minorEastAsia" w:hAnsiTheme="minorEastAsia" w:eastAsiaTheme="minorEastAsia" w:cstheme="minorEastAsia"/>
                <w:szCs w:val="21"/>
                <w:lang w:val="en-US" w:eastAsia="zh-CN"/>
              </w:rPr>
              <w:t>19</w:t>
            </w:r>
            <w:r>
              <w:rPr>
                <w:rFonts w:hint="eastAsia" w:asciiTheme="minorEastAsia" w:hAnsiTheme="minorEastAsia" w:eastAsiaTheme="minorEastAsia" w:cstheme="minorEastAsia"/>
                <w:szCs w:val="21"/>
                <w:lang w:val="zh-CN"/>
              </w:rPr>
              <w:t>日</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lang w:val="zh-CN"/>
              </w:rPr>
              <w:t>时</w:t>
            </w:r>
            <w:r>
              <w:rPr>
                <w:rFonts w:hint="eastAsia" w:asciiTheme="minorEastAsia" w:hAnsiTheme="minorEastAsia" w:eastAsiaTheme="minorEastAsia" w:cstheme="minorEastAsia"/>
                <w:szCs w:val="21"/>
                <w:lang w:val="en-US" w:eastAsia="zh-CN"/>
              </w:rPr>
              <w:t>00</w:t>
            </w:r>
            <w:r>
              <w:rPr>
                <w:rFonts w:hint="eastAsia" w:asciiTheme="minorEastAsia" w:hAnsiTheme="minorEastAsia" w:eastAsiaTheme="minorEastAsia" w:cstheme="minorEastAsia"/>
                <w:szCs w:val="21"/>
                <w:lang w:val="zh-CN"/>
              </w:rPr>
              <w:t>分 (北京时间)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2" w:hRule="atLeast"/>
        </w:trPr>
        <w:tc>
          <w:tcPr>
            <w:tcW w:w="1760" w:type="dxa"/>
            <w:vAlign w:val="center"/>
          </w:tcPr>
          <w:p>
            <w:pPr>
              <w:keepNext/>
              <w:keepLines/>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投标有效期</w:t>
            </w:r>
          </w:p>
        </w:tc>
        <w:tc>
          <w:tcPr>
            <w:tcW w:w="7862" w:type="dxa"/>
            <w:vAlign w:val="center"/>
          </w:tcPr>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自开标之日起60天,供应商应当在投标有效期内办理相关事宜。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760" w:type="dxa"/>
            <w:vAlign w:val="center"/>
          </w:tcPr>
          <w:p>
            <w:pPr>
              <w:keepNext/>
              <w:keepLines/>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投标保证金</w:t>
            </w:r>
          </w:p>
        </w:tc>
        <w:tc>
          <w:tcPr>
            <w:tcW w:w="7862" w:type="dxa"/>
            <w:vAlign w:val="center"/>
          </w:tcPr>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各供应商须按本采购文件规定缴纳投标保证金。</w:t>
            </w:r>
          </w:p>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投标保证金为投标文件的组成部分之一。</w:t>
            </w:r>
          </w:p>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投标保证金用于保护本次采购人免受供应商的行为而引起的风险。</w:t>
            </w:r>
          </w:p>
          <w:p>
            <w:pPr>
              <w:autoSpaceDE w:val="0"/>
              <w:autoSpaceDN w:val="0"/>
              <w:adjustRightInd w:val="0"/>
              <w:spacing w:line="360" w:lineRule="auto"/>
              <w:ind w:firstLine="422" w:firstLineChars="200"/>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投标保证金的缴纳</w:t>
            </w:r>
          </w:p>
          <w:p>
            <w:pPr>
              <w:numPr>
                <w:ilvl w:val="0"/>
                <w:numId w:val="1"/>
              </w:numPr>
              <w:tabs>
                <w:tab w:val="left" w:pos="1260"/>
              </w:tabs>
              <w:autoSpaceDE w:val="0"/>
              <w:autoSpaceDN w:val="0"/>
              <w:adjustRightInd w:val="0"/>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递交截止时间：2018年</w:t>
            </w:r>
            <w:r>
              <w:rPr>
                <w:rFonts w:hint="eastAsia" w:asciiTheme="minorEastAsia" w:hAnsiTheme="minorEastAsia" w:eastAsiaTheme="minorEastAsia" w:cstheme="minorEastAsia"/>
                <w:szCs w:val="21"/>
                <w:lang w:val="en-US" w:eastAsia="zh-CN"/>
              </w:rPr>
              <w:t>11</w:t>
            </w:r>
            <w:r>
              <w:rPr>
                <w:rFonts w:hint="eastAsia" w:asciiTheme="minorEastAsia" w:hAnsiTheme="minorEastAsia" w:eastAsiaTheme="minorEastAsia" w:cstheme="minorEastAsia"/>
                <w:szCs w:val="21"/>
                <w:lang w:val="zh-CN"/>
              </w:rPr>
              <w:t>月</w:t>
            </w:r>
            <w:r>
              <w:rPr>
                <w:rFonts w:hint="eastAsia" w:asciiTheme="minorEastAsia" w:hAnsiTheme="minorEastAsia" w:eastAsiaTheme="minorEastAsia" w:cstheme="minorEastAsia"/>
                <w:szCs w:val="21"/>
                <w:lang w:val="en-US" w:eastAsia="zh-CN"/>
              </w:rPr>
              <w:t>19</w:t>
            </w:r>
            <w:r>
              <w:rPr>
                <w:rFonts w:hint="eastAsia" w:asciiTheme="minorEastAsia" w:hAnsiTheme="minorEastAsia" w:eastAsiaTheme="minorEastAsia" w:cstheme="minorEastAsia"/>
                <w:szCs w:val="21"/>
                <w:lang w:val="zh-CN"/>
              </w:rPr>
              <w:t>日</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lang w:val="zh-CN"/>
              </w:rPr>
              <w:t xml:space="preserve"> 时</w:t>
            </w:r>
            <w:r>
              <w:rPr>
                <w:rFonts w:hint="eastAsia" w:asciiTheme="minorEastAsia" w:hAnsiTheme="minorEastAsia" w:eastAsiaTheme="minorEastAsia" w:cstheme="minorEastAsia"/>
                <w:szCs w:val="21"/>
                <w:lang w:val="en-US" w:eastAsia="zh-CN"/>
              </w:rPr>
              <w:t>00</w:t>
            </w:r>
            <w:r>
              <w:rPr>
                <w:rFonts w:hint="eastAsia" w:asciiTheme="minorEastAsia" w:hAnsiTheme="minorEastAsia" w:eastAsiaTheme="minorEastAsia" w:cstheme="minorEastAsia"/>
                <w:szCs w:val="21"/>
                <w:lang w:val="zh-CN"/>
              </w:rPr>
              <w:t>分。</w:t>
            </w:r>
          </w:p>
          <w:p>
            <w:pPr>
              <w:tabs>
                <w:tab w:val="left" w:pos="1260"/>
              </w:tabs>
              <w:autoSpaceDE w:val="0"/>
              <w:autoSpaceDN w:val="0"/>
              <w:adjustRightInd w:val="0"/>
              <w:spacing w:line="360" w:lineRule="auto"/>
              <w:contextualSpacing/>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zh-CN"/>
              </w:rPr>
              <w:t>金额：</w:t>
            </w:r>
          </w:p>
          <w:p>
            <w:pPr>
              <w:tabs>
                <w:tab w:val="left" w:pos="1260"/>
              </w:tabs>
              <w:autoSpaceDE w:val="0"/>
              <w:autoSpaceDN w:val="0"/>
              <w:adjustRightInd w:val="0"/>
              <w:spacing w:line="360" w:lineRule="auto"/>
              <w:contextualSpacing/>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一标：人民币 贰万贰仟元整（￥ 22000.00）</w:t>
            </w:r>
          </w:p>
          <w:p>
            <w:pPr>
              <w:tabs>
                <w:tab w:val="left" w:pos="1260"/>
              </w:tabs>
              <w:autoSpaceDE w:val="0"/>
              <w:autoSpaceDN w:val="0"/>
              <w:adjustRightInd w:val="0"/>
              <w:spacing w:line="360" w:lineRule="auto"/>
              <w:contextualSpacing/>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二标：人民币 贰万玖仟元整（￥ 29000.00）</w:t>
            </w:r>
          </w:p>
          <w:p>
            <w:pPr>
              <w:tabs>
                <w:tab w:val="left" w:pos="1260"/>
              </w:tabs>
              <w:autoSpaceDE w:val="0"/>
              <w:autoSpaceDN w:val="0"/>
              <w:adjustRightInd w:val="0"/>
              <w:spacing w:line="360" w:lineRule="auto"/>
              <w:contextualSpacing/>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三标：人民币 壹万玖仟元整（￥ 19000.00）</w:t>
            </w:r>
          </w:p>
          <w:p>
            <w:pPr>
              <w:tabs>
                <w:tab w:val="left" w:pos="1260"/>
              </w:tabs>
              <w:autoSpaceDE w:val="0"/>
              <w:autoSpaceDN w:val="0"/>
              <w:adjustRightInd w:val="0"/>
              <w:spacing w:line="360" w:lineRule="auto"/>
              <w:contextualSpacing/>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四标：人民币 壹万贰仟元整（￥ 12000.00）</w:t>
            </w:r>
          </w:p>
          <w:p>
            <w:pPr>
              <w:tabs>
                <w:tab w:val="left" w:pos="1260"/>
              </w:tabs>
              <w:autoSpaceDE w:val="0"/>
              <w:autoSpaceDN w:val="0"/>
              <w:adjustRightInd w:val="0"/>
              <w:spacing w:line="360" w:lineRule="auto"/>
              <w:contextualSpacing/>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五标：人民币 贰万元整（￥ 20000.00）</w:t>
            </w:r>
          </w:p>
          <w:p>
            <w:pPr>
              <w:tabs>
                <w:tab w:val="left" w:pos="1260"/>
              </w:tabs>
              <w:autoSpaceDE w:val="0"/>
              <w:autoSpaceDN w:val="0"/>
              <w:adjustRightInd w:val="0"/>
              <w:spacing w:line="360" w:lineRule="auto"/>
              <w:contextualSpacing/>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六标：人民币 肆仟柒佰元整（￥ 4700.00）</w:t>
            </w:r>
          </w:p>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递交方式：银行转账、银行电汇，不接受以现金方式缴纳的投标保证金。凡以现金方式缴纳投标保证金而影响其投标结果的，由供应商自行负责。</w:t>
            </w:r>
          </w:p>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供应商的投标保证金须从其公司注册银行账户转出，于截止时间前将款项一次足额递交、成功绑定，以收款人到账时间为准，在途资金无效，视为未按时交纳。同时供应商应承担节假日、异地、跨行等带来的银行系统不能支付的风险。</w:t>
            </w:r>
          </w:p>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4、基本户备案：自文件发布之日起，供应商需进行基本户备案；已备案的基本户，其开户银行及账户发生变化的，须在投标保证金缴纳前办理变更手续。</w:t>
            </w:r>
          </w:p>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5、其他事项详见本招标文件供应商须知。</w:t>
            </w:r>
          </w:p>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保证金缴纳绑定问题咨询电话:0374-2961598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trPr>
        <w:tc>
          <w:tcPr>
            <w:tcW w:w="1760" w:type="dxa"/>
            <w:vAlign w:val="center"/>
          </w:tcPr>
          <w:p>
            <w:pPr>
              <w:keepNext/>
              <w:keepLines/>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履约保证金</w:t>
            </w:r>
          </w:p>
        </w:tc>
        <w:tc>
          <w:tcPr>
            <w:tcW w:w="7862" w:type="dxa"/>
            <w:vAlign w:val="center"/>
          </w:tcPr>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根据《中华人民共和国政府采购法实施条例》第四十八条之规定，本项目按合同(中标)金额的10%收取履约保证金。</w:t>
            </w:r>
          </w:p>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 由中标(成交)供应商在成交后于签订合同前足额提交至长葛市公共资源交易中心账户。</w:t>
            </w:r>
          </w:p>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     开 户 行：中国银行长葛支行营业部</w:t>
            </w:r>
            <w:r>
              <w:rPr>
                <w:rFonts w:hint="eastAsia" w:asciiTheme="minorEastAsia" w:hAnsiTheme="minorEastAsia" w:eastAsiaTheme="minorEastAsia" w:cstheme="minorEastAsia"/>
                <w:szCs w:val="21"/>
                <w:lang w:val="zh-CN"/>
              </w:rPr>
              <w:br w:type="textWrapping"/>
            </w:r>
            <w:r>
              <w:rPr>
                <w:rFonts w:hint="eastAsia" w:asciiTheme="minorEastAsia" w:hAnsiTheme="minorEastAsia" w:eastAsiaTheme="minorEastAsia" w:cstheme="minorEastAsia"/>
                <w:szCs w:val="21"/>
                <w:lang w:val="zh-CN"/>
              </w:rPr>
              <w:t xml:space="preserve">     户  名：长葛市公共资源交易中心</w:t>
            </w:r>
            <w:r>
              <w:rPr>
                <w:rFonts w:hint="eastAsia" w:asciiTheme="minorEastAsia" w:hAnsiTheme="minorEastAsia" w:eastAsiaTheme="minorEastAsia" w:cstheme="minorEastAsia"/>
                <w:szCs w:val="21"/>
                <w:lang w:val="zh-CN"/>
              </w:rPr>
              <w:br w:type="textWrapping"/>
            </w:r>
            <w:r>
              <w:rPr>
                <w:rFonts w:hint="eastAsia" w:asciiTheme="minorEastAsia" w:hAnsiTheme="minorEastAsia" w:eastAsiaTheme="minorEastAsia" w:cstheme="minorEastAsia"/>
                <w:szCs w:val="21"/>
                <w:lang w:val="zh-CN"/>
              </w:rPr>
              <w:t xml:space="preserve">     账  号：246852074836</w:t>
            </w:r>
            <w:r>
              <w:rPr>
                <w:rFonts w:hint="eastAsia" w:asciiTheme="minorEastAsia" w:hAnsiTheme="minorEastAsia" w:eastAsiaTheme="minorEastAsia" w:cstheme="minorEastAsia"/>
                <w:szCs w:val="21"/>
                <w:lang w:val="zh-CN"/>
              </w:rPr>
              <w:br w:type="textWrapping"/>
            </w:r>
            <w:r>
              <w:rPr>
                <w:rFonts w:hint="eastAsia" w:asciiTheme="minorEastAsia" w:hAnsiTheme="minorEastAsia" w:eastAsiaTheme="minorEastAsia" w:cstheme="minorEastAsia"/>
                <w:szCs w:val="21"/>
                <w:lang w:val="zh-CN"/>
              </w:rPr>
              <w:t xml:space="preserve">     履约担保的形式：基本户转账，在中标人签订合同前办理。</w:t>
            </w:r>
            <w:r>
              <w:rPr>
                <w:rFonts w:hint="eastAsia" w:asciiTheme="minorEastAsia" w:hAnsiTheme="minorEastAsia" w:eastAsiaTheme="minorEastAsia" w:cstheme="minorEastAsia"/>
                <w:szCs w:val="21"/>
                <w:lang w:val="zh-CN"/>
              </w:rPr>
              <w:br w:type="textWrapping"/>
            </w:r>
            <w:r>
              <w:rPr>
                <w:rFonts w:hint="eastAsia" w:asciiTheme="minorEastAsia" w:hAnsiTheme="minorEastAsia" w:eastAsiaTheme="minorEastAsia" w:cstheme="minorEastAsia"/>
                <w:szCs w:val="21"/>
                <w:lang w:val="zh-CN"/>
              </w:rPr>
              <w:t xml:space="preserve">     履约担保的金额：中标金额的10%。</w:t>
            </w:r>
          </w:p>
          <w:p>
            <w:pPr>
              <w:autoSpaceDE w:val="0"/>
              <w:autoSpaceDN w:val="0"/>
              <w:adjustRightInd w:val="0"/>
              <w:spacing w:line="360" w:lineRule="auto"/>
              <w:ind w:right="-88" w:rightChars="-42"/>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     供货完毕，验收合格后5个工作日内，自行到长葛市公共资源交易中心办理退还业务。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760" w:type="dxa"/>
            <w:vAlign w:val="center"/>
          </w:tcPr>
          <w:p>
            <w:pPr>
              <w:keepNext/>
              <w:keepLines/>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类似项目</w:t>
            </w:r>
          </w:p>
        </w:tc>
        <w:tc>
          <w:tcPr>
            <w:tcW w:w="7862" w:type="dxa"/>
            <w:vAlign w:val="center"/>
          </w:tcPr>
          <w:p>
            <w:pPr>
              <w:autoSpaceDE w:val="0"/>
              <w:autoSpaceDN w:val="0"/>
              <w:adjustRightInd w:val="0"/>
              <w:spacing w:line="360" w:lineRule="auto"/>
              <w:ind w:right="-88" w:rightChars="-42"/>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一至三标包：全国土地调查项目或农村集体土地确权登记项目或者两区划定测绘项目业绩；</w:t>
            </w:r>
          </w:p>
          <w:p>
            <w:pPr>
              <w:autoSpaceDE w:val="0"/>
              <w:autoSpaceDN w:val="0"/>
              <w:adjustRightInd w:val="0"/>
              <w:spacing w:line="360" w:lineRule="auto"/>
              <w:ind w:right="-88" w:rightChars="-42"/>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四标包：2012年以来完成的航空摄影项目（时间以合同签订日期为准，面积不小于600平方公里）业绩；</w:t>
            </w:r>
          </w:p>
          <w:p>
            <w:pPr>
              <w:autoSpaceDE w:val="0"/>
              <w:autoSpaceDN w:val="0"/>
              <w:adjustRightInd w:val="0"/>
              <w:spacing w:line="360" w:lineRule="auto"/>
              <w:ind w:right="-88" w:rightChars="-42"/>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五标包：数据库整合建库工作（如城镇地籍调查数据库建设、农村集体土地数据库建设、不动产数据整合建库、农村土地承包经营权数据库建设、两区划定数据库建设等）或软件开发工作（如农村集体土地数据库管理系统、一张图数据库系统、不动产登记平台系统、三调相关软件系统等）业绩；</w:t>
            </w:r>
          </w:p>
          <w:p>
            <w:pPr>
              <w:autoSpaceDE w:val="0"/>
              <w:autoSpaceDN w:val="0"/>
              <w:adjustRightInd w:val="0"/>
              <w:spacing w:line="360" w:lineRule="auto"/>
              <w:ind w:right="-88" w:rightChars="-42"/>
              <w:rPr>
                <w:lang w:val="zh-CN"/>
              </w:rPr>
            </w:pPr>
            <w:r>
              <w:rPr>
                <w:rFonts w:hint="eastAsia" w:asciiTheme="minorEastAsia" w:hAnsiTheme="minorEastAsia" w:eastAsiaTheme="minorEastAsia" w:cstheme="minorEastAsia"/>
                <w:szCs w:val="21"/>
                <w:lang w:val="zh-CN"/>
              </w:rPr>
              <w:t>六标包：2012年以来（以合同时间为准）承担过的土地调查确权监理项目或测绘监理项目业绩。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760" w:type="dxa"/>
            <w:vAlign w:val="center"/>
          </w:tcPr>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付款方法</w:t>
            </w:r>
          </w:p>
        </w:tc>
        <w:tc>
          <w:tcPr>
            <w:tcW w:w="7862" w:type="dxa"/>
            <w:vAlign w:val="center"/>
          </w:tcPr>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中标后由甲乙双方在签订合同时自行约定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1760" w:type="dxa"/>
            <w:vAlign w:val="center"/>
          </w:tcPr>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特别说明</w:t>
            </w:r>
          </w:p>
        </w:tc>
        <w:tc>
          <w:tcPr>
            <w:tcW w:w="7862" w:type="dxa"/>
            <w:vAlign w:val="center"/>
          </w:tcPr>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2.不接受备选方案。</w:t>
            </w:r>
          </w:p>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3.不接受进口产品投标。</w:t>
            </w:r>
          </w:p>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4.本招标文件的解释权归采购人及所委托的代理机构。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1760" w:type="dxa"/>
            <w:vAlign w:val="center"/>
          </w:tcPr>
          <w:p>
            <w:pPr>
              <w:keepNext/>
              <w:keepLines/>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招标服务费</w:t>
            </w:r>
          </w:p>
        </w:tc>
        <w:tc>
          <w:tcPr>
            <w:tcW w:w="7862" w:type="dxa"/>
            <w:vAlign w:val="center"/>
          </w:tcPr>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由中标人按照中标价的1.5%在中标通知书发放前一次性向招标代理机构支付。</w:t>
            </w:r>
          </w:p>
        </w:tc>
      </w:tr>
    </w:tbl>
    <w:p>
      <w:pPr>
        <w:keepNext/>
        <w:keepLines/>
        <w:spacing w:line="360" w:lineRule="auto"/>
        <w:rPr>
          <w:rFonts w:asciiTheme="minorEastAsia" w:hAnsiTheme="minorEastAsia" w:eastAsiaTheme="minorEastAsia" w:cstheme="minorEastAsia"/>
          <w:b/>
          <w:szCs w:val="21"/>
        </w:rPr>
      </w:pPr>
    </w:p>
    <w:p>
      <w:pPr>
        <w:keepNext/>
        <w:keepLines/>
        <w:spacing w:afterLines="50" w:line="360" w:lineRule="auto"/>
        <w:ind w:firstLine="316" w:firstLineChars="150"/>
        <w:jc w:val="left"/>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br w:type="page"/>
      </w:r>
    </w:p>
    <w:p>
      <w:pPr>
        <w:keepNext/>
        <w:keepLines/>
        <w:spacing w:afterLines="50" w:line="360" w:lineRule="auto"/>
        <w:ind w:firstLine="316" w:firstLineChars="150"/>
        <w:jc w:val="left"/>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一、总则</w:t>
      </w:r>
    </w:p>
    <w:p>
      <w:pPr>
        <w:keepNext/>
        <w:keepLines/>
        <w:tabs>
          <w:tab w:val="left" w:pos="3300"/>
          <w:tab w:val="center" w:pos="4776"/>
        </w:tabs>
        <w:spacing w:line="360" w:lineRule="auto"/>
        <w:ind w:firstLine="413" w:firstLineChars="196"/>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1.适用范围：</w:t>
      </w:r>
      <w:r>
        <w:rPr>
          <w:rFonts w:hint="eastAsia" w:asciiTheme="minorEastAsia" w:hAnsiTheme="minorEastAsia" w:eastAsiaTheme="minorEastAsia" w:cstheme="minorEastAsia"/>
          <w:bCs/>
          <w:szCs w:val="21"/>
        </w:rPr>
        <w:t>本须知适用于招标文件中所述相关服务的政府采购招标投标活动。</w:t>
      </w:r>
    </w:p>
    <w:p>
      <w:pPr>
        <w:keepNext/>
        <w:keepLines/>
        <w:tabs>
          <w:tab w:val="left" w:pos="3300"/>
          <w:tab w:val="center" w:pos="4776"/>
        </w:tabs>
        <w:spacing w:line="360" w:lineRule="auto"/>
        <w:ind w:firstLine="413" w:firstLineChars="196"/>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2.定义：</w:t>
      </w:r>
    </w:p>
    <w:p>
      <w:pPr>
        <w:keepNext/>
        <w:keepLines/>
        <w:tabs>
          <w:tab w:val="left" w:pos="3300"/>
          <w:tab w:val="center" w:pos="4776"/>
        </w:tabs>
        <w:spacing w:line="360" w:lineRule="auto"/>
        <w:ind w:firstLine="411" w:firstLineChars="196"/>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2.1“采购代理机构”是指受采购单位的委托依法具体组织招标活动的采购代理机构。</w:t>
      </w:r>
    </w:p>
    <w:p>
      <w:pPr>
        <w:keepNext/>
        <w:keepLines/>
        <w:tabs>
          <w:tab w:val="left" w:pos="3300"/>
          <w:tab w:val="center" w:pos="4776"/>
        </w:tabs>
        <w:spacing w:line="360" w:lineRule="auto"/>
        <w:ind w:firstLine="411" w:firstLineChars="196"/>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2.2“采购人”是指依法进行政府采购的国家机关、事业单位、团体组织。</w:t>
      </w:r>
    </w:p>
    <w:p>
      <w:pPr>
        <w:keepNext/>
        <w:keepLines/>
        <w:tabs>
          <w:tab w:val="left" w:pos="3300"/>
          <w:tab w:val="center" w:pos="4776"/>
        </w:tabs>
        <w:spacing w:line="360" w:lineRule="auto"/>
        <w:ind w:firstLine="411" w:firstLineChars="196"/>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2.3“招标项目”是指招标文件中所述相关服务。</w:t>
      </w:r>
    </w:p>
    <w:p>
      <w:pPr>
        <w:keepNext/>
        <w:keepLines/>
        <w:tabs>
          <w:tab w:val="left" w:pos="3300"/>
          <w:tab w:val="center" w:pos="4776"/>
        </w:tabs>
        <w:spacing w:line="360" w:lineRule="auto"/>
        <w:ind w:firstLine="411" w:firstLineChars="196"/>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2.4“公开招标”是指采购人依法以招标公告的方式邀请非特定的供应商参加投标的采购方式。</w:t>
      </w:r>
    </w:p>
    <w:p>
      <w:pPr>
        <w:keepNext/>
        <w:keepLines/>
        <w:tabs>
          <w:tab w:val="left" w:pos="3300"/>
          <w:tab w:val="center" w:pos="4776"/>
        </w:tabs>
        <w:spacing w:line="360" w:lineRule="auto"/>
        <w:ind w:firstLine="411" w:firstLineChars="196"/>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2.5“潜在供应商”是指知悉采购代理机构公布的招标项目的有关条件和要求，有可能愿意参加投标竞争的供应商。</w:t>
      </w:r>
    </w:p>
    <w:p>
      <w:pPr>
        <w:keepNext/>
        <w:keepLines/>
        <w:tabs>
          <w:tab w:val="left" w:pos="3300"/>
          <w:tab w:val="center" w:pos="4776"/>
        </w:tabs>
        <w:spacing w:line="360" w:lineRule="auto"/>
        <w:ind w:firstLine="420" w:firstLineChars="200"/>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2.5“供应商”，是指响应招标、参加投标竞争的法人、其他组织或者自然人。</w:t>
      </w:r>
    </w:p>
    <w:p>
      <w:pPr>
        <w:keepNext/>
        <w:keepLines/>
        <w:tabs>
          <w:tab w:val="left" w:pos="3300"/>
          <w:tab w:val="center" w:pos="4776"/>
        </w:tabs>
        <w:spacing w:line="360" w:lineRule="auto"/>
        <w:ind w:firstLine="413" w:firstLineChars="196"/>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3.合格供应商的资格条件</w:t>
      </w:r>
    </w:p>
    <w:p>
      <w:pPr>
        <w:keepNext/>
        <w:keepLines/>
        <w:tabs>
          <w:tab w:val="left" w:pos="3300"/>
          <w:tab w:val="center" w:pos="4776"/>
        </w:tabs>
        <w:spacing w:line="360" w:lineRule="auto"/>
        <w:ind w:firstLine="367" w:firstLineChars="175"/>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凡符合下列条件的潜在供应商是合格的供应商，均可参加投标。</w:t>
      </w:r>
    </w:p>
    <w:p>
      <w:pPr>
        <w:keepNext/>
        <w:keepLines/>
        <w:tabs>
          <w:tab w:val="left" w:pos="3300"/>
          <w:tab w:val="center" w:pos="4776"/>
        </w:tabs>
        <w:spacing w:line="360" w:lineRule="auto"/>
        <w:ind w:firstLine="420" w:firstLineChars="200"/>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3.1在中华人民共和国境内注册，能够独立承担民事责任，有生产或经营能力的法人、其他组织或自然人（如果投标货物实行许可证制度，则须持有相应的许可证）。</w:t>
      </w:r>
    </w:p>
    <w:p>
      <w:pPr>
        <w:keepNext/>
        <w:keepLines/>
        <w:tabs>
          <w:tab w:val="left" w:pos="3300"/>
          <w:tab w:val="center" w:pos="4776"/>
        </w:tabs>
        <w:spacing w:line="360" w:lineRule="auto"/>
        <w:ind w:firstLine="420" w:firstLineChars="200"/>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3.2遵守国家有关法律、法规、规章以及与政府采购有关的规章制度，具有良好的商业信誉和健全的财务会计制度。</w:t>
      </w:r>
    </w:p>
    <w:p>
      <w:pPr>
        <w:keepNext/>
        <w:keepLines/>
        <w:tabs>
          <w:tab w:val="left" w:pos="3300"/>
          <w:tab w:val="center" w:pos="4776"/>
        </w:tabs>
        <w:spacing w:line="360" w:lineRule="auto"/>
        <w:ind w:firstLine="420" w:firstLineChars="200"/>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3.3具备履行政府采购合同所必需的资金、技术和生产能力，向采购单位提供满意的、证明所有货物及其辅助服务来源的文件，并提供其有资格参加投标和中标后有能力履行政府采购合同的证明。</w:t>
      </w:r>
    </w:p>
    <w:p>
      <w:pPr>
        <w:keepNext/>
        <w:keepLines/>
        <w:tabs>
          <w:tab w:val="left" w:pos="3300"/>
          <w:tab w:val="center" w:pos="4776"/>
        </w:tabs>
        <w:spacing w:line="360" w:lineRule="auto"/>
        <w:ind w:firstLine="420" w:firstLineChars="200"/>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3.4有依法交纳税收和社会保障资金的良好记录。</w:t>
      </w:r>
    </w:p>
    <w:p>
      <w:pPr>
        <w:keepNext/>
        <w:keepLines/>
        <w:tabs>
          <w:tab w:val="left" w:pos="3300"/>
          <w:tab w:val="center" w:pos="4776"/>
        </w:tabs>
        <w:spacing w:line="360" w:lineRule="auto"/>
        <w:ind w:firstLine="420" w:firstLineChars="200"/>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3.5参加政府采购活动前三年内，在经营活动中没有重大违法记录。</w:t>
      </w:r>
    </w:p>
    <w:p>
      <w:pPr>
        <w:keepNext/>
        <w:keepLines/>
        <w:tabs>
          <w:tab w:val="left" w:pos="3300"/>
          <w:tab w:val="center" w:pos="4776"/>
        </w:tabs>
        <w:spacing w:line="360" w:lineRule="auto"/>
        <w:ind w:firstLine="420" w:firstLineChars="200"/>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3.6能够按照招标文件的要求编制投标文件，并对招标文件提出的要求和条件做出实质性响应。</w:t>
      </w:r>
    </w:p>
    <w:p>
      <w:pPr>
        <w:keepNext/>
        <w:keepLines/>
        <w:tabs>
          <w:tab w:val="left" w:pos="3300"/>
          <w:tab w:val="center" w:pos="4776"/>
        </w:tabs>
        <w:spacing w:line="360" w:lineRule="auto"/>
        <w:ind w:firstLine="420" w:firstLineChars="200"/>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3.7满足招标文件其它章节规定的其他条件。</w:t>
      </w:r>
    </w:p>
    <w:p>
      <w:pPr>
        <w:keepNext/>
        <w:keepLines/>
        <w:tabs>
          <w:tab w:val="left" w:pos="3300"/>
          <w:tab w:val="center" w:pos="4776"/>
        </w:tabs>
        <w:spacing w:line="360" w:lineRule="auto"/>
        <w:ind w:firstLine="420" w:firstLineChars="200"/>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3.8符合法律、行政法规规定的其他条件。</w:t>
      </w:r>
    </w:p>
    <w:p>
      <w:pPr>
        <w:keepNext/>
        <w:keepLines/>
        <w:tabs>
          <w:tab w:val="left" w:pos="3300"/>
          <w:tab w:val="center" w:pos="4776"/>
        </w:tabs>
        <w:spacing w:line="360" w:lineRule="auto"/>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4.相关服务</w:t>
      </w:r>
    </w:p>
    <w:p>
      <w:pPr>
        <w:keepNext/>
        <w:keepLines/>
        <w:tabs>
          <w:tab w:val="left" w:pos="3300"/>
          <w:tab w:val="center" w:pos="4776"/>
        </w:tabs>
        <w:spacing w:line="360" w:lineRule="auto"/>
        <w:ind w:firstLine="420" w:firstLineChars="200"/>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4.1供应商除按照招标文件的要求提供服务。供应商为完成服务所购买的设备、器材、工具、工资及税金等，以上的费用应包含在总报价中，不单独进行支付。</w:t>
      </w:r>
    </w:p>
    <w:p>
      <w:pPr>
        <w:keepNext/>
        <w:keepLines/>
        <w:tabs>
          <w:tab w:val="left" w:pos="3300"/>
          <w:tab w:val="center" w:pos="4776"/>
        </w:tabs>
        <w:spacing w:line="360" w:lineRule="auto"/>
        <w:ind w:firstLine="420" w:firstLineChars="200"/>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4.2如果供应商提供的服务，则需向第三方获取，一切中间费用都由供应商自行承担。</w:t>
      </w:r>
    </w:p>
    <w:p>
      <w:pPr>
        <w:keepNext/>
        <w:keepLines/>
        <w:tabs>
          <w:tab w:val="left" w:pos="3300"/>
          <w:tab w:val="center" w:pos="4776"/>
        </w:tabs>
        <w:spacing w:line="360" w:lineRule="auto"/>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5.投标费用</w:t>
      </w:r>
    </w:p>
    <w:p>
      <w:pPr>
        <w:keepNext/>
        <w:keepLines/>
        <w:tabs>
          <w:tab w:val="left" w:pos="3300"/>
          <w:tab w:val="center" w:pos="4776"/>
        </w:tabs>
        <w:spacing w:line="360" w:lineRule="auto"/>
        <w:ind w:firstLine="420" w:firstLineChars="200"/>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供应商应自行承担所有与编写、提交投标文件等有关费用。采购代理机构和采购单位在任何情况下均无义务和责任承担这些费用。</w:t>
      </w:r>
    </w:p>
    <w:p>
      <w:pPr>
        <w:keepNext/>
        <w:keepLines/>
        <w:tabs>
          <w:tab w:val="left" w:pos="3300"/>
          <w:tab w:val="center" w:pos="4776"/>
        </w:tabs>
        <w:spacing w:line="360" w:lineRule="auto"/>
        <w:ind w:firstLine="422" w:firstLineChars="200"/>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6.授标时更改采购的权利</w:t>
      </w:r>
    </w:p>
    <w:p>
      <w:pPr>
        <w:keepNext/>
        <w:keepLines/>
        <w:tabs>
          <w:tab w:val="left" w:pos="3300"/>
          <w:tab w:val="center" w:pos="4776"/>
        </w:tabs>
        <w:spacing w:line="360" w:lineRule="auto"/>
        <w:ind w:firstLine="420" w:firstLineChars="200"/>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采购人在授予政府采购合同时有权根据采购单位的实际情况，在《中华人民共和国政府采购法》规定的幅度内对“招标项目需求”中规定的服务予以变更，但不得对单价或其他的条款和条件做任何改变。  </w:t>
      </w:r>
    </w:p>
    <w:p>
      <w:pPr>
        <w:keepNext/>
        <w:keepLines/>
        <w:tabs>
          <w:tab w:val="left" w:pos="3300"/>
          <w:tab w:val="center" w:pos="4776"/>
        </w:tabs>
        <w:spacing w:line="360" w:lineRule="auto"/>
        <w:ind w:firstLine="422" w:firstLineChars="200"/>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7.履约验收</w:t>
      </w:r>
    </w:p>
    <w:p>
      <w:pPr>
        <w:keepNext/>
        <w:keepLines/>
        <w:tabs>
          <w:tab w:val="left" w:pos="3300"/>
          <w:tab w:val="center" w:pos="4776"/>
        </w:tabs>
        <w:spacing w:line="360" w:lineRule="auto"/>
        <w:ind w:firstLine="420" w:firstLineChars="200"/>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采购人应当及时对采购项目进行验收。采购人可以邀请参加本项目的其他供应商或者第三方机构参与验收。参与验收的供应商或者第三方机构意见作为验收书的参考资料一并存档。</w:t>
      </w:r>
    </w:p>
    <w:p>
      <w:pPr>
        <w:keepNext/>
        <w:keepLines/>
        <w:tabs>
          <w:tab w:val="left" w:pos="3300"/>
          <w:tab w:val="center" w:pos="4776"/>
        </w:tabs>
        <w:spacing w:line="360" w:lineRule="auto"/>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8.资金来源、标前答疑</w:t>
      </w:r>
    </w:p>
    <w:p>
      <w:pPr>
        <w:keepNext/>
        <w:keepLines/>
        <w:tabs>
          <w:tab w:val="left" w:pos="3300"/>
          <w:tab w:val="center" w:pos="4776"/>
        </w:tabs>
        <w:spacing w:line="360" w:lineRule="auto"/>
        <w:ind w:firstLine="420" w:firstLineChars="200"/>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8.1招标项目的资金来源详见招标文件其它章节规定及要求”，并使用该项资金支付招标后所签订的政府采购合同项下的款项。</w:t>
      </w:r>
    </w:p>
    <w:p>
      <w:pPr>
        <w:keepNext/>
        <w:keepLines/>
        <w:tabs>
          <w:tab w:val="left" w:pos="3300"/>
          <w:tab w:val="center" w:pos="4776"/>
        </w:tabs>
        <w:spacing w:line="360" w:lineRule="auto"/>
        <w:ind w:firstLine="420" w:firstLineChars="200"/>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8.2招标项目的标前答疑详见招标文件其它章节的要求”。</w:t>
      </w:r>
    </w:p>
    <w:p>
      <w:pPr>
        <w:keepNext/>
        <w:keepLines/>
        <w:numPr>
          <w:ilvl w:val="0"/>
          <w:numId w:val="2"/>
        </w:num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代理招标</w:t>
      </w:r>
    </w:p>
    <w:p>
      <w:pPr>
        <w:keepNext/>
        <w:keepLine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9.1采购人委托代理机构招标的，采购代理机构应当在采购人委托的范围内依法开展采购活动。</w:t>
      </w:r>
    </w:p>
    <w:p>
      <w:pPr>
        <w:keepNext/>
        <w:keepLine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采购代理机构及其分支机构不得在所代理的采购项目中投标或者代理投标，不得为所代理的采购项目的供应商参加本项目提供投标咨询。</w:t>
      </w:r>
    </w:p>
    <w:p>
      <w:pPr>
        <w:keepNext/>
        <w:keepLines/>
        <w:spacing w:line="360"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9.2招标代</w:t>
      </w:r>
      <w:r>
        <w:rPr>
          <w:rFonts w:hint="eastAsia" w:asciiTheme="minorEastAsia" w:hAnsiTheme="minorEastAsia" w:eastAsiaTheme="minorEastAsia" w:cstheme="minorEastAsia"/>
          <w:szCs w:val="21"/>
        </w:rPr>
        <w:t>理服务费由中标人支付；</w:t>
      </w:r>
    </w:p>
    <w:p>
      <w:pPr>
        <w:keepNext/>
        <w:keepLines/>
        <w:spacing w:afterLines="50" w:line="360" w:lineRule="auto"/>
        <w:ind w:firstLine="316" w:firstLineChars="150"/>
        <w:jc w:val="left"/>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二、招标</w:t>
      </w:r>
    </w:p>
    <w:p>
      <w:pPr>
        <w:keepNext/>
        <w:keepLines/>
        <w:spacing w:line="360" w:lineRule="auto"/>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10.招标文件构成</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第一章 招标公告</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第二章 供应商须知</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第三章 招标项目需求</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第四章 资格审查</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第五章 评标方法及标准</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第六章 拟签订政府采购合同文本</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第七章 附  件</w:t>
      </w:r>
    </w:p>
    <w:p>
      <w:pPr>
        <w:keepNext/>
        <w:keepLines/>
        <w:spacing w:line="360" w:lineRule="auto"/>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11.招标公告</w:t>
      </w:r>
    </w:p>
    <w:p>
      <w:pPr>
        <w:keepNext/>
        <w:keepLines/>
        <w:spacing w:line="360" w:lineRule="auto"/>
        <w:ind w:firstLine="413" w:firstLineChars="196"/>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11.1</w:t>
      </w:r>
      <w:r>
        <w:rPr>
          <w:rFonts w:hint="eastAsia" w:asciiTheme="minorEastAsia" w:hAnsiTheme="minorEastAsia" w:eastAsiaTheme="minorEastAsia" w:cstheme="minorEastAsia"/>
          <w:bCs/>
          <w:szCs w:val="21"/>
        </w:rPr>
        <w:t>招标公告应当包括以下内容：</w:t>
      </w:r>
    </w:p>
    <w:p>
      <w:pPr>
        <w:keepNext/>
        <w:keepLines/>
        <w:numPr>
          <w:ilvl w:val="0"/>
          <w:numId w:val="3"/>
        </w:numPr>
        <w:spacing w:line="360" w:lineRule="auto"/>
        <w:ind w:firstLine="411" w:firstLineChars="196"/>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采购人及其委托的采购代理机构的名称、地址和联系方法；</w:t>
      </w:r>
    </w:p>
    <w:p>
      <w:pPr>
        <w:keepNext/>
        <w:keepLines/>
        <w:numPr>
          <w:ilvl w:val="0"/>
          <w:numId w:val="3"/>
        </w:numPr>
        <w:spacing w:line="360" w:lineRule="auto"/>
        <w:ind w:firstLine="411" w:firstLineChars="196"/>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采购项目的名称、预算金额，设定最高限价的，还应当公开最高限价；</w:t>
      </w:r>
    </w:p>
    <w:p>
      <w:pPr>
        <w:keepNext/>
        <w:keepLines/>
        <w:numPr>
          <w:ilvl w:val="0"/>
          <w:numId w:val="3"/>
        </w:numPr>
        <w:spacing w:line="360" w:lineRule="auto"/>
        <w:ind w:firstLine="411" w:firstLineChars="196"/>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采购人的采购需求；</w:t>
      </w:r>
    </w:p>
    <w:p>
      <w:pPr>
        <w:keepNext/>
        <w:keepLines/>
        <w:numPr>
          <w:ilvl w:val="0"/>
          <w:numId w:val="3"/>
        </w:numPr>
        <w:spacing w:line="360" w:lineRule="auto"/>
        <w:ind w:firstLine="411" w:firstLineChars="196"/>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供应商的资格要求；</w:t>
      </w:r>
    </w:p>
    <w:p>
      <w:pPr>
        <w:keepNext/>
        <w:keepLines/>
        <w:numPr>
          <w:ilvl w:val="0"/>
          <w:numId w:val="3"/>
        </w:numPr>
        <w:spacing w:line="360" w:lineRule="auto"/>
        <w:ind w:firstLine="411" w:firstLineChars="196"/>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获取招标文件的时间期限、地点、方式及招标文件售价；</w:t>
      </w:r>
    </w:p>
    <w:p>
      <w:pPr>
        <w:keepNext/>
        <w:keepLines/>
        <w:numPr>
          <w:ilvl w:val="0"/>
          <w:numId w:val="3"/>
        </w:numPr>
        <w:spacing w:line="360" w:lineRule="auto"/>
        <w:ind w:firstLine="411" w:firstLineChars="196"/>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公告期限；</w:t>
      </w:r>
    </w:p>
    <w:p>
      <w:pPr>
        <w:keepNext/>
        <w:keepLines/>
        <w:numPr>
          <w:ilvl w:val="0"/>
          <w:numId w:val="3"/>
        </w:numPr>
        <w:spacing w:line="360" w:lineRule="auto"/>
        <w:ind w:firstLine="411" w:firstLineChars="196"/>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投标截止时间、开标时间地点；</w:t>
      </w:r>
    </w:p>
    <w:p>
      <w:pPr>
        <w:keepNext/>
        <w:keepLines/>
        <w:numPr>
          <w:ilvl w:val="0"/>
          <w:numId w:val="3"/>
        </w:numPr>
        <w:spacing w:line="360" w:lineRule="auto"/>
        <w:ind w:firstLine="411" w:firstLineChars="196"/>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采购项目联系人姓名和电话。</w:t>
      </w:r>
    </w:p>
    <w:p>
      <w:pPr>
        <w:keepNext/>
        <w:keepLine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11.2招标公告期限</w:t>
      </w:r>
    </w:p>
    <w:p>
      <w:pPr>
        <w:keepNext/>
        <w:keepLine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招标公告期限为5个工作日。公告内容应当以省级以上财政部门指定媒体发布的公告为准（各级政府公共资源交易平台须进行公告）。公告期限自省级以上财政部门指定媒体最先发布公告之日起算。</w:t>
      </w:r>
    </w:p>
    <w:p>
      <w:pPr>
        <w:keepNext/>
        <w:keepLines/>
        <w:spacing w:line="360" w:lineRule="auto"/>
        <w:ind w:firstLine="411" w:firstLineChars="196"/>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11.3采购人、采购代理机构不得将供应商的注册资本、资产总额、营业收入、从业人员、利润、纳税额等规模条件作为资格要求或者评审因素，也不得通过将除进口货物以外的生产厂家授权、承诺、证明、背书等作为资格要求，对供应商实行差别待遇或者歧视待遇。</w:t>
      </w:r>
    </w:p>
    <w:p>
      <w:pPr>
        <w:keepNext/>
        <w:keepLines/>
        <w:spacing w:line="360" w:lineRule="auto"/>
        <w:ind w:firstLine="411" w:firstLineChars="196"/>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11.4采购人或者采购代理机构应当按照标公告、资格预审公告或者邀请书规定时间、地点提供招标文件或者资格预审文件，提供期限自招标公告、资格预审公告发布之日起计算不得少于5个工作日。提供期届满后，获取招标文件或者资格预审文件的潜在供应商不足3家的，可以顺延提供期限，并予以公告。</w:t>
      </w:r>
    </w:p>
    <w:p>
      <w:pPr>
        <w:keepNext/>
        <w:keepLines/>
        <w:spacing w:line="360" w:lineRule="auto"/>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12.招标文件的澄清修改或终止</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12.1采购人或者采购代理机构可以对发出的招标文件、投标邀请书进行必要澄清或修改的，但不得改变采购标的和资格条件。澄清或修改应当在原公告发布媒体上发布澄清公告。澄清或者修改的内容为招标文件、投标邀请书的组成部分。</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12.2澄清或者修改的内容可能影响投标文件编制的，采购人或采购代理机构应在投标截止时间15日前，以书面形式通知获取招标文件的潜在供应商；不足15日的，采购人或者采购代理机构应当顺延提交投标文件的截止时间。</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12.3信息发布媒体上发布更正公告。招标文件的澄清或修改是招标文件的组成部分，并对所有供应商具有约束力。所有供应商均有义务定期登陆采购代理机构公布的网站获取相关信息，采购代理机构发布在指定网站的更正公告和变更公告视为已送达各供应商且已为各供应商知悉，请各供应商密切关注。</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12.4采购人不组织现场踏勘的，供应商自行对现场和周围环境进行勘查，以获取有关编制投标文件和签署合同所需的资料。供应商承担踏勘现场所发生的费用和安全责任。采购人向供应商提供的有关现场的数据和资料，是采购人现有的能被供应商利用的资料，供应商对采购人做出的任何推论、理解和结论均不负责任。</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12.5采购人、采购代理机构在发布招标公告或者投标邀请书后，除因重大变故经财政部门批准采购任务取消外，不得擅自终止招标活动。</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终止招标的，采购人或者采购代理机构应当及时在原公告媒体上发布终止公告，以书面形式通知已经获取招标文件或者被邀请的潜在供应商，并将项目实施情况和采购任务取消原因报告本级财政部门。已收取招标文件费用或者投标保证金的，采购人或者采购代理机构应当在终止采购活动后5个工作日，退还所收取的招标文件费用和所收取投标保证金及其银行产生的孳息。</w:t>
      </w:r>
    </w:p>
    <w:p>
      <w:pPr>
        <w:keepNext/>
        <w:keepLines/>
        <w:spacing w:line="360" w:lineRule="auto"/>
        <w:ind w:firstLine="316" w:firstLineChars="150"/>
        <w:jc w:val="left"/>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三、投标文件</w:t>
      </w:r>
    </w:p>
    <w:p>
      <w:pPr>
        <w:keepNext/>
        <w:keepLines/>
        <w:spacing w:line="360" w:lineRule="auto"/>
        <w:ind w:firstLine="413"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13.投标语言及计量单位</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13.1供应商提交的投标文件以及供应商就有关投标的所有来往函电均应使用中文。供应商可以在投标文件中提交用其他语言打印的数据或资料，但是必须提供由专业翻译机构出具的中文译文，并以中文译文为准，否则视同未提供该数据或资料。</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13.2投标文件中所使用的计量单位，除招标文件有特殊规定外，应使用中华人民共和国法定计量单位。</w:t>
      </w:r>
    </w:p>
    <w:p>
      <w:pPr>
        <w:keepNext/>
        <w:keepLines/>
        <w:spacing w:line="360" w:lineRule="auto"/>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14.投标文件编制的要求</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14.1供应商应认真阅读招标文件中所有的事项、格式、条款等要求，按要求编制投标文件。未按要求提交全部资料或者投标文件没有对招标文件的要求做出实质性响应，投标将被作为无效投标处理。</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14.2投标文件应字迹清楚，内容齐全，不得涂改和增删。如有修改错漏处，必须由供应商法定代表人(或经营者)（代表人）或其授权委托人签字。资格性审查、符合性审查材料的复印件应是清晰可辨的。</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14.3投标文件所提供的全部数据必须真实可靠。若投标文件填报的内容数据不详，或提供了虚假数据，其投标文件为无效投标文件。</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14.4供应商须按照招标文件给定的投标文件格式编制投标文件（没有格式的、或参考格式的自行制定），以A4纸大小为标准胶装订成册</w:t>
      </w:r>
      <w:r>
        <w:rPr>
          <w:rFonts w:hint="eastAsia" w:asciiTheme="minorEastAsia" w:hAnsiTheme="minorEastAsia" w:eastAsiaTheme="minorEastAsia" w:cstheme="minorEastAsia"/>
          <w:b/>
          <w:szCs w:val="21"/>
        </w:rPr>
        <w:t>（不能采用活页装订）</w:t>
      </w:r>
      <w:r>
        <w:rPr>
          <w:rFonts w:hint="eastAsia" w:asciiTheme="minorEastAsia" w:hAnsiTheme="minorEastAsia" w:eastAsiaTheme="minorEastAsia" w:cstheme="minorEastAsia"/>
          <w:szCs w:val="21"/>
        </w:rPr>
        <w:t>并自编目录及页码。由于编排混乱导致投标文件被误读或查找不到而被视为无效投标等不利后果由供应商自行承担。</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14.5供应商在投标文件及相关文件的签订、履行、通知等事项书面文件中的单位盖章、印章、公章等处均仅指与当事人名称全称相一致的标准公章，不得使用其他形式（如带有“专用章”等字样）的印章，否则将被视为无效。</w:t>
      </w:r>
    </w:p>
    <w:p>
      <w:pPr>
        <w:keepNext/>
        <w:keepLines/>
        <w:spacing w:line="360" w:lineRule="auto"/>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15.投标文件的构成及送达</w:t>
      </w:r>
    </w:p>
    <w:p>
      <w:pPr>
        <w:keepNext/>
        <w:keepLines/>
        <w:suppressLineNumber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15.1供应商编写的投标文件内容构成，请参见项目招标采购文件规定的投标文件内容”的要求编写。</w:t>
      </w:r>
    </w:p>
    <w:p>
      <w:pPr>
        <w:keepNext/>
        <w:keepLines/>
        <w:suppressLineNumber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15.2开标前采购人及采购代理机构不再另行安排资格预审（规定有资格预审应当按照资格预审的规定执行），供应商的资格审查详见招标文规定具体审查内容。开标结束后由采购人或者采购代理机构负责资格审查，若供应商不按招标文件的要求提供资格审查材料，其风险由供应商自行承担。</w:t>
      </w:r>
    </w:p>
    <w:p>
      <w:pPr>
        <w:keepNext/>
        <w:keepLines/>
        <w:suppressLineNumbers/>
        <w:tabs>
          <w:tab w:val="left" w:pos="7095"/>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15.3供应商应当按照招标文件的要求编制投标文件。投标文件应当对招标文件提出的要求和条件作出完全响应。</w:t>
      </w:r>
    </w:p>
    <w:p>
      <w:pPr>
        <w:keepNext/>
        <w:keepLines/>
        <w:suppressLineNumbers/>
        <w:tabs>
          <w:tab w:val="left" w:pos="7095"/>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 xml:space="preserve">15.4 </w:t>
      </w:r>
      <w:r>
        <w:rPr>
          <w:rFonts w:hint="eastAsia" w:asciiTheme="minorEastAsia" w:hAnsiTheme="minorEastAsia" w:eastAsiaTheme="minorEastAsia" w:cstheme="minorEastAsia"/>
          <w:szCs w:val="21"/>
        </w:rPr>
        <w:t xml:space="preserve">供应商登录许昌公共资源交易系统下载“许昌投标文件制作系统SEARUN V1.0”，按招标文件要求根据所投标包制作电子投标文件。 </w:t>
      </w:r>
    </w:p>
    <w:p>
      <w:pPr>
        <w:keepNext/>
        <w:keepLines/>
        <w:suppressLineNumbers/>
        <w:tabs>
          <w:tab w:val="left" w:pos="7095"/>
        </w:tab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一个标包对应生成一个文件夹（xxxx项目xx标包）, 其中包含2个文件和1个文件夹。后缀名为“.file”的文件用于电子投标使用，后缀名为“.PDF”的文件用于打印纸质投标文件，名称为“备份”的文件夹使用电介质存储，供开标现场备用。</w:t>
      </w:r>
    </w:p>
    <w:p>
      <w:pPr>
        <w:keepNext/>
        <w:keepLines/>
        <w:suppressLineNumbers/>
        <w:autoSpaceDE w:val="0"/>
        <w:autoSpaceDN w:val="0"/>
        <w:spacing w:line="360" w:lineRule="auto"/>
        <w:ind w:firstLine="420" w:firstLineChars="200"/>
        <w:contextualSpacing/>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szCs w:val="21"/>
        </w:rPr>
        <w:t>电子投标文件制作技术咨询：</w:t>
      </w:r>
      <w:r>
        <w:rPr>
          <w:rFonts w:hint="eastAsia" w:asciiTheme="minorEastAsia" w:hAnsiTheme="minorEastAsia" w:eastAsiaTheme="minorEastAsia" w:cstheme="minorEastAsia"/>
          <w:b/>
          <w:kern w:val="0"/>
          <w:szCs w:val="21"/>
        </w:rPr>
        <w:t>0374-2961598</w:t>
      </w:r>
      <w:r>
        <w:rPr>
          <w:rFonts w:hint="eastAsia" w:asciiTheme="minorEastAsia" w:hAnsiTheme="minorEastAsia" w:eastAsiaTheme="minorEastAsia" w:cstheme="minorEastAsia"/>
          <w:kern w:val="0"/>
          <w:szCs w:val="21"/>
        </w:rPr>
        <w:t>。</w:t>
      </w:r>
    </w:p>
    <w:p>
      <w:pPr>
        <w:keepNext/>
        <w:keepLines/>
        <w:suppressLineNumber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15.5供应商应当在招标文件要求提交纸质投标文件截止时间前，将纸质投标文件密封送达投标地点。逾期送达或者未按照招标文件要求密封的投标文件，采购人、采购代理机构应当拒收。</w:t>
      </w:r>
    </w:p>
    <w:p>
      <w:pPr>
        <w:keepNext/>
        <w:keepLines/>
        <w:spacing w:line="360" w:lineRule="auto"/>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16.投标文件格式</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16.1供应商应按招标文件提供的格式编写其投标文件，不得缺少或留空任何招标文件要求填写的表格或提交的资料，否则其风险由供应商自行承担。招标文件已提供有标准格式的按标准格式填列，未提供标准格式的可由供应商自行拟定。</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16.2供应商应完整地填写投标函。</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16.3供应商应完整地填写开标一览表，按格式填写、签署、盖章。开标一览表为在开标仪式上唱标的内容，不得自行增减内容。</w:t>
      </w:r>
    </w:p>
    <w:p>
      <w:pPr>
        <w:keepNext/>
        <w:keepLines/>
        <w:spacing w:line="360" w:lineRule="auto"/>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17.投标报价</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17.1所有投标报价均以人民币为计算单位。投标价格应为相关服务需交纳的一切费用。</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17.2供应商应按开标一览表的内容填写总价、投标报价及其他事项，并由法定代表人(或经营者)（代表人）或其授权委托人签署。</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17.3开标一览表中标明的价格在政府采购合同执行过程中是固定不变的，供应商不得以任何理由予以变更。以可调整的价格提交的投标将被视为非响应性投标，将作为无效投标处理。</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17.4采购代理机构不接受可选择的投标报价。供应商对投标报价若有说明应在开标一览表显著处予以注明，只有开标时唱出的投标报价、价格折扣才会被考虑。供应商若有投标报价、价格折扣未被唱出，应在唱标时及时声明。否则，采购代理机构和采购人对此不承担任何责任。</w:t>
      </w:r>
    </w:p>
    <w:p>
      <w:pPr>
        <w:keepNext/>
        <w:keepLines/>
        <w:spacing w:line="360" w:lineRule="auto"/>
        <w:ind w:firstLine="413"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18.投标保证金</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18.1供应商应按招标文件规定的时间和金额交纳投标保证金，并作为投标文件的一部分。凡未按要求交纳投标保证金的投标文件，将被视为非响应性投标而予以拒绝。</w:t>
      </w:r>
    </w:p>
    <w:p>
      <w:pPr>
        <w:keepNext/>
        <w:keepLine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18.2</w:t>
      </w:r>
      <w:r>
        <w:rPr>
          <w:rFonts w:hint="eastAsia" w:asciiTheme="minorEastAsia" w:hAnsiTheme="minorEastAsia" w:eastAsiaTheme="minorEastAsia" w:cstheme="minorEastAsia"/>
          <w:bCs/>
          <w:szCs w:val="21"/>
        </w:rPr>
        <w:t>、保证金缴纳账户的绑定</w:t>
      </w:r>
    </w:p>
    <w:p>
      <w:pPr>
        <w:keepNext/>
        <w:keepLine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18.2.1 供应商网上报名后，登录http://221.14.6.70:8088/ggzy </w:t>
      </w:r>
    </w:p>
    <w:p>
      <w:pPr>
        <w:keepNext/>
        <w:keepLine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系统，依次点击“会员向导”→“参与投标”→“费用缴纳说明”→“保证金缴纳说明单”，获取缴费说明单，根据每个标包的缴纳说明单在缴纳截止时间前缴纳；</w:t>
      </w:r>
    </w:p>
    <w:p>
      <w:pPr>
        <w:keepNext/>
        <w:keepLine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18.2.2 成功缴纳后重新登录前述系统，依次点击“会员向导”→“参与投标”→“保证金绑定”→“绑定”进行投标保证金绑定。</w:t>
      </w:r>
    </w:p>
    <w:p>
      <w:pPr>
        <w:keepNext/>
        <w:keepLine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12.2.3 供应商应严格按照“保证金缴纳说明单”内容缴纳、成功绑定投标保证金。未绑定标包的投标保证金，视为未按时交纳。并将缴纳凭证“长葛市公共资源交易中心保证金缴纳回执”附于投标文件中，同时在开标现场提供一份，以备查询。</w:t>
      </w:r>
    </w:p>
    <w:p>
      <w:pPr>
        <w:keepNext/>
        <w:keepLine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供应商可根据提示情况决定是否重新缴纳。</w:t>
      </w:r>
    </w:p>
    <w:p>
      <w:pPr>
        <w:keepNext/>
        <w:keepLine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保证金缴纳绑定问题咨询电话:0374-2961598。</w:t>
      </w:r>
    </w:p>
    <w:p>
      <w:pPr>
        <w:keepNext/>
        <w:keepLine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18.2.4 每个供应商每个项目每个标包只有唯一缴纳账号，切勿重复缴纳或错误缴纳。</w:t>
      </w:r>
    </w:p>
    <w:p>
      <w:pPr>
        <w:keepNext/>
        <w:keepLine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供应商所提交的投标保证金仅限当次投标项目（标包）有效，不得重复替代使用。一个招标项目有多个标包或者有多个项目同时招标的，供应商必须按项目、标包分别提交投标保证金。</w:t>
      </w:r>
    </w:p>
    <w:p>
      <w:pPr>
        <w:keepNext/>
        <w:keepLine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18.3、未按上述规定操作引起的无效投标，由供应商自行负责。</w:t>
      </w:r>
    </w:p>
    <w:p>
      <w:pPr>
        <w:keepNext/>
        <w:keepLine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18.4、汇款凭证无须备注项目编号和项目名称。</w:t>
      </w:r>
    </w:p>
    <w:p>
      <w:pPr>
        <w:keepNext/>
        <w:keepLine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18.5、出现以下情形造成的投标保证金无效，由供应商自行负责。</w:t>
      </w:r>
    </w:p>
    <w:p>
      <w:pPr>
        <w:keepNext/>
        <w:keepLine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(1)投标保证金未从供应商的注册账户转出；</w:t>
      </w:r>
    </w:p>
    <w:p>
      <w:pPr>
        <w:keepNext/>
        <w:keepLine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(2)投标保证金未按照采购文件划分的标包转账。</w:t>
      </w:r>
    </w:p>
    <w:p>
      <w:pPr>
        <w:keepNext/>
        <w:keepLine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18.6、《保证金缴纳绑定操作指南》获取方法：</w:t>
      </w:r>
    </w:p>
    <w:p>
      <w:pPr>
        <w:keepNext/>
        <w:keepLine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登录《全国公共资源交易平台（河南省·许昌市）》系统-组件下载-《保证金缴纳绑定操作指南》。</w:t>
      </w:r>
    </w:p>
    <w:p>
      <w:pPr>
        <w:keepNext/>
        <w:keepLine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保证金缴纳绑定问题咨询电话:0374-2961598</w:t>
      </w:r>
    </w:p>
    <w:p>
      <w:pPr>
        <w:keepNext/>
        <w:keepLine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18.7、投标保证金的退还：</w:t>
      </w:r>
    </w:p>
    <w:p>
      <w:pPr>
        <w:keepNext/>
        <w:keepLine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退还投标保证金时，区别中标与否，按不同时序按来款途径退还原账户。</w:t>
      </w:r>
    </w:p>
    <w:p>
      <w:pPr>
        <w:keepNext/>
        <w:keepLine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18.7.1 自中标通知书发出之日起5个工作日内退还未中标人的投标保证金。电话：0374-6189667</w:t>
      </w:r>
    </w:p>
    <w:p>
      <w:pPr>
        <w:keepNext/>
        <w:keepLine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18.7.2 自采购合同签订之日起5个工作日内退还中标人的投标保证金。（携带中标通知书和合同原件）。电话：0374-6189667</w:t>
      </w:r>
    </w:p>
    <w:p>
      <w:pPr>
        <w:keepNext/>
        <w:keepLine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18.7.3 项目废标或采购人终止招标的，在此后5个工作日内退还投标保证金及银行同期活期存利息。</w:t>
      </w:r>
    </w:p>
    <w:p>
      <w:pPr>
        <w:keepNext/>
        <w:keepLine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18.7.4 投标活动中出现质疑、投诉的，中标候选人、质疑人和被质疑人、投诉人和被投诉人的投标保证金暂停退还。</w:t>
      </w:r>
    </w:p>
    <w:p>
      <w:pPr>
        <w:keepNext/>
        <w:keepLine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18.7.5 相关供应商有违法违规行为的项目，其投标保证金暂不退还，待行政监督部门对相关情况处置后，按照有关规定办理。</w:t>
      </w:r>
    </w:p>
    <w:p>
      <w:pPr>
        <w:keepNext/>
        <w:keepLine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18.7.6 因供应商的原因无法及时退还投标保证金、滞留三年以上的，投标保证金上缴同级国库。</w:t>
      </w:r>
    </w:p>
    <w:p>
      <w:pPr>
        <w:keepNext/>
        <w:keepLine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以上事项，请供应商仔细研读，未按规定操作引起的无效投标，由供应商自行负责。</w:t>
      </w:r>
    </w:p>
    <w:p>
      <w:pPr>
        <w:keepNext/>
        <w:keepLine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18.7.7退还投标保证金，除另有规定外，一般以转账方式一次性退还至投标保证金的原提交账户。</w:t>
      </w:r>
    </w:p>
    <w:p>
      <w:pPr>
        <w:keepNext/>
        <w:keepLine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18.7.8供应商如需了解投标保证金退还情况，请持授权委托书及个人身份证件到中心业务受理部查询，不接受电话查询。</w:t>
      </w:r>
    </w:p>
    <w:p>
      <w:pPr>
        <w:keepNext/>
        <w:keepLine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18.8、特殊情况处理</w:t>
      </w:r>
    </w:p>
    <w:p>
      <w:pPr>
        <w:keepNext/>
        <w:keepLine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投标过程中因账户开户银行、银行账号发生变化，不能按照来款途径原路返还投标保证金的，供应商须提供原账户开户银行相关证明及新开账户，到长葛市公共资源交易中心业务受理部办理退款手续（长葛市葛天大道东段商务区6号楼4楼405室）。</w:t>
      </w:r>
    </w:p>
    <w:p>
      <w:pPr>
        <w:keepNext/>
        <w:keepLine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电话：0374-6189133。</w:t>
      </w:r>
    </w:p>
    <w:p>
      <w:pPr>
        <w:keepNext/>
        <w:keepLine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18.9、供应商有下列情形之一的，投标保证金不予退还：</w:t>
      </w:r>
    </w:p>
    <w:p>
      <w:pPr>
        <w:keepNext/>
        <w:keepLine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18.9.1 供应商在提交投标文件截止时间后撤回其投标文件的；</w:t>
      </w:r>
    </w:p>
    <w:p>
      <w:pPr>
        <w:keepNext/>
        <w:keepLine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18.9.2 供应商在投标文件中提供虚假材料的；</w:t>
      </w:r>
    </w:p>
    <w:p>
      <w:pPr>
        <w:keepNext/>
        <w:keepLine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18.9.3 除因不可抗力或采购文件认可的情形以外，无正当理由不与采购人签订合同的； </w:t>
      </w:r>
    </w:p>
    <w:p>
      <w:pPr>
        <w:keepNext/>
        <w:keepLine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18.9.4 供应商与采购人、其他供应商或者采购代理机构恶意串通的；</w:t>
      </w:r>
    </w:p>
    <w:p>
      <w:pPr>
        <w:keepNext/>
        <w:keepLine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18.9.5 法律法规及采购文件规定的其他情形：</w:t>
      </w:r>
    </w:p>
    <w:p>
      <w:pPr>
        <w:keepNext/>
        <w:keepLine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18.9.6 凡供应商投标保证金交纳至同一标包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keepNext/>
        <w:keepLines/>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19.投标有效期</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19.1投标有效期从提交投标文件的截止之日起算（60天）。投标文件中承诺的投标有效期应当不少于招标文件中载明的投标有效期。投标有效期内供应商撤销投标文件的，采购人或者采购代理机构可以不退还投标保证金。</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在招标文件规定的有效期内，投标文件应保持有效。有效期短于该规定期限的投标，将视为无效投标处理。</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19.2在特殊情况下，在原投标有效期期满之前，采购代理机构可与供应商协商延长投标文件的有效期。这种要求和答复都应以书面形式进行。此时，按本须知规定的投标保证金的有效期也相应延长。供应商可以拒绝接受延期要求而不会被没收投标保证金。同意延长有效期的供应商除按照采购代理机构要求修改投标文件有效期外，不得修改投标文件的其他内容。</w:t>
      </w:r>
    </w:p>
    <w:p>
      <w:pPr>
        <w:keepNext/>
        <w:keepLines/>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20.投标文件的式样和签署</w:t>
      </w:r>
    </w:p>
    <w:p>
      <w:pPr>
        <w:keepNext/>
        <w:keepLines/>
        <w:suppressLineNumbers/>
        <w:autoSpaceDE w:val="0"/>
        <w:autoSpaceDN w:val="0"/>
        <w:adjustRightInd w:val="0"/>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20.1 供应商应提交投标文件份数见“供应商须知前附表”。</w:t>
      </w:r>
    </w:p>
    <w:p>
      <w:pPr>
        <w:keepNext/>
        <w:keepLines/>
        <w:suppressLineNumbers/>
        <w:tabs>
          <w:tab w:val="left" w:pos="1260"/>
        </w:tabs>
        <w:autoSpaceDE w:val="0"/>
        <w:autoSpaceDN w:val="0"/>
        <w:spacing w:line="360" w:lineRule="auto"/>
        <w:ind w:firstLine="420" w:firstLineChars="200"/>
        <w:contextualSpacing/>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20.2 在招标文件中已明示需盖章及签名之处，</w:t>
      </w:r>
      <w:r>
        <w:rPr>
          <w:rFonts w:hint="eastAsia" w:asciiTheme="minorEastAsia" w:hAnsiTheme="minorEastAsia" w:eastAsiaTheme="minorEastAsia" w:cstheme="minorEastAsia"/>
          <w:szCs w:val="21"/>
        </w:rPr>
        <w:t>电子投标文件应按招标文件要求加盖供应商电子印章和法人电子印章或授权代表电子印章。</w:t>
      </w:r>
    </w:p>
    <w:p>
      <w:pPr>
        <w:keepNext/>
        <w:keepLines/>
        <w:suppressLineNumbers/>
        <w:autoSpaceDE w:val="0"/>
        <w:autoSpaceDN w:val="0"/>
        <w:adjustRightInd w:val="0"/>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20.3 纸质投标文件</w:t>
      </w:r>
      <w:r>
        <w:rPr>
          <w:rFonts w:hint="eastAsia" w:asciiTheme="minorEastAsia" w:hAnsiTheme="minorEastAsia" w:eastAsiaTheme="minorEastAsia" w:cstheme="minorEastAsia"/>
          <w:szCs w:val="21"/>
        </w:rPr>
        <w:t>是指供应商电子投标文件制作完成后生成的后缀名为“.PDF”的文件打印的投标文件。</w:t>
      </w:r>
      <w:r>
        <w:rPr>
          <w:rFonts w:hint="eastAsia" w:asciiTheme="minorEastAsia" w:hAnsiTheme="minorEastAsia" w:eastAsiaTheme="minorEastAsia" w:cstheme="minorEastAsia"/>
          <w:szCs w:val="21"/>
          <w:lang w:val="zh-CN"/>
        </w:rPr>
        <w:t>纸质投标文件正本和副本封面上应清楚标明“正本”或“副本”字样；一旦正本和副本内容不一致时，以正本为准。纸质投标文件的正本及所有副本的封面均须由供应商加盖供应商公章。</w:t>
      </w:r>
    </w:p>
    <w:p>
      <w:pPr>
        <w:keepNext/>
        <w:keepLines/>
        <w:suppressLineNumbers/>
        <w:tabs>
          <w:tab w:val="left" w:pos="1260"/>
        </w:tabs>
        <w:autoSpaceDE w:val="0"/>
        <w:autoSpaceDN w:val="0"/>
        <w:spacing w:line="360" w:lineRule="auto"/>
        <w:ind w:firstLine="420" w:firstLineChars="200"/>
        <w:contextualSpacing/>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20.4 纸质投标文件副本可以是纸质投标文件的正本复印而成。</w:t>
      </w:r>
    </w:p>
    <w:p>
      <w:pPr>
        <w:keepNext/>
        <w:keepLines/>
        <w:spacing w:line="360" w:lineRule="auto"/>
        <w:ind w:left="-5" w:firstLine="369" w:firstLineChars="175"/>
        <w:jc w:val="left"/>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四、投标文件的递交</w:t>
      </w:r>
    </w:p>
    <w:p>
      <w:pPr>
        <w:keepNext/>
        <w:keepLines/>
        <w:spacing w:line="360" w:lineRule="auto"/>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21. 投标文件的密封和标记</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21.1 供应商应将投标文件胶装订成册、密封，且标明“正本”、“副本”字样。</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（1）如果要求供应商提供合同、资质证书等证件原件，应单独包封并注明其内容，以便评标委员会查阅后退回供应商。</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（2）如果要求供应商提供如光盘、U盘等一次性介质，则该介质必须作为投标文件的一部分与投标文件封装在一个包封中。</w:t>
      </w:r>
    </w:p>
    <w:p>
      <w:pPr>
        <w:keepNext/>
        <w:keepLine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（3）如果供应商将要求单独包封的证件原件与投标文件装订在一起，则视同为投标文件的一部分而不予退回。</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21.2 包封的封装处应：</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（1）注明下列识别标志：招标项目名称、招标项目编号和“北京时间××年××月××日××时××分之前不得启封”的字样（具体时间详见招标文件规定的投标截止时间）。</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（2）加盖供应商公章。</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21.3如果供应商未按要求密封和标记，采购代理机构对投标文件的误投、错投或提前启封概不负责。对由此造成提前启封的投标文件，采购代理机构将予以拒绝，并退回供应商。</w:t>
      </w:r>
    </w:p>
    <w:p>
      <w:pPr>
        <w:keepNext/>
        <w:keepLines/>
        <w:spacing w:line="360" w:lineRule="auto"/>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22. 投标截止时间</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22.1 供应商必须在“招标公告”规定的投标截止时间前递交投标文件。</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22.2 采购代理机构可以延长投标截止时间，在这种情况下，采购代理机构和供应商的权利及义务将受到新的投标截止时间的约束。</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22.3供应商在投标时有下列情形之一的，采购代理机构将拒绝接受其投标文件：</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（1）在招标文件规定的投标截止时间之后投标的；</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（2）投标文件未按招标文件规定密封的；</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（3）未出示已交纳投标保证金的有效证明的。</w:t>
      </w:r>
    </w:p>
    <w:p>
      <w:pPr>
        <w:keepNext/>
        <w:keepLines/>
        <w:spacing w:line="360" w:lineRule="auto"/>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23. 投标文件的修改和撤回</w:t>
      </w:r>
    </w:p>
    <w:p>
      <w:pPr>
        <w:keepNext/>
        <w:keepLines/>
        <w:suppressLineNumber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23.1 供应商在投标截止时间前，可以对所递交纸质投标文件进行补充、修改或撤回，并以书面形式通知采购人或者采购代理机构。该通知必须有供应商的法定代表人(或经营者)（代表人）或其授权委托人的签字盖章。</w:t>
      </w:r>
    </w:p>
    <w:p>
      <w:pPr>
        <w:pStyle w:val="4"/>
        <w:suppressLineNumbers/>
        <w:spacing w:before="0" w:after="0" w:line="360" w:lineRule="auto"/>
        <w:ind w:firstLine="422" w:firstLineChars="20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供应商应当在投标截止时间前完成电子投标文件的提交，可以补充、修改或撤回。投标截止时间前未完成电子投标文件提交、取得“投标文件提交回执单”的，视为撤回投标文件。</w:t>
      </w:r>
    </w:p>
    <w:p>
      <w:pPr>
        <w:keepNext/>
        <w:keepLines/>
        <w:suppressLineNumber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23.2 补充、修改的内容应当按照招标文件要求签署、盖章、密封后，作为投标文件的组成部分。</w:t>
      </w:r>
    </w:p>
    <w:p>
      <w:pPr>
        <w:keepNext/>
        <w:keepLines/>
        <w:suppressLineNumber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23.3 递交“撤回”通知的投标文件将不予开封并原封退回供应商。</w:t>
      </w:r>
    </w:p>
    <w:p>
      <w:pPr>
        <w:keepNext/>
        <w:keepLines/>
        <w:suppressLineNumber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23.4 在投标截止时间后（即从开标之时起），供应商不得对其投标文件做任何修改。</w:t>
      </w:r>
    </w:p>
    <w:p>
      <w:pPr>
        <w:keepNext/>
        <w:keepLines/>
        <w:suppressLineNumbers/>
        <w:autoSpaceDE w:val="0"/>
        <w:autoSpaceDN w:val="0"/>
        <w:spacing w:line="360" w:lineRule="auto"/>
        <w:ind w:firstLine="42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23.5 自投标截止时间始，至投标有效期期满止，供应商不得撤回投标，否则投标保证金将被没收。供应商之间恶意串通而撤回投标的，除投标保证金被没收外，还将受到根据政府采购法律法规的有关规定而做出的处理。</w:t>
      </w:r>
    </w:p>
    <w:p>
      <w:pPr>
        <w:keepNext/>
        <w:keepLines/>
        <w:suppressLineNumbers/>
        <w:autoSpaceDE w:val="0"/>
        <w:autoSpaceDN w:val="0"/>
        <w:spacing w:line="360" w:lineRule="auto"/>
        <w:ind w:firstLine="415" w:firstLineChars="197"/>
        <w:contextualSpacing/>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23．6</w:t>
      </w:r>
      <w:r>
        <w:rPr>
          <w:rFonts w:hint="eastAsia" w:asciiTheme="minorEastAsia" w:hAnsiTheme="minorEastAsia" w:eastAsiaTheme="minorEastAsia" w:cstheme="minorEastAsia"/>
          <w:b/>
          <w:szCs w:val="21"/>
        </w:rPr>
        <w:t>除供应商须知前附表另有规定外，供应商所提交的电子投标文件、纸质投标文件及电子介质存储的备份文件不予退还。</w:t>
      </w:r>
    </w:p>
    <w:p>
      <w:pPr>
        <w:keepNext/>
        <w:keepLines/>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24.现场考察</w:t>
      </w:r>
    </w:p>
    <w:p>
      <w:pPr>
        <w:keepNext/>
        <w:keepLines/>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24.1</w:t>
      </w:r>
      <w:r>
        <w:rPr>
          <w:rFonts w:hint="eastAsia" w:asciiTheme="minorEastAsia" w:hAnsiTheme="minorEastAsia" w:eastAsiaTheme="minorEastAsia" w:cstheme="minorEastAsia"/>
          <w:szCs w:val="21"/>
        </w:rPr>
        <w:t>采购人或者采购代理机构可以在招标文件提供期限截止后，组织已获取招标文件的潜在供应商现场考察或召开开标前答疑会。</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24.2组织现场考察或者召开答疑会的，应当在招标文件中载明，或者在招标文件提供期限截止后以书面形式通知所有获取招标文件的潜在供应商。</w:t>
      </w:r>
    </w:p>
    <w:p>
      <w:pPr>
        <w:keepNext/>
        <w:keepLines/>
        <w:spacing w:line="360" w:lineRule="auto"/>
        <w:ind w:left="-5" w:firstLine="371" w:firstLineChars="176"/>
        <w:jc w:val="left"/>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五、开标与评标</w:t>
      </w:r>
    </w:p>
    <w:p>
      <w:pPr>
        <w:keepNext/>
        <w:keepLines/>
        <w:spacing w:line="360" w:lineRule="auto"/>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28. 开标</w:t>
      </w:r>
    </w:p>
    <w:p>
      <w:pPr>
        <w:keepNext/>
        <w:keepLines/>
        <w:suppressLineNumbers/>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8</w:t>
      </w:r>
      <w:r>
        <w:rPr>
          <w:rFonts w:hint="eastAsia" w:asciiTheme="minorEastAsia" w:hAnsiTheme="minorEastAsia" w:eastAsiaTheme="minorEastAsia" w:cstheme="minorEastAsia"/>
          <w:szCs w:val="21"/>
          <w:lang w:val="zh-CN"/>
        </w:rPr>
        <w:t>.1 招标人将按招标文件规定的时间和地点组织公开开标。开标由代理机构主持，邀请供应商参加。评标委员会成员不得参加开标活动。</w:t>
      </w:r>
    </w:p>
    <w:p>
      <w:pPr>
        <w:keepNext/>
        <w:keepLines/>
        <w:suppressLineNumbers/>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8</w:t>
      </w:r>
      <w:r>
        <w:rPr>
          <w:rFonts w:hint="eastAsia" w:asciiTheme="minorEastAsia" w:hAnsiTheme="minorEastAsia" w:eastAsiaTheme="minorEastAsia" w:cstheme="minorEastAsia"/>
          <w:szCs w:val="21"/>
          <w:lang w:val="zh-CN"/>
        </w:rPr>
        <w:t>.2 招标人应当对开标、评标现场活动进行全程录音录像。录音录像应当清晰可辨，音像资料作为采购文件一并存档。</w:t>
      </w:r>
    </w:p>
    <w:p>
      <w:pPr>
        <w:keepNext/>
        <w:keepLines/>
        <w:suppressLineNumbers/>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8</w:t>
      </w:r>
      <w:r>
        <w:rPr>
          <w:rFonts w:hint="eastAsia" w:asciiTheme="minorEastAsia" w:hAnsiTheme="minorEastAsia" w:eastAsiaTheme="minorEastAsia" w:cstheme="minorEastAsia"/>
          <w:szCs w:val="21"/>
          <w:lang w:val="zh-CN"/>
        </w:rPr>
        <w:t>.3 开标时，由供应商或者其推选的代表检查纸质投标文件和</w:t>
      </w:r>
      <w:r>
        <w:rPr>
          <w:rFonts w:hint="eastAsia" w:asciiTheme="minorEastAsia" w:hAnsiTheme="minorEastAsia" w:eastAsiaTheme="minorEastAsia" w:cstheme="minorEastAsia"/>
          <w:szCs w:val="21"/>
        </w:rPr>
        <w:t>备份文件</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使用电子U盘存储</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szCs w:val="21"/>
          <w:lang w:val="zh-CN"/>
        </w:rPr>
        <w:t>密封情况；经确认无误后进行电子投标文件的解密。解密后宣布供应商名称、投标价格、修改和撤回投标的通知（如有的话）和招标文件规定的需要宣布的其他内容。</w:t>
      </w:r>
    </w:p>
    <w:p>
      <w:pPr>
        <w:keepNext/>
        <w:keepLines/>
        <w:suppressLineNumbers/>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28.3.1 电子投标文件的解密</w:t>
      </w:r>
    </w:p>
    <w:p>
      <w:pPr>
        <w:keepNext/>
        <w:keepLines/>
        <w:suppressLineNumbers/>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全流程电子化交易项目电子投标文件采用双重加密。解密需分标包进行两次解密。</w:t>
      </w:r>
    </w:p>
    <w:p>
      <w:pPr>
        <w:keepNext/>
        <w:keepLines/>
        <w:suppressLineNumbers/>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（1）供应商解密：供应商使用本单位CA数字证书远程或现场进行解密。需开标现场使用一体机进行解密的，请在代理机构引导下进行。</w:t>
      </w:r>
    </w:p>
    <w:p>
      <w:pPr>
        <w:keepNext/>
        <w:keepLines/>
        <w:suppressLineNumbers/>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（2）代理机构解密：代理机构按电子投标文件到达交易系统的先后顺序，使用本单位CA数字证书进行再次解密。</w:t>
      </w:r>
    </w:p>
    <w:p>
      <w:pPr>
        <w:keepNext/>
        <w:keepLines/>
        <w:suppressLineNumbers/>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28.3.2 电子投标文件解密异常情况处理</w:t>
      </w:r>
    </w:p>
    <w:p>
      <w:pPr>
        <w:keepNext/>
        <w:keepLines/>
        <w:suppressLineNumbers/>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（1）因电子交易系统异常无法解密电子投标文件的，使用纸质投标文件以人工方式进行。</w:t>
      </w:r>
    </w:p>
    <w:p>
      <w:pPr>
        <w:keepNext/>
        <w:keepLines/>
        <w:suppressLineNumbers/>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（2）因供应商原因电子投标文件解密失败的，由系统技术人员协助供应商将备份文件（电子介质存储）导入系统。若备份文件（电子介质存储）无法导入系统或导入系统仍无法解密的，其投标将被拒绝。</w:t>
      </w:r>
    </w:p>
    <w:p>
      <w:pPr>
        <w:keepNext/>
        <w:keepLines/>
        <w:suppressLineNumbers/>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8</w:t>
      </w:r>
      <w:r>
        <w:rPr>
          <w:rFonts w:hint="eastAsia" w:asciiTheme="minorEastAsia" w:hAnsiTheme="minorEastAsia" w:eastAsiaTheme="minorEastAsia" w:cstheme="minorEastAsia"/>
          <w:szCs w:val="21"/>
          <w:lang w:val="zh-CN"/>
        </w:rPr>
        <w:t>.4 供应商不足3家的，不得开标。</w:t>
      </w:r>
    </w:p>
    <w:p>
      <w:pPr>
        <w:keepNext/>
        <w:keepLines/>
        <w:suppressLineNumber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8</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bCs/>
          <w:szCs w:val="21"/>
        </w:rPr>
        <w:t>5 开标过程</w:t>
      </w:r>
      <w:r>
        <w:rPr>
          <w:rFonts w:hint="eastAsia" w:asciiTheme="minorEastAsia" w:hAnsiTheme="minorEastAsia" w:eastAsiaTheme="minorEastAsia" w:cstheme="minorEastAsia"/>
          <w:szCs w:val="21"/>
          <w:lang w:val="zh-CN"/>
        </w:rPr>
        <w:t>由采购代理机构负</w:t>
      </w:r>
      <w:r>
        <w:rPr>
          <w:rFonts w:hint="eastAsia" w:asciiTheme="minorEastAsia" w:hAnsiTheme="minorEastAsia" w:eastAsiaTheme="minorEastAsia" w:cstheme="minorEastAsia"/>
          <w:bCs/>
          <w:szCs w:val="21"/>
        </w:rPr>
        <w:t>责记录，由参加开标的各供应商代表和相关工作人员签字确认后随采购文件一并存档。</w:t>
      </w:r>
    </w:p>
    <w:p>
      <w:pPr>
        <w:keepNext/>
        <w:keepLines/>
        <w:suppressLineNumbers/>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bCs/>
          <w:szCs w:val="21"/>
        </w:rPr>
        <w:t xml:space="preserve">28.6 </w:t>
      </w:r>
      <w:r>
        <w:rPr>
          <w:rFonts w:hint="eastAsia" w:asciiTheme="minorEastAsia" w:hAnsiTheme="minorEastAsia" w:eastAsiaTheme="minorEastAsia" w:cstheme="minorEastAsia"/>
          <w:szCs w:val="21"/>
          <w:lang w:val="zh-CN"/>
        </w:rPr>
        <w:t>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pPr>
        <w:keepNext/>
        <w:keepLines/>
        <w:suppressLineNumbers/>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8</w:t>
      </w:r>
      <w:r>
        <w:rPr>
          <w:rFonts w:hint="eastAsia" w:asciiTheme="minorEastAsia" w:hAnsiTheme="minorEastAsia" w:eastAsiaTheme="minorEastAsia" w:cstheme="minorEastAsia"/>
          <w:szCs w:val="21"/>
          <w:lang w:val="zh-CN"/>
        </w:rPr>
        <w:t>.7 供应商未参加开标的，视同认可开标结果。</w:t>
      </w:r>
    </w:p>
    <w:p>
      <w:pPr>
        <w:keepNext/>
        <w:keepLines/>
        <w:suppressLineNumber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代表对开标过程和开标记录有疑义，以及认为采购人、采购代理机构相关工作人员有需要回避的情形的，应当场提出询问或者回避申请。采购人、采购代理机构对供应商代表提出的询问或者回避申请应当处理。</w:t>
      </w:r>
    </w:p>
    <w:p>
      <w:pPr>
        <w:keepNext/>
        <w:keepLines/>
        <w:suppressLineNumber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供应商未参加开标的，视同认可开标结果。</w:t>
      </w:r>
    </w:p>
    <w:p>
      <w:pPr>
        <w:keepNext/>
        <w:keepLines/>
        <w:suppressLineNumber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28.9公开招标数额以上的采购项目，投标截止后供应商不足3家或通过资格审查或符性审查的供应商不足3家的，除采购任务取消情形外，按照以下方式处理：</w:t>
      </w:r>
    </w:p>
    <w:p>
      <w:pPr>
        <w:keepNext/>
        <w:keepLines/>
        <w:numPr>
          <w:ilvl w:val="0"/>
          <w:numId w:val="4"/>
        </w:numPr>
        <w:suppressLineNumber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招标文件存在不合理条款或者招标程序不符合规定的，采购人、采购代理机构改正后依法重新招标；</w:t>
      </w:r>
    </w:p>
    <w:p>
      <w:pPr>
        <w:keepNext/>
        <w:keepLines/>
        <w:numPr>
          <w:ilvl w:val="0"/>
          <w:numId w:val="4"/>
        </w:numPr>
        <w:suppressLineNumber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招标文件没有不合理条款、招标程序符合规定，需要采购用其他采购方式的，采购人应当依法报财政部门批准。</w:t>
      </w:r>
    </w:p>
    <w:p>
      <w:pPr>
        <w:keepNext/>
        <w:keepLines/>
        <w:suppressLineNumber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28.10公开招标项目开标结束后，采购人或者采购代理机构应当依法对供应商资格进行审查。</w:t>
      </w:r>
    </w:p>
    <w:p>
      <w:pPr>
        <w:keepNext/>
        <w:keepLines/>
        <w:suppressLineNumbers/>
        <w:spacing w:line="360" w:lineRule="auto"/>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合格的供应商不足3家，不得评标。</w:t>
      </w:r>
    </w:p>
    <w:p>
      <w:pPr>
        <w:keepNext/>
        <w:keepLines/>
        <w:suppressLineNumber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28.11采购人或采购代理机构负责组织评标工作，并履行下列职责：</w:t>
      </w:r>
    </w:p>
    <w:p>
      <w:pPr>
        <w:keepNext/>
        <w:keepLines/>
        <w:numPr>
          <w:ilvl w:val="0"/>
          <w:numId w:val="5"/>
        </w:numPr>
        <w:suppressLineNumber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核对评审专家身份和采购人代表授权函，对评审专家在政府采购活动中的职责履行情况予以记录，并及时将有关违法违规行为向财政部门报告；</w:t>
      </w:r>
    </w:p>
    <w:p>
      <w:pPr>
        <w:keepNext/>
        <w:keepLines/>
        <w:numPr>
          <w:ilvl w:val="0"/>
          <w:numId w:val="5"/>
        </w:numPr>
        <w:suppressLineNumber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宣布评标纪律；</w:t>
      </w:r>
    </w:p>
    <w:p>
      <w:pPr>
        <w:keepNext/>
        <w:keepLines/>
        <w:numPr>
          <w:ilvl w:val="0"/>
          <w:numId w:val="5"/>
        </w:numPr>
        <w:suppressLineNumber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公布供应商名单、告知评审专家应当回避的情形；</w:t>
      </w:r>
    </w:p>
    <w:p>
      <w:pPr>
        <w:keepNext/>
        <w:keepLines/>
        <w:numPr>
          <w:ilvl w:val="0"/>
          <w:numId w:val="5"/>
        </w:numPr>
        <w:suppressLineNumber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组织评标委员会推选评标组长，采购人代表不得担任组长；</w:t>
      </w:r>
    </w:p>
    <w:p>
      <w:pPr>
        <w:keepNext/>
        <w:keepLines/>
        <w:numPr>
          <w:ilvl w:val="0"/>
          <w:numId w:val="5"/>
        </w:numPr>
        <w:suppressLineNumber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在评标期间采取必要的通讯管理措施，保证评标活动不受外界干扰；</w:t>
      </w:r>
    </w:p>
    <w:p>
      <w:pPr>
        <w:keepNext/>
        <w:keepLines/>
        <w:numPr>
          <w:ilvl w:val="0"/>
          <w:numId w:val="5"/>
        </w:numPr>
        <w:suppressLineNumber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根据评标委员会的要求介绍政府采购相关政策法规、招标文件；</w:t>
      </w:r>
    </w:p>
    <w:p>
      <w:pPr>
        <w:keepNext/>
        <w:keepLines/>
        <w:numPr>
          <w:ilvl w:val="0"/>
          <w:numId w:val="5"/>
        </w:numPr>
        <w:suppressLineNumber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维护评标秩序，监督评标委员会依照招标文件的评标程序、方法和标准进行独立评审，及时制止和纠正采购人代表、评审专家的倾向性言论或者违法违规行为；</w:t>
      </w:r>
    </w:p>
    <w:p>
      <w:pPr>
        <w:keepNext/>
        <w:keepLines/>
        <w:numPr>
          <w:ilvl w:val="0"/>
          <w:numId w:val="5"/>
        </w:numPr>
        <w:suppressLineNumber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核对评标结果，有下列规定情形的，要求评标委员会复核或者书面说明理由，评标委员会拒绝的，应予以记录并向财政部门报告。</w:t>
      </w:r>
    </w:p>
    <w:p>
      <w:pPr>
        <w:keepNext/>
        <w:keepLines/>
        <w:numPr>
          <w:ilvl w:val="0"/>
          <w:numId w:val="6"/>
        </w:numPr>
        <w:suppressLineNumbers/>
        <w:spacing w:line="360" w:lineRule="auto"/>
        <w:ind w:firstLine="367" w:firstLineChars="17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分值汇总计算错误的；</w:t>
      </w:r>
    </w:p>
    <w:p>
      <w:pPr>
        <w:keepNext/>
        <w:keepLines/>
        <w:numPr>
          <w:ilvl w:val="0"/>
          <w:numId w:val="6"/>
        </w:numPr>
        <w:suppressLineNumbers/>
        <w:spacing w:line="360" w:lineRule="auto"/>
        <w:ind w:firstLine="367" w:firstLineChars="17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分项评分超过评分标准范围的；</w:t>
      </w:r>
    </w:p>
    <w:p>
      <w:pPr>
        <w:keepNext/>
        <w:keepLines/>
        <w:numPr>
          <w:ilvl w:val="0"/>
          <w:numId w:val="6"/>
        </w:numPr>
        <w:suppressLineNumbers/>
        <w:spacing w:line="360" w:lineRule="auto"/>
        <w:ind w:firstLine="367" w:firstLineChars="17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评标委员会成员对客观评审因素评分不一致的；</w:t>
      </w:r>
    </w:p>
    <w:p>
      <w:pPr>
        <w:keepNext/>
        <w:keepLines/>
        <w:numPr>
          <w:ilvl w:val="0"/>
          <w:numId w:val="6"/>
        </w:numPr>
        <w:suppressLineNumbers/>
        <w:spacing w:line="360" w:lineRule="auto"/>
        <w:ind w:firstLine="367" w:firstLineChars="17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经评标委员会认定评分畸高、畸低的。</w:t>
      </w:r>
    </w:p>
    <w:p>
      <w:pPr>
        <w:keepNext/>
        <w:keepLines/>
        <w:numPr>
          <w:ilvl w:val="0"/>
          <w:numId w:val="7"/>
        </w:numPr>
        <w:suppressLineNumbers/>
        <w:spacing w:line="360" w:lineRule="auto"/>
        <w:ind w:firstLine="367" w:firstLineChars="17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评标工作完成后，按照规定向评审专家支付劳务报酬和异地差旅费，不得向评</w:t>
      </w:r>
    </w:p>
    <w:p>
      <w:pPr>
        <w:keepNext/>
        <w:keepLines/>
        <w:suppressLineNumber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审专家以外的其他人员支付评审劳务报酬；</w:t>
      </w:r>
    </w:p>
    <w:p>
      <w:pPr>
        <w:keepNext/>
        <w:keepLines/>
        <w:numPr>
          <w:ilvl w:val="0"/>
          <w:numId w:val="7"/>
        </w:numPr>
        <w:suppressLineNumbers/>
        <w:spacing w:line="360" w:lineRule="auto"/>
        <w:ind w:firstLine="367" w:firstLineChars="17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处理与评标有关的其他事项。</w:t>
      </w:r>
    </w:p>
    <w:p>
      <w:pPr>
        <w:keepNext/>
        <w:keepLines/>
        <w:suppressLineNumbers/>
        <w:spacing w:line="360" w:lineRule="auto"/>
        <w:ind w:firstLine="367" w:firstLineChars="17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采购人可以在评标开始前说明项目背景和采购需求，说明内容不得含有歧视性、倾向性意见，不得超出招标文件所述范围。说明应当提交书面材料随采购文件一并存档。</w:t>
      </w:r>
    </w:p>
    <w:p>
      <w:pPr>
        <w:keepNext/>
        <w:keepLines/>
        <w:suppressLineNumbers/>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28.12开标时，唱标以投标报价正本开标一览表为准。开标一览表中的大写金额与小写金额不一致的，以大写金额为准。</w:t>
      </w:r>
    </w:p>
    <w:p>
      <w:pPr>
        <w:keepNext/>
        <w:keepLines/>
        <w:suppressLineNumber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开标时未宣读的投标价格、价格折扣等实质性内容，评标时不予承认。</w:t>
      </w:r>
    </w:p>
    <w:p>
      <w:pPr>
        <w:keepNext/>
        <w:keepLines/>
        <w:spacing w:line="360" w:lineRule="auto"/>
        <w:ind w:left="690" w:leftChars="228" w:hanging="211" w:hangingChars="1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29. 评标委员会的组成</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29.1评标委员会由采购单位代表和评审专家组成，成员人数应当为5人以上单数，其中评审专家不得少与成员总数的2/3。</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采购项目符合下列情形之一的，评标委员会人数应当为7人以上单数：</w:t>
      </w:r>
    </w:p>
    <w:p>
      <w:pPr>
        <w:keepNext/>
        <w:keepLines/>
        <w:numPr>
          <w:ilvl w:val="0"/>
          <w:numId w:val="8"/>
        </w:num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采购预算金额在1000万元以上；</w:t>
      </w:r>
    </w:p>
    <w:p>
      <w:pPr>
        <w:keepNext/>
        <w:keepLines/>
        <w:numPr>
          <w:ilvl w:val="0"/>
          <w:numId w:val="8"/>
        </w:num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技术复杂；</w:t>
      </w:r>
    </w:p>
    <w:p>
      <w:pPr>
        <w:keepNext/>
        <w:keepLines/>
        <w:numPr>
          <w:ilvl w:val="0"/>
          <w:numId w:val="8"/>
        </w:num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社会影响较大。</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评审专家对本单位的采购项目只能作为采购人代表参与评标，29.2条第二款规定的情形除外。代理机构工作人员不得参加由本机构代理的政府采购项目的评标。评标委员会成员名单在评标结果公告前应当保密。</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29.2采购人或者采购代理机构应当从省级以上财政部门设立的政府采购专家库中，通过随机方式抽取评审专家。</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对技术复杂、专业性强的采购项目，通过随机方式难以确定合适评审专家的，经主管预算单位同意，采购人可以自行选定相应专业领域的评审专家。</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29.3评标委员会负责具体评标事务，并独立履行下列职责：</w:t>
      </w:r>
    </w:p>
    <w:p>
      <w:pPr>
        <w:keepNext/>
        <w:keepLines/>
        <w:numPr>
          <w:ilvl w:val="0"/>
          <w:numId w:val="9"/>
        </w:num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审查、评价投标文件是否符合招标文件的商务、技术等实质性要求；</w:t>
      </w:r>
    </w:p>
    <w:p>
      <w:pPr>
        <w:keepNext/>
        <w:keepLines/>
        <w:numPr>
          <w:ilvl w:val="0"/>
          <w:numId w:val="9"/>
        </w:num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要求供应商对投标文件有关事项作出澄清或者说明；</w:t>
      </w:r>
    </w:p>
    <w:p>
      <w:pPr>
        <w:keepNext/>
        <w:keepLines/>
        <w:numPr>
          <w:ilvl w:val="0"/>
          <w:numId w:val="9"/>
        </w:num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对投标文件进行比较和评价；</w:t>
      </w:r>
    </w:p>
    <w:p>
      <w:pPr>
        <w:keepNext/>
        <w:keepLines/>
        <w:numPr>
          <w:ilvl w:val="0"/>
          <w:numId w:val="9"/>
        </w:num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确定中标候选人名单，以及根据采购人委托（如有）直接确定中标人；</w:t>
      </w:r>
    </w:p>
    <w:p>
      <w:pPr>
        <w:keepNext/>
        <w:keepLines/>
        <w:numPr>
          <w:ilvl w:val="0"/>
          <w:numId w:val="9"/>
        </w:num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向采购人、采购代理机构或者有关部门报告评标中发现的违法行为。</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29.3评委回避</w:t>
      </w:r>
    </w:p>
    <w:p>
      <w:pPr>
        <w:keepNext/>
        <w:keepLines/>
        <w:spacing w:line="360" w:lineRule="auto"/>
        <w:ind w:left="239" w:leftChars="114"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评审专家与参加采购活动的供应商存在下列利害关系之一的,应当回避:</w:t>
      </w:r>
    </w:p>
    <w:p>
      <w:pPr>
        <w:keepNext/>
        <w:keepLines/>
        <w:spacing w:line="360" w:lineRule="auto"/>
        <w:ind w:left="239" w:leftChars="114"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(一)参加采购活动前三年内,与供应商存在劳动关系,或者担任过供应商的董事、监事,或者是供应商的控股股东或实际控制人;</w:t>
      </w:r>
    </w:p>
    <w:p>
      <w:pPr>
        <w:keepNext/>
        <w:keepLines/>
        <w:spacing w:line="360" w:lineRule="auto"/>
        <w:ind w:left="239" w:leftChars="114"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(二)与供应商的法定代表人或者负责人有夫妻、直系血亲、三代以内旁系血亲或者近姻亲关系;</w:t>
      </w:r>
    </w:p>
    <w:p>
      <w:pPr>
        <w:keepNext/>
        <w:keepLines/>
        <w:spacing w:line="360" w:lineRule="auto"/>
        <w:ind w:left="239" w:leftChars="114"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(三)与供应商有其他可能影响政府采购活动公平、公正进行的关系。</w:t>
      </w:r>
    </w:p>
    <w:p>
      <w:pPr>
        <w:keepNext/>
        <w:keepLines/>
        <w:spacing w:line="360" w:lineRule="auto"/>
        <w:ind w:left="420" w:hanging="420" w:hanging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评审专家发现本人与参加采购活动的供应商有利害关系的,应当主动提出回避。采购人或者采购代理机构发现评审专家与参加采购活动的供应商有利害关系的,应当要求其回避。  </w:t>
      </w:r>
    </w:p>
    <w:p>
      <w:pPr>
        <w:keepNext/>
        <w:keepLines/>
        <w:spacing w:line="360" w:lineRule="auto"/>
        <w:ind w:left="210" w:hanging="210" w:hanging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评审专家对本单位的政府采购项目只能作为采购人代表参与评审活动。</w:t>
      </w:r>
    </w:p>
    <w:p>
      <w:pPr>
        <w:keepNext/>
        <w:keepLines/>
        <w:spacing w:line="360" w:lineRule="auto"/>
        <w:ind w:left="210" w:hanging="210" w:hanging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各级财政部门政府采购监督管理工作人员,不得作为评审专家参与政府采购项目的评审活动。</w:t>
      </w:r>
    </w:p>
    <w:p>
      <w:pPr>
        <w:keepNext/>
        <w:keepLines/>
        <w:spacing w:line="360" w:lineRule="auto"/>
        <w:ind w:left="211" w:hanging="211" w:hangingChars="1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30. 投标文件的审查</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30.1评标委员会应当对符合资格的供应商的投标文件进行符合性审查，以确其是否满足招标文件的实质性要求。</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30.2符合性审查。评标委员会应当对符合资格的供应商的投标文件进行符合审查。依据有关法律法规和招标文件的规定，从投标文件的有效性、完整性和对招标文件的响应程度，审查投标文件是否对招标文件的实质性要求做出了响应，以确定其是否满足招标文件的实质性要求。符合性审查条款详见招标文件具体内容。</w:t>
      </w:r>
    </w:p>
    <w:p>
      <w:pPr>
        <w:keepNext/>
        <w:keepLine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30.3 实质上响应的投标是指与招标文件的商务、技术条款、条件和规格相符，没有负偏离。所谓负偏离是指服务的技术规格、数量、商务要求和期限等明显不能满足招标文件的要求，或者实质上与招标文件不一致，而且限制了采购单位的权利或供应商的义务。</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30.4负偏离不允许在开标后修正，但评标专家将允许修正投标文件中不构成负偏离的地方，而且这些修正不会对其他实质上响应招标文件要求的供应商的竞争地位产生不公正的影响。</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30.5如果投标文件实质上没有响应招标文件的要求，将作为无效投标处理，供应商不得再对投标文件进行任何修正从而使其投标成为实质上响应的投标。</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30.6 评标专家审定投标文件的响应性只根据投标文件本身的内容而不寻求外部证据，要求进行网上查询的可进行查询证明材料。</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30.7 投标文件报价出现前后不一致的，除招标文件另有规定外，按下列规则修正：</w:t>
      </w:r>
    </w:p>
    <w:p>
      <w:pPr>
        <w:keepNext/>
        <w:keepLines/>
        <w:numPr>
          <w:ilvl w:val="0"/>
          <w:numId w:val="10"/>
        </w:num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投标文件中开标一览表内容与投标文件中相应内容不一致的，以开标一览表为准；</w:t>
      </w:r>
    </w:p>
    <w:p>
      <w:pPr>
        <w:keepNext/>
        <w:keepLines/>
        <w:numPr>
          <w:ilvl w:val="0"/>
          <w:numId w:val="10"/>
        </w:num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大写金额与小写金额不一致的，以大写金额为准；</w:t>
      </w:r>
    </w:p>
    <w:p>
      <w:pPr>
        <w:keepNext/>
        <w:keepLines/>
        <w:numPr>
          <w:ilvl w:val="0"/>
          <w:numId w:val="10"/>
        </w:num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单价金额小数点或者百分比有明显错位的，以开标一览表总价为准，并修改单价；</w:t>
      </w:r>
    </w:p>
    <w:p>
      <w:pPr>
        <w:keepNext/>
        <w:keepLines/>
        <w:numPr>
          <w:ilvl w:val="0"/>
          <w:numId w:val="10"/>
        </w:num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总价金额与按单价汇总金额不一致的，以单价金额计算结果为准。</w:t>
      </w:r>
    </w:p>
    <w:p>
      <w:pPr>
        <w:keepNext/>
        <w:keepLines/>
        <w:spacing w:line="360" w:lineRule="auto"/>
        <w:ind w:firstLine="367" w:firstLineChars="17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同时出现两种以上不一致的按照前款规定的顺序修正。修正后的报价按照《政府采购货物和服务招标投标管理办法》第五十一条第二款的规定经供应商确认后产生约束力，供应商不确认的，其投标无效。</w:t>
      </w:r>
    </w:p>
    <w:p>
      <w:pPr>
        <w:keepNext/>
        <w:keepLines/>
        <w:spacing w:line="360" w:lineRule="auto"/>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31.投标文件的澄清</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31.1 在评标期间，对投标文件中含义不明确、同类问题表述不一致或者有明显文字和计算错误的内容，评标委员会应以书面形式要求供应商做出必要的澄清、说明或者纠正。</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31.2供应商的澄清、说明或者纠正应当采用书面形式，由其法定代表人(或经营者)（代表人）或其授权委托人签字。供应商的澄清、说明或者补正不得超出投标文件的范围或者改变投标文件的实质性内容。</w:t>
      </w:r>
    </w:p>
    <w:p>
      <w:pPr>
        <w:keepNext/>
        <w:keepLines/>
        <w:spacing w:line="360" w:lineRule="auto"/>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32. 评标</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32.1公开招标采购项目开标结束后，采购人或采购代理机构应当依法对供应商的资格进行审查。合格的供应商不足3家不得评标。</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32.2 评标专家按招标文件中规定的评标方法及评标标准，对符合性审查合格的投标文件进行商务和技术评估，综合比较与评价。</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32.3综合评分法，是指投标文件满足招标文件全部实质性要求，且按照评审因素的量化指标评审汇总得分最高的供应商作为中标候选人的评标方法。</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采用综合评分法的项目，按以下规则进行评审：</w:t>
      </w:r>
    </w:p>
    <w:p>
      <w:pPr>
        <w:keepNext/>
        <w:keepLines/>
        <w:numPr>
          <w:ilvl w:val="0"/>
          <w:numId w:val="11"/>
        </w:num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评标时，评标委员会成员应当独立对每个供应商的投标文件进行评价，并汇总每个供应商的得分。</w:t>
      </w:r>
    </w:p>
    <w:p>
      <w:pPr>
        <w:keepNext/>
        <w:keepLines/>
        <w:numPr>
          <w:ilvl w:val="0"/>
          <w:numId w:val="11"/>
        </w:num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评标专家完成评标后，须向采购人或采购代理机构提交书面评标报告。评标委员会根据全体评标成员签字的原始评标记录和评标结果，将候选中标供应商的排序名单提交给采购人，采购人按照评标委员会评审报告中推荐的中标候选供应商顺序确定中标供应商。</w:t>
      </w:r>
    </w:p>
    <w:p>
      <w:pPr>
        <w:keepNext/>
        <w:keepLines/>
        <w:spacing w:line="360" w:lineRule="auto"/>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33.评标过程的保密性</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33.1开标之后，凡与审查、澄清、评价和比较有关的资料及授标意见等，均不得向供应商及与评标无关的其他人透露。</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33.2 在评标过程中，供应商试图在投标文件审查、澄清、评价和比较及授予政府采购合同方面向评标专家、采购单位或采购代理机构施加影响的任何行为，将导致其投标作为无效投标处理，并由其承担相应的法律责任。</w:t>
      </w:r>
    </w:p>
    <w:p>
      <w:pPr>
        <w:keepNext/>
        <w:keepLines/>
        <w:spacing w:line="360" w:lineRule="auto"/>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34. 宣布废标</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34.1 出现下列情况之一时，宣布废标，并将理由通知所有供应商：</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（1）出现影响采购公正的违法、违规行为的；</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（2）供应商的报价均超过了采购预算，采购单位不能支付的；</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（3）因重大变故，采购任务取消的。</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34.2 投标截止时间结束后参加投标的供应商不足三家和在评标期间出现符合专业条件的供应商或者对招标文件做出实质响应的供应商不足三家的，按照中华人民共和国财政部令第87号《政府采购货物和服务招标投标管理办法》和财政部第74号令《政府采购非招标采购方式管理办法》规定执行。</w:t>
      </w:r>
    </w:p>
    <w:p>
      <w:pPr>
        <w:keepNext/>
        <w:keepLines/>
        <w:spacing w:line="360" w:lineRule="auto"/>
        <w:ind w:firstLine="369" w:firstLineChars="175"/>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六、中标和政府采购合同</w:t>
      </w:r>
    </w:p>
    <w:p>
      <w:pPr>
        <w:keepNext/>
        <w:keepLines/>
        <w:spacing w:line="360" w:lineRule="auto"/>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35中标公告</w:t>
      </w:r>
    </w:p>
    <w:p>
      <w:pPr>
        <w:keepNext/>
        <w:keepLines/>
        <w:spacing w:line="360" w:lineRule="auto"/>
        <w:ind w:firstLine="413" w:firstLineChars="196"/>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35.1</w:t>
      </w:r>
      <w:r>
        <w:rPr>
          <w:rFonts w:hint="eastAsia" w:asciiTheme="minorEastAsia" w:hAnsiTheme="minorEastAsia" w:eastAsiaTheme="minorEastAsia" w:cstheme="minorEastAsia"/>
          <w:bCs/>
          <w:szCs w:val="21"/>
        </w:rPr>
        <w:t>采购代理机构应当在评标结束后2个工作日内将评标报告送采购人。</w:t>
      </w:r>
    </w:p>
    <w:p>
      <w:pPr>
        <w:keepNext/>
        <w:keepLines/>
        <w:spacing w:line="360" w:lineRule="auto"/>
        <w:ind w:firstLine="411" w:firstLineChars="196"/>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35.2采购人应当自收到评标报告之日起5个工作日内，在评标报告确定的中标候选人名单中按顺序确定中标人。中标人候选人并列的，由采购人或者采购人委托评标委员会按照招标文件规定的方确中标人；招标文件未确定的，采取随机抽取的方式确定。</w:t>
      </w:r>
    </w:p>
    <w:p>
      <w:pPr>
        <w:keepNext/>
        <w:keepLines/>
        <w:spacing w:line="360" w:lineRule="auto"/>
        <w:ind w:firstLine="411" w:firstLineChars="196"/>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35.3采购人在收到评标报告5个工作日内未按评标报告推荐的中标候选人顺序确定中标人，又不能说明合法理由的，视同按评报告推荐的顺序确定排名第一的中标候选人为中标人。</w:t>
      </w:r>
    </w:p>
    <w:p>
      <w:pPr>
        <w:keepNext/>
        <w:keepLines/>
        <w:spacing w:line="360" w:lineRule="auto"/>
        <w:ind w:firstLine="411" w:firstLineChars="196"/>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35.4采购人或者采购代理机构应当自中标确定之日起2个工作日内，在省级以上财政部门指定的媒体上公告中标结果，招标文件应随中标结果同时公告。</w:t>
      </w:r>
    </w:p>
    <w:p>
      <w:pPr>
        <w:keepNext/>
        <w:keepLines/>
        <w:spacing w:line="360" w:lineRule="auto"/>
        <w:ind w:firstLine="411" w:firstLineChars="196"/>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35.5中标结果公告内容应当包括采购人及其委托代理机构的名称、地址、联系方式，项目名称和项目编号，中标人名称、地址和中标金额，主要中标标的的名称、规格型号、数量、单价、服务要求，中标公告期限以及评审专家名单。</w:t>
      </w:r>
    </w:p>
    <w:p>
      <w:pPr>
        <w:keepNext/>
        <w:keepLines/>
        <w:spacing w:line="360" w:lineRule="auto"/>
        <w:ind w:firstLine="411" w:firstLineChars="196"/>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中标公告期限为1个工作日。</w:t>
      </w:r>
    </w:p>
    <w:p>
      <w:pPr>
        <w:keepNext/>
        <w:keepLines/>
        <w:spacing w:line="360" w:lineRule="auto"/>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36.中标通知书</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36.1在公告中标结果的同时，采购人或采购代理机构应当向中标人发出中标通知书；对未通过资格审查的供应商，应当告知其未能过的原因；采购用综合评分法评审的，还应当告知未中标人的评审得分与排序。</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中标供应商见此中标公告后可由法定代表人(或经营者)（代表人）或其授权委托人至政府采购代理机构处领取中标通知书。</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36.2中标通知书发出后，采购人不得违法改变中标结果，中标人无正当理由不得放弃中标。</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36.3中标人不得向他人转让中标资格，也不得将中标项目肢解后分别向他人转让，否则将按中标供应商违约处理。</w:t>
      </w:r>
    </w:p>
    <w:p>
      <w:pPr>
        <w:pStyle w:val="118"/>
        <w:keepNext/>
        <w:keepLines/>
        <w:spacing w:line="360" w:lineRule="auto"/>
        <w:ind w:left="0" w:firstLine="420" w:firstLineChars="199"/>
        <w:rPr>
          <w:rFonts w:asciiTheme="minorEastAsia" w:hAnsiTheme="minorEastAsia" w:eastAsiaTheme="minorEastAsia" w:cstheme="minorEastAsia"/>
          <w:b/>
        </w:rPr>
      </w:pPr>
      <w:r>
        <w:rPr>
          <w:rFonts w:hint="eastAsia" w:asciiTheme="minorEastAsia" w:hAnsiTheme="minorEastAsia" w:eastAsiaTheme="minorEastAsia" w:cstheme="minorEastAsia"/>
          <w:b/>
        </w:rPr>
        <w:t>37.履约保证金</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37.1中标供应商应按照招标文件要求交纳履约保证金，否则取消中标供应商的中标资格。[若招标文件中无明确则不交纳，若明确交纳，其交纳比例应为合同金额（中标）的10%]</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37.2采购代理机构将在中标供应商完成政府采购合同，并经采购单位组织验收合格后，自行到长葛市公共资源交易中心办理退还业务，无息退还中标供应商的履约保证金。</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37.3 履约保证金用于补偿采购单位因中标供应商不能履行政府采购合同义务而蒙受的损失。</w:t>
      </w:r>
    </w:p>
    <w:p>
      <w:pPr>
        <w:keepNext/>
        <w:keepLines/>
        <w:spacing w:line="360" w:lineRule="auto"/>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38. 政府采购合同</w:t>
      </w:r>
    </w:p>
    <w:p>
      <w:pPr>
        <w:keepNext/>
        <w:keepLines/>
        <w:spacing w:line="360" w:lineRule="auto"/>
        <w:ind w:firstLine="411" w:firstLineChars="196"/>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38.1采购人应当自中标通知书发出之日起30日内，按照招标文件和中标人投标文件的规定，与中标人签订书面合同。所签订的合同不得对招标文件确定的事项和中标人投标文件作实质性修改。</w:t>
      </w:r>
    </w:p>
    <w:p>
      <w:pPr>
        <w:keepNext/>
        <w:keepLines/>
        <w:spacing w:line="360" w:lineRule="auto"/>
        <w:ind w:firstLine="411" w:firstLineChars="196"/>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采购人不得向中标人提出任何不合理的要求作为签订合同的条件。</w:t>
      </w:r>
    </w:p>
    <w:p>
      <w:pPr>
        <w:keepNext/>
        <w:keepLines/>
        <w:spacing w:line="360" w:lineRule="auto"/>
        <w:ind w:firstLine="411" w:firstLineChars="196"/>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38.2政府采购合同应当包括采购人与中标人的名称和住所、标的、数量、质量、价款或者报酬、履行期限及地点和方式、验收要求、违约责任、解决争议的方法等内容。</w:t>
      </w:r>
    </w:p>
    <w:p>
      <w:pPr>
        <w:keepNext/>
        <w:keepLines/>
        <w:spacing w:line="360" w:lineRule="auto"/>
        <w:ind w:firstLine="411" w:firstLineChars="196"/>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38.3采购人与中标人应当根据合同的约定依法履行合同义务。政府采购合同的履行、违约责任和解决争议的方法适用《中华人民共和国合同法》。</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38.4中标人在收到中标通知书后，应按中标通知书中规定的时间和地点由法定代表人(或经营者)（代表人）或其授权委托人持中标通知书和已交纳履约保证金的有效证明与采购单位签订政府采购合同。</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38.5如果中标人不按中标通知书规定的时间和地点等要求签订或拒签政府采购合同，则取消中标资格。其中标资格将授予排名第二的中标候选人或者重新组织招标。</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38.6招标文件（含澄清、补遗、修改文件）、中标人的投标文件（含澄清文件）、中标通知书等将作为签订政府采购合同的依据。所签订的政府采购合同不得对招标文件和中标人投标文件做实质性改变。</w:t>
      </w:r>
    </w:p>
    <w:p>
      <w:pPr>
        <w:keepNext/>
        <w:keepLines/>
        <w:spacing w:line="360" w:lineRule="auto"/>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39. 履约验收</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39.1 采购人应当及时对采购项目进行验收。采购人可以邀请参加本项目的其他供应商或者第三方机构参与验收，参与验收的供应商或者第三方机构的意见作为验收书的参考资料一并存档。</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39.2采购人应当加强对中标人的履约管理，并按照采购合同约定，及时向中标人支付采购资金。对于中标人违反采购合同约定的行为，采购人应当及时处理，依法追究其违约责任。</w:t>
      </w:r>
    </w:p>
    <w:p>
      <w:pPr>
        <w:keepNext/>
        <w:keepLines/>
        <w:spacing w:line="360" w:lineRule="auto"/>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七、质疑、投诉</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40.1政府采购项目的采购活动受《中华人民共和国政府采购法》和相关法律法规的约束，以确保采购活动的公开、公平和公正。</w:t>
      </w:r>
    </w:p>
    <w:p>
      <w:pPr>
        <w:keepNext/>
        <w:keepLines/>
        <w:spacing w:line="360" w:lineRule="auto"/>
        <w:ind w:firstLine="413"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40.2．1质疑：</w:t>
      </w:r>
      <w:r>
        <w:rPr>
          <w:rFonts w:hint="eastAsia" w:asciiTheme="minorEastAsia" w:hAnsiTheme="minorEastAsia" w:eastAsiaTheme="minorEastAsia" w:cstheme="minorEastAsia"/>
          <w:szCs w:val="21"/>
        </w:rPr>
        <w:t>供应商认为采购文件、采购过程、中标或者成交结果使自己的权益受到损害的，可以在知道或者应知其权益受到损害之日起7个工作日内，按照中华人民共和国财政部令第94号《政府采购质疑和投诉办法》的规定以</w:t>
      </w:r>
      <w:r>
        <w:rPr>
          <w:rFonts w:hint="eastAsia" w:asciiTheme="minorEastAsia" w:hAnsiTheme="minorEastAsia" w:eastAsiaTheme="minorEastAsia" w:cstheme="minorEastAsia"/>
          <w:b/>
          <w:szCs w:val="21"/>
        </w:rPr>
        <w:t>书面形式一次性向采购人、采购代理机构提出针对同一采购程序环节的质疑</w:t>
      </w:r>
      <w:r>
        <w:rPr>
          <w:rFonts w:hint="eastAsia" w:asciiTheme="minorEastAsia" w:hAnsiTheme="minorEastAsia" w:eastAsiaTheme="minorEastAsia" w:cstheme="minorEastAsia"/>
          <w:szCs w:val="21"/>
        </w:rPr>
        <w:t>。</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代理人提出质疑和投诉，应当提交供应商签署的授权委托书。</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提出质疑的供应商（以下简称质疑供应商）应当是参与所质疑项目采购活动的供应商。</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潜在供应商已依法获取其可质疑的采购文件的，可以对该文件提出质疑。对采购文件提出质疑的，应当在获取采购文件或者采购文件公告期限届满之日起7个工作日内提出。</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供应商提出质疑应当提交质疑函和必要的证明材料。质疑函应当包括下列内容：</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（一）供应商的姓名或者名称、地址、邮编、联系人及联系电话；</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（二）质疑项目的名称、编号；</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（三）具体、明确的质疑事项和与质疑事项相关的请求；</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（四）事实依据；</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（五）必要的法律依据；</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（六）提出质疑的日期。</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供应商为自然人的，应当由本人签字；供应商为法人或者其他组织的，应当由法定代表人、主要负责人，或者其授权代表签字或者盖章，并加盖公章。</w:t>
      </w:r>
    </w:p>
    <w:p>
      <w:pPr>
        <w:keepNext/>
        <w:keepLines/>
        <w:spacing w:line="360" w:lineRule="auto"/>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40.2.2质疑的回复</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采购人、采购代理机构不得拒收质疑供应商在法定质疑期内发出的质疑函，应当在收到质疑函后7个工作日内作出答复，并以书面形式通知质疑供应商和其他有关供应商。</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供应商对评审过程、中标或者成交结果提出质疑的，采购人、采购代理机构可以组织原评标委员会、竞争性谈判小组、询价小组或者竞争性磋商小组协助答复质疑。</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质疑答复应当包括下列内容：</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（一）质疑供应商的姓名或者名称；</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（二）收到质疑函的日期、质疑项目名称及编号；</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（三）质疑事项、质疑答复的具体内容、事实依据和法律依据；</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（四）告知质疑供应商依法投诉的权利；</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（五）质疑答复人名称；</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（六）答复质疑的日期。</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质疑答复的内容不得涉及商业秘密。</w:t>
      </w:r>
    </w:p>
    <w:p>
      <w:pPr>
        <w:keepNext/>
        <w:keepLines/>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质疑函接收部门及联系电话：</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采购人：长葛市国土资源局</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址：许昌市长葛市</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 系 人：闫先生      联系电话：0374-6110380</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代理机构：许昌建设工程项目管理有限公司</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址：许昌市东泰街与兴业路交叉口东泰大厦5楼513室</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联系人：赵女士              联系电话：0374-6098899</w:t>
      </w:r>
    </w:p>
    <w:p>
      <w:pPr>
        <w:keepNext/>
        <w:keepLines/>
        <w:spacing w:line="360" w:lineRule="auto"/>
        <w:ind w:firstLine="413"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41.1投诉：</w:t>
      </w:r>
      <w:r>
        <w:rPr>
          <w:rFonts w:hint="eastAsia" w:asciiTheme="minorEastAsia" w:hAnsiTheme="minorEastAsia" w:eastAsiaTheme="minorEastAsia" w:cstheme="minorEastAsia"/>
          <w:szCs w:val="21"/>
        </w:rPr>
        <w:t>质疑供应商对采购人、采购代理机构的答复不满意，或者采购人、采购代理机构未在规定时间内作出答复的，可以在答复期满后15个工作日内按照按照中华人民共和国财政部令第94号《政府采购质疑和投诉办法》</w:t>
      </w:r>
      <w:r>
        <w:rPr>
          <w:rFonts w:hint="eastAsia" w:asciiTheme="minorEastAsia" w:hAnsiTheme="minorEastAsia" w:eastAsiaTheme="minorEastAsia" w:cstheme="minorEastAsia"/>
          <w:b/>
          <w:szCs w:val="21"/>
        </w:rPr>
        <w:t>的规定</w:t>
      </w:r>
      <w:r>
        <w:rPr>
          <w:rFonts w:hint="eastAsia" w:asciiTheme="minorEastAsia" w:hAnsiTheme="minorEastAsia" w:eastAsiaTheme="minorEastAsia" w:cstheme="minorEastAsia"/>
          <w:szCs w:val="21"/>
        </w:rPr>
        <w:t>向财政部门提起投诉。</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投诉人投诉时,应当提交投诉书和必要的证明材料，并按照被投诉采购人、采购代理机构（以下简称被投诉人）和与投诉事项有关的供应商数量提供投诉书的副本。投诉书应当包括下列内容：</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（一）投诉人和被投诉人的姓名或者名称、通讯地址、邮编、联系人及联系电话；</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（二）质疑和质疑答复情况说明及相关证明材料；</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（三）具体、明确的投诉事项和与投诉事项相关的投诉请求；</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（四）事实依据；</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（五）法律依据；</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（六）提起投诉的日期。</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投诉人为自然人的，应当由本人签字；投诉人为法人或者其他组织的，应当由法定代表人、主要负责人，或者其授权代表签字或者盖章，并加盖公章。</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投诉人提起投诉应当符合下列条件：</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（一）提起投诉前已依法进行质疑；</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（二）投诉书内容符合本办法的规定；</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（三）在投诉有效期限内提起投诉；</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（四）同一投诉事项未经财政部门投诉处理；</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（五）财政部规定的其他条件。</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供应商投诉的事项不得超出已质疑事项的范围，但基于质疑答复内容提出的投诉事项除外。</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41.2投诉的处理财政部门收到投诉书后，应当在5个工作日内进行审查，审查后按照下列情况处理：</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投诉书内容不符合中华人民共和国财政部令第94号《政府采购质疑和投诉办法》第十八条规定的，应当在收到投诉书5个工作日内一次性书面通知投诉人补正。补正通知应当载明需要补正的事项和合理的补正期限。未按照补正期限进行补正或者补正后仍不符合规定的，不予受理。</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（二）投诉不符合中华人民共和国财政部令第94号《政府采购质疑和投诉办法》第十九条规定条件的，应当在3个工作日内书面告知投诉人不予受理，并说明理由。</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（三）投诉不属于本部门管辖的，应当在3个工作日内书面告知投诉人向有管辖权的部门提起投诉。</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投诉符合中华人民共和国财政部令第94号《政府采购质疑和投诉办法》第十八条、第十九条规定的，自收到投诉书之日起即为受理，并在收到投诉后8个工作日内向被投诉人和其他与投诉事项有关的当事人发出投诉答复通知书及投诉书副本。</w:t>
      </w:r>
    </w:p>
    <w:p>
      <w:pPr>
        <w:keepNext/>
        <w:keepLines/>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被投诉人和其他与投诉事项有关的当事人应当在收到投诉答复通知书及投诉书副本之日起5个工作日内，以书面形式向财政部门作出说明，并提交相关证据、依据和其他有关材料。</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财政部门应当自收到投诉之日起30个工作日内，对投诉事项作出处理决定。财政部门处理投诉事项，需要检验、检测、鉴定、专家评审以及需要投诉人补正材料的，所需时间不计算在投诉处理期限内。</w:t>
      </w:r>
    </w:p>
    <w:p>
      <w:pPr>
        <w:keepNext/>
        <w:keepLine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财政部门在处理投诉事项期间，可以视具体情况书面通知采购人和采购代理机构暂停采购活动，暂停采购活动时间最长不得超过30日。</w:t>
      </w:r>
    </w:p>
    <w:p>
      <w:pPr>
        <w:keepNext/>
        <w:keepLine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采购人和采购代理机构收到暂停采购活动通知后应当立即中止采购活动，在法定的暂停期限结束前或者财政部门发出恢复采购活动通知前，不得进行该项采购活动。</w:t>
      </w:r>
    </w:p>
    <w:p>
      <w:pPr>
        <w:keepNext/>
        <w:keepLines/>
        <w:numPr>
          <w:ilvl w:val="0"/>
          <w:numId w:val="12"/>
        </w:numPr>
        <w:spacing w:line="360" w:lineRule="auto"/>
        <w:ind w:firstLine="369" w:firstLineChars="175"/>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其他</w:t>
      </w:r>
    </w:p>
    <w:p>
      <w:pPr>
        <w:keepNext/>
        <w:keepLines/>
        <w:spacing w:line="360" w:lineRule="auto"/>
        <w:ind w:firstLine="367" w:firstLineChars="175"/>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42.1政府采购服务招标投标按日计算时间的，开始当天不计入，从次日开计算。期限的最后一日是国家法定节假日的，顺延到节假日后的次日为期限的最后一日。</w:t>
      </w:r>
    </w:p>
    <w:p>
      <w:pPr>
        <w:keepNext/>
        <w:keepLines/>
        <w:spacing w:line="360" w:lineRule="auto"/>
        <w:ind w:firstLine="367" w:firstLineChars="175"/>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42.2政府采购服务招标投标所称的“以上”、“以下”“内”“以内”，包括本数；所称的“不足”，不包括本数。</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42.3其他未尽事宜按照《中华人民共和国政府采购法》及相关法律、法规的有关规定执行。</w:t>
      </w:r>
    </w:p>
    <w:p>
      <w:pPr>
        <w:keepNext/>
        <w:keepLines/>
        <w:spacing w:line="360" w:lineRule="auto"/>
        <w:ind w:firstLine="369" w:firstLineChars="175"/>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八、政府采购合同一般条款</w:t>
      </w:r>
    </w:p>
    <w:p>
      <w:pPr>
        <w:keepNext/>
        <w:keepLines/>
        <w:spacing w:line="360" w:lineRule="auto"/>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43. 术语的定义</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政府采购合同下列术语应解释为：</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（1）“政府采购合同”是指买卖双方签署的、政府采购合同格式中载明的买卖双方所达成的协议，包括所有的附件、附录和构成政府采购合同的所有文件。</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（2）“合同价格”是指根据政府采购合同规定，卖方在正确地完全履行政府采购合同义务后买方应支付给卖方的货币数量。</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服务”是指根据政府采购合同规定，卖方应承担的与采购项目有关的服务或者政府购买的服务。与货物有关的服务包括（但不限于）货物的运输、保险、安装、测试、调试、培训、维修、提供技术指导和支持、保修期外的维护以及其他类似的义务。</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（5）“合同条款”是指本章所述全部内容。</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（6）“合同专用条款”是指招标文件拟签订政府采购合同专用条款。</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（7）“买方”是指“招标公告”中所述购买服务的单位。</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（8）“卖方”是指通过招标确定的提供招标文件中“招标项目需求”中所述服务的中标供应商。</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（9）“现场”是指政府采购合同规定的货物将要运送至并履行相关服务的地点。</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（10）“验收”是指买卖双方和采购代理机构依据强制性的国家技术质量规范和政府采购合同规定，确认政府采购合同项下的货物符合政府采购合同规定的活动。</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（11）“天”指日历天数（如无特别说明）。</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（12）“检验”是指买方的最终用户收货后，按照政府采购合同约定的标准对合同货物进行的检测与查验。</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（13）“检验合格证书”是指检验完成后由买方的最终用户和卖方共同签署的检验合格确认书。</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（14）“政府采购项目验收书”是指采购人根据检验合格证书和合同、招标文件签署的最终验收确认书。</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（15）“技术资料”是指服务手册、产品演示等文件及音像资料。</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（16）“质量保证期”是指自“政府采购项目验收报告单”签署之日起，卖方以自担费用方式保证政府采购合同服务正常运行的期限。</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（17）“第三方”是指政府采购合同双方以外的任何中国境内、外的自然人、法人或其他经济组织。</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（18）“法律、法规”是指由中国各级政府及有关部门制定的法律、行政法规、地方性法规、规章及其他规范性文件。</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（19）“招标文件”是指由采购代理机构发布的招标文本及变更文件。</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（20）“投标文件”是指卖方按照采购机构发布的招标文件的要求编制、递交并最终被评标委员会接受的投标文本。</w:t>
      </w:r>
    </w:p>
    <w:p>
      <w:pPr>
        <w:pStyle w:val="87"/>
        <w:keepNext/>
        <w:keepLines/>
        <w:spacing w:after="0" w:line="360" w:lineRule="auto"/>
        <w:ind w:left="0" w:leftChars="0"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44. 来源地</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本条所述的“来源地”是指提供服务的来源地。服务的来源地有别于卖方的国籍。</w:t>
      </w:r>
    </w:p>
    <w:p>
      <w:pPr>
        <w:keepNext/>
        <w:keepLines/>
        <w:spacing w:line="360" w:lineRule="auto"/>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46. 知识产权</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keepNext/>
        <w:keepLines/>
        <w:spacing w:line="360" w:lineRule="auto"/>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51. 付款</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51.1 政府采购合同以人民币付款。</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51.2 在卖方按照政府采购合同的规定交货后，将按照招标文件拟签订政府采购合同专用条款规定的付款方式付款。</w:t>
      </w:r>
    </w:p>
    <w:p>
      <w:pPr>
        <w:keepNext/>
        <w:keepLines/>
        <w:spacing w:line="360" w:lineRule="auto"/>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52. 附带服务</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52.1 附带或伴随服务的费用应包括在合同价格中，买方不再单独地进行支付。</w:t>
      </w:r>
    </w:p>
    <w:p>
      <w:pPr>
        <w:keepNext/>
        <w:keepLines/>
        <w:spacing w:line="360" w:lineRule="auto"/>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53. 质量保证期</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53.1 详见招标文件及政府采购合同专用条款的相关规定。</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53.2 如果招标文件没有特别要求，则以卖方在投标文件中提交有关文件为准。如果在上述文件的规定中有不一致之处，则以对买方最有利的为准。</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53.3 质量保证期自“政府采购项目验收书”签署之日起计算。</w:t>
      </w:r>
    </w:p>
    <w:p>
      <w:pPr>
        <w:keepNext/>
        <w:keepLines/>
        <w:spacing w:line="360" w:lineRule="auto"/>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56. 索赔</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56.1 如果所提供的的服务等与政府采购合同不符，买方有权根据有资质的质检机构的检验结果向卖方提出索赔（责任应由保险公司或运输部门承担的除外）。</w:t>
      </w:r>
    </w:p>
    <w:p>
      <w:pPr>
        <w:keepNext/>
        <w:keepLines/>
        <w:spacing w:line="360" w:lineRule="auto"/>
        <w:ind w:firstLine="420" w:firstLineChars="200"/>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zCs w:val="21"/>
        </w:rPr>
        <w:t>56.2如果卖方在政府采购合同规定的索赔通知期限内，未对买方的索赔通知做出答复，则上述索赔应视为已被卖方接受。如卖方未能在买方提出的在政府采购合同规定的期限内或</w:t>
      </w:r>
      <w:r>
        <w:rPr>
          <w:rFonts w:hint="eastAsia" w:asciiTheme="minorEastAsia" w:hAnsiTheme="minorEastAsia" w:eastAsiaTheme="minorEastAsia" w:cstheme="minorEastAsia"/>
          <w:snapToGrid w:val="0"/>
          <w:kern w:val="0"/>
          <w:szCs w:val="21"/>
        </w:rPr>
        <w:t>买方同意的更长时间内，按照本政府采购合同规定的任何一种方法解决索赔事宜，买方将从卖方的履约保证金中扣回索赔金额。如果这些金额不足以补偿索赔金额，买方有权向卖方提出不足部分的补偿。</w:t>
      </w:r>
    </w:p>
    <w:p>
      <w:pPr>
        <w:keepNext/>
        <w:keepLines/>
        <w:spacing w:line="360" w:lineRule="auto"/>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57. 卖方履约延误和误期赔偿</w:t>
      </w:r>
    </w:p>
    <w:p>
      <w:pPr>
        <w:keepNext/>
        <w:keepLines/>
        <w:spacing w:line="360" w:lineRule="auto"/>
        <w:ind w:firstLine="420" w:firstLineChars="200"/>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57.1如卖方无正当理由而拖延服务，买方有权提出误期赔偿或解除政府采购合同。</w:t>
      </w:r>
    </w:p>
    <w:p>
      <w:pPr>
        <w:keepNext/>
        <w:keepLines/>
        <w:spacing w:line="360" w:lineRule="auto"/>
        <w:ind w:firstLine="420" w:firstLineChars="200"/>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57.2在履行政府采购合同过程中，如果卖方遇到妨碍按时提供服务的情况时，应及时以书面形式将拖延的事实，可能拖延的期限和理由通知买方。买方在收到卖方通知后，应尽快对情况进行评价，并确定是否通过修改政府采购合同，酌情延长时间。</w:t>
      </w:r>
    </w:p>
    <w:p>
      <w:pPr>
        <w:keepNext/>
        <w:keepLines/>
        <w:spacing w:line="360" w:lineRule="auto"/>
        <w:ind w:firstLine="420" w:firstLineChars="200"/>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57.3除本合同条款第51条规定外，如果卖方没有按照政府采购合同规定的时间交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政府采购合同。</w:t>
      </w:r>
    </w:p>
    <w:p>
      <w:pPr>
        <w:keepNext/>
        <w:keepLines/>
        <w:spacing w:line="360" w:lineRule="auto"/>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58. 不可抗力</w:t>
      </w:r>
    </w:p>
    <w:p>
      <w:pPr>
        <w:keepNext/>
        <w:keepLines/>
        <w:spacing w:line="360" w:lineRule="auto"/>
        <w:ind w:firstLine="420" w:firstLineChars="200"/>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58.1 尽管有本合同相关条款规定，如果卖方因不可抗力而导致政府采购合同实施延误或不能履行政府采购合同义务的话，在不可抗力影响的范围内卖方的履约保证金不能被没收，也不应该承担违约赔偿或终止政府采购合同的责任。</w:t>
      </w:r>
    </w:p>
    <w:p>
      <w:pPr>
        <w:keepNext/>
        <w:keepLines/>
        <w:spacing w:line="360" w:lineRule="auto"/>
        <w:ind w:firstLine="420" w:firstLineChars="200"/>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58.2 本条所述的“不可抗力”是指那些卖方无法控制、不可预见的事件，但不包括卖方的违约或疏忽。不可抗力事件包括，但不限于：战争、严重火灾、洪水、台风、地震、防疫限制和禁运及其他双方商定的事件。</w:t>
      </w:r>
    </w:p>
    <w:p>
      <w:pPr>
        <w:keepNext/>
        <w:keepLines/>
        <w:spacing w:line="360" w:lineRule="auto"/>
        <w:ind w:firstLine="420" w:firstLineChars="200"/>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58.3 在不可抗力事件发生后，卖方应尽快以书面形式将不可抗力的情况和原因通知买方。除买方书面另行要求外，卖方应尽可能继续履行政府采购合同义务，以及寻求采取合理的方案履行不受不可抗力影响的其他事项。如果不可抗力事件影响延续超过120天，双方应通过友好协商在合理的时间内就进一步实施政府采购合同达成协议。</w:t>
      </w:r>
    </w:p>
    <w:p>
      <w:pPr>
        <w:keepNext/>
        <w:keepLines/>
        <w:spacing w:line="360" w:lineRule="auto"/>
        <w:ind w:firstLine="420" w:firstLineChars="200"/>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58.4 不可抗力使政府采购合同的某些内容有变更必要的，双方应通过协商达成进一步履行政府采购合同的协议，因不可抗力致使政府采购合同不能履行的，政府采购合同终止。</w:t>
      </w:r>
    </w:p>
    <w:p>
      <w:pPr>
        <w:keepNext/>
        <w:keepLines/>
        <w:spacing w:line="360" w:lineRule="auto"/>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59. 税费</w:t>
      </w:r>
    </w:p>
    <w:p>
      <w:pPr>
        <w:keepNext/>
        <w:keepLines/>
        <w:spacing w:line="360" w:lineRule="auto"/>
        <w:ind w:firstLine="420" w:firstLineChars="200"/>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与政府采购合同有关的一切税费均适用中华人民共和国法律的相关规定。</w:t>
      </w:r>
    </w:p>
    <w:p>
      <w:pPr>
        <w:keepNext/>
        <w:keepLines/>
        <w:spacing w:line="360" w:lineRule="auto"/>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60. 争议的解决</w:t>
      </w:r>
    </w:p>
    <w:p>
      <w:pPr>
        <w:keepNext/>
        <w:keepLines/>
        <w:spacing w:line="360" w:lineRule="auto"/>
        <w:ind w:firstLine="420" w:firstLineChars="200"/>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60.1 政府采购合同实施或与政府采购合同有关的一切争议应通过双方友好解决。如自协商开始之日起15日内得不到解决，双方应将争议提交同级政府采购监督管理部门调解。调解不成的，将向买方所在地仲裁机构提起仲裁或者向买方所在地人民法院提起诉讼。</w:t>
      </w:r>
    </w:p>
    <w:p>
      <w:pPr>
        <w:keepNext/>
        <w:keepLines/>
        <w:spacing w:line="360" w:lineRule="auto"/>
        <w:ind w:firstLine="420" w:firstLineChars="200"/>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60.2 仲裁裁决为最终裁决，对双方均有约束力。当事人一方在规定时间内不履行仲裁机构裁决的，另一方可申请人民法院强制执行。</w:t>
      </w:r>
    </w:p>
    <w:p>
      <w:pPr>
        <w:keepNext/>
        <w:keepLines/>
        <w:spacing w:line="360" w:lineRule="auto"/>
        <w:ind w:firstLine="420" w:firstLineChars="200"/>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60.3 仲裁（或诉讼）费用除仲裁机关（或人民法院）另有裁决外，应由败诉方负担。</w:t>
      </w:r>
    </w:p>
    <w:p>
      <w:pPr>
        <w:keepNext/>
        <w:keepLines/>
        <w:spacing w:line="360" w:lineRule="auto"/>
        <w:ind w:firstLine="420" w:firstLineChars="200"/>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60.4 在仲裁（或诉讼）期间，除正在进行仲裁（或诉讼）的部分外，政府采购合同其他部分继续执行。</w:t>
      </w:r>
    </w:p>
    <w:p>
      <w:pPr>
        <w:keepNext/>
        <w:keepLines/>
        <w:spacing w:line="360" w:lineRule="auto"/>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61. 违约终止政府采购合同</w:t>
      </w:r>
    </w:p>
    <w:p>
      <w:pPr>
        <w:keepNext/>
        <w:keepLines/>
        <w:spacing w:line="360" w:lineRule="auto"/>
        <w:ind w:firstLine="420" w:firstLineChars="200"/>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61.1 在卖方违约的情况下，买方经同级政府采购监督管理部门审批后，可向卖方发出书面通知书，提出终止部分或全部政府采购合同，同时保留向卖方追诉的权利。</w:t>
      </w:r>
    </w:p>
    <w:p>
      <w:pPr>
        <w:keepNext/>
        <w:keepLines/>
        <w:spacing w:line="360" w:lineRule="auto"/>
        <w:ind w:firstLine="420" w:firstLineChars="200"/>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61.2 如果在买方根据本合同条款规定，终止全部或部分政府采购合同后，应当遵循诚实信用原则，以同级政府采购监督管理机关同意的方式，购买与未交付的货物类似的服务，卖方应承担买方购买类似服务而产生的额外支出。部分解除政府采购合同的，卖方应继续履行政府采购合同中未解除的部分。</w:t>
      </w:r>
    </w:p>
    <w:p>
      <w:pPr>
        <w:keepNext/>
        <w:keepLines/>
        <w:spacing w:line="360" w:lineRule="auto"/>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62. 破产终止政府采购合同</w:t>
      </w:r>
    </w:p>
    <w:p>
      <w:pPr>
        <w:keepNext/>
        <w:keepLines/>
        <w:spacing w:line="360" w:lineRule="auto"/>
        <w:ind w:firstLine="420" w:firstLineChars="200"/>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如果卖方破产或无清偿能力时，买方经报同级政府采购监督管理部门审批后，可在任何时候以书面形式通知卖方，提出终止政府采购合同而不给卖方补偿。该政府采购合同的终止将不损害或影响买方已经采取或将要采取的任何行动或补救措施的权利。</w:t>
      </w:r>
    </w:p>
    <w:p>
      <w:pPr>
        <w:keepNext/>
        <w:keepLines/>
        <w:spacing w:line="360" w:lineRule="auto"/>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63. 转让和分包</w:t>
      </w:r>
    </w:p>
    <w:p>
      <w:pPr>
        <w:keepNext/>
        <w:keepLines/>
        <w:spacing w:line="360" w:lineRule="auto"/>
        <w:ind w:firstLine="420" w:firstLineChars="200"/>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63.1 政府采购合同不能擅自转让或分包。</w:t>
      </w:r>
    </w:p>
    <w:p>
      <w:pPr>
        <w:keepNext/>
        <w:keepLines/>
        <w:spacing w:line="360" w:lineRule="auto"/>
        <w:ind w:firstLine="420" w:firstLineChars="200"/>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63.2 经买方和同级政府采购监督管理部门事先书面同意，卖方可以将政府采购合同项下非主体、非关键性工作分包给他人完成。接受分包的人应当具备相应的资格条件，并不得再次分包。分包后不能终止卖方履行政府采购合同的责任和义务，接受分包的人与卖方共同对买方连带承担政府采购合同的责任和义务。</w:t>
      </w:r>
    </w:p>
    <w:p>
      <w:pPr>
        <w:keepNext/>
        <w:keepLines/>
        <w:spacing w:line="360" w:lineRule="auto"/>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64. 合同修改</w:t>
      </w:r>
    </w:p>
    <w:p>
      <w:pPr>
        <w:keepNext/>
        <w:keepLines/>
        <w:spacing w:line="360" w:lineRule="auto"/>
        <w:ind w:firstLine="420" w:firstLineChars="200"/>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买方和卖方都不得擅自变更政府采购合同，但继续履行将损害国家和社会公共利益的除外。如必须对政府采购合同条款进行修改时，当事人双方须共同签署书面文件，作为政府采购合同的补充，并报同级政府采购监督管理部门备案。</w:t>
      </w:r>
    </w:p>
    <w:p>
      <w:pPr>
        <w:keepNext/>
        <w:keepLines/>
        <w:spacing w:line="360" w:lineRule="auto"/>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65. 通知</w:t>
      </w:r>
    </w:p>
    <w:p>
      <w:pPr>
        <w:keepNext/>
        <w:keepLines/>
        <w:spacing w:line="360" w:lineRule="auto"/>
        <w:ind w:firstLine="420" w:firstLineChars="200"/>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政府采购合同一方给另一方的通知都应以书面形式发送至规定的对方地址。通知以送达日期或通知书规定的生效日期为生效日期，两者中以晚的一个日期为准。</w:t>
      </w:r>
    </w:p>
    <w:p>
      <w:pPr>
        <w:keepNext/>
        <w:keepLines/>
        <w:spacing w:line="360" w:lineRule="auto"/>
        <w:ind w:firstLine="422" w:firstLineChars="200"/>
        <w:rPr>
          <w:rFonts w:asciiTheme="minorEastAsia" w:hAnsiTheme="minorEastAsia" w:eastAsiaTheme="minorEastAsia" w:cstheme="minorEastAsia"/>
          <w:b/>
          <w:snapToGrid w:val="0"/>
          <w:kern w:val="0"/>
          <w:szCs w:val="21"/>
        </w:rPr>
      </w:pPr>
      <w:r>
        <w:rPr>
          <w:rFonts w:hint="eastAsia" w:asciiTheme="minorEastAsia" w:hAnsiTheme="minorEastAsia" w:eastAsiaTheme="minorEastAsia" w:cstheme="minorEastAsia"/>
          <w:b/>
          <w:snapToGrid w:val="0"/>
          <w:kern w:val="0"/>
          <w:szCs w:val="21"/>
        </w:rPr>
        <w:t>66. 适用法律</w:t>
      </w:r>
    </w:p>
    <w:p>
      <w:pPr>
        <w:keepNext/>
        <w:keepLines/>
        <w:spacing w:line="360" w:lineRule="auto"/>
        <w:ind w:firstLine="420" w:firstLineChars="200"/>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政府采购合同应按照中华人民共和国的现行法律进行解释。</w:t>
      </w:r>
    </w:p>
    <w:p>
      <w:pPr>
        <w:keepNext/>
        <w:keepLines/>
        <w:spacing w:line="360" w:lineRule="auto"/>
        <w:ind w:firstLine="422" w:firstLineChars="200"/>
        <w:rPr>
          <w:rFonts w:asciiTheme="minorEastAsia" w:hAnsiTheme="minorEastAsia" w:eastAsiaTheme="minorEastAsia" w:cstheme="minorEastAsia"/>
          <w:b/>
          <w:snapToGrid w:val="0"/>
          <w:kern w:val="0"/>
          <w:szCs w:val="21"/>
        </w:rPr>
      </w:pPr>
      <w:r>
        <w:rPr>
          <w:rFonts w:hint="eastAsia" w:asciiTheme="minorEastAsia" w:hAnsiTheme="minorEastAsia" w:eastAsiaTheme="minorEastAsia" w:cstheme="minorEastAsia"/>
          <w:b/>
          <w:snapToGrid w:val="0"/>
          <w:kern w:val="0"/>
          <w:szCs w:val="21"/>
        </w:rPr>
        <w:t>67. 合同生效</w:t>
      </w:r>
    </w:p>
    <w:p>
      <w:pPr>
        <w:keepNext/>
        <w:keepLines/>
        <w:spacing w:line="360" w:lineRule="auto"/>
        <w:ind w:firstLine="420" w:firstLineChars="200"/>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67.1 政府采购合同内容的确定应以招标文件和投标文件为基础，不得违背其实质性内容。政府采购合同自签订之日起七个工作日内，买方应当将政府采购合同副本报同级政府采购监督管理部门备案。政府采购合同将在买卖双方签字盖章后开始生效。</w:t>
      </w:r>
    </w:p>
    <w:p>
      <w:pPr>
        <w:keepNext/>
        <w:keepLines/>
        <w:spacing w:line="360" w:lineRule="auto"/>
        <w:ind w:firstLine="420" w:firstLineChars="200"/>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67.2 政府采购合同一式五份</w:t>
      </w:r>
      <w:r>
        <w:rPr>
          <w:rFonts w:hint="eastAsia" w:asciiTheme="minorEastAsia" w:hAnsiTheme="minorEastAsia" w:eastAsiaTheme="minorEastAsia" w:cstheme="minorEastAsia"/>
          <w:szCs w:val="21"/>
        </w:rPr>
        <w:t>，具备同等法律效力。买卖双方、同级政府采购监督管理部门、支付部门和采购代理机构各执一份。</w:t>
      </w:r>
    </w:p>
    <w:p>
      <w:pPr>
        <w:keepNext/>
        <w:keepLines/>
        <w:spacing w:line="360" w:lineRule="auto"/>
        <w:ind w:firstLine="422" w:firstLineChars="200"/>
        <w:rPr>
          <w:rFonts w:asciiTheme="minorEastAsia" w:hAnsiTheme="minorEastAsia" w:eastAsiaTheme="minorEastAsia" w:cstheme="minorEastAsia"/>
          <w:b/>
          <w:snapToGrid w:val="0"/>
          <w:kern w:val="0"/>
          <w:szCs w:val="21"/>
        </w:rPr>
      </w:pPr>
      <w:r>
        <w:rPr>
          <w:rFonts w:hint="eastAsia" w:asciiTheme="minorEastAsia" w:hAnsiTheme="minorEastAsia" w:eastAsiaTheme="minorEastAsia" w:cstheme="minorEastAsia"/>
          <w:b/>
          <w:snapToGrid w:val="0"/>
          <w:kern w:val="0"/>
          <w:szCs w:val="21"/>
        </w:rPr>
        <w:t>68. 补充条款</w:t>
      </w:r>
    </w:p>
    <w:p>
      <w:pPr>
        <w:keepNext/>
        <w:keepLines/>
        <w:spacing w:line="360" w:lineRule="auto"/>
        <w:ind w:firstLine="420" w:firstLineChars="200"/>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如需修改或补充政府采购合同内容，经协商，双方可签署书面修改或补充协议，该协议将作为政府采购合同的一个组成部分。</w:t>
      </w:r>
    </w:p>
    <w:p>
      <w:pPr>
        <w:keepNext/>
        <w:keepLines/>
        <w:widowControl/>
        <w:tabs>
          <w:tab w:val="left" w:pos="2161"/>
          <w:tab w:val="center" w:pos="4766"/>
        </w:tabs>
        <w:spacing w:line="360" w:lineRule="auto"/>
        <w:jc w:val="left"/>
        <w:rPr>
          <w:rFonts w:asciiTheme="minorEastAsia" w:hAnsiTheme="minorEastAsia" w:eastAsiaTheme="minorEastAsia" w:cstheme="minorEastAsia"/>
          <w:b/>
          <w:szCs w:val="21"/>
        </w:rPr>
      </w:pPr>
    </w:p>
    <w:p>
      <w:pPr>
        <w:keepNext/>
        <w:keepLines/>
        <w:widowControl/>
        <w:tabs>
          <w:tab w:val="left" w:pos="2161"/>
          <w:tab w:val="center" w:pos="4766"/>
        </w:tabs>
        <w:spacing w:line="360" w:lineRule="auto"/>
        <w:jc w:val="left"/>
        <w:rPr>
          <w:rFonts w:asciiTheme="minorEastAsia" w:hAnsiTheme="minorEastAsia" w:eastAsiaTheme="minorEastAsia" w:cstheme="minorEastAsia"/>
          <w:b/>
          <w:szCs w:val="21"/>
        </w:rPr>
      </w:pPr>
    </w:p>
    <w:p>
      <w:pPr>
        <w:keepNext/>
        <w:keepLines/>
        <w:widowControl/>
        <w:tabs>
          <w:tab w:val="left" w:pos="2161"/>
          <w:tab w:val="center" w:pos="4766"/>
        </w:tabs>
        <w:spacing w:line="360" w:lineRule="auto"/>
        <w:jc w:val="left"/>
        <w:rPr>
          <w:rFonts w:asciiTheme="minorEastAsia" w:hAnsiTheme="minorEastAsia" w:eastAsiaTheme="minorEastAsia" w:cstheme="minorEastAsia"/>
          <w:b/>
          <w:szCs w:val="21"/>
        </w:rPr>
      </w:pPr>
    </w:p>
    <w:p>
      <w:pPr>
        <w:keepNext/>
        <w:keepLines/>
        <w:widowControl/>
        <w:tabs>
          <w:tab w:val="left" w:pos="2161"/>
          <w:tab w:val="center" w:pos="4766"/>
        </w:tabs>
        <w:spacing w:line="360" w:lineRule="auto"/>
        <w:jc w:val="left"/>
        <w:rPr>
          <w:rFonts w:asciiTheme="minorEastAsia" w:hAnsiTheme="minorEastAsia" w:eastAsiaTheme="minorEastAsia" w:cstheme="minorEastAsia"/>
          <w:b/>
          <w:szCs w:val="21"/>
        </w:rPr>
      </w:pPr>
    </w:p>
    <w:p>
      <w:pPr>
        <w:keepNext/>
        <w:keepLines/>
        <w:widowControl/>
        <w:tabs>
          <w:tab w:val="left" w:pos="2161"/>
          <w:tab w:val="center" w:pos="4766"/>
        </w:tabs>
        <w:spacing w:line="360" w:lineRule="auto"/>
        <w:jc w:val="left"/>
        <w:rPr>
          <w:rFonts w:asciiTheme="minorEastAsia" w:hAnsiTheme="minorEastAsia" w:eastAsiaTheme="minorEastAsia" w:cstheme="minorEastAsia"/>
          <w:b/>
          <w:szCs w:val="21"/>
        </w:rPr>
      </w:pPr>
    </w:p>
    <w:p>
      <w:pPr>
        <w:keepNext/>
        <w:keepLines/>
        <w:spacing w:line="360" w:lineRule="auto"/>
        <w:rPr>
          <w:rFonts w:asciiTheme="minorEastAsia" w:hAnsiTheme="minorEastAsia" w:eastAsiaTheme="minorEastAsia" w:cstheme="minorEastAsia"/>
          <w:b/>
          <w:szCs w:val="21"/>
        </w:rPr>
      </w:pPr>
    </w:p>
    <w:p>
      <w:pPr>
        <w:keepNext/>
        <w:keepLines/>
        <w:widowControl/>
        <w:tabs>
          <w:tab w:val="left" w:pos="2161"/>
          <w:tab w:val="center" w:pos="4766"/>
        </w:tabs>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br w:type="page"/>
      </w:r>
      <w:r>
        <w:rPr>
          <w:rFonts w:hint="eastAsia" w:asciiTheme="minorEastAsia" w:hAnsiTheme="minorEastAsia" w:eastAsiaTheme="minorEastAsia" w:cstheme="minorEastAsia"/>
          <w:b/>
          <w:szCs w:val="21"/>
        </w:rPr>
        <w:t>第三章 招标项目需求</w:t>
      </w:r>
    </w:p>
    <w:p>
      <w:pPr>
        <w:pStyle w:val="27"/>
        <w:shd w:val="clear" w:color="auto" w:fill="FFFFFF"/>
        <w:spacing w:line="360" w:lineRule="auto"/>
        <w:ind w:firstLine="420"/>
        <w:contextualSpacing/>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一、招标内容</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概况及内容：组织实施工作、基础资料购置、土地利用现状调查、集体土地所有权以外的权属调查、耕地细化调查、批准未建设的建设用地调查、耕地质量等级调查评价和耕地分等定级调查评价、农村土地利用综合潜力调查、数据库建设系统软件采购、数据建库建设和数据分析与应用平台开发及数据更新汇总、图件编制、成果验收、监理工作等。本项目分为六个标包：</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一标包:土地调查与数据库建设服务。工作内容为后河镇、增福镇、佛耳湖镇、坡胡镇、石固镇等五镇范围内建制镇及村庄42.41平方公里和一般农村174.2922平方公里的土地调查与数据库建设工作。</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二标包：土地调查与数据库建设服务。工作内容为南席镇、古桥镇、石象镇、董村镇、大周镇等五镇范围内建制镇及村庄部分49.9467平方公里、一般农村部分238.8711平方公里的土地调查与数据库建设工作。</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标包：土地调查与数据库建设服务。工作内容为市区（含四个办事处）、老城镇、和尚桥镇等两镇四个办事处范围内城市部分30.2604平方公里、建制镇及村庄部分27.3352平方公里、一般农村部分72.9393平方公里的土地调查和数据库建设工作。</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四标包：航测服务。工作内容为全域的航测工作。</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五标包：合库、整理验收服务。工作内容为长葛市全区域合库工作、软件及平台建设、成果整理验收等。</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六标包：监理服务。工作内容为三调工作的全域全过程的监理。</w:t>
      </w:r>
    </w:p>
    <w:p>
      <w:pPr>
        <w:pStyle w:val="27"/>
        <w:shd w:val="clear" w:color="auto" w:fill="FFFFFF"/>
        <w:spacing w:line="360" w:lineRule="auto"/>
        <w:ind w:firstLine="420"/>
        <w:contextualSpacing/>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二、项目总体要求</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bookmarkStart w:id="0" w:name="_Toc508191795"/>
      <w:r>
        <w:rPr>
          <w:rFonts w:hint="eastAsia" w:asciiTheme="minorEastAsia" w:hAnsiTheme="minorEastAsia" w:eastAsiaTheme="minorEastAsia" w:cstheme="minorEastAsia"/>
          <w:sz w:val="21"/>
          <w:szCs w:val="21"/>
        </w:rPr>
        <w:t>（一）、1-3标包</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1、工作内容</w:t>
      </w:r>
      <w:bookmarkEnd w:id="0"/>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第二次全国土地调查成果基础上，依据统一的技术标准，按照《长葛市第三次全国土地调查工作分类》，利用遥感和“互联网+”等新科技手段，以国家和省下发的正射影像图为基础，实地调查土地的地类、面积和权属。相较于第二次全国土地调查和年度土地变更调查，第三次土地调查是对“已有内容的细化、变化内容的更新、新增内容的补充”，并对存在相关部门管理需求交叉的耕地、园地、林地、草地等地类进行利用现状、质量状况和管理属性的多重标注；建立全县土地基础数据库，完善各级互联共享的网络化管理系统。主要任务如下：</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农村土地利用现状调查；</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城镇村庄内部土地利用现状调查；</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3.土地权属调查；</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专项用地调查与评价，包括（耕地细化调查、批准未建设的建设用地调查、耕地质量等级调查评价和耕地分等定级调查评价、农村土地利用综合潜力调查），同时配合省级做好重点自然资源范围内土地利用调查和城市开发边界及生态红线范围内土地利用调查。</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5.土地利用数据库建设，包括（建立土地调查及专项调查数据库，建立土地调查数据及专项调查数据分析与共享服务平台）</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bookmarkStart w:id="1" w:name="_Toc508191796"/>
      <w:r>
        <w:rPr>
          <w:rFonts w:hint="eastAsia" w:asciiTheme="minorEastAsia" w:hAnsiTheme="minorEastAsia" w:eastAsiaTheme="minorEastAsia" w:cstheme="minorEastAsia"/>
          <w:sz w:val="21"/>
          <w:szCs w:val="21"/>
        </w:rPr>
        <w:t>2、技术要求</w:t>
      </w:r>
      <w:bookmarkEnd w:id="1"/>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bookmarkStart w:id="2" w:name="_Toc508191797"/>
      <w:r>
        <w:rPr>
          <w:rFonts w:hint="eastAsia" w:asciiTheme="minorEastAsia" w:hAnsiTheme="minorEastAsia" w:eastAsiaTheme="minorEastAsia" w:cstheme="minorEastAsia"/>
          <w:sz w:val="21"/>
          <w:szCs w:val="21"/>
        </w:rPr>
        <w:t>按照国家、省、市有关长葛市第三次全国土地调查相关求开展调查工作。</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3、执行标准</w:t>
      </w:r>
      <w:bookmarkEnd w:id="2"/>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1.《长葛市第三次全国土地调查技术规程》</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2.《长葛市第三次全国土地调查成果检查验收办法》</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3.《土地利用数据库标准》(TD／1016-2007)</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4.《城镇地籍数据库标准》(TD／1015—2007)</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5.《长葛市第三次全国土地调查数据库建设技术规范》</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6.《土地利用现状分类》(GB／T21010—2017)</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7.《长葛市第三次全国土地调查总体方案》</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8.《长葛市第三次全国土地调查实施方案》(国土调查办发[2018]3号)</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9.《河南省第三次土地调查技术细则》</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10.《河南省第三次土地调查实施方案》</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（二）、4标包</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1、航拍并制作DOM</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使用有人机或无人机对长葛市全域约650平方公里进行彩色数码航空摄影，地面分辨率优于0.2米，上述范围制作1：2000数字正射影像（DOM），格式为Geotif,并带有tfw坐标文件，以上资料提供电子版数据。</w:t>
      </w:r>
    </w:p>
    <w:p>
      <w:pPr>
        <w:pStyle w:val="27"/>
        <w:shd w:val="clear" w:color="auto" w:fill="FFFFFF"/>
        <w:spacing w:line="360" w:lineRule="auto"/>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2、坐标系统</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（1）统一采用2000国家大地坐标系。</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（2）投影方式：标准分幅图件或数据采用高斯-克吕格投影,3度分带。</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3、相关规范</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（1）《飞行器航摄系统技术要求》CH/Z 3002-2010；</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（2）《飞行器航摄安全作业基本要求》CH/Z 3001-2010；</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（3）《低空数字航空摄影测量外业规范》CH/Z 3004-2010；</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（4）《低空数字航空摄影测量内业规范》CH/Z 3003-2010；</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bookmarkStart w:id="3" w:name="OLE_LINK2"/>
      <w:r>
        <w:rPr>
          <w:rFonts w:hint="eastAsia" w:asciiTheme="minorEastAsia" w:hAnsiTheme="minorEastAsia" w:eastAsiaTheme="minorEastAsia" w:cstheme="minorEastAsia"/>
          <w:sz w:val="21"/>
          <w:szCs w:val="21"/>
        </w:rPr>
        <w:t>（5）《低空数字航空摄影规范》CH/Z 3005-2010；</w:t>
      </w:r>
      <w:bookmarkEnd w:id="3"/>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（6）《全球定位系统（GPS）测量规范》GB/T 18314 -2009；</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（7）《全球定位系统实时动态测量（RTK）技术规范》CH/T 2009-2010；</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（8）《1:500 1:1000 1:2000航空摄影测量内业规范》GB/T7930-2008；</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（9）《1:500 1:1000 1:2000航空摄影测量外业规范》GB/T7931-2008；</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（10）《基础地理信息数字成果 1：500 1：1000 1：2000 数字正射影像图》CHT 9008.3-2010；</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（11）《测绘技术设计规定》CH/T 1004；</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（12）《测绘技术总结编写规定》CH/T1001-2005；</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（13）《测绘成果质量检查与验收》GB/T24356-2009；</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包括但不限于以上规范和标准，以上规范和标准如有变化，以最新发布的为准。</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4、技术标准与要求：</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（1）航线设计参数</w:t>
      </w:r>
    </w:p>
    <w:tbl>
      <w:tblPr>
        <w:tblStyle w:val="33"/>
        <w:tblW w:w="90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233"/>
        <w:gridCol w:w="6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2233" w:type="dxa"/>
          </w:tcPr>
          <w:p>
            <w:pPr>
              <w:autoSpaceDE w:val="0"/>
              <w:autoSpaceDN w:val="0"/>
              <w:adjustRightIn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影像分辨率</w:t>
            </w:r>
          </w:p>
        </w:tc>
        <w:tc>
          <w:tcPr>
            <w:tcW w:w="6857" w:type="dxa"/>
          </w:tcPr>
          <w:p>
            <w:pPr>
              <w:autoSpaceDE w:val="0"/>
              <w:autoSpaceDN w:val="0"/>
              <w:adjustRightIn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优于0.2m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2233" w:type="dxa"/>
          </w:tcPr>
          <w:p>
            <w:pPr>
              <w:autoSpaceDE w:val="0"/>
              <w:autoSpaceDN w:val="0"/>
              <w:adjustRightIn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航高设计</w:t>
            </w:r>
          </w:p>
        </w:tc>
        <w:tc>
          <w:tcPr>
            <w:tcW w:w="6857" w:type="dxa"/>
          </w:tcPr>
          <w:p>
            <w:pPr>
              <w:autoSpaceDE w:val="0"/>
              <w:autoSpaceDN w:val="0"/>
              <w:adjustRightIn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根据影像分辨率和地形情况设计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2233" w:type="dxa"/>
          </w:tcPr>
          <w:p>
            <w:pPr>
              <w:autoSpaceDE w:val="0"/>
              <w:autoSpaceDN w:val="0"/>
              <w:adjustRightIn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旁向重叠</w:t>
            </w:r>
          </w:p>
        </w:tc>
        <w:tc>
          <w:tcPr>
            <w:tcW w:w="6857" w:type="dxa"/>
          </w:tcPr>
          <w:p>
            <w:pPr>
              <w:autoSpaceDE w:val="0"/>
              <w:autoSpaceDN w:val="0"/>
              <w:adjustRightIn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2233" w:type="dxa"/>
          </w:tcPr>
          <w:p>
            <w:pPr>
              <w:autoSpaceDE w:val="0"/>
              <w:autoSpaceDN w:val="0"/>
              <w:adjustRightIn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航向重叠</w:t>
            </w:r>
          </w:p>
        </w:tc>
        <w:tc>
          <w:tcPr>
            <w:tcW w:w="6857" w:type="dxa"/>
          </w:tcPr>
          <w:p>
            <w:pPr>
              <w:autoSpaceDE w:val="0"/>
              <w:autoSpaceDN w:val="0"/>
              <w:adjustRightIn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2233" w:type="dxa"/>
          </w:tcPr>
          <w:p>
            <w:pPr>
              <w:autoSpaceDE w:val="0"/>
              <w:autoSpaceDN w:val="0"/>
              <w:adjustRightIn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像片倾角</w:t>
            </w:r>
          </w:p>
        </w:tc>
        <w:tc>
          <w:tcPr>
            <w:tcW w:w="6857" w:type="dxa"/>
          </w:tcPr>
          <w:p>
            <w:pPr>
              <w:autoSpaceDE w:val="0"/>
              <w:autoSpaceDN w:val="0"/>
              <w:adjustRightIn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不大于5°，最大不超过12%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2233" w:type="dxa"/>
          </w:tcPr>
          <w:p>
            <w:pPr>
              <w:autoSpaceDE w:val="0"/>
              <w:autoSpaceDN w:val="0"/>
              <w:adjustRightIn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摄影分区</w:t>
            </w:r>
          </w:p>
        </w:tc>
        <w:tc>
          <w:tcPr>
            <w:tcW w:w="6857" w:type="dxa"/>
          </w:tcPr>
          <w:p>
            <w:pPr>
              <w:autoSpaceDE w:val="0"/>
              <w:autoSpaceDN w:val="0"/>
              <w:adjustRightIn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根据项目作业范围及测区情况划定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2233" w:type="dxa"/>
          </w:tcPr>
          <w:p>
            <w:pPr>
              <w:autoSpaceDE w:val="0"/>
              <w:autoSpaceDN w:val="0"/>
              <w:adjustRightIn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测区边界覆盖</w:t>
            </w:r>
          </w:p>
        </w:tc>
        <w:tc>
          <w:tcPr>
            <w:tcW w:w="6857" w:type="dxa"/>
          </w:tcPr>
          <w:p>
            <w:pPr>
              <w:autoSpaceDE w:val="0"/>
              <w:autoSpaceDN w:val="0"/>
              <w:adjustRightIn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航向超出边界不少于两条基线，旁向不少于像幅的50%，保证影像全覆盖整个测区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2233" w:type="dxa"/>
          </w:tcPr>
          <w:p>
            <w:pPr>
              <w:autoSpaceDE w:val="0"/>
              <w:autoSpaceDN w:val="0"/>
              <w:adjustRightIn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拍摄时间</w:t>
            </w:r>
          </w:p>
        </w:tc>
        <w:tc>
          <w:tcPr>
            <w:tcW w:w="6857" w:type="dxa"/>
          </w:tcPr>
          <w:p>
            <w:pPr>
              <w:autoSpaceDE w:val="0"/>
              <w:autoSpaceDN w:val="0"/>
              <w:adjustRightIn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选择测区最有利气象条件，保证影像质量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2233" w:type="dxa"/>
          </w:tcPr>
          <w:p>
            <w:pPr>
              <w:autoSpaceDE w:val="0"/>
              <w:autoSpaceDN w:val="0"/>
              <w:adjustRightIn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补摄与重摄要求</w:t>
            </w:r>
          </w:p>
        </w:tc>
        <w:tc>
          <w:tcPr>
            <w:tcW w:w="6857" w:type="dxa"/>
          </w:tcPr>
          <w:p>
            <w:pPr>
              <w:autoSpaceDE w:val="0"/>
              <w:autoSpaceDN w:val="0"/>
              <w:adjustRightIn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出现相对漏洞和绝对漏洞应补摄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2233" w:type="dxa"/>
          </w:tcPr>
          <w:p>
            <w:pPr>
              <w:autoSpaceDE w:val="0"/>
              <w:autoSpaceDN w:val="0"/>
              <w:adjustRightIn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影像质量</w:t>
            </w:r>
          </w:p>
        </w:tc>
        <w:tc>
          <w:tcPr>
            <w:tcW w:w="6857" w:type="dxa"/>
          </w:tcPr>
          <w:p>
            <w:pPr>
              <w:autoSpaceDE w:val="0"/>
              <w:autoSpaceDN w:val="0"/>
              <w:adjustRightIn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影像清晰、层次丰富、反差适中、色调柔和</w:t>
            </w:r>
          </w:p>
          <w:p>
            <w:pPr>
              <w:autoSpaceDE w:val="0"/>
              <w:autoSpaceDN w:val="0"/>
              <w:adjustRightInd w:val="0"/>
              <w:spacing w:line="360" w:lineRule="auto"/>
              <w:jc w:val="center"/>
              <w:rPr>
                <w:rFonts w:asciiTheme="minorEastAsia" w:hAnsiTheme="minorEastAsia" w:eastAsiaTheme="minorEastAsia" w:cstheme="minorEastAsia"/>
                <w:kern w:val="0"/>
                <w:szCs w:val="21"/>
              </w:rPr>
            </w:pPr>
          </w:p>
        </w:tc>
      </w:tr>
    </w:tbl>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采用先进的航空飞行器和摄像仪器，对项目区域进行航拍，获取地面分辨率优于0.2米的影像数据。</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（2）像控测量</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利用覆盖范围广的GNSS连续运行参考站系统进行此次像控点测量。</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像控点点位要求：</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应选在线状地物的交点、明显地物拐角顶点处、影像小于0.2mm点状地物中心（如：小灌木中心），交角必须良好（大于30度、小于150度）。电杆、弧形地物、不固定的地物（如：阴影、活动门、汽车）、点状目标影像大于0.2mm不得作为刺点目标。</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2.应选在高程变化不大的地方，不应选在狭沟、尖山头或高程急剧变化的斜坡上。</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3.像控点刺点目标的影像必须清晰、明显。</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4.应满足GPS观测的要求：点位上应便于安置接收设备和操作，对空视野开阔，周围无大的水面，无较大遮挡。</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5.附近不应有强烈干扰卫星信号接收的物体。远离大功率无线电发射台（如电视台、微波站等），其距离不宜小于200米；远离高压输电线，其距离不宜小于50米。</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6.要拍摄现场观测照片远景、近景各一张，方便后续空三加密工序准确量测。</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像控点平面测量采用网络RTK方式测量，像控点的高程采用GNSS拟合高程。</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7.平面控制点和平高控制点相对临近基础控制点的平面位置中误差不应超过地物点平面位置中误差的1/5，高程控制点和平高控制点相对邻近基础控制点的高程中误差不应超过基本等高距的1/10。</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（3）数字正射影像图（DOM）制作</w:t>
      </w:r>
    </w:p>
    <w:p>
      <w:pPr>
        <w:pStyle w:val="27"/>
        <w:shd w:val="clear" w:color="auto" w:fill="FFFFFF"/>
        <w:spacing w:line="360" w:lineRule="auto"/>
        <w:ind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1.数学基础</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（1）坐标系统采用2000国家大地坐标系；</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（2）地图投影采用高斯—克吕格投影。1:2000比例尺，成果按3度分带。</w:t>
      </w:r>
    </w:p>
    <w:p>
      <w:pPr>
        <w:pStyle w:val="27"/>
        <w:shd w:val="clear" w:color="auto" w:fill="FFFFFF"/>
        <w:spacing w:line="360" w:lineRule="auto"/>
        <w:ind w:firstLine="420" w:firstLineChars="200"/>
        <w:contextualSpacing/>
        <w:rPr>
          <w:rFonts w:asciiTheme="minorEastAsia" w:hAnsiTheme="minorEastAsia" w:eastAsiaTheme="minorEastAsia" w:cstheme="minorEastAsia"/>
          <w:sz w:val="21"/>
          <w:szCs w:val="21"/>
        </w:rPr>
      </w:pPr>
      <w:bookmarkStart w:id="4" w:name="_Toc264879095"/>
      <w:bookmarkStart w:id="5" w:name="_Toc269980866"/>
      <w:bookmarkStart w:id="6" w:name="_Toc257815600"/>
      <w:bookmarkStart w:id="7" w:name="_Toc160853759"/>
      <w:bookmarkStart w:id="8" w:name="_Toc264878457"/>
      <w:bookmarkStart w:id="9" w:name="_Toc264878916"/>
      <w:bookmarkStart w:id="10" w:name="_Toc264878379"/>
      <w:bookmarkStart w:id="11" w:name="_Toc264879152"/>
      <w:bookmarkStart w:id="12" w:name="_Toc160853468"/>
      <w:r>
        <w:rPr>
          <w:rFonts w:hint="eastAsia" w:asciiTheme="minorEastAsia" w:hAnsiTheme="minorEastAsia" w:eastAsiaTheme="minorEastAsia" w:cstheme="minorEastAsia"/>
          <w:sz w:val="21"/>
          <w:szCs w:val="21"/>
        </w:rPr>
        <w:t>2.主要精度指标</w:t>
      </w:r>
      <w:bookmarkEnd w:id="4"/>
      <w:bookmarkEnd w:id="5"/>
      <w:bookmarkEnd w:id="6"/>
      <w:bookmarkEnd w:id="7"/>
      <w:bookmarkEnd w:id="8"/>
      <w:bookmarkEnd w:id="9"/>
      <w:bookmarkEnd w:id="10"/>
      <w:bookmarkEnd w:id="11"/>
      <w:bookmarkEnd w:id="12"/>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（1）数字正射影像图按照1:2000标准分幅进行分幅。</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（2）1:2000 DOM精度要求</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1:2000数字正射影像图地面分辨率应优于下表的规定，明显地物点中误差不应大于下表的规定。</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数字正射影像图分辨率及平面中误差精度指标（图上单位：毫米）</w:t>
      </w:r>
    </w:p>
    <w:tbl>
      <w:tblPr>
        <w:tblStyle w:val="33"/>
        <w:tblW w:w="61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1623"/>
        <w:gridCol w:w="1661"/>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1202" w:type="dxa"/>
            <w:vMerge w:val="restart"/>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比例尺</w:t>
            </w:r>
          </w:p>
        </w:tc>
        <w:tc>
          <w:tcPr>
            <w:tcW w:w="1623" w:type="dxa"/>
            <w:vMerge w:val="restart"/>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地面分辨率</w:t>
            </w:r>
          </w:p>
        </w:tc>
        <w:tc>
          <w:tcPr>
            <w:tcW w:w="3322" w:type="dxa"/>
            <w:gridSpan w:val="2"/>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平面中误差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1202" w:type="dxa"/>
            <w:vMerge w:val="continue"/>
            <w:vAlign w:val="center"/>
          </w:tcPr>
          <w:p>
            <w:pPr>
              <w:autoSpaceDE w:val="0"/>
              <w:autoSpaceDN w:val="0"/>
              <w:adjustRightInd w:val="0"/>
              <w:spacing w:line="360" w:lineRule="auto"/>
              <w:jc w:val="center"/>
              <w:rPr>
                <w:rFonts w:asciiTheme="minorEastAsia" w:hAnsiTheme="minorEastAsia" w:eastAsiaTheme="minorEastAsia" w:cstheme="minorEastAsia"/>
                <w:szCs w:val="21"/>
              </w:rPr>
            </w:pPr>
          </w:p>
        </w:tc>
        <w:tc>
          <w:tcPr>
            <w:tcW w:w="1623" w:type="dxa"/>
            <w:vMerge w:val="continue"/>
            <w:vAlign w:val="center"/>
          </w:tcPr>
          <w:p>
            <w:pPr>
              <w:autoSpaceDE w:val="0"/>
              <w:autoSpaceDN w:val="0"/>
              <w:adjustRightInd w:val="0"/>
              <w:spacing w:line="360" w:lineRule="auto"/>
              <w:jc w:val="center"/>
              <w:rPr>
                <w:rFonts w:asciiTheme="minorEastAsia" w:hAnsiTheme="minorEastAsia" w:eastAsiaTheme="minorEastAsia" w:cstheme="minorEastAsia"/>
                <w:szCs w:val="21"/>
              </w:rPr>
            </w:pPr>
          </w:p>
        </w:tc>
        <w:tc>
          <w:tcPr>
            <w:tcW w:w="1661"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平地、丘陵地</w:t>
            </w:r>
          </w:p>
        </w:tc>
        <w:tc>
          <w:tcPr>
            <w:tcW w:w="1661"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山地、高山地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1202"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1:2000</w:t>
            </w:r>
          </w:p>
        </w:tc>
        <w:tc>
          <w:tcPr>
            <w:tcW w:w="1623"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0.2</w:t>
            </w:r>
          </w:p>
        </w:tc>
        <w:tc>
          <w:tcPr>
            <w:tcW w:w="1661"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0.6</w:t>
            </w:r>
          </w:p>
        </w:tc>
        <w:tc>
          <w:tcPr>
            <w:tcW w:w="1661"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0.8</w:t>
            </w:r>
          </w:p>
        </w:tc>
      </w:tr>
    </w:tbl>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数字正射影像图接边精度误差不大于2个像元。</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字正射影像图质量：色彩模式为RGB、像素位数24bit、影像图应反差适中，色调均匀，纹理清楚，层次丰富，无明显失真，灰度直方图一般呈正态分布，无明显的拼接痕迹，无影像缺损而造成无法判读影像信息和精度的损失。</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bookmarkStart w:id="13" w:name="_Toc269980867"/>
      <w:r>
        <w:rPr>
          <w:rFonts w:hint="eastAsia" w:asciiTheme="minorEastAsia" w:hAnsiTheme="minorEastAsia" w:eastAsiaTheme="minorEastAsia" w:cstheme="minorEastAsia"/>
          <w:sz w:val="21"/>
          <w:szCs w:val="21"/>
        </w:rPr>
        <w:t>（4）数据成果及格式</w:t>
      </w:r>
      <w:bookmarkEnd w:id="13"/>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1：2000真彩数码正射影像图数据格式：geotif；</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bookmarkStart w:id="14" w:name="_Toc269980869"/>
      <w:r>
        <w:rPr>
          <w:rFonts w:hint="eastAsia" w:asciiTheme="minorEastAsia" w:hAnsiTheme="minorEastAsia" w:eastAsiaTheme="minorEastAsia" w:cstheme="minorEastAsia"/>
          <w:sz w:val="21"/>
          <w:szCs w:val="21"/>
        </w:rPr>
        <w:t>（5）DOM其他技术要求</w:t>
      </w:r>
      <w:bookmarkEnd w:id="14"/>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地面分辨率优于0.2米；</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影像定位：DOM数据起始点为左上角像元中心点。数据的栅格坐标位于像元中心点，影像值是每一个栅格中心代表的值。</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影像色彩模式：24位（比特）；</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色彩特征：整个图幅内的影像都应反差适中，色调均匀，纹理清楚，层次丰富，无明显失真；</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影像噪音：影像应无噪声、污点、划痕。</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影像接边时，接边重叠带不允许出现明显的模糊和重影，相邻数字正射影像要严格接边。</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影像图按标准图廓坐标的范围裁切。</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影像应清晰，片与片之间影像尽量保持色调均匀，反差适中，图面上不得有影像处理后留下的痕迹，在屏幕上要有良好的视觉效果。</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5、提交成果</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1.真彩色航摄数码像片一套（jpg格式）；</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2.像控成果一套（doc格式）；</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3.数字正射影像图标准分幅一套（tif格式）；</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4.1：2000分幅结合图表电子文件一套（shp、dwg格式）；</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5.专业技术设计书（doc格式）；</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6.专业技术总结（doc格式）。</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（三）、5标包</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1、成果汇总（包括）：</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通过三调，将全面获取覆盖全国的土地利用现状信息，形成一整套土地调查成果资料，包括数据汇总、成果分析、数据成果制作与影像图件编制、权属、文字报告等成果。</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bookmarkStart w:id="15" w:name="_Toc171700123"/>
      <w:r>
        <w:rPr>
          <w:rFonts w:hint="eastAsia" w:asciiTheme="minorEastAsia" w:hAnsiTheme="minorEastAsia" w:eastAsiaTheme="minorEastAsia" w:cstheme="minorEastAsia"/>
          <w:sz w:val="21"/>
          <w:szCs w:val="21"/>
        </w:rPr>
        <w:t>1.外业调查成果</w:t>
      </w:r>
      <w:bookmarkEnd w:id="15"/>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（1）原始调查图件；</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（2）土地权属调查有关成果；</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（3）监理成果等其他相关成果；</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（4）各级检查记录资料。</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bookmarkStart w:id="16" w:name="_Toc171700124"/>
      <w:r>
        <w:rPr>
          <w:rFonts w:hint="eastAsia" w:asciiTheme="minorEastAsia" w:hAnsiTheme="minorEastAsia" w:eastAsiaTheme="minorEastAsia" w:cstheme="minorEastAsia"/>
          <w:sz w:val="21"/>
          <w:szCs w:val="21"/>
        </w:rPr>
        <w:t xml:space="preserve"> 2.图件成果</w:t>
      </w:r>
      <w:bookmarkEnd w:id="16"/>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（1）土地利用现状图；</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（2）土地权属界线图件；</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（3）城镇土地利用现状图件；</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（4）耕地细化调查、批准未建设的建设用地调查、耕地质量等级和耕地分等定级等专项调查的专题图件；</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bookmarkStart w:id="17" w:name="_Toc171700125"/>
      <w:r>
        <w:rPr>
          <w:rFonts w:hint="eastAsia" w:asciiTheme="minorEastAsia" w:hAnsiTheme="minorEastAsia" w:eastAsiaTheme="minorEastAsia" w:cstheme="minorEastAsia"/>
          <w:sz w:val="21"/>
          <w:szCs w:val="21"/>
        </w:rPr>
        <w:t>（5）图幅理论面积与控制面积接合图表。</w:t>
      </w:r>
      <w:bookmarkEnd w:id="17"/>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bookmarkStart w:id="18" w:name="_Toc171700126"/>
      <w:r>
        <w:rPr>
          <w:rFonts w:hint="eastAsia" w:asciiTheme="minorEastAsia" w:hAnsiTheme="minorEastAsia" w:eastAsiaTheme="minorEastAsia" w:cstheme="minorEastAsia"/>
          <w:sz w:val="21"/>
          <w:szCs w:val="21"/>
        </w:rPr>
        <w:t xml:space="preserve"> 3.数据成果</w:t>
      </w:r>
      <w:bookmarkEnd w:id="18"/>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（1）各类土地分类面积数据；</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（2）各类土地的权属信息数据；</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（3）城镇村庄土地利用分类面积数据；</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（4）耕地细化调查、批准未建设的建设用地调查、耕地质量等级和耕地分等定级等专项调查数据。</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bookmarkStart w:id="19" w:name="_Toc171700127"/>
      <w:r>
        <w:rPr>
          <w:rFonts w:hint="eastAsia" w:asciiTheme="minorEastAsia" w:hAnsiTheme="minorEastAsia" w:eastAsiaTheme="minorEastAsia" w:cstheme="minorEastAsia"/>
          <w:sz w:val="21"/>
          <w:szCs w:val="21"/>
        </w:rPr>
        <w:t>4.数据库成果</w:t>
      </w:r>
      <w:bookmarkEnd w:id="19"/>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（1）县级第三次土地调查数据库；</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bookmarkStart w:id="20" w:name="_Toc171700128"/>
      <w:r>
        <w:rPr>
          <w:rFonts w:hint="eastAsia" w:asciiTheme="minorEastAsia" w:hAnsiTheme="minorEastAsia" w:eastAsiaTheme="minorEastAsia" w:cstheme="minorEastAsia"/>
          <w:sz w:val="21"/>
          <w:szCs w:val="21"/>
        </w:rPr>
        <w:t>5.文字成果</w:t>
      </w:r>
      <w:bookmarkEnd w:id="20"/>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（1）县级第三次土地调查工作报告；</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（2）县级第三次土地调查技术报告；</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（3）县级第三次土地调查数据库建设报告；</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（4）县级第三次土地调查成果分析报告；</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（5）县级城镇村庄土地利用状况分析报告；</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（6）县级第三次土地调查数据库质量检查报告；</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（7）耕地细化调查、批准未建设的建设用地调查、耕地质量等级和耕地分等定级等专项调查成果报告。</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（四）、6标包</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1、监理工作内容</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（1）对长葛长葛市第三次全国土地调查工作进行全程监理，确保各作业单位按照合同约定、投标时承诺以及国家、省、市相关技术规范及实施方案开展调查工作，保质保量完成工作任务。</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（2）对各作业单位的阶段性和整体性工作质量、进度及工作量进行确认，提供支付合同款依据。</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（3）监理对各作业单位项目进度、质量、工作进展汇报，同时配合甲方协调处理各作业单位出现的技术问题。</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（4）及时向甲方提供阶段性监理报告，提出工作建议，最终提交完整的监理报告及其它监理成果。</w:t>
      </w:r>
      <w:bookmarkStart w:id="21" w:name="_Toc1171"/>
      <w:bookmarkStart w:id="22" w:name="_Toc17408"/>
      <w:bookmarkStart w:id="23" w:name="_Toc25471"/>
      <w:bookmarkStart w:id="24" w:name="_Toc12508"/>
      <w:bookmarkStart w:id="25" w:name="_Toc22411"/>
      <w:bookmarkStart w:id="26" w:name="_Toc28980"/>
      <w:bookmarkStart w:id="27" w:name="_Toc422907109"/>
      <w:bookmarkStart w:id="28" w:name="_Toc26175"/>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（5）做好上级部门检查验收的资料编写、文件整理等各项工作，确保通过上级部门的验收。</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2、监理工作要求</w:t>
      </w:r>
      <w:bookmarkEnd w:id="21"/>
      <w:bookmarkEnd w:id="22"/>
      <w:bookmarkEnd w:id="23"/>
      <w:bookmarkEnd w:id="24"/>
      <w:bookmarkEnd w:id="25"/>
      <w:bookmarkEnd w:id="26"/>
      <w:bookmarkEnd w:id="27"/>
      <w:bookmarkEnd w:id="28"/>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（1）监理单位应按照甲方下达第三次土地调查工作任务，制定详细的监理方案，并附具监理实施计划表，报甲方批准后，方可实施。</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（2）项目实行全过程监理，监理情况应边监理边记录，同时保留相关影像资料。</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（3）监理报告应当按照不同工序内容，进行阶段性监理，形成阶段性监理报告。监理任务完成后，形成监理报告。监理有关记录和监理报告作为预检和验收的要件之一。</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（4）阶段监理报告应及时报甲方。同时针对出现的各类问题向作业单位下达监理通知，各作业单位应对监理通知中提出的问题进行整改，逾期不改或屡次修改不完善者，按照甲方相关要求进行处理。</w:t>
      </w:r>
      <w:bookmarkStart w:id="29" w:name="_Toc7639"/>
      <w:bookmarkStart w:id="30" w:name="_Toc25275"/>
      <w:bookmarkStart w:id="31" w:name="_Toc16631"/>
      <w:bookmarkStart w:id="32" w:name="_Toc10442"/>
      <w:bookmarkStart w:id="33" w:name="_Toc17365"/>
      <w:bookmarkStart w:id="34" w:name="_Toc11791"/>
      <w:bookmarkStart w:id="35" w:name="_Toc18626"/>
      <w:bookmarkStart w:id="36" w:name="_Toc422907111"/>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bookmarkEnd w:id="29"/>
      <w:bookmarkEnd w:id="30"/>
      <w:bookmarkEnd w:id="31"/>
      <w:bookmarkEnd w:id="32"/>
      <w:bookmarkEnd w:id="33"/>
      <w:bookmarkEnd w:id="34"/>
      <w:bookmarkEnd w:id="35"/>
      <w:bookmarkEnd w:id="36"/>
      <w:r>
        <w:rPr>
          <w:rFonts w:hint="eastAsia" w:asciiTheme="minorEastAsia" w:hAnsiTheme="minorEastAsia" w:eastAsiaTheme="minorEastAsia" w:cstheme="minorEastAsia"/>
          <w:sz w:val="21"/>
          <w:szCs w:val="21"/>
        </w:rPr>
        <w:t>、监理职责：</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监理单位要对本项目的所有工作进行全过程监理，并按照监理要求提交监理相关资料。</w:t>
      </w:r>
    </w:p>
    <w:p>
      <w:pPr>
        <w:pStyle w:val="27"/>
        <w:shd w:val="clear" w:color="auto" w:fill="FFFFFF"/>
        <w:spacing w:line="360" w:lineRule="auto"/>
        <w:ind w:firstLine="420"/>
        <w:contextualSpacing/>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三、其他要求</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（一）本项目供应商配备人员属于河南省长葛市第三次全国土地调查综合管理系统平台锁定人员，中标无效。</w:t>
      </w: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p>
    <w:p>
      <w:pPr>
        <w:pStyle w:val="27"/>
        <w:shd w:val="clear" w:color="auto" w:fill="FFFFFF"/>
        <w:spacing w:line="360" w:lineRule="auto"/>
        <w:ind w:firstLine="420"/>
        <w:contextualSpacing/>
        <w:rPr>
          <w:rFonts w:asciiTheme="minorEastAsia" w:hAnsiTheme="minorEastAsia" w:eastAsiaTheme="minorEastAsia" w:cstheme="minorEastAsia"/>
          <w:sz w:val="21"/>
          <w:szCs w:val="21"/>
        </w:rPr>
      </w:pPr>
    </w:p>
    <w:p>
      <w:pPr>
        <w:pStyle w:val="27"/>
        <w:shd w:val="clear" w:color="auto" w:fill="FFFFFF"/>
        <w:spacing w:line="360" w:lineRule="auto"/>
        <w:ind w:firstLine="0"/>
        <w:contextualSpacing/>
        <w:rPr>
          <w:rFonts w:asciiTheme="minorEastAsia" w:hAnsiTheme="minorEastAsia" w:eastAsiaTheme="minorEastAsia" w:cstheme="minorEastAsia"/>
          <w:b/>
          <w:sz w:val="21"/>
          <w:szCs w:val="21"/>
        </w:rPr>
      </w:pPr>
    </w:p>
    <w:p/>
    <w:p>
      <w:pPr>
        <w:keepNext/>
        <w:keepLines/>
        <w:widowControl/>
        <w:spacing w:line="360" w:lineRule="auto"/>
        <w:rPr>
          <w:rFonts w:asciiTheme="minorEastAsia" w:hAnsiTheme="minorEastAsia" w:eastAsiaTheme="minorEastAsia" w:cstheme="minorEastAsia"/>
          <w:b/>
          <w:szCs w:val="21"/>
        </w:rPr>
      </w:pPr>
    </w:p>
    <w:p>
      <w:pPr>
        <w:keepNext/>
        <w:keepLines/>
        <w:widowControl/>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第四章  资格审查</w:t>
      </w:r>
    </w:p>
    <w:p>
      <w:pPr>
        <w:keepNext/>
        <w:keepLines/>
        <w:spacing w:line="360" w:lineRule="auto"/>
        <w:rPr>
          <w:rFonts w:asciiTheme="minorEastAsia" w:hAnsiTheme="minorEastAsia" w:eastAsiaTheme="minorEastAsia" w:cstheme="minorEastAsia"/>
          <w:szCs w:val="21"/>
        </w:rPr>
      </w:pPr>
    </w:p>
    <w:p>
      <w:pPr>
        <w:keepNext/>
        <w:keepLine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根据财政部87号令要求，政府采购公开招标项目资格审查应当按以下程序进行：</w:t>
      </w:r>
    </w:p>
    <w:p>
      <w:pPr>
        <w:keepNext/>
        <w:keepLines/>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⑴资格审查材料的接收与退还</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开标结束后，由代理公司指定专人负责接收供应商的资格审查材料（供应商应附资料清单）。</w:t>
      </w:r>
    </w:p>
    <w:p>
      <w:pPr>
        <w:keepNext/>
        <w:keepLines/>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⑵资格审查时间及地点</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开标后，在开标室进行，所有供应商离场。</w:t>
      </w:r>
    </w:p>
    <w:p>
      <w:pPr>
        <w:keepNext/>
        <w:keepLines/>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⑶资格审查小组</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资格性审查小组由采购人代表3人组成。</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资格性审查小组成员均须持采购单位有明确授权事项的授权书，与资格审查材料一并存入项目档案。</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资格性审查小组成员不得出席开标活动。</w:t>
      </w:r>
    </w:p>
    <w:p>
      <w:pPr>
        <w:keepNext/>
        <w:keepLines/>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⑷资格审查内容</w:t>
      </w:r>
    </w:p>
    <w:p>
      <w:pPr>
        <w:keepNext/>
        <w:keepLines/>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详见附件（1）：资格审查表</w:t>
      </w:r>
    </w:p>
    <w:p>
      <w:pPr>
        <w:keepNext/>
        <w:keepLines/>
        <w:spacing w:line="360" w:lineRule="auto"/>
        <w:ind w:firstLine="422" w:firstLineChars="200"/>
        <w:rPr>
          <w:rFonts w:asciiTheme="minorEastAsia" w:hAnsiTheme="minorEastAsia" w:eastAsiaTheme="minorEastAsia" w:cstheme="minorEastAsia"/>
          <w:b/>
          <w:bCs/>
          <w:szCs w:val="21"/>
        </w:rPr>
      </w:pPr>
    </w:p>
    <w:p>
      <w:pPr>
        <w:keepNext/>
        <w:keepLines/>
        <w:spacing w:line="360" w:lineRule="auto"/>
        <w:ind w:firstLine="422" w:firstLineChars="200"/>
        <w:rPr>
          <w:rFonts w:asciiTheme="minorEastAsia" w:hAnsiTheme="minorEastAsia" w:eastAsiaTheme="minorEastAsia" w:cstheme="minorEastAsia"/>
          <w:b/>
          <w:bCs/>
          <w:szCs w:val="21"/>
        </w:rPr>
      </w:pPr>
    </w:p>
    <w:p>
      <w:pPr>
        <w:keepNext/>
        <w:keepLines/>
        <w:spacing w:line="360" w:lineRule="auto"/>
        <w:ind w:firstLine="422" w:firstLineChars="200"/>
        <w:rPr>
          <w:rFonts w:asciiTheme="minorEastAsia" w:hAnsiTheme="minorEastAsia" w:eastAsiaTheme="minorEastAsia" w:cstheme="minorEastAsia"/>
          <w:b/>
          <w:bCs/>
          <w:szCs w:val="21"/>
        </w:rPr>
      </w:pPr>
    </w:p>
    <w:p>
      <w:pPr>
        <w:keepNext/>
        <w:keepLines/>
        <w:spacing w:line="360" w:lineRule="auto"/>
        <w:ind w:firstLine="422" w:firstLineChars="200"/>
        <w:rPr>
          <w:rFonts w:asciiTheme="minorEastAsia" w:hAnsiTheme="minorEastAsia" w:eastAsiaTheme="minorEastAsia" w:cstheme="minorEastAsia"/>
          <w:b/>
          <w:bCs/>
          <w:szCs w:val="21"/>
        </w:rPr>
      </w:pPr>
    </w:p>
    <w:p>
      <w:pPr>
        <w:keepNext/>
        <w:keepLines/>
        <w:suppressLineNumbers/>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br w:type="page"/>
      </w:r>
      <w:r>
        <w:rPr>
          <w:rFonts w:hint="eastAsia" w:asciiTheme="minorEastAsia" w:hAnsiTheme="minorEastAsia" w:eastAsiaTheme="minorEastAsia" w:cstheme="minorEastAsia"/>
          <w:b/>
          <w:bCs/>
          <w:szCs w:val="21"/>
        </w:rPr>
        <w:t>附件（1）：资格审查表</w:t>
      </w:r>
    </w:p>
    <w:tbl>
      <w:tblPr>
        <w:tblStyle w:val="33"/>
        <w:tblW w:w="97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5389"/>
        <w:gridCol w:w="2339"/>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jc w:val="center"/>
        </w:trPr>
        <w:tc>
          <w:tcPr>
            <w:tcW w:w="815" w:type="dxa"/>
            <w:vAlign w:val="center"/>
          </w:tcPr>
          <w:p>
            <w:pPr>
              <w:keepNext/>
              <w:keepLines/>
              <w:suppressLineNumbers/>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5389" w:type="dxa"/>
            <w:vAlign w:val="center"/>
          </w:tcPr>
          <w:p>
            <w:pPr>
              <w:keepNext/>
              <w:keepLines/>
              <w:suppressLineNumbers/>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资格审查内容</w:t>
            </w:r>
          </w:p>
        </w:tc>
        <w:tc>
          <w:tcPr>
            <w:tcW w:w="2339" w:type="dxa"/>
            <w:vAlign w:val="center"/>
          </w:tcPr>
          <w:p>
            <w:pPr>
              <w:keepNext/>
              <w:keepLines/>
              <w:suppressLineNumbers/>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备注</w:t>
            </w:r>
          </w:p>
        </w:tc>
        <w:tc>
          <w:tcPr>
            <w:tcW w:w="1253" w:type="dxa"/>
            <w:vAlign w:val="center"/>
          </w:tcPr>
          <w:p>
            <w:pPr>
              <w:keepNext/>
              <w:keepLines/>
              <w:suppressLineNumbers/>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审查结论（合格或不合格）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15" w:type="dxa"/>
            <w:vMerge w:val="restart"/>
            <w:vAlign w:val="center"/>
          </w:tcPr>
          <w:p>
            <w:pPr>
              <w:keepNext/>
              <w:keepLines/>
              <w:suppressLineNumbers/>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w:t>
            </w:r>
          </w:p>
        </w:tc>
        <w:tc>
          <w:tcPr>
            <w:tcW w:w="5389" w:type="dxa"/>
            <w:vAlign w:val="center"/>
          </w:tcPr>
          <w:p>
            <w:pPr>
              <w:keepNext/>
              <w:keepLines/>
              <w:suppressLineNumbers/>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企业法人营业执照或营业执照。（企业投标提供）</w:t>
            </w:r>
          </w:p>
        </w:tc>
        <w:tc>
          <w:tcPr>
            <w:tcW w:w="2339" w:type="dxa"/>
            <w:vMerge w:val="restart"/>
            <w:vAlign w:val="center"/>
          </w:tcPr>
          <w:p>
            <w:pPr>
              <w:keepNext/>
              <w:keepLines/>
              <w:suppressLineNumbers/>
              <w:spacing w:line="360" w:lineRule="auto"/>
              <w:jc w:val="left"/>
              <w:rPr>
                <w:rFonts w:asciiTheme="minorEastAsia" w:hAnsiTheme="minorEastAsia" w:eastAsiaTheme="minorEastAsia" w:cstheme="minorEastAsia"/>
                <w:szCs w:val="21"/>
              </w:rPr>
            </w:pPr>
          </w:p>
        </w:tc>
        <w:tc>
          <w:tcPr>
            <w:tcW w:w="1253" w:type="dxa"/>
            <w:vMerge w:val="restart"/>
            <w:vAlign w:val="center"/>
          </w:tcPr>
          <w:p>
            <w:pPr>
              <w:keepNext/>
              <w:keepLines/>
              <w:suppressLineNumbers/>
              <w:spacing w:line="360" w:lineRule="auto"/>
              <w:jc w:val="center"/>
              <w:rPr>
                <w:rFonts w:asciiTheme="minorEastAsia" w:hAnsiTheme="minorEastAsia" w:eastAsiaTheme="minorEastAsia" w:cs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815" w:type="dxa"/>
            <w:vMerge w:val="continue"/>
            <w:vAlign w:val="center"/>
          </w:tcPr>
          <w:p>
            <w:pPr>
              <w:keepNext/>
              <w:keepLines/>
              <w:suppressLineNumbers/>
              <w:spacing w:line="360" w:lineRule="auto"/>
              <w:jc w:val="center"/>
              <w:rPr>
                <w:rFonts w:asciiTheme="minorEastAsia" w:hAnsiTheme="minorEastAsia" w:eastAsiaTheme="minorEastAsia" w:cstheme="minorEastAsia"/>
                <w:b/>
                <w:bCs/>
                <w:szCs w:val="21"/>
              </w:rPr>
            </w:pPr>
          </w:p>
        </w:tc>
        <w:tc>
          <w:tcPr>
            <w:tcW w:w="5389" w:type="dxa"/>
            <w:vAlign w:val="center"/>
          </w:tcPr>
          <w:p>
            <w:pPr>
              <w:keepNext/>
              <w:keepLines/>
              <w:suppressLineNumbers/>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事业单位法人证书。（事业单位投标提供）</w:t>
            </w:r>
          </w:p>
        </w:tc>
        <w:tc>
          <w:tcPr>
            <w:tcW w:w="2339" w:type="dxa"/>
            <w:vMerge w:val="continue"/>
            <w:vAlign w:val="center"/>
          </w:tcPr>
          <w:p>
            <w:pPr>
              <w:keepNext/>
              <w:keepLines/>
              <w:suppressLineNumbers/>
              <w:spacing w:line="360" w:lineRule="auto"/>
              <w:jc w:val="left"/>
              <w:rPr>
                <w:rFonts w:asciiTheme="minorEastAsia" w:hAnsiTheme="minorEastAsia" w:eastAsiaTheme="minorEastAsia" w:cstheme="minorEastAsia"/>
                <w:szCs w:val="21"/>
              </w:rPr>
            </w:pPr>
          </w:p>
        </w:tc>
        <w:tc>
          <w:tcPr>
            <w:tcW w:w="1253" w:type="dxa"/>
            <w:vMerge w:val="continue"/>
            <w:vAlign w:val="center"/>
          </w:tcPr>
          <w:p>
            <w:pPr>
              <w:keepNext/>
              <w:keepLines/>
              <w:suppressLineNumbers/>
              <w:spacing w:line="360" w:lineRule="auto"/>
              <w:jc w:val="center"/>
              <w:rPr>
                <w:rFonts w:asciiTheme="minorEastAsia" w:hAnsiTheme="minorEastAsia" w:eastAsiaTheme="minorEastAsia" w:cs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815" w:type="dxa"/>
            <w:vMerge w:val="continue"/>
            <w:vAlign w:val="center"/>
          </w:tcPr>
          <w:p>
            <w:pPr>
              <w:keepNext/>
              <w:keepLines/>
              <w:suppressLineNumbers/>
              <w:spacing w:line="360" w:lineRule="auto"/>
              <w:jc w:val="center"/>
              <w:rPr>
                <w:rFonts w:asciiTheme="minorEastAsia" w:hAnsiTheme="minorEastAsia" w:eastAsiaTheme="minorEastAsia" w:cstheme="minorEastAsia"/>
                <w:b/>
                <w:bCs/>
                <w:szCs w:val="21"/>
              </w:rPr>
            </w:pPr>
          </w:p>
        </w:tc>
        <w:tc>
          <w:tcPr>
            <w:tcW w:w="5389" w:type="dxa"/>
            <w:vAlign w:val="center"/>
          </w:tcPr>
          <w:p>
            <w:pPr>
              <w:keepNext/>
              <w:keepLines/>
              <w:suppressLineNumbers/>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执业许可证。（非专业服务机构投标提供）</w:t>
            </w:r>
          </w:p>
        </w:tc>
        <w:tc>
          <w:tcPr>
            <w:tcW w:w="2339" w:type="dxa"/>
            <w:vMerge w:val="continue"/>
            <w:vAlign w:val="center"/>
          </w:tcPr>
          <w:p>
            <w:pPr>
              <w:keepNext/>
              <w:keepLines/>
              <w:suppressLineNumbers/>
              <w:spacing w:line="360" w:lineRule="auto"/>
              <w:jc w:val="left"/>
              <w:rPr>
                <w:rFonts w:asciiTheme="minorEastAsia" w:hAnsiTheme="minorEastAsia" w:eastAsiaTheme="minorEastAsia" w:cstheme="minorEastAsia"/>
                <w:szCs w:val="21"/>
              </w:rPr>
            </w:pPr>
          </w:p>
        </w:tc>
        <w:tc>
          <w:tcPr>
            <w:tcW w:w="1253" w:type="dxa"/>
            <w:vMerge w:val="continue"/>
            <w:vAlign w:val="center"/>
          </w:tcPr>
          <w:p>
            <w:pPr>
              <w:keepNext/>
              <w:keepLines/>
              <w:suppressLineNumbers/>
              <w:spacing w:line="360" w:lineRule="auto"/>
              <w:jc w:val="center"/>
              <w:rPr>
                <w:rFonts w:asciiTheme="minorEastAsia" w:hAnsiTheme="minorEastAsia" w:eastAsiaTheme="minorEastAsia" w:cs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815" w:type="dxa"/>
            <w:vMerge w:val="continue"/>
            <w:vAlign w:val="center"/>
          </w:tcPr>
          <w:p>
            <w:pPr>
              <w:keepNext/>
              <w:keepLines/>
              <w:suppressLineNumbers/>
              <w:spacing w:line="360" w:lineRule="auto"/>
              <w:jc w:val="center"/>
              <w:rPr>
                <w:rFonts w:asciiTheme="minorEastAsia" w:hAnsiTheme="minorEastAsia" w:eastAsiaTheme="minorEastAsia" w:cstheme="minorEastAsia"/>
                <w:b/>
                <w:bCs/>
                <w:szCs w:val="21"/>
              </w:rPr>
            </w:pPr>
          </w:p>
        </w:tc>
        <w:tc>
          <w:tcPr>
            <w:tcW w:w="5389" w:type="dxa"/>
            <w:vAlign w:val="center"/>
          </w:tcPr>
          <w:p>
            <w:pPr>
              <w:keepNext/>
              <w:keepLines/>
              <w:suppressLineNumbers/>
              <w:spacing w:line="360" w:lineRule="auto"/>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个体工商户营业执照。（个体工商户投标提供）</w:t>
            </w:r>
          </w:p>
        </w:tc>
        <w:tc>
          <w:tcPr>
            <w:tcW w:w="2339" w:type="dxa"/>
            <w:vMerge w:val="continue"/>
            <w:vAlign w:val="center"/>
          </w:tcPr>
          <w:p>
            <w:pPr>
              <w:keepNext/>
              <w:keepLines/>
              <w:suppressLineNumbers/>
              <w:spacing w:line="360" w:lineRule="auto"/>
              <w:jc w:val="left"/>
              <w:rPr>
                <w:rFonts w:asciiTheme="minorEastAsia" w:hAnsiTheme="minorEastAsia" w:eastAsiaTheme="minorEastAsia" w:cstheme="minorEastAsia"/>
                <w:szCs w:val="21"/>
              </w:rPr>
            </w:pPr>
          </w:p>
        </w:tc>
        <w:tc>
          <w:tcPr>
            <w:tcW w:w="1253" w:type="dxa"/>
            <w:vMerge w:val="continue"/>
            <w:vAlign w:val="center"/>
          </w:tcPr>
          <w:p>
            <w:pPr>
              <w:keepNext/>
              <w:keepLines/>
              <w:suppressLineNumbers/>
              <w:spacing w:line="360" w:lineRule="auto"/>
              <w:jc w:val="center"/>
              <w:rPr>
                <w:rFonts w:asciiTheme="minorEastAsia" w:hAnsiTheme="minorEastAsia" w:eastAsiaTheme="minorEastAsia" w:cs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815" w:type="dxa"/>
            <w:vMerge w:val="continue"/>
            <w:vAlign w:val="center"/>
          </w:tcPr>
          <w:p>
            <w:pPr>
              <w:keepNext/>
              <w:keepLines/>
              <w:suppressLineNumbers/>
              <w:spacing w:line="360" w:lineRule="auto"/>
              <w:jc w:val="center"/>
              <w:rPr>
                <w:rFonts w:asciiTheme="minorEastAsia" w:hAnsiTheme="minorEastAsia" w:eastAsiaTheme="minorEastAsia" w:cstheme="minorEastAsia"/>
                <w:b/>
                <w:bCs/>
                <w:szCs w:val="21"/>
              </w:rPr>
            </w:pPr>
          </w:p>
        </w:tc>
        <w:tc>
          <w:tcPr>
            <w:tcW w:w="5389" w:type="dxa"/>
            <w:vAlign w:val="center"/>
          </w:tcPr>
          <w:p>
            <w:pPr>
              <w:keepNext/>
              <w:keepLines/>
              <w:suppressLineNumbers/>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自然人身份证明。（自然人投标提供）</w:t>
            </w:r>
          </w:p>
        </w:tc>
        <w:tc>
          <w:tcPr>
            <w:tcW w:w="2339" w:type="dxa"/>
            <w:vMerge w:val="continue"/>
            <w:vAlign w:val="center"/>
          </w:tcPr>
          <w:p>
            <w:pPr>
              <w:keepNext/>
              <w:keepLines/>
              <w:suppressLineNumbers/>
              <w:spacing w:line="360" w:lineRule="auto"/>
              <w:jc w:val="left"/>
              <w:rPr>
                <w:rFonts w:asciiTheme="minorEastAsia" w:hAnsiTheme="minorEastAsia" w:eastAsiaTheme="minorEastAsia" w:cstheme="minorEastAsia"/>
                <w:szCs w:val="21"/>
              </w:rPr>
            </w:pPr>
          </w:p>
        </w:tc>
        <w:tc>
          <w:tcPr>
            <w:tcW w:w="1253" w:type="dxa"/>
            <w:vMerge w:val="continue"/>
            <w:vAlign w:val="center"/>
          </w:tcPr>
          <w:p>
            <w:pPr>
              <w:keepNext/>
              <w:keepLines/>
              <w:suppressLineNumbers/>
              <w:spacing w:line="360" w:lineRule="auto"/>
              <w:jc w:val="center"/>
              <w:rPr>
                <w:rFonts w:asciiTheme="minorEastAsia" w:hAnsiTheme="minorEastAsia" w:eastAsiaTheme="minorEastAsia" w:cs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15" w:type="dxa"/>
            <w:vAlign w:val="center"/>
          </w:tcPr>
          <w:p>
            <w:pPr>
              <w:keepNext/>
              <w:keepLines/>
              <w:suppressLineNumbers/>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w:t>
            </w:r>
          </w:p>
        </w:tc>
        <w:tc>
          <w:tcPr>
            <w:tcW w:w="5389" w:type="dxa"/>
            <w:vAlign w:val="center"/>
          </w:tcPr>
          <w:p>
            <w:pPr>
              <w:keepNext/>
              <w:keepLines/>
              <w:suppressLineNumbers/>
              <w:spacing w:line="360" w:lineRule="auto"/>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法定代表人(或经营者)资格证明及身份证或法定代表人(或经营者)授权委托书及被授权人身份证原件</w:t>
            </w:r>
          </w:p>
        </w:tc>
        <w:tc>
          <w:tcPr>
            <w:tcW w:w="2339" w:type="dxa"/>
            <w:vAlign w:val="center"/>
          </w:tcPr>
          <w:p>
            <w:pPr>
              <w:keepNext/>
              <w:keepLines/>
              <w:suppressLineNumbers/>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法人代表（或经营者）参加投标不需授权书</w:t>
            </w:r>
          </w:p>
        </w:tc>
        <w:tc>
          <w:tcPr>
            <w:tcW w:w="1253" w:type="dxa"/>
            <w:vAlign w:val="center"/>
          </w:tcPr>
          <w:p>
            <w:pPr>
              <w:keepNext/>
              <w:keepLines/>
              <w:suppressLineNumbers/>
              <w:spacing w:line="360" w:lineRule="auto"/>
              <w:jc w:val="center"/>
              <w:rPr>
                <w:rFonts w:asciiTheme="minorEastAsia" w:hAnsiTheme="minorEastAsia" w:eastAsiaTheme="minorEastAsia" w:cs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jc w:val="center"/>
        </w:trPr>
        <w:tc>
          <w:tcPr>
            <w:tcW w:w="815" w:type="dxa"/>
            <w:vAlign w:val="center"/>
          </w:tcPr>
          <w:p>
            <w:pPr>
              <w:keepNext/>
              <w:keepLines/>
              <w:suppressLineNumbers/>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3</w:t>
            </w:r>
          </w:p>
        </w:tc>
        <w:tc>
          <w:tcPr>
            <w:tcW w:w="5389" w:type="dxa"/>
            <w:vAlign w:val="center"/>
          </w:tcPr>
          <w:p>
            <w:pPr>
              <w:keepNext/>
              <w:keepLines/>
              <w:suppressLineNumbers/>
              <w:spacing w:line="360" w:lineRule="auto"/>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Cs/>
                <w:kern w:val="0"/>
                <w:szCs w:val="21"/>
              </w:rPr>
              <w:t>2017年度财务状况审计报告复印件或该年度财务汇算书或供应商上月的财务报表（当年新成立的企业可提供当年的证明文件）</w:t>
            </w:r>
          </w:p>
        </w:tc>
        <w:tc>
          <w:tcPr>
            <w:tcW w:w="2339" w:type="dxa"/>
            <w:vAlign w:val="center"/>
          </w:tcPr>
          <w:p>
            <w:pPr>
              <w:keepNext/>
              <w:keepLines/>
              <w:suppressLineNumbers/>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本项所提供的资料必须完整，符合会计法相关规定（新注册公司从注册交纳起计算，不足的视为满足）。</w:t>
            </w:r>
          </w:p>
        </w:tc>
        <w:tc>
          <w:tcPr>
            <w:tcW w:w="1253" w:type="dxa"/>
            <w:vAlign w:val="center"/>
          </w:tcPr>
          <w:p>
            <w:pPr>
              <w:keepNext/>
              <w:keepLines/>
              <w:suppressLineNumbers/>
              <w:spacing w:line="360" w:lineRule="auto"/>
              <w:jc w:val="center"/>
              <w:rPr>
                <w:rFonts w:asciiTheme="minorEastAsia" w:hAnsiTheme="minorEastAsia" w:eastAsiaTheme="minorEastAsia" w:cs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jc w:val="center"/>
        </w:trPr>
        <w:tc>
          <w:tcPr>
            <w:tcW w:w="815" w:type="dxa"/>
            <w:vAlign w:val="center"/>
          </w:tcPr>
          <w:p>
            <w:pPr>
              <w:keepNext/>
              <w:keepLines/>
              <w:suppressLineNumbers/>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w:t>
            </w:r>
          </w:p>
        </w:tc>
        <w:tc>
          <w:tcPr>
            <w:tcW w:w="5389" w:type="dxa"/>
            <w:vAlign w:val="center"/>
          </w:tcPr>
          <w:p>
            <w:pPr>
              <w:keepNext/>
              <w:keepLines/>
              <w:suppressLineNumbers/>
              <w:spacing w:line="360" w:lineRule="auto"/>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Cs/>
                <w:kern w:val="0"/>
                <w:szCs w:val="21"/>
              </w:rPr>
              <w:t>2018年1月以来至少3个月</w:t>
            </w:r>
            <w:r>
              <w:rPr>
                <w:rFonts w:hint="eastAsia" w:asciiTheme="minorEastAsia" w:hAnsiTheme="minorEastAsia" w:eastAsiaTheme="minorEastAsia" w:cstheme="minorEastAsia"/>
                <w:szCs w:val="21"/>
              </w:rPr>
              <w:t>纳税证明材料和社会保障资金缴纳证明资料</w:t>
            </w:r>
            <w:r>
              <w:rPr>
                <w:rFonts w:hint="eastAsia" w:asciiTheme="minorEastAsia" w:hAnsiTheme="minorEastAsia" w:eastAsiaTheme="minorEastAsia" w:cstheme="minorEastAsia"/>
                <w:bCs/>
                <w:kern w:val="0"/>
                <w:szCs w:val="21"/>
              </w:rPr>
              <w:t>。（当年新成立的企业应当以从办理纳税、社保注册交纳起计算，不足3个月的视从满足。）</w:t>
            </w:r>
          </w:p>
        </w:tc>
        <w:tc>
          <w:tcPr>
            <w:tcW w:w="2339" w:type="dxa"/>
            <w:vAlign w:val="center"/>
          </w:tcPr>
          <w:p>
            <w:pPr>
              <w:keepNext/>
              <w:keepLines/>
              <w:suppressLineNumbers/>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银行扣款回单或税务局开具的完税证明（新注册公司从注册交纳起计算，不足的视为满足；非盈利企业和依法免税的供应商，应提供相应证明文件）</w:t>
            </w:r>
          </w:p>
        </w:tc>
        <w:tc>
          <w:tcPr>
            <w:tcW w:w="1253" w:type="dxa"/>
            <w:vAlign w:val="center"/>
          </w:tcPr>
          <w:p>
            <w:pPr>
              <w:keepNext/>
              <w:keepLines/>
              <w:suppressLineNumbers/>
              <w:spacing w:line="360" w:lineRule="auto"/>
              <w:jc w:val="center"/>
              <w:rPr>
                <w:rFonts w:asciiTheme="minorEastAsia" w:hAnsiTheme="minorEastAsia" w:eastAsiaTheme="minorEastAsia" w:cs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815" w:type="dxa"/>
            <w:vAlign w:val="center"/>
          </w:tcPr>
          <w:p>
            <w:pPr>
              <w:keepNext/>
              <w:keepLines/>
              <w:suppressLineNumbers/>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w:t>
            </w:r>
          </w:p>
        </w:tc>
        <w:tc>
          <w:tcPr>
            <w:tcW w:w="5389" w:type="dxa"/>
            <w:vAlign w:val="center"/>
          </w:tcPr>
          <w:p>
            <w:pPr>
              <w:keepNext/>
              <w:keepLines/>
              <w:suppressLineNumbers/>
              <w:spacing w:line="360" w:lineRule="auto"/>
              <w:ind w:right="-88" w:rightChars="-42"/>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供应商提供参加政府采购活动前三年内在经营活动中没有重大违法记录的书面声明；重大违法记录，是指供应商因违法经营受到刑事处罚或者责令停产停业、吊销许可证或者执照、较大数额罚款等行政处罚。</w:t>
            </w:r>
          </w:p>
        </w:tc>
        <w:tc>
          <w:tcPr>
            <w:tcW w:w="2339" w:type="dxa"/>
            <w:vAlign w:val="center"/>
          </w:tcPr>
          <w:p>
            <w:pPr>
              <w:keepNext/>
              <w:keepLines/>
              <w:suppressLineNumbers/>
              <w:spacing w:line="360" w:lineRule="auto"/>
              <w:jc w:val="left"/>
              <w:rPr>
                <w:rFonts w:asciiTheme="minorEastAsia" w:hAnsiTheme="minorEastAsia" w:eastAsiaTheme="minorEastAsia" w:cstheme="minorEastAsia"/>
                <w:b/>
                <w:bCs/>
                <w:szCs w:val="21"/>
              </w:rPr>
            </w:pPr>
          </w:p>
        </w:tc>
        <w:tc>
          <w:tcPr>
            <w:tcW w:w="1253" w:type="dxa"/>
            <w:vAlign w:val="center"/>
          </w:tcPr>
          <w:p>
            <w:pPr>
              <w:keepNext/>
              <w:keepLines/>
              <w:suppressLineNumbers/>
              <w:spacing w:line="360" w:lineRule="auto"/>
              <w:jc w:val="center"/>
              <w:rPr>
                <w:rFonts w:asciiTheme="minorEastAsia" w:hAnsiTheme="minorEastAsia" w:eastAsiaTheme="minorEastAsia" w:cs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815" w:type="dxa"/>
            <w:vAlign w:val="center"/>
          </w:tcPr>
          <w:p>
            <w:pPr>
              <w:keepNext/>
              <w:keepLines/>
              <w:suppressLineNumbers/>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6</w:t>
            </w:r>
          </w:p>
        </w:tc>
        <w:tc>
          <w:tcPr>
            <w:tcW w:w="5389" w:type="dxa"/>
            <w:vAlign w:val="center"/>
          </w:tcPr>
          <w:p>
            <w:pPr>
              <w:keepNext/>
              <w:keepLines/>
              <w:suppressLineNumbers/>
              <w:spacing w:line="360" w:lineRule="auto"/>
              <w:ind w:right="-88" w:rightChars="-42"/>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供应商自觉抵制政府采购领域商业贿赂行为承诺书原件</w:t>
            </w:r>
          </w:p>
        </w:tc>
        <w:tc>
          <w:tcPr>
            <w:tcW w:w="2339" w:type="dxa"/>
            <w:vAlign w:val="center"/>
          </w:tcPr>
          <w:p>
            <w:pPr>
              <w:keepNext/>
              <w:keepLines/>
              <w:suppressLineNumbers/>
              <w:spacing w:line="360" w:lineRule="auto"/>
              <w:jc w:val="left"/>
              <w:rPr>
                <w:rFonts w:asciiTheme="minorEastAsia" w:hAnsiTheme="minorEastAsia" w:eastAsiaTheme="minorEastAsia" w:cstheme="minorEastAsia"/>
                <w:b/>
                <w:bCs/>
                <w:szCs w:val="21"/>
              </w:rPr>
            </w:pPr>
          </w:p>
        </w:tc>
        <w:tc>
          <w:tcPr>
            <w:tcW w:w="1253" w:type="dxa"/>
            <w:vAlign w:val="center"/>
          </w:tcPr>
          <w:p>
            <w:pPr>
              <w:keepNext/>
              <w:keepLines/>
              <w:suppressLineNumbers/>
              <w:spacing w:line="360" w:lineRule="auto"/>
              <w:jc w:val="center"/>
              <w:rPr>
                <w:rFonts w:asciiTheme="minorEastAsia" w:hAnsiTheme="minorEastAsia" w:eastAsiaTheme="minorEastAsia" w:cs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15" w:type="dxa"/>
            <w:vAlign w:val="center"/>
          </w:tcPr>
          <w:p>
            <w:pPr>
              <w:keepNext/>
              <w:keepLines/>
              <w:suppressLineNumbers/>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7</w:t>
            </w:r>
          </w:p>
        </w:tc>
        <w:tc>
          <w:tcPr>
            <w:tcW w:w="5389" w:type="dxa"/>
            <w:vAlign w:val="center"/>
          </w:tcPr>
          <w:p>
            <w:pPr>
              <w:keepNext/>
              <w:keepLines/>
              <w:suppressLineNumbers/>
              <w:spacing w:line="360" w:lineRule="auto"/>
              <w:ind w:right="-88" w:rightChars="-4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被列入失信被执行人名单的供应商，其投标将被拒绝。供应商须提供以下网站的公示信息查询结果截图（查询日期为公告发布之后，查询截图须显示查询日期）：</w:t>
            </w:r>
          </w:p>
          <w:p>
            <w:pPr>
              <w:keepNext/>
              <w:keepLines/>
              <w:suppressLineNumbers/>
              <w:spacing w:line="360" w:lineRule="auto"/>
              <w:ind w:right="-88" w:rightChars="-4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（1）提供“全国法院失信被执行人名单信息公布和查询系统”（http://shixin.court.gov.cn/）网页查询结果截图；</w:t>
            </w:r>
          </w:p>
          <w:p>
            <w:pPr>
              <w:keepNext/>
              <w:keepLines/>
              <w:suppressLineNumbers/>
              <w:spacing w:line="360" w:lineRule="auto"/>
              <w:ind w:right="-88" w:rightChars="-4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（2）提供 “信用中国”网站（www.creditchina.gov.cn）的“失信被执行人”和“重大税收违法案件当事人名单”网页查询结果截图（查询对象包括供应商、法定代表人、项目负责人及授权委托人）；</w:t>
            </w:r>
          </w:p>
          <w:p>
            <w:pPr>
              <w:keepNext/>
              <w:keepLines/>
              <w:suppressLineNumbers/>
              <w:spacing w:line="360" w:lineRule="auto"/>
              <w:ind w:right="-88" w:rightChars="-4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（3）提供“中国政府采购”网站（www.ccgp.gov.cn）“政府采购严重违法失信行为记录名单”网页查询结果截图；</w:t>
            </w:r>
          </w:p>
          <w:p>
            <w:pPr>
              <w:keepNext/>
              <w:keepLines/>
              <w:suppressLineNumbers/>
              <w:spacing w:line="360" w:lineRule="auto"/>
              <w:ind w:right="-88" w:rightChars="-42"/>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（4）提供“全国企业信用信息公示系统”（http://www.gsxt.gov.cn/）网站“严重违法失信企业名单”网页查询结果截图。</w:t>
            </w:r>
          </w:p>
        </w:tc>
        <w:tc>
          <w:tcPr>
            <w:tcW w:w="2339" w:type="dxa"/>
            <w:vAlign w:val="center"/>
          </w:tcPr>
          <w:p>
            <w:pPr>
              <w:keepNext/>
              <w:keepLines/>
              <w:suppressLineNumbers/>
              <w:spacing w:line="360" w:lineRule="auto"/>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若所提供的截图与采购人查询结果不同，以采购人查询为准，供应商承担处理后果。</w:t>
            </w:r>
          </w:p>
        </w:tc>
        <w:tc>
          <w:tcPr>
            <w:tcW w:w="1253" w:type="dxa"/>
            <w:vAlign w:val="center"/>
          </w:tcPr>
          <w:p>
            <w:pPr>
              <w:keepNext/>
              <w:keepLines/>
              <w:suppressLineNumbers/>
              <w:spacing w:line="360" w:lineRule="auto"/>
              <w:jc w:val="center"/>
              <w:rPr>
                <w:rFonts w:asciiTheme="minorEastAsia" w:hAnsiTheme="minorEastAsia" w:eastAsiaTheme="minorEastAsia" w:cs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15" w:type="dxa"/>
            <w:vAlign w:val="center"/>
          </w:tcPr>
          <w:p>
            <w:pPr>
              <w:keepNext/>
              <w:keepLines/>
              <w:suppressLineNumbers/>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8</w:t>
            </w:r>
          </w:p>
        </w:tc>
        <w:tc>
          <w:tcPr>
            <w:tcW w:w="5389" w:type="dxa"/>
            <w:vAlign w:val="center"/>
          </w:tcPr>
          <w:p>
            <w:pPr>
              <w:widowControl/>
              <w:spacing w:line="360" w:lineRule="auto"/>
              <w:ind w:firstLine="420" w:firstLineChars="20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一至三标包：供应商须具有测绘乙级以上（含乙级）【含工程测量、不动产（地籍）测绘、地理信息系统及数据库建设】资质，拟派项目负责人须具有高级以上（含高级）技术职称或国家注册测绘师资格；</w:t>
            </w:r>
          </w:p>
          <w:p>
            <w:pPr>
              <w:widowControl/>
              <w:spacing w:line="360" w:lineRule="auto"/>
              <w:ind w:firstLine="420" w:firstLineChars="20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四标包：供应商须具有测绘乙级以上（含乙级）（含测绘航空摄影、摄影测量与遥感）资质，拟派项目负责人须具有高级以上（含高级）技术职称或国家注册测绘师资格；</w:t>
            </w:r>
          </w:p>
          <w:p>
            <w:pPr>
              <w:widowControl/>
              <w:spacing w:line="360" w:lineRule="auto"/>
              <w:ind w:firstLine="420" w:firstLineChars="20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五标包：供应商须具备测绘乙级以上（含乙级）（含地理信息系统及数据库建设)资质，供应商拟派项目负责人须具有测绘专业中级以上（含中级）职称；</w:t>
            </w:r>
          </w:p>
          <w:p>
            <w:pPr>
              <w:widowControl/>
              <w:spacing w:line="360" w:lineRule="auto"/>
              <w:ind w:firstLine="420" w:firstLineChars="20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六标包：供应商须具备测绘甲级（含工程测量、摄影测量与遥感、地理信息系统及数据库建设、地理信息系统工程监理、不动产测绘监理)资质，供应商拟派项目负责人须具有测绘专业高级以上（含高级）职称；</w:t>
            </w:r>
          </w:p>
        </w:tc>
        <w:tc>
          <w:tcPr>
            <w:tcW w:w="2339" w:type="dxa"/>
            <w:vAlign w:val="center"/>
          </w:tcPr>
          <w:p>
            <w:pPr>
              <w:keepNext/>
              <w:keepLines/>
              <w:suppressLineNumbers/>
              <w:spacing w:line="360" w:lineRule="auto"/>
              <w:jc w:val="left"/>
              <w:rPr>
                <w:rFonts w:asciiTheme="minorEastAsia" w:hAnsiTheme="minorEastAsia" w:eastAsiaTheme="minorEastAsia" w:cstheme="minorEastAsia"/>
                <w:szCs w:val="21"/>
              </w:rPr>
            </w:pPr>
          </w:p>
        </w:tc>
        <w:tc>
          <w:tcPr>
            <w:tcW w:w="1253" w:type="dxa"/>
            <w:vAlign w:val="center"/>
          </w:tcPr>
          <w:p>
            <w:pPr>
              <w:keepNext/>
              <w:keepLines/>
              <w:suppressLineNumbers/>
              <w:spacing w:line="360" w:lineRule="auto"/>
              <w:jc w:val="center"/>
              <w:rPr>
                <w:rFonts w:asciiTheme="minorEastAsia" w:hAnsiTheme="minorEastAsia" w:eastAsiaTheme="minorEastAsia" w:cs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15" w:type="dxa"/>
            <w:vAlign w:val="center"/>
          </w:tcPr>
          <w:p>
            <w:pPr>
              <w:keepNext/>
              <w:keepLines/>
              <w:suppressLineNumbers/>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9</w:t>
            </w:r>
          </w:p>
        </w:tc>
        <w:tc>
          <w:tcPr>
            <w:tcW w:w="5389" w:type="dxa"/>
            <w:vAlign w:val="center"/>
          </w:tcPr>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投标保证金</w:t>
            </w:r>
          </w:p>
          <w:p>
            <w:pPr>
              <w:spacing w:line="360" w:lineRule="auto"/>
              <w:rPr>
                <w:rFonts w:asciiTheme="minorEastAsia" w:hAnsiTheme="minorEastAsia" w:eastAsiaTheme="minorEastAsia" w:cstheme="minorEastAsia"/>
                <w:b/>
                <w:szCs w:val="21"/>
                <w:lang w:val="zh-CN"/>
              </w:rPr>
            </w:pPr>
            <w:r>
              <w:rPr>
                <w:rFonts w:hint="eastAsia" w:asciiTheme="minorEastAsia" w:hAnsiTheme="minorEastAsia" w:eastAsiaTheme="minorEastAsia" w:cstheme="minorEastAsia"/>
                <w:szCs w:val="21"/>
              </w:rPr>
              <w:t>是否按供应商须知前附表规定成功交纳。</w:t>
            </w:r>
          </w:p>
        </w:tc>
        <w:tc>
          <w:tcPr>
            <w:tcW w:w="2339" w:type="dxa"/>
            <w:vAlign w:val="center"/>
          </w:tcPr>
          <w:p>
            <w:pPr>
              <w:keepNext/>
              <w:keepLines/>
              <w:suppressLineNumbers/>
              <w:spacing w:line="360" w:lineRule="auto"/>
              <w:jc w:val="left"/>
              <w:rPr>
                <w:rFonts w:asciiTheme="minorEastAsia" w:hAnsiTheme="minorEastAsia" w:eastAsiaTheme="minorEastAsia" w:cstheme="minorEastAsia"/>
                <w:szCs w:val="21"/>
              </w:rPr>
            </w:pPr>
          </w:p>
        </w:tc>
        <w:tc>
          <w:tcPr>
            <w:tcW w:w="1253" w:type="dxa"/>
            <w:vAlign w:val="center"/>
          </w:tcPr>
          <w:p>
            <w:pPr>
              <w:keepNext/>
              <w:keepLines/>
              <w:suppressLineNumbers/>
              <w:spacing w:line="360" w:lineRule="auto"/>
              <w:jc w:val="center"/>
              <w:rPr>
                <w:rFonts w:asciiTheme="minorEastAsia" w:hAnsiTheme="minorEastAsia" w:eastAsiaTheme="minorEastAsia" w:cs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796" w:type="dxa"/>
            <w:gridSpan w:val="4"/>
            <w:vAlign w:val="center"/>
          </w:tcPr>
          <w:p>
            <w:pPr>
              <w:keepNext/>
              <w:keepLines/>
              <w:suppressLineNumbers/>
              <w:spacing w:line="360" w:lineRule="auto"/>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说明：1.资格证明文件原件另行包封提交，供应商应附资格审查清单表，不得与投标文件封装在一个包封内。</w:t>
            </w:r>
          </w:p>
          <w:p>
            <w:pPr>
              <w:keepNext/>
              <w:keepLines/>
              <w:suppressLineNumbers/>
              <w:spacing w:line="360" w:lineRule="auto"/>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2.以上要求中，如有供应商成立时限不足要求时限的，由供应商根据自身成立时间提供证明资料。</w:t>
            </w:r>
          </w:p>
          <w:p>
            <w:pPr>
              <w:keepNext/>
              <w:keepLines/>
              <w:suppressLineNumbers/>
              <w:spacing w:line="360" w:lineRule="auto"/>
              <w:jc w:val="left"/>
            </w:pPr>
            <w:r>
              <w:rPr>
                <w:rFonts w:hint="eastAsia" w:asciiTheme="minorEastAsia" w:hAnsiTheme="minorEastAsia" w:eastAsiaTheme="minorEastAsia" w:cstheme="minorEastAsia"/>
                <w:b/>
                <w:bCs/>
                <w:szCs w:val="21"/>
              </w:rPr>
              <w:t>3、以上要求中，所涉及到的人员均须提供投标截止时间前三个月内任何一个月的社保证明。</w:t>
            </w:r>
          </w:p>
        </w:tc>
      </w:tr>
    </w:tbl>
    <w:p>
      <w:pPr>
        <w:keepNext/>
        <w:keepLines/>
        <w:suppressLineNumbers/>
        <w:spacing w:line="360" w:lineRule="auto"/>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注：</w:t>
      </w:r>
    </w:p>
    <w:p>
      <w:pPr>
        <w:keepNext/>
        <w:keepLines/>
        <w:suppressLineNumbers/>
        <w:spacing w:line="360" w:lineRule="auto"/>
        <w:ind w:right="-88" w:rightChars="-42"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上述资格性审查中若有任何一项不符合者，即为无效投标。</w:t>
      </w:r>
    </w:p>
    <w:p>
      <w:pPr>
        <w:keepNext/>
        <w:keepLines/>
        <w:suppressLineNumbers/>
        <w:spacing w:line="360" w:lineRule="auto"/>
        <w:ind w:right="-88" w:rightChars="-42"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评审现场提供的原件须与投标文件中的复印件一致，不提供原件者或投标文件中没有附复印件者为无效投标。</w:t>
      </w:r>
    </w:p>
    <w:p>
      <w:pPr>
        <w:keepNext/>
        <w:keepLines/>
        <w:suppressLineNumbers/>
        <w:spacing w:line="360" w:lineRule="auto"/>
        <w:ind w:right="-88" w:rightChars="-42"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将在开标结束后资格审查时，查询相关供应商信用记录：供应商是否被列入“信用中国”网站(www.creditchina.gov.cn)失信被执行人、重大税收违法案件当事人名单、政府采购严重违法失信名单；“中国政府采购网” (www.ccgp.gov.cn)政府采购严重违法失信行为记录名单；“全国法院（http://shixin.court.gov.cn/）失信被执行人名单”；“国家企业信用公示系统”网站（www.gsxt.gov.cn）严重违法失信企业名单（黑名单）。</w:t>
      </w:r>
    </w:p>
    <w:p>
      <w:pPr>
        <w:keepNext/>
        <w:keepLines/>
        <w:suppressLineNumbers/>
        <w:spacing w:line="360" w:lineRule="auto"/>
        <w:ind w:right="-88" w:rightChars="-42" w:firstLine="315" w:firstLine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①查询渠道：查询渠道：“信用中国”网站（www.creditchina.gov.cn）、“国家企业信用公示系统”（ www.gsxt.gov.cn）、“全国法院”（ http://shixin.court.gov.cn/）和“中国政府采购网”（www.ccgp.gov.cn）；</w:t>
      </w:r>
    </w:p>
    <w:p>
      <w:pPr>
        <w:keepNext/>
        <w:keepLines/>
        <w:suppressLineNumbers/>
        <w:spacing w:line="360" w:lineRule="auto"/>
        <w:ind w:right="-88" w:rightChars="-42" w:firstLine="315" w:firstLine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②信用信息查询截止时点：同投标截止时间；</w:t>
      </w:r>
    </w:p>
    <w:p>
      <w:pPr>
        <w:keepNext/>
        <w:keepLines/>
        <w:suppressLineNumbers/>
        <w:spacing w:line="360" w:lineRule="auto"/>
        <w:ind w:right="-88" w:rightChars="-42" w:firstLine="315" w:firstLine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③信用信息查询记录和证据留存具体方式：采购人（采购代理机构）应当对供应商信用记录进行甄别，对确认的查询结果网页截图作为查询记录和证据，与其他招标文件一并保存；</w:t>
      </w:r>
    </w:p>
    <w:p>
      <w:pPr>
        <w:keepNext/>
        <w:keepLines/>
        <w:suppressLineNumbers/>
        <w:spacing w:line="360" w:lineRule="auto"/>
        <w:ind w:right="-88" w:rightChars="-42" w:firstLine="315" w:firstLine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④信用信息使用原则：经查询被列入失信被执行人、重大税收违法案件当事人名单、政府采购严重违法失信行为记录名单的供应商，将拒绝其参与政府采购活动。</w:t>
      </w:r>
    </w:p>
    <w:p>
      <w:pPr>
        <w:keepNext/>
        <w:keepLines/>
        <w:suppressLineNumbers/>
        <w:spacing w:line="360" w:lineRule="auto"/>
        <w:ind w:right="-88" w:rightChars="-42" w:firstLine="315" w:firstLine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（4）按照招标文件要求成功在《全国公共资源交易平台（河南省.许昌市）》报名，并下载获取了招标文件。否则其投标无效。</w:t>
      </w:r>
    </w:p>
    <w:p>
      <w:pPr>
        <w:keepNext/>
        <w:keepLines/>
        <w:suppressLineNumbers/>
        <w:spacing w:line="360" w:lineRule="auto"/>
        <w:ind w:right="-88" w:rightChars="-42"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资格审查结束后，由资格审查小组出具资格审查意见。未通过资格性审查的供应商不再参与后期评审活动。合格供应商不足3家的，不得评标。资格审查结果与评标结果一并公布。</w:t>
      </w:r>
    </w:p>
    <w:p>
      <w:pPr>
        <w:pStyle w:val="4"/>
        <w:spacing w:line="360" w:lineRule="auto"/>
        <w:rPr>
          <w:rFonts w:asciiTheme="minorEastAsia" w:hAnsiTheme="minorEastAsia" w:eastAsiaTheme="minorEastAsia" w:cstheme="minorEastAsia"/>
          <w:sz w:val="21"/>
          <w:szCs w:val="21"/>
        </w:rPr>
      </w:pPr>
    </w:p>
    <w:p>
      <w:pPr>
        <w:keepNext/>
        <w:keepLines/>
        <w:spacing w:line="360" w:lineRule="auto"/>
        <w:jc w:val="center"/>
        <w:rPr>
          <w:rFonts w:asciiTheme="minorEastAsia" w:hAnsiTheme="minorEastAsia" w:eastAsiaTheme="minorEastAsia" w:cstheme="minorEastAsia"/>
          <w:b/>
          <w:bCs/>
          <w:szCs w:val="21"/>
        </w:rPr>
      </w:pPr>
    </w:p>
    <w:p>
      <w:pPr>
        <w:keepNext/>
        <w:keepLines/>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第五章  评标方法及标准</w:t>
      </w:r>
    </w:p>
    <w:p>
      <w:pPr>
        <w:keepNext/>
        <w:keepLines/>
        <w:spacing w:line="360" w:lineRule="auto"/>
        <w:ind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一、评标依据</w:t>
      </w:r>
    </w:p>
    <w:p>
      <w:pPr>
        <w:keepNext/>
        <w:keepLines/>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根据《中华人民共和国政府采购法》、《政府采购货物和服务招标投标管理办法》和《中华人民共和国政府采购法实施条例》，结合本项目具体情况，采用综合评分法。</w:t>
      </w:r>
    </w:p>
    <w:p>
      <w:pPr>
        <w:keepNext/>
        <w:keepLines/>
        <w:spacing w:line="360" w:lineRule="auto"/>
        <w:ind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二、评标原则</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1．由采购人代表来主持评标活动，并履行下列职责：</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1.1核对评审专家身份，对评审专家在政府采购活动中的职责履行情况予以记录，并及时将有关违法违规行为向财政部门报告；</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1.2宣布评标纪律；</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1.3公布供应商名单，告知评审专家应当回避的情形；</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1.4组织评标委员会推选评标组长，采购人代表不得担任组长；</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1.5在评标期间采取必要的通讯管理措施，保证评标活动不受外界干扰；</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1.6根据评标委员会的要求介绍政府采购相关政策法规、招标文件；</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1.7维护评标秩序，监督评标委员会依照招标文件规定的评标程序、方法和标准进行独立评审，及时制止和纠正采购人代表、评审专家的倾向性言论或者违法违规行为；</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1.8核对评标结果，有《政府采购货物和服务招标投标管理办法》（财政部第87号令）第六十四条规定情形的，要求评标委员会复核或者书面说明理由，评标委员会拒绝的，应予以记录并向本级财政部门报告；</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1.9评审工作完成后，按照规定向评审专家支付劳务报酬和异地评审差旅费，不得向评审专家以外的其他人员支付评审劳务报酬；</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1.10处理与评标有关的其他事项。</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2.采购人可以在评标前说明项目背景和采购需求，说明内容不得含有歧视性、倾向性意见，不得超出招标文件所述范围。说明应当提交书面材料，并随采购文件一并存档。</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3.抽取评审专家</w:t>
      </w:r>
    </w:p>
    <w:p>
      <w:pPr>
        <w:keepNext/>
        <w:keepLines/>
        <w:spacing w:line="360" w:lineRule="auto"/>
        <w:ind w:left="17" w:leftChars="8" w:firstLine="401" w:firstLineChars="19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资格审查后，合格的供应商在三家以上的，按程序抽取评审专家。</w:t>
      </w:r>
    </w:p>
    <w:p>
      <w:pPr>
        <w:keepNext/>
        <w:keepLines/>
        <w:spacing w:line="360" w:lineRule="auto"/>
        <w:ind w:left="17" w:leftChars="8" w:firstLine="401" w:firstLineChars="19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评审委员会成员中的采购人代表应持采购单位有明确授权事项的授权书，经监督人员审验并履行相关程序后进入指定评标室。</w:t>
      </w:r>
    </w:p>
    <w:p>
      <w:pPr>
        <w:keepNext/>
        <w:keepLines/>
        <w:spacing w:line="360" w:lineRule="auto"/>
        <w:ind w:left="17" w:leftChars="8" w:firstLine="403" w:firstLineChars="191"/>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参加开标活动的采购人代表不得参加评审委员会。</w:t>
      </w:r>
    </w:p>
    <w:p>
      <w:pPr>
        <w:keepNext/>
        <w:keepLines/>
        <w:spacing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Cs/>
          <w:szCs w:val="21"/>
        </w:rPr>
        <w:t>（一）评审委员会的组成</w:t>
      </w:r>
      <w:r>
        <w:rPr>
          <w:rFonts w:hint="eastAsia" w:asciiTheme="minorEastAsia" w:hAnsiTheme="minorEastAsia" w:eastAsiaTheme="minorEastAsia" w:cstheme="minorEastAsia"/>
          <w:b/>
          <w:bCs/>
          <w:szCs w:val="21"/>
        </w:rPr>
        <w:t>：</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评标委员会由采购人代表和有关技术、经济等方面的专家组成，成员人数为5人。其中采购人代表1人，技术、经济等方面的专家4人。评标专家由招标采购单位从河南省财政厅政府采购专家库中随机抽取后并依法组建，有关人员对所聘任的评标委员会成员名单必须严格保密，与投标有利害关系的人员不得进入评标委员会。</w:t>
      </w:r>
    </w:p>
    <w:p>
      <w:pPr>
        <w:keepNext/>
        <w:keepLines/>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项目负责人员不得担任评标委员会中的采购人代表。</w:t>
      </w:r>
    </w:p>
    <w:p>
      <w:pPr>
        <w:keepNext/>
        <w:keepLines/>
        <w:spacing w:line="360" w:lineRule="auto"/>
        <w:ind w:firstLine="413" w:firstLineChars="196"/>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评审过程中，评审委员会应当推选组长，但采购人代表不得担任组长。</w:t>
      </w:r>
    </w:p>
    <w:p>
      <w:pPr>
        <w:keepNext/>
        <w:keepLine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（二）评审委员会成员的回避</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评审专家与参加采购活动的供应商存在下列利害关系之一的,应当回避:</w:t>
      </w:r>
    </w:p>
    <w:p>
      <w:pPr>
        <w:keepNext/>
        <w:keepLine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(1)参加采购活动前三年内,与供应商存在劳动关系,或者担任过供应商的董事、监事,或者是供应商的控股股东或实际控制人;</w:t>
      </w:r>
    </w:p>
    <w:p>
      <w:pPr>
        <w:keepNext/>
        <w:keepLine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(2)与供应商的法定代表人或者负责人有夫妻、直系血亲、三代以内旁系血亲或者近姻亲关系;</w:t>
      </w:r>
    </w:p>
    <w:p>
      <w:pPr>
        <w:keepNext/>
        <w:keepLine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(3)与供应商有其他可能影响政府采购活动公平、公正进行的关系。</w:t>
      </w:r>
    </w:p>
    <w:p>
      <w:pPr>
        <w:keepNext/>
        <w:keepLine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评审专家发现本人与参加采购活动的供应商有利害关系的,应当主动提出回避。采购人或者采购代理机构发现评审专家与参加采购活动的供应商有利害关系的,应当要求其回避。</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评审专家对本单位的政府采购项目只能作为采购人代表参与评审活动；各级财政部门政府采购监督管理工作人员,不得作为评审专家参与政府采购项目的评审活动。</w:t>
      </w:r>
    </w:p>
    <w:p>
      <w:pPr>
        <w:keepNext/>
        <w:keepLines/>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（三）评审报告</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评审委员会出具的评审报告等评审资料，应符合以下要求：</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1、相关评审表格齐全；</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2、评审报告内容、评审委员会成员签字齐全；</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3、评审资料如有手工更正、涂改，应在更正、涂改内容空白处签字确认；</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4、推荐的中标候选人数量符合法律法规和招标文件规定；</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5、对评审结果有不同意见的评审委员会成员，应以书面形式说明不同意见和理由；</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6、法律法规规定的其他内容。</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接收评审报告时，招标（采购）人（代理机构）发现评审报告不满足上述要求时，应及时要求评审委员会进行更正。对评审结果有不同意见的评审委员会成员，拒绝在评审报告上签字又不书面说明不同意见和理由的，招标（采购）人应要求评审委员会在评审报告中对此做出书面说明。招标（采购）人（代理机构）对评审委员会出具的评审报告等资料予以检查确认。</w:t>
      </w:r>
    </w:p>
    <w:p>
      <w:pPr>
        <w:keepNext/>
        <w:keepLine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（四）专家的评审</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评审专家应当严格遵守评审工作纪律,按照客观、公正、审慎的原则,根据采购文件规定的评审程序、评审方法和评审标准进行独立评审。</w:t>
      </w:r>
    </w:p>
    <w:p>
      <w:pPr>
        <w:keepNext/>
        <w:keepLines/>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对供应商的价格分等客观评分项的评分应当一致，对其他需要借助专业知识评判的主观评分项，应当严格按照评分细则公正评分。</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评审专家发现采购文件内容违反国家有关强制性规定或者采购文件存在歧义、重大缺陷导致评审工作无法进行时,应当停止评审并向采购人或者采购代理机构书面说明情况。</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评审专家应当配合答复供应商的询问、质疑和投诉等事项,不得泄露评审文件、评审情况和在评审过程中获悉的商业秘密。</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评审专家发现供应商具有行贿、提供虚假材料或者串通等违法行为的,应当及时向财政部门报告。</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评审专家在评审过程中受到非法干预的,应当及时向财政、监察等部门举报。</w:t>
      </w:r>
    </w:p>
    <w:p>
      <w:pPr>
        <w:keepNext/>
        <w:keepLines/>
        <w:spacing w:line="360"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评审专家要自觉接受采购代理机构及相关监督人员的监督，遵守评审工作纪律，依法独立评审，并对评审意见承担个人责任。评审委员会成员要依法独立评审，并对评审意见承担个人责任。</w:t>
      </w:r>
      <w:r>
        <w:rPr>
          <w:rFonts w:hint="eastAsia" w:asciiTheme="minorEastAsia" w:hAnsiTheme="minorEastAsia" w:eastAsiaTheme="minorEastAsia" w:cstheme="minorEastAsia"/>
          <w:b/>
          <w:szCs w:val="21"/>
        </w:rPr>
        <w:t>评审委员会成员对需要共同认定的事项存在争议的，按照少数服从多数的原则作出结论。持不同意见的评审委员会成员应当在评审报告上签署不同意见并说明理由，否则视为没有不同意见。</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委员会如需要供应商对投标或响应文件有关事项作出澄清的，应当给予供应商必要的反馈时间，但澄清事项不得超出投标或响应文件的范围，不得实质性改变投标或响应文件的内容，不得通过澄清等方式对供应商实行差别对待。评审委员会要对评分汇总情况进行复核，</w:t>
      </w:r>
      <w:r>
        <w:rPr>
          <w:rFonts w:hint="eastAsia" w:asciiTheme="minorEastAsia" w:hAnsiTheme="minorEastAsia" w:eastAsiaTheme="minorEastAsia" w:cstheme="minorEastAsia"/>
          <w:b/>
          <w:bCs/>
          <w:szCs w:val="21"/>
        </w:rPr>
        <w:t>特别是对排名第一的、报价最低的、投标或相应文件被认定为无效的情形进行重点复核，并根据评审结果推荐中标或成交候选供应商，起草并签署评审报告。</w:t>
      </w:r>
      <w:r>
        <w:rPr>
          <w:rFonts w:hint="eastAsia" w:asciiTheme="minorEastAsia" w:hAnsiTheme="minorEastAsia" w:eastAsiaTheme="minorEastAsia" w:cstheme="minorEastAsia"/>
          <w:szCs w:val="21"/>
        </w:rPr>
        <w:t>评审委员会要在采购项目招标失败时，出具招标文件是否存在不合理条款的论证意见，要协助采购人、代理机构、财政部门答复质疑或处理投诉事项。</w:t>
      </w:r>
    </w:p>
    <w:p>
      <w:pPr>
        <w:keepNext/>
        <w:keepLine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（五）评审专家的补抽</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出现评审专家缺席、回避等情形导致评审现场专家数量不符合规定的,采购人或者采购代理机构应当及时补抽评审专家,或者经采购人主管预算单位同意自行选定补足评审专家。无法及时补足评审专家的,采购人或者采购代理机构应当立即停止评审工作,妥善保存采购文件,依法重新组建评标委员会进行评审。</w:t>
      </w:r>
    </w:p>
    <w:p>
      <w:pPr>
        <w:keepNext/>
        <w:keepLine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（六）不良行为的处罚</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评审专家在评审过程中存在不良记录行为的，将按照《政府采购评审专家管理办法》〔财库（2016）198号〕、《许昌市政府采购行为规范》（许财购〔2017〕3号）进行处罚。</w:t>
      </w:r>
    </w:p>
    <w:p>
      <w:pPr>
        <w:keepNext/>
        <w:keepLines/>
        <w:spacing w:line="360" w:lineRule="auto"/>
        <w:ind w:left="17" w:leftChars="8" w:firstLine="401" w:firstLineChars="19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4．评标委员会将对确定为实质上响应招标文件要求的投标文件进行比较评审。</w:t>
      </w:r>
    </w:p>
    <w:p>
      <w:pPr>
        <w:keepNext/>
        <w:keepLines/>
        <w:spacing w:line="360" w:lineRule="auto"/>
        <w:ind w:left="17" w:leftChars="8" w:firstLine="401" w:firstLineChars="19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5．供应商对评标委员会施加影响的任何行为，都将被取消中标资格。</w:t>
      </w:r>
    </w:p>
    <w:p>
      <w:pPr>
        <w:keepNext/>
        <w:keepLines/>
        <w:spacing w:line="360" w:lineRule="auto"/>
        <w:ind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 xml:space="preserve">三、评标方法 </w:t>
      </w:r>
    </w:p>
    <w:p>
      <w:pPr>
        <w:keepNext/>
        <w:keepLines/>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    1.本项目采用综合评分法。综合评分法是指投标文件满足招标文件全部实质性要求，且按照评审因素的量化指标评审得分最高的供应商为中标候选人的评标方法。</w:t>
      </w:r>
    </w:p>
    <w:p>
      <w:pPr>
        <w:keepNext/>
        <w:keepLines/>
        <w:spacing w:line="360" w:lineRule="auto"/>
        <w:ind w:firstLine="420"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pacing w:val="-4"/>
          <w:szCs w:val="21"/>
        </w:rPr>
        <w:t>比较与评价。评委按</w:t>
      </w:r>
      <w:r>
        <w:rPr>
          <w:rFonts w:hint="eastAsia" w:asciiTheme="minorEastAsia" w:hAnsiTheme="minorEastAsia" w:eastAsiaTheme="minorEastAsia" w:cstheme="minorEastAsia"/>
          <w:bCs/>
          <w:szCs w:val="21"/>
        </w:rPr>
        <w:t>招标文件要求对所有投标文件进行检查</w:t>
      </w:r>
      <w:r>
        <w:rPr>
          <w:rFonts w:hint="eastAsia" w:asciiTheme="minorEastAsia" w:hAnsiTheme="minorEastAsia" w:eastAsiaTheme="minorEastAsia" w:cstheme="minorEastAsia"/>
          <w:spacing w:val="-4"/>
          <w:szCs w:val="21"/>
        </w:rPr>
        <w:t>，并进行综合比较与独立评分。</w:t>
      </w:r>
    </w:p>
    <w:p>
      <w:pPr>
        <w:keepNext/>
        <w:keepLines/>
        <w:tabs>
          <w:tab w:val="left" w:pos="720"/>
        </w:tabs>
        <w:spacing w:line="360" w:lineRule="auto"/>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3.对于小型和微型企业产品以扣除优惠比率后的报价参与价格打分，但不作为中标价和合同签约价。中标价和合同签约价仍以其投标文件中的投标报价一览表为准。</w:t>
      </w:r>
    </w:p>
    <w:p>
      <w:pPr>
        <w:keepNext/>
        <w:keepLines/>
        <w:tabs>
          <w:tab w:val="left" w:pos="720"/>
        </w:tabs>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3.1小型和微型企业产品价格给予扣除标准：</w:t>
      </w:r>
    </w:p>
    <w:p>
      <w:pPr>
        <w:keepNext/>
        <w:keepLines/>
        <w:tabs>
          <w:tab w:val="left" w:pos="72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政府采购促进中小企业发展暂行办法》(财库[2011]181号)的规定，对于非专门面向中小企业的项目，对小型和微型企业产品的价格给予6%的扣除，用扣除后的报价参与评审。对于中型企业产品的价格不予扣除。供应商须提供由企业所在地的县级以上中小企业主管部门出具的中小企业认定证书和中小企业声明函，否则不予认可。（小型、微型企业提供中型企业制造的货物的，视同为中型企业。）</w:t>
      </w:r>
    </w:p>
    <w:p>
      <w:pPr>
        <w:keepNext/>
        <w:keepLines/>
        <w:tabs>
          <w:tab w:val="left" w:pos="72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3.2监狱企业视同小型、微型企业，所生产的产品参加投标比照上条执行。</w:t>
      </w:r>
    </w:p>
    <w:p>
      <w:pPr>
        <w:keepNext/>
        <w:keepLines/>
        <w:tabs>
          <w:tab w:val="left" w:pos="720"/>
        </w:tabs>
        <w:spacing w:line="360" w:lineRule="auto"/>
        <w:ind w:firstLine="367" w:firstLineChars="17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采用综合评分法的，评标结果按照评审后得分由高到低顺序排列。得分相同的，按照投标报价由低到高的顺序排列。得分且投标报价相同并列。投标文件满足招标文件全部实质性要求，且按照评审因素的量化指标评审得分最高的供应商为排名第一中标候选人。</w:t>
      </w:r>
    </w:p>
    <w:p>
      <w:pPr>
        <w:keepNext/>
        <w:keepLines/>
        <w:tabs>
          <w:tab w:val="left" w:pos="720"/>
        </w:tabs>
        <w:spacing w:line="360" w:lineRule="auto"/>
        <w:ind w:left="368" w:leftChars="17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4.1供应商的综合得分为所有评委评分的汇总。</w:t>
      </w:r>
    </w:p>
    <w:p>
      <w:pPr>
        <w:keepNext/>
        <w:keepLines/>
        <w:tabs>
          <w:tab w:val="left" w:pos="720"/>
        </w:tabs>
        <w:spacing w:line="360" w:lineRule="auto"/>
        <w:ind w:firstLine="367" w:firstLineChars="175"/>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5.中标人的确定：</w:t>
      </w:r>
    </w:p>
    <w:p>
      <w:pPr>
        <w:keepNext/>
        <w:keepLines/>
        <w:tabs>
          <w:tab w:val="left" w:pos="720"/>
        </w:tabs>
        <w:spacing w:line="360" w:lineRule="auto"/>
        <w:ind w:left="7" w:firstLine="361" w:firstLineChars="172"/>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5.1采购代理机构在评标结束后2个工作日内将评标报告送采购人。采购人应当在收到评标报告后5个工作日内，在评标报告提出的中标候选人名单中按顺序确定中标人。</w:t>
      </w:r>
    </w:p>
    <w:p>
      <w:pPr>
        <w:keepNext/>
        <w:keepLines/>
        <w:tabs>
          <w:tab w:val="left" w:pos="720"/>
        </w:tabs>
        <w:spacing w:line="360" w:lineRule="auto"/>
        <w:ind w:left="7" w:firstLine="361" w:firstLineChars="172"/>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5.2本项目特别规定，中标候选人并列的，由采购人自主确定中标人。</w:t>
      </w:r>
    </w:p>
    <w:p>
      <w:pPr>
        <w:keepNext/>
        <w:keepLines/>
        <w:tabs>
          <w:tab w:val="left" w:pos="720"/>
        </w:tabs>
        <w:spacing w:line="360" w:lineRule="auto"/>
        <w:ind w:left="7" w:firstLine="361" w:firstLineChars="17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5.3采购人将“定标确认书”盖章确认后交代理机构，由其将中标结果公布在“河南省政府采购网、”、“全国公共资源交易平台（河南省.许昌市）”、“长葛市人民政府门户网站”上发布。</w:t>
      </w:r>
    </w:p>
    <w:p>
      <w:pPr>
        <w:keepNext/>
        <w:keepLines/>
        <w:spacing w:line="360" w:lineRule="auto"/>
        <w:ind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四、评标标准</w:t>
      </w:r>
    </w:p>
    <w:p>
      <w:pPr>
        <w:keepNext/>
        <w:keepLines/>
        <w:spacing w:line="360" w:lineRule="auto"/>
        <w:ind w:firstLine="369" w:firstLineChars="175"/>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1.在招标采购中，出现下列情形之一的，应予废标：</w:t>
      </w:r>
    </w:p>
    <w:p>
      <w:pPr>
        <w:keepNext/>
        <w:keepLines/>
        <w:spacing w:line="360" w:lineRule="auto"/>
        <w:ind w:firstLine="367" w:firstLineChars="17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1.1、出现影响采购公正的违法、违规行为的；</w:t>
      </w:r>
    </w:p>
    <w:p>
      <w:pPr>
        <w:keepNext/>
        <w:keepLines/>
        <w:spacing w:line="360" w:lineRule="auto"/>
        <w:ind w:firstLine="367" w:firstLineChars="17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1.2、因重大变故，采购任务取消的；</w:t>
      </w:r>
    </w:p>
    <w:p>
      <w:pPr>
        <w:keepNext/>
        <w:keepLines/>
        <w:spacing w:line="360" w:lineRule="auto"/>
        <w:ind w:firstLine="367" w:firstLineChars="17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1.3、供应商不足三家的。</w:t>
      </w:r>
    </w:p>
    <w:p>
      <w:pPr>
        <w:keepNext/>
        <w:keepLines/>
        <w:spacing w:line="360" w:lineRule="auto"/>
        <w:ind w:firstLine="369" w:firstLineChars="175"/>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2.供应商存在下列情况之一的，投标无效</w:t>
      </w:r>
      <w:r>
        <w:rPr>
          <w:rFonts w:hint="eastAsia" w:asciiTheme="minorEastAsia" w:hAnsiTheme="minorEastAsia" w:eastAsiaTheme="minorEastAsia" w:cstheme="minorEastAsia"/>
          <w:szCs w:val="21"/>
        </w:rPr>
        <w:t>：</w:t>
      </w:r>
    </w:p>
    <w:p>
      <w:pPr>
        <w:keepNext/>
        <w:keepLines/>
        <w:spacing w:line="360" w:lineRule="auto"/>
        <w:ind w:firstLine="367" w:firstLineChars="17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2.1未按照招标文件的规定提交投标保证金的；</w:t>
      </w:r>
    </w:p>
    <w:p>
      <w:pPr>
        <w:keepNext/>
        <w:keepLines/>
        <w:spacing w:line="360" w:lineRule="auto"/>
        <w:ind w:firstLine="367" w:firstLineChars="17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2.2投标文件未按照招标文件规定要求签署、签章的；</w:t>
      </w:r>
    </w:p>
    <w:p>
      <w:pPr>
        <w:keepNext/>
        <w:keepLines/>
        <w:spacing w:line="360" w:lineRule="auto"/>
        <w:ind w:firstLine="367" w:firstLineChars="17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2.3不具备招标文件中规定资格要求的；</w:t>
      </w:r>
    </w:p>
    <w:p>
      <w:pPr>
        <w:keepNext/>
        <w:keepLines/>
        <w:spacing w:line="360" w:lineRule="auto"/>
        <w:ind w:firstLine="367" w:firstLineChars="17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2.4报价超过招标文件中规定的预算金额或者最高限价的；</w:t>
      </w:r>
    </w:p>
    <w:p>
      <w:pPr>
        <w:keepNext/>
        <w:keepLines/>
        <w:spacing w:line="360" w:lineRule="auto"/>
        <w:ind w:firstLine="367" w:firstLineChars="17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2.5投标文件含有采购人不能接受的附加条件的；</w:t>
      </w:r>
    </w:p>
    <w:p>
      <w:pPr>
        <w:keepNext/>
        <w:keepLines/>
        <w:spacing w:line="360" w:lineRule="auto"/>
        <w:ind w:firstLine="367" w:firstLineChars="17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2.6法律、法规和招标文件中规定的其他无效情形的；</w:t>
      </w:r>
    </w:p>
    <w:p>
      <w:pPr>
        <w:keepNext/>
        <w:keepLines/>
        <w:spacing w:line="360" w:lineRule="auto"/>
        <w:ind w:firstLine="367" w:firstLineChars="17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2.7投标文件中对同一货物或标包提供选择性报价的。</w:t>
      </w:r>
    </w:p>
    <w:p>
      <w:pPr>
        <w:keepNext/>
        <w:keepLines/>
        <w:numPr>
          <w:ilvl w:val="0"/>
          <w:numId w:val="13"/>
        </w:numPr>
        <w:spacing w:line="360" w:lineRule="auto"/>
        <w:ind w:firstLine="369" w:firstLineChars="175"/>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有下列情形之一的，视为供应商串通投标，其投标无效：</w:t>
      </w:r>
    </w:p>
    <w:p>
      <w:pPr>
        <w:keepNext/>
        <w:keepLines/>
        <w:spacing w:line="360" w:lineRule="auto"/>
        <w:ind w:firstLine="367" w:firstLineChars="17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3.1不同供应商的投标文件由同一单位或者个人编制；</w:t>
      </w:r>
    </w:p>
    <w:p>
      <w:pPr>
        <w:keepNext/>
        <w:keepLines/>
        <w:spacing w:line="360" w:lineRule="auto"/>
        <w:ind w:firstLine="367" w:firstLineChars="17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3.2不同供应商委托同一单位或者个人办理投标事宜；</w:t>
      </w:r>
    </w:p>
    <w:p>
      <w:pPr>
        <w:keepNext/>
        <w:keepLines/>
        <w:spacing w:line="360" w:lineRule="auto"/>
        <w:ind w:firstLine="367" w:firstLineChars="17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3.3不同供应商的投标文件载明的项目管理成员或者联系人为同一人；</w:t>
      </w:r>
    </w:p>
    <w:p>
      <w:pPr>
        <w:keepNext/>
        <w:keepLines/>
        <w:spacing w:line="360" w:lineRule="auto"/>
        <w:ind w:firstLine="367" w:firstLineChars="17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3.4不同供应商的投标文件异常一致或者投标报价呈规律性差异；</w:t>
      </w:r>
    </w:p>
    <w:p>
      <w:pPr>
        <w:keepNext/>
        <w:keepLines/>
        <w:spacing w:line="360" w:lineRule="auto"/>
        <w:ind w:firstLine="367" w:firstLineChars="17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3.5不同供应商的投标文件相互混装；</w:t>
      </w:r>
    </w:p>
    <w:p>
      <w:pPr>
        <w:keepNext/>
        <w:keepLines/>
        <w:spacing w:line="360" w:lineRule="auto"/>
        <w:ind w:firstLine="367" w:firstLineChars="17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3.6不同供应商的投标保证金从中一单位或者个人的账户转出。</w:t>
      </w:r>
    </w:p>
    <w:p>
      <w:pPr>
        <w:keepNext/>
        <w:keepLines/>
        <w:spacing w:line="360" w:lineRule="auto"/>
        <w:ind w:firstLine="369" w:firstLineChars="175"/>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4.投标文件中，出现下列情形之一的， 其投标将被拒绝</w:t>
      </w:r>
      <w:r>
        <w:rPr>
          <w:rFonts w:hint="eastAsia" w:asciiTheme="minorEastAsia" w:hAnsiTheme="minorEastAsia" w:eastAsiaTheme="minorEastAsia" w:cstheme="minorEastAsia"/>
          <w:szCs w:val="21"/>
        </w:rPr>
        <w:t>：</w:t>
      </w:r>
    </w:p>
    <w:p>
      <w:pPr>
        <w:keepNext/>
        <w:keepLines/>
        <w:spacing w:line="360" w:lineRule="auto"/>
        <w:ind w:left="17" w:leftChars="8" w:firstLine="350" w:firstLineChars="16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3.1付款方式、服务期限等商务要求不满足招标文件要求的；</w:t>
      </w:r>
    </w:p>
    <w:p>
      <w:pPr>
        <w:keepNext/>
        <w:keepLines/>
        <w:spacing w:line="360" w:lineRule="auto"/>
        <w:ind w:left="17" w:leftChars="8" w:firstLine="350" w:firstLineChars="16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3.2供应商没有实质性响应招标文件的要求和条件的，对招标文件中所要求必须提交的商务和技术文件未按要求提供的。</w:t>
      </w:r>
    </w:p>
    <w:p>
      <w:pPr>
        <w:keepNext/>
        <w:keepLines/>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五、评标程序</w:t>
      </w:r>
    </w:p>
    <w:p>
      <w:pPr>
        <w:keepNext/>
        <w:keepLines/>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1、符合性审查：</w:t>
      </w:r>
    </w:p>
    <w:p>
      <w:pPr>
        <w:keepNext/>
        <w:keepLines/>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符合性审查由评标委员会进行审查。符合性审查不通过的为无效投标。从投标文件的响应性和完整性进行审查。主要审查内容如下：</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iCs/>
          <w:szCs w:val="21"/>
        </w:rPr>
        <w:t>1.1</w:t>
      </w:r>
      <w:r>
        <w:rPr>
          <w:rFonts w:hint="eastAsia" w:asciiTheme="minorEastAsia" w:hAnsiTheme="minorEastAsia" w:eastAsiaTheme="minorEastAsia" w:cstheme="minorEastAsia"/>
          <w:szCs w:val="21"/>
        </w:rPr>
        <w:t xml:space="preserve"> 按招标文件要求提交相关证明文件。</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1.2投标文件的签署盖章是否符合规定，电子投标文件须按招标文件格式规定企业电子签章或个人签章。</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1.3报价唯一：只能有一个有效报价，其报价是否超过采购预算。</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iCs/>
          <w:szCs w:val="21"/>
        </w:rPr>
        <w:t>1.4投标文件有没有</w:t>
      </w:r>
      <w:r>
        <w:rPr>
          <w:rFonts w:hint="eastAsia" w:asciiTheme="minorEastAsia" w:hAnsiTheme="minorEastAsia" w:eastAsiaTheme="minorEastAsia" w:cstheme="minorEastAsia"/>
          <w:szCs w:val="21"/>
        </w:rPr>
        <w:t>以他人名义参与投标、串通投标、或以弄虚作假方式参与投标。</w:t>
      </w:r>
    </w:p>
    <w:p>
      <w:pPr>
        <w:keepNext/>
        <w:keepLines/>
        <w:spacing w:line="360" w:lineRule="auto"/>
        <w:ind w:firstLine="420" w:firstLineChars="200"/>
        <w:rPr>
          <w:rFonts w:asciiTheme="minorEastAsia" w:hAnsiTheme="minorEastAsia" w:eastAsiaTheme="minorEastAsia" w:cstheme="minorEastAsia"/>
          <w:bCs/>
          <w:iCs/>
          <w:szCs w:val="21"/>
        </w:rPr>
      </w:pPr>
      <w:r>
        <w:rPr>
          <w:rFonts w:hint="eastAsia" w:asciiTheme="minorEastAsia" w:hAnsiTheme="minorEastAsia" w:eastAsiaTheme="minorEastAsia" w:cstheme="minorEastAsia"/>
          <w:szCs w:val="21"/>
        </w:rPr>
        <w:t>1.5服务及</w:t>
      </w:r>
      <w:r>
        <w:rPr>
          <w:rFonts w:hint="eastAsia" w:asciiTheme="minorEastAsia" w:hAnsiTheme="minorEastAsia" w:eastAsiaTheme="minorEastAsia" w:cstheme="minorEastAsia"/>
          <w:bCs/>
          <w:iCs/>
          <w:szCs w:val="21"/>
        </w:rPr>
        <w:t>质量保证是否符合招标文件要求。</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iCs/>
          <w:szCs w:val="21"/>
        </w:rPr>
        <w:t>1.6投标文件是否响应第四章招标项目需求。</w:t>
      </w:r>
    </w:p>
    <w:p>
      <w:pPr>
        <w:keepNext/>
        <w:keepLines/>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1.7投标文件是否全部实质性应招标文件的要求。</w:t>
      </w:r>
    </w:p>
    <w:p>
      <w:pPr>
        <w:keepNext/>
        <w:keepLines/>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1.8评标小组认为依法需要进行符合性审查的项目。</w:t>
      </w:r>
    </w:p>
    <w:p>
      <w:pPr>
        <w:keepNext/>
        <w:keepLines/>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1.9评标委员会认为供应商的报价明显低于其他通过符合性审查供应商的报价，有可能影响服务质量或者不能诚信履约的，应当要求其在评标现场合理的时间内提供书面说明，必要时提供相关证明材料；供应商不能证明其报价合理性的，评标委员会应当将其作为无效投标处理。</w:t>
      </w:r>
    </w:p>
    <w:p>
      <w:pPr>
        <w:keepNext/>
        <w:keepLines/>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六、综合评分标准，满分100分。</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1.评标委员会按照招标文件中规定的评标方法和标准，对符合性审查合格的投标文件进行商务和技术评估，综合比较与评价。</w:t>
      </w:r>
    </w:p>
    <w:p>
      <w:pPr>
        <w:keepNext/>
        <w:keepLines/>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2.评分标准（总分100分）</w:t>
      </w:r>
    </w:p>
    <w:p>
      <w:pPr>
        <w:keepNext/>
        <w:keepLines/>
        <w:spacing w:line="360" w:lineRule="auto"/>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一至三标包评分标准：</w:t>
      </w:r>
    </w:p>
    <w:tbl>
      <w:tblPr>
        <w:tblStyle w:val="33"/>
        <w:tblW w:w="8322"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394"/>
        <w:gridCol w:w="7"/>
        <w:gridCol w:w="557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91" w:hRule="atLeast"/>
        </w:trPr>
        <w:tc>
          <w:tcPr>
            <w:tcW w:w="1401" w:type="dxa"/>
            <w:gridSpan w:val="2"/>
            <w:shd w:val="clear" w:color="auto" w:fill="FFFFFF"/>
            <w:tcMar>
              <w:top w:w="0" w:type="dxa"/>
              <w:left w:w="108" w:type="dxa"/>
              <w:bottom w:w="0" w:type="dxa"/>
              <w:right w:w="108"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t>评分因素</w:t>
            </w:r>
          </w:p>
        </w:tc>
        <w:tc>
          <w:tcPr>
            <w:tcW w:w="5577" w:type="dxa"/>
            <w:shd w:val="clear" w:color="auto" w:fill="FFFFFF"/>
            <w:tcMar>
              <w:top w:w="0" w:type="dxa"/>
              <w:left w:w="108" w:type="dxa"/>
              <w:bottom w:w="0" w:type="dxa"/>
              <w:right w:w="108"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t>评分标准</w:t>
            </w:r>
          </w:p>
        </w:tc>
        <w:tc>
          <w:tcPr>
            <w:tcW w:w="1344" w:type="dxa"/>
            <w:shd w:val="clear" w:color="auto" w:fill="FFFFFF"/>
            <w:tcMar>
              <w:top w:w="0" w:type="dxa"/>
              <w:left w:w="108" w:type="dxa"/>
              <w:bottom w:w="0" w:type="dxa"/>
              <w:right w:w="108"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90" w:hRule="atLeast"/>
        </w:trPr>
        <w:tc>
          <w:tcPr>
            <w:tcW w:w="1401" w:type="dxa"/>
            <w:gridSpan w:val="2"/>
            <w:shd w:val="clear" w:color="auto" w:fill="FFFFFF"/>
            <w:tcMar>
              <w:top w:w="0" w:type="dxa"/>
              <w:left w:w="108" w:type="dxa"/>
              <w:bottom w:w="0" w:type="dxa"/>
              <w:right w:w="108"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投标报价</w:t>
            </w:r>
          </w:p>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评分标准</w:t>
            </w:r>
          </w:p>
        </w:tc>
        <w:tc>
          <w:tcPr>
            <w:tcW w:w="5577" w:type="dxa"/>
            <w:shd w:val="clear" w:color="auto" w:fill="FFFFFF"/>
            <w:tcMar>
              <w:top w:w="0" w:type="dxa"/>
              <w:left w:w="108" w:type="dxa"/>
              <w:bottom w:w="0" w:type="dxa"/>
              <w:right w:w="108" w:type="dxa"/>
            </w:tcMar>
            <w:vAlign w:val="center"/>
          </w:tcPr>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满足招标文件要求且投标报价最低的投标报价为评标基准值，其价格为满分。其他供应商的价格分统一按照下列公式计算：</w:t>
            </w:r>
          </w:p>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投标报价得分=（评标基准价/评标价）×价格权值（10）×100%。</w:t>
            </w:r>
          </w:p>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注：计算结果保留小数点后两位；</w:t>
            </w:r>
          </w:p>
          <w:p>
            <w:pPr>
              <w:widowControl/>
              <w:spacing w:line="360" w:lineRule="auto"/>
              <w:jc w:val="lef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评标价为投标单位报价按照政策性扣除后的报价</w:t>
            </w:r>
          </w:p>
        </w:tc>
        <w:tc>
          <w:tcPr>
            <w:tcW w:w="1344" w:type="dxa"/>
            <w:shd w:val="clear" w:color="auto" w:fill="FFFFFF"/>
            <w:tcMar>
              <w:top w:w="0" w:type="dxa"/>
              <w:left w:w="108" w:type="dxa"/>
              <w:bottom w:w="0" w:type="dxa"/>
              <w:right w:w="108" w:type="dxa"/>
            </w:tcMar>
            <w:vAlign w:val="center"/>
          </w:tcPr>
          <w:p>
            <w:pPr>
              <w:widowControl/>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745" w:hRule="atLeast"/>
        </w:trPr>
        <w:tc>
          <w:tcPr>
            <w:tcW w:w="1401" w:type="dxa"/>
            <w:gridSpan w:val="2"/>
            <w:shd w:val="clear" w:color="auto" w:fill="FFFFFF"/>
            <w:tcMar>
              <w:top w:w="0" w:type="dxa"/>
              <w:left w:w="108" w:type="dxa"/>
              <w:bottom w:w="0" w:type="dxa"/>
              <w:right w:w="108"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企业实力</w:t>
            </w:r>
          </w:p>
        </w:tc>
        <w:tc>
          <w:tcPr>
            <w:tcW w:w="5577" w:type="dxa"/>
            <w:shd w:val="clear" w:color="auto" w:fill="FFFFFF"/>
            <w:tcMar>
              <w:top w:w="0" w:type="dxa"/>
              <w:left w:w="108" w:type="dxa"/>
              <w:bottom w:w="0" w:type="dxa"/>
              <w:right w:w="108" w:type="dxa"/>
            </w:tcMar>
            <w:vAlign w:val="center"/>
          </w:tcPr>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1、企业资信：供应商具有信用评级机构出具的AAA信用等级证书的，得5分，AA级的，得3分，A级的得1分。投标文件中附等级证书，否则该项不得分。</w:t>
            </w:r>
          </w:p>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2、供应商具有有效期内的职业健康管理体系认证证书（认证范围应包含：测绘）在网上可查，提供查询页面的得3分。</w:t>
            </w:r>
          </w:p>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3、供应商具有有效期内的环境管理体系认证证书（认证范围应包含：测绘）在网上可查，提供查询页面的得3分。</w:t>
            </w:r>
          </w:p>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4、供应商具有国家测绘部门颁发的涉密测绘成果管理人员证书，</w:t>
            </w:r>
            <w:r>
              <w:rPr>
                <w:rFonts w:hint="eastAsia" w:ascii="宋体" w:hAnsi="宋体"/>
              </w:rPr>
              <w:t>每提供一个得2分，最多得4分。（提供相关证书以及截止投标时间前三个月内任何一个月在本单位缴纳的社保证明和劳动合同）</w:t>
            </w:r>
          </w:p>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5、2012年以来（以发证日期为准）承担过的土地调查项目或各项测绘项目获得省级及以上行政主管部门颁发的优（秀）质奖奖项的，每有一项得2分，最多得6分。（同一项目获多项奖的按1份计分，不重复累计）</w:t>
            </w:r>
          </w:p>
        </w:tc>
        <w:tc>
          <w:tcPr>
            <w:tcW w:w="1344" w:type="dxa"/>
            <w:shd w:val="clear" w:color="auto" w:fill="FFFFFF"/>
            <w:tcMar>
              <w:top w:w="0" w:type="dxa"/>
              <w:left w:w="108" w:type="dxa"/>
              <w:bottom w:w="0" w:type="dxa"/>
              <w:right w:w="108" w:type="dxa"/>
            </w:tcMar>
            <w:vAlign w:val="center"/>
          </w:tcPr>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745" w:hRule="atLeast"/>
        </w:trPr>
        <w:tc>
          <w:tcPr>
            <w:tcW w:w="1401" w:type="dxa"/>
            <w:gridSpan w:val="2"/>
            <w:shd w:val="clear" w:color="auto" w:fill="FFFFFF"/>
            <w:tcMar>
              <w:top w:w="0" w:type="dxa"/>
              <w:left w:w="108" w:type="dxa"/>
              <w:bottom w:w="0" w:type="dxa"/>
              <w:right w:w="108"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业绩</w:t>
            </w:r>
          </w:p>
        </w:tc>
        <w:tc>
          <w:tcPr>
            <w:tcW w:w="5577" w:type="dxa"/>
            <w:shd w:val="clear" w:color="auto" w:fill="FFFFFF"/>
            <w:tcMar>
              <w:top w:w="0" w:type="dxa"/>
              <w:left w:w="108" w:type="dxa"/>
              <w:bottom w:w="0" w:type="dxa"/>
              <w:right w:w="108" w:type="dxa"/>
            </w:tcMar>
            <w:vAlign w:val="center"/>
          </w:tcPr>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1、供应商提供类似项目业绩，每提供一份得2分，最高得18分；</w:t>
            </w:r>
          </w:p>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注：供应商须提供中标公告网页截图、中标通知书、合同。</w:t>
            </w:r>
          </w:p>
        </w:tc>
        <w:tc>
          <w:tcPr>
            <w:tcW w:w="1344" w:type="dxa"/>
            <w:shd w:val="clear" w:color="auto" w:fill="FFFFFF"/>
            <w:tcMar>
              <w:top w:w="0" w:type="dxa"/>
              <w:left w:w="108" w:type="dxa"/>
              <w:bottom w:w="0" w:type="dxa"/>
              <w:right w:w="108" w:type="dxa"/>
            </w:tcMar>
            <w:vAlign w:val="center"/>
          </w:tcPr>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745" w:hRule="atLeast"/>
        </w:trPr>
        <w:tc>
          <w:tcPr>
            <w:tcW w:w="1401" w:type="dxa"/>
            <w:gridSpan w:val="2"/>
            <w:shd w:val="clear" w:color="auto" w:fill="FFFFFF"/>
            <w:tcMar>
              <w:top w:w="0" w:type="dxa"/>
              <w:left w:w="108" w:type="dxa"/>
              <w:bottom w:w="0" w:type="dxa"/>
              <w:right w:w="108" w:type="dxa"/>
            </w:tcMar>
            <w:vAlign w:val="center"/>
          </w:tcPr>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售后服务保障</w:t>
            </w:r>
          </w:p>
        </w:tc>
        <w:tc>
          <w:tcPr>
            <w:tcW w:w="5577" w:type="dxa"/>
            <w:shd w:val="clear" w:color="auto" w:fill="FFFFFF"/>
            <w:tcMar>
              <w:top w:w="0" w:type="dxa"/>
              <w:left w:w="108" w:type="dxa"/>
              <w:bottom w:w="0" w:type="dxa"/>
              <w:right w:w="108" w:type="dxa"/>
            </w:tcMar>
            <w:vAlign w:val="center"/>
          </w:tcPr>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承诺在项目实施过程中拟派本项目至少3名测绘专业中级以上（含中级）职称的技术人员常驻项目所在地，并配合招标人工作，且保证常驻人员不变动的得3分。（提供相关证书以及截止投标时间前三个月内任何一个月在本单位缴纳的社保证明和劳动合同）</w:t>
            </w:r>
          </w:p>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2、供应商承诺能够提供本地化服务，在河南省内设有固定服务机构得3分。（提供承诺书及相关证明材料）</w:t>
            </w:r>
          </w:p>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3、根据本项目的工作内容，制定服务方案，评委根据方案内容以及服务承诺，优得5分，良得3分，一般得1分</w:t>
            </w:r>
            <w:r>
              <w:rPr>
                <w:rFonts w:hint="eastAsia" w:ascii="宋体" w:hAnsi="宋体"/>
              </w:rPr>
              <w:t>，无服务承诺的得0分。</w:t>
            </w:r>
          </w:p>
        </w:tc>
        <w:tc>
          <w:tcPr>
            <w:tcW w:w="1344" w:type="dxa"/>
            <w:shd w:val="clear" w:color="auto" w:fill="FFFFFF"/>
            <w:tcMar>
              <w:top w:w="0" w:type="dxa"/>
              <w:left w:w="108" w:type="dxa"/>
              <w:bottom w:w="0" w:type="dxa"/>
              <w:right w:w="108" w:type="dxa"/>
            </w:tcMar>
            <w:vAlign w:val="center"/>
          </w:tcPr>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91" w:hRule="atLeast"/>
        </w:trPr>
        <w:tc>
          <w:tcPr>
            <w:tcW w:w="1394" w:type="dxa"/>
            <w:shd w:val="clear" w:color="auto" w:fill="FFFFFF"/>
            <w:tcMar>
              <w:top w:w="0" w:type="dxa"/>
              <w:left w:w="108" w:type="dxa"/>
              <w:bottom w:w="0" w:type="dxa"/>
              <w:right w:w="108" w:type="dxa"/>
            </w:tcMar>
            <w:vAlign w:val="center"/>
          </w:tcPr>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技术方案</w:t>
            </w:r>
          </w:p>
        </w:tc>
        <w:tc>
          <w:tcPr>
            <w:tcW w:w="5584" w:type="dxa"/>
            <w:gridSpan w:val="2"/>
            <w:shd w:val="clear" w:color="auto" w:fill="FFFFFF"/>
            <w:tcMar>
              <w:top w:w="0" w:type="dxa"/>
              <w:left w:w="108" w:type="dxa"/>
              <w:bottom w:w="0" w:type="dxa"/>
              <w:right w:w="108" w:type="dxa"/>
            </w:tcMar>
            <w:vAlign w:val="center"/>
          </w:tcPr>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1、项目实施整体工作流程详细，与其他标包配合密切，实施方案完整且切实可行、合理。优得4分，良得3分，一般得1分，不提供不得分。</w:t>
            </w:r>
          </w:p>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2、第三次土地调查方案详细、完整、切实可行、合理，可根据采购人需要对缺漏的信息进行补充完善。优得4分，良得3分，一般得1分，不提供不得分。</w:t>
            </w:r>
          </w:p>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3、第三次土地调查信息管理系统功能齐全，满足第三次土地调查建库要求。优得4分，良得3分，一般得1分，不提供不得分。</w:t>
            </w:r>
          </w:p>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4、项目组织机构健全，项目主要人员职责明确。优得4分，良得3分，一般得1分，不提供不得分。</w:t>
            </w:r>
          </w:p>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5、有确保工程工期和质量的技术和组织措施，能根据工作实际合理安排工作进度，措施得力等。优得4分，良得3分，一般得1分，不提供不得分。</w:t>
            </w:r>
          </w:p>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6、项目成果管理及数据、成果保密相应保证措施，保密制度健全，保密措施得力等。优得4分，良得3分，一般得1分，不提供不得分。</w:t>
            </w:r>
          </w:p>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7、确保工程安全施工的保证措施全面具体。优得4分，良得3分，一般得1分，不提供不得分。</w:t>
            </w:r>
          </w:p>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8、提高质量、缩短工期、降低成本的建议和措施切实可行。优得4分，良得3分，一般得1分，不提供不得分。</w:t>
            </w:r>
          </w:p>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9、培训方案目标任务明确，供应商提供完善的售后服务方案及培训方案，方案可行、内容完整。优得4分，良得3分，一般得1分，不提供不得分。</w:t>
            </w:r>
          </w:p>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10、综合评价：由评标委员会根据供应商实施方案总体情况，从总体工作程序安排、项目的重难点及关键过程把握等方面进行综合评价。优得4分，良得3分，一般得1分，不提供不得分。</w:t>
            </w:r>
          </w:p>
        </w:tc>
        <w:tc>
          <w:tcPr>
            <w:tcW w:w="1344" w:type="dxa"/>
            <w:shd w:val="clear" w:color="auto" w:fill="FFFFFF"/>
            <w:tcMar>
              <w:top w:w="0" w:type="dxa"/>
              <w:left w:w="108" w:type="dxa"/>
              <w:bottom w:w="0" w:type="dxa"/>
              <w:right w:w="108" w:type="dxa"/>
            </w:tcMar>
            <w:vAlign w:val="center"/>
          </w:tcPr>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40分</w:t>
            </w:r>
          </w:p>
        </w:tc>
      </w:tr>
    </w:tbl>
    <w:p>
      <w:pPr>
        <w:keepNext/>
        <w:keepLines/>
        <w:spacing w:line="360" w:lineRule="auto"/>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四标包评分标准：</w:t>
      </w:r>
    </w:p>
    <w:tbl>
      <w:tblPr>
        <w:tblStyle w:val="33"/>
        <w:tblW w:w="8322"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394"/>
        <w:gridCol w:w="7"/>
        <w:gridCol w:w="557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91" w:hRule="atLeast"/>
        </w:trPr>
        <w:tc>
          <w:tcPr>
            <w:tcW w:w="1401" w:type="dxa"/>
            <w:gridSpan w:val="2"/>
            <w:shd w:val="clear" w:color="auto" w:fill="FFFFFF"/>
            <w:tcMar>
              <w:top w:w="0" w:type="dxa"/>
              <w:left w:w="108" w:type="dxa"/>
              <w:bottom w:w="0" w:type="dxa"/>
              <w:right w:w="108"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t>评分因素</w:t>
            </w:r>
          </w:p>
        </w:tc>
        <w:tc>
          <w:tcPr>
            <w:tcW w:w="5577" w:type="dxa"/>
            <w:shd w:val="clear" w:color="auto" w:fill="FFFFFF"/>
            <w:tcMar>
              <w:top w:w="0" w:type="dxa"/>
              <w:left w:w="108" w:type="dxa"/>
              <w:bottom w:w="0" w:type="dxa"/>
              <w:right w:w="108"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t>评分标准</w:t>
            </w:r>
          </w:p>
        </w:tc>
        <w:tc>
          <w:tcPr>
            <w:tcW w:w="1344" w:type="dxa"/>
            <w:shd w:val="clear" w:color="auto" w:fill="FFFFFF"/>
            <w:tcMar>
              <w:top w:w="0" w:type="dxa"/>
              <w:left w:w="108" w:type="dxa"/>
              <w:bottom w:w="0" w:type="dxa"/>
              <w:right w:w="108"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90" w:hRule="atLeast"/>
        </w:trPr>
        <w:tc>
          <w:tcPr>
            <w:tcW w:w="1401" w:type="dxa"/>
            <w:gridSpan w:val="2"/>
            <w:shd w:val="clear" w:color="auto" w:fill="FFFFFF"/>
            <w:tcMar>
              <w:top w:w="0" w:type="dxa"/>
              <w:left w:w="108" w:type="dxa"/>
              <w:bottom w:w="0" w:type="dxa"/>
              <w:right w:w="108"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投标报价</w:t>
            </w:r>
          </w:p>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评分标准</w:t>
            </w:r>
          </w:p>
        </w:tc>
        <w:tc>
          <w:tcPr>
            <w:tcW w:w="5577" w:type="dxa"/>
            <w:shd w:val="clear" w:color="auto" w:fill="FFFFFF"/>
            <w:tcMar>
              <w:top w:w="0" w:type="dxa"/>
              <w:left w:w="108" w:type="dxa"/>
              <w:bottom w:w="0" w:type="dxa"/>
              <w:right w:w="108" w:type="dxa"/>
            </w:tcMar>
            <w:vAlign w:val="center"/>
          </w:tcPr>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满足招标文件要求且投标报价最低的投标报价为评标基准值，其价格为满分。其他供应商的价格分统一按照下列公式计算：</w:t>
            </w:r>
          </w:p>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投标报价得分=（评标基准价/评标价）×价格权值（10）×100%。</w:t>
            </w:r>
          </w:p>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注：计算结果保留小数点后两位；</w:t>
            </w:r>
          </w:p>
          <w:p>
            <w:pPr>
              <w:widowControl/>
              <w:spacing w:line="360" w:lineRule="auto"/>
              <w:jc w:val="lef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评标价为投标单位报价按照政策性扣除后的报价</w:t>
            </w:r>
          </w:p>
        </w:tc>
        <w:tc>
          <w:tcPr>
            <w:tcW w:w="1344" w:type="dxa"/>
            <w:shd w:val="clear" w:color="auto" w:fill="FFFFFF"/>
            <w:tcMar>
              <w:top w:w="0" w:type="dxa"/>
              <w:left w:w="108" w:type="dxa"/>
              <w:bottom w:w="0" w:type="dxa"/>
              <w:right w:w="108"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745" w:hRule="atLeast"/>
        </w:trPr>
        <w:tc>
          <w:tcPr>
            <w:tcW w:w="1401" w:type="dxa"/>
            <w:gridSpan w:val="2"/>
            <w:shd w:val="clear" w:color="auto" w:fill="FFFFFF"/>
            <w:tcMar>
              <w:top w:w="0" w:type="dxa"/>
              <w:left w:w="108" w:type="dxa"/>
              <w:bottom w:w="0" w:type="dxa"/>
              <w:right w:w="108"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企业实力</w:t>
            </w:r>
          </w:p>
        </w:tc>
        <w:tc>
          <w:tcPr>
            <w:tcW w:w="5577" w:type="dxa"/>
            <w:shd w:val="clear" w:color="auto" w:fill="FFFFFF"/>
            <w:tcMar>
              <w:top w:w="0" w:type="dxa"/>
              <w:left w:w="108" w:type="dxa"/>
              <w:bottom w:w="0" w:type="dxa"/>
              <w:right w:w="108" w:type="dxa"/>
            </w:tcMar>
            <w:vAlign w:val="center"/>
          </w:tcPr>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1、企业资信：供应商具有信用评级机构出具的AAA信用等级证书的，得3分，AA级的，得2分，A级的得1分。投标文件中附等级证书</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否则该项不得分。</w:t>
            </w:r>
          </w:p>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2、供应商具有有效期内的职业健康管理体系认证证书（认证范围应包含：</w:t>
            </w:r>
            <w:r>
              <w:rPr>
                <w:rFonts w:hint="eastAsia" w:asciiTheme="minorEastAsia" w:hAnsiTheme="minorEastAsia" w:eastAsiaTheme="minorEastAsia" w:cstheme="minorEastAsia"/>
                <w:szCs w:val="21"/>
              </w:rPr>
              <w:t>测绘航空摄影，摄影测量与遥感</w:t>
            </w:r>
            <w:r>
              <w:rPr>
                <w:rFonts w:hint="eastAsia" w:asciiTheme="minorEastAsia" w:hAnsiTheme="minorEastAsia" w:eastAsiaTheme="minorEastAsia" w:cstheme="minorEastAsia"/>
                <w:kern w:val="0"/>
                <w:szCs w:val="21"/>
              </w:rPr>
              <w:t>）在网上可查，提供查询页面的得3分。</w:t>
            </w:r>
          </w:p>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3、供应商具有有效期内的环境管理体系认证证书（认证范围应包含：</w:t>
            </w:r>
            <w:r>
              <w:rPr>
                <w:rFonts w:hint="eastAsia" w:asciiTheme="minorEastAsia" w:hAnsiTheme="minorEastAsia" w:eastAsiaTheme="minorEastAsia" w:cstheme="minorEastAsia"/>
                <w:szCs w:val="21"/>
              </w:rPr>
              <w:t>测绘航空摄影，摄影测量与遥感</w:t>
            </w:r>
            <w:r>
              <w:rPr>
                <w:rFonts w:hint="eastAsia" w:asciiTheme="minorEastAsia" w:hAnsiTheme="minorEastAsia" w:eastAsiaTheme="minorEastAsia" w:cstheme="minorEastAsia"/>
                <w:kern w:val="0"/>
                <w:szCs w:val="21"/>
              </w:rPr>
              <w:t>）在网上可查，提供查询页面的得3分。</w:t>
            </w:r>
          </w:p>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4、供应商具有国家测绘部门颁发的涉密测绘成果管理人员证书，每提供一个得2分，最多得6分。（提供相关证书以及截止投标时间前三个月内任何一个月在本单位缴纳的社保证明和劳动合同）</w:t>
            </w:r>
          </w:p>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5、供应商具有计算机软件著作权证书1个得0.5分，共4分。</w:t>
            </w:r>
          </w:p>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6、供应商具有无人机相关专利证书一个1.5分，共6分。</w:t>
            </w:r>
          </w:p>
          <w:p>
            <w:pPr>
              <w:widowControl/>
              <w:spacing w:line="360" w:lineRule="auto"/>
              <w:jc w:val="left"/>
              <w:rPr>
                <w:rFonts w:eastAsiaTheme="minorEastAsia"/>
              </w:rPr>
            </w:pPr>
            <w:r>
              <w:rPr>
                <w:rFonts w:hint="eastAsia" w:asciiTheme="minorEastAsia" w:hAnsiTheme="minorEastAsia" w:eastAsiaTheme="minorEastAsia" w:cstheme="minorEastAsia"/>
                <w:kern w:val="0"/>
                <w:szCs w:val="21"/>
              </w:rPr>
              <w:t>7、2012年以来（以发证日期为准）承担过的航空摄影项目获得省级及以上行政主管部门颁发的优秀奖奖项的，每有一项得1.5分，最多得6分。（同一项目获多项奖的按1份计分，不重复累计）</w:t>
            </w:r>
          </w:p>
        </w:tc>
        <w:tc>
          <w:tcPr>
            <w:tcW w:w="1344" w:type="dxa"/>
            <w:shd w:val="clear" w:color="auto" w:fill="FFFFFF"/>
            <w:tcMar>
              <w:top w:w="0" w:type="dxa"/>
              <w:left w:w="108" w:type="dxa"/>
              <w:bottom w:w="0" w:type="dxa"/>
              <w:right w:w="108" w:type="dxa"/>
            </w:tcMar>
            <w:vAlign w:val="center"/>
          </w:tcPr>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416" w:hRule="atLeast"/>
        </w:trPr>
        <w:tc>
          <w:tcPr>
            <w:tcW w:w="1401" w:type="dxa"/>
            <w:gridSpan w:val="2"/>
            <w:shd w:val="clear" w:color="auto" w:fill="FFFFFF"/>
            <w:tcMar>
              <w:top w:w="0" w:type="dxa"/>
              <w:left w:w="108" w:type="dxa"/>
              <w:bottom w:w="0" w:type="dxa"/>
              <w:right w:w="108"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业绩</w:t>
            </w:r>
          </w:p>
        </w:tc>
        <w:tc>
          <w:tcPr>
            <w:tcW w:w="5577" w:type="dxa"/>
            <w:shd w:val="clear" w:color="auto" w:fill="FFFFFF"/>
            <w:tcMar>
              <w:top w:w="0" w:type="dxa"/>
              <w:left w:w="108" w:type="dxa"/>
              <w:bottom w:w="0" w:type="dxa"/>
              <w:right w:w="108" w:type="dxa"/>
            </w:tcMar>
            <w:vAlign w:val="center"/>
          </w:tcPr>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供应商提供类似业绩，且由省级质检部门验收通过的，每个项目得2分，满分14分</w:t>
            </w:r>
            <w:r>
              <w:rPr>
                <w:rFonts w:hint="eastAsia" w:asciiTheme="minorEastAsia" w:hAnsiTheme="minorEastAsia" w:eastAsiaTheme="minorEastAsia" w:cstheme="minorEastAsia"/>
                <w:kern w:val="0"/>
                <w:szCs w:val="21"/>
              </w:rPr>
              <w:t>；</w:t>
            </w:r>
          </w:p>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注：供应商须提供网上中标公告网页截图、中标通知书、合同、验收报告。</w:t>
            </w:r>
          </w:p>
        </w:tc>
        <w:tc>
          <w:tcPr>
            <w:tcW w:w="1344" w:type="dxa"/>
            <w:shd w:val="clear" w:color="auto" w:fill="FFFFFF"/>
            <w:tcMar>
              <w:top w:w="0" w:type="dxa"/>
              <w:left w:w="108" w:type="dxa"/>
              <w:bottom w:w="0" w:type="dxa"/>
              <w:right w:w="108" w:type="dxa"/>
            </w:tcMar>
            <w:vAlign w:val="center"/>
          </w:tcPr>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745" w:hRule="atLeast"/>
        </w:trPr>
        <w:tc>
          <w:tcPr>
            <w:tcW w:w="1401" w:type="dxa"/>
            <w:gridSpan w:val="2"/>
            <w:shd w:val="clear" w:color="auto" w:fill="FFFFFF"/>
            <w:tcMar>
              <w:top w:w="0" w:type="dxa"/>
              <w:left w:w="108" w:type="dxa"/>
              <w:bottom w:w="0" w:type="dxa"/>
              <w:right w:w="108" w:type="dxa"/>
            </w:tcMar>
            <w:vAlign w:val="center"/>
          </w:tcPr>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售后服务保障</w:t>
            </w:r>
          </w:p>
        </w:tc>
        <w:tc>
          <w:tcPr>
            <w:tcW w:w="5577" w:type="dxa"/>
            <w:shd w:val="clear" w:color="auto" w:fill="FFFFFF"/>
            <w:tcMar>
              <w:top w:w="0" w:type="dxa"/>
              <w:left w:w="108" w:type="dxa"/>
              <w:bottom w:w="0" w:type="dxa"/>
              <w:right w:w="108" w:type="dxa"/>
            </w:tcMar>
            <w:vAlign w:val="center"/>
          </w:tcPr>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承诺在项目实施过程中拟派本项目至少3名测绘专业中级以上（含中级）职称的技术人员常驻项目所在地，并配合招标人工作，且保证常驻人员不变动的得3分。（提供相关证书以及截止投标时间前三个月内任何一个月在本单位缴纳的社保证明和劳动合同）</w:t>
            </w:r>
          </w:p>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2、供应商承诺能够提供本地化服务，在河南省内设有固定服务机构得3分。（提供承诺书及相关证明材料）</w:t>
            </w:r>
          </w:p>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3、根据本项目的工作内容，制定服务方案，评委根据方案内容以及服务承诺，优得4分，良得2分，一般得1分</w:t>
            </w:r>
            <w:r>
              <w:rPr>
                <w:rFonts w:hint="eastAsia" w:ascii="宋体" w:hAnsi="宋体"/>
              </w:rPr>
              <w:t>，无服务承诺的得0分。</w:t>
            </w:r>
          </w:p>
        </w:tc>
        <w:tc>
          <w:tcPr>
            <w:tcW w:w="1344" w:type="dxa"/>
            <w:shd w:val="clear" w:color="auto" w:fill="FFFFFF"/>
            <w:tcMar>
              <w:top w:w="0" w:type="dxa"/>
              <w:left w:w="108" w:type="dxa"/>
              <w:bottom w:w="0" w:type="dxa"/>
              <w:right w:w="108" w:type="dxa"/>
            </w:tcMar>
            <w:vAlign w:val="center"/>
          </w:tcPr>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91" w:hRule="atLeast"/>
        </w:trPr>
        <w:tc>
          <w:tcPr>
            <w:tcW w:w="1394" w:type="dxa"/>
            <w:shd w:val="clear" w:color="auto" w:fill="FFFFFF"/>
            <w:tcMar>
              <w:top w:w="0" w:type="dxa"/>
              <w:left w:w="108" w:type="dxa"/>
              <w:bottom w:w="0" w:type="dxa"/>
              <w:right w:w="108" w:type="dxa"/>
            </w:tcMar>
            <w:vAlign w:val="center"/>
          </w:tcPr>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技术方案</w:t>
            </w:r>
          </w:p>
        </w:tc>
        <w:tc>
          <w:tcPr>
            <w:tcW w:w="5584" w:type="dxa"/>
            <w:gridSpan w:val="2"/>
            <w:shd w:val="clear" w:color="auto" w:fill="FFFFFF"/>
            <w:tcMar>
              <w:top w:w="0" w:type="dxa"/>
              <w:left w:w="108" w:type="dxa"/>
              <w:bottom w:w="0" w:type="dxa"/>
              <w:right w:w="108" w:type="dxa"/>
            </w:tcMar>
            <w:vAlign w:val="center"/>
          </w:tcPr>
          <w:p>
            <w:pPr>
              <w:widowControl/>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根据项目技术设计方案的先进性、科学性及成本、安全、文明保证措施，技术方案包括：1、数码航空摄影；2、像控点测量；3、空中三角测量；4、DOM生产制作等。若有更先进的技术能提高生产质量，缩短生产工期，根据提供方案的合理性,优得9分，良得6分，一般得3分，不提供不得分。</w:t>
            </w:r>
          </w:p>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2、符合工期总体要求的程度、进度安排是否合理，</w:t>
            </w:r>
            <w:r>
              <w:rPr>
                <w:rFonts w:hint="eastAsia" w:asciiTheme="minorEastAsia" w:hAnsiTheme="minorEastAsia" w:eastAsiaTheme="minorEastAsia" w:cstheme="minorEastAsia"/>
                <w:kern w:val="0"/>
                <w:szCs w:val="21"/>
              </w:rPr>
              <w:t>优得3分，良得2分，一般得1分，不提供不得分。</w:t>
            </w:r>
          </w:p>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3、据供应商提供的确保项目工期具体措施，</w:t>
            </w:r>
            <w:r>
              <w:rPr>
                <w:rFonts w:hint="eastAsia" w:asciiTheme="minorEastAsia" w:hAnsiTheme="minorEastAsia" w:eastAsiaTheme="minorEastAsia" w:cstheme="minorEastAsia"/>
                <w:kern w:val="0"/>
                <w:szCs w:val="21"/>
              </w:rPr>
              <w:t>优得3分，良得2分，一般得1分，不提供不得分。</w:t>
            </w:r>
          </w:p>
          <w:p>
            <w:pPr>
              <w:widowControl/>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4、根据供应商提供的质量保证措施；质量检查控制方法的科学、可行、合理性；后勤保障、保密等措施; 优得6分，良得4分，一般得2分，不提供不得分。</w:t>
            </w:r>
          </w:p>
          <w:p>
            <w:pPr>
              <w:widowControl/>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5、自有航摄仪且像素大于等于1亿一台得3分，最多得9分，（须提供采购发票或其它证明文件，否则不得分。）（满分9分）</w:t>
            </w:r>
          </w:p>
          <w:p>
            <w:pPr>
              <w:widowControl/>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6、数字摄影测量系统20台以上得5分，10台-20台得3分，5台-10台得1分. （须提供采购发票或其它证明文件，否则不得分。）（满分5分）</w:t>
            </w:r>
          </w:p>
        </w:tc>
        <w:tc>
          <w:tcPr>
            <w:tcW w:w="1344" w:type="dxa"/>
            <w:shd w:val="clear" w:color="auto" w:fill="FFFFFF"/>
            <w:tcMar>
              <w:top w:w="0" w:type="dxa"/>
              <w:left w:w="108" w:type="dxa"/>
              <w:bottom w:w="0" w:type="dxa"/>
              <w:right w:w="108" w:type="dxa"/>
            </w:tcMar>
            <w:vAlign w:val="center"/>
          </w:tcPr>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35分</w:t>
            </w:r>
          </w:p>
        </w:tc>
      </w:tr>
    </w:tbl>
    <w:p>
      <w:pPr>
        <w:keepNext/>
        <w:keepLines/>
        <w:spacing w:line="360" w:lineRule="auto"/>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五标包评分标准</w:t>
      </w:r>
    </w:p>
    <w:tbl>
      <w:tblPr>
        <w:tblStyle w:val="33"/>
        <w:tblW w:w="8322"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394"/>
        <w:gridCol w:w="7"/>
        <w:gridCol w:w="557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91" w:hRule="atLeast"/>
        </w:trPr>
        <w:tc>
          <w:tcPr>
            <w:tcW w:w="1401" w:type="dxa"/>
            <w:gridSpan w:val="2"/>
            <w:shd w:val="clear" w:color="auto" w:fill="FFFFFF"/>
            <w:tcMar>
              <w:top w:w="0" w:type="dxa"/>
              <w:left w:w="108" w:type="dxa"/>
              <w:bottom w:w="0" w:type="dxa"/>
              <w:right w:w="108"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t>评分因素</w:t>
            </w:r>
          </w:p>
        </w:tc>
        <w:tc>
          <w:tcPr>
            <w:tcW w:w="5577" w:type="dxa"/>
            <w:shd w:val="clear" w:color="auto" w:fill="FFFFFF"/>
            <w:tcMar>
              <w:top w:w="0" w:type="dxa"/>
              <w:left w:w="108" w:type="dxa"/>
              <w:bottom w:w="0" w:type="dxa"/>
              <w:right w:w="108"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t>评分标准</w:t>
            </w:r>
          </w:p>
        </w:tc>
        <w:tc>
          <w:tcPr>
            <w:tcW w:w="1344" w:type="dxa"/>
            <w:shd w:val="clear" w:color="auto" w:fill="FFFFFF"/>
            <w:tcMar>
              <w:top w:w="0" w:type="dxa"/>
              <w:left w:w="108" w:type="dxa"/>
              <w:bottom w:w="0" w:type="dxa"/>
              <w:right w:w="108"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90" w:hRule="atLeast"/>
        </w:trPr>
        <w:tc>
          <w:tcPr>
            <w:tcW w:w="1401" w:type="dxa"/>
            <w:gridSpan w:val="2"/>
            <w:shd w:val="clear" w:color="auto" w:fill="FFFFFF"/>
            <w:tcMar>
              <w:top w:w="0" w:type="dxa"/>
              <w:left w:w="108" w:type="dxa"/>
              <w:bottom w:w="0" w:type="dxa"/>
              <w:right w:w="108"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投标报价</w:t>
            </w:r>
          </w:p>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评分标准</w:t>
            </w:r>
          </w:p>
        </w:tc>
        <w:tc>
          <w:tcPr>
            <w:tcW w:w="5577" w:type="dxa"/>
            <w:shd w:val="clear" w:color="auto" w:fill="FFFFFF"/>
            <w:tcMar>
              <w:top w:w="0" w:type="dxa"/>
              <w:left w:w="108" w:type="dxa"/>
              <w:bottom w:w="0" w:type="dxa"/>
              <w:right w:w="108" w:type="dxa"/>
            </w:tcMar>
            <w:vAlign w:val="center"/>
          </w:tcPr>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满足招标文件要求且投标报价最低的投标报价为评标基准值，其价格为满分。其他供应商的价格分统一按照下列公式计算：</w:t>
            </w:r>
          </w:p>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投标报价得分=（评标基准价/评标价）×价格权值（10）×100%。</w:t>
            </w:r>
          </w:p>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注：计算结果保留小数点后两位；</w:t>
            </w:r>
          </w:p>
          <w:p>
            <w:pPr>
              <w:widowControl/>
              <w:spacing w:line="360" w:lineRule="auto"/>
              <w:jc w:val="lef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评标价为投标单位报价按照政策性扣除后的报价</w:t>
            </w:r>
          </w:p>
        </w:tc>
        <w:tc>
          <w:tcPr>
            <w:tcW w:w="1344" w:type="dxa"/>
            <w:shd w:val="clear" w:color="auto" w:fill="FFFFFF"/>
            <w:tcMar>
              <w:top w:w="0" w:type="dxa"/>
              <w:left w:w="108" w:type="dxa"/>
              <w:bottom w:w="0" w:type="dxa"/>
              <w:right w:w="108" w:type="dxa"/>
            </w:tcMar>
            <w:vAlign w:val="center"/>
          </w:tcPr>
          <w:p>
            <w:pPr>
              <w:widowControl/>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745" w:hRule="atLeast"/>
        </w:trPr>
        <w:tc>
          <w:tcPr>
            <w:tcW w:w="1401" w:type="dxa"/>
            <w:gridSpan w:val="2"/>
            <w:shd w:val="clear" w:color="auto" w:fill="FFFFFF"/>
            <w:tcMar>
              <w:top w:w="0" w:type="dxa"/>
              <w:left w:w="108" w:type="dxa"/>
              <w:bottom w:w="0" w:type="dxa"/>
              <w:right w:w="108"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企业实力</w:t>
            </w:r>
          </w:p>
        </w:tc>
        <w:tc>
          <w:tcPr>
            <w:tcW w:w="5577" w:type="dxa"/>
            <w:shd w:val="clear" w:color="auto" w:fill="FFFFFF"/>
            <w:tcMar>
              <w:top w:w="0" w:type="dxa"/>
              <w:left w:w="108" w:type="dxa"/>
              <w:bottom w:w="0" w:type="dxa"/>
              <w:right w:w="108" w:type="dxa"/>
            </w:tcMar>
            <w:vAlign w:val="center"/>
          </w:tcPr>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1、企业资信：供应商具有信用评级机构出具的AAA信用等级证书的，得5分，AA级的，得3分，A级的得1分。投标文件中附等级证书，否则该项不得分。</w:t>
            </w:r>
          </w:p>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2、供应商具有有效期内的职业健康管理体系认证证书（认证范围应包含：测绘）在网上可查，提供查询页面的得3分。</w:t>
            </w:r>
          </w:p>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3、供应商具有有效期内的环境管理体系认证证书（认证范围应包含：测绘）在网上可查，提供查询页面的得3分。</w:t>
            </w:r>
          </w:p>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4、供应商具有高新技术企业证书得3分。</w:t>
            </w:r>
          </w:p>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5、供应商具有国家级涉密业务证书得３分。</w:t>
            </w:r>
          </w:p>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６、供应商具有国家测绘部门颁发的涉密测绘成果管理人员证书，每提供一个得2分，最多得10分。（提供相关证书以及截止投标时间前三个月内任何一个月在本单位缴纳的社保证明和劳动合同）</w:t>
            </w:r>
          </w:p>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７、2012年以来（以发证日期为准）供应商获得国家级地理信息产业优秀工程奖或优秀测绘工程奖的得３分。</w:t>
            </w:r>
          </w:p>
        </w:tc>
        <w:tc>
          <w:tcPr>
            <w:tcW w:w="1344" w:type="dxa"/>
            <w:shd w:val="clear" w:color="auto" w:fill="FFFFFF"/>
            <w:tcMar>
              <w:top w:w="0" w:type="dxa"/>
              <w:left w:w="108" w:type="dxa"/>
              <w:bottom w:w="0" w:type="dxa"/>
              <w:right w:w="108" w:type="dxa"/>
            </w:tcMar>
            <w:vAlign w:val="center"/>
          </w:tcPr>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745" w:hRule="atLeast"/>
        </w:trPr>
        <w:tc>
          <w:tcPr>
            <w:tcW w:w="1401" w:type="dxa"/>
            <w:gridSpan w:val="2"/>
            <w:shd w:val="clear" w:color="auto" w:fill="FFFFFF"/>
            <w:tcMar>
              <w:top w:w="0" w:type="dxa"/>
              <w:left w:w="108" w:type="dxa"/>
              <w:bottom w:w="0" w:type="dxa"/>
              <w:right w:w="108"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业绩</w:t>
            </w:r>
          </w:p>
        </w:tc>
        <w:tc>
          <w:tcPr>
            <w:tcW w:w="5577" w:type="dxa"/>
            <w:shd w:val="clear" w:color="auto" w:fill="FFFFFF"/>
            <w:tcMar>
              <w:top w:w="0" w:type="dxa"/>
              <w:left w:w="108" w:type="dxa"/>
              <w:bottom w:w="0" w:type="dxa"/>
              <w:right w:w="108" w:type="dxa"/>
            </w:tcMar>
            <w:vAlign w:val="center"/>
          </w:tcPr>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1、供应商提供类似项目业绩，每提供一份得2分，最高得14分；</w:t>
            </w:r>
          </w:p>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注：供应商须提供中标公告网页截图、中标通知书、合同。</w:t>
            </w:r>
          </w:p>
        </w:tc>
        <w:tc>
          <w:tcPr>
            <w:tcW w:w="1344" w:type="dxa"/>
            <w:shd w:val="clear" w:color="auto" w:fill="FFFFFF"/>
            <w:tcMar>
              <w:top w:w="0" w:type="dxa"/>
              <w:left w:w="108" w:type="dxa"/>
              <w:bottom w:w="0" w:type="dxa"/>
              <w:right w:w="108" w:type="dxa"/>
            </w:tcMar>
            <w:vAlign w:val="center"/>
          </w:tcPr>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745" w:hRule="atLeast"/>
        </w:trPr>
        <w:tc>
          <w:tcPr>
            <w:tcW w:w="1401" w:type="dxa"/>
            <w:gridSpan w:val="2"/>
            <w:shd w:val="clear" w:color="auto" w:fill="FFFFFF"/>
            <w:tcMar>
              <w:top w:w="0" w:type="dxa"/>
              <w:left w:w="108" w:type="dxa"/>
              <w:bottom w:w="0" w:type="dxa"/>
              <w:right w:w="108" w:type="dxa"/>
            </w:tcMar>
            <w:vAlign w:val="center"/>
          </w:tcPr>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售后服务保障</w:t>
            </w:r>
          </w:p>
        </w:tc>
        <w:tc>
          <w:tcPr>
            <w:tcW w:w="5577" w:type="dxa"/>
            <w:shd w:val="clear" w:color="auto" w:fill="FFFFFF"/>
            <w:tcMar>
              <w:top w:w="0" w:type="dxa"/>
              <w:left w:w="108" w:type="dxa"/>
              <w:bottom w:w="0" w:type="dxa"/>
              <w:right w:w="108" w:type="dxa"/>
            </w:tcMar>
            <w:vAlign w:val="center"/>
          </w:tcPr>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1、供应商承诺能够提供本地化服务，在河南省内设有固定服务机构得3分。（提供承诺书及相关证明材料）</w:t>
            </w:r>
          </w:p>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2、根据本项目的工作内容，制定服务方案，评委根据方案内容以及服务承诺，优得7分，良得5分，一般得2分</w:t>
            </w:r>
            <w:r>
              <w:rPr>
                <w:rFonts w:hint="eastAsia" w:ascii="宋体" w:hAnsi="宋体"/>
              </w:rPr>
              <w:t>，无服务承诺的得0分。</w:t>
            </w:r>
          </w:p>
        </w:tc>
        <w:tc>
          <w:tcPr>
            <w:tcW w:w="1344" w:type="dxa"/>
            <w:shd w:val="clear" w:color="auto" w:fill="FFFFFF"/>
            <w:tcMar>
              <w:top w:w="0" w:type="dxa"/>
              <w:left w:w="108" w:type="dxa"/>
              <w:bottom w:w="0" w:type="dxa"/>
              <w:right w:w="108" w:type="dxa"/>
            </w:tcMar>
            <w:vAlign w:val="center"/>
          </w:tcPr>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91" w:hRule="atLeast"/>
        </w:trPr>
        <w:tc>
          <w:tcPr>
            <w:tcW w:w="1394" w:type="dxa"/>
            <w:shd w:val="clear" w:color="auto" w:fill="FFFFFF"/>
            <w:tcMar>
              <w:top w:w="0" w:type="dxa"/>
              <w:left w:w="108" w:type="dxa"/>
              <w:bottom w:w="0" w:type="dxa"/>
              <w:right w:w="108" w:type="dxa"/>
            </w:tcMar>
            <w:vAlign w:val="center"/>
          </w:tcPr>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技术方案</w:t>
            </w:r>
          </w:p>
        </w:tc>
        <w:tc>
          <w:tcPr>
            <w:tcW w:w="5584" w:type="dxa"/>
            <w:gridSpan w:val="2"/>
            <w:shd w:val="clear" w:color="auto" w:fill="FFFFFF"/>
            <w:tcMar>
              <w:top w:w="0" w:type="dxa"/>
              <w:left w:w="108" w:type="dxa"/>
              <w:bottom w:w="0" w:type="dxa"/>
              <w:right w:w="108" w:type="dxa"/>
            </w:tcMar>
            <w:vAlign w:val="center"/>
          </w:tcPr>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1、供应商充分了解招标需求，项目总体设计合理、建设内容全面、技术路线正确，优得5分，良得3分，一般得1分，不提供不得分。</w:t>
            </w:r>
          </w:p>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县级土地利用现状数据理平台可实现土地调查数据与土地规划、基础测绘、社会经济等各类基础数据的互联互通和综合分析应用，具备数据查询统计、综合分析、共享服务等功能。优得5分，良得3分，一般得1分，不提供不得分。3、数据库建库流程清晰，数据库内容完整，有建库流程图。优得5分，良得3分，一般得1分，不提供不得分。</w:t>
            </w:r>
          </w:p>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4、项目实施进度计划安排合理，有明确的进度计划表及进度保障措施，优得5分，良得3分，一般得1分，不提供不得分。</w:t>
            </w:r>
          </w:p>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5、项目提交成果完整，符合招标要求。优得5分，良得3分，一般得1分，不提供不得分。</w:t>
            </w:r>
          </w:p>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6、对项目实施重点难点理解及关键过程进行综合分析。优得6分，良得4分，一般得1分，不提供不得分。</w:t>
            </w:r>
          </w:p>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7、制定项目成果质量保障措施，按照招标要求,提交最终成果，优得5分，良得3分，一般得1分，不提供不得分。</w:t>
            </w:r>
          </w:p>
        </w:tc>
        <w:tc>
          <w:tcPr>
            <w:tcW w:w="1344" w:type="dxa"/>
            <w:shd w:val="clear" w:color="auto" w:fill="FFFFFF"/>
            <w:tcMar>
              <w:top w:w="0" w:type="dxa"/>
              <w:left w:w="108" w:type="dxa"/>
              <w:bottom w:w="0" w:type="dxa"/>
              <w:right w:w="108" w:type="dxa"/>
            </w:tcMar>
            <w:vAlign w:val="center"/>
          </w:tcPr>
          <w:p>
            <w:pPr>
              <w:widowControl/>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36分</w:t>
            </w:r>
          </w:p>
        </w:tc>
      </w:tr>
    </w:tbl>
    <w:p>
      <w:pPr>
        <w:keepNext/>
        <w:keepLines/>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六标包评分标准</w:t>
      </w:r>
    </w:p>
    <w:tbl>
      <w:tblPr>
        <w:tblStyle w:val="33"/>
        <w:tblW w:w="8322"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142"/>
        <w:gridCol w:w="6096"/>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91" w:hRule="atLeast"/>
        </w:trPr>
        <w:tc>
          <w:tcPr>
            <w:tcW w:w="1142" w:type="dxa"/>
            <w:shd w:val="clear" w:color="auto" w:fill="FFFFFF"/>
            <w:tcMar>
              <w:top w:w="0" w:type="dxa"/>
              <w:left w:w="108" w:type="dxa"/>
              <w:bottom w:w="0" w:type="dxa"/>
              <w:right w:w="108" w:type="dxa"/>
            </w:tcMar>
            <w:vAlign w:val="center"/>
          </w:tcPr>
          <w:p>
            <w:pPr>
              <w:widowControl/>
              <w:spacing w:line="360" w:lineRule="auto"/>
              <w:jc w:val="center"/>
              <w:rPr>
                <w:rFonts w:ascii="宋体" w:hAnsi="宋体" w:cs="宋体"/>
                <w:kern w:val="0"/>
                <w:szCs w:val="21"/>
              </w:rPr>
            </w:pPr>
            <w:r>
              <w:rPr>
                <w:rFonts w:hint="eastAsia" w:ascii="宋体" w:hAnsi="宋体" w:cs="宋体"/>
                <w:b/>
                <w:bCs/>
                <w:kern w:val="0"/>
                <w:szCs w:val="21"/>
              </w:rPr>
              <w:t>评分因素</w:t>
            </w:r>
          </w:p>
        </w:tc>
        <w:tc>
          <w:tcPr>
            <w:tcW w:w="6096" w:type="dxa"/>
            <w:shd w:val="clear" w:color="auto" w:fill="FFFFFF"/>
            <w:tcMar>
              <w:top w:w="0" w:type="dxa"/>
              <w:left w:w="108" w:type="dxa"/>
              <w:bottom w:w="0" w:type="dxa"/>
              <w:right w:w="108" w:type="dxa"/>
            </w:tcMar>
            <w:vAlign w:val="center"/>
          </w:tcPr>
          <w:p>
            <w:pPr>
              <w:widowControl/>
              <w:spacing w:line="360" w:lineRule="auto"/>
              <w:jc w:val="center"/>
              <w:rPr>
                <w:rFonts w:ascii="宋体" w:hAnsi="宋体" w:cs="宋体"/>
                <w:kern w:val="0"/>
                <w:szCs w:val="21"/>
              </w:rPr>
            </w:pPr>
            <w:r>
              <w:rPr>
                <w:rFonts w:hint="eastAsia" w:ascii="宋体" w:hAnsi="宋体" w:cs="宋体"/>
                <w:b/>
                <w:bCs/>
                <w:kern w:val="0"/>
                <w:szCs w:val="21"/>
              </w:rPr>
              <w:t>评分标准</w:t>
            </w:r>
          </w:p>
        </w:tc>
        <w:tc>
          <w:tcPr>
            <w:tcW w:w="1084" w:type="dxa"/>
            <w:shd w:val="clear" w:color="auto" w:fill="FFFFFF"/>
            <w:tcMar>
              <w:top w:w="0" w:type="dxa"/>
              <w:left w:w="108" w:type="dxa"/>
              <w:bottom w:w="0" w:type="dxa"/>
              <w:right w:w="108" w:type="dxa"/>
            </w:tcMar>
            <w:vAlign w:val="center"/>
          </w:tcPr>
          <w:p>
            <w:pPr>
              <w:widowControl/>
              <w:spacing w:line="360" w:lineRule="auto"/>
              <w:jc w:val="center"/>
              <w:rPr>
                <w:rFonts w:ascii="宋体" w:hAnsi="宋体" w:cs="宋体"/>
                <w:kern w:val="0"/>
                <w:szCs w:val="21"/>
              </w:rPr>
            </w:pPr>
            <w:r>
              <w:rPr>
                <w:rFonts w:hint="eastAsia" w:ascii="宋体" w:hAnsi="宋体" w:cs="宋体"/>
                <w:b/>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90" w:hRule="atLeast"/>
        </w:trPr>
        <w:tc>
          <w:tcPr>
            <w:tcW w:w="1142" w:type="dxa"/>
            <w:shd w:val="clear" w:color="auto" w:fill="FFFFFF"/>
            <w:tcMar>
              <w:top w:w="0" w:type="dxa"/>
              <w:left w:w="108" w:type="dxa"/>
              <w:bottom w:w="0" w:type="dxa"/>
              <w:right w:w="108"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投标报价</w:t>
            </w:r>
          </w:p>
          <w:p>
            <w:pPr>
              <w:widowControl/>
              <w:spacing w:line="360" w:lineRule="auto"/>
              <w:jc w:val="center"/>
              <w:rPr>
                <w:rFonts w:ascii="宋体" w:hAnsi="宋体" w:cs="宋体"/>
                <w:kern w:val="0"/>
                <w:szCs w:val="21"/>
              </w:rPr>
            </w:pPr>
            <w:r>
              <w:rPr>
                <w:rFonts w:hint="eastAsia" w:ascii="宋体" w:hAnsi="宋体" w:cs="宋体"/>
                <w:kern w:val="0"/>
                <w:szCs w:val="21"/>
              </w:rPr>
              <w:t>评分标准</w:t>
            </w:r>
          </w:p>
        </w:tc>
        <w:tc>
          <w:tcPr>
            <w:tcW w:w="6096" w:type="dxa"/>
            <w:shd w:val="clear" w:color="auto" w:fill="FFFFFF"/>
            <w:tcMar>
              <w:top w:w="0" w:type="dxa"/>
              <w:left w:w="108" w:type="dxa"/>
              <w:bottom w:w="0" w:type="dxa"/>
              <w:right w:w="108" w:type="dxa"/>
            </w:tcMar>
            <w:vAlign w:val="center"/>
          </w:tcPr>
          <w:p>
            <w:pPr>
              <w:widowControl/>
              <w:spacing w:line="360" w:lineRule="auto"/>
              <w:jc w:val="left"/>
              <w:rPr>
                <w:rFonts w:ascii="宋体" w:hAnsi="宋体" w:cs="宋体"/>
                <w:kern w:val="0"/>
                <w:szCs w:val="21"/>
              </w:rPr>
            </w:pPr>
            <w:r>
              <w:rPr>
                <w:rFonts w:hint="eastAsia" w:ascii="宋体" w:hAnsi="宋体" w:cs="宋体"/>
                <w:kern w:val="0"/>
                <w:szCs w:val="21"/>
              </w:rPr>
              <w:t>满足招标文件要求且投标费率最低的投标费率为评标基准值，其价格为满分。其他供应商的价格分统一按照下列公式计算：</w:t>
            </w:r>
          </w:p>
          <w:p>
            <w:pPr>
              <w:widowControl/>
              <w:spacing w:line="360" w:lineRule="auto"/>
              <w:jc w:val="left"/>
              <w:rPr>
                <w:rFonts w:ascii="宋体" w:hAnsi="宋体" w:cs="宋体"/>
                <w:kern w:val="0"/>
                <w:szCs w:val="21"/>
              </w:rPr>
            </w:pPr>
            <w:r>
              <w:rPr>
                <w:rFonts w:hint="eastAsia" w:ascii="宋体" w:hAnsi="宋体" w:cs="宋体"/>
                <w:kern w:val="0"/>
                <w:szCs w:val="21"/>
              </w:rPr>
              <w:t>投标报价得分=（评标基准价/评标费率）×价格权值（10）×100%。</w:t>
            </w:r>
          </w:p>
          <w:p>
            <w:pPr>
              <w:widowControl/>
              <w:spacing w:line="360" w:lineRule="auto"/>
              <w:jc w:val="left"/>
              <w:rPr>
                <w:rFonts w:ascii="宋体" w:hAnsi="宋体" w:cs="宋体"/>
                <w:kern w:val="0"/>
                <w:szCs w:val="21"/>
              </w:rPr>
            </w:pPr>
            <w:r>
              <w:rPr>
                <w:rFonts w:hint="eastAsia" w:ascii="宋体" w:hAnsi="宋体" w:cs="宋体"/>
                <w:kern w:val="0"/>
                <w:szCs w:val="21"/>
              </w:rPr>
              <w:t>注：计算结果保留小数点后两位；</w:t>
            </w:r>
          </w:p>
          <w:p>
            <w:pPr>
              <w:widowControl/>
              <w:spacing w:line="360" w:lineRule="auto"/>
              <w:jc w:val="left"/>
              <w:rPr>
                <w:rFonts w:ascii="宋体" w:hAnsi="宋体" w:cs="宋体"/>
                <w:b/>
                <w:kern w:val="0"/>
                <w:szCs w:val="21"/>
              </w:rPr>
            </w:pPr>
            <w:r>
              <w:rPr>
                <w:rFonts w:hint="eastAsia" w:ascii="宋体" w:hAnsi="宋体" w:cs="宋体"/>
                <w:b/>
                <w:kern w:val="0"/>
                <w:szCs w:val="21"/>
              </w:rPr>
              <w:t>评标价为投标单位报价费率按照政策性扣除后的报价费率</w:t>
            </w:r>
          </w:p>
        </w:tc>
        <w:tc>
          <w:tcPr>
            <w:tcW w:w="1084" w:type="dxa"/>
            <w:shd w:val="clear" w:color="auto" w:fill="FFFFFF"/>
            <w:tcMar>
              <w:top w:w="0" w:type="dxa"/>
              <w:left w:w="108" w:type="dxa"/>
              <w:bottom w:w="0" w:type="dxa"/>
              <w:right w:w="108"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416" w:hRule="atLeast"/>
        </w:trPr>
        <w:tc>
          <w:tcPr>
            <w:tcW w:w="1142" w:type="dxa"/>
            <w:shd w:val="clear" w:color="auto" w:fill="FFFFFF"/>
            <w:tcMar>
              <w:top w:w="0" w:type="dxa"/>
              <w:left w:w="108" w:type="dxa"/>
              <w:bottom w:w="0" w:type="dxa"/>
              <w:right w:w="108"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企业实力</w:t>
            </w:r>
          </w:p>
        </w:tc>
        <w:tc>
          <w:tcPr>
            <w:tcW w:w="6096" w:type="dxa"/>
            <w:shd w:val="clear" w:color="auto" w:fill="FFFFFF"/>
            <w:tcMar>
              <w:top w:w="0" w:type="dxa"/>
              <w:left w:w="108" w:type="dxa"/>
              <w:bottom w:w="0" w:type="dxa"/>
              <w:right w:w="108" w:type="dxa"/>
            </w:tcMar>
            <w:vAlign w:val="center"/>
          </w:tcPr>
          <w:p>
            <w:pPr>
              <w:widowControl/>
              <w:spacing w:line="360" w:lineRule="auto"/>
              <w:jc w:val="left"/>
              <w:rPr>
                <w:rFonts w:ascii="宋体" w:hAnsi="宋体" w:cs="宋体"/>
                <w:kern w:val="0"/>
                <w:szCs w:val="21"/>
              </w:rPr>
            </w:pPr>
            <w:r>
              <w:rPr>
                <w:rFonts w:hint="eastAsia" w:ascii="宋体" w:hAnsi="宋体" w:cs="宋体"/>
                <w:kern w:val="0"/>
                <w:szCs w:val="21"/>
              </w:rPr>
              <w:t>1、企业资信：供应商具有信用评级机构出具的AAA信用等级证书的，得5分，AA级的，得3分，A级的得1分。投标文件中附等级证书，否则该项不得分。</w:t>
            </w:r>
          </w:p>
          <w:p>
            <w:pPr>
              <w:widowControl/>
              <w:spacing w:line="360" w:lineRule="auto"/>
              <w:jc w:val="left"/>
              <w:rPr>
                <w:rFonts w:ascii="宋体" w:hAnsi="宋体" w:cs="宋体"/>
                <w:kern w:val="0"/>
                <w:szCs w:val="21"/>
              </w:rPr>
            </w:pPr>
            <w:r>
              <w:rPr>
                <w:rFonts w:hint="eastAsia" w:ascii="宋体" w:hAnsi="宋体" w:cs="宋体"/>
                <w:kern w:val="0"/>
                <w:szCs w:val="21"/>
              </w:rPr>
              <w:t>2、供应商具有有效期内的ISO9001质量体系认证证书（认证范围应包含：地理信息工程；工程测量；不动产测绘）在网上可查，提供查询页面的得3分。</w:t>
            </w:r>
          </w:p>
          <w:p>
            <w:pPr>
              <w:widowControl/>
              <w:spacing w:line="360" w:lineRule="auto"/>
              <w:jc w:val="left"/>
              <w:rPr>
                <w:rFonts w:ascii="宋体" w:hAnsi="宋体" w:cs="宋体"/>
                <w:kern w:val="0"/>
                <w:szCs w:val="21"/>
              </w:rPr>
            </w:pPr>
            <w:r>
              <w:rPr>
                <w:rFonts w:hint="eastAsia" w:ascii="宋体" w:hAnsi="宋体" w:cs="宋体"/>
                <w:kern w:val="0"/>
                <w:szCs w:val="21"/>
              </w:rPr>
              <w:t>3、供应商具有有效期内的职业健康管理体系认证证书（认证范围应包含：地理信息工程；工程测量；不动产测绘）在网上可查，提供查询页面的得3分。</w:t>
            </w:r>
          </w:p>
          <w:p>
            <w:pPr>
              <w:widowControl/>
              <w:spacing w:line="360" w:lineRule="auto"/>
              <w:jc w:val="left"/>
              <w:rPr>
                <w:rFonts w:ascii="宋体" w:hAnsi="宋体" w:cs="宋体"/>
                <w:kern w:val="0"/>
                <w:szCs w:val="21"/>
              </w:rPr>
            </w:pPr>
            <w:r>
              <w:rPr>
                <w:rFonts w:hint="eastAsia" w:ascii="宋体" w:hAnsi="宋体" w:cs="宋体"/>
                <w:kern w:val="0"/>
                <w:szCs w:val="21"/>
              </w:rPr>
              <w:t>4、供应商拟投入本项目的GPS接收机设备每台得1分，满分4份。（提供发票）</w:t>
            </w:r>
          </w:p>
          <w:p>
            <w:pPr>
              <w:widowControl/>
              <w:spacing w:line="360" w:lineRule="auto"/>
              <w:jc w:val="left"/>
              <w:rPr>
                <w:rFonts w:ascii="宋体" w:hAnsi="宋体" w:cs="宋体"/>
                <w:kern w:val="0"/>
                <w:szCs w:val="21"/>
              </w:rPr>
            </w:pPr>
            <w:r>
              <w:rPr>
                <w:rFonts w:hint="eastAsia" w:ascii="宋体" w:hAnsi="宋体" w:cs="宋体"/>
                <w:kern w:val="0"/>
                <w:szCs w:val="21"/>
              </w:rPr>
              <w:t>5、供应商拟投入本项目的全站仪每台得1分，满分4份。（提供发票）</w:t>
            </w:r>
          </w:p>
          <w:p>
            <w:pPr>
              <w:widowControl/>
              <w:spacing w:line="360" w:lineRule="auto"/>
              <w:jc w:val="left"/>
            </w:pPr>
            <w:r>
              <w:rPr>
                <w:rFonts w:hint="eastAsia" w:ascii="宋体" w:hAnsi="宋体" w:cs="宋体"/>
                <w:kern w:val="0"/>
                <w:szCs w:val="21"/>
              </w:rPr>
              <w:t>6、供应商荣获省级以上测绘主管部门颁发的测绘证书的一个得2分，满分6分。（同一项目获多项奖的按1份计分，不重复累计）</w:t>
            </w:r>
          </w:p>
        </w:tc>
        <w:tc>
          <w:tcPr>
            <w:tcW w:w="1084" w:type="dxa"/>
            <w:shd w:val="clear" w:color="auto" w:fill="FFFFFF"/>
            <w:tcMar>
              <w:top w:w="0" w:type="dxa"/>
              <w:left w:w="108" w:type="dxa"/>
              <w:bottom w:w="0" w:type="dxa"/>
              <w:right w:w="108" w:type="dxa"/>
            </w:tcMar>
            <w:vAlign w:val="center"/>
          </w:tcPr>
          <w:p>
            <w:pPr>
              <w:widowControl/>
              <w:spacing w:line="360" w:lineRule="auto"/>
              <w:jc w:val="left"/>
              <w:rPr>
                <w:rFonts w:ascii="宋体" w:hAnsi="宋体" w:cs="宋体"/>
                <w:kern w:val="0"/>
                <w:szCs w:val="21"/>
              </w:rPr>
            </w:pPr>
            <w:r>
              <w:rPr>
                <w:rFonts w:hint="eastAsia" w:ascii="宋体" w:hAnsi="宋体" w:cs="宋体"/>
                <w:kern w:val="0"/>
                <w:szCs w:val="21"/>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745" w:hRule="atLeast"/>
        </w:trPr>
        <w:tc>
          <w:tcPr>
            <w:tcW w:w="1142" w:type="dxa"/>
            <w:shd w:val="clear" w:color="auto" w:fill="FFFFFF"/>
            <w:tcMar>
              <w:top w:w="0" w:type="dxa"/>
              <w:left w:w="108" w:type="dxa"/>
              <w:bottom w:w="0" w:type="dxa"/>
              <w:right w:w="108"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业绩</w:t>
            </w:r>
          </w:p>
        </w:tc>
        <w:tc>
          <w:tcPr>
            <w:tcW w:w="6096" w:type="dxa"/>
            <w:shd w:val="clear" w:color="auto" w:fill="FFFFFF"/>
            <w:tcMar>
              <w:top w:w="0" w:type="dxa"/>
              <w:left w:w="108" w:type="dxa"/>
              <w:bottom w:w="0" w:type="dxa"/>
              <w:right w:w="108" w:type="dxa"/>
            </w:tcMar>
            <w:vAlign w:val="center"/>
          </w:tcPr>
          <w:p>
            <w:pPr>
              <w:widowControl/>
              <w:spacing w:line="360" w:lineRule="auto"/>
              <w:jc w:val="left"/>
              <w:rPr>
                <w:rFonts w:ascii="宋体" w:hAnsi="宋体" w:cs="宋体"/>
                <w:kern w:val="0"/>
                <w:szCs w:val="21"/>
              </w:rPr>
            </w:pPr>
            <w:r>
              <w:rPr>
                <w:rFonts w:hint="eastAsia" w:ascii="宋体" w:hAnsi="宋体" w:cs="宋体"/>
                <w:kern w:val="0"/>
                <w:szCs w:val="21"/>
              </w:rPr>
              <w:t>供应商提供类似项目业绩。每有一项得3分，满分得15分。</w:t>
            </w:r>
          </w:p>
          <w:p>
            <w:pPr>
              <w:widowControl/>
              <w:spacing w:line="360" w:lineRule="auto"/>
              <w:jc w:val="left"/>
              <w:rPr>
                <w:rFonts w:ascii="宋体" w:hAnsi="宋体" w:cs="宋体"/>
                <w:kern w:val="0"/>
                <w:szCs w:val="21"/>
              </w:rPr>
            </w:pPr>
            <w:r>
              <w:rPr>
                <w:rFonts w:hint="eastAsia" w:ascii="宋体" w:hAnsi="宋体" w:cs="宋体"/>
                <w:kern w:val="0"/>
                <w:szCs w:val="21"/>
              </w:rPr>
              <w:t>注：供应商须提供中标公告网页截图、中标通知书、合同。</w:t>
            </w:r>
          </w:p>
        </w:tc>
        <w:tc>
          <w:tcPr>
            <w:tcW w:w="1084" w:type="dxa"/>
            <w:shd w:val="clear" w:color="auto" w:fill="FFFFFF"/>
            <w:tcMar>
              <w:top w:w="0" w:type="dxa"/>
              <w:left w:w="108" w:type="dxa"/>
              <w:bottom w:w="0" w:type="dxa"/>
              <w:right w:w="108" w:type="dxa"/>
            </w:tcMar>
            <w:vAlign w:val="center"/>
          </w:tcPr>
          <w:p>
            <w:pPr>
              <w:widowControl/>
              <w:spacing w:line="360" w:lineRule="auto"/>
              <w:jc w:val="left"/>
              <w:rPr>
                <w:rFonts w:ascii="宋体" w:hAnsi="宋体" w:cs="宋体"/>
                <w:kern w:val="0"/>
                <w:szCs w:val="21"/>
              </w:rPr>
            </w:pPr>
            <w:r>
              <w:rPr>
                <w:rFonts w:hint="eastAsia" w:ascii="宋体" w:hAnsi="宋体" w:cs="宋体"/>
                <w:kern w:val="0"/>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745" w:hRule="atLeast"/>
        </w:trPr>
        <w:tc>
          <w:tcPr>
            <w:tcW w:w="1142" w:type="dxa"/>
            <w:shd w:val="clear" w:color="auto" w:fill="FFFFFF"/>
            <w:tcMar>
              <w:top w:w="0" w:type="dxa"/>
              <w:left w:w="108" w:type="dxa"/>
              <w:bottom w:w="0" w:type="dxa"/>
              <w:right w:w="108" w:type="dxa"/>
            </w:tcMar>
            <w:vAlign w:val="center"/>
          </w:tcPr>
          <w:p>
            <w:pPr>
              <w:widowControl/>
              <w:spacing w:line="360" w:lineRule="auto"/>
              <w:jc w:val="left"/>
              <w:rPr>
                <w:rFonts w:ascii="宋体" w:hAnsi="宋体" w:cs="宋体"/>
                <w:kern w:val="0"/>
                <w:szCs w:val="21"/>
              </w:rPr>
            </w:pPr>
            <w:r>
              <w:rPr>
                <w:rFonts w:hint="eastAsia" w:ascii="宋体" w:hAnsi="宋体" w:cs="宋体"/>
                <w:kern w:val="0"/>
                <w:szCs w:val="21"/>
              </w:rPr>
              <w:t>售后服务保障</w:t>
            </w:r>
          </w:p>
        </w:tc>
        <w:tc>
          <w:tcPr>
            <w:tcW w:w="6096" w:type="dxa"/>
            <w:shd w:val="clear" w:color="auto" w:fill="FFFFFF"/>
            <w:tcMar>
              <w:top w:w="0" w:type="dxa"/>
              <w:left w:w="108" w:type="dxa"/>
              <w:bottom w:w="0" w:type="dxa"/>
              <w:right w:w="108" w:type="dxa"/>
            </w:tcMar>
            <w:vAlign w:val="center"/>
          </w:tcPr>
          <w:p>
            <w:pPr>
              <w:widowControl/>
              <w:spacing w:line="360" w:lineRule="auto"/>
              <w:jc w:val="left"/>
              <w:rPr>
                <w:rFonts w:ascii="宋体" w:hAnsi="宋体" w:cs="宋体"/>
                <w:kern w:val="0"/>
                <w:szCs w:val="21"/>
              </w:rPr>
            </w:pPr>
            <w:r>
              <w:rPr>
                <w:rFonts w:hint="eastAsia" w:ascii="宋体" w:hAnsi="宋体" w:cs="宋体"/>
                <w:kern w:val="0"/>
                <w:szCs w:val="21"/>
              </w:rPr>
              <w:t>1、质量承诺：优于招标文件要求，并说明能达到优于招标文件质量要求的原因及关键性因素，根据供应商分析原因的合理性，采取措施及可行性，</w:t>
            </w:r>
            <w:r>
              <w:rPr>
                <w:rFonts w:hint="eastAsia" w:ascii="宋体" w:hAnsi="宋体" w:cs="宋体"/>
                <w:szCs w:val="21"/>
              </w:rPr>
              <w:t>优得4分，良得2分，一般得1分，不提供不得分。</w:t>
            </w:r>
          </w:p>
          <w:p>
            <w:pPr>
              <w:widowControl/>
              <w:spacing w:line="360" w:lineRule="auto"/>
              <w:jc w:val="left"/>
              <w:rPr>
                <w:rFonts w:ascii="宋体" w:hAnsi="宋体" w:cs="宋体"/>
                <w:kern w:val="0"/>
                <w:szCs w:val="21"/>
              </w:rPr>
            </w:pPr>
            <w:r>
              <w:rPr>
                <w:rFonts w:hint="eastAsia" w:ascii="宋体" w:hAnsi="宋体" w:cs="宋体"/>
                <w:kern w:val="0"/>
                <w:szCs w:val="21"/>
              </w:rPr>
              <w:t>2、后期服务承诺：供应商在项目实施完成后所承诺的责任、服务内容，并承诺省、市、县相关规范性文件要求下，修改和完善工作方案、成果资料及其他实质性服务承诺，优得3分，良得2分，一般得1分，不提供不得分。</w:t>
            </w:r>
          </w:p>
          <w:p>
            <w:pPr>
              <w:widowControl/>
              <w:spacing w:line="360" w:lineRule="auto"/>
              <w:jc w:val="left"/>
            </w:pPr>
            <w:r>
              <w:rPr>
                <w:rFonts w:hint="eastAsia" w:ascii="宋体" w:hAnsi="宋体" w:cs="宋体"/>
                <w:kern w:val="0"/>
                <w:szCs w:val="21"/>
              </w:rPr>
              <w:t>3、供应商承诺能够提供本地化服务，在河南省内设有固定服务机构得3分。（提供承诺书及相关证明材料）</w:t>
            </w:r>
          </w:p>
        </w:tc>
        <w:tc>
          <w:tcPr>
            <w:tcW w:w="1084" w:type="dxa"/>
            <w:shd w:val="clear" w:color="auto" w:fill="FFFFFF"/>
            <w:tcMar>
              <w:top w:w="0" w:type="dxa"/>
              <w:left w:w="108" w:type="dxa"/>
              <w:bottom w:w="0" w:type="dxa"/>
              <w:right w:w="108" w:type="dxa"/>
            </w:tcMar>
            <w:vAlign w:val="center"/>
          </w:tcPr>
          <w:p>
            <w:pPr>
              <w:widowControl/>
              <w:spacing w:line="360" w:lineRule="auto"/>
              <w:jc w:val="left"/>
              <w:rPr>
                <w:rFonts w:ascii="宋体" w:hAnsi="宋体" w:cs="宋体"/>
                <w:kern w:val="0"/>
                <w:szCs w:val="21"/>
              </w:rPr>
            </w:pPr>
            <w:r>
              <w:rPr>
                <w:rFonts w:hint="eastAsia" w:ascii="宋体" w:hAnsi="宋体" w:cs="宋体"/>
                <w:kern w:val="0"/>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265" w:hRule="atLeast"/>
        </w:trPr>
        <w:tc>
          <w:tcPr>
            <w:tcW w:w="1142" w:type="dxa"/>
            <w:shd w:val="clear" w:color="auto" w:fill="FFFFFF"/>
            <w:tcMar>
              <w:top w:w="0" w:type="dxa"/>
              <w:left w:w="108" w:type="dxa"/>
              <w:bottom w:w="0" w:type="dxa"/>
              <w:right w:w="108" w:type="dxa"/>
            </w:tcMar>
            <w:vAlign w:val="center"/>
          </w:tcPr>
          <w:p>
            <w:pPr>
              <w:widowControl/>
              <w:spacing w:line="360" w:lineRule="auto"/>
              <w:jc w:val="left"/>
              <w:rPr>
                <w:rFonts w:ascii="宋体" w:hAnsi="宋体" w:cs="宋体"/>
                <w:kern w:val="0"/>
                <w:szCs w:val="21"/>
              </w:rPr>
            </w:pPr>
            <w:r>
              <w:rPr>
                <w:rFonts w:hint="eastAsia" w:ascii="宋体" w:hAnsi="宋体" w:cs="宋体"/>
                <w:kern w:val="0"/>
                <w:szCs w:val="21"/>
              </w:rPr>
              <w:t>技术方案</w:t>
            </w:r>
          </w:p>
        </w:tc>
        <w:tc>
          <w:tcPr>
            <w:tcW w:w="6096" w:type="dxa"/>
            <w:shd w:val="clear" w:color="auto" w:fill="FFFFFF"/>
            <w:tcMar>
              <w:top w:w="0" w:type="dxa"/>
              <w:left w:w="108" w:type="dxa"/>
              <w:bottom w:w="0" w:type="dxa"/>
              <w:right w:w="108" w:type="dxa"/>
            </w:tcMar>
            <w:vAlign w:val="center"/>
          </w:tcPr>
          <w:p>
            <w:pPr>
              <w:widowControl/>
              <w:spacing w:line="360" w:lineRule="auto"/>
              <w:jc w:val="left"/>
              <w:rPr>
                <w:rFonts w:ascii="宋体" w:hAnsi="宋体" w:cs="宋体"/>
                <w:kern w:val="0"/>
                <w:szCs w:val="21"/>
              </w:rPr>
            </w:pPr>
            <w:r>
              <w:rPr>
                <w:rFonts w:hint="eastAsia" w:ascii="宋体" w:hAnsi="宋体" w:cs="宋体"/>
                <w:kern w:val="0"/>
                <w:szCs w:val="21"/>
              </w:rPr>
              <w:t>1、监理机构设置：优得4分，良得3分，差得1分，没有不得分。</w:t>
            </w:r>
          </w:p>
          <w:p>
            <w:pPr>
              <w:widowControl/>
              <w:spacing w:line="360" w:lineRule="auto"/>
              <w:jc w:val="left"/>
              <w:rPr>
                <w:rFonts w:ascii="宋体" w:hAnsi="宋体" w:cs="宋体"/>
                <w:kern w:val="0"/>
                <w:szCs w:val="21"/>
              </w:rPr>
            </w:pPr>
            <w:r>
              <w:rPr>
                <w:rFonts w:hint="eastAsia" w:ascii="宋体" w:hAnsi="宋体" w:cs="宋体"/>
                <w:kern w:val="0"/>
                <w:szCs w:val="21"/>
              </w:rPr>
              <w:t>2、监理人员安排、岗位职责与权限优得4分，良得3分，差得1分，没有不得分。</w:t>
            </w:r>
          </w:p>
          <w:p>
            <w:pPr>
              <w:widowControl/>
              <w:spacing w:line="360" w:lineRule="auto"/>
              <w:jc w:val="left"/>
              <w:rPr>
                <w:rFonts w:ascii="宋体" w:hAnsi="宋体" w:cs="宋体"/>
                <w:kern w:val="0"/>
                <w:szCs w:val="21"/>
              </w:rPr>
            </w:pPr>
            <w:r>
              <w:rPr>
                <w:rFonts w:hint="eastAsia" w:ascii="宋体" w:hAnsi="宋体" w:cs="宋体"/>
                <w:kern w:val="0"/>
                <w:szCs w:val="21"/>
              </w:rPr>
              <w:t>3、监理技术路线与工作流程；优得4分，良得3分，差得1分，没有不得分。</w:t>
            </w:r>
          </w:p>
          <w:p>
            <w:pPr>
              <w:widowControl/>
              <w:spacing w:line="360" w:lineRule="auto"/>
              <w:jc w:val="left"/>
              <w:rPr>
                <w:rFonts w:ascii="宋体" w:hAnsi="宋体" w:cs="宋体"/>
                <w:kern w:val="0"/>
                <w:szCs w:val="21"/>
              </w:rPr>
            </w:pPr>
            <w:r>
              <w:rPr>
                <w:rFonts w:hint="eastAsia" w:ascii="宋体" w:hAnsi="宋体" w:cs="宋体"/>
                <w:kern w:val="0"/>
                <w:szCs w:val="21"/>
              </w:rPr>
              <w:t>4、监理工作进度安排；优得4分，良得3分，差得1分，没有不得分。</w:t>
            </w:r>
          </w:p>
          <w:p>
            <w:pPr>
              <w:widowControl/>
              <w:spacing w:line="360" w:lineRule="auto"/>
              <w:jc w:val="left"/>
              <w:rPr>
                <w:rFonts w:ascii="宋体" w:hAnsi="宋体" w:cs="宋体"/>
                <w:kern w:val="0"/>
                <w:szCs w:val="21"/>
              </w:rPr>
            </w:pPr>
            <w:r>
              <w:rPr>
                <w:rFonts w:hint="eastAsia" w:ascii="宋体" w:hAnsi="宋体" w:cs="宋体"/>
                <w:kern w:val="0"/>
                <w:szCs w:val="21"/>
              </w:rPr>
              <w:t>5、控制项目投资方法和措施；优得4分，良得3分，差得1分，没有不得分。</w:t>
            </w:r>
          </w:p>
          <w:p>
            <w:pPr>
              <w:widowControl/>
              <w:spacing w:line="360" w:lineRule="auto"/>
              <w:jc w:val="left"/>
              <w:rPr>
                <w:rFonts w:ascii="宋体" w:hAnsi="宋体" w:cs="宋体"/>
                <w:kern w:val="0"/>
                <w:szCs w:val="21"/>
              </w:rPr>
            </w:pPr>
            <w:r>
              <w:rPr>
                <w:rFonts w:hint="eastAsia" w:ascii="宋体" w:hAnsi="宋体" w:cs="宋体"/>
                <w:kern w:val="0"/>
                <w:szCs w:val="21"/>
              </w:rPr>
              <w:t>6、控制项目质量的监理方法和措施；优得4分，良得3分，差得1分，没有不得分。</w:t>
            </w:r>
          </w:p>
          <w:p>
            <w:pPr>
              <w:widowControl/>
              <w:spacing w:line="360" w:lineRule="auto"/>
              <w:jc w:val="left"/>
              <w:rPr>
                <w:rFonts w:ascii="宋体" w:hAnsi="宋体" w:cs="宋体"/>
                <w:kern w:val="0"/>
                <w:szCs w:val="21"/>
              </w:rPr>
            </w:pPr>
            <w:r>
              <w:rPr>
                <w:rFonts w:hint="eastAsia" w:ascii="宋体" w:hAnsi="宋体" w:cs="宋体"/>
                <w:kern w:val="0"/>
                <w:szCs w:val="21"/>
              </w:rPr>
              <w:t>7、控制项目工期的监理方法和措施；优得4分，良得3分，差得1分，没有不得分。</w:t>
            </w:r>
          </w:p>
          <w:p>
            <w:pPr>
              <w:widowControl/>
              <w:spacing w:line="360" w:lineRule="auto"/>
              <w:jc w:val="left"/>
              <w:rPr>
                <w:rFonts w:ascii="宋体" w:hAnsi="宋体" w:cs="宋体"/>
                <w:kern w:val="0"/>
                <w:szCs w:val="21"/>
              </w:rPr>
            </w:pPr>
            <w:r>
              <w:rPr>
                <w:rFonts w:hint="eastAsia" w:ascii="宋体" w:hAnsi="宋体" w:cs="宋体"/>
                <w:kern w:val="0"/>
                <w:szCs w:val="21"/>
              </w:rPr>
              <w:t>8、项目实施难点及关键过程分析；优得4分，良得3分，差得1分，没有不得分。</w:t>
            </w:r>
          </w:p>
          <w:p>
            <w:pPr>
              <w:widowControl/>
              <w:spacing w:line="360" w:lineRule="auto"/>
              <w:jc w:val="left"/>
              <w:rPr>
                <w:rFonts w:ascii="宋体" w:hAnsi="宋体" w:cs="宋体"/>
                <w:kern w:val="0"/>
                <w:szCs w:val="21"/>
              </w:rPr>
            </w:pPr>
            <w:r>
              <w:rPr>
                <w:rFonts w:hint="eastAsia" w:ascii="宋体" w:hAnsi="宋体" w:cs="宋体"/>
                <w:kern w:val="0"/>
                <w:szCs w:val="21"/>
              </w:rPr>
              <w:t>9、监理方案的全面性、合理性；优得4分，良得3分，差得1分，没有不得分。</w:t>
            </w:r>
          </w:p>
          <w:p>
            <w:pPr>
              <w:widowControl/>
              <w:spacing w:line="360" w:lineRule="auto"/>
              <w:jc w:val="left"/>
              <w:rPr>
                <w:rFonts w:ascii="宋体" w:hAnsi="宋体" w:cs="宋体"/>
                <w:kern w:val="0"/>
                <w:szCs w:val="21"/>
              </w:rPr>
            </w:pPr>
            <w:r>
              <w:rPr>
                <w:rFonts w:hint="eastAsia" w:ascii="宋体" w:hAnsi="宋体" w:cs="宋体"/>
                <w:kern w:val="0"/>
                <w:szCs w:val="21"/>
              </w:rPr>
              <w:t>10、监理成果管理及保证措施；优得4分，良得3分，差得1分，没有不得分。</w:t>
            </w:r>
          </w:p>
        </w:tc>
        <w:tc>
          <w:tcPr>
            <w:tcW w:w="1084" w:type="dxa"/>
            <w:shd w:val="clear" w:color="auto" w:fill="FFFFFF"/>
            <w:tcMar>
              <w:top w:w="0" w:type="dxa"/>
              <w:left w:w="108" w:type="dxa"/>
              <w:bottom w:w="0" w:type="dxa"/>
              <w:right w:w="108" w:type="dxa"/>
            </w:tcMar>
            <w:vAlign w:val="center"/>
          </w:tcPr>
          <w:p>
            <w:pPr>
              <w:widowControl/>
              <w:spacing w:line="360" w:lineRule="auto"/>
              <w:jc w:val="left"/>
              <w:rPr>
                <w:rFonts w:ascii="宋体" w:hAnsi="宋体" w:cs="宋体"/>
                <w:kern w:val="0"/>
                <w:szCs w:val="21"/>
              </w:rPr>
            </w:pPr>
            <w:r>
              <w:rPr>
                <w:rFonts w:hint="eastAsia" w:ascii="宋体" w:hAnsi="宋体" w:cs="宋体"/>
                <w:kern w:val="0"/>
                <w:szCs w:val="21"/>
              </w:rPr>
              <w:t>40分</w:t>
            </w:r>
          </w:p>
        </w:tc>
      </w:tr>
    </w:tbl>
    <w:p>
      <w:pPr>
        <w:pStyle w:val="2"/>
        <w:ind w:firstLine="240"/>
      </w:pPr>
    </w:p>
    <w:p>
      <w:pPr>
        <w:keepNext/>
        <w:keepLines/>
        <w:spacing w:line="360" w:lineRule="auto"/>
        <w:jc w:val="both"/>
        <w:rPr>
          <w:rFonts w:hint="eastAsia" w:asciiTheme="minorEastAsia" w:hAnsiTheme="minorEastAsia" w:eastAsiaTheme="minorEastAsia" w:cstheme="minorEastAsia"/>
          <w:b/>
          <w:szCs w:val="21"/>
        </w:rPr>
      </w:pPr>
    </w:p>
    <w:p>
      <w:pPr>
        <w:pStyle w:val="2"/>
        <w:rPr>
          <w:rFonts w:hint="eastAsia" w:asciiTheme="minorEastAsia" w:hAnsiTheme="minorEastAsia" w:eastAsiaTheme="minorEastAsia" w:cstheme="minorEastAsia"/>
          <w:b/>
          <w:szCs w:val="21"/>
        </w:rPr>
      </w:pPr>
    </w:p>
    <w:p>
      <w:pPr>
        <w:pStyle w:val="2"/>
        <w:rPr>
          <w:rFonts w:hint="eastAsia" w:asciiTheme="minorEastAsia" w:hAnsiTheme="minorEastAsia" w:eastAsiaTheme="minorEastAsia" w:cstheme="minorEastAsia"/>
          <w:b/>
          <w:szCs w:val="21"/>
        </w:rPr>
      </w:pPr>
    </w:p>
    <w:p>
      <w:pPr>
        <w:pStyle w:val="2"/>
        <w:rPr>
          <w:rFonts w:hint="eastAsia" w:asciiTheme="minorEastAsia" w:hAnsiTheme="minorEastAsia" w:eastAsiaTheme="minorEastAsia" w:cstheme="minorEastAsia"/>
          <w:b/>
          <w:szCs w:val="21"/>
        </w:rPr>
      </w:pPr>
    </w:p>
    <w:p>
      <w:pPr>
        <w:pStyle w:val="2"/>
        <w:rPr>
          <w:rFonts w:hint="eastAsia" w:asciiTheme="minorEastAsia" w:hAnsiTheme="minorEastAsia" w:eastAsiaTheme="minorEastAsia" w:cstheme="minorEastAsia"/>
          <w:b/>
          <w:szCs w:val="21"/>
        </w:rPr>
      </w:pPr>
    </w:p>
    <w:p>
      <w:pPr>
        <w:pStyle w:val="2"/>
        <w:rPr>
          <w:rFonts w:hint="eastAsia" w:asciiTheme="minorEastAsia" w:hAnsiTheme="minorEastAsia" w:eastAsiaTheme="minorEastAsia" w:cstheme="minorEastAsia"/>
          <w:b/>
          <w:szCs w:val="21"/>
        </w:rPr>
      </w:pPr>
      <w:bookmarkStart w:id="44" w:name="_GoBack"/>
      <w:bookmarkEnd w:id="44"/>
    </w:p>
    <w:p>
      <w:pPr>
        <w:pStyle w:val="2"/>
        <w:rPr>
          <w:rFonts w:hint="eastAsia" w:asciiTheme="minorEastAsia" w:hAnsiTheme="minorEastAsia" w:eastAsiaTheme="minorEastAsia" w:cstheme="minorEastAsia"/>
          <w:b/>
          <w:szCs w:val="21"/>
        </w:rPr>
      </w:pPr>
    </w:p>
    <w:p>
      <w:pPr>
        <w:pStyle w:val="2"/>
        <w:rPr>
          <w:rFonts w:hint="eastAsia" w:asciiTheme="minorEastAsia" w:hAnsiTheme="minorEastAsia" w:eastAsiaTheme="minorEastAsia" w:cstheme="minorEastAsia"/>
          <w:b/>
          <w:szCs w:val="21"/>
        </w:rPr>
      </w:pPr>
    </w:p>
    <w:p>
      <w:pPr>
        <w:pStyle w:val="2"/>
        <w:rPr>
          <w:rFonts w:hint="eastAsia" w:asciiTheme="minorEastAsia" w:hAnsiTheme="minorEastAsia" w:eastAsiaTheme="minorEastAsia" w:cstheme="minorEastAsia"/>
          <w:b/>
          <w:szCs w:val="21"/>
        </w:rPr>
      </w:pPr>
    </w:p>
    <w:p>
      <w:pPr>
        <w:pStyle w:val="2"/>
        <w:rPr>
          <w:rFonts w:hint="eastAsia" w:asciiTheme="minorEastAsia" w:hAnsiTheme="minorEastAsia" w:eastAsiaTheme="minorEastAsia" w:cstheme="minorEastAsia"/>
          <w:b/>
          <w:szCs w:val="21"/>
        </w:rPr>
      </w:pPr>
    </w:p>
    <w:p>
      <w:pPr>
        <w:pStyle w:val="2"/>
        <w:rPr>
          <w:rFonts w:hint="eastAsia" w:asciiTheme="minorEastAsia" w:hAnsiTheme="minorEastAsia" w:eastAsiaTheme="minorEastAsia" w:cstheme="minorEastAsia"/>
          <w:b/>
          <w:szCs w:val="21"/>
        </w:rPr>
      </w:pPr>
    </w:p>
    <w:p>
      <w:pPr>
        <w:pStyle w:val="2"/>
        <w:rPr>
          <w:rFonts w:hint="eastAsia" w:asciiTheme="minorEastAsia" w:hAnsiTheme="minorEastAsia" w:eastAsiaTheme="minorEastAsia" w:cstheme="minorEastAsia"/>
          <w:b/>
          <w:szCs w:val="21"/>
        </w:rPr>
      </w:pPr>
    </w:p>
    <w:p>
      <w:pPr>
        <w:pStyle w:val="2"/>
        <w:rPr>
          <w:rFonts w:hint="eastAsia" w:asciiTheme="minorEastAsia" w:hAnsiTheme="minorEastAsia" w:eastAsiaTheme="minorEastAsia" w:cstheme="minorEastAsia"/>
          <w:b/>
          <w:szCs w:val="21"/>
        </w:rPr>
      </w:pPr>
    </w:p>
    <w:p>
      <w:pPr>
        <w:pStyle w:val="2"/>
        <w:rPr>
          <w:rFonts w:hint="eastAsia" w:asciiTheme="minorEastAsia" w:hAnsiTheme="minorEastAsia" w:eastAsiaTheme="minorEastAsia" w:cstheme="minorEastAsia"/>
          <w:b/>
          <w:szCs w:val="21"/>
        </w:rPr>
      </w:pPr>
    </w:p>
    <w:p>
      <w:pPr>
        <w:pStyle w:val="2"/>
        <w:rPr>
          <w:rFonts w:hint="eastAsia" w:asciiTheme="minorEastAsia" w:hAnsiTheme="minorEastAsia" w:eastAsiaTheme="minorEastAsia" w:cstheme="minorEastAsia"/>
          <w:b/>
          <w:szCs w:val="21"/>
        </w:rPr>
      </w:pPr>
    </w:p>
    <w:p>
      <w:pPr>
        <w:keepNext/>
        <w:keepLines/>
        <w:spacing w:line="360" w:lineRule="auto"/>
        <w:jc w:val="center"/>
        <w:rPr>
          <w:rFonts w:hint="eastAsia" w:asciiTheme="minorEastAsia" w:hAnsiTheme="minorEastAsia" w:eastAsiaTheme="minorEastAsia" w:cstheme="minorEastAsia"/>
          <w:b/>
          <w:szCs w:val="21"/>
        </w:rPr>
      </w:pPr>
    </w:p>
    <w:p>
      <w:pPr>
        <w:pStyle w:val="2"/>
        <w:rPr>
          <w:rFonts w:hint="eastAsia" w:asciiTheme="minorEastAsia" w:hAnsiTheme="minorEastAsia" w:eastAsiaTheme="minorEastAsia" w:cstheme="minorEastAsia"/>
          <w:b/>
          <w:szCs w:val="21"/>
        </w:rPr>
      </w:pPr>
    </w:p>
    <w:p>
      <w:pPr>
        <w:pStyle w:val="2"/>
        <w:rPr>
          <w:rFonts w:hint="eastAsia" w:asciiTheme="minorEastAsia" w:hAnsiTheme="minorEastAsia" w:eastAsiaTheme="minorEastAsia" w:cstheme="minorEastAsia"/>
          <w:b/>
          <w:szCs w:val="21"/>
        </w:rPr>
      </w:pPr>
    </w:p>
    <w:p>
      <w:pPr>
        <w:pStyle w:val="2"/>
        <w:rPr>
          <w:rFonts w:hint="eastAsia" w:asciiTheme="minorEastAsia" w:hAnsiTheme="minorEastAsia" w:eastAsiaTheme="minorEastAsia" w:cstheme="minorEastAsia"/>
          <w:b/>
          <w:szCs w:val="21"/>
        </w:rPr>
      </w:pPr>
    </w:p>
    <w:p>
      <w:pPr>
        <w:pStyle w:val="2"/>
        <w:rPr>
          <w:rFonts w:hint="eastAsia" w:asciiTheme="minorEastAsia" w:hAnsiTheme="minorEastAsia" w:eastAsiaTheme="minorEastAsia" w:cstheme="minorEastAsia"/>
          <w:b/>
          <w:szCs w:val="21"/>
        </w:rPr>
      </w:pPr>
    </w:p>
    <w:p>
      <w:pPr>
        <w:keepNext/>
        <w:keepLines/>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第六章  拟签订政府采购合同文本</w:t>
      </w:r>
    </w:p>
    <w:p>
      <w:pPr>
        <w:keepNext/>
        <w:keepLines/>
        <w:spacing w:line="360" w:lineRule="auto"/>
        <w:jc w:val="center"/>
        <w:rPr>
          <w:rFonts w:asciiTheme="minorEastAsia" w:hAnsiTheme="minorEastAsia" w:eastAsiaTheme="minorEastAsia" w:cstheme="minorEastAsia"/>
          <w:b/>
          <w:szCs w:val="21"/>
        </w:rPr>
      </w:pPr>
    </w:p>
    <w:p>
      <w:pPr>
        <w:keepNext/>
        <w:keepLines/>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（甲乙双方自行约定）</w:t>
      </w:r>
    </w:p>
    <w:p>
      <w:pPr>
        <w:keepNext/>
        <w:keepLines/>
        <w:spacing w:line="360" w:lineRule="auto"/>
        <w:jc w:val="center"/>
        <w:rPr>
          <w:rFonts w:asciiTheme="minorEastAsia" w:hAnsiTheme="minorEastAsia" w:eastAsiaTheme="minorEastAsia" w:cstheme="minorEastAsia"/>
          <w:b/>
          <w:szCs w:val="21"/>
        </w:rPr>
      </w:pPr>
    </w:p>
    <w:p>
      <w:pPr>
        <w:keepNext/>
        <w:keepLines/>
        <w:widowControl/>
        <w:spacing w:line="360" w:lineRule="auto"/>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br w:type="page"/>
      </w:r>
    </w:p>
    <w:p>
      <w:pPr>
        <w:keepNext/>
        <w:keepLines/>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第七章 附  件</w:t>
      </w:r>
    </w:p>
    <w:p>
      <w:pPr>
        <w:keepNext/>
        <w:keepLines/>
        <w:spacing w:line="360" w:lineRule="auto"/>
        <w:jc w:val="left"/>
        <w:rPr>
          <w:rFonts w:asciiTheme="minorEastAsia" w:hAnsiTheme="minorEastAsia" w:eastAsiaTheme="minorEastAsia" w:cstheme="minorEastAsia"/>
          <w:b/>
          <w:szCs w:val="21"/>
        </w:rPr>
      </w:pPr>
    </w:p>
    <w:p>
      <w:pPr>
        <w:keepNext/>
        <w:keepLines/>
        <w:spacing w:line="360" w:lineRule="auto"/>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注：</w:t>
      </w:r>
    </w:p>
    <w:p>
      <w:pPr>
        <w:keepNext/>
        <w:keepLines/>
        <w:spacing w:line="360" w:lineRule="auto"/>
        <w:ind w:firstLine="403" w:firstLineChars="192"/>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1.以下的投标文件格式为通用的格式，供应商在制作投标文件时应以招标文件的要求为准，设计投标文件内容具体内容，选择相应的投标文件格式。</w:t>
      </w:r>
    </w:p>
    <w:p>
      <w:pPr>
        <w:keepNext/>
        <w:keepLines/>
        <w:spacing w:line="360" w:lineRule="auto"/>
        <w:ind w:firstLine="403" w:firstLineChars="192"/>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 对于本附件给定格式的，原则上按照给定的格式进行填报，但供应商根据自己的情况可作适当调整，但其内容应当与给定格一致；没有给定格式的，供应商可以自行设计。</w:t>
      </w:r>
    </w:p>
    <w:p>
      <w:pPr>
        <w:keepNext/>
        <w:keepLines/>
        <w:spacing w:line="360" w:lineRule="auto"/>
        <w:ind w:firstLine="403" w:firstLineChars="192"/>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3.投标文件的装订须按招标文件的规定执行,自行进行排版\编辑。</w:t>
      </w:r>
    </w:p>
    <w:p>
      <w:pPr>
        <w:keepNext/>
        <w:keepLines/>
        <w:spacing w:line="360" w:lineRule="auto"/>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Cs/>
          <w:kern w:val="0"/>
          <w:szCs w:val="21"/>
        </w:rPr>
        <w:br w:type="page"/>
      </w:r>
      <w:r>
        <w:rPr>
          <w:rFonts w:hint="eastAsia" w:asciiTheme="minorEastAsia" w:hAnsiTheme="minorEastAsia" w:eastAsiaTheme="minorEastAsia" w:cstheme="minorEastAsia"/>
          <w:b/>
          <w:kern w:val="0"/>
          <w:szCs w:val="21"/>
        </w:rPr>
        <w:t>格式1</w:t>
      </w:r>
    </w:p>
    <w:p>
      <w:pPr>
        <w:keepNext/>
        <w:keepLines/>
        <w:spacing w:line="360" w:lineRule="auto"/>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kern w:val="0"/>
          <w:szCs w:val="21"/>
        </w:rPr>
        <w:t>注：请供应商使用此页格式作为所编写投标文件的封皮。</w:t>
      </w:r>
    </w:p>
    <w:p>
      <w:pPr>
        <w:keepNext/>
        <w:keepLines/>
        <w:tabs>
          <w:tab w:val="left" w:pos="360"/>
        </w:tabs>
        <w:spacing w:line="360" w:lineRule="auto"/>
        <w:jc w:val="center"/>
        <w:rPr>
          <w:rFonts w:asciiTheme="minorEastAsia" w:hAnsiTheme="minorEastAsia" w:eastAsiaTheme="minorEastAsia" w:cstheme="minorEastAsia"/>
          <w:b/>
          <w:szCs w:val="21"/>
        </w:rPr>
      </w:pPr>
    </w:p>
    <w:p>
      <w:pPr>
        <w:keepNext/>
        <w:keepLines/>
        <w:tabs>
          <w:tab w:val="left" w:pos="360"/>
        </w:tabs>
        <w:spacing w:line="360" w:lineRule="auto"/>
        <w:jc w:val="center"/>
        <w:rPr>
          <w:rFonts w:asciiTheme="minorEastAsia" w:hAnsiTheme="minorEastAsia" w:eastAsiaTheme="minorEastAsia" w:cstheme="minorEastAsia"/>
          <w:b/>
          <w:w w:val="66"/>
          <w:sz w:val="28"/>
          <w:szCs w:val="28"/>
        </w:rPr>
      </w:pPr>
      <w:r>
        <w:rPr>
          <w:rFonts w:hint="eastAsia" w:asciiTheme="minorEastAsia" w:hAnsiTheme="minorEastAsia" w:eastAsiaTheme="minorEastAsia" w:cstheme="minorEastAsia"/>
          <w:b/>
          <w:sz w:val="28"/>
          <w:szCs w:val="28"/>
          <w:u w:val="single"/>
        </w:rPr>
        <w:t xml:space="preserve">                </w:t>
      </w:r>
      <w:r>
        <w:rPr>
          <w:rFonts w:hint="eastAsia" w:asciiTheme="minorEastAsia" w:hAnsiTheme="minorEastAsia" w:eastAsiaTheme="minorEastAsia" w:cstheme="minorEastAsia"/>
          <w:b/>
          <w:sz w:val="28"/>
          <w:szCs w:val="28"/>
        </w:rPr>
        <w:t>项目</w:t>
      </w:r>
      <w:r>
        <w:rPr>
          <w:rFonts w:hint="eastAsia" w:asciiTheme="minorEastAsia" w:hAnsiTheme="minorEastAsia" w:eastAsiaTheme="minorEastAsia" w:cstheme="minorEastAsia"/>
          <w:b/>
          <w:sz w:val="28"/>
          <w:szCs w:val="28"/>
          <w:u w:val="single"/>
        </w:rPr>
        <w:t xml:space="preserve">      </w:t>
      </w:r>
      <w:r>
        <w:rPr>
          <w:rFonts w:hint="eastAsia" w:asciiTheme="minorEastAsia" w:hAnsiTheme="minorEastAsia" w:eastAsiaTheme="minorEastAsia" w:cstheme="minorEastAsia"/>
          <w:b/>
          <w:sz w:val="28"/>
          <w:szCs w:val="28"/>
        </w:rPr>
        <w:t>标包</w:t>
      </w:r>
    </w:p>
    <w:p>
      <w:pPr>
        <w:keepNext/>
        <w:keepLines/>
        <w:tabs>
          <w:tab w:val="left" w:pos="55"/>
        </w:tabs>
        <w:spacing w:line="360" w:lineRule="auto"/>
        <w:jc w:val="left"/>
        <w:rPr>
          <w:rFonts w:asciiTheme="minorEastAsia" w:hAnsiTheme="minorEastAsia" w:eastAsiaTheme="minorEastAsia" w:cstheme="minorEastAsia"/>
          <w:b/>
          <w:w w:val="150"/>
          <w:sz w:val="28"/>
          <w:szCs w:val="28"/>
        </w:rPr>
      </w:pPr>
      <w:r>
        <w:rPr>
          <w:rFonts w:hint="eastAsia" w:asciiTheme="minorEastAsia" w:hAnsiTheme="minorEastAsia" w:eastAsiaTheme="minorEastAsia" w:cstheme="minorEastAsia"/>
          <w:b/>
          <w:w w:val="150"/>
          <w:sz w:val="28"/>
          <w:szCs w:val="28"/>
        </w:rPr>
        <w:tab/>
      </w:r>
    </w:p>
    <w:p>
      <w:pPr>
        <w:keepNext/>
        <w:keepLines/>
        <w:tabs>
          <w:tab w:val="left" w:pos="1950"/>
        </w:tabs>
        <w:spacing w:line="360" w:lineRule="auto"/>
        <w:jc w:val="left"/>
        <w:rPr>
          <w:rFonts w:asciiTheme="minorEastAsia" w:hAnsiTheme="minorEastAsia" w:eastAsiaTheme="minorEastAsia" w:cstheme="minorEastAsia"/>
          <w:b/>
          <w:w w:val="150"/>
          <w:sz w:val="28"/>
          <w:szCs w:val="28"/>
        </w:rPr>
      </w:pPr>
    </w:p>
    <w:p>
      <w:pPr>
        <w:keepNext/>
        <w:keepLines/>
        <w:tabs>
          <w:tab w:val="left" w:pos="1950"/>
        </w:tabs>
        <w:spacing w:line="360" w:lineRule="auto"/>
        <w:jc w:val="left"/>
        <w:rPr>
          <w:rFonts w:asciiTheme="minorEastAsia" w:hAnsiTheme="minorEastAsia" w:eastAsiaTheme="minorEastAsia" w:cstheme="minorEastAsia"/>
          <w:b/>
          <w:w w:val="150"/>
          <w:sz w:val="28"/>
          <w:szCs w:val="28"/>
        </w:rPr>
      </w:pPr>
    </w:p>
    <w:p>
      <w:pPr>
        <w:keepNext/>
        <w:keepLines/>
        <w:spacing w:line="360" w:lineRule="auto"/>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投标文件</w:t>
      </w:r>
    </w:p>
    <w:p>
      <w:pPr>
        <w:keepNext/>
        <w:keepLines/>
        <w:spacing w:line="360" w:lineRule="auto"/>
        <w:jc w:val="center"/>
        <w:rPr>
          <w:rFonts w:asciiTheme="minorEastAsia" w:hAnsiTheme="minorEastAsia" w:eastAsiaTheme="minorEastAsia" w:cstheme="minorEastAsia"/>
          <w:b/>
          <w:bCs/>
          <w:sz w:val="28"/>
          <w:szCs w:val="28"/>
        </w:rPr>
      </w:pPr>
    </w:p>
    <w:p>
      <w:pPr>
        <w:keepNext/>
        <w:keepLines/>
        <w:spacing w:line="360" w:lineRule="auto"/>
        <w:jc w:val="center"/>
        <w:rPr>
          <w:rFonts w:asciiTheme="minorEastAsia" w:hAnsiTheme="minorEastAsia" w:eastAsiaTheme="minorEastAsia" w:cstheme="minorEastAsia"/>
          <w:b/>
          <w:bCs/>
          <w:sz w:val="28"/>
          <w:szCs w:val="28"/>
        </w:rPr>
      </w:pPr>
    </w:p>
    <w:p>
      <w:pPr>
        <w:keepNext/>
        <w:keepLines/>
        <w:spacing w:line="360" w:lineRule="auto"/>
        <w:jc w:val="center"/>
        <w:rPr>
          <w:rFonts w:asciiTheme="minorEastAsia" w:hAnsiTheme="minorEastAsia" w:eastAsiaTheme="minorEastAsia" w:cstheme="minorEastAsia"/>
          <w:b/>
          <w:sz w:val="28"/>
          <w:szCs w:val="28"/>
        </w:rPr>
      </w:pPr>
    </w:p>
    <w:p>
      <w:pPr>
        <w:keepNext/>
        <w:keepLines/>
        <w:tabs>
          <w:tab w:val="left" w:pos="360"/>
        </w:tabs>
        <w:spacing w:line="360" w:lineRule="auto"/>
        <w:ind w:firstLine="1405" w:firstLineChars="500"/>
        <w:rPr>
          <w:rFonts w:asciiTheme="minorEastAsia" w:hAnsiTheme="minorEastAsia" w:eastAsiaTheme="minorEastAsia" w:cstheme="minorEastAsia"/>
          <w:b/>
          <w:sz w:val="28"/>
          <w:szCs w:val="28"/>
        </w:rPr>
      </w:pPr>
    </w:p>
    <w:p>
      <w:pPr>
        <w:keepNext/>
        <w:keepLines/>
        <w:tabs>
          <w:tab w:val="left" w:pos="360"/>
        </w:tabs>
        <w:spacing w:line="360" w:lineRule="auto"/>
        <w:ind w:firstLine="1405" w:firstLineChars="5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招 标 编号：</w:t>
      </w:r>
    </w:p>
    <w:p>
      <w:pPr>
        <w:keepNext/>
        <w:keepLines/>
        <w:tabs>
          <w:tab w:val="left" w:pos="360"/>
        </w:tabs>
        <w:spacing w:line="360" w:lineRule="auto"/>
        <w:ind w:firstLine="1405" w:firstLineChars="500"/>
        <w:rPr>
          <w:rFonts w:asciiTheme="minorEastAsia" w:hAnsiTheme="minorEastAsia" w:eastAsiaTheme="minorEastAsia" w:cstheme="minorEastAsia"/>
          <w:b/>
          <w:sz w:val="28"/>
          <w:szCs w:val="28"/>
        </w:rPr>
      </w:pPr>
    </w:p>
    <w:p>
      <w:pPr>
        <w:keepNext/>
        <w:keepLines/>
        <w:tabs>
          <w:tab w:val="left" w:pos="360"/>
        </w:tabs>
        <w:spacing w:line="360" w:lineRule="auto"/>
        <w:ind w:firstLine="1405" w:firstLineChars="5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投  标  人：（企业盖章）</w:t>
      </w:r>
    </w:p>
    <w:p>
      <w:pPr>
        <w:keepNext/>
        <w:keepLines/>
        <w:tabs>
          <w:tab w:val="left" w:pos="360"/>
        </w:tabs>
        <w:spacing w:line="360" w:lineRule="auto"/>
        <w:jc w:val="center"/>
        <w:rPr>
          <w:rFonts w:asciiTheme="minorEastAsia" w:hAnsiTheme="minorEastAsia" w:eastAsiaTheme="minorEastAsia" w:cstheme="minorEastAsia"/>
          <w:b/>
          <w:sz w:val="28"/>
          <w:szCs w:val="28"/>
        </w:rPr>
      </w:pPr>
    </w:p>
    <w:p>
      <w:pPr>
        <w:keepNext/>
        <w:keepLines/>
        <w:tabs>
          <w:tab w:val="left" w:pos="360"/>
        </w:tabs>
        <w:spacing w:line="360" w:lineRule="auto"/>
        <w:ind w:firstLine="1405" w:firstLineChars="5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投标代表人：（签字）</w:t>
      </w:r>
    </w:p>
    <w:p>
      <w:pPr>
        <w:keepNext/>
        <w:keepLines/>
        <w:tabs>
          <w:tab w:val="left" w:pos="360"/>
        </w:tabs>
        <w:spacing w:line="360" w:lineRule="auto"/>
        <w:ind w:firstLine="1405" w:firstLineChars="500"/>
        <w:rPr>
          <w:rFonts w:asciiTheme="minorEastAsia" w:hAnsiTheme="minorEastAsia" w:eastAsiaTheme="minorEastAsia" w:cstheme="minorEastAsia"/>
          <w:b/>
          <w:sz w:val="28"/>
          <w:szCs w:val="28"/>
        </w:rPr>
      </w:pPr>
    </w:p>
    <w:p>
      <w:pPr>
        <w:keepNext/>
        <w:keepLines/>
        <w:tabs>
          <w:tab w:val="left" w:pos="360"/>
        </w:tabs>
        <w:spacing w:line="360" w:lineRule="auto"/>
        <w:ind w:firstLine="1405" w:firstLineChars="5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时      间：    年  月</w:t>
      </w:r>
    </w:p>
    <w:p>
      <w:pPr>
        <w:keepNext/>
        <w:keepLines/>
        <w:spacing w:line="360" w:lineRule="auto"/>
        <w:rPr>
          <w:rFonts w:asciiTheme="minorEastAsia" w:hAnsiTheme="minorEastAsia" w:eastAsiaTheme="minorEastAsia" w:cstheme="minorEastAsia"/>
          <w:b/>
          <w:szCs w:val="21"/>
        </w:rPr>
      </w:pPr>
    </w:p>
    <w:p>
      <w:pPr>
        <w:keepNext/>
        <w:keepLines/>
        <w:spacing w:line="360" w:lineRule="auto"/>
        <w:jc w:val="center"/>
        <w:rPr>
          <w:rFonts w:asciiTheme="minorEastAsia" w:hAnsiTheme="minorEastAsia" w:eastAsiaTheme="minorEastAsia" w:cstheme="minorEastAsia"/>
          <w:b/>
          <w:szCs w:val="21"/>
        </w:rPr>
      </w:pPr>
    </w:p>
    <w:p>
      <w:pPr>
        <w:keepNext/>
        <w:keepLines/>
        <w:spacing w:line="360" w:lineRule="auto"/>
        <w:jc w:val="center"/>
        <w:rPr>
          <w:rFonts w:asciiTheme="minorEastAsia" w:hAnsiTheme="minorEastAsia" w:eastAsiaTheme="minorEastAsia" w:cstheme="minorEastAsia"/>
          <w:b/>
          <w:szCs w:val="21"/>
        </w:rPr>
      </w:pPr>
    </w:p>
    <w:p>
      <w:pPr>
        <w:pStyle w:val="2"/>
        <w:ind w:firstLine="240"/>
      </w:pPr>
    </w:p>
    <w:p>
      <w:pPr>
        <w:keepNext/>
        <w:keepLines/>
        <w:spacing w:line="360" w:lineRule="auto"/>
        <w:jc w:val="center"/>
        <w:rPr>
          <w:rFonts w:asciiTheme="minorEastAsia" w:hAnsiTheme="minorEastAsia" w:eastAsiaTheme="minorEastAsia" w:cstheme="minorEastAsia"/>
          <w:b/>
          <w:szCs w:val="21"/>
        </w:rPr>
      </w:pPr>
    </w:p>
    <w:p>
      <w:pPr>
        <w:keepNext/>
        <w:keepLines/>
        <w:spacing w:line="360" w:lineRule="auto"/>
        <w:rPr>
          <w:rFonts w:asciiTheme="minorEastAsia" w:hAnsiTheme="minorEastAsia" w:eastAsiaTheme="minorEastAsia" w:cstheme="minorEastAsia"/>
          <w:b/>
          <w:kern w:val="12"/>
          <w:szCs w:val="21"/>
        </w:rPr>
      </w:pPr>
      <w:r>
        <w:rPr>
          <w:rFonts w:hint="eastAsia" w:asciiTheme="minorEastAsia" w:hAnsiTheme="minorEastAsia" w:eastAsiaTheme="minorEastAsia" w:cstheme="minorEastAsia"/>
          <w:b/>
          <w:kern w:val="0"/>
          <w:szCs w:val="21"/>
        </w:rPr>
        <w:t>格式2</w:t>
      </w:r>
    </w:p>
    <w:p>
      <w:pPr>
        <w:keepNext/>
        <w:keepLines/>
        <w:spacing w:beforeLines="100" w:afterLines="100"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投标文件目录</w:t>
      </w:r>
    </w:p>
    <w:p>
      <w:pPr>
        <w:keepNext/>
        <w:keepLines/>
        <w:widowControl/>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一、投标函……………………………………….所在页码</w:t>
      </w:r>
    </w:p>
    <w:p>
      <w:pPr>
        <w:keepNext/>
        <w:keepLines/>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二、法定代表人(或经营者)授权书或法定代表人(或经营者)（代表人）资格证明书………………………….所在页码</w:t>
      </w:r>
    </w:p>
    <w:p>
      <w:pPr>
        <w:keepNext/>
        <w:keepLines/>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三、开标一览表……………………………….所在页码</w:t>
      </w:r>
    </w:p>
    <w:p>
      <w:pPr>
        <w:keepNext/>
        <w:keepLines/>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四、商务要求响应表……………………………所在页码</w:t>
      </w:r>
    </w:p>
    <w:p>
      <w:pPr>
        <w:keepNext/>
        <w:keepLines/>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五、业绩情况表………………………………….所在页码</w:t>
      </w:r>
    </w:p>
    <w:p>
      <w:pPr>
        <w:keepNext/>
        <w:keepLines/>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六、拟投入服务人员承诺书……………………….所在页码</w:t>
      </w:r>
    </w:p>
    <w:p>
      <w:pPr>
        <w:keepNext/>
        <w:keepLines/>
        <w:adjustRightInd w:val="0"/>
        <w:snapToGrid w:val="0"/>
        <w:spacing w:line="360" w:lineRule="auto"/>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七、</w:t>
      </w:r>
      <w:r>
        <w:rPr>
          <w:rFonts w:hint="eastAsia" w:asciiTheme="minorEastAsia" w:hAnsiTheme="minorEastAsia" w:eastAsiaTheme="minorEastAsia" w:cstheme="minorEastAsia"/>
          <w:szCs w:val="21"/>
          <w:lang w:val="zh-CN"/>
        </w:rPr>
        <w:t>技术方案</w:t>
      </w:r>
      <w:r>
        <w:rPr>
          <w:rFonts w:hint="eastAsia" w:asciiTheme="minorEastAsia" w:hAnsiTheme="minorEastAsia" w:eastAsiaTheme="minorEastAsia" w:cstheme="minorEastAsia"/>
          <w:szCs w:val="21"/>
        </w:rPr>
        <w:t>……………………………………….所在页码</w:t>
      </w:r>
    </w:p>
    <w:p>
      <w:pPr>
        <w:keepNext/>
        <w:keepLines/>
        <w:adjustRightInd w:val="0"/>
        <w:snapToGrid w:val="0"/>
        <w:spacing w:line="360" w:lineRule="auto"/>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八、服务计划及承诺</w:t>
      </w:r>
      <w:r>
        <w:rPr>
          <w:rFonts w:hint="eastAsia" w:asciiTheme="minorEastAsia" w:hAnsiTheme="minorEastAsia" w:eastAsiaTheme="minorEastAsia" w:cstheme="minorEastAsia"/>
          <w:szCs w:val="21"/>
        </w:rPr>
        <w:t>………………………….所在页码</w:t>
      </w:r>
    </w:p>
    <w:p>
      <w:pPr>
        <w:keepNext/>
        <w:keepLines/>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九、供应商自觉抵制政府采购领域商业贿赂行为承诺书……………….所在页码</w:t>
      </w:r>
    </w:p>
    <w:p>
      <w:pPr>
        <w:keepNext/>
        <w:keepLines/>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十、投标供应商参加政府采购活动前3年内在经营活动中没有重大违法记录的书面声明……………………….所在页码</w:t>
      </w:r>
    </w:p>
    <w:p>
      <w:pPr>
        <w:keepNext/>
        <w:keepLines/>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十一、资格审查文件……………………………….所在页码</w:t>
      </w:r>
    </w:p>
    <w:p>
      <w:pPr>
        <w:keepNext/>
        <w:keepLines/>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十二、关于资格的声明函………………………….所在页码</w:t>
      </w:r>
    </w:p>
    <w:p>
      <w:pPr>
        <w:keepNext/>
        <w:keepLines/>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十三、其他资料…………………………………….所在页码</w:t>
      </w:r>
    </w:p>
    <w:p>
      <w:pPr>
        <w:keepNext/>
        <w:keepLines/>
        <w:widowControl/>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注：</w:t>
      </w:r>
    </w:p>
    <w:p>
      <w:pPr>
        <w:keepNext/>
        <w:keepLines/>
        <w:widowControl/>
        <w:numPr>
          <w:ilvl w:val="0"/>
          <w:numId w:val="14"/>
        </w:numPr>
        <w:spacing w:line="360" w:lineRule="auto"/>
        <w:ind w:firstLine="472" w:firstLineChars="224"/>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请供应商按照招标文件要求，根据投标文件具体内容详细编制投标文件目录。</w:t>
      </w:r>
    </w:p>
    <w:p>
      <w:pPr>
        <w:keepNext/>
        <w:keepLines/>
        <w:widowControl/>
        <w:numPr>
          <w:ilvl w:val="0"/>
          <w:numId w:val="14"/>
        </w:numPr>
        <w:spacing w:line="360" w:lineRule="auto"/>
        <w:ind w:firstLine="472" w:firstLineChars="224"/>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要求页码准确，章节清析，逻辑性强，文字使用规范。</w:t>
      </w:r>
    </w:p>
    <w:p>
      <w:pPr>
        <w:keepNext/>
        <w:keepLines/>
        <w:widowControl/>
        <w:spacing w:line="360" w:lineRule="auto"/>
        <w:ind w:firstLine="472" w:firstLineChars="224"/>
        <w:rPr>
          <w:rFonts w:asciiTheme="minorEastAsia" w:hAnsiTheme="minorEastAsia" w:eastAsiaTheme="minorEastAsia" w:cstheme="minorEastAsia"/>
          <w:b/>
          <w:szCs w:val="21"/>
        </w:rPr>
      </w:pPr>
    </w:p>
    <w:p>
      <w:pPr>
        <w:keepNext/>
        <w:keepLines/>
        <w:widowControl/>
        <w:spacing w:line="360" w:lineRule="auto"/>
        <w:rPr>
          <w:rFonts w:asciiTheme="minorEastAsia" w:hAnsiTheme="minorEastAsia" w:eastAsiaTheme="minorEastAsia" w:cstheme="minorEastAsia"/>
          <w:b/>
          <w:kern w:val="12"/>
          <w:szCs w:val="21"/>
        </w:rPr>
      </w:pPr>
      <w:r>
        <w:rPr>
          <w:rFonts w:hint="eastAsia" w:asciiTheme="minorEastAsia" w:hAnsiTheme="minorEastAsia" w:eastAsiaTheme="minorEastAsia" w:cstheme="minorEastAsia"/>
          <w:szCs w:val="21"/>
        </w:rPr>
        <w:br w:type="page"/>
      </w:r>
      <w:r>
        <w:rPr>
          <w:rFonts w:hint="eastAsia" w:asciiTheme="minorEastAsia" w:hAnsiTheme="minorEastAsia" w:eastAsiaTheme="minorEastAsia" w:cstheme="minorEastAsia"/>
          <w:b/>
          <w:kern w:val="0"/>
          <w:szCs w:val="21"/>
        </w:rPr>
        <w:t>格式3</w:t>
      </w:r>
    </w:p>
    <w:p>
      <w:pPr>
        <w:keepNext/>
        <w:keepLines/>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投标函</w:t>
      </w:r>
    </w:p>
    <w:p>
      <w:pPr>
        <w:keepNext/>
        <w:keepLines/>
        <w:spacing w:line="360" w:lineRule="auto"/>
        <w:jc w:val="center"/>
        <w:rPr>
          <w:rFonts w:asciiTheme="minorEastAsia" w:hAnsiTheme="minorEastAsia" w:eastAsiaTheme="minorEastAsia" w:cstheme="minorEastAsia"/>
          <w:b/>
          <w:kern w:val="12"/>
          <w:szCs w:val="21"/>
        </w:rPr>
      </w:pPr>
    </w:p>
    <w:p>
      <w:pPr>
        <w:keepNext/>
        <w:keepLines/>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致：</w:t>
      </w:r>
      <w:r>
        <w:rPr>
          <w:rFonts w:hint="eastAsia" w:asciiTheme="minorEastAsia" w:hAnsiTheme="minorEastAsia" w:eastAsiaTheme="minorEastAsia" w:cstheme="minorEastAsia"/>
          <w:szCs w:val="21"/>
          <w:u w:val="single"/>
        </w:rPr>
        <w:t xml:space="preserve">    (采购人名称）   </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我们收到了采购编号为的</w:t>
      </w:r>
      <w:r>
        <w:rPr>
          <w:rFonts w:hint="eastAsia" w:asciiTheme="minorEastAsia" w:hAnsiTheme="minorEastAsia" w:eastAsiaTheme="minorEastAsia" w:cstheme="minorEastAsia"/>
          <w:szCs w:val="21"/>
          <w:u w:val="single"/>
        </w:rPr>
        <w:t>（项目名称）</w:t>
      </w:r>
      <w:r>
        <w:rPr>
          <w:rFonts w:hint="eastAsia" w:asciiTheme="minorEastAsia" w:hAnsiTheme="minorEastAsia" w:eastAsiaTheme="minorEastAsia" w:cstheme="minorEastAsia"/>
          <w:szCs w:val="21"/>
        </w:rPr>
        <w:t>采购文件，经详细研究，我们决定参加该项目的投标活动并按要求提交投标文件。我们郑重声明以下诸点并负法律责任:</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 愿按照采购文件中规定的条款和要求，提供完成采购文件规定的全部工作，投标总报价（或费率%）为（大写）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,人民币（RMB￥：</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），服务期为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如果我们的投标文件被接受，我们将履行招标文件中规定的各项要求。</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 我们同意本招标文件中有关投标有效期的规定。如果中标，有效期延长至合同终止日止。</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 我们愿提供招标文件中要求的所有文件资料。</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 我们已经详细审核了全部招标文件，如有需要澄清的问题，我们同意按招标文件规定的时间向采购人提出。逾期不提，我公司同意放弃对这方面有不明及误解的权利。</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 我们承诺，与采购人聘请的为此项目提供咨询服务及任何附属机构均无关联，非采购人的附属机构。</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 我公司同意提供按照采购人可能要求的与其投标有关的一切数据或资料，完全理解采购人不一定接受最低价的投标或收到的任何投标。</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 我们愿按《中华人民共和国合同法》履行自己的全部责任。</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与本投标有关的正式通讯地址：</w:t>
      </w:r>
    </w:p>
    <w:p>
      <w:pPr>
        <w:keepNext/>
        <w:keepLine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地  址：                             邮  编：</w:t>
      </w:r>
    </w:p>
    <w:p>
      <w:pPr>
        <w:keepNext/>
        <w:keepLines/>
        <w:spacing w:line="360" w:lineRule="auto"/>
        <w:ind w:firstLine="46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  话：                             传  真：</w:t>
      </w:r>
    </w:p>
    <w:p>
      <w:pPr>
        <w:keepNext/>
        <w:keepLines/>
        <w:spacing w:line="360" w:lineRule="auto"/>
        <w:ind w:firstLine="465"/>
        <w:rPr>
          <w:rFonts w:asciiTheme="minorEastAsia" w:hAnsiTheme="minorEastAsia" w:eastAsiaTheme="minorEastAsia" w:cstheme="minorEastAsia"/>
          <w:szCs w:val="21"/>
        </w:rPr>
      </w:pPr>
    </w:p>
    <w:p>
      <w:pPr>
        <w:keepNext/>
        <w:keepLines/>
        <w:spacing w:line="360" w:lineRule="auto"/>
        <w:ind w:left="5099" w:leftChars="228" w:hanging="4620" w:hangingChars="2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授权代表人（签字）：</w:t>
      </w:r>
    </w:p>
    <w:p>
      <w:pPr>
        <w:keepNext/>
        <w:keepLines/>
        <w:spacing w:line="360" w:lineRule="auto"/>
        <w:ind w:left="5099" w:leftChars="228" w:hanging="4620" w:hangingChars="2200"/>
        <w:jc w:val="left"/>
        <w:rPr>
          <w:rFonts w:asciiTheme="minorEastAsia" w:hAnsiTheme="minorEastAsia" w:eastAsiaTheme="minorEastAsia" w:cstheme="minorEastAsia"/>
          <w:szCs w:val="21"/>
        </w:rPr>
      </w:pPr>
    </w:p>
    <w:p>
      <w:pPr>
        <w:keepNext/>
        <w:keepLines/>
        <w:spacing w:line="360" w:lineRule="auto"/>
        <w:ind w:left="5099" w:leftChars="228" w:hanging="4620" w:hangingChars="2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供应商（盖章）：               </w:t>
      </w:r>
    </w:p>
    <w:p>
      <w:pPr>
        <w:keepNext/>
        <w:keepLines/>
        <w:spacing w:line="360" w:lineRule="auto"/>
        <w:ind w:left="2234" w:leftChars="14" w:hanging="2205" w:hangingChars="10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日期：    年  月  日</w:t>
      </w:r>
    </w:p>
    <w:p>
      <w:pPr>
        <w:keepNext/>
        <w:keepLines/>
        <w:widowControl/>
        <w:spacing w:line="360" w:lineRule="auto"/>
        <w:rPr>
          <w:rFonts w:asciiTheme="minorEastAsia" w:hAnsiTheme="minorEastAsia" w:eastAsiaTheme="minorEastAsia" w:cstheme="minorEastAsia"/>
          <w:b/>
          <w:kern w:val="0"/>
          <w:szCs w:val="21"/>
        </w:rPr>
      </w:pPr>
    </w:p>
    <w:p>
      <w:pPr>
        <w:keepNext/>
        <w:keepLines/>
        <w:widowControl/>
        <w:spacing w:line="360" w:lineRule="auto"/>
        <w:rPr>
          <w:rFonts w:asciiTheme="minorEastAsia" w:hAnsiTheme="minorEastAsia" w:eastAsiaTheme="minorEastAsia" w:cstheme="minorEastAsia"/>
          <w:b/>
          <w:kern w:val="0"/>
          <w:szCs w:val="21"/>
        </w:rPr>
      </w:pPr>
    </w:p>
    <w:p>
      <w:pPr>
        <w:keepNext/>
        <w:keepLines/>
        <w:widowControl/>
        <w:spacing w:line="360" w:lineRule="auto"/>
        <w:rPr>
          <w:rFonts w:asciiTheme="minorEastAsia" w:hAnsiTheme="minorEastAsia" w:eastAsiaTheme="minorEastAsia" w:cstheme="minorEastAsia"/>
          <w:b/>
          <w:kern w:val="0"/>
          <w:szCs w:val="21"/>
        </w:rPr>
      </w:pPr>
    </w:p>
    <w:p>
      <w:pPr>
        <w:keepNext/>
        <w:keepLines/>
        <w:widowControl/>
        <w:spacing w:line="360" w:lineRule="auto"/>
        <w:rPr>
          <w:rFonts w:asciiTheme="minorEastAsia" w:hAnsiTheme="minorEastAsia" w:eastAsiaTheme="minorEastAsia" w:cstheme="minorEastAsia"/>
          <w:b/>
          <w:kern w:val="0"/>
          <w:szCs w:val="21"/>
        </w:rPr>
      </w:pPr>
    </w:p>
    <w:p>
      <w:pPr>
        <w:keepNext/>
        <w:keepLines/>
        <w:widowControl/>
        <w:spacing w:line="360" w:lineRule="auto"/>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格式4</w:t>
      </w:r>
    </w:p>
    <w:p>
      <w:pPr>
        <w:keepNext/>
        <w:keepLines/>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法定代表人(或经营者)授权书</w:t>
      </w:r>
    </w:p>
    <w:p>
      <w:pPr>
        <w:keepNext/>
        <w:keepLine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本授权书声明：注册于（</w:t>
      </w:r>
      <w:r>
        <w:rPr>
          <w:rFonts w:hint="eastAsia" w:asciiTheme="minorEastAsia" w:hAnsiTheme="minorEastAsia" w:eastAsiaTheme="minorEastAsia" w:cstheme="minorEastAsia"/>
          <w:szCs w:val="21"/>
          <w:u w:val="single"/>
        </w:rPr>
        <w:t>注册地址名称</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szCs w:val="21"/>
          <w:u w:val="single"/>
        </w:rPr>
        <w:t>供应商全名</w:t>
      </w:r>
      <w:r>
        <w:rPr>
          <w:rFonts w:hint="eastAsia" w:asciiTheme="minorEastAsia" w:hAnsiTheme="minorEastAsia" w:eastAsiaTheme="minorEastAsia" w:cstheme="minorEastAsia"/>
          <w:szCs w:val="21"/>
        </w:rPr>
        <w:t>)的在下面签字的(</w:t>
      </w:r>
      <w:r>
        <w:rPr>
          <w:rFonts w:hint="eastAsia" w:asciiTheme="minorEastAsia" w:hAnsiTheme="minorEastAsia" w:eastAsiaTheme="minorEastAsia" w:cstheme="minorEastAsia"/>
          <w:szCs w:val="21"/>
          <w:u w:val="single"/>
        </w:rPr>
        <w:t>法定代表人(或经营者)姓名</w:t>
      </w:r>
      <w:r>
        <w:rPr>
          <w:rFonts w:hint="eastAsia" w:asciiTheme="minorEastAsia" w:hAnsiTheme="minorEastAsia" w:eastAsiaTheme="minorEastAsia" w:cstheme="minorEastAsia"/>
          <w:szCs w:val="21"/>
        </w:rPr>
        <w:t>)代表本公司授权（</w:t>
      </w:r>
      <w:r>
        <w:rPr>
          <w:rFonts w:hint="eastAsia" w:asciiTheme="minorEastAsia" w:hAnsiTheme="minorEastAsia" w:eastAsiaTheme="minorEastAsia" w:cstheme="minorEastAsia"/>
          <w:szCs w:val="21"/>
          <w:u w:val="single"/>
        </w:rPr>
        <w:t>单位名称</w:t>
      </w:r>
      <w:r>
        <w:rPr>
          <w:rFonts w:hint="eastAsia" w:asciiTheme="minorEastAsia" w:hAnsiTheme="minorEastAsia" w:eastAsiaTheme="minorEastAsia" w:cstheme="minorEastAsia"/>
          <w:szCs w:val="21"/>
        </w:rPr>
        <w:t>）的在下面签字的（</w:t>
      </w:r>
      <w:r>
        <w:rPr>
          <w:rFonts w:hint="eastAsia" w:asciiTheme="minorEastAsia" w:hAnsiTheme="minorEastAsia" w:eastAsiaTheme="minorEastAsia" w:cstheme="minorEastAsia"/>
          <w:szCs w:val="21"/>
          <w:u w:val="single"/>
        </w:rPr>
        <w:t>被授权人的姓名、职务</w:t>
      </w:r>
      <w:r>
        <w:rPr>
          <w:rFonts w:hint="eastAsia" w:asciiTheme="minorEastAsia" w:hAnsiTheme="minorEastAsia" w:eastAsiaTheme="minorEastAsia" w:cstheme="minorEastAsia"/>
          <w:szCs w:val="21"/>
        </w:rPr>
        <w:t>）为本公司的合法代理人，就招标编号为</w:t>
      </w:r>
      <w:r>
        <w:rPr>
          <w:rFonts w:hint="eastAsia" w:asciiTheme="minorEastAsia" w:hAnsiTheme="minorEastAsia" w:eastAsiaTheme="minorEastAsia" w:cstheme="minorEastAsia"/>
          <w:szCs w:val="21"/>
          <w:u w:val="single"/>
        </w:rPr>
        <w:t xml:space="preserve"> （编号 ） （项目名称</w:t>
      </w:r>
      <w:r>
        <w:rPr>
          <w:rFonts w:hint="eastAsia" w:asciiTheme="minorEastAsia" w:hAnsiTheme="minorEastAsia" w:eastAsiaTheme="minorEastAsia" w:cstheme="minorEastAsia"/>
          <w:szCs w:val="21"/>
        </w:rPr>
        <w:t>）的投标及合同执行，以本公司名义处理一切与之有关的事务。</w:t>
      </w:r>
    </w:p>
    <w:p>
      <w:pPr>
        <w:keepNext/>
        <w:keepLine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本授权书于年月日签字生效，特此声明。</w:t>
      </w:r>
    </w:p>
    <w:p>
      <w:pPr>
        <w:keepNext/>
        <w:keepLine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法定代表人(或经营者)（签字或加盖名章）：</w:t>
      </w:r>
    </w:p>
    <w:p>
      <w:pPr>
        <w:keepNext/>
        <w:keepLine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供应商（企业盖章）：</w:t>
      </w:r>
    </w:p>
    <w:tbl>
      <w:tblPr>
        <w:tblStyle w:val="33"/>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4" w:hRule="atLeast"/>
        </w:trPr>
        <w:tc>
          <w:tcPr>
            <w:tcW w:w="4484" w:type="dxa"/>
            <w:vAlign w:val="center"/>
          </w:tcPr>
          <w:p>
            <w:pPr>
              <w:keepNext/>
              <w:keepLines/>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法定代表人(或经营者)身份证（正面）</w:t>
            </w:r>
          </w:p>
        </w:tc>
        <w:tc>
          <w:tcPr>
            <w:tcW w:w="4485" w:type="dxa"/>
            <w:vAlign w:val="center"/>
          </w:tcPr>
          <w:p>
            <w:pPr>
              <w:keepNext/>
              <w:keepLines/>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法定代表人(或经营者)身份证（反面）</w:t>
            </w:r>
          </w:p>
        </w:tc>
      </w:tr>
    </w:tbl>
    <w:p>
      <w:pPr>
        <w:keepNext/>
        <w:keepLines/>
        <w:spacing w:line="360" w:lineRule="auto"/>
        <w:rPr>
          <w:rFonts w:asciiTheme="minorEastAsia" w:hAnsiTheme="minorEastAsia" w:eastAsiaTheme="minorEastAsia" w:cstheme="minorEastAsia"/>
          <w:szCs w:val="21"/>
        </w:rPr>
      </w:pP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9" w:hRule="atLeast"/>
        </w:trPr>
        <w:tc>
          <w:tcPr>
            <w:tcW w:w="4491" w:type="dxa"/>
            <w:vAlign w:val="center"/>
          </w:tcPr>
          <w:p>
            <w:pPr>
              <w:keepNext/>
              <w:keepLines/>
              <w:spacing w:line="360" w:lineRule="auto"/>
              <w:jc w:val="center"/>
              <w:rPr>
                <w:rFonts w:asciiTheme="minorEastAsia" w:hAnsiTheme="minorEastAsia" w:eastAsiaTheme="minorEastAsia" w:cstheme="minorEastAsia"/>
                <w:szCs w:val="21"/>
              </w:rPr>
            </w:pPr>
            <w:bookmarkStart w:id="37" w:name="_资格证明文件"/>
            <w:bookmarkEnd w:id="37"/>
            <w:bookmarkStart w:id="38" w:name="_Toc364329026"/>
            <w:r>
              <w:rPr>
                <w:rFonts w:hint="eastAsia" w:asciiTheme="minorEastAsia" w:hAnsiTheme="minorEastAsia" w:eastAsiaTheme="minorEastAsia" w:cstheme="minorEastAsia"/>
                <w:szCs w:val="21"/>
              </w:rPr>
              <w:t>法定代表人(或经营者)授权代表身份证（正面）</w:t>
            </w:r>
            <w:bookmarkEnd w:id="38"/>
          </w:p>
        </w:tc>
        <w:tc>
          <w:tcPr>
            <w:tcW w:w="4492" w:type="dxa"/>
            <w:vAlign w:val="center"/>
          </w:tcPr>
          <w:p>
            <w:pPr>
              <w:keepNext/>
              <w:keepLines/>
              <w:spacing w:line="360" w:lineRule="auto"/>
              <w:jc w:val="center"/>
              <w:rPr>
                <w:rFonts w:asciiTheme="minorEastAsia" w:hAnsiTheme="minorEastAsia" w:eastAsiaTheme="minorEastAsia" w:cstheme="minorEastAsia"/>
                <w:szCs w:val="21"/>
              </w:rPr>
            </w:pPr>
            <w:bookmarkStart w:id="39" w:name="_Toc364329027"/>
            <w:r>
              <w:rPr>
                <w:rFonts w:hint="eastAsia" w:asciiTheme="minorEastAsia" w:hAnsiTheme="minorEastAsia" w:eastAsiaTheme="minorEastAsia" w:cstheme="minorEastAsia"/>
                <w:szCs w:val="21"/>
              </w:rPr>
              <w:t>法定代表人(或经营者)授权代表身份证（反面）</w:t>
            </w:r>
            <w:bookmarkEnd w:id="39"/>
          </w:p>
        </w:tc>
      </w:tr>
    </w:tbl>
    <w:p>
      <w:pPr>
        <w:keepNext/>
        <w:keepLines/>
        <w:spacing w:line="360" w:lineRule="auto"/>
        <w:ind w:left="2" w:firstLine="312" w:firstLineChars="149"/>
        <w:rPr>
          <w:rFonts w:asciiTheme="minorEastAsia" w:hAnsiTheme="minorEastAsia" w:eastAsiaTheme="minorEastAsia" w:cstheme="minorEastAsia"/>
          <w:bCs/>
          <w:kern w:val="12"/>
          <w:szCs w:val="21"/>
        </w:rPr>
      </w:pPr>
      <w:r>
        <w:rPr>
          <w:rFonts w:hint="eastAsia" w:asciiTheme="minorEastAsia" w:hAnsiTheme="minorEastAsia" w:eastAsiaTheme="minorEastAsia" w:cstheme="minorEastAsia"/>
          <w:bCs/>
          <w:kern w:val="12"/>
          <w:szCs w:val="21"/>
        </w:rPr>
        <w:t>★说明：法定代表人(或经营者)（代表人）的授权委托人参加本招标项目投标的，仅须出具此授权委托书。</w:t>
      </w:r>
    </w:p>
    <w:p>
      <w:pPr>
        <w:keepNext/>
        <w:keepLines/>
        <w:widowControl/>
        <w:spacing w:line="360" w:lineRule="auto"/>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Cs/>
          <w:szCs w:val="21"/>
        </w:rPr>
        <w:br w:type="page"/>
      </w:r>
      <w:r>
        <w:rPr>
          <w:rFonts w:hint="eastAsia" w:asciiTheme="minorEastAsia" w:hAnsiTheme="minorEastAsia" w:eastAsiaTheme="minorEastAsia" w:cstheme="minorEastAsia"/>
          <w:b/>
          <w:kern w:val="0"/>
          <w:szCs w:val="21"/>
        </w:rPr>
        <w:t>格式4-1</w:t>
      </w:r>
    </w:p>
    <w:p>
      <w:pPr>
        <w:keepNext/>
        <w:keepLines/>
        <w:spacing w:line="360" w:lineRule="auto"/>
        <w:rPr>
          <w:rFonts w:asciiTheme="minorEastAsia" w:hAnsiTheme="minorEastAsia" w:eastAsiaTheme="minorEastAsia" w:cstheme="minorEastAsia"/>
          <w:b/>
          <w:szCs w:val="21"/>
        </w:rPr>
      </w:pPr>
    </w:p>
    <w:p>
      <w:pPr>
        <w:keepNext/>
        <w:keepLines/>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法定代表人(或经营者)（代表人）资格证明书</w:t>
      </w:r>
    </w:p>
    <w:p>
      <w:pPr>
        <w:pStyle w:val="48"/>
        <w:keepNext/>
        <w:keepLines/>
        <w:ind w:firstLine="472" w:firstLineChars="225"/>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单位名称：</w:t>
      </w:r>
    </w:p>
    <w:p>
      <w:pPr>
        <w:pStyle w:val="48"/>
        <w:keepNext/>
        <w:keepLines/>
        <w:ind w:firstLine="472" w:firstLineChars="225"/>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地址：</w:t>
      </w:r>
    </w:p>
    <w:p>
      <w:pPr>
        <w:pStyle w:val="48"/>
        <w:keepNext/>
        <w:keepLines/>
        <w:ind w:firstLine="472" w:firstLineChars="225"/>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性别：年龄： 职务：        </w:t>
      </w:r>
    </w:p>
    <w:p>
      <w:pPr>
        <w:pStyle w:val="48"/>
        <w:keepNext/>
        <w:keepLines/>
        <w:ind w:firstLine="472" w:firstLineChars="225"/>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本人系</w:t>
      </w:r>
      <w:r>
        <w:rPr>
          <w:rFonts w:hint="eastAsia" w:asciiTheme="minorEastAsia" w:hAnsiTheme="minorEastAsia" w:eastAsiaTheme="minorEastAsia" w:cstheme="minorEastAsia"/>
          <w:sz w:val="21"/>
          <w:szCs w:val="21"/>
          <w:u w:val="single"/>
        </w:rPr>
        <w:t>&lt;供应商名称&gt;</w:t>
      </w:r>
      <w:r>
        <w:rPr>
          <w:rFonts w:hint="eastAsia" w:asciiTheme="minorEastAsia" w:hAnsiTheme="minorEastAsia" w:eastAsiaTheme="minorEastAsia" w:cstheme="minorEastAsia"/>
          <w:sz w:val="21"/>
          <w:szCs w:val="21"/>
        </w:rPr>
        <w:t>的法定代表人(或经营者)（代表人）。就参加你公司组织的招标编号为</w:t>
      </w:r>
      <w:r>
        <w:rPr>
          <w:rFonts w:hint="eastAsia" w:asciiTheme="minorEastAsia" w:hAnsiTheme="minorEastAsia" w:eastAsiaTheme="minorEastAsia" w:cstheme="minorEastAsia"/>
          <w:sz w:val="21"/>
          <w:szCs w:val="21"/>
          <w:u w:val="single"/>
        </w:rPr>
        <w:t>&lt;项目编号&gt;</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sz w:val="21"/>
          <w:szCs w:val="21"/>
          <w:u w:val="single"/>
        </w:rPr>
        <w:t>&lt;项目名称&gt;</w:t>
      </w:r>
      <w:r>
        <w:rPr>
          <w:rFonts w:hint="eastAsia" w:asciiTheme="minorEastAsia" w:hAnsiTheme="minorEastAsia" w:eastAsiaTheme="minorEastAsia" w:cstheme="minorEastAsia"/>
          <w:sz w:val="21"/>
          <w:szCs w:val="21"/>
        </w:rPr>
        <w:t>公开招标项目的投标报价，签署上述项目的投标文件及合同的执行、完成、服务和保修，签署合同和处理与之有关的一切事务。</w:t>
      </w:r>
    </w:p>
    <w:p>
      <w:pPr>
        <w:pStyle w:val="48"/>
        <w:keepNext/>
        <w:keepLines/>
        <w:ind w:firstLine="472" w:firstLineChars="225"/>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特此证明。</w:t>
      </w:r>
    </w:p>
    <w:p>
      <w:pPr>
        <w:pStyle w:val="48"/>
        <w:keepNext/>
        <w:keepLines/>
        <w:ind w:left="-538" w:leftChars="-256" w:firstLine="539" w:firstLineChars="257"/>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（※此处请粘贴法定代表人(或经营者)（代表人）身份证复印件，需清晰反映身份证有效期限※）</w:t>
      </w:r>
    </w:p>
    <w:p>
      <w:pPr>
        <w:pStyle w:val="48"/>
        <w:keepNext/>
        <w:keepLines/>
        <w:ind w:firstLine="472" w:firstLineChars="225"/>
        <w:jc w:val="left"/>
        <w:rPr>
          <w:rFonts w:asciiTheme="minorEastAsia" w:hAnsiTheme="minorEastAsia" w:eastAsiaTheme="minorEastAsia" w:cstheme="minorEastAsia"/>
          <w:sz w:val="21"/>
          <w:szCs w:val="21"/>
        </w:rPr>
      </w:pPr>
    </w:p>
    <w:p>
      <w:pPr>
        <w:keepNext/>
        <w:keepLines/>
        <w:spacing w:line="360" w:lineRule="auto"/>
        <w:ind w:firstLine="367" w:firstLineChars="175"/>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供应商名称（并加盖公章）：</w:t>
      </w:r>
    </w:p>
    <w:p>
      <w:pPr>
        <w:pStyle w:val="119"/>
        <w:keepNext/>
        <w:keepLines/>
        <w:spacing w:before="60" w:line="360" w:lineRule="auto"/>
        <w:ind w:firstLine="367" w:firstLineChars="175"/>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签署日期：  年   月   日</w:t>
      </w:r>
    </w:p>
    <w:p>
      <w:pPr>
        <w:keepNext/>
        <w:keepLines/>
        <w:spacing w:line="360" w:lineRule="auto"/>
        <w:jc w:val="center"/>
        <w:rPr>
          <w:rFonts w:asciiTheme="minorEastAsia" w:hAnsiTheme="minorEastAsia" w:eastAsiaTheme="minorEastAsia" w:cstheme="minorEastAsia"/>
          <w:b/>
          <w:kern w:val="12"/>
          <w:szCs w:val="21"/>
        </w:rPr>
      </w:pPr>
    </w:p>
    <w:p>
      <w:pPr>
        <w:keepNext/>
        <w:keepLines/>
        <w:spacing w:line="360" w:lineRule="auto"/>
        <w:ind w:firstLine="420"/>
        <w:rPr>
          <w:rFonts w:asciiTheme="minorEastAsia" w:hAnsiTheme="minorEastAsia" w:eastAsiaTheme="minorEastAsia" w:cstheme="minorEastAsia"/>
          <w:bCs/>
          <w:kern w:val="12"/>
          <w:szCs w:val="21"/>
        </w:rPr>
      </w:pPr>
      <w:r>
        <w:rPr>
          <w:rFonts w:hint="eastAsia" w:asciiTheme="minorEastAsia" w:hAnsiTheme="minorEastAsia" w:eastAsiaTheme="minorEastAsia" w:cstheme="minorEastAsia"/>
          <w:bCs/>
          <w:kern w:val="12"/>
          <w:szCs w:val="21"/>
        </w:rPr>
        <w:t>★说明：1、法人公司或企业提供法定代表人资格证明书；个体工商户提供经营者资格证明书；</w:t>
      </w:r>
    </w:p>
    <w:p>
      <w:pPr>
        <w:keepNext/>
        <w:keepLines/>
        <w:spacing w:line="360" w:lineRule="auto"/>
        <w:ind w:firstLine="420"/>
        <w:rPr>
          <w:rFonts w:asciiTheme="minorEastAsia" w:hAnsiTheme="minorEastAsia" w:eastAsiaTheme="minorEastAsia" w:cstheme="minorEastAsia"/>
          <w:bCs/>
          <w:kern w:val="12"/>
          <w:szCs w:val="21"/>
        </w:rPr>
      </w:pPr>
      <w:r>
        <w:rPr>
          <w:rFonts w:hint="eastAsia" w:asciiTheme="minorEastAsia" w:hAnsiTheme="minorEastAsia" w:eastAsiaTheme="minorEastAsia" w:cstheme="minorEastAsia"/>
          <w:bCs/>
          <w:kern w:val="12"/>
          <w:szCs w:val="21"/>
        </w:rPr>
        <w:t>2、法定代表人（或经营者）参加本招标项目投标的，仅须出具此证明书。</w:t>
      </w:r>
    </w:p>
    <w:p>
      <w:pPr>
        <w:keepNext/>
        <w:keepLines/>
        <w:widowControl/>
        <w:spacing w:line="360" w:lineRule="auto"/>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br w:type="page"/>
      </w:r>
      <w:r>
        <w:rPr>
          <w:rFonts w:hint="eastAsia" w:asciiTheme="minorEastAsia" w:hAnsiTheme="minorEastAsia" w:eastAsiaTheme="minorEastAsia" w:cstheme="minorEastAsia"/>
          <w:b/>
          <w:kern w:val="0"/>
          <w:szCs w:val="21"/>
        </w:rPr>
        <w:t>格式5</w:t>
      </w:r>
    </w:p>
    <w:p>
      <w:pPr>
        <w:keepNext/>
        <w:keepLines/>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开标一览表</w:t>
      </w:r>
    </w:p>
    <w:p>
      <w:pPr>
        <w:keepNext/>
        <w:keepLines/>
        <w:adjustRightInd w:val="0"/>
        <w:snapToGrid w:val="0"/>
        <w:spacing w:afterLines="50" w:line="360" w:lineRule="auto"/>
        <w:rPr>
          <w:rFonts w:asciiTheme="minorEastAsia" w:hAnsiTheme="minorEastAsia" w:eastAsiaTheme="minorEastAsia" w:cstheme="minorEastAsia"/>
          <w:szCs w:val="21"/>
        </w:rPr>
      </w:pPr>
    </w:p>
    <w:p>
      <w:pPr>
        <w:keepNext/>
        <w:keepLines/>
        <w:adjustRightInd w:val="0"/>
        <w:snapToGrid w:val="0"/>
        <w:spacing w:afterLines="50"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招标项目名称：</w:t>
      </w:r>
    </w:p>
    <w:p>
      <w:pPr>
        <w:keepNext/>
        <w:keepLines/>
        <w:adjustRightInd w:val="0"/>
        <w:snapToGrid w:val="0"/>
        <w:spacing w:afterLines="50" w:line="360" w:lineRule="auto"/>
        <w:rPr>
          <w:rFonts w:asciiTheme="minorEastAsia" w:hAnsiTheme="minorEastAsia" w:eastAsiaTheme="minorEastAsia" w:cstheme="minorEastAsia"/>
          <w:i/>
          <w:iCs/>
          <w:szCs w:val="21"/>
          <w:u w:val="single"/>
        </w:rPr>
      </w:pPr>
      <w:r>
        <w:rPr>
          <w:rFonts w:hint="eastAsia" w:asciiTheme="minorEastAsia" w:hAnsiTheme="minorEastAsia" w:eastAsiaTheme="minorEastAsia" w:cstheme="minorEastAsia"/>
          <w:szCs w:val="21"/>
        </w:rPr>
        <w:t>招标项目编号：</w:t>
      </w:r>
    </w:p>
    <w:p>
      <w:pPr>
        <w:keepNext/>
        <w:keepLines/>
        <w:spacing w:afterLines="50"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tbl>
      <w:tblPr>
        <w:tblStyle w:val="33"/>
        <w:tblW w:w="97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66"/>
        <w:gridCol w:w="3871"/>
        <w:gridCol w:w="1559"/>
        <w:gridCol w:w="1388"/>
        <w:gridCol w:w="11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1766" w:type="dxa"/>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项目名称、标包</w:t>
            </w:r>
          </w:p>
        </w:tc>
        <w:tc>
          <w:tcPr>
            <w:tcW w:w="3871" w:type="dxa"/>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投标报价元（或投标费率%）</w:t>
            </w:r>
          </w:p>
        </w:tc>
        <w:tc>
          <w:tcPr>
            <w:tcW w:w="1559" w:type="dxa"/>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服务期</w:t>
            </w:r>
          </w:p>
        </w:tc>
        <w:tc>
          <w:tcPr>
            <w:tcW w:w="1388" w:type="dxa"/>
            <w:tcBorders>
              <w:top w:val="single" w:color="auto" w:sz="4" w:space="0"/>
              <w:left w:val="single" w:color="auto" w:sz="4" w:space="0"/>
              <w:bottom w:val="single" w:color="auto" w:sz="4" w:space="0"/>
              <w:right w:val="single" w:color="auto" w:sz="4" w:space="0"/>
            </w:tcBorders>
          </w:tcPr>
          <w:p>
            <w:pPr>
              <w:keepNext/>
              <w:keepLines/>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项目负责人</w:t>
            </w:r>
          </w:p>
        </w:tc>
        <w:tc>
          <w:tcPr>
            <w:tcW w:w="1175" w:type="dxa"/>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1766" w:type="dxa"/>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rPr>
                <w:rFonts w:asciiTheme="minorEastAsia" w:hAnsiTheme="minorEastAsia" w:eastAsiaTheme="minorEastAsia" w:cstheme="minorEastAsia"/>
                <w:szCs w:val="21"/>
              </w:rPr>
            </w:pPr>
          </w:p>
        </w:tc>
        <w:tc>
          <w:tcPr>
            <w:tcW w:w="3871" w:type="dxa"/>
            <w:tcBorders>
              <w:top w:val="single" w:color="auto" w:sz="4" w:space="0"/>
              <w:left w:val="single" w:color="auto" w:sz="4" w:space="0"/>
              <w:bottom w:val="single" w:color="auto" w:sz="4" w:space="0"/>
              <w:right w:val="single" w:color="auto" w:sz="4" w:space="0"/>
            </w:tcBorders>
            <w:vAlign w:val="center"/>
          </w:tcPr>
          <w:p>
            <w:pPr>
              <w:keepNext/>
              <w:keepLine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大写：           小写：</w:t>
            </w:r>
          </w:p>
        </w:tc>
        <w:tc>
          <w:tcPr>
            <w:tcW w:w="1559" w:type="dxa"/>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rPr>
                <w:rFonts w:asciiTheme="minorEastAsia" w:hAnsiTheme="minorEastAsia" w:eastAsiaTheme="minorEastAsia" w:cstheme="minorEastAsia"/>
                <w:szCs w:val="21"/>
              </w:rPr>
            </w:pPr>
          </w:p>
        </w:tc>
        <w:tc>
          <w:tcPr>
            <w:tcW w:w="1388" w:type="dxa"/>
            <w:tcBorders>
              <w:top w:val="single" w:color="auto" w:sz="4" w:space="0"/>
              <w:left w:val="single" w:color="auto" w:sz="4" w:space="0"/>
              <w:bottom w:val="single" w:color="auto" w:sz="4" w:space="0"/>
              <w:right w:val="single" w:color="auto" w:sz="4" w:space="0"/>
            </w:tcBorders>
          </w:tcPr>
          <w:p>
            <w:pPr>
              <w:keepNext/>
              <w:keepLines/>
              <w:spacing w:line="360" w:lineRule="auto"/>
              <w:jc w:val="center"/>
              <w:rPr>
                <w:rFonts w:asciiTheme="minorEastAsia" w:hAnsiTheme="minorEastAsia" w:eastAsiaTheme="minorEastAsia" w:cstheme="minorEastAsia"/>
                <w:szCs w:val="21"/>
              </w:rPr>
            </w:pPr>
          </w:p>
        </w:tc>
        <w:tc>
          <w:tcPr>
            <w:tcW w:w="1175" w:type="dxa"/>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1766" w:type="dxa"/>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rPr>
                <w:rFonts w:asciiTheme="minorEastAsia" w:hAnsiTheme="minorEastAsia" w:eastAsiaTheme="minorEastAsia" w:cstheme="minorEastAsia"/>
                <w:szCs w:val="21"/>
              </w:rPr>
            </w:pPr>
          </w:p>
        </w:tc>
        <w:tc>
          <w:tcPr>
            <w:tcW w:w="3871" w:type="dxa"/>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rPr>
                <w:rFonts w:asciiTheme="minorEastAsia" w:hAnsiTheme="minorEastAsia" w:eastAsiaTheme="minorEastAsia" w:cs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rPr>
                <w:rFonts w:asciiTheme="minorEastAsia" w:hAnsiTheme="minorEastAsia" w:eastAsiaTheme="minorEastAsia" w:cstheme="minorEastAsia"/>
                <w:szCs w:val="21"/>
              </w:rPr>
            </w:pPr>
          </w:p>
        </w:tc>
        <w:tc>
          <w:tcPr>
            <w:tcW w:w="1388" w:type="dxa"/>
            <w:tcBorders>
              <w:top w:val="single" w:color="auto" w:sz="4" w:space="0"/>
              <w:left w:val="single" w:color="auto" w:sz="4" w:space="0"/>
              <w:bottom w:val="single" w:color="auto" w:sz="4" w:space="0"/>
              <w:right w:val="single" w:color="auto" w:sz="4" w:space="0"/>
            </w:tcBorders>
          </w:tcPr>
          <w:p>
            <w:pPr>
              <w:keepNext/>
              <w:keepLines/>
              <w:spacing w:line="360" w:lineRule="auto"/>
              <w:jc w:val="center"/>
              <w:rPr>
                <w:rFonts w:asciiTheme="minorEastAsia" w:hAnsiTheme="minorEastAsia" w:eastAsiaTheme="minorEastAsia" w:cstheme="minorEastAsia"/>
                <w:szCs w:val="21"/>
              </w:rPr>
            </w:pPr>
          </w:p>
        </w:tc>
        <w:tc>
          <w:tcPr>
            <w:tcW w:w="1175" w:type="dxa"/>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rPr>
                <w:rFonts w:asciiTheme="minorEastAsia" w:hAnsiTheme="minorEastAsia" w:eastAsiaTheme="minorEastAsia" w:cstheme="minorEastAsia"/>
                <w:szCs w:val="21"/>
              </w:rPr>
            </w:pPr>
          </w:p>
        </w:tc>
      </w:tr>
    </w:tbl>
    <w:p>
      <w:pPr>
        <w:pStyle w:val="90"/>
        <w:keepNext/>
        <w:keepLines/>
        <w:spacing w:afterLines="50" w:line="360" w:lineRule="auto"/>
        <w:rPr>
          <w:rFonts w:asciiTheme="minorEastAsia" w:hAnsiTheme="minorEastAsia" w:eastAsiaTheme="minorEastAsia" w:cstheme="minorEastAsia"/>
          <w:sz w:val="21"/>
          <w:szCs w:val="21"/>
        </w:rPr>
      </w:pPr>
    </w:p>
    <w:p>
      <w:pPr>
        <w:keepNext/>
        <w:keepLines/>
        <w:spacing w:afterLines="50"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填写说明：</w:t>
      </w:r>
    </w:p>
    <w:p>
      <w:pPr>
        <w:keepNext/>
        <w:keepLines/>
        <w:numPr>
          <w:ilvl w:val="0"/>
          <w:numId w:val="15"/>
        </w:num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标时，本表中的内容与投标文件中的投标函、价格明细表的内容不一致的，以本表为准；大写金额和小写金额不一致的，以大写金额为准；单价金额小数点或者百分比有明显错位的，以开标一览表的总价为准，并修改单价；总价金额与按单价汇总金额不一致的，以单价金额计算结果为准。</w:t>
      </w:r>
    </w:p>
    <w:p>
      <w:pPr>
        <w:keepNext/>
        <w:keepLines/>
        <w:spacing w:line="360" w:lineRule="auto"/>
        <w:ind w:firstLine="367" w:firstLineChars="17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同时出现两种以上不一致的，按照前款规定的顺序修正。按照《政府采购货物和服务招标投标管理办法》（财政部第87号令）第五十一条第二款的规定经供应商确认后产生约束力，供应商不确认的，其投标无效。</w:t>
      </w:r>
    </w:p>
    <w:p>
      <w:pPr>
        <w:keepNext/>
        <w:keepLines/>
        <w:spacing w:line="360" w:lineRule="auto"/>
        <w:ind w:firstLine="367" w:firstLineChars="175"/>
        <w:rPr>
          <w:rFonts w:asciiTheme="minorEastAsia" w:hAnsiTheme="minorEastAsia" w:eastAsiaTheme="minorEastAsia" w:cstheme="minorEastAsia"/>
          <w:szCs w:val="21"/>
        </w:rPr>
      </w:pPr>
    </w:p>
    <w:p>
      <w:pPr>
        <w:keepNext/>
        <w:keepLines/>
        <w:spacing w:line="360" w:lineRule="auto"/>
        <w:rPr>
          <w:rFonts w:asciiTheme="minorEastAsia" w:hAnsiTheme="minorEastAsia" w:eastAsiaTheme="minorEastAsia" w:cstheme="minorEastAsia"/>
          <w:szCs w:val="21"/>
        </w:rPr>
      </w:pPr>
    </w:p>
    <w:p>
      <w:pPr>
        <w:keepNext/>
        <w:keepLines/>
        <w:spacing w:line="360" w:lineRule="auto"/>
        <w:ind w:firstLine="367" w:firstLineChars="17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供应商名称（并加盖公章）：</w:t>
      </w:r>
    </w:p>
    <w:p>
      <w:pPr>
        <w:keepNext/>
        <w:keepLines/>
        <w:spacing w:line="360" w:lineRule="auto"/>
        <w:ind w:firstLine="367" w:firstLineChars="17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法定代表人(或经营者)（代表人）或其授权委托人：（法定代表人(或经营者)签字或印鉴，授权委托人必须签字）：</w:t>
      </w:r>
    </w:p>
    <w:p>
      <w:pPr>
        <w:keepNext/>
        <w:keepLines/>
        <w:spacing w:line="360" w:lineRule="auto"/>
        <w:ind w:firstLine="367" w:firstLineChars="17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签署日期：年 月 日</w:t>
      </w:r>
    </w:p>
    <w:p>
      <w:pPr>
        <w:keepNext/>
        <w:keepLines/>
        <w:spacing w:line="360" w:lineRule="auto"/>
        <w:ind w:firstLine="367" w:firstLineChars="175"/>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szCs w:val="21"/>
        </w:rPr>
        <w:br w:type="page"/>
      </w:r>
      <w:r>
        <w:rPr>
          <w:rFonts w:hint="eastAsia" w:asciiTheme="minorEastAsia" w:hAnsiTheme="minorEastAsia" w:eastAsiaTheme="minorEastAsia" w:cstheme="minorEastAsia"/>
          <w:b/>
          <w:kern w:val="12"/>
          <w:szCs w:val="21"/>
        </w:rPr>
        <w:t>格式6</w:t>
      </w:r>
    </w:p>
    <w:p>
      <w:pPr>
        <w:keepNext/>
        <w:keepLines/>
        <w:spacing w:line="360" w:lineRule="auto"/>
        <w:jc w:val="center"/>
        <w:rPr>
          <w:rFonts w:asciiTheme="minorEastAsia" w:hAnsiTheme="minorEastAsia" w:eastAsiaTheme="minorEastAsia" w:cstheme="minorEastAsia"/>
          <w:b/>
          <w:bCs/>
          <w:szCs w:val="21"/>
        </w:rPr>
      </w:pPr>
      <w:bookmarkStart w:id="40" w:name="_Toc476227656"/>
    </w:p>
    <w:p>
      <w:pPr>
        <w:keepNext/>
        <w:keepLines/>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商务要求响应表</w:t>
      </w:r>
    </w:p>
    <w:p>
      <w:pPr>
        <w:keepNext/>
        <w:keepLines/>
        <w:adjustRightInd w:val="0"/>
        <w:snapToGrid w:val="0"/>
        <w:spacing w:afterLines="50" w:line="360" w:lineRule="auto"/>
        <w:jc w:val="center"/>
        <w:rPr>
          <w:rFonts w:asciiTheme="minorEastAsia" w:hAnsiTheme="minorEastAsia" w:eastAsiaTheme="minorEastAsia" w:cstheme="minorEastAsia"/>
          <w:szCs w:val="21"/>
        </w:rPr>
      </w:pPr>
    </w:p>
    <w:p>
      <w:pPr>
        <w:keepNext/>
        <w:keepLines/>
        <w:adjustRightInd w:val="0"/>
        <w:snapToGrid w:val="0"/>
        <w:spacing w:afterLines="50"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招标项目名称：</w:t>
      </w:r>
    </w:p>
    <w:p>
      <w:pPr>
        <w:keepNext/>
        <w:keepLines/>
        <w:adjustRightInd w:val="0"/>
        <w:snapToGrid w:val="0"/>
        <w:spacing w:afterLines="50"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招标项目编号：</w:t>
      </w:r>
    </w:p>
    <w:p>
      <w:pPr>
        <w:keepNext/>
        <w:keepLines/>
        <w:spacing w:afterLines="50" w:line="360" w:lineRule="auto"/>
        <w:rPr>
          <w:rFonts w:asciiTheme="minorEastAsia" w:hAnsiTheme="minorEastAsia" w:eastAsiaTheme="minorEastAsia" w:cstheme="minorEastAsia"/>
          <w:b/>
          <w:bCs/>
          <w:szCs w:val="21"/>
        </w:rPr>
      </w:pPr>
    </w:p>
    <w:tbl>
      <w:tblPr>
        <w:tblStyle w:val="33"/>
        <w:tblW w:w="9160"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5"/>
        <w:gridCol w:w="2774"/>
        <w:gridCol w:w="2576"/>
        <w:gridCol w:w="1458"/>
        <w:gridCol w:w="143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5" w:hRule="atLeast"/>
          <w:jc w:val="center"/>
        </w:trPr>
        <w:tc>
          <w:tcPr>
            <w:tcW w:w="915" w:type="dxa"/>
            <w:tcBorders>
              <w:right w:val="single" w:color="auto" w:sz="4" w:space="0"/>
            </w:tcBorders>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2774" w:type="dxa"/>
            <w:tcBorders>
              <w:left w:val="single" w:color="auto" w:sz="4" w:space="0"/>
            </w:tcBorders>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招标文件的要求</w:t>
            </w:r>
          </w:p>
        </w:tc>
        <w:tc>
          <w:tcPr>
            <w:tcW w:w="2576" w:type="dxa"/>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投标文件的响应</w:t>
            </w:r>
          </w:p>
        </w:tc>
        <w:tc>
          <w:tcPr>
            <w:tcW w:w="1458" w:type="dxa"/>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偏离程度</w:t>
            </w:r>
          </w:p>
        </w:tc>
        <w:tc>
          <w:tcPr>
            <w:tcW w:w="1437" w:type="dxa"/>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证明资料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0" w:hRule="atLeast"/>
          <w:jc w:val="center"/>
        </w:trPr>
        <w:tc>
          <w:tcPr>
            <w:tcW w:w="915" w:type="dxa"/>
            <w:tcBorders>
              <w:right w:val="single" w:color="auto" w:sz="4" w:space="0"/>
            </w:tcBorders>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774" w:type="dxa"/>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p>
        </w:tc>
        <w:tc>
          <w:tcPr>
            <w:tcW w:w="2576" w:type="dxa"/>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p>
        </w:tc>
        <w:tc>
          <w:tcPr>
            <w:tcW w:w="1458" w:type="dxa"/>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p>
        </w:tc>
        <w:tc>
          <w:tcPr>
            <w:tcW w:w="1437" w:type="dxa"/>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0" w:hRule="atLeast"/>
          <w:jc w:val="center"/>
        </w:trPr>
        <w:tc>
          <w:tcPr>
            <w:tcW w:w="915" w:type="dxa"/>
            <w:tcBorders>
              <w:right w:val="single" w:color="auto" w:sz="4" w:space="0"/>
            </w:tcBorders>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774" w:type="dxa"/>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p>
        </w:tc>
        <w:tc>
          <w:tcPr>
            <w:tcW w:w="2576" w:type="dxa"/>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p>
        </w:tc>
        <w:tc>
          <w:tcPr>
            <w:tcW w:w="1458" w:type="dxa"/>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p>
        </w:tc>
        <w:tc>
          <w:tcPr>
            <w:tcW w:w="1437" w:type="dxa"/>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0" w:hRule="atLeast"/>
          <w:jc w:val="center"/>
        </w:trPr>
        <w:tc>
          <w:tcPr>
            <w:tcW w:w="915" w:type="dxa"/>
            <w:tcBorders>
              <w:right w:val="single" w:color="auto" w:sz="4" w:space="0"/>
            </w:tcBorders>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774" w:type="dxa"/>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p>
        </w:tc>
        <w:tc>
          <w:tcPr>
            <w:tcW w:w="2576" w:type="dxa"/>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p>
        </w:tc>
        <w:tc>
          <w:tcPr>
            <w:tcW w:w="1458" w:type="dxa"/>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p>
        </w:tc>
        <w:tc>
          <w:tcPr>
            <w:tcW w:w="1437" w:type="dxa"/>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0" w:hRule="atLeast"/>
          <w:jc w:val="center"/>
        </w:trPr>
        <w:tc>
          <w:tcPr>
            <w:tcW w:w="915" w:type="dxa"/>
            <w:tcBorders>
              <w:right w:val="single" w:color="auto" w:sz="4" w:space="0"/>
            </w:tcBorders>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774" w:type="dxa"/>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p>
        </w:tc>
        <w:tc>
          <w:tcPr>
            <w:tcW w:w="2576" w:type="dxa"/>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p>
        </w:tc>
        <w:tc>
          <w:tcPr>
            <w:tcW w:w="1458" w:type="dxa"/>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p>
        </w:tc>
        <w:tc>
          <w:tcPr>
            <w:tcW w:w="1437" w:type="dxa"/>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0" w:hRule="atLeast"/>
          <w:jc w:val="center"/>
        </w:trPr>
        <w:tc>
          <w:tcPr>
            <w:tcW w:w="915" w:type="dxa"/>
            <w:tcBorders>
              <w:right w:val="single" w:color="auto" w:sz="4" w:space="0"/>
            </w:tcBorders>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774" w:type="dxa"/>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p>
        </w:tc>
        <w:tc>
          <w:tcPr>
            <w:tcW w:w="2576" w:type="dxa"/>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p>
        </w:tc>
        <w:tc>
          <w:tcPr>
            <w:tcW w:w="1458" w:type="dxa"/>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p>
        </w:tc>
        <w:tc>
          <w:tcPr>
            <w:tcW w:w="1437" w:type="dxa"/>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0" w:hRule="atLeast"/>
          <w:jc w:val="center"/>
        </w:trPr>
        <w:tc>
          <w:tcPr>
            <w:tcW w:w="915" w:type="dxa"/>
            <w:tcBorders>
              <w:right w:val="single" w:color="auto" w:sz="4" w:space="0"/>
            </w:tcBorders>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774" w:type="dxa"/>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p>
        </w:tc>
        <w:tc>
          <w:tcPr>
            <w:tcW w:w="2576" w:type="dxa"/>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p>
        </w:tc>
        <w:tc>
          <w:tcPr>
            <w:tcW w:w="1458" w:type="dxa"/>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p>
        </w:tc>
        <w:tc>
          <w:tcPr>
            <w:tcW w:w="1437" w:type="dxa"/>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jc w:val="center"/>
        </w:trPr>
        <w:tc>
          <w:tcPr>
            <w:tcW w:w="915" w:type="dxa"/>
            <w:tcBorders>
              <w:right w:val="single" w:color="auto" w:sz="4" w:space="0"/>
            </w:tcBorders>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774" w:type="dxa"/>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p>
        </w:tc>
        <w:tc>
          <w:tcPr>
            <w:tcW w:w="2576" w:type="dxa"/>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p>
        </w:tc>
        <w:tc>
          <w:tcPr>
            <w:tcW w:w="1458" w:type="dxa"/>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p>
        </w:tc>
        <w:tc>
          <w:tcPr>
            <w:tcW w:w="1437" w:type="dxa"/>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jc w:val="center"/>
        </w:trPr>
        <w:tc>
          <w:tcPr>
            <w:tcW w:w="915" w:type="dxa"/>
            <w:tcBorders>
              <w:right w:val="single" w:color="auto" w:sz="4" w:space="0"/>
            </w:tcBorders>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p>
        </w:tc>
        <w:tc>
          <w:tcPr>
            <w:tcW w:w="2774" w:type="dxa"/>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p>
        </w:tc>
        <w:tc>
          <w:tcPr>
            <w:tcW w:w="2576" w:type="dxa"/>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p>
        </w:tc>
        <w:tc>
          <w:tcPr>
            <w:tcW w:w="1458" w:type="dxa"/>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p>
        </w:tc>
        <w:tc>
          <w:tcPr>
            <w:tcW w:w="1437" w:type="dxa"/>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jc w:val="center"/>
        </w:trPr>
        <w:tc>
          <w:tcPr>
            <w:tcW w:w="915" w:type="dxa"/>
            <w:tcBorders>
              <w:right w:val="single" w:color="auto" w:sz="4" w:space="0"/>
            </w:tcBorders>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p>
        </w:tc>
        <w:tc>
          <w:tcPr>
            <w:tcW w:w="2774" w:type="dxa"/>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p>
        </w:tc>
        <w:tc>
          <w:tcPr>
            <w:tcW w:w="2576" w:type="dxa"/>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p>
        </w:tc>
        <w:tc>
          <w:tcPr>
            <w:tcW w:w="1458" w:type="dxa"/>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p>
        </w:tc>
        <w:tc>
          <w:tcPr>
            <w:tcW w:w="1437" w:type="dxa"/>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jc w:val="center"/>
        </w:trPr>
        <w:tc>
          <w:tcPr>
            <w:tcW w:w="915" w:type="dxa"/>
            <w:tcBorders>
              <w:right w:val="single" w:color="auto" w:sz="4" w:space="0"/>
            </w:tcBorders>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p>
        </w:tc>
        <w:tc>
          <w:tcPr>
            <w:tcW w:w="2774" w:type="dxa"/>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p>
        </w:tc>
        <w:tc>
          <w:tcPr>
            <w:tcW w:w="2576" w:type="dxa"/>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p>
        </w:tc>
        <w:tc>
          <w:tcPr>
            <w:tcW w:w="1458" w:type="dxa"/>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p>
        </w:tc>
        <w:tc>
          <w:tcPr>
            <w:tcW w:w="1437" w:type="dxa"/>
            <w:vAlign w:val="center"/>
          </w:tcPr>
          <w:p>
            <w:pPr>
              <w:keepNext/>
              <w:keepLines/>
              <w:autoSpaceDE w:val="0"/>
              <w:autoSpaceDN w:val="0"/>
              <w:adjustRightInd w:val="0"/>
              <w:spacing w:line="360" w:lineRule="auto"/>
              <w:jc w:val="center"/>
              <w:rPr>
                <w:rFonts w:asciiTheme="minorEastAsia" w:hAnsiTheme="minorEastAsia" w:eastAsiaTheme="minorEastAsia" w:cstheme="minorEastAsia"/>
                <w:szCs w:val="21"/>
              </w:rPr>
            </w:pPr>
          </w:p>
        </w:tc>
      </w:tr>
    </w:tbl>
    <w:p>
      <w:pPr>
        <w:keepNext/>
        <w:keepLines/>
        <w:spacing w:line="360" w:lineRule="auto"/>
        <w:ind w:firstLine="367" w:firstLineChars="17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我们承诺本标响应表的内容真实有效，无任何虚假之处，并且愿意承担因不满足此承诺而引起的相应的法律责任并接受相关部门的处罚。</w:t>
      </w:r>
    </w:p>
    <w:p>
      <w:pPr>
        <w:keepNext/>
        <w:keepLine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供应商应当根据招标文件的要求自行理解填写，除法定条款外，招标文件的规定的实质性内必须完全响应。</w:t>
      </w:r>
    </w:p>
    <w:p>
      <w:pPr>
        <w:keepNext/>
        <w:keepLine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供应商名称（并加盖公章）：                             </w:t>
      </w:r>
    </w:p>
    <w:p>
      <w:pPr>
        <w:keepNext/>
        <w:keepLine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法定代表人(或经营者)（代表人）或其授权委托人：（法定代表人(或经营者)签字或印鉴，授权委托人必须签字）：</w:t>
      </w:r>
    </w:p>
    <w:p>
      <w:pPr>
        <w:keepNext/>
        <w:keepLine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签署日期：</w:t>
      </w:r>
    </w:p>
    <w:p>
      <w:pPr>
        <w:keepNext/>
        <w:keepLines/>
        <w:spacing w:line="360" w:lineRule="auto"/>
        <w:rPr>
          <w:rFonts w:asciiTheme="minorEastAsia" w:hAnsiTheme="minorEastAsia" w:eastAsiaTheme="minorEastAsia" w:cstheme="minorEastAsia"/>
          <w:b/>
          <w:kern w:val="0"/>
          <w:szCs w:val="21"/>
        </w:rPr>
      </w:pPr>
    </w:p>
    <w:bookmarkEnd w:id="40"/>
    <w:p>
      <w:pPr>
        <w:keepNext/>
        <w:keepLines/>
        <w:spacing w:line="360" w:lineRule="auto"/>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br w:type="page"/>
      </w:r>
    </w:p>
    <w:p>
      <w:pPr>
        <w:keepNext/>
        <w:keepLines/>
        <w:spacing w:line="360" w:lineRule="auto"/>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szCs w:val="21"/>
        </w:rPr>
        <w:t>格式</w:t>
      </w:r>
      <w:r>
        <w:rPr>
          <w:rFonts w:hint="eastAsia" w:asciiTheme="minorEastAsia" w:hAnsiTheme="minorEastAsia" w:eastAsiaTheme="minorEastAsia" w:cstheme="minorEastAsia"/>
          <w:b/>
          <w:kern w:val="0"/>
          <w:szCs w:val="21"/>
        </w:rPr>
        <w:t>7</w:t>
      </w:r>
    </w:p>
    <w:p>
      <w:pPr>
        <w:keepNext/>
        <w:keepLines/>
        <w:autoSpaceDE w:val="0"/>
        <w:autoSpaceDN w:val="0"/>
        <w:adjustRightInd w:val="0"/>
        <w:snapToGrid w:val="0"/>
        <w:spacing w:line="360" w:lineRule="auto"/>
        <w:jc w:val="center"/>
        <w:rPr>
          <w:rFonts w:asciiTheme="minorEastAsia" w:hAnsiTheme="minorEastAsia" w:eastAsiaTheme="minorEastAsia" w:cstheme="minorEastAsia"/>
          <w:b/>
          <w:bCs/>
          <w:szCs w:val="21"/>
          <w:lang w:val="zh-CN"/>
        </w:rPr>
      </w:pPr>
    </w:p>
    <w:p>
      <w:pPr>
        <w:keepNext/>
        <w:keepLines/>
        <w:spacing w:line="360" w:lineRule="auto"/>
        <w:ind w:left="1054" w:hanging="1054" w:hangingChars="50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业绩情况表</w:t>
      </w:r>
    </w:p>
    <w:p>
      <w:pPr>
        <w:keepNext/>
        <w:keepLines/>
        <w:spacing w:line="360" w:lineRule="auto"/>
        <w:ind w:left="1054" w:hanging="1054" w:hangingChars="500"/>
        <w:jc w:val="center"/>
        <w:rPr>
          <w:rFonts w:asciiTheme="minorEastAsia" w:hAnsiTheme="minorEastAsia" w:eastAsiaTheme="minorEastAsia" w:cstheme="minorEastAsia"/>
          <w:b/>
          <w:szCs w:val="21"/>
        </w:rPr>
      </w:pPr>
    </w:p>
    <w:tbl>
      <w:tblPr>
        <w:tblStyle w:val="33"/>
        <w:tblW w:w="9060" w:type="dxa"/>
        <w:tblInd w:w="0" w:type="dxa"/>
        <w:tblLayout w:type="fixed"/>
        <w:tblCellMar>
          <w:top w:w="0" w:type="dxa"/>
          <w:left w:w="108" w:type="dxa"/>
          <w:bottom w:w="0" w:type="dxa"/>
          <w:right w:w="108" w:type="dxa"/>
        </w:tblCellMar>
      </w:tblPr>
      <w:tblGrid>
        <w:gridCol w:w="750"/>
        <w:gridCol w:w="1542"/>
        <w:gridCol w:w="1303"/>
        <w:gridCol w:w="1476"/>
        <w:gridCol w:w="1521"/>
        <w:gridCol w:w="1190"/>
        <w:gridCol w:w="1278"/>
      </w:tblGrid>
      <w:tr>
        <w:tblPrEx>
          <w:tblLayout w:type="fixed"/>
          <w:tblCellMar>
            <w:top w:w="0" w:type="dxa"/>
            <w:left w:w="108" w:type="dxa"/>
            <w:bottom w:w="0" w:type="dxa"/>
            <w:right w:w="108" w:type="dxa"/>
          </w:tblCellMar>
        </w:tblPrEx>
        <w:trPr>
          <w:trHeight w:val="543" w:hRule="atLeast"/>
        </w:trPr>
        <w:tc>
          <w:tcPr>
            <w:tcW w:w="750" w:type="dxa"/>
            <w:tcBorders>
              <w:top w:val="single" w:color="auto" w:sz="6" w:space="0"/>
              <w:left w:val="single" w:color="auto" w:sz="6" w:space="0"/>
              <w:bottom w:val="single" w:color="auto" w:sz="6" w:space="0"/>
              <w:right w:val="single" w:color="auto" w:sz="6" w:space="0"/>
            </w:tcBorders>
            <w:vAlign w:val="center"/>
          </w:tcPr>
          <w:p>
            <w:pPr>
              <w:keepNext/>
              <w:keepLines/>
              <w:autoSpaceDE w:val="0"/>
              <w:autoSpaceDN w:val="0"/>
              <w:adjustRightInd w:val="0"/>
              <w:snapToGrid w:val="0"/>
              <w:spacing w:line="360" w:lineRule="auto"/>
              <w:jc w:val="center"/>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序号</w:t>
            </w:r>
          </w:p>
        </w:tc>
        <w:tc>
          <w:tcPr>
            <w:tcW w:w="1542" w:type="dxa"/>
            <w:tcBorders>
              <w:top w:val="single" w:color="auto" w:sz="6" w:space="0"/>
              <w:left w:val="single" w:color="auto" w:sz="6" w:space="0"/>
              <w:bottom w:val="single" w:color="auto" w:sz="6" w:space="0"/>
              <w:right w:val="single" w:color="auto" w:sz="6" w:space="0"/>
            </w:tcBorders>
            <w:vAlign w:val="center"/>
          </w:tcPr>
          <w:p>
            <w:pPr>
              <w:keepNext/>
              <w:keepLines/>
              <w:autoSpaceDE w:val="0"/>
              <w:autoSpaceDN w:val="0"/>
              <w:adjustRightInd w:val="0"/>
              <w:snapToGrid w:val="0"/>
              <w:spacing w:line="360" w:lineRule="auto"/>
              <w:jc w:val="center"/>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采购单位</w:t>
            </w:r>
          </w:p>
        </w:tc>
        <w:tc>
          <w:tcPr>
            <w:tcW w:w="1303" w:type="dxa"/>
            <w:tcBorders>
              <w:top w:val="single" w:color="auto" w:sz="6" w:space="0"/>
              <w:left w:val="single" w:color="auto" w:sz="6" w:space="0"/>
              <w:bottom w:val="single" w:color="auto" w:sz="6" w:space="0"/>
              <w:right w:val="single" w:color="auto" w:sz="6" w:space="0"/>
            </w:tcBorders>
            <w:vAlign w:val="center"/>
          </w:tcPr>
          <w:p>
            <w:pPr>
              <w:keepNext/>
              <w:keepLines/>
              <w:autoSpaceDE w:val="0"/>
              <w:autoSpaceDN w:val="0"/>
              <w:adjustRightInd w:val="0"/>
              <w:snapToGrid w:val="0"/>
              <w:spacing w:line="360" w:lineRule="auto"/>
              <w:jc w:val="center"/>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项目名称</w:t>
            </w:r>
          </w:p>
        </w:tc>
        <w:tc>
          <w:tcPr>
            <w:tcW w:w="1476" w:type="dxa"/>
            <w:tcBorders>
              <w:top w:val="single" w:color="auto" w:sz="6" w:space="0"/>
              <w:left w:val="single" w:color="auto" w:sz="6" w:space="0"/>
              <w:bottom w:val="single" w:color="auto" w:sz="6" w:space="0"/>
              <w:right w:val="single" w:color="auto" w:sz="6" w:space="0"/>
            </w:tcBorders>
            <w:vAlign w:val="center"/>
          </w:tcPr>
          <w:p>
            <w:pPr>
              <w:keepNext/>
              <w:keepLines/>
              <w:autoSpaceDE w:val="0"/>
              <w:autoSpaceDN w:val="0"/>
              <w:adjustRightInd w:val="0"/>
              <w:snapToGrid w:val="0"/>
              <w:spacing w:line="360" w:lineRule="auto"/>
              <w:jc w:val="center"/>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金额</w:t>
            </w:r>
          </w:p>
        </w:tc>
        <w:tc>
          <w:tcPr>
            <w:tcW w:w="1521" w:type="dxa"/>
            <w:tcBorders>
              <w:top w:val="single" w:color="auto" w:sz="6" w:space="0"/>
              <w:left w:val="single" w:color="auto" w:sz="6" w:space="0"/>
              <w:bottom w:val="single" w:color="auto" w:sz="6" w:space="0"/>
              <w:right w:val="single" w:color="auto" w:sz="6" w:space="0"/>
            </w:tcBorders>
            <w:vAlign w:val="center"/>
          </w:tcPr>
          <w:p>
            <w:pPr>
              <w:keepNext/>
              <w:keepLines/>
              <w:autoSpaceDE w:val="0"/>
              <w:autoSpaceDN w:val="0"/>
              <w:adjustRightInd w:val="0"/>
              <w:snapToGrid w:val="0"/>
              <w:spacing w:line="360" w:lineRule="auto"/>
              <w:jc w:val="center"/>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合同时间</w:t>
            </w:r>
          </w:p>
        </w:tc>
        <w:tc>
          <w:tcPr>
            <w:tcW w:w="1190" w:type="dxa"/>
            <w:tcBorders>
              <w:top w:val="single" w:color="auto" w:sz="6" w:space="0"/>
              <w:left w:val="single" w:color="auto" w:sz="6" w:space="0"/>
              <w:bottom w:val="single" w:color="auto" w:sz="6" w:space="0"/>
              <w:right w:val="single" w:color="auto" w:sz="6" w:space="0"/>
            </w:tcBorders>
            <w:vAlign w:val="center"/>
          </w:tcPr>
          <w:p>
            <w:pPr>
              <w:keepNext/>
              <w:keepLines/>
              <w:autoSpaceDE w:val="0"/>
              <w:autoSpaceDN w:val="0"/>
              <w:adjustRightInd w:val="0"/>
              <w:snapToGrid w:val="0"/>
              <w:spacing w:line="360" w:lineRule="auto"/>
              <w:jc w:val="center"/>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联系人</w:t>
            </w:r>
          </w:p>
        </w:tc>
        <w:tc>
          <w:tcPr>
            <w:tcW w:w="1278" w:type="dxa"/>
            <w:tcBorders>
              <w:top w:val="single" w:color="auto" w:sz="6" w:space="0"/>
              <w:left w:val="single" w:color="auto" w:sz="6" w:space="0"/>
              <w:bottom w:val="single" w:color="auto" w:sz="6" w:space="0"/>
              <w:right w:val="single" w:color="auto" w:sz="6" w:space="0"/>
            </w:tcBorders>
            <w:vAlign w:val="center"/>
          </w:tcPr>
          <w:p>
            <w:pPr>
              <w:keepNext/>
              <w:keepLines/>
              <w:autoSpaceDE w:val="0"/>
              <w:autoSpaceDN w:val="0"/>
              <w:adjustRightInd w:val="0"/>
              <w:snapToGrid w:val="0"/>
              <w:spacing w:line="360" w:lineRule="auto"/>
              <w:jc w:val="center"/>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联系方式</w:t>
            </w:r>
          </w:p>
        </w:tc>
      </w:tr>
      <w:tr>
        <w:tblPrEx>
          <w:tblLayout w:type="fixed"/>
          <w:tblCellMar>
            <w:top w:w="0" w:type="dxa"/>
            <w:left w:w="108" w:type="dxa"/>
            <w:bottom w:w="0" w:type="dxa"/>
            <w:right w:w="108" w:type="dxa"/>
          </w:tblCellMar>
        </w:tblPrEx>
        <w:trPr>
          <w:trHeight w:val="454" w:hRule="atLeast"/>
        </w:trPr>
        <w:tc>
          <w:tcPr>
            <w:tcW w:w="750" w:type="dxa"/>
            <w:tcBorders>
              <w:top w:val="single" w:color="auto" w:sz="6" w:space="0"/>
              <w:left w:val="single" w:color="auto" w:sz="6" w:space="0"/>
              <w:bottom w:val="single" w:color="auto" w:sz="6" w:space="0"/>
              <w:right w:val="single" w:color="auto" w:sz="6" w:space="0"/>
            </w:tcBorders>
            <w:vAlign w:val="center"/>
          </w:tcPr>
          <w:p>
            <w:pPr>
              <w:keepNext/>
              <w:keepLines/>
              <w:autoSpaceDE w:val="0"/>
              <w:autoSpaceDN w:val="0"/>
              <w:adjustRightInd w:val="0"/>
              <w:snapToGrid w:val="0"/>
              <w:spacing w:line="360" w:lineRule="auto"/>
              <w:rPr>
                <w:rFonts w:asciiTheme="minorEastAsia" w:hAnsiTheme="minorEastAsia" w:eastAsiaTheme="minorEastAsia" w:cstheme="minorEastAsia"/>
                <w:kern w:val="0"/>
                <w:szCs w:val="21"/>
              </w:rPr>
            </w:pPr>
          </w:p>
        </w:tc>
        <w:tc>
          <w:tcPr>
            <w:tcW w:w="1542" w:type="dxa"/>
            <w:tcBorders>
              <w:top w:val="single" w:color="auto" w:sz="6" w:space="0"/>
              <w:left w:val="single" w:color="auto" w:sz="6" w:space="0"/>
              <w:bottom w:val="single" w:color="auto" w:sz="6" w:space="0"/>
              <w:right w:val="single" w:color="auto" w:sz="6" w:space="0"/>
            </w:tcBorders>
            <w:vAlign w:val="center"/>
          </w:tcPr>
          <w:p>
            <w:pPr>
              <w:keepNext/>
              <w:keepLines/>
              <w:autoSpaceDE w:val="0"/>
              <w:autoSpaceDN w:val="0"/>
              <w:adjustRightInd w:val="0"/>
              <w:snapToGrid w:val="0"/>
              <w:spacing w:line="360" w:lineRule="auto"/>
              <w:rPr>
                <w:rFonts w:asciiTheme="minorEastAsia" w:hAnsiTheme="minorEastAsia" w:eastAsiaTheme="minorEastAsia" w:cstheme="minorEastAsia"/>
                <w:kern w:val="0"/>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keepNext/>
              <w:keepLines/>
              <w:autoSpaceDE w:val="0"/>
              <w:autoSpaceDN w:val="0"/>
              <w:adjustRightInd w:val="0"/>
              <w:snapToGrid w:val="0"/>
              <w:spacing w:line="360" w:lineRule="auto"/>
              <w:rPr>
                <w:rFonts w:asciiTheme="minorEastAsia" w:hAnsiTheme="minorEastAsia" w:eastAsiaTheme="minorEastAsia" w:cstheme="minorEastAsia"/>
                <w:kern w:val="0"/>
                <w:szCs w:val="21"/>
              </w:rPr>
            </w:pPr>
          </w:p>
        </w:tc>
        <w:tc>
          <w:tcPr>
            <w:tcW w:w="1476" w:type="dxa"/>
            <w:tcBorders>
              <w:top w:val="single" w:color="auto" w:sz="6" w:space="0"/>
              <w:left w:val="single" w:color="auto" w:sz="6" w:space="0"/>
              <w:bottom w:val="single" w:color="auto" w:sz="6" w:space="0"/>
              <w:right w:val="single" w:color="auto" w:sz="6" w:space="0"/>
            </w:tcBorders>
            <w:vAlign w:val="center"/>
          </w:tcPr>
          <w:p>
            <w:pPr>
              <w:keepNext/>
              <w:keepLines/>
              <w:autoSpaceDE w:val="0"/>
              <w:autoSpaceDN w:val="0"/>
              <w:adjustRightInd w:val="0"/>
              <w:snapToGrid w:val="0"/>
              <w:spacing w:line="360" w:lineRule="auto"/>
              <w:rPr>
                <w:rFonts w:asciiTheme="minorEastAsia" w:hAnsiTheme="minorEastAsia" w:eastAsiaTheme="minorEastAsia" w:cstheme="minorEastAsia"/>
                <w:kern w:val="0"/>
                <w:szCs w:val="21"/>
              </w:rPr>
            </w:pPr>
          </w:p>
        </w:tc>
        <w:tc>
          <w:tcPr>
            <w:tcW w:w="1521" w:type="dxa"/>
            <w:tcBorders>
              <w:top w:val="single" w:color="auto" w:sz="6" w:space="0"/>
              <w:left w:val="single" w:color="auto" w:sz="6" w:space="0"/>
              <w:bottom w:val="single" w:color="auto" w:sz="6" w:space="0"/>
              <w:right w:val="single" w:color="auto" w:sz="6" w:space="0"/>
            </w:tcBorders>
            <w:vAlign w:val="center"/>
          </w:tcPr>
          <w:p>
            <w:pPr>
              <w:keepNext/>
              <w:keepLines/>
              <w:autoSpaceDE w:val="0"/>
              <w:autoSpaceDN w:val="0"/>
              <w:adjustRightInd w:val="0"/>
              <w:snapToGrid w:val="0"/>
              <w:spacing w:line="360" w:lineRule="auto"/>
              <w:rPr>
                <w:rFonts w:asciiTheme="minorEastAsia" w:hAnsiTheme="minorEastAsia" w:eastAsiaTheme="minorEastAsia" w:cstheme="minorEastAsia"/>
                <w:kern w:val="0"/>
                <w:szCs w:val="21"/>
              </w:rPr>
            </w:pPr>
          </w:p>
        </w:tc>
        <w:tc>
          <w:tcPr>
            <w:tcW w:w="1190" w:type="dxa"/>
            <w:tcBorders>
              <w:top w:val="single" w:color="auto" w:sz="6" w:space="0"/>
              <w:left w:val="single" w:color="auto" w:sz="6" w:space="0"/>
              <w:bottom w:val="single" w:color="auto" w:sz="6" w:space="0"/>
              <w:right w:val="single" w:color="auto" w:sz="6" w:space="0"/>
            </w:tcBorders>
            <w:vAlign w:val="center"/>
          </w:tcPr>
          <w:p>
            <w:pPr>
              <w:keepNext/>
              <w:keepLines/>
              <w:autoSpaceDE w:val="0"/>
              <w:autoSpaceDN w:val="0"/>
              <w:adjustRightInd w:val="0"/>
              <w:snapToGrid w:val="0"/>
              <w:spacing w:line="360" w:lineRule="auto"/>
              <w:rPr>
                <w:rFonts w:asciiTheme="minorEastAsia" w:hAnsiTheme="minorEastAsia" w:eastAsiaTheme="minorEastAsia" w:cstheme="minorEastAsia"/>
                <w:kern w:val="0"/>
                <w:szCs w:val="21"/>
              </w:rPr>
            </w:pPr>
          </w:p>
        </w:tc>
        <w:tc>
          <w:tcPr>
            <w:tcW w:w="1278" w:type="dxa"/>
            <w:tcBorders>
              <w:top w:val="single" w:color="auto" w:sz="6" w:space="0"/>
              <w:left w:val="single" w:color="auto" w:sz="6" w:space="0"/>
              <w:bottom w:val="single" w:color="auto" w:sz="6" w:space="0"/>
              <w:right w:val="single" w:color="auto" w:sz="6" w:space="0"/>
            </w:tcBorders>
            <w:vAlign w:val="center"/>
          </w:tcPr>
          <w:p>
            <w:pPr>
              <w:keepNext/>
              <w:keepLines/>
              <w:autoSpaceDE w:val="0"/>
              <w:autoSpaceDN w:val="0"/>
              <w:adjustRightInd w:val="0"/>
              <w:snapToGrid w:val="0"/>
              <w:spacing w:line="360" w:lineRule="auto"/>
              <w:rPr>
                <w:rFonts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454" w:hRule="atLeast"/>
        </w:trPr>
        <w:tc>
          <w:tcPr>
            <w:tcW w:w="750" w:type="dxa"/>
            <w:tcBorders>
              <w:top w:val="single" w:color="auto" w:sz="6" w:space="0"/>
              <w:left w:val="single" w:color="auto" w:sz="6" w:space="0"/>
              <w:bottom w:val="single" w:color="auto" w:sz="6" w:space="0"/>
              <w:right w:val="single" w:color="auto" w:sz="6" w:space="0"/>
            </w:tcBorders>
            <w:vAlign w:val="center"/>
          </w:tcPr>
          <w:p>
            <w:pPr>
              <w:keepNext/>
              <w:keepLines/>
              <w:autoSpaceDE w:val="0"/>
              <w:autoSpaceDN w:val="0"/>
              <w:adjustRightInd w:val="0"/>
              <w:snapToGrid w:val="0"/>
              <w:spacing w:line="360" w:lineRule="auto"/>
              <w:rPr>
                <w:rFonts w:asciiTheme="minorEastAsia" w:hAnsiTheme="minorEastAsia" w:eastAsiaTheme="minorEastAsia" w:cstheme="minorEastAsia"/>
                <w:kern w:val="0"/>
                <w:szCs w:val="21"/>
              </w:rPr>
            </w:pPr>
          </w:p>
        </w:tc>
        <w:tc>
          <w:tcPr>
            <w:tcW w:w="1542" w:type="dxa"/>
            <w:tcBorders>
              <w:top w:val="single" w:color="auto" w:sz="6" w:space="0"/>
              <w:left w:val="single" w:color="auto" w:sz="6" w:space="0"/>
              <w:bottom w:val="single" w:color="auto" w:sz="6" w:space="0"/>
              <w:right w:val="single" w:color="auto" w:sz="6" w:space="0"/>
            </w:tcBorders>
            <w:vAlign w:val="center"/>
          </w:tcPr>
          <w:p>
            <w:pPr>
              <w:keepNext/>
              <w:keepLines/>
              <w:autoSpaceDE w:val="0"/>
              <w:autoSpaceDN w:val="0"/>
              <w:adjustRightInd w:val="0"/>
              <w:snapToGrid w:val="0"/>
              <w:spacing w:line="360" w:lineRule="auto"/>
              <w:rPr>
                <w:rFonts w:asciiTheme="minorEastAsia" w:hAnsiTheme="minorEastAsia" w:eastAsiaTheme="minorEastAsia" w:cstheme="minorEastAsia"/>
                <w:kern w:val="0"/>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keepNext/>
              <w:keepLines/>
              <w:autoSpaceDE w:val="0"/>
              <w:autoSpaceDN w:val="0"/>
              <w:adjustRightInd w:val="0"/>
              <w:snapToGrid w:val="0"/>
              <w:spacing w:line="360" w:lineRule="auto"/>
              <w:rPr>
                <w:rFonts w:asciiTheme="minorEastAsia" w:hAnsiTheme="minorEastAsia" w:eastAsiaTheme="minorEastAsia" w:cstheme="minorEastAsia"/>
                <w:kern w:val="0"/>
                <w:szCs w:val="21"/>
              </w:rPr>
            </w:pPr>
          </w:p>
        </w:tc>
        <w:tc>
          <w:tcPr>
            <w:tcW w:w="1476" w:type="dxa"/>
            <w:tcBorders>
              <w:top w:val="single" w:color="auto" w:sz="6" w:space="0"/>
              <w:left w:val="single" w:color="auto" w:sz="6" w:space="0"/>
              <w:bottom w:val="single" w:color="auto" w:sz="6" w:space="0"/>
              <w:right w:val="single" w:color="auto" w:sz="6" w:space="0"/>
            </w:tcBorders>
            <w:vAlign w:val="center"/>
          </w:tcPr>
          <w:p>
            <w:pPr>
              <w:keepNext/>
              <w:keepLines/>
              <w:autoSpaceDE w:val="0"/>
              <w:autoSpaceDN w:val="0"/>
              <w:adjustRightInd w:val="0"/>
              <w:snapToGrid w:val="0"/>
              <w:spacing w:line="360" w:lineRule="auto"/>
              <w:rPr>
                <w:rFonts w:asciiTheme="minorEastAsia" w:hAnsiTheme="minorEastAsia" w:eastAsiaTheme="minorEastAsia" w:cstheme="minorEastAsia"/>
                <w:kern w:val="0"/>
                <w:szCs w:val="21"/>
              </w:rPr>
            </w:pPr>
          </w:p>
        </w:tc>
        <w:tc>
          <w:tcPr>
            <w:tcW w:w="1521" w:type="dxa"/>
            <w:tcBorders>
              <w:top w:val="single" w:color="auto" w:sz="6" w:space="0"/>
              <w:left w:val="single" w:color="auto" w:sz="6" w:space="0"/>
              <w:bottom w:val="single" w:color="auto" w:sz="6" w:space="0"/>
              <w:right w:val="single" w:color="auto" w:sz="6" w:space="0"/>
            </w:tcBorders>
            <w:vAlign w:val="center"/>
          </w:tcPr>
          <w:p>
            <w:pPr>
              <w:keepNext/>
              <w:keepLines/>
              <w:autoSpaceDE w:val="0"/>
              <w:autoSpaceDN w:val="0"/>
              <w:adjustRightInd w:val="0"/>
              <w:snapToGrid w:val="0"/>
              <w:spacing w:line="360" w:lineRule="auto"/>
              <w:rPr>
                <w:rFonts w:asciiTheme="minorEastAsia" w:hAnsiTheme="minorEastAsia" w:eastAsiaTheme="minorEastAsia" w:cstheme="minorEastAsia"/>
                <w:kern w:val="0"/>
                <w:szCs w:val="21"/>
              </w:rPr>
            </w:pPr>
          </w:p>
        </w:tc>
        <w:tc>
          <w:tcPr>
            <w:tcW w:w="1190" w:type="dxa"/>
            <w:tcBorders>
              <w:top w:val="single" w:color="auto" w:sz="6" w:space="0"/>
              <w:left w:val="single" w:color="auto" w:sz="6" w:space="0"/>
              <w:bottom w:val="single" w:color="auto" w:sz="6" w:space="0"/>
              <w:right w:val="single" w:color="auto" w:sz="6" w:space="0"/>
            </w:tcBorders>
            <w:vAlign w:val="center"/>
          </w:tcPr>
          <w:p>
            <w:pPr>
              <w:keepNext/>
              <w:keepLines/>
              <w:autoSpaceDE w:val="0"/>
              <w:autoSpaceDN w:val="0"/>
              <w:adjustRightInd w:val="0"/>
              <w:snapToGrid w:val="0"/>
              <w:spacing w:line="360" w:lineRule="auto"/>
              <w:rPr>
                <w:rFonts w:asciiTheme="minorEastAsia" w:hAnsiTheme="minorEastAsia" w:eastAsiaTheme="minorEastAsia" w:cstheme="minorEastAsia"/>
                <w:kern w:val="0"/>
                <w:szCs w:val="21"/>
              </w:rPr>
            </w:pPr>
          </w:p>
        </w:tc>
        <w:tc>
          <w:tcPr>
            <w:tcW w:w="1278" w:type="dxa"/>
            <w:tcBorders>
              <w:top w:val="single" w:color="auto" w:sz="6" w:space="0"/>
              <w:left w:val="single" w:color="auto" w:sz="6" w:space="0"/>
              <w:bottom w:val="single" w:color="auto" w:sz="6" w:space="0"/>
              <w:right w:val="single" w:color="auto" w:sz="6" w:space="0"/>
            </w:tcBorders>
            <w:vAlign w:val="center"/>
          </w:tcPr>
          <w:p>
            <w:pPr>
              <w:keepNext/>
              <w:keepLines/>
              <w:autoSpaceDE w:val="0"/>
              <w:autoSpaceDN w:val="0"/>
              <w:adjustRightInd w:val="0"/>
              <w:snapToGrid w:val="0"/>
              <w:spacing w:line="360" w:lineRule="auto"/>
              <w:rPr>
                <w:rFonts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454" w:hRule="atLeast"/>
        </w:trPr>
        <w:tc>
          <w:tcPr>
            <w:tcW w:w="750" w:type="dxa"/>
            <w:tcBorders>
              <w:top w:val="single" w:color="auto" w:sz="6" w:space="0"/>
              <w:left w:val="single" w:color="auto" w:sz="6" w:space="0"/>
              <w:bottom w:val="single" w:color="auto" w:sz="6" w:space="0"/>
              <w:right w:val="single" w:color="auto" w:sz="6" w:space="0"/>
            </w:tcBorders>
            <w:vAlign w:val="center"/>
          </w:tcPr>
          <w:p>
            <w:pPr>
              <w:keepNext/>
              <w:keepLines/>
              <w:autoSpaceDE w:val="0"/>
              <w:autoSpaceDN w:val="0"/>
              <w:adjustRightInd w:val="0"/>
              <w:snapToGrid w:val="0"/>
              <w:spacing w:line="360" w:lineRule="auto"/>
              <w:rPr>
                <w:rFonts w:asciiTheme="minorEastAsia" w:hAnsiTheme="minorEastAsia" w:eastAsiaTheme="minorEastAsia" w:cstheme="minorEastAsia"/>
                <w:kern w:val="0"/>
                <w:szCs w:val="21"/>
              </w:rPr>
            </w:pPr>
          </w:p>
        </w:tc>
        <w:tc>
          <w:tcPr>
            <w:tcW w:w="1542" w:type="dxa"/>
            <w:tcBorders>
              <w:top w:val="single" w:color="auto" w:sz="6" w:space="0"/>
              <w:left w:val="single" w:color="auto" w:sz="6" w:space="0"/>
              <w:bottom w:val="single" w:color="auto" w:sz="6" w:space="0"/>
              <w:right w:val="single" w:color="auto" w:sz="6" w:space="0"/>
            </w:tcBorders>
            <w:vAlign w:val="center"/>
          </w:tcPr>
          <w:p>
            <w:pPr>
              <w:keepNext/>
              <w:keepLines/>
              <w:autoSpaceDE w:val="0"/>
              <w:autoSpaceDN w:val="0"/>
              <w:adjustRightInd w:val="0"/>
              <w:snapToGrid w:val="0"/>
              <w:spacing w:line="360" w:lineRule="auto"/>
              <w:rPr>
                <w:rFonts w:asciiTheme="minorEastAsia" w:hAnsiTheme="minorEastAsia" w:eastAsiaTheme="minorEastAsia" w:cstheme="minorEastAsia"/>
                <w:kern w:val="0"/>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keepNext/>
              <w:keepLines/>
              <w:autoSpaceDE w:val="0"/>
              <w:autoSpaceDN w:val="0"/>
              <w:adjustRightInd w:val="0"/>
              <w:snapToGrid w:val="0"/>
              <w:spacing w:line="360" w:lineRule="auto"/>
              <w:rPr>
                <w:rFonts w:asciiTheme="minorEastAsia" w:hAnsiTheme="minorEastAsia" w:eastAsiaTheme="minorEastAsia" w:cstheme="minorEastAsia"/>
                <w:kern w:val="0"/>
                <w:szCs w:val="21"/>
              </w:rPr>
            </w:pPr>
          </w:p>
        </w:tc>
        <w:tc>
          <w:tcPr>
            <w:tcW w:w="1476" w:type="dxa"/>
            <w:tcBorders>
              <w:top w:val="single" w:color="auto" w:sz="6" w:space="0"/>
              <w:left w:val="single" w:color="auto" w:sz="6" w:space="0"/>
              <w:bottom w:val="single" w:color="auto" w:sz="6" w:space="0"/>
              <w:right w:val="single" w:color="auto" w:sz="6" w:space="0"/>
            </w:tcBorders>
            <w:vAlign w:val="center"/>
          </w:tcPr>
          <w:p>
            <w:pPr>
              <w:keepNext/>
              <w:keepLines/>
              <w:autoSpaceDE w:val="0"/>
              <w:autoSpaceDN w:val="0"/>
              <w:adjustRightInd w:val="0"/>
              <w:snapToGrid w:val="0"/>
              <w:spacing w:line="360" w:lineRule="auto"/>
              <w:rPr>
                <w:rFonts w:asciiTheme="minorEastAsia" w:hAnsiTheme="minorEastAsia" w:eastAsiaTheme="minorEastAsia" w:cstheme="minorEastAsia"/>
                <w:kern w:val="0"/>
                <w:szCs w:val="21"/>
              </w:rPr>
            </w:pPr>
          </w:p>
        </w:tc>
        <w:tc>
          <w:tcPr>
            <w:tcW w:w="1521" w:type="dxa"/>
            <w:tcBorders>
              <w:top w:val="single" w:color="auto" w:sz="6" w:space="0"/>
              <w:left w:val="single" w:color="auto" w:sz="6" w:space="0"/>
              <w:bottom w:val="single" w:color="auto" w:sz="6" w:space="0"/>
              <w:right w:val="single" w:color="auto" w:sz="6" w:space="0"/>
            </w:tcBorders>
            <w:vAlign w:val="center"/>
          </w:tcPr>
          <w:p>
            <w:pPr>
              <w:keepNext/>
              <w:keepLines/>
              <w:autoSpaceDE w:val="0"/>
              <w:autoSpaceDN w:val="0"/>
              <w:adjustRightInd w:val="0"/>
              <w:snapToGrid w:val="0"/>
              <w:spacing w:line="360" w:lineRule="auto"/>
              <w:rPr>
                <w:rFonts w:asciiTheme="minorEastAsia" w:hAnsiTheme="minorEastAsia" w:eastAsiaTheme="minorEastAsia" w:cstheme="minorEastAsia"/>
                <w:kern w:val="0"/>
                <w:szCs w:val="21"/>
              </w:rPr>
            </w:pPr>
          </w:p>
        </w:tc>
        <w:tc>
          <w:tcPr>
            <w:tcW w:w="1190" w:type="dxa"/>
            <w:tcBorders>
              <w:top w:val="single" w:color="auto" w:sz="6" w:space="0"/>
              <w:left w:val="single" w:color="auto" w:sz="6" w:space="0"/>
              <w:bottom w:val="single" w:color="auto" w:sz="6" w:space="0"/>
              <w:right w:val="single" w:color="auto" w:sz="6" w:space="0"/>
            </w:tcBorders>
            <w:vAlign w:val="center"/>
          </w:tcPr>
          <w:p>
            <w:pPr>
              <w:keepNext/>
              <w:keepLines/>
              <w:autoSpaceDE w:val="0"/>
              <w:autoSpaceDN w:val="0"/>
              <w:adjustRightInd w:val="0"/>
              <w:snapToGrid w:val="0"/>
              <w:spacing w:line="360" w:lineRule="auto"/>
              <w:rPr>
                <w:rFonts w:asciiTheme="minorEastAsia" w:hAnsiTheme="minorEastAsia" w:eastAsiaTheme="minorEastAsia" w:cstheme="minorEastAsia"/>
                <w:kern w:val="0"/>
                <w:szCs w:val="21"/>
              </w:rPr>
            </w:pPr>
          </w:p>
        </w:tc>
        <w:tc>
          <w:tcPr>
            <w:tcW w:w="1278" w:type="dxa"/>
            <w:tcBorders>
              <w:top w:val="single" w:color="auto" w:sz="6" w:space="0"/>
              <w:left w:val="single" w:color="auto" w:sz="6" w:space="0"/>
              <w:bottom w:val="single" w:color="auto" w:sz="6" w:space="0"/>
              <w:right w:val="single" w:color="auto" w:sz="6" w:space="0"/>
            </w:tcBorders>
            <w:vAlign w:val="center"/>
          </w:tcPr>
          <w:p>
            <w:pPr>
              <w:keepNext/>
              <w:keepLines/>
              <w:autoSpaceDE w:val="0"/>
              <w:autoSpaceDN w:val="0"/>
              <w:adjustRightInd w:val="0"/>
              <w:snapToGrid w:val="0"/>
              <w:spacing w:line="360" w:lineRule="auto"/>
              <w:rPr>
                <w:rFonts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454" w:hRule="atLeast"/>
        </w:trPr>
        <w:tc>
          <w:tcPr>
            <w:tcW w:w="750" w:type="dxa"/>
            <w:tcBorders>
              <w:top w:val="single" w:color="auto" w:sz="6" w:space="0"/>
              <w:left w:val="single" w:color="auto" w:sz="6" w:space="0"/>
              <w:bottom w:val="single" w:color="auto" w:sz="6" w:space="0"/>
              <w:right w:val="single" w:color="auto" w:sz="6" w:space="0"/>
            </w:tcBorders>
            <w:vAlign w:val="center"/>
          </w:tcPr>
          <w:p>
            <w:pPr>
              <w:keepNext/>
              <w:keepLines/>
              <w:autoSpaceDE w:val="0"/>
              <w:autoSpaceDN w:val="0"/>
              <w:adjustRightInd w:val="0"/>
              <w:snapToGrid w:val="0"/>
              <w:spacing w:line="360" w:lineRule="auto"/>
              <w:rPr>
                <w:rFonts w:asciiTheme="minorEastAsia" w:hAnsiTheme="minorEastAsia" w:eastAsiaTheme="minorEastAsia" w:cstheme="minorEastAsia"/>
                <w:kern w:val="0"/>
                <w:szCs w:val="21"/>
              </w:rPr>
            </w:pPr>
          </w:p>
        </w:tc>
        <w:tc>
          <w:tcPr>
            <w:tcW w:w="1542" w:type="dxa"/>
            <w:tcBorders>
              <w:top w:val="single" w:color="auto" w:sz="6" w:space="0"/>
              <w:left w:val="single" w:color="auto" w:sz="6" w:space="0"/>
              <w:bottom w:val="single" w:color="auto" w:sz="6" w:space="0"/>
              <w:right w:val="single" w:color="auto" w:sz="6" w:space="0"/>
            </w:tcBorders>
            <w:vAlign w:val="center"/>
          </w:tcPr>
          <w:p>
            <w:pPr>
              <w:keepNext/>
              <w:keepLines/>
              <w:autoSpaceDE w:val="0"/>
              <w:autoSpaceDN w:val="0"/>
              <w:adjustRightInd w:val="0"/>
              <w:snapToGrid w:val="0"/>
              <w:spacing w:line="360" w:lineRule="auto"/>
              <w:rPr>
                <w:rFonts w:asciiTheme="minorEastAsia" w:hAnsiTheme="minorEastAsia" w:eastAsiaTheme="minorEastAsia" w:cstheme="minorEastAsia"/>
                <w:kern w:val="0"/>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keepNext/>
              <w:keepLines/>
              <w:autoSpaceDE w:val="0"/>
              <w:autoSpaceDN w:val="0"/>
              <w:adjustRightInd w:val="0"/>
              <w:snapToGrid w:val="0"/>
              <w:spacing w:line="360" w:lineRule="auto"/>
              <w:rPr>
                <w:rFonts w:asciiTheme="minorEastAsia" w:hAnsiTheme="minorEastAsia" w:eastAsiaTheme="minorEastAsia" w:cstheme="minorEastAsia"/>
                <w:kern w:val="0"/>
                <w:szCs w:val="21"/>
              </w:rPr>
            </w:pPr>
          </w:p>
        </w:tc>
        <w:tc>
          <w:tcPr>
            <w:tcW w:w="1476" w:type="dxa"/>
            <w:tcBorders>
              <w:top w:val="single" w:color="auto" w:sz="6" w:space="0"/>
              <w:left w:val="single" w:color="auto" w:sz="6" w:space="0"/>
              <w:bottom w:val="single" w:color="auto" w:sz="6" w:space="0"/>
              <w:right w:val="single" w:color="auto" w:sz="6" w:space="0"/>
            </w:tcBorders>
            <w:vAlign w:val="center"/>
          </w:tcPr>
          <w:p>
            <w:pPr>
              <w:keepNext/>
              <w:keepLines/>
              <w:autoSpaceDE w:val="0"/>
              <w:autoSpaceDN w:val="0"/>
              <w:adjustRightInd w:val="0"/>
              <w:snapToGrid w:val="0"/>
              <w:spacing w:line="360" w:lineRule="auto"/>
              <w:rPr>
                <w:rFonts w:asciiTheme="minorEastAsia" w:hAnsiTheme="minorEastAsia" w:eastAsiaTheme="minorEastAsia" w:cstheme="minorEastAsia"/>
                <w:kern w:val="0"/>
                <w:szCs w:val="21"/>
              </w:rPr>
            </w:pPr>
          </w:p>
        </w:tc>
        <w:tc>
          <w:tcPr>
            <w:tcW w:w="1521" w:type="dxa"/>
            <w:tcBorders>
              <w:top w:val="single" w:color="auto" w:sz="6" w:space="0"/>
              <w:left w:val="single" w:color="auto" w:sz="6" w:space="0"/>
              <w:bottom w:val="single" w:color="auto" w:sz="6" w:space="0"/>
              <w:right w:val="single" w:color="auto" w:sz="6" w:space="0"/>
            </w:tcBorders>
            <w:vAlign w:val="center"/>
          </w:tcPr>
          <w:p>
            <w:pPr>
              <w:keepNext/>
              <w:keepLines/>
              <w:autoSpaceDE w:val="0"/>
              <w:autoSpaceDN w:val="0"/>
              <w:adjustRightInd w:val="0"/>
              <w:snapToGrid w:val="0"/>
              <w:spacing w:line="360" w:lineRule="auto"/>
              <w:rPr>
                <w:rFonts w:asciiTheme="minorEastAsia" w:hAnsiTheme="minorEastAsia" w:eastAsiaTheme="minorEastAsia" w:cstheme="minorEastAsia"/>
                <w:kern w:val="0"/>
                <w:szCs w:val="21"/>
              </w:rPr>
            </w:pPr>
          </w:p>
        </w:tc>
        <w:tc>
          <w:tcPr>
            <w:tcW w:w="1190" w:type="dxa"/>
            <w:tcBorders>
              <w:top w:val="single" w:color="auto" w:sz="6" w:space="0"/>
              <w:left w:val="single" w:color="auto" w:sz="6" w:space="0"/>
              <w:bottom w:val="single" w:color="auto" w:sz="6" w:space="0"/>
              <w:right w:val="single" w:color="auto" w:sz="6" w:space="0"/>
            </w:tcBorders>
            <w:vAlign w:val="center"/>
          </w:tcPr>
          <w:p>
            <w:pPr>
              <w:keepNext/>
              <w:keepLines/>
              <w:autoSpaceDE w:val="0"/>
              <w:autoSpaceDN w:val="0"/>
              <w:adjustRightInd w:val="0"/>
              <w:snapToGrid w:val="0"/>
              <w:spacing w:line="360" w:lineRule="auto"/>
              <w:rPr>
                <w:rFonts w:asciiTheme="minorEastAsia" w:hAnsiTheme="minorEastAsia" w:eastAsiaTheme="minorEastAsia" w:cstheme="minorEastAsia"/>
                <w:kern w:val="0"/>
                <w:szCs w:val="21"/>
              </w:rPr>
            </w:pPr>
          </w:p>
        </w:tc>
        <w:tc>
          <w:tcPr>
            <w:tcW w:w="1278" w:type="dxa"/>
            <w:tcBorders>
              <w:top w:val="single" w:color="auto" w:sz="6" w:space="0"/>
              <w:left w:val="single" w:color="auto" w:sz="6" w:space="0"/>
              <w:bottom w:val="single" w:color="auto" w:sz="6" w:space="0"/>
              <w:right w:val="single" w:color="auto" w:sz="6" w:space="0"/>
            </w:tcBorders>
            <w:vAlign w:val="center"/>
          </w:tcPr>
          <w:p>
            <w:pPr>
              <w:keepNext/>
              <w:keepLines/>
              <w:autoSpaceDE w:val="0"/>
              <w:autoSpaceDN w:val="0"/>
              <w:adjustRightInd w:val="0"/>
              <w:snapToGrid w:val="0"/>
              <w:spacing w:line="360" w:lineRule="auto"/>
              <w:rPr>
                <w:rFonts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454" w:hRule="atLeast"/>
        </w:trPr>
        <w:tc>
          <w:tcPr>
            <w:tcW w:w="750" w:type="dxa"/>
            <w:tcBorders>
              <w:top w:val="single" w:color="auto" w:sz="6" w:space="0"/>
              <w:left w:val="single" w:color="auto" w:sz="6" w:space="0"/>
              <w:bottom w:val="single" w:color="auto" w:sz="6" w:space="0"/>
              <w:right w:val="single" w:color="auto" w:sz="6" w:space="0"/>
            </w:tcBorders>
            <w:vAlign w:val="center"/>
          </w:tcPr>
          <w:p>
            <w:pPr>
              <w:keepNext/>
              <w:keepLines/>
              <w:autoSpaceDE w:val="0"/>
              <w:autoSpaceDN w:val="0"/>
              <w:adjustRightInd w:val="0"/>
              <w:snapToGrid w:val="0"/>
              <w:spacing w:line="360" w:lineRule="auto"/>
              <w:rPr>
                <w:rFonts w:asciiTheme="minorEastAsia" w:hAnsiTheme="minorEastAsia" w:eastAsiaTheme="minorEastAsia" w:cstheme="minorEastAsia"/>
                <w:kern w:val="0"/>
                <w:szCs w:val="21"/>
              </w:rPr>
            </w:pPr>
          </w:p>
        </w:tc>
        <w:tc>
          <w:tcPr>
            <w:tcW w:w="1542" w:type="dxa"/>
            <w:tcBorders>
              <w:top w:val="single" w:color="auto" w:sz="6" w:space="0"/>
              <w:left w:val="single" w:color="auto" w:sz="6" w:space="0"/>
              <w:bottom w:val="single" w:color="auto" w:sz="6" w:space="0"/>
              <w:right w:val="single" w:color="auto" w:sz="6" w:space="0"/>
            </w:tcBorders>
            <w:vAlign w:val="center"/>
          </w:tcPr>
          <w:p>
            <w:pPr>
              <w:keepNext/>
              <w:keepLines/>
              <w:autoSpaceDE w:val="0"/>
              <w:autoSpaceDN w:val="0"/>
              <w:adjustRightInd w:val="0"/>
              <w:snapToGrid w:val="0"/>
              <w:spacing w:line="360" w:lineRule="auto"/>
              <w:rPr>
                <w:rFonts w:asciiTheme="minorEastAsia" w:hAnsiTheme="minorEastAsia" w:eastAsiaTheme="minorEastAsia" w:cstheme="minorEastAsia"/>
                <w:kern w:val="0"/>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keepNext/>
              <w:keepLines/>
              <w:autoSpaceDE w:val="0"/>
              <w:autoSpaceDN w:val="0"/>
              <w:adjustRightInd w:val="0"/>
              <w:snapToGrid w:val="0"/>
              <w:spacing w:line="360" w:lineRule="auto"/>
              <w:rPr>
                <w:rFonts w:asciiTheme="minorEastAsia" w:hAnsiTheme="minorEastAsia" w:eastAsiaTheme="minorEastAsia" w:cstheme="minorEastAsia"/>
                <w:kern w:val="0"/>
                <w:szCs w:val="21"/>
              </w:rPr>
            </w:pPr>
          </w:p>
        </w:tc>
        <w:tc>
          <w:tcPr>
            <w:tcW w:w="1476" w:type="dxa"/>
            <w:tcBorders>
              <w:top w:val="single" w:color="auto" w:sz="6" w:space="0"/>
              <w:left w:val="single" w:color="auto" w:sz="6" w:space="0"/>
              <w:bottom w:val="single" w:color="auto" w:sz="6" w:space="0"/>
              <w:right w:val="single" w:color="auto" w:sz="6" w:space="0"/>
            </w:tcBorders>
            <w:vAlign w:val="center"/>
          </w:tcPr>
          <w:p>
            <w:pPr>
              <w:keepNext/>
              <w:keepLines/>
              <w:autoSpaceDE w:val="0"/>
              <w:autoSpaceDN w:val="0"/>
              <w:adjustRightInd w:val="0"/>
              <w:snapToGrid w:val="0"/>
              <w:spacing w:line="360" w:lineRule="auto"/>
              <w:rPr>
                <w:rFonts w:asciiTheme="minorEastAsia" w:hAnsiTheme="minorEastAsia" w:eastAsiaTheme="minorEastAsia" w:cstheme="minorEastAsia"/>
                <w:kern w:val="0"/>
                <w:szCs w:val="21"/>
              </w:rPr>
            </w:pPr>
          </w:p>
        </w:tc>
        <w:tc>
          <w:tcPr>
            <w:tcW w:w="1521" w:type="dxa"/>
            <w:tcBorders>
              <w:top w:val="single" w:color="auto" w:sz="6" w:space="0"/>
              <w:left w:val="single" w:color="auto" w:sz="6" w:space="0"/>
              <w:bottom w:val="single" w:color="auto" w:sz="6" w:space="0"/>
              <w:right w:val="single" w:color="auto" w:sz="6" w:space="0"/>
            </w:tcBorders>
            <w:vAlign w:val="center"/>
          </w:tcPr>
          <w:p>
            <w:pPr>
              <w:keepNext/>
              <w:keepLines/>
              <w:autoSpaceDE w:val="0"/>
              <w:autoSpaceDN w:val="0"/>
              <w:adjustRightInd w:val="0"/>
              <w:snapToGrid w:val="0"/>
              <w:spacing w:line="360" w:lineRule="auto"/>
              <w:rPr>
                <w:rFonts w:asciiTheme="minorEastAsia" w:hAnsiTheme="minorEastAsia" w:eastAsiaTheme="minorEastAsia" w:cstheme="minorEastAsia"/>
                <w:kern w:val="0"/>
                <w:szCs w:val="21"/>
              </w:rPr>
            </w:pPr>
          </w:p>
        </w:tc>
        <w:tc>
          <w:tcPr>
            <w:tcW w:w="1190" w:type="dxa"/>
            <w:tcBorders>
              <w:top w:val="single" w:color="auto" w:sz="6" w:space="0"/>
              <w:left w:val="single" w:color="auto" w:sz="6" w:space="0"/>
              <w:bottom w:val="single" w:color="auto" w:sz="6" w:space="0"/>
              <w:right w:val="single" w:color="auto" w:sz="6" w:space="0"/>
            </w:tcBorders>
            <w:vAlign w:val="center"/>
          </w:tcPr>
          <w:p>
            <w:pPr>
              <w:keepNext/>
              <w:keepLines/>
              <w:autoSpaceDE w:val="0"/>
              <w:autoSpaceDN w:val="0"/>
              <w:adjustRightInd w:val="0"/>
              <w:snapToGrid w:val="0"/>
              <w:spacing w:line="360" w:lineRule="auto"/>
              <w:rPr>
                <w:rFonts w:asciiTheme="minorEastAsia" w:hAnsiTheme="minorEastAsia" w:eastAsiaTheme="minorEastAsia" w:cstheme="minorEastAsia"/>
                <w:kern w:val="0"/>
                <w:szCs w:val="21"/>
              </w:rPr>
            </w:pPr>
          </w:p>
        </w:tc>
        <w:tc>
          <w:tcPr>
            <w:tcW w:w="1278" w:type="dxa"/>
            <w:tcBorders>
              <w:top w:val="single" w:color="auto" w:sz="6" w:space="0"/>
              <w:left w:val="single" w:color="auto" w:sz="6" w:space="0"/>
              <w:bottom w:val="single" w:color="auto" w:sz="6" w:space="0"/>
              <w:right w:val="single" w:color="auto" w:sz="6" w:space="0"/>
            </w:tcBorders>
            <w:vAlign w:val="center"/>
          </w:tcPr>
          <w:p>
            <w:pPr>
              <w:keepNext/>
              <w:keepLines/>
              <w:autoSpaceDE w:val="0"/>
              <w:autoSpaceDN w:val="0"/>
              <w:adjustRightInd w:val="0"/>
              <w:snapToGrid w:val="0"/>
              <w:spacing w:line="360" w:lineRule="auto"/>
              <w:rPr>
                <w:rFonts w:asciiTheme="minorEastAsia" w:hAnsiTheme="minorEastAsia" w:eastAsiaTheme="minorEastAsia" w:cstheme="minorEastAsia"/>
                <w:kern w:val="0"/>
                <w:szCs w:val="21"/>
              </w:rPr>
            </w:pPr>
          </w:p>
        </w:tc>
      </w:tr>
    </w:tbl>
    <w:p>
      <w:pPr>
        <w:keepNext/>
        <w:keepLine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注：附相关资料</w:t>
      </w:r>
    </w:p>
    <w:p>
      <w:pPr>
        <w:keepNext/>
        <w:keepLines/>
        <w:spacing w:line="360" w:lineRule="auto"/>
        <w:rPr>
          <w:rFonts w:asciiTheme="minorEastAsia" w:hAnsiTheme="minorEastAsia" w:eastAsiaTheme="minorEastAsia" w:cstheme="minorEastAsia"/>
          <w:szCs w:val="21"/>
        </w:rPr>
      </w:pPr>
    </w:p>
    <w:p>
      <w:pPr>
        <w:keepNext/>
        <w:keepLine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供应商（公章）：</w:t>
      </w:r>
    </w:p>
    <w:p>
      <w:pPr>
        <w:keepNext/>
        <w:keepLine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供应商法定代表人(或经营者)或代理人：（法定代表人(或经营者)签字或印鉴，授权委托人必须签字）</w:t>
      </w:r>
    </w:p>
    <w:p>
      <w:pPr>
        <w:keepNext/>
        <w:keepLines/>
        <w:spacing w:line="360" w:lineRule="auto"/>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日期：     年    月    日</w:t>
      </w:r>
    </w:p>
    <w:p>
      <w:pPr>
        <w:pStyle w:val="4"/>
        <w:topLinePunct/>
        <w:spacing w:beforeLines="100" w:afterLines="150" w:line="360" w:lineRule="auto"/>
        <w:jc w:val="center"/>
        <w:rPr>
          <w:rFonts w:asciiTheme="minorEastAsia" w:hAnsiTheme="minorEastAsia" w:eastAsiaTheme="minorEastAsia" w:cstheme="minorEastAsia"/>
          <w:sz w:val="21"/>
          <w:szCs w:val="21"/>
        </w:rPr>
      </w:pPr>
      <w:bookmarkStart w:id="41" w:name="_Toc450029337"/>
    </w:p>
    <w:p>
      <w:pPr>
        <w:pStyle w:val="4"/>
        <w:topLinePunct/>
        <w:spacing w:beforeLines="100" w:afterLines="150" w:line="360" w:lineRule="auto"/>
        <w:jc w:val="center"/>
        <w:rPr>
          <w:rFonts w:asciiTheme="minorEastAsia" w:hAnsiTheme="minorEastAsia" w:eastAsiaTheme="minorEastAsia" w:cstheme="minorEastAsia"/>
          <w:sz w:val="21"/>
          <w:szCs w:val="21"/>
        </w:rPr>
      </w:pPr>
    </w:p>
    <w:p>
      <w:pPr>
        <w:keepNext/>
        <w:keepLines/>
        <w:spacing w:line="360" w:lineRule="auto"/>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szCs w:val="21"/>
        </w:rPr>
        <w:br w:type="page"/>
      </w:r>
      <w:r>
        <w:rPr>
          <w:rFonts w:hint="eastAsia" w:asciiTheme="minorEastAsia" w:hAnsiTheme="minorEastAsia" w:eastAsiaTheme="minorEastAsia" w:cstheme="minorEastAsia"/>
          <w:b/>
          <w:szCs w:val="21"/>
        </w:rPr>
        <w:t>格式</w:t>
      </w:r>
      <w:r>
        <w:rPr>
          <w:rFonts w:hint="eastAsia" w:asciiTheme="minorEastAsia" w:hAnsiTheme="minorEastAsia" w:eastAsiaTheme="minorEastAsia" w:cstheme="minorEastAsia"/>
          <w:b/>
          <w:kern w:val="0"/>
          <w:szCs w:val="21"/>
        </w:rPr>
        <w:t>8</w:t>
      </w:r>
    </w:p>
    <w:p>
      <w:pPr>
        <w:keepNext/>
        <w:keepLines/>
        <w:spacing w:line="360" w:lineRule="auto"/>
        <w:jc w:val="center"/>
        <w:rPr>
          <w:rFonts w:asciiTheme="minorEastAsia" w:hAnsiTheme="minorEastAsia" w:eastAsiaTheme="minorEastAsia" w:cstheme="minorEastAsia"/>
          <w:b/>
          <w:kern w:val="0"/>
          <w:szCs w:val="21"/>
        </w:rPr>
      </w:pPr>
    </w:p>
    <w:p>
      <w:pPr>
        <w:keepNext/>
        <w:keepLines/>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拟投入</w:t>
      </w:r>
      <w:bookmarkEnd w:id="41"/>
      <w:r>
        <w:rPr>
          <w:rFonts w:hint="eastAsia" w:asciiTheme="minorEastAsia" w:hAnsiTheme="minorEastAsia" w:eastAsiaTheme="minorEastAsia" w:cstheme="minorEastAsia"/>
          <w:b/>
          <w:kern w:val="0"/>
          <w:szCs w:val="21"/>
        </w:rPr>
        <w:t>服务人员承诺书</w:t>
      </w:r>
    </w:p>
    <w:p>
      <w:pPr>
        <w:pStyle w:val="4"/>
        <w:topLinePunct/>
        <w:spacing w:beforeLines="100" w:afterLines="150" w:line="360" w:lineRule="auto"/>
        <w:ind w:firstLine="422" w:firstLineChars="200"/>
        <w:jc w:val="left"/>
        <w:rPr>
          <w:rFonts w:asciiTheme="minorEastAsia" w:hAnsiTheme="minorEastAsia" w:eastAsiaTheme="minorEastAsia" w:cstheme="minorEastAsia"/>
          <w:kern w:val="0"/>
          <w:sz w:val="21"/>
          <w:szCs w:val="21"/>
        </w:rPr>
      </w:pPr>
    </w:p>
    <w:p>
      <w:pPr>
        <w:pStyle w:val="4"/>
        <w:topLinePunct/>
        <w:spacing w:beforeLines="100" w:afterLines="150" w:line="360" w:lineRule="auto"/>
        <w:ind w:firstLine="422" w:firstLineChars="200"/>
        <w:jc w:val="left"/>
        <w:rPr>
          <w:rFonts w:asciiTheme="minorEastAsia" w:hAnsiTheme="minorEastAsia" w:eastAsiaTheme="minorEastAsia" w:cstheme="minorEastAsia"/>
          <w:kern w:val="0"/>
          <w:sz w:val="21"/>
          <w:szCs w:val="21"/>
        </w:rPr>
      </w:pPr>
    </w:p>
    <w:p>
      <w:pPr>
        <w:pStyle w:val="4"/>
        <w:topLinePunct/>
        <w:spacing w:beforeLines="100" w:afterLines="150" w:line="360" w:lineRule="auto"/>
        <w:ind w:firstLine="422" w:firstLineChars="200"/>
        <w:jc w:val="left"/>
        <w:rPr>
          <w:rFonts w:asciiTheme="minorEastAsia" w:hAnsiTheme="minorEastAsia" w:eastAsiaTheme="minorEastAsia" w:cstheme="minorEastAsia"/>
          <w:kern w:val="0"/>
          <w:sz w:val="21"/>
          <w:szCs w:val="21"/>
        </w:rPr>
      </w:pPr>
    </w:p>
    <w:p>
      <w:pPr>
        <w:pStyle w:val="4"/>
        <w:topLinePunct/>
        <w:spacing w:beforeLines="100" w:afterLines="150" w:line="360" w:lineRule="auto"/>
        <w:ind w:firstLine="422" w:firstLineChars="200"/>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我方在此郑重承诺，如果我单位在项目中标，保证按照不低于以上要求的人员组织进场，否则自愿按照招标人的有关规定接受处罚。</w:t>
      </w:r>
    </w:p>
    <w:p>
      <w:pPr>
        <w:pStyle w:val="4"/>
        <w:topLinePunct/>
        <w:spacing w:beforeLines="100" w:afterLines="150" w:line="360" w:lineRule="auto"/>
        <w:ind w:firstLine="422" w:firstLineChars="200"/>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申  请  人：</w:t>
      </w:r>
      <w:r>
        <w:rPr>
          <w:rFonts w:hint="eastAsia" w:asciiTheme="minorEastAsia" w:hAnsiTheme="minorEastAsia" w:eastAsiaTheme="minorEastAsia" w:cstheme="minorEastAsia"/>
          <w:sz w:val="21"/>
          <w:szCs w:val="21"/>
          <w:u w:val="single"/>
        </w:rPr>
        <w:t xml:space="preserve">    （全称并加盖单位公章）  </w:t>
      </w:r>
    </w:p>
    <w:p>
      <w:pPr>
        <w:keepNext/>
        <w:keepLines/>
        <w:topLinePunct/>
        <w:spacing w:line="360" w:lineRule="auto"/>
        <w:ind w:firstLine="422" w:firstLineChars="200"/>
        <w:rPr>
          <w:rFonts w:asciiTheme="minorEastAsia" w:hAnsiTheme="minorEastAsia" w:eastAsiaTheme="minorEastAsia" w:cstheme="minorEastAsia"/>
          <w:b/>
          <w:kern w:val="44"/>
          <w:szCs w:val="21"/>
        </w:rPr>
      </w:pPr>
      <w:r>
        <w:rPr>
          <w:rFonts w:hint="eastAsia" w:asciiTheme="minorEastAsia" w:hAnsiTheme="minorEastAsia" w:eastAsiaTheme="minorEastAsia" w:cstheme="minorEastAsia"/>
          <w:b/>
          <w:kern w:val="44"/>
          <w:szCs w:val="21"/>
        </w:rPr>
        <w:t>法定代表人：</w:t>
      </w:r>
      <w:r>
        <w:rPr>
          <w:rFonts w:hint="eastAsia" w:asciiTheme="minorEastAsia" w:hAnsiTheme="minorEastAsia" w:eastAsiaTheme="minorEastAsia" w:cstheme="minorEastAsia"/>
          <w:b/>
          <w:kern w:val="44"/>
          <w:szCs w:val="21"/>
          <w:u w:val="single"/>
        </w:rPr>
        <w:t xml:space="preserve">         （签署全名）  </w:t>
      </w:r>
    </w:p>
    <w:p>
      <w:pPr>
        <w:keepNext/>
        <w:keepLines/>
        <w:topLinePunct/>
        <w:spacing w:line="360" w:lineRule="auto"/>
        <w:ind w:firstLine="2635" w:firstLineChars="1250"/>
        <w:rPr>
          <w:rFonts w:asciiTheme="minorEastAsia" w:hAnsiTheme="minorEastAsia" w:eastAsiaTheme="minorEastAsia" w:cstheme="minorEastAsia"/>
          <w:b/>
          <w:kern w:val="44"/>
          <w:szCs w:val="21"/>
        </w:rPr>
      </w:pPr>
    </w:p>
    <w:p>
      <w:pPr>
        <w:keepNext/>
        <w:keepLines/>
        <w:topLinePunct/>
        <w:spacing w:line="360" w:lineRule="auto"/>
        <w:ind w:firstLine="2635" w:firstLineChars="1250"/>
        <w:rPr>
          <w:rFonts w:asciiTheme="minorEastAsia" w:hAnsiTheme="minorEastAsia" w:eastAsiaTheme="minorEastAsia" w:cstheme="minorEastAsia"/>
          <w:b/>
          <w:kern w:val="44"/>
          <w:szCs w:val="21"/>
        </w:rPr>
      </w:pPr>
      <w:r>
        <w:rPr>
          <w:rFonts w:hint="eastAsia" w:asciiTheme="minorEastAsia" w:hAnsiTheme="minorEastAsia" w:eastAsiaTheme="minorEastAsia" w:cstheme="minorEastAsia"/>
          <w:b/>
          <w:kern w:val="44"/>
          <w:szCs w:val="21"/>
        </w:rPr>
        <w:t>日      期：  年  月  日</w:t>
      </w:r>
      <w:bookmarkStart w:id="42" w:name="_Toc450029338"/>
    </w:p>
    <w:bookmarkEnd w:id="42"/>
    <w:p>
      <w:pPr>
        <w:pStyle w:val="4"/>
        <w:topLinePunct/>
        <w:spacing w:beforeLines="100" w:afterLines="150" w:line="360" w:lineRule="auto"/>
        <w:jc w:val="left"/>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sz w:val="21"/>
          <w:szCs w:val="21"/>
        </w:rPr>
        <w:br w:type="page"/>
      </w:r>
      <w:r>
        <w:rPr>
          <w:rFonts w:hint="eastAsia" w:asciiTheme="minorEastAsia" w:hAnsiTheme="minorEastAsia" w:eastAsiaTheme="minorEastAsia" w:cstheme="minorEastAsia"/>
          <w:sz w:val="21"/>
          <w:szCs w:val="21"/>
        </w:rPr>
        <w:t>格式9</w:t>
      </w:r>
    </w:p>
    <w:p>
      <w:pPr>
        <w:keepNext/>
        <w:keepLines/>
        <w:spacing w:line="360" w:lineRule="auto"/>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b/>
          <w:szCs w:val="21"/>
          <w:lang w:val="zh-CN"/>
        </w:rPr>
        <w:t>技术方案</w:t>
      </w:r>
    </w:p>
    <w:p>
      <w:pPr>
        <w:pStyle w:val="4"/>
        <w:spacing w:line="360" w:lineRule="auto"/>
        <w:rPr>
          <w:rFonts w:asciiTheme="minorEastAsia" w:hAnsiTheme="minorEastAsia" w:eastAsiaTheme="minorEastAsia" w:cstheme="minorEastAsia"/>
          <w:sz w:val="21"/>
          <w:szCs w:val="21"/>
        </w:rPr>
      </w:pPr>
    </w:p>
    <w:p>
      <w:pPr>
        <w:keepNext/>
        <w:keepLines/>
        <w:spacing w:line="360" w:lineRule="auto"/>
        <w:rPr>
          <w:rFonts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br w:type="page"/>
      </w:r>
      <w:r>
        <w:rPr>
          <w:rFonts w:hint="eastAsia" w:asciiTheme="minorEastAsia" w:hAnsiTheme="minorEastAsia" w:eastAsiaTheme="minorEastAsia" w:cstheme="minorEastAsia"/>
          <w:b/>
          <w:szCs w:val="21"/>
        </w:rPr>
        <w:t>格式</w:t>
      </w:r>
      <w:r>
        <w:rPr>
          <w:rFonts w:hint="eastAsia" w:asciiTheme="minorEastAsia" w:hAnsiTheme="minorEastAsia" w:eastAsiaTheme="minorEastAsia" w:cstheme="minorEastAsia"/>
          <w:b/>
          <w:kern w:val="0"/>
          <w:szCs w:val="21"/>
        </w:rPr>
        <w:t>10</w:t>
      </w:r>
    </w:p>
    <w:p>
      <w:pPr>
        <w:keepNext/>
        <w:keepLines/>
        <w:spacing w:line="360" w:lineRule="auto"/>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b/>
          <w:szCs w:val="21"/>
          <w:lang w:val="zh-CN"/>
        </w:rPr>
        <w:t>服务计划及承诺</w:t>
      </w:r>
    </w:p>
    <w:p>
      <w:pPr>
        <w:keepNext/>
        <w:keepLines/>
        <w:spacing w:line="360" w:lineRule="auto"/>
        <w:rPr>
          <w:rFonts w:asciiTheme="minorEastAsia" w:hAnsiTheme="minorEastAsia" w:eastAsiaTheme="minorEastAsia" w:cstheme="minorEastAsia"/>
          <w:szCs w:val="21"/>
        </w:rPr>
      </w:pPr>
    </w:p>
    <w:p>
      <w:pPr>
        <w:keepNext/>
        <w:keepLines/>
        <w:spacing w:line="360" w:lineRule="auto"/>
        <w:ind w:firstLine="42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对本次投标的服务承诺应包括但不仅限以下几部分：</w:t>
      </w:r>
    </w:p>
    <w:p>
      <w:pPr>
        <w:keepNext/>
        <w:keepLines/>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后续支持和服务能力，对服务承诺的保障措施，响应时间及其他优惠和承诺等。</w:t>
      </w:r>
    </w:p>
    <w:p>
      <w:pPr>
        <w:pStyle w:val="6"/>
        <w:keepNext/>
        <w:keepLines/>
        <w:spacing w:line="360" w:lineRule="auto"/>
        <w:ind w:firstLine="5460" w:firstLineChars="2600"/>
        <w:rPr>
          <w:rFonts w:asciiTheme="minorEastAsia" w:hAnsiTheme="minorEastAsia" w:eastAsiaTheme="minorEastAsia" w:cstheme="minorEastAsia"/>
          <w:szCs w:val="21"/>
        </w:rPr>
      </w:pPr>
    </w:p>
    <w:p>
      <w:pPr>
        <w:pStyle w:val="6"/>
        <w:keepNext/>
        <w:keepLines/>
        <w:spacing w:line="360" w:lineRule="auto"/>
        <w:ind w:firstLine="3990" w:firstLineChars="1900"/>
        <w:rPr>
          <w:rFonts w:asciiTheme="minorEastAsia" w:hAnsiTheme="minorEastAsia" w:eastAsiaTheme="minorEastAsia" w:cstheme="minorEastAsia"/>
          <w:szCs w:val="21"/>
        </w:rPr>
      </w:pPr>
    </w:p>
    <w:p>
      <w:pPr>
        <w:pStyle w:val="6"/>
        <w:keepNext/>
        <w:keepLines/>
        <w:spacing w:line="360" w:lineRule="auto"/>
        <w:ind w:firstLine="3990" w:firstLineChars="1900"/>
        <w:rPr>
          <w:rFonts w:asciiTheme="minorEastAsia" w:hAnsiTheme="minorEastAsia" w:eastAsiaTheme="minorEastAsia" w:cstheme="minorEastAsia"/>
          <w:szCs w:val="21"/>
        </w:rPr>
      </w:pPr>
    </w:p>
    <w:p>
      <w:pPr>
        <w:pStyle w:val="6"/>
        <w:keepNext/>
        <w:keepLines/>
        <w:spacing w:line="360" w:lineRule="auto"/>
        <w:ind w:firstLine="3110" w:firstLineChars="148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供应商（加盖公章）：</w:t>
      </w:r>
    </w:p>
    <w:p>
      <w:pPr>
        <w:pStyle w:val="6"/>
        <w:keepNext/>
        <w:keepLines/>
        <w:spacing w:line="360" w:lineRule="auto"/>
        <w:rPr>
          <w:rFonts w:asciiTheme="minorEastAsia" w:hAnsiTheme="minorEastAsia" w:eastAsiaTheme="minorEastAsia" w:cstheme="minorEastAsia"/>
          <w:szCs w:val="21"/>
        </w:rPr>
      </w:pPr>
    </w:p>
    <w:p>
      <w:pPr>
        <w:keepNext/>
        <w:keepLines/>
        <w:spacing w:line="360" w:lineRule="auto"/>
        <w:ind w:firstLine="2310" w:firstLineChars="1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法定代表人或全权代表（签字）：</w:t>
      </w:r>
    </w:p>
    <w:p>
      <w:pPr>
        <w:pStyle w:val="6"/>
        <w:keepNext/>
        <w:keepLines/>
        <w:spacing w:line="360" w:lineRule="auto"/>
        <w:rPr>
          <w:rFonts w:asciiTheme="minorEastAsia" w:hAnsiTheme="minorEastAsia" w:eastAsiaTheme="minorEastAsia" w:cstheme="minorEastAsia"/>
          <w:szCs w:val="21"/>
        </w:rPr>
      </w:pPr>
    </w:p>
    <w:p>
      <w:pPr>
        <w:pStyle w:val="6"/>
        <w:keepNext/>
        <w:keepLines/>
        <w:spacing w:line="360" w:lineRule="auto"/>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   月   日</w:t>
      </w:r>
    </w:p>
    <w:p>
      <w:pPr>
        <w:keepNext/>
        <w:keepLines/>
        <w:spacing w:line="360" w:lineRule="auto"/>
        <w:rPr>
          <w:rFonts w:asciiTheme="minorEastAsia" w:hAnsiTheme="minorEastAsia" w:eastAsiaTheme="minorEastAsia" w:cstheme="minorEastAsia"/>
          <w:szCs w:val="21"/>
        </w:rPr>
      </w:pPr>
    </w:p>
    <w:p>
      <w:pPr>
        <w:keepNext/>
        <w:keepLines/>
        <w:spacing w:line="360" w:lineRule="auto"/>
        <w:rPr>
          <w:rFonts w:asciiTheme="minorEastAsia" w:hAnsiTheme="minorEastAsia" w:eastAsiaTheme="minorEastAsia" w:cstheme="minorEastAsia"/>
          <w:szCs w:val="21"/>
        </w:rPr>
      </w:pPr>
    </w:p>
    <w:p>
      <w:pPr>
        <w:keepNext/>
        <w:keepLines/>
        <w:spacing w:line="360" w:lineRule="auto"/>
        <w:rPr>
          <w:rFonts w:asciiTheme="minorEastAsia" w:hAnsiTheme="minorEastAsia" w:eastAsiaTheme="minorEastAsia" w:cstheme="minorEastAsia"/>
          <w:b/>
          <w:kern w:val="12"/>
          <w:szCs w:val="21"/>
        </w:rPr>
      </w:pPr>
      <w:r>
        <w:rPr>
          <w:rFonts w:hint="eastAsia" w:asciiTheme="minorEastAsia" w:hAnsiTheme="minorEastAsia" w:eastAsiaTheme="minorEastAsia" w:cstheme="minorEastAsia"/>
          <w:b/>
          <w:bCs/>
          <w:position w:val="6"/>
          <w:szCs w:val="21"/>
        </w:rPr>
        <w:br w:type="page"/>
      </w:r>
      <w:r>
        <w:rPr>
          <w:rFonts w:hint="eastAsia" w:asciiTheme="minorEastAsia" w:hAnsiTheme="minorEastAsia" w:eastAsiaTheme="minorEastAsia" w:cstheme="minorEastAsia"/>
          <w:b/>
          <w:bCs/>
          <w:kern w:val="0"/>
          <w:position w:val="6"/>
          <w:szCs w:val="21"/>
        </w:rPr>
        <w:t>格式11</w:t>
      </w:r>
    </w:p>
    <w:p>
      <w:pPr>
        <w:keepNext/>
        <w:keepLines/>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供应商自觉抵制政府采购领域</w:t>
      </w:r>
    </w:p>
    <w:p>
      <w:pPr>
        <w:keepNext/>
        <w:keepLines/>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商业贿赂行为承诺书</w:t>
      </w:r>
    </w:p>
    <w:p>
      <w:pPr>
        <w:keepNext/>
        <w:keepLines/>
        <w:spacing w:afterLines="50" w:line="360" w:lineRule="auto"/>
        <w:rPr>
          <w:rFonts w:asciiTheme="minorEastAsia" w:hAnsiTheme="minorEastAsia" w:eastAsiaTheme="minorEastAsia" w:cstheme="minorEastAsia"/>
          <w:szCs w:val="21"/>
        </w:rPr>
      </w:pPr>
    </w:p>
    <w:p>
      <w:pPr>
        <w:keepNext/>
        <w:keepLines/>
        <w:spacing w:afterLines="50"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致：</w:t>
      </w:r>
      <w:r>
        <w:rPr>
          <w:rFonts w:hint="eastAsia" w:asciiTheme="minorEastAsia" w:hAnsiTheme="minorEastAsia" w:eastAsiaTheme="minorEastAsia" w:cstheme="minorEastAsia"/>
          <w:b/>
          <w:bCs/>
          <w:szCs w:val="21"/>
          <w:u w:val="single"/>
        </w:rPr>
        <w:t xml:space="preserve">      （采购人名称）        </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我方在参与采购活动中郑重承诺：</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一、依法参与政府采购活动，遵纪守法，诚信经营，公平竞争。</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二、不向采购单位、采购代理机构和政府采购评审专家提供任何形式的商业贿赂；对索取或接受商业贿赂的单位和个人，及时向财政部门和纪检监察机关举报。</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三、不以提供虚假资质文件等形式参与政府采购活动，不以虚假材料谋取中标。</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四、不采取不正当手段诋毁、排挤其他供应商，与其他参与政府采购活动供应商保持良性的竞争关系。</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五、不与采购单位、采购代理机构和政府采购评审专家恶意串通，自觉维护政府采购公平竞争的市场秩序。</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六、不与其他供应商串通采取围标、陪标等商业欺诈手段谋取中标，积极维护国家利益、社会公共利益和采购单位的合法权益。</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七、严格履行政府采购合同约定义务，不在政府采购合同执行过程中采取降低质量或标准、减少数量、拖延交付时间等方式损害采购单位的利益，并自觉承担违约责任。</w:t>
      </w:r>
    </w:p>
    <w:p>
      <w:pPr>
        <w:keepNext/>
        <w:keepLine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八、自觉接受并积极配合财政部门和纪检监察机关依法实施的监督检查，如实反映情况，及时提供有关证明材料。</w:t>
      </w:r>
    </w:p>
    <w:p>
      <w:pPr>
        <w:keepNext/>
        <w:keepLines/>
        <w:spacing w:afterLines="50" w:line="360" w:lineRule="auto"/>
        <w:rPr>
          <w:rFonts w:asciiTheme="minorEastAsia" w:hAnsiTheme="minorEastAsia" w:eastAsiaTheme="minorEastAsia" w:cstheme="minorEastAsia"/>
          <w:szCs w:val="21"/>
        </w:rPr>
      </w:pPr>
    </w:p>
    <w:p>
      <w:pPr>
        <w:keepNext/>
        <w:keepLines/>
        <w:spacing w:afterLines="50"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供应商名称（并加盖公章）：</w:t>
      </w:r>
    </w:p>
    <w:p>
      <w:pPr>
        <w:pStyle w:val="119"/>
        <w:keepNext/>
        <w:keepLines/>
        <w:spacing w:before="60" w:afterLines="50" w:line="360" w:lineRule="auto"/>
        <w:ind w:firstLine="0" w:firstLineChars="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法定代表人(或经营者)或其授权委托人（法定代表人(或经营者)签字或印鉴，授权委托人必须签字）：</w:t>
      </w:r>
    </w:p>
    <w:p>
      <w:pPr>
        <w:pStyle w:val="119"/>
        <w:keepNext/>
        <w:keepLines/>
        <w:spacing w:before="60" w:afterLines="50" w:line="360" w:lineRule="auto"/>
        <w:ind w:firstLine="0" w:firstLineChars="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签署日期：  年  月   日</w:t>
      </w:r>
    </w:p>
    <w:p>
      <w:pPr>
        <w:keepNext/>
        <w:keepLines/>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kern w:val="0"/>
          <w:szCs w:val="21"/>
        </w:rPr>
        <w:br w:type="page"/>
      </w:r>
      <w:r>
        <w:rPr>
          <w:rFonts w:hint="eastAsia" w:asciiTheme="minorEastAsia" w:hAnsiTheme="minorEastAsia" w:eastAsiaTheme="minorEastAsia" w:cstheme="minorEastAsia"/>
          <w:b/>
          <w:szCs w:val="21"/>
        </w:rPr>
        <w:t>格式12</w:t>
      </w:r>
    </w:p>
    <w:p>
      <w:pPr>
        <w:keepNext/>
        <w:keepLines/>
        <w:spacing w:line="360" w:lineRule="auto"/>
        <w:rPr>
          <w:rFonts w:asciiTheme="minorEastAsia" w:hAnsiTheme="minorEastAsia" w:eastAsiaTheme="minorEastAsia" w:cstheme="minorEastAsia"/>
          <w:b/>
          <w:szCs w:val="21"/>
        </w:rPr>
      </w:pPr>
    </w:p>
    <w:p>
      <w:pPr>
        <w:keepNext/>
        <w:keepLines/>
        <w:spacing w:line="360" w:lineRule="auto"/>
        <w:ind w:left="1054" w:hanging="1054" w:hangingChars="500"/>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投标供应商参加政府采购活动前3年内在经营活动中</w:t>
      </w:r>
    </w:p>
    <w:p>
      <w:pPr>
        <w:keepNext/>
        <w:keepLines/>
        <w:spacing w:line="360" w:lineRule="auto"/>
        <w:ind w:left="1054" w:hanging="1054" w:hangingChars="500"/>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没有重大违法记录的书面声明</w:t>
      </w:r>
    </w:p>
    <w:p>
      <w:pPr>
        <w:keepNext/>
        <w:keepLines/>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（内容格式自定）</w:t>
      </w:r>
    </w:p>
    <w:p>
      <w:pPr>
        <w:keepNext/>
        <w:keepLines/>
        <w:spacing w:line="360" w:lineRule="auto"/>
        <w:rPr>
          <w:rFonts w:asciiTheme="minorEastAsia" w:hAnsiTheme="minorEastAsia" w:eastAsiaTheme="minorEastAsia" w:cstheme="minorEastAsia"/>
          <w:b/>
          <w:szCs w:val="21"/>
        </w:rPr>
      </w:pPr>
    </w:p>
    <w:p>
      <w:pPr>
        <w:keepNext/>
        <w:keepLines/>
        <w:spacing w:line="360" w:lineRule="auto"/>
        <w:rPr>
          <w:rFonts w:asciiTheme="minorEastAsia" w:hAnsiTheme="minorEastAsia" w:eastAsiaTheme="minorEastAsia" w:cstheme="minorEastAsia"/>
          <w:b/>
          <w:szCs w:val="21"/>
        </w:rPr>
      </w:pPr>
    </w:p>
    <w:p>
      <w:pPr>
        <w:keepNext/>
        <w:keepLines/>
        <w:spacing w:line="360" w:lineRule="auto"/>
        <w:rPr>
          <w:rFonts w:asciiTheme="minorEastAsia" w:hAnsiTheme="minorEastAsia" w:eastAsiaTheme="minorEastAsia" w:cstheme="minorEastAsia"/>
          <w:b/>
          <w:szCs w:val="21"/>
        </w:rPr>
      </w:pPr>
    </w:p>
    <w:p>
      <w:pPr>
        <w:keepNext/>
        <w:keepLines/>
        <w:spacing w:line="360" w:lineRule="auto"/>
        <w:rPr>
          <w:rFonts w:asciiTheme="minorEastAsia" w:hAnsiTheme="minorEastAsia" w:eastAsiaTheme="minorEastAsia" w:cstheme="minorEastAsia"/>
          <w:b/>
          <w:kern w:val="0"/>
          <w:szCs w:val="21"/>
        </w:rPr>
      </w:pPr>
    </w:p>
    <w:p>
      <w:pPr>
        <w:keepNext/>
        <w:keepLines/>
        <w:spacing w:line="360" w:lineRule="auto"/>
        <w:rPr>
          <w:rFonts w:asciiTheme="minorEastAsia" w:hAnsiTheme="minorEastAsia" w:eastAsiaTheme="minorEastAsia" w:cstheme="minorEastAsia"/>
          <w:b/>
          <w:szCs w:val="21"/>
        </w:rPr>
      </w:pPr>
    </w:p>
    <w:p>
      <w:pPr>
        <w:keepNext/>
        <w:keepLines/>
        <w:spacing w:line="360" w:lineRule="auto"/>
        <w:rPr>
          <w:rFonts w:asciiTheme="minorEastAsia" w:hAnsiTheme="minorEastAsia" w:eastAsiaTheme="minorEastAsia" w:cstheme="minorEastAsia"/>
          <w:b/>
          <w:szCs w:val="21"/>
        </w:rPr>
      </w:pPr>
    </w:p>
    <w:p>
      <w:pPr>
        <w:keepNext/>
        <w:keepLines/>
        <w:spacing w:line="360" w:lineRule="auto"/>
        <w:rPr>
          <w:rFonts w:asciiTheme="minorEastAsia" w:hAnsiTheme="minorEastAsia" w:eastAsiaTheme="minorEastAsia" w:cstheme="minorEastAsia"/>
          <w:b/>
          <w:szCs w:val="21"/>
        </w:rPr>
      </w:pPr>
    </w:p>
    <w:p>
      <w:pPr>
        <w:keepNext/>
        <w:keepLines/>
        <w:spacing w:line="360" w:lineRule="auto"/>
        <w:rPr>
          <w:rFonts w:asciiTheme="minorEastAsia" w:hAnsiTheme="minorEastAsia" w:eastAsiaTheme="minorEastAsia" w:cstheme="minorEastAsia"/>
          <w:b/>
          <w:szCs w:val="21"/>
        </w:rPr>
      </w:pPr>
    </w:p>
    <w:p>
      <w:pPr>
        <w:keepNext/>
        <w:keepLines/>
        <w:spacing w:line="360" w:lineRule="auto"/>
        <w:rPr>
          <w:rFonts w:asciiTheme="minorEastAsia" w:hAnsiTheme="minorEastAsia" w:eastAsiaTheme="minorEastAsia" w:cstheme="minorEastAsia"/>
          <w:b/>
          <w:szCs w:val="21"/>
        </w:rPr>
      </w:pPr>
    </w:p>
    <w:p>
      <w:pPr>
        <w:keepNext/>
        <w:keepLines/>
        <w:spacing w:line="360" w:lineRule="auto"/>
        <w:rPr>
          <w:rFonts w:asciiTheme="minorEastAsia" w:hAnsiTheme="minorEastAsia" w:eastAsiaTheme="minorEastAsia" w:cstheme="minorEastAsia"/>
          <w:b/>
          <w:kern w:val="0"/>
          <w:szCs w:val="21"/>
        </w:rPr>
      </w:pPr>
    </w:p>
    <w:p>
      <w:pPr>
        <w:keepNext/>
        <w:keepLines/>
        <w:spacing w:line="360" w:lineRule="auto"/>
        <w:rPr>
          <w:rFonts w:asciiTheme="minorEastAsia" w:hAnsiTheme="minorEastAsia" w:eastAsiaTheme="minorEastAsia" w:cstheme="minorEastAsia"/>
          <w:b/>
          <w:kern w:val="0"/>
          <w:szCs w:val="21"/>
        </w:rPr>
      </w:pPr>
    </w:p>
    <w:p>
      <w:pPr>
        <w:keepNext/>
        <w:keepLines/>
        <w:spacing w:line="360" w:lineRule="auto"/>
        <w:rPr>
          <w:rFonts w:asciiTheme="minorEastAsia" w:hAnsiTheme="minorEastAsia" w:eastAsiaTheme="minorEastAsia" w:cstheme="minorEastAsia"/>
          <w:b/>
          <w:kern w:val="0"/>
          <w:szCs w:val="21"/>
        </w:rPr>
      </w:pPr>
    </w:p>
    <w:p>
      <w:pPr>
        <w:keepNext/>
        <w:keepLines/>
        <w:spacing w:line="360" w:lineRule="auto"/>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br w:type="page"/>
      </w:r>
      <w:r>
        <w:rPr>
          <w:rFonts w:hint="eastAsia" w:asciiTheme="minorEastAsia" w:hAnsiTheme="minorEastAsia" w:eastAsiaTheme="minorEastAsia" w:cstheme="minorEastAsia"/>
          <w:b/>
          <w:kern w:val="0"/>
          <w:szCs w:val="21"/>
        </w:rPr>
        <w:t>格式13</w:t>
      </w:r>
    </w:p>
    <w:p>
      <w:pPr>
        <w:keepNext/>
        <w:keepLines/>
        <w:spacing w:line="360" w:lineRule="auto"/>
        <w:ind w:left="1054" w:hanging="1054" w:hangingChars="50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资格审查文件</w:t>
      </w:r>
    </w:p>
    <w:p>
      <w:pPr>
        <w:keepNext/>
        <w:keepLines/>
        <w:autoSpaceDE w:val="0"/>
        <w:autoSpaceDN w:val="0"/>
        <w:adjustRightInd w:val="0"/>
        <w:snapToGrid w:val="0"/>
        <w:spacing w:line="360" w:lineRule="auto"/>
        <w:ind w:right="-11" w:firstLine="630"/>
        <w:rPr>
          <w:rFonts w:asciiTheme="minorEastAsia" w:hAnsiTheme="minorEastAsia" w:eastAsiaTheme="minorEastAsia" w:cstheme="minorEastAsia"/>
          <w:szCs w:val="21"/>
          <w:lang w:val="zh-CN"/>
        </w:rPr>
      </w:pPr>
    </w:p>
    <w:p>
      <w:pPr>
        <w:keepNext/>
        <w:keepLines/>
        <w:autoSpaceDE w:val="0"/>
        <w:autoSpaceDN w:val="0"/>
        <w:adjustRightInd w:val="0"/>
        <w:snapToGrid w:val="0"/>
        <w:spacing w:line="360" w:lineRule="auto"/>
        <w:ind w:right="-11" w:firstLine="63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1、法人营业执照副本复印件</w:t>
      </w:r>
    </w:p>
    <w:p>
      <w:pPr>
        <w:keepNext/>
        <w:keepLines/>
        <w:autoSpaceDE w:val="0"/>
        <w:autoSpaceDN w:val="0"/>
        <w:adjustRightInd w:val="0"/>
        <w:snapToGrid w:val="0"/>
        <w:spacing w:line="360" w:lineRule="auto"/>
        <w:ind w:right="-11" w:firstLine="63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2、税务登记证副本复印件</w:t>
      </w:r>
    </w:p>
    <w:p>
      <w:pPr>
        <w:keepNext/>
        <w:keepLines/>
        <w:autoSpaceDE w:val="0"/>
        <w:autoSpaceDN w:val="0"/>
        <w:adjustRightInd w:val="0"/>
        <w:snapToGrid w:val="0"/>
        <w:spacing w:line="360" w:lineRule="auto"/>
        <w:ind w:right="-11" w:firstLine="63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3、相关资质证件复印件</w:t>
      </w:r>
    </w:p>
    <w:p>
      <w:pPr>
        <w:keepNext/>
        <w:keepLines/>
        <w:autoSpaceDE w:val="0"/>
        <w:autoSpaceDN w:val="0"/>
        <w:adjustRightInd w:val="0"/>
        <w:snapToGrid w:val="0"/>
        <w:spacing w:line="360" w:lineRule="auto"/>
        <w:ind w:right="-11" w:firstLine="63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4、法定代表人(或经营者)身份证复印件</w:t>
      </w:r>
    </w:p>
    <w:p>
      <w:pPr>
        <w:keepNext/>
        <w:keepLines/>
        <w:autoSpaceDE w:val="0"/>
        <w:autoSpaceDN w:val="0"/>
        <w:adjustRightInd w:val="0"/>
        <w:snapToGrid w:val="0"/>
        <w:spacing w:line="360" w:lineRule="auto"/>
        <w:ind w:right="-11" w:firstLine="63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5、代理人身份证复印件</w:t>
      </w:r>
    </w:p>
    <w:p>
      <w:pPr>
        <w:keepNext/>
        <w:keepLines/>
        <w:autoSpaceDE w:val="0"/>
        <w:autoSpaceDN w:val="0"/>
        <w:adjustRightInd w:val="0"/>
        <w:snapToGrid w:val="0"/>
        <w:spacing w:line="360" w:lineRule="auto"/>
        <w:ind w:right="-11" w:firstLine="63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6、业绩证明文件复印件</w:t>
      </w:r>
    </w:p>
    <w:p>
      <w:pPr>
        <w:keepNext/>
        <w:keepLines/>
        <w:autoSpaceDE w:val="0"/>
        <w:autoSpaceDN w:val="0"/>
        <w:adjustRightInd w:val="0"/>
        <w:snapToGrid w:val="0"/>
        <w:spacing w:line="360" w:lineRule="auto"/>
        <w:ind w:right="-11" w:firstLine="63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7、财务状况资料复印件</w:t>
      </w:r>
    </w:p>
    <w:p>
      <w:pPr>
        <w:keepNext/>
        <w:keepLines/>
        <w:autoSpaceDE w:val="0"/>
        <w:autoSpaceDN w:val="0"/>
        <w:adjustRightInd w:val="0"/>
        <w:snapToGrid w:val="0"/>
        <w:spacing w:line="360" w:lineRule="auto"/>
        <w:ind w:right="-11" w:firstLine="63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8、其他有关资料、证明文件原件或复印件</w:t>
      </w:r>
    </w:p>
    <w:p>
      <w:pPr>
        <w:keepNext/>
        <w:keepLines/>
        <w:autoSpaceDE w:val="0"/>
        <w:autoSpaceDN w:val="0"/>
        <w:adjustRightInd w:val="0"/>
        <w:snapToGrid w:val="0"/>
        <w:spacing w:line="360" w:lineRule="auto"/>
        <w:ind w:right="-11" w:firstLine="63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以招标文件具体要求提供，不限于。</w:t>
      </w:r>
    </w:p>
    <w:p>
      <w:pPr>
        <w:keepNext/>
        <w:keepLines/>
        <w:spacing w:line="360" w:lineRule="auto"/>
        <w:ind w:left="1054" w:hanging="1054" w:hangingChars="500"/>
        <w:rPr>
          <w:rFonts w:asciiTheme="minorEastAsia" w:hAnsiTheme="minorEastAsia" w:eastAsiaTheme="minorEastAsia" w:cstheme="minorEastAsia"/>
          <w:b/>
          <w:szCs w:val="21"/>
        </w:rPr>
      </w:pPr>
      <w:r>
        <w:rPr>
          <w:rFonts w:hint="eastAsia" w:asciiTheme="minorEastAsia" w:hAnsiTheme="minorEastAsia" w:eastAsiaTheme="minorEastAsia" w:cstheme="minorEastAsia"/>
          <w:b/>
          <w:kern w:val="0"/>
          <w:szCs w:val="21"/>
        </w:rPr>
        <w:br w:type="page"/>
      </w:r>
      <w:r>
        <w:rPr>
          <w:rFonts w:hint="eastAsia" w:asciiTheme="minorEastAsia" w:hAnsiTheme="minorEastAsia" w:eastAsiaTheme="minorEastAsia" w:cstheme="minorEastAsia"/>
          <w:b/>
          <w:szCs w:val="21"/>
        </w:rPr>
        <w:t>格式</w:t>
      </w:r>
      <w:r>
        <w:rPr>
          <w:rFonts w:hint="eastAsia" w:asciiTheme="minorEastAsia" w:hAnsiTheme="minorEastAsia" w:eastAsiaTheme="minorEastAsia" w:cstheme="minorEastAsia"/>
          <w:b/>
          <w:kern w:val="0"/>
          <w:szCs w:val="21"/>
        </w:rPr>
        <w:t>14</w:t>
      </w:r>
    </w:p>
    <w:p>
      <w:pPr>
        <w:keepNext/>
        <w:keepLines/>
        <w:spacing w:line="360" w:lineRule="auto"/>
        <w:ind w:left="1054" w:hanging="1054" w:hangingChars="50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关于资格的声明函</w:t>
      </w:r>
    </w:p>
    <w:p>
      <w:pPr>
        <w:keepNext/>
        <w:keepLines/>
        <w:autoSpaceDE w:val="0"/>
        <w:autoSpaceDN w:val="0"/>
        <w:adjustRightInd w:val="0"/>
        <w:snapToGrid w:val="0"/>
        <w:spacing w:line="360" w:lineRule="auto"/>
        <w:rPr>
          <w:rFonts w:asciiTheme="minorEastAsia" w:hAnsiTheme="minorEastAsia" w:eastAsiaTheme="minorEastAsia" w:cstheme="minorEastAsia"/>
          <w:b/>
          <w:bCs/>
          <w:szCs w:val="21"/>
          <w:lang w:val="zh-CN"/>
        </w:rPr>
      </w:pPr>
    </w:p>
    <w:p>
      <w:pPr>
        <w:keepNext/>
        <w:keepLines/>
        <w:autoSpaceDE w:val="0"/>
        <w:autoSpaceDN w:val="0"/>
        <w:adjustRightInd w:val="0"/>
        <w:snapToGrid w:val="0"/>
        <w:spacing w:line="360" w:lineRule="auto"/>
        <w:ind w:firstLine="555"/>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关于贵方招标编号为   号项目的投标邀请，本签字人愿意参加投标，提供采购项目一览表中规定的服务，并声明提交的下列文件是准确和真实的。</w:t>
      </w:r>
    </w:p>
    <w:p>
      <w:pPr>
        <w:keepNext/>
        <w:keepLines/>
        <w:autoSpaceDE w:val="0"/>
        <w:autoSpaceDN w:val="0"/>
        <w:adjustRightInd w:val="0"/>
        <w:snapToGrid w:val="0"/>
        <w:spacing w:line="360" w:lineRule="auto"/>
        <w:ind w:right="-11" w:firstLine="63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1、法人营业执照副本</w:t>
      </w:r>
    </w:p>
    <w:p>
      <w:pPr>
        <w:keepNext/>
        <w:keepLines/>
        <w:autoSpaceDE w:val="0"/>
        <w:autoSpaceDN w:val="0"/>
        <w:adjustRightInd w:val="0"/>
        <w:snapToGrid w:val="0"/>
        <w:spacing w:line="360" w:lineRule="auto"/>
        <w:ind w:right="-11" w:firstLine="63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2、税务登记证副本</w:t>
      </w:r>
    </w:p>
    <w:p>
      <w:pPr>
        <w:keepNext/>
        <w:keepLines/>
        <w:autoSpaceDE w:val="0"/>
        <w:autoSpaceDN w:val="0"/>
        <w:adjustRightInd w:val="0"/>
        <w:snapToGrid w:val="0"/>
        <w:spacing w:line="360" w:lineRule="auto"/>
        <w:ind w:right="-11" w:firstLine="63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3、相关资质证件</w:t>
      </w:r>
    </w:p>
    <w:p>
      <w:pPr>
        <w:keepNext/>
        <w:keepLines/>
        <w:autoSpaceDE w:val="0"/>
        <w:autoSpaceDN w:val="0"/>
        <w:adjustRightInd w:val="0"/>
        <w:snapToGrid w:val="0"/>
        <w:spacing w:line="360" w:lineRule="auto"/>
        <w:ind w:right="-11" w:firstLine="63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4、法定代表人(或经营者)身份证复印件</w:t>
      </w:r>
    </w:p>
    <w:p>
      <w:pPr>
        <w:keepNext/>
        <w:keepLines/>
        <w:autoSpaceDE w:val="0"/>
        <w:autoSpaceDN w:val="0"/>
        <w:adjustRightInd w:val="0"/>
        <w:snapToGrid w:val="0"/>
        <w:spacing w:line="360" w:lineRule="auto"/>
        <w:ind w:right="-11" w:firstLine="63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5、代理人身份证</w:t>
      </w:r>
    </w:p>
    <w:p>
      <w:pPr>
        <w:keepNext/>
        <w:keepLines/>
        <w:autoSpaceDE w:val="0"/>
        <w:autoSpaceDN w:val="0"/>
        <w:adjustRightInd w:val="0"/>
        <w:snapToGrid w:val="0"/>
        <w:spacing w:line="360" w:lineRule="auto"/>
        <w:ind w:right="-11" w:firstLine="63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6、业绩证明文件</w:t>
      </w:r>
    </w:p>
    <w:p>
      <w:pPr>
        <w:keepNext/>
        <w:keepLines/>
        <w:autoSpaceDE w:val="0"/>
        <w:autoSpaceDN w:val="0"/>
        <w:adjustRightInd w:val="0"/>
        <w:snapToGrid w:val="0"/>
        <w:spacing w:line="360" w:lineRule="auto"/>
        <w:ind w:right="-11" w:firstLine="63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7、财务状况资料</w:t>
      </w:r>
    </w:p>
    <w:p>
      <w:pPr>
        <w:keepNext/>
        <w:keepLines/>
        <w:autoSpaceDE w:val="0"/>
        <w:autoSpaceDN w:val="0"/>
        <w:adjustRightInd w:val="0"/>
        <w:snapToGrid w:val="0"/>
        <w:spacing w:line="360" w:lineRule="auto"/>
        <w:ind w:right="-11" w:firstLine="63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8、法定代表人(或经营者)授权书和相关授权书</w:t>
      </w:r>
    </w:p>
    <w:p>
      <w:pPr>
        <w:keepNext/>
        <w:keepLines/>
        <w:autoSpaceDE w:val="0"/>
        <w:autoSpaceDN w:val="0"/>
        <w:adjustRightInd w:val="0"/>
        <w:snapToGrid w:val="0"/>
        <w:spacing w:line="360" w:lineRule="auto"/>
        <w:ind w:right="-11" w:firstLine="63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9、其他有关资料、证明文件等</w:t>
      </w:r>
    </w:p>
    <w:p>
      <w:pPr>
        <w:keepNext/>
        <w:keepLines/>
        <w:autoSpaceDE w:val="0"/>
        <w:autoSpaceDN w:val="0"/>
        <w:adjustRightInd w:val="0"/>
        <w:snapToGrid w:val="0"/>
        <w:spacing w:line="360" w:lineRule="auto"/>
        <w:ind w:right="-11" w:firstLine="63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10、本签字人确认资格文件中的说明是真实的、准确的。</w:t>
      </w:r>
    </w:p>
    <w:p>
      <w:pPr>
        <w:keepNext/>
        <w:keepLines/>
        <w:autoSpaceDE w:val="0"/>
        <w:autoSpaceDN w:val="0"/>
        <w:adjustRightInd w:val="0"/>
        <w:snapToGrid w:val="0"/>
        <w:spacing w:line="360" w:lineRule="auto"/>
        <w:ind w:right="-11" w:firstLine="63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11、我方理解，（招标人名称）对资格审查所做的决定，是最终的。（招标人名称）对任何投标者不承担任何责任，也无义务将其决定的原因通知供应商。</w:t>
      </w:r>
    </w:p>
    <w:p>
      <w:pPr>
        <w:keepNext/>
        <w:keepLines/>
        <w:autoSpaceDE w:val="0"/>
        <w:autoSpaceDN w:val="0"/>
        <w:adjustRightInd w:val="0"/>
        <w:snapToGrid w:val="0"/>
        <w:spacing w:line="360" w:lineRule="auto"/>
        <w:ind w:right="-11" w:firstLine="630"/>
        <w:rPr>
          <w:rFonts w:asciiTheme="minorEastAsia" w:hAnsiTheme="minorEastAsia" w:eastAsiaTheme="minorEastAsia" w:cstheme="minorEastAsia"/>
          <w:szCs w:val="21"/>
          <w:lang w:val="zh-CN"/>
        </w:rPr>
      </w:pPr>
    </w:p>
    <w:p>
      <w:pPr>
        <w:keepNext/>
        <w:keepLines/>
        <w:autoSpaceDE w:val="0"/>
        <w:autoSpaceDN w:val="0"/>
        <w:adjustRightInd w:val="0"/>
        <w:snapToGri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单位名称：（公章）法定代表人(或经营者)或授权代表（签字）：</w:t>
      </w:r>
    </w:p>
    <w:p>
      <w:pPr>
        <w:keepNext/>
        <w:keepLines/>
        <w:autoSpaceDE w:val="0"/>
        <w:autoSpaceDN w:val="0"/>
        <w:adjustRightInd w:val="0"/>
        <w:snapToGri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地址：邮政编码：</w:t>
      </w:r>
    </w:p>
    <w:p>
      <w:pPr>
        <w:keepNext/>
        <w:keepLines/>
        <w:autoSpaceDE w:val="0"/>
        <w:autoSpaceDN w:val="0"/>
        <w:adjustRightInd w:val="0"/>
        <w:snapToGri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签字人姓名、职务：签字：</w:t>
      </w:r>
    </w:p>
    <w:p>
      <w:pPr>
        <w:keepNext/>
        <w:keepLines/>
        <w:tabs>
          <w:tab w:val="left" w:pos="360"/>
        </w:tabs>
        <w:autoSpaceDE w:val="0"/>
        <w:autoSpaceDN w:val="0"/>
        <w:adjustRightInd w:val="0"/>
        <w:snapToGri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电话：传真：</w:t>
      </w:r>
    </w:p>
    <w:p>
      <w:pPr>
        <w:keepNext/>
        <w:keepLines/>
        <w:autoSpaceDE w:val="0"/>
        <w:autoSpaceDN w:val="0"/>
        <w:adjustRightInd w:val="0"/>
        <w:snapToGrid w:val="0"/>
        <w:spacing w:line="360" w:lineRule="auto"/>
        <w:ind w:firstLine="525" w:firstLineChars="25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日期：</w:t>
      </w:r>
    </w:p>
    <w:p>
      <w:pPr>
        <w:keepNext/>
        <w:keepLines/>
        <w:autoSpaceDE w:val="0"/>
        <w:autoSpaceDN w:val="0"/>
        <w:adjustRightInd w:val="0"/>
        <w:snapToGrid w:val="0"/>
        <w:spacing w:line="360" w:lineRule="auto"/>
        <w:rPr>
          <w:rFonts w:asciiTheme="minorEastAsia" w:hAnsiTheme="minorEastAsia" w:eastAsiaTheme="minorEastAsia" w:cstheme="minorEastAsia"/>
          <w:b/>
          <w:szCs w:val="21"/>
          <w:lang w:val="zh-CN"/>
        </w:rPr>
      </w:pPr>
    </w:p>
    <w:p>
      <w:pPr>
        <w:keepNext/>
        <w:keepLines/>
        <w:spacing w:line="360" w:lineRule="auto"/>
        <w:ind w:firstLine="527" w:firstLineChars="250"/>
        <w:rPr>
          <w:rFonts w:asciiTheme="minorEastAsia" w:hAnsiTheme="minorEastAsia" w:eastAsiaTheme="minorEastAsia" w:cstheme="minorEastAsia"/>
          <w:b/>
          <w:kern w:val="0"/>
          <w:szCs w:val="21"/>
        </w:rPr>
      </w:pPr>
    </w:p>
    <w:p>
      <w:pPr>
        <w:keepNext/>
        <w:keepLines/>
        <w:spacing w:line="360" w:lineRule="auto"/>
        <w:ind w:left="1054" w:hanging="1054" w:hangingChars="500"/>
        <w:rPr>
          <w:rFonts w:asciiTheme="minorEastAsia" w:hAnsiTheme="minorEastAsia" w:eastAsiaTheme="minorEastAsia" w:cstheme="minorEastAsia"/>
          <w:b/>
          <w:szCs w:val="21"/>
        </w:rPr>
      </w:pPr>
      <w:r>
        <w:rPr>
          <w:rFonts w:hint="eastAsia" w:asciiTheme="minorEastAsia" w:hAnsiTheme="minorEastAsia" w:eastAsiaTheme="minorEastAsia" w:cstheme="minorEastAsia"/>
          <w:b/>
          <w:kern w:val="0"/>
          <w:szCs w:val="21"/>
        </w:rPr>
        <w:br w:type="page"/>
      </w:r>
      <w:bookmarkStart w:id="43" w:name="_Toc476227664"/>
      <w:r>
        <w:rPr>
          <w:rFonts w:hint="eastAsia" w:asciiTheme="minorEastAsia" w:hAnsiTheme="minorEastAsia" w:eastAsiaTheme="minorEastAsia" w:cstheme="minorEastAsia"/>
          <w:b/>
          <w:szCs w:val="21"/>
        </w:rPr>
        <w:t>另附：</w:t>
      </w:r>
    </w:p>
    <w:p>
      <w:pPr>
        <w:keepNext/>
        <w:keepLines/>
        <w:spacing w:line="360" w:lineRule="auto"/>
        <w:ind w:left="1054" w:hanging="1054" w:hangingChars="50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河南省政府采购</w:t>
      </w:r>
    </w:p>
    <w:p>
      <w:pPr>
        <w:keepNext/>
        <w:keepLines/>
        <w:spacing w:line="360" w:lineRule="auto"/>
        <w:ind w:left="1054" w:hanging="1054" w:hangingChars="50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信用担保试点工作专业担保机构联系方式</w:t>
      </w:r>
      <w:bookmarkEnd w:id="43"/>
    </w:p>
    <w:p>
      <w:pPr>
        <w:keepNext/>
        <w:keepLines/>
        <w:spacing w:before="100" w:beforeAutospacing="1" w:after="100" w:afterAutospacing="1" w:line="360" w:lineRule="auto"/>
        <w:rPr>
          <w:rFonts w:asciiTheme="minorEastAsia" w:hAnsiTheme="minorEastAsia" w:eastAsiaTheme="minorEastAsia" w:cstheme="minorEastAsia"/>
          <w:b/>
          <w:szCs w:val="21"/>
        </w:rPr>
      </w:pPr>
    </w:p>
    <w:p>
      <w:pPr>
        <w:keepNext/>
        <w:keepLines/>
        <w:autoSpaceDE w:val="0"/>
        <w:autoSpaceDN w:val="0"/>
        <w:adjustRightInd w:val="0"/>
        <w:snapToGrid w:val="0"/>
        <w:spacing w:line="360" w:lineRule="auto"/>
        <w:ind w:right="-11" w:firstLine="63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一、中国投资担保有限公司</w:t>
      </w:r>
    </w:p>
    <w:p>
      <w:pPr>
        <w:keepNext/>
        <w:keepLines/>
        <w:autoSpaceDE w:val="0"/>
        <w:autoSpaceDN w:val="0"/>
        <w:adjustRightInd w:val="0"/>
        <w:snapToGrid w:val="0"/>
        <w:spacing w:line="360" w:lineRule="auto"/>
        <w:ind w:right="-11" w:firstLine="63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联系人：余青             手机：13910324084</w:t>
      </w:r>
    </w:p>
    <w:p>
      <w:pPr>
        <w:keepNext/>
        <w:keepLines/>
        <w:autoSpaceDE w:val="0"/>
        <w:autoSpaceDN w:val="0"/>
        <w:adjustRightInd w:val="0"/>
        <w:snapToGrid w:val="0"/>
        <w:spacing w:line="360" w:lineRule="auto"/>
        <w:ind w:right="-11" w:firstLine="63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联系电话：（010）88822652   传    真：（010）68437040</w:t>
      </w:r>
    </w:p>
    <w:p>
      <w:pPr>
        <w:keepNext/>
        <w:keepLines/>
        <w:autoSpaceDE w:val="0"/>
        <w:autoSpaceDN w:val="0"/>
        <w:adjustRightInd w:val="0"/>
        <w:snapToGrid w:val="0"/>
        <w:spacing w:line="360" w:lineRule="auto"/>
        <w:ind w:right="-11" w:firstLine="63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电子邮箱：</w:t>
      </w:r>
      <w:r>
        <w:fldChar w:fldCharType="begin"/>
      </w:r>
      <w:r>
        <w:instrText xml:space="preserve"> HYPERLINK "mailto:yuqing@guaranty.com.cn" </w:instrText>
      </w:r>
      <w:r>
        <w:fldChar w:fldCharType="separate"/>
      </w:r>
      <w:r>
        <w:rPr>
          <w:rFonts w:hint="eastAsia" w:asciiTheme="minorEastAsia" w:hAnsiTheme="minorEastAsia" w:eastAsiaTheme="minorEastAsia" w:cstheme="minorEastAsia"/>
          <w:szCs w:val="21"/>
          <w:lang w:val="zh-CN"/>
        </w:rPr>
        <w:t>yuqing@guaranty.com.cn</w:t>
      </w:r>
      <w:r>
        <w:rPr>
          <w:rFonts w:hint="eastAsia" w:asciiTheme="minorEastAsia" w:hAnsiTheme="minorEastAsia" w:eastAsiaTheme="minorEastAsia" w:cstheme="minorEastAsia"/>
          <w:szCs w:val="21"/>
          <w:lang w:val="zh-CN"/>
        </w:rPr>
        <w:fldChar w:fldCharType="end"/>
      </w:r>
    </w:p>
    <w:p>
      <w:pPr>
        <w:keepNext/>
        <w:keepLines/>
        <w:autoSpaceDE w:val="0"/>
        <w:autoSpaceDN w:val="0"/>
        <w:adjustRightInd w:val="0"/>
        <w:snapToGrid w:val="0"/>
        <w:spacing w:line="360" w:lineRule="auto"/>
        <w:ind w:right="-11" w:firstLine="63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地址：北京市海淀区西三环北路100号金玉大厦九层</w:t>
      </w:r>
    </w:p>
    <w:p>
      <w:pPr>
        <w:keepNext/>
        <w:keepLines/>
        <w:autoSpaceDE w:val="0"/>
        <w:autoSpaceDN w:val="0"/>
        <w:adjustRightInd w:val="0"/>
        <w:snapToGrid w:val="0"/>
        <w:spacing w:line="360" w:lineRule="auto"/>
        <w:ind w:right="-11" w:firstLine="63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二、河南省中小企业担保集团股份有限公司</w:t>
      </w:r>
    </w:p>
    <w:p>
      <w:pPr>
        <w:keepNext/>
        <w:keepLines/>
        <w:autoSpaceDE w:val="0"/>
        <w:autoSpaceDN w:val="0"/>
        <w:adjustRightInd w:val="0"/>
        <w:snapToGrid w:val="0"/>
        <w:spacing w:line="360" w:lineRule="auto"/>
        <w:ind w:right="-11" w:firstLine="63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联系人：李广达               手机：13903839877</w:t>
      </w:r>
    </w:p>
    <w:p>
      <w:pPr>
        <w:keepNext/>
        <w:keepLines/>
        <w:autoSpaceDE w:val="0"/>
        <w:autoSpaceDN w:val="0"/>
        <w:adjustRightInd w:val="0"/>
        <w:snapToGrid w:val="0"/>
        <w:spacing w:line="360" w:lineRule="auto"/>
        <w:ind w:right="-11" w:firstLine="63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联系电话：（0371）86122082  86179782</w:t>
      </w:r>
    </w:p>
    <w:p>
      <w:pPr>
        <w:keepNext/>
        <w:keepLines/>
        <w:autoSpaceDE w:val="0"/>
        <w:autoSpaceDN w:val="0"/>
        <w:adjustRightInd w:val="0"/>
        <w:snapToGrid w:val="0"/>
        <w:spacing w:line="360" w:lineRule="auto"/>
        <w:ind w:right="-11" w:firstLine="63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传真：（0371）86179809</w:t>
      </w:r>
    </w:p>
    <w:p>
      <w:pPr>
        <w:keepNext/>
        <w:keepLines/>
        <w:autoSpaceDE w:val="0"/>
        <w:autoSpaceDN w:val="0"/>
        <w:adjustRightInd w:val="0"/>
        <w:snapToGrid w:val="0"/>
        <w:spacing w:line="360" w:lineRule="auto"/>
        <w:ind w:right="-11" w:firstLine="63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电子邮箱：lgd1965@tom.com</w:t>
      </w:r>
    </w:p>
    <w:p>
      <w:pPr>
        <w:keepNext/>
        <w:keepLines/>
        <w:autoSpaceDE w:val="0"/>
        <w:autoSpaceDN w:val="0"/>
        <w:adjustRightInd w:val="0"/>
        <w:snapToGrid w:val="0"/>
        <w:spacing w:line="360" w:lineRule="auto"/>
        <w:ind w:right="-11" w:firstLine="63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地址：郑州市郑东新区商务外环路25号王鼎国际27层</w:t>
      </w:r>
    </w:p>
    <w:p>
      <w:pPr>
        <w:keepNext/>
        <w:keepLines/>
        <w:autoSpaceDE w:val="0"/>
        <w:autoSpaceDN w:val="0"/>
        <w:adjustRightInd w:val="0"/>
        <w:snapToGrid w:val="0"/>
        <w:spacing w:line="360" w:lineRule="auto"/>
        <w:ind w:right="-11" w:firstLine="630"/>
        <w:rPr>
          <w:rFonts w:asciiTheme="minorEastAsia" w:hAnsiTheme="minorEastAsia" w:eastAsiaTheme="minorEastAsia" w:cstheme="minorEastAsia"/>
          <w:szCs w:val="21"/>
          <w:lang w:val="zh-CN"/>
        </w:rPr>
      </w:pPr>
    </w:p>
    <w:p>
      <w:pPr>
        <w:keepNext/>
        <w:keepLines/>
        <w:spacing w:line="360" w:lineRule="auto"/>
        <w:rPr>
          <w:rFonts w:asciiTheme="minorEastAsia" w:hAnsiTheme="minorEastAsia" w:eastAsiaTheme="minorEastAsia" w:cstheme="minorEastAsia"/>
          <w:b/>
          <w:szCs w:val="21"/>
        </w:rPr>
      </w:pPr>
    </w:p>
    <w:p>
      <w:pPr>
        <w:keepNext/>
        <w:keepLines/>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br w:type="page"/>
      </w:r>
      <w:r>
        <w:rPr>
          <w:rFonts w:hint="eastAsia" w:asciiTheme="minorEastAsia" w:hAnsiTheme="minorEastAsia" w:eastAsiaTheme="minorEastAsia" w:cstheme="minorEastAsia"/>
          <w:b/>
          <w:szCs w:val="21"/>
        </w:rPr>
        <w:t xml:space="preserve">另附：                   </w:t>
      </w:r>
    </w:p>
    <w:p>
      <w:pPr>
        <w:keepNext/>
        <w:keepLines/>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中小企业声明函</w:t>
      </w:r>
    </w:p>
    <w:p>
      <w:pPr>
        <w:keepNext/>
        <w:keepLines/>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本公司郑重声明，根据《政府采购促进中小企业发展暂行办法》（财库[2011]181号的规定，本公司为（请填写：中型、小型、微型）企业。即，本公司同时满足以下条件：</w:t>
      </w:r>
    </w:p>
    <w:p>
      <w:pPr>
        <w:keepNext/>
        <w:keepLines/>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（1）根据《工业和信息化部、国家统计局、国家发展和改革委员会、财政部关于印发中小企业划型标准规定的通知》（工信部联企业[2011]300号）规定的划分标准，本公司为</w:t>
      </w:r>
      <w:r>
        <w:rPr>
          <w:rFonts w:hint="eastAsia" w:asciiTheme="minorEastAsia" w:hAnsiTheme="minorEastAsia" w:eastAsiaTheme="minorEastAsia" w:cstheme="minorEastAsia"/>
          <w:szCs w:val="21"/>
          <w:u w:val="single"/>
        </w:rPr>
        <w:t>（请填写：中型、小型、微型）</w:t>
      </w:r>
      <w:r>
        <w:rPr>
          <w:rFonts w:hint="eastAsia" w:asciiTheme="minorEastAsia" w:hAnsiTheme="minorEastAsia" w:eastAsiaTheme="minorEastAsia" w:cstheme="minorEastAsia"/>
          <w:szCs w:val="21"/>
        </w:rPr>
        <w:t>企业。</w:t>
      </w:r>
    </w:p>
    <w:p>
      <w:pPr>
        <w:keepNext/>
        <w:keepLines/>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（2）本公司参加单位的项目采购活动提供本企业制造的货物，由本企业承担工程、提供服务，或者提供其他</w:t>
      </w:r>
      <w:r>
        <w:rPr>
          <w:rFonts w:hint="eastAsia" w:asciiTheme="minorEastAsia" w:hAnsiTheme="minorEastAsia" w:eastAsiaTheme="minorEastAsia" w:cstheme="minorEastAsia"/>
          <w:szCs w:val="21"/>
          <w:u w:val="single"/>
        </w:rPr>
        <w:t>（请填写：中型、小型、微型）</w:t>
      </w:r>
      <w:r>
        <w:rPr>
          <w:rFonts w:hint="eastAsia" w:asciiTheme="minorEastAsia" w:hAnsiTheme="minorEastAsia" w:eastAsiaTheme="minorEastAsia" w:cstheme="minorEastAsia"/>
          <w:szCs w:val="21"/>
        </w:rPr>
        <w:t>企业制造的货物。本条所称货物不包括使用大型企业注册商标的货物。</w:t>
      </w:r>
    </w:p>
    <w:p>
      <w:pPr>
        <w:keepNext/>
        <w:keepLines/>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w:t>
      </w:r>
    </w:p>
    <w:p>
      <w:pPr>
        <w:keepNext/>
        <w:keepLines/>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1、“企业类型”请如实选择填写：中型、小型、微型。</w:t>
      </w:r>
    </w:p>
    <w:p>
      <w:pPr>
        <w:keepNext/>
        <w:keepLines/>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2、供应商认为符合此项条件且通过认证的应分别出具供应商和生产企业所在地的县级以上中小企业主管部门的证明材料。</w:t>
      </w:r>
    </w:p>
    <w:p>
      <w:pPr>
        <w:keepNext/>
        <w:keepLines/>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供应商认为符合此项条件没有通过认证的应当提供产品生产商2014年度财务报表、各季度任意一个月的工资表。</w:t>
      </w:r>
    </w:p>
    <w:p>
      <w:pPr>
        <w:keepNext/>
        <w:keepLines/>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3、本条所称产品不包括使用大型企业注册商标的产品。</w:t>
      </w:r>
    </w:p>
    <w:p>
      <w:pPr>
        <w:keepNext/>
        <w:keepLines/>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4、我方对上述声明及提交的相关证明材料的真实性负责。如有虚假，将依法承担相应责任。</w:t>
      </w:r>
    </w:p>
    <w:p>
      <w:pPr>
        <w:keepNext/>
        <w:keepLines/>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5、本表行数不够可以增加。</w:t>
      </w:r>
    </w:p>
    <w:p>
      <w:pPr>
        <w:keepNext/>
        <w:keepLines/>
        <w:spacing w:line="360" w:lineRule="auto"/>
        <w:ind w:firstLine="3990" w:firstLineChars="19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企业全名称（盖行政公章）</w:t>
      </w:r>
    </w:p>
    <w:p>
      <w:pPr>
        <w:keepNext/>
        <w:keepLines/>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日  期： </w:t>
      </w:r>
    </w:p>
    <w:p>
      <w:pPr>
        <w:keepNext/>
        <w:keepLines/>
        <w:spacing w:line="360" w:lineRule="auto"/>
        <w:ind w:firstLine="422"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符合上述规定的供应的投标报价按如下方法计算：</w:t>
      </w:r>
    </w:p>
    <w:p>
      <w:pPr>
        <w:keepNext/>
        <w:keepLines/>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评标价=供应商报价×（1-∑价格折扣幅度）</w:t>
      </w:r>
    </w:p>
    <w:p>
      <w:pPr>
        <w:keepNext/>
        <w:keepLines/>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供应商投报产品出自小型或微型企业(监狱企业视同小型微型企业)的，给予投标报价6%的价格扣除，用扣除后的价格参与评审。</w:t>
      </w:r>
    </w:p>
    <w:p>
      <w:pPr>
        <w:keepNext/>
        <w:keepLines/>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同一项目有多个投标产品（加▲号的均为价格折扣产品），部分产品符合政策功能要求的，只对符合政策功能要求的产品依据《投标报价明细表》按上述价格折扣幅度进行折扣，并按折扣后的价格即单项评标价计入总价进行评标。</w:t>
      </w:r>
    </w:p>
    <w:p>
      <w:pPr>
        <w:keepNext/>
        <w:keepLines/>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单项评标价=供应商单项报价×（1-∑价格折扣幅度）</w:t>
      </w:r>
    </w:p>
    <w:p>
      <w:pPr>
        <w:keepNext/>
        <w:keepLines/>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评标价=∑单项评标价+∑不进行价格调整产品单项报价</w:t>
      </w:r>
    </w:p>
    <w:p>
      <w:pPr>
        <w:keepNext/>
        <w:keepLines/>
        <w:spacing w:line="360" w:lineRule="auto"/>
        <w:ind w:firstLine="422"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填写前请认真阅读《工业和信息化部、国家统计局、国家发展和改革委员会、财政部关于印发中小企业划型标准规定的通知》（工信部联企业[2011]300号）和《财政部工业和信息化部关于印发政府采购促进中小企业发展暂行办法的通知》(财库[2011]181号)相关规定。</w:t>
      </w:r>
    </w:p>
    <w:p>
      <w:pPr>
        <w:keepNext/>
        <w:keepLines/>
        <w:spacing w:line="360" w:lineRule="auto"/>
        <w:jc w:val="left"/>
        <w:rPr>
          <w:rFonts w:asciiTheme="minorEastAsia" w:hAnsiTheme="minorEastAsia" w:eastAsiaTheme="minorEastAsia" w:cstheme="minorEastAsia"/>
          <w:b/>
          <w:szCs w:val="21"/>
        </w:rPr>
      </w:pPr>
    </w:p>
    <w:p>
      <w:pPr>
        <w:keepNext/>
        <w:keepLines/>
        <w:spacing w:line="360" w:lineRule="auto"/>
        <w:ind w:firstLine="527" w:firstLineChars="250"/>
        <w:rPr>
          <w:rFonts w:asciiTheme="minorEastAsia" w:hAnsiTheme="minorEastAsia" w:eastAsiaTheme="minorEastAsia" w:cstheme="minorEastAsia"/>
          <w:b/>
          <w:kern w:val="12"/>
          <w:szCs w:val="21"/>
        </w:rPr>
      </w:pPr>
      <w:r>
        <w:rPr>
          <w:rFonts w:hint="eastAsia" w:asciiTheme="minorEastAsia" w:hAnsiTheme="minorEastAsia" w:eastAsiaTheme="minorEastAsia" w:cstheme="minorEastAsia"/>
          <w:b/>
          <w:kern w:val="0"/>
          <w:szCs w:val="21"/>
        </w:rPr>
        <w:br w:type="page"/>
      </w:r>
      <w:r>
        <w:rPr>
          <w:rFonts w:hint="eastAsia" w:asciiTheme="minorEastAsia" w:hAnsiTheme="minorEastAsia" w:eastAsiaTheme="minorEastAsia" w:cstheme="minorEastAsia"/>
          <w:b/>
          <w:kern w:val="0"/>
          <w:szCs w:val="21"/>
        </w:rPr>
        <w:t>另附：</w:t>
      </w:r>
    </w:p>
    <w:p>
      <w:pPr>
        <w:keepNext/>
        <w:keepLines/>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供应商证明文件原件明细表</w:t>
      </w:r>
    </w:p>
    <w:p>
      <w:pPr>
        <w:keepNext/>
        <w:keepLines/>
        <w:spacing w:line="360" w:lineRule="auto"/>
        <w:ind w:left="1050" w:hanging="1050" w:hangingChars="500"/>
        <w:rPr>
          <w:rFonts w:asciiTheme="minorEastAsia" w:hAnsiTheme="minorEastAsia" w:eastAsiaTheme="minorEastAsia" w:cstheme="minorEastAsia"/>
          <w:szCs w:val="21"/>
        </w:rPr>
      </w:pPr>
    </w:p>
    <w:tbl>
      <w:tblPr>
        <w:tblStyle w:val="33"/>
        <w:tblW w:w="9667"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62"/>
        <w:gridCol w:w="5500"/>
        <w:gridCol w:w="1517"/>
        <w:gridCol w:w="158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trPr>
        <w:tc>
          <w:tcPr>
            <w:tcW w:w="1062" w:type="dxa"/>
            <w:vAlign w:val="center"/>
          </w:tcPr>
          <w:p>
            <w:pPr>
              <w:keepNext/>
              <w:keepLines/>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5500" w:type="dxa"/>
            <w:vAlign w:val="center"/>
          </w:tcPr>
          <w:p>
            <w:pPr>
              <w:keepNext/>
              <w:keepLines/>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证明文件原件名称</w:t>
            </w:r>
          </w:p>
        </w:tc>
        <w:tc>
          <w:tcPr>
            <w:tcW w:w="1517" w:type="dxa"/>
            <w:vAlign w:val="center"/>
          </w:tcPr>
          <w:p>
            <w:pPr>
              <w:keepNext/>
              <w:keepLines/>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份数</w:t>
            </w:r>
          </w:p>
        </w:tc>
        <w:tc>
          <w:tcPr>
            <w:tcW w:w="1588" w:type="dxa"/>
            <w:vAlign w:val="center"/>
          </w:tcPr>
          <w:p>
            <w:pPr>
              <w:keepNext/>
              <w:keepLines/>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每份页数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trPr>
        <w:tc>
          <w:tcPr>
            <w:tcW w:w="1062" w:type="dxa"/>
            <w:vAlign w:val="center"/>
          </w:tcPr>
          <w:p>
            <w:pPr>
              <w:keepNext/>
              <w:keepLines/>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5500" w:type="dxa"/>
            <w:vAlign w:val="center"/>
          </w:tcPr>
          <w:p>
            <w:pPr>
              <w:keepNext/>
              <w:keepLines/>
              <w:spacing w:line="360" w:lineRule="auto"/>
              <w:jc w:val="center"/>
              <w:rPr>
                <w:rFonts w:asciiTheme="minorEastAsia" w:hAnsiTheme="minorEastAsia" w:eastAsiaTheme="minorEastAsia" w:cstheme="minorEastAsia"/>
                <w:szCs w:val="21"/>
              </w:rPr>
            </w:pPr>
          </w:p>
        </w:tc>
        <w:tc>
          <w:tcPr>
            <w:tcW w:w="1517" w:type="dxa"/>
            <w:vAlign w:val="center"/>
          </w:tcPr>
          <w:p>
            <w:pPr>
              <w:keepNext/>
              <w:keepLines/>
              <w:spacing w:line="360" w:lineRule="auto"/>
              <w:jc w:val="center"/>
              <w:rPr>
                <w:rFonts w:asciiTheme="minorEastAsia" w:hAnsiTheme="minorEastAsia" w:eastAsiaTheme="minorEastAsia" w:cstheme="minorEastAsia"/>
                <w:szCs w:val="21"/>
              </w:rPr>
            </w:pPr>
          </w:p>
        </w:tc>
        <w:tc>
          <w:tcPr>
            <w:tcW w:w="1588" w:type="dxa"/>
            <w:vAlign w:val="center"/>
          </w:tcPr>
          <w:p>
            <w:pPr>
              <w:keepNext/>
              <w:keepLines/>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trPr>
        <w:tc>
          <w:tcPr>
            <w:tcW w:w="1062" w:type="dxa"/>
            <w:vAlign w:val="center"/>
          </w:tcPr>
          <w:p>
            <w:pPr>
              <w:keepNext/>
              <w:keepLines/>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5500" w:type="dxa"/>
            <w:vAlign w:val="center"/>
          </w:tcPr>
          <w:p>
            <w:pPr>
              <w:keepNext/>
              <w:keepLines/>
              <w:spacing w:line="360" w:lineRule="auto"/>
              <w:jc w:val="center"/>
              <w:rPr>
                <w:rFonts w:asciiTheme="minorEastAsia" w:hAnsiTheme="minorEastAsia" w:eastAsiaTheme="minorEastAsia" w:cstheme="minorEastAsia"/>
                <w:szCs w:val="21"/>
              </w:rPr>
            </w:pPr>
          </w:p>
        </w:tc>
        <w:tc>
          <w:tcPr>
            <w:tcW w:w="1517" w:type="dxa"/>
            <w:vAlign w:val="center"/>
          </w:tcPr>
          <w:p>
            <w:pPr>
              <w:keepNext/>
              <w:keepLines/>
              <w:spacing w:line="360" w:lineRule="auto"/>
              <w:jc w:val="center"/>
              <w:rPr>
                <w:rFonts w:asciiTheme="minorEastAsia" w:hAnsiTheme="minorEastAsia" w:eastAsiaTheme="minorEastAsia" w:cstheme="minorEastAsia"/>
                <w:szCs w:val="21"/>
              </w:rPr>
            </w:pPr>
          </w:p>
        </w:tc>
        <w:tc>
          <w:tcPr>
            <w:tcW w:w="1588" w:type="dxa"/>
            <w:vAlign w:val="center"/>
          </w:tcPr>
          <w:p>
            <w:pPr>
              <w:keepNext/>
              <w:keepLines/>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trPr>
        <w:tc>
          <w:tcPr>
            <w:tcW w:w="1062" w:type="dxa"/>
            <w:vAlign w:val="center"/>
          </w:tcPr>
          <w:p>
            <w:pPr>
              <w:keepNext/>
              <w:keepLines/>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5500" w:type="dxa"/>
            <w:vAlign w:val="center"/>
          </w:tcPr>
          <w:p>
            <w:pPr>
              <w:keepNext/>
              <w:keepLines/>
              <w:spacing w:line="360" w:lineRule="auto"/>
              <w:jc w:val="center"/>
              <w:rPr>
                <w:rFonts w:asciiTheme="minorEastAsia" w:hAnsiTheme="minorEastAsia" w:eastAsiaTheme="minorEastAsia" w:cstheme="minorEastAsia"/>
                <w:szCs w:val="21"/>
              </w:rPr>
            </w:pPr>
          </w:p>
        </w:tc>
        <w:tc>
          <w:tcPr>
            <w:tcW w:w="1517" w:type="dxa"/>
            <w:vAlign w:val="center"/>
          </w:tcPr>
          <w:p>
            <w:pPr>
              <w:keepNext/>
              <w:keepLines/>
              <w:spacing w:line="360" w:lineRule="auto"/>
              <w:jc w:val="center"/>
              <w:rPr>
                <w:rFonts w:asciiTheme="minorEastAsia" w:hAnsiTheme="minorEastAsia" w:eastAsiaTheme="minorEastAsia" w:cstheme="minorEastAsia"/>
                <w:szCs w:val="21"/>
              </w:rPr>
            </w:pPr>
          </w:p>
        </w:tc>
        <w:tc>
          <w:tcPr>
            <w:tcW w:w="1588" w:type="dxa"/>
            <w:vAlign w:val="center"/>
          </w:tcPr>
          <w:p>
            <w:pPr>
              <w:keepNext/>
              <w:keepLines/>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trPr>
        <w:tc>
          <w:tcPr>
            <w:tcW w:w="1062" w:type="dxa"/>
            <w:vAlign w:val="center"/>
          </w:tcPr>
          <w:p>
            <w:pPr>
              <w:keepNext/>
              <w:keepLines/>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5500" w:type="dxa"/>
            <w:vAlign w:val="center"/>
          </w:tcPr>
          <w:p>
            <w:pPr>
              <w:keepNext/>
              <w:keepLines/>
              <w:spacing w:line="360" w:lineRule="auto"/>
              <w:jc w:val="center"/>
              <w:rPr>
                <w:rFonts w:asciiTheme="minorEastAsia" w:hAnsiTheme="minorEastAsia" w:eastAsiaTheme="minorEastAsia" w:cstheme="minorEastAsia"/>
                <w:szCs w:val="21"/>
              </w:rPr>
            </w:pPr>
          </w:p>
        </w:tc>
        <w:tc>
          <w:tcPr>
            <w:tcW w:w="1517" w:type="dxa"/>
            <w:vAlign w:val="center"/>
          </w:tcPr>
          <w:p>
            <w:pPr>
              <w:keepNext/>
              <w:keepLines/>
              <w:spacing w:line="360" w:lineRule="auto"/>
              <w:jc w:val="center"/>
              <w:rPr>
                <w:rFonts w:asciiTheme="minorEastAsia" w:hAnsiTheme="minorEastAsia" w:eastAsiaTheme="minorEastAsia" w:cstheme="minorEastAsia"/>
                <w:szCs w:val="21"/>
              </w:rPr>
            </w:pPr>
          </w:p>
        </w:tc>
        <w:tc>
          <w:tcPr>
            <w:tcW w:w="1588" w:type="dxa"/>
            <w:vAlign w:val="center"/>
          </w:tcPr>
          <w:p>
            <w:pPr>
              <w:keepNext/>
              <w:keepLines/>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trPr>
        <w:tc>
          <w:tcPr>
            <w:tcW w:w="1062" w:type="dxa"/>
            <w:vAlign w:val="center"/>
          </w:tcPr>
          <w:p>
            <w:pPr>
              <w:keepNext/>
              <w:keepLines/>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5500" w:type="dxa"/>
            <w:vAlign w:val="center"/>
          </w:tcPr>
          <w:p>
            <w:pPr>
              <w:keepNext/>
              <w:keepLines/>
              <w:spacing w:line="360" w:lineRule="auto"/>
              <w:jc w:val="center"/>
              <w:rPr>
                <w:rFonts w:asciiTheme="minorEastAsia" w:hAnsiTheme="minorEastAsia" w:eastAsiaTheme="minorEastAsia" w:cstheme="minorEastAsia"/>
                <w:szCs w:val="21"/>
              </w:rPr>
            </w:pPr>
          </w:p>
        </w:tc>
        <w:tc>
          <w:tcPr>
            <w:tcW w:w="1517" w:type="dxa"/>
            <w:vAlign w:val="center"/>
          </w:tcPr>
          <w:p>
            <w:pPr>
              <w:keepNext/>
              <w:keepLines/>
              <w:spacing w:line="360" w:lineRule="auto"/>
              <w:jc w:val="center"/>
              <w:rPr>
                <w:rFonts w:asciiTheme="minorEastAsia" w:hAnsiTheme="minorEastAsia" w:eastAsiaTheme="minorEastAsia" w:cstheme="minorEastAsia"/>
                <w:szCs w:val="21"/>
              </w:rPr>
            </w:pPr>
          </w:p>
        </w:tc>
        <w:tc>
          <w:tcPr>
            <w:tcW w:w="1588" w:type="dxa"/>
            <w:vAlign w:val="center"/>
          </w:tcPr>
          <w:p>
            <w:pPr>
              <w:keepNext/>
              <w:keepLines/>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trPr>
        <w:tc>
          <w:tcPr>
            <w:tcW w:w="1062" w:type="dxa"/>
            <w:vAlign w:val="center"/>
          </w:tcPr>
          <w:p>
            <w:pPr>
              <w:keepNext/>
              <w:keepLines/>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5500" w:type="dxa"/>
            <w:vAlign w:val="center"/>
          </w:tcPr>
          <w:p>
            <w:pPr>
              <w:keepNext/>
              <w:keepLines/>
              <w:spacing w:line="360" w:lineRule="auto"/>
              <w:jc w:val="center"/>
              <w:rPr>
                <w:rFonts w:asciiTheme="minorEastAsia" w:hAnsiTheme="minorEastAsia" w:eastAsiaTheme="minorEastAsia" w:cstheme="minorEastAsia"/>
                <w:szCs w:val="21"/>
              </w:rPr>
            </w:pPr>
          </w:p>
        </w:tc>
        <w:tc>
          <w:tcPr>
            <w:tcW w:w="1517" w:type="dxa"/>
            <w:vAlign w:val="center"/>
          </w:tcPr>
          <w:p>
            <w:pPr>
              <w:keepNext/>
              <w:keepLines/>
              <w:spacing w:line="360" w:lineRule="auto"/>
              <w:jc w:val="center"/>
              <w:rPr>
                <w:rFonts w:asciiTheme="minorEastAsia" w:hAnsiTheme="minorEastAsia" w:eastAsiaTheme="minorEastAsia" w:cstheme="minorEastAsia"/>
                <w:szCs w:val="21"/>
              </w:rPr>
            </w:pPr>
          </w:p>
        </w:tc>
        <w:tc>
          <w:tcPr>
            <w:tcW w:w="1588" w:type="dxa"/>
            <w:vAlign w:val="center"/>
          </w:tcPr>
          <w:p>
            <w:pPr>
              <w:keepNext/>
              <w:keepLines/>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trPr>
        <w:tc>
          <w:tcPr>
            <w:tcW w:w="1062" w:type="dxa"/>
            <w:vAlign w:val="center"/>
          </w:tcPr>
          <w:p>
            <w:pPr>
              <w:keepNext/>
              <w:keepLines/>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5500" w:type="dxa"/>
            <w:vAlign w:val="center"/>
          </w:tcPr>
          <w:p>
            <w:pPr>
              <w:keepNext/>
              <w:keepLines/>
              <w:spacing w:line="360" w:lineRule="auto"/>
              <w:jc w:val="center"/>
              <w:rPr>
                <w:rFonts w:asciiTheme="minorEastAsia" w:hAnsiTheme="minorEastAsia" w:eastAsiaTheme="minorEastAsia" w:cstheme="minorEastAsia"/>
                <w:szCs w:val="21"/>
              </w:rPr>
            </w:pPr>
          </w:p>
        </w:tc>
        <w:tc>
          <w:tcPr>
            <w:tcW w:w="1517" w:type="dxa"/>
            <w:vAlign w:val="center"/>
          </w:tcPr>
          <w:p>
            <w:pPr>
              <w:keepNext/>
              <w:keepLines/>
              <w:spacing w:line="360" w:lineRule="auto"/>
              <w:jc w:val="center"/>
              <w:rPr>
                <w:rFonts w:asciiTheme="minorEastAsia" w:hAnsiTheme="minorEastAsia" w:eastAsiaTheme="minorEastAsia" w:cstheme="minorEastAsia"/>
                <w:szCs w:val="21"/>
              </w:rPr>
            </w:pPr>
          </w:p>
        </w:tc>
        <w:tc>
          <w:tcPr>
            <w:tcW w:w="1588" w:type="dxa"/>
            <w:vAlign w:val="center"/>
          </w:tcPr>
          <w:p>
            <w:pPr>
              <w:keepNext/>
              <w:keepLines/>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trPr>
        <w:tc>
          <w:tcPr>
            <w:tcW w:w="1062" w:type="dxa"/>
            <w:vAlign w:val="center"/>
          </w:tcPr>
          <w:p>
            <w:pPr>
              <w:keepNext/>
              <w:keepLines/>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5500" w:type="dxa"/>
            <w:vAlign w:val="center"/>
          </w:tcPr>
          <w:p>
            <w:pPr>
              <w:keepNext/>
              <w:keepLines/>
              <w:spacing w:line="360" w:lineRule="auto"/>
              <w:jc w:val="center"/>
              <w:rPr>
                <w:rFonts w:asciiTheme="minorEastAsia" w:hAnsiTheme="minorEastAsia" w:eastAsiaTheme="minorEastAsia" w:cstheme="minorEastAsia"/>
                <w:szCs w:val="21"/>
              </w:rPr>
            </w:pPr>
          </w:p>
        </w:tc>
        <w:tc>
          <w:tcPr>
            <w:tcW w:w="1517" w:type="dxa"/>
            <w:vAlign w:val="center"/>
          </w:tcPr>
          <w:p>
            <w:pPr>
              <w:keepNext/>
              <w:keepLines/>
              <w:spacing w:line="360" w:lineRule="auto"/>
              <w:jc w:val="center"/>
              <w:rPr>
                <w:rFonts w:asciiTheme="minorEastAsia" w:hAnsiTheme="minorEastAsia" w:eastAsiaTheme="minorEastAsia" w:cstheme="minorEastAsia"/>
                <w:szCs w:val="21"/>
              </w:rPr>
            </w:pPr>
          </w:p>
        </w:tc>
        <w:tc>
          <w:tcPr>
            <w:tcW w:w="1588" w:type="dxa"/>
            <w:vAlign w:val="center"/>
          </w:tcPr>
          <w:p>
            <w:pPr>
              <w:keepNext/>
              <w:keepLines/>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trPr>
        <w:tc>
          <w:tcPr>
            <w:tcW w:w="1062" w:type="dxa"/>
            <w:vAlign w:val="center"/>
          </w:tcPr>
          <w:p>
            <w:pPr>
              <w:keepNext/>
              <w:keepLines/>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5500" w:type="dxa"/>
            <w:vAlign w:val="center"/>
          </w:tcPr>
          <w:p>
            <w:pPr>
              <w:keepNext/>
              <w:keepLines/>
              <w:spacing w:line="360" w:lineRule="auto"/>
              <w:jc w:val="center"/>
              <w:rPr>
                <w:rFonts w:asciiTheme="minorEastAsia" w:hAnsiTheme="minorEastAsia" w:eastAsiaTheme="minorEastAsia" w:cstheme="minorEastAsia"/>
                <w:szCs w:val="21"/>
              </w:rPr>
            </w:pPr>
          </w:p>
        </w:tc>
        <w:tc>
          <w:tcPr>
            <w:tcW w:w="1517" w:type="dxa"/>
            <w:vAlign w:val="center"/>
          </w:tcPr>
          <w:p>
            <w:pPr>
              <w:keepNext/>
              <w:keepLines/>
              <w:spacing w:line="360" w:lineRule="auto"/>
              <w:jc w:val="center"/>
              <w:rPr>
                <w:rFonts w:asciiTheme="minorEastAsia" w:hAnsiTheme="minorEastAsia" w:eastAsiaTheme="minorEastAsia" w:cstheme="minorEastAsia"/>
                <w:szCs w:val="21"/>
              </w:rPr>
            </w:pPr>
          </w:p>
        </w:tc>
        <w:tc>
          <w:tcPr>
            <w:tcW w:w="1588" w:type="dxa"/>
            <w:vAlign w:val="center"/>
          </w:tcPr>
          <w:p>
            <w:pPr>
              <w:keepNext/>
              <w:keepLines/>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trPr>
        <w:tc>
          <w:tcPr>
            <w:tcW w:w="1062" w:type="dxa"/>
            <w:vAlign w:val="center"/>
          </w:tcPr>
          <w:p>
            <w:pPr>
              <w:keepNext/>
              <w:keepLines/>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5500" w:type="dxa"/>
            <w:vAlign w:val="center"/>
          </w:tcPr>
          <w:p>
            <w:pPr>
              <w:keepNext/>
              <w:keepLines/>
              <w:spacing w:line="360" w:lineRule="auto"/>
              <w:jc w:val="center"/>
              <w:rPr>
                <w:rFonts w:asciiTheme="minorEastAsia" w:hAnsiTheme="minorEastAsia" w:eastAsiaTheme="minorEastAsia" w:cstheme="minorEastAsia"/>
                <w:szCs w:val="21"/>
              </w:rPr>
            </w:pPr>
          </w:p>
        </w:tc>
        <w:tc>
          <w:tcPr>
            <w:tcW w:w="1517" w:type="dxa"/>
            <w:vAlign w:val="center"/>
          </w:tcPr>
          <w:p>
            <w:pPr>
              <w:keepNext/>
              <w:keepLines/>
              <w:spacing w:line="360" w:lineRule="auto"/>
              <w:jc w:val="center"/>
              <w:rPr>
                <w:rFonts w:asciiTheme="minorEastAsia" w:hAnsiTheme="minorEastAsia" w:eastAsiaTheme="minorEastAsia" w:cstheme="minorEastAsia"/>
                <w:szCs w:val="21"/>
              </w:rPr>
            </w:pPr>
          </w:p>
        </w:tc>
        <w:tc>
          <w:tcPr>
            <w:tcW w:w="1588" w:type="dxa"/>
            <w:vAlign w:val="center"/>
          </w:tcPr>
          <w:p>
            <w:pPr>
              <w:keepNext/>
              <w:keepLines/>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trPr>
        <w:tc>
          <w:tcPr>
            <w:tcW w:w="1062" w:type="dxa"/>
            <w:vAlign w:val="center"/>
          </w:tcPr>
          <w:p>
            <w:pPr>
              <w:keepNext/>
              <w:keepLines/>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5500" w:type="dxa"/>
            <w:vAlign w:val="center"/>
          </w:tcPr>
          <w:p>
            <w:pPr>
              <w:keepNext/>
              <w:keepLines/>
              <w:spacing w:line="360" w:lineRule="auto"/>
              <w:jc w:val="center"/>
              <w:rPr>
                <w:rFonts w:asciiTheme="minorEastAsia" w:hAnsiTheme="minorEastAsia" w:eastAsiaTheme="minorEastAsia" w:cstheme="minorEastAsia"/>
                <w:szCs w:val="21"/>
              </w:rPr>
            </w:pPr>
          </w:p>
        </w:tc>
        <w:tc>
          <w:tcPr>
            <w:tcW w:w="1517" w:type="dxa"/>
            <w:vAlign w:val="center"/>
          </w:tcPr>
          <w:p>
            <w:pPr>
              <w:keepNext/>
              <w:keepLines/>
              <w:spacing w:line="360" w:lineRule="auto"/>
              <w:jc w:val="center"/>
              <w:rPr>
                <w:rFonts w:asciiTheme="minorEastAsia" w:hAnsiTheme="minorEastAsia" w:eastAsiaTheme="minorEastAsia" w:cstheme="minorEastAsia"/>
                <w:szCs w:val="21"/>
              </w:rPr>
            </w:pPr>
          </w:p>
        </w:tc>
        <w:tc>
          <w:tcPr>
            <w:tcW w:w="1588" w:type="dxa"/>
            <w:vAlign w:val="center"/>
          </w:tcPr>
          <w:p>
            <w:pPr>
              <w:keepNext/>
              <w:keepLines/>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trPr>
        <w:tc>
          <w:tcPr>
            <w:tcW w:w="1062" w:type="dxa"/>
            <w:vAlign w:val="center"/>
          </w:tcPr>
          <w:p>
            <w:pPr>
              <w:keepNext/>
              <w:keepLines/>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5500" w:type="dxa"/>
            <w:vAlign w:val="center"/>
          </w:tcPr>
          <w:p>
            <w:pPr>
              <w:keepNext/>
              <w:keepLines/>
              <w:spacing w:line="360" w:lineRule="auto"/>
              <w:jc w:val="center"/>
              <w:rPr>
                <w:rFonts w:asciiTheme="minorEastAsia" w:hAnsiTheme="minorEastAsia" w:eastAsiaTheme="minorEastAsia" w:cstheme="minorEastAsia"/>
                <w:szCs w:val="21"/>
              </w:rPr>
            </w:pPr>
          </w:p>
        </w:tc>
        <w:tc>
          <w:tcPr>
            <w:tcW w:w="1517" w:type="dxa"/>
            <w:vAlign w:val="center"/>
          </w:tcPr>
          <w:p>
            <w:pPr>
              <w:keepNext/>
              <w:keepLines/>
              <w:spacing w:line="360" w:lineRule="auto"/>
              <w:jc w:val="center"/>
              <w:rPr>
                <w:rFonts w:asciiTheme="minorEastAsia" w:hAnsiTheme="minorEastAsia" w:eastAsiaTheme="minorEastAsia" w:cstheme="minorEastAsia"/>
                <w:szCs w:val="21"/>
              </w:rPr>
            </w:pPr>
          </w:p>
        </w:tc>
        <w:tc>
          <w:tcPr>
            <w:tcW w:w="1588" w:type="dxa"/>
            <w:vAlign w:val="center"/>
          </w:tcPr>
          <w:p>
            <w:pPr>
              <w:keepNext/>
              <w:keepLines/>
              <w:spacing w:line="360" w:lineRule="auto"/>
              <w:jc w:val="center"/>
              <w:rPr>
                <w:rFonts w:asciiTheme="minorEastAsia" w:hAnsiTheme="minorEastAsia" w:eastAsiaTheme="minorEastAsia" w:cstheme="minorEastAsia"/>
                <w:szCs w:val="21"/>
              </w:rPr>
            </w:pPr>
          </w:p>
        </w:tc>
      </w:tr>
    </w:tbl>
    <w:p>
      <w:pPr>
        <w:keepNext/>
        <w:keepLines/>
        <w:spacing w:beforeLines="50" w:afterLines="50" w:line="360" w:lineRule="auto"/>
        <w:rPr>
          <w:rFonts w:asciiTheme="minorEastAsia" w:hAnsiTheme="minorEastAsia" w:eastAsiaTheme="minorEastAsia" w:cstheme="minorEastAsia"/>
          <w:szCs w:val="21"/>
        </w:rPr>
      </w:pPr>
    </w:p>
    <w:p>
      <w:pPr>
        <w:keepNext/>
        <w:keepLines/>
        <w:spacing w:beforeLines="50" w:afterLines="50"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供应商名称（并加盖公章）：</w:t>
      </w:r>
    </w:p>
    <w:p>
      <w:pPr>
        <w:pStyle w:val="119"/>
        <w:keepNext/>
        <w:keepLines/>
        <w:spacing w:before="60" w:afterLines="50" w:line="360" w:lineRule="auto"/>
        <w:ind w:firstLine="0" w:firstLineChars="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签署日期：年 月 日</w:t>
      </w:r>
    </w:p>
    <w:p>
      <w:pPr>
        <w:keepNext/>
        <w:keepLines/>
        <w:spacing w:line="360" w:lineRule="auto"/>
        <w:ind w:left="1054" w:hanging="1054" w:hangingChars="5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使用说明：请将此表仅粘贴于证明文件原件包外。</w:t>
      </w:r>
    </w:p>
    <w:p>
      <w:pPr>
        <w:keepNext/>
        <w:keepLines/>
        <w:spacing w:line="360" w:lineRule="auto"/>
        <w:rPr>
          <w:rFonts w:asciiTheme="minorEastAsia" w:hAnsiTheme="minorEastAsia" w:eastAsiaTheme="minorEastAsia" w:cstheme="minorEastAsia"/>
          <w:b/>
          <w:szCs w:val="21"/>
        </w:rPr>
      </w:pPr>
    </w:p>
    <w:sectPr>
      <w:footerReference r:id="rId3" w:type="default"/>
      <w:pgSz w:w="11906" w:h="16838"/>
      <w:pgMar w:top="1435" w:right="1797" w:bottom="1435" w:left="179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长城楷体">
    <w:altName w:val="宋体"/>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1"/>
                </w:pPr>
                <w:r>
                  <w:fldChar w:fldCharType="begin"/>
                </w:r>
                <w:r>
                  <w:instrText xml:space="preserve"> PAGE  \* MERGEFORMAT </w:instrText>
                </w:r>
                <w:r>
                  <w:fldChar w:fldCharType="separate"/>
                </w:r>
                <w:r>
                  <w:t>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595A28"/>
    <w:multiLevelType w:val="singleLevel"/>
    <w:tmpl w:val="B4595A28"/>
    <w:lvl w:ilvl="0" w:tentative="0">
      <w:start w:val="1"/>
      <w:numFmt w:val="decimal"/>
      <w:suff w:val="nothing"/>
      <w:lvlText w:val="%1、"/>
      <w:lvlJc w:val="left"/>
    </w:lvl>
  </w:abstractNum>
  <w:abstractNum w:abstractNumId="1">
    <w:nsid w:val="5981A4ED"/>
    <w:multiLevelType w:val="singleLevel"/>
    <w:tmpl w:val="5981A4ED"/>
    <w:lvl w:ilvl="0" w:tentative="0">
      <w:start w:val="1"/>
      <w:numFmt w:val="chineseCounting"/>
      <w:suff w:val="nothing"/>
      <w:lvlText w:val="（%1）"/>
      <w:lvlJc w:val="left"/>
    </w:lvl>
  </w:abstractNum>
  <w:abstractNum w:abstractNumId="2">
    <w:nsid w:val="5981A988"/>
    <w:multiLevelType w:val="singleLevel"/>
    <w:tmpl w:val="5981A988"/>
    <w:lvl w:ilvl="0" w:tentative="0">
      <w:start w:val="1"/>
      <w:numFmt w:val="chineseCounting"/>
      <w:suff w:val="nothing"/>
      <w:lvlText w:val="（%1）"/>
      <w:lvlJc w:val="left"/>
    </w:lvl>
  </w:abstractNum>
  <w:abstractNum w:abstractNumId="3">
    <w:nsid w:val="5981B23E"/>
    <w:multiLevelType w:val="singleLevel"/>
    <w:tmpl w:val="5981B23E"/>
    <w:lvl w:ilvl="0" w:tentative="0">
      <w:start w:val="1"/>
      <w:numFmt w:val="decimal"/>
      <w:suff w:val="nothing"/>
      <w:lvlText w:val="（%1）"/>
      <w:lvlJc w:val="left"/>
    </w:lvl>
  </w:abstractNum>
  <w:abstractNum w:abstractNumId="4">
    <w:nsid w:val="598916C7"/>
    <w:multiLevelType w:val="singleLevel"/>
    <w:tmpl w:val="598916C7"/>
    <w:lvl w:ilvl="0" w:tentative="0">
      <w:start w:val="1"/>
      <w:numFmt w:val="decimal"/>
      <w:suff w:val="nothing"/>
      <w:lvlText w:val="%1."/>
      <w:lvlJc w:val="left"/>
    </w:lvl>
  </w:abstractNum>
  <w:abstractNum w:abstractNumId="5">
    <w:nsid w:val="59BA82E2"/>
    <w:multiLevelType w:val="singleLevel"/>
    <w:tmpl w:val="59BA82E2"/>
    <w:lvl w:ilvl="0" w:tentative="0">
      <w:start w:val="9"/>
      <w:numFmt w:val="decimal"/>
      <w:suff w:val="nothing"/>
      <w:lvlText w:val="%1."/>
      <w:lvlJc w:val="left"/>
    </w:lvl>
  </w:abstractNum>
  <w:abstractNum w:abstractNumId="6">
    <w:nsid w:val="59BA86D1"/>
    <w:multiLevelType w:val="singleLevel"/>
    <w:tmpl w:val="59BA86D1"/>
    <w:lvl w:ilvl="0" w:tentative="0">
      <w:start w:val="1"/>
      <w:numFmt w:val="chineseCounting"/>
      <w:suff w:val="nothing"/>
      <w:lvlText w:val="（%1）"/>
      <w:lvlJc w:val="left"/>
    </w:lvl>
  </w:abstractNum>
  <w:abstractNum w:abstractNumId="7">
    <w:nsid w:val="59BAA943"/>
    <w:multiLevelType w:val="singleLevel"/>
    <w:tmpl w:val="59BAA943"/>
    <w:lvl w:ilvl="0" w:tentative="0">
      <w:start w:val="1"/>
      <w:numFmt w:val="chineseCounting"/>
      <w:suff w:val="nothing"/>
      <w:lvlText w:val="（%1）"/>
      <w:lvlJc w:val="left"/>
    </w:lvl>
  </w:abstractNum>
  <w:abstractNum w:abstractNumId="8">
    <w:nsid w:val="59BAAB3C"/>
    <w:multiLevelType w:val="singleLevel"/>
    <w:tmpl w:val="59BAAB3C"/>
    <w:lvl w:ilvl="0" w:tentative="0">
      <w:start w:val="1"/>
      <w:numFmt w:val="chineseCounting"/>
      <w:suff w:val="nothing"/>
      <w:lvlText w:val="（%1）"/>
      <w:lvlJc w:val="left"/>
    </w:lvl>
  </w:abstractNum>
  <w:abstractNum w:abstractNumId="9">
    <w:nsid w:val="59BAAEAD"/>
    <w:multiLevelType w:val="singleLevel"/>
    <w:tmpl w:val="59BAAEAD"/>
    <w:lvl w:ilvl="0" w:tentative="0">
      <w:start w:val="1"/>
      <w:numFmt w:val="decimal"/>
      <w:suff w:val="nothing"/>
      <w:lvlText w:val="（%1）"/>
      <w:lvlJc w:val="left"/>
    </w:lvl>
  </w:abstractNum>
  <w:abstractNum w:abstractNumId="10">
    <w:nsid w:val="59BAB107"/>
    <w:multiLevelType w:val="singleLevel"/>
    <w:tmpl w:val="59BAB107"/>
    <w:lvl w:ilvl="0" w:tentative="0">
      <w:start w:val="9"/>
      <w:numFmt w:val="chineseCounting"/>
      <w:suff w:val="nothing"/>
      <w:lvlText w:val="（%1）"/>
      <w:lvlJc w:val="left"/>
    </w:lvl>
  </w:abstractNum>
  <w:abstractNum w:abstractNumId="11">
    <w:nsid w:val="59BB1E2A"/>
    <w:multiLevelType w:val="singleLevel"/>
    <w:tmpl w:val="59BB1E2A"/>
    <w:lvl w:ilvl="0" w:tentative="0">
      <w:start w:val="1"/>
      <w:numFmt w:val="chineseCounting"/>
      <w:suff w:val="nothing"/>
      <w:lvlText w:val="（%1）"/>
      <w:lvlJc w:val="left"/>
    </w:lvl>
  </w:abstractNum>
  <w:abstractNum w:abstractNumId="12">
    <w:nsid w:val="59BC9E5E"/>
    <w:multiLevelType w:val="singleLevel"/>
    <w:tmpl w:val="59BC9E5E"/>
    <w:lvl w:ilvl="0" w:tentative="0">
      <w:start w:val="42"/>
      <w:numFmt w:val="decimal"/>
      <w:suff w:val="nothing"/>
      <w:lvlText w:val="%1."/>
      <w:lvlJc w:val="left"/>
    </w:lvl>
  </w:abstractNum>
  <w:abstractNum w:abstractNumId="13">
    <w:nsid w:val="59BCF42C"/>
    <w:multiLevelType w:val="singleLevel"/>
    <w:tmpl w:val="59BCF42C"/>
    <w:lvl w:ilvl="0" w:tentative="0">
      <w:start w:val="3"/>
      <w:numFmt w:val="decimal"/>
      <w:suff w:val="nothing"/>
      <w:lvlText w:val="%1."/>
      <w:lvlJc w:val="left"/>
    </w:lvl>
  </w:abstractNum>
  <w:abstractNum w:abstractNumId="14">
    <w:nsid w:val="59BCFA9C"/>
    <w:multiLevelType w:val="singleLevel"/>
    <w:tmpl w:val="59BCFA9C"/>
    <w:lvl w:ilvl="0" w:tentative="0">
      <w:start w:val="1"/>
      <w:numFmt w:val="decimal"/>
      <w:suff w:val="nothing"/>
      <w:lvlText w:val="%1."/>
      <w:lvlJc w:val="left"/>
    </w:lvl>
  </w:abstractNum>
  <w:num w:numId="1">
    <w:abstractNumId w:val="0"/>
  </w:num>
  <w:num w:numId="2">
    <w:abstractNumId w:val="5"/>
  </w:num>
  <w:num w:numId="3">
    <w:abstractNumId w:val="6"/>
  </w:num>
  <w:num w:numId="4">
    <w:abstractNumId w:val="7"/>
  </w:num>
  <w:num w:numId="5">
    <w:abstractNumId w:val="8"/>
  </w:num>
  <w:num w:numId="6">
    <w:abstractNumId w:val="9"/>
  </w:num>
  <w:num w:numId="7">
    <w:abstractNumId w:val="10"/>
  </w:num>
  <w:num w:numId="8">
    <w:abstractNumId w:val="1"/>
  </w:num>
  <w:num w:numId="9">
    <w:abstractNumId w:val="11"/>
  </w:num>
  <w:num w:numId="10">
    <w:abstractNumId w:val="2"/>
  </w:num>
  <w:num w:numId="11">
    <w:abstractNumId w:val="3"/>
  </w:num>
  <w:num w:numId="12">
    <w:abstractNumId w:val="12"/>
  </w:num>
  <w:num w:numId="13">
    <w:abstractNumId w:val="13"/>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C3828"/>
    <w:rsid w:val="0000273B"/>
    <w:rsid w:val="00012FF4"/>
    <w:rsid w:val="00014606"/>
    <w:rsid w:val="00021E6F"/>
    <w:rsid w:val="00024760"/>
    <w:rsid w:val="0002646F"/>
    <w:rsid w:val="00034D43"/>
    <w:rsid w:val="000364D5"/>
    <w:rsid w:val="0004060D"/>
    <w:rsid w:val="00044912"/>
    <w:rsid w:val="000479E7"/>
    <w:rsid w:val="00053E61"/>
    <w:rsid w:val="00061E63"/>
    <w:rsid w:val="00064AB2"/>
    <w:rsid w:val="0007579F"/>
    <w:rsid w:val="0007648F"/>
    <w:rsid w:val="00076CFC"/>
    <w:rsid w:val="00084AA2"/>
    <w:rsid w:val="00095C45"/>
    <w:rsid w:val="00096FF8"/>
    <w:rsid w:val="00097543"/>
    <w:rsid w:val="000A2375"/>
    <w:rsid w:val="000A52A8"/>
    <w:rsid w:val="000B2890"/>
    <w:rsid w:val="000B5CFA"/>
    <w:rsid w:val="000B654B"/>
    <w:rsid w:val="000C1CC6"/>
    <w:rsid w:val="000C381C"/>
    <w:rsid w:val="000C49A2"/>
    <w:rsid w:val="000D139F"/>
    <w:rsid w:val="000D1E85"/>
    <w:rsid w:val="000D4492"/>
    <w:rsid w:val="000D56E2"/>
    <w:rsid w:val="000F0950"/>
    <w:rsid w:val="000F2B85"/>
    <w:rsid w:val="000F50AB"/>
    <w:rsid w:val="000F5236"/>
    <w:rsid w:val="000F5D7B"/>
    <w:rsid w:val="000F7BC3"/>
    <w:rsid w:val="00101137"/>
    <w:rsid w:val="00104856"/>
    <w:rsid w:val="0010672F"/>
    <w:rsid w:val="001122B1"/>
    <w:rsid w:val="0011431A"/>
    <w:rsid w:val="00115332"/>
    <w:rsid w:val="00125DCA"/>
    <w:rsid w:val="001261D6"/>
    <w:rsid w:val="00126365"/>
    <w:rsid w:val="0014391E"/>
    <w:rsid w:val="00164E55"/>
    <w:rsid w:val="00171601"/>
    <w:rsid w:val="001723A0"/>
    <w:rsid w:val="001863A6"/>
    <w:rsid w:val="00190E74"/>
    <w:rsid w:val="00196912"/>
    <w:rsid w:val="001A0C29"/>
    <w:rsid w:val="001B321D"/>
    <w:rsid w:val="001B5AB3"/>
    <w:rsid w:val="001C4A2C"/>
    <w:rsid w:val="001C6581"/>
    <w:rsid w:val="001E0950"/>
    <w:rsid w:val="001E3A65"/>
    <w:rsid w:val="001F1037"/>
    <w:rsid w:val="001F543B"/>
    <w:rsid w:val="00206D18"/>
    <w:rsid w:val="0020759E"/>
    <w:rsid w:val="00211FC4"/>
    <w:rsid w:val="0021293B"/>
    <w:rsid w:val="002171CE"/>
    <w:rsid w:val="00223282"/>
    <w:rsid w:val="00224D6D"/>
    <w:rsid w:val="002252C6"/>
    <w:rsid w:val="00236409"/>
    <w:rsid w:val="00237987"/>
    <w:rsid w:val="00241A1F"/>
    <w:rsid w:val="00242066"/>
    <w:rsid w:val="002426B9"/>
    <w:rsid w:val="002448CA"/>
    <w:rsid w:val="00245434"/>
    <w:rsid w:val="002556A0"/>
    <w:rsid w:val="00256FFA"/>
    <w:rsid w:val="0026349C"/>
    <w:rsid w:val="00266D72"/>
    <w:rsid w:val="00272725"/>
    <w:rsid w:val="00274818"/>
    <w:rsid w:val="00287771"/>
    <w:rsid w:val="002877D1"/>
    <w:rsid w:val="00290A15"/>
    <w:rsid w:val="00292A2E"/>
    <w:rsid w:val="00293C9B"/>
    <w:rsid w:val="00296D8E"/>
    <w:rsid w:val="002A09C5"/>
    <w:rsid w:val="002A4B19"/>
    <w:rsid w:val="002A6C04"/>
    <w:rsid w:val="002B60D6"/>
    <w:rsid w:val="002C5B8F"/>
    <w:rsid w:val="002D0636"/>
    <w:rsid w:val="002D2001"/>
    <w:rsid w:val="002D5533"/>
    <w:rsid w:val="002E0932"/>
    <w:rsid w:val="002E13BF"/>
    <w:rsid w:val="002E13D8"/>
    <w:rsid w:val="002E168E"/>
    <w:rsid w:val="002E1FA5"/>
    <w:rsid w:val="002E339A"/>
    <w:rsid w:val="002E53F5"/>
    <w:rsid w:val="002E6211"/>
    <w:rsid w:val="002F36A0"/>
    <w:rsid w:val="003127FE"/>
    <w:rsid w:val="00314BE5"/>
    <w:rsid w:val="0033023A"/>
    <w:rsid w:val="003428F3"/>
    <w:rsid w:val="0034570C"/>
    <w:rsid w:val="003472DF"/>
    <w:rsid w:val="00355D50"/>
    <w:rsid w:val="00356AD8"/>
    <w:rsid w:val="00356B33"/>
    <w:rsid w:val="003604F9"/>
    <w:rsid w:val="0036616F"/>
    <w:rsid w:val="00367A7A"/>
    <w:rsid w:val="00371F0A"/>
    <w:rsid w:val="0037400D"/>
    <w:rsid w:val="00385B77"/>
    <w:rsid w:val="00395C6E"/>
    <w:rsid w:val="00397E20"/>
    <w:rsid w:val="003A43AA"/>
    <w:rsid w:val="003A73BA"/>
    <w:rsid w:val="003B3C97"/>
    <w:rsid w:val="003B4140"/>
    <w:rsid w:val="003B7611"/>
    <w:rsid w:val="003B781C"/>
    <w:rsid w:val="003C52AA"/>
    <w:rsid w:val="003D31CF"/>
    <w:rsid w:val="003F2CEA"/>
    <w:rsid w:val="003F3A69"/>
    <w:rsid w:val="003F5EB1"/>
    <w:rsid w:val="003F77EE"/>
    <w:rsid w:val="003F783D"/>
    <w:rsid w:val="00413421"/>
    <w:rsid w:val="0044118A"/>
    <w:rsid w:val="00443C74"/>
    <w:rsid w:val="00443D9D"/>
    <w:rsid w:val="0045170B"/>
    <w:rsid w:val="00461595"/>
    <w:rsid w:val="004636AA"/>
    <w:rsid w:val="00471D88"/>
    <w:rsid w:val="004772D9"/>
    <w:rsid w:val="00483EBA"/>
    <w:rsid w:val="00485F02"/>
    <w:rsid w:val="004959C9"/>
    <w:rsid w:val="004A516B"/>
    <w:rsid w:val="004A6C5C"/>
    <w:rsid w:val="004B0A0B"/>
    <w:rsid w:val="004B1A54"/>
    <w:rsid w:val="004B4FAD"/>
    <w:rsid w:val="004C4C29"/>
    <w:rsid w:val="004D2E42"/>
    <w:rsid w:val="004D502A"/>
    <w:rsid w:val="004D63EA"/>
    <w:rsid w:val="004E7A25"/>
    <w:rsid w:val="004F0AF5"/>
    <w:rsid w:val="004F1DFC"/>
    <w:rsid w:val="004F4C1F"/>
    <w:rsid w:val="004F4DBB"/>
    <w:rsid w:val="005020F0"/>
    <w:rsid w:val="00506BE9"/>
    <w:rsid w:val="00520BED"/>
    <w:rsid w:val="00521A30"/>
    <w:rsid w:val="005264CC"/>
    <w:rsid w:val="005303E6"/>
    <w:rsid w:val="00534E20"/>
    <w:rsid w:val="00547529"/>
    <w:rsid w:val="00564B17"/>
    <w:rsid w:val="00565F21"/>
    <w:rsid w:val="00566274"/>
    <w:rsid w:val="0057167F"/>
    <w:rsid w:val="00580BD4"/>
    <w:rsid w:val="00586D82"/>
    <w:rsid w:val="005A0AAD"/>
    <w:rsid w:val="005A2BA1"/>
    <w:rsid w:val="005B0154"/>
    <w:rsid w:val="005B46E6"/>
    <w:rsid w:val="005B69FB"/>
    <w:rsid w:val="005D5E9A"/>
    <w:rsid w:val="005D735A"/>
    <w:rsid w:val="005D79A9"/>
    <w:rsid w:val="005E65D4"/>
    <w:rsid w:val="005F1686"/>
    <w:rsid w:val="006140A8"/>
    <w:rsid w:val="00616F31"/>
    <w:rsid w:val="00630338"/>
    <w:rsid w:val="0063346C"/>
    <w:rsid w:val="00635ABB"/>
    <w:rsid w:val="00653A91"/>
    <w:rsid w:val="00653E32"/>
    <w:rsid w:val="00653E73"/>
    <w:rsid w:val="00655991"/>
    <w:rsid w:val="00657C03"/>
    <w:rsid w:val="00677792"/>
    <w:rsid w:val="006801EA"/>
    <w:rsid w:val="00680DE7"/>
    <w:rsid w:val="006A3B1C"/>
    <w:rsid w:val="006A562C"/>
    <w:rsid w:val="006A6DFF"/>
    <w:rsid w:val="006B76A6"/>
    <w:rsid w:val="006C0851"/>
    <w:rsid w:val="006D1EFC"/>
    <w:rsid w:val="006E7410"/>
    <w:rsid w:val="006F6C2F"/>
    <w:rsid w:val="007045C6"/>
    <w:rsid w:val="0070484A"/>
    <w:rsid w:val="00705909"/>
    <w:rsid w:val="00706244"/>
    <w:rsid w:val="00710575"/>
    <w:rsid w:val="00714B69"/>
    <w:rsid w:val="00721594"/>
    <w:rsid w:val="00721ED9"/>
    <w:rsid w:val="00724C3E"/>
    <w:rsid w:val="007269D4"/>
    <w:rsid w:val="007348D8"/>
    <w:rsid w:val="007372A2"/>
    <w:rsid w:val="007433CC"/>
    <w:rsid w:val="00752BF2"/>
    <w:rsid w:val="00753255"/>
    <w:rsid w:val="007618B1"/>
    <w:rsid w:val="007676C6"/>
    <w:rsid w:val="00771121"/>
    <w:rsid w:val="0077641F"/>
    <w:rsid w:val="00776BCE"/>
    <w:rsid w:val="0078269D"/>
    <w:rsid w:val="00783BF2"/>
    <w:rsid w:val="0078452A"/>
    <w:rsid w:val="00791A09"/>
    <w:rsid w:val="00797E3A"/>
    <w:rsid w:val="007A5A07"/>
    <w:rsid w:val="007A5E44"/>
    <w:rsid w:val="007B0209"/>
    <w:rsid w:val="007B6AD4"/>
    <w:rsid w:val="007C1317"/>
    <w:rsid w:val="007C34C0"/>
    <w:rsid w:val="007D2254"/>
    <w:rsid w:val="007D72DA"/>
    <w:rsid w:val="007E15DC"/>
    <w:rsid w:val="007E1AA2"/>
    <w:rsid w:val="007E1CC1"/>
    <w:rsid w:val="007E4485"/>
    <w:rsid w:val="007F6855"/>
    <w:rsid w:val="007F7DB5"/>
    <w:rsid w:val="008036DF"/>
    <w:rsid w:val="0080764D"/>
    <w:rsid w:val="00817C9B"/>
    <w:rsid w:val="00820298"/>
    <w:rsid w:val="00822026"/>
    <w:rsid w:val="00822472"/>
    <w:rsid w:val="00823A28"/>
    <w:rsid w:val="00826375"/>
    <w:rsid w:val="0083046D"/>
    <w:rsid w:val="00831C2C"/>
    <w:rsid w:val="008333AF"/>
    <w:rsid w:val="00840AA5"/>
    <w:rsid w:val="0084270C"/>
    <w:rsid w:val="00853685"/>
    <w:rsid w:val="00854C76"/>
    <w:rsid w:val="00862C0F"/>
    <w:rsid w:val="00871919"/>
    <w:rsid w:val="00882026"/>
    <w:rsid w:val="00893466"/>
    <w:rsid w:val="008B1B86"/>
    <w:rsid w:val="008B2DC5"/>
    <w:rsid w:val="008B402B"/>
    <w:rsid w:val="008B4389"/>
    <w:rsid w:val="008B5C35"/>
    <w:rsid w:val="008B6DC6"/>
    <w:rsid w:val="008C0838"/>
    <w:rsid w:val="008C637B"/>
    <w:rsid w:val="008D08A1"/>
    <w:rsid w:val="008D4FA8"/>
    <w:rsid w:val="008E75C6"/>
    <w:rsid w:val="008F7C03"/>
    <w:rsid w:val="00912CA0"/>
    <w:rsid w:val="009144D1"/>
    <w:rsid w:val="00923E79"/>
    <w:rsid w:val="00925547"/>
    <w:rsid w:val="00931661"/>
    <w:rsid w:val="0093607A"/>
    <w:rsid w:val="009367E0"/>
    <w:rsid w:val="00950ECF"/>
    <w:rsid w:val="009620F4"/>
    <w:rsid w:val="00972035"/>
    <w:rsid w:val="009823CE"/>
    <w:rsid w:val="009944E5"/>
    <w:rsid w:val="009964ED"/>
    <w:rsid w:val="00996A83"/>
    <w:rsid w:val="009A2F9F"/>
    <w:rsid w:val="009A424A"/>
    <w:rsid w:val="009A4E1F"/>
    <w:rsid w:val="009B72C8"/>
    <w:rsid w:val="009C3753"/>
    <w:rsid w:val="009C3828"/>
    <w:rsid w:val="009C63D8"/>
    <w:rsid w:val="009D25E2"/>
    <w:rsid w:val="009F2E27"/>
    <w:rsid w:val="00A078A6"/>
    <w:rsid w:val="00A151F4"/>
    <w:rsid w:val="00A36C14"/>
    <w:rsid w:val="00A418C0"/>
    <w:rsid w:val="00A51337"/>
    <w:rsid w:val="00A56C82"/>
    <w:rsid w:val="00A642D1"/>
    <w:rsid w:val="00A66004"/>
    <w:rsid w:val="00A708E6"/>
    <w:rsid w:val="00A7173B"/>
    <w:rsid w:val="00A7594F"/>
    <w:rsid w:val="00A7720A"/>
    <w:rsid w:val="00A92A70"/>
    <w:rsid w:val="00AA4657"/>
    <w:rsid w:val="00AB1940"/>
    <w:rsid w:val="00AB22CD"/>
    <w:rsid w:val="00AB7595"/>
    <w:rsid w:val="00AC3ABD"/>
    <w:rsid w:val="00AC7F42"/>
    <w:rsid w:val="00AD28E9"/>
    <w:rsid w:val="00AE7A51"/>
    <w:rsid w:val="00AF2000"/>
    <w:rsid w:val="00B02F13"/>
    <w:rsid w:val="00B03879"/>
    <w:rsid w:val="00B0407B"/>
    <w:rsid w:val="00B0696C"/>
    <w:rsid w:val="00B07C6E"/>
    <w:rsid w:val="00B11677"/>
    <w:rsid w:val="00B154A4"/>
    <w:rsid w:val="00B15B77"/>
    <w:rsid w:val="00B213E0"/>
    <w:rsid w:val="00B214F7"/>
    <w:rsid w:val="00B22667"/>
    <w:rsid w:val="00B2547A"/>
    <w:rsid w:val="00B26F8B"/>
    <w:rsid w:val="00B30E6B"/>
    <w:rsid w:val="00B30FB3"/>
    <w:rsid w:val="00B364D1"/>
    <w:rsid w:val="00B36957"/>
    <w:rsid w:val="00B430D7"/>
    <w:rsid w:val="00B4324B"/>
    <w:rsid w:val="00B56C12"/>
    <w:rsid w:val="00B60E30"/>
    <w:rsid w:val="00B626B5"/>
    <w:rsid w:val="00B63A85"/>
    <w:rsid w:val="00B65B06"/>
    <w:rsid w:val="00B667A4"/>
    <w:rsid w:val="00B677D5"/>
    <w:rsid w:val="00B76CF8"/>
    <w:rsid w:val="00B81C71"/>
    <w:rsid w:val="00B84F02"/>
    <w:rsid w:val="00B87715"/>
    <w:rsid w:val="00B91CCB"/>
    <w:rsid w:val="00B92B19"/>
    <w:rsid w:val="00BA1527"/>
    <w:rsid w:val="00BA2F0D"/>
    <w:rsid w:val="00BA6905"/>
    <w:rsid w:val="00BB3E64"/>
    <w:rsid w:val="00BB4A3E"/>
    <w:rsid w:val="00BC0EBA"/>
    <w:rsid w:val="00BC188B"/>
    <w:rsid w:val="00BC3DBD"/>
    <w:rsid w:val="00BD0B36"/>
    <w:rsid w:val="00BD25B1"/>
    <w:rsid w:val="00BD5994"/>
    <w:rsid w:val="00BD5E36"/>
    <w:rsid w:val="00BE4EAE"/>
    <w:rsid w:val="00BE6CB8"/>
    <w:rsid w:val="00BF4F36"/>
    <w:rsid w:val="00C0379E"/>
    <w:rsid w:val="00C07B3E"/>
    <w:rsid w:val="00C174CC"/>
    <w:rsid w:val="00C24195"/>
    <w:rsid w:val="00C36260"/>
    <w:rsid w:val="00C47497"/>
    <w:rsid w:val="00C553F7"/>
    <w:rsid w:val="00C621BF"/>
    <w:rsid w:val="00C711A3"/>
    <w:rsid w:val="00C75C3B"/>
    <w:rsid w:val="00C77AD7"/>
    <w:rsid w:val="00C82913"/>
    <w:rsid w:val="00C96A13"/>
    <w:rsid w:val="00C97681"/>
    <w:rsid w:val="00CA17E2"/>
    <w:rsid w:val="00CA4EDE"/>
    <w:rsid w:val="00CA5573"/>
    <w:rsid w:val="00CA76C7"/>
    <w:rsid w:val="00CB62F5"/>
    <w:rsid w:val="00CC7F2D"/>
    <w:rsid w:val="00CD44D8"/>
    <w:rsid w:val="00CD4737"/>
    <w:rsid w:val="00CE31A5"/>
    <w:rsid w:val="00CE6F14"/>
    <w:rsid w:val="00CF08FA"/>
    <w:rsid w:val="00D02FE4"/>
    <w:rsid w:val="00D069C1"/>
    <w:rsid w:val="00D06CA9"/>
    <w:rsid w:val="00D11E85"/>
    <w:rsid w:val="00D13BEC"/>
    <w:rsid w:val="00D15973"/>
    <w:rsid w:val="00D166CA"/>
    <w:rsid w:val="00D16D8E"/>
    <w:rsid w:val="00D258FF"/>
    <w:rsid w:val="00D370C5"/>
    <w:rsid w:val="00D372C9"/>
    <w:rsid w:val="00D444D1"/>
    <w:rsid w:val="00D57BAC"/>
    <w:rsid w:val="00D6557A"/>
    <w:rsid w:val="00D672DC"/>
    <w:rsid w:val="00D6796F"/>
    <w:rsid w:val="00D752CD"/>
    <w:rsid w:val="00D83E6D"/>
    <w:rsid w:val="00D869C5"/>
    <w:rsid w:val="00D90816"/>
    <w:rsid w:val="00D9175E"/>
    <w:rsid w:val="00D959C4"/>
    <w:rsid w:val="00DA6A0F"/>
    <w:rsid w:val="00DB569E"/>
    <w:rsid w:val="00DB62D6"/>
    <w:rsid w:val="00DC03BC"/>
    <w:rsid w:val="00DD5F4A"/>
    <w:rsid w:val="00DF10A6"/>
    <w:rsid w:val="00DF59E9"/>
    <w:rsid w:val="00E00C27"/>
    <w:rsid w:val="00E03B8B"/>
    <w:rsid w:val="00E049ED"/>
    <w:rsid w:val="00E075EB"/>
    <w:rsid w:val="00E13220"/>
    <w:rsid w:val="00E145DA"/>
    <w:rsid w:val="00E1631D"/>
    <w:rsid w:val="00E1733D"/>
    <w:rsid w:val="00E25F7B"/>
    <w:rsid w:val="00E27B0F"/>
    <w:rsid w:val="00E31377"/>
    <w:rsid w:val="00E31CFA"/>
    <w:rsid w:val="00E3200B"/>
    <w:rsid w:val="00E6049B"/>
    <w:rsid w:val="00E64F72"/>
    <w:rsid w:val="00E708CD"/>
    <w:rsid w:val="00E7161B"/>
    <w:rsid w:val="00E73685"/>
    <w:rsid w:val="00E81439"/>
    <w:rsid w:val="00E83562"/>
    <w:rsid w:val="00E92FF7"/>
    <w:rsid w:val="00E94EC5"/>
    <w:rsid w:val="00EA00DB"/>
    <w:rsid w:val="00EA258E"/>
    <w:rsid w:val="00EA68C3"/>
    <w:rsid w:val="00EB1CC3"/>
    <w:rsid w:val="00EB4AF8"/>
    <w:rsid w:val="00EB6253"/>
    <w:rsid w:val="00EB7C2F"/>
    <w:rsid w:val="00EC2C82"/>
    <w:rsid w:val="00EC398E"/>
    <w:rsid w:val="00EC7098"/>
    <w:rsid w:val="00ED002F"/>
    <w:rsid w:val="00EE315B"/>
    <w:rsid w:val="00EE4B60"/>
    <w:rsid w:val="00EF18F9"/>
    <w:rsid w:val="00EF5808"/>
    <w:rsid w:val="00EF6F67"/>
    <w:rsid w:val="00F008A4"/>
    <w:rsid w:val="00F0652D"/>
    <w:rsid w:val="00F067ED"/>
    <w:rsid w:val="00F10627"/>
    <w:rsid w:val="00F13AD6"/>
    <w:rsid w:val="00F2020A"/>
    <w:rsid w:val="00F20F4F"/>
    <w:rsid w:val="00F259D9"/>
    <w:rsid w:val="00F26F73"/>
    <w:rsid w:val="00F32621"/>
    <w:rsid w:val="00F35E78"/>
    <w:rsid w:val="00F40107"/>
    <w:rsid w:val="00F40742"/>
    <w:rsid w:val="00F47067"/>
    <w:rsid w:val="00F50154"/>
    <w:rsid w:val="00F50846"/>
    <w:rsid w:val="00F510EF"/>
    <w:rsid w:val="00F54B36"/>
    <w:rsid w:val="00F578CA"/>
    <w:rsid w:val="00F64967"/>
    <w:rsid w:val="00F65B27"/>
    <w:rsid w:val="00F65E82"/>
    <w:rsid w:val="00F707A3"/>
    <w:rsid w:val="00F71999"/>
    <w:rsid w:val="00F74353"/>
    <w:rsid w:val="00F87180"/>
    <w:rsid w:val="00F930B0"/>
    <w:rsid w:val="00F96912"/>
    <w:rsid w:val="00FA0898"/>
    <w:rsid w:val="00FA0BD3"/>
    <w:rsid w:val="00FA0DD1"/>
    <w:rsid w:val="00FD286F"/>
    <w:rsid w:val="00FE5349"/>
    <w:rsid w:val="00FE7047"/>
    <w:rsid w:val="00FF5AD6"/>
    <w:rsid w:val="00FF7117"/>
    <w:rsid w:val="015F011D"/>
    <w:rsid w:val="01605A18"/>
    <w:rsid w:val="01C85926"/>
    <w:rsid w:val="01ED5F09"/>
    <w:rsid w:val="01F060B7"/>
    <w:rsid w:val="0395595E"/>
    <w:rsid w:val="042235AF"/>
    <w:rsid w:val="04AB3246"/>
    <w:rsid w:val="07B9079A"/>
    <w:rsid w:val="085859E1"/>
    <w:rsid w:val="090F7A2F"/>
    <w:rsid w:val="097944D5"/>
    <w:rsid w:val="09B663B2"/>
    <w:rsid w:val="0A026726"/>
    <w:rsid w:val="0B463CD1"/>
    <w:rsid w:val="0C2E664A"/>
    <w:rsid w:val="0C815BF9"/>
    <w:rsid w:val="0CA04E2F"/>
    <w:rsid w:val="0CC22A10"/>
    <w:rsid w:val="0D323E08"/>
    <w:rsid w:val="0E6956F3"/>
    <w:rsid w:val="0E7E5803"/>
    <w:rsid w:val="0E864D4A"/>
    <w:rsid w:val="0E8D7E77"/>
    <w:rsid w:val="0E9733EC"/>
    <w:rsid w:val="0F90099F"/>
    <w:rsid w:val="10344EE1"/>
    <w:rsid w:val="10686B12"/>
    <w:rsid w:val="108A5FCD"/>
    <w:rsid w:val="11F03E6A"/>
    <w:rsid w:val="121C03A4"/>
    <w:rsid w:val="123A5078"/>
    <w:rsid w:val="127453C9"/>
    <w:rsid w:val="12764CF4"/>
    <w:rsid w:val="12EE7469"/>
    <w:rsid w:val="130204A6"/>
    <w:rsid w:val="1370175E"/>
    <w:rsid w:val="13CF3910"/>
    <w:rsid w:val="155A5E5E"/>
    <w:rsid w:val="15750743"/>
    <w:rsid w:val="15D75587"/>
    <w:rsid w:val="15F020CD"/>
    <w:rsid w:val="16421E36"/>
    <w:rsid w:val="16675F65"/>
    <w:rsid w:val="16B82590"/>
    <w:rsid w:val="17DC182D"/>
    <w:rsid w:val="17F277D5"/>
    <w:rsid w:val="197E0629"/>
    <w:rsid w:val="19C865AF"/>
    <w:rsid w:val="1B8269EC"/>
    <w:rsid w:val="1BA21389"/>
    <w:rsid w:val="1C04747F"/>
    <w:rsid w:val="1C9739F6"/>
    <w:rsid w:val="1CFF08D3"/>
    <w:rsid w:val="1DE3456B"/>
    <w:rsid w:val="1E1F7BB6"/>
    <w:rsid w:val="1EBB5D92"/>
    <w:rsid w:val="1F92342F"/>
    <w:rsid w:val="1F972879"/>
    <w:rsid w:val="207F4669"/>
    <w:rsid w:val="2094456D"/>
    <w:rsid w:val="210D546C"/>
    <w:rsid w:val="234630CB"/>
    <w:rsid w:val="252D6504"/>
    <w:rsid w:val="25934FF3"/>
    <w:rsid w:val="25E14DAB"/>
    <w:rsid w:val="262B2AF7"/>
    <w:rsid w:val="26DC26DD"/>
    <w:rsid w:val="27CE5B15"/>
    <w:rsid w:val="288A4D94"/>
    <w:rsid w:val="29340C34"/>
    <w:rsid w:val="299221CB"/>
    <w:rsid w:val="2A1C0E3D"/>
    <w:rsid w:val="2A677509"/>
    <w:rsid w:val="2AA27681"/>
    <w:rsid w:val="2B131A86"/>
    <w:rsid w:val="2BDD6F77"/>
    <w:rsid w:val="2C112C0D"/>
    <w:rsid w:val="2D0E349D"/>
    <w:rsid w:val="2EA7242E"/>
    <w:rsid w:val="2F3E6E39"/>
    <w:rsid w:val="305B0E78"/>
    <w:rsid w:val="30AA71A4"/>
    <w:rsid w:val="31317622"/>
    <w:rsid w:val="313902AD"/>
    <w:rsid w:val="320C779A"/>
    <w:rsid w:val="324562B4"/>
    <w:rsid w:val="33B17D97"/>
    <w:rsid w:val="34253BC1"/>
    <w:rsid w:val="34DB62E5"/>
    <w:rsid w:val="351077C2"/>
    <w:rsid w:val="35490D66"/>
    <w:rsid w:val="35890DDE"/>
    <w:rsid w:val="35A737C5"/>
    <w:rsid w:val="37615683"/>
    <w:rsid w:val="37BE4CA4"/>
    <w:rsid w:val="38E97247"/>
    <w:rsid w:val="3B0D6CAF"/>
    <w:rsid w:val="3B105225"/>
    <w:rsid w:val="3B4C657E"/>
    <w:rsid w:val="3BE36358"/>
    <w:rsid w:val="3D012985"/>
    <w:rsid w:val="3D3A6BFB"/>
    <w:rsid w:val="3E1D42B2"/>
    <w:rsid w:val="3EBA02D0"/>
    <w:rsid w:val="3EFD6B93"/>
    <w:rsid w:val="3F04158C"/>
    <w:rsid w:val="3F365D14"/>
    <w:rsid w:val="3F7F1DA9"/>
    <w:rsid w:val="3FBB1121"/>
    <w:rsid w:val="3FDF492B"/>
    <w:rsid w:val="41F26821"/>
    <w:rsid w:val="422E3426"/>
    <w:rsid w:val="429E1ED2"/>
    <w:rsid w:val="42AB7FAB"/>
    <w:rsid w:val="43BA1C6A"/>
    <w:rsid w:val="43E5335E"/>
    <w:rsid w:val="4479522D"/>
    <w:rsid w:val="44ED114A"/>
    <w:rsid w:val="44F00389"/>
    <w:rsid w:val="44F17452"/>
    <w:rsid w:val="45581DD8"/>
    <w:rsid w:val="458303C1"/>
    <w:rsid w:val="45DB03CD"/>
    <w:rsid w:val="46004BA1"/>
    <w:rsid w:val="46707297"/>
    <w:rsid w:val="47037257"/>
    <w:rsid w:val="470F2006"/>
    <w:rsid w:val="471350A6"/>
    <w:rsid w:val="478A14AB"/>
    <w:rsid w:val="479242B4"/>
    <w:rsid w:val="48C90778"/>
    <w:rsid w:val="4B3F3FBE"/>
    <w:rsid w:val="4BC67788"/>
    <w:rsid w:val="4BD62438"/>
    <w:rsid w:val="4C860ADD"/>
    <w:rsid w:val="4CB97104"/>
    <w:rsid w:val="4CC3595B"/>
    <w:rsid w:val="4E30655C"/>
    <w:rsid w:val="4E483DEA"/>
    <w:rsid w:val="4E6913C3"/>
    <w:rsid w:val="4EA26034"/>
    <w:rsid w:val="4EF73EC6"/>
    <w:rsid w:val="4F620986"/>
    <w:rsid w:val="5001489C"/>
    <w:rsid w:val="502B16C5"/>
    <w:rsid w:val="51517E3D"/>
    <w:rsid w:val="51881B49"/>
    <w:rsid w:val="51C62E6A"/>
    <w:rsid w:val="529307D0"/>
    <w:rsid w:val="52A91260"/>
    <w:rsid w:val="53AB4AF5"/>
    <w:rsid w:val="54350925"/>
    <w:rsid w:val="546E3775"/>
    <w:rsid w:val="547A013D"/>
    <w:rsid w:val="54894803"/>
    <w:rsid w:val="54BB3DEF"/>
    <w:rsid w:val="552113A5"/>
    <w:rsid w:val="552D6449"/>
    <w:rsid w:val="55516D0D"/>
    <w:rsid w:val="55A855FF"/>
    <w:rsid w:val="55A9558E"/>
    <w:rsid w:val="5610010E"/>
    <w:rsid w:val="572673FB"/>
    <w:rsid w:val="575D0339"/>
    <w:rsid w:val="57FB110D"/>
    <w:rsid w:val="58647EA4"/>
    <w:rsid w:val="59C8028D"/>
    <w:rsid w:val="5A2D3123"/>
    <w:rsid w:val="5B06079F"/>
    <w:rsid w:val="5B7172BE"/>
    <w:rsid w:val="5BD14C60"/>
    <w:rsid w:val="5D1938A7"/>
    <w:rsid w:val="5D257AAD"/>
    <w:rsid w:val="5D3F025E"/>
    <w:rsid w:val="5DCC585C"/>
    <w:rsid w:val="5DF50BD7"/>
    <w:rsid w:val="5DF94AA9"/>
    <w:rsid w:val="5E8749FD"/>
    <w:rsid w:val="600029E7"/>
    <w:rsid w:val="60CD1CE9"/>
    <w:rsid w:val="612A2E39"/>
    <w:rsid w:val="6176585E"/>
    <w:rsid w:val="62AB57EE"/>
    <w:rsid w:val="62B84287"/>
    <w:rsid w:val="63026917"/>
    <w:rsid w:val="63682043"/>
    <w:rsid w:val="63842EE3"/>
    <w:rsid w:val="64C86918"/>
    <w:rsid w:val="64DA4309"/>
    <w:rsid w:val="66124529"/>
    <w:rsid w:val="679F2A55"/>
    <w:rsid w:val="684C1ABE"/>
    <w:rsid w:val="68CC6D54"/>
    <w:rsid w:val="69C322BF"/>
    <w:rsid w:val="6A033411"/>
    <w:rsid w:val="6AA238C7"/>
    <w:rsid w:val="6AE3167A"/>
    <w:rsid w:val="6AFF116E"/>
    <w:rsid w:val="6C03351A"/>
    <w:rsid w:val="6C6A4791"/>
    <w:rsid w:val="6CD01866"/>
    <w:rsid w:val="6D0A40C5"/>
    <w:rsid w:val="6E1B3A61"/>
    <w:rsid w:val="6E8E570F"/>
    <w:rsid w:val="6F70407E"/>
    <w:rsid w:val="70467423"/>
    <w:rsid w:val="70A75896"/>
    <w:rsid w:val="71066D7B"/>
    <w:rsid w:val="71A45A9D"/>
    <w:rsid w:val="72387EB4"/>
    <w:rsid w:val="727527AA"/>
    <w:rsid w:val="729E0776"/>
    <w:rsid w:val="72FA39FD"/>
    <w:rsid w:val="73B96B9D"/>
    <w:rsid w:val="73D30BCD"/>
    <w:rsid w:val="756E538F"/>
    <w:rsid w:val="75BD73EE"/>
    <w:rsid w:val="76684B59"/>
    <w:rsid w:val="769812DA"/>
    <w:rsid w:val="77941A5E"/>
    <w:rsid w:val="78101E0D"/>
    <w:rsid w:val="78512BC3"/>
    <w:rsid w:val="785C6A47"/>
    <w:rsid w:val="78DA758F"/>
    <w:rsid w:val="78F541E4"/>
    <w:rsid w:val="791E2B2C"/>
    <w:rsid w:val="7A5F4BBD"/>
    <w:rsid w:val="7B3C1D7F"/>
    <w:rsid w:val="7B66694A"/>
    <w:rsid w:val="7BA743F3"/>
    <w:rsid w:val="7BA92416"/>
    <w:rsid w:val="7C7803A6"/>
    <w:rsid w:val="7E3279CD"/>
    <w:rsid w:val="7F8B5A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qFormat="1" w:uiPriority="0" w:semiHidden="0" w:name="Body Text First Indent 2"/>
    <w:lsdException w:uiPriority="99" w:name="Note Heading"/>
    <w:lsdException w:qFormat="1" w:uiPriority="99" w:semiHidden="0"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link w:val="34"/>
    <w:qFormat/>
    <w:uiPriority w:val="0"/>
    <w:pPr>
      <w:keepNext/>
      <w:keepLines/>
      <w:spacing w:before="340" w:after="330" w:line="576" w:lineRule="auto"/>
      <w:outlineLvl w:val="0"/>
    </w:pPr>
    <w:rPr>
      <w:rFonts w:ascii="Times New Roman" w:hAnsi="Times New Roman" w:cs="Times New Roman"/>
      <w:b/>
      <w:kern w:val="44"/>
      <w:sz w:val="44"/>
      <w:szCs w:val="20"/>
    </w:rPr>
  </w:style>
  <w:style w:type="paragraph" w:styleId="5">
    <w:name w:val="heading 2"/>
    <w:basedOn w:val="1"/>
    <w:next w:val="6"/>
    <w:link w:val="35"/>
    <w:qFormat/>
    <w:uiPriority w:val="0"/>
    <w:pPr>
      <w:keepNext/>
      <w:keepLines/>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7">
    <w:name w:val="heading 3"/>
    <w:basedOn w:val="1"/>
    <w:next w:val="1"/>
    <w:link w:val="36"/>
    <w:qFormat/>
    <w:uiPriority w:val="0"/>
    <w:pPr>
      <w:keepNext/>
      <w:keepLines/>
      <w:spacing w:before="260" w:after="260" w:line="415" w:lineRule="auto"/>
      <w:outlineLvl w:val="2"/>
    </w:pPr>
    <w:rPr>
      <w:rFonts w:ascii="Times New Roman" w:hAnsi="Times New Roman" w:cs="Times New Roman"/>
      <w:b/>
      <w:sz w:val="32"/>
      <w:szCs w:val="20"/>
    </w:rPr>
  </w:style>
  <w:style w:type="paragraph" w:styleId="8">
    <w:name w:val="heading 4"/>
    <w:basedOn w:val="1"/>
    <w:next w:val="1"/>
    <w:link w:val="37"/>
    <w:qFormat/>
    <w:uiPriority w:val="0"/>
    <w:pPr>
      <w:keepNext/>
      <w:keepLines/>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9">
    <w:name w:val="heading 5"/>
    <w:basedOn w:val="1"/>
    <w:next w:val="1"/>
    <w:link w:val="38"/>
    <w:qFormat/>
    <w:uiPriority w:val="0"/>
    <w:pPr>
      <w:keepNext/>
      <w:keepLines/>
      <w:adjustRightInd w:val="0"/>
      <w:spacing w:before="280" w:after="290" w:line="376" w:lineRule="atLeast"/>
      <w:jc w:val="left"/>
      <w:textAlignment w:val="baseline"/>
      <w:outlineLvl w:val="4"/>
    </w:pPr>
    <w:rPr>
      <w:rFonts w:ascii="Times New Roman" w:hAnsi="Times New Roman" w:cs="Times New Roman"/>
      <w:b/>
      <w:bCs/>
      <w:kern w:val="0"/>
      <w:sz w:val="28"/>
      <w:szCs w:val="28"/>
    </w:rPr>
  </w:style>
  <w:style w:type="paragraph" w:styleId="10">
    <w:name w:val="heading 6"/>
    <w:basedOn w:val="1"/>
    <w:next w:val="1"/>
    <w:link w:val="39"/>
    <w:qFormat/>
    <w:uiPriority w:val="0"/>
    <w:pPr>
      <w:keepNext/>
      <w:keepLines/>
      <w:adjustRightInd w:val="0"/>
      <w:spacing w:before="240" w:after="64" w:line="320" w:lineRule="atLeast"/>
      <w:jc w:val="left"/>
      <w:textAlignment w:val="baseline"/>
      <w:outlineLvl w:val="5"/>
    </w:pPr>
    <w:rPr>
      <w:rFonts w:ascii="Arial" w:hAnsi="Arial" w:eastAsia="黑体" w:cs="Times New Roman"/>
      <w:b/>
      <w:bCs/>
      <w:kern w:val="0"/>
      <w:sz w:val="24"/>
      <w:szCs w:val="24"/>
    </w:rPr>
  </w:style>
  <w:style w:type="paragraph" w:styleId="11">
    <w:name w:val="heading 7"/>
    <w:basedOn w:val="1"/>
    <w:next w:val="1"/>
    <w:link w:val="40"/>
    <w:qFormat/>
    <w:uiPriority w:val="0"/>
    <w:pPr>
      <w:keepNext/>
      <w:keepLines/>
      <w:adjustRightInd w:val="0"/>
      <w:spacing w:before="240" w:after="64" w:line="320" w:lineRule="atLeast"/>
      <w:jc w:val="left"/>
      <w:textAlignment w:val="baseline"/>
      <w:outlineLvl w:val="6"/>
    </w:pPr>
    <w:rPr>
      <w:rFonts w:ascii="Times New Roman" w:hAnsi="Times New Roman" w:cs="Times New Roman"/>
      <w:b/>
      <w:bCs/>
      <w:kern w:val="0"/>
      <w:sz w:val="24"/>
      <w:szCs w:val="24"/>
    </w:rPr>
  </w:style>
  <w:style w:type="paragraph" w:styleId="12">
    <w:name w:val="heading 8"/>
    <w:basedOn w:val="1"/>
    <w:next w:val="1"/>
    <w:link w:val="41"/>
    <w:qFormat/>
    <w:uiPriority w:val="0"/>
    <w:pPr>
      <w:keepNext/>
      <w:keepLines/>
      <w:adjustRightInd w:val="0"/>
      <w:spacing w:before="240" w:after="64" w:line="320" w:lineRule="atLeast"/>
      <w:jc w:val="left"/>
      <w:textAlignment w:val="baseline"/>
      <w:outlineLvl w:val="7"/>
    </w:pPr>
    <w:rPr>
      <w:rFonts w:ascii="Arial" w:hAnsi="Arial" w:eastAsia="黑体" w:cs="Times New Roman"/>
      <w:kern w:val="0"/>
      <w:sz w:val="24"/>
      <w:szCs w:val="24"/>
    </w:rPr>
  </w:style>
  <w:style w:type="paragraph" w:styleId="13">
    <w:name w:val="heading 9"/>
    <w:basedOn w:val="1"/>
    <w:next w:val="1"/>
    <w:link w:val="42"/>
    <w:qFormat/>
    <w:uiPriority w:val="0"/>
    <w:pPr>
      <w:keepNext/>
      <w:keepLines/>
      <w:adjustRightInd w:val="0"/>
      <w:spacing w:before="240" w:after="64" w:line="320" w:lineRule="atLeast"/>
      <w:jc w:val="left"/>
      <w:textAlignment w:val="baseline"/>
      <w:outlineLvl w:val="8"/>
    </w:pPr>
    <w:rPr>
      <w:rFonts w:ascii="Arial" w:hAnsi="Arial" w:eastAsia="黑体" w:cs="Times New Roman"/>
      <w:kern w:val="0"/>
      <w:sz w:val="20"/>
      <w:szCs w:val="21"/>
    </w:rPr>
  </w:style>
  <w:style w:type="character" w:default="1" w:styleId="28">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12"/>
    <w:unhideWhenUsed/>
    <w:qFormat/>
    <w:uiPriority w:val="99"/>
    <w:pPr>
      <w:adjustRightInd w:val="0"/>
      <w:spacing w:line="360" w:lineRule="atLeast"/>
      <w:ind w:firstLine="420" w:firstLineChars="100"/>
      <w:jc w:val="left"/>
      <w:textAlignment w:val="baseline"/>
    </w:pPr>
    <w:rPr>
      <w:rFonts w:ascii="Times New Roman" w:hAnsi="Times New Roman" w:cs="Times New Roman"/>
      <w:kern w:val="0"/>
      <w:sz w:val="24"/>
      <w:szCs w:val="20"/>
    </w:rPr>
  </w:style>
  <w:style w:type="paragraph" w:styleId="3">
    <w:name w:val="Body Text"/>
    <w:basedOn w:val="1"/>
    <w:link w:val="109"/>
    <w:unhideWhenUsed/>
    <w:qFormat/>
    <w:uiPriority w:val="99"/>
    <w:pPr>
      <w:spacing w:after="120"/>
    </w:pPr>
  </w:style>
  <w:style w:type="paragraph" w:styleId="6">
    <w:name w:val="Normal Indent"/>
    <w:basedOn w:val="1"/>
    <w:unhideWhenUsed/>
    <w:qFormat/>
    <w:uiPriority w:val="99"/>
    <w:pPr>
      <w:ind w:firstLine="420"/>
    </w:pPr>
    <w:rPr>
      <w:kern w:val="1"/>
      <w:szCs w:val="20"/>
    </w:rPr>
  </w:style>
  <w:style w:type="paragraph" w:styleId="14">
    <w:name w:val="Document Map"/>
    <w:basedOn w:val="1"/>
    <w:link w:val="106"/>
    <w:unhideWhenUsed/>
    <w:qFormat/>
    <w:uiPriority w:val="99"/>
    <w:rPr>
      <w:rFonts w:ascii="宋体" w:hAnsiTheme="minorHAnsi" w:eastAsiaTheme="minorEastAsia"/>
      <w:sz w:val="18"/>
      <w:szCs w:val="18"/>
    </w:rPr>
  </w:style>
  <w:style w:type="paragraph" w:styleId="15">
    <w:name w:val="annotation text"/>
    <w:basedOn w:val="1"/>
    <w:link w:val="114"/>
    <w:unhideWhenUsed/>
    <w:qFormat/>
    <w:uiPriority w:val="99"/>
    <w:pPr>
      <w:jc w:val="left"/>
    </w:pPr>
  </w:style>
  <w:style w:type="paragraph" w:styleId="16">
    <w:name w:val="Body Text Indent"/>
    <w:basedOn w:val="1"/>
    <w:link w:val="117"/>
    <w:unhideWhenUsed/>
    <w:qFormat/>
    <w:uiPriority w:val="99"/>
    <w:pPr>
      <w:spacing w:after="120"/>
      <w:ind w:left="420" w:leftChars="200"/>
    </w:pPr>
    <w:rPr>
      <w:rFonts w:eastAsiaTheme="minorEastAsia"/>
    </w:rPr>
  </w:style>
  <w:style w:type="paragraph" w:styleId="17">
    <w:name w:val="Plain Text"/>
    <w:basedOn w:val="1"/>
    <w:link w:val="110"/>
    <w:unhideWhenUsed/>
    <w:qFormat/>
    <w:uiPriority w:val="99"/>
    <w:pPr>
      <w:widowControl/>
      <w:overflowPunct w:val="0"/>
      <w:autoSpaceDE w:val="0"/>
      <w:autoSpaceDN w:val="0"/>
      <w:adjustRightInd w:val="0"/>
      <w:jc w:val="left"/>
      <w:textAlignment w:val="baseline"/>
    </w:pPr>
    <w:rPr>
      <w:rFonts w:ascii="宋体" w:hAnsi="宋体"/>
      <w:kern w:val="0"/>
      <w:szCs w:val="20"/>
    </w:rPr>
  </w:style>
  <w:style w:type="paragraph" w:styleId="18">
    <w:name w:val="Date"/>
    <w:basedOn w:val="1"/>
    <w:next w:val="1"/>
    <w:link w:val="108"/>
    <w:unhideWhenUsed/>
    <w:qFormat/>
    <w:uiPriority w:val="99"/>
    <w:pPr>
      <w:ind w:left="100" w:leftChars="2500"/>
    </w:pPr>
  </w:style>
  <w:style w:type="paragraph" w:styleId="19">
    <w:name w:val="Body Text Indent 2"/>
    <w:basedOn w:val="1"/>
    <w:link w:val="116"/>
    <w:unhideWhenUsed/>
    <w:qFormat/>
    <w:uiPriority w:val="99"/>
    <w:pPr>
      <w:spacing w:after="120" w:line="480" w:lineRule="auto"/>
      <w:ind w:left="420" w:leftChars="200"/>
    </w:pPr>
  </w:style>
  <w:style w:type="paragraph" w:styleId="20">
    <w:name w:val="Balloon Text"/>
    <w:basedOn w:val="1"/>
    <w:link w:val="104"/>
    <w:qFormat/>
    <w:uiPriority w:val="0"/>
    <w:rPr>
      <w:rFonts w:ascii="Times New Roman" w:hAnsi="Times New Roman" w:cs="Times New Roman"/>
      <w:sz w:val="18"/>
      <w:szCs w:val="20"/>
    </w:rPr>
  </w:style>
  <w:style w:type="paragraph" w:styleId="21">
    <w:name w:val="footer"/>
    <w:basedOn w:val="1"/>
    <w:link w:val="115"/>
    <w:qFormat/>
    <w:uiPriority w:val="0"/>
    <w:pPr>
      <w:tabs>
        <w:tab w:val="center" w:pos="4153"/>
        <w:tab w:val="right" w:pos="8306"/>
      </w:tabs>
      <w:snapToGrid w:val="0"/>
      <w:jc w:val="left"/>
    </w:pPr>
    <w:rPr>
      <w:sz w:val="18"/>
      <w:szCs w:val="18"/>
    </w:rPr>
  </w:style>
  <w:style w:type="paragraph" w:styleId="22">
    <w:name w:val="Body Text First Indent 2"/>
    <w:basedOn w:val="16"/>
    <w:link w:val="131"/>
    <w:unhideWhenUsed/>
    <w:qFormat/>
    <w:uiPriority w:val="0"/>
    <w:pPr>
      <w:ind w:firstLine="420" w:firstLineChars="200"/>
    </w:pPr>
    <w:rPr>
      <w:rFonts w:eastAsia="宋体"/>
    </w:rPr>
  </w:style>
  <w:style w:type="paragraph" w:styleId="23">
    <w:name w:val="header"/>
    <w:basedOn w:val="1"/>
    <w:link w:val="107"/>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4">
    <w:name w:val="Body Text Indent 3"/>
    <w:basedOn w:val="1"/>
    <w:link w:val="105"/>
    <w:unhideWhenUsed/>
    <w:qFormat/>
    <w:uiPriority w:val="99"/>
    <w:pPr>
      <w:spacing w:after="120"/>
      <w:ind w:left="420" w:leftChars="200"/>
    </w:pPr>
    <w:rPr>
      <w:rFonts w:eastAsiaTheme="minorEastAsia"/>
      <w:sz w:val="16"/>
      <w:szCs w:val="16"/>
    </w:rPr>
  </w:style>
  <w:style w:type="paragraph" w:styleId="25">
    <w:name w:val="Body Text 2"/>
    <w:basedOn w:val="1"/>
    <w:link w:val="113"/>
    <w:unhideWhenUsed/>
    <w:qFormat/>
    <w:uiPriority w:val="99"/>
    <w:pPr>
      <w:spacing w:line="360" w:lineRule="auto"/>
    </w:pPr>
    <w:rPr>
      <w:kern w:val="1"/>
      <w:sz w:val="24"/>
      <w:szCs w:val="20"/>
    </w:rPr>
  </w:style>
  <w:style w:type="paragraph" w:styleId="26">
    <w:name w:val="HTML Preformatted"/>
    <w:basedOn w:val="1"/>
    <w:link w:val="11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sz w:val="24"/>
      <w:szCs w:val="24"/>
    </w:rPr>
  </w:style>
  <w:style w:type="paragraph" w:styleId="27">
    <w:name w:val="Normal (Web)"/>
    <w:basedOn w:val="1"/>
    <w:unhideWhenUsed/>
    <w:qFormat/>
    <w:uiPriority w:val="0"/>
    <w:pPr>
      <w:widowControl/>
      <w:spacing w:before="100" w:beforeAutospacing="1" w:after="100" w:afterAutospacing="1"/>
      <w:ind w:firstLine="200"/>
      <w:jc w:val="left"/>
    </w:pPr>
    <w:rPr>
      <w:rFonts w:ascii="隶书" w:hAnsi="隶书" w:cs="隶书"/>
      <w:sz w:val="24"/>
    </w:rPr>
  </w:style>
  <w:style w:type="character" w:styleId="29">
    <w:name w:val="Strong"/>
    <w:qFormat/>
    <w:uiPriority w:val="0"/>
    <w:rPr>
      <w:b/>
      <w:bCs/>
    </w:rPr>
  </w:style>
  <w:style w:type="character" w:styleId="30">
    <w:name w:val="FollowedHyperlink"/>
    <w:basedOn w:val="28"/>
    <w:semiHidden/>
    <w:unhideWhenUsed/>
    <w:qFormat/>
    <w:uiPriority w:val="99"/>
    <w:rPr>
      <w:color w:val="000000"/>
      <w:u w:val="none"/>
    </w:rPr>
  </w:style>
  <w:style w:type="character" w:styleId="31">
    <w:name w:val="Emphasis"/>
    <w:basedOn w:val="28"/>
    <w:qFormat/>
    <w:uiPriority w:val="20"/>
  </w:style>
  <w:style w:type="character" w:styleId="32">
    <w:name w:val="Hyperlink"/>
    <w:basedOn w:val="28"/>
    <w:unhideWhenUsed/>
    <w:qFormat/>
    <w:uiPriority w:val="99"/>
    <w:rPr>
      <w:color w:val="000000"/>
      <w:u w:val="none"/>
    </w:rPr>
  </w:style>
  <w:style w:type="character" w:customStyle="1" w:styleId="34">
    <w:name w:val="标题 1 Char"/>
    <w:basedOn w:val="28"/>
    <w:link w:val="4"/>
    <w:qFormat/>
    <w:uiPriority w:val="0"/>
    <w:rPr>
      <w:rFonts w:ascii="Times New Roman" w:hAnsi="Times New Roman" w:eastAsia="宋体" w:cs="Times New Roman"/>
      <w:b/>
      <w:kern w:val="44"/>
      <w:sz w:val="44"/>
      <w:szCs w:val="20"/>
    </w:rPr>
  </w:style>
  <w:style w:type="character" w:customStyle="1" w:styleId="35">
    <w:name w:val="标题 2 Char"/>
    <w:basedOn w:val="28"/>
    <w:link w:val="5"/>
    <w:qFormat/>
    <w:uiPriority w:val="0"/>
    <w:rPr>
      <w:rFonts w:ascii="Arial" w:hAnsi="Arial" w:eastAsia="黑体" w:cs="Times New Roman"/>
      <w:b/>
      <w:bCs/>
      <w:kern w:val="0"/>
      <w:sz w:val="32"/>
      <w:szCs w:val="32"/>
    </w:rPr>
  </w:style>
  <w:style w:type="character" w:customStyle="1" w:styleId="36">
    <w:name w:val="标题 3 Char"/>
    <w:basedOn w:val="28"/>
    <w:link w:val="7"/>
    <w:qFormat/>
    <w:uiPriority w:val="0"/>
    <w:rPr>
      <w:rFonts w:ascii="Times New Roman" w:hAnsi="Times New Roman" w:eastAsia="宋体" w:cs="Times New Roman"/>
      <w:b/>
      <w:sz w:val="32"/>
      <w:szCs w:val="20"/>
    </w:rPr>
  </w:style>
  <w:style w:type="character" w:customStyle="1" w:styleId="37">
    <w:name w:val="标题 4 Char"/>
    <w:basedOn w:val="28"/>
    <w:link w:val="8"/>
    <w:qFormat/>
    <w:uiPriority w:val="0"/>
    <w:rPr>
      <w:rFonts w:ascii="Arial" w:hAnsi="Arial" w:eastAsia="黑体" w:cs="Times New Roman"/>
      <w:b/>
      <w:bCs/>
      <w:kern w:val="0"/>
      <w:sz w:val="28"/>
      <w:szCs w:val="28"/>
    </w:rPr>
  </w:style>
  <w:style w:type="character" w:customStyle="1" w:styleId="38">
    <w:name w:val="标题 5 Char"/>
    <w:basedOn w:val="28"/>
    <w:link w:val="9"/>
    <w:qFormat/>
    <w:uiPriority w:val="0"/>
    <w:rPr>
      <w:rFonts w:ascii="Times New Roman" w:hAnsi="Times New Roman" w:eastAsia="宋体" w:cs="Times New Roman"/>
      <w:b/>
      <w:bCs/>
      <w:kern w:val="0"/>
      <w:sz w:val="28"/>
      <w:szCs w:val="28"/>
    </w:rPr>
  </w:style>
  <w:style w:type="character" w:customStyle="1" w:styleId="39">
    <w:name w:val="标题 6 Char"/>
    <w:basedOn w:val="28"/>
    <w:link w:val="10"/>
    <w:qFormat/>
    <w:uiPriority w:val="0"/>
    <w:rPr>
      <w:rFonts w:ascii="Arial" w:hAnsi="Arial" w:eastAsia="黑体" w:cs="Times New Roman"/>
      <w:b/>
      <w:bCs/>
      <w:kern w:val="0"/>
      <w:sz w:val="24"/>
      <w:szCs w:val="24"/>
    </w:rPr>
  </w:style>
  <w:style w:type="character" w:customStyle="1" w:styleId="40">
    <w:name w:val="标题 7 Char"/>
    <w:basedOn w:val="28"/>
    <w:link w:val="11"/>
    <w:qFormat/>
    <w:uiPriority w:val="0"/>
    <w:rPr>
      <w:rFonts w:ascii="Times New Roman" w:hAnsi="Times New Roman" w:eastAsia="宋体" w:cs="Times New Roman"/>
      <w:b/>
      <w:bCs/>
      <w:kern w:val="0"/>
      <w:sz w:val="24"/>
      <w:szCs w:val="24"/>
    </w:rPr>
  </w:style>
  <w:style w:type="character" w:customStyle="1" w:styleId="41">
    <w:name w:val="标题 8 Char"/>
    <w:basedOn w:val="28"/>
    <w:link w:val="12"/>
    <w:qFormat/>
    <w:uiPriority w:val="0"/>
    <w:rPr>
      <w:rFonts w:ascii="Arial" w:hAnsi="Arial" w:eastAsia="黑体" w:cs="Times New Roman"/>
      <w:kern w:val="0"/>
      <w:sz w:val="24"/>
      <w:szCs w:val="24"/>
    </w:rPr>
  </w:style>
  <w:style w:type="character" w:customStyle="1" w:styleId="42">
    <w:name w:val="标题 9 Char"/>
    <w:basedOn w:val="28"/>
    <w:link w:val="13"/>
    <w:qFormat/>
    <w:uiPriority w:val="0"/>
    <w:rPr>
      <w:rFonts w:ascii="Arial" w:hAnsi="Arial" w:eastAsia="黑体" w:cs="Times New Roman"/>
      <w:kern w:val="0"/>
      <w:sz w:val="20"/>
      <w:szCs w:val="21"/>
    </w:rPr>
  </w:style>
  <w:style w:type="character" w:customStyle="1" w:styleId="43">
    <w:name w:val="页脚 Char2"/>
    <w:basedOn w:val="28"/>
    <w:semiHidden/>
    <w:qFormat/>
    <w:uiPriority w:val="99"/>
    <w:rPr>
      <w:rFonts w:ascii="Calibri" w:hAnsi="Calibri" w:eastAsia="宋体" w:cs="黑体"/>
      <w:sz w:val="18"/>
      <w:szCs w:val="18"/>
    </w:rPr>
  </w:style>
  <w:style w:type="character" w:customStyle="1" w:styleId="44">
    <w:name w:val="font111"/>
    <w:qFormat/>
    <w:uiPriority w:val="0"/>
    <w:rPr>
      <w:rFonts w:hint="eastAsia" w:ascii="宋体" w:hAnsi="宋体" w:eastAsia="宋体" w:cs="宋体"/>
      <w:b/>
      <w:color w:val="000000"/>
      <w:sz w:val="20"/>
      <w:szCs w:val="20"/>
      <w:u w:val="none"/>
    </w:rPr>
  </w:style>
  <w:style w:type="character" w:customStyle="1" w:styleId="45">
    <w:name w:val="正文文本缩进 2 Char2"/>
    <w:basedOn w:val="28"/>
    <w:semiHidden/>
    <w:qFormat/>
    <w:uiPriority w:val="99"/>
    <w:rPr>
      <w:rFonts w:ascii="Calibri" w:hAnsi="Calibri" w:eastAsia="宋体" w:cs="黑体"/>
    </w:rPr>
  </w:style>
  <w:style w:type="character" w:customStyle="1" w:styleId="46">
    <w:name w:val="批注文字 Char1"/>
    <w:basedOn w:val="28"/>
    <w:semiHidden/>
    <w:qFormat/>
    <w:uiPriority w:val="99"/>
    <w:rPr>
      <w:rFonts w:ascii="Calibri" w:hAnsi="Calibri" w:eastAsia="宋体" w:cs="黑体"/>
    </w:rPr>
  </w:style>
  <w:style w:type="character" w:customStyle="1" w:styleId="47">
    <w:name w:val="正文文本缩进 Char Char"/>
    <w:link w:val="48"/>
    <w:qFormat/>
    <w:uiPriority w:val="0"/>
    <w:rPr>
      <w:rFonts w:ascii="宋体" w:hAnsi="Times New Roman" w:eastAsia="宋体" w:cs="Times New Roman"/>
      <w:sz w:val="24"/>
      <w:szCs w:val="20"/>
    </w:rPr>
  </w:style>
  <w:style w:type="paragraph" w:customStyle="1" w:styleId="48">
    <w:name w:val="正文文本缩进1"/>
    <w:basedOn w:val="1"/>
    <w:link w:val="47"/>
    <w:qFormat/>
    <w:uiPriority w:val="0"/>
    <w:pPr>
      <w:spacing w:line="360" w:lineRule="auto"/>
      <w:ind w:firstLine="480" w:firstLineChars="200"/>
    </w:pPr>
    <w:rPr>
      <w:rFonts w:ascii="宋体" w:hAnsi="Times New Roman" w:cs="Times New Roman"/>
      <w:sz w:val="24"/>
      <w:szCs w:val="20"/>
    </w:rPr>
  </w:style>
  <w:style w:type="character" w:customStyle="1" w:styleId="49">
    <w:name w:val="正文首行缩进 Char"/>
    <w:basedOn w:val="50"/>
    <w:link w:val="2"/>
    <w:qFormat/>
    <w:uiPriority w:val="99"/>
    <w:rPr>
      <w:rFonts w:ascii="Times New Roman" w:hAnsi="Times New Roman" w:cs="Times New Roman"/>
      <w:kern w:val="0"/>
      <w:sz w:val="24"/>
      <w:szCs w:val="20"/>
    </w:rPr>
  </w:style>
  <w:style w:type="character" w:customStyle="1" w:styleId="50">
    <w:name w:val="正文文本 Char1"/>
    <w:basedOn w:val="28"/>
    <w:semiHidden/>
    <w:qFormat/>
    <w:uiPriority w:val="99"/>
    <w:rPr>
      <w:rFonts w:ascii="Calibri" w:hAnsi="Calibri" w:eastAsia="宋体" w:cs="黑体"/>
    </w:rPr>
  </w:style>
  <w:style w:type="character" w:customStyle="1" w:styleId="51">
    <w:name w:val="正文首行缩进 Char2"/>
    <w:basedOn w:val="52"/>
    <w:semiHidden/>
    <w:qFormat/>
    <w:uiPriority w:val="99"/>
  </w:style>
  <w:style w:type="character" w:customStyle="1" w:styleId="52">
    <w:name w:val="正文文本 Char2"/>
    <w:basedOn w:val="28"/>
    <w:link w:val="3"/>
    <w:qFormat/>
    <w:uiPriority w:val="99"/>
    <w:rPr>
      <w:rFonts w:ascii="Calibri" w:hAnsi="Calibri" w:eastAsia="宋体" w:cs="黑体"/>
    </w:rPr>
  </w:style>
  <w:style w:type="character" w:customStyle="1" w:styleId="53">
    <w:name w:val="正文文本 2 Char2"/>
    <w:basedOn w:val="28"/>
    <w:semiHidden/>
    <w:qFormat/>
    <w:uiPriority w:val="99"/>
    <w:rPr>
      <w:rFonts w:ascii="Calibri" w:hAnsi="Calibri" w:eastAsia="宋体" w:cs="黑体"/>
    </w:rPr>
  </w:style>
  <w:style w:type="character" w:customStyle="1" w:styleId="54">
    <w:name w:val="文档结构图 Char1"/>
    <w:basedOn w:val="28"/>
    <w:link w:val="14"/>
    <w:qFormat/>
    <w:uiPriority w:val="99"/>
    <w:rPr>
      <w:rFonts w:ascii="宋体" w:cs="黑体"/>
      <w:sz w:val="18"/>
      <w:szCs w:val="18"/>
    </w:rPr>
  </w:style>
  <w:style w:type="character" w:customStyle="1" w:styleId="55">
    <w:name w:val="批注文字 Char"/>
    <w:basedOn w:val="28"/>
    <w:link w:val="15"/>
    <w:qFormat/>
    <w:uiPriority w:val="99"/>
    <w:rPr>
      <w:rFonts w:ascii="Calibri" w:hAnsi="Calibri" w:eastAsia="宋体" w:cs="黑体"/>
    </w:rPr>
  </w:style>
  <w:style w:type="character" w:customStyle="1" w:styleId="56">
    <w:name w:val="页眉 Char"/>
    <w:link w:val="23"/>
    <w:qFormat/>
    <w:uiPriority w:val="0"/>
    <w:rPr>
      <w:sz w:val="18"/>
      <w:szCs w:val="18"/>
    </w:rPr>
  </w:style>
  <w:style w:type="character" w:customStyle="1" w:styleId="57">
    <w:name w:val="日期 Char2"/>
    <w:basedOn w:val="28"/>
    <w:semiHidden/>
    <w:qFormat/>
    <w:uiPriority w:val="99"/>
    <w:rPr>
      <w:rFonts w:ascii="Calibri" w:hAnsi="Calibri" w:eastAsia="宋体" w:cs="黑体"/>
    </w:rPr>
  </w:style>
  <w:style w:type="character" w:customStyle="1" w:styleId="58">
    <w:name w:val="正文文本 Char"/>
    <w:qFormat/>
    <w:uiPriority w:val="0"/>
    <w:rPr>
      <w:rFonts w:ascii="Times New Roman" w:hAnsi="Times New Roman" w:eastAsia="宋体" w:cs="Times New Roman"/>
      <w:kern w:val="0"/>
      <w:sz w:val="24"/>
      <w:szCs w:val="20"/>
    </w:rPr>
  </w:style>
  <w:style w:type="character" w:customStyle="1" w:styleId="59">
    <w:name w:val="纯文本 Char"/>
    <w:basedOn w:val="28"/>
    <w:link w:val="17"/>
    <w:qFormat/>
    <w:uiPriority w:val="99"/>
    <w:rPr>
      <w:rFonts w:ascii="宋体" w:hAnsi="宋体" w:eastAsia="宋体" w:cs="黑体"/>
      <w:kern w:val="0"/>
      <w:szCs w:val="20"/>
    </w:rPr>
  </w:style>
  <w:style w:type="character" w:customStyle="1" w:styleId="60">
    <w:name w:val="font101"/>
    <w:qFormat/>
    <w:uiPriority w:val="0"/>
    <w:rPr>
      <w:rFonts w:hint="eastAsia" w:ascii="宋体" w:hAnsi="宋体" w:eastAsia="宋体" w:cs="宋体"/>
      <w:color w:val="000000"/>
      <w:sz w:val="20"/>
      <w:szCs w:val="20"/>
      <w:u w:val="none"/>
      <w:vertAlign w:val="superscript"/>
    </w:rPr>
  </w:style>
  <w:style w:type="character" w:customStyle="1" w:styleId="61">
    <w:name w:val="正文文本缩进 2 Char"/>
    <w:basedOn w:val="28"/>
    <w:link w:val="19"/>
    <w:qFormat/>
    <w:uiPriority w:val="99"/>
    <w:rPr>
      <w:rFonts w:ascii="Calibri" w:hAnsi="Calibri" w:eastAsia="宋体" w:cs="黑体"/>
    </w:rPr>
  </w:style>
  <w:style w:type="character" w:customStyle="1" w:styleId="62">
    <w:name w:val="正文文本缩进 3 Char"/>
    <w:link w:val="24"/>
    <w:qFormat/>
    <w:uiPriority w:val="99"/>
    <w:rPr>
      <w:rFonts w:ascii="Calibri" w:hAnsi="Calibri" w:cs="黑体"/>
      <w:sz w:val="16"/>
      <w:szCs w:val="16"/>
    </w:rPr>
  </w:style>
  <w:style w:type="character" w:customStyle="1" w:styleId="63">
    <w:name w:val="font91"/>
    <w:qFormat/>
    <w:uiPriority w:val="0"/>
    <w:rPr>
      <w:rFonts w:hint="default" w:ascii="Times New Roman" w:hAnsi="Times New Roman" w:cs="Times New Roman"/>
      <w:color w:val="000000"/>
      <w:sz w:val="18"/>
      <w:szCs w:val="18"/>
      <w:u w:val="none"/>
    </w:rPr>
  </w:style>
  <w:style w:type="character" w:customStyle="1" w:styleId="64">
    <w:name w:val="文档结构图 Char3"/>
    <w:basedOn w:val="28"/>
    <w:semiHidden/>
    <w:qFormat/>
    <w:uiPriority w:val="99"/>
    <w:rPr>
      <w:rFonts w:ascii="宋体" w:hAnsi="Calibri" w:eastAsia="宋体" w:cs="黑体"/>
      <w:sz w:val="18"/>
      <w:szCs w:val="18"/>
    </w:rPr>
  </w:style>
  <w:style w:type="character" w:customStyle="1" w:styleId="65">
    <w:name w:val="font121"/>
    <w:qFormat/>
    <w:uiPriority w:val="0"/>
    <w:rPr>
      <w:rFonts w:hint="eastAsia" w:ascii="宋体" w:hAnsi="宋体" w:eastAsia="宋体" w:cs="宋体"/>
      <w:color w:val="000000"/>
      <w:sz w:val="20"/>
      <w:szCs w:val="20"/>
      <w:u w:val="none"/>
    </w:rPr>
  </w:style>
  <w:style w:type="character" w:customStyle="1" w:styleId="66">
    <w:name w:val="font31"/>
    <w:qFormat/>
    <w:uiPriority w:val="0"/>
    <w:rPr>
      <w:rFonts w:hint="default" w:ascii="Times New Roman" w:hAnsi="Times New Roman" w:cs="Times New Roman"/>
      <w:color w:val="000000"/>
      <w:sz w:val="18"/>
      <w:szCs w:val="18"/>
      <w:u w:val="none"/>
      <w:vertAlign w:val="superscript"/>
    </w:rPr>
  </w:style>
  <w:style w:type="character" w:customStyle="1" w:styleId="67">
    <w:name w:val="纯文本 Char Char"/>
    <w:link w:val="68"/>
    <w:qFormat/>
    <w:uiPriority w:val="0"/>
    <w:rPr>
      <w:rFonts w:ascii="宋体" w:hAnsi="Courier New" w:eastAsia="宋体" w:cs="Courier New"/>
      <w:kern w:val="0"/>
      <w:szCs w:val="21"/>
    </w:rPr>
  </w:style>
  <w:style w:type="paragraph" w:customStyle="1" w:styleId="68">
    <w:name w:val="纯文本1"/>
    <w:basedOn w:val="1"/>
    <w:link w:val="67"/>
    <w:qFormat/>
    <w:uiPriority w:val="0"/>
    <w:pPr>
      <w:adjustRightInd w:val="0"/>
      <w:spacing w:line="360" w:lineRule="atLeast"/>
      <w:jc w:val="left"/>
      <w:textAlignment w:val="baseline"/>
    </w:pPr>
    <w:rPr>
      <w:rFonts w:ascii="宋体" w:hAnsi="Courier New" w:cs="Courier New"/>
      <w:kern w:val="0"/>
      <w:szCs w:val="21"/>
    </w:rPr>
  </w:style>
  <w:style w:type="character" w:customStyle="1" w:styleId="69">
    <w:name w:val="font51"/>
    <w:qFormat/>
    <w:uiPriority w:val="0"/>
    <w:rPr>
      <w:rFonts w:hint="default" w:ascii="Times New Roman" w:hAnsi="Times New Roman" w:cs="Times New Roman"/>
      <w:color w:val="000000"/>
      <w:sz w:val="20"/>
      <w:szCs w:val="20"/>
      <w:u w:val="none"/>
    </w:rPr>
  </w:style>
  <w:style w:type="character" w:customStyle="1" w:styleId="70">
    <w:name w:val="HTML 预设格式 Char"/>
    <w:link w:val="26"/>
    <w:qFormat/>
    <w:uiPriority w:val="99"/>
    <w:rPr>
      <w:rFonts w:ascii="宋体" w:hAnsi="宋体" w:cs="宋体"/>
      <w:sz w:val="24"/>
      <w:szCs w:val="24"/>
    </w:rPr>
  </w:style>
  <w:style w:type="character" w:customStyle="1" w:styleId="71">
    <w:name w:val="HTML 预设格式 Char1"/>
    <w:basedOn w:val="28"/>
    <w:semiHidden/>
    <w:qFormat/>
    <w:uiPriority w:val="99"/>
    <w:rPr>
      <w:rFonts w:ascii="Courier New" w:hAnsi="Courier New" w:eastAsia="宋体" w:cs="Courier New"/>
      <w:sz w:val="20"/>
      <w:szCs w:val="20"/>
    </w:rPr>
  </w:style>
  <w:style w:type="character" w:customStyle="1" w:styleId="72">
    <w:name w:val="批注框文本 Char1"/>
    <w:qFormat/>
    <w:uiPriority w:val="0"/>
    <w:rPr>
      <w:sz w:val="18"/>
      <w:szCs w:val="18"/>
    </w:rPr>
  </w:style>
  <w:style w:type="character" w:customStyle="1" w:styleId="73">
    <w:name w:val="页码1"/>
    <w:basedOn w:val="28"/>
    <w:qFormat/>
    <w:uiPriority w:val="0"/>
  </w:style>
  <w:style w:type="character" w:customStyle="1" w:styleId="74">
    <w:name w:val="font21"/>
    <w:basedOn w:val="28"/>
    <w:qFormat/>
    <w:uiPriority w:val="0"/>
    <w:rPr>
      <w:rFonts w:ascii="宋体" w:hAnsi="宋体" w:eastAsia="宋体" w:cs="宋体"/>
      <w:color w:val="000000"/>
      <w:sz w:val="22"/>
      <w:szCs w:val="22"/>
      <w:u w:val="none"/>
    </w:rPr>
  </w:style>
  <w:style w:type="character" w:customStyle="1" w:styleId="75">
    <w:name w:val="批注框文本 Char"/>
    <w:link w:val="20"/>
    <w:qFormat/>
    <w:uiPriority w:val="0"/>
    <w:rPr>
      <w:rFonts w:ascii="Times New Roman" w:hAnsi="Times New Roman" w:eastAsia="宋体" w:cs="Times New Roman"/>
      <w:sz w:val="18"/>
      <w:szCs w:val="20"/>
    </w:rPr>
  </w:style>
  <w:style w:type="character" w:customStyle="1" w:styleId="76">
    <w:name w:val="日期 Char"/>
    <w:basedOn w:val="28"/>
    <w:link w:val="18"/>
    <w:qFormat/>
    <w:uiPriority w:val="99"/>
    <w:rPr>
      <w:rFonts w:ascii="Calibri" w:hAnsi="Calibri" w:eastAsia="宋体" w:cs="黑体"/>
    </w:rPr>
  </w:style>
  <w:style w:type="character" w:customStyle="1" w:styleId="77">
    <w:name w:val="font61"/>
    <w:qFormat/>
    <w:uiPriority w:val="0"/>
    <w:rPr>
      <w:rFonts w:hint="eastAsia" w:ascii="宋体" w:hAnsi="宋体" w:eastAsia="宋体" w:cs="宋体"/>
      <w:color w:val="000000"/>
      <w:sz w:val="20"/>
      <w:szCs w:val="20"/>
      <w:u w:val="none"/>
    </w:rPr>
  </w:style>
  <w:style w:type="character" w:customStyle="1" w:styleId="78">
    <w:name w:val="标题 3 Char Char"/>
    <w:qFormat/>
    <w:uiPriority w:val="0"/>
    <w:rPr>
      <w:rFonts w:ascii="Times New Roman" w:hAnsi="Times New Roman" w:eastAsia="宋体" w:cs="Times New Roman"/>
      <w:b/>
      <w:sz w:val="32"/>
      <w:szCs w:val="20"/>
    </w:rPr>
  </w:style>
  <w:style w:type="character" w:customStyle="1" w:styleId="79">
    <w:name w:val="文档结构图 Char"/>
    <w:link w:val="80"/>
    <w:qFormat/>
    <w:uiPriority w:val="0"/>
    <w:rPr>
      <w:rFonts w:ascii="Times New Roman" w:hAnsi="Times New Roman" w:eastAsia="宋体" w:cs="Times New Roman"/>
      <w:szCs w:val="20"/>
      <w:shd w:val="clear" w:color="auto" w:fill="000080"/>
    </w:rPr>
  </w:style>
  <w:style w:type="paragraph" w:customStyle="1" w:styleId="80">
    <w:name w:val="文档结构图1"/>
    <w:basedOn w:val="1"/>
    <w:link w:val="79"/>
    <w:qFormat/>
    <w:uiPriority w:val="0"/>
    <w:pPr>
      <w:shd w:val="clear" w:color="auto" w:fill="000080"/>
    </w:pPr>
    <w:rPr>
      <w:rFonts w:ascii="Times New Roman" w:hAnsi="Times New Roman" w:cs="Times New Roman"/>
      <w:szCs w:val="20"/>
      <w:shd w:val="clear" w:color="auto" w:fill="000080"/>
    </w:rPr>
  </w:style>
  <w:style w:type="character" w:customStyle="1" w:styleId="81">
    <w:name w:val="正文文本缩进 3 Char Char"/>
    <w:link w:val="82"/>
    <w:qFormat/>
    <w:uiPriority w:val="0"/>
    <w:rPr>
      <w:rFonts w:ascii="Times New Roman" w:hAnsi="Times New Roman" w:eastAsia="宋体" w:cs="Times New Roman"/>
      <w:kern w:val="0"/>
      <w:sz w:val="16"/>
      <w:szCs w:val="16"/>
    </w:rPr>
  </w:style>
  <w:style w:type="paragraph" w:customStyle="1" w:styleId="82">
    <w:name w:val="正文文本缩进 31"/>
    <w:basedOn w:val="1"/>
    <w:link w:val="81"/>
    <w:qFormat/>
    <w:uiPriority w:val="0"/>
    <w:pPr>
      <w:adjustRightInd w:val="0"/>
      <w:spacing w:after="120" w:line="360" w:lineRule="atLeast"/>
      <w:ind w:left="420" w:leftChars="200"/>
      <w:jc w:val="left"/>
      <w:textAlignment w:val="baseline"/>
    </w:pPr>
    <w:rPr>
      <w:rFonts w:ascii="Times New Roman" w:hAnsi="Times New Roman" w:cs="Times New Roman"/>
      <w:kern w:val="0"/>
      <w:sz w:val="16"/>
      <w:szCs w:val="16"/>
    </w:rPr>
  </w:style>
  <w:style w:type="character" w:customStyle="1" w:styleId="83">
    <w:name w:val="样式1 Char Char"/>
    <w:qFormat/>
    <w:uiPriority w:val="0"/>
    <w:rPr>
      <w:rFonts w:ascii="宋体" w:hAnsi="宋体" w:eastAsia="宋体"/>
      <w:sz w:val="21"/>
      <w:szCs w:val="21"/>
      <w:lang w:val="en-US" w:eastAsia="zh-CN"/>
    </w:rPr>
  </w:style>
  <w:style w:type="character" w:customStyle="1" w:styleId="84">
    <w:name w:val="正文文本缩进 Char"/>
    <w:link w:val="16"/>
    <w:qFormat/>
    <w:uiPriority w:val="99"/>
    <w:rPr>
      <w:rFonts w:ascii="Calibri" w:hAnsi="Calibri" w:cs="黑体"/>
    </w:rPr>
  </w:style>
  <w:style w:type="character" w:customStyle="1" w:styleId="85">
    <w:name w:val="text11"/>
    <w:qFormat/>
    <w:uiPriority w:val="0"/>
    <w:rPr>
      <w:color w:val="000000"/>
      <w:sz w:val="23"/>
    </w:rPr>
  </w:style>
  <w:style w:type="character" w:customStyle="1" w:styleId="86">
    <w:name w:val="正文文本缩进 2 Char Char"/>
    <w:link w:val="87"/>
    <w:qFormat/>
    <w:uiPriority w:val="0"/>
    <w:rPr>
      <w:rFonts w:ascii="Times New Roman" w:hAnsi="Times New Roman" w:eastAsia="宋体" w:cs="Times New Roman"/>
      <w:szCs w:val="20"/>
    </w:rPr>
  </w:style>
  <w:style w:type="paragraph" w:customStyle="1" w:styleId="87">
    <w:name w:val="正文文本缩进 21"/>
    <w:basedOn w:val="1"/>
    <w:link w:val="86"/>
    <w:qFormat/>
    <w:uiPriority w:val="0"/>
    <w:pPr>
      <w:spacing w:after="120" w:line="480" w:lineRule="auto"/>
      <w:ind w:left="420" w:leftChars="200"/>
    </w:pPr>
    <w:rPr>
      <w:rFonts w:ascii="Times New Roman" w:hAnsi="Times New Roman" w:cs="Times New Roman"/>
      <w:szCs w:val="20"/>
    </w:rPr>
  </w:style>
  <w:style w:type="character" w:customStyle="1" w:styleId="88">
    <w:name w:val="页脚 Char"/>
    <w:basedOn w:val="28"/>
    <w:link w:val="21"/>
    <w:qFormat/>
    <w:uiPriority w:val="0"/>
    <w:rPr>
      <w:rFonts w:ascii="Calibri" w:hAnsi="Calibri" w:eastAsia="宋体" w:cs="黑体"/>
      <w:sz w:val="18"/>
      <w:szCs w:val="18"/>
    </w:rPr>
  </w:style>
  <w:style w:type="character" w:customStyle="1" w:styleId="89">
    <w:name w:val="日期 Char Char"/>
    <w:link w:val="90"/>
    <w:qFormat/>
    <w:uiPriority w:val="0"/>
    <w:rPr>
      <w:rFonts w:ascii="Times New Roman" w:hAnsi="Times New Roman" w:eastAsia="宋体" w:cs="Times New Roman"/>
      <w:sz w:val="24"/>
      <w:szCs w:val="20"/>
    </w:rPr>
  </w:style>
  <w:style w:type="paragraph" w:customStyle="1" w:styleId="90">
    <w:name w:val="日期1"/>
    <w:basedOn w:val="1"/>
    <w:next w:val="1"/>
    <w:link w:val="89"/>
    <w:qFormat/>
    <w:uiPriority w:val="0"/>
    <w:rPr>
      <w:rFonts w:ascii="Times New Roman" w:hAnsi="Times New Roman" w:cs="Times New Roman"/>
      <w:sz w:val="24"/>
      <w:szCs w:val="20"/>
    </w:rPr>
  </w:style>
  <w:style w:type="character" w:customStyle="1" w:styleId="91">
    <w:name w:val="页脚 Char Char"/>
    <w:qFormat/>
    <w:uiPriority w:val="0"/>
    <w:rPr>
      <w:sz w:val="18"/>
      <w:szCs w:val="18"/>
    </w:rPr>
  </w:style>
  <w:style w:type="character" w:customStyle="1" w:styleId="92">
    <w:name w:val="font231"/>
    <w:qFormat/>
    <w:uiPriority w:val="0"/>
    <w:rPr>
      <w:rFonts w:hint="eastAsia" w:ascii="宋体" w:hAnsi="宋体" w:eastAsia="宋体" w:cs="宋体"/>
      <w:color w:val="000000"/>
      <w:sz w:val="18"/>
      <w:szCs w:val="18"/>
      <w:u w:val="none"/>
    </w:rPr>
  </w:style>
  <w:style w:type="character" w:customStyle="1" w:styleId="93">
    <w:name w:val="正文文本 3 Char"/>
    <w:link w:val="94"/>
    <w:qFormat/>
    <w:uiPriority w:val="0"/>
    <w:rPr>
      <w:rFonts w:ascii="Times New Roman" w:hAnsi="Times New Roman" w:eastAsia="宋体" w:cs="Times New Roman"/>
      <w:sz w:val="16"/>
      <w:szCs w:val="20"/>
    </w:rPr>
  </w:style>
  <w:style w:type="paragraph" w:customStyle="1" w:styleId="94">
    <w:name w:val="正文文本 31"/>
    <w:basedOn w:val="1"/>
    <w:link w:val="93"/>
    <w:qFormat/>
    <w:uiPriority w:val="0"/>
    <w:pPr>
      <w:spacing w:after="120"/>
    </w:pPr>
    <w:rPr>
      <w:rFonts w:ascii="Times New Roman" w:hAnsi="Times New Roman" w:cs="Times New Roman"/>
      <w:sz w:val="16"/>
      <w:szCs w:val="20"/>
    </w:rPr>
  </w:style>
  <w:style w:type="character" w:customStyle="1" w:styleId="95">
    <w:name w:val="font131"/>
    <w:qFormat/>
    <w:uiPriority w:val="0"/>
    <w:rPr>
      <w:rFonts w:hint="eastAsia" w:ascii="宋体" w:hAnsi="宋体" w:eastAsia="宋体" w:cs="宋体"/>
      <w:color w:val="000000"/>
      <w:sz w:val="16"/>
      <w:szCs w:val="16"/>
      <w:u w:val="none"/>
    </w:rPr>
  </w:style>
  <w:style w:type="character" w:customStyle="1" w:styleId="96">
    <w:name w:val="正文文本 2 Char Char"/>
    <w:link w:val="97"/>
    <w:qFormat/>
    <w:uiPriority w:val="0"/>
    <w:rPr>
      <w:rFonts w:ascii="Times New Roman" w:hAnsi="Times New Roman" w:eastAsia="宋体" w:cs="Times New Roman"/>
      <w:kern w:val="0"/>
      <w:sz w:val="24"/>
      <w:szCs w:val="20"/>
    </w:rPr>
  </w:style>
  <w:style w:type="paragraph" w:customStyle="1" w:styleId="97">
    <w:name w:val="正文文本 21"/>
    <w:basedOn w:val="1"/>
    <w:link w:val="96"/>
    <w:qFormat/>
    <w:uiPriority w:val="0"/>
    <w:pPr>
      <w:adjustRightInd w:val="0"/>
      <w:spacing w:after="120" w:line="480" w:lineRule="auto"/>
      <w:jc w:val="left"/>
      <w:textAlignment w:val="baseline"/>
    </w:pPr>
    <w:rPr>
      <w:rFonts w:ascii="Times New Roman" w:hAnsi="Times New Roman" w:cs="Times New Roman"/>
      <w:kern w:val="0"/>
      <w:sz w:val="24"/>
      <w:szCs w:val="20"/>
    </w:rPr>
  </w:style>
  <w:style w:type="character" w:customStyle="1" w:styleId="98">
    <w:name w:val="正文文本 2 Char"/>
    <w:basedOn w:val="28"/>
    <w:link w:val="25"/>
    <w:qFormat/>
    <w:uiPriority w:val="99"/>
    <w:rPr>
      <w:rFonts w:ascii="Calibri" w:hAnsi="Calibri" w:eastAsia="宋体" w:cs="黑体"/>
      <w:kern w:val="1"/>
      <w:sz w:val="24"/>
      <w:szCs w:val="20"/>
    </w:rPr>
  </w:style>
  <w:style w:type="character" w:customStyle="1" w:styleId="99">
    <w:name w:val="纯文本 Char2"/>
    <w:basedOn w:val="28"/>
    <w:semiHidden/>
    <w:qFormat/>
    <w:uiPriority w:val="99"/>
    <w:rPr>
      <w:rFonts w:ascii="宋体" w:hAnsi="Courier New" w:eastAsia="宋体" w:cs="Courier New"/>
      <w:szCs w:val="21"/>
    </w:rPr>
  </w:style>
  <w:style w:type="character" w:customStyle="1" w:styleId="100">
    <w:name w:val="正文文本缩进 Char1"/>
    <w:basedOn w:val="28"/>
    <w:semiHidden/>
    <w:qFormat/>
    <w:uiPriority w:val="99"/>
    <w:rPr>
      <w:rFonts w:ascii="Calibri" w:hAnsi="Calibri" w:eastAsia="宋体" w:cs="黑体"/>
    </w:rPr>
  </w:style>
  <w:style w:type="character" w:customStyle="1" w:styleId="101">
    <w:name w:val="批注框文本 Char2"/>
    <w:basedOn w:val="28"/>
    <w:semiHidden/>
    <w:qFormat/>
    <w:uiPriority w:val="99"/>
    <w:rPr>
      <w:rFonts w:ascii="Calibri" w:hAnsi="Calibri" w:eastAsia="宋体" w:cs="黑体"/>
      <w:sz w:val="18"/>
      <w:szCs w:val="18"/>
    </w:rPr>
  </w:style>
  <w:style w:type="character" w:customStyle="1" w:styleId="102">
    <w:name w:val="正文文本缩进 3 Char1"/>
    <w:basedOn w:val="28"/>
    <w:semiHidden/>
    <w:qFormat/>
    <w:uiPriority w:val="99"/>
    <w:rPr>
      <w:rFonts w:ascii="Calibri" w:hAnsi="Calibri" w:eastAsia="宋体" w:cs="黑体"/>
      <w:sz w:val="16"/>
      <w:szCs w:val="16"/>
    </w:rPr>
  </w:style>
  <w:style w:type="character" w:customStyle="1" w:styleId="103">
    <w:name w:val="页眉 Char1"/>
    <w:basedOn w:val="28"/>
    <w:semiHidden/>
    <w:qFormat/>
    <w:uiPriority w:val="99"/>
    <w:rPr>
      <w:rFonts w:ascii="Calibri" w:hAnsi="Calibri" w:eastAsia="宋体" w:cs="黑体"/>
      <w:sz w:val="18"/>
      <w:szCs w:val="18"/>
    </w:rPr>
  </w:style>
  <w:style w:type="character" w:customStyle="1" w:styleId="104">
    <w:name w:val="批注框文本 Char3"/>
    <w:basedOn w:val="28"/>
    <w:link w:val="20"/>
    <w:semiHidden/>
    <w:qFormat/>
    <w:uiPriority w:val="99"/>
    <w:rPr>
      <w:rFonts w:ascii="Calibri" w:hAnsi="Calibri" w:eastAsia="宋体" w:cs="黑体"/>
      <w:sz w:val="18"/>
      <w:szCs w:val="18"/>
    </w:rPr>
  </w:style>
  <w:style w:type="character" w:customStyle="1" w:styleId="105">
    <w:name w:val="正文文本缩进 3 Char2"/>
    <w:basedOn w:val="28"/>
    <w:link w:val="24"/>
    <w:semiHidden/>
    <w:qFormat/>
    <w:uiPriority w:val="99"/>
    <w:rPr>
      <w:rFonts w:ascii="Calibri" w:hAnsi="Calibri" w:eastAsia="宋体" w:cs="黑体"/>
      <w:sz w:val="16"/>
      <w:szCs w:val="16"/>
    </w:rPr>
  </w:style>
  <w:style w:type="character" w:customStyle="1" w:styleId="106">
    <w:name w:val="文档结构图 Char2"/>
    <w:basedOn w:val="28"/>
    <w:link w:val="14"/>
    <w:semiHidden/>
    <w:qFormat/>
    <w:uiPriority w:val="99"/>
    <w:rPr>
      <w:rFonts w:ascii="宋体" w:hAnsi="Calibri" w:eastAsia="宋体" w:cs="黑体"/>
      <w:sz w:val="18"/>
      <w:szCs w:val="18"/>
    </w:rPr>
  </w:style>
  <w:style w:type="character" w:customStyle="1" w:styleId="107">
    <w:name w:val="页眉 Char2"/>
    <w:basedOn w:val="28"/>
    <w:link w:val="23"/>
    <w:semiHidden/>
    <w:qFormat/>
    <w:uiPriority w:val="99"/>
    <w:rPr>
      <w:rFonts w:ascii="Calibri" w:hAnsi="Calibri" w:eastAsia="宋体" w:cs="黑体"/>
      <w:sz w:val="18"/>
      <w:szCs w:val="18"/>
    </w:rPr>
  </w:style>
  <w:style w:type="character" w:customStyle="1" w:styleId="108">
    <w:name w:val="日期 Char1"/>
    <w:basedOn w:val="28"/>
    <w:link w:val="18"/>
    <w:semiHidden/>
    <w:qFormat/>
    <w:uiPriority w:val="99"/>
    <w:rPr>
      <w:rFonts w:ascii="Calibri" w:hAnsi="Calibri" w:eastAsia="宋体" w:cs="黑体"/>
    </w:rPr>
  </w:style>
  <w:style w:type="character" w:customStyle="1" w:styleId="109">
    <w:name w:val="正文文本 Char3"/>
    <w:basedOn w:val="28"/>
    <w:link w:val="3"/>
    <w:semiHidden/>
    <w:qFormat/>
    <w:uiPriority w:val="99"/>
    <w:rPr>
      <w:rFonts w:ascii="Calibri" w:hAnsi="Calibri" w:eastAsia="宋体" w:cs="黑体"/>
    </w:rPr>
  </w:style>
  <w:style w:type="character" w:customStyle="1" w:styleId="110">
    <w:name w:val="纯文本 Char1"/>
    <w:basedOn w:val="28"/>
    <w:link w:val="17"/>
    <w:semiHidden/>
    <w:qFormat/>
    <w:uiPriority w:val="99"/>
    <w:rPr>
      <w:rFonts w:ascii="宋体" w:hAnsi="Courier New" w:eastAsia="宋体" w:cs="Courier New"/>
      <w:szCs w:val="21"/>
    </w:rPr>
  </w:style>
  <w:style w:type="character" w:customStyle="1" w:styleId="111">
    <w:name w:val="HTML 预设格式 Char2"/>
    <w:basedOn w:val="28"/>
    <w:link w:val="26"/>
    <w:semiHidden/>
    <w:qFormat/>
    <w:uiPriority w:val="99"/>
    <w:rPr>
      <w:rFonts w:ascii="Courier New" w:hAnsi="Courier New" w:eastAsia="宋体" w:cs="Courier New"/>
      <w:sz w:val="20"/>
      <w:szCs w:val="20"/>
    </w:rPr>
  </w:style>
  <w:style w:type="character" w:customStyle="1" w:styleId="112">
    <w:name w:val="正文首行缩进 Char1"/>
    <w:basedOn w:val="109"/>
    <w:link w:val="2"/>
    <w:semiHidden/>
    <w:qFormat/>
    <w:uiPriority w:val="99"/>
  </w:style>
  <w:style w:type="character" w:customStyle="1" w:styleId="113">
    <w:name w:val="正文文本 2 Char1"/>
    <w:basedOn w:val="28"/>
    <w:link w:val="25"/>
    <w:semiHidden/>
    <w:qFormat/>
    <w:uiPriority w:val="99"/>
    <w:rPr>
      <w:rFonts w:ascii="Calibri" w:hAnsi="Calibri" w:eastAsia="宋体" w:cs="黑体"/>
    </w:rPr>
  </w:style>
  <w:style w:type="character" w:customStyle="1" w:styleId="114">
    <w:name w:val="批注文字 Char2"/>
    <w:basedOn w:val="28"/>
    <w:link w:val="15"/>
    <w:semiHidden/>
    <w:qFormat/>
    <w:uiPriority w:val="99"/>
    <w:rPr>
      <w:rFonts w:ascii="Calibri" w:hAnsi="Calibri" w:eastAsia="宋体" w:cs="黑体"/>
    </w:rPr>
  </w:style>
  <w:style w:type="character" w:customStyle="1" w:styleId="115">
    <w:name w:val="页脚 Char1"/>
    <w:basedOn w:val="28"/>
    <w:link w:val="21"/>
    <w:semiHidden/>
    <w:qFormat/>
    <w:uiPriority w:val="99"/>
    <w:rPr>
      <w:rFonts w:ascii="Calibri" w:hAnsi="Calibri" w:eastAsia="宋体" w:cs="黑体"/>
      <w:sz w:val="18"/>
      <w:szCs w:val="18"/>
    </w:rPr>
  </w:style>
  <w:style w:type="character" w:customStyle="1" w:styleId="116">
    <w:name w:val="正文文本缩进 2 Char1"/>
    <w:basedOn w:val="28"/>
    <w:link w:val="19"/>
    <w:semiHidden/>
    <w:qFormat/>
    <w:uiPriority w:val="99"/>
    <w:rPr>
      <w:rFonts w:ascii="Calibri" w:hAnsi="Calibri" w:eastAsia="宋体" w:cs="黑体"/>
    </w:rPr>
  </w:style>
  <w:style w:type="character" w:customStyle="1" w:styleId="117">
    <w:name w:val="正文文本缩进 Char2"/>
    <w:basedOn w:val="28"/>
    <w:link w:val="16"/>
    <w:semiHidden/>
    <w:qFormat/>
    <w:uiPriority w:val="99"/>
    <w:rPr>
      <w:rFonts w:ascii="Calibri" w:hAnsi="Calibri" w:eastAsia="宋体" w:cs="黑体"/>
    </w:rPr>
  </w:style>
  <w:style w:type="paragraph" w:customStyle="1" w:styleId="118">
    <w:name w:val="样式1"/>
    <w:basedOn w:val="1"/>
    <w:qFormat/>
    <w:uiPriority w:val="0"/>
    <w:pPr>
      <w:tabs>
        <w:tab w:val="left" w:pos="709"/>
      </w:tabs>
      <w:adjustRightInd w:val="0"/>
      <w:ind w:left="709" w:hanging="709"/>
      <w:textAlignment w:val="baseline"/>
    </w:pPr>
    <w:rPr>
      <w:rFonts w:ascii="宋体" w:hAnsi="宋体" w:cs="Times New Roman"/>
      <w:kern w:val="0"/>
      <w:szCs w:val="21"/>
    </w:rPr>
  </w:style>
  <w:style w:type="paragraph" w:customStyle="1" w:styleId="119">
    <w:name w:val="正文缩进1"/>
    <w:basedOn w:val="1"/>
    <w:qFormat/>
    <w:uiPriority w:val="0"/>
    <w:pPr>
      <w:adjustRightInd w:val="0"/>
      <w:spacing w:line="360" w:lineRule="atLeast"/>
      <w:ind w:firstLine="420" w:firstLineChars="200"/>
      <w:jc w:val="left"/>
      <w:textAlignment w:val="baseline"/>
    </w:pPr>
    <w:rPr>
      <w:rFonts w:ascii="Times New Roman" w:hAnsi="Times New Roman" w:cs="Times New Roman"/>
      <w:kern w:val="0"/>
      <w:sz w:val="24"/>
      <w:szCs w:val="20"/>
    </w:rPr>
  </w:style>
  <w:style w:type="paragraph" w:customStyle="1" w:styleId="120">
    <w:name w:val="列出段落1"/>
    <w:basedOn w:val="1"/>
    <w:qFormat/>
    <w:uiPriority w:val="0"/>
    <w:pPr>
      <w:ind w:firstLine="420" w:firstLineChars="200"/>
    </w:pPr>
  </w:style>
  <w:style w:type="paragraph" w:customStyle="1" w:styleId="121">
    <w:name w:val="无间隔1"/>
    <w:qFormat/>
    <w:uiPriority w:val="99"/>
    <w:pPr>
      <w:widowControl w:val="0"/>
      <w:jc w:val="both"/>
    </w:pPr>
    <w:rPr>
      <w:rFonts w:ascii="仿宋_GB2312" w:hAnsi="Times New Roman" w:eastAsia="仿宋_GB2312" w:cs="Times New Roman"/>
      <w:sz w:val="32"/>
      <w:lang w:val="en-US" w:eastAsia="zh-CN" w:bidi="ar-SA"/>
    </w:rPr>
  </w:style>
  <w:style w:type="paragraph" w:customStyle="1" w:styleId="122">
    <w:name w:val="as"/>
    <w:basedOn w:val="1"/>
    <w:qFormat/>
    <w:uiPriority w:val="0"/>
    <w:pPr>
      <w:tabs>
        <w:tab w:val="left" w:pos="525"/>
      </w:tabs>
      <w:ind w:left="525" w:firstLine="315"/>
    </w:pPr>
    <w:rPr>
      <w:rFonts w:ascii="宋体" w:cs="宋体"/>
      <w:sz w:val="28"/>
      <w:szCs w:val="28"/>
    </w:rPr>
  </w:style>
  <w:style w:type="paragraph" w:customStyle="1" w:styleId="123">
    <w:name w:val="粘贴正文"/>
    <w:qFormat/>
    <w:uiPriority w:val="0"/>
    <w:pPr>
      <w:spacing w:line="360" w:lineRule="auto"/>
      <w:ind w:right="210" w:firstLine="480"/>
      <w:jc w:val="both"/>
    </w:pPr>
    <w:rPr>
      <w:rFonts w:ascii="Times New Roman" w:hAnsi="Times New Roman" w:eastAsia="宋体" w:cs="Times New Roman"/>
      <w:color w:val="000000"/>
      <w:kern w:val="1"/>
      <w:sz w:val="24"/>
      <w:szCs w:val="21"/>
      <w:lang w:val="en-US" w:eastAsia="zh-CN" w:bidi="ar-SA"/>
    </w:rPr>
  </w:style>
  <w:style w:type="paragraph" w:customStyle="1" w:styleId="124">
    <w:name w:val="PMstyle"/>
    <w:qFormat/>
    <w:uiPriority w:val="0"/>
    <w:rPr>
      <w:rFonts w:ascii="Tahoma" w:hAnsi="Tahoma" w:eastAsia="宋体" w:cs="Times New Roman"/>
      <w:sz w:val="22"/>
      <w:lang w:val="en-US" w:eastAsia="zh-CN" w:bidi="ar-SA"/>
    </w:rPr>
  </w:style>
  <w:style w:type="paragraph" w:customStyle="1" w:styleId="125">
    <w:name w:val="列出段落2"/>
    <w:basedOn w:val="1"/>
    <w:qFormat/>
    <w:uiPriority w:val="0"/>
    <w:pPr>
      <w:ind w:firstLine="420" w:firstLineChars="200"/>
    </w:pPr>
    <w:rPr>
      <w:rFonts w:ascii="Times New Roman" w:hAnsi="Times New Roman" w:cs="Times New Roman"/>
      <w:szCs w:val="24"/>
    </w:rPr>
  </w:style>
  <w:style w:type="paragraph" w:customStyle="1" w:styleId="126">
    <w:name w:val="列出段落3"/>
    <w:basedOn w:val="1"/>
    <w:qFormat/>
    <w:uiPriority w:val="99"/>
    <w:pPr>
      <w:ind w:firstLine="420" w:firstLineChars="200"/>
    </w:pPr>
    <w:rPr>
      <w:szCs w:val="21"/>
    </w:rPr>
  </w:style>
  <w:style w:type="paragraph" w:customStyle="1" w:styleId="127">
    <w:name w:val="sa"/>
    <w:basedOn w:val="122"/>
    <w:qFormat/>
    <w:uiPriority w:val="0"/>
    <w:pPr>
      <w:ind w:left="0" w:firstLine="470" w:firstLineChars="196"/>
    </w:pPr>
    <w:rPr>
      <w:rFonts w:ascii="仿宋_GB2312" w:hAnsi="宋体" w:eastAsia="仿宋_GB2312"/>
      <w:kern w:val="24"/>
      <w:sz w:val="24"/>
      <w:szCs w:val="24"/>
    </w:rPr>
  </w:style>
  <w:style w:type="paragraph" w:styleId="128">
    <w:name w:val="List Paragraph"/>
    <w:basedOn w:val="1"/>
    <w:qFormat/>
    <w:uiPriority w:val="34"/>
    <w:pPr>
      <w:widowControl/>
      <w:adjustRightInd w:val="0"/>
      <w:snapToGrid w:val="0"/>
      <w:spacing w:after="200"/>
      <w:ind w:firstLine="420" w:firstLineChars="200"/>
      <w:jc w:val="left"/>
    </w:pPr>
    <w:rPr>
      <w:rFonts w:ascii="Tahoma" w:hAnsi="Tahoma" w:eastAsia="微软雅黑" w:cs="Times New Roman"/>
      <w:kern w:val="0"/>
      <w:sz w:val="22"/>
    </w:rPr>
  </w:style>
  <w:style w:type="paragraph" w:customStyle="1" w:styleId="129">
    <w:name w:val="style12"/>
    <w:basedOn w:val="1"/>
    <w:qFormat/>
    <w:uiPriority w:val="7"/>
    <w:pPr>
      <w:widowControl/>
      <w:spacing w:before="100" w:beforeAutospacing="1" w:after="100" w:afterAutospacing="1"/>
      <w:jc w:val="left"/>
    </w:pPr>
    <w:rPr>
      <w:rFonts w:ascii="隶书" w:hAnsi="隶书" w:cs="隶书"/>
      <w:sz w:val="24"/>
    </w:rPr>
  </w:style>
  <w:style w:type="paragraph" w:customStyle="1" w:styleId="130">
    <w:name w:val="_Style 9"/>
    <w:basedOn w:val="1"/>
    <w:qFormat/>
    <w:uiPriority w:val="7"/>
    <w:pPr>
      <w:ind w:firstLine="420"/>
      <w:jc w:val="left"/>
    </w:pPr>
    <w:rPr>
      <w:rFonts w:ascii="长城楷体" w:hAnsi="长城楷体"/>
      <w:sz w:val="24"/>
    </w:rPr>
  </w:style>
  <w:style w:type="character" w:customStyle="1" w:styleId="131">
    <w:name w:val="正文首行缩进 2 Char"/>
    <w:basedOn w:val="117"/>
    <w:link w:val="22"/>
    <w:qFormat/>
    <w:uiPriority w:val="0"/>
    <w:rPr>
      <w:kern w:val="2"/>
      <w:sz w:val="21"/>
      <w:szCs w:val="22"/>
    </w:rPr>
  </w:style>
  <w:style w:type="paragraph" w:customStyle="1" w:styleId="13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133">
    <w:name w:val="red"/>
    <w:basedOn w:val="28"/>
    <w:qFormat/>
    <w:uiPriority w:val="0"/>
    <w:rPr>
      <w:color w:val="FF0000"/>
      <w:sz w:val="18"/>
      <w:szCs w:val="18"/>
    </w:rPr>
  </w:style>
  <w:style w:type="character" w:customStyle="1" w:styleId="134">
    <w:name w:val="red1"/>
    <w:basedOn w:val="28"/>
    <w:qFormat/>
    <w:uiPriority w:val="0"/>
    <w:rPr>
      <w:color w:val="FF0000"/>
      <w:sz w:val="18"/>
      <w:szCs w:val="18"/>
    </w:rPr>
  </w:style>
  <w:style w:type="character" w:customStyle="1" w:styleId="135">
    <w:name w:val="red2"/>
    <w:basedOn w:val="28"/>
    <w:qFormat/>
    <w:uiPriority w:val="0"/>
    <w:rPr>
      <w:color w:val="CC0000"/>
    </w:rPr>
  </w:style>
  <w:style w:type="character" w:customStyle="1" w:styleId="136">
    <w:name w:val="red3"/>
    <w:basedOn w:val="28"/>
    <w:uiPriority w:val="0"/>
    <w:rPr>
      <w:color w:val="FF0000"/>
    </w:rPr>
  </w:style>
  <w:style w:type="character" w:customStyle="1" w:styleId="137">
    <w:name w:val="green"/>
    <w:basedOn w:val="28"/>
    <w:qFormat/>
    <w:uiPriority w:val="0"/>
    <w:rPr>
      <w:color w:val="66AE00"/>
      <w:sz w:val="18"/>
      <w:szCs w:val="18"/>
    </w:rPr>
  </w:style>
  <w:style w:type="character" w:customStyle="1" w:styleId="138">
    <w:name w:val="green1"/>
    <w:basedOn w:val="28"/>
    <w:qFormat/>
    <w:uiPriority w:val="0"/>
    <w:rPr>
      <w:color w:val="66AE00"/>
      <w:sz w:val="18"/>
      <w:szCs w:val="18"/>
    </w:rPr>
  </w:style>
  <w:style w:type="character" w:customStyle="1" w:styleId="139">
    <w:name w:val="hover25"/>
    <w:basedOn w:val="28"/>
    <w:qFormat/>
    <w:uiPriority w:val="0"/>
  </w:style>
  <w:style w:type="character" w:customStyle="1" w:styleId="140">
    <w:name w:val="right"/>
    <w:basedOn w:val="28"/>
    <w:qFormat/>
    <w:uiPriority w:val="0"/>
    <w:rPr>
      <w:color w:val="999999"/>
      <w:sz w:val="18"/>
      <w:szCs w:val="18"/>
    </w:rPr>
  </w:style>
  <w:style w:type="character" w:customStyle="1" w:styleId="141">
    <w:name w:val="gb-jt"/>
    <w:basedOn w:val="28"/>
    <w:uiPriority w:val="0"/>
  </w:style>
  <w:style w:type="character" w:customStyle="1" w:styleId="142">
    <w:name w:val="blue"/>
    <w:basedOn w:val="28"/>
    <w:qFormat/>
    <w:uiPriority w:val="0"/>
    <w:rPr>
      <w:color w:val="0371C6"/>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3A8234-2FA1-4380-A362-770A10B1064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87</Pages>
  <Words>48238</Words>
  <Characters>51137</Characters>
  <Lines>384</Lines>
  <Paragraphs>108</Paragraphs>
  <TotalTime>151</TotalTime>
  <ScaleCrop>false</ScaleCrop>
  <LinksUpToDate>false</LinksUpToDate>
  <CharactersWithSpaces>52096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2018-08-31T01:30:00Z</dcterms:created>
  <dc:creator>中泰工程管理有限公司:时永记</dc:creator>
  <cp:lastModifiedBy>你是我最美的未来❤</cp:lastModifiedBy>
  <cp:lastPrinted>2018-10-29T03:29:15Z</cp:lastPrinted>
  <dcterms:modified xsi:type="dcterms:W3CDTF">2018-10-29T03:33:49Z</dcterms:modified>
  <cp:revision>1120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