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52" w:rsidRPr="007073B5" w:rsidRDefault="00F76A4E" w:rsidP="00454B9F">
      <w:pPr>
        <w:shd w:val="clear" w:color="auto" w:fill="FFFFFF"/>
        <w:adjustRightInd/>
        <w:snapToGrid/>
        <w:spacing w:after="0" w:line="360" w:lineRule="auto"/>
        <w:jc w:val="center"/>
        <w:rPr>
          <w:rFonts w:ascii="黑体" w:eastAsia="黑体" w:hAnsi="黑体" w:cs="宋体"/>
          <w:b/>
          <w:bCs/>
          <w:color w:val="000000" w:themeColor="text1"/>
          <w:sz w:val="32"/>
          <w:szCs w:val="32"/>
        </w:rPr>
      </w:pPr>
      <w:r w:rsidRPr="007073B5">
        <w:rPr>
          <w:rFonts w:ascii="黑体" w:eastAsia="黑体" w:hAnsi="黑体" w:cs="宋体" w:hint="eastAsia"/>
          <w:b/>
          <w:bCs/>
          <w:color w:val="000000" w:themeColor="text1"/>
          <w:sz w:val="40"/>
          <w:szCs w:val="32"/>
        </w:rPr>
        <w:t>鄢陵县</w:t>
      </w:r>
      <w:proofErr w:type="gramStart"/>
      <w:r w:rsidRPr="007073B5">
        <w:rPr>
          <w:rFonts w:ascii="黑体" w:eastAsia="黑体" w:hAnsi="黑体" w:cs="宋体" w:hint="eastAsia"/>
          <w:b/>
          <w:bCs/>
          <w:color w:val="000000" w:themeColor="text1"/>
          <w:sz w:val="40"/>
          <w:szCs w:val="32"/>
        </w:rPr>
        <w:t>鹤鸣湖周边</w:t>
      </w:r>
      <w:proofErr w:type="gramEnd"/>
      <w:r w:rsidR="00064DA8" w:rsidRPr="007073B5">
        <w:rPr>
          <w:rFonts w:ascii="黑体" w:eastAsia="黑体" w:hAnsi="黑体" w:cs="宋体" w:hint="eastAsia"/>
          <w:b/>
          <w:bCs/>
          <w:color w:val="000000" w:themeColor="text1"/>
          <w:sz w:val="40"/>
          <w:szCs w:val="32"/>
        </w:rPr>
        <w:t>锦绣路两侧土地开发整理项目编制可</w:t>
      </w:r>
      <w:proofErr w:type="gramStart"/>
      <w:r w:rsidR="00064DA8" w:rsidRPr="007073B5">
        <w:rPr>
          <w:rFonts w:ascii="黑体" w:eastAsia="黑体" w:hAnsi="黑体" w:cs="宋体" w:hint="eastAsia"/>
          <w:b/>
          <w:bCs/>
          <w:color w:val="000000" w:themeColor="text1"/>
          <w:sz w:val="40"/>
          <w:szCs w:val="32"/>
        </w:rPr>
        <w:t>研</w:t>
      </w:r>
      <w:proofErr w:type="gramEnd"/>
      <w:r w:rsidR="00064DA8" w:rsidRPr="007073B5">
        <w:rPr>
          <w:rFonts w:ascii="黑体" w:eastAsia="黑体" w:hAnsi="黑体" w:cs="宋体" w:hint="eastAsia"/>
          <w:b/>
          <w:bCs/>
          <w:color w:val="000000" w:themeColor="text1"/>
          <w:sz w:val="40"/>
          <w:szCs w:val="32"/>
        </w:rPr>
        <w:t>报告采购需求、评标标准等说明</w:t>
      </w:r>
    </w:p>
    <w:p w:rsidR="00081852" w:rsidRPr="00E34230" w:rsidRDefault="00081852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081852" w:rsidRPr="00E34230" w:rsidRDefault="00064DA8" w:rsidP="009F4BF8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黑体" w:eastAsia="黑体" w:hAnsi="黑体" w:cs="宋体" w:hint="eastAsia"/>
          <w:color w:val="000000" w:themeColor="text1"/>
          <w:sz w:val="30"/>
          <w:szCs w:val="30"/>
        </w:rPr>
        <w:t>一、项目概况</w:t>
      </w:r>
    </w:p>
    <w:p w:rsidR="00081852" w:rsidRPr="00E34230" w:rsidRDefault="005C4284" w:rsidP="009F4BF8">
      <w:pPr>
        <w:shd w:val="clear" w:color="auto" w:fill="FFFFFF"/>
        <w:adjustRightInd/>
        <w:snapToGrid/>
        <w:spacing w:after="0" w:line="360" w:lineRule="auto"/>
        <w:ind w:firstLineChars="200" w:firstLine="600"/>
        <w:jc w:val="both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（一）项目名称：鄢陵县</w:t>
      </w:r>
      <w:proofErr w:type="gramStart"/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鹤鸣湖周边</w:t>
      </w:r>
      <w:proofErr w:type="gramEnd"/>
      <w:r w:rsidR="00064DA8"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锦绣路两侧土地开发整理项目编制可</w:t>
      </w:r>
      <w:proofErr w:type="gramStart"/>
      <w:r w:rsidR="00064DA8"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研</w:t>
      </w:r>
      <w:proofErr w:type="gramEnd"/>
      <w:r w:rsidR="00064DA8"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报告</w:t>
      </w:r>
    </w:p>
    <w:p w:rsidR="00081852" w:rsidRPr="00E34230" w:rsidRDefault="00064DA8" w:rsidP="009F4BF8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（二）采购方式：公开招标</w:t>
      </w:r>
    </w:p>
    <w:p w:rsidR="00081852" w:rsidRPr="00E34230" w:rsidRDefault="00064DA8" w:rsidP="009F4BF8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仿宋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（三）主要内容、数量及要求：编制鄢陵县</w:t>
      </w:r>
      <w:proofErr w:type="gramStart"/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鹤鸣湖周边</w:t>
      </w:r>
      <w:proofErr w:type="gramEnd"/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、锦绣路两侧土地开发整理项目可</w:t>
      </w:r>
      <w:proofErr w:type="gramStart"/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研</w:t>
      </w:r>
      <w:proofErr w:type="gramEnd"/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报告</w:t>
      </w:r>
      <w:r w:rsidR="007B0143">
        <w:rPr>
          <w:rFonts w:ascii="仿宋" w:eastAsia="仿宋" w:hAnsi="仿宋" w:cs="宋体" w:hint="eastAsia"/>
          <w:color w:val="000000" w:themeColor="text1"/>
          <w:sz w:val="30"/>
          <w:szCs w:val="30"/>
        </w:rPr>
        <w:t>，</w:t>
      </w: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质量要求符合相关国家规范和行业标准</w:t>
      </w:r>
      <w:r w:rsidR="007B0143">
        <w:rPr>
          <w:rFonts w:ascii="仿宋" w:eastAsia="仿宋" w:hAnsi="仿宋" w:cs="宋体" w:hint="eastAsia"/>
          <w:color w:val="000000" w:themeColor="text1"/>
          <w:sz w:val="30"/>
          <w:szCs w:val="30"/>
        </w:rPr>
        <w:t>。</w:t>
      </w:r>
    </w:p>
    <w:p w:rsidR="00081852" w:rsidRPr="00E34230" w:rsidRDefault="00064DA8" w:rsidP="009F4BF8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（四）预算金额：50万元；最高限价：50万元</w:t>
      </w:r>
    </w:p>
    <w:p w:rsidR="00081852" w:rsidRPr="00E34230" w:rsidRDefault="00064DA8" w:rsidP="009F4BF8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（五）交付（服务、完工）时间：合同签订后30日历天</w:t>
      </w:r>
    </w:p>
    <w:p w:rsidR="00081852" w:rsidRPr="00E34230" w:rsidRDefault="00064DA8" w:rsidP="009F4BF8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（六）交付（服务、施工）地点：鄢陵县国土资源局</w:t>
      </w:r>
    </w:p>
    <w:p w:rsidR="00081852" w:rsidRPr="00E34230" w:rsidRDefault="00064DA8" w:rsidP="009F4BF8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仿宋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</w:t>
      </w:r>
      <w:r w:rsidR="009F4BF8">
        <w:rPr>
          <w:rFonts w:ascii="仿宋" w:eastAsia="仿宋" w:hAnsi="仿宋" w:cs="宋体" w:hint="eastAsia"/>
          <w:color w:val="000000" w:themeColor="text1"/>
          <w:sz w:val="30"/>
          <w:szCs w:val="30"/>
        </w:rPr>
        <w:t>七</w:t>
      </w: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）分包：不允许分包</w:t>
      </w:r>
    </w:p>
    <w:p w:rsidR="00081852" w:rsidRPr="00E34230" w:rsidRDefault="00064DA8" w:rsidP="009F4BF8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黑体" w:eastAsia="黑体" w:hAnsi="黑体" w:cs="宋体" w:hint="eastAsia"/>
          <w:color w:val="000000" w:themeColor="text1"/>
          <w:sz w:val="30"/>
          <w:szCs w:val="30"/>
        </w:rPr>
        <w:t>二、需要落实的政府采购政策</w:t>
      </w:r>
    </w:p>
    <w:p w:rsidR="00081852" w:rsidRPr="00E34230" w:rsidRDefault="00064DA8" w:rsidP="009F4BF8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本项目落实节能环保、中小微型企业扶持、支持监狱企业发展、残疾人福利性单位扶持等相关政府采购政策。</w:t>
      </w:r>
    </w:p>
    <w:p w:rsidR="00081852" w:rsidRPr="00E34230" w:rsidRDefault="00064DA8" w:rsidP="009F4BF8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黑体" w:eastAsia="黑体" w:hAnsi="黑体" w:cs="宋体" w:hint="eastAsia"/>
          <w:color w:val="000000" w:themeColor="text1"/>
          <w:sz w:val="30"/>
          <w:szCs w:val="30"/>
        </w:rPr>
        <w:t>三、投标人资格要求</w:t>
      </w:r>
    </w:p>
    <w:p w:rsidR="00081852" w:rsidRPr="00E34230" w:rsidRDefault="00064DA8" w:rsidP="009F4BF8">
      <w:pPr>
        <w:shd w:val="clear" w:color="auto" w:fill="FFFFFF"/>
        <w:adjustRightInd/>
        <w:snapToGrid/>
        <w:spacing w:after="0"/>
        <w:ind w:firstLineChars="200" w:firstLine="600"/>
        <w:jc w:val="both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lastRenderedPageBreak/>
        <w:t>（一）</w:t>
      </w:r>
      <w:r w:rsidR="009F4BF8" w:rsidRPr="009F4BF8">
        <w:rPr>
          <w:rFonts w:ascii="仿宋" w:eastAsia="仿宋" w:hAnsi="仿宋" w:cs="宋体" w:hint="eastAsia"/>
          <w:color w:val="000000" w:themeColor="text1"/>
          <w:sz w:val="30"/>
          <w:szCs w:val="30"/>
        </w:rPr>
        <w:t>具备《政府采购法》第二十二条规定条件并提供相关材料。</w:t>
      </w:r>
    </w:p>
    <w:p w:rsidR="00081852" w:rsidRPr="00E34230" w:rsidRDefault="00064DA8" w:rsidP="009F4BF8">
      <w:pPr>
        <w:shd w:val="clear" w:color="auto" w:fill="FFFFFF"/>
        <w:adjustRightInd/>
        <w:snapToGrid/>
        <w:spacing w:after="0"/>
        <w:ind w:firstLineChars="200" w:firstLine="600"/>
        <w:jc w:val="both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</w:t>
      </w:r>
      <w:r w:rsidR="009F4BF8">
        <w:rPr>
          <w:rFonts w:ascii="仿宋" w:eastAsia="仿宋" w:hAnsi="仿宋" w:cs="宋体" w:hint="eastAsia"/>
          <w:color w:val="000000" w:themeColor="text1"/>
          <w:sz w:val="30"/>
          <w:szCs w:val="30"/>
        </w:rPr>
        <w:t>二</w:t>
      </w: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）拟派项目负责人须具备注册咨询工程师资格</w:t>
      </w:r>
      <w:r w:rsidR="00240A76">
        <w:rPr>
          <w:rFonts w:ascii="仿宋" w:eastAsia="仿宋" w:hAnsi="仿宋" w:cs="宋体" w:hint="eastAsia"/>
          <w:color w:val="000000" w:themeColor="text1"/>
          <w:sz w:val="30"/>
          <w:szCs w:val="30"/>
        </w:rPr>
        <w:t>（</w:t>
      </w:r>
      <w:r w:rsidR="00802571" w:rsidRPr="00802571">
        <w:rPr>
          <w:rFonts w:ascii="仿宋" w:eastAsia="仿宋" w:hAnsi="仿宋" w:cs="宋体" w:hint="eastAsia"/>
          <w:color w:val="000000" w:themeColor="text1"/>
          <w:sz w:val="30"/>
          <w:szCs w:val="30"/>
        </w:rPr>
        <w:t>土地整理专业或市政公用工程专业</w:t>
      </w:r>
      <w:r w:rsidR="00240A76">
        <w:rPr>
          <w:rFonts w:ascii="仿宋" w:eastAsia="仿宋" w:hAnsi="仿宋" w:cs="宋体" w:hint="eastAsia"/>
          <w:color w:val="000000" w:themeColor="text1"/>
          <w:sz w:val="30"/>
          <w:szCs w:val="30"/>
        </w:rPr>
        <w:t>）</w:t>
      </w:r>
      <w:r w:rsidR="007B0143">
        <w:rPr>
          <w:rFonts w:ascii="仿宋" w:eastAsia="仿宋" w:hAnsi="仿宋" w:cs="宋体" w:hint="eastAsia"/>
          <w:color w:val="000000" w:themeColor="text1"/>
          <w:sz w:val="30"/>
          <w:szCs w:val="30"/>
        </w:rPr>
        <w:t>，并提供相关证件</w:t>
      </w: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。</w:t>
      </w:r>
    </w:p>
    <w:p w:rsidR="00081852" w:rsidRDefault="00064DA8" w:rsidP="009F4BF8">
      <w:pPr>
        <w:shd w:val="clear" w:color="auto" w:fill="FFFFFF"/>
        <w:adjustRightInd/>
        <w:snapToGrid/>
        <w:spacing w:after="0"/>
        <w:ind w:firstLineChars="200" w:firstLine="600"/>
        <w:jc w:val="both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</w:t>
      </w:r>
      <w:r w:rsidR="009F4BF8">
        <w:rPr>
          <w:rFonts w:ascii="仿宋" w:eastAsia="仿宋" w:hAnsi="仿宋" w:cs="宋体" w:hint="eastAsia"/>
          <w:color w:val="000000" w:themeColor="text1"/>
          <w:sz w:val="30"/>
          <w:szCs w:val="30"/>
        </w:rPr>
        <w:t>三</w:t>
      </w: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）未被列入“信用中国”网站(www.creditchina.gov.cn)信用记录失信被执行人、重大税收违法案件当事人名单、政府采购严重违法失信名单的投标人；中国政府采购网(www.ccgp.gov.cn)政府采购严重违法失信行为记录名单的投标人。</w:t>
      </w:r>
    </w:p>
    <w:p w:rsidR="009F4BF8" w:rsidRPr="009F4BF8" w:rsidRDefault="009F4BF8" w:rsidP="009F4BF8">
      <w:pPr>
        <w:shd w:val="clear" w:color="auto" w:fill="FFFFFF"/>
        <w:adjustRightInd/>
        <w:snapToGrid/>
        <w:spacing w:after="0"/>
        <w:ind w:firstLineChars="200" w:firstLine="600"/>
        <w:jc w:val="both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9F4BF8">
        <w:rPr>
          <w:rFonts w:ascii="仿宋" w:eastAsia="仿宋" w:hAnsi="仿宋" w:cs="宋体" w:hint="eastAsia"/>
          <w:color w:val="000000" w:themeColor="text1"/>
          <w:sz w:val="30"/>
          <w:szCs w:val="30"/>
        </w:rPr>
        <w:t>（四）本次招标接受不接受联合体投标。</w:t>
      </w:r>
    </w:p>
    <w:p w:rsidR="00081852" w:rsidRPr="00E34230" w:rsidRDefault="00064DA8" w:rsidP="009F4BF8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黑体" w:eastAsia="黑体" w:hAnsi="黑体" w:cs="宋体" w:hint="eastAsia"/>
          <w:color w:val="000000" w:themeColor="text1"/>
          <w:sz w:val="30"/>
          <w:szCs w:val="30"/>
        </w:rPr>
        <w:t>四、采购需求</w:t>
      </w:r>
    </w:p>
    <w:p w:rsidR="00081852" w:rsidRPr="00E34230" w:rsidRDefault="00064DA8" w:rsidP="009F4BF8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仿宋" w:eastAsia="仿宋" w:hAnsi="仿宋" w:cs="宋体"/>
          <w:i/>
          <w:iCs/>
          <w:color w:val="000000" w:themeColor="text1"/>
          <w:sz w:val="30"/>
          <w:szCs w:val="30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（一）本项目需实现的功能或者目标</w:t>
      </w:r>
    </w:p>
    <w:p w:rsidR="00081852" w:rsidRDefault="007215A3" w:rsidP="009F4BF8">
      <w:pPr>
        <w:shd w:val="clear" w:color="auto" w:fill="FFFFFF"/>
        <w:adjustRightInd/>
        <w:snapToGrid/>
        <w:spacing w:after="0"/>
        <w:ind w:firstLineChars="200" w:firstLine="600"/>
        <w:jc w:val="both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7215A3">
        <w:rPr>
          <w:rFonts w:ascii="仿宋" w:eastAsia="仿宋" w:hAnsi="仿宋" w:cs="宋体" w:hint="eastAsia"/>
          <w:color w:val="000000" w:themeColor="text1"/>
          <w:sz w:val="30"/>
          <w:szCs w:val="30"/>
        </w:rPr>
        <w:t>为加快推进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鄢陵县“百城建设提质工程”，实施</w:t>
      </w:r>
      <w:proofErr w:type="gramStart"/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鹤鸣湖周边</w:t>
      </w:r>
      <w:proofErr w:type="gramEnd"/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、锦绣路两侧土地开发整理项目，为该项目前期工作编制可行性研究报告。</w:t>
      </w:r>
      <w:r w:rsidR="00DC1DCD">
        <w:rPr>
          <w:rFonts w:ascii="仿宋" w:eastAsia="仿宋" w:hAnsi="仿宋" w:cs="宋体" w:hint="eastAsia"/>
          <w:color w:val="000000" w:themeColor="text1"/>
          <w:sz w:val="30"/>
          <w:szCs w:val="30"/>
        </w:rPr>
        <w:t>项目概况：</w:t>
      </w:r>
    </w:p>
    <w:p w:rsidR="007215A3" w:rsidRPr="003731E9" w:rsidRDefault="003731E9" w:rsidP="003731E9">
      <w:pPr>
        <w:shd w:val="clear" w:color="auto" w:fill="FFFFFF"/>
        <w:adjustRightInd/>
        <w:snapToGrid/>
        <w:spacing w:after="0"/>
        <w:ind w:firstLine="600"/>
        <w:jc w:val="both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3731E9">
        <w:rPr>
          <w:rFonts w:ascii="仿宋" w:eastAsia="仿宋" w:hAnsi="仿宋" w:cs="宋体" w:hint="eastAsia"/>
          <w:color w:val="000000" w:themeColor="text1"/>
          <w:sz w:val="30"/>
          <w:szCs w:val="30"/>
        </w:rPr>
        <w:t>1、</w:t>
      </w:r>
      <w:proofErr w:type="gramStart"/>
      <w:r w:rsidR="007215A3" w:rsidRPr="003731E9">
        <w:rPr>
          <w:rFonts w:ascii="仿宋" w:eastAsia="仿宋" w:hAnsi="仿宋" w:cs="宋体" w:hint="eastAsia"/>
          <w:color w:val="000000" w:themeColor="text1"/>
          <w:sz w:val="30"/>
          <w:szCs w:val="30"/>
        </w:rPr>
        <w:t>鹤鸣湖周边</w:t>
      </w:r>
      <w:proofErr w:type="gramEnd"/>
      <w:r w:rsidR="007215A3" w:rsidRPr="003731E9">
        <w:rPr>
          <w:rFonts w:ascii="仿宋" w:eastAsia="仿宋" w:hAnsi="仿宋" w:cs="宋体" w:hint="eastAsia"/>
          <w:color w:val="000000" w:themeColor="text1"/>
          <w:sz w:val="30"/>
          <w:szCs w:val="30"/>
        </w:rPr>
        <w:t>土地开发整理项目。位于</w:t>
      </w:r>
      <w:proofErr w:type="gramStart"/>
      <w:r w:rsidR="007215A3" w:rsidRPr="003731E9">
        <w:rPr>
          <w:rFonts w:ascii="仿宋" w:eastAsia="仿宋" w:hAnsi="仿宋" w:cs="宋体" w:hint="eastAsia"/>
          <w:color w:val="000000" w:themeColor="text1"/>
          <w:sz w:val="30"/>
          <w:szCs w:val="30"/>
        </w:rPr>
        <w:t>鹤鸣湖四周</w:t>
      </w:r>
      <w:proofErr w:type="gramEnd"/>
      <w:r w:rsidR="007215A3" w:rsidRPr="003731E9">
        <w:rPr>
          <w:rFonts w:ascii="仿宋" w:eastAsia="仿宋" w:hAnsi="仿宋" w:cs="宋体" w:hint="eastAsia"/>
          <w:color w:val="000000" w:themeColor="text1"/>
          <w:sz w:val="30"/>
          <w:szCs w:val="30"/>
        </w:rPr>
        <w:t>，一期计划占地1860亩，计划总投资5.8亿元。主要建设内容为用地报批前期费用和土地及拆迁补偿费用。通过整理，使该项目用</w:t>
      </w:r>
      <w:r w:rsidR="007215A3" w:rsidRPr="003731E9">
        <w:rPr>
          <w:rFonts w:ascii="仿宋" w:eastAsia="仿宋" w:hAnsi="仿宋" w:cs="宋体" w:hint="eastAsia"/>
          <w:color w:val="000000" w:themeColor="text1"/>
          <w:sz w:val="30"/>
          <w:szCs w:val="30"/>
        </w:rPr>
        <w:lastRenderedPageBreak/>
        <w:t>地达到七通一平（通路、通电、通信、通上水、通下水、通燃气、通热力及土地平整）的前期出让条件。</w:t>
      </w:r>
    </w:p>
    <w:p w:rsidR="00535ECF" w:rsidRPr="00535ECF" w:rsidRDefault="003731E9" w:rsidP="00535ECF">
      <w:pPr>
        <w:shd w:val="clear" w:color="auto" w:fill="FFFFFF"/>
        <w:adjustRightInd/>
        <w:snapToGrid/>
        <w:spacing w:after="0"/>
        <w:ind w:firstLine="600"/>
        <w:jc w:val="both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3731E9">
        <w:rPr>
          <w:rFonts w:ascii="仿宋" w:eastAsia="仿宋" w:hAnsi="仿宋" w:cs="宋体" w:hint="eastAsia"/>
          <w:color w:val="000000" w:themeColor="text1"/>
          <w:sz w:val="30"/>
          <w:szCs w:val="30"/>
        </w:rPr>
        <w:t>2、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锦绣路两侧土地开发整理项目。位于鄢陵县</w:t>
      </w:r>
      <w:proofErr w:type="gramStart"/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郑合高</w:t>
      </w:r>
      <w:proofErr w:type="gramEnd"/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铁站至花都大道（锦绣路两侧），一期计划占地1950亩，计划总投资</w:t>
      </w:r>
      <w:r w:rsidR="00DC1DCD">
        <w:rPr>
          <w:rFonts w:ascii="仿宋" w:eastAsia="仿宋" w:hAnsi="仿宋" w:cs="宋体" w:hint="eastAsia"/>
          <w:color w:val="000000" w:themeColor="text1"/>
          <w:sz w:val="30"/>
          <w:szCs w:val="30"/>
        </w:rPr>
        <w:t>6.5亿元。主要建设内容为用地审批前期费用和土地及拆迁补偿费用。通过整理，使该项目用地达到</w:t>
      </w:r>
      <w:r w:rsidR="00DC1DCD" w:rsidRPr="003731E9">
        <w:rPr>
          <w:rFonts w:ascii="仿宋" w:eastAsia="仿宋" w:hAnsi="仿宋" w:cs="宋体" w:hint="eastAsia"/>
          <w:color w:val="000000" w:themeColor="text1"/>
          <w:sz w:val="30"/>
          <w:szCs w:val="30"/>
        </w:rPr>
        <w:t>七通一平（通路、通电、通信、通上水、通下水、通燃气、通热力及土地平整）</w:t>
      </w:r>
      <w:r w:rsidR="00DC1DCD">
        <w:rPr>
          <w:rFonts w:ascii="仿宋" w:eastAsia="仿宋" w:hAnsi="仿宋" w:cs="宋体" w:hint="eastAsia"/>
          <w:color w:val="000000" w:themeColor="text1"/>
          <w:sz w:val="30"/>
          <w:szCs w:val="30"/>
        </w:rPr>
        <w:t>的前期出让条件。</w:t>
      </w:r>
    </w:p>
    <w:p w:rsidR="00081852" w:rsidRPr="00E34230" w:rsidRDefault="00064DA8" w:rsidP="007360A1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</w:t>
      </w:r>
      <w:r w:rsidR="00535ECF">
        <w:rPr>
          <w:rFonts w:ascii="仿宋" w:eastAsia="仿宋" w:hAnsi="仿宋" w:cs="宋体" w:hint="eastAsia"/>
          <w:color w:val="000000" w:themeColor="text1"/>
          <w:sz w:val="30"/>
          <w:szCs w:val="30"/>
        </w:rPr>
        <w:t>二</w:t>
      </w: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）采购标的执行标准</w:t>
      </w:r>
      <w:r w:rsidR="007360A1">
        <w:rPr>
          <w:rFonts w:ascii="仿宋" w:eastAsia="仿宋" w:hAnsi="仿宋" w:cs="宋体" w:hint="eastAsia"/>
          <w:color w:val="000000" w:themeColor="text1"/>
          <w:sz w:val="30"/>
          <w:szCs w:val="30"/>
        </w:rPr>
        <w:t>：</w:t>
      </w: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符合相关国家规范和行业标准</w:t>
      </w:r>
      <w:r w:rsidRPr="00E34230">
        <w:rPr>
          <w:rFonts w:ascii="仿宋" w:eastAsia="仿宋" w:hAnsi="仿宋" w:cs="宋体" w:hint="eastAsia"/>
          <w:iCs/>
          <w:color w:val="000000" w:themeColor="text1"/>
          <w:sz w:val="30"/>
          <w:szCs w:val="30"/>
        </w:rPr>
        <w:t>、地方标准或者其他标准、规范</w:t>
      </w:r>
      <w:r w:rsidR="00535ECF">
        <w:rPr>
          <w:rFonts w:ascii="仿宋" w:eastAsia="仿宋" w:hAnsi="仿宋" w:cs="宋体" w:hint="eastAsia"/>
          <w:iCs/>
          <w:color w:val="000000" w:themeColor="text1"/>
          <w:sz w:val="30"/>
          <w:szCs w:val="30"/>
        </w:rPr>
        <w:t>，编制可行性研究报告6套。</w:t>
      </w:r>
    </w:p>
    <w:p w:rsidR="00081852" w:rsidRPr="00E34230" w:rsidRDefault="00064DA8">
      <w:pPr>
        <w:shd w:val="clear" w:color="auto" w:fill="FFFFFF"/>
        <w:adjustRightInd/>
        <w:snapToGrid/>
        <w:spacing w:after="0" w:line="360" w:lineRule="auto"/>
        <w:ind w:firstLineChars="200" w:firstLine="600"/>
        <w:contextualSpacing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</w:t>
      </w:r>
      <w:r w:rsidR="008F0581">
        <w:rPr>
          <w:rFonts w:ascii="仿宋" w:eastAsia="仿宋" w:hAnsi="仿宋" w:cs="宋体" w:hint="eastAsia"/>
          <w:color w:val="000000" w:themeColor="text1"/>
          <w:sz w:val="30"/>
          <w:szCs w:val="30"/>
        </w:rPr>
        <w:t>三</w:t>
      </w: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）服务标准、期限、效率等要求</w:t>
      </w:r>
    </w:p>
    <w:p w:rsidR="00081852" w:rsidRPr="00E34230" w:rsidRDefault="00064DA8">
      <w:pPr>
        <w:shd w:val="clear" w:color="auto" w:fill="FFFFFF"/>
        <w:adjustRightInd/>
        <w:snapToGrid/>
        <w:spacing w:after="0" w:line="360" w:lineRule="auto"/>
        <w:ind w:firstLine="600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1、投标人应就该项目完整投标，否则为无效投标。</w:t>
      </w:r>
    </w:p>
    <w:p w:rsidR="00081852" w:rsidRPr="00E34230" w:rsidRDefault="00064DA8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</w:t>
      </w:r>
      <w:r w:rsidR="008F0581">
        <w:rPr>
          <w:rFonts w:ascii="仿宋" w:eastAsia="仿宋" w:hAnsi="仿宋" w:cs="宋体" w:hint="eastAsia"/>
          <w:color w:val="000000" w:themeColor="text1"/>
          <w:sz w:val="30"/>
          <w:szCs w:val="30"/>
        </w:rPr>
        <w:t>四</w:t>
      </w: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）验收标准</w:t>
      </w:r>
    </w:p>
    <w:p w:rsidR="00081852" w:rsidRPr="00E34230" w:rsidRDefault="00064DA8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由采购人成立验收小组,按照采购合同的约定对中标人履约情况进行验收。验收时,按照采购合同的约定对每一项技术、服务、安全标准的履约情况进行确认。验收结束后,出具</w:t>
      </w:r>
      <w:proofErr w:type="gramStart"/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验收书</w:t>
      </w:r>
      <w:proofErr w:type="gramEnd"/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,列明各项标准的验收情况及项目总体评价,由验收双方共同签署。</w:t>
      </w:r>
    </w:p>
    <w:p w:rsidR="00081852" w:rsidRPr="00E34230" w:rsidRDefault="00064DA8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1、</w:t>
      </w:r>
      <w:r w:rsidRPr="00E34230">
        <w:rPr>
          <w:rFonts w:ascii="仿宋" w:eastAsia="仿宋" w:hAnsi="仿宋" w:cs="宋体" w:hint="eastAsia"/>
          <w:iCs/>
          <w:color w:val="000000" w:themeColor="text1"/>
          <w:sz w:val="30"/>
          <w:szCs w:val="30"/>
        </w:rPr>
        <w:t>按照国家相关标准、行业标准、地方标准或者其他标准、规范验收；</w:t>
      </w:r>
    </w:p>
    <w:p w:rsidR="00081852" w:rsidRPr="00E34230" w:rsidRDefault="00064DA8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lastRenderedPageBreak/>
        <w:t>2、按照招标文件要求、投标文件响应和承诺验收；</w:t>
      </w:r>
    </w:p>
    <w:p w:rsidR="00081852" w:rsidRPr="00E34230" w:rsidRDefault="00064DA8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3、编制的可</w:t>
      </w:r>
      <w:proofErr w:type="gramStart"/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研</w:t>
      </w:r>
      <w:proofErr w:type="gramEnd"/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报告需满足相关规范及标准要求，配合业主单位取得国家相关主管部门批复。</w:t>
      </w:r>
    </w:p>
    <w:p w:rsidR="00081852" w:rsidRPr="00E34230" w:rsidRDefault="00064DA8">
      <w:pPr>
        <w:shd w:val="clear" w:color="auto" w:fill="FFFFFF"/>
        <w:adjustRightInd/>
        <w:snapToGrid/>
        <w:spacing w:after="0" w:line="360" w:lineRule="auto"/>
        <w:ind w:firstLine="600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</w:t>
      </w:r>
      <w:r w:rsidR="008F0581">
        <w:rPr>
          <w:rFonts w:ascii="仿宋" w:eastAsia="仿宋" w:hAnsi="仿宋" w:cs="宋体" w:hint="eastAsia"/>
          <w:color w:val="000000" w:themeColor="text1"/>
          <w:sz w:val="30"/>
          <w:szCs w:val="30"/>
        </w:rPr>
        <w:t>五</w:t>
      </w: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）采购标的</w:t>
      </w:r>
      <w:proofErr w:type="gramStart"/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的</w:t>
      </w:r>
      <w:proofErr w:type="gramEnd"/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其他技术、服务等要求</w:t>
      </w:r>
    </w:p>
    <w:p w:rsidR="00081852" w:rsidRPr="00E34230" w:rsidRDefault="00064DA8">
      <w:pPr>
        <w:shd w:val="clear" w:color="auto" w:fill="FFFFFF"/>
        <w:adjustRightInd/>
        <w:snapToGrid/>
        <w:spacing w:after="0" w:line="360" w:lineRule="auto"/>
        <w:ind w:firstLine="600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编制的可</w:t>
      </w:r>
      <w:proofErr w:type="gramStart"/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研</w:t>
      </w:r>
      <w:proofErr w:type="gramEnd"/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报告应满足相关规范及标准要求</w:t>
      </w:r>
    </w:p>
    <w:p w:rsidR="00081852" w:rsidRPr="00E34230" w:rsidRDefault="00064DA8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黑体" w:eastAsia="黑体" w:hAnsi="黑体" w:cs="宋体" w:hint="eastAsia"/>
          <w:color w:val="000000" w:themeColor="text1"/>
          <w:sz w:val="30"/>
          <w:szCs w:val="30"/>
        </w:rPr>
        <w:t>五、评标方法和评标标准</w:t>
      </w:r>
    </w:p>
    <w:p w:rsidR="00081852" w:rsidRPr="00E34230" w:rsidRDefault="00064DA8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（一）评标方法：综合评分法</w:t>
      </w:r>
    </w:p>
    <w:p w:rsidR="00081852" w:rsidRPr="00E34230" w:rsidRDefault="00064DA8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（二）综合评分法评标标准：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4"/>
        <w:gridCol w:w="5560"/>
        <w:gridCol w:w="928"/>
      </w:tblGrid>
      <w:tr w:rsidR="00081852" w:rsidRPr="00E34230">
        <w:trPr>
          <w:trHeight w:val="90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分值构成</w:t>
            </w:r>
          </w:p>
          <w:p w:rsidR="00081852" w:rsidRPr="00E34230" w:rsidRDefault="00064DA8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(总分100分)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 w:rsidP="00240A76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价格分值：</w:t>
            </w:r>
            <w:r w:rsidR="000F7697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25</w:t>
            </w:r>
            <w:r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分</w:t>
            </w:r>
          </w:p>
          <w:p w:rsidR="00081852" w:rsidRPr="00E34230" w:rsidRDefault="00064DA8" w:rsidP="00240A76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商务部分：</w:t>
            </w:r>
            <w:r w:rsidR="00DA2E0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35</w:t>
            </w:r>
            <w:r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分</w:t>
            </w:r>
          </w:p>
          <w:p w:rsidR="00081852" w:rsidRPr="00E34230" w:rsidRDefault="00064DA8" w:rsidP="00DA2E0A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技术部分：</w:t>
            </w:r>
            <w:r w:rsidR="00DA2E0A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40</w:t>
            </w:r>
            <w:r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81852" w:rsidRPr="00E34230">
        <w:trPr>
          <w:trHeight w:val="567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 w:rsidP="000F76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一、价格部分（满分</w:t>
            </w:r>
            <w:r w:rsidR="000F7697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25</w:t>
            </w:r>
            <w:r w:rsidRPr="00E34230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分）</w:t>
            </w:r>
          </w:p>
        </w:tc>
      </w:tr>
      <w:tr w:rsidR="00081852" w:rsidRPr="00E34230">
        <w:trPr>
          <w:trHeight w:val="56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评分因素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评分标准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分值</w:t>
            </w:r>
          </w:p>
        </w:tc>
      </w:tr>
      <w:tr w:rsidR="00081852" w:rsidRPr="00E34230">
        <w:trPr>
          <w:trHeight w:val="151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投标报价</w:t>
            </w:r>
          </w:p>
          <w:p w:rsidR="00081852" w:rsidRPr="00E34230" w:rsidRDefault="00064DA8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评分标准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 w:rsidR="00081852" w:rsidRPr="00E34230" w:rsidRDefault="00064DA8" w:rsidP="000F7697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投标报价得分=（评标基准价/投标报价）×</w:t>
            </w:r>
            <w:r w:rsidR="000F7697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F76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25</w:t>
            </w:r>
            <w:r w:rsidR="00064DA8"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81852" w:rsidRPr="00E34230">
        <w:trPr>
          <w:trHeight w:val="567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 w:rsidP="00DA2E0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二、商务部分（满分</w:t>
            </w:r>
            <w:r w:rsidR="00DA2E0A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35</w:t>
            </w:r>
            <w:r w:rsidRPr="00E34230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分）</w:t>
            </w:r>
          </w:p>
        </w:tc>
      </w:tr>
      <w:tr w:rsidR="00081852" w:rsidRPr="00E34230">
        <w:trPr>
          <w:trHeight w:val="56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评分因素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评分标准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分值</w:t>
            </w:r>
          </w:p>
        </w:tc>
      </w:tr>
      <w:tr w:rsidR="00081852" w:rsidRPr="00E34230">
        <w:trPr>
          <w:trHeight w:val="56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人员配备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C6" w:rsidRPr="00873FC6" w:rsidRDefault="00873FC6" w:rsidP="00873FC6">
            <w:pPr>
              <w:adjustRightInd/>
              <w:snapToGrid/>
              <w:spacing w:after="0" w:line="330" w:lineRule="atLeast"/>
              <w:jc w:val="both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1、</w:t>
            </w:r>
            <w:r w:rsidR="00064DA8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拟派项目负责人具有</w:t>
            </w:r>
            <w:r w:rsidR="007045C1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相关专业中级</w:t>
            </w:r>
            <w:r w:rsidR="000E1AA2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职称的得2分，具有相关专业</w:t>
            </w:r>
            <w:r w:rsidR="007073B5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高级职称</w:t>
            </w:r>
            <w:r w:rsidR="00064DA8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的得</w:t>
            </w:r>
            <w:r w:rsidR="00730E6A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4</w:t>
            </w:r>
            <w:r w:rsidR="00064DA8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分，没有不得分</w:t>
            </w:r>
            <w:r w:rsidR="007347E5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。</w:t>
            </w:r>
          </w:p>
          <w:p w:rsidR="00081852" w:rsidRPr="00811E76" w:rsidRDefault="00873FC6" w:rsidP="00A06F27">
            <w:pPr>
              <w:adjustRightInd/>
              <w:snapToGrid/>
              <w:spacing w:after="0" w:line="330" w:lineRule="atLeast"/>
              <w:jc w:val="both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2、</w:t>
            </w:r>
            <w:r w:rsidR="00064DA8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项目组成员（不含项目负责人）</w:t>
            </w:r>
            <w:r w:rsidR="000D078A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具有</w:t>
            </w:r>
            <w:r w:rsidR="00811E7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为本单位注册咨询工程师</w:t>
            </w:r>
            <w:r w:rsidR="00064DA8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证书（土地整理专业）</w:t>
            </w:r>
            <w:r w:rsidR="000D078A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的</w:t>
            </w:r>
            <w:r w:rsidR="00064DA8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，每有</w:t>
            </w:r>
            <w:r w:rsidR="000D078A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</w:t>
            </w:r>
            <w:r w:rsidR="00064DA8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个得</w:t>
            </w:r>
            <w:r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3</w:t>
            </w:r>
            <w:r w:rsidR="00064DA8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分，</w:t>
            </w:r>
            <w:r w:rsidR="000D078A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满分</w:t>
            </w:r>
            <w:r w:rsidR="00A06F27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6</w:t>
            </w:r>
            <w:r w:rsidR="00064DA8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分</w:t>
            </w:r>
            <w:r w:rsidR="000D078A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；有关本项目</w:t>
            </w:r>
            <w:r w:rsidR="00A3634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其他</w:t>
            </w:r>
            <w:r w:rsidR="00811E7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相关专业注册咨询工程师</w:t>
            </w:r>
            <w:r w:rsidR="00064DA8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证书</w:t>
            </w:r>
            <w:r w:rsidR="000D078A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的</w:t>
            </w:r>
            <w:r w:rsidR="00064DA8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，每有</w:t>
            </w:r>
            <w:r w:rsidR="000D078A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</w:t>
            </w:r>
            <w:r w:rsidR="00064DA8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个得</w:t>
            </w:r>
            <w:r w:rsidR="00A06F27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</w:t>
            </w:r>
            <w:r w:rsidR="00064DA8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分，</w:t>
            </w:r>
            <w:r w:rsidR="000D078A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满分</w:t>
            </w:r>
            <w:r w:rsidR="00A06F27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6</w:t>
            </w:r>
            <w:r w:rsidR="00064DA8" w:rsidRPr="00873FC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分。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730E6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16</w:t>
            </w:r>
            <w:r w:rsidR="00064DA8"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81852" w:rsidRPr="00E34230">
        <w:trPr>
          <w:trHeight w:val="128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lastRenderedPageBreak/>
              <w:t>业绩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0E1AA2" w:rsidRDefault="000E1AA2" w:rsidP="00092131">
            <w:pPr>
              <w:adjustRightInd/>
              <w:snapToGrid/>
              <w:spacing w:after="0" w:line="36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0E1AA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投标人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2015年以来（以合同签订时间为准）</w:t>
            </w:r>
            <w:r w:rsidR="00064DA8" w:rsidRPr="00E3423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，</w:t>
            </w:r>
            <w:proofErr w:type="gramStart"/>
            <w:r w:rsidR="00064DA8" w:rsidRPr="00E3423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每具有</w:t>
            </w:r>
            <w:proofErr w:type="gramEnd"/>
            <w:r w:rsidR="006A1F67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 w:rsidR="00064DA8" w:rsidRPr="00E3423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项类似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项目可行性研究报告</w:t>
            </w:r>
            <w:r w:rsidR="00064DA8" w:rsidRPr="00E3423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编制业绩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的</w:t>
            </w:r>
            <w:r w:rsidR="00064DA8" w:rsidRPr="00E3423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得</w:t>
            </w:r>
            <w:r w:rsidR="0009213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</w:t>
            </w:r>
            <w:r w:rsidR="00064DA8" w:rsidRPr="00E3423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分，</w:t>
            </w:r>
            <w:r w:rsidR="007347E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最高得</w:t>
            </w:r>
            <w:r w:rsidR="0009213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</w:t>
            </w:r>
            <w:r w:rsidR="007347E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分，</w:t>
            </w:r>
            <w:proofErr w:type="gramStart"/>
            <w:r w:rsidR="00064DA8" w:rsidRPr="00E3423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每具有</w:t>
            </w:r>
            <w:proofErr w:type="gramEnd"/>
            <w:r w:rsidR="006A1F67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 w:rsidR="00064DA8" w:rsidRPr="00E3423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项类似项目建议书编制业绩得</w:t>
            </w:r>
            <w:r w:rsidR="0009213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  <w:r w:rsidR="00064DA8" w:rsidRPr="00E3423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分，最高得</w:t>
            </w:r>
            <w:r w:rsidR="0009213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</w:t>
            </w:r>
            <w:r w:rsidR="00064DA8" w:rsidRPr="00E3423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分；</w:t>
            </w:r>
            <w:r w:rsidR="006E277C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以上</w:t>
            </w:r>
            <w:r w:rsidR="005E468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须提供项目合同或中标通知书</w:t>
            </w:r>
            <w:r w:rsidR="00D334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DA2E0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16</w:t>
            </w:r>
            <w:r w:rsidR="00064DA8" w:rsidRPr="00E3423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81852" w:rsidRPr="00E34230">
        <w:trPr>
          <w:trHeight w:val="110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7347E5" w:rsidP="006A49DA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质量体系认证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 w:rsidP="00730E6A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3423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投标人具有质量管理体系认证证书得</w:t>
            </w:r>
            <w:r w:rsidR="00730E6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  <w:r w:rsidRPr="00E3423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分，没有不得分。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730E6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</w:t>
            </w:r>
            <w:r w:rsidR="00064DA8" w:rsidRPr="00E3423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81852" w:rsidRPr="00E34230">
        <w:trPr>
          <w:trHeight w:val="599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 w:rsidP="00E041CD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三、技术部分（满分</w:t>
            </w:r>
            <w:r w:rsidR="00E041CD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40</w:t>
            </w:r>
            <w:r w:rsidRPr="00E34230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分）</w:t>
            </w:r>
          </w:p>
        </w:tc>
      </w:tr>
      <w:tr w:rsidR="00081852" w:rsidRPr="00E34230">
        <w:trPr>
          <w:trHeight w:val="56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评分因素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评分标准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064DA8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34230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分值</w:t>
            </w:r>
          </w:p>
        </w:tc>
      </w:tr>
      <w:tr w:rsidR="00081852" w:rsidRPr="00E34230">
        <w:trPr>
          <w:trHeight w:val="56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B07C29" w:rsidRDefault="00B915E7" w:rsidP="00B07C29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实施方案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E7" w:rsidRPr="00B07C29" w:rsidRDefault="00B915E7" w:rsidP="00C54D45">
            <w:pPr>
              <w:adjustRightInd/>
              <w:snapToGrid/>
              <w:spacing w:after="0" w:line="330" w:lineRule="atLeast"/>
              <w:jc w:val="both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1、对项目重点、难点分析、认识及对策措施</w:t>
            </w:r>
            <w:r w:rsidR="007360A1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分析</w:t>
            </w: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。重点难点分析到位全面、措施完善、思路清晰的得10分，较好的得5分，一般的得3分，差的不得分。</w:t>
            </w:r>
          </w:p>
          <w:p w:rsidR="00B915E7" w:rsidRPr="00B07C29" w:rsidRDefault="00B915E7" w:rsidP="00C54D45">
            <w:pPr>
              <w:adjustRightInd/>
              <w:snapToGrid/>
              <w:spacing w:after="0" w:line="330" w:lineRule="atLeast"/>
              <w:jc w:val="both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</w:t>
            </w:r>
            <w:r w:rsidR="003F60F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、</w:t>
            </w:r>
            <w:r w:rsidR="00610917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服务</w:t>
            </w:r>
            <w:r w:rsidR="003F60F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内容的明确</w:t>
            </w:r>
            <w:r w:rsidR="00610917" w:rsidRPr="00610917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性</w:t>
            </w: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、全面性</w:t>
            </w:r>
            <w:r w:rsidR="00610917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分析</w:t>
            </w:r>
            <w:r w:rsidR="003F60F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。</w:t>
            </w:r>
            <w:r w:rsidR="00610917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服务</w:t>
            </w: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内容明确、全面、可行的得</w:t>
            </w:r>
            <w:r w:rsidR="0098543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10</w:t>
            </w: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分，</w:t>
            </w:r>
            <w:r w:rsidR="00AE5B8F" w:rsidRPr="00AE5B8F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较好的得5分，一般的得3分，差的不得分。</w:t>
            </w:r>
          </w:p>
          <w:p w:rsidR="00B915E7" w:rsidRPr="00B07C29" w:rsidRDefault="00B915E7" w:rsidP="00C54D45">
            <w:pPr>
              <w:adjustRightInd/>
              <w:snapToGrid/>
              <w:spacing w:after="0" w:line="330" w:lineRule="atLeast"/>
              <w:jc w:val="both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3、项目重点及组织实施程序的完整性、合理性、科学先进性，完整、合理、科学先进的得5分，一般的得3分，差的不得分。</w:t>
            </w:r>
          </w:p>
          <w:p w:rsidR="00B915E7" w:rsidRPr="00B07C29" w:rsidRDefault="00B915E7" w:rsidP="00C54D45">
            <w:pPr>
              <w:adjustRightInd/>
              <w:snapToGrid/>
              <w:spacing w:after="0" w:line="330" w:lineRule="atLeast"/>
              <w:jc w:val="both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4</w:t>
            </w:r>
            <w:r w:rsidR="00C54D4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、服务质量保障措施的完备性、科学性、合理性</w:t>
            </w: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，服务质量保障措施完备、科学、合理的得5分，一般的得3分，差的不得分。</w:t>
            </w:r>
          </w:p>
          <w:p w:rsidR="00081852" w:rsidRPr="00B07C29" w:rsidRDefault="00B915E7" w:rsidP="00C54D45">
            <w:pPr>
              <w:adjustRightInd/>
              <w:snapToGrid/>
              <w:spacing w:after="0" w:line="330" w:lineRule="atLeast"/>
              <w:jc w:val="both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5、</w:t>
            </w:r>
            <w:r w:rsidR="00C54D4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实施</w:t>
            </w: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时间及进度控制措施的合理性、可行性及有效性，</w:t>
            </w:r>
            <w:r w:rsidR="00C54D4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实施</w:t>
            </w: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时间及进度控制措施合理、可行、有效的得5分，一般的得3分，差的不得分。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AE5B8F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35</w:t>
            </w:r>
          </w:p>
        </w:tc>
      </w:tr>
      <w:tr w:rsidR="00081852" w:rsidRPr="00E34230">
        <w:trPr>
          <w:trHeight w:val="56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B07C29" w:rsidRDefault="00B915E7" w:rsidP="00B07C29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服务承诺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B07C29" w:rsidRDefault="00B915E7" w:rsidP="00EA13EF">
            <w:pPr>
              <w:adjustRightInd/>
              <w:snapToGrid/>
              <w:spacing w:after="0" w:line="330" w:lineRule="atLeas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能够承诺有足够的人力、物力等资源保证按时按质按量完成委托的业务，提供优质服务，并对报告的真实性、准确性负责。对</w:t>
            </w:r>
            <w:r w:rsidR="00C54D4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服务承诺</w:t>
            </w: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进行综合评定，完善、</w:t>
            </w:r>
            <w:r w:rsidR="00EA13EF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切合实际</w:t>
            </w: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、</w:t>
            </w:r>
            <w:r w:rsidR="0098543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承诺内容</w:t>
            </w:r>
            <w:r w:rsidR="00EA13EF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完备的</w:t>
            </w: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得5分，一般的</w:t>
            </w:r>
            <w:r w:rsidR="0098543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得</w:t>
            </w:r>
            <w:r w:rsidRPr="00B07C29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3分，差的不得分。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52" w:rsidRPr="00E34230" w:rsidRDefault="00E041CD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081852" w:rsidRPr="00E34230" w:rsidRDefault="00064DA8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黑体" w:eastAsia="黑体" w:hAnsi="黑体" w:cs="宋体" w:hint="eastAsia"/>
          <w:color w:val="000000" w:themeColor="text1"/>
          <w:sz w:val="30"/>
          <w:szCs w:val="30"/>
        </w:rPr>
        <w:t>六、采购资金支付</w:t>
      </w:r>
    </w:p>
    <w:p w:rsidR="00081852" w:rsidRPr="00E34230" w:rsidRDefault="00064DA8" w:rsidP="00134EEC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仿宋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（一）支付方式：</w:t>
      </w:r>
      <w:r w:rsidR="00B07C29" w:rsidRPr="00B07C29">
        <w:rPr>
          <w:rFonts w:ascii="仿宋" w:eastAsia="仿宋" w:hAnsi="仿宋" w:cs="宋体" w:hint="eastAsia"/>
          <w:color w:val="000000" w:themeColor="text1"/>
          <w:sz w:val="30"/>
          <w:szCs w:val="30"/>
        </w:rPr>
        <w:t>银行转账</w:t>
      </w:r>
    </w:p>
    <w:p w:rsidR="00081852" w:rsidRPr="00E34230" w:rsidRDefault="00064DA8" w:rsidP="00134EEC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仿宋" w:eastAsia="仿宋" w:hAnsi="仿宋" w:cs="宋体"/>
          <w:color w:val="000000" w:themeColor="text1"/>
          <w:sz w:val="30"/>
          <w:szCs w:val="30"/>
          <w:highlight w:val="yellow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（二）支付时间及条件：</w:t>
      </w:r>
      <w:r w:rsidR="00136533">
        <w:rPr>
          <w:rFonts w:ascii="仿宋" w:eastAsia="仿宋" w:hAnsi="仿宋" w:cs="宋体" w:hint="eastAsia"/>
          <w:color w:val="000000" w:themeColor="text1"/>
          <w:sz w:val="30"/>
          <w:szCs w:val="30"/>
        </w:rPr>
        <w:t>可行性研究报告成果</w:t>
      </w: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取得相关部门批复</w:t>
      </w:r>
      <w:r w:rsidR="003B4B6B">
        <w:rPr>
          <w:rFonts w:ascii="仿宋" w:eastAsia="仿宋" w:hAnsi="仿宋" w:cs="宋体" w:hint="eastAsia"/>
          <w:color w:val="000000" w:themeColor="text1"/>
          <w:sz w:val="30"/>
          <w:szCs w:val="30"/>
        </w:rPr>
        <w:t>后</w:t>
      </w: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，</w:t>
      </w:r>
      <w:r w:rsidR="00136533">
        <w:rPr>
          <w:rFonts w:ascii="仿宋" w:eastAsia="仿宋" w:hAnsi="仿宋" w:cs="宋体" w:hint="eastAsia"/>
          <w:color w:val="000000" w:themeColor="text1"/>
          <w:sz w:val="30"/>
          <w:szCs w:val="30"/>
        </w:rPr>
        <w:t>一次性支付合同总价款</w:t>
      </w: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。</w:t>
      </w:r>
    </w:p>
    <w:p w:rsidR="00081852" w:rsidRPr="00E34230" w:rsidRDefault="00064DA8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34230">
        <w:rPr>
          <w:rFonts w:ascii="黑体" w:eastAsia="黑体" w:hAnsi="黑体" w:cs="宋体" w:hint="eastAsia"/>
          <w:color w:val="000000" w:themeColor="text1"/>
          <w:sz w:val="30"/>
          <w:szCs w:val="30"/>
        </w:rPr>
        <w:lastRenderedPageBreak/>
        <w:t>七、联系方式</w:t>
      </w:r>
    </w:p>
    <w:p w:rsidR="00081852" w:rsidRPr="00E34230" w:rsidRDefault="00064DA8">
      <w:pPr>
        <w:shd w:val="clear" w:color="auto" w:fill="FFFFFF"/>
        <w:adjustRightInd/>
        <w:snapToGrid/>
        <w:spacing w:after="0" w:line="525" w:lineRule="atLeast"/>
        <w:ind w:firstLine="795"/>
        <w:rPr>
          <w:rFonts w:ascii="宋体" w:eastAsia="仿宋" w:hAnsi="宋体" w:cs="宋体"/>
          <w:color w:val="000000" w:themeColor="text1"/>
          <w:sz w:val="24"/>
          <w:szCs w:val="24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联系人姓名：</w:t>
      </w:r>
      <w:r w:rsidR="00E34230"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李卫军</w:t>
      </w:r>
      <w:r w:rsidR="00E05250">
        <w:rPr>
          <w:rFonts w:ascii="宋体" w:eastAsia="宋体" w:hAnsi="宋体" w:cs="宋体" w:hint="eastAsia"/>
          <w:color w:val="000000" w:themeColor="text1"/>
          <w:sz w:val="30"/>
          <w:szCs w:val="30"/>
        </w:rPr>
        <w:t>；</w:t>
      </w: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联系电话：</w:t>
      </w:r>
      <w:r w:rsidR="00F42D52">
        <w:rPr>
          <w:rFonts w:ascii="仿宋" w:eastAsia="仿宋" w:hAnsi="仿宋" w:cs="宋体" w:hint="eastAsia"/>
          <w:color w:val="000000" w:themeColor="text1"/>
          <w:sz w:val="30"/>
          <w:szCs w:val="30"/>
        </w:rPr>
        <w:t>13137419267</w:t>
      </w:r>
    </w:p>
    <w:p w:rsidR="00081852" w:rsidRPr="002B748A" w:rsidRDefault="00064DA8" w:rsidP="002B748A">
      <w:pPr>
        <w:shd w:val="clear" w:color="auto" w:fill="FFFFFF"/>
        <w:adjustRightInd/>
        <w:snapToGrid/>
        <w:spacing w:after="0" w:line="525" w:lineRule="atLeast"/>
        <w:ind w:firstLine="795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单位地址：</w:t>
      </w:r>
      <w:r w:rsidR="00E34230" w:rsidRPr="00E34230">
        <w:rPr>
          <w:rFonts w:ascii="仿宋" w:eastAsia="仿宋" w:hAnsi="仿宋" w:cs="宋体" w:hint="eastAsia"/>
          <w:color w:val="000000" w:themeColor="text1"/>
          <w:sz w:val="30"/>
          <w:szCs w:val="30"/>
        </w:rPr>
        <w:t>河南省鄢陵县花都大道869号</w:t>
      </w:r>
    </w:p>
    <w:sectPr w:rsidR="00081852" w:rsidRPr="002B748A" w:rsidSect="00081852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D3" w:rsidRDefault="00C954D3" w:rsidP="00064DA8">
      <w:pPr>
        <w:spacing w:after="0"/>
      </w:pPr>
      <w:r>
        <w:separator/>
      </w:r>
    </w:p>
  </w:endnote>
  <w:endnote w:type="continuationSeparator" w:id="0">
    <w:p w:rsidR="00C954D3" w:rsidRDefault="00C954D3" w:rsidP="00064D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D3" w:rsidRDefault="00C954D3" w:rsidP="00064DA8">
      <w:pPr>
        <w:spacing w:after="0"/>
      </w:pPr>
      <w:r>
        <w:separator/>
      </w:r>
    </w:p>
  </w:footnote>
  <w:footnote w:type="continuationSeparator" w:id="0">
    <w:p w:rsidR="00C954D3" w:rsidRDefault="00C954D3" w:rsidP="00064DA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0A85"/>
    <w:multiLevelType w:val="hybridMultilevel"/>
    <w:tmpl w:val="B8704298"/>
    <w:lvl w:ilvl="0" w:tplc="44E8C630">
      <w:start w:val="1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B5314"/>
    <w:multiLevelType w:val="hybridMultilevel"/>
    <w:tmpl w:val="F93E7016"/>
    <w:lvl w:ilvl="0" w:tplc="C3AC3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B457AE"/>
    <w:multiLevelType w:val="singleLevel"/>
    <w:tmpl w:val="4504035E"/>
    <w:lvl w:ilvl="0">
      <w:start w:val="1"/>
      <w:numFmt w:val="decimal"/>
      <w:suff w:val="nothing"/>
      <w:lvlText w:val="%1、"/>
      <w:lvlJc w:val="left"/>
      <w:rPr>
        <w:rFonts w:ascii="仿宋" w:eastAsia="仿宋" w:hAnsi="仿宋" w:cs="宋体"/>
      </w:rPr>
    </w:lvl>
  </w:abstractNum>
  <w:abstractNum w:abstractNumId="3">
    <w:nsid w:val="796B6233"/>
    <w:multiLevelType w:val="hybridMultilevel"/>
    <w:tmpl w:val="70A85E2C"/>
    <w:lvl w:ilvl="0" w:tplc="A36A9B54">
      <w:start w:val="1"/>
      <w:numFmt w:val="decimal"/>
      <w:lvlText w:val="%1、"/>
      <w:lvlJc w:val="left"/>
      <w:pPr>
        <w:ind w:left="1656" w:hanging="10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985913B"/>
    <w:multiLevelType w:val="singleLevel"/>
    <w:tmpl w:val="00B812D2"/>
    <w:lvl w:ilvl="0">
      <w:start w:val="1"/>
      <w:numFmt w:val="decimal"/>
      <w:suff w:val="nothing"/>
      <w:lvlText w:val="%1、"/>
      <w:lvlJc w:val="left"/>
      <w:rPr>
        <w:rFonts w:ascii="仿宋" w:eastAsia="仿宋" w:hAnsi="仿宋" w:cs="宋体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6227"/>
    <w:rsid w:val="00064DA8"/>
    <w:rsid w:val="00066D1D"/>
    <w:rsid w:val="00081852"/>
    <w:rsid w:val="00092131"/>
    <w:rsid w:val="000B1E24"/>
    <w:rsid w:val="000D078A"/>
    <w:rsid w:val="000E1AA2"/>
    <w:rsid w:val="000F7697"/>
    <w:rsid w:val="00114E1E"/>
    <w:rsid w:val="00115E8F"/>
    <w:rsid w:val="00134EEC"/>
    <w:rsid w:val="00136533"/>
    <w:rsid w:val="00180AB5"/>
    <w:rsid w:val="001B38B2"/>
    <w:rsid w:val="001E264E"/>
    <w:rsid w:val="001E547B"/>
    <w:rsid w:val="00236FAD"/>
    <w:rsid w:val="00240A76"/>
    <w:rsid w:val="00272E65"/>
    <w:rsid w:val="002B15F2"/>
    <w:rsid w:val="002B748A"/>
    <w:rsid w:val="002F6010"/>
    <w:rsid w:val="003134F7"/>
    <w:rsid w:val="00323B43"/>
    <w:rsid w:val="003731E9"/>
    <w:rsid w:val="00396122"/>
    <w:rsid w:val="003B4B6B"/>
    <w:rsid w:val="003D37D8"/>
    <w:rsid w:val="003F60F8"/>
    <w:rsid w:val="004336CB"/>
    <w:rsid w:val="004358AB"/>
    <w:rsid w:val="00444701"/>
    <w:rsid w:val="00454B9F"/>
    <w:rsid w:val="004561A2"/>
    <w:rsid w:val="00501EB4"/>
    <w:rsid w:val="005121BC"/>
    <w:rsid w:val="00535ECF"/>
    <w:rsid w:val="00576E37"/>
    <w:rsid w:val="00590656"/>
    <w:rsid w:val="005C4284"/>
    <w:rsid w:val="005C6A5F"/>
    <w:rsid w:val="005C7A38"/>
    <w:rsid w:val="005E012B"/>
    <w:rsid w:val="005E4685"/>
    <w:rsid w:val="00610917"/>
    <w:rsid w:val="00620AFD"/>
    <w:rsid w:val="00681DA5"/>
    <w:rsid w:val="006A1F67"/>
    <w:rsid w:val="006A49DA"/>
    <w:rsid w:val="006C5722"/>
    <w:rsid w:val="006E277C"/>
    <w:rsid w:val="007045C1"/>
    <w:rsid w:val="007073B5"/>
    <w:rsid w:val="007215A3"/>
    <w:rsid w:val="00723157"/>
    <w:rsid w:val="00730E6A"/>
    <w:rsid w:val="007347E5"/>
    <w:rsid w:val="007360A1"/>
    <w:rsid w:val="00757070"/>
    <w:rsid w:val="00761D0F"/>
    <w:rsid w:val="00784094"/>
    <w:rsid w:val="007B0143"/>
    <w:rsid w:val="007C00B8"/>
    <w:rsid w:val="00802571"/>
    <w:rsid w:val="00802E88"/>
    <w:rsid w:val="00811E76"/>
    <w:rsid w:val="00815498"/>
    <w:rsid w:val="0084599F"/>
    <w:rsid w:val="00870374"/>
    <w:rsid w:val="00873FC6"/>
    <w:rsid w:val="008B7726"/>
    <w:rsid w:val="008F0581"/>
    <w:rsid w:val="00920E45"/>
    <w:rsid w:val="00985433"/>
    <w:rsid w:val="009C6227"/>
    <w:rsid w:val="009E7F03"/>
    <w:rsid w:val="009F4BF8"/>
    <w:rsid w:val="00A06F27"/>
    <w:rsid w:val="00A36340"/>
    <w:rsid w:val="00AA7181"/>
    <w:rsid w:val="00AC14A4"/>
    <w:rsid w:val="00AC4DA0"/>
    <w:rsid w:val="00AE5B8F"/>
    <w:rsid w:val="00AF3978"/>
    <w:rsid w:val="00B07C29"/>
    <w:rsid w:val="00B56DB3"/>
    <w:rsid w:val="00B62F3F"/>
    <w:rsid w:val="00B63A1D"/>
    <w:rsid w:val="00B915E7"/>
    <w:rsid w:val="00B96F9B"/>
    <w:rsid w:val="00BA46BB"/>
    <w:rsid w:val="00BC0252"/>
    <w:rsid w:val="00BE6947"/>
    <w:rsid w:val="00C13C7C"/>
    <w:rsid w:val="00C3475D"/>
    <w:rsid w:val="00C44325"/>
    <w:rsid w:val="00C53228"/>
    <w:rsid w:val="00C54D45"/>
    <w:rsid w:val="00C954D3"/>
    <w:rsid w:val="00D3342A"/>
    <w:rsid w:val="00DA2E0A"/>
    <w:rsid w:val="00DC1DCD"/>
    <w:rsid w:val="00DE2BB9"/>
    <w:rsid w:val="00E041CD"/>
    <w:rsid w:val="00E05250"/>
    <w:rsid w:val="00E07BFD"/>
    <w:rsid w:val="00E16C07"/>
    <w:rsid w:val="00E34230"/>
    <w:rsid w:val="00EA13EF"/>
    <w:rsid w:val="00EE0741"/>
    <w:rsid w:val="00F42D52"/>
    <w:rsid w:val="00F76A4E"/>
    <w:rsid w:val="1C1647F1"/>
    <w:rsid w:val="2F50704D"/>
    <w:rsid w:val="2FFF39A8"/>
    <w:rsid w:val="4C2D20F8"/>
    <w:rsid w:val="7022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Message Header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8185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uiPriority w:val="1"/>
    <w:qFormat/>
    <w:rsid w:val="00081852"/>
    <w:pPr>
      <w:spacing w:line="400" w:lineRule="exact"/>
    </w:pPr>
    <w:rPr>
      <w:sz w:val="24"/>
    </w:rPr>
  </w:style>
  <w:style w:type="paragraph" w:styleId="a3">
    <w:name w:val="footer"/>
    <w:basedOn w:val="a"/>
    <w:link w:val="Char"/>
    <w:uiPriority w:val="99"/>
    <w:semiHidden/>
    <w:unhideWhenUsed/>
    <w:qFormat/>
    <w:rsid w:val="0008185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818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Message Header"/>
    <w:basedOn w:val="a"/>
    <w:uiPriority w:val="99"/>
    <w:unhideWhenUsed/>
    <w:qFormat/>
    <w:rsid w:val="000818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Arial" w:hAnsi="Arial" w:cs="Arial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081852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81852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99"/>
    <w:unhideWhenUsed/>
    <w:rsid w:val="00373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1091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10917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36EE5-71F9-4614-8B95-73DF27F7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鄢陵县公共资源交易中心:王磊</dc:creator>
  <cp:lastModifiedBy>鄢陵县公共资源交易中心:王磊</cp:lastModifiedBy>
  <cp:revision>71</cp:revision>
  <cp:lastPrinted>2018-10-16T01:30:00Z</cp:lastPrinted>
  <dcterms:created xsi:type="dcterms:W3CDTF">2018-09-10T07:36:00Z</dcterms:created>
  <dcterms:modified xsi:type="dcterms:W3CDTF">2018-10-16T07:15:00Z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