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黑体" w:hAnsi="黑体" w:eastAsia="黑体"/>
          <w:b/>
          <w:sz w:val="44"/>
        </w:rPr>
      </w:pPr>
      <w:r>
        <w:rPr>
          <w:rFonts w:hint="eastAsia" w:ascii="黑体" w:hAnsi="黑体" w:eastAsia="黑体"/>
          <w:b/>
          <w:sz w:val="44"/>
        </w:rPr>
        <w:t>禹州市公共资源交易中心评标室设备采购项目</w:t>
      </w:r>
    </w:p>
    <w:p>
      <w:pPr>
        <w:jc w:val="center"/>
        <w:rPr>
          <w:rFonts w:ascii="黑体" w:hAnsi="黑体" w:eastAsia="黑体"/>
          <w:b/>
          <w:bCs/>
          <w:spacing w:val="-20"/>
          <w:sz w:val="44"/>
          <w:szCs w:val="44"/>
        </w:rPr>
      </w:pPr>
    </w:p>
    <w:p>
      <w:pPr>
        <w:jc w:val="center"/>
        <w:rPr>
          <w:rFonts w:ascii="黑体" w:hAnsi="黑体" w:eastAsia="黑体"/>
          <w:b/>
          <w:bCs/>
          <w:spacing w:val="-20"/>
          <w:sz w:val="44"/>
          <w:szCs w:val="44"/>
        </w:rPr>
      </w:pPr>
    </w:p>
    <w:p>
      <w:pPr>
        <w:ind w:firstLine="3417" w:firstLineChars="450"/>
        <w:rPr>
          <w:rFonts w:ascii="仿宋" w:hAnsi="仿宋" w:eastAsia="仿宋"/>
          <w:b/>
          <w:w w:val="90"/>
          <w:sz w:val="84"/>
        </w:rPr>
      </w:pPr>
    </w:p>
    <w:p>
      <w:pPr>
        <w:ind w:firstLine="3417" w:firstLineChars="450"/>
        <w:rPr>
          <w:rFonts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spacing w:line="520" w:lineRule="exact"/>
        <w:ind w:firstLine="320" w:firstLineChars="100"/>
        <w:rPr>
          <w:rFonts w:ascii="仿宋" w:hAnsi="仿宋" w:eastAsia="仿宋"/>
          <w:sz w:val="32"/>
        </w:rPr>
      </w:pPr>
      <w:r>
        <w:rPr>
          <w:rFonts w:hint="eastAsia" w:ascii="仿宋" w:hAnsi="仿宋" w:eastAsia="仿宋"/>
          <w:sz w:val="32"/>
        </w:rPr>
        <w:t>采购单位：</w:t>
      </w:r>
      <w:r>
        <w:rPr>
          <w:rFonts w:hint="eastAsia" w:ascii="仿宋" w:hAnsi="仿宋" w:eastAsia="仿宋" w:cs="仿宋"/>
          <w:sz w:val="32"/>
          <w:szCs w:val="32"/>
        </w:rPr>
        <w:t>禹州市公共资源交易中心</w:t>
      </w:r>
    </w:p>
    <w:p>
      <w:pPr>
        <w:autoSpaceDE w:val="0"/>
        <w:autoSpaceDN w:val="0"/>
        <w:spacing w:line="360" w:lineRule="auto"/>
        <w:ind w:left="319" w:leftChars="152" w:right="-20"/>
        <w:outlineLvl w:val="0"/>
        <w:rPr>
          <w:rFonts w:ascii="仿宋" w:hAnsi="仿宋" w:eastAsia="仿宋"/>
          <w:sz w:val="32"/>
        </w:rPr>
      </w:pPr>
      <w:r>
        <w:rPr>
          <w:rFonts w:hint="eastAsia" w:ascii="仿宋" w:hAnsi="仿宋" w:eastAsia="仿宋"/>
          <w:sz w:val="32"/>
        </w:rPr>
        <w:t>项目名称：禹州市公共资源交易中心评标室设备采购项目</w:t>
      </w:r>
    </w:p>
    <w:p>
      <w:pPr>
        <w:autoSpaceDE w:val="0"/>
        <w:autoSpaceDN w:val="0"/>
        <w:spacing w:line="360" w:lineRule="auto"/>
        <w:ind w:left="319" w:leftChars="152" w:right="-20"/>
        <w:outlineLvl w:val="0"/>
        <w:rPr>
          <w:rFonts w:ascii="仿宋" w:hAnsi="仿宋" w:eastAsia="仿宋"/>
          <w:sz w:val="32"/>
        </w:rPr>
      </w:pPr>
      <w:r>
        <w:rPr>
          <w:rFonts w:hint="eastAsia" w:ascii="仿宋" w:hAnsi="仿宋" w:eastAsia="仿宋"/>
          <w:sz w:val="32"/>
        </w:rPr>
        <w:t>采购编号：YZCG—G2018226</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ind w:firstLine="3200" w:firstLineChars="1000"/>
        <w:rPr>
          <w:rFonts w:ascii="仿宋" w:hAnsi="仿宋" w:eastAsia="仿宋"/>
          <w:bCs/>
          <w:sz w:val="32"/>
        </w:rPr>
      </w:pPr>
      <w:r>
        <w:rPr>
          <w:rFonts w:hint="eastAsia" w:ascii="仿宋" w:hAnsi="仿宋" w:eastAsia="仿宋"/>
          <w:bCs/>
          <w:sz w:val="32"/>
        </w:rPr>
        <w:t>二〇一八年八月</w:t>
      </w:r>
    </w:p>
    <w:p>
      <w:pPr>
        <w:rPr>
          <w:rFonts w:ascii="仿宋" w:hAnsi="仿宋" w:eastAsia="仿宋"/>
          <w:bCs/>
          <w:sz w:val="32"/>
        </w:rPr>
        <w:sectPr>
          <w:headerReference r:id="rId5" w:type="first"/>
          <w:footerReference r:id="rId8" w:type="first"/>
          <w:headerReference r:id="rId3" w:type="default"/>
          <w:footerReference r:id="rId6" w:type="default"/>
          <w:headerReference r:id="rId4" w:type="even"/>
          <w:footerReference r:id="rId7"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hint="eastAsia" w:ascii="黑体" w:hAnsi="黑体" w:eastAsia="黑体"/>
          <w:b/>
          <w:sz w:val="36"/>
          <w:szCs w:val="36"/>
        </w:rPr>
      </w:pPr>
      <w:r>
        <w:rPr>
          <w:rFonts w:hint="eastAsia" w:ascii="黑体" w:hAnsi="黑体" w:eastAsia="黑体" w:cs="黑体"/>
          <w:b/>
          <w:sz w:val="44"/>
          <w:szCs w:val="44"/>
        </w:rPr>
        <w:t xml:space="preserve"> </w:t>
      </w:r>
      <w:r>
        <w:rPr>
          <w:rFonts w:hint="eastAsia" w:ascii="黑体" w:hAnsi="黑体" w:eastAsia="黑体"/>
          <w:b/>
          <w:sz w:val="36"/>
          <w:szCs w:val="36"/>
        </w:rPr>
        <w:t>投标邀请函</w:t>
      </w:r>
    </w:p>
    <w:p>
      <w:pPr>
        <w:spacing w:line="520" w:lineRule="exact"/>
        <w:textAlignment w:val="baseline"/>
        <w:rPr>
          <w:rFonts w:ascii="黑体" w:hAnsi="黑体" w:eastAsia="黑体" w:cs="黑体"/>
          <w:b/>
          <w:sz w:val="44"/>
          <w:szCs w:val="44"/>
        </w:rPr>
      </w:pPr>
      <w:r>
        <w:rPr>
          <w:rFonts w:hint="eastAsia" w:ascii="黑体" w:hAnsi="黑体" w:eastAsia="黑体" w:cs="黑体"/>
          <w:b/>
          <w:sz w:val="44"/>
          <w:szCs w:val="44"/>
        </w:rPr>
        <w:t xml:space="preserve"> </w:t>
      </w:r>
    </w:p>
    <w:p>
      <w:pPr>
        <w:jc w:val="center"/>
        <w:rPr>
          <w:rFonts w:ascii="黑体" w:hAnsi="黑体" w:eastAsia="黑体"/>
          <w:b/>
          <w:sz w:val="36"/>
          <w:szCs w:val="36"/>
        </w:rPr>
      </w:pPr>
      <w:r>
        <w:rPr>
          <w:rFonts w:hint="eastAsia" w:ascii="黑体" w:hAnsi="黑体" w:eastAsia="黑体"/>
          <w:b/>
          <w:sz w:val="36"/>
          <w:szCs w:val="36"/>
        </w:rPr>
        <w:t>禹州市公共资源交易中心评标室设备采购项目</w:t>
      </w:r>
    </w:p>
    <w:p>
      <w:pPr>
        <w:jc w:val="center"/>
        <w:rPr>
          <w:rFonts w:ascii="黑体" w:hAnsi="黑体" w:eastAsia="黑体"/>
          <w:b/>
          <w:sz w:val="36"/>
          <w:szCs w:val="36"/>
        </w:rPr>
      </w:pPr>
      <w:r>
        <w:rPr>
          <w:rFonts w:hint="eastAsia" w:ascii="黑体" w:hAnsi="黑体" w:eastAsia="黑体"/>
          <w:b/>
          <w:sz w:val="36"/>
          <w:szCs w:val="36"/>
        </w:rPr>
        <w:t>招  标  邀 请 函</w:t>
      </w:r>
    </w:p>
    <w:p>
      <w:pPr>
        <w:rPr>
          <w:rFonts w:ascii="仿宋" w:hAnsi="仿宋" w:eastAsia="仿宋"/>
          <w:sz w:val="24"/>
        </w:rPr>
      </w:pPr>
    </w:p>
    <w:p>
      <w:pPr>
        <w:spacing w:line="460" w:lineRule="exact"/>
        <w:ind w:firstLine="480" w:firstLineChars="200"/>
        <w:rPr>
          <w:rFonts w:ascii="仿宋" w:hAnsi="仿宋" w:eastAsia="仿宋"/>
          <w:sz w:val="24"/>
          <w:szCs w:val="24"/>
        </w:rPr>
      </w:pPr>
      <w:r>
        <w:rPr>
          <w:rFonts w:hint="eastAsia" w:ascii="仿宋" w:hAnsi="仿宋" w:eastAsia="仿宋"/>
          <w:sz w:val="24"/>
          <w:szCs w:val="24"/>
        </w:rPr>
        <w:t>禹州市政府采购中心受禹州市公共资源交易中心的委托，就“禹州市公共资源交易中心评标室设备采购项目”进行公开招标，欢迎合格的投标人前来投标。</w:t>
      </w:r>
    </w:p>
    <w:p>
      <w:pPr>
        <w:spacing w:line="460" w:lineRule="exact"/>
        <w:ind w:firstLine="482" w:firstLineChars="200"/>
        <w:rPr>
          <w:rFonts w:ascii="仿宋" w:hAnsi="仿宋" w:eastAsia="仿宋"/>
          <w:b/>
          <w:sz w:val="24"/>
          <w:szCs w:val="24"/>
        </w:rPr>
      </w:pPr>
      <w:r>
        <w:rPr>
          <w:rFonts w:hint="eastAsia" w:ascii="仿宋" w:hAnsi="仿宋" w:eastAsia="仿宋"/>
          <w:b/>
          <w:sz w:val="24"/>
          <w:szCs w:val="24"/>
        </w:rPr>
        <w:t>一、项目基本情况</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1、采购人：禹州市公共资源交易中心</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2、项目名称：禹州市公共资源交易中心评标室设备采购项目</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3、采购编号：YZCG-G2018226</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4、项目需求：电脑、摄像机、云存储等设备一批</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5、采购预算：58.493万元</w:t>
      </w:r>
    </w:p>
    <w:p>
      <w:pPr>
        <w:spacing w:line="460" w:lineRule="exact"/>
        <w:ind w:firstLine="480"/>
        <w:rPr>
          <w:rFonts w:ascii="仿宋" w:hAnsi="仿宋" w:eastAsia="仿宋"/>
          <w:sz w:val="24"/>
          <w:szCs w:val="24"/>
        </w:rPr>
      </w:pPr>
      <w:r>
        <w:rPr>
          <w:rFonts w:hint="eastAsia" w:ascii="仿宋" w:hAnsi="仿宋" w:eastAsia="仿宋"/>
          <w:sz w:val="24"/>
          <w:szCs w:val="24"/>
        </w:rPr>
        <w:t>6、最高限价：58.493万元</w:t>
      </w:r>
    </w:p>
    <w:p>
      <w:pPr>
        <w:spacing w:line="460" w:lineRule="exact"/>
        <w:ind w:firstLine="480"/>
        <w:rPr>
          <w:rFonts w:ascii="仿宋" w:hAnsi="仿宋" w:eastAsia="仿宋"/>
          <w:b/>
          <w:sz w:val="24"/>
          <w:szCs w:val="24"/>
        </w:rPr>
      </w:pPr>
      <w:r>
        <w:rPr>
          <w:rFonts w:hint="eastAsia" w:ascii="仿宋" w:hAnsi="仿宋" w:eastAsia="仿宋"/>
          <w:b/>
          <w:sz w:val="24"/>
          <w:szCs w:val="24"/>
        </w:rPr>
        <w:t>二、需要落实的政府采购政策</w:t>
      </w:r>
    </w:p>
    <w:p>
      <w:pPr>
        <w:spacing w:line="460" w:lineRule="exact"/>
        <w:rPr>
          <w:rFonts w:ascii="仿宋" w:hAnsi="仿宋" w:eastAsia="仿宋"/>
          <w:sz w:val="24"/>
          <w:szCs w:val="24"/>
        </w:rPr>
      </w:pPr>
      <w:r>
        <w:rPr>
          <w:rFonts w:hint="eastAsia" w:ascii="仿宋" w:hAnsi="仿宋" w:eastAsia="仿宋"/>
          <w:sz w:val="24"/>
          <w:szCs w:val="24"/>
        </w:rPr>
        <w:t>　　本项目落实节约能源、保护环境、扶持不发达地区和少数民族地区、促进中小企业、监狱企业发展等政府采购政策。（详见招标文件）</w:t>
      </w:r>
    </w:p>
    <w:p>
      <w:pPr>
        <w:spacing w:line="460" w:lineRule="exact"/>
        <w:rPr>
          <w:rFonts w:ascii="仿宋" w:hAnsi="仿宋" w:eastAsia="仿宋"/>
          <w:b/>
          <w:sz w:val="24"/>
          <w:szCs w:val="24"/>
        </w:rPr>
      </w:pPr>
      <w:r>
        <w:rPr>
          <w:rFonts w:hint="eastAsia" w:ascii="仿宋" w:hAnsi="仿宋" w:eastAsia="仿宋"/>
          <w:sz w:val="24"/>
          <w:szCs w:val="24"/>
        </w:rPr>
        <w:t>　</w:t>
      </w:r>
      <w:r>
        <w:rPr>
          <w:rFonts w:hint="eastAsia" w:ascii="仿宋" w:hAnsi="仿宋" w:eastAsia="仿宋"/>
          <w:b/>
          <w:sz w:val="24"/>
          <w:szCs w:val="24"/>
        </w:rPr>
        <w:t>　三、供应商资格要求</w:t>
      </w:r>
    </w:p>
    <w:p>
      <w:pPr>
        <w:spacing w:line="460" w:lineRule="exact"/>
        <w:rPr>
          <w:rFonts w:ascii="仿宋" w:hAnsi="仿宋" w:eastAsia="仿宋"/>
          <w:sz w:val="24"/>
          <w:szCs w:val="24"/>
        </w:rPr>
      </w:pPr>
      <w:r>
        <w:rPr>
          <w:rFonts w:hint="eastAsia" w:ascii="仿宋" w:hAnsi="仿宋" w:eastAsia="仿宋"/>
          <w:sz w:val="24"/>
          <w:szCs w:val="24"/>
        </w:rPr>
        <w:t>　　1、符合《政府采购法》第二十二条之规定，具有独立法人资格及相应经营范围（以营业执照为准）；</w:t>
      </w:r>
    </w:p>
    <w:p>
      <w:pPr>
        <w:spacing w:line="460" w:lineRule="exact"/>
        <w:ind w:firstLine="480" w:firstLineChars="200"/>
        <w:rPr>
          <w:rFonts w:ascii="仿宋" w:hAnsi="仿宋" w:eastAsia="仿宋"/>
          <w:sz w:val="24"/>
          <w:szCs w:val="24"/>
        </w:rPr>
      </w:pPr>
      <w:r>
        <w:rPr>
          <w:rFonts w:hint="eastAsia" w:ascii="仿宋" w:hAnsi="仿宋" w:eastAsia="仿宋"/>
          <w:sz w:val="24"/>
          <w:szCs w:val="24"/>
        </w:rPr>
        <w:t>2、法定代表人授权代表须是本单位职工，提供本公司为本人缴纳社会保险证明；</w:t>
      </w:r>
    </w:p>
    <w:p>
      <w:pPr>
        <w:spacing w:line="460" w:lineRule="exact"/>
        <w:rPr>
          <w:rFonts w:ascii="仿宋" w:hAnsi="仿宋" w:eastAsia="仿宋"/>
          <w:sz w:val="24"/>
          <w:szCs w:val="24"/>
        </w:rPr>
      </w:pPr>
      <w:r>
        <w:rPr>
          <w:rFonts w:hint="eastAsia" w:ascii="仿宋" w:hAnsi="仿宋" w:eastAsia="仿宋"/>
          <w:sz w:val="24"/>
          <w:szCs w:val="24"/>
        </w:rPr>
        <w:t>　　3、本项目不接受联合体投标。</w:t>
      </w:r>
    </w:p>
    <w:p>
      <w:pPr>
        <w:spacing w:line="460" w:lineRule="exact"/>
        <w:rPr>
          <w:rFonts w:ascii="仿宋" w:hAnsi="仿宋" w:eastAsia="仿宋"/>
          <w:b/>
          <w:sz w:val="24"/>
          <w:szCs w:val="24"/>
        </w:rPr>
      </w:pPr>
      <w:r>
        <w:rPr>
          <w:rFonts w:hint="eastAsia" w:ascii="仿宋" w:hAnsi="仿宋" w:eastAsia="仿宋"/>
          <w:b/>
          <w:sz w:val="24"/>
          <w:szCs w:val="24"/>
        </w:rPr>
        <w:t>　　四、获取招标文件的方式、时间、地点及文件费用</w:t>
      </w:r>
    </w:p>
    <w:p>
      <w:pPr>
        <w:topLinePunct/>
        <w:snapToGrid w:val="0"/>
        <w:spacing w:line="440" w:lineRule="exact"/>
        <w:ind w:firstLine="480" w:firstLineChars="200"/>
        <w:rPr>
          <w:rFonts w:ascii="仿宋" w:hAnsi="仿宋" w:eastAsia="仿宋"/>
          <w:sz w:val="24"/>
          <w:szCs w:val="24"/>
        </w:rPr>
      </w:pPr>
      <w:r>
        <w:rPr>
          <w:rFonts w:hint="eastAsia" w:ascii="仿宋" w:hAnsi="仿宋" w:eastAsia="仿宋"/>
          <w:sz w:val="24"/>
          <w:szCs w:val="24"/>
        </w:rPr>
        <w:t>1、持CA数字认证证书，登录</w:t>
      </w:r>
      <w:r>
        <w:fldChar w:fldCharType="begin"/>
      </w:r>
      <w:r>
        <w:instrText xml:space="preserve"> HYPERLINK "http://221.14.6.70:8088/ggzy/eps/public/RegistAllJcxx.html" </w:instrText>
      </w:r>
      <w:r>
        <w:fldChar w:fldCharType="separate"/>
      </w:r>
      <w:r>
        <w:rPr>
          <w:rFonts w:hint="eastAsia" w:ascii="仿宋" w:hAnsi="仿宋" w:eastAsia="仿宋"/>
          <w:sz w:val="24"/>
          <w:szCs w:val="24"/>
        </w:rPr>
        <w:t>http://221.14.6.70:8088/ggzy/eps/public/RegistAllJcxx.html</w:t>
      </w:r>
      <w:r>
        <w:rPr>
          <w:rFonts w:hint="eastAsia" w:ascii="仿宋" w:hAnsi="仿宋" w:eastAsia="仿宋"/>
          <w:sz w:val="24"/>
          <w:szCs w:val="24"/>
        </w:rPr>
        <w:fldChar w:fldCharType="end"/>
      </w:r>
      <w:r>
        <w:rPr>
          <w:rFonts w:hint="eastAsia" w:ascii="仿宋" w:hAnsi="仿宋" w:eastAsia="仿宋"/>
          <w:sz w:val="24"/>
          <w:szCs w:val="24"/>
        </w:rPr>
        <w:t>进行免费注册登记（详见全国公共资源交易平台（河南省·许昌市）“常见问题解答-诚信库网上注册相关资料下载”）；</w:t>
      </w:r>
    </w:p>
    <w:p>
      <w:pPr>
        <w:topLinePunct/>
        <w:autoSpaceDE w:val="0"/>
        <w:autoSpaceDN w:val="0"/>
        <w:adjustRightInd w:val="0"/>
        <w:snapToGrid w:val="0"/>
        <w:spacing w:line="440" w:lineRule="exact"/>
        <w:ind w:firstLine="482"/>
        <w:rPr>
          <w:rFonts w:ascii="仿宋" w:hAnsi="仿宋" w:eastAsia="仿宋"/>
          <w:sz w:val="24"/>
          <w:szCs w:val="24"/>
        </w:rPr>
      </w:pPr>
      <w:r>
        <w:rPr>
          <w:rFonts w:hint="eastAsia" w:ascii="仿宋" w:hAnsi="仿宋" w:eastAsia="仿宋"/>
          <w:sz w:val="24"/>
          <w:szCs w:val="24"/>
        </w:rPr>
        <w:t>　2、在投标截止时间前登录</w:t>
      </w:r>
      <w:r>
        <w:fldChar w:fldCharType="begin"/>
      </w:r>
      <w:r>
        <w:instrText xml:space="preserve"> HYPERLINK "http://221.14.6.70:8088/ggzy/" </w:instrText>
      </w:r>
      <w:r>
        <w:fldChar w:fldCharType="separate"/>
      </w:r>
      <w:r>
        <w:rPr>
          <w:rFonts w:hint="eastAsia" w:ascii="仿宋" w:hAnsi="仿宋" w:eastAsia="仿宋"/>
          <w:sz w:val="24"/>
          <w:szCs w:val="24"/>
        </w:rPr>
        <w:t>http://221.14.6.70:8088/ggzy/</w:t>
      </w:r>
      <w:r>
        <w:rPr>
          <w:rFonts w:hint="eastAsia" w:ascii="仿宋" w:hAnsi="仿宋" w:eastAsia="仿宋"/>
          <w:sz w:val="24"/>
          <w:szCs w:val="24"/>
        </w:rPr>
        <w:fldChar w:fldCharType="end"/>
      </w:r>
      <w:r>
        <w:rPr>
          <w:rFonts w:hint="eastAsia" w:ascii="仿宋" w:hAnsi="仿宋" w:eastAsia="仿宋"/>
          <w:sz w:val="24"/>
          <w:szCs w:val="24"/>
        </w:rPr>
        <w:t>，自行下载招标文件（详见全国公共资源交易平台（河南省·许昌市）“常见问题解答-交易系统操作手册”）。</w:t>
      </w:r>
    </w:p>
    <w:p>
      <w:pPr>
        <w:spacing w:line="440" w:lineRule="exact"/>
        <w:rPr>
          <w:rFonts w:ascii="仿宋" w:hAnsi="仿宋" w:eastAsia="仿宋"/>
          <w:sz w:val="24"/>
          <w:szCs w:val="24"/>
        </w:rPr>
      </w:pPr>
      <w:r>
        <w:rPr>
          <w:rFonts w:hint="eastAsia" w:ascii="仿宋" w:hAnsi="仿宋" w:eastAsia="仿宋"/>
          <w:sz w:val="24"/>
          <w:szCs w:val="24"/>
        </w:rPr>
        <w:t>　　3、未通过全国公共资源交易平台（河南省·许昌市）下载招标文件的投标企业，拒收其递交的投标文件。</w:t>
      </w:r>
    </w:p>
    <w:p>
      <w:pPr>
        <w:spacing w:line="440" w:lineRule="exact"/>
        <w:rPr>
          <w:rFonts w:ascii="仿宋" w:hAnsi="仿宋" w:eastAsia="仿宋"/>
          <w:sz w:val="24"/>
          <w:szCs w:val="24"/>
        </w:rPr>
      </w:pPr>
      <w:r>
        <w:rPr>
          <w:rFonts w:hint="eastAsia" w:ascii="仿宋" w:hAnsi="仿宋" w:eastAsia="仿宋"/>
          <w:sz w:val="24"/>
          <w:szCs w:val="24"/>
        </w:rPr>
        <w:t>　　4、招标文件每份售价人民币200元，于递交投标文件时缴纳给采购代理机构，售后不退。</w:t>
      </w:r>
    </w:p>
    <w:p>
      <w:pPr>
        <w:spacing w:line="460" w:lineRule="exact"/>
        <w:rPr>
          <w:rFonts w:ascii="仿宋" w:hAnsi="仿宋" w:eastAsia="仿宋"/>
          <w:b/>
          <w:sz w:val="24"/>
          <w:szCs w:val="24"/>
        </w:rPr>
      </w:pPr>
      <w:r>
        <w:rPr>
          <w:rFonts w:hint="eastAsia" w:ascii="仿宋" w:hAnsi="仿宋" w:eastAsia="仿宋"/>
          <w:b/>
          <w:sz w:val="24"/>
          <w:szCs w:val="24"/>
        </w:rPr>
        <w:t>　　五、投标截止时间、开标时间及地点：</w:t>
      </w:r>
    </w:p>
    <w:p>
      <w:pPr>
        <w:spacing w:line="460" w:lineRule="exact"/>
        <w:rPr>
          <w:rFonts w:ascii="仿宋" w:hAnsi="仿宋" w:eastAsia="仿宋"/>
          <w:sz w:val="24"/>
          <w:szCs w:val="24"/>
        </w:rPr>
      </w:pPr>
      <w:r>
        <w:rPr>
          <w:rFonts w:hint="eastAsia" w:ascii="仿宋" w:hAnsi="仿宋" w:eastAsia="仿宋"/>
          <w:sz w:val="24"/>
          <w:szCs w:val="24"/>
        </w:rPr>
        <w:t>　　1、投标截止及开标时间：2018年</w:t>
      </w:r>
      <w:r>
        <w:rPr>
          <w:rFonts w:hint="eastAsia" w:ascii="仿宋" w:hAnsi="仿宋" w:eastAsia="仿宋"/>
          <w:sz w:val="24"/>
          <w:szCs w:val="24"/>
          <w:lang w:val="en-US" w:eastAsia="zh-CN"/>
        </w:rPr>
        <w:t>9</w:t>
      </w:r>
      <w:r>
        <w:rPr>
          <w:rFonts w:hint="eastAsia" w:ascii="仿宋" w:hAnsi="仿宋" w:eastAsia="仿宋"/>
          <w:sz w:val="24"/>
          <w:szCs w:val="24"/>
        </w:rPr>
        <w:t xml:space="preserve">月 </w:t>
      </w:r>
      <w:r>
        <w:rPr>
          <w:rFonts w:hint="eastAsia" w:ascii="仿宋" w:hAnsi="仿宋" w:eastAsia="仿宋"/>
          <w:sz w:val="24"/>
          <w:szCs w:val="24"/>
          <w:lang w:val="en-US" w:eastAsia="zh-CN"/>
        </w:rPr>
        <w:t>11</w:t>
      </w:r>
      <w:r>
        <w:rPr>
          <w:rFonts w:hint="eastAsia" w:ascii="仿宋" w:hAnsi="仿宋" w:eastAsia="仿宋"/>
          <w:sz w:val="24"/>
          <w:szCs w:val="24"/>
        </w:rPr>
        <w:t>日</w:t>
      </w:r>
      <w:r>
        <w:rPr>
          <w:rFonts w:hint="eastAsia" w:ascii="仿宋" w:hAnsi="仿宋" w:eastAsia="仿宋"/>
          <w:sz w:val="24"/>
          <w:szCs w:val="24"/>
          <w:lang w:val="en-US" w:eastAsia="zh-CN"/>
        </w:rPr>
        <w:t>10：00</w:t>
      </w:r>
      <w:r>
        <w:rPr>
          <w:rFonts w:hint="eastAsia" w:ascii="仿宋" w:hAnsi="仿宋" w:eastAsia="仿宋"/>
          <w:sz w:val="24"/>
          <w:szCs w:val="24"/>
        </w:rPr>
        <w:t xml:space="preserve">  北京时间），逾期送达或不符合规定的投标文件不予接受。</w:t>
      </w:r>
    </w:p>
    <w:p>
      <w:pPr>
        <w:spacing w:line="460" w:lineRule="exact"/>
        <w:rPr>
          <w:rFonts w:ascii="仿宋" w:hAnsi="仿宋" w:eastAsia="仿宋"/>
          <w:sz w:val="24"/>
          <w:szCs w:val="24"/>
        </w:rPr>
      </w:pPr>
      <w:r>
        <w:rPr>
          <w:rFonts w:hint="eastAsia" w:ascii="仿宋" w:hAnsi="仿宋" w:eastAsia="仿宋"/>
          <w:sz w:val="24"/>
          <w:szCs w:val="24"/>
        </w:rPr>
        <w:t xml:space="preserve">　　2、开标地点：禹州市公共资源交易中心第二开标室（禹州市行政服务中心楼9楼） </w:t>
      </w:r>
    </w:p>
    <w:p>
      <w:pPr>
        <w:spacing w:line="460" w:lineRule="exact"/>
        <w:rPr>
          <w:rFonts w:ascii="仿宋" w:hAnsi="仿宋" w:eastAsia="仿宋"/>
          <w:b/>
          <w:sz w:val="24"/>
          <w:szCs w:val="24"/>
        </w:rPr>
      </w:pPr>
      <w:r>
        <w:rPr>
          <w:rFonts w:hint="eastAsia" w:ascii="仿宋" w:hAnsi="仿宋" w:eastAsia="仿宋"/>
          <w:b/>
          <w:sz w:val="24"/>
          <w:szCs w:val="24"/>
        </w:rPr>
        <w:t>　　六、代理机构及采购单位地址、联系人、联系电话</w:t>
      </w:r>
    </w:p>
    <w:p>
      <w:pPr>
        <w:spacing w:line="460" w:lineRule="exact"/>
        <w:rPr>
          <w:rFonts w:ascii="仿宋" w:hAnsi="仿宋" w:eastAsia="仿宋"/>
          <w:sz w:val="24"/>
          <w:szCs w:val="24"/>
        </w:rPr>
      </w:pPr>
      <w:r>
        <w:rPr>
          <w:rFonts w:hint="eastAsia" w:ascii="仿宋" w:hAnsi="仿宋" w:eastAsia="仿宋"/>
          <w:sz w:val="24"/>
          <w:szCs w:val="24"/>
        </w:rPr>
        <w:t>　（一）代理机构：禹州市政府采购中心</w:t>
      </w:r>
    </w:p>
    <w:p>
      <w:pPr>
        <w:spacing w:line="460" w:lineRule="exact"/>
        <w:rPr>
          <w:rFonts w:ascii="仿宋" w:hAnsi="仿宋" w:eastAsia="仿宋"/>
          <w:sz w:val="24"/>
          <w:szCs w:val="24"/>
        </w:rPr>
      </w:pPr>
      <w:r>
        <w:rPr>
          <w:rFonts w:hint="eastAsia" w:ascii="仿宋" w:hAnsi="仿宋" w:eastAsia="仿宋"/>
          <w:sz w:val="24"/>
          <w:szCs w:val="24"/>
        </w:rPr>
        <w:t>　　地址：禹州市行政服务中心楼917房间</w:t>
      </w:r>
    </w:p>
    <w:p>
      <w:pPr>
        <w:spacing w:line="460" w:lineRule="exact"/>
        <w:rPr>
          <w:rFonts w:ascii="仿宋" w:hAnsi="仿宋" w:eastAsia="仿宋"/>
          <w:sz w:val="24"/>
          <w:szCs w:val="24"/>
        </w:rPr>
      </w:pPr>
      <w:r>
        <w:rPr>
          <w:rFonts w:hint="eastAsia" w:ascii="仿宋" w:hAnsi="仿宋" w:eastAsia="仿宋"/>
          <w:sz w:val="24"/>
          <w:szCs w:val="24"/>
        </w:rPr>
        <w:t>联系人：侯女士  联系电话：0374-2077111</w:t>
      </w:r>
    </w:p>
    <w:p>
      <w:pPr>
        <w:numPr>
          <w:ilvl w:val="0"/>
          <w:numId w:val="3"/>
        </w:numPr>
        <w:spacing w:line="460" w:lineRule="exact"/>
        <w:rPr>
          <w:rFonts w:ascii="仿宋" w:hAnsi="仿宋" w:eastAsia="仿宋"/>
          <w:sz w:val="24"/>
          <w:szCs w:val="24"/>
        </w:rPr>
      </w:pPr>
      <w:r>
        <w:rPr>
          <w:rFonts w:hint="eastAsia" w:ascii="仿宋" w:hAnsi="仿宋" w:eastAsia="仿宋"/>
          <w:sz w:val="24"/>
          <w:szCs w:val="24"/>
        </w:rPr>
        <w:t>采购单位：禹州市公共资源交易中心</w:t>
      </w:r>
    </w:p>
    <w:p>
      <w:pPr>
        <w:spacing w:line="460" w:lineRule="exact"/>
        <w:ind w:firstLine="240" w:firstLineChars="100"/>
        <w:rPr>
          <w:rFonts w:ascii="仿宋" w:hAnsi="仿宋" w:eastAsia="仿宋"/>
          <w:sz w:val="24"/>
          <w:szCs w:val="24"/>
        </w:rPr>
      </w:pPr>
      <w:r>
        <w:rPr>
          <w:rFonts w:hint="eastAsia" w:ascii="仿宋" w:hAnsi="仿宋" w:eastAsia="仿宋"/>
          <w:sz w:val="24"/>
          <w:szCs w:val="24"/>
        </w:rPr>
        <w:t>地址：禹州市禹王大道</w:t>
      </w:r>
    </w:p>
    <w:p>
      <w:pPr>
        <w:spacing w:line="460" w:lineRule="exact"/>
        <w:rPr>
          <w:rFonts w:ascii="仿宋" w:hAnsi="仿宋" w:eastAsia="仿宋"/>
          <w:sz w:val="24"/>
          <w:szCs w:val="24"/>
        </w:rPr>
      </w:pPr>
      <w:r>
        <w:rPr>
          <w:rFonts w:hint="eastAsia" w:ascii="仿宋" w:hAnsi="仿宋" w:eastAsia="仿宋"/>
          <w:sz w:val="24"/>
          <w:szCs w:val="24"/>
        </w:rPr>
        <w:t xml:space="preserve">　联系人：黄女士   联系电话：0374-2076770　　　　　　　　　　　　　　       </w:t>
      </w:r>
    </w:p>
    <w:p>
      <w:pPr>
        <w:spacing w:line="460" w:lineRule="exact"/>
        <w:rPr>
          <w:rFonts w:ascii="仿宋" w:hAnsi="仿宋" w:eastAsia="仿宋"/>
          <w:sz w:val="24"/>
          <w:szCs w:val="24"/>
        </w:rPr>
      </w:pPr>
    </w:p>
    <w:p>
      <w:pPr>
        <w:spacing w:line="460" w:lineRule="exact"/>
        <w:ind w:firstLine="5280" w:firstLineChars="2200"/>
        <w:rPr>
          <w:rFonts w:ascii="仿宋" w:hAnsi="仿宋" w:eastAsia="仿宋"/>
          <w:sz w:val="24"/>
          <w:szCs w:val="24"/>
        </w:rPr>
      </w:pPr>
      <w:r>
        <w:rPr>
          <w:rFonts w:hint="eastAsia" w:ascii="仿宋" w:hAnsi="仿宋" w:eastAsia="仿宋"/>
          <w:sz w:val="24"/>
          <w:szCs w:val="24"/>
        </w:rPr>
        <w:t>2018年8月</w:t>
      </w:r>
      <w:r>
        <w:rPr>
          <w:rFonts w:hint="eastAsia" w:ascii="仿宋" w:hAnsi="仿宋" w:eastAsia="仿宋"/>
          <w:sz w:val="24"/>
          <w:szCs w:val="24"/>
          <w:lang w:val="en-US" w:eastAsia="zh-CN"/>
        </w:rPr>
        <w:t>22</w:t>
      </w:r>
      <w:r>
        <w:rPr>
          <w:rFonts w:hint="eastAsia" w:ascii="仿宋" w:hAnsi="仿宋" w:eastAsia="仿宋"/>
          <w:sz w:val="24"/>
          <w:szCs w:val="24"/>
        </w:rPr>
        <w:t>日</w:t>
      </w:r>
    </w:p>
    <w:p>
      <w:pPr>
        <w:spacing w:line="460" w:lineRule="exact"/>
        <w:jc w:val="left"/>
        <w:rPr>
          <w:rFonts w:ascii="仿宋" w:hAnsi="仿宋" w:eastAsia="仿宋"/>
          <w:sz w:val="32"/>
        </w:rPr>
      </w:pPr>
    </w:p>
    <w:p>
      <w:pPr>
        <w:spacing w:line="520" w:lineRule="exact"/>
        <w:textAlignment w:val="baseline"/>
        <w:rPr>
          <w:rFonts w:ascii="黑体" w:hAnsi="黑体" w:eastAsia="黑体" w:cs="黑体"/>
          <w:b/>
          <w:sz w:val="44"/>
          <w:szCs w:val="44"/>
        </w:rPr>
      </w:pPr>
    </w:p>
    <w:p>
      <w:pPr>
        <w:spacing w:line="360" w:lineRule="auto"/>
        <w:rPr>
          <w:rFonts w:ascii="仿宋" w:hAnsi="仿宋" w:eastAsia="仿宋" w:cs="仿宋"/>
          <w:b/>
          <w:sz w:val="24"/>
          <w:szCs w:val="24"/>
        </w:rPr>
      </w:pPr>
    </w:p>
    <w:p>
      <w:pPr>
        <w:spacing w:line="360" w:lineRule="auto"/>
        <w:ind w:firstLine="2650" w:firstLineChars="600"/>
        <w:rPr>
          <w:rFonts w:ascii="仿宋" w:hAnsi="仿宋" w:eastAsia="仿宋" w:cs="仿宋"/>
          <w:b/>
          <w:sz w:val="44"/>
          <w:szCs w:val="44"/>
        </w:rPr>
      </w:pPr>
    </w:p>
    <w:p>
      <w:pPr>
        <w:spacing w:line="360" w:lineRule="auto"/>
        <w:ind w:firstLine="2650" w:firstLineChars="600"/>
        <w:rPr>
          <w:rFonts w:ascii="仿宋" w:hAnsi="仿宋" w:eastAsia="仿宋" w:cs="仿宋"/>
          <w:b/>
          <w:sz w:val="44"/>
          <w:szCs w:val="44"/>
        </w:rPr>
      </w:pPr>
    </w:p>
    <w:p>
      <w:pPr>
        <w:spacing w:line="360" w:lineRule="auto"/>
        <w:ind w:firstLine="2650" w:firstLineChars="6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p>
    <w:p>
      <w:pPr>
        <w:spacing w:line="360" w:lineRule="auto"/>
        <w:ind w:firstLine="3092" w:firstLineChars="7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rPr>
            </w:pPr>
            <w:r>
              <w:rPr>
                <w:rFonts w:hint="eastAsia" w:ascii="仿宋" w:hAnsi="仿宋" w:eastAsia="仿宋"/>
                <w:sz w:val="24"/>
                <w:szCs w:val="24"/>
              </w:rPr>
              <w:t>YZCG—G2018226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spacing w:line="520" w:lineRule="exact"/>
              <w:ind w:firstLine="0" w:firstLineChars="0"/>
              <w:rPr>
                <w:rFonts w:ascii="仿宋" w:hAnsi="仿宋" w:eastAsia="仿宋"/>
                <w:color w:val="000000"/>
                <w:kern w:val="0"/>
                <w:sz w:val="24"/>
                <w:szCs w:val="24"/>
              </w:rPr>
            </w:pPr>
            <w:r>
              <w:rPr>
                <w:rFonts w:hint="eastAsia" w:ascii="仿宋" w:hAnsi="仿宋" w:eastAsia="仿宋"/>
                <w:color w:val="000000"/>
                <w:kern w:val="0"/>
                <w:sz w:val="24"/>
                <w:szCs w:val="24"/>
              </w:rPr>
              <w:t>禹州市</w:t>
            </w:r>
            <w:r>
              <w:rPr>
                <w:rFonts w:hint="eastAsia" w:ascii="仿宋" w:hAnsi="仿宋" w:eastAsia="仿宋"/>
                <w:sz w:val="24"/>
                <w:szCs w:val="24"/>
              </w:rPr>
              <w:t>禹州市公共资源交易中心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spacing w:line="460" w:lineRule="exact"/>
              <w:rPr>
                <w:rFonts w:ascii="仿宋" w:hAnsi="仿宋" w:eastAsia="仿宋"/>
                <w:color w:val="000000"/>
                <w:kern w:val="0"/>
                <w:sz w:val="24"/>
                <w:szCs w:val="24"/>
              </w:rPr>
            </w:pPr>
            <w:r>
              <w:rPr>
                <w:rFonts w:hint="eastAsia" w:ascii="仿宋" w:hAnsi="仿宋" w:eastAsia="仿宋"/>
                <w:sz w:val="24"/>
                <w:szCs w:val="24"/>
              </w:rPr>
              <w:t>禹州市公共资源交易中心评标室设备采购项目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壹万元整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9</w:t>
            </w:r>
            <w:r>
              <w:rPr>
                <w:rFonts w:hint="eastAsia" w:ascii="仿宋" w:hAnsi="仿宋" w:eastAsia="仿宋"/>
                <w:sz w:val="24"/>
                <w:szCs w:val="24"/>
              </w:rPr>
              <w:t>月</w:t>
            </w:r>
            <w:r>
              <w:rPr>
                <w:rFonts w:hint="eastAsia" w:ascii="仿宋" w:hAnsi="仿宋" w:eastAsia="仿宋"/>
                <w:sz w:val="24"/>
                <w:szCs w:val="24"/>
                <w:lang w:val="en-US" w:eastAsia="zh-CN"/>
              </w:rPr>
              <w:t>11</w:t>
            </w:r>
            <w:r>
              <w:rPr>
                <w:rFonts w:hint="eastAsia" w:ascii="仿宋" w:hAnsi="仿宋" w:eastAsia="仿宋"/>
                <w:sz w:val="24"/>
                <w:szCs w:val="24"/>
              </w:rPr>
              <w:t>日</w:t>
            </w:r>
            <w:r>
              <w:rPr>
                <w:rFonts w:hint="eastAsia" w:ascii="仿宋" w:hAnsi="仿宋" w:eastAsia="仿宋"/>
                <w:sz w:val="24"/>
                <w:szCs w:val="24"/>
                <w:lang w:val="en-US" w:eastAsia="zh-CN"/>
              </w:rPr>
              <w:t>10</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FF0000"/>
                <w:kern w:val="0"/>
                <w:sz w:val="24"/>
                <w:szCs w:val="24"/>
              </w:rPr>
              <w:t>注：投标人须提供电子版投标文件一份，单独密封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spacing w:line="440" w:lineRule="exact"/>
              <w:ind w:firstLine="0"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11</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10</w:t>
            </w:r>
            <w:r>
              <w:rPr>
                <w:rFonts w:hint="eastAsia" w:ascii="仿宋" w:hAnsi="仿宋" w:eastAsia="仿宋"/>
                <w:color w:val="FF0000"/>
                <w:sz w:val="24"/>
                <w:szCs w:val="24"/>
              </w:rPr>
              <w:t>：00</w:t>
            </w:r>
            <w:r>
              <w:rPr>
                <w:rFonts w:ascii="仿宋" w:hAnsi="仿宋" w:eastAsia="仿宋"/>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11</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10</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w:t>
            </w:r>
            <w:r>
              <w:rPr>
                <w:rFonts w:hint="eastAsia" w:ascii="仿宋" w:hAnsi="仿宋" w:eastAsia="仿宋"/>
                <w:b/>
                <w:bCs/>
                <w:sz w:val="24"/>
                <w:szCs w:val="24"/>
              </w:rPr>
              <w:t>58.493万元。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5.6.投标文件中相关资质证件复件印与资质原件不一致的；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5.9.投标文件内容模糊不清，无法辨认的;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4</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5.1.8合同书（参考样本)</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投标文件（包括封面）由投标人的法定代表人或其授权代表签字并加盖投标人公章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。授权代表签字的，投标文件应附法定代表人签署的授权委托书。投标文件应尽量避免涂改、行间插字或删除。如果出现上述情况，改动之处应加盖单位章或由投标人的法定代表人或其授权代表签字确认。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ascii="仿宋" w:hAnsi="仿宋" w:eastAsia="仿宋" w:cs="仿宋"/>
          <w:sz w:val="24"/>
        </w:rPr>
      </w:pPr>
      <w:r>
        <w:rPr>
          <w:rFonts w:hint="eastAsia" w:ascii="仿宋" w:hAnsi="仿宋" w:eastAsia="仿宋" w:cs="仿宋"/>
          <w:b/>
          <w:sz w:val="24"/>
        </w:rPr>
        <w:t>11.投标保证金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11.2投标保证金用于保护本次招标人免受投标人的行为而引起的风险。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11.3.1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许昌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11.7.5 法律法规及招标文件规定的其他情形。</w:t>
      </w:r>
    </w:p>
    <w:p>
      <w:pPr>
        <w:widowControl/>
        <w:spacing w:line="360" w:lineRule="auto"/>
        <w:ind w:firstLine="482" w:firstLineChars="200"/>
        <w:jc w:val="left"/>
        <w:rPr>
          <w:rFonts w:ascii="仿宋" w:hAnsi="仿宋" w:eastAsia="仿宋" w:cs="仿宋"/>
          <w:b/>
          <w:sz w:val="24"/>
          <w:szCs w:val="24"/>
        </w:rPr>
      </w:pPr>
      <w:r>
        <w:rPr>
          <w:rFonts w:hint="eastAsia" w:ascii="仿宋" w:hAnsi="仿宋" w:eastAsia="仿宋" w:cs="仿宋"/>
          <w:b/>
          <w:sz w:val="24"/>
          <w:szCs w:val="24"/>
        </w:rPr>
        <w:t>D   投标文件的递交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widowControl/>
        <w:spacing w:line="360" w:lineRule="auto"/>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widowControl/>
        <w:spacing w:line="360" w:lineRule="auto"/>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F 无效投标与废标</w:t>
      </w:r>
    </w:p>
    <w:p>
      <w:pPr>
        <w:widowControl/>
        <w:numPr>
          <w:ilvl w:val="0"/>
          <w:numId w:val="5"/>
        </w:numPr>
        <w:tabs>
          <w:tab w:val="left" w:pos="8280"/>
        </w:tabs>
        <w:spacing w:line="360" w:lineRule="auto"/>
        <w:ind w:right="-1" w:firstLine="480" w:firstLineChars="200"/>
        <w:jc w:val="left"/>
        <w:rPr>
          <w:rFonts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.1</w:t>
      </w:r>
      <w:r>
        <w:rPr>
          <w:rFonts w:hint="eastAsia" w:ascii="仿宋" w:hAnsi="仿宋" w:eastAsia="仿宋" w:cs="宋体"/>
          <w:bCs/>
          <w:sz w:val="24"/>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.2</w:t>
      </w:r>
      <w:r>
        <w:rPr>
          <w:rFonts w:hint="eastAsia" w:ascii="仿宋" w:hAnsi="仿宋" w:eastAsia="仿宋" w:cs="宋体"/>
          <w:bCs/>
          <w:sz w:val="24"/>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.3</w:t>
      </w:r>
      <w:r>
        <w:rPr>
          <w:rFonts w:hint="eastAsia" w:ascii="仿宋" w:hAnsi="仿宋" w:eastAsia="仿宋" w:cs="宋体"/>
          <w:bCs/>
          <w:sz w:val="24"/>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.4</w:t>
      </w:r>
      <w:r>
        <w:rPr>
          <w:rFonts w:hint="eastAsia" w:ascii="仿宋" w:hAnsi="仿宋" w:eastAsia="仿宋" w:cs="宋体"/>
          <w:bCs/>
          <w:sz w:val="24"/>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19.5.不符合招标文件技术规格、技术标准要求的；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19.6.投标文件中相关资质证件复件印与资质原件不一致的；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宋体"/>
          <w:bCs/>
          <w:sz w:val="24"/>
        </w:rPr>
        <w:t>19.8.经评标委员会</w:t>
      </w:r>
      <w:r>
        <w:rPr>
          <w:rFonts w:hint="eastAsia" w:ascii="仿宋" w:hAnsi="仿宋" w:eastAsia="仿宋" w:cs="仿宋"/>
          <w:sz w:val="24"/>
          <w:szCs w:val="24"/>
        </w:rPr>
        <w:t>确认提供虚假投标资料的；</w:t>
      </w:r>
    </w:p>
    <w:p>
      <w:pPr>
        <w:wordWrap w:val="0"/>
        <w:topLinePunct/>
        <w:autoSpaceDE w:val="0"/>
        <w:autoSpaceDN w:val="0"/>
        <w:adjustRightInd w:val="0"/>
        <w:snapToGrid w:val="0"/>
        <w:spacing w:line="360" w:lineRule="auto"/>
        <w:ind w:firstLine="482"/>
        <w:rPr>
          <w:rFonts w:ascii="仿宋" w:hAnsi="仿宋" w:eastAsia="仿宋" w:cs="仿宋"/>
          <w:sz w:val="24"/>
          <w:szCs w:val="24"/>
        </w:rPr>
      </w:pPr>
      <w:r>
        <w:rPr>
          <w:rFonts w:hint="eastAsia" w:ascii="仿宋" w:hAnsi="仿宋" w:eastAsia="仿宋" w:cs="仿宋"/>
          <w:sz w:val="24"/>
          <w:szCs w:val="24"/>
        </w:rPr>
        <w:t>19.9投标文件内容模糊不清，无法辨认的；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ascii="仿宋" w:hAnsi="仿宋" w:eastAsia="仿宋" w:cs="仿宋_GB2312"/>
          <w:sz w:val="24"/>
          <w:szCs w:val="24"/>
        </w:rPr>
      </w:pPr>
      <w:r>
        <w:rPr>
          <w:rFonts w:hint="eastAsia" w:ascii="仿宋" w:hAnsi="仿宋" w:eastAsia="仿宋" w:cs="宋体"/>
          <w:bCs/>
          <w:sz w:val="24"/>
        </w:rPr>
        <w:t>19</w:t>
      </w:r>
      <w:r>
        <w:rPr>
          <w:rFonts w:hint="eastAsia" w:ascii="仿宋" w:hAnsi="仿宋" w:eastAsia="仿宋" w:cs="宋体"/>
          <w:bCs/>
          <w:sz w:val="24"/>
          <w:lang w:val="zh-CN"/>
        </w:rPr>
        <w:t>.</w:t>
      </w:r>
      <w:r>
        <w:rPr>
          <w:rFonts w:hint="eastAsia" w:ascii="仿宋" w:hAnsi="仿宋" w:eastAsia="仿宋" w:cs="宋体"/>
          <w:bCs/>
          <w:sz w:val="24"/>
        </w:rPr>
        <w:t>11.</w:t>
      </w:r>
      <w:r>
        <w:rPr>
          <w:rFonts w:hint="eastAsia" w:ascii="仿宋" w:hAnsi="仿宋" w:eastAsia="仿宋" w:cs="宋体"/>
          <w:bCs/>
          <w:sz w:val="24"/>
          <w:lang w:val="zh-CN"/>
        </w:rPr>
        <w:t>属于招标文件“其它要求”中无效投标条款情形的；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widowControl/>
        <w:tabs>
          <w:tab w:val="left" w:pos="8280"/>
        </w:tabs>
        <w:spacing w:line="360" w:lineRule="auto"/>
        <w:ind w:right="-1" w:firstLine="465"/>
        <w:jc w:val="left"/>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widowControl/>
        <w:spacing w:line="360" w:lineRule="auto"/>
        <w:ind w:firstLine="472" w:firstLineChars="196"/>
        <w:jc w:val="left"/>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21、对招标人的纪律要求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22、对投标人的纪律要求</w:t>
      </w:r>
    </w:p>
    <w:p>
      <w:pPr>
        <w:widowControl/>
        <w:spacing w:line="360" w:lineRule="auto"/>
        <w:ind w:firstLine="480" w:firstLineChars="200"/>
        <w:jc w:val="left"/>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widowControl/>
        <w:spacing w:line="360" w:lineRule="auto"/>
        <w:ind w:firstLine="480" w:firstLineChars="200"/>
        <w:jc w:val="left"/>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widowControl/>
        <w:spacing w:line="360" w:lineRule="auto"/>
        <w:ind w:firstLine="480" w:firstLineChars="200"/>
        <w:jc w:val="left"/>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25、质疑与投诉</w:t>
      </w:r>
    </w:p>
    <w:p>
      <w:pPr>
        <w:widowControl/>
        <w:spacing w:line="360" w:lineRule="auto"/>
        <w:jc w:val="left"/>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投标人认为本次招标活动违反法律、法规和规章规定的，应当遵守《中华人民共和国财政部94号令》规定。</w:t>
      </w:r>
    </w:p>
    <w:p>
      <w:pPr>
        <w:widowControl/>
        <w:spacing w:line="360" w:lineRule="auto"/>
        <w:jc w:val="left"/>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numPr>
          <w:ilvl w:val="0"/>
          <w:numId w:val="6"/>
        </w:numPr>
        <w:spacing w:line="440" w:lineRule="exact"/>
        <w:ind w:firstLine="1533" w:firstLineChars="347"/>
        <w:rPr>
          <w:rFonts w:ascii="仿宋" w:hAnsi="仿宋" w:eastAsia="仿宋"/>
          <w:b/>
          <w:sz w:val="44"/>
        </w:rPr>
        <w:sectPr>
          <w:headerReference r:id="rId9" w:type="default"/>
          <w:footerReference r:id="rId10" w:type="default"/>
          <w:pgSz w:w="11907" w:h="16840"/>
          <w:pgMar w:top="1440" w:right="1474" w:bottom="1440" w:left="1474" w:header="851" w:footer="992" w:gutter="0"/>
          <w:cols w:space="425" w:num="1"/>
          <w:docGrid w:linePitch="312" w:charSpace="0"/>
        </w:sectPr>
      </w:pPr>
    </w:p>
    <w:p>
      <w:pPr>
        <w:widowControl/>
        <w:numPr>
          <w:ilvl w:val="0"/>
          <w:numId w:val="7"/>
        </w:numPr>
        <w:spacing w:line="440" w:lineRule="exact"/>
        <w:ind w:firstLine="1325" w:firstLineChars="300"/>
        <w:rPr>
          <w:rFonts w:ascii="仿宋" w:hAnsi="仿宋" w:eastAsia="仿宋"/>
          <w:b/>
          <w:sz w:val="44"/>
        </w:rPr>
      </w:pPr>
      <w:r>
        <w:rPr>
          <w:rFonts w:hint="eastAsia" w:ascii="仿宋" w:hAnsi="仿宋" w:eastAsia="仿宋"/>
          <w:b/>
          <w:sz w:val="44"/>
        </w:rPr>
        <w:t xml:space="preserve">  采购内容及其他要求</w:t>
      </w:r>
    </w:p>
    <w:p>
      <w:pPr>
        <w:widowControl/>
        <w:spacing w:line="440" w:lineRule="exact"/>
        <w:rPr>
          <w:rFonts w:ascii="仿宋" w:hAnsi="仿宋" w:eastAsia="仿宋"/>
          <w:b/>
          <w:sz w:val="44"/>
        </w:rPr>
      </w:pPr>
    </w:p>
    <w:p>
      <w:pPr>
        <w:widowControl/>
        <w:numPr>
          <w:ilvl w:val="0"/>
          <w:numId w:val="8"/>
        </w:numPr>
        <w:spacing w:line="440" w:lineRule="exact"/>
        <w:rPr>
          <w:rFonts w:ascii="仿宋" w:hAnsi="仿宋" w:eastAsia="仿宋" w:cs="仿宋"/>
          <w:b/>
          <w:sz w:val="24"/>
          <w:szCs w:val="24"/>
        </w:rPr>
      </w:pPr>
      <w:r>
        <w:rPr>
          <w:rFonts w:hint="eastAsia" w:ascii="仿宋" w:hAnsi="仿宋" w:eastAsia="仿宋" w:cs="仿宋"/>
          <w:b/>
          <w:sz w:val="24"/>
          <w:szCs w:val="24"/>
        </w:rPr>
        <w:t>采购内容及其它要求：</w:t>
      </w:r>
    </w:p>
    <w:tbl>
      <w:tblPr>
        <w:tblStyle w:val="36"/>
        <w:tblW w:w="9774" w:type="dxa"/>
        <w:tblInd w:w="0" w:type="dxa"/>
        <w:tblLayout w:type="fixed"/>
        <w:tblCellMar>
          <w:top w:w="15" w:type="dxa"/>
          <w:left w:w="15" w:type="dxa"/>
          <w:bottom w:w="15" w:type="dxa"/>
          <w:right w:w="15" w:type="dxa"/>
        </w:tblCellMar>
      </w:tblPr>
      <w:tblGrid>
        <w:gridCol w:w="304"/>
        <w:gridCol w:w="1064"/>
        <w:gridCol w:w="7768"/>
        <w:gridCol w:w="319"/>
        <w:gridCol w:w="319"/>
      </w:tblGrid>
      <w:tr>
        <w:tblPrEx>
          <w:tblLayout w:type="fixed"/>
          <w:tblCellMar>
            <w:top w:w="15" w:type="dxa"/>
            <w:left w:w="15" w:type="dxa"/>
            <w:bottom w:w="15" w:type="dxa"/>
            <w:right w:w="15" w:type="dxa"/>
          </w:tblCellMar>
        </w:tblPrEx>
        <w:trPr>
          <w:trHeight w:val="570" w:hRule="atLeast"/>
        </w:trPr>
        <w:tc>
          <w:tcPr>
            <w:tcW w:w="30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106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Style w:val="131"/>
                <w:rFonts w:hint="default"/>
                <w:lang w:bidi="ar"/>
              </w:rPr>
              <w:t>名</w:t>
            </w:r>
            <w:r>
              <w:rPr>
                <w:rFonts w:hint="eastAsia" w:ascii="仿宋" w:hAnsi="仿宋" w:eastAsia="仿宋" w:cs="仿宋"/>
                <w:b/>
                <w:color w:val="000000"/>
                <w:kern w:val="0"/>
                <w:sz w:val="24"/>
                <w:szCs w:val="24"/>
                <w:lang w:bidi="ar"/>
              </w:rPr>
              <w:t xml:space="preserve"> </w:t>
            </w:r>
            <w:r>
              <w:rPr>
                <w:rStyle w:val="131"/>
                <w:rFonts w:hint="default"/>
                <w:lang w:bidi="ar"/>
              </w:rPr>
              <w:t>称</w:t>
            </w:r>
          </w:p>
        </w:tc>
        <w:tc>
          <w:tcPr>
            <w:tcW w:w="7768"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技术参数</w:t>
            </w:r>
          </w:p>
        </w:tc>
        <w:tc>
          <w:tcPr>
            <w:tcW w:w="31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Style w:val="131"/>
                <w:rFonts w:hint="default"/>
                <w:lang w:bidi="ar"/>
              </w:rPr>
              <w:t>单</w:t>
            </w:r>
            <w:r>
              <w:rPr>
                <w:rFonts w:hint="eastAsia" w:ascii="仿宋" w:hAnsi="仿宋" w:eastAsia="仿宋" w:cs="仿宋"/>
                <w:b/>
                <w:color w:val="000000"/>
                <w:kern w:val="0"/>
                <w:sz w:val="24"/>
                <w:szCs w:val="24"/>
                <w:lang w:bidi="ar"/>
              </w:rPr>
              <w:t xml:space="preserve"> </w:t>
            </w:r>
            <w:r>
              <w:rPr>
                <w:rStyle w:val="131"/>
                <w:rFonts w:hint="default"/>
                <w:lang w:bidi="ar"/>
              </w:rPr>
              <w:t>位</w:t>
            </w:r>
          </w:p>
        </w:tc>
        <w:tc>
          <w:tcPr>
            <w:tcW w:w="31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Style w:val="131"/>
                <w:rFonts w:hint="default"/>
                <w:lang w:bidi="ar"/>
              </w:rPr>
              <w:t>数</w:t>
            </w:r>
            <w:r>
              <w:rPr>
                <w:rFonts w:hint="eastAsia" w:ascii="仿宋" w:hAnsi="仿宋" w:eastAsia="仿宋" w:cs="仿宋"/>
                <w:b/>
                <w:color w:val="000000"/>
                <w:kern w:val="0"/>
                <w:sz w:val="24"/>
                <w:szCs w:val="24"/>
                <w:lang w:bidi="ar"/>
              </w:rPr>
              <w:t xml:space="preserve"> </w:t>
            </w:r>
            <w:r>
              <w:rPr>
                <w:rStyle w:val="131"/>
                <w:rFonts w:hint="default"/>
                <w:lang w:bidi="ar"/>
              </w:rPr>
              <w:t>量</w:t>
            </w:r>
          </w:p>
        </w:tc>
      </w:tr>
      <w:tr>
        <w:tblPrEx>
          <w:tblLayout w:type="fixed"/>
          <w:tblCellMar>
            <w:top w:w="15" w:type="dxa"/>
            <w:left w:w="15" w:type="dxa"/>
            <w:bottom w:w="15" w:type="dxa"/>
            <w:right w:w="15" w:type="dxa"/>
          </w:tblCellMar>
        </w:tblPrEx>
        <w:trPr>
          <w:trHeight w:val="171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评标电脑</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1、CPU ：Intel 酷睿I5-8400及以上处理器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2、内存：≥8G DDR4  2133MHz内存</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3、硬盘：≥1T SATA3 7200rpm 硬盘</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4、≥22寸液晶显示器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5、操作系统：预装正版Windows10系统。</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6、不接受组装或OEM品牌</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36</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笔记本电脑</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CPU≥I5-7200U/内存≥4G/硬盘≥128G+1T/显存≥2G/分辨率≥1920*1080/W10</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场景液晶电视</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≥55寸液晶电视，全智能4K,带移动推车支架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57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摄像头、耳麦</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摄像头：动态分辨率≥（2560*1920),静态分辨率≥（4680*3456）；耳麦：高保真立体声耳麦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10</w:t>
            </w:r>
          </w:p>
        </w:tc>
      </w:tr>
      <w:tr>
        <w:tblPrEx>
          <w:tblLayout w:type="fixed"/>
          <w:tblCellMar>
            <w:top w:w="15" w:type="dxa"/>
            <w:left w:w="15" w:type="dxa"/>
            <w:bottom w:w="15" w:type="dxa"/>
            <w:right w:w="15" w:type="dxa"/>
          </w:tblCellMar>
        </w:tblPrEx>
        <w:trPr>
          <w:trHeight w:val="138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云存储</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单设备应配置≥64位多核处理器，≥4GB内存，内存支持扩展到≥32GB，需配置冗余金牌电源，支持双系统</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单设备应标配≥2个千兆网口，可增扩≥4个万兆口或≥8个光纤接口或增配≥4个HDMI接口或≥2个SAS3.0接口</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可接入2T/3T/4T/6T/8T/10TSATA磁盘，支持磁盘交错启动和漫游，并支持在线热插拔；</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可接入硬盘≥24块，支持SATA和SAS混插，并支持≥12级扩展柜级联扩展；</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★设备可同时支持视频、图片、智能流和文件直写存储。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应能提供RAID0、1、3、5、6、10、50，60、JBOD、RAIDErasingCode、Raid5EE模式，支持全局、局部等多种热备选择，支持坏盘自动重构；</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设备可对视音频、图片、智能数据（智能行为分析录像）流进行混合直存，无须存储服务器和图片服务器的参与，平台服务器宕机时，存储业务正常</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应能接入并存储1880Mbps视频图像，同时转发1880Mbps的视频图像；同时回放512Mbps的视频图像；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设备在不增加</w:t>
            </w:r>
            <w:r>
              <w:rPr>
                <w:rFonts w:hint="eastAsia" w:ascii="仿宋" w:hAnsi="仿宋" w:eastAsia="仿宋" w:cs="仿宋"/>
                <w:color w:val="000000"/>
                <w:kern w:val="0"/>
                <w:sz w:val="24"/>
                <w:szCs w:val="24"/>
                <w:lang w:bidi="ar"/>
              </w:rPr>
              <w:t>任何外围服</w:t>
            </w:r>
            <w:r>
              <w:rPr>
                <w:rFonts w:hint="eastAsia" w:ascii="仿宋" w:hAnsi="仿宋" w:eastAsia="仿宋" w:cs="仿宋"/>
                <w:color w:val="000000"/>
                <w:kern w:val="0"/>
                <w:sz w:val="24"/>
                <w:szCs w:val="24"/>
                <w:lang w:bidi="ar"/>
              </w:rPr>
              <w:t>务器硬件的情况下可由存储设备直接进行虚拟化系统部署</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设备应能预</w:t>
            </w:r>
            <w:r>
              <w:rPr>
                <w:rFonts w:hint="eastAsia" w:ascii="仿宋" w:hAnsi="仿宋" w:eastAsia="仿宋" w:cs="仿宋"/>
                <w:color w:val="000000"/>
                <w:kern w:val="0"/>
                <w:sz w:val="24"/>
                <w:szCs w:val="24"/>
                <w:lang w:bidi="ar"/>
              </w:rPr>
              <w:t>录报警触发前1-40分钟的视频录像。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支持不低于512MBps图片并发输入，同时不低于512MBps图片并发输出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★提供多设备同步升级功能，可以通过一键式操作对整个局域网内的所有设备同步升级。</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当RAID中某块工作正常的硬盘被误拔出后，60分钟内插回，该硬盘能恢复到原RAID中，系统自动恢复工作，而且会对拔掉的硬盘进行增量数据恢复</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★在RAID内丢失</w:t>
            </w:r>
            <w:r>
              <w:rPr>
                <w:rFonts w:hint="eastAsia" w:ascii="仿宋" w:hAnsi="仿宋" w:eastAsia="仿宋" w:cs="仿宋"/>
                <w:color w:val="000000"/>
                <w:kern w:val="0"/>
                <w:sz w:val="24"/>
                <w:szCs w:val="24"/>
                <w:lang w:bidi="ar"/>
              </w:rPr>
              <w:t>2块（含）以上硬盘但至少有1块正常磁盘时，无需等待丢失盘恢复，保留的硬盘中的数据可正常读出，且新数据可正常写入</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当录像视频流发生丢失5s以上可在日志中记录报警信息。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★支持多路文件采用非NAS方式直接上传存储，且速度可设置。</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企业级硬盘</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≥6TB/≥128MB(6Gb/秒 NCQ)/≥7200RPM/SATA3</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45</w:t>
            </w:r>
          </w:p>
        </w:tc>
      </w:tr>
      <w:tr>
        <w:tblPrEx>
          <w:tblLayout w:type="fixed"/>
          <w:tblCellMar>
            <w:top w:w="15" w:type="dxa"/>
            <w:left w:w="15" w:type="dxa"/>
            <w:bottom w:w="15" w:type="dxa"/>
            <w:right w:w="15" w:type="dxa"/>
          </w:tblCellMar>
        </w:tblPrEx>
        <w:trPr>
          <w:trHeight w:val="85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解密一体机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立式一体机，嵌入式键盘鼠标设计，显示器≥19寸；≥ 酷睿I5-6500≥ 8G内存 ≥250G固态硬盘；内置交易中心评标系统相应解密系统，保证可与许昌公共资源交易中心解密系统无缝对接。投标人需根据自身条件编写承诺书。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3</w:t>
            </w:r>
          </w:p>
        </w:tc>
      </w:tr>
      <w:tr>
        <w:tblPrEx>
          <w:tblLayout w:type="fixed"/>
          <w:tblCellMar>
            <w:top w:w="15" w:type="dxa"/>
            <w:left w:w="15" w:type="dxa"/>
            <w:bottom w:w="15" w:type="dxa"/>
            <w:right w:w="15" w:type="dxa"/>
          </w:tblCellMar>
        </w:tblPrEx>
        <w:trPr>
          <w:trHeight w:val="816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人证对比终端</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abs>
                <w:tab w:val="left" w:pos="1422"/>
              </w:tabs>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设备采用触摸显示屏，尺寸不小于10寸；支持双屏独立显示，分辨率不小于1280*800。</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设备应采用高性能GPU处理器，具备2个有线网口，彼此物理隔离；1个RS485接口、1个RS232接口；1个HDMI接口；2个USB接口；支持开关机键；支持扬声器输出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w:t>
            </w:r>
            <w:r>
              <w:rPr>
                <w:rFonts w:hint="eastAsia" w:ascii="仿宋" w:hAnsi="仿宋" w:eastAsia="仿宋" w:cs="仿宋"/>
                <w:color w:val="000000"/>
                <w:kern w:val="0"/>
                <w:sz w:val="24"/>
                <w:szCs w:val="24"/>
                <w:lang w:bidi="ar"/>
              </w:rPr>
              <w:t>支持不低于200W像素高清宽动态双目摄像头，支持上下15°调节拍摄角度。</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★设备应具有如下存储容量：在1:1人证比对模式下，人脸及指纹容量无限制；1:N模式下，支持不低于20000张人脸库，不低于5000枚指纹库；支持不低于50000张卡片容量；支持不低于50000笔记录存储</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具有如下硬件接口功能：支持通过USB接口外接身份证阅读器；支持通过USB接口输出身份证信息；支持通过HDMI接口外接显示屏，显示比对结果；支持通过RS232/RS485拓展应用，可输出比对结果及信息；支持通过网络方式传输比对结果及图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★设备应支持防假功能，支持照片及视频防假功能，使用照片或视频无法识别，并输出语音提示；无需用户配合，即可完成真人检测。</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★设备应支持广告播放功能，支持文字、图片广告播放功能。</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具有以下人证比对功能：支持居民身份证及智能卡信息读取；支持人证比对功能，现场抓拍人员人脸照片与身份证（或智能卡）内的照片进行比对，完成人员身份核验；人证比对时间：≤1秒；指纹比对时间：＜0.5秒。</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支持人脸、刷卡+人脸、指纹+人脸、刷卡+指纹+人脸、智能（人脸、刷卡+人脸自动切换）多种比对方式；支持人脸识别功能，现场抓拍人脸照片与本地人脸库照片进行比对，进行人员身份核验；支持指纹识别功能，现场采集指纹信息与本地指纹库进行比对，进行人员身份核验；人脸比对时间：＜0.5秒；指纹比对时间：＜0.5秒。</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★设备应支持本地单机人证比对或人脸比对；支持后台联网实现人脸比对。</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设备应支持比对结果语音及文字提示功能；支持视频预览、人脸捕捉框、人员信息、设备状态、设备模式及操作提示。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设备应支持通过远程中心下发或U盘导入人脸、指纹及黑名单信息；支持比对结果、身份信息及人脸抓拍图片本地存储、实时中心上传及断网续传功能；支持本地U盘导出比对事件及人脸注册图片。</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Layout w:type="fixed"/>
          <w:tblCellMar>
            <w:top w:w="15" w:type="dxa"/>
            <w:left w:w="15" w:type="dxa"/>
            <w:bottom w:w="15" w:type="dxa"/>
            <w:right w:w="15" w:type="dxa"/>
          </w:tblCellMar>
        </w:tblPrEx>
        <w:trPr>
          <w:trHeight w:val="570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多画面人脸抓拍系统</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设备可输出两路视频图像：通道1、通道2。支持同时输出3路码流，且通道1的主码流、第三码流同时支持1920×1080、60帧/秒，通道2的主码流、第三码流同时支持2560×1440、30帧/秒。</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视频输出支持分辨率设置为1920x1080，帧率设置为25fps，分辨力不小于1100线。</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★支持最低照度可达彩色0.0003Lux，黑白0.0001Lux。</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★在设定的侦测区域内有目标移动时，设备可联动开启白光灯并抓拍图像。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支持水平、垂直旋转，水平手控速度不小于240°/s，定位准确度不大于0.1°。</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设备支持设置300个预置位和18条巡航路径，支持自动扫描和守望功能。</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设备支持断电记忆、背光补偿功能。</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★支持快速聚焦功能，录像通过单帧回放时应能保证每帧画面清晰稳定。</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★设备可对30米处的行人进行人脸抓拍，并可生成分辨率不小于110×120的人脸图片。</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★设备在距离10米处，抓拍准确率不小于97%；设备在距离30米处，抓拍准确率不小于92%。</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具备BDS定位和GPS定位功能，并能够在监控画面叠加设备所在的经纬度信息。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支持本机存储功能，支持SD卡热插拔，SD卡最大支持256GB。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电压在DC12V±20%范围内变化时，设备可正常工作，工作温度范围可达-45℃-70℃，支持IP67。需与禹州市公安局信息库对接（含软件授权、5年线路租赁费、线材等费用），实时抓拍图片和身份识别，并提供相应后台应用软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机柜</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42U服务器机柜</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741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11</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4路嵌入式高清解码器</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采用嵌入式架构，专用Linux系统，使用DSP解码。为了设备稳定可靠运行，不得采用工控机或者PC机的X86架构。</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要求设备具备，20个RJ45网络接口，1路语音输入，1路语音输出，1个RS232接口，1个RS485接口，8路报警输入，8路报警输出，1个VGA视频输入接口，1个DVI-I视频输入接口。输出口支持4个HDMI接口，支持8路模拟音频输出，支持4路模拟CVBS视频输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可对客户端电脑桌面解码输出显示。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可通过客户端软件导入和导出设备配置参数。</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可将设备当前的解码输出模式设置为一个场景，设备可保存多个场景，并可通过客户端软件切换设备场景。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对以下分辨率的视频图像进行解码后输出：4路分辨率为4000×3000（20fps）的视频图像；8路分辨率为4096×2160（25fps）的视频图像；8路分辨率为3840×2160（25fps）的视频图像；12路分辨率为2592×1944（30fps）的视频图像；20路分辨率为2048×1536（30fps）的视频图像；32路分辨率为1920×1080（30fps）的视频图像；64路分辨率为1280×720（30fps）的视频图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可对以下编码格式的视频图像进行解码后输出：H.264、H.265、Smart264、Smart265、MPEG4视频图像。</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★设备接入具有智能行为分析功能的摄像机，可解码显示智能行为分析信息，包括移动侦测、越界入侵、区域入侵、起身离开等，并上传报警信息。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支持1、2、4、6、8、9、10、12、16、25画面分割显示。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可对输入的视频画面进行90°旋转显示。</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可将视频图像进行轮巡输出显示，并可在客户端软件设置轮巡计划。</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★可通过APP客户端对设备输出的视频图像进行控制操作。</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可通过客户端软件将显示窗口在多个显示屏间进行拖动或跨屏显示，并可调节显示窗口大小。</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85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400万H.265 POE半球 (内置拾音器)</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400万，半球型网络摄像机，支持POE，红外30米，支持H.265编码，内置拾音</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r>
      <w:tr>
        <w:tblPrEx>
          <w:tblLayout w:type="fixed"/>
          <w:tblCellMar>
            <w:top w:w="15" w:type="dxa"/>
            <w:left w:w="15" w:type="dxa"/>
            <w:bottom w:w="15" w:type="dxa"/>
            <w:right w:w="15" w:type="dxa"/>
          </w:tblCellMar>
        </w:tblPrEx>
        <w:trPr>
          <w:trHeight w:val="142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13</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黑白激光打印机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功能：打印/复印/扫描；最大处理幅面：A4耗材类型：鼓粉分离；双面功能：自动；网络功能：支持有线网络打印；打印速度：30cpm；打印分辨率 600×600dpi；首页打印时间＜8.5秒；复印速度：≥30cpm；复印分辨率≥600×600dpi；扫描控制器：光学分辨率≥600×2400dpi；</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最大分辨率≥19200×19200dpi；供纸盒容量 标配：250页自动供纸器：支持。</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r>
      <w:tr>
        <w:tblPrEx>
          <w:tblLayout w:type="fixed"/>
          <w:tblCellMar>
            <w:top w:w="15" w:type="dxa"/>
            <w:left w:w="15" w:type="dxa"/>
            <w:bottom w:w="15" w:type="dxa"/>
            <w:right w:w="15" w:type="dxa"/>
          </w:tblCellMar>
        </w:tblPrEx>
        <w:trPr>
          <w:trHeight w:val="114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14</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彩色激光打印机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功能：打印/复印/扫描；最大处理幅面：A4；双面功能；网络功能：支持有线网络打印；黑白打印速度≥16ppm；彩色打印速度≥16ppm；打印分辨率≥600×600dpi；复印速度：黑白≥16cpm；彩色≥16cpm；复印分辨率≥600×600dpi；扫描类型：平板式光学分辨率≥1200dpi。</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85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15</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16口千兆接入交换机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16口千兆交换机，机架式，16个千兆电口，非网管。交换容量≥32Gbps,包转发率≥23.8Mpps,1U高度，19英寸宽，工作温度：0℃～40℃，支持220v交流，满负荷功耗10瓦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r>
      <w:tr>
        <w:tblPrEx>
          <w:tblLayout w:type="fixed"/>
          <w:tblCellMar>
            <w:top w:w="15" w:type="dxa"/>
            <w:left w:w="15" w:type="dxa"/>
            <w:bottom w:w="15" w:type="dxa"/>
            <w:right w:w="15" w:type="dxa"/>
          </w:tblCellMar>
        </w:tblPrEx>
        <w:trPr>
          <w:trHeight w:val="88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16</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24口千兆交换机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机架式，≥12个千兆电口,≥12个千兆光口。交换容量≥48Gbps,包转发率≥35.7Mpps,1U高度，19英寸宽，工作温度：0～40˚C，支持220v交流，满负荷功耗25瓦</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17</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配线架</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24口网络配线架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理线架</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24口网络理线架</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19</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机柜</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6U网络壁挂机柜</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6</w:t>
            </w:r>
          </w:p>
        </w:tc>
      </w:tr>
      <w:tr>
        <w:tblPrEx>
          <w:tblLayout w:type="fixed"/>
          <w:tblCellMar>
            <w:top w:w="15" w:type="dxa"/>
            <w:left w:w="15" w:type="dxa"/>
            <w:bottom w:w="15" w:type="dxa"/>
            <w:right w:w="15" w:type="dxa"/>
          </w:tblCellMar>
        </w:tblPrEx>
        <w:trPr>
          <w:trHeight w:val="268"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20</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机柜</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42U服务器机柜</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个</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21</w:t>
            </w:r>
          </w:p>
        </w:tc>
        <w:tc>
          <w:tcPr>
            <w:tcW w:w="1064"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网线</w:t>
            </w:r>
          </w:p>
        </w:tc>
        <w:tc>
          <w:tcPr>
            <w:tcW w:w="7768"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六类国标</w:t>
            </w:r>
          </w:p>
        </w:tc>
        <w:tc>
          <w:tcPr>
            <w:tcW w:w="31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箱</w:t>
            </w:r>
          </w:p>
        </w:tc>
        <w:tc>
          <w:tcPr>
            <w:tcW w:w="319"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5</w:t>
            </w:r>
          </w:p>
        </w:tc>
      </w:tr>
      <w:tr>
        <w:tblPrEx>
          <w:tblLayout w:type="fixed"/>
          <w:tblCellMar>
            <w:top w:w="15" w:type="dxa"/>
            <w:left w:w="15" w:type="dxa"/>
            <w:bottom w:w="15" w:type="dxa"/>
            <w:right w:w="15" w:type="dxa"/>
          </w:tblCellMar>
        </w:tblPrEx>
        <w:trPr>
          <w:trHeight w:val="570"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22</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办公网络及监控网络改造</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对原有监控及设备进行升级改造</w:t>
            </w:r>
          </w:p>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监控和评标网络物理分离2张网，含线槽其他辅材等</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批</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23</w:t>
            </w:r>
          </w:p>
        </w:tc>
        <w:tc>
          <w:tcPr>
            <w:tcW w:w="1064"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场景液晶电视</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≥46寸，4k高清</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5295"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24</w:t>
            </w:r>
          </w:p>
        </w:tc>
        <w:tc>
          <w:tcPr>
            <w:tcW w:w="1064"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反馈抑制器</w:t>
            </w:r>
          </w:p>
        </w:tc>
        <w:tc>
          <w:tcPr>
            <w:tcW w:w="7768"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xml:space="preserve">模拟输入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2*XLR公座 &amp; 2*1/4" TRS座：平衡式/非平衡式 ，射频滤波抑制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输入阻抗：30k ohm 平衡/15k ohm非平衡</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峰值输入电平：+15 dBu</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xml:space="preserve">模拟输出 </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2*XLR母座 &amp; 2*1/4" TRS座：平衡式/非平衡式 ，射频滤波抑制</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输出阻抗：100 ohm 平衡/50 ohm非平衡</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峰值输入电平：+15 dBu</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取样率：48kHz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动态范围：106dB，A-weighted</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总谐波失真：0.01%，1 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信噪比：106dB，A-weighted</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频率响应：20Hz to 20 KHz，+/- 0.5 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通道间串音：86dB，A-weighted</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输入到输出串音：86dB，A-weighted</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工作电压：100-240V AC 50/60 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消耗功率：15W</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504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25</w:t>
            </w:r>
          </w:p>
        </w:tc>
        <w:tc>
          <w:tcPr>
            <w:tcW w:w="1064"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功放</w:t>
            </w:r>
          </w:p>
        </w:tc>
        <w:tc>
          <w:tcPr>
            <w:tcW w:w="7768"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 最大不失真功率（8Ω）：600W*2</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最大不失真功率（4Ω）：900W*2</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最大不失真功率（2Ω）：1200W*2</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最大不失真功率（桥接8Ω）：1800W</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最大不失真功率（桥接4Ω）：1200W</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阻尼系数：600：1</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信噪比：100dB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总谐波失真：≤0.01%8Ω额定功率1KHz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频率响应：20Hz-20KHz +/-0.1dB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互调失真：≤0.01%8Ω额定功率1KHz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输入灵敏度：0.775v，1.0v，1.5v</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输入阻抗：10k/20k,平衡，非平衡</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输入增益：≤-75dB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声道分离度：≤-75dB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面板指示灯：信号，工作电源，削波，保护</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供电电压：220V/50Hz</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3121"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kern w:val="0"/>
                <w:sz w:val="24"/>
                <w:szCs w:val="24"/>
                <w:lang w:bidi="ar"/>
              </w:rPr>
              <w:t>26</w:t>
            </w:r>
          </w:p>
        </w:tc>
        <w:tc>
          <w:tcPr>
            <w:tcW w:w="1064"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调音台</w:t>
            </w:r>
          </w:p>
        </w:tc>
        <w:tc>
          <w:tcPr>
            <w:tcW w:w="7768" w:type="dxa"/>
            <w:tcBorders>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输入通道≥6路，输出通道≥4路</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麦克风输入：平衡型XLR插口</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频响：20Hz to50 KHz±±3dB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失真度：&lt;0.005% to±≦4dBu,1KHz</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增益范围：0dBa50 dB MIC</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信噪比：&lt;-100dB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频响：20Hz to +50 KHz±3dB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灵敏度：+15dBu±3dB</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内置USB全速（12Mbps）</w:t>
            </w:r>
            <w:r>
              <w:rPr>
                <w:rFonts w:hint="eastAsia" w:ascii="仿宋" w:hAnsi="仿宋" w:eastAsia="仿宋" w:cs="仿宋"/>
                <w:color w:val="000000"/>
                <w:kern w:val="0"/>
                <w:sz w:val="24"/>
                <w:szCs w:val="24"/>
                <w:lang w:bidi="ar"/>
              </w:rPr>
              <w:br w:type="textWrapping"/>
            </w:r>
            <w:r>
              <w:rPr>
                <w:rFonts w:hint="eastAsia" w:ascii="仿宋" w:hAnsi="仿宋" w:eastAsia="仿宋" w:cs="仿宋"/>
                <w:color w:val="000000"/>
                <w:kern w:val="0"/>
                <w:sz w:val="24"/>
                <w:szCs w:val="24"/>
                <w:lang w:bidi="ar"/>
              </w:rPr>
              <w:t>• 支持USB存储</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27</w:t>
            </w:r>
          </w:p>
        </w:tc>
        <w:tc>
          <w:tcPr>
            <w:tcW w:w="1064" w:type="dxa"/>
            <w:tcBorders>
              <w:top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立式摇号机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乒乓球搅拌式，高度≥1.2M，50球，</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套</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2</w:t>
            </w:r>
          </w:p>
        </w:tc>
      </w:tr>
      <w:tr>
        <w:tblPrEx>
          <w:tblLayout w:type="fixed"/>
          <w:tblCellMar>
            <w:top w:w="15" w:type="dxa"/>
            <w:left w:w="15" w:type="dxa"/>
            <w:bottom w:w="15" w:type="dxa"/>
            <w:right w:w="15" w:type="dxa"/>
          </w:tblCellMar>
        </w:tblPrEx>
        <w:trPr>
          <w:trHeight w:val="286" w:hRule="atLeast"/>
        </w:trPr>
        <w:tc>
          <w:tcPr>
            <w:tcW w:w="30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b/>
                <w:color w:val="000000"/>
                <w:sz w:val="24"/>
                <w:szCs w:val="24"/>
              </w:rPr>
            </w:pPr>
            <w:r>
              <w:rPr>
                <w:rFonts w:hint="eastAsia" w:ascii="仿宋" w:hAnsi="仿宋" w:eastAsia="仿宋" w:cs="仿宋"/>
                <w:b/>
                <w:color w:val="000000"/>
                <w:sz w:val="24"/>
                <w:szCs w:val="24"/>
              </w:rPr>
              <w:t>28</w:t>
            </w:r>
          </w:p>
        </w:tc>
        <w:tc>
          <w:tcPr>
            <w:tcW w:w="10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碎纸机</w:t>
            </w:r>
          </w:p>
        </w:tc>
        <w:tc>
          <w:tcPr>
            <w:tcW w:w="77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碎纸能力≥8张/次  碎纸效果2*2mm  碎纸容量≥19升，连续碎纸时间≥40分钟</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台</w:t>
            </w:r>
          </w:p>
        </w:tc>
        <w:tc>
          <w:tcPr>
            <w:tcW w:w="31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lang w:bidi="ar"/>
              </w:rPr>
              <w:t>1</w:t>
            </w:r>
          </w:p>
        </w:tc>
      </w:tr>
    </w:tbl>
    <w:p>
      <w:pPr>
        <w:spacing w:line="360" w:lineRule="auto"/>
        <w:ind w:firstLine="240" w:firstLineChars="100"/>
        <w:rPr>
          <w:rFonts w:ascii="仿宋" w:hAnsi="仿宋" w:eastAsia="仿宋" w:cs="仿宋"/>
          <w:color w:val="000000"/>
          <w:sz w:val="24"/>
          <w:szCs w:val="24"/>
          <w:lang w:val="zh-CN"/>
        </w:rPr>
      </w:pPr>
      <w:r>
        <w:rPr>
          <w:rFonts w:hint="eastAsia" w:ascii="仿宋" w:hAnsi="仿宋" w:eastAsia="仿宋" w:cs="仿宋"/>
          <w:color w:val="C00000"/>
          <w:sz w:val="24"/>
          <w:szCs w:val="24"/>
        </w:rPr>
        <w:t>注：解密一体机与多画面人脸抓拍系统签订合同前需按照招标文件要求行对接测试，二</w:t>
      </w:r>
      <w:r>
        <w:rPr>
          <w:rFonts w:hint="eastAsia" w:ascii="仿宋" w:hAnsi="仿宋" w:eastAsia="仿宋" w:cs="仿宋"/>
          <w:color w:val="000000"/>
          <w:sz w:val="24"/>
          <w:szCs w:val="24"/>
          <w:lang w:val="zh-CN"/>
        </w:rPr>
        <w:t>、其它要求</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1、投标人须明确投标产品的厂家、产地、品牌、型号、详细参数，否则为无效投标。</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zh-CN"/>
        </w:rPr>
        <w:t>、投标人应就该项目完整投标，否则为无效投标。</w:t>
      </w:r>
    </w:p>
    <w:p>
      <w:pPr>
        <w:pStyle w:val="2"/>
        <w:ind w:firstLine="240"/>
        <w:rPr>
          <w:rFonts w:eastAsia="仿宋"/>
        </w:rPr>
      </w:pPr>
      <w:r>
        <w:rPr>
          <w:rFonts w:hint="eastAsia" w:ascii="仿宋" w:hAnsi="仿宋" w:eastAsia="仿宋" w:cs="仿宋"/>
          <w:color w:val="000000"/>
        </w:rPr>
        <w:t xml:space="preserve">  3.以上技术参数要求为最低要求，投标商应等于或优于以上要求，否则为无效投标。</w:t>
      </w:r>
    </w:p>
    <w:p>
      <w:pPr>
        <w:tabs>
          <w:tab w:val="left" w:pos="5963"/>
        </w:tabs>
        <w:spacing w:line="420" w:lineRule="exact"/>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4</w:t>
      </w:r>
      <w:r>
        <w:rPr>
          <w:rFonts w:hint="eastAsia" w:ascii="仿宋" w:hAnsi="仿宋" w:eastAsia="仿宋" w:cs="仿宋"/>
          <w:color w:val="000000"/>
          <w:sz w:val="24"/>
          <w:szCs w:val="24"/>
          <w:lang w:val="zh-CN"/>
        </w:rPr>
        <w:t>、招标文件列明不允许或未列明允许进口产品参加投标的，均视为拒绝进口产品参加投标。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5、投标人须对照节能产品政府采购清单，如果本次采购的产品属于强制采购范围的（国办发[2007]51号文），投标文件中须提供所投产品属于强制采购产品有效的证明材料且加盖投标单位公章，否则为无效投标。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ascii="仿宋" w:hAnsi="仿宋" w:eastAsia="仿宋" w:cs="仿宋"/>
          <w:sz w:val="24"/>
          <w:szCs w:val="24"/>
        </w:rPr>
      </w:pPr>
      <w:r>
        <w:rPr>
          <w:rFonts w:hint="eastAsia" w:ascii="仿宋" w:hAnsi="仿宋" w:eastAsia="仿宋" w:cs="仿宋"/>
          <w:sz w:val="24"/>
          <w:szCs w:val="24"/>
        </w:rPr>
        <w:t>6、所投产品已列入国家强制性产品认证的产品，投标文件中必须提供国家对实施强制性产品认证的有效证明材料且加盖投标人公章，否则为无效投标。（如3C等）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ascii="仿宋" w:hAnsi="仿宋" w:eastAsia="仿宋" w:cs="仿宋"/>
          <w:color w:val="000000"/>
          <w:sz w:val="24"/>
          <w:szCs w:val="24"/>
          <w:lang w:val="zh-CN"/>
        </w:rPr>
      </w:pPr>
      <w:r>
        <w:rPr>
          <w:rFonts w:hint="eastAsia" w:ascii="仿宋" w:hAnsi="仿宋" w:eastAsia="仿宋" w:cs="仿宋"/>
          <w:sz w:val="24"/>
          <w:szCs w:val="24"/>
        </w:rPr>
        <w:t>7、根据《财政部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8</w:t>
      </w:r>
      <w:r>
        <w:rPr>
          <w:rFonts w:hint="eastAsia" w:ascii="仿宋" w:hAnsi="仿宋" w:eastAsia="仿宋" w:cs="仿宋"/>
          <w:color w:val="000000"/>
          <w:sz w:val="24"/>
          <w:szCs w:val="24"/>
          <w:lang w:val="zh-CN"/>
        </w:rPr>
        <w:t>、产品必须符合国家质量检测标准和本招标文件规定标准的全新正品现货，供货时提供随货物《产品合格证》及其它相关质量证明文件。</w:t>
      </w:r>
    </w:p>
    <w:p>
      <w:pPr>
        <w:spacing w:line="360" w:lineRule="auto"/>
        <w:ind w:firstLine="480" w:firstLineChars="200"/>
        <w:rPr>
          <w:rFonts w:ascii="仿宋" w:hAnsi="仿宋" w:eastAsia="仿宋" w:cs="仿宋"/>
          <w:color w:val="FF0000"/>
          <w:sz w:val="24"/>
          <w:szCs w:val="24"/>
          <w:lang w:val="zh-CN"/>
        </w:rPr>
      </w:pPr>
      <w:r>
        <w:rPr>
          <w:rFonts w:hint="eastAsia" w:ascii="仿宋" w:hAnsi="仿宋" w:eastAsia="仿宋" w:cs="仿宋"/>
          <w:color w:val="000000"/>
          <w:sz w:val="24"/>
          <w:szCs w:val="24"/>
        </w:rPr>
        <w:t>9</w:t>
      </w:r>
      <w:r>
        <w:rPr>
          <w:rFonts w:hint="eastAsia" w:ascii="仿宋" w:hAnsi="仿宋" w:eastAsia="仿宋" w:cs="仿宋"/>
          <w:color w:val="000000"/>
          <w:sz w:val="24"/>
          <w:szCs w:val="24"/>
          <w:lang w:val="zh-CN"/>
        </w:rPr>
        <w:t>、专利权：投标人应</w:t>
      </w:r>
      <w:r>
        <w:rPr>
          <w:rFonts w:hint="eastAsia" w:ascii="仿宋" w:hAnsi="仿宋" w:eastAsia="仿宋" w:cs="仿宋"/>
          <w:color w:val="000000"/>
          <w:sz w:val="24"/>
          <w:szCs w:val="24"/>
        </w:rPr>
        <w:t>承诺</w:t>
      </w:r>
      <w:r>
        <w:rPr>
          <w:rFonts w:hint="eastAsia" w:ascii="仿宋" w:hAnsi="仿宋" w:eastAsia="仿宋" w:cs="仿宋"/>
          <w:color w:val="000000"/>
          <w:sz w:val="24"/>
          <w:szCs w:val="24"/>
          <w:lang w:val="zh-CN"/>
        </w:rPr>
        <w:t>用户在使用该货物或其任何一部分时不受第三方提出侵犯其专利权、商标权和工业设计权等的起诉。</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10</w:t>
      </w:r>
      <w:r>
        <w:rPr>
          <w:rFonts w:hint="eastAsia" w:ascii="仿宋" w:hAnsi="仿宋" w:eastAsia="仿宋" w:cs="仿宋"/>
          <w:color w:val="000000"/>
          <w:sz w:val="24"/>
          <w:szCs w:val="24"/>
          <w:lang w:val="zh-CN"/>
        </w:rPr>
        <w:t>、投标人须明确维修点地址、负责人、联系人和联系电话等详细资料。</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11</w:t>
      </w:r>
      <w:r>
        <w:rPr>
          <w:rFonts w:hint="eastAsia" w:ascii="仿宋" w:hAnsi="仿宋" w:eastAsia="仿宋" w:cs="仿宋"/>
          <w:color w:val="000000"/>
          <w:sz w:val="24"/>
          <w:szCs w:val="24"/>
          <w:lang w:val="zh-CN"/>
        </w:rPr>
        <w:t>、本项目为交钥匙工程（包括设备、材料、元件、</w:t>
      </w:r>
      <w:r>
        <w:rPr>
          <w:rFonts w:hint="eastAsia" w:ascii="仿宋" w:hAnsi="仿宋" w:eastAsia="仿宋" w:cs="仿宋"/>
          <w:color w:val="000000"/>
          <w:sz w:val="24"/>
          <w:szCs w:val="24"/>
        </w:rPr>
        <w:t>设备机柜</w:t>
      </w:r>
      <w:r>
        <w:rPr>
          <w:rFonts w:hint="eastAsia" w:ascii="仿宋" w:hAnsi="仿宋" w:eastAsia="仿宋" w:cs="仿宋"/>
          <w:color w:val="000000"/>
          <w:sz w:val="24"/>
          <w:szCs w:val="24"/>
          <w:lang w:val="zh-CN"/>
        </w:rPr>
        <w:t>等购置、安装调试、验收、</w:t>
      </w:r>
      <w:r>
        <w:rPr>
          <w:rFonts w:hint="eastAsia" w:ascii="仿宋" w:hAnsi="仿宋" w:eastAsia="仿宋" w:cs="仿宋"/>
          <w:color w:val="000000"/>
          <w:sz w:val="24"/>
          <w:szCs w:val="24"/>
        </w:rPr>
        <w:t>线路及</w:t>
      </w:r>
      <w:r>
        <w:rPr>
          <w:rFonts w:hint="eastAsia" w:ascii="仿宋" w:hAnsi="仿宋" w:eastAsia="仿宋" w:cs="仿宋"/>
          <w:color w:val="000000"/>
          <w:sz w:val="24"/>
          <w:szCs w:val="24"/>
          <w:lang w:val="zh-CN"/>
        </w:rPr>
        <w:t xml:space="preserve">与其它施工单位协作所产生的费用等）。 </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color w:val="000000"/>
          <w:sz w:val="24"/>
          <w:szCs w:val="24"/>
        </w:rPr>
        <w:t>12</w:t>
      </w:r>
      <w:r>
        <w:rPr>
          <w:rFonts w:hint="eastAsia" w:ascii="仿宋" w:hAnsi="仿宋" w:eastAsia="仿宋" w:cs="仿宋"/>
          <w:color w:val="000000"/>
          <w:sz w:val="24"/>
          <w:szCs w:val="24"/>
          <w:lang w:val="zh-CN"/>
        </w:rPr>
        <w:t>、</w:t>
      </w:r>
      <w:r>
        <w:rPr>
          <w:rFonts w:hint="eastAsia" w:ascii="仿宋" w:hAnsi="仿宋" w:eastAsia="仿宋" w:cs="仿宋"/>
          <w:color w:val="000000"/>
          <w:sz w:val="24"/>
          <w:szCs w:val="24"/>
        </w:rPr>
        <w:t>付款方式：以签证合同为准。</w:t>
      </w:r>
    </w:p>
    <w:p>
      <w:pPr>
        <w:spacing w:line="360" w:lineRule="auto"/>
        <w:ind w:firstLine="480" w:firstLineChars="200"/>
        <w:rPr>
          <w:rFonts w:ascii="仿宋" w:hAnsi="仿宋" w:eastAsia="仿宋" w:cs="仿宋"/>
          <w:color w:val="000000"/>
          <w:sz w:val="24"/>
          <w:szCs w:val="24"/>
        </w:rPr>
      </w:pPr>
      <w:r>
        <w:rPr>
          <w:rFonts w:hint="eastAsia" w:ascii="仿宋" w:hAnsi="仿宋" w:eastAsia="仿宋" w:cs="仿宋"/>
          <w:bCs/>
          <w:color w:val="000000"/>
          <w:sz w:val="24"/>
          <w:szCs w:val="24"/>
        </w:rPr>
        <w:t>13</w:t>
      </w:r>
      <w:r>
        <w:rPr>
          <w:rFonts w:hint="eastAsia" w:ascii="仿宋" w:hAnsi="仿宋" w:eastAsia="仿宋" w:cs="仿宋"/>
          <w:color w:val="000000"/>
          <w:sz w:val="24"/>
          <w:szCs w:val="24"/>
        </w:rPr>
        <w:t>、投标商必须由法定代表人或委托代理人参加开标会议，随时接受评标委员会询问，并予作出书面解答。</w:t>
      </w:r>
    </w:p>
    <w:p>
      <w:pPr>
        <w:spacing w:line="360" w:lineRule="auto"/>
        <w:ind w:firstLine="480" w:firstLineChars="200"/>
        <w:rPr>
          <w:rFonts w:ascii="仿宋" w:hAnsi="仿宋" w:eastAsia="仿宋" w:cs="仿宋"/>
          <w:bCs/>
          <w:color w:val="000000"/>
          <w:sz w:val="24"/>
          <w:szCs w:val="24"/>
        </w:rPr>
      </w:pPr>
      <w:r>
        <w:rPr>
          <w:rFonts w:hint="eastAsia" w:ascii="仿宋" w:hAnsi="仿宋" w:eastAsia="仿宋" w:cs="仿宋"/>
          <w:bCs/>
          <w:color w:val="000000"/>
          <w:sz w:val="24"/>
          <w:szCs w:val="24"/>
        </w:rPr>
        <w:t>14、验收标准</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rPr>
        <w:t>（1）</w:t>
      </w:r>
      <w:r>
        <w:rPr>
          <w:rFonts w:hint="eastAsia" w:ascii="仿宋" w:hAnsi="仿宋" w:eastAsia="仿宋" w:cs="仿宋"/>
          <w:color w:val="000000"/>
          <w:sz w:val="24"/>
          <w:szCs w:val="24"/>
          <w:lang w:val="zh-CN"/>
        </w:rPr>
        <w:t>由采购人成立验收小组,按照采购合同的约定对中标人履约情况进行验收。验收时,按照采购合同的约定对每一项技术、服务、安全标准的履约情况进行确认。验收结束后,出具验收报告,列明各项标准的验收情况及项目总体评价,由验收双方共同签署。</w:t>
      </w:r>
    </w:p>
    <w:p>
      <w:pPr>
        <w:spacing w:line="360" w:lineRule="auto"/>
        <w:ind w:firstLine="480" w:firstLineChars="200"/>
        <w:rPr>
          <w:rFonts w:ascii="仿宋" w:hAnsi="仿宋" w:eastAsia="仿宋" w:cs="仿宋"/>
          <w:color w:val="000000"/>
          <w:sz w:val="24"/>
          <w:szCs w:val="24"/>
          <w:lang w:val="zh-CN"/>
        </w:rPr>
      </w:pPr>
      <w:r>
        <w:rPr>
          <w:rFonts w:hint="eastAsia" w:ascii="仿宋" w:hAnsi="仿宋" w:eastAsia="仿宋" w:cs="仿宋"/>
          <w:color w:val="000000"/>
          <w:sz w:val="24"/>
          <w:szCs w:val="24"/>
          <w:lang w:val="zh-CN"/>
        </w:rPr>
        <w:t>（2）按照招标文件要求、投标文件响应和承诺验收。</w:t>
      </w:r>
    </w:p>
    <w:p>
      <w:pPr>
        <w:spacing w:line="520" w:lineRule="exact"/>
        <w:ind w:firstLine="2108" w:firstLineChars="700"/>
        <w:rPr>
          <w:rFonts w:ascii="仿宋" w:hAnsi="仿宋" w:eastAsia="仿宋" w:cs="仿宋"/>
          <w:b/>
          <w:sz w:val="30"/>
          <w:szCs w:val="30"/>
        </w:rPr>
      </w:pPr>
    </w:p>
    <w:p>
      <w:pPr>
        <w:spacing w:line="520" w:lineRule="exact"/>
        <w:ind w:firstLine="2108" w:firstLineChars="700"/>
        <w:rPr>
          <w:rFonts w:ascii="仿宋" w:hAnsi="仿宋" w:eastAsia="仿宋" w:cs="仿宋"/>
          <w:b/>
          <w:sz w:val="30"/>
          <w:szCs w:val="30"/>
        </w:rPr>
      </w:pPr>
    </w:p>
    <w:p>
      <w:pPr>
        <w:spacing w:line="520" w:lineRule="exact"/>
        <w:ind w:firstLine="2108" w:firstLineChars="700"/>
        <w:rPr>
          <w:rFonts w:ascii="仿宋" w:hAnsi="仿宋" w:eastAsia="仿宋" w:cs="仿宋"/>
          <w:b/>
          <w:sz w:val="30"/>
          <w:szCs w:val="30"/>
        </w:rPr>
      </w:pPr>
      <w:r>
        <w:rPr>
          <w:rFonts w:hint="eastAsia" w:ascii="仿宋" w:hAnsi="仿宋" w:eastAsia="仿宋" w:cs="仿宋"/>
          <w:b/>
          <w:sz w:val="30"/>
          <w:szCs w:val="30"/>
        </w:rPr>
        <w:t>第五部分  开标和评标</w:t>
      </w:r>
    </w:p>
    <w:p>
      <w:pPr>
        <w:spacing w:line="520" w:lineRule="exact"/>
        <w:rPr>
          <w:rFonts w:ascii="仿宋" w:hAnsi="仿宋" w:eastAsia="仿宋" w:cs="仿宋"/>
          <w:b/>
          <w:sz w:val="24"/>
          <w:szCs w:val="24"/>
        </w:rPr>
      </w:pP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（2）营业执照副本、银行开户许可证、法定代表人授权代表社保证明、法人代表授权委托书（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（3）投标保证金缴纳回执；</w:t>
      </w:r>
    </w:p>
    <w:p>
      <w:pPr>
        <w:spacing w:line="520" w:lineRule="exact"/>
        <w:ind w:firstLine="240" w:firstLineChars="100"/>
        <w:rPr>
          <w:rFonts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组成，成员人数为5人以上单数，其中评审专家不得少于成员总数的三分之二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3.4评标办法</w:t>
      </w:r>
    </w:p>
    <w:p>
      <w:pPr>
        <w:spacing w:line="360" w:lineRule="auto"/>
        <w:ind w:firstLine="480"/>
        <w:textAlignment w:val="baseline"/>
        <w:rPr>
          <w:rFonts w:ascii="仿宋" w:hAnsi="仿宋" w:eastAsia="仿宋" w:cs="仿宋"/>
          <w:sz w:val="24"/>
          <w:szCs w:val="24"/>
        </w:rPr>
      </w:pPr>
      <w:r>
        <w:rPr>
          <w:rFonts w:hint="eastAsia" w:ascii="仿宋" w:hAnsi="仿宋" w:eastAsia="仿宋" w:cs="仿宋"/>
          <w:sz w:val="24"/>
          <w:szCs w:val="24"/>
        </w:rPr>
        <w:t>本项目采用综合评分办法。即在最大限度地满足招标文件实质性要求前提下，按照招标文件中规定的各项因素进行综合评审后，以评标总得分最高的投标人作为中标候选供应商或者中标供应商的评标方法。</w:t>
      </w:r>
    </w:p>
    <w:p>
      <w:pPr>
        <w:pStyle w:val="125"/>
        <w:spacing w:before="120" w:after="120"/>
        <w:ind w:firstLine="0" w:firstLineChars="0"/>
        <w:rPr>
          <w:rFonts w:ascii="仿宋" w:hAnsi="仿宋" w:eastAsia="仿宋" w:cs="仿宋"/>
          <w:szCs w:val="24"/>
        </w:rPr>
      </w:pPr>
      <w:r>
        <w:rPr>
          <w:rFonts w:hint="eastAsia" w:ascii="仿宋" w:hAnsi="仿宋" w:eastAsia="仿宋" w:cs="仿宋"/>
          <w:szCs w:val="24"/>
        </w:rPr>
        <w:t>3.5评分标准</w:t>
      </w:r>
    </w:p>
    <w:tbl>
      <w:tblPr>
        <w:tblStyle w:val="36"/>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927"/>
        <w:gridCol w:w="1049"/>
        <w:gridCol w:w="1606"/>
        <w:gridCol w:w="6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636"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序号</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b/>
                <w:bCs/>
                <w:sz w:val="24"/>
                <w:szCs w:val="24"/>
              </w:rPr>
              <w:t>评审内容</w:t>
            </w:r>
          </w:p>
        </w:tc>
        <w:tc>
          <w:tcPr>
            <w:tcW w:w="6278"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b/>
                <w:bCs/>
                <w:sz w:val="24"/>
                <w:szCs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58"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3.5.1</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 xml:space="preserve">       分值组成</w:t>
            </w:r>
          </w:p>
          <w:p>
            <w:pPr>
              <w:spacing w:line="360" w:lineRule="auto"/>
              <w:rPr>
                <w:rFonts w:ascii="仿宋" w:hAnsi="仿宋" w:eastAsia="仿宋"/>
                <w:sz w:val="24"/>
                <w:szCs w:val="24"/>
              </w:rPr>
            </w:pPr>
            <w:r>
              <w:rPr>
                <w:rFonts w:hint="eastAsia" w:ascii="仿宋" w:hAnsi="仿宋" w:eastAsia="仿宋"/>
                <w:sz w:val="24"/>
                <w:szCs w:val="24"/>
              </w:rPr>
              <w:t xml:space="preserve">    （总分100分）</w:t>
            </w:r>
          </w:p>
        </w:tc>
        <w:tc>
          <w:tcPr>
            <w:tcW w:w="6278" w:type="dxa"/>
            <w:tcBorders>
              <w:top w:val="single" w:color="auto" w:sz="4" w:space="0"/>
              <w:left w:val="nil"/>
              <w:bottom w:val="single" w:color="auto" w:sz="4" w:space="0"/>
              <w:right w:val="single" w:color="auto" w:sz="4" w:space="0"/>
            </w:tcBorders>
            <w:vAlign w:val="bottom"/>
          </w:tcPr>
          <w:p>
            <w:pPr>
              <w:spacing w:line="360" w:lineRule="auto"/>
              <w:rPr>
                <w:rFonts w:ascii="仿宋" w:hAnsi="仿宋" w:eastAsia="仿宋"/>
                <w:sz w:val="24"/>
                <w:szCs w:val="24"/>
              </w:rPr>
            </w:pPr>
            <w:r>
              <w:rPr>
                <w:rFonts w:hint="eastAsia" w:ascii="仿宋" w:hAnsi="仿宋" w:eastAsia="仿宋"/>
                <w:sz w:val="24"/>
                <w:szCs w:val="24"/>
              </w:rPr>
              <w:t>报价得分：5</w:t>
            </w:r>
            <w:r>
              <w:rPr>
                <w:rFonts w:ascii="仿宋" w:hAnsi="仿宋" w:eastAsia="仿宋"/>
                <w:sz w:val="24"/>
                <w:szCs w:val="24"/>
              </w:rPr>
              <w:t>0</w:t>
            </w:r>
            <w:r>
              <w:rPr>
                <w:rFonts w:hint="eastAsia" w:ascii="仿宋" w:hAnsi="仿宋" w:eastAsia="仿宋"/>
                <w:sz w:val="24"/>
                <w:szCs w:val="24"/>
              </w:rPr>
              <w:t>分</w:t>
            </w:r>
          </w:p>
          <w:p>
            <w:pPr>
              <w:spacing w:line="360" w:lineRule="auto"/>
              <w:rPr>
                <w:rFonts w:ascii="仿宋" w:hAnsi="仿宋" w:eastAsia="仿宋"/>
                <w:sz w:val="24"/>
                <w:szCs w:val="24"/>
              </w:rPr>
            </w:pPr>
            <w:r>
              <w:rPr>
                <w:rFonts w:hint="eastAsia" w:ascii="仿宋" w:hAnsi="仿宋" w:eastAsia="仿宋"/>
                <w:sz w:val="24"/>
                <w:szCs w:val="24"/>
              </w:rPr>
              <w:t>商务技术评分：50分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843"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3.5.2</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sz w:val="24"/>
                <w:szCs w:val="24"/>
              </w:rPr>
            </w:pPr>
            <w:r>
              <w:rPr>
                <w:rFonts w:hint="eastAsia" w:ascii="仿宋" w:hAnsi="仿宋" w:eastAsia="仿宋"/>
                <w:sz w:val="24"/>
                <w:szCs w:val="24"/>
              </w:rPr>
              <w:t>评标基准价</w:t>
            </w:r>
          </w:p>
        </w:tc>
        <w:tc>
          <w:tcPr>
            <w:tcW w:w="6278"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left"/>
              <w:rPr>
                <w:rFonts w:ascii="仿宋" w:hAnsi="仿宋" w:eastAsia="仿宋"/>
                <w:color w:val="FF0000"/>
                <w:sz w:val="24"/>
                <w:szCs w:val="24"/>
              </w:rPr>
            </w:pPr>
            <w:r>
              <w:rPr>
                <w:rFonts w:hint="eastAsia" w:ascii="仿宋" w:hAnsi="仿宋" w:eastAsia="仿宋"/>
                <w:sz w:val="24"/>
                <w:szCs w:val="24"/>
              </w:rPr>
              <w:t>评标基准价指满足招标文件要求且投标价格最低的投标报价为评标基准价。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3412" w:hRule="atLeast"/>
        </w:trPr>
        <w:tc>
          <w:tcPr>
            <w:tcW w:w="92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3.5.3</w:t>
            </w:r>
          </w:p>
        </w:tc>
        <w:tc>
          <w:tcPr>
            <w:tcW w:w="2655" w:type="dxa"/>
            <w:gridSpan w:val="2"/>
            <w:tcBorders>
              <w:top w:val="single" w:color="auto" w:sz="4" w:space="0"/>
              <w:left w:val="nil"/>
              <w:bottom w:val="single" w:color="auto" w:sz="4" w:space="0"/>
              <w:right w:val="single" w:color="auto" w:sz="4" w:space="0"/>
            </w:tcBorders>
            <w:vAlign w:val="center"/>
          </w:tcPr>
          <w:p>
            <w:pPr>
              <w:spacing w:line="360" w:lineRule="auto"/>
              <w:ind w:firstLine="480" w:firstLineChars="200"/>
              <w:rPr>
                <w:rFonts w:ascii="仿宋" w:hAnsi="仿宋" w:eastAsia="仿宋"/>
                <w:sz w:val="24"/>
                <w:szCs w:val="24"/>
              </w:rPr>
            </w:pPr>
            <w:r>
              <w:rPr>
                <w:rFonts w:hint="eastAsia" w:ascii="仿宋" w:hAnsi="仿宋" w:eastAsia="仿宋"/>
                <w:sz w:val="24"/>
                <w:szCs w:val="24"/>
              </w:rPr>
              <w:t>投标报价得分</w:t>
            </w:r>
          </w:p>
          <w:p>
            <w:pPr>
              <w:spacing w:line="360" w:lineRule="auto"/>
              <w:ind w:firstLine="480" w:firstLineChars="200"/>
              <w:rPr>
                <w:rFonts w:ascii="仿宋" w:hAnsi="仿宋" w:eastAsia="仿宋"/>
                <w:sz w:val="24"/>
                <w:szCs w:val="24"/>
              </w:rPr>
            </w:pPr>
            <w:r>
              <w:rPr>
                <w:rFonts w:hint="eastAsia" w:ascii="仿宋" w:hAnsi="仿宋" w:eastAsia="仿宋"/>
                <w:sz w:val="24"/>
                <w:szCs w:val="24"/>
              </w:rPr>
              <w:t>（50分）</w:t>
            </w:r>
          </w:p>
        </w:tc>
        <w:tc>
          <w:tcPr>
            <w:tcW w:w="6278" w:type="dxa"/>
            <w:tcBorders>
              <w:top w:val="single" w:color="auto" w:sz="4" w:space="0"/>
              <w:left w:val="nil"/>
              <w:bottom w:val="single" w:color="auto" w:sz="4" w:space="0"/>
              <w:right w:val="single" w:color="auto" w:sz="4" w:space="0"/>
            </w:tcBorders>
            <w:vAlign w:val="center"/>
          </w:tcPr>
          <w:p>
            <w:pPr>
              <w:spacing w:line="360" w:lineRule="auto"/>
              <w:ind w:firstLine="480" w:firstLineChars="200"/>
              <w:jc w:val="left"/>
              <w:rPr>
                <w:rFonts w:ascii="仿宋" w:hAnsi="仿宋" w:eastAsia="仿宋"/>
                <w:sz w:val="24"/>
                <w:szCs w:val="24"/>
              </w:rPr>
            </w:pPr>
            <w:r>
              <w:rPr>
                <w:rFonts w:hint="eastAsia" w:ascii="仿宋" w:hAnsi="仿宋" w:eastAsia="仿宋"/>
                <w:sz w:val="24"/>
                <w:szCs w:val="24"/>
              </w:rPr>
              <w:t>价格得分=（评标基准价/投标报价）×50</w:t>
            </w:r>
          </w:p>
          <w:p>
            <w:pPr>
              <w:spacing w:line="360" w:lineRule="auto"/>
              <w:rPr>
                <w:rFonts w:ascii="仿宋" w:hAnsi="仿宋" w:eastAsia="仿宋"/>
                <w:color w:val="FF0000"/>
                <w:sz w:val="24"/>
                <w:szCs w:val="24"/>
              </w:rPr>
            </w:pPr>
            <w:r>
              <w:rPr>
                <w:rFonts w:hint="eastAsia" w:ascii="仿宋" w:hAnsi="仿宋" w:eastAsia="仿宋"/>
                <w:sz w:val="24"/>
                <w:szCs w:val="24"/>
              </w:rPr>
              <w:t>《中华人民共和国财政部令第87号》六十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color w:val="FF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784" w:hRule="atLeast"/>
        </w:trPr>
        <w:tc>
          <w:tcPr>
            <w:tcW w:w="927" w:type="dxa"/>
            <w:vMerge w:val="restart"/>
            <w:tcBorders>
              <w:top w:val="nil"/>
              <w:left w:val="single" w:color="auto" w:sz="4" w:space="0"/>
              <w:bottom w:val="single" w:color="auto" w:sz="4" w:space="0"/>
              <w:right w:val="single" w:color="auto" w:sz="4" w:space="0"/>
            </w:tcBorders>
            <w:vAlign w:val="center"/>
          </w:tcPr>
          <w:p>
            <w:pPr>
              <w:pStyle w:val="19"/>
              <w:spacing w:line="360" w:lineRule="auto"/>
              <w:jc w:val="center"/>
              <w:rPr>
                <w:rFonts w:ascii="仿宋" w:hAnsi="仿宋" w:eastAsia="仿宋"/>
                <w:sz w:val="24"/>
                <w:szCs w:val="24"/>
              </w:rPr>
            </w:pPr>
            <w:r>
              <w:rPr>
                <w:rFonts w:hint="eastAsia" w:ascii="仿宋" w:hAnsi="仿宋" w:eastAsia="仿宋"/>
                <w:sz w:val="24"/>
                <w:szCs w:val="24"/>
              </w:rPr>
              <w:t>3.5.4</w:t>
            </w:r>
          </w:p>
        </w:tc>
        <w:tc>
          <w:tcPr>
            <w:tcW w:w="1049" w:type="dxa"/>
            <w:vMerge w:val="restart"/>
            <w:tcBorders>
              <w:top w:val="nil"/>
              <w:left w:val="nil"/>
              <w:bottom w:val="single" w:color="auto" w:sz="4" w:space="0"/>
              <w:right w:val="single" w:color="auto" w:sz="4" w:space="0"/>
            </w:tcBorders>
            <w:vAlign w:val="center"/>
          </w:tcPr>
          <w:p>
            <w:pPr>
              <w:pStyle w:val="19"/>
              <w:spacing w:line="360" w:lineRule="auto"/>
              <w:jc w:val="center"/>
              <w:rPr>
                <w:rFonts w:ascii="仿宋" w:hAnsi="仿宋" w:eastAsia="仿宋"/>
                <w:sz w:val="24"/>
                <w:szCs w:val="24"/>
              </w:rPr>
            </w:pPr>
            <w:r>
              <w:rPr>
                <w:rFonts w:hint="eastAsia" w:ascii="仿宋" w:hAnsi="仿宋" w:eastAsia="仿宋"/>
                <w:sz w:val="24"/>
                <w:szCs w:val="24"/>
              </w:rPr>
              <w:t>商</w:t>
            </w:r>
          </w:p>
          <w:p>
            <w:pPr>
              <w:pStyle w:val="19"/>
              <w:spacing w:line="360" w:lineRule="auto"/>
              <w:jc w:val="center"/>
              <w:rPr>
                <w:rFonts w:ascii="仿宋" w:hAnsi="仿宋" w:eastAsia="仿宋"/>
                <w:sz w:val="24"/>
                <w:szCs w:val="24"/>
              </w:rPr>
            </w:pPr>
            <w:r>
              <w:rPr>
                <w:rFonts w:hint="eastAsia" w:ascii="仿宋" w:hAnsi="仿宋" w:eastAsia="仿宋"/>
                <w:sz w:val="24"/>
                <w:szCs w:val="24"/>
              </w:rPr>
              <w:t>务</w:t>
            </w:r>
          </w:p>
          <w:p>
            <w:pPr>
              <w:pStyle w:val="19"/>
              <w:spacing w:line="360" w:lineRule="auto"/>
              <w:jc w:val="center"/>
              <w:rPr>
                <w:rFonts w:ascii="仿宋" w:hAnsi="仿宋" w:eastAsia="仿宋"/>
                <w:sz w:val="24"/>
                <w:szCs w:val="24"/>
              </w:rPr>
            </w:pPr>
            <w:r>
              <w:rPr>
                <w:rFonts w:hint="eastAsia" w:ascii="仿宋" w:hAnsi="仿宋" w:eastAsia="仿宋"/>
                <w:sz w:val="24"/>
                <w:szCs w:val="24"/>
              </w:rPr>
              <w:t>部</w:t>
            </w:r>
          </w:p>
          <w:p>
            <w:pPr>
              <w:pStyle w:val="19"/>
              <w:spacing w:line="360" w:lineRule="auto"/>
              <w:jc w:val="center"/>
              <w:rPr>
                <w:rFonts w:ascii="仿宋" w:hAnsi="仿宋" w:eastAsia="仿宋"/>
                <w:sz w:val="24"/>
                <w:szCs w:val="24"/>
              </w:rPr>
            </w:pPr>
            <w:r>
              <w:rPr>
                <w:rFonts w:hint="eastAsia" w:ascii="仿宋" w:hAnsi="仿宋" w:eastAsia="仿宋"/>
                <w:sz w:val="24"/>
                <w:szCs w:val="24"/>
              </w:rPr>
              <w:t>分</w:t>
            </w:r>
          </w:p>
          <w:p>
            <w:pPr>
              <w:pStyle w:val="19"/>
              <w:spacing w:line="360" w:lineRule="auto"/>
              <w:jc w:val="center"/>
              <w:rPr>
                <w:rFonts w:ascii="仿宋" w:hAnsi="仿宋" w:eastAsia="仿宋"/>
                <w:sz w:val="24"/>
                <w:szCs w:val="24"/>
              </w:rPr>
            </w:pPr>
            <w:r>
              <w:rPr>
                <w:rFonts w:hint="eastAsia" w:ascii="仿宋" w:hAnsi="仿宋" w:eastAsia="仿宋"/>
                <w:sz w:val="24"/>
                <w:szCs w:val="24"/>
              </w:rPr>
              <w:t>（45分）</w:t>
            </w:r>
          </w:p>
        </w:tc>
        <w:tc>
          <w:tcPr>
            <w:tcW w:w="1606"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center"/>
              <w:rPr>
                <w:rFonts w:ascii="仿宋" w:hAnsi="仿宋" w:eastAsia="仿宋"/>
                <w:sz w:val="24"/>
                <w:szCs w:val="24"/>
              </w:rPr>
            </w:pPr>
            <w:r>
              <w:rPr>
                <w:rFonts w:hint="eastAsia" w:ascii="仿宋" w:hAnsi="仿宋" w:eastAsia="仿宋"/>
                <w:color w:val="000000"/>
                <w:sz w:val="24"/>
                <w:szCs w:val="24"/>
              </w:rPr>
              <w:t>信誉（2分）</w:t>
            </w:r>
          </w:p>
        </w:tc>
        <w:tc>
          <w:tcPr>
            <w:tcW w:w="6278"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left"/>
              <w:rPr>
                <w:rFonts w:ascii="仿宋" w:hAnsi="仿宋" w:eastAsia="仿宋"/>
                <w:kern w:val="0"/>
                <w:sz w:val="24"/>
                <w:szCs w:val="24"/>
              </w:rPr>
            </w:pPr>
            <w:r>
              <w:rPr>
                <w:rFonts w:hint="eastAsia" w:ascii="仿宋" w:hAnsi="仿宋" w:eastAsia="仿宋"/>
                <w:kern w:val="0"/>
                <w:sz w:val="24"/>
                <w:szCs w:val="24"/>
              </w:rPr>
              <w:t>1、投标人须提供工商企业信用信息公示报告【国家企业信用信息公示系统http://www.gsxt.gov.cn包括基础信息、行政许可信息、行政处罚信息、列入经营异常名录信息、列入严重违法失信企业名单（黑名单）信息】（加盖投标人公章），提供完整且无不良信息者得1分；提供企业所在地税务主管部门出具的纳税情况证明等信用情况（加盖企业所在地税务主管部门公章）的得1分，该项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2177" w:hRule="atLeast"/>
        </w:trPr>
        <w:tc>
          <w:tcPr>
            <w:tcW w:w="927"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ourier New"/>
                <w:kern w:val="0"/>
                <w:sz w:val="24"/>
                <w:szCs w:val="24"/>
              </w:rPr>
            </w:pPr>
          </w:p>
        </w:tc>
        <w:tc>
          <w:tcPr>
            <w:tcW w:w="1049" w:type="dxa"/>
            <w:vMerge w:val="continue"/>
            <w:tcBorders>
              <w:top w:val="nil"/>
              <w:left w:val="nil"/>
              <w:bottom w:val="single" w:color="auto" w:sz="4" w:space="0"/>
              <w:right w:val="single" w:color="auto" w:sz="4" w:space="0"/>
            </w:tcBorders>
            <w:vAlign w:val="center"/>
          </w:tcPr>
          <w:p>
            <w:pPr>
              <w:widowControl/>
              <w:jc w:val="left"/>
              <w:rPr>
                <w:rFonts w:ascii="仿宋" w:hAnsi="仿宋" w:eastAsia="仿宋" w:cs="Courier New"/>
                <w:kern w:val="0"/>
                <w:sz w:val="24"/>
                <w:szCs w:val="24"/>
              </w:rPr>
            </w:pPr>
          </w:p>
        </w:tc>
        <w:tc>
          <w:tcPr>
            <w:tcW w:w="1606" w:type="dxa"/>
            <w:tcBorders>
              <w:top w:val="single" w:color="auto" w:sz="4" w:space="0"/>
              <w:left w:val="nil"/>
              <w:bottom w:val="single" w:color="auto" w:sz="4" w:space="0"/>
              <w:right w:val="single" w:color="auto" w:sz="4" w:space="0"/>
            </w:tcBorders>
            <w:vAlign w:val="center"/>
          </w:tcPr>
          <w:p>
            <w:pPr>
              <w:spacing w:line="360" w:lineRule="exact"/>
              <w:jc w:val="center"/>
              <w:rPr>
                <w:rFonts w:ascii="仿宋" w:hAnsi="仿宋" w:eastAsia="仿宋"/>
                <w:sz w:val="24"/>
                <w:szCs w:val="24"/>
              </w:rPr>
            </w:pPr>
            <w:r>
              <w:rPr>
                <w:rFonts w:hint="eastAsia" w:ascii="仿宋" w:hAnsi="仿宋" w:eastAsia="仿宋"/>
                <w:kern w:val="0"/>
                <w:sz w:val="24"/>
                <w:szCs w:val="24"/>
              </w:rPr>
              <w:t>主要设备、材料的质量和性能</w:t>
            </w:r>
            <w:r>
              <w:rPr>
                <w:rFonts w:hint="eastAsia" w:ascii="仿宋" w:hAnsi="仿宋" w:eastAsia="仿宋"/>
                <w:sz w:val="24"/>
                <w:szCs w:val="24"/>
              </w:rPr>
              <w:t>（43分）</w:t>
            </w:r>
          </w:p>
        </w:tc>
        <w:tc>
          <w:tcPr>
            <w:tcW w:w="6278" w:type="dxa"/>
            <w:tcBorders>
              <w:top w:val="single" w:color="auto" w:sz="4" w:space="0"/>
              <w:left w:val="nil"/>
              <w:bottom w:val="single" w:color="auto" w:sz="4" w:space="0"/>
              <w:right w:val="single" w:color="auto" w:sz="4" w:space="0"/>
            </w:tcBorders>
            <w:vAlign w:val="center"/>
          </w:tcPr>
          <w:p>
            <w:pPr>
              <w:spacing w:line="360" w:lineRule="auto"/>
              <w:rPr>
                <w:rFonts w:ascii="仿宋" w:hAnsi="仿宋" w:eastAsia="仿宋"/>
                <w:sz w:val="24"/>
                <w:szCs w:val="24"/>
              </w:rPr>
            </w:pPr>
            <w:r>
              <w:rPr>
                <w:rFonts w:hint="eastAsia" w:ascii="仿宋" w:hAnsi="仿宋" w:eastAsia="仿宋"/>
                <w:sz w:val="24"/>
                <w:szCs w:val="24"/>
              </w:rPr>
              <w:t>1、为保证系统稳定性，主要产品为同一品牌，含云存储、多画面人脸抓拍机、高清解码器、人证比对终端为同一品牌，得2分，否则不得分。</w:t>
            </w:r>
          </w:p>
          <w:p>
            <w:pPr>
              <w:spacing w:line="360" w:lineRule="auto"/>
              <w:ind w:firstLine="72" w:firstLineChars="30"/>
              <w:jc w:val="left"/>
              <w:rPr>
                <w:rFonts w:ascii="仿宋" w:hAnsi="仿宋" w:eastAsia="仿宋" w:cs="仿宋"/>
                <w:kern w:val="0"/>
                <w:sz w:val="24"/>
                <w:szCs w:val="24"/>
              </w:rPr>
            </w:pPr>
            <w:r>
              <w:rPr>
                <w:rFonts w:hint="eastAsia" w:ascii="仿宋" w:hAnsi="仿宋" w:eastAsia="仿宋"/>
                <w:sz w:val="24"/>
                <w:szCs w:val="24"/>
              </w:rPr>
              <w:t>2、</w:t>
            </w:r>
            <w:r>
              <w:rPr>
                <w:rFonts w:hint="eastAsia" w:ascii="仿宋" w:hAnsi="仿宋" w:eastAsia="仿宋" w:cs="仿宋"/>
                <w:kern w:val="0"/>
                <w:sz w:val="24"/>
                <w:szCs w:val="24"/>
              </w:rPr>
              <w:t>所投云存储磁盘阵列产品的制造商获得中华人民共和国工商行政管理总局颁发的工商企业信用 “守合同重信用单位”荣誉的得3分,获得省级 “守合同重信用单位”荣誉 的得1分；所投千兆交换机产品的制造商获得中华人民共和国工商行政管理总局颁发的工商企业信用 “守合同重信用单位” 的得3分，获得省级 “守合同重信用单位”荣誉 的得1分。（投标时提供有效证明材料复印件并加盖原厂商公章）；</w:t>
            </w:r>
          </w:p>
          <w:p>
            <w:pPr>
              <w:spacing w:line="360" w:lineRule="auto"/>
              <w:ind w:firstLine="72" w:firstLineChars="30"/>
              <w:jc w:val="left"/>
              <w:rPr>
                <w:rFonts w:ascii="仿宋" w:hAnsi="仿宋" w:eastAsia="仿宋" w:cs="仿宋"/>
                <w:kern w:val="0"/>
                <w:sz w:val="24"/>
                <w:szCs w:val="24"/>
              </w:rPr>
            </w:pPr>
            <w:r>
              <w:rPr>
                <w:rFonts w:hint="eastAsia" w:ascii="仿宋" w:hAnsi="仿宋" w:eastAsia="仿宋" w:cs="仿宋"/>
                <w:kern w:val="0"/>
                <w:sz w:val="24"/>
                <w:szCs w:val="24"/>
              </w:rPr>
              <w:t xml:space="preserve"> 3、</w:t>
            </w:r>
            <w:r>
              <w:rPr>
                <w:rFonts w:hint="eastAsia" w:ascii="仿宋" w:hAnsi="仿宋" w:eastAsia="仿宋" w:cs="仿宋"/>
                <w:color w:val="000000"/>
                <w:kern w:val="0"/>
                <w:sz w:val="24"/>
                <w:szCs w:val="24"/>
              </w:rPr>
              <w:t>所投云存储磁盘阵列产品的制造商具有安全生产标准化二级及以上证书的得2分；所投千兆交换机产品的制造商具有安全生产标准化二级及以上证书的得2分。（投标时提供有效证明材料复印件并加盖原厂商公章）；</w:t>
            </w:r>
          </w:p>
          <w:p>
            <w:pPr>
              <w:spacing w:line="360" w:lineRule="auto"/>
              <w:jc w:val="left"/>
              <w:rPr>
                <w:rFonts w:ascii="仿宋" w:hAnsi="仿宋" w:eastAsia="仿宋"/>
                <w:sz w:val="24"/>
                <w:szCs w:val="24"/>
              </w:rPr>
            </w:pPr>
            <w:r>
              <w:rPr>
                <w:rFonts w:hint="eastAsia" w:ascii="仿宋" w:hAnsi="仿宋" w:eastAsia="仿宋"/>
                <w:sz w:val="24"/>
                <w:szCs w:val="24"/>
              </w:rPr>
              <w:t>4、云存储产品制造商获得电子百强30年创新发展领军企业证书并提供证书复印件加盖厂家公章，得1分。</w:t>
            </w:r>
          </w:p>
          <w:p>
            <w:pPr>
              <w:spacing w:line="360" w:lineRule="auto"/>
              <w:ind w:firstLine="72" w:firstLineChars="30"/>
              <w:jc w:val="left"/>
              <w:rPr>
                <w:rFonts w:ascii="仿宋" w:hAnsi="仿宋" w:eastAsia="仿宋" w:cs="仿宋"/>
                <w:kern w:val="0"/>
                <w:sz w:val="24"/>
                <w:szCs w:val="24"/>
              </w:rPr>
            </w:pPr>
            <w:r>
              <w:rPr>
                <w:rFonts w:hint="eastAsia" w:ascii="仿宋" w:hAnsi="仿宋" w:eastAsia="仿宋" w:cs="仿宋"/>
                <w:kern w:val="0"/>
                <w:sz w:val="24"/>
                <w:szCs w:val="24"/>
              </w:rPr>
              <w:t>5、投标人所投云存储磁盘阵列产品的制造商获得国家级科技类奖的得3分，获得省级科技类奖的得1分；所投交换机产品的制造商获得国家级科技类奖的得3分，获得省级科技类奖的得1分。（投标时提供有效证明材料复印件并加盖原厂商公章）；</w:t>
            </w:r>
          </w:p>
          <w:p>
            <w:pPr>
              <w:spacing w:line="360" w:lineRule="auto"/>
              <w:rPr>
                <w:rFonts w:ascii="仿宋" w:hAnsi="仿宋" w:eastAsia="仿宋"/>
                <w:sz w:val="24"/>
                <w:szCs w:val="24"/>
              </w:rPr>
            </w:pPr>
            <w:r>
              <w:rPr>
                <w:rFonts w:hint="eastAsia" w:ascii="仿宋" w:hAnsi="仿宋" w:eastAsia="仿宋"/>
                <w:sz w:val="24"/>
                <w:szCs w:val="24"/>
              </w:rPr>
              <w:t>6、多画面人脸抓拍摄像机产品制造商获得国家信息安全漏洞库（CNNVD)技术支撑单位等级证书一级并提供证书复印件加盖厂家公章，得3分；二级得1分。</w:t>
            </w:r>
          </w:p>
          <w:p>
            <w:pPr>
              <w:spacing w:line="360" w:lineRule="auto"/>
              <w:rPr>
                <w:rFonts w:ascii="仿宋" w:hAnsi="仿宋" w:eastAsia="仿宋"/>
                <w:sz w:val="24"/>
                <w:szCs w:val="24"/>
              </w:rPr>
            </w:pPr>
            <w:r>
              <w:rPr>
                <w:rFonts w:hint="eastAsia" w:ascii="仿宋" w:hAnsi="仿宋" w:eastAsia="仿宋"/>
                <w:sz w:val="24"/>
                <w:szCs w:val="24"/>
              </w:rPr>
              <w:t>7、多画面人脸抓拍摄像机产品制造商需具备中国合格评定国家认可委员会实验室认可证书并提供证书复印件加盖厂家公章，得3分。</w:t>
            </w:r>
          </w:p>
          <w:p>
            <w:pPr>
              <w:spacing w:line="360" w:lineRule="auto"/>
              <w:rPr>
                <w:rFonts w:ascii="仿宋" w:hAnsi="仿宋" w:eastAsia="仿宋" w:cs="仿宋"/>
                <w:sz w:val="24"/>
                <w:szCs w:val="24"/>
              </w:rPr>
            </w:pPr>
            <w:r>
              <w:rPr>
                <w:rFonts w:hint="eastAsia" w:ascii="仿宋" w:hAnsi="仿宋" w:eastAsia="仿宋" w:cs="仿宋"/>
                <w:sz w:val="24"/>
                <w:szCs w:val="24"/>
              </w:rPr>
              <w:t>8、设备技术参数（18分）</w:t>
            </w:r>
          </w:p>
          <w:p>
            <w:pPr>
              <w:spacing w:line="360" w:lineRule="auto"/>
              <w:rPr>
                <w:rFonts w:ascii="仿宋" w:hAnsi="仿宋" w:eastAsia="仿宋" w:cs="仿宋"/>
                <w:sz w:val="24"/>
                <w:szCs w:val="24"/>
              </w:rPr>
            </w:pPr>
            <w:r>
              <w:rPr>
                <w:rFonts w:hint="eastAsia" w:ascii="仿宋" w:hAnsi="仿宋" w:eastAsia="仿宋" w:cs="仿宋"/>
                <w:sz w:val="24"/>
                <w:szCs w:val="24"/>
              </w:rPr>
              <w:t>带★的技术参数及功能要求为关键技术指标，投标人必须按照招标文件的要求提供权威机构出具的详细描述所投设备性能、特点的检验报告复印件（复印件需加盖制造厂家公章），以证明技术参数及功能的有效性。每符合一项加1分，满分18分，不提供不得分。发现投标人提供虚假证明材料的，直接报送有关部门列入黑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Ex>
        <w:trPr>
          <w:trHeight w:val="491" w:hRule="atLeast"/>
        </w:trPr>
        <w:tc>
          <w:tcPr>
            <w:tcW w:w="927"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Courier New"/>
                <w:kern w:val="0"/>
                <w:sz w:val="24"/>
                <w:szCs w:val="24"/>
              </w:rPr>
            </w:pPr>
            <w:r>
              <w:rPr>
                <w:rFonts w:hint="eastAsia" w:ascii="仿宋" w:hAnsi="仿宋" w:eastAsia="仿宋"/>
                <w:sz w:val="24"/>
                <w:szCs w:val="24"/>
              </w:rPr>
              <w:t>3.5.5</w:t>
            </w:r>
          </w:p>
        </w:tc>
        <w:tc>
          <w:tcPr>
            <w:tcW w:w="1049" w:type="dxa"/>
            <w:tcBorders>
              <w:top w:val="nil"/>
              <w:left w:val="nil"/>
              <w:bottom w:val="single" w:color="auto" w:sz="4" w:space="0"/>
              <w:right w:val="single" w:color="auto" w:sz="4" w:space="0"/>
            </w:tcBorders>
            <w:vAlign w:val="center"/>
          </w:tcPr>
          <w:p>
            <w:pPr>
              <w:pStyle w:val="19"/>
              <w:spacing w:line="360" w:lineRule="auto"/>
              <w:jc w:val="center"/>
              <w:rPr>
                <w:rFonts w:ascii="仿宋" w:hAnsi="仿宋" w:eastAsia="仿宋"/>
                <w:sz w:val="24"/>
                <w:szCs w:val="24"/>
              </w:rPr>
            </w:pPr>
            <w:r>
              <w:rPr>
                <w:rFonts w:hint="eastAsia" w:ascii="仿宋" w:hAnsi="仿宋" w:eastAsia="仿宋"/>
                <w:sz w:val="24"/>
                <w:szCs w:val="24"/>
              </w:rPr>
              <w:t>售</w:t>
            </w:r>
          </w:p>
          <w:p>
            <w:pPr>
              <w:pStyle w:val="19"/>
              <w:spacing w:line="360" w:lineRule="auto"/>
              <w:jc w:val="center"/>
              <w:rPr>
                <w:rFonts w:ascii="仿宋" w:hAnsi="仿宋" w:eastAsia="仿宋"/>
                <w:sz w:val="24"/>
                <w:szCs w:val="24"/>
              </w:rPr>
            </w:pPr>
            <w:r>
              <w:rPr>
                <w:rFonts w:hint="eastAsia" w:ascii="仿宋" w:hAnsi="仿宋" w:eastAsia="仿宋"/>
                <w:sz w:val="24"/>
                <w:szCs w:val="24"/>
              </w:rPr>
              <w:t>后</w:t>
            </w:r>
          </w:p>
          <w:p>
            <w:pPr>
              <w:pStyle w:val="19"/>
              <w:spacing w:line="360" w:lineRule="auto"/>
              <w:jc w:val="center"/>
              <w:rPr>
                <w:rFonts w:ascii="仿宋" w:hAnsi="仿宋" w:eastAsia="仿宋"/>
                <w:sz w:val="24"/>
                <w:szCs w:val="24"/>
              </w:rPr>
            </w:pPr>
            <w:r>
              <w:rPr>
                <w:rFonts w:hint="eastAsia" w:ascii="仿宋" w:hAnsi="仿宋" w:eastAsia="仿宋"/>
                <w:sz w:val="24"/>
                <w:szCs w:val="24"/>
              </w:rPr>
              <w:t>服</w:t>
            </w:r>
          </w:p>
          <w:p>
            <w:pPr>
              <w:pStyle w:val="19"/>
              <w:spacing w:line="360" w:lineRule="auto"/>
              <w:jc w:val="center"/>
              <w:rPr>
                <w:rFonts w:ascii="仿宋" w:hAnsi="仿宋" w:eastAsia="仿宋"/>
                <w:sz w:val="24"/>
                <w:szCs w:val="24"/>
              </w:rPr>
            </w:pPr>
            <w:r>
              <w:rPr>
                <w:rFonts w:hint="eastAsia" w:ascii="仿宋" w:hAnsi="仿宋" w:eastAsia="仿宋"/>
                <w:sz w:val="24"/>
                <w:szCs w:val="24"/>
              </w:rPr>
              <w:t>务</w:t>
            </w:r>
          </w:p>
          <w:p>
            <w:pPr>
              <w:pStyle w:val="19"/>
              <w:spacing w:line="360" w:lineRule="auto"/>
              <w:jc w:val="center"/>
              <w:rPr>
                <w:rFonts w:ascii="仿宋" w:hAnsi="仿宋" w:eastAsia="仿宋"/>
                <w:sz w:val="24"/>
                <w:szCs w:val="24"/>
              </w:rPr>
            </w:pPr>
            <w:r>
              <w:rPr>
                <w:rFonts w:hint="eastAsia" w:ascii="仿宋" w:hAnsi="仿宋" w:eastAsia="仿宋"/>
                <w:sz w:val="24"/>
                <w:szCs w:val="24"/>
              </w:rPr>
              <w:t>（5分）</w:t>
            </w:r>
          </w:p>
        </w:tc>
        <w:tc>
          <w:tcPr>
            <w:tcW w:w="1606" w:type="dxa"/>
            <w:tcBorders>
              <w:top w:val="single" w:color="auto" w:sz="4" w:space="0"/>
              <w:left w:val="nil"/>
              <w:bottom w:val="single" w:color="auto" w:sz="4" w:space="0"/>
              <w:right w:val="single" w:color="auto" w:sz="4" w:space="0"/>
            </w:tcBorders>
            <w:vAlign w:val="center"/>
          </w:tcPr>
          <w:p>
            <w:pPr>
              <w:spacing w:line="360" w:lineRule="auto"/>
              <w:ind w:firstLine="72" w:firstLineChars="30"/>
              <w:jc w:val="center"/>
              <w:rPr>
                <w:rFonts w:ascii="仿宋" w:hAnsi="仿宋" w:eastAsia="仿宋"/>
                <w:sz w:val="24"/>
                <w:szCs w:val="24"/>
              </w:rPr>
            </w:pPr>
            <w:r>
              <w:rPr>
                <w:rFonts w:hint="eastAsia" w:ascii="仿宋" w:hAnsi="仿宋" w:eastAsia="仿宋"/>
                <w:sz w:val="24"/>
                <w:szCs w:val="24"/>
              </w:rPr>
              <w:t>业绩及售后服务</w:t>
            </w:r>
          </w:p>
          <w:p>
            <w:pPr>
              <w:spacing w:line="360" w:lineRule="exact"/>
              <w:jc w:val="center"/>
              <w:rPr>
                <w:rFonts w:ascii="仿宋" w:hAnsi="仿宋" w:eastAsia="仿宋"/>
                <w:sz w:val="24"/>
                <w:szCs w:val="24"/>
              </w:rPr>
            </w:pPr>
            <w:r>
              <w:rPr>
                <w:rFonts w:hint="eastAsia" w:ascii="仿宋" w:hAnsi="仿宋" w:eastAsia="仿宋"/>
                <w:sz w:val="24"/>
                <w:szCs w:val="24"/>
              </w:rPr>
              <w:t>（5分）</w:t>
            </w:r>
          </w:p>
        </w:tc>
        <w:tc>
          <w:tcPr>
            <w:tcW w:w="6278" w:type="dxa"/>
            <w:tcBorders>
              <w:top w:val="single" w:color="auto" w:sz="4" w:space="0"/>
              <w:left w:val="nil"/>
              <w:bottom w:val="single" w:color="auto" w:sz="4" w:space="0"/>
              <w:right w:val="single" w:color="auto" w:sz="4" w:space="0"/>
            </w:tcBorders>
            <w:vAlign w:val="center"/>
          </w:tcPr>
          <w:p>
            <w:pPr>
              <w:jc w:val="left"/>
              <w:rPr>
                <w:rFonts w:ascii="仿宋" w:hAnsi="仿宋" w:eastAsia="仿宋" w:cs="仿宋"/>
                <w:sz w:val="24"/>
                <w:szCs w:val="24"/>
              </w:rPr>
            </w:pPr>
            <w:r>
              <w:rPr>
                <w:rFonts w:hint="eastAsia" w:ascii="仿宋" w:hAnsi="仿宋" w:eastAsia="仿宋" w:cs="仿宋"/>
                <w:sz w:val="24"/>
                <w:szCs w:val="24"/>
              </w:rPr>
              <w:t>1、投标人每提供1份2015年1月1日以来类似项目单份合同金额在50万元以上业绩的得1分，最多得3分。（开标时提供合同、中标通知书，并在招标文件中附复印件）。</w:t>
            </w:r>
          </w:p>
          <w:p>
            <w:pPr>
              <w:spacing w:line="360" w:lineRule="auto"/>
              <w:rPr>
                <w:rFonts w:ascii="仿宋" w:hAnsi="仿宋" w:eastAsia="仿宋"/>
                <w:sz w:val="24"/>
                <w:szCs w:val="24"/>
              </w:rPr>
            </w:pPr>
            <w:r>
              <w:rPr>
                <w:rFonts w:hint="eastAsia" w:ascii="仿宋" w:hAnsi="仿宋" w:eastAsia="仿宋" w:cs="仿宋"/>
                <w:sz w:val="24"/>
                <w:szCs w:val="24"/>
              </w:rPr>
              <w:t>2、评标委员会根据售后服务的内容、形式、含免费维修时间、解决问题时间、收费标准、质保期，在0-2分范围内打分。</w:t>
            </w:r>
          </w:p>
        </w:tc>
      </w:tr>
    </w:tbl>
    <w:p>
      <w:pPr>
        <w:pStyle w:val="125"/>
        <w:spacing w:before="120" w:after="120"/>
        <w:ind w:firstLine="0" w:firstLineChars="0"/>
        <w:rPr>
          <w:rFonts w:ascii="仿宋" w:hAnsi="仿宋" w:eastAsia="仿宋" w:cs="仿宋"/>
          <w:b/>
          <w:color w:val="FF0000"/>
          <w:szCs w:val="24"/>
        </w:rPr>
      </w:pPr>
      <w:r>
        <w:rPr>
          <w:rFonts w:hint="eastAsia" w:ascii="仿宋" w:hAnsi="仿宋" w:eastAsia="仿宋" w:cs="仿宋"/>
          <w:b/>
          <w:color w:val="FF0000"/>
          <w:szCs w:val="24"/>
        </w:rPr>
        <w:t>（特别提示：以上各标段评分表中所涉及到的证件投标人在开标时候均须携带原件，未提供原件者不得分）</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ascii="仿宋" w:hAnsi="仿宋" w:eastAsia="仿宋" w:cs="仿宋"/>
                <w:color w:val="0000FF"/>
                <w:szCs w:val="24"/>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二）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二）中提供所投产品属于节能清单和环境标志清单的证明材料）。</w:t>
      </w:r>
    </w:p>
    <w:p>
      <w:pPr>
        <w:spacing w:line="360" w:lineRule="auto"/>
        <w:ind w:firstLine="360" w:firstLineChars="150"/>
        <w:rPr>
          <w:rFonts w:ascii="仿宋" w:hAnsi="仿宋" w:eastAsia="仿宋" w:cs="仿宋_GB2312"/>
          <w:sz w:val="24"/>
        </w:rPr>
      </w:pPr>
      <w:r>
        <w:rPr>
          <w:rFonts w:hint="eastAsia" w:ascii="仿宋" w:hAnsi="仿宋" w:eastAsia="仿宋" w:cs="仿宋_GB2312"/>
          <w:sz w:val="24"/>
        </w:rPr>
        <w:t>3.6计分办法</w:t>
      </w:r>
    </w:p>
    <w:p>
      <w:pPr>
        <w:spacing w:line="360" w:lineRule="auto"/>
        <w:rPr>
          <w:rFonts w:ascii="仿宋" w:hAnsi="仿宋" w:eastAsia="仿宋" w:cs="仿宋"/>
          <w:b/>
          <w:bCs/>
          <w:sz w:val="24"/>
          <w:szCs w:val="24"/>
        </w:rPr>
      </w:pPr>
      <w:r>
        <w:rPr>
          <w:rFonts w:hint="eastAsia" w:ascii="仿宋" w:hAnsi="仿宋" w:eastAsia="仿宋" w:cs="仿宋_GB2312"/>
          <w:sz w:val="24"/>
        </w:rPr>
        <w:t xml:space="preserve">   根据招标文件、投标文件，按照评分办法，得出每个评委对投标人的评标分数。投标人的最终得分为所有评委对其打分的算术平均值。计分过程按四舍五入取至小数点后两位，最终得分取至小数点后两位。</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3.7评标程序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3.7.1评标委员会对投标文件(二)进行符合性、响应性评审，不符合招标文件要求的，</w:t>
      </w:r>
      <w:r>
        <w:rPr>
          <w:rFonts w:hint="eastAsia" w:ascii="仿宋" w:hAnsi="仿宋" w:eastAsia="仿宋" w:cs="仿宋"/>
          <w:sz w:val="24"/>
          <w:szCs w:val="24"/>
        </w:rPr>
        <w:t>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bookmarkStart w:id="1" w:name="_GoBack"/>
      <w:bookmarkEnd w:id="1"/>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3.7.2评标委员会完成评标后，提出书面评标报告，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在签订合同前须向采购人交纳合同额10%以下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ascii="仿宋" w:hAnsi="仿宋" w:eastAsia="仿宋" w:cs="仿宋_GB2312"/>
          <w:sz w:val="24"/>
          <w:szCs w:val="24"/>
          <w:lang w:val="zh-CN"/>
        </w:rPr>
        <w:t xml:space="preserve">                               </w:t>
      </w:r>
      <w:r>
        <w:rPr>
          <w:rFonts w:hint="eastAsia" w:ascii="仿宋" w:hAnsi="仿宋" w:eastAsia="仿宋"/>
          <w:sz w:val="24"/>
          <w:szCs w:val="24"/>
        </w:rPr>
        <w:t>本合同双方当事人：</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甲方：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乙方：</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地址：</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cs="仿宋_GB2312"/>
          <w:sz w:val="24"/>
          <w:szCs w:val="24"/>
        </w:rPr>
        <w:t>根据《中华人民共和国合同法》及其他有关法律、法规之规定，在平等、自愿、协商一致的基础上，甲、乙双方现就         （以下简称“本项目”）咨询服务事宜，达成如下合同条款：</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第一章  总则</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第一条  编制目的</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根据               项目要求提供咨询服务，完成本项目。</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第二条  乙方的资格</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（简要叙述乙方资质及经验业绩。）</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第二章  咨询服务内容和时间安排</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第三条  咨询服务内容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乙方应结合禹州市实际发展情况，开展前期相关专题研究，并根据《县（市）以上方案内容可根据省财政厅要求及相关部门意见进行修改调整。</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第四条  工作周期</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乙方在接受委托后，应与甲方进行充分沟通，并根据甲方需求详细合理安排本项目的整体工作进度。双方同意，预定的工作周期为</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日，从</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日至</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年</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月</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日。</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第五条  工作方式</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乙方工作采用现场工作与非现场工作结合的方式。访谈及成果汇报采用现场工作方式，咨询报告编撰采用非现场工作方式。</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第六条  提交咨询工作成果</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在规划编制过程中，乙方应以书面报告和电子文档的方式向甲方提交各工作阶段的工作成果，并以工作日志、会议发言记录和会议纪要等方式对非成果性工作或以正式报告形式难以记载的工作过程予以记载，根据甲方修改意见进行调整和优化。</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第三章</w:t>
      </w:r>
      <w:r>
        <w:rPr>
          <w:rFonts w:hint="eastAsia" w:ascii="仿宋" w:hAnsi="仿宋" w:eastAsia="仿宋"/>
          <w:b/>
          <w:bCs/>
          <w:sz w:val="28"/>
          <w:szCs w:val="28"/>
        </w:rPr>
        <w:tab/>
      </w:r>
      <w:r>
        <w:rPr>
          <w:rFonts w:hint="eastAsia" w:ascii="仿宋" w:hAnsi="仿宋" w:eastAsia="仿宋"/>
          <w:b/>
          <w:bCs/>
          <w:sz w:val="28"/>
          <w:szCs w:val="28"/>
        </w:rPr>
        <w:t>双方的职责和义务</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第七条  甲方的职责和义务</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为了保证实现规划目标，甲方有权对乙方咨询人员提出具体和明确的合理要求。</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甲方应积极协调相关单位，协助乙方开展调研访谈工作，并根据乙方的合理要求，负责向乙方及时提供有关基础资料。</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甲方应当全面、真实地叙述与本项目事务有关的各种情况，并保证所提供的一切相关文件真实、合法和有效。</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甲方应为乙方开展本项工作提供必要的办公地点和办公条件。规划编制过程中，协助有关政府部门和单位的协调，负责规划组织工作，提供会议室、集中资料室及其他便利条件，并承担相应费用。</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甲方应为本项目安排相应的联系人，并安排相关负责人员与乙方就规划情况及重大问题深入沟通，在技术问题上为乙方提供必要的人员支持。</w:t>
      </w:r>
    </w:p>
    <w:p>
      <w:pPr>
        <w:numPr>
          <w:ilvl w:val="0"/>
          <w:numId w:val="9"/>
        </w:numPr>
        <w:spacing w:line="360" w:lineRule="auto"/>
        <w:ind w:left="0" w:firstLine="482"/>
        <w:rPr>
          <w:rFonts w:ascii="仿宋" w:hAnsi="仿宋" w:eastAsia="仿宋" w:cs="仿宋_GB2312"/>
          <w:sz w:val="24"/>
          <w:szCs w:val="24"/>
        </w:rPr>
      </w:pPr>
      <w:r>
        <w:rPr>
          <w:rFonts w:hint="eastAsia" w:ascii="仿宋" w:hAnsi="仿宋" w:eastAsia="仿宋" w:cs="仿宋_GB2312"/>
          <w:sz w:val="24"/>
          <w:szCs w:val="24"/>
        </w:rPr>
        <w:t>甲方应按本合同规定及时足额支付相应的费用。</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第八条  乙方的职责和义务</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乙方应充分理解甲方的意图，其工作思路、想法须贯穿规划编制的过程。</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提供第三条所述咨询服务，并对咨询服务质量负责，确保甲方权益。</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选派合格和足够的咨询人员，保证咨询人员足够的工作时间以及时迅捷地提供咨询服务。若甲方对任何咨询人员不满意且提出正当理由，则乙方应及时更换。</w:t>
      </w:r>
    </w:p>
    <w:p>
      <w:pPr>
        <w:numPr>
          <w:ilvl w:val="0"/>
          <w:numId w:val="10"/>
        </w:numPr>
        <w:spacing w:line="360" w:lineRule="auto"/>
        <w:ind w:left="0" w:firstLine="420"/>
        <w:rPr>
          <w:rFonts w:ascii="仿宋" w:hAnsi="仿宋" w:eastAsia="仿宋" w:cs="仿宋_GB2312"/>
          <w:sz w:val="24"/>
          <w:szCs w:val="24"/>
        </w:rPr>
      </w:pPr>
      <w:r>
        <w:rPr>
          <w:rFonts w:hint="eastAsia" w:ascii="仿宋" w:hAnsi="仿宋" w:eastAsia="仿宋" w:cs="仿宋_GB2312"/>
          <w:sz w:val="24"/>
          <w:szCs w:val="24"/>
        </w:rPr>
        <w:t>同甲方共同商定咨询服务工作计划，对工作进度进行控制，并按照工作计划安排及时向甲方汇报工作。</w:t>
      </w:r>
    </w:p>
    <w:p>
      <w:pPr>
        <w:numPr>
          <w:ilvl w:val="0"/>
          <w:numId w:val="10"/>
        </w:numPr>
        <w:spacing w:line="360" w:lineRule="auto"/>
        <w:rPr>
          <w:rFonts w:ascii="仿宋" w:hAnsi="仿宋" w:eastAsia="仿宋" w:cs="仿宋_GB2312"/>
          <w:sz w:val="24"/>
          <w:szCs w:val="24"/>
        </w:rPr>
      </w:pPr>
      <w:r>
        <w:rPr>
          <w:rFonts w:hint="eastAsia" w:ascii="仿宋" w:hAnsi="仿宋" w:eastAsia="仿宋" w:cs="仿宋_GB2312"/>
          <w:sz w:val="24"/>
          <w:szCs w:val="24"/>
        </w:rPr>
        <w:t>根据合同约定的支付方式及时通知甲方支付咨询服务费。</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第四章  咨询服务费用和支付方式</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第九条  咨询服务费用</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甲方将就乙方为履行本协议第三条规定的服务向乙方支付咨询服务费：</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人民币。该费用包含乙方及其现场工作人员因本项目而发生的全部费用。</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第十条  咨询服务费的支付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经双方协商确定，本项目咨询服务费按照以下方式支付：</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本合同签订后三天内，甲方向乙方支付咨询服务费总额的50％，即人民币</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元。在本项目终稿提交后三天内，甲方支付乙方咨询服务费总额的50％，即人民币             元。</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第五章  违约责任与赔偿</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第十一条  善意履行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甲乙双方应认真履行本合同的规定，任何一方无正当理由不得单方面终止本合同。</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第十二条  违约</w:t>
      </w:r>
    </w:p>
    <w:p>
      <w:pPr>
        <w:spacing w:line="360" w:lineRule="auto"/>
        <w:ind w:firstLine="480" w:firstLineChars="200"/>
        <w:rPr>
          <w:rFonts w:ascii="仿宋" w:hAnsi="仿宋" w:eastAsia="仿宋" w:cs="仿宋_GB2312"/>
          <w:sz w:val="24"/>
          <w:szCs w:val="24"/>
        </w:rPr>
      </w:pPr>
      <w:r>
        <w:rPr>
          <w:rFonts w:hint="eastAsia" w:ascii="仿宋" w:hAnsi="仿宋" w:eastAsia="仿宋"/>
          <w:sz w:val="24"/>
          <w:szCs w:val="24"/>
        </w:rPr>
        <w:t>如果由于任何一方违约，导致另一方无法履行本合同项下权利和义务或给对方造</w:t>
      </w:r>
      <w:r>
        <w:rPr>
          <w:rFonts w:hint="eastAsia" w:ascii="仿宋" w:hAnsi="仿宋" w:eastAsia="仿宋" w:cs="仿宋_GB2312"/>
          <w:sz w:val="24"/>
          <w:szCs w:val="24"/>
        </w:rPr>
        <w:t>成重大经济损失，违约方应承担违约责任，守约方有权终止本合同。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甲方赔偿额以未支付的咨询服务费用为限，乙方赔偿额以已收到咨询服务费用为限。</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如甲方未按照本协议第十条规定及时支付咨询服务费，乙方有权中止咨询服务工作，直至款到后继续履约，且每延期一天，甲方应向乙方额外支付千分之一的迟延履行违约金。</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由于乙方故意或重大过失未按照工作计划完成阶段任务，每延误一天，乙方向甲方支付该阶段咨询费千分之一违约金，直至提供服务为止。误期赔偿费的最高限额为合同价格的10%。一旦达到误期赔偿费的最高限额，甲方有权终止合同。</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第六章  不可抗力</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第十三条  通知义务</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任何一方由于不可抗力而影响其履行合同所规定的义务的，受事件影响的一方应尽快将发生的不可抗力事件的情况以传真或特快专递等形式通知另一方，说明发生不可抗力以及不可抗力可能持续的时间。</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第十四条  继续履行</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双方在不可抗力事件停止后或影响消除后应立即继续履行合同义务，合同有效期和/或有关履行合同的预定的期限应相应延长。</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第十五条  损失承担</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双方应承担各自因不可抗力造成的损失。</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第七章  争议解决</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第十六条  友好协商解决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双方应本着平等互利、友好合作的精神保证本合同的顺利履行。如在履行过程中发生争议，应首先通过友好协商解决。</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第十七条  诉讼解决</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如根据第十六条不能解决争议时，任何一方有权向甲方所在地法院提起诉讼。</w:t>
      </w:r>
    </w:p>
    <w:p>
      <w:pPr>
        <w:pStyle w:val="126"/>
        <w:spacing w:before="0" w:beforeAutospacing="0" w:after="0" w:afterAutospacing="0" w:line="360" w:lineRule="auto"/>
        <w:ind w:left="0" w:leftChars="0"/>
        <w:jc w:val="center"/>
        <w:rPr>
          <w:rFonts w:ascii="仿宋" w:hAnsi="仿宋" w:eastAsia="仿宋"/>
          <w:b/>
          <w:bCs/>
          <w:sz w:val="28"/>
          <w:szCs w:val="28"/>
        </w:rPr>
      </w:pPr>
      <w:r>
        <w:rPr>
          <w:rFonts w:hint="eastAsia" w:ascii="仿宋" w:hAnsi="仿宋" w:eastAsia="仿宋"/>
          <w:b/>
          <w:bCs/>
          <w:sz w:val="28"/>
          <w:szCs w:val="28"/>
        </w:rPr>
        <w:t>第八章</w:t>
      </w:r>
      <w:r>
        <w:rPr>
          <w:rFonts w:hint="eastAsia" w:ascii="仿宋" w:hAnsi="仿宋" w:eastAsia="仿宋"/>
          <w:b/>
          <w:bCs/>
          <w:sz w:val="28"/>
          <w:szCs w:val="28"/>
        </w:rPr>
        <w:tab/>
      </w:r>
      <w:r>
        <w:rPr>
          <w:rFonts w:hint="eastAsia" w:ascii="仿宋" w:hAnsi="仿宋" w:eastAsia="仿宋"/>
          <w:b/>
          <w:bCs/>
          <w:sz w:val="28"/>
          <w:szCs w:val="28"/>
        </w:rPr>
        <w:t>保密及其它</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第十八条  保密</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未经对方允许，任何一方不得将对方收集、整理、复制、研究和准备的与本合同项下工作有关的任何资料提供给任何第三方。</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任何一方不得将本合同内容，包括合同内容、咨询费用、支付信息及乙方为甲方提供的咨询服务成果等提供给任何第三方（甲方为了规划审批、接受审计等在征得乙方书面同意后方可向其他方提供的情况除外）。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关于保密的规定在本合同终止后五年内仍然有效。</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第十九条  合同生效</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本合同自双方代表签字并加盖公章之日起生效，至本项目终稿提交且甲方向乙方付清全部咨询服务费用之日终止。</w:t>
      </w:r>
    </w:p>
    <w:p>
      <w:pPr>
        <w:pStyle w:val="126"/>
        <w:spacing w:before="0" w:beforeAutospacing="0" w:after="0" w:afterAutospacing="0" w:line="36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第二十条  其他</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咨询成果的知识产权归甲乙双方共同拥有。</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本合同由正文、附件以及相关会议备忘录（如有）等组成，以上各部分均是合同不可分割的组成部分，具有同等的法律效应。</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本合同未尽事宜可由双方协商签订补充协议。本合同的修改和补充必须以书面形式方为有效。合同的修改和补充与本合同具有同等效力。</w:t>
      </w:r>
    </w:p>
    <w:p>
      <w:pPr>
        <w:spacing w:line="360" w:lineRule="auto"/>
        <w:ind w:firstLine="480" w:firstLineChars="200"/>
        <w:rPr>
          <w:rFonts w:ascii="仿宋" w:hAnsi="仿宋" w:eastAsia="仿宋" w:cs="仿宋_GB2312"/>
          <w:sz w:val="24"/>
          <w:szCs w:val="24"/>
        </w:rPr>
      </w:pPr>
      <w:r>
        <w:rPr>
          <w:rFonts w:hint="eastAsia" w:ascii="仿宋" w:hAnsi="仿宋" w:eastAsia="仿宋" w:cs="仿宋_GB2312"/>
          <w:sz w:val="24"/>
          <w:szCs w:val="24"/>
        </w:rPr>
        <w:t>本合同正本一式份，甲方执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份，乙方执</w:t>
      </w:r>
      <w:r>
        <w:rPr>
          <w:rFonts w:hint="eastAsia" w:ascii="仿宋" w:hAnsi="仿宋" w:eastAsia="仿宋" w:cs="仿宋_GB2312"/>
          <w:sz w:val="24"/>
          <w:szCs w:val="24"/>
          <w:u w:val="single"/>
        </w:rPr>
        <w:t xml:space="preserve">      </w:t>
      </w:r>
      <w:r>
        <w:rPr>
          <w:rFonts w:hint="eastAsia" w:ascii="仿宋" w:hAnsi="仿宋" w:eastAsia="仿宋" w:cs="仿宋_GB2312"/>
          <w:sz w:val="24"/>
          <w:szCs w:val="24"/>
        </w:rPr>
        <w:t>份。</w:t>
      </w:r>
    </w:p>
    <w:p>
      <w:pPr>
        <w:pStyle w:val="126"/>
        <w:spacing w:before="0" w:beforeAutospacing="0" w:after="0" w:afterAutospacing="0" w:line="480" w:lineRule="auto"/>
        <w:ind w:left="0" w:leftChars="0"/>
        <w:jc w:val="center"/>
        <w:rPr>
          <w:rFonts w:ascii="仿宋" w:hAnsi="仿宋" w:eastAsia="仿宋"/>
          <w:sz w:val="24"/>
          <w:szCs w:val="24"/>
        </w:rPr>
      </w:pPr>
      <w:r>
        <w:rPr>
          <w:rFonts w:hint="eastAsia" w:ascii="仿宋" w:hAnsi="仿宋" w:eastAsia="仿宋"/>
          <w:sz w:val="24"/>
          <w:szCs w:val="24"/>
        </w:rPr>
        <w:br w:type="page"/>
      </w:r>
      <w:r>
        <w:rPr>
          <w:rFonts w:hint="eastAsia" w:ascii="仿宋" w:hAnsi="仿宋" w:eastAsia="仿宋"/>
          <w:sz w:val="24"/>
          <w:szCs w:val="24"/>
        </w:rPr>
        <w:t>（本页为签字页，无正文）</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甲方（盖章）：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法定代表人：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或授权代表：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 xml:space="preserve"> </w:t>
      </w:r>
    </w:p>
    <w:p>
      <w:pPr>
        <w:pStyle w:val="126"/>
        <w:spacing w:before="0" w:beforeAutospacing="0" w:after="0" w:afterAutospacing="0" w:line="480" w:lineRule="auto"/>
        <w:ind w:left="0" w:leftChars="0" w:firstLine="482" w:firstLineChars="200"/>
        <w:rPr>
          <w:rFonts w:ascii="仿宋" w:hAnsi="仿宋" w:eastAsia="仿宋"/>
          <w:b/>
          <w:bCs/>
          <w:sz w:val="24"/>
          <w:szCs w:val="24"/>
        </w:rPr>
      </w:pPr>
      <w:r>
        <w:rPr>
          <w:rFonts w:hint="eastAsia" w:ascii="仿宋" w:hAnsi="仿宋" w:eastAsia="仿宋"/>
          <w:b/>
          <w:bCs/>
          <w:sz w:val="24"/>
          <w:szCs w:val="24"/>
        </w:rPr>
        <w:t xml:space="preserve">乙方（盖章）： </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法定代表人：</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或授权代表：</w:t>
      </w:r>
    </w:p>
    <w:p>
      <w:pPr>
        <w:pStyle w:val="126"/>
        <w:spacing w:before="0" w:beforeAutospacing="0" w:after="0" w:afterAutospacing="0" w:line="480" w:lineRule="auto"/>
        <w:ind w:left="0" w:leftChars="0" w:firstLine="480" w:firstLineChars="200"/>
        <w:rPr>
          <w:rFonts w:ascii="仿宋" w:hAnsi="仿宋" w:eastAsia="仿宋"/>
          <w:sz w:val="24"/>
          <w:szCs w:val="24"/>
        </w:rPr>
      </w:pPr>
      <w:r>
        <w:rPr>
          <w:rFonts w:hint="eastAsia" w:ascii="仿宋" w:hAnsi="仿宋" w:eastAsia="仿宋"/>
          <w:sz w:val="24"/>
          <w:szCs w:val="24"/>
        </w:rPr>
        <w:t>签字时间：             年       月       日</w:t>
      </w:r>
    </w:p>
    <w:p>
      <w:pPr>
        <w:spacing w:line="360" w:lineRule="auto"/>
        <w:ind w:firstLine="7302" w:firstLineChars="1653"/>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883" w:firstLineChars="2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spacing w:line="500" w:lineRule="exact"/>
        <w:ind w:firstLine="1325" w:firstLineChars="300"/>
        <w:rPr>
          <w:rFonts w:ascii="仿宋_GB2312" w:hAnsi="仿宋_GB2312" w:eastAsia="仿宋_GB2312" w:cs="仿宋_GB2312"/>
          <w:b/>
          <w:sz w:val="44"/>
        </w:rPr>
      </w:pPr>
    </w:p>
    <w:p>
      <w:pPr>
        <w:numPr>
          <w:ilvl w:val="0"/>
          <w:numId w:val="11"/>
        </w:numPr>
        <w:autoSpaceDE w:val="0"/>
        <w:autoSpaceDN w:val="0"/>
        <w:adjustRightInd w:val="0"/>
        <w:spacing w:line="360" w:lineRule="auto"/>
        <w:rPr>
          <w:rFonts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投标文件（一）</w:t>
      </w:r>
    </w:p>
    <w:p>
      <w:pPr>
        <w:spacing w:line="360" w:lineRule="auto"/>
        <w:ind w:firstLine="3120" w:firstLineChars="1300"/>
        <w:rPr>
          <w:rFonts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bCs/>
          <w:sz w:val="28"/>
          <w:szCs w:val="28"/>
        </w:rPr>
        <w:t xml:space="preserve">  正本/副本</w:t>
      </w:r>
    </w:p>
    <w:p>
      <w:pPr>
        <w:spacing w:line="360" w:lineRule="auto"/>
        <w:rPr>
          <w:rFonts w:ascii="仿宋_GB2312" w:hAnsi="仿宋_GB2312" w:eastAsia="仿宋_GB2312" w:cs="仿宋_GB2312"/>
          <w:b/>
          <w:sz w:val="24"/>
          <w:szCs w:val="32"/>
        </w:rPr>
      </w:pPr>
    </w:p>
    <w:p>
      <w:pPr>
        <w:spacing w:line="360" w:lineRule="auto"/>
        <w:jc w:val="center"/>
        <w:rPr>
          <w:rFonts w:ascii="仿宋_GB2312" w:hAnsi="仿宋_GB2312" w:eastAsia="仿宋_GB2312" w:cs="仿宋_GB2312"/>
          <w:sz w:val="16"/>
          <w:szCs w:val="44"/>
        </w:rPr>
      </w:pPr>
    </w:p>
    <w:p>
      <w:pPr>
        <w:spacing w:line="360" w:lineRule="auto"/>
        <w:ind w:firstLine="1084" w:firstLineChars="300"/>
        <w:rPr>
          <w:rFonts w:ascii="仿宋_GB2312" w:hAnsi="仿宋_GB2312" w:eastAsia="仿宋_GB2312" w:cs="仿宋_GB2312"/>
          <w:sz w:val="16"/>
          <w:szCs w:val="44"/>
        </w:rPr>
      </w:pPr>
      <w:r>
        <w:rPr>
          <w:rFonts w:hint="eastAsia"/>
          <w:b/>
          <w:bCs/>
          <w:sz w:val="36"/>
          <w:szCs w:val="36"/>
        </w:rPr>
        <w:t>-----------------------------------------（项目名称）</w:t>
      </w:r>
    </w:p>
    <w:p>
      <w:pPr>
        <w:spacing w:line="360"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投标文件（二）</w:t>
      </w:r>
    </w:p>
    <w:p>
      <w:pPr>
        <w:spacing w:line="360" w:lineRule="auto"/>
        <w:ind w:firstLine="3360" w:firstLineChars="1400"/>
        <w:rPr>
          <w:rFonts w:ascii="仿宋_GB2312" w:hAnsi="仿宋_GB2312" w:eastAsia="仿宋_GB2312" w:cs="仿宋_GB2312"/>
          <w:sz w:val="24"/>
          <w:szCs w:val="24"/>
        </w:rPr>
      </w:pPr>
      <w:r>
        <w:rPr>
          <w:rFonts w:hint="eastAsia" w:ascii="仿宋_GB2312" w:hAnsi="仿宋_GB2312" w:eastAsia="仿宋_GB2312" w:cs="仿宋_GB2312"/>
          <w:sz w:val="24"/>
          <w:szCs w:val="24"/>
        </w:rPr>
        <w:t>（符合性证明文件）</w:t>
      </w: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sz w:val="16"/>
          <w:szCs w:val="44"/>
        </w:rPr>
      </w:pPr>
    </w:p>
    <w:p>
      <w:pPr>
        <w:spacing w:line="360" w:lineRule="auto"/>
        <w:jc w:val="center"/>
        <w:rPr>
          <w:rFonts w:ascii="仿宋_GB2312" w:hAnsi="仿宋_GB2312" w:eastAsia="仿宋_GB2312" w:cs="仿宋_GB2312"/>
          <w:b/>
          <w:sz w:val="72"/>
          <w:szCs w:val="72"/>
        </w:rPr>
      </w:pPr>
      <w:r>
        <w:rPr>
          <w:rFonts w:hint="eastAsia" w:ascii="仿宋_GB2312" w:hAnsi="仿宋_GB2312" w:eastAsia="仿宋_GB2312" w:cs="仿宋_GB2312"/>
          <w:b/>
          <w:sz w:val="72"/>
          <w:szCs w:val="72"/>
        </w:rPr>
        <w:t>投   标 文 件</w:t>
      </w:r>
    </w:p>
    <w:p>
      <w:pPr>
        <w:ind w:firstLine="2249" w:firstLineChars="800"/>
        <w:rPr>
          <w:rFonts w:ascii="仿宋_GB2312" w:hAnsi="仿宋_GB2312" w:eastAsia="仿宋_GB2312" w:cs="仿宋_GB2312"/>
          <w:b/>
          <w:sz w:val="28"/>
          <w:szCs w:val="28"/>
        </w:rPr>
      </w:pPr>
    </w:p>
    <w:p>
      <w:pPr>
        <w:spacing w:line="360" w:lineRule="auto"/>
        <w:jc w:val="center"/>
        <w:rPr>
          <w:rFonts w:ascii="仿宋_GB2312" w:hAnsi="仿宋_GB2312" w:eastAsia="仿宋_GB2312" w:cs="仿宋_GB2312"/>
          <w:b/>
          <w:sz w:val="32"/>
          <w:szCs w:val="32"/>
        </w:rPr>
      </w:pP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28"/>
          <w:szCs w:val="28"/>
        </w:rPr>
        <w:t>项目名称：</w:t>
      </w:r>
    </w:p>
    <w:p>
      <w:pPr>
        <w:spacing w:line="360" w:lineRule="auto"/>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采购编号：</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投  标  人： -----------------（盖章）</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法定代表人或授权代表：      （签字）</w:t>
      </w:r>
    </w:p>
    <w:p>
      <w:pPr>
        <w:spacing w:line="360" w:lineRule="auto"/>
        <w:ind w:firstLine="1820" w:firstLineChars="650"/>
        <w:rPr>
          <w:rFonts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autoSpaceDE w:val="0"/>
        <w:autoSpaceDN w:val="0"/>
        <w:adjustRightInd w:val="0"/>
        <w:spacing w:line="360" w:lineRule="auto"/>
        <w:ind w:left="2813"/>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pStyle w:val="2"/>
        <w:rPr>
          <w:rFonts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r>
        <w:rPr>
          <w:rFonts w:hint="eastAsia" w:ascii="仿宋" w:hAnsi="仿宋" w:eastAsia="仿宋" w:cs="宋体"/>
          <w:bCs/>
          <w:color w:val="FF0000"/>
          <w:sz w:val="24"/>
          <w:szCs w:val="24"/>
          <w:lang w:val="en-US" w:eastAsia="zh-CN"/>
        </w:rPr>
        <w:t>2015年1月1日以来</w:t>
      </w:r>
      <w:r>
        <w:rPr>
          <w:rFonts w:hint="eastAsia" w:ascii="仿宋" w:hAnsi="仿宋" w:eastAsia="仿宋" w:cs="宋体"/>
          <w:bCs/>
          <w:color w:val="FF0000"/>
          <w:sz w:val="24"/>
          <w:szCs w:val="24"/>
          <w:lang w:val="zh-CN"/>
        </w:rPr>
        <w:t>）。</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ascii="仿宋" w:hAnsi="仿宋" w:eastAsia="仿宋" w:cs="宋体"/>
          <w:sz w:val="24"/>
          <w:szCs w:val="24"/>
        </w:rPr>
      </w:pPr>
      <w:r>
        <w:rPr>
          <w:rFonts w:hint="eastAsia" w:ascii="仿宋" w:hAnsi="仿宋" w:eastAsia="仿宋" w:cs="宋体"/>
          <w:sz w:val="24"/>
          <w:szCs w:val="24"/>
        </w:rPr>
        <w:t>1、</w:t>
      </w:r>
      <w:r>
        <w:rPr>
          <w:rFonts w:hint="eastAsia" w:ascii="仿宋" w:hAnsi="仿宋" w:eastAsia="仿宋" w:cs="仿宋"/>
          <w:sz w:val="24"/>
          <w:szCs w:val="24"/>
        </w:rPr>
        <w:t>所附报价表中规定的应提供和交付的货物总价为人民币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投标人名称：（签章）：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1205" w:firstLineChars="500"/>
        <w:jc w:val="left"/>
        <w:rPr>
          <w:rFonts w:ascii="仿宋" w:hAnsi="仿宋" w:eastAsia="仿宋" w:cs="仿宋_GB2312"/>
          <w:b/>
          <w:bCs/>
          <w:sz w:val="24"/>
          <w:szCs w:val="24"/>
        </w:rPr>
      </w:pPr>
      <w:r>
        <w:rPr>
          <w:rFonts w:hint="eastAsia" w:ascii="仿宋" w:hAnsi="仿宋" w:eastAsia="仿宋" w:cs="仿宋_GB2312"/>
          <w:b/>
          <w:bCs/>
          <w:sz w:val="24"/>
          <w:szCs w:val="24"/>
        </w:rPr>
        <w:t>（技术参数及评分标准要求中所提供的相关证明材料复印件）</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17</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54340"/>
    <w:multiLevelType w:val="singleLevel"/>
    <w:tmpl w:val="FE154340"/>
    <w:lvl w:ilvl="0" w:tentative="0">
      <w:start w:val="1"/>
      <w:numFmt w:val="chineseCounting"/>
      <w:suff w:val="nothing"/>
      <w:lvlText w:val="%1、"/>
      <w:lvlJc w:val="left"/>
      <w:rPr>
        <w:rFonts w:hint="eastAsia"/>
      </w:rPr>
    </w:lvl>
  </w:abstractNum>
  <w:abstractNum w:abstractNumId="1">
    <w:nsid w:val="01537C7D"/>
    <w:multiLevelType w:val="multilevel"/>
    <w:tmpl w:val="01537C7D"/>
    <w:lvl w:ilvl="0" w:tentative="0">
      <w:start w:val="1"/>
      <w:numFmt w:val="decimal"/>
      <w:lvlText w:val="%1."/>
      <w:lvlJc w:val="left"/>
      <w:pPr>
        <w:ind w:left="846"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0B9F259E"/>
    <w:multiLevelType w:val="singleLevel"/>
    <w:tmpl w:val="0B9F259E"/>
    <w:lvl w:ilvl="0" w:tentative="0">
      <w:start w:val="9"/>
      <w:numFmt w:val="chineseCounting"/>
      <w:suff w:val="nothing"/>
      <w:lvlText w:val="第%1部分　"/>
      <w:lvlJc w:val="left"/>
      <w:pPr>
        <w:ind w:left="2813" w:firstLine="0"/>
      </w:pPr>
      <w:rPr>
        <w:rFonts w:hint="eastAsia"/>
      </w:rPr>
    </w:lvl>
  </w:abstractNum>
  <w:abstractNum w:abstractNumId="3">
    <w:nsid w:val="270A65C3"/>
    <w:multiLevelType w:val="multilevel"/>
    <w:tmpl w:val="270A65C3"/>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28A4CB1C"/>
    <w:multiLevelType w:val="singleLevel"/>
    <w:tmpl w:val="28A4CB1C"/>
    <w:lvl w:ilvl="0" w:tentative="0">
      <w:start w:val="19"/>
      <w:numFmt w:val="decimal"/>
      <w:suff w:val="nothing"/>
      <w:lvlText w:val="%1、"/>
      <w:lvlJc w:val="left"/>
    </w:lvl>
  </w:abstractNum>
  <w:abstractNum w:abstractNumId="5">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B38C3AC"/>
    <w:multiLevelType w:val="singleLevel"/>
    <w:tmpl w:val="3B38C3AC"/>
    <w:lvl w:ilvl="0" w:tentative="0">
      <w:start w:val="4"/>
      <w:numFmt w:val="chineseCounting"/>
      <w:suff w:val="space"/>
      <w:lvlText w:val="第%1部分"/>
      <w:lvlJc w:val="left"/>
      <w:rPr>
        <w:rFonts w:hint="eastAsia"/>
      </w:rPr>
    </w:lvl>
  </w:abstractNum>
  <w:abstractNum w:abstractNumId="7">
    <w:nsid w:val="56E374A4"/>
    <w:multiLevelType w:val="singleLevel"/>
    <w:tmpl w:val="56E374A4"/>
    <w:lvl w:ilvl="0" w:tentative="0">
      <w:start w:val="9"/>
      <w:numFmt w:val="decimal"/>
      <w:pStyle w:val="119"/>
      <w:suff w:val="nothing"/>
      <w:lvlText w:val="%1、"/>
      <w:lvlJc w:val="left"/>
    </w:lvl>
  </w:abstractNum>
  <w:abstractNum w:abstractNumId="8">
    <w:nsid w:val="5A0532E2"/>
    <w:multiLevelType w:val="singleLevel"/>
    <w:tmpl w:val="5A0532E2"/>
    <w:lvl w:ilvl="0" w:tentative="0">
      <w:start w:val="4"/>
      <w:numFmt w:val="chineseCounting"/>
      <w:suff w:val="nothing"/>
      <w:lvlText w:val="第%1部"/>
      <w:lvlJc w:val="left"/>
    </w:lvl>
  </w:abstractNum>
  <w:abstractNum w:abstractNumId="9">
    <w:nsid w:val="5A27AEF7"/>
    <w:multiLevelType w:val="multilevel"/>
    <w:tmpl w:val="5A27AEF7"/>
    <w:lvl w:ilvl="0" w:tentative="0">
      <w:start w:val="2"/>
      <w:numFmt w:val="chineseCounting"/>
      <w:suff w:val="nothing"/>
      <w:lvlText w:val="（%1）"/>
      <w:lvlJc w:val="left"/>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abstractNum w:abstractNumId="10">
    <w:nsid w:val="5A30CB82"/>
    <w:multiLevelType w:val="singleLevel"/>
    <w:tmpl w:val="5A30CB82"/>
    <w:lvl w:ilvl="0" w:tentative="0">
      <w:start w:val="1"/>
      <w:numFmt w:val="chineseCounting"/>
      <w:suff w:val="space"/>
      <w:lvlText w:val="第%1部分"/>
      <w:lvlJc w:val="left"/>
    </w:lvl>
  </w:abstractNum>
  <w:num w:numId="1">
    <w:abstractNumId w:val="7"/>
  </w:num>
  <w:num w:numId="2">
    <w:abstractNumId w:val="10"/>
  </w:num>
  <w:num w:numId="3">
    <w:abstractNumId w:val="9"/>
  </w:num>
  <w:num w:numId="4">
    <w:abstractNumId w:val="5"/>
  </w:num>
  <w:num w:numId="5">
    <w:abstractNumId w:val="4"/>
  </w:num>
  <w:num w:numId="6">
    <w:abstractNumId w:val="8"/>
  </w:num>
  <w:num w:numId="7">
    <w:abstractNumId w:val="6"/>
  </w:num>
  <w:num w:numId="8">
    <w:abstractNumId w:val="0"/>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C42"/>
    <w:rsid w:val="0001125C"/>
    <w:rsid w:val="0001130F"/>
    <w:rsid w:val="000166A7"/>
    <w:rsid w:val="0002009C"/>
    <w:rsid w:val="00020B45"/>
    <w:rsid w:val="00020CA6"/>
    <w:rsid w:val="00022295"/>
    <w:rsid w:val="00026F37"/>
    <w:rsid w:val="00027DC2"/>
    <w:rsid w:val="0003474C"/>
    <w:rsid w:val="000401F4"/>
    <w:rsid w:val="000403D3"/>
    <w:rsid w:val="0004040B"/>
    <w:rsid w:val="00045C71"/>
    <w:rsid w:val="00046011"/>
    <w:rsid w:val="00053691"/>
    <w:rsid w:val="0005417E"/>
    <w:rsid w:val="00055FE9"/>
    <w:rsid w:val="00057824"/>
    <w:rsid w:val="00062FB4"/>
    <w:rsid w:val="00064349"/>
    <w:rsid w:val="00067144"/>
    <w:rsid w:val="00070CCA"/>
    <w:rsid w:val="0007139F"/>
    <w:rsid w:val="00072DE0"/>
    <w:rsid w:val="00082E72"/>
    <w:rsid w:val="00083AE7"/>
    <w:rsid w:val="0009644A"/>
    <w:rsid w:val="000A1737"/>
    <w:rsid w:val="000A4A5C"/>
    <w:rsid w:val="000B1DEF"/>
    <w:rsid w:val="000B7D76"/>
    <w:rsid w:val="000C077B"/>
    <w:rsid w:val="000C1C68"/>
    <w:rsid w:val="000C669E"/>
    <w:rsid w:val="000C772A"/>
    <w:rsid w:val="000E1B5F"/>
    <w:rsid w:val="000E3F4F"/>
    <w:rsid w:val="000F33DC"/>
    <w:rsid w:val="000F3A53"/>
    <w:rsid w:val="000F4970"/>
    <w:rsid w:val="00100D3B"/>
    <w:rsid w:val="001014B9"/>
    <w:rsid w:val="00106CF7"/>
    <w:rsid w:val="0011013C"/>
    <w:rsid w:val="00110E63"/>
    <w:rsid w:val="00116150"/>
    <w:rsid w:val="00134517"/>
    <w:rsid w:val="00134A1E"/>
    <w:rsid w:val="0013506F"/>
    <w:rsid w:val="001371EA"/>
    <w:rsid w:val="0013743A"/>
    <w:rsid w:val="00140518"/>
    <w:rsid w:val="00142D29"/>
    <w:rsid w:val="00151EA5"/>
    <w:rsid w:val="001547B1"/>
    <w:rsid w:val="0016013C"/>
    <w:rsid w:val="00161BFD"/>
    <w:rsid w:val="00164B95"/>
    <w:rsid w:val="001675F5"/>
    <w:rsid w:val="00172A27"/>
    <w:rsid w:val="001754C8"/>
    <w:rsid w:val="00177C1F"/>
    <w:rsid w:val="00181789"/>
    <w:rsid w:val="00186B61"/>
    <w:rsid w:val="00192253"/>
    <w:rsid w:val="001973FA"/>
    <w:rsid w:val="001A0E1D"/>
    <w:rsid w:val="001A6444"/>
    <w:rsid w:val="001A663A"/>
    <w:rsid w:val="001A7E89"/>
    <w:rsid w:val="001B0A65"/>
    <w:rsid w:val="001B4D0B"/>
    <w:rsid w:val="001B67B3"/>
    <w:rsid w:val="001B7C79"/>
    <w:rsid w:val="001C154B"/>
    <w:rsid w:val="001C5D7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401"/>
    <w:rsid w:val="00261F28"/>
    <w:rsid w:val="00265DC0"/>
    <w:rsid w:val="002661D5"/>
    <w:rsid w:val="0027580D"/>
    <w:rsid w:val="002821B7"/>
    <w:rsid w:val="00284351"/>
    <w:rsid w:val="00284A6E"/>
    <w:rsid w:val="00290622"/>
    <w:rsid w:val="002906D4"/>
    <w:rsid w:val="002934EE"/>
    <w:rsid w:val="002955C9"/>
    <w:rsid w:val="00297AA7"/>
    <w:rsid w:val="002A0FC7"/>
    <w:rsid w:val="002A1D45"/>
    <w:rsid w:val="002A68EA"/>
    <w:rsid w:val="002B3C52"/>
    <w:rsid w:val="002D58C8"/>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4B20"/>
    <w:rsid w:val="00330EC5"/>
    <w:rsid w:val="0033178B"/>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277"/>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6741"/>
    <w:rsid w:val="004072DE"/>
    <w:rsid w:val="0041597D"/>
    <w:rsid w:val="004173C2"/>
    <w:rsid w:val="004230F5"/>
    <w:rsid w:val="00423231"/>
    <w:rsid w:val="004236A4"/>
    <w:rsid w:val="00424558"/>
    <w:rsid w:val="00431C98"/>
    <w:rsid w:val="00433B29"/>
    <w:rsid w:val="00433D17"/>
    <w:rsid w:val="00437087"/>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87F9C"/>
    <w:rsid w:val="0049332D"/>
    <w:rsid w:val="00493F1D"/>
    <w:rsid w:val="00493F4B"/>
    <w:rsid w:val="00494C4F"/>
    <w:rsid w:val="004950C4"/>
    <w:rsid w:val="004A41F5"/>
    <w:rsid w:val="004B20F6"/>
    <w:rsid w:val="004C5C48"/>
    <w:rsid w:val="004C699A"/>
    <w:rsid w:val="004D39B1"/>
    <w:rsid w:val="004D5284"/>
    <w:rsid w:val="004D79E5"/>
    <w:rsid w:val="004D7EA1"/>
    <w:rsid w:val="004E1761"/>
    <w:rsid w:val="004E353C"/>
    <w:rsid w:val="004E3895"/>
    <w:rsid w:val="004E76CE"/>
    <w:rsid w:val="004F0275"/>
    <w:rsid w:val="004F33E4"/>
    <w:rsid w:val="00503082"/>
    <w:rsid w:val="005032D1"/>
    <w:rsid w:val="005067CB"/>
    <w:rsid w:val="00510B62"/>
    <w:rsid w:val="0051183E"/>
    <w:rsid w:val="005365BA"/>
    <w:rsid w:val="00536AC1"/>
    <w:rsid w:val="00540DBB"/>
    <w:rsid w:val="00541014"/>
    <w:rsid w:val="00544554"/>
    <w:rsid w:val="00546F35"/>
    <w:rsid w:val="00552ED5"/>
    <w:rsid w:val="005540F0"/>
    <w:rsid w:val="00554F2F"/>
    <w:rsid w:val="00561640"/>
    <w:rsid w:val="00562A43"/>
    <w:rsid w:val="00565ECC"/>
    <w:rsid w:val="00574F8B"/>
    <w:rsid w:val="00575253"/>
    <w:rsid w:val="00590BFE"/>
    <w:rsid w:val="005937E8"/>
    <w:rsid w:val="005A3789"/>
    <w:rsid w:val="005B17A0"/>
    <w:rsid w:val="005B6893"/>
    <w:rsid w:val="005C036B"/>
    <w:rsid w:val="005C10DF"/>
    <w:rsid w:val="005C6D73"/>
    <w:rsid w:val="005E1E0A"/>
    <w:rsid w:val="005E4028"/>
    <w:rsid w:val="005E5778"/>
    <w:rsid w:val="005F1A5D"/>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A7667"/>
    <w:rsid w:val="006B0057"/>
    <w:rsid w:val="006B14D2"/>
    <w:rsid w:val="006B4647"/>
    <w:rsid w:val="006C3F6C"/>
    <w:rsid w:val="006E1D6A"/>
    <w:rsid w:val="006F31B9"/>
    <w:rsid w:val="006F5916"/>
    <w:rsid w:val="00703534"/>
    <w:rsid w:val="00710D40"/>
    <w:rsid w:val="007118C9"/>
    <w:rsid w:val="00727681"/>
    <w:rsid w:val="00734692"/>
    <w:rsid w:val="00735EED"/>
    <w:rsid w:val="007442CC"/>
    <w:rsid w:val="00753295"/>
    <w:rsid w:val="00754E7A"/>
    <w:rsid w:val="00760963"/>
    <w:rsid w:val="00761889"/>
    <w:rsid w:val="00762FA1"/>
    <w:rsid w:val="00766A27"/>
    <w:rsid w:val="00770D8C"/>
    <w:rsid w:val="00773976"/>
    <w:rsid w:val="007774C4"/>
    <w:rsid w:val="007834AE"/>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87A98"/>
    <w:rsid w:val="00897A71"/>
    <w:rsid w:val="008A0ED2"/>
    <w:rsid w:val="008A14F9"/>
    <w:rsid w:val="008A4CE3"/>
    <w:rsid w:val="008A5086"/>
    <w:rsid w:val="008B21E7"/>
    <w:rsid w:val="008B2A82"/>
    <w:rsid w:val="008C2F16"/>
    <w:rsid w:val="008C7B11"/>
    <w:rsid w:val="008E2D50"/>
    <w:rsid w:val="008E310B"/>
    <w:rsid w:val="008E3D91"/>
    <w:rsid w:val="008E5D63"/>
    <w:rsid w:val="008E6B23"/>
    <w:rsid w:val="008E7ABE"/>
    <w:rsid w:val="008F132A"/>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426E"/>
    <w:rsid w:val="00985559"/>
    <w:rsid w:val="009902FC"/>
    <w:rsid w:val="009916FA"/>
    <w:rsid w:val="00991B2D"/>
    <w:rsid w:val="009922DE"/>
    <w:rsid w:val="00997386"/>
    <w:rsid w:val="009A4D27"/>
    <w:rsid w:val="009A6B63"/>
    <w:rsid w:val="009A7ED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12F42"/>
    <w:rsid w:val="00A20320"/>
    <w:rsid w:val="00A25852"/>
    <w:rsid w:val="00A265C8"/>
    <w:rsid w:val="00A32183"/>
    <w:rsid w:val="00A4579E"/>
    <w:rsid w:val="00A475BA"/>
    <w:rsid w:val="00A52ED4"/>
    <w:rsid w:val="00A535FA"/>
    <w:rsid w:val="00A564A6"/>
    <w:rsid w:val="00A5710E"/>
    <w:rsid w:val="00A65ADC"/>
    <w:rsid w:val="00A712DC"/>
    <w:rsid w:val="00A71C22"/>
    <w:rsid w:val="00A73A17"/>
    <w:rsid w:val="00A73BA7"/>
    <w:rsid w:val="00A76289"/>
    <w:rsid w:val="00A7728B"/>
    <w:rsid w:val="00A81308"/>
    <w:rsid w:val="00A81E8A"/>
    <w:rsid w:val="00A8484C"/>
    <w:rsid w:val="00A850DC"/>
    <w:rsid w:val="00A85F6C"/>
    <w:rsid w:val="00A869E4"/>
    <w:rsid w:val="00A86EF2"/>
    <w:rsid w:val="00AA467B"/>
    <w:rsid w:val="00AA5AC3"/>
    <w:rsid w:val="00AA642C"/>
    <w:rsid w:val="00AA6FFB"/>
    <w:rsid w:val="00AB2898"/>
    <w:rsid w:val="00AB30FD"/>
    <w:rsid w:val="00AB3B8F"/>
    <w:rsid w:val="00AB615C"/>
    <w:rsid w:val="00AB7C9A"/>
    <w:rsid w:val="00AC0242"/>
    <w:rsid w:val="00AC1BB2"/>
    <w:rsid w:val="00AD377B"/>
    <w:rsid w:val="00AD3E47"/>
    <w:rsid w:val="00AD5870"/>
    <w:rsid w:val="00AD7EF1"/>
    <w:rsid w:val="00AD7F6D"/>
    <w:rsid w:val="00AE10C6"/>
    <w:rsid w:val="00AE41AE"/>
    <w:rsid w:val="00AE4AD2"/>
    <w:rsid w:val="00AE5327"/>
    <w:rsid w:val="00AE64F2"/>
    <w:rsid w:val="00AF19E3"/>
    <w:rsid w:val="00AF54D7"/>
    <w:rsid w:val="00AF55F2"/>
    <w:rsid w:val="00AF5BDA"/>
    <w:rsid w:val="00B01B85"/>
    <w:rsid w:val="00B03111"/>
    <w:rsid w:val="00B04AED"/>
    <w:rsid w:val="00B05735"/>
    <w:rsid w:val="00B058D0"/>
    <w:rsid w:val="00B129CD"/>
    <w:rsid w:val="00B17397"/>
    <w:rsid w:val="00B220C8"/>
    <w:rsid w:val="00B263B9"/>
    <w:rsid w:val="00B30198"/>
    <w:rsid w:val="00B30C8D"/>
    <w:rsid w:val="00B36A47"/>
    <w:rsid w:val="00B37F59"/>
    <w:rsid w:val="00B40643"/>
    <w:rsid w:val="00B41B84"/>
    <w:rsid w:val="00B43DEA"/>
    <w:rsid w:val="00B5057B"/>
    <w:rsid w:val="00B53ADA"/>
    <w:rsid w:val="00B54834"/>
    <w:rsid w:val="00B55045"/>
    <w:rsid w:val="00B641E4"/>
    <w:rsid w:val="00B679BC"/>
    <w:rsid w:val="00B67E1A"/>
    <w:rsid w:val="00B71DA1"/>
    <w:rsid w:val="00B80F79"/>
    <w:rsid w:val="00B85B04"/>
    <w:rsid w:val="00B90E3E"/>
    <w:rsid w:val="00B97B80"/>
    <w:rsid w:val="00B97D7A"/>
    <w:rsid w:val="00BA0037"/>
    <w:rsid w:val="00BA19A4"/>
    <w:rsid w:val="00BA2A27"/>
    <w:rsid w:val="00BA5006"/>
    <w:rsid w:val="00BA5E88"/>
    <w:rsid w:val="00BB15C9"/>
    <w:rsid w:val="00BB4037"/>
    <w:rsid w:val="00BB4153"/>
    <w:rsid w:val="00BC01D8"/>
    <w:rsid w:val="00BC02CE"/>
    <w:rsid w:val="00BC292B"/>
    <w:rsid w:val="00BC3942"/>
    <w:rsid w:val="00BD33BB"/>
    <w:rsid w:val="00BD7CAD"/>
    <w:rsid w:val="00BE21A1"/>
    <w:rsid w:val="00BE3E20"/>
    <w:rsid w:val="00BE4D04"/>
    <w:rsid w:val="00BE53BA"/>
    <w:rsid w:val="00BE60FC"/>
    <w:rsid w:val="00BE6842"/>
    <w:rsid w:val="00BE7841"/>
    <w:rsid w:val="00BF5C98"/>
    <w:rsid w:val="00C03A90"/>
    <w:rsid w:val="00C04493"/>
    <w:rsid w:val="00C0471C"/>
    <w:rsid w:val="00C21FF9"/>
    <w:rsid w:val="00C23204"/>
    <w:rsid w:val="00C26061"/>
    <w:rsid w:val="00C26DFB"/>
    <w:rsid w:val="00C32B75"/>
    <w:rsid w:val="00C3340E"/>
    <w:rsid w:val="00C3452B"/>
    <w:rsid w:val="00C432F7"/>
    <w:rsid w:val="00C5085A"/>
    <w:rsid w:val="00C55FD8"/>
    <w:rsid w:val="00C57044"/>
    <w:rsid w:val="00C611F9"/>
    <w:rsid w:val="00C6232F"/>
    <w:rsid w:val="00C65549"/>
    <w:rsid w:val="00C74EBE"/>
    <w:rsid w:val="00C75F1E"/>
    <w:rsid w:val="00C762BD"/>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C5570"/>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0281"/>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A7A75"/>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936BA"/>
    <w:rsid w:val="00FA4695"/>
    <w:rsid w:val="00FA5DA2"/>
    <w:rsid w:val="00FA736E"/>
    <w:rsid w:val="00FB076C"/>
    <w:rsid w:val="00FB096C"/>
    <w:rsid w:val="00FB38CF"/>
    <w:rsid w:val="00FC01F2"/>
    <w:rsid w:val="00FC4AFE"/>
    <w:rsid w:val="00FC7FD0"/>
    <w:rsid w:val="00FD48A1"/>
    <w:rsid w:val="00FD6801"/>
    <w:rsid w:val="00FD72BC"/>
    <w:rsid w:val="00FE2E7D"/>
    <w:rsid w:val="00FE320D"/>
    <w:rsid w:val="00FE7864"/>
    <w:rsid w:val="00FF3912"/>
    <w:rsid w:val="00FF3C91"/>
    <w:rsid w:val="00FF6AB2"/>
    <w:rsid w:val="00FF73DB"/>
    <w:rsid w:val="01017847"/>
    <w:rsid w:val="010D4DDA"/>
    <w:rsid w:val="01536E45"/>
    <w:rsid w:val="015F5D2B"/>
    <w:rsid w:val="01AE553D"/>
    <w:rsid w:val="01D912AA"/>
    <w:rsid w:val="031A41B0"/>
    <w:rsid w:val="03CB53C9"/>
    <w:rsid w:val="03D744EF"/>
    <w:rsid w:val="04252D6C"/>
    <w:rsid w:val="0434488A"/>
    <w:rsid w:val="04524D74"/>
    <w:rsid w:val="048C72C6"/>
    <w:rsid w:val="04973478"/>
    <w:rsid w:val="04E5185D"/>
    <w:rsid w:val="04EF7AD9"/>
    <w:rsid w:val="04F1400C"/>
    <w:rsid w:val="054A14EB"/>
    <w:rsid w:val="055236E0"/>
    <w:rsid w:val="058277B4"/>
    <w:rsid w:val="05D7384A"/>
    <w:rsid w:val="05F47DA2"/>
    <w:rsid w:val="05F65379"/>
    <w:rsid w:val="05FF5666"/>
    <w:rsid w:val="0603119A"/>
    <w:rsid w:val="0669725A"/>
    <w:rsid w:val="067E4800"/>
    <w:rsid w:val="06902805"/>
    <w:rsid w:val="06B75E86"/>
    <w:rsid w:val="071151B2"/>
    <w:rsid w:val="073F7793"/>
    <w:rsid w:val="080A00AF"/>
    <w:rsid w:val="0859217C"/>
    <w:rsid w:val="088D4853"/>
    <w:rsid w:val="090D3169"/>
    <w:rsid w:val="09102145"/>
    <w:rsid w:val="09891681"/>
    <w:rsid w:val="09900A5B"/>
    <w:rsid w:val="09AE4842"/>
    <w:rsid w:val="09C60246"/>
    <w:rsid w:val="09CE2BB7"/>
    <w:rsid w:val="09E57E48"/>
    <w:rsid w:val="0A2B0E2A"/>
    <w:rsid w:val="0AB05B6D"/>
    <w:rsid w:val="0B047399"/>
    <w:rsid w:val="0B0B3BB8"/>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E3119C4"/>
    <w:rsid w:val="0F0D73B6"/>
    <w:rsid w:val="0F2C7289"/>
    <w:rsid w:val="0FBA420F"/>
    <w:rsid w:val="10240870"/>
    <w:rsid w:val="105F0CCD"/>
    <w:rsid w:val="10A25988"/>
    <w:rsid w:val="10DE7BA5"/>
    <w:rsid w:val="10EF23EF"/>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5D1987"/>
    <w:rsid w:val="13705BCF"/>
    <w:rsid w:val="141176DD"/>
    <w:rsid w:val="146639B0"/>
    <w:rsid w:val="14810804"/>
    <w:rsid w:val="14AC2982"/>
    <w:rsid w:val="14C32394"/>
    <w:rsid w:val="14E7756C"/>
    <w:rsid w:val="15555471"/>
    <w:rsid w:val="15D15729"/>
    <w:rsid w:val="162949D9"/>
    <w:rsid w:val="166F3B31"/>
    <w:rsid w:val="16BB3F9C"/>
    <w:rsid w:val="17093EDF"/>
    <w:rsid w:val="171656DB"/>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B1630FE"/>
    <w:rsid w:val="1BFB31C4"/>
    <w:rsid w:val="1C7F2DEC"/>
    <w:rsid w:val="1CAE5C61"/>
    <w:rsid w:val="1CC57EEC"/>
    <w:rsid w:val="1D1E07AB"/>
    <w:rsid w:val="1D285414"/>
    <w:rsid w:val="1D5D79CE"/>
    <w:rsid w:val="1D846EFB"/>
    <w:rsid w:val="1E1761B2"/>
    <w:rsid w:val="1F7C3C3A"/>
    <w:rsid w:val="1F8F7C87"/>
    <w:rsid w:val="1FA97651"/>
    <w:rsid w:val="1FD141B8"/>
    <w:rsid w:val="1FE67A99"/>
    <w:rsid w:val="200E5455"/>
    <w:rsid w:val="20852B17"/>
    <w:rsid w:val="208F4659"/>
    <w:rsid w:val="20C91244"/>
    <w:rsid w:val="20CB6D0B"/>
    <w:rsid w:val="20E71C78"/>
    <w:rsid w:val="21093329"/>
    <w:rsid w:val="212773A1"/>
    <w:rsid w:val="214A163F"/>
    <w:rsid w:val="21D44845"/>
    <w:rsid w:val="21EF6F14"/>
    <w:rsid w:val="221572B4"/>
    <w:rsid w:val="22311600"/>
    <w:rsid w:val="226550CC"/>
    <w:rsid w:val="23523DCA"/>
    <w:rsid w:val="23794CD9"/>
    <w:rsid w:val="24BB4D59"/>
    <w:rsid w:val="24BF19AA"/>
    <w:rsid w:val="24CA4202"/>
    <w:rsid w:val="24D66891"/>
    <w:rsid w:val="25302039"/>
    <w:rsid w:val="256C7451"/>
    <w:rsid w:val="25AD30A0"/>
    <w:rsid w:val="25E3691E"/>
    <w:rsid w:val="2667745A"/>
    <w:rsid w:val="266A2BAE"/>
    <w:rsid w:val="26B359C6"/>
    <w:rsid w:val="26E95B4E"/>
    <w:rsid w:val="276906C7"/>
    <w:rsid w:val="278238A3"/>
    <w:rsid w:val="28742078"/>
    <w:rsid w:val="288E3F7A"/>
    <w:rsid w:val="288F49C5"/>
    <w:rsid w:val="28BF1B33"/>
    <w:rsid w:val="28BF2210"/>
    <w:rsid w:val="28CE556E"/>
    <w:rsid w:val="29366E7C"/>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EB569E"/>
    <w:rsid w:val="2CF845CD"/>
    <w:rsid w:val="2D562101"/>
    <w:rsid w:val="2D7249A1"/>
    <w:rsid w:val="2D873A70"/>
    <w:rsid w:val="2DB610BD"/>
    <w:rsid w:val="2DEC176C"/>
    <w:rsid w:val="2DFB43CE"/>
    <w:rsid w:val="2E3D7FDF"/>
    <w:rsid w:val="2E5606EB"/>
    <w:rsid w:val="2E5C72E5"/>
    <w:rsid w:val="2E9D5FE0"/>
    <w:rsid w:val="2F232D02"/>
    <w:rsid w:val="2F2A34A3"/>
    <w:rsid w:val="2F38041E"/>
    <w:rsid w:val="2F433D86"/>
    <w:rsid w:val="2F9A5364"/>
    <w:rsid w:val="2F9D183B"/>
    <w:rsid w:val="2FEB36BE"/>
    <w:rsid w:val="30006487"/>
    <w:rsid w:val="30842425"/>
    <w:rsid w:val="30F82434"/>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CF722B"/>
    <w:rsid w:val="33EF6302"/>
    <w:rsid w:val="345D6725"/>
    <w:rsid w:val="34876DB2"/>
    <w:rsid w:val="34B022E5"/>
    <w:rsid w:val="34B44BD6"/>
    <w:rsid w:val="34CE04B2"/>
    <w:rsid w:val="34F94C42"/>
    <w:rsid w:val="35020BCE"/>
    <w:rsid w:val="354E2015"/>
    <w:rsid w:val="35636C46"/>
    <w:rsid w:val="35736992"/>
    <w:rsid w:val="373829BC"/>
    <w:rsid w:val="37692631"/>
    <w:rsid w:val="37B10108"/>
    <w:rsid w:val="389F7F0D"/>
    <w:rsid w:val="38B66F17"/>
    <w:rsid w:val="39264E83"/>
    <w:rsid w:val="397D15ED"/>
    <w:rsid w:val="39A31772"/>
    <w:rsid w:val="39C92909"/>
    <w:rsid w:val="39E86E10"/>
    <w:rsid w:val="3A0511AE"/>
    <w:rsid w:val="3A252A28"/>
    <w:rsid w:val="3A361775"/>
    <w:rsid w:val="3A5B0DB6"/>
    <w:rsid w:val="3AFB2C67"/>
    <w:rsid w:val="3B1A3171"/>
    <w:rsid w:val="3B8A1786"/>
    <w:rsid w:val="3BF37AE3"/>
    <w:rsid w:val="3C5A516A"/>
    <w:rsid w:val="3CB85FD2"/>
    <w:rsid w:val="3CD05D89"/>
    <w:rsid w:val="3D574C5D"/>
    <w:rsid w:val="3D8F46AB"/>
    <w:rsid w:val="3DB32B5C"/>
    <w:rsid w:val="3DE17511"/>
    <w:rsid w:val="3E0165CC"/>
    <w:rsid w:val="3E050FB2"/>
    <w:rsid w:val="3E0A31F9"/>
    <w:rsid w:val="3E5F6553"/>
    <w:rsid w:val="3E85714B"/>
    <w:rsid w:val="3EB83441"/>
    <w:rsid w:val="3ED405D8"/>
    <w:rsid w:val="3EF23AFC"/>
    <w:rsid w:val="3F4E5E4B"/>
    <w:rsid w:val="3F544F16"/>
    <w:rsid w:val="3FD1121A"/>
    <w:rsid w:val="3FDF074D"/>
    <w:rsid w:val="409A7D1F"/>
    <w:rsid w:val="40DD14B7"/>
    <w:rsid w:val="41595C3E"/>
    <w:rsid w:val="42031639"/>
    <w:rsid w:val="420D6E21"/>
    <w:rsid w:val="42551AC7"/>
    <w:rsid w:val="426D69CE"/>
    <w:rsid w:val="43123999"/>
    <w:rsid w:val="43306F54"/>
    <w:rsid w:val="439D162E"/>
    <w:rsid w:val="43AF4EB6"/>
    <w:rsid w:val="43BF0F67"/>
    <w:rsid w:val="43D47894"/>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9B4550E"/>
    <w:rsid w:val="49C5197A"/>
    <w:rsid w:val="49F50EB5"/>
    <w:rsid w:val="4AB76254"/>
    <w:rsid w:val="4AF72F43"/>
    <w:rsid w:val="4AFC078A"/>
    <w:rsid w:val="4AFE130C"/>
    <w:rsid w:val="4B06415A"/>
    <w:rsid w:val="4B2C4572"/>
    <w:rsid w:val="4B307A80"/>
    <w:rsid w:val="4BBD5B2C"/>
    <w:rsid w:val="4BF36702"/>
    <w:rsid w:val="4C0E0B24"/>
    <w:rsid w:val="4D5610A9"/>
    <w:rsid w:val="4F071606"/>
    <w:rsid w:val="4F403B1D"/>
    <w:rsid w:val="4F7F31B2"/>
    <w:rsid w:val="4F827ABA"/>
    <w:rsid w:val="4FA93F1C"/>
    <w:rsid w:val="4FCB730B"/>
    <w:rsid w:val="504A74E2"/>
    <w:rsid w:val="50D62ACD"/>
    <w:rsid w:val="510C3D06"/>
    <w:rsid w:val="51937900"/>
    <w:rsid w:val="51ED5B69"/>
    <w:rsid w:val="536A53D4"/>
    <w:rsid w:val="53857B5E"/>
    <w:rsid w:val="54207CFD"/>
    <w:rsid w:val="54C67D23"/>
    <w:rsid w:val="55005AF5"/>
    <w:rsid w:val="551F63D6"/>
    <w:rsid w:val="55330B38"/>
    <w:rsid w:val="55CC6A46"/>
    <w:rsid w:val="55DE4946"/>
    <w:rsid w:val="55EA1952"/>
    <w:rsid w:val="55FD0CFB"/>
    <w:rsid w:val="561945F1"/>
    <w:rsid w:val="56BE79D8"/>
    <w:rsid w:val="573B2A77"/>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851074"/>
    <w:rsid w:val="5CDE1B94"/>
    <w:rsid w:val="5D2B1C2D"/>
    <w:rsid w:val="5DAD4A6A"/>
    <w:rsid w:val="5DD07849"/>
    <w:rsid w:val="5E6E4ACB"/>
    <w:rsid w:val="5EEA3B04"/>
    <w:rsid w:val="5F092277"/>
    <w:rsid w:val="5F4B6391"/>
    <w:rsid w:val="5F50568C"/>
    <w:rsid w:val="5F8471B4"/>
    <w:rsid w:val="5FCE7ED4"/>
    <w:rsid w:val="5FEB58A2"/>
    <w:rsid w:val="5FED7CD7"/>
    <w:rsid w:val="601B36B0"/>
    <w:rsid w:val="605A5E28"/>
    <w:rsid w:val="60A449E5"/>
    <w:rsid w:val="61197906"/>
    <w:rsid w:val="612A61E3"/>
    <w:rsid w:val="61B82A98"/>
    <w:rsid w:val="61F84732"/>
    <w:rsid w:val="62352BFE"/>
    <w:rsid w:val="62530EF5"/>
    <w:rsid w:val="62E716B2"/>
    <w:rsid w:val="63097C59"/>
    <w:rsid w:val="633B4DD3"/>
    <w:rsid w:val="633D6D93"/>
    <w:rsid w:val="634F7C15"/>
    <w:rsid w:val="63736A17"/>
    <w:rsid w:val="63937116"/>
    <w:rsid w:val="63C05B9E"/>
    <w:rsid w:val="642F4F3E"/>
    <w:rsid w:val="647F4A97"/>
    <w:rsid w:val="64C26DF0"/>
    <w:rsid w:val="651A4BCA"/>
    <w:rsid w:val="659F5C58"/>
    <w:rsid w:val="65D24C12"/>
    <w:rsid w:val="65F1505D"/>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226842"/>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66357B"/>
    <w:rsid w:val="6EB95270"/>
    <w:rsid w:val="6ED05626"/>
    <w:rsid w:val="6F8956C3"/>
    <w:rsid w:val="6FB90394"/>
    <w:rsid w:val="6FC41E1E"/>
    <w:rsid w:val="6FE86904"/>
    <w:rsid w:val="70241AB8"/>
    <w:rsid w:val="706476AA"/>
    <w:rsid w:val="7105714A"/>
    <w:rsid w:val="710F25A0"/>
    <w:rsid w:val="71304406"/>
    <w:rsid w:val="714177A5"/>
    <w:rsid w:val="7255719B"/>
    <w:rsid w:val="72AC1150"/>
    <w:rsid w:val="736926A1"/>
    <w:rsid w:val="73B6456F"/>
    <w:rsid w:val="744C618D"/>
    <w:rsid w:val="74920FD0"/>
    <w:rsid w:val="74924B26"/>
    <w:rsid w:val="74B50A85"/>
    <w:rsid w:val="74DF7784"/>
    <w:rsid w:val="75125292"/>
    <w:rsid w:val="753241CE"/>
    <w:rsid w:val="758826A4"/>
    <w:rsid w:val="75B01AA9"/>
    <w:rsid w:val="76140509"/>
    <w:rsid w:val="763C41F4"/>
    <w:rsid w:val="768649B8"/>
    <w:rsid w:val="76EF0C8A"/>
    <w:rsid w:val="76F83624"/>
    <w:rsid w:val="773F1990"/>
    <w:rsid w:val="776A79F9"/>
    <w:rsid w:val="777A7DC6"/>
    <w:rsid w:val="78640367"/>
    <w:rsid w:val="78C403B7"/>
    <w:rsid w:val="78F73182"/>
    <w:rsid w:val="79400909"/>
    <w:rsid w:val="79640B02"/>
    <w:rsid w:val="796E4180"/>
    <w:rsid w:val="79874C47"/>
    <w:rsid w:val="79D2695D"/>
    <w:rsid w:val="7A731DE7"/>
    <w:rsid w:val="7ABE7E81"/>
    <w:rsid w:val="7AE73174"/>
    <w:rsid w:val="7B1234F7"/>
    <w:rsid w:val="7B5007DD"/>
    <w:rsid w:val="7BD60299"/>
    <w:rsid w:val="7BDD1DA1"/>
    <w:rsid w:val="7BE5680C"/>
    <w:rsid w:val="7C09693B"/>
    <w:rsid w:val="7C0A69CC"/>
    <w:rsid w:val="7C504BF4"/>
    <w:rsid w:val="7C6B7787"/>
    <w:rsid w:val="7C6F62EE"/>
    <w:rsid w:val="7C8C5F2D"/>
    <w:rsid w:val="7C9F5AAF"/>
    <w:rsid w:val="7CAF0D4D"/>
    <w:rsid w:val="7CCC29A0"/>
    <w:rsid w:val="7CF42D7A"/>
    <w:rsid w:val="7D0912B6"/>
    <w:rsid w:val="7D171AFF"/>
    <w:rsid w:val="7D4359D2"/>
    <w:rsid w:val="7D9A0C78"/>
    <w:rsid w:val="7DDC2D6F"/>
    <w:rsid w:val="7DFE466B"/>
    <w:rsid w:val="7E3459C9"/>
    <w:rsid w:val="7E430C57"/>
    <w:rsid w:val="7E84244F"/>
    <w:rsid w:val="7EB23D15"/>
    <w:rsid w:val="7F0F3D7E"/>
    <w:rsid w:val="7F17791C"/>
    <w:rsid w:val="7F392D85"/>
    <w:rsid w:val="7F3B2004"/>
    <w:rsid w:val="7FA16D98"/>
    <w:rsid w:val="7FAB53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5"/>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5">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6">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7">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8">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9">
    <w:name w:val="heading 6"/>
    <w:basedOn w:val="1"/>
    <w:next w:val="10"/>
    <w:link w:val="48"/>
    <w:qFormat/>
    <w:uiPriority w:val="0"/>
    <w:pPr>
      <w:keepNext/>
      <w:jc w:val="center"/>
      <w:outlineLvl w:val="5"/>
    </w:pPr>
    <w:rPr>
      <w:rFonts w:ascii="Times New Roman" w:hAnsi="Times New Roman" w:eastAsia="宋体" w:cs="Times New Roman"/>
      <w:b/>
      <w:kern w:val="0"/>
      <w:sz w:val="44"/>
      <w:szCs w:val="20"/>
    </w:rPr>
  </w:style>
  <w:style w:type="paragraph" w:styleId="11">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2">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3">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semiHidden/>
    <w:unhideWhenUsed/>
    <w:qFormat/>
    <w:uiPriority w:val="1"/>
  </w:style>
  <w:style w:type="table" w:default="1" w:styleId="3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90"/>
    <w:qFormat/>
    <w:uiPriority w:val="0"/>
    <w:pPr>
      <w:spacing w:after="120"/>
      <w:ind w:firstLine="420" w:firstLineChars="100"/>
    </w:pPr>
    <w:rPr>
      <w:rFonts w:ascii="Times New Roman" w:eastAsia="宋体"/>
      <w:szCs w:val="24"/>
    </w:rPr>
  </w:style>
  <w:style w:type="paragraph" w:styleId="3">
    <w:name w:val="Body Text"/>
    <w:basedOn w:val="1"/>
    <w:link w:val="89"/>
    <w:qFormat/>
    <w:uiPriority w:val="0"/>
    <w:rPr>
      <w:rFonts w:ascii="仿宋_GB2312" w:hAnsi="Times New Roman" w:eastAsia="仿宋_GB2312" w:cs="Times New Roman"/>
      <w:kern w:val="0"/>
      <w:sz w:val="24"/>
      <w:szCs w:val="20"/>
    </w:rPr>
  </w:style>
  <w:style w:type="paragraph" w:styleId="10">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4">
    <w:name w:val="annotation subject"/>
    <w:basedOn w:val="15"/>
    <w:next w:val="15"/>
    <w:link w:val="87"/>
    <w:unhideWhenUsed/>
    <w:qFormat/>
    <w:uiPriority w:val="99"/>
    <w:rPr>
      <w:b/>
      <w:bCs/>
    </w:rPr>
  </w:style>
  <w:style w:type="paragraph" w:styleId="15">
    <w:name w:val="annotation text"/>
    <w:basedOn w:val="1"/>
    <w:link w:val="84"/>
    <w:unhideWhenUsed/>
    <w:qFormat/>
    <w:uiPriority w:val="0"/>
    <w:pPr>
      <w:jc w:val="left"/>
    </w:pPr>
    <w:rPr>
      <w:rFonts w:ascii="Times New Roman" w:hAnsi="Times New Roman" w:eastAsia="宋体" w:cs="Times New Roman"/>
      <w:szCs w:val="24"/>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5"/>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4"/>
    <w:qFormat/>
    <w:uiPriority w:val="0"/>
    <w:rPr>
      <w:b/>
      <w:bCs/>
      <w:kern w:val="44"/>
      <w:sz w:val="44"/>
      <w:szCs w:val="44"/>
    </w:rPr>
  </w:style>
  <w:style w:type="character" w:customStyle="1" w:styleId="45">
    <w:name w:val="标题 3 Char"/>
    <w:basedOn w:val="30"/>
    <w:link w:val="6"/>
    <w:qFormat/>
    <w:uiPriority w:val="0"/>
    <w:rPr>
      <w:b/>
      <w:bCs/>
      <w:sz w:val="32"/>
      <w:szCs w:val="32"/>
    </w:rPr>
  </w:style>
  <w:style w:type="character" w:customStyle="1" w:styleId="46">
    <w:name w:val="标题 4 Char"/>
    <w:basedOn w:val="30"/>
    <w:link w:val="7"/>
    <w:qFormat/>
    <w:uiPriority w:val="0"/>
    <w:rPr>
      <w:rFonts w:eastAsia="新宋体"/>
      <w:sz w:val="30"/>
      <w:szCs w:val="21"/>
    </w:rPr>
  </w:style>
  <w:style w:type="character" w:customStyle="1" w:styleId="47">
    <w:name w:val="标题 5 Char"/>
    <w:basedOn w:val="30"/>
    <w:link w:val="8"/>
    <w:qFormat/>
    <w:uiPriority w:val="0"/>
    <w:rPr>
      <w:b/>
      <w:bCs/>
      <w:sz w:val="28"/>
      <w:szCs w:val="28"/>
    </w:rPr>
  </w:style>
  <w:style w:type="character" w:customStyle="1" w:styleId="48">
    <w:name w:val="标题 6 Char"/>
    <w:basedOn w:val="30"/>
    <w:link w:val="9"/>
    <w:qFormat/>
    <w:uiPriority w:val="0"/>
    <w:rPr>
      <w:b/>
      <w:sz w:val="44"/>
    </w:rPr>
  </w:style>
  <w:style w:type="character" w:customStyle="1" w:styleId="49">
    <w:name w:val="标题 7 Char"/>
    <w:basedOn w:val="30"/>
    <w:link w:val="11"/>
    <w:qFormat/>
    <w:uiPriority w:val="0"/>
    <w:rPr>
      <w:b/>
      <w:bCs/>
      <w:sz w:val="24"/>
      <w:szCs w:val="24"/>
    </w:rPr>
  </w:style>
  <w:style w:type="character" w:customStyle="1" w:styleId="50">
    <w:name w:val="标题 8 Char"/>
    <w:basedOn w:val="30"/>
    <w:link w:val="12"/>
    <w:qFormat/>
    <w:uiPriority w:val="0"/>
    <w:rPr>
      <w:rFonts w:ascii="Arial" w:hAnsi="Arial" w:eastAsia="黑体"/>
      <w:sz w:val="24"/>
      <w:szCs w:val="24"/>
    </w:rPr>
  </w:style>
  <w:style w:type="character" w:customStyle="1" w:styleId="51">
    <w:name w:val="标题 9 Char"/>
    <w:basedOn w:val="30"/>
    <w:link w:val="13"/>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10"/>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qFormat/>
    <w:uiPriority w:val="99"/>
    <w:rPr>
      <w:b/>
      <w:bCs/>
      <w:kern w:val="2"/>
      <w:sz w:val="21"/>
      <w:szCs w:val="24"/>
    </w:rPr>
  </w:style>
  <w:style w:type="character" w:customStyle="1" w:styleId="59">
    <w:name w:val="正文文本 Char"/>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qFormat/>
    <w:uiPriority w:val="0"/>
    <w:rPr>
      <w:sz w:val="24"/>
      <w:szCs w:val="24"/>
    </w:rPr>
  </w:style>
  <w:style w:type="character" w:customStyle="1" w:styleId="62">
    <w:name w:val="正文文本 2 Char"/>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qFormat/>
    <w:uiPriority w:val="0"/>
    <w:rPr>
      <w:kern w:val="2"/>
      <w:sz w:val="21"/>
      <w:szCs w:val="24"/>
    </w:rPr>
  </w:style>
  <w:style w:type="character" w:customStyle="1" w:styleId="66">
    <w:name w:val="正文文本缩进 2 Char"/>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qFormat/>
    <w:uiPriority w:val="0"/>
    <w:rPr>
      <w:rFonts w:ascii="宋体" w:hAnsi="Courier New" w:cs="Courier New"/>
      <w:szCs w:val="21"/>
    </w:rPr>
  </w:style>
  <w:style w:type="character" w:customStyle="1" w:styleId="77">
    <w:name w:val="正文文本缩进 3 Char"/>
    <w:qFormat/>
    <w:uiPriority w:val="0"/>
    <w:rPr>
      <w:sz w:val="16"/>
      <w:szCs w:val="16"/>
    </w:rPr>
  </w:style>
  <w:style w:type="character" w:customStyle="1" w:styleId="78">
    <w:name w:val="标题 2 Char"/>
    <w:link w:val="5"/>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5"/>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4"/>
    <w:qFormat/>
    <w:uiPriority w:val="0"/>
    <w:rPr>
      <w:rFonts w:asciiTheme="minorHAnsi" w:hAnsiTheme="minorHAnsi" w:eastAsiaTheme="minorEastAsia" w:cstheme="minorBidi"/>
      <w:b/>
      <w:bCs/>
      <w:kern w:val="2"/>
      <w:sz w:val="21"/>
      <w:szCs w:val="22"/>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3"/>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2"/>
    <w:qFormat/>
    <w:uiPriority w:val="0"/>
    <w:rPr>
      <w:rFonts w:asciiTheme="minorHAnsi" w:hAnsiTheme="minorHAnsi" w:eastAsiaTheme="minorEastAsia" w:cstheme="minorBidi"/>
      <w:kern w:val="2"/>
      <w:sz w:val="21"/>
      <w:szCs w:val="22"/>
    </w:rPr>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7"/>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6"/>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spacing w:afterLines="70" w:line="360" w:lineRule="auto"/>
      <w:ind w:firstLine="200" w:firstLineChars="200"/>
    </w:pPr>
    <w:rPr>
      <w:rFonts w:ascii="宋体" w:hAnsi="宋体" w:eastAsia="宋体" w:cs="Times New Roman"/>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 w:type="paragraph" w:customStyle="1" w:styleId="129">
    <w:name w:val="a2"/>
    <w:basedOn w:val="1"/>
    <w:qFormat/>
    <w:uiPriority w:val="0"/>
    <w:pPr>
      <w:widowControl/>
      <w:spacing w:before="100" w:beforeAutospacing="1" w:after="100" w:afterAutospacing="1"/>
    </w:pPr>
    <w:rPr>
      <w:rFonts w:ascii="宋体" w:hAnsi="宋体" w:cs="宋体"/>
      <w:sz w:val="24"/>
      <w:szCs w:val="24"/>
    </w:rPr>
  </w:style>
  <w:style w:type="paragraph" w:styleId="130">
    <w:name w:val="List Paragraph"/>
    <w:basedOn w:val="1"/>
    <w:unhideWhenUsed/>
    <w:qFormat/>
    <w:uiPriority w:val="99"/>
    <w:pPr>
      <w:ind w:firstLine="420" w:firstLineChars="200"/>
    </w:pPr>
    <w:rPr>
      <w:rFonts w:cs="Times New Roman"/>
    </w:rPr>
  </w:style>
  <w:style w:type="character" w:customStyle="1" w:styleId="131">
    <w:name w:val="font61"/>
    <w:basedOn w:val="30"/>
    <w:qFormat/>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7B0D6-C722-4ED9-A96E-4D3A235BF9F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48</Pages>
  <Words>4451</Words>
  <Characters>25374</Characters>
  <Lines>211</Lines>
  <Paragraphs>59</Paragraphs>
  <TotalTime>85</TotalTime>
  <ScaleCrop>false</ScaleCrop>
  <LinksUpToDate>false</LinksUpToDate>
  <CharactersWithSpaces>29766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2018-08-13T07:40:00Z</cp:lastPrinted>
  <dcterms:modified xsi:type="dcterms:W3CDTF">2018-08-22T02:46:16Z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