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adjustRightInd w:val="0"/>
        <w:spacing w:after="0" w:line="360" w:lineRule="auto"/>
        <w:ind w:right="-693" w:rightChars="-330"/>
        <w:jc w:val="center"/>
        <w:rPr>
          <w:rFonts w:hint="eastAsia" w:ascii="黑体" w:hAnsi="黑体" w:eastAsia="黑体" w:cs="黑体"/>
          <w:b/>
          <w:bCs/>
          <w:color w:val="000000"/>
          <w:spacing w:val="-6"/>
          <w:sz w:val="44"/>
          <w:szCs w:val="44"/>
          <w:lang w:eastAsia="zh-CN"/>
        </w:rPr>
      </w:pPr>
      <w:r>
        <w:rPr>
          <w:rFonts w:hint="eastAsia" w:ascii="黑体" w:hAnsi="黑体" w:eastAsia="黑体" w:cs="黑体"/>
          <w:b/>
          <w:bCs/>
          <w:color w:val="000000"/>
          <w:spacing w:val="-6"/>
          <w:sz w:val="44"/>
          <w:szCs w:val="44"/>
          <w:lang w:eastAsia="zh-CN"/>
        </w:rPr>
        <w:t>禹州市公安消防大队</w:t>
      </w:r>
    </w:p>
    <w:p>
      <w:pPr>
        <w:adjustRightInd w:val="0"/>
        <w:spacing w:after="0" w:line="360" w:lineRule="auto"/>
        <w:ind w:right="-693" w:rightChars="-330"/>
        <w:jc w:val="center"/>
        <w:rPr>
          <w:rFonts w:hint="eastAsia" w:ascii="黑体" w:hAnsi="黑体" w:eastAsia="黑体" w:cs="黑体"/>
          <w:b/>
          <w:bCs/>
          <w:color w:val="000000"/>
          <w:spacing w:val="-6"/>
          <w:sz w:val="44"/>
          <w:szCs w:val="44"/>
          <w:lang w:eastAsia="zh-CN"/>
        </w:rPr>
      </w:pPr>
      <w:r>
        <w:rPr>
          <w:rFonts w:hint="eastAsia" w:ascii="黑体" w:hAnsi="黑体" w:eastAsia="黑体" w:cs="黑体"/>
          <w:b/>
          <w:bCs/>
          <w:color w:val="000000"/>
          <w:spacing w:val="-6"/>
          <w:sz w:val="44"/>
          <w:szCs w:val="44"/>
          <w:lang w:eastAsia="zh-CN"/>
        </w:rPr>
        <w:t>54米多功能登高平台消防车采购项目</w:t>
      </w:r>
    </w:p>
    <w:p>
      <w:pPr>
        <w:rPr>
          <w:rFonts w:ascii="仿宋" w:hAnsi="仿宋" w:eastAsia="仿宋" w:cs="仿宋"/>
          <w:b/>
          <w:bCs/>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spacing w:line="600" w:lineRule="exact"/>
        <w:ind w:firstLine="320" w:firstLineChars="100"/>
        <w:rPr>
          <w:rFonts w:ascii="仿宋" w:hAnsi="仿宋" w:eastAsia="仿宋"/>
          <w:sz w:val="32"/>
        </w:rPr>
      </w:pPr>
      <w:r>
        <w:rPr>
          <w:rFonts w:hint="eastAsia" w:ascii="仿宋" w:hAnsi="仿宋" w:eastAsia="仿宋"/>
          <w:sz w:val="32"/>
        </w:rPr>
        <w:t>采购单位：禹州市公安消防大队</w:t>
      </w:r>
    </w:p>
    <w:p>
      <w:pPr>
        <w:autoSpaceDE w:val="0"/>
        <w:autoSpaceDN w:val="0"/>
        <w:spacing w:line="360" w:lineRule="auto"/>
        <w:ind w:left="319" w:leftChars="152" w:right="-20"/>
        <w:outlineLvl w:val="0"/>
        <w:rPr>
          <w:rFonts w:ascii="仿宋" w:hAnsi="仿宋" w:eastAsia="仿宋"/>
          <w:sz w:val="32"/>
        </w:rPr>
      </w:pPr>
      <w:r>
        <w:rPr>
          <w:rFonts w:hint="eastAsia" w:ascii="仿宋" w:hAnsi="仿宋" w:eastAsia="仿宋"/>
          <w:sz w:val="32"/>
        </w:rPr>
        <w:t>项目名称：禹州市公安消防大队54米多功能登高平台消防车采购项目</w:t>
      </w:r>
    </w:p>
    <w:p>
      <w:pPr>
        <w:autoSpaceDE w:val="0"/>
        <w:autoSpaceDN w:val="0"/>
        <w:spacing w:line="360" w:lineRule="auto"/>
        <w:ind w:right="-20" w:firstLine="320" w:firstLineChars="100"/>
        <w:outlineLvl w:val="0"/>
        <w:rPr>
          <w:rFonts w:hint="eastAsia" w:ascii="仿宋" w:hAnsi="仿宋" w:eastAsia="仿宋"/>
          <w:sz w:val="32"/>
          <w:lang w:val="en-US" w:eastAsia="zh-CN"/>
        </w:rPr>
      </w:pPr>
      <w:r>
        <w:rPr>
          <w:rFonts w:hint="eastAsia" w:ascii="仿宋" w:hAnsi="仿宋" w:eastAsia="仿宋"/>
          <w:sz w:val="32"/>
        </w:rPr>
        <w:t>项目编号：YZCG—G201</w:t>
      </w:r>
      <w:r>
        <w:rPr>
          <w:rFonts w:hint="eastAsia" w:ascii="仿宋" w:hAnsi="仿宋" w:eastAsia="仿宋"/>
          <w:sz w:val="32"/>
          <w:lang w:val="en-US" w:eastAsia="zh-CN"/>
        </w:rPr>
        <w:t>8208</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二〇一八</w:t>
      </w:r>
      <w:r>
        <w:rPr>
          <w:rFonts w:hint="eastAsia" w:ascii="仿宋" w:hAnsi="仿宋" w:eastAsia="仿宋"/>
          <w:bCs/>
          <w:sz w:val="32"/>
          <w:lang w:eastAsia="zh-CN"/>
        </w:rPr>
        <w:t>年八</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黑体" w:hAnsi="黑体" w:eastAsia="黑体" w:cs="黑体"/>
          <w:b/>
          <w:sz w:val="44"/>
          <w:szCs w:val="44"/>
        </w:rPr>
      </w:pPr>
      <w:r>
        <w:rPr>
          <w:rFonts w:hint="eastAsia" w:ascii="黑体" w:hAnsi="黑体" w:eastAsia="黑体" w:cs="黑体"/>
          <w:b/>
          <w:sz w:val="44"/>
          <w:szCs w:val="44"/>
        </w:rPr>
        <w:t xml:space="preserve"> 投标邀请函</w:t>
      </w:r>
    </w:p>
    <w:p>
      <w:pPr>
        <w:spacing w:line="520" w:lineRule="exact"/>
        <w:ind w:firstLine="1966" w:firstLineChars="445"/>
        <w:textAlignment w:val="baseline"/>
        <w:rPr>
          <w:rFonts w:ascii="仿宋" w:hAnsi="仿宋" w:eastAsia="仿宋"/>
          <w:b/>
          <w:sz w:val="44"/>
          <w:szCs w:val="44"/>
        </w:rPr>
      </w:pPr>
    </w:p>
    <w:p>
      <w:p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禹州市公安消防大队</w:t>
      </w:r>
    </w:p>
    <w:p>
      <w:p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54米多功能登高平台消防车采购项目</w:t>
      </w:r>
    </w:p>
    <w:p>
      <w:pPr>
        <w:spacing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 xml:space="preserve">招  标  </w:t>
      </w:r>
      <w:r>
        <w:rPr>
          <w:rFonts w:hint="eastAsia" w:ascii="仿宋" w:hAnsi="仿宋" w:eastAsia="仿宋" w:cs="仿宋"/>
          <w:b/>
          <w:bCs/>
          <w:sz w:val="36"/>
          <w:szCs w:val="36"/>
          <w:lang w:eastAsia="zh-CN"/>
        </w:rPr>
        <w:t>邀</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请</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lang w:eastAsia="zh-CN"/>
        </w:rPr>
        <w:t>函</w:t>
      </w:r>
    </w:p>
    <w:p>
      <w:pPr>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禹州市政府采购中心受</w:t>
      </w:r>
      <w:r>
        <w:rPr>
          <w:rFonts w:hint="eastAsia" w:ascii="仿宋" w:hAnsi="仿宋" w:eastAsia="仿宋" w:cs="仿宋"/>
          <w:sz w:val="24"/>
          <w:szCs w:val="24"/>
          <w:lang w:eastAsia="zh-CN"/>
        </w:rPr>
        <w:t>禹州市公安消防大队</w:t>
      </w:r>
      <w:r>
        <w:rPr>
          <w:rFonts w:hint="eastAsia" w:ascii="仿宋" w:hAnsi="仿宋" w:eastAsia="仿宋" w:cs="仿宋"/>
          <w:sz w:val="24"/>
          <w:szCs w:val="24"/>
        </w:rPr>
        <w:t>的委托，就“禹州市公安消防大队54米多功能登高平台消防车采购项目”进行公开招标，欢迎合格的投标人前来投标。</w:t>
      </w:r>
    </w:p>
    <w:p>
      <w:pPr>
        <w:spacing w:line="44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一、项目基本情况</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1、采购人：</w:t>
      </w:r>
      <w:r>
        <w:rPr>
          <w:rFonts w:hint="eastAsia" w:ascii="仿宋" w:hAnsi="仿宋" w:eastAsia="仿宋" w:cs="仿宋"/>
          <w:sz w:val="24"/>
          <w:szCs w:val="24"/>
          <w:lang w:eastAsia="zh-CN"/>
        </w:rPr>
        <w:t>禹州市公安消防大队</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2、项目名称：禹州市公安消防大队54米多功能登高平台消防车采购项目</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3、采购编号：YZCG-G2018</w:t>
      </w:r>
      <w:r>
        <w:rPr>
          <w:rFonts w:hint="eastAsia" w:ascii="仿宋" w:hAnsi="仿宋" w:eastAsia="仿宋" w:cs="仿宋"/>
          <w:sz w:val="24"/>
          <w:szCs w:val="24"/>
          <w:lang w:val="en-US" w:eastAsia="zh-CN"/>
        </w:rPr>
        <w:t>208</w:t>
      </w:r>
    </w:p>
    <w:p>
      <w:pPr>
        <w:spacing w:line="44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4、项目需求：54米多功能登高平台消防车</w:t>
      </w:r>
      <w:r>
        <w:rPr>
          <w:rFonts w:hint="eastAsia" w:ascii="仿宋" w:hAnsi="仿宋" w:eastAsia="仿宋" w:cs="仿宋"/>
          <w:color w:val="auto"/>
          <w:sz w:val="24"/>
          <w:szCs w:val="24"/>
          <w:lang w:val="en-US" w:eastAsia="zh-CN"/>
        </w:rPr>
        <w:t xml:space="preserve">  1台</w:t>
      </w:r>
    </w:p>
    <w:p>
      <w:pPr>
        <w:spacing w:line="44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5、采购预算：520万元</w:t>
      </w:r>
    </w:p>
    <w:p>
      <w:pPr>
        <w:spacing w:line="440" w:lineRule="exact"/>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6、最高限价：520万元</w:t>
      </w:r>
    </w:p>
    <w:p>
      <w:pPr>
        <w:spacing w:line="440" w:lineRule="exact"/>
        <w:rPr>
          <w:rFonts w:hint="eastAsia"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440" w:lineRule="exact"/>
        <w:rPr>
          <w:rFonts w:hint="eastAsia"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440" w:lineRule="exact"/>
        <w:rPr>
          <w:rFonts w:hint="eastAsia"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440" w:lineRule="exact"/>
        <w:ind w:firstLine="640"/>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p>
    <w:p>
      <w:pPr>
        <w:pStyle w:val="38"/>
        <w:autoSpaceDN w:val="0"/>
        <w:spacing w:line="440" w:lineRule="exact"/>
        <w:ind w:firstLine="720" w:firstLineChars="300"/>
        <w:textAlignment w:val="baseline"/>
        <w:rPr>
          <w:rFonts w:hint="eastAsia" w:ascii="仿宋" w:hAnsi="仿宋" w:eastAsia="仿宋" w:cs="仿宋"/>
          <w:sz w:val="24"/>
          <w:szCs w:val="24"/>
        </w:rPr>
      </w:pPr>
      <w:r>
        <w:rPr>
          <w:rFonts w:hint="eastAsia" w:ascii="仿宋" w:hAnsi="仿宋" w:eastAsia="仿宋" w:cs="仿宋"/>
          <w:sz w:val="24"/>
          <w:szCs w:val="24"/>
        </w:rPr>
        <w:t>2、投标商须具有独立法人资格</w:t>
      </w:r>
      <w:r>
        <w:rPr>
          <w:rFonts w:hint="eastAsia" w:ascii="仿宋" w:hAnsi="仿宋" w:eastAsia="仿宋" w:cs="仿宋"/>
          <w:sz w:val="24"/>
          <w:szCs w:val="24"/>
          <w:lang w:eastAsia="zh-CN"/>
        </w:rPr>
        <w:t>的生产厂家且具有相应</w:t>
      </w:r>
      <w:r>
        <w:rPr>
          <w:rFonts w:hint="eastAsia" w:ascii="仿宋" w:hAnsi="仿宋" w:eastAsia="仿宋" w:cs="仿宋"/>
          <w:sz w:val="24"/>
          <w:szCs w:val="24"/>
        </w:rPr>
        <w:t>经营范围(以营业执照为准)；</w:t>
      </w:r>
    </w:p>
    <w:p>
      <w:pPr>
        <w:spacing w:line="44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3、法定代表人授权代表须是投标人本单位职工，应提供本公司缴纳社会保险证明；</w:t>
      </w:r>
    </w:p>
    <w:p>
      <w:pPr>
        <w:spacing w:line="440" w:lineRule="exact"/>
        <w:ind w:firstLine="64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、本项目不接受投标人以联合体形式参与投标。</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topLinePunct/>
        <w:snapToGrid w:val="0"/>
        <w:spacing w:line="440" w:lineRule="exact"/>
        <w:ind w:firstLine="480" w:firstLineChars="200"/>
        <w:jc w:val="both"/>
        <w:rPr>
          <w:rFonts w:hint="eastAsia" w:ascii="仿宋" w:hAnsi="仿宋" w:eastAsia="仿宋" w:cs="仿宋"/>
          <w:sz w:val="24"/>
          <w:szCs w:val="24"/>
        </w:rPr>
      </w:pPr>
      <w:r>
        <w:rPr>
          <w:rFonts w:hint="eastAsia" w:ascii="仿宋" w:hAnsi="仿宋" w:eastAsia="仿宋" w:cs="仿宋"/>
          <w:sz w:val="24"/>
          <w:szCs w:val="24"/>
        </w:rPr>
        <w:t xml:space="preserve"> 1、持CA数字认证证书，登录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rPr>
        <w:t>进行免费注册登记（详见全国公共资源交易平台（河南省·许昌市）“常见问题解答-诚信库网上注册相关资料下载”）；</w:t>
      </w:r>
    </w:p>
    <w:p>
      <w:pPr>
        <w:topLinePunct/>
        <w:autoSpaceDE w:val="0"/>
        <w:autoSpaceDN w:val="0"/>
        <w:adjustRightInd w:val="0"/>
        <w:snapToGrid w:val="0"/>
        <w:spacing w:line="440" w:lineRule="exact"/>
        <w:ind w:firstLine="482"/>
        <w:rPr>
          <w:rFonts w:hint="eastAsia" w:ascii="仿宋" w:hAnsi="仿宋" w:eastAsia="仿宋" w:cs="仿宋"/>
          <w:sz w:val="24"/>
          <w:szCs w:val="24"/>
        </w:rPr>
      </w:pPr>
      <w:r>
        <w:rPr>
          <w:rFonts w:hint="eastAsia" w:ascii="仿宋" w:hAnsi="仿宋" w:eastAsia="仿宋" w:cs="仿宋"/>
          <w:sz w:val="24"/>
          <w:szCs w:val="24"/>
        </w:rPr>
        <w:t>　2、在投标截止时间前登录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，自行下载招标文件（详见全国公共资源交易平台（河南省·许昌市）“常见问题解答-交易系统操作手册”）。</w:t>
      </w:r>
    </w:p>
    <w:p>
      <w:pPr>
        <w:spacing w:line="440" w:lineRule="exact"/>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40" w:lineRule="exact"/>
        <w:rPr>
          <w:rFonts w:hint="eastAsia" w:ascii="仿宋" w:hAnsi="仿宋" w:eastAsia="仿宋" w:cs="仿宋"/>
          <w:sz w:val="24"/>
          <w:szCs w:val="24"/>
        </w:rPr>
      </w:pPr>
      <w:r>
        <w:rPr>
          <w:rFonts w:hint="eastAsia" w:ascii="仿宋" w:hAnsi="仿宋" w:eastAsia="仿宋" w:cs="仿宋"/>
          <w:sz w:val="24"/>
          <w:szCs w:val="24"/>
        </w:rPr>
        <w:t>　　4、招标文件每份售价人民币200元，于递交投标文件时缴纳给采购代理机构，售后不退。</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1、投标截止及开标时间：2018年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日 </w:t>
      </w:r>
      <w:r>
        <w:rPr>
          <w:rFonts w:hint="eastAsia" w:ascii="仿宋" w:hAnsi="仿宋" w:eastAsia="仿宋" w:cs="仿宋"/>
          <w:sz w:val="24"/>
          <w:szCs w:val="24"/>
          <w:lang w:val="en-US" w:eastAsia="zh-CN"/>
        </w:rPr>
        <w:t>9</w:t>
      </w:r>
      <w:r>
        <w:rPr>
          <w:rFonts w:hint="eastAsia" w:ascii="仿宋" w:hAnsi="仿宋" w:eastAsia="仿宋" w:cs="仿宋"/>
          <w:sz w:val="24"/>
          <w:szCs w:val="24"/>
        </w:rPr>
        <w:t>:00　（北京时间），逾期送达或不符合规定的投标文件不予接受。</w:t>
      </w:r>
    </w:p>
    <w:p>
      <w:pPr>
        <w:spacing w:line="440" w:lineRule="exact"/>
        <w:rPr>
          <w:rFonts w:hint="eastAsia"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440" w:lineRule="exact"/>
        <w:rPr>
          <w:rFonts w:hint="eastAsia"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440" w:lineRule="exact"/>
        <w:rPr>
          <w:rFonts w:hint="eastAsia" w:ascii="仿宋" w:hAnsi="仿宋" w:eastAsia="仿宋" w:cs="仿宋"/>
          <w:sz w:val="24"/>
          <w:szCs w:val="24"/>
        </w:rPr>
      </w:pPr>
      <w:r>
        <w:rPr>
          <w:rFonts w:hint="eastAsia" w:ascii="仿宋" w:hAnsi="仿宋" w:eastAsia="仿宋" w:cs="仿宋"/>
          <w:sz w:val="24"/>
          <w:szCs w:val="24"/>
        </w:rPr>
        <w:t>　（一）代理机构：禹州市政府采购中心</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地址：禹州市行政服务中心楼917房间  </w:t>
      </w:r>
    </w:p>
    <w:p>
      <w:pPr>
        <w:spacing w:line="44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联系人：侯女士  联系电话：0374-2077111</w:t>
      </w:r>
    </w:p>
    <w:p>
      <w:pPr>
        <w:spacing w:line="440" w:lineRule="exact"/>
        <w:rPr>
          <w:rFonts w:hint="eastAsia" w:ascii="仿宋" w:hAnsi="仿宋" w:eastAsia="仿宋" w:cs="仿宋"/>
          <w:sz w:val="24"/>
          <w:szCs w:val="24"/>
        </w:rPr>
      </w:pPr>
      <w:r>
        <w:rPr>
          <w:rFonts w:hint="eastAsia" w:ascii="仿宋" w:hAnsi="仿宋" w:eastAsia="仿宋" w:cs="仿宋"/>
          <w:sz w:val="24"/>
          <w:szCs w:val="24"/>
        </w:rPr>
        <w:t>　（二）采购单位：禹州市</w:t>
      </w:r>
      <w:r>
        <w:rPr>
          <w:rFonts w:hint="eastAsia" w:ascii="仿宋" w:hAnsi="仿宋" w:eastAsia="仿宋" w:cs="仿宋"/>
          <w:sz w:val="24"/>
          <w:szCs w:val="24"/>
          <w:lang w:eastAsia="zh-CN"/>
        </w:rPr>
        <w:t>公安消防大队</w:t>
      </w:r>
    </w:p>
    <w:p>
      <w:pPr>
        <w:spacing w:line="440" w:lineRule="exact"/>
        <w:ind w:firstLine="600" w:firstLineChars="250"/>
        <w:rPr>
          <w:rFonts w:hint="eastAsia" w:ascii="仿宋" w:hAnsi="仿宋" w:eastAsia="仿宋" w:cs="仿宋"/>
          <w:sz w:val="24"/>
          <w:szCs w:val="24"/>
          <w:lang w:eastAsia="zh-CN"/>
        </w:rPr>
      </w:pPr>
      <w:r>
        <w:rPr>
          <w:rFonts w:hint="eastAsia" w:ascii="仿宋" w:hAnsi="仿宋" w:eastAsia="仿宋" w:cs="仿宋"/>
          <w:sz w:val="24"/>
          <w:szCs w:val="24"/>
        </w:rPr>
        <w:t>地址：禹州市</w:t>
      </w:r>
      <w:r>
        <w:rPr>
          <w:rFonts w:hint="eastAsia" w:ascii="仿宋" w:hAnsi="仿宋" w:eastAsia="仿宋" w:cs="仿宋"/>
          <w:sz w:val="24"/>
          <w:szCs w:val="24"/>
          <w:lang w:eastAsia="zh-CN"/>
        </w:rPr>
        <w:t>禹王大道</w:t>
      </w:r>
    </w:p>
    <w:p>
      <w:pPr>
        <w:spacing w:line="440" w:lineRule="exact"/>
        <w:ind w:firstLine="600" w:firstLineChars="250"/>
        <w:rPr>
          <w:rFonts w:hint="eastAsia" w:ascii="仿宋" w:hAnsi="仿宋" w:eastAsia="仿宋" w:cs="仿宋"/>
          <w:sz w:val="24"/>
          <w:szCs w:val="24"/>
          <w:lang w:val="en-US" w:eastAsia="zh-CN"/>
        </w:rPr>
      </w:pPr>
      <w:r>
        <w:rPr>
          <w:rFonts w:hint="eastAsia" w:ascii="仿宋" w:hAnsi="仿宋" w:eastAsia="仿宋" w:cs="仿宋"/>
          <w:sz w:val="24"/>
          <w:szCs w:val="24"/>
        </w:rPr>
        <w:t xml:space="preserve"> 联系人：</w:t>
      </w:r>
      <w:r>
        <w:rPr>
          <w:rFonts w:hint="eastAsia" w:ascii="仿宋" w:hAnsi="仿宋" w:eastAsia="仿宋" w:cs="仿宋"/>
          <w:sz w:val="24"/>
          <w:szCs w:val="24"/>
          <w:lang w:eastAsia="zh-CN"/>
        </w:rPr>
        <w:t>胡</w:t>
      </w:r>
      <w:r>
        <w:rPr>
          <w:rFonts w:hint="eastAsia" w:ascii="仿宋" w:hAnsi="仿宋" w:eastAsia="仿宋" w:cs="仿宋"/>
          <w:sz w:val="24"/>
          <w:szCs w:val="24"/>
        </w:rPr>
        <w:t>先生      联系电话：</w:t>
      </w:r>
      <w:r>
        <w:rPr>
          <w:rFonts w:hint="eastAsia" w:ascii="仿宋" w:hAnsi="仿宋" w:eastAsia="仿宋" w:cs="仿宋"/>
          <w:sz w:val="24"/>
          <w:szCs w:val="24"/>
          <w:lang w:val="en-US" w:eastAsia="zh-CN"/>
        </w:rPr>
        <w:t>18339051357</w:t>
      </w:r>
    </w:p>
    <w:p>
      <w:pPr>
        <w:spacing w:line="440" w:lineRule="exact"/>
        <w:rPr>
          <w:rFonts w:hint="eastAsia" w:ascii="仿宋" w:hAnsi="仿宋" w:eastAsia="仿宋" w:cs="仿宋"/>
          <w:sz w:val="24"/>
          <w:szCs w:val="24"/>
        </w:rPr>
      </w:pPr>
      <w:r>
        <w:rPr>
          <w:rFonts w:hint="eastAsia" w:ascii="仿宋" w:hAnsi="仿宋" w:eastAsia="仿宋" w:cs="仿宋"/>
          <w:sz w:val="24"/>
          <w:szCs w:val="24"/>
        </w:rPr>
        <w:t>　　　　　　　　　　　　　　　　　　</w:t>
      </w:r>
    </w:p>
    <w:p>
      <w:pPr>
        <w:spacing w:line="440" w:lineRule="exact"/>
        <w:ind w:firstLine="3720" w:firstLineChars="1550"/>
        <w:rPr>
          <w:rFonts w:hint="eastAsia" w:ascii="仿宋" w:hAnsi="仿宋" w:eastAsia="仿宋" w:cs="仿宋"/>
          <w:sz w:val="24"/>
          <w:szCs w:val="24"/>
        </w:rPr>
      </w:pPr>
    </w:p>
    <w:p>
      <w:pPr>
        <w:spacing w:line="440" w:lineRule="exact"/>
        <w:ind w:firstLine="4920" w:firstLineChars="2050"/>
        <w:rPr>
          <w:rFonts w:hint="eastAsia" w:ascii="仿宋" w:hAnsi="仿宋" w:eastAsia="仿宋" w:cs="仿宋"/>
          <w:sz w:val="24"/>
          <w:szCs w:val="24"/>
        </w:rPr>
      </w:pPr>
      <w:r>
        <w:rPr>
          <w:rFonts w:hint="eastAsia" w:ascii="仿宋" w:hAnsi="仿宋" w:eastAsia="仿宋" w:cs="仿宋"/>
          <w:sz w:val="24"/>
          <w:szCs w:val="24"/>
        </w:rPr>
        <w:t xml:space="preserve">2018年 </w:t>
      </w:r>
      <w:r>
        <w:rPr>
          <w:rFonts w:hint="eastAsia" w:ascii="仿宋" w:hAnsi="仿宋" w:eastAsia="仿宋" w:cs="仿宋"/>
          <w:sz w:val="24"/>
          <w:szCs w:val="24"/>
          <w:lang w:val="en-US" w:eastAsia="zh-CN"/>
        </w:rPr>
        <w:t>8</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
        <w:rPr>
          <w:rFonts w:hint="eastAsia" w:ascii="仿宋" w:hAnsi="仿宋" w:eastAsia="仿宋" w:cs="仿宋"/>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1928" w:firstLineChars="800"/>
        <w:rPr>
          <w:rFonts w:hint="eastAsia" w:ascii="仿宋" w:hAnsi="仿宋" w:eastAsia="仿宋" w:cs="仿宋"/>
          <w:b/>
          <w:sz w:val="24"/>
          <w:szCs w:val="2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hint="eastAsia" w:ascii="仿宋" w:hAnsi="仿宋" w:eastAsia="仿宋"/>
                <w:b/>
                <w:kern w:val="0"/>
                <w:sz w:val="24"/>
                <w:szCs w:val="24"/>
                <w:lang w:val="en-US" w:eastAsia="zh-CN"/>
              </w:rPr>
            </w:pPr>
            <w:r>
              <w:rPr>
                <w:rFonts w:hint="eastAsia" w:ascii="仿宋" w:hAnsi="仿宋" w:eastAsia="仿宋"/>
                <w:sz w:val="24"/>
                <w:szCs w:val="24"/>
              </w:rPr>
              <w:t>YZCG—G2018</w:t>
            </w:r>
            <w:r>
              <w:rPr>
                <w:rFonts w:hint="eastAsia" w:ascii="仿宋" w:hAnsi="仿宋" w:eastAsia="仿宋"/>
                <w:sz w:val="24"/>
                <w:szCs w:val="24"/>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color w:val="000000"/>
                <w:kern w:val="0"/>
                <w:sz w:val="24"/>
                <w:szCs w:val="24"/>
                <w:lang w:eastAsia="zh-CN"/>
              </w:rPr>
            </w:pPr>
            <w:r>
              <w:rPr>
                <w:rFonts w:hint="eastAsia" w:ascii="仿宋" w:hAnsi="仿宋" w:eastAsia="仿宋"/>
                <w:color w:val="000000"/>
                <w:kern w:val="0"/>
                <w:sz w:val="24"/>
                <w:szCs w:val="24"/>
              </w:rPr>
              <w:t>禹州市</w:t>
            </w:r>
            <w:r>
              <w:rPr>
                <w:rFonts w:hint="eastAsia" w:ascii="仿宋" w:hAnsi="仿宋" w:eastAsia="仿宋"/>
                <w:color w:val="000000"/>
                <w:kern w:val="0"/>
                <w:sz w:val="24"/>
                <w:szCs w:val="24"/>
                <w:lang w:eastAsia="zh-CN"/>
              </w:rPr>
              <w:t>公安消防大队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40" w:lineRule="exact"/>
              <w:rPr>
                <w:rFonts w:ascii="仿宋" w:hAnsi="仿宋" w:eastAsia="仿宋"/>
                <w:color w:val="000000"/>
                <w:kern w:val="0"/>
                <w:sz w:val="24"/>
                <w:szCs w:val="24"/>
              </w:rPr>
            </w:pPr>
            <w:r>
              <w:rPr>
                <w:rFonts w:hint="eastAsia" w:ascii="仿宋" w:hAnsi="仿宋" w:eastAsia="仿宋" w:cs="仿宋"/>
                <w:sz w:val="24"/>
                <w:szCs w:val="24"/>
              </w:rPr>
              <w:t>禹州市公安消防大队54米多功能登高平台消防车采购项目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壹拾</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9 </w:t>
            </w:r>
            <w:r>
              <w:rPr>
                <w:rFonts w:hint="eastAsia" w:ascii="仿宋" w:hAnsi="仿宋" w:eastAsia="仿宋"/>
                <w:sz w:val="24"/>
                <w:szCs w:val="24"/>
              </w:rPr>
              <w:t>月</w:t>
            </w:r>
            <w:r>
              <w:rPr>
                <w:rFonts w:hint="eastAsia" w:ascii="仿宋" w:hAnsi="仿宋" w:eastAsia="仿宋"/>
                <w:sz w:val="24"/>
                <w:szCs w:val="24"/>
                <w:lang w:val="en-US" w:eastAsia="zh-CN"/>
              </w:rPr>
              <w:t xml:space="preserve"> </w:t>
            </w:r>
            <w:r>
              <w:rPr>
                <w:rFonts w:hint="eastAsia" w:ascii="仿宋" w:hAnsi="仿宋" w:eastAsia="仿宋"/>
                <w:sz w:val="24"/>
                <w:szCs w:val="24"/>
              </w:rPr>
              <w:t>日9：00前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3"/>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 xml:space="preserve">9 </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 xml:space="preserve"> </w:t>
            </w:r>
            <w:r>
              <w:rPr>
                <w:rFonts w:hint="eastAsia" w:ascii="仿宋" w:hAnsi="仿宋" w:eastAsia="仿宋"/>
                <w:color w:val="FF0000"/>
                <w:sz w:val="24"/>
                <w:szCs w:val="24"/>
                <w:lang w:val="zh-CN"/>
              </w:rPr>
              <w:t>日</w:t>
            </w:r>
            <w:r>
              <w:rPr>
                <w:rFonts w:hint="eastAsia" w:ascii="仿宋" w:hAnsi="仿宋" w:eastAsia="仿宋"/>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lang w:val="en-US" w:eastAsia="zh-CN"/>
              </w:rPr>
              <w:t>520</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5.5投标文件含有采购人不能接受的附加条件的；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5.6属于招标文件“其它要求”中无效投标条款情形的。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11.2投标人按要求提交贰仟元的投标保证金。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仿宋_GB2312"/>
          <w:sz w:val="24"/>
          <w:szCs w:val="24"/>
        </w:rPr>
        <w:t>19</w:t>
      </w:r>
      <w:r>
        <w:rPr>
          <w:rFonts w:hint="eastAsia" w:ascii="仿宋" w:hAnsi="仿宋" w:eastAsia="仿宋" w:cs="宋体"/>
          <w:bCs/>
          <w:sz w:val="24"/>
          <w:lang w:val="zh-CN"/>
        </w:rPr>
        <w:t>.1未按照招标文件的规定提交投标保证金的；</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19.2投标文件未按招标文件要求签署、盖章的；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19.6属于招标文件“其它要求”中无效投标条款情形的。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440" w:lineRule="exact"/>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440" w:lineRule="exact"/>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440" w:lineRule="exact"/>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440" w:lineRule="exact"/>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投诉应当遵守《中华人民共和国财政部令政府采购投诉处理办法》（中华人民共和国财政部令94号令）规定。</w:t>
      </w:r>
    </w:p>
    <w:p>
      <w:pPr>
        <w:widowControl/>
        <w:spacing w:line="440" w:lineRule="exact"/>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idowControl/>
        <w:numPr>
          <w:ilvl w:val="0"/>
          <w:numId w:val="4"/>
        </w:numPr>
        <w:spacing w:line="440" w:lineRule="exact"/>
        <w:ind w:firstLine="1533" w:firstLineChars="347"/>
        <w:rPr>
          <w:rFonts w:ascii="仿宋" w:hAnsi="仿宋" w:eastAsia="仿宋"/>
          <w:b/>
          <w:sz w:val="44"/>
        </w:rPr>
      </w:pPr>
      <w:r>
        <w:rPr>
          <w:rFonts w:hint="eastAsia" w:ascii="仿宋" w:hAnsi="仿宋" w:eastAsia="仿宋"/>
          <w:b/>
          <w:sz w:val="44"/>
        </w:rPr>
        <w:t>分 采购内容及其他要求</w:t>
      </w:r>
    </w:p>
    <w:p>
      <w:pPr>
        <w:widowControl/>
        <w:spacing w:line="440" w:lineRule="exact"/>
        <w:rPr>
          <w:rFonts w:ascii="仿宋" w:hAnsi="仿宋" w:eastAsia="仿宋"/>
          <w:b/>
          <w:sz w:val="44"/>
        </w:rPr>
      </w:pPr>
    </w:p>
    <w:p>
      <w:pPr>
        <w:rPr>
          <w:rFonts w:hint="eastAsia" w:ascii="仿宋" w:hAnsi="仿宋" w:eastAsia="仿宋" w:cs="仿宋"/>
          <w:b/>
          <w:sz w:val="24"/>
          <w:szCs w:val="24"/>
          <w:lang w:val="en-US" w:eastAsia="zh-CN"/>
        </w:rPr>
      </w:pPr>
      <w:r>
        <w:rPr>
          <w:rFonts w:hint="eastAsia" w:ascii="仿宋" w:hAnsi="仿宋" w:eastAsia="仿宋" w:cs="仿宋"/>
          <w:b/>
          <w:sz w:val="24"/>
          <w:szCs w:val="24"/>
          <w:lang w:eastAsia="zh-CN"/>
        </w:rPr>
        <w:t>采购内容：</w:t>
      </w:r>
      <w:r>
        <w:rPr>
          <w:rFonts w:hint="eastAsia" w:ascii="仿宋" w:hAnsi="仿宋" w:eastAsia="仿宋" w:cs="仿宋"/>
          <w:b/>
          <w:sz w:val="24"/>
          <w:szCs w:val="24"/>
          <w:lang w:val="en-US" w:eastAsia="zh-CN"/>
        </w:rPr>
        <w:t>54米多功能登高消防车  1台</w:t>
      </w:r>
    </w:p>
    <w:p>
      <w:pPr>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一、底盘</w:t>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欧五排放标准，六缸直列水冷涡轮增压，中冷，电子控制燃油喷射发动机。</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液压可倾翻式安全型驾驶室，舒适型（悬挂）司机座椅，消防红色喷涂，收音机，CD播放机，驾驶室冷热空调系统，中央门锁，电动门窗，电动后视镜，驾驶室前望地镜，驾驶室外遮阳板，安全带。驾驶室内安装350兆赫车载电台一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整体式动力转向，巡航定速控制系统，车辆运行实时监控系统，发动机启动预热装置，倒车雷达加影像系统，燃油系统油水分离器，刹车空气干燥器等。</w:t>
      </w:r>
    </w:p>
    <w:p>
      <w:pPr>
        <w:keepNext w:val="0"/>
        <w:keepLines w:val="0"/>
        <w:pageBreakBefore w:val="0"/>
        <w:numPr>
          <w:ilvl w:val="0"/>
          <w:numId w:val="5"/>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发动机功率</w:t>
      </w:r>
      <w:r>
        <w:rPr>
          <w:rFonts w:hint="eastAsia" w:ascii="仿宋" w:hAnsi="仿宋" w:eastAsia="仿宋" w:cs="仿宋"/>
          <w:sz w:val="24"/>
          <w:szCs w:val="24"/>
        </w:rPr>
        <w:tab/>
      </w:r>
      <w:r>
        <w:rPr>
          <w:rFonts w:hint="eastAsia" w:ascii="仿宋" w:hAnsi="仿宋" w:eastAsia="仿宋" w:cs="仿宋"/>
          <w:sz w:val="24"/>
          <w:szCs w:val="24"/>
        </w:rPr>
        <w:t>≥500hp/365Kw/1,400-1,900rpm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三、支腿</w:t>
      </w:r>
      <w:r>
        <w:rPr>
          <w:rFonts w:hint="eastAsia" w:ascii="仿宋" w:hAnsi="仿宋" w:eastAsia="仿宋" w:cs="仿宋"/>
          <w:sz w:val="24"/>
          <w:szCs w:val="24"/>
        </w:rPr>
        <w:tab/>
      </w:r>
      <w:r>
        <w:rPr>
          <w:rFonts w:hint="eastAsia" w:ascii="仿宋" w:hAnsi="仿宋" w:eastAsia="仿宋" w:cs="仿宋"/>
          <w:sz w:val="24"/>
          <w:szCs w:val="24"/>
        </w:rPr>
        <w:t xml:space="preserve">结构型式  H型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支腿调平方式  自动调平</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纵向跨距</w:t>
      </w:r>
      <w:r>
        <w:rPr>
          <w:rFonts w:hint="eastAsia" w:ascii="仿宋" w:hAnsi="仿宋" w:eastAsia="仿宋" w:cs="仿宋"/>
          <w:sz w:val="24"/>
          <w:szCs w:val="24"/>
        </w:rPr>
        <w:tab/>
      </w:r>
      <w:r>
        <w:rPr>
          <w:rFonts w:hint="eastAsia" w:ascii="仿宋" w:hAnsi="仿宋" w:eastAsia="仿宋" w:cs="仿宋"/>
          <w:sz w:val="24"/>
          <w:szCs w:val="24"/>
        </w:rPr>
        <w:t>≤8400mm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横向跨距</w:t>
      </w:r>
      <w:r>
        <w:rPr>
          <w:rFonts w:hint="eastAsia" w:ascii="仿宋" w:hAnsi="仿宋" w:eastAsia="仿宋" w:cs="仿宋"/>
          <w:sz w:val="24"/>
          <w:szCs w:val="24"/>
        </w:rPr>
        <w:tab/>
      </w:r>
      <w:r>
        <w:rPr>
          <w:rFonts w:hint="eastAsia" w:ascii="仿宋" w:hAnsi="仿宋" w:eastAsia="仿宋" w:cs="仿宋"/>
          <w:sz w:val="24"/>
          <w:szCs w:val="24"/>
        </w:rPr>
        <w:t>≤6100mm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四、工作斗载荷</w:t>
      </w:r>
      <w:r>
        <w:rPr>
          <w:rFonts w:hint="eastAsia" w:ascii="仿宋" w:hAnsi="仿宋" w:eastAsia="仿宋" w:cs="仿宋"/>
          <w:sz w:val="24"/>
          <w:szCs w:val="24"/>
        </w:rPr>
        <w:tab/>
      </w:r>
      <w:r>
        <w:rPr>
          <w:rFonts w:hint="eastAsia" w:ascii="仿宋" w:hAnsi="仿宋" w:eastAsia="仿宋" w:cs="仿宋"/>
          <w:sz w:val="24"/>
          <w:szCs w:val="24"/>
        </w:rPr>
        <w:t>≥400kg</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最大工作高度</w:t>
      </w:r>
      <w:r>
        <w:rPr>
          <w:rFonts w:hint="eastAsia" w:ascii="仿宋" w:hAnsi="仿宋" w:eastAsia="仿宋" w:cs="仿宋"/>
          <w:sz w:val="24"/>
          <w:szCs w:val="24"/>
        </w:rPr>
        <w:tab/>
      </w:r>
      <w:r>
        <w:rPr>
          <w:rFonts w:hint="eastAsia" w:ascii="仿宋" w:hAnsi="仿宋" w:eastAsia="仿宋" w:cs="仿宋"/>
          <w:sz w:val="24"/>
          <w:szCs w:val="24"/>
        </w:rPr>
        <w:t>≥54m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最大工作半径</w:t>
      </w:r>
      <w:r>
        <w:rPr>
          <w:rFonts w:hint="eastAsia" w:ascii="仿宋" w:hAnsi="仿宋" w:eastAsia="仿宋" w:cs="仿宋"/>
          <w:sz w:val="24"/>
          <w:szCs w:val="24"/>
        </w:rPr>
        <w:tab/>
      </w:r>
      <w:r>
        <w:rPr>
          <w:rFonts w:hint="eastAsia" w:ascii="仿宋" w:hAnsi="仿宋" w:eastAsia="仿宋" w:cs="仿宋"/>
          <w:sz w:val="24"/>
          <w:szCs w:val="24"/>
        </w:rPr>
        <w:t>≥19m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臂（梯）架形式</w:t>
      </w:r>
      <w:r>
        <w:rPr>
          <w:rFonts w:hint="eastAsia" w:ascii="仿宋" w:hAnsi="仿宋" w:eastAsia="仿宋" w:cs="仿宋"/>
          <w:sz w:val="24"/>
          <w:szCs w:val="24"/>
        </w:rPr>
        <w:tab/>
      </w:r>
      <w:r>
        <w:rPr>
          <w:rFonts w:hint="eastAsia" w:ascii="仿宋" w:hAnsi="仿宋" w:eastAsia="仿宋" w:cs="仿宋"/>
          <w:sz w:val="24"/>
          <w:szCs w:val="24"/>
        </w:rPr>
        <w:t>五节同步伸缩臂+折臂</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臂架变幅角度</w:t>
      </w:r>
      <w:r>
        <w:rPr>
          <w:rFonts w:hint="eastAsia" w:ascii="仿宋" w:hAnsi="仿宋" w:eastAsia="仿宋" w:cs="仿宋"/>
          <w:sz w:val="24"/>
          <w:szCs w:val="24"/>
        </w:rPr>
        <w:tab/>
      </w:r>
      <w:r>
        <w:rPr>
          <w:rFonts w:hint="eastAsia" w:ascii="仿宋" w:hAnsi="仿宋" w:eastAsia="仿宋" w:cs="仿宋"/>
          <w:sz w:val="24"/>
          <w:szCs w:val="24"/>
        </w:rPr>
        <w:t>伸缩臂0°—88°</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折臂与伸缩臂0°—174°</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回转范围</w:t>
      </w:r>
      <w:r>
        <w:rPr>
          <w:rFonts w:hint="eastAsia" w:ascii="仿宋" w:hAnsi="仿宋" w:eastAsia="仿宋" w:cs="仿宋"/>
          <w:sz w:val="24"/>
          <w:szCs w:val="24"/>
        </w:rPr>
        <w:tab/>
      </w:r>
      <w:r>
        <w:rPr>
          <w:rFonts w:hint="eastAsia" w:ascii="仿宋" w:hAnsi="仿宋" w:eastAsia="仿宋" w:cs="仿宋"/>
          <w:sz w:val="24"/>
          <w:szCs w:val="24"/>
        </w:rPr>
        <w:t>360°全回转</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支腿展开时间</w:t>
      </w:r>
      <w:r>
        <w:rPr>
          <w:rFonts w:hint="eastAsia" w:ascii="仿宋" w:hAnsi="仿宋" w:eastAsia="仿宋" w:cs="仿宋"/>
          <w:sz w:val="24"/>
          <w:szCs w:val="24"/>
        </w:rPr>
        <w:tab/>
      </w:r>
      <w:r>
        <w:rPr>
          <w:rFonts w:hint="eastAsia" w:ascii="仿宋" w:hAnsi="仿宋" w:eastAsia="仿宋" w:cs="仿宋"/>
          <w:sz w:val="24"/>
          <w:szCs w:val="24"/>
        </w:rPr>
        <w:t>≤50s</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臂架升起额定高度并旋转90°时间</w:t>
      </w:r>
      <w:r>
        <w:rPr>
          <w:rFonts w:hint="eastAsia" w:ascii="仿宋" w:hAnsi="仿宋" w:eastAsia="仿宋" w:cs="仿宋"/>
          <w:sz w:val="24"/>
          <w:szCs w:val="24"/>
        </w:rPr>
        <w:tab/>
      </w:r>
      <w:r>
        <w:rPr>
          <w:rFonts w:hint="eastAsia" w:ascii="仿宋" w:hAnsi="仿宋" w:eastAsia="仿宋" w:cs="仿宋"/>
          <w:sz w:val="24"/>
          <w:szCs w:val="24"/>
        </w:rPr>
        <w:t>≤230s</w:t>
      </w:r>
    </w:p>
    <w:p>
      <w:pPr>
        <w:keepNext w:val="0"/>
        <w:keepLines w:val="0"/>
        <w:pageBreakBefore w:val="0"/>
        <w:numPr>
          <w:ilvl w:val="0"/>
          <w:numId w:val="6"/>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罐体</w:t>
      </w:r>
      <w:r>
        <w:rPr>
          <w:rFonts w:hint="eastAsia" w:ascii="仿宋" w:hAnsi="仿宋" w:eastAsia="仿宋" w:cs="仿宋"/>
          <w:sz w:val="24"/>
          <w:szCs w:val="24"/>
        </w:rPr>
        <w:tab/>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材质  304不锈钢</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板厚  ≥3mm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罐体内防荡板网格式设置，设纵向、横向防荡板</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水罐设DN125溢水管带溢水帽</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泡沫罐设呼吸阀</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水罐和泡沫罐均安装电子液位计</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罐体与付梁采用弹性联接</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罐体顶板采用防滑不锈钢花纹板</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罐体内表面涂刷防腐漆料</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水罐设开口1个, 内孔φ440, 带有快速锁定/开启，罐体压力超过2公斤时的自动泄压，水罐盖涂绿色</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载液量</w:t>
      </w:r>
      <w:r>
        <w:rPr>
          <w:rFonts w:hint="eastAsia" w:ascii="仿宋" w:hAnsi="仿宋" w:eastAsia="仿宋" w:cs="仿宋"/>
          <w:sz w:val="24"/>
          <w:szCs w:val="24"/>
        </w:rPr>
        <w:tab/>
      </w:r>
      <w:r>
        <w:rPr>
          <w:rFonts w:hint="eastAsia" w:ascii="仿宋" w:hAnsi="仿宋" w:eastAsia="仿宋" w:cs="仿宋"/>
          <w:sz w:val="24"/>
          <w:szCs w:val="24"/>
        </w:rPr>
        <w:t>载水量    4.5吨</w:t>
      </w:r>
      <w:r>
        <w:rPr>
          <w:rFonts w:hint="eastAsia" w:ascii="仿宋" w:hAnsi="仿宋" w:eastAsia="仿宋" w:cs="仿宋"/>
          <w:sz w:val="24"/>
          <w:szCs w:val="24"/>
        </w:rPr>
        <w:tab/>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载泡沫量  1.2吨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六、水泵</w:t>
      </w:r>
      <w:r>
        <w:rPr>
          <w:rFonts w:hint="eastAsia" w:ascii="仿宋" w:hAnsi="仿宋" w:eastAsia="仿宋" w:cs="仿宋"/>
          <w:sz w:val="24"/>
          <w:szCs w:val="24"/>
        </w:rPr>
        <w:tab/>
      </w:r>
      <w:r>
        <w:rPr>
          <w:rFonts w:hint="eastAsia" w:ascii="仿宋" w:hAnsi="仿宋" w:eastAsia="仿宋" w:cs="仿宋"/>
          <w:sz w:val="24"/>
          <w:szCs w:val="24"/>
        </w:rPr>
        <w:t>进口单级离心式水泵</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流量 ≥100 L/S @ 1.0 Mpa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入口法兰  DN150</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出口法兰  DN125</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七、真空泵</w:t>
      </w:r>
      <w:r>
        <w:rPr>
          <w:rFonts w:hint="eastAsia" w:ascii="仿宋" w:hAnsi="仿宋" w:eastAsia="仿宋" w:cs="仿宋"/>
          <w:sz w:val="24"/>
          <w:szCs w:val="24"/>
        </w:rPr>
        <w:tab/>
      </w:r>
      <w:r>
        <w:rPr>
          <w:rFonts w:hint="eastAsia" w:ascii="仿宋" w:hAnsi="仿宋" w:eastAsia="仿宋" w:cs="仿宋"/>
          <w:sz w:val="24"/>
          <w:szCs w:val="24"/>
        </w:rPr>
        <w:t>进口电动真空泵（24V）</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真空度 ≥85kPa</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吸水深度 ≥７米</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引水时间小于50秒</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八、水炮</w:t>
      </w:r>
      <w:r>
        <w:rPr>
          <w:rFonts w:hint="eastAsia" w:ascii="仿宋" w:hAnsi="仿宋" w:eastAsia="仿宋" w:cs="仿宋"/>
          <w:sz w:val="24"/>
          <w:szCs w:val="24"/>
        </w:rPr>
        <w:tab/>
      </w:r>
      <w:r>
        <w:rPr>
          <w:rFonts w:hint="eastAsia" w:ascii="仿宋" w:hAnsi="仿宋" w:eastAsia="仿宋" w:cs="仿宋"/>
          <w:sz w:val="24"/>
          <w:szCs w:val="24"/>
        </w:rPr>
        <w:t>水、泡沫两用电遥控消防炮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流量可调950——4800L/min；工作压力0.55MPa</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射程（水）≥60m，（泡沫）≥50m。</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水平转角度±48度； 仰角度78度；俯角48度。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≥100米无线遥控操作。</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九、电气</w:t>
      </w:r>
      <w:r>
        <w:rPr>
          <w:rFonts w:hint="eastAsia" w:ascii="仿宋" w:hAnsi="仿宋" w:eastAsia="仿宋" w:cs="仿宋"/>
          <w:sz w:val="24"/>
          <w:szCs w:val="24"/>
        </w:rPr>
        <w:tab/>
      </w:r>
      <w:r>
        <w:rPr>
          <w:rFonts w:hint="eastAsia" w:ascii="仿宋" w:hAnsi="仿宋" w:eastAsia="仿宋" w:cs="仿宋"/>
          <w:sz w:val="24"/>
          <w:szCs w:val="24"/>
        </w:rPr>
        <w:t>上车操作台位置：转台左侧，带座椅</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 xml:space="preserve">整车控制类型：触摸屏操作界面，电脑控制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驾驶室顶部安装2个圆警灯，车身两侧各带爆闪警灯两个。</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驾驶室内安装警报器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驾驶室内安装可视倒车监视器</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驾驶室内预留车载电台接口</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自动脱离充电装置</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工作斗安装风速仪</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工作斗超载报警</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配置视频监控及硬盘录像</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水泵出水自动稳压控制</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十、支撑机构：</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支腿应采用H型结构，水平外套应由高强度合金钢制作，付梁应由高强度钢板经冷弯后焊接而成的箱式结构，从而保证支撑机构的安全、可靠性。</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十一、平台：</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载人平台应由无缝型钢焊接而成，设置在臂架顶端，平台上应安有电脑控制和臂架运动显示系统，可左右旋转，载重不低于400Kg，需载有大流量电遥控水炮，照明系统，对讲系统等。</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登高消防车进入现场操作时，工作平台应随臂架的变幅运动由调平机构自动调整水平，工作平台的底面始终与地面保持平行，变幅运动停止后，工作平台应自动锁死。</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工作平台前端应有过桥，工作平台内应装有摆动机构，可使工作平台左右摆动。 </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平台应内设有遥控水炮灭火系统，可实现水炮在不同角度与方位空中射水、扑救高层建筑火灾。 </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十二、副梯：</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臂架侧面应载有副梯。副梯应由高强度铝合金型材焊接而成。副梯与臂架伸缩应同步进行，每节副梯可同时承载2名被困人员，沿梯而下。</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十三、安全控制系统</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登高车工作平台应具备摆动机构，使工作平台可以左右摆动，这样更加容易接近建筑物，方便救人和抢救物资。出于安全可靠的目的，该车还应装备有应急液压泵，在火场救火汽车发动机突然出现故障时，就可以启动汽油机应急液压泵将登高车臂架收回到行驶状态，使工作平台中的战斗员安全回到地面，并将登高车拖离火场。</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独特的安全装置与控制系统应保证该车在灭火救援实战中使用的安全可靠性。</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工作幅度限制：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在变幅任一角度，主臂都应有一个确定幅度限制。在到达幅度限制前一米时，变幅落和伸臂应自动减速，屏幕上也应有相应文字提示，直到到达极限值时自动停止。</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软腿控制：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在操作上车过程中，在某个支腿不受力通过电控开关控制产生报警信号时，支腿灯应闪烁并发出声音报警，说明支腿不受力（软腿）操作者应予检查、调整，以防止整车失稳。</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上、下车互锁装置：</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当下车支腿没有牢牢支撑地面，并调平车身前，上车应停止一切动作；当臂架没有收到支撑架内时，下车应停止一切动作。</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应安装臂架变幅、伸缩至极限位置的减速停止装置。</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臂架取中位回落装置：</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当臂架与平台在侧面或上面接近罐体或驾驶室时，应停止向不安全方向的全部动作；当臂架与平台全部归位，取中位后，方可自动回落臂架。</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平台防碰撞保护：</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平台下方应设有防碰撞保护，当接近障碍物时，应自动停止平台与臂架向不安全方向的全部动作；屏幕应出现相应的图标及文字提示。</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工作平台超载控制：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当工作平台上的负载超重时，屏幕应出现相应的图标及文字提示。同时报警，此时应减少工作平台上的负载。</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保护驾驶室控制：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当主臂在驾驶室上面70度范围内时，或工作平台底部距离车体1米以内时，系统应自动停止危险方向动作，此时应反方向操作避开驾驶室。屏幕应有图标及文字提示。</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主臂落回托架控制：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只有在折臂完全收回，主臂对准托架，工作平台对中以后，臂架才可落到托架上。</w:t>
      </w:r>
    </w:p>
    <w:p>
      <w:pPr>
        <w:keepNext w:val="0"/>
        <w:keepLines w:val="0"/>
        <w:pageBreakBefore w:val="0"/>
        <w:numPr>
          <w:ilvl w:val="0"/>
          <w:numId w:val="7"/>
        </w:numPr>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其它安全控制：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只有当折臂升起大于3度时，才可进行伸缩臂的操作；</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只有当中臂全收回，折叠梯折起，才可将折臂全收回；</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只有当折臂与工作平台夹角大于45度时，才可进行工作平台自动对中的操作。</w:t>
      </w:r>
    </w:p>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r>
        <w:rPr>
          <w:rFonts w:hint="eastAsia" w:ascii="仿宋" w:hAnsi="仿宋" w:eastAsia="仿宋" w:cs="仿宋"/>
          <w:sz w:val="24"/>
          <w:szCs w:val="24"/>
        </w:rPr>
        <w:t>十四、随车器材配备清单</w:t>
      </w:r>
    </w:p>
    <w:tbl>
      <w:tblPr>
        <w:tblStyle w:val="36"/>
        <w:tblW w:w="7575" w:type="dxa"/>
        <w:tblInd w:w="3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17"/>
        <w:gridCol w:w="708"/>
        <w:gridCol w:w="851"/>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kinsoku/>
              <w:wordWrap/>
              <w:overflowPunct/>
              <w:topLinePunct w:val="0"/>
              <w:autoSpaceDE/>
              <w:autoSpaceDN/>
              <w:bidi w:val="0"/>
              <w:adjustRightInd w:val="0"/>
              <w:snapToGrid w:val="0"/>
              <w:spacing w:line="360" w:lineRule="auto"/>
              <w:ind w:right="-107" w:rightChars="-51"/>
              <w:jc w:val="center"/>
              <w:textAlignment w:val="auto"/>
              <w:rPr>
                <w:rFonts w:hint="eastAsia" w:ascii="仿宋" w:hAnsi="仿宋" w:eastAsia="仿宋" w:cs="仿宋"/>
                <w:sz w:val="24"/>
                <w:szCs w:val="24"/>
              </w:rPr>
            </w:pPr>
            <w:r>
              <w:rPr>
                <w:rFonts w:hint="eastAsia" w:ascii="仿宋" w:hAnsi="仿宋" w:eastAsia="仿宋" w:cs="仿宋"/>
                <w:sz w:val="24"/>
                <w:szCs w:val="24"/>
              </w:rPr>
              <w:t>序号</w:t>
            </w: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名称</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单位</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数量</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消防水带25型</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盘</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Φ80×20M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消防水带25型</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盘</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Φ65×20M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干粉灭火器</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具</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底盘自带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吸水管扳手</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地上消火栓扳手</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地下消火栓扳手</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ind w:left="-107" w:leftChars="-51" w:right="-107" w:rightChars="-51"/>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异径接口80/65</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护带桥</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副</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水带包布</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8</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吸水管DN150，4米/根</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米</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快速接口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滤水器FLF 150</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车轮制动块</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泵浦吸液管DN50</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ABC扳手</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气阀应急手动扳手</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液压系统易损件</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随车工具</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泡沫炮头</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破拆工具</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移动照明</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全身式安全带（配挂钩）</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内六角扳手</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备胎</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支腿垫板</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多功能挠钩</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绝缘剪断钳</w:t>
            </w:r>
          </w:p>
        </w:tc>
        <w:tc>
          <w:tcPr>
            <w:tcW w:w="708"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橡皮锤</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个</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集水器（80/80/150）</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绝缘杆</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件</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780" w:type="dxa"/>
            <w:vAlign w:val="center"/>
          </w:tcPr>
          <w:p>
            <w:pPr>
              <w:keepNext w:val="0"/>
              <w:keepLines w:val="0"/>
              <w:pageBreakBefore w:val="0"/>
              <w:numPr>
                <w:ilvl w:val="0"/>
                <w:numId w:val="8"/>
              </w:numPr>
              <w:kinsoku/>
              <w:wordWrap/>
              <w:overflowPunct/>
              <w:topLinePunct w:val="0"/>
              <w:autoSpaceDE/>
              <w:autoSpaceDN/>
              <w:bidi w:val="0"/>
              <w:adjustRightInd w:val="0"/>
              <w:snapToGrid w:val="0"/>
              <w:spacing w:line="360" w:lineRule="auto"/>
              <w:jc w:val="center"/>
              <w:textAlignment w:val="auto"/>
              <w:rPr>
                <w:rFonts w:hint="eastAsia" w:ascii="仿宋" w:hAnsi="仿宋" w:eastAsia="仿宋" w:cs="仿宋"/>
                <w:sz w:val="24"/>
                <w:szCs w:val="24"/>
              </w:rPr>
            </w:pPr>
          </w:p>
        </w:tc>
        <w:tc>
          <w:tcPr>
            <w:tcW w:w="2817"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警示标牌</w:t>
            </w:r>
          </w:p>
        </w:tc>
        <w:tc>
          <w:tcPr>
            <w:tcW w:w="708"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套</w:t>
            </w:r>
          </w:p>
        </w:tc>
        <w:tc>
          <w:tcPr>
            <w:tcW w:w="851"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2419" w:type="dxa"/>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仿宋" w:hAnsi="仿宋" w:eastAsia="仿宋" w:cs="仿宋"/>
                <w:sz w:val="24"/>
                <w:szCs w:val="24"/>
              </w:rPr>
            </w:pPr>
          </w:p>
        </w:tc>
      </w:tr>
    </w:tbl>
    <w:p>
      <w:pPr>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注：</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投标人所投产品必须为全新车辆，所投产品须通过国家</w:t>
      </w:r>
      <w:r>
        <w:rPr>
          <w:rFonts w:hint="eastAsia" w:ascii="仿宋" w:hAnsi="仿宋" w:eastAsia="仿宋" w:cs="仿宋"/>
          <w:sz w:val="24"/>
          <w:szCs w:val="24"/>
          <w:lang w:val="en-US" w:eastAsia="zh-CN"/>
        </w:rPr>
        <w:t>3C认证和国家消防装备质量监督检验中心检测且取行合格检测报告，（若无国五3C认证和检测报告，</w:t>
      </w:r>
      <w:r>
        <w:rPr>
          <w:rFonts w:hint="eastAsia" w:ascii="仿宋" w:hAnsi="仿宋" w:eastAsia="仿宋" w:cs="仿宋"/>
          <w:sz w:val="24"/>
          <w:szCs w:val="24"/>
          <w:lang w:eastAsia="zh-CN"/>
        </w:rPr>
        <w:t>交车时须取得国五</w:t>
      </w:r>
      <w:r>
        <w:rPr>
          <w:rFonts w:hint="eastAsia" w:ascii="仿宋" w:hAnsi="仿宋" w:eastAsia="仿宋" w:cs="仿宋"/>
          <w:sz w:val="24"/>
          <w:szCs w:val="24"/>
          <w:lang w:val="en-US" w:eastAsia="zh-CN"/>
        </w:rPr>
        <w:t>3C认证和国家消防装备质量监督检验中心检测报告的承诺书)。</w:t>
      </w:r>
    </w:p>
    <w:p>
      <w:pPr>
        <w:pStyle w:val="2"/>
        <w:rPr>
          <w:rFonts w:hint="eastAsia"/>
          <w:lang w:val="en-US" w:eastAsia="zh-CN"/>
        </w:rPr>
      </w:pPr>
      <w:r>
        <w:rPr>
          <w:rFonts w:hint="eastAsia" w:ascii="仿宋" w:hAnsi="仿宋" w:eastAsia="仿宋" w:cs="仿宋"/>
          <w:sz w:val="24"/>
          <w:szCs w:val="24"/>
          <w:lang w:val="en-US" w:eastAsia="zh-CN"/>
        </w:rPr>
        <w:t>2、能在消防车辆管理部门上牌，年审。</w:t>
      </w:r>
    </w:p>
    <w:p>
      <w:pPr>
        <w:pStyle w:val="2"/>
        <w:keepNext w:val="0"/>
        <w:keepLines w:val="0"/>
        <w:pageBreakBefore w:val="0"/>
        <w:kinsoku/>
        <w:wordWrap/>
        <w:overflowPunct/>
        <w:topLinePunct w:val="0"/>
        <w:autoSpaceDE/>
        <w:autoSpaceDN/>
        <w:bidi w:val="0"/>
        <w:spacing w:line="360" w:lineRule="auto"/>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spacing w:line="360" w:lineRule="auto"/>
        <w:textAlignment w:val="auto"/>
        <w:rPr>
          <w:rFonts w:hint="eastAsia" w:ascii="仿宋" w:hAnsi="仿宋" w:eastAsia="仿宋" w:cs="仿宋"/>
          <w:b/>
          <w:sz w:val="24"/>
          <w:szCs w:val="24"/>
        </w:rPr>
      </w:pPr>
    </w:p>
    <w:p>
      <w:pPr>
        <w:tabs>
          <w:tab w:val="left" w:pos="5963"/>
        </w:tabs>
        <w:spacing w:line="420" w:lineRule="exact"/>
        <w:rPr>
          <w:rFonts w:hint="eastAsia" w:ascii="仿宋" w:hAnsi="仿宋" w:eastAsia="仿宋" w:cs="仿宋"/>
          <w:b/>
          <w:sz w:val="24"/>
          <w:szCs w:val="24"/>
        </w:rPr>
      </w:pPr>
      <w:r>
        <w:rPr>
          <w:rFonts w:hint="eastAsia" w:ascii="仿宋" w:hAnsi="仿宋" w:eastAsia="仿宋" w:cs="仿宋"/>
          <w:b/>
          <w:sz w:val="24"/>
          <w:szCs w:val="24"/>
          <w:lang w:eastAsia="zh-CN"/>
        </w:rPr>
        <w:t>十五</w:t>
      </w:r>
      <w:r>
        <w:rPr>
          <w:rFonts w:hint="eastAsia" w:ascii="仿宋" w:hAnsi="仿宋" w:eastAsia="仿宋" w:cs="仿宋"/>
          <w:b/>
          <w:sz w:val="24"/>
          <w:szCs w:val="24"/>
        </w:rPr>
        <w:t>、其它要求：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2、投标人应就该项目完整投标，否则为无效投标。</w:t>
      </w:r>
    </w:p>
    <w:p>
      <w:pPr>
        <w:pStyle w:val="2"/>
        <w:rPr>
          <w:rFonts w:hint="eastAsia" w:eastAsia="仿宋_GB2312"/>
          <w:lang w:val="en-US" w:eastAsia="zh-CN"/>
        </w:rPr>
      </w:pPr>
      <w:r>
        <w:rPr>
          <w:rFonts w:hint="eastAsia"/>
          <w:lang w:val="en-US" w:eastAsia="zh-CN"/>
        </w:rPr>
        <w:t xml:space="preserve">    3.以上技术要求为最低要求，投标商所投产品应等于或优于此要求，否则为无效投标。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11、付款方式：以签订合同为准。</w:t>
      </w: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24"/>
          <w:szCs w:val="24"/>
        </w:rPr>
      </w:pPr>
      <w:r>
        <w:rPr>
          <w:rFonts w:hint="eastAsia" w:ascii="仿宋" w:hAnsi="仿宋" w:eastAsia="仿宋" w:cs="仿宋_GB2312"/>
          <w:b/>
          <w:sz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bookmarkStart w:id="9" w:name="_GoBack"/>
      <w:bookmarkEnd w:id="9"/>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tbl>
      <w:tblPr>
        <w:tblStyle w:val="36"/>
        <w:tblW w:w="909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00"/>
        <w:gridCol w:w="1019"/>
        <w:gridCol w:w="1559"/>
        <w:gridCol w:w="5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序号</w:t>
            </w:r>
          </w:p>
        </w:tc>
        <w:tc>
          <w:tcPr>
            <w:tcW w:w="2578" w:type="dxa"/>
            <w:gridSpan w:val="2"/>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评审内容</w:t>
            </w:r>
          </w:p>
        </w:tc>
        <w:tc>
          <w:tcPr>
            <w:tcW w:w="5617" w:type="dxa"/>
            <w:vAlign w:val="center"/>
          </w:tcPr>
          <w:p>
            <w:pPr>
              <w:spacing w:line="360" w:lineRule="auto"/>
              <w:jc w:val="center"/>
              <w:rPr>
                <w:rFonts w:hint="eastAsia" w:ascii="仿宋" w:hAnsi="仿宋" w:eastAsia="仿宋" w:cs="仿宋"/>
                <w:sz w:val="24"/>
                <w:szCs w:val="24"/>
              </w:rPr>
            </w:pPr>
            <w:r>
              <w:rPr>
                <w:rFonts w:hint="eastAsia" w:ascii="仿宋" w:hAnsi="仿宋" w:eastAsia="仿宋" w:cs="仿宋"/>
                <w:b/>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3.5.1</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分值组成</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（总分100分）</w:t>
            </w:r>
          </w:p>
        </w:tc>
        <w:tc>
          <w:tcPr>
            <w:tcW w:w="5617" w:type="dxa"/>
            <w:vAlign w:val="bottom"/>
          </w:tcPr>
          <w:p>
            <w:pPr>
              <w:spacing w:line="360" w:lineRule="auto"/>
              <w:rPr>
                <w:rFonts w:hint="eastAsia" w:ascii="仿宋" w:hAnsi="仿宋" w:eastAsia="仿宋" w:cs="仿宋"/>
                <w:sz w:val="24"/>
                <w:szCs w:val="24"/>
              </w:rPr>
            </w:pPr>
            <w:r>
              <w:rPr>
                <w:rFonts w:hint="eastAsia" w:ascii="仿宋" w:hAnsi="仿宋" w:eastAsia="仿宋" w:cs="仿宋"/>
                <w:sz w:val="24"/>
                <w:szCs w:val="24"/>
              </w:rPr>
              <w:t>报价得分：50分</w:t>
            </w:r>
          </w:p>
          <w:p>
            <w:pPr>
              <w:spacing w:line="360" w:lineRule="auto"/>
              <w:rPr>
                <w:rFonts w:hint="eastAsia" w:ascii="仿宋" w:hAnsi="仿宋" w:eastAsia="仿宋" w:cs="仿宋"/>
                <w:sz w:val="24"/>
                <w:szCs w:val="24"/>
              </w:rPr>
            </w:pPr>
            <w:r>
              <w:rPr>
                <w:rFonts w:hint="eastAsia" w:ascii="仿宋" w:hAnsi="仿宋" w:eastAsia="仿宋" w:cs="仿宋"/>
                <w:sz w:val="24"/>
                <w:szCs w:val="24"/>
              </w:rPr>
              <w:t>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3.5.2</w:t>
            </w:r>
          </w:p>
        </w:tc>
        <w:tc>
          <w:tcPr>
            <w:tcW w:w="2578" w:type="dxa"/>
            <w:gridSpan w:val="2"/>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评标基准价</w:t>
            </w:r>
          </w:p>
        </w:tc>
        <w:tc>
          <w:tcPr>
            <w:tcW w:w="5617" w:type="dxa"/>
            <w:vAlign w:val="center"/>
          </w:tcPr>
          <w:p>
            <w:pPr>
              <w:spacing w:line="360" w:lineRule="auto"/>
              <w:ind w:firstLine="72" w:firstLineChars="30"/>
              <w:jc w:val="left"/>
              <w:rPr>
                <w:rFonts w:hint="eastAsia" w:ascii="仿宋" w:hAnsi="仿宋" w:eastAsia="仿宋" w:cs="仿宋"/>
                <w:color w:val="FF0000"/>
                <w:sz w:val="24"/>
                <w:szCs w:val="24"/>
              </w:rPr>
            </w:pPr>
            <w:r>
              <w:rPr>
                <w:rFonts w:hint="eastAsia" w:ascii="仿宋" w:hAnsi="仿宋" w:eastAsia="仿宋" w:cs="仿宋"/>
                <w:sz w:val="24"/>
                <w:szCs w:val="24"/>
              </w:rPr>
              <w:t>评标基准价指满足招标文件要求且投标价格最低的投标报价为评标基准价。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00" w:type="dxa"/>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3.5.3</w:t>
            </w:r>
          </w:p>
        </w:tc>
        <w:tc>
          <w:tcPr>
            <w:tcW w:w="2578" w:type="dxa"/>
            <w:gridSpan w:val="2"/>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投标报价得分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（50分）</w:t>
            </w:r>
          </w:p>
        </w:tc>
        <w:tc>
          <w:tcPr>
            <w:tcW w:w="5617" w:type="dxa"/>
            <w:vAlign w:val="center"/>
          </w:tcPr>
          <w:p>
            <w:pPr>
              <w:spacing w:line="36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价格得分=（评标基准价/投标报价）×50</w:t>
            </w:r>
          </w:p>
          <w:p>
            <w:pPr>
              <w:spacing w:line="360" w:lineRule="auto"/>
              <w:ind w:firstLine="480" w:firstLineChars="200"/>
              <w:rPr>
                <w:rFonts w:hint="eastAsia" w:ascii="仿宋" w:hAnsi="仿宋" w:eastAsia="仿宋" w:cs="仿宋"/>
                <w:color w:val="FF0000"/>
                <w:sz w:val="24"/>
                <w:szCs w:val="24"/>
              </w:rPr>
            </w:pPr>
            <w:r>
              <w:rPr>
                <w:rFonts w:hint="eastAsia" w:ascii="仿宋" w:hAnsi="仿宋" w:eastAsia="仿宋" w:cs="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仿宋" w:hAnsi="仿宋" w:eastAsia="仿宋" w:cs="仿宋"/>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617" w:hRule="atLeast"/>
        </w:trPr>
        <w:tc>
          <w:tcPr>
            <w:tcW w:w="900" w:type="dxa"/>
            <w:vMerge w:val="restart"/>
            <w:tcBorders>
              <w:right w:val="single" w:color="auto" w:sz="4" w:space="0"/>
            </w:tcBorders>
            <w:vAlign w:val="center"/>
          </w:tcPr>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3.5.4</w:t>
            </w:r>
          </w:p>
        </w:tc>
        <w:tc>
          <w:tcPr>
            <w:tcW w:w="1019" w:type="dxa"/>
            <w:vMerge w:val="restart"/>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商</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务</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部</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分</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（35分）</w:t>
            </w: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企业综合实力</w:t>
            </w:r>
          </w:p>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color w:val="000000"/>
                <w:sz w:val="24"/>
                <w:szCs w:val="24"/>
              </w:rPr>
              <w:t>（0-10分）</w:t>
            </w:r>
          </w:p>
        </w:tc>
        <w:tc>
          <w:tcPr>
            <w:tcW w:w="5617" w:type="dxa"/>
            <w:tcBorders>
              <w:left w:val="single" w:color="auto" w:sz="4" w:space="0"/>
            </w:tcBorders>
            <w:vAlign w:val="center"/>
          </w:tcPr>
          <w:p>
            <w:pPr>
              <w:spacing w:line="360" w:lineRule="auto"/>
              <w:ind w:firstLine="72" w:firstLineChars="30"/>
              <w:jc w:val="left"/>
              <w:rPr>
                <w:rFonts w:hint="eastAsia" w:ascii="仿宋" w:hAnsi="仿宋" w:eastAsia="仿宋" w:cs="仿宋"/>
                <w:kern w:val="0"/>
                <w:sz w:val="24"/>
                <w:szCs w:val="24"/>
              </w:rPr>
            </w:pPr>
            <w:r>
              <w:rPr>
                <w:rFonts w:hint="eastAsia" w:ascii="仿宋" w:hAnsi="仿宋" w:eastAsia="仿宋" w:cs="仿宋"/>
                <w:kern w:val="0"/>
                <w:sz w:val="24"/>
                <w:szCs w:val="24"/>
              </w:rPr>
              <w:t>1、2015年1月1日以来成交金额在400万元以上的项目，每有一项得2分，最多10分。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90"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exact"/>
              <w:jc w:val="center"/>
              <w:rPr>
                <w:rFonts w:hint="eastAsia" w:ascii="仿宋" w:hAnsi="仿宋" w:eastAsia="仿宋" w:cs="仿宋"/>
                <w:sz w:val="24"/>
                <w:szCs w:val="24"/>
              </w:rPr>
            </w:pPr>
            <w:r>
              <w:rPr>
                <w:rFonts w:hint="eastAsia" w:ascii="仿宋" w:hAnsi="仿宋" w:eastAsia="仿宋" w:cs="仿宋"/>
                <w:kern w:val="0"/>
                <w:sz w:val="24"/>
                <w:szCs w:val="24"/>
              </w:rPr>
              <w:t>主要设备、材料的质量和性能</w:t>
            </w:r>
            <w:r>
              <w:rPr>
                <w:rFonts w:hint="eastAsia" w:ascii="仿宋" w:hAnsi="仿宋" w:eastAsia="仿宋" w:cs="仿宋"/>
                <w:sz w:val="24"/>
                <w:szCs w:val="24"/>
              </w:rPr>
              <w:t>（0-20分）</w:t>
            </w:r>
          </w:p>
        </w:tc>
        <w:tc>
          <w:tcPr>
            <w:tcW w:w="5617" w:type="dxa"/>
            <w:tcBorders>
              <w:left w:val="single" w:color="auto" w:sz="4"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完全满足招标参数得基础分5分，每优于招标文件要求一</w:t>
            </w:r>
            <w:r>
              <w:rPr>
                <w:rFonts w:hint="eastAsia" w:ascii="仿宋" w:hAnsi="仿宋" w:eastAsia="仿宋" w:cs="仿宋"/>
                <w:sz w:val="24"/>
                <w:szCs w:val="24"/>
                <w:lang w:eastAsia="zh-CN"/>
              </w:rPr>
              <w:t>项</w:t>
            </w:r>
            <w:r>
              <w:rPr>
                <w:rFonts w:hint="eastAsia" w:ascii="仿宋" w:hAnsi="仿宋" w:eastAsia="仿宋" w:cs="仿宋"/>
                <w:sz w:val="24"/>
                <w:szCs w:val="24"/>
              </w:rPr>
              <w:t>得1分，最多20分。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840" w:hRule="atLeast"/>
        </w:trPr>
        <w:tc>
          <w:tcPr>
            <w:tcW w:w="900" w:type="dxa"/>
            <w:vMerge w:val="continue"/>
            <w:tcBorders>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019" w:type="dxa"/>
            <w:vMerge w:val="continue"/>
            <w:tcBorders>
              <w:left w:val="single" w:color="auto" w:sz="4" w:space="0"/>
              <w:right w:val="single" w:color="auto" w:sz="4" w:space="0"/>
            </w:tcBorders>
            <w:vAlign w:val="center"/>
          </w:tcPr>
          <w:p>
            <w:pPr>
              <w:pStyle w:val="19"/>
              <w:spacing w:line="360" w:lineRule="auto"/>
              <w:jc w:val="center"/>
              <w:rPr>
                <w:rFonts w:hint="eastAsia" w:ascii="仿宋" w:hAnsi="仿宋" w:eastAsia="仿宋" w:cs="仿宋"/>
                <w:sz w:val="24"/>
                <w:szCs w:val="24"/>
              </w:rPr>
            </w:pPr>
          </w:p>
        </w:tc>
        <w:tc>
          <w:tcPr>
            <w:tcW w:w="1559" w:type="dxa"/>
            <w:tcBorders>
              <w:left w:val="single" w:color="auto" w:sz="4" w:space="0"/>
              <w:right w:val="single" w:color="auto" w:sz="4" w:space="0"/>
            </w:tcBorders>
            <w:vAlign w:val="center"/>
          </w:tcPr>
          <w:p>
            <w:pPr>
              <w:spacing w:line="360" w:lineRule="auto"/>
              <w:ind w:firstLine="72" w:firstLineChars="30"/>
              <w:jc w:val="center"/>
              <w:rPr>
                <w:rFonts w:hint="eastAsia" w:ascii="仿宋" w:hAnsi="仿宋" w:eastAsia="仿宋" w:cs="仿宋"/>
                <w:sz w:val="24"/>
                <w:szCs w:val="24"/>
              </w:rPr>
            </w:pPr>
            <w:r>
              <w:rPr>
                <w:rFonts w:hint="eastAsia" w:ascii="仿宋" w:hAnsi="仿宋" w:eastAsia="仿宋" w:cs="仿宋"/>
                <w:sz w:val="24"/>
                <w:szCs w:val="24"/>
              </w:rPr>
              <w:t>售后服务</w:t>
            </w:r>
          </w:p>
          <w:p>
            <w:pPr>
              <w:spacing w:line="360" w:lineRule="exact"/>
              <w:jc w:val="center"/>
              <w:rPr>
                <w:rFonts w:hint="eastAsia" w:ascii="仿宋" w:hAnsi="仿宋" w:eastAsia="仿宋" w:cs="仿宋"/>
                <w:kern w:val="0"/>
                <w:sz w:val="24"/>
                <w:szCs w:val="24"/>
              </w:rPr>
            </w:pPr>
            <w:r>
              <w:rPr>
                <w:rFonts w:hint="eastAsia" w:ascii="仿宋" w:hAnsi="仿宋" w:eastAsia="仿宋" w:cs="仿宋"/>
                <w:sz w:val="24"/>
                <w:szCs w:val="24"/>
              </w:rPr>
              <w:t>（5分）</w:t>
            </w:r>
          </w:p>
        </w:tc>
        <w:tc>
          <w:tcPr>
            <w:tcW w:w="5617" w:type="dxa"/>
            <w:tcBorders>
              <w:left w:val="single" w:color="auto" w:sz="4" w:space="0"/>
            </w:tcBorders>
            <w:vAlign w:val="center"/>
          </w:tcPr>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1、售后服务（0-2分） </w:t>
            </w:r>
          </w:p>
          <w:p>
            <w:pPr>
              <w:autoSpaceDE w:val="0"/>
              <w:autoSpaceDN w:val="0"/>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根据技术培训内容、形式、时间安排的合理性以及投标人在方案中阐述的售后服务情况，在1-2分范围内酌情打分。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2、售后响应时间（0-3分）</w:t>
            </w:r>
          </w:p>
          <w:p>
            <w:pPr>
              <w:autoSpaceDE w:val="0"/>
              <w:autoSpaceDN w:val="0"/>
              <w:spacing w:line="360" w:lineRule="auto"/>
              <w:rPr>
                <w:rFonts w:hint="eastAsia" w:ascii="仿宋" w:hAnsi="仿宋" w:eastAsia="仿宋" w:cs="仿宋"/>
                <w:sz w:val="24"/>
                <w:szCs w:val="24"/>
              </w:rPr>
            </w:pPr>
            <w:r>
              <w:rPr>
                <w:rFonts w:hint="eastAsia" w:ascii="仿宋" w:hAnsi="仿宋" w:eastAsia="仿宋" w:cs="仿宋"/>
                <w:sz w:val="24"/>
                <w:szCs w:val="24"/>
              </w:rPr>
              <w:t xml:space="preserve">  售后服务上门响应时间以小时为单位，以12小时为起点，基本分1分，每减少1小时，加1分，最多加4分，12小时以上的不得分。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restart"/>
            <w:vAlign w:val="center"/>
          </w:tcPr>
          <w:p>
            <w:pPr>
              <w:pStyle w:val="19"/>
              <w:spacing w:line="360" w:lineRule="auto"/>
              <w:ind w:firstLine="459"/>
              <w:rPr>
                <w:rFonts w:hint="eastAsia" w:ascii="仿宋" w:hAnsi="仿宋" w:eastAsia="仿宋" w:cs="仿宋"/>
                <w:sz w:val="24"/>
                <w:szCs w:val="24"/>
              </w:rPr>
            </w:pPr>
            <w:r>
              <w:rPr>
                <w:rFonts w:hint="eastAsia" w:ascii="仿宋" w:hAnsi="仿宋" w:eastAsia="仿宋" w:cs="仿宋"/>
                <w:sz w:val="24"/>
                <w:szCs w:val="24"/>
              </w:rPr>
              <w:t xml:space="preserve"> 3.5.5</w:t>
            </w:r>
          </w:p>
          <w:p>
            <w:pPr>
              <w:pStyle w:val="19"/>
              <w:spacing w:line="360" w:lineRule="auto"/>
              <w:rPr>
                <w:rFonts w:hint="eastAsia" w:ascii="仿宋" w:hAnsi="仿宋" w:eastAsia="仿宋" w:cs="仿宋"/>
                <w:sz w:val="24"/>
                <w:szCs w:val="24"/>
              </w:rPr>
            </w:pPr>
          </w:p>
        </w:tc>
        <w:tc>
          <w:tcPr>
            <w:tcW w:w="1019" w:type="dxa"/>
            <w:vMerge w:val="restart"/>
            <w:vAlign w:val="center"/>
          </w:tcPr>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技</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术</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部</w:t>
            </w:r>
          </w:p>
          <w:p>
            <w:pPr>
              <w:pStyle w:val="19"/>
              <w:spacing w:line="360" w:lineRule="auto"/>
              <w:jc w:val="center"/>
              <w:rPr>
                <w:rFonts w:hint="eastAsia" w:ascii="仿宋" w:hAnsi="仿宋" w:eastAsia="仿宋" w:cs="仿宋"/>
                <w:sz w:val="24"/>
                <w:szCs w:val="24"/>
              </w:rPr>
            </w:pPr>
            <w:r>
              <w:rPr>
                <w:rFonts w:hint="eastAsia" w:ascii="仿宋" w:hAnsi="仿宋" w:eastAsia="仿宋" w:cs="仿宋"/>
                <w:sz w:val="24"/>
                <w:szCs w:val="24"/>
              </w:rPr>
              <w:t>分</w:t>
            </w:r>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sz w:val="24"/>
                <w:szCs w:val="24"/>
              </w:rPr>
              <w:t>（15分）</w:t>
            </w:r>
          </w:p>
        </w:tc>
        <w:tc>
          <w:tcPr>
            <w:tcW w:w="1559" w:type="dxa"/>
            <w:vAlign w:val="center"/>
          </w:tcPr>
          <w:p>
            <w:pPr>
              <w:autoSpaceDE w:val="0"/>
              <w:autoSpaceDN w:val="0"/>
              <w:adjustRightInd w:val="0"/>
              <w:spacing w:line="360" w:lineRule="auto"/>
              <w:jc w:val="center"/>
              <w:rPr>
                <w:rFonts w:hint="eastAsia" w:ascii="仿宋" w:hAnsi="仿宋" w:eastAsia="仿宋" w:cs="仿宋"/>
                <w:kern w:val="0"/>
                <w:sz w:val="24"/>
                <w:szCs w:val="24"/>
              </w:rPr>
            </w:pPr>
            <w:bookmarkStart w:id="0" w:name="OLE_LINK5"/>
            <w:r>
              <w:rPr>
                <w:rFonts w:hint="eastAsia" w:ascii="仿宋" w:hAnsi="仿宋" w:eastAsia="仿宋" w:cs="仿宋"/>
                <w:kern w:val="0"/>
                <w:sz w:val="24"/>
                <w:szCs w:val="24"/>
              </w:rPr>
              <w:t>项目实施方案</w:t>
            </w:r>
            <w:bookmarkEnd w:id="0"/>
          </w:p>
          <w:p>
            <w:pPr>
              <w:autoSpaceDE w:val="0"/>
              <w:autoSpaceDN w:val="0"/>
              <w:adjustRightInd w:val="0"/>
              <w:spacing w:line="36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（3分）</w:t>
            </w:r>
          </w:p>
        </w:tc>
        <w:tc>
          <w:tcPr>
            <w:tcW w:w="5617" w:type="dxa"/>
            <w:vAlign w:val="center"/>
          </w:tcPr>
          <w:p>
            <w:pPr>
              <w:widowControl/>
              <w:adjustRightInd w:val="0"/>
              <w:spacing w:line="360" w:lineRule="auto"/>
              <w:jc w:val="left"/>
              <w:rPr>
                <w:rFonts w:hint="eastAsia" w:ascii="仿宋" w:hAnsi="仿宋" w:eastAsia="仿宋" w:cs="仿宋"/>
                <w:sz w:val="24"/>
                <w:szCs w:val="24"/>
              </w:rPr>
            </w:pPr>
            <w:bookmarkStart w:id="1" w:name="OLE_LINK9"/>
            <w:r>
              <w:rPr>
                <w:rFonts w:hint="eastAsia" w:ascii="仿宋" w:hAnsi="仿宋" w:eastAsia="仿宋" w:cs="仿宋"/>
                <w:sz w:val="24"/>
                <w:szCs w:val="24"/>
              </w:rPr>
              <w:t>（1）</w:t>
            </w:r>
            <w:bookmarkStart w:id="2" w:name="OLE_LINK28"/>
            <w:bookmarkStart w:id="3" w:name="OLE_LINK7"/>
            <w:r>
              <w:rPr>
                <w:rFonts w:hint="eastAsia" w:ascii="仿宋" w:hAnsi="仿宋" w:eastAsia="仿宋" w:cs="仿宋"/>
                <w:sz w:val="24"/>
                <w:szCs w:val="24"/>
              </w:rPr>
              <w:t>设备供货、安装、调试方案</w:t>
            </w:r>
            <w:bookmarkEnd w:id="2"/>
            <w:bookmarkStart w:id="4" w:name="OLE_LINK6"/>
            <w:r>
              <w:rPr>
                <w:rFonts w:hint="eastAsia" w:ascii="仿宋" w:hAnsi="仿宋" w:eastAsia="仿宋" w:cs="仿宋"/>
                <w:sz w:val="24"/>
                <w:szCs w:val="24"/>
              </w:rPr>
              <w:t>（1分）</w:t>
            </w:r>
            <w:bookmarkEnd w:id="4"/>
          </w:p>
          <w:bookmarkEnd w:id="3"/>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（2）</w:t>
            </w:r>
            <w:bookmarkStart w:id="5" w:name="OLE_LINK29"/>
            <w:r>
              <w:rPr>
                <w:rFonts w:hint="eastAsia" w:ascii="仿宋" w:hAnsi="仿宋" w:eastAsia="仿宋" w:cs="仿宋"/>
                <w:sz w:val="24"/>
                <w:szCs w:val="24"/>
              </w:rPr>
              <w:t>伴随服务</w:t>
            </w:r>
            <w:bookmarkEnd w:id="5"/>
            <w:bookmarkStart w:id="6" w:name="OLE_LINK8"/>
            <w:r>
              <w:rPr>
                <w:rFonts w:hint="eastAsia" w:ascii="仿宋" w:hAnsi="仿宋" w:eastAsia="仿宋" w:cs="仿宋"/>
                <w:sz w:val="24"/>
                <w:szCs w:val="24"/>
              </w:rPr>
              <w:t>（1分）</w:t>
            </w:r>
            <w:bookmarkEnd w:id="6"/>
          </w:p>
          <w:p>
            <w:pPr>
              <w:widowControl/>
              <w:adjustRightInd w:val="0"/>
              <w:spacing w:line="360" w:lineRule="auto"/>
              <w:jc w:val="left"/>
              <w:rPr>
                <w:rFonts w:hint="eastAsia" w:ascii="仿宋" w:hAnsi="仿宋" w:eastAsia="仿宋" w:cs="仿宋"/>
                <w:sz w:val="24"/>
                <w:szCs w:val="24"/>
              </w:rPr>
            </w:pPr>
            <w:r>
              <w:rPr>
                <w:rFonts w:hint="eastAsia" w:ascii="仿宋" w:hAnsi="仿宋" w:eastAsia="仿宋" w:cs="仿宋"/>
                <w:sz w:val="24"/>
                <w:szCs w:val="24"/>
              </w:rPr>
              <w:t>（3）</w:t>
            </w:r>
            <w:bookmarkStart w:id="7" w:name="OLE_LINK31"/>
            <w:r>
              <w:rPr>
                <w:rFonts w:hint="eastAsia" w:ascii="仿宋" w:hAnsi="仿宋" w:eastAsia="仿宋" w:cs="仿宋"/>
                <w:sz w:val="24"/>
                <w:szCs w:val="24"/>
              </w:rPr>
              <w:t>成品保护措施</w:t>
            </w:r>
            <w:bookmarkEnd w:id="7"/>
            <w:r>
              <w:rPr>
                <w:rFonts w:hint="eastAsia" w:ascii="仿宋" w:hAnsi="仿宋" w:eastAsia="仿宋" w:cs="仿宋"/>
                <w:sz w:val="24"/>
                <w:szCs w:val="24"/>
              </w:rPr>
              <w:t>（1分）</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1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供货安装质量保证措施</w:t>
            </w:r>
            <w:r>
              <w:rPr>
                <w:rFonts w:hint="eastAsia" w:ascii="仿宋" w:hAnsi="仿宋" w:eastAsia="仿宋" w:cs="仿宋"/>
                <w:kern w:val="0"/>
                <w:sz w:val="24"/>
                <w:szCs w:val="24"/>
              </w:rPr>
              <w:t>（3分）</w:t>
            </w:r>
          </w:p>
        </w:tc>
        <w:tc>
          <w:tcPr>
            <w:tcW w:w="5617"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供货及安装质量保证措施可行的得1-3分，没有的不得分。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供货及安装进度保证措施</w:t>
            </w:r>
            <w:r>
              <w:rPr>
                <w:rFonts w:hint="eastAsia" w:ascii="仿宋" w:hAnsi="仿宋" w:eastAsia="仿宋" w:cs="仿宋"/>
                <w:kern w:val="0"/>
                <w:sz w:val="24"/>
                <w:szCs w:val="24"/>
              </w:rPr>
              <w:t>（3分）</w:t>
            </w:r>
          </w:p>
        </w:tc>
        <w:tc>
          <w:tcPr>
            <w:tcW w:w="5617"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供货及安装进度保证措施可行的得1-3分，没有的不得分。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后续服务的安排及保证措施</w:t>
            </w:r>
            <w:r>
              <w:rPr>
                <w:rFonts w:hint="eastAsia" w:ascii="仿宋" w:hAnsi="仿宋" w:eastAsia="仿宋" w:cs="仿宋"/>
                <w:kern w:val="0"/>
                <w:sz w:val="24"/>
                <w:szCs w:val="24"/>
              </w:rPr>
              <w:t>（3分）</w:t>
            </w:r>
          </w:p>
        </w:tc>
        <w:tc>
          <w:tcPr>
            <w:tcW w:w="5617"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有后续服务的安排及保证措施得在1-3分范围内酌情打分，没有的不得分。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00" w:type="dxa"/>
            <w:vMerge w:val="continue"/>
            <w:vAlign w:val="center"/>
          </w:tcPr>
          <w:p>
            <w:pPr>
              <w:pStyle w:val="19"/>
              <w:spacing w:line="360" w:lineRule="auto"/>
              <w:jc w:val="center"/>
              <w:rPr>
                <w:rFonts w:hint="eastAsia" w:ascii="仿宋" w:hAnsi="仿宋" w:eastAsia="仿宋" w:cs="仿宋"/>
                <w:sz w:val="24"/>
                <w:szCs w:val="24"/>
              </w:rPr>
            </w:pPr>
          </w:p>
        </w:tc>
        <w:tc>
          <w:tcPr>
            <w:tcW w:w="1019" w:type="dxa"/>
            <w:vMerge w:val="continue"/>
            <w:vAlign w:val="center"/>
          </w:tcPr>
          <w:p>
            <w:pPr>
              <w:pStyle w:val="19"/>
              <w:spacing w:line="360" w:lineRule="auto"/>
              <w:jc w:val="center"/>
              <w:rPr>
                <w:rFonts w:hint="eastAsia" w:ascii="仿宋" w:hAnsi="仿宋" w:eastAsia="仿宋" w:cs="仿宋"/>
                <w:sz w:val="24"/>
                <w:szCs w:val="24"/>
              </w:rPr>
            </w:pPr>
          </w:p>
        </w:tc>
        <w:tc>
          <w:tcPr>
            <w:tcW w:w="1559" w:type="dxa"/>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技术培训计划</w:t>
            </w:r>
            <w:r>
              <w:rPr>
                <w:rFonts w:hint="eastAsia" w:ascii="仿宋" w:hAnsi="仿宋" w:eastAsia="仿宋" w:cs="仿宋"/>
                <w:kern w:val="0"/>
                <w:sz w:val="24"/>
                <w:szCs w:val="24"/>
              </w:rPr>
              <w:t>（3分）</w:t>
            </w:r>
          </w:p>
        </w:tc>
        <w:tc>
          <w:tcPr>
            <w:tcW w:w="5617" w:type="dxa"/>
            <w:vAlign w:val="center"/>
          </w:tcPr>
          <w:p>
            <w:pPr>
              <w:pStyle w:val="19"/>
              <w:spacing w:line="360" w:lineRule="auto"/>
              <w:jc w:val="left"/>
              <w:rPr>
                <w:rFonts w:hint="eastAsia" w:ascii="仿宋" w:hAnsi="仿宋" w:eastAsia="仿宋" w:cs="仿宋"/>
                <w:sz w:val="24"/>
                <w:szCs w:val="24"/>
              </w:rPr>
            </w:pPr>
            <w:r>
              <w:rPr>
                <w:rFonts w:hint="eastAsia" w:ascii="仿宋" w:hAnsi="仿宋" w:eastAsia="仿宋" w:cs="仿宋"/>
                <w:sz w:val="24"/>
                <w:szCs w:val="24"/>
              </w:rPr>
              <w:t>根据技术培训内容、形式、时间安排的合理性在1-3分范围内酌情打分，没有的不得分</w:t>
            </w:r>
          </w:p>
        </w:tc>
      </w:tr>
    </w:tbl>
    <w:p>
      <w:pPr>
        <w:pStyle w:val="125"/>
        <w:spacing w:before="120" w:after="120"/>
        <w:ind w:firstLine="480"/>
        <w:rPr>
          <w:rFonts w:ascii="仿宋" w:hAnsi="仿宋" w:eastAsia="仿宋"/>
        </w:rPr>
      </w:pPr>
      <w:r>
        <w:rPr>
          <w:rFonts w:hint="eastAsia" w:ascii="仿宋" w:hAnsi="仿宋" w:eastAsia="仿宋"/>
        </w:rPr>
        <w:t>（特别提示：以上评分表中所涉及到的证件投标人在开标时候均须携带原件，未提供原件者不得分）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olor w:val="0000FF"/>
              </w:rPr>
            </w:pPr>
            <w:bookmarkStart w:id="8" w:name="_Toc606"/>
          </w:p>
        </w:tc>
      </w:tr>
      <w:bookmarkEnd w:id="8"/>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3.7.1评标委员会对所有投标文件（二）进行符合性、响应性评审，不符合招标文件要求的，不得进入下一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600" w:lineRule="exact"/>
        <w:ind w:firstLine="3975" w:firstLineChars="900"/>
        <w:rPr>
          <w:rFonts w:ascii="仿宋" w:hAnsi="仿宋" w:eastAsia="仿宋" w:cs="仿宋_GB2312"/>
          <w:b/>
          <w:sz w:val="44"/>
        </w:rPr>
      </w:pPr>
    </w:p>
    <w:p>
      <w:pPr>
        <w:spacing w:line="600" w:lineRule="exact"/>
        <w:ind w:firstLine="3975" w:firstLineChars="900"/>
        <w:rPr>
          <w:rFonts w:ascii="仿宋" w:hAnsi="仿宋" w:eastAsia="仿宋" w:cs="仿宋_GB2312"/>
          <w:b/>
          <w:sz w:val="44"/>
        </w:rPr>
      </w:pPr>
    </w:p>
    <w:p>
      <w:pPr>
        <w:wordWrap w:val="0"/>
        <w:topLinePunct/>
        <w:autoSpaceDE w:val="0"/>
        <w:autoSpaceDN w:val="0"/>
        <w:adjustRightInd w:val="0"/>
        <w:snapToGrid w:val="0"/>
        <w:spacing w:line="360" w:lineRule="auto"/>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第六部分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第七部分</w:t>
      </w:r>
      <w:r>
        <w:rPr>
          <w:rFonts w:ascii="仿宋" w:hAnsi="仿宋" w:eastAsia="仿宋" w:cs="黑体"/>
          <w:b/>
          <w:bCs/>
          <w:sz w:val="24"/>
          <w:szCs w:val="24"/>
          <w:lang w:val="zh-CN"/>
        </w:rPr>
        <w:t xml:space="preserve"> </w:t>
      </w:r>
      <w:r>
        <w:rPr>
          <w:rFonts w:hint="eastAsia" w:ascii="仿宋" w:hAnsi="仿宋" w:eastAsia="仿宋" w:cs="黑体"/>
          <w:b/>
          <w:bCs/>
          <w:sz w:val="24"/>
          <w:szCs w:val="24"/>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outlineLvl w:val="0"/>
        <w:rPr>
          <w:rFonts w:ascii="仿宋" w:hAnsi="仿宋" w:eastAsia="仿宋" w:cs="黑体"/>
          <w:b/>
          <w:bCs/>
          <w:sz w:val="32"/>
          <w:szCs w:val="32"/>
          <w:lang w:val="zh-CN"/>
        </w:rPr>
      </w:pPr>
      <w:r>
        <w:rPr>
          <w:rFonts w:ascii="仿宋" w:hAnsi="仿宋" w:eastAsia="仿宋" w:cs="黑体"/>
          <w:b/>
          <w:bCs/>
          <w:sz w:val="24"/>
          <w:szCs w:val="24"/>
          <w:lang w:val="zh-CN"/>
        </w:rPr>
        <w:br w:type="page"/>
      </w:r>
      <w:r>
        <w:rPr>
          <w:rFonts w:hint="eastAsia" w:ascii="仿宋" w:hAnsi="仿宋" w:eastAsia="仿宋" w:cs="黑体"/>
          <w:b/>
          <w:bCs/>
          <w:sz w:val="32"/>
          <w:szCs w:val="32"/>
          <w:lang w:val="zh-CN"/>
        </w:rPr>
        <w:t>第八部分</w:t>
      </w:r>
      <w:r>
        <w:rPr>
          <w:rFonts w:ascii="仿宋" w:hAnsi="仿宋" w:eastAsia="仿宋" w:cs="黑体"/>
          <w:b/>
          <w:bCs/>
          <w:sz w:val="32"/>
          <w:szCs w:val="32"/>
          <w:lang w:val="zh-CN"/>
        </w:rPr>
        <w:t xml:space="preserve"> </w:t>
      </w:r>
      <w:r>
        <w:rPr>
          <w:rFonts w:hint="eastAsia" w:ascii="仿宋" w:hAnsi="仿宋" w:eastAsia="仿宋" w:cs="黑体"/>
          <w:b/>
          <w:bCs/>
          <w:sz w:val="32"/>
          <w:szCs w:val="32"/>
          <w:lang w:val="zh-CN"/>
        </w:rPr>
        <w:t>合同书</w:t>
      </w:r>
      <w:r>
        <w:rPr>
          <w:rFonts w:ascii="仿宋" w:hAnsi="仿宋" w:eastAsia="仿宋" w:cs="黑体"/>
          <w:b/>
          <w:bCs/>
          <w:sz w:val="32"/>
          <w:szCs w:val="32"/>
          <w:lang w:val="zh-CN"/>
        </w:rPr>
        <w:t xml:space="preserve"> </w:t>
      </w:r>
      <w:r>
        <w:rPr>
          <w:rFonts w:hint="eastAsia" w:ascii="仿宋" w:hAnsi="仿宋" w:eastAsia="仿宋" w:cs="黑体"/>
          <w:b/>
          <w:bCs/>
          <w:sz w:val="32"/>
          <w:szCs w:val="32"/>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numPr>
          <w:ilvl w:val="0"/>
          <w:numId w:val="9"/>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供应商须对此项做出承诺（格式自拟）及</w:t>
      </w:r>
      <w:r>
        <w:rPr>
          <w:rFonts w:hint="eastAsia" w:ascii="仿宋" w:hAnsi="仿宋" w:eastAsia="仿宋" w:cs="宋体"/>
          <w:bCs/>
          <w:color w:val="FF0000"/>
          <w:sz w:val="24"/>
          <w:szCs w:val="24"/>
          <w:lang w:val="en-US" w:eastAsia="zh-CN"/>
        </w:rPr>
        <w:t>2015年1月1日以来类似项目业绩合同</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409" w:firstLineChars="1000"/>
        <w:jc w:val="left"/>
        <w:rPr>
          <w:rFonts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供应商认为有必要的证明材料</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p>
      <w:pPr>
        <w:spacing w:line="360" w:lineRule="exact"/>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50"/>
    <w:family w:val="auto"/>
    <w:pitch w:val="default"/>
    <w:sig w:usb0="00000000" w:usb1="00000000" w:usb2="00000010" w:usb3="00000000" w:csb0="0004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30</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1">
    <w:nsid w:val="2A3B4E6B"/>
    <w:multiLevelType w:val="multilevel"/>
    <w:tmpl w:val="2A3B4E6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DE5943D"/>
    <w:multiLevelType w:val="singleLevel"/>
    <w:tmpl w:val="2DE5943D"/>
    <w:lvl w:ilvl="0" w:tentative="0">
      <w:start w:val="2"/>
      <w:numFmt w:val="chineseCounting"/>
      <w:suff w:val="nothing"/>
      <w:lvlText w:val="%1、"/>
      <w:lvlJc w:val="left"/>
      <w:rPr>
        <w:rFonts w:hint="eastAsia"/>
      </w:rPr>
    </w:lvl>
  </w:abstractNum>
  <w:abstractNum w:abstractNumId="3">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6E374A4"/>
    <w:multiLevelType w:val="singleLevel"/>
    <w:tmpl w:val="56E374A4"/>
    <w:lvl w:ilvl="0" w:tentative="0">
      <w:start w:val="9"/>
      <w:numFmt w:val="decimal"/>
      <w:pStyle w:val="119"/>
      <w:suff w:val="nothing"/>
      <w:lvlText w:val="%1、"/>
      <w:lvlJc w:val="left"/>
    </w:lvl>
  </w:abstractNum>
  <w:abstractNum w:abstractNumId="5">
    <w:nsid w:val="5A0532E2"/>
    <w:multiLevelType w:val="singleLevel"/>
    <w:tmpl w:val="5A0532E2"/>
    <w:lvl w:ilvl="0" w:tentative="0">
      <w:start w:val="4"/>
      <w:numFmt w:val="chineseCounting"/>
      <w:suff w:val="nothing"/>
      <w:lvlText w:val="第%1部"/>
      <w:lvlJc w:val="left"/>
    </w:lvl>
  </w:abstractNum>
  <w:abstractNum w:abstractNumId="6">
    <w:nsid w:val="5A30CB82"/>
    <w:multiLevelType w:val="singleLevel"/>
    <w:tmpl w:val="5A30CB82"/>
    <w:lvl w:ilvl="0" w:tentative="0">
      <w:start w:val="1"/>
      <w:numFmt w:val="chineseCounting"/>
      <w:suff w:val="space"/>
      <w:lvlText w:val="第%1部分"/>
      <w:lvlJc w:val="left"/>
    </w:lvl>
  </w:abstractNum>
  <w:abstractNum w:abstractNumId="7">
    <w:nsid w:val="755F6EA7"/>
    <w:multiLevelType w:val="singleLevel"/>
    <w:tmpl w:val="755F6EA7"/>
    <w:lvl w:ilvl="0" w:tentative="0">
      <w:start w:val="5"/>
      <w:numFmt w:val="chineseCounting"/>
      <w:suff w:val="nothing"/>
      <w:lvlText w:val="%1、"/>
      <w:lvlJc w:val="left"/>
      <w:rPr>
        <w:rFonts w:hint="eastAsia"/>
      </w:rPr>
    </w:lvl>
  </w:abstractNum>
  <w:abstractNum w:abstractNumId="8">
    <w:nsid w:val="75701A2E"/>
    <w:multiLevelType w:val="multilevel"/>
    <w:tmpl w:val="75701A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6"/>
  </w:num>
  <w:num w:numId="3">
    <w:abstractNumId w:val="3"/>
  </w:num>
  <w:num w:numId="4">
    <w:abstractNumId w:val="5"/>
  </w:num>
  <w:num w:numId="5">
    <w:abstractNumId w:val="2"/>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5F52"/>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58EA"/>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9622E"/>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14DF8"/>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7BA"/>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A72F4"/>
    <w:rsid w:val="00DD2580"/>
    <w:rsid w:val="00DD6E6E"/>
    <w:rsid w:val="00DF1841"/>
    <w:rsid w:val="00DF47F4"/>
    <w:rsid w:val="00E0298B"/>
    <w:rsid w:val="00E04584"/>
    <w:rsid w:val="00E04EF8"/>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F5D2B"/>
    <w:rsid w:val="01AE553D"/>
    <w:rsid w:val="01D912AA"/>
    <w:rsid w:val="031A41B0"/>
    <w:rsid w:val="03CB53C9"/>
    <w:rsid w:val="03D744EF"/>
    <w:rsid w:val="04252D6C"/>
    <w:rsid w:val="04524D74"/>
    <w:rsid w:val="048C72C6"/>
    <w:rsid w:val="054A14EB"/>
    <w:rsid w:val="055236E0"/>
    <w:rsid w:val="056568A4"/>
    <w:rsid w:val="05D7384A"/>
    <w:rsid w:val="05F47DA2"/>
    <w:rsid w:val="05F65379"/>
    <w:rsid w:val="05FF5666"/>
    <w:rsid w:val="0603119A"/>
    <w:rsid w:val="067E4800"/>
    <w:rsid w:val="06902805"/>
    <w:rsid w:val="06B75E86"/>
    <w:rsid w:val="071151B2"/>
    <w:rsid w:val="073F7793"/>
    <w:rsid w:val="0774430D"/>
    <w:rsid w:val="080A00AF"/>
    <w:rsid w:val="0859217C"/>
    <w:rsid w:val="088D4853"/>
    <w:rsid w:val="09102145"/>
    <w:rsid w:val="09891681"/>
    <w:rsid w:val="09900A5B"/>
    <w:rsid w:val="09AE4842"/>
    <w:rsid w:val="09C60246"/>
    <w:rsid w:val="09CE2BB7"/>
    <w:rsid w:val="09E57E48"/>
    <w:rsid w:val="0A2B0E2A"/>
    <w:rsid w:val="0AB05B6D"/>
    <w:rsid w:val="0B047399"/>
    <w:rsid w:val="0B8F0D95"/>
    <w:rsid w:val="0BAA5765"/>
    <w:rsid w:val="0BAE3F8B"/>
    <w:rsid w:val="0C053D42"/>
    <w:rsid w:val="0C232636"/>
    <w:rsid w:val="0C3957DB"/>
    <w:rsid w:val="0CBA4EC9"/>
    <w:rsid w:val="0CE25187"/>
    <w:rsid w:val="0D2824A3"/>
    <w:rsid w:val="0D832C84"/>
    <w:rsid w:val="0DD45553"/>
    <w:rsid w:val="0E1F7A52"/>
    <w:rsid w:val="0F0D73B6"/>
    <w:rsid w:val="0F2C7289"/>
    <w:rsid w:val="0FB77D49"/>
    <w:rsid w:val="0FBA420F"/>
    <w:rsid w:val="10240870"/>
    <w:rsid w:val="105F0CCD"/>
    <w:rsid w:val="107B291F"/>
    <w:rsid w:val="10A25988"/>
    <w:rsid w:val="10F21447"/>
    <w:rsid w:val="11472FC4"/>
    <w:rsid w:val="11662A8F"/>
    <w:rsid w:val="12913EF8"/>
    <w:rsid w:val="12F46B93"/>
    <w:rsid w:val="12FB62CF"/>
    <w:rsid w:val="130F3467"/>
    <w:rsid w:val="132168C4"/>
    <w:rsid w:val="133638CF"/>
    <w:rsid w:val="134B3E21"/>
    <w:rsid w:val="135C1261"/>
    <w:rsid w:val="13705BCF"/>
    <w:rsid w:val="146639B0"/>
    <w:rsid w:val="14810804"/>
    <w:rsid w:val="1484395D"/>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DCD65DC"/>
    <w:rsid w:val="1E1761B2"/>
    <w:rsid w:val="1F8F7C87"/>
    <w:rsid w:val="1FA97651"/>
    <w:rsid w:val="1FD141B8"/>
    <w:rsid w:val="1FE67A99"/>
    <w:rsid w:val="200E5455"/>
    <w:rsid w:val="20852B17"/>
    <w:rsid w:val="208F4659"/>
    <w:rsid w:val="20C91244"/>
    <w:rsid w:val="20CB6D0B"/>
    <w:rsid w:val="20E250C8"/>
    <w:rsid w:val="20E71C78"/>
    <w:rsid w:val="212773A1"/>
    <w:rsid w:val="214A163F"/>
    <w:rsid w:val="21D44845"/>
    <w:rsid w:val="221572B4"/>
    <w:rsid w:val="22311600"/>
    <w:rsid w:val="226550CC"/>
    <w:rsid w:val="23523DCA"/>
    <w:rsid w:val="23794CD9"/>
    <w:rsid w:val="24CA4202"/>
    <w:rsid w:val="24D66891"/>
    <w:rsid w:val="25302039"/>
    <w:rsid w:val="256C7451"/>
    <w:rsid w:val="25AD30A0"/>
    <w:rsid w:val="261B728D"/>
    <w:rsid w:val="2667745A"/>
    <w:rsid w:val="27137BCA"/>
    <w:rsid w:val="276906C7"/>
    <w:rsid w:val="278238A3"/>
    <w:rsid w:val="28742078"/>
    <w:rsid w:val="288E3F7A"/>
    <w:rsid w:val="288F49C5"/>
    <w:rsid w:val="28BF1B33"/>
    <w:rsid w:val="28BF2210"/>
    <w:rsid w:val="299315DB"/>
    <w:rsid w:val="29C152D2"/>
    <w:rsid w:val="2A247994"/>
    <w:rsid w:val="2A292F06"/>
    <w:rsid w:val="2A29332E"/>
    <w:rsid w:val="2A666F4C"/>
    <w:rsid w:val="2A6671E5"/>
    <w:rsid w:val="2A8574C7"/>
    <w:rsid w:val="2B5A4161"/>
    <w:rsid w:val="2B9F495B"/>
    <w:rsid w:val="2BB70DAF"/>
    <w:rsid w:val="2BBD2870"/>
    <w:rsid w:val="2C01063D"/>
    <w:rsid w:val="2C824188"/>
    <w:rsid w:val="2C8C63A5"/>
    <w:rsid w:val="2CF845CD"/>
    <w:rsid w:val="2D562101"/>
    <w:rsid w:val="2D873A70"/>
    <w:rsid w:val="2DB610BD"/>
    <w:rsid w:val="2DFB43CE"/>
    <w:rsid w:val="2E5606EB"/>
    <w:rsid w:val="2E9D5FE0"/>
    <w:rsid w:val="2F232D02"/>
    <w:rsid w:val="2F2A34A3"/>
    <w:rsid w:val="2F38041E"/>
    <w:rsid w:val="2F433D86"/>
    <w:rsid w:val="2F9A5364"/>
    <w:rsid w:val="2FEB36BE"/>
    <w:rsid w:val="30006487"/>
    <w:rsid w:val="308E7A65"/>
    <w:rsid w:val="314C2E93"/>
    <w:rsid w:val="316C02DE"/>
    <w:rsid w:val="31754AAE"/>
    <w:rsid w:val="317F2E7E"/>
    <w:rsid w:val="31BA74D8"/>
    <w:rsid w:val="31C57F0B"/>
    <w:rsid w:val="321A4FF8"/>
    <w:rsid w:val="328D4D46"/>
    <w:rsid w:val="33142EE2"/>
    <w:rsid w:val="333C55A2"/>
    <w:rsid w:val="33656785"/>
    <w:rsid w:val="33EF6302"/>
    <w:rsid w:val="345D6725"/>
    <w:rsid w:val="34B022E5"/>
    <w:rsid w:val="34CE04B2"/>
    <w:rsid w:val="34F94C42"/>
    <w:rsid w:val="35020BCE"/>
    <w:rsid w:val="354E2015"/>
    <w:rsid w:val="35636C46"/>
    <w:rsid w:val="35736992"/>
    <w:rsid w:val="366A1C71"/>
    <w:rsid w:val="37692631"/>
    <w:rsid w:val="37B10108"/>
    <w:rsid w:val="388D465A"/>
    <w:rsid w:val="397D15ED"/>
    <w:rsid w:val="39A31772"/>
    <w:rsid w:val="3A252A28"/>
    <w:rsid w:val="3A361775"/>
    <w:rsid w:val="3A5B0DB6"/>
    <w:rsid w:val="3B2524D6"/>
    <w:rsid w:val="3B4753A5"/>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090B2D"/>
    <w:rsid w:val="409A7D1F"/>
    <w:rsid w:val="40DD14B7"/>
    <w:rsid w:val="41595C3E"/>
    <w:rsid w:val="42031639"/>
    <w:rsid w:val="420D6E21"/>
    <w:rsid w:val="426D69CE"/>
    <w:rsid w:val="43306F54"/>
    <w:rsid w:val="43AF4EB6"/>
    <w:rsid w:val="43DA0DF8"/>
    <w:rsid w:val="43F21A5E"/>
    <w:rsid w:val="4444705B"/>
    <w:rsid w:val="449D0BDB"/>
    <w:rsid w:val="44A75B9D"/>
    <w:rsid w:val="44CC251D"/>
    <w:rsid w:val="44ED61E4"/>
    <w:rsid w:val="44F765DB"/>
    <w:rsid w:val="452D2CD2"/>
    <w:rsid w:val="45570A50"/>
    <w:rsid w:val="4612797F"/>
    <w:rsid w:val="46D375C4"/>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D72225E"/>
    <w:rsid w:val="4F071606"/>
    <w:rsid w:val="4F403B1D"/>
    <w:rsid w:val="4F7F31B2"/>
    <w:rsid w:val="4F827ABA"/>
    <w:rsid w:val="4FA93F1C"/>
    <w:rsid w:val="4FCB730B"/>
    <w:rsid w:val="504A74E2"/>
    <w:rsid w:val="510C3D06"/>
    <w:rsid w:val="51937900"/>
    <w:rsid w:val="51ED5B69"/>
    <w:rsid w:val="52303134"/>
    <w:rsid w:val="526C7326"/>
    <w:rsid w:val="533976D3"/>
    <w:rsid w:val="536A53D4"/>
    <w:rsid w:val="53857B5E"/>
    <w:rsid w:val="54207CFD"/>
    <w:rsid w:val="54C67D23"/>
    <w:rsid w:val="55005AF5"/>
    <w:rsid w:val="550770D3"/>
    <w:rsid w:val="551F63D6"/>
    <w:rsid w:val="55C14C50"/>
    <w:rsid w:val="55CC6A46"/>
    <w:rsid w:val="55DE4946"/>
    <w:rsid w:val="55EA1952"/>
    <w:rsid w:val="55FD0CFB"/>
    <w:rsid w:val="561945F1"/>
    <w:rsid w:val="56BE79D8"/>
    <w:rsid w:val="58266B57"/>
    <w:rsid w:val="588A5505"/>
    <w:rsid w:val="58B900E1"/>
    <w:rsid w:val="58CE0AFE"/>
    <w:rsid w:val="58E11F40"/>
    <w:rsid w:val="58EA7FCE"/>
    <w:rsid w:val="593B360F"/>
    <w:rsid w:val="597E7640"/>
    <w:rsid w:val="59C42C00"/>
    <w:rsid w:val="5A4E53D8"/>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5B37254"/>
    <w:rsid w:val="76140509"/>
    <w:rsid w:val="768649B8"/>
    <w:rsid w:val="76EF0C8A"/>
    <w:rsid w:val="76F83624"/>
    <w:rsid w:val="77117E08"/>
    <w:rsid w:val="773F1990"/>
    <w:rsid w:val="776A79F9"/>
    <w:rsid w:val="777A7DC6"/>
    <w:rsid w:val="78640367"/>
    <w:rsid w:val="78C403B7"/>
    <w:rsid w:val="79640B02"/>
    <w:rsid w:val="796E4180"/>
    <w:rsid w:val="79874C47"/>
    <w:rsid w:val="7A731DE7"/>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 w:val="7FD0234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4">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5">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6">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7">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8">
    <w:name w:val="heading 6"/>
    <w:basedOn w:val="1"/>
    <w:next w:val="9"/>
    <w:link w:val="48"/>
    <w:qFormat/>
    <w:uiPriority w:val="0"/>
    <w:pPr>
      <w:keepNext/>
      <w:jc w:val="center"/>
      <w:outlineLvl w:val="5"/>
    </w:pPr>
    <w:rPr>
      <w:rFonts w:ascii="Times New Roman" w:hAnsi="Times New Roman" w:eastAsia="宋体" w:cs="Times New Roman"/>
      <w:b/>
      <w:kern w:val="0"/>
      <w:sz w:val="44"/>
      <w:szCs w:val="20"/>
    </w:rPr>
  </w:style>
  <w:style w:type="paragraph" w:styleId="10">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1">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2">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9"/>
    <w:qFormat/>
    <w:uiPriority w:val="0"/>
    <w:rPr>
      <w:rFonts w:ascii="仿宋_GB2312" w:hAnsi="Times New Roman" w:eastAsia="仿宋_GB2312" w:cs="Times New Roman"/>
      <w:kern w:val="0"/>
      <w:sz w:val="24"/>
      <w:szCs w:val="20"/>
    </w:rPr>
  </w:style>
  <w:style w:type="paragraph" w:styleId="9">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3">
    <w:name w:val="annotation subject"/>
    <w:basedOn w:val="14"/>
    <w:next w:val="14"/>
    <w:link w:val="87"/>
    <w:unhideWhenUsed/>
    <w:qFormat/>
    <w:uiPriority w:val="99"/>
    <w:rPr>
      <w:b/>
      <w:bCs/>
    </w:rPr>
  </w:style>
  <w:style w:type="paragraph" w:styleId="14">
    <w:name w:val="annotation text"/>
    <w:basedOn w:val="1"/>
    <w:link w:val="84"/>
    <w:unhideWhenUsed/>
    <w:qFormat/>
    <w:uiPriority w:val="0"/>
    <w:pPr>
      <w:jc w:val="left"/>
    </w:pPr>
    <w:rPr>
      <w:rFonts w:ascii="Times New Roman" w:hAnsi="Times New Roman" w:eastAsia="宋体" w:cs="Times New Roman"/>
      <w:szCs w:val="24"/>
    </w:rPr>
  </w:style>
  <w:style w:type="paragraph" w:styleId="15">
    <w:name w:val="Body Text First Indent"/>
    <w:basedOn w:val="2"/>
    <w:link w:val="90"/>
    <w:qFormat/>
    <w:uiPriority w:val="0"/>
    <w:pPr>
      <w:spacing w:after="120"/>
      <w:ind w:firstLine="420" w:firstLineChars="100"/>
    </w:pPr>
    <w:rPr>
      <w:rFonts w:ascii="Times New Roman" w:eastAsia="宋体"/>
      <w:szCs w:val="24"/>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4"/>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字符"/>
    <w:basedOn w:val="30"/>
    <w:link w:val="22"/>
    <w:qFormat/>
    <w:uiPriority w:val="0"/>
    <w:rPr>
      <w:rFonts w:asciiTheme="minorHAnsi" w:hAnsiTheme="minorHAnsi" w:eastAsiaTheme="minorEastAsia" w:cstheme="minorBidi"/>
      <w:kern w:val="2"/>
      <w:sz w:val="18"/>
      <w:szCs w:val="18"/>
    </w:rPr>
  </w:style>
  <w:style w:type="character" w:customStyle="1" w:styleId="44">
    <w:name w:val="标题 1字符"/>
    <w:basedOn w:val="30"/>
    <w:link w:val="3"/>
    <w:qFormat/>
    <w:uiPriority w:val="0"/>
    <w:rPr>
      <w:b/>
      <w:bCs/>
      <w:kern w:val="44"/>
      <w:sz w:val="44"/>
      <w:szCs w:val="44"/>
    </w:rPr>
  </w:style>
  <w:style w:type="character" w:customStyle="1" w:styleId="45">
    <w:name w:val="标题 3字符"/>
    <w:basedOn w:val="30"/>
    <w:link w:val="5"/>
    <w:qFormat/>
    <w:uiPriority w:val="0"/>
    <w:rPr>
      <w:b/>
      <w:bCs/>
      <w:sz w:val="32"/>
      <w:szCs w:val="32"/>
    </w:rPr>
  </w:style>
  <w:style w:type="character" w:customStyle="1" w:styleId="46">
    <w:name w:val="标题 4字符"/>
    <w:basedOn w:val="30"/>
    <w:link w:val="6"/>
    <w:qFormat/>
    <w:uiPriority w:val="0"/>
    <w:rPr>
      <w:rFonts w:eastAsia="新宋体"/>
      <w:sz w:val="30"/>
      <w:szCs w:val="21"/>
    </w:rPr>
  </w:style>
  <w:style w:type="character" w:customStyle="1" w:styleId="47">
    <w:name w:val="标题 5字符"/>
    <w:basedOn w:val="30"/>
    <w:link w:val="7"/>
    <w:qFormat/>
    <w:uiPriority w:val="0"/>
    <w:rPr>
      <w:b/>
      <w:bCs/>
      <w:sz w:val="28"/>
      <w:szCs w:val="28"/>
    </w:rPr>
  </w:style>
  <w:style w:type="character" w:customStyle="1" w:styleId="48">
    <w:name w:val="标题 6字符"/>
    <w:basedOn w:val="30"/>
    <w:link w:val="8"/>
    <w:qFormat/>
    <w:uiPriority w:val="0"/>
    <w:rPr>
      <w:b/>
      <w:sz w:val="44"/>
    </w:rPr>
  </w:style>
  <w:style w:type="character" w:customStyle="1" w:styleId="49">
    <w:name w:val="标题 7字符"/>
    <w:basedOn w:val="30"/>
    <w:link w:val="10"/>
    <w:qFormat/>
    <w:uiPriority w:val="0"/>
    <w:rPr>
      <w:b/>
      <w:bCs/>
      <w:sz w:val="24"/>
      <w:szCs w:val="24"/>
    </w:rPr>
  </w:style>
  <w:style w:type="character" w:customStyle="1" w:styleId="50">
    <w:name w:val="标题 8字符"/>
    <w:basedOn w:val="30"/>
    <w:link w:val="11"/>
    <w:qFormat/>
    <w:uiPriority w:val="0"/>
    <w:rPr>
      <w:rFonts w:ascii="Arial" w:hAnsi="Arial" w:eastAsia="黑体"/>
      <w:sz w:val="24"/>
      <w:szCs w:val="24"/>
    </w:rPr>
  </w:style>
  <w:style w:type="character" w:customStyle="1" w:styleId="51">
    <w:name w:val="标题 9字符"/>
    <w:basedOn w:val="30"/>
    <w:link w:val="12"/>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字符"/>
    <w:link w:val="9"/>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字符"/>
    <w:link w:val="23"/>
    <w:qFormat/>
    <w:uiPriority w:val="99"/>
    <w:rPr>
      <w:rFonts w:asciiTheme="minorHAnsi" w:hAnsiTheme="minorHAnsi" w:eastAsiaTheme="minorEastAsia" w:cstheme="minorBidi"/>
      <w:kern w:val="2"/>
      <w:sz w:val="18"/>
      <w:szCs w:val="22"/>
    </w:rPr>
  </w:style>
  <w:style w:type="character" w:customStyle="1" w:styleId="64">
    <w:name w:val="页眉字符"/>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字符"/>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字符"/>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字符"/>
    <w:link w:val="4"/>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注释文本字符"/>
    <w:basedOn w:val="30"/>
    <w:link w:val="14"/>
    <w:qFormat/>
    <w:uiPriority w:val="0"/>
    <w:rPr>
      <w:rFonts w:asciiTheme="minorHAnsi" w:hAnsiTheme="minorHAnsi" w:eastAsiaTheme="minorEastAsia" w:cstheme="minorBidi"/>
      <w:kern w:val="2"/>
      <w:sz w:val="21"/>
      <w:szCs w:val="22"/>
    </w:rPr>
  </w:style>
  <w:style w:type="character" w:customStyle="1" w:styleId="85">
    <w:name w:val="正文文本 3字符"/>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字符"/>
    <w:basedOn w:val="30"/>
    <w:link w:val="21"/>
    <w:qFormat/>
    <w:uiPriority w:val="0"/>
    <w:rPr>
      <w:rFonts w:asciiTheme="minorHAnsi" w:hAnsiTheme="minorHAnsi" w:eastAsiaTheme="minorEastAsia" w:cstheme="minorBidi"/>
      <w:kern w:val="2"/>
      <w:sz w:val="21"/>
      <w:szCs w:val="22"/>
    </w:rPr>
  </w:style>
  <w:style w:type="character" w:customStyle="1" w:styleId="87">
    <w:name w:val="批注主题字符"/>
    <w:basedOn w:val="84"/>
    <w:link w:val="13"/>
    <w:qFormat/>
    <w:uiPriority w:val="0"/>
    <w:rPr>
      <w:rFonts w:asciiTheme="minorHAnsi" w:hAnsiTheme="minorHAnsi" w:eastAsiaTheme="minorEastAsia" w:cstheme="minorBidi"/>
      <w:b/>
      <w:bCs/>
      <w:kern w:val="2"/>
      <w:sz w:val="21"/>
      <w:szCs w:val="22"/>
    </w:rPr>
  </w:style>
  <w:style w:type="character" w:customStyle="1" w:styleId="88">
    <w:name w:val="文档结构图 字符"/>
    <w:basedOn w:val="30"/>
    <w:link w:val="16"/>
    <w:qFormat/>
    <w:uiPriority w:val="0"/>
    <w:rPr>
      <w:rFonts w:ascii="宋体" w:hAnsiTheme="minorHAnsi" w:cstheme="minorBidi"/>
      <w:kern w:val="2"/>
      <w:sz w:val="18"/>
      <w:szCs w:val="18"/>
    </w:rPr>
  </w:style>
  <w:style w:type="character" w:customStyle="1" w:styleId="89">
    <w:name w:val="正文文本字符"/>
    <w:basedOn w:val="30"/>
    <w:link w:val="2"/>
    <w:qFormat/>
    <w:uiPriority w:val="0"/>
    <w:rPr>
      <w:rFonts w:asciiTheme="minorHAnsi" w:hAnsiTheme="minorHAnsi" w:eastAsiaTheme="minorEastAsia" w:cstheme="minorBidi"/>
      <w:kern w:val="2"/>
      <w:sz w:val="21"/>
      <w:szCs w:val="22"/>
    </w:rPr>
  </w:style>
  <w:style w:type="character" w:customStyle="1" w:styleId="90">
    <w:name w:val="正文首行缩进字符"/>
    <w:basedOn w:val="89"/>
    <w:link w:val="15"/>
    <w:qFormat/>
    <w:uiPriority w:val="0"/>
    <w:rPr>
      <w:rFonts w:asciiTheme="minorHAnsi" w:hAnsiTheme="minorHAnsi" w:eastAsiaTheme="minorEastAsia" w:cstheme="minorBidi"/>
      <w:kern w:val="2"/>
      <w:sz w:val="21"/>
      <w:szCs w:val="22"/>
    </w:rPr>
  </w:style>
  <w:style w:type="character" w:customStyle="1" w:styleId="91">
    <w:name w:val="正文文本缩进 3字符"/>
    <w:basedOn w:val="30"/>
    <w:link w:val="27"/>
    <w:qFormat/>
    <w:uiPriority w:val="0"/>
    <w:rPr>
      <w:rFonts w:asciiTheme="minorHAnsi" w:hAnsiTheme="minorHAnsi" w:eastAsiaTheme="minorEastAsia" w:cstheme="minorBidi"/>
      <w:kern w:val="2"/>
      <w:sz w:val="16"/>
      <w:szCs w:val="16"/>
    </w:rPr>
  </w:style>
  <w:style w:type="character" w:customStyle="1" w:styleId="92">
    <w:name w:val="纯文本字符"/>
    <w:basedOn w:val="30"/>
    <w:link w:val="19"/>
    <w:qFormat/>
    <w:uiPriority w:val="0"/>
    <w:rPr>
      <w:rFonts w:ascii="宋体" w:hAnsi="Courier New" w:cs="Courier New"/>
      <w:kern w:val="2"/>
      <w:sz w:val="21"/>
      <w:szCs w:val="21"/>
    </w:rPr>
  </w:style>
  <w:style w:type="character" w:customStyle="1" w:styleId="93">
    <w:name w:val="正文文本 2字符"/>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6"/>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5"/>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character" w:customStyle="1" w:styleId="126">
    <w:name w:val="列出段落字符"/>
    <w:link w:val="127"/>
    <w:qFormat/>
    <w:uiPriority w:val="34"/>
    <w:rPr>
      <w:rFonts w:ascii="Calibri" w:hAnsi="Calibri"/>
      <w:kern w:val="2"/>
      <w:sz w:val="21"/>
      <w:szCs w:val="22"/>
    </w:rPr>
  </w:style>
  <w:style w:type="paragraph" w:styleId="127">
    <w:name w:val="List Paragraph"/>
    <w:basedOn w:val="1"/>
    <w:link w:val="126"/>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723BE-94DB-234A-B44E-9882B218E67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45</Pages>
  <Words>4410</Words>
  <Characters>25138</Characters>
  <Lines>209</Lines>
  <Paragraphs>58</Paragraphs>
  <TotalTime>19</TotalTime>
  <ScaleCrop>false</ScaleCrop>
  <LinksUpToDate>false</LinksUpToDate>
  <CharactersWithSpaces>29490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2018-07-27T02:42:00Z</cp:lastPrinted>
  <dcterms:modified xsi:type="dcterms:W3CDTF">2018-08-10T08:08:46Z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