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EA" w:rsidRDefault="000C42EA" w:rsidP="000C42EA">
      <w:pPr>
        <w:pStyle w:val="p16"/>
        <w:spacing w:before="0" w:after="0" w:line="440" w:lineRule="exact"/>
        <w:ind w:firstLineChars="100" w:firstLine="442"/>
        <w:rPr>
          <w:b/>
          <w:bCs/>
          <w:color w:val="000000"/>
          <w:sz w:val="44"/>
          <w:szCs w:val="44"/>
          <w:shd w:val="clear" w:color="auto" w:fill="FFFFFF"/>
        </w:rPr>
      </w:pPr>
      <w:r w:rsidRPr="00A5789F">
        <w:rPr>
          <w:rFonts w:hint="eastAsia"/>
          <w:b/>
          <w:bCs/>
          <w:color w:val="000000"/>
          <w:sz w:val="44"/>
          <w:szCs w:val="44"/>
          <w:shd w:val="clear" w:color="auto" w:fill="FFFFFF"/>
        </w:rPr>
        <w:t>2017年中央湿地补助项采购巡护车辆项目</w:t>
      </w:r>
    </w:p>
    <w:p w:rsidR="003141B4" w:rsidRDefault="003141B4" w:rsidP="006C7C39">
      <w:pPr>
        <w:pStyle w:val="p16"/>
        <w:spacing w:before="0" w:after="0" w:line="440" w:lineRule="exact"/>
        <w:ind w:firstLineChars="750" w:firstLine="3313"/>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color w:val="000000"/>
          <w:sz w:val="44"/>
          <w:szCs w:val="44"/>
          <w:shd w:val="clear" w:color="auto" w:fill="FFFFFF"/>
        </w:rPr>
        <w:t>询价</w:t>
      </w:r>
      <w:r>
        <w:rPr>
          <w:rFonts w:asciiTheme="majorEastAsia" w:eastAsiaTheme="majorEastAsia" w:hAnsiTheme="majorEastAsia" w:cstheme="majorEastAsia" w:hint="eastAsia"/>
          <w:b/>
          <w:bCs/>
          <w:sz w:val="44"/>
          <w:szCs w:val="44"/>
        </w:rPr>
        <w:t>通知书</w:t>
      </w:r>
    </w:p>
    <w:p w:rsidR="003141B4" w:rsidRDefault="003141B4" w:rsidP="003556AB">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0C42EA">
        <w:rPr>
          <w:rFonts w:ascii="仿宋" w:eastAsia="仿宋" w:hAnsi="仿宋" w:cs="仿宋" w:hint="eastAsia"/>
          <w:color w:val="000000"/>
          <w:sz w:val="32"/>
          <w:szCs w:val="32"/>
          <w:shd w:val="clear" w:color="auto" w:fill="FFFFFF"/>
        </w:rPr>
        <w:t>襄城县北汝河国家湿地公园管理中心</w:t>
      </w:r>
      <w:r>
        <w:rPr>
          <w:rFonts w:ascii="仿宋" w:eastAsia="仿宋" w:hAnsi="仿宋" w:cs="仿宋" w:hint="eastAsia"/>
          <w:sz w:val="32"/>
          <w:szCs w:val="32"/>
        </w:rPr>
        <w:t>的委托，对“</w:t>
      </w:r>
      <w:r w:rsidR="000C42EA" w:rsidRPr="00A5789F">
        <w:rPr>
          <w:rFonts w:ascii="仿宋" w:eastAsia="仿宋" w:hAnsi="仿宋" w:cs="仿宋" w:hint="eastAsia"/>
          <w:color w:val="000000"/>
          <w:sz w:val="32"/>
          <w:szCs w:val="32"/>
          <w:shd w:val="clear" w:color="auto" w:fill="FFFFFF"/>
        </w:rPr>
        <w:t>2017年中央湿地补助项采购巡护车辆项目</w:t>
      </w:r>
      <w:r>
        <w:rPr>
          <w:rFonts w:ascii="仿宋" w:eastAsia="仿宋" w:hAnsi="仿宋" w:cs="仿宋" w:hint="eastAsia"/>
          <w:sz w:val="32"/>
          <w:szCs w:val="32"/>
        </w:rPr>
        <w:t xml:space="preserve">”进行询价采购，欢迎符合条件的供应商参加。      </w:t>
      </w:r>
    </w:p>
    <w:p w:rsidR="000C42EA" w:rsidRPr="000C42EA" w:rsidRDefault="003141B4" w:rsidP="000C42EA">
      <w:pPr>
        <w:pStyle w:val="a9"/>
        <w:numPr>
          <w:ilvl w:val="0"/>
          <w:numId w:val="3"/>
        </w:numPr>
        <w:spacing w:line="440" w:lineRule="exact"/>
        <w:ind w:firstLineChars="0"/>
        <w:jc w:val="left"/>
        <w:rPr>
          <w:rFonts w:ascii="仿宋" w:eastAsia="仿宋" w:hAnsi="仿宋" w:cs="仿宋"/>
          <w:b/>
          <w:bCs/>
          <w:sz w:val="32"/>
          <w:szCs w:val="32"/>
        </w:rPr>
      </w:pPr>
      <w:r w:rsidRPr="000C42EA">
        <w:rPr>
          <w:rFonts w:ascii="黑体" w:eastAsia="黑体" w:hAnsi="黑体" w:cs="仿宋" w:hint="eastAsia"/>
          <w:b/>
          <w:bCs/>
          <w:sz w:val="32"/>
          <w:szCs w:val="32"/>
        </w:rPr>
        <w:t>项目名称及编号</w:t>
      </w:r>
      <w:r w:rsidRPr="000C42EA">
        <w:rPr>
          <w:rFonts w:ascii="仿宋" w:eastAsia="仿宋" w:hAnsi="仿宋" w:cs="仿宋" w:hint="eastAsia"/>
          <w:b/>
          <w:bCs/>
          <w:sz w:val="32"/>
          <w:szCs w:val="32"/>
        </w:rPr>
        <w:t>：</w:t>
      </w:r>
    </w:p>
    <w:p w:rsidR="003141B4" w:rsidRPr="000C42EA" w:rsidRDefault="000C42EA" w:rsidP="000C42EA">
      <w:pPr>
        <w:pStyle w:val="a9"/>
        <w:spacing w:line="440" w:lineRule="exact"/>
        <w:ind w:left="720" w:firstLineChars="0" w:firstLine="0"/>
        <w:jc w:val="left"/>
        <w:rPr>
          <w:rFonts w:ascii="仿宋" w:eastAsia="仿宋" w:hAnsi="仿宋" w:cs="仿宋"/>
          <w:sz w:val="32"/>
          <w:szCs w:val="32"/>
        </w:rPr>
      </w:pPr>
      <w:r w:rsidRPr="000C42EA">
        <w:rPr>
          <w:rFonts w:ascii="仿宋" w:eastAsia="仿宋" w:hAnsi="仿宋" w:cs="仿宋" w:hint="eastAsia"/>
          <w:color w:val="000000"/>
          <w:sz w:val="32"/>
          <w:szCs w:val="32"/>
          <w:shd w:val="clear" w:color="auto" w:fill="FFFFFF"/>
        </w:rPr>
        <w:t>2017年中央湿地补助项采购巡护车辆项目</w:t>
      </w:r>
    </w:p>
    <w:p w:rsidR="003141B4" w:rsidRDefault="003141B4" w:rsidP="000C42EA">
      <w:pPr>
        <w:spacing w:line="440" w:lineRule="exact"/>
        <w:ind w:firstLineChars="300" w:firstLine="960"/>
        <w:jc w:val="left"/>
        <w:rPr>
          <w:rFonts w:ascii="仿宋" w:eastAsia="仿宋" w:hAnsi="仿宋" w:cs="仿宋"/>
          <w:sz w:val="32"/>
          <w:szCs w:val="32"/>
        </w:rPr>
      </w:pPr>
      <w:r>
        <w:rPr>
          <w:rFonts w:ascii="仿宋" w:eastAsia="仿宋" w:hAnsi="仿宋" w:cs="仿宋" w:hint="eastAsia"/>
          <w:sz w:val="32"/>
          <w:szCs w:val="32"/>
        </w:rPr>
        <w:t>XZZ-X20180</w:t>
      </w:r>
      <w:r w:rsidR="000C42EA">
        <w:rPr>
          <w:rFonts w:ascii="仿宋" w:eastAsia="仿宋" w:hAnsi="仿宋" w:cs="仿宋" w:hint="eastAsia"/>
          <w:sz w:val="32"/>
          <w:szCs w:val="32"/>
        </w:rPr>
        <w:t>30</w:t>
      </w:r>
      <w:r>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3141B4" w:rsidRDefault="000C42EA" w:rsidP="000C42EA">
      <w:pPr>
        <w:pStyle w:val="p16"/>
        <w:spacing w:before="0" w:after="0" w:line="440" w:lineRule="exact"/>
        <w:ind w:left="720" w:firstLineChars="50" w:firstLine="16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本项目采购新能源车辆一台,</w:t>
      </w:r>
      <w:r w:rsidR="003141B4">
        <w:rPr>
          <w:rFonts w:ascii="仿宋" w:eastAsia="仿宋" w:hAnsi="仿宋" w:cs="仿宋" w:hint="eastAsia"/>
          <w:color w:val="000000"/>
          <w:sz w:val="32"/>
          <w:szCs w:val="32"/>
          <w:shd w:val="clear" w:color="auto" w:fill="FFFFFF"/>
        </w:rPr>
        <w:t xml:space="preserve"> </w:t>
      </w:r>
      <w:r w:rsidR="003141B4">
        <w:rPr>
          <w:rFonts w:ascii="仿宋" w:eastAsia="仿宋" w:hAnsi="仿宋" w:cs="仿宋" w:hint="eastAsia"/>
          <w:sz w:val="32"/>
          <w:szCs w:val="32"/>
        </w:rPr>
        <w:t>（具体内容详见采购参数要求）</w:t>
      </w:r>
      <w:r w:rsidR="003141B4">
        <w:rPr>
          <w:rFonts w:ascii="仿宋" w:eastAsia="仿宋" w:hAnsi="仿宋" w:cs="仿宋" w:hint="eastAsia"/>
          <w:b/>
          <w:bCs/>
          <w:color w:val="000000"/>
          <w:sz w:val="32"/>
          <w:szCs w:val="32"/>
        </w:rPr>
        <w:t>采购控制金额</w:t>
      </w:r>
      <w:r w:rsidR="003141B4">
        <w:rPr>
          <w:rFonts w:ascii="仿宋" w:eastAsia="仿宋" w:hAnsi="仿宋" w:cs="仿宋" w:hint="eastAsia"/>
          <w:color w:val="000000"/>
          <w:sz w:val="32"/>
          <w:szCs w:val="32"/>
        </w:rPr>
        <w:t>：</w:t>
      </w:r>
      <w:r w:rsidRPr="003556AB">
        <w:rPr>
          <w:rFonts w:ascii="仿宋" w:eastAsia="仿宋" w:hAnsi="仿宋" w:cs="仿宋" w:hint="eastAsia"/>
          <w:b/>
          <w:color w:val="000000"/>
          <w:sz w:val="32"/>
          <w:szCs w:val="32"/>
        </w:rPr>
        <w:t>15万</w:t>
      </w:r>
      <w:r w:rsidR="003141B4" w:rsidRPr="003556AB">
        <w:rPr>
          <w:rFonts w:ascii="仿宋" w:eastAsia="仿宋" w:hAnsi="仿宋" w:cs="仿宋" w:hint="eastAsia"/>
          <w:b/>
          <w:color w:val="000000"/>
          <w:sz w:val="32"/>
          <w:szCs w:val="32"/>
        </w:rPr>
        <w:t>元。</w:t>
      </w:r>
      <w:r w:rsidR="003141B4">
        <w:rPr>
          <w:rFonts w:ascii="仿宋" w:eastAsia="仿宋" w:hAnsi="仿宋" w:cs="仿宋" w:hint="eastAsia"/>
          <w:sz w:val="32"/>
          <w:szCs w:val="32"/>
        </w:rPr>
        <w:t>（超出者为无效投标）</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0C42EA">
        <w:rPr>
          <w:rFonts w:ascii="仿宋" w:eastAsia="仿宋" w:hAnsi="仿宋" w:cs="仿宋" w:hint="eastAsia"/>
          <w:sz w:val="32"/>
          <w:szCs w:val="32"/>
        </w:rPr>
        <w:t>7</w:t>
      </w:r>
      <w:r>
        <w:rPr>
          <w:rFonts w:ascii="仿宋" w:eastAsia="仿宋" w:hAnsi="仿宋" w:cs="仿宋" w:hint="eastAsia"/>
          <w:sz w:val="32"/>
          <w:szCs w:val="32"/>
        </w:rPr>
        <w:t>月</w:t>
      </w:r>
      <w:r w:rsidR="000C42EA">
        <w:rPr>
          <w:rFonts w:ascii="仿宋" w:eastAsia="仿宋" w:hAnsi="仿宋" w:cs="仿宋" w:hint="eastAsia"/>
          <w:sz w:val="32"/>
          <w:szCs w:val="32"/>
        </w:rPr>
        <w:t>27</w:t>
      </w:r>
      <w:r>
        <w:rPr>
          <w:rFonts w:ascii="仿宋" w:eastAsia="仿宋" w:hAnsi="仿宋" w:cs="仿宋" w:hint="eastAsia"/>
          <w:sz w:val="32"/>
          <w:szCs w:val="32"/>
        </w:rPr>
        <w:t>日上午</w:t>
      </w:r>
      <w:r w:rsidR="000C42EA">
        <w:rPr>
          <w:rFonts w:ascii="仿宋" w:eastAsia="仿宋" w:hAnsi="仿宋" w:cs="仿宋" w:hint="eastAsia"/>
          <w:sz w:val="32"/>
          <w:szCs w:val="32"/>
        </w:rPr>
        <w:t>10</w:t>
      </w:r>
      <w:r>
        <w:rPr>
          <w:rFonts w:ascii="仿宋" w:eastAsia="仿宋" w:hAnsi="仿宋" w:cs="仿宋" w:hint="eastAsia"/>
          <w:sz w:val="32"/>
          <w:szCs w:val="32"/>
        </w:rPr>
        <w:t>：00前递交到襄城县政府采购中心开标室（襄城县八七路东段电子商务产业园12楼1207室，迟到按自动放弃处理）；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r w:rsidR="00657AD7">
        <w:rPr>
          <w:rFonts w:ascii="黑体" w:eastAsia="黑体" w:hAnsi="黑体" w:cs="仿宋" w:hint="eastAsia"/>
          <w:b/>
          <w:color w:val="000000"/>
          <w:sz w:val="32"/>
          <w:szCs w:val="32"/>
        </w:rPr>
        <w:t>回执单</w:t>
      </w:r>
      <w:r w:rsidRPr="00C77BD9">
        <w:rPr>
          <w:rFonts w:ascii="黑体" w:eastAsia="黑体" w:hAnsi="黑体" w:cs="仿宋" w:hint="eastAsia"/>
          <w:b/>
          <w:color w:val="000000"/>
          <w:sz w:val="32"/>
          <w:szCs w:val="32"/>
        </w:rPr>
        <w:t>：</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w:t>
      </w:r>
      <w:r w:rsidR="000C42EA">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0C42EA">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（二）投标人向招标人提交</w:t>
      </w:r>
      <w:r w:rsidR="000C42EA" w:rsidRPr="006C7C39">
        <w:rPr>
          <w:rFonts w:ascii="仿宋" w:eastAsia="仿宋" w:hAnsi="仿宋" w:cs="仿宋" w:hint="eastAsia"/>
          <w:b/>
          <w:bCs/>
          <w:color w:val="000000"/>
          <w:sz w:val="32"/>
          <w:szCs w:val="32"/>
        </w:rPr>
        <w:t>3</w:t>
      </w:r>
      <w:r w:rsidRPr="006C7C39">
        <w:rPr>
          <w:rFonts w:ascii="仿宋" w:eastAsia="仿宋" w:hAnsi="仿宋" w:cs="仿宋" w:hint="eastAsia"/>
          <w:b/>
          <w:bCs/>
          <w:color w:val="000000"/>
          <w:sz w:val="32"/>
          <w:szCs w:val="32"/>
        </w:rPr>
        <w:t>000元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0C42EA">
        <w:rPr>
          <w:rFonts w:ascii="仿宋" w:eastAsia="仿宋" w:hAnsi="仿宋" w:cs="仿宋" w:hint="eastAsia"/>
          <w:sz w:val="32"/>
          <w:szCs w:val="32"/>
        </w:rPr>
        <w:t>7</w:t>
      </w:r>
      <w:r>
        <w:rPr>
          <w:rFonts w:ascii="仿宋" w:eastAsia="仿宋" w:hAnsi="仿宋" w:cs="仿宋" w:hint="eastAsia"/>
          <w:sz w:val="32"/>
          <w:szCs w:val="32"/>
        </w:rPr>
        <w:t>月</w:t>
      </w:r>
      <w:r w:rsidR="000C42EA">
        <w:rPr>
          <w:rFonts w:ascii="仿宋" w:eastAsia="仿宋" w:hAnsi="仿宋" w:cs="仿宋" w:hint="eastAsia"/>
          <w:sz w:val="32"/>
          <w:szCs w:val="32"/>
        </w:rPr>
        <w:t>27</w:t>
      </w:r>
      <w:r>
        <w:rPr>
          <w:rFonts w:ascii="仿宋" w:eastAsia="仿宋" w:hAnsi="仿宋" w:cs="仿宋" w:hint="eastAsia"/>
          <w:sz w:val="32"/>
          <w:szCs w:val="32"/>
        </w:rPr>
        <w:t>日上午</w:t>
      </w:r>
      <w:r w:rsidR="000C42EA">
        <w:rPr>
          <w:rFonts w:ascii="仿宋" w:eastAsia="仿宋" w:hAnsi="仿宋" w:cs="仿宋" w:hint="eastAsia"/>
          <w:sz w:val="32"/>
          <w:szCs w:val="32"/>
        </w:rPr>
        <w:t>10</w:t>
      </w:r>
      <w:r>
        <w:rPr>
          <w:rFonts w:ascii="仿宋" w:eastAsia="仿宋" w:hAnsi="仿宋" w:cs="仿宋" w:hint="eastAsia"/>
          <w:sz w:val="32"/>
          <w:szCs w:val="32"/>
        </w:rPr>
        <w:t>:00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七、其他要求</w:t>
      </w:r>
      <w:r w:rsidR="006C7C39">
        <w:rPr>
          <w:rFonts w:ascii="黑体" w:eastAsia="黑体" w:hAnsi="黑体" w:cs="仿宋" w:hint="eastAsia"/>
          <w:b/>
          <w:bCs/>
          <w:sz w:val="32"/>
          <w:szCs w:val="32"/>
        </w:rPr>
        <w:t>：</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1、询价表需加盖公司公章，并有法人或委托代理人的签名，无公章、签名的列为无效标；</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2</w:t>
      </w:r>
      <w:r w:rsidR="000C42EA">
        <w:rPr>
          <w:rFonts w:ascii="仿宋" w:eastAsia="仿宋" w:hAnsi="仿宋" w:cs="仿宋" w:hint="eastAsia"/>
          <w:b/>
          <w:bCs/>
          <w:sz w:val="32"/>
          <w:szCs w:val="32"/>
        </w:rPr>
        <w:t>、</w:t>
      </w:r>
      <w:r>
        <w:rPr>
          <w:rFonts w:ascii="仿宋" w:eastAsia="仿宋" w:hAnsi="仿宋" w:cs="仿宋" w:hint="eastAsia"/>
          <w:b/>
          <w:bCs/>
          <w:sz w:val="32"/>
          <w:szCs w:val="32"/>
        </w:rPr>
        <w:t>本项目采购控制金额</w:t>
      </w:r>
      <w:r w:rsidR="000C42EA">
        <w:rPr>
          <w:rFonts w:ascii="仿宋" w:eastAsia="仿宋" w:hAnsi="仿宋" w:cs="仿宋" w:hint="eastAsia"/>
          <w:b/>
          <w:bCs/>
          <w:sz w:val="32"/>
          <w:szCs w:val="32"/>
        </w:rPr>
        <w:t>15万</w:t>
      </w:r>
      <w:r>
        <w:rPr>
          <w:rFonts w:ascii="仿宋" w:eastAsia="仿宋" w:hAnsi="仿宋" w:cs="仿宋" w:hint="eastAsia"/>
          <w:b/>
          <w:bCs/>
          <w:sz w:val="32"/>
          <w:szCs w:val="32"/>
        </w:rPr>
        <w:t>元，超出者无效投标；</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3、本次询价采购根据质量和服务均能满足实质性采购要求,且报价最低的原则,确定成交候选人；</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4、需在询价表中标明所投货物名称、配置参数、数量等所要求的相关数据；</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5、供货期；10个日历天</w:t>
      </w:r>
      <w:r w:rsidR="000C42EA">
        <w:rPr>
          <w:rFonts w:ascii="仿宋" w:eastAsia="仿宋" w:hAnsi="仿宋" w:cs="仿宋" w:hint="eastAsia"/>
          <w:b/>
          <w:bCs/>
          <w:sz w:val="32"/>
          <w:szCs w:val="32"/>
        </w:rPr>
        <w:t>内供货完成</w:t>
      </w:r>
      <w:r>
        <w:rPr>
          <w:rFonts w:ascii="仿宋" w:eastAsia="仿宋" w:hAnsi="仿宋" w:cs="仿宋" w:hint="eastAsia"/>
          <w:b/>
          <w:bCs/>
          <w:sz w:val="32"/>
          <w:szCs w:val="32"/>
        </w:rPr>
        <w:t xml:space="preserve">。   </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6、付款方式：</w:t>
      </w:r>
      <w:r w:rsidR="000C42EA">
        <w:rPr>
          <w:rFonts w:ascii="仿宋" w:eastAsia="仿宋" w:hAnsi="仿宋" w:cs="仿宋" w:hint="eastAsia"/>
          <w:b/>
          <w:bCs/>
          <w:sz w:val="32"/>
          <w:szCs w:val="32"/>
        </w:rPr>
        <w:t>货到付款</w:t>
      </w:r>
      <w:r>
        <w:rPr>
          <w:rFonts w:ascii="仿宋" w:eastAsia="仿宋" w:hAnsi="仿宋" w:cs="仿宋" w:hint="eastAsia"/>
          <w:b/>
          <w:bCs/>
          <w:sz w:val="32"/>
          <w:szCs w:val="32"/>
        </w:rPr>
        <w:t>。</w:t>
      </w:r>
    </w:p>
    <w:p w:rsidR="003141B4" w:rsidRPr="005709AE" w:rsidRDefault="003141B4" w:rsidP="006C7C39">
      <w:pPr>
        <w:spacing w:line="440" w:lineRule="exact"/>
        <w:ind w:firstLineChars="100" w:firstLine="321"/>
        <w:jc w:val="left"/>
        <w:rPr>
          <w:rFonts w:ascii="黑体" w:eastAsia="黑体" w:hAnsi="黑体" w:cs="仿宋"/>
          <w:sz w:val="32"/>
          <w:szCs w:val="32"/>
        </w:rPr>
      </w:pPr>
      <w:r w:rsidRPr="006C7C39">
        <w:rPr>
          <w:rFonts w:ascii="黑体" w:eastAsia="黑体" w:hAnsi="黑体" w:cs="仿宋" w:hint="eastAsia"/>
          <w:b/>
          <w:bCs/>
          <w:sz w:val="32"/>
          <w:szCs w:val="32"/>
        </w:rPr>
        <w:t>八、本次招标联系事项</w:t>
      </w:r>
      <w:r w:rsidRPr="005709AE">
        <w:rPr>
          <w:rFonts w:ascii="黑体" w:eastAsia="黑体" w:hAnsi="黑体" w:cs="仿宋" w:hint="eastAsia"/>
          <w:sz w:val="32"/>
          <w:szCs w:val="32"/>
        </w:rPr>
        <w:t xml:space="preserve">：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0C42EA" w:rsidRDefault="000C42EA" w:rsidP="000C42EA">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Pr>
          <w:rFonts w:ascii="仿宋" w:eastAsia="仿宋" w:hAnsi="仿宋" w:cs="仿宋" w:hint="eastAsia"/>
          <w:color w:val="000000"/>
          <w:sz w:val="32"/>
          <w:szCs w:val="32"/>
          <w:shd w:val="clear" w:color="auto" w:fill="FFFFFF"/>
        </w:rPr>
        <w:t>襄城县北汝河国家湿地公园管理中心</w:t>
      </w:r>
    </w:p>
    <w:p w:rsidR="000C42EA" w:rsidRDefault="000C42EA" w:rsidP="000C42EA">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Pr>
          <w:rFonts w:ascii="仿宋" w:eastAsia="仿宋" w:hAnsi="仿宋" w:cs="仿宋" w:hint="eastAsia"/>
          <w:color w:val="000000"/>
          <w:sz w:val="32"/>
          <w:szCs w:val="32"/>
          <w:shd w:val="clear" w:color="auto" w:fill="FFFFFF"/>
        </w:rPr>
        <w:t>襄城县八七</w:t>
      </w:r>
      <w:r w:rsidR="009A2510">
        <w:rPr>
          <w:rFonts w:ascii="仿宋" w:eastAsia="仿宋" w:hAnsi="仿宋" w:cs="仿宋" w:hint="eastAsia"/>
          <w:color w:val="000000"/>
          <w:sz w:val="32"/>
          <w:szCs w:val="32"/>
          <w:shd w:val="clear" w:color="auto" w:fill="FFFFFF"/>
        </w:rPr>
        <w:t>路</w:t>
      </w:r>
      <w:r>
        <w:rPr>
          <w:rFonts w:ascii="仿宋" w:eastAsia="仿宋" w:hAnsi="仿宋" w:cs="仿宋" w:hint="eastAsia"/>
          <w:color w:val="000000"/>
          <w:sz w:val="32"/>
          <w:szCs w:val="32"/>
          <w:shd w:val="clear" w:color="auto" w:fill="FFFFFF"/>
        </w:rPr>
        <w:t>东段</w:t>
      </w:r>
    </w:p>
    <w:p w:rsidR="000C42EA" w:rsidRPr="00D84AD5" w:rsidRDefault="000C42EA" w:rsidP="000C42EA">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联系电话：0374-38</w:t>
      </w:r>
      <w:r>
        <w:rPr>
          <w:rFonts w:ascii="仿宋" w:eastAsia="仿宋" w:hAnsi="仿宋" w:cs="仿宋" w:hint="eastAsia"/>
          <w:color w:val="000000"/>
          <w:sz w:val="32"/>
          <w:szCs w:val="32"/>
          <w:shd w:val="clear" w:color="auto" w:fill="FFFFFF"/>
        </w:rPr>
        <w:t>86166</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                         </w:t>
      </w:r>
      <w:r w:rsidR="000C42EA">
        <w:rPr>
          <w:rFonts w:ascii="仿宋" w:eastAsia="仿宋" w:hAnsi="仿宋" w:cs="仿宋" w:hint="eastAsia"/>
          <w:sz w:val="32"/>
          <w:szCs w:val="32"/>
        </w:rPr>
        <w:t xml:space="preserve"> </w:t>
      </w:r>
      <w:r>
        <w:rPr>
          <w:rFonts w:ascii="仿宋" w:eastAsia="仿宋" w:hAnsi="仿宋" w:cs="仿宋" w:hint="eastAsia"/>
          <w:sz w:val="32"/>
          <w:szCs w:val="32"/>
        </w:rPr>
        <w:t xml:space="preserve"> 襄城县政府采购中心</w:t>
      </w:r>
    </w:p>
    <w:p w:rsidR="003141B4" w:rsidRDefault="003141B4" w:rsidP="000C42EA">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2018年</w:t>
      </w:r>
      <w:r w:rsidR="000C42EA">
        <w:rPr>
          <w:rFonts w:ascii="仿宋" w:eastAsia="仿宋" w:hAnsi="仿宋" w:cs="仿宋" w:hint="eastAsia"/>
          <w:sz w:val="32"/>
          <w:szCs w:val="32"/>
        </w:rPr>
        <w:t>7</w:t>
      </w:r>
      <w:r>
        <w:rPr>
          <w:rFonts w:ascii="仿宋" w:eastAsia="仿宋" w:hAnsi="仿宋" w:cs="仿宋" w:hint="eastAsia"/>
          <w:sz w:val="32"/>
          <w:szCs w:val="32"/>
        </w:rPr>
        <w:t>月</w:t>
      </w:r>
      <w:r w:rsidR="000C42EA">
        <w:rPr>
          <w:rFonts w:ascii="仿宋" w:eastAsia="仿宋" w:hAnsi="仿宋" w:cs="仿宋" w:hint="eastAsia"/>
          <w:sz w:val="32"/>
          <w:szCs w:val="32"/>
        </w:rPr>
        <w:t>2</w:t>
      </w:r>
      <w:r w:rsidR="00A92431">
        <w:rPr>
          <w:rFonts w:ascii="仿宋" w:eastAsia="仿宋" w:hAnsi="仿宋" w:cs="仿宋" w:hint="eastAsia"/>
          <w:sz w:val="32"/>
          <w:szCs w:val="32"/>
        </w:rPr>
        <w:t>3</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附：询价表及采购技术参数</w:t>
      </w:r>
    </w:p>
    <w:p w:rsidR="00125AFC" w:rsidRPr="0051223F" w:rsidRDefault="00125AFC" w:rsidP="0051223F">
      <w:pPr>
        <w:ind w:firstLineChars="200" w:firstLine="640"/>
        <w:jc w:val="left"/>
        <w:rPr>
          <w:rFonts w:ascii="仿宋" w:eastAsia="仿宋" w:hAnsi="仿宋" w:cs="仿宋"/>
          <w:bCs/>
          <w:color w:val="000000"/>
          <w:kern w:val="0"/>
          <w:sz w:val="32"/>
          <w:szCs w:val="32"/>
        </w:rPr>
      </w:pPr>
    </w:p>
    <w:tbl>
      <w:tblPr>
        <w:tblpPr w:leftFromText="180" w:rightFromText="180" w:vertAnchor="page" w:horzAnchor="margin" w:tblpY="2326"/>
        <w:tblW w:w="9600" w:type="dxa"/>
        <w:tblLook w:val="04A0"/>
      </w:tblPr>
      <w:tblGrid>
        <w:gridCol w:w="1120"/>
        <w:gridCol w:w="1960"/>
        <w:gridCol w:w="6520"/>
      </w:tblGrid>
      <w:tr w:rsidR="0042015A" w:rsidRPr="0042015A" w:rsidTr="0042015A">
        <w:trPr>
          <w:trHeight w:val="402"/>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bookmarkStart w:id="0" w:name="_GoBack"/>
            <w:bookmarkEnd w:id="0"/>
            <w:r w:rsidRPr="0042015A">
              <w:rPr>
                <w:rFonts w:ascii="宋体" w:hAnsi="宋体" w:cs="宋体" w:hint="eastAsia"/>
                <w:kern w:val="0"/>
                <w:sz w:val="24"/>
              </w:rPr>
              <w:lastRenderedPageBreak/>
              <w:t>1</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b/>
                <w:bCs/>
                <w:kern w:val="0"/>
                <w:sz w:val="24"/>
              </w:rPr>
            </w:pPr>
            <w:r w:rsidRPr="0042015A">
              <w:rPr>
                <w:rFonts w:ascii="宋体" w:hAnsi="宋体" w:cs="宋体" w:hint="eastAsia"/>
                <w:b/>
                <w:bCs/>
                <w:kern w:val="0"/>
                <w:sz w:val="24"/>
              </w:rPr>
              <w:t>项目经营范围</w:t>
            </w:r>
          </w:p>
        </w:tc>
        <w:tc>
          <w:tcPr>
            <w:tcW w:w="6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汽车或新能源车销售</w:t>
            </w:r>
          </w:p>
        </w:tc>
      </w:tr>
      <w:tr w:rsidR="0042015A" w:rsidRPr="0042015A" w:rsidTr="0042015A">
        <w:trPr>
          <w:trHeight w:val="402"/>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vMerge/>
            <w:tcBorders>
              <w:top w:val="single" w:sz="4" w:space="0" w:color="auto"/>
              <w:left w:val="single" w:sz="4" w:space="0" w:color="auto"/>
              <w:bottom w:val="single" w:sz="4" w:space="0" w:color="000000"/>
              <w:right w:val="single" w:sz="4" w:space="0" w:color="000000"/>
            </w:tcBorders>
            <w:vAlign w:val="center"/>
            <w:hideMark/>
          </w:tcPr>
          <w:p w:rsidR="0042015A" w:rsidRPr="0042015A" w:rsidRDefault="0042015A" w:rsidP="0042015A">
            <w:pPr>
              <w:widowControl/>
              <w:jc w:val="left"/>
              <w:rPr>
                <w:rFonts w:ascii="宋体" w:hAnsi="宋体" w:cs="宋体"/>
                <w:kern w:val="0"/>
                <w:sz w:val="24"/>
              </w:rPr>
            </w:pPr>
          </w:p>
        </w:tc>
      </w:tr>
      <w:tr w:rsidR="0042015A" w:rsidRPr="0042015A" w:rsidTr="0042015A">
        <w:trPr>
          <w:trHeight w:val="402"/>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vMerge/>
            <w:tcBorders>
              <w:top w:val="single" w:sz="4" w:space="0" w:color="auto"/>
              <w:left w:val="single" w:sz="4" w:space="0" w:color="auto"/>
              <w:bottom w:val="single" w:sz="4" w:space="0" w:color="000000"/>
              <w:right w:val="single" w:sz="4" w:space="0" w:color="000000"/>
            </w:tcBorders>
            <w:vAlign w:val="center"/>
            <w:hideMark/>
          </w:tcPr>
          <w:p w:rsidR="0042015A" w:rsidRPr="0042015A" w:rsidRDefault="0042015A" w:rsidP="0042015A">
            <w:pPr>
              <w:widowControl/>
              <w:jc w:val="left"/>
              <w:rPr>
                <w:rFonts w:ascii="宋体" w:hAnsi="宋体" w:cs="宋体"/>
                <w:kern w:val="0"/>
                <w:sz w:val="24"/>
              </w:rPr>
            </w:pPr>
          </w:p>
        </w:tc>
      </w:tr>
      <w:tr w:rsidR="0042015A" w:rsidRPr="0042015A" w:rsidTr="0042015A">
        <w:trPr>
          <w:trHeight w:val="540"/>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vMerge/>
            <w:tcBorders>
              <w:top w:val="single" w:sz="4" w:space="0" w:color="auto"/>
              <w:left w:val="single" w:sz="4" w:space="0" w:color="auto"/>
              <w:bottom w:val="single" w:sz="4" w:space="0" w:color="000000"/>
              <w:right w:val="single" w:sz="4" w:space="0" w:color="000000"/>
            </w:tcBorders>
            <w:vAlign w:val="center"/>
            <w:hideMark/>
          </w:tcPr>
          <w:p w:rsidR="0042015A" w:rsidRPr="0042015A" w:rsidRDefault="0042015A" w:rsidP="0042015A">
            <w:pPr>
              <w:widowControl/>
              <w:jc w:val="left"/>
              <w:rPr>
                <w:rFonts w:ascii="宋体" w:hAnsi="宋体" w:cs="宋体"/>
                <w:kern w:val="0"/>
                <w:sz w:val="24"/>
              </w:rPr>
            </w:pPr>
          </w:p>
        </w:tc>
      </w:tr>
      <w:tr w:rsidR="0042015A" w:rsidRPr="0042015A" w:rsidTr="0042015A">
        <w:trPr>
          <w:trHeight w:val="63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2</w:t>
            </w:r>
          </w:p>
        </w:tc>
        <w:tc>
          <w:tcPr>
            <w:tcW w:w="1960" w:type="dxa"/>
            <w:tcBorders>
              <w:top w:val="nil"/>
              <w:left w:val="nil"/>
              <w:bottom w:val="single" w:sz="4" w:space="0" w:color="auto"/>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b/>
                <w:bCs/>
                <w:kern w:val="0"/>
                <w:sz w:val="24"/>
              </w:rPr>
            </w:pPr>
            <w:r w:rsidRPr="0042015A">
              <w:rPr>
                <w:rFonts w:ascii="宋体" w:hAnsi="宋体" w:cs="宋体" w:hint="eastAsia"/>
                <w:b/>
                <w:bCs/>
                <w:kern w:val="0"/>
                <w:sz w:val="24"/>
              </w:rPr>
              <w:t>供货期</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签订合同后10日历天内供货完成</w:t>
            </w:r>
          </w:p>
        </w:tc>
      </w:tr>
      <w:tr w:rsidR="0042015A" w:rsidRPr="0042015A" w:rsidTr="0042015A">
        <w:trPr>
          <w:trHeight w:val="63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3</w:t>
            </w:r>
          </w:p>
        </w:tc>
        <w:tc>
          <w:tcPr>
            <w:tcW w:w="1960" w:type="dxa"/>
            <w:tcBorders>
              <w:top w:val="nil"/>
              <w:left w:val="nil"/>
              <w:bottom w:val="single" w:sz="4" w:space="0" w:color="auto"/>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b/>
                <w:bCs/>
                <w:kern w:val="0"/>
                <w:sz w:val="24"/>
              </w:rPr>
            </w:pPr>
            <w:r w:rsidRPr="0042015A">
              <w:rPr>
                <w:rFonts w:ascii="宋体" w:hAnsi="宋体" w:cs="宋体" w:hint="eastAsia"/>
                <w:b/>
                <w:bCs/>
                <w:kern w:val="0"/>
                <w:sz w:val="24"/>
              </w:rPr>
              <w:t>付款方式</w:t>
            </w: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货到付款</w:t>
            </w:r>
          </w:p>
        </w:tc>
      </w:tr>
      <w:tr w:rsidR="0042015A" w:rsidRPr="0042015A" w:rsidTr="0042015A">
        <w:trPr>
          <w:trHeight w:val="630"/>
        </w:trPr>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4</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5A" w:rsidRPr="0042015A" w:rsidRDefault="0042015A" w:rsidP="0042015A">
            <w:pPr>
              <w:widowControl/>
              <w:jc w:val="center"/>
              <w:rPr>
                <w:rFonts w:ascii="宋体" w:hAnsi="宋体" w:cs="宋体"/>
                <w:b/>
                <w:bCs/>
                <w:kern w:val="0"/>
                <w:sz w:val="24"/>
              </w:rPr>
            </w:pPr>
            <w:r w:rsidRPr="0042015A">
              <w:rPr>
                <w:rFonts w:ascii="宋体" w:hAnsi="宋体" w:cs="宋体" w:hint="eastAsia"/>
                <w:b/>
                <w:bCs/>
                <w:kern w:val="0"/>
                <w:sz w:val="24"/>
              </w:rPr>
              <w:t>车辆参数</w:t>
            </w: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发动机：纯电动 75马力电动机</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变速箱：电动车单速变速箱</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车身类型：5门5座SUV</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最高车速(km/h)：110</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电池质保期：8年或12万公里</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工信部纯电续航里程(km)：300</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整车质保：三年或12万公里</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电池能量密度(</w:t>
            </w:r>
            <w:proofErr w:type="spellStart"/>
            <w:r w:rsidRPr="0042015A">
              <w:rPr>
                <w:rFonts w:ascii="宋体" w:hAnsi="宋体" w:cs="宋体" w:hint="eastAsia"/>
                <w:kern w:val="0"/>
                <w:sz w:val="24"/>
              </w:rPr>
              <w:t>Wh</w:t>
            </w:r>
            <w:proofErr w:type="spellEnd"/>
            <w:r w:rsidRPr="0042015A">
              <w:rPr>
                <w:rFonts w:ascii="宋体" w:hAnsi="宋体" w:cs="宋体" w:hint="eastAsia"/>
                <w:kern w:val="0"/>
                <w:sz w:val="24"/>
              </w:rPr>
              <w:t>/kg)：127.08</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电池类型：三元锂电池</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长×宽×高[mm] :4100x1740x1630</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轴距[mm]: 2510</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整备质量[kg] ：1530</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耗电量[kwh/100km] ：14.3</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驱动方式： 前轮驱动</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前悬架类型 ：麦弗逊式独立悬架</w:t>
            </w:r>
          </w:p>
        </w:tc>
      </w:tr>
      <w:tr w:rsidR="0042015A" w:rsidRPr="0042015A" w:rsidTr="0042015A">
        <w:trPr>
          <w:trHeight w:val="630"/>
        </w:trPr>
        <w:tc>
          <w:tcPr>
            <w:tcW w:w="112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kern w:val="0"/>
                <w:sz w:val="24"/>
              </w:rPr>
            </w:pPr>
          </w:p>
        </w:tc>
        <w:tc>
          <w:tcPr>
            <w:tcW w:w="1960" w:type="dxa"/>
            <w:vMerge/>
            <w:tcBorders>
              <w:top w:val="nil"/>
              <w:left w:val="single" w:sz="4" w:space="0" w:color="auto"/>
              <w:bottom w:val="single" w:sz="4" w:space="0" w:color="000000"/>
              <w:right w:val="single" w:sz="4" w:space="0" w:color="auto"/>
            </w:tcBorders>
            <w:vAlign w:val="center"/>
            <w:hideMark/>
          </w:tcPr>
          <w:p w:rsidR="0042015A" w:rsidRPr="0042015A" w:rsidRDefault="0042015A" w:rsidP="0042015A">
            <w:pPr>
              <w:widowControl/>
              <w:jc w:val="left"/>
              <w:rPr>
                <w:rFonts w:ascii="宋体" w:hAnsi="宋体" w:cs="宋体"/>
                <w:b/>
                <w:bCs/>
                <w:kern w:val="0"/>
                <w:sz w:val="24"/>
              </w:rPr>
            </w:pPr>
          </w:p>
        </w:tc>
        <w:tc>
          <w:tcPr>
            <w:tcW w:w="6520" w:type="dxa"/>
            <w:tcBorders>
              <w:top w:val="single" w:sz="4" w:space="0" w:color="auto"/>
              <w:left w:val="nil"/>
              <w:bottom w:val="single" w:sz="4" w:space="0" w:color="auto"/>
              <w:right w:val="single" w:sz="4" w:space="0" w:color="000000"/>
            </w:tcBorders>
            <w:shd w:val="clear" w:color="auto" w:fill="auto"/>
            <w:noWrap/>
            <w:vAlign w:val="center"/>
            <w:hideMark/>
          </w:tcPr>
          <w:p w:rsidR="0042015A" w:rsidRPr="0042015A" w:rsidRDefault="0042015A" w:rsidP="0042015A">
            <w:pPr>
              <w:widowControl/>
              <w:jc w:val="center"/>
              <w:rPr>
                <w:rFonts w:ascii="宋体" w:hAnsi="宋体" w:cs="宋体"/>
                <w:kern w:val="0"/>
                <w:sz w:val="24"/>
              </w:rPr>
            </w:pPr>
            <w:r w:rsidRPr="0042015A">
              <w:rPr>
                <w:rFonts w:ascii="宋体" w:hAnsi="宋体" w:cs="宋体" w:hint="eastAsia"/>
                <w:kern w:val="0"/>
                <w:sz w:val="24"/>
              </w:rPr>
              <w:t>后悬架类型 :扭力梁式非独立悬架</w:t>
            </w:r>
          </w:p>
        </w:tc>
      </w:tr>
    </w:tbl>
    <w:p w:rsidR="00125AFC" w:rsidRPr="0042015A" w:rsidRDefault="0042015A" w:rsidP="0042015A">
      <w:pPr>
        <w:widowControl/>
        <w:jc w:val="center"/>
        <w:rPr>
          <w:rFonts w:ascii="宋体" w:hAnsi="宋体" w:cs="宋体"/>
          <w:b/>
          <w:bCs/>
          <w:kern w:val="0"/>
          <w:sz w:val="36"/>
        </w:rPr>
        <w:sectPr w:rsidR="00125AFC" w:rsidRPr="0042015A">
          <w:pgSz w:w="11906" w:h="16838"/>
          <w:pgMar w:top="1440" w:right="1514" w:bottom="1440" w:left="1514" w:header="851" w:footer="992" w:gutter="0"/>
          <w:cols w:space="0"/>
          <w:docGrid w:type="lines" w:linePitch="317"/>
        </w:sectPr>
      </w:pPr>
      <w:r w:rsidRPr="0042015A">
        <w:rPr>
          <w:rFonts w:ascii="宋体" w:hAnsi="宋体" w:cs="宋体" w:hint="eastAsia"/>
          <w:b/>
          <w:bCs/>
          <w:kern w:val="0"/>
          <w:sz w:val="36"/>
        </w:rPr>
        <w:t>项目采购需求说明</w:t>
      </w:r>
    </w:p>
    <w:tbl>
      <w:tblPr>
        <w:tblW w:w="14096" w:type="dxa"/>
        <w:tblInd w:w="289" w:type="dxa"/>
        <w:tblLayout w:type="fixed"/>
        <w:tblLook w:val="04A0"/>
      </w:tblPr>
      <w:tblGrid>
        <w:gridCol w:w="3273"/>
        <w:gridCol w:w="4275"/>
        <w:gridCol w:w="1170"/>
        <w:gridCol w:w="1166"/>
        <w:gridCol w:w="1417"/>
        <w:gridCol w:w="1617"/>
        <w:gridCol w:w="1178"/>
      </w:tblGrid>
      <w:tr w:rsidR="00125AFC">
        <w:trPr>
          <w:trHeight w:val="1812"/>
        </w:trPr>
        <w:tc>
          <w:tcPr>
            <w:tcW w:w="14096" w:type="dxa"/>
            <w:gridSpan w:val="7"/>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7"/>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42015A" w:rsidTr="0042015A">
        <w:trPr>
          <w:trHeight w:val="761"/>
        </w:trPr>
        <w:tc>
          <w:tcPr>
            <w:tcW w:w="3273" w:type="dxa"/>
            <w:tcBorders>
              <w:top w:val="nil"/>
              <w:left w:val="single" w:sz="4" w:space="0" w:color="auto"/>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法人或委托代理人（签名）</w:t>
            </w:r>
          </w:p>
        </w:tc>
        <w:tc>
          <w:tcPr>
            <w:tcW w:w="2336" w:type="dxa"/>
            <w:gridSpan w:val="2"/>
            <w:tcBorders>
              <w:top w:val="single" w:sz="4" w:space="0" w:color="auto"/>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电话</w:t>
            </w:r>
          </w:p>
        </w:tc>
        <w:tc>
          <w:tcPr>
            <w:tcW w:w="1417"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c>
          <w:tcPr>
            <w:tcW w:w="1617"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r>
      <w:tr w:rsidR="0042015A" w:rsidTr="0042015A">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42015A" w:rsidRDefault="0042015A">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品牌、型号、技术参数</w:t>
            </w:r>
          </w:p>
        </w:tc>
        <w:tc>
          <w:tcPr>
            <w:tcW w:w="1170"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数量</w:t>
            </w:r>
          </w:p>
        </w:tc>
        <w:tc>
          <w:tcPr>
            <w:tcW w:w="1166"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单位</w:t>
            </w:r>
          </w:p>
        </w:tc>
        <w:tc>
          <w:tcPr>
            <w:tcW w:w="1417"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总价</w:t>
            </w:r>
          </w:p>
        </w:tc>
        <w:tc>
          <w:tcPr>
            <w:tcW w:w="2795" w:type="dxa"/>
            <w:gridSpan w:val="2"/>
            <w:tcBorders>
              <w:top w:val="single" w:sz="4" w:space="0" w:color="auto"/>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备注</w:t>
            </w:r>
          </w:p>
        </w:tc>
      </w:tr>
      <w:tr w:rsidR="0042015A" w:rsidTr="0042015A">
        <w:trPr>
          <w:trHeight w:val="2212"/>
        </w:trPr>
        <w:tc>
          <w:tcPr>
            <w:tcW w:w="3273" w:type="dxa"/>
            <w:tcBorders>
              <w:top w:val="nil"/>
              <w:left w:val="single" w:sz="4" w:space="0" w:color="auto"/>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c>
          <w:tcPr>
            <w:tcW w:w="1166"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p w:rsidR="0042015A" w:rsidRDefault="0042015A">
            <w:pPr>
              <w:widowControl/>
              <w:jc w:val="center"/>
              <w:rPr>
                <w:rFonts w:ascii="宋体" w:hAnsi="宋体" w:cs="宋体"/>
                <w:kern w:val="0"/>
                <w:sz w:val="24"/>
              </w:rPr>
            </w:pPr>
            <w:r>
              <w:rPr>
                <w:rFonts w:ascii="宋体" w:hAnsi="宋体" w:cs="宋体" w:hint="eastAsia"/>
                <w:kern w:val="0"/>
                <w:sz w:val="24"/>
              </w:rPr>
              <w:t xml:space="preserve">　</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2015A" w:rsidRDefault="0042015A">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7"/>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72F" w:rsidRDefault="0041472F" w:rsidP="003141B4">
      <w:r>
        <w:separator/>
      </w:r>
    </w:p>
  </w:endnote>
  <w:endnote w:type="continuationSeparator" w:id="0">
    <w:p w:rsidR="0041472F" w:rsidRDefault="0041472F"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72F" w:rsidRDefault="0041472F" w:rsidP="003141B4">
      <w:r>
        <w:separator/>
      </w:r>
    </w:p>
  </w:footnote>
  <w:footnote w:type="continuationSeparator" w:id="0">
    <w:p w:rsidR="0041472F" w:rsidRDefault="0041472F"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4B32AB"/>
    <w:multiLevelType w:val="hybridMultilevel"/>
    <w:tmpl w:val="CDEC5862"/>
    <w:lvl w:ilvl="0" w:tplc="0A942B06">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E0B80"/>
    <w:multiLevelType w:val="singleLevel"/>
    <w:tmpl w:val="57CE0B80"/>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839A6"/>
    <w:rsid w:val="000C42EA"/>
    <w:rsid w:val="00125AFC"/>
    <w:rsid w:val="001A05E4"/>
    <w:rsid w:val="002167EA"/>
    <w:rsid w:val="00277D0F"/>
    <w:rsid w:val="002D1F65"/>
    <w:rsid w:val="002E0E11"/>
    <w:rsid w:val="002E4A7E"/>
    <w:rsid w:val="003141B4"/>
    <w:rsid w:val="003556AB"/>
    <w:rsid w:val="003653A3"/>
    <w:rsid w:val="004016EB"/>
    <w:rsid w:val="0041472F"/>
    <w:rsid w:val="0042015A"/>
    <w:rsid w:val="004D4F22"/>
    <w:rsid w:val="0051223F"/>
    <w:rsid w:val="00627923"/>
    <w:rsid w:val="00656E05"/>
    <w:rsid w:val="00657AD7"/>
    <w:rsid w:val="006A00D8"/>
    <w:rsid w:val="006C7C39"/>
    <w:rsid w:val="006D0B8E"/>
    <w:rsid w:val="006D6208"/>
    <w:rsid w:val="00710958"/>
    <w:rsid w:val="00730241"/>
    <w:rsid w:val="0076224C"/>
    <w:rsid w:val="007A2BB3"/>
    <w:rsid w:val="007A3853"/>
    <w:rsid w:val="007A4989"/>
    <w:rsid w:val="008D260D"/>
    <w:rsid w:val="00957D18"/>
    <w:rsid w:val="009A2510"/>
    <w:rsid w:val="009F5F9F"/>
    <w:rsid w:val="00A92431"/>
    <w:rsid w:val="00B17AB9"/>
    <w:rsid w:val="00B71831"/>
    <w:rsid w:val="00C77BD9"/>
    <w:rsid w:val="00DC3A0F"/>
    <w:rsid w:val="00EA0CB0"/>
    <w:rsid w:val="00EB6FAF"/>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0C42EA"/>
    <w:pPr>
      <w:ind w:firstLineChars="200" w:firstLine="420"/>
    </w:pPr>
  </w:style>
</w:styles>
</file>

<file path=word/webSettings.xml><?xml version="1.0" encoding="utf-8"?>
<w:webSettings xmlns:r="http://schemas.openxmlformats.org/officeDocument/2006/relationships" xmlns:w="http://schemas.openxmlformats.org/wordprocessingml/2006/main">
  <w:divs>
    <w:div w:id="28006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襄城县公共资源交易中心:陈良民</cp:lastModifiedBy>
  <cp:revision>20</cp:revision>
  <cp:lastPrinted>2018-01-05T00:17:00Z</cp:lastPrinted>
  <dcterms:created xsi:type="dcterms:W3CDTF">2018-01-03T01:46:00Z</dcterms:created>
  <dcterms:modified xsi:type="dcterms:W3CDTF">2018-07-23T02:54:00Z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