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许昌经济技术开发区法制与社会服务局</w:t>
      </w: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w:t>
      </w:r>
      <w:r>
        <w:rPr>
          <w:rFonts w:hint="eastAsia" w:asciiTheme="majorEastAsia" w:hAnsiTheme="majorEastAsia" w:eastAsiaTheme="majorEastAsia" w:cstheme="majorEastAsia"/>
          <w:b/>
          <w:bCs/>
          <w:color w:val="000000"/>
          <w:sz w:val="40"/>
          <w:szCs w:val="40"/>
        </w:rPr>
        <w:t>许昌经济技术开发区水资源综合规划编制项目</w:t>
      </w:r>
      <w:r>
        <w:rPr>
          <w:rFonts w:hint="eastAsia" w:asciiTheme="majorEastAsia" w:hAnsiTheme="majorEastAsia" w:eastAsiaTheme="majorEastAsia" w:cstheme="majorEastAsia"/>
          <w:b/>
          <w:bCs/>
          <w:color w:val="000000"/>
          <w:sz w:val="44"/>
          <w:szCs w:val="44"/>
        </w:rPr>
        <w:t>”</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项目编号：JZFCG-G201</w:t>
      </w:r>
      <w:r>
        <w:rPr>
          <w:rFonts w:hint="eastAsia" w:asciiTheme="majorEastAsia" w:hAnsiTheme="majorEastAsia" w:eastAsiaTheme="majorEastAsia" w:cstheme="majorEastAsia"/>
          <w:b/>
          <w:bCs/>
          <w:color w:val="000000"/>
          <w:sz w:val="36"/>
          <w:szCs w:val="36"/>
          <w:lang w:val="en-US" w:eastAsia="zh-CN"/>
        </w:rPr>
        <w:t>8040</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w:t>
      </w:r>
      <w:r>
        <w:rPr>
          <w:rFonts w:hint="eastAsia" w:asciiTheme="majorEastAsia" w:hAnsiTheme="majorEastAsia" w:eastAsiaTheme="majorEastAsia" w:cstheme="majorEastAsia"/>
          <w:b/>
          <w:bCs/>
          <w:color w:val="000000"/>
          <w:sz w:val="32"/>
          <w:szCs w:val="32"/>
        </w:rPr>
        <w:t>许昌经济技术开发区法制与社会服务局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代理机构：河南鼎华招标代理有限公司</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二〇一八年</w:t>
      </w:r>
      <w:r>
        <w:rPr>
          <w:rFonts w:hint="eastAsia" w:asciiTheme="majorEastAsia" w:hAnsiTheme="majorEastAsia" w:eastAsiaTheme="majorEastAsia" w:cstheme="majorEastAsia"/>
          <w:b/>
          <w:bCs/>
          <w:color w:val="000000"/>
          <w:sz w:val="36"/>
          <w:szCs w:val="36"/>
          <w:lang w:eastAsia="zh-CN"/>
        </w:rPr>
        <w:t>六</w:t>
      </w:r>
      <w:r>
        <w:rPr>
          <w:rFonts w:hint="eastAsia" w:asciiTheme="majorEastAsia" w:hAnsiTheme="majorEastAsia" w:eastAsiaTheme="majorEastAsia" w:cstheme="majorEastAsia"/>
          <w:b/>
          <w:bCs/>
          <w:color w:val="000000"/>
          <w:sz w:val="36"/>
          <w:szCs w:val="36"/>
        </w:rPr>
        <w:t>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autoSpaceDE w:val="0"/>
        <w:autoSpaceDN w:val="0"/>
        <w:adjustRightInd w:val="0"/>
        <w:spacing w:line="700" w:lineRule="exact"/>
        <w:ind w:firstLine="551"/>
        <w:rPr>
          <w:rFonts w:cs="宋体" w:asciiTheme="majorEastAsia" w:hAnsiTheme="majorEastAsia" w:eastAsiaTheme="majorEastAsia"/>
          <w:b/>
          <w:kern w:val="0"/>
          <w:sz w:val="36"/>
          <w:szCs w:val="36"/>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0"/>
        <w:widowControl/>
        <w:shd w:val="clear" w:color="auto" w:fill="FFFFFF"/>
        <w:spacing w:line="315" w:lineRule="atLeast"/>
        <w:ind w:firstLine="420"/>
        <w:jc w:val="left"/>
        <w:rPr>
          <w:rFonts w:ascii="仿宋_GB2312" w:hAnsi="仿宋_GB2312" w:eastAsia="仿宋_GB2312" w:cs="仿宋_GB2312"/>
          <w:color w:val="000000"/>
          <w:sz w:val="32"/>
          <w:szCs w:val="32"/>
          <w:shd w:val="clear" w:color="auto" w:fill="FFFFFF"/>
        </w:rPr>
      </w:pPr>
    </w:p>
    <w:p>
      <w:pPr>
        <w:pStyle w:val="20"/>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（一）项目名称：许昌经济技术开发区水资源综合规划编制项目</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（二）项目编号：JZFCG-G2018040号    </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（三）采购方式：</w:t>
      </w:r>
      <w:r>
        <w:rPr>
          <w:rFonts w:hint="eastAsia" w:cs="仿宋_GB2312" w:asciiTheme="minorEastAsia" w:hAnsiTheme="minorEastAsia" w:eastAsiaTheme="minorEastAsia"/>
          <w:color w:val="000000"/>
          <w:sz w:val="21"/>
          <w:szCs w:val="21"/>
          <w:shd w:val="clear" w:color="auto" w:fill="FFFFFF"/>
          <w:lang w:eastAsia="zh-CN"/>
        </w:rPr>
        <w:t>公开招标</w:t>
      </w:r>
      <w:r>
        <w:rPr>
          <w:rFonts w:hint="eastAsia" w:cs="仿宋_GB2312" w:asciiTheme="minorEastAsia" w:hAnsiTheme="minorEastAsia" w:eastAsiaTheme="minorEastAsia"/>
          <w:color w:val="000000"/>
          <w:sz w:val="21"/>
          <w:szCs w:val="21"/>
          <w:shd w:val="clear" w:color="auto" w:fill="FFFFFF"/>
        </w:rPr>
        <w:t xml:space="preserve">                                                                                                                          </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（四）项目主要内容、数量及要求：许昌经济技术开发区水资源综合规划编制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w:t>
      </w:r>
      <w:r>
        <w:rPr>
          <w:rFonts w:hint="eastAsia" w:cs="仿宋_GB2312" w:asciiTheme="minorEastAsia" w:hAnsiTheme="minorEastAsia" w:eastAsiaTheme="minorEastAsia"/>
          <w:color w:val="000000"/>
          <w:sz w:val="21"/>
          <w:szCs w:val="21"/>
          <w:u w:val="single"/>
          <w:shd w:val="clear" w:color="auto" w:fill="FFFFFF"/>
          <w:lang w:val="en-US" w:eastAsia="zh-CN"/>
        </w:rPr>
        <w:t>900000</w:t>
      </w:r>
      <w:r>
        <w:rPr>
          <w:rFonts w:hint="eastAsia" w:cs="仿宋_GB2312" w:asciiTheme="minorEastAsia" w:hAnsiTheme="minorEastAsia" w:eastAsiaTheme="minorEastAsia"/>
          <w:color w:val="000000"/>
          <w:sz w:val="21"/>
          <w:szCs w:val="21"/>
          <w:shd w:val="clear" w:color="auto" w:fill="FFFFFF"/>
        </w:rPr>
        <w:t>元。最高限价：</w:t>
      </w:r>
      <w:r>
        <w:rPr>
          <w:rFonts w:hint="eastAsia" w:cs="仿宋_GB2312" w:asciiTheme="minorEastAsia" w:hAnsiTheme="minorEastAsia" w:eastAsiaTheme="minorEastAsia"/>
          <w:color w:val="000000"/>
          <w:sz w:val="21"/>
          <w:szCs w:val="21"/>
          <w:u w:val="single"/>
          <w:shd w:val="clear" w:color="auto" w:fill="FFFFFF"/>
          <w:lang w:val="en-US" w:eastAsia="zh-CN"/>
        </w:rPr>
        <w:t>900000</w:t>
      </w:r>
      <w:r>
        <w:rPr>
          <w:rFonts w:hint="eastAsia" w:cs="仿宋_GB2312" w:asciiTheme="minorEastAsia" w:hAnsiTheme="minorEastAsia" w:eastAsiaTheme="minorEastAsia"/>
          <w:color w:val="000000"/>
          <w:sz w:val="21"/>
          <w:szCs w:val="21"/>
          <w:shd w:val="clear" w:color="auto" w:fill="FFFFFF"/>
        </w:rPr>
        <w:t>元。</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（六）交付（服务、完工）时间：合同签订后180日历天</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（七）交付（服务、完工）地点：许昌经济技术开发区</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w:t>
      </w:r>
      <w:r>
        <w:rPr>
          <w:rFonts w:hint="eastAsia" w:cs="仿宋_GB2312" w:asciiTheme="minorEastAsia" w:hAnsiTheme="minorEastAsia" w:eastAsiaTheme="minorEastAsia"/>
          <w:color w:val="000000"/>
          <w:sz w:val="21"/>
          <w:szCs w:val="21"/>
          <w:u w:val="single"/>
          <w:shd w:val="clear" w:color="auto" w:fill="FFFFFF"/>
        </w:rPr>
        <w:t>节能环保</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u w:val="single"/>
          <w:shd w:val="clear" w:color="auto" w:fill="FFFFFF"/>
        </w:rPr>
        <w:t>中小微型企业</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u w:val="single"/>
          <w:shd w:val="clear" w:color="auto" w:fill="FFFFFF"/>
        </w:rPr>
        <w:t>残疾人福利性单位</w:t>
      </w:r>
      <w:r>
        <w:rPr>
          <w:rFonts w:hint="eastAsia" w:cs="仿宋_GB2312" w:asciiTheme="minorEastAsia" w:hAnsiTheme="minorEastAsia" w:eastAsiaTheme="minorEastAsia"/>
          <w:color w:val="000000"/>
          <w:sz w:val="21"/>
          <w:szCs w:val="21"/>
          <w:shd w:val="clear" w:color="auto" w:fill="FFFFFF"/>
        </w:rPr>
        <w:t>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（二）同时具有水文、水资源调查评价和建设项目水资源论证乙级及以上资质（含乙级）；</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w:t>
      </w:r>
      <w:r>
        <w:rPr>
          <w:rFonts w:cs="仿宋_GB2312" w:asciiTheme="minorEastAsia" w:hAnsiTheme="minorEastAsia"/>
          <w:color w:val="000000"/>
          <w:sz w:val="21"/>
          <w:szCs w:val="21"/>
          <w:shd w:val="clear" w:color="auto" w:fill="FFFFFF"/>
        </w:rPr>
        <w:t xml:space="preserve"> </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（四）本次招标不接受联合体投标。</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（一）网上下载招标文件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（二）招标文件售价</w:t>
      </w:r>
      <w:r>
        <w:rPr>
          <w:rFonts w:hint="eastAsia" w:cs="仿宋_GB2312" w:asciiTheme="minorEastAsia" w:hAnsiTheme="minorEastAsia" w:eastAsiaTheme="minorEastAsia"/>
          <w:color w:val="000000"/>
          <w:sz w:val="21"/>
          <w:szCs w:val="21"/>
          <w:u w:val="single"/>
          <w:shd w:val="clear" w:color="auto" w:fill="FFFFFF"/>
          <w:lang w:val="en-US" w:eastAsia="zh-CN"/>
        </w:rPr>
        <w:t>300</w:t>
      </w:r>
      <w:r>
        <w:rPr>
          <w:rFonts w:hint="eastAsia" w:cs="仿宋_GB2312" w:asciiTheme="minorEastAsia" w:hAnsiTheme="minorEastAsia" w:eastAsiaTheme="minorEastAsia"/>
          <w:color w:val="000000"/>
          <w:sz w:val="21"/>
          <w:szCs w:val="21"/>
          <w:shd w:val="clear" w:color="auto" w:fill="FFFFFF"/>
        </w:rPr>
        <w:t>元/套，投标人在递交投标文件时向采购代理机构交纳采购文件费用，售后不退。</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000000"/>
          <w:sz w:val="21"/>
          <w:szCs w:val="21"/>
        </w:rPr>
        <w:t>（一）投标截止及开标时</w:t>
      </w:r>
      <w:r>
        <w:rPr>
          <w:rFonts w:hint="eastAsia" w:cs="仿宋_GB2312" w:asciiTheme="minorEastAsia" w:hAnsiTheme="minorEastAsia" w:eastAsiaTheme="minorEastAsia"/>
          <w:color w:val="auto"/>
          <w:sz w:val="21"/>
          <w:szCs w:val="21"/>
        </w:rPr>
        <w:t>间：2018年</w:t>
      </w:r>
      <w:r>
        <w:rPr>
          <w:rFonts w:hint="eastAsia" w:cs="仿宋_GB2312" w:asciiTheme="minorEastAsia" w:hAnsiTheme="minorEastAsia" w:eastAsiaTheme="minorEastAsia"/>
          <w:color w:val="auto"/>
          <w:sz w:val="21"/>
          <w:szCs w:val="21"/>
          <w:u w:val="single"/>
          <w:lang w:val="en-US" w:eastAsia="zh-CN"/>
        </w:rPr>
        <w:t>7</w:t>
      </w:r>
      <w:r>
        <w:rPr>
          <w:rFonts w:hint="eastAsia" w:cs="仿宋_GB2312" w:asciiTheme="minorEastAsia" w:hAnsiTheme="minorEastAsia" w:eastAsiaTheme="minorEastAsia"/>
          <w:color w:val="auto"/>
          <w:sz w:val="21"/>
          <w:szCs w:val="21"/>
        </w:rPr>
        <w:t>月</w:t>
      </w:r>
      <w:r>
        <w:rPr>
          <w:rFonts w:hint="eastAsia" w:cs="仿宋_GB2312" w:asciiTheme="minorEastAsia" w:hAnsiTheme="minorEastAsia" w:eastAsiaTheme="minorEastAsia"/>
          <w:color w:val="auto"/>
          <w:sz w:val="21"/>
          <w:szCs w:val="21"/>
          <w:u w:val="single"/>
          <w:lang w:val="en-US" w:eastAsia="zh-CN"/>
        </w:rPr>
        <w:t>17</w:t>
      </w:r>
      <w:r>
        <w:rPr>
          <w:rFonts w:hint="eastAsia" w:cs="仿宋_GB2312" w:asciiTheme="minorEastAsia" w:hAnsiTheme="minorEastAsia" w:eastAsiaTheme="minorEastAsia"/>
          <w:color w:val="auto"/>
          <w:sz w:val="21"/>
          <w:szCs w:val="21"/>
        </w:rPr>
        <w:t>日</w:t>
      </w:r>
      <w:r>
        <w:rPr>
          <w:rFonts w:hint="eastAsia" w:cs="仿宋_GB2312" w:asciiTheme="minorEastAsia" w:hAnsiTheme="minorEastAsia" w:eastAsiaTheme="minorEastAsia"/>
          <w:color w:val="auto"/>
          <w:sz w:val="21"/>
          <w:szCs w:val="21"/>
          <w:u w:val="single"/>
          <w:lang w:val="en-US" w:eastAsia="zh-CN"/>
        </w:rPr>
        <w:t>9</w:t>
      </w:r>
      <w:r>
        <w:rPr>
          <w:rFonts w:hint="eastAsia" w:cs="仿宋_GB2312" w:asciiTheme="minorEastAsia" w:hAnsiTheme="minorEastAsia" w:eastAsiaTheme="minorEastAsia"/>
          <w:color w:val="auto"/>
          <w:sz w:val="21"/>
          <w:szCs w:val="21"/>
        </w:rPr>
        <w:t>时</w:t>
      </w:r>
      <w:r>
        <w:rPr>
          <w:rFonts w:hint="eastAsia" w:cs="仿宋_GB2312" w:asciiTheme="minorEastAsia" w:hAnsiTheme="minorEastAsia" w:eastAsiaTheme="minorEastAsia"/>
          <w:color w:val="auto"/>
          <w:sz w:val="21"/>
          <w:szCs w:val="21"/>
          <w:u w:val="single"/>
          <w:lang w:val="en-US" w:eastAsia="zh-CN"/>
        </w:rPr>
        <w:t>30</w:t>
      </w:r>
      <w:r>
        <w:rPr>
          <w:rFonts w:hint="eastAsia" w:cs="仿宋_GB2312" w:asciiTheme="minorEastAsia" w:hAnsiTheme="minorEastAsia" w:eastAsiaTheme="minorEastAsia"/>
          <w:color w:val="auto"/>
          <w:sz w:val="21"/>
          <w:szCs w:val="21"/>
        </w:rPr>
        <w:t>分（北京时间），逾期提交或不符合规定的投标文件不予接受。</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（二）开标地点：许昌市公共资源交易中心（</w:t>
      </w:r>
      <w:r>
        <w:rPr>
          <w:rFonts w:cs="Arial" w:asciiTheme="minorEastAsia" w:hAnsiTheme="minorEastAsia" w:eastAsiaTheme="minorEastAsia"/>
          <w:color w:val="auto"/>
          <w:sz w:val="21"/>
          <w:szCs w:val="21"/>
        </w:rPr>
        <w:t>龙兴路与竹林路交汇处</w:t>
      </w:r>
      <w:r>
        <w:rPr>
          <w:rFonts w:hint="eastAsia" w:cs="仿宋_GB2312" w:asciiTheme="minorEastAsia" w:hAnsiTheme="minorEastAsia" w:eastAsiaTheme="minorEastAsia"/>
          <w:color w:val="auto"/>
          <w:sz w:val="21"/>
          <w:szCs w:val="21"/>
        </w:rPr>
        <w:t>公共资源大厦）三楼开标</w:t>
      </w:r>
      <w:r>
        <w:rPr>
          <w:rFonts w:hint="eastAsia" w:cs="仿宋_GB2312" w:asciiTheme="minorEastAsia" w:hAnsiTheme="minorEastAsia" w:eastAsiaTheme="minorEastAsia"/>
          <w:color w:val="auto"/>
          <w:sz w:val="21"/>
          <w:szCs w:val="21"/>
          <w:u w:val="single"/>
          <w:lang w:eastAsia="zh-CN"/>
        </w:rPr>
        <w:t>三</w:t>
      </w:r>
      <w:r>
        <w:rPr>
          <w:rFonts w:hint="eastAsia" w:cs="仿宋_GB2312" w:asciiTheme="minorEastAsia" w:hAnsiTheme="minorEastAsia" w:eastAsiaTheme="minorEastAsia"/>
          <w:color w:val="auto"/>
          <w:sz w:val="21"/>
          <w:szCs w:val="21"/>
        </w:rPr>
        <w:t>室。</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采购人：许昌经济技术开发区法制与社会服务局</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地 址：许昌经济技术开发区管理委员会（瑞祥路中段）</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联系人：孙广文               联系电话：0374-8581509</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代理机构：河南鼎华招标代理有限公司</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地 址：新许路中段建设银行三楼</w:t>
      </w:r>
    </w:p>
    <w:p>
      <w:pPr>
        <w:pStyle w:val="20"/>
        <w:widowControl/>
        <w:shd w:val="clear" w:color="auto" w:fill="FFFFFF"/>
        <w:spacing w:line="360" w:lineRule="auto"/>
        <w:ind w:firstLine="420"/>
        <w:contextualSpacing/>
        <w:jc w:val="left"/>
        <w:rPr>
          <w:rFonts w:cs="仿宋_GB2312" w:asciiTheme="minorEastAsia" w:hAnsiTheme="minorEastAsia"/>
          <w:color w:val="000000"/>
          <w:szCs w:val="21"/>
          <w:shd w:val="clear" w:color="auto" w:fill="FFFFFF"/>
        </w:rPr>
      </w:pPr>
      <w:r>
        <w:rPr>
          <w:rFonts w:hint="eastAsia" w:cs="仿宋_GB2312" w:asciiTheme="minorEastAsia" w:hAnsiTheme="minorEastAsia" w:eastAsiaTheme="minorEastAsia"/>
          <w:color w:val="000000"/>
          <w:sz w:val="21"/>
          <w:szCs w:val="21"/>
        </w:rPr>
        <w:t>联系人：冯建伟               联系电话：0374-5219779</w:t>
      </w:r>
    </w:p>
    <w:p>
      <w:pPr>
        <w:spacing w:line="360" w:lineRule="auto"/>
        <w:jc w:val="right"/>
        <w:rPr>
          <w:rFonts w:hint="eastAsia" w:asciiTheme="minorEastAsia" w:hAnsiTheme="minorEastAsia" w:cstheme="majorEastAsia"/>
          <w:color w:val="FF0000"/>
          <w:szCs w:val="21"/>
          <w:lang w:val="zh-CN"/>
        </w:rPr>
      </w:pPr>
      <w:r>
        <w:rPr>
          <w:rFonts w:hint="eastAsia" w:asciiTheme="minorEastAsia" w:hAnsiTheme="minorEastAsia" w:cstheme="majorEastAsia"/>
          <w:szCs w:val="21"/>
          <w:lang w:val="zh-CN"/>
        </w:rPr>
        <w:t xml:space="preserve">                               许昌经济技术开发区法制与社会服务局                         二〇一</w:t>
      </w:r>
      <w:r>
        <w:rPr>
          <w:rFonts w:hint="eastAsia" w:asciiTheme="minorEastAsia" w:hAnsiTheme="minorEastAsia" w:cstheme="majorEastAsia"/>
          <w:color w:val="auto"/>
          <w:szCs w:val="21"/>
          <w:lang w:val="zh-CN"/>
        </w:rPr>
        <w:t>八年六月二十二日</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4"/>
          <w:rFonts w:hAnsi="宋体"/>
          <w:szCs w:val="21"/>
        </w:rPr>
        <w:t>http://221.14.6.70:8088/ggzy/</w:t>
      </w:r>
      <w:r>
        <w:fldChar w:fldCharType="end"/>
      </w:r>
      <w:r>
        <w:rPr>
          <w:rFonts w:hint="eastAsia" w:hAnsi="宋体"/>
          <w:color w:val="000000"/>
          <w:szCs w:val="21"/>
        </w:rPr>
        <w:t>）下载“许昌投标文件制作系统SEARUN V1.0”，按招标文件要求制作电子投标文件。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4"/>
          <w:rFonts w:hAnsi="宋体"/>
          <w:szCs w:val="21"/>
        </w:rPr>
        <w:t>http://221.14.6.70:8088/ggzy/</w:t>
      </w:r>
      <w: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0"/>
        </w:numPr>
        <w:jc w:val="both"/>
        <w:rPr>
          <w:rFonts w:cs="宋体" w:asciiTheme="majorEastAsia" w:hAnsiTheme="majorEastAsia" w:eastAsiaTheme="majorEastAsia"/>
          <w:b/>
          <w:kern w:val="0"/>
          <w:sz w:val="32"/>
          <w:szCs w:val="32"/>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numPr>
          <w:ilvl w:val="0"/>
          <w:numId w:val="5"/>
        </w:numPr>
        <w:shd w:val="clear" w:color="auto" w:fill="FFFFFF"/>
        <w:spacing w:line="360" w:lineRule="auto"/>
        <w:ind w:firstLine="422" w:firstLineChars="200"/>
        <w:contextualSpacing/>
        <w:jc w:val="left"/>
        <w:rPr>
          <w:rFonts w:hint="eastAsia" w:cs="黑体" w:asciiTheme="minorEastAsia" w:hAnsiTheme="minorEastAsia"/>
          <w:b/>
          <w:bCs/>
          <w:color w:val="000000"/>
          <w:szCs w:val="21"/>
          <w:shd w:val="clear" w:color="auto" w:fill="FFFFFF"/>
        </w:rPr>
      </w:pPr>
      <w:r>
        <w:rPr>
          <w:rFonts w:hint="eastAsia" w:cs="黑体" w:asciiTheme="minorEastAsia" w:hAnsiTheme="minorEastAsia"/>
          <w:b/>
          <w:bCs/>
          <w:color w:val="000000"/>
          <w:szCs w:val="21"/>
          <w:shd w:val="clear" w:color="auto" w:fill="FFFFFF"/>
        </w:rPr>
        <w:t>本项目需实现的功能或者目标</w:t>
      </w:r>
    </w:p>
    <w:p>
      <w:pPr>
        <w:widowControl/>
        <w:numPr>
          <w:ilvl w:val="0"/>
          <w:numId w:val="0"/>
        </w:numPr>
        <w:shd w:val="clear" w:color="auto" w:fill="FFFFFF"/>
        <w:spacing w:line="360" w:lineRule="auto"/>
        <w:ind w:firstLine="420" w:firstLineChars="200"/>
        <w:contextualSpacing/>
        <w:jc w:val="left"/>
        <w:rPr>
          <w:rFonts w:hint="eastAsia" w:cs="黑体" w:asciiTheme="minorEastAsia" w:hAnsiTheme="minorEastAsia"/>
          <w:b w:val="0"/>
          <w:bCs w:val="0"/>
          <w:color w:val="000000"/>
          <w:szCs w:val="21"/>
          <w:shd w:val="clear" w:color="auto" w:fill="FFFFFF"/>
          <w:lang w:val="zh-CN"/>
        </w:rPr>
      </w:pPr>
      <w:r>
        <w:rPr>
          <w:rFonts w:hint="eastAsia" w:cs="黑体" w:asciiTheme="minorEastAsia" w:hAnsiTheme="minorEastAsia"/>
          <w:b w:val="0"/>
          <w:bCs w:val="0"/>
          <w:color w:val="000000"/>
          <w:szCs w:val="21"/>
          <w:shd w:val="clear" w:color="auto" w:fill="FFFFFF"/>
          <w:lang w:val="zh-CN"/>
        </w:rPr>
        <w:t>水是生命之源、生产之要、生态之基。为贯彻落实党的十八大重要精神，加快推进水生态文明建设和水资源管理工作，水利部于2013年1月印发了《水利部关于加快推进水生态文明建设工作的意见》（水资源[2013]1号），提出把生态文明理念融入到水资源开发、利用、治理、配置、节约、保护的各方面和水利规划、建设、管理的各环节，加快推进水生态文明建设。同时，《国务院关于实行最严格水资源管理制度的意见》（国发[2012]3号）和《水污染防治行动计划》国发〔2015〕17号的相继发布，进一步明确了严格水资源管理、严格环境准入，加强水资源管理工作的重要性。新时期的水资源管理体系，是建立以“三条红线”为核心的用水总量控制制度、用水效率控制制度、水功能区限制纳污制度以及水资源管理的责任与考核制度，即最严格水资源管理制度。为保障新的水资源管理体系的建立，国家提出了要以水资源配置、节约和保护为重点、全面落实“三条红线”的指导思想，同时结合水利发展的实际状况，制定出了全国2015年、2020年和2030年的主要红线控制指标。因此，按照坚持以人为本、统筹兼顾、改革创新、因地制宜的基本原则，做好水资源科学开发利用规划及实施，对促进实现水资源可持续利用、促进区域可持续发展及生态文明建设具有重要意义。</w:t>
      </w:r>
    </w:p>
    <w:p>
      <w:pPr>
        <w:widowControl/>
        <w:numPr>
          <w:ilvl w:val="0"/>
          <w:numId w:val="0"/>
        </w:numPr>
        <w:shd w:val="clear" w:color="auto" w:fill="FFFFFF"/>
        <w:spacing w:line="360" w:lineRule="auto"/>
        <w:ind w:firstLine="420" w:firstLineChars="200"/>
        <w:contextualSpacing/>
        <w:jc w:val="left"/>
        <w:rPr>
          <w:rFonts w:hint="eastAsia" w:cs="黑体" w:asciiTheme="minorEastAsia" w:hAnsiTheme="minorEastAsia"/>
          <w:b w:val="0"/>
          <w:bCs w:val="0"/>
          <w:color w:val="000000"/>
          <w:szCs w:val="21"/>
          <w:shd w:val="clear" w:color="auto" w:fill="FFFFFF"/>
          <w:lang w:val="zh-CN"/>
        </w:rPr>
      </w:pPr>
      <w:r>
        <w:rPr>
          <w:rFonts w:hint="eastAsia" w:cs="黑体" w:asciiTheme="minorEastAsia" w:hAnsiTheme="minorEastAsia"/>
          <w:b w:val="0"/>
          <w:bCs w:val="0"/>
          <w:color w:val="000000"/>
          <w:szCs w:val="21"/>
          <w:shd w:val="clear" w:color="auto" w:fill="FFFFFF"/>
          <w:lang w:val="zh-CN"/>
        </w:rPr>
        <w:t>科学编制《许昌经济技术开发区水资源综合规划》，将为许昌经济技术开发区水资源可持续利用和管理提供基础数据和规划支撑。在进一步查清许昌经济技术开发区水资源及其开发利用现状、分析和评价水资源承载能力的基础上，结合经济社会可持续发展和生态环境保护对水资源的要求，提出水资源合理开发、优化配置、高效利用、有效保护和综合治理的总体布局及实施方案，作为今后一定时期内水资源开发利用与管理活动的重要依据和准则，促进和保障“人水和谐”发展，以水资源的可持续利用支撑经济社会的可持续发展。</w:t>
      </w:r>
    </w:p>
    <w:p>
      <w:pPr>
        <w:widowControl/>
        <w:numPr>
          <w:ilvl w:val="0"/>
          <w:numId w:val="0"/>
        </w:numPr>
        <w:shd w:val="clear" w:color="auto" w:fill="FFFFFF"/>
        <w:spacing w:line="360" w:lineRule="auto"/>
        <w:ind w:firstLine="420" w:firstLineChars="200"/>
        <w:contextualSpacing/>
        <w:jc w:val="left"/>
        <w:rPr>
          <w:rFonts w:hint="eastAsia" w:cs="黑体" w:asciiTheme="minorEastAsia" w:hAnsiTheme="minorEastAsia"/>
          <w:b w:val="0"/>
          <w:bCs w:val="0"/>
          <w:color w:val="000000"/>
          <w:szCs w:val="21"/>
          <w:shd w:val="clear" w:color="auto" w:fill="FFFFFF"/>
          <w:lang w:val="zh-CN"/>
        </w:rPr>
      </w:pPr>
      <w:r>
        <w:rPr>
          <w:rFonts w:hint="eastAsia" w:cs="黑体" w:asciiTheme="minorEastAsia" w:hAnsiTheme="minorEastAsia"/>
          <w:b w:val="0"/>
          <w:bCs w:val="0"/>
          <w:color w:val="000000"/>
          <w:szCs w:val="21"/>
          <w:shd w:val="clear" w:color="auto" w:fill="FFFFFF"/>
          <w:lang w:val="zh-CN"/>
        </w:rPr>
        <w:t>本次规划编制内容具体包括：水资源量评价、水资源开发利用现状调查评价、节水规划、需水预测、供水预测、水资源配置、水资源保护，以及水资源利用与保护的管理建议等内容，要求符合《水资源规划规范》（GB/T51051-2014）技术要求，并通过采购方组织的专家评审验收。</w:t>
      </w:r>
    </w:p>
    <w:p>
      <w:pPr>
        <w:spacing w:line="360" w:lineRule="auto"/>
        <w:ind w:firstLine="422" w:firstLineChars="200"/>
        <w:contextualSpacing/>
        <w:rPr>
          <w:rFonts w:hint="eastAsia"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Cs w:val="21"/>
          <w:lang w:val="zh-CN"/>
        </w:rPr>
        <w:t>二、采购标的执行标准</w:t>
      </w:r>
    </w:p>
    <w:p>
      <w:pPr>
        <w:spacing w:line="360" w:lineRule="auto"/>
        <w:ind w:firstLine="420" w:firstLineChars="200"/>
        <w:contextualSpacing/>
        <w:rPr>
          <w:rFonts w:hint="eastAsia" w:cs="微软雅黑" w:asciiTheme="minorEastAsia" w:hAnsiTheme="minorEastAsia"/>
          <w:b w:val="0"/>
          <w:bCs/>
          <w:color w:val="auto"/>
          <w:szCs w:val="21"/>
        </w:rPr>
      </w:pPr>
      <w:r>
        <w:rPr>
          <w:rFonts w:hint="eastAsia" w:cs="微软雅黑" w:asciiTheme="minorEastAsia" w:hAnsiTheme="minorEastAsia"/>
          <w:b w:val="0"/>
          <w:bCs/>
          <w:color w:val="auto"/>
          <w:szCs w:val="21"/>
        </w:rPr>
        <w:t>（1）《水资源规划规范》（GB/T51051-2014）</w:t>
      </w:r>
    </w:p>
    <w:p>
      <w:pPr>
        <w:spacing w:line="360" w:lineRule="auto"/>
        <w:ind w:firstLine="420" w:firstLineChars="200"/>
        <w:contextualSpacing/>
        <w:rPr>
          <w:rFonts w:hint="eastAsia" w:cs="微软雅黑" w:asciiTheme="minorEastAsia" w:hAnsiTheme="minorEastAsia"/>
          <w:b w:val="0"/>
          <w:bCs/>
          <w:color w:val="auto"/>
          <w:szCs w:val="21"/>
        </w:rPr>
      </w:pPr>
      <w:r>
        <w:rPr>
          <w:rFonts w:hint="eastAsia" w:cs="微软雅黑" w:asciiTheme="minorEastAsia" w:hAnsiTheme="minorEastAsia"/>
          <w:b w:val="0"/>
          <w:bCs/>
          <w:color w:val="auto"/>
          <w:szCs w:val="21"/>
        </w:rPr>
        <w:t>（2）《全国水资源综合规划技术大纲》（2002年）</w:t>
      </w:r>
    </w:p>
    <w:p>
      <w:pPr>
        <w:spacing w:line="360" w:lineRule="auto"/>
        <w:ind w:firstLine="420" w:firstLineChars="200"/>
        <w:contextualSpacing/>
        <w:rPr>
          <w:rFonts w:hint="eastAsia" w:cs="微软雅黑" w:asciiTheme="minorEastAsia" w:hAnsiTheme="minorEastAsia"/>
          <w:b w:val="0"/>
          <w:bCs/>
          <w:color w:val="auto"/>
          <w:szCs w:val="21"/>
        </w:rPr>
      </w:pPr>
      <w:r>
        <w:rPr>
          <w:rFonts w:hint="eastAsia" w:cs="微软雅黑" w:asciiTheme="minorEastAsia" w:hAnsiTheme="minorEastAsia"/>
          <w:b w:val="0"/>
          <w:bCs/>
          <w:color w:val="auto"/>
          <w:szCs w:val="21"/>
        </w:rPr>
        <w:t>（3）《全国水资源综合规划技术细则（试行）》</w:t>
      </w:r>
    </w:p>
    <w:p>
      <w:pPr>
        <w:spacing w:line="360" w:lineRule="auto"/>
        <w:ind w:firstLine="420" w:firstLineChars="200"/>
        <w:contextualSpacing/>
        <w:rPr>
          <w:rFonts w:hint="eastAsia" w:cs="微软雅黑" w:asciiTheme="minorEastAsia" w:hAnsiTheme="minorEastAsia"/>
          <w:b w:val="0"/>
          <w:bCs/>
          <w:color w:val="auto"/>
          <w:szCs w:val="21"/>
        </w:rPr>
      </w:pPr>
      <w:r>
        <w:rPr>
          <w:rFonts w:hint="eastAsia" w:cs="微软雅黑" w:asciiTheme="minorEastAsia" w:hAnsiTheme="minorEastAsia"/>
          <w:b w:val="0"/>
          <w:bCs/>
          <w:color w:val="auto"/>
          <w:szCs w:val="21"/>
        </w:rPr>
        <w:t>（4）《河南省水资源调查评价技术细则》</w:t>
      </w:r>
    </w:p>
    <w:p>
      <w:pPr>
        <w:spacing w:line="360" w:lineRule="auto"/>
        <w:ind w:firstLine="420" w:firstLineChars="200"/>
        <w:contextualSpacing/>
        <w:rPr>
          <w:rFonts w:hint="eastAsia" w:cs="微软雅黑" w:asciiTheme="minorEastAsia" w:hAnsiTheme="minorEastAsia"/>
          <w:b w:val="0"/>
          <w:bCs/>
          <w:color w:val="auto"/>
          <w:szCs w:val="21"/>
        </w:rPr>
      </w:pPr>
      <w:r>
        <w:rPr>
          <w:rFonts w:hint="eastAsia" w:cs="微软雅黑" w:asciiTheme="minorEastAsia" w:hAnsiTheme="minorEastAsia"/>
          <w:b w:val="0"/>
          <w:bCs/>
          <w:color w:val="auto"/>
          <w:szCs w:val="21"/>
        </w:rPr>
        <w:t>（5）《水资源评价导则》（SL/T238-1999）</w:t>
      </w:r>
    </w:p>
    <w:p>
      <w:pPr>
        <w:spacing w:line="360" w:lineRule="auto"/>
        <w:ind w:firstLine="422" w:firstLineChars="200"/>
        <w:contextualSpacing/>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Cs w:val="21"/>
          <w:lang w:val="zh-CN"/>
        </w:rPr>
        <w:t>三、服务标准、期限、效率等要求</w:t>
      </w:r>
    </w:p>
    <w:p>
      <w:pPr>
        <w:widowControl/>
        <w:shd w:val="clear" w:color="auto" w:fill="FFFFFF"/>
        <w:spacing w:line="360" w:lineRule="auto"/>
        <w:ind w:firstLine="420" w:firstLineChars="200"/>
        <w:contextualSpacing/>
        <w:jc w:val="left"/>
        <w:rPr>
          <w:rFonts w:hint="eastAsia" w:cs="微软雅黑" w:asciiTheme="minorEastAsia" w:hAnsiTheme="minorEastAsia"/>
          <w:b w:val="0"/>
          <w:bCs/>
          <w:color w:val="auto"/>
          <w:szCs w:val="21"/>
        </w:rPr>
      </w:pPr>
      <w:r>
        <w:rPr>
          <w:rFonts w:hint="eastAsia" w:cs="微软雅黑" w:asciiTheme="minorEastAsia" w:hAnsiTheme="minorEastAsia"/>
          <w:b w:val="0"/>
          <w:bCs/>
          <w:color w:val="auto"/>
          <w:szCs w:val="21"/>
        </w:rPr>
        <w:t>服务标准：符合《水资源规划规范》（GB/T51051-2014）的技术要求，以及国家、省、市行政主管部门的质量要求，顺利通过专家评审验收。</w:t>
      </w:r>
    </w:p>
    <w:p>
      <w:pPr>
        <w:widowControl/>
        <w:shd w:val="clear" w:color="auto" w:fill="FFFFFF"/>
        <w:spacing w:line="360" w:lineRule="auto"/>
        <w:ind w:firstLine="420" w:firstLineChars="200"/>
        <w:contextualSpacing/>
        <w:jc w:val="left"/>
        <w:rPr>
          <w:rFonts w:hint="eastAsia" w:cs="微软雅黑" w:asciiTheme="minorEastAsia" w:hAnsiTheme="minorEastAsia"/>
          <w:b w:val="0"/>
          <w:bCs/>
          <w:color w:val="auto"/>
          <w:szCs w:val="21"/>
        </w:rPr>
      </w:pPr>
      <w:r>
        <w:rPr>
          <w:rFonts w:hint="eastAsia" w:cs="微软雅黑" w:asciiTheme="minorEastAsia" w:hAnsiTheme="minorEastAsia"/>
          <w:b w:val="0"/>
          <w:bCs/>
          <w:color w:val="auto"/>
          <w:szCs w:val="21"/>
        </w:rPr>
        <w:t>编制周期：合同签订后180日历天。</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Cs w:val="21"/>
          <w:lang w:val="zh-CN"/>
        </w:rPr>
        <w:t>四、采购标的的其他技术、服务等要求</w:t>
      </w:r>
    </w:p>
    <w:p>
      <w:pPr>
        <w:widowControl/>
        <w:shd w:val="clear" w:color="auto" w:fill="FFFFFF"/>
        <w:spacing w:line="360" w:lineRule="auto"/>
        <w:ind w:firstLine="420" w:firstLineChars="200"/>
        <w:contextualSpacing/>
        <w:jc w:val="left"/>
        <w:rPr>
          <w:rStyle w:val="46"/>
          <w:sz w:val="21"/>
          <w:szCs w:val="21"/>
          <w:highlight w:val="none"/>
          <w:lang w:val="zh-CN"/>
        </w:rPr>
      </w:pPr>
      <w:r>
        <w:rPr>
          <w:rFonts w:hint="eastAsia" w:cs="宋体" w:asciiTheme="minorEastAsia" w:hAnsiTheme="minorEastAsia"/>
          <w:color w:val="000000"/>
          <w:kern w:val="0"/>
          <w:sz w:val="21"/>
          <w:szCs w:val="21"/>
          <w:highlight w:val="none"/>
          <w:lang w:val="zh-CN"/>
        </w:rPr>
        <w:t>1.项目实施过程中，若国家或省的相关技术要求变化，项目承担人需无条件服从并整改；</w:t>
      </w:r>
    </w:p>
    <w:p>
      <w:pPr>
        <w:widowControl/>
        <w:shd w:val="clear" w:color="auto" w:fill="FFFFFF"/>
        <w:spacing w:line="360" w:lineRule="auto"/>
        <w:ind w:firstLine="420" w:firstLineChars="200"/>
        <w:contextualSpacing/>
        <w:jc w:val="left"/>
        <w:rPr>
          <w:rFonts w:cs="宋体" w:asciiTheme="minorEastAsia" w:hAnsiTheme="minorEastAsia"/>
          <w:color w:val="000000"/>
          <w:kern w:val="0"/>
          <w:sz w:val="21"/>
          <w:szCs w:val="21"/>
          <w:highlight w:val="none"/>
          <w:lang w:val="zh-CN"/>
        </w:rPr>
      </w:pPr>
      <w:r>
        <w:rPr>
          <w:rFonts w:hint="eastAsia" w:cs="宋体" w:asciiTheme="minorEastAsia" w:hAnsiTheme="minorEastAsia"/>
          <w:color w:val="000000"/>
          <w:kern w:val="0"/>
          <w:sz w:val="21"/>
          <w:szCs w:val="21"/>
          <w:highlight w:val="none"/>
          <w:lang w:val="zh-CN"/>
        </w:rPr>
        <w:t>2.自验收之日起，至少提供1年的免费服务期。在服务期内，技术服务单位免费为本项目提供售后保障及升级服务；</w:t>
      </w:r>
    </w:p>
    <w:p>
      <w:pPr>
        <w:widowControl/>
        <w:shd w:val="clear" w:color="auto" w:fill="FFFFFF"/>
        <w:spacing w:line="360" w:lineRule="auto"/>
        <w:ind w:firstLine="420" w:firstLineChars="200"/>
        <w:contextualSpacing/>
        <w:jc w:val="left"/>
        <w:rPr>
          <w:rFonts w:hint="eastAsia" w:cs="宋体" w:asciiTheme="minorEastAsia" w:hAnsiTheme="minorEastAsia"/>
          <w:color w:val="000000"/>
          <w:kern w:val="0"/>
          <w:sz w:val="21"/>
          <w:szCs w:val="21"/>
          <w:highlight w:val="none"/>
          <w:lang w:val="zh-CN"/>
        </w:rPr>
      </w:pPr>
      <w:r>
        <w:rPr>
          <w:rFonts w:hint="eastAsia" w:cs="宋体" w:asciiTheme="minorEastAsia" w:hAnsiTheme="minorEastAsia"/>
          <w:color w:val="000000"/>
          <w:kern w:val="0"/>
          <w:sz w:val="21"/>
          <w:szCs w:val="21"/>
          <w:highlight w:val="none"/>
          <w:lang w:val="zh-CN"/>
        </w:rPr>
        <w:t>3.中标单位需编制详细的培训计划，为采购人提供全面、优质的技术培训服务，保证采购人在相关业务中顺利使用各项成果。</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Cs w:val="21"/>
          <w:lang w:val="zh-CN"/>
        </w:rPr>
        <w:t>五、验收标准</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1、由</w:t>
      </w:r>
      <w:r>
        <w:rPr>
          <w:rFonts w:cs="宋体" w:asciiTheme="minorEastAsia" w:hAnsiTheme="minorEastAsia"/>
          <w:color w:val="000000"/>
          <w:kern w:val="0"/>
          <w:szCs w:val="21"/>
          <w:lang w:val="zh-CN"/>
        </w:rPr>
        <w:t>采购人成立验收小组,按照采购合同的约定对</w:t>
      </w:r>
      <w:r>
        <w:rPr>
          <w:rFonts w:hint="eastAsia" w:cs="宋体" w:asciiTheme="minorEastAsia" w:hAnsiTheme="minorEastAsia"/>
          <w:color w:val="000000"/>
          <w:kern w:val="0"/>
          <w:szCs w:val="21"/>
          <w:lang w:val="zh-CN"/>
        </w:rPr>
        <w:t>中标人</w:t>
      </w:r>
      <w:r>
        <w:rPr>
          <w:rFonts w:cs="宋体" w:asciiTheme="minorEastAsia" w:hAnsiTheme="minorEastAsia"/>
          <w:color w:val="000000"/>
          <w:kern w:val="0"/>
          <w:szCs w:val="21"/>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20" w:firstLineChars="200"/>
        <w:contextualSpacing/>
        <w:jc w:val="left"/>
        <w:rPr>
          <w:rFonts w:ascii="仿宋" w:hAnsi="仿宋" w:eastAsia="仿宋" w:cs="宋体"/>
          <w:color w:val="000000"/>
          <w:kern w:val="0"/>
          <w:szCs w:val="21"/>
          <w:lang w:val="zh-CN"/>
        </w:rPr>
      </w:pPr>
      <w:r>
        <w:rPr>
          <w:rFonts w:hint="eastAsia" w:cs="宋体" w:asciiTheme="minorEastAsia" w:hAnsiTheme="minorEastAsia"/>
          <w:color w:val="000000"/>
          <w:kern w:val="0"/>
          <w:szCs w:val="21"/>
          <w:lang w:val="zh-CN"/>
        </w:rPr>
        <w:t>2、按照招标文件要求、投标文件响应和承诺验收</w:t>
      </w:r>
      <w:r>
        <w:rPr>
          <w:rFonts w:hint="eastAsia" w:ascii="仿宋" w:hAnsi="仿宋" w:eastAsia="仿宋" w:cs="宋体"/>
          <w:color w:val="000000"/>
          <w:kern w:val="0"/>
          <w:szCs w:val="21"/>
          <w:lang w:val="zh-CN"/>
        </w:rPr>
        <w:t>；</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微软雅黑" w:asciiTheme="minorEastAsia" w:hAnsiTheme="minorEastAsia" w:eastAsiaTheme="minorEastAsia"/>
          <w:b/>
          <w:color w:val="FF0000"/>
          <w:sz w:val="21"/>
          <w:szCs w:val="21"/>
        </w:rPr>
        <w:t>★</w:t>
      </w:r>
      <w:r>
        <w:rPr>
          <w:rFonts w:hint="eastAsia" w:cs="黑体" w:asciiTheme="minorEastAsia" w:hAnsiTheme="minorEastAsia" w:eastAsiaTheme="minorEastAsia"/>
          <w:b/>
          <w:bCs/>
          <w:color w:val="000000"/>
          <w:sz w:val="21"/>
          <w:szCs w:val="21"/>
          <w:shd w:val="clear" w:color="auto" w:fill="FFFFFF"/>
          <w:lang w:eastAsia="zh-CN"/>
        </w:rPr>
        <w:t>六</w:t>
      </w:r>
      <w:r>
        <w:rPr>
          <w:rFonts w:hint="eastAsia" w:cs="黑体" w:asciiTheme="minorEastAsia" w:hAnsiTheme="minorEastAsia" w:eastAsiaTheme="minorEastAsia"/>
          <w:b/>
          <w:bCs/>
          <w:color w:val="000000"/>
          <w:sz w:val="21"/>
          <w:szCs w:val="21"/>
          <w:shd w:val="clear" w:color="auto" w:fill="FFFFFF"/>
        </w:rPr>
        <w:t>、本项目预算金额</w:t>
      </w:r>
      <w:r>
        <w:rPr>
          <w:rFonts w:hint="eastAsia" w:cs="黑体" w:asciiTheme="minorEastAsia" w:hAnsiTheme="minorEastAsia" w:eastAsiaTheme="minorEastAsia"/>
          <w:b/>
          <w:bCs/>
          <w:color w:val="000000"/>
          <w:sz w:val="21"/>
          <w:szCs w:val="21"/>
          <w:shd w:val="clear" w:color="auto" w:fill="FFFFFF"/>
          <w:lang w:val="en-US" w:eastAsia="zh-CN"/>
        </w:rPr>
        <w:t>900000</w:t>
      </w:r>
      <w:r>
        <w:rPr>
          <w:rFonts w:hint="eastAsia" w:cs="黑体" w:asciiTheme="minorEastAsia" w:hAnsiTheme="minorEastAsia" w:eastAsiaTheme="minorEastAsia"/>
          <w:b/>
          <w:bCs/>
          <w:color w:val="000000"/>
          <w:sz w:val="21"/>
          <w:szCs w:val="21"/>
          <w:shd w:val="clear" w:color="auto" w:fill="FFFFFF"/>
        </w:rPr>
        <w:t>元。最高限价</w:t>
      </w:r>
      <w:r>
        <w:rPr>
          <w:rFonts w:hint="eastAsia" w:cs="黑体" w:asciiTheme="minorEastAsia" w:hAnsiTheme="minorEastAsia" w:eastAsiaTheme="minorEastAsia"/>
          <w:b/>
          <w:bCs/>
          <w:color w:val="000000"/>
          <w:sz w:val="21"/>
          <w:szCs w:val="21"/>
          <w:shd w:val="clear" w:color="auto" w:fill="FFFFFF"/>
          <w:lang w:val="en-US" w:eastAsia="zh-CN"/>
        </w:rPr>
        <w:t>900000</w:t>
      </w:r>
      <w:r>
        <w:rPr>
          <w:rFonts w:hint="eastAsia" w:cs="宋体" w:asciiTheme="minorEastAsia" w:hAnsiTheme="minorEastAsia" w:eastAsiaTheme="minorEastAsia"/>
          <w:b/>
          <w:color w:val="000000"/>
          <w:kern w:val="0"/>
          <w:sz w:val="21"/>
          <w:szCs w:val="21"/>
          <w:lang w:val="zh-CN"/>
        </w:rPr>
        <w:t>元。超出最高限价的投标无效。</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Cs w:val="21"/>
          <w:lang w:val="zh-CN"/>
        </w:rPr>
        <w:t>七、资金支付</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1、支付方式：银行转账</w:t>
      </w:r>
    </w:p>
    <w:p>
      <w:pPr>
        <w:widowControl/>
        <w:shd w:val="clear" w:color="auto" w:fill="FFFFFF"/>
        <w:spacing w:line="360" w:lineRule="auto"/>
        <w:ind w:firstLine="420" w:firstLineChars="200"/>
        <w:contextualSpacing/>
        <w:jc w:val="left"/>
        <w:rPr>
          <w:rFonts w:cs="黑体" w:asciiTheme="minorEastAsia" w:hAnsiTheme="minorEastAsia"/>
          <w:color w:val="000000"/>
          <w:kern w:val="0"/>
          <w:szCs w:val="21"/>
          <w:lang w:val="zh-CN"/>
        </w:rPr>
      </w:pPr>
      <w:r>
        <w:rPr>
          <w:rFonts w:hint="eastAsia" w:cs="宋体" w:asciiTheme="minorEastAsia" w:hAnsiTheme="minorEastAsia"/>
          <w:color w:val="000000"/>
          <w:kern w:val="0"/>
          <w:szCs w:val="21"/>
          <w:lang w:val="zh-CN"/>
        </w:rPr>
        <w:t>2、支付时间及条件：合同签订后支付合同金额的60%，项目评审验收通过后付清余款。</w:t>
      </w: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color w:val="auto"/>
          <w:kern w:val="0"/>
          <w:szCs w:val="21"/>
        </w:rPr>
      </w:pPr>
      <w:r>
        <w:rPr>
          <w:rFonts w:hint="eastAsia" w:cs="微软雅黑"/>
          <w:b/>
          <w:color w:val="auto"/>
          <w:szCs w:val="21"/>
        </w:rPr>
        <w:t>招标文件中凡标有</w:t>
      </w:r>
      <w:r>
        <w:rPr>
          <w:rFonts w:hint="eastAsia" w:cs="微软雅黑" w:asciiTheme="minorEastAsia" w:hAnsiTheme="minorEastAsia"/>
          <w:b/>
          <w:color w:val="auto"/>
          <w:szCs w:val="21"/>
        </w:rPr>
        <w:t>★</w:t>
      </w:r>
      <w:r>
        <w:rPr>
          <w:rFonts w:hint="eastAsia" w:cs="微软雅黑"/>
          <w:b/>
          <w:color w:val="auto"/>
          <w:szCs w:val="21"/>
        </w:rPr>
        <w:t>条款均为实质性要求条款，投标文件须完全响应，未实质响应的，按照无效投标处理。</w:t>
      </w:r>
    </w:p>
    <w:tbl>
      <w:tblPr>
        <w:tblStyle w:val="25"/>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项目名称：许昌经济技术开发区水资源综合规划编制项目</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项目编号：JZFCG-G2018040号</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项目内容：许昌经济技术开发区水资源综合规划编制</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项目地址：许昌经济技术开发区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名称：许昌经济技术开发区法制与社会服务局</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地址：许昌经济技术开发区管理委员会（瑞祥路中段）</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联系人：孙广文           电话：0374-8581509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名称：河南鼎华招标代理有限公司</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地址：新许路中段建设银行三楼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联系人：冯建伟            电话：0374-5219779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Cs w:val="21"/>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szCs w:val="21"/>
              </w:rPr>
              <w:t>1、</w:t>
            </w:r>
            <w:r>
              <w:rPr>
                <w:rFonts w:hint="eastAsia" w:cs="宋体" w:asciiTheme="minorEastAsia" w:hAnsiTheme="minorEastAsia"/>
                <w:bCs/>
                <w:szCs w:val="21"/>
                <w:lang w:val="zh-CN"/>
              </w:rPr>
              <w:t>2016年度经审计的财务报告，包括资产负债表、利润表、现金流量表、所有者权益变动表及其附注；</w:t>
            </w:r>
            <w:r>
              <w:rPr>
                <w:rFonts w:hint="eastAsia" w:cs="宋体" w:asciiTheme="minorEastAsia" w:hAnsiTheme="minorEastAsia"/>
                <w:bCs/>
                <w:color w:val="FF0000"/>
                <w:szCs w:val="21"/>
                <w:lang w:val="zh-CN"/>
              </w:rPr>
              <w:t>或</w:t>
            </w:r>
            <w:r>
              <w:rPr>
                <w:rFonts w:hint="eastAsia" w:cs="宋体" w:asciiTheme="minorEastAsia" w:hAnsiTheme="minorEastAsia"/>
                <w:bCs/>
                <w:szCs w:val="21"/>
                <w:lang w:val="zh-CN"/>
              </w:rPr>
              <w:t>基本开户银行出具的资信证明；</w:t>
            </w:r>
            <w:r>
              <w:rPr>
                <w:rFonts w:hint="eastAsia" w:cs="宋体" w:asciiTheme="minorEastAsia" w:hAnsiTheme="minorEastAsia"/>
                <w:bCs/>
                <w:color w:val="FF0000"/>
                <w:szCs w:val="21"/>
                <w:lang w:val="zh-CN"/>
              </w:rPr>
              <w:t>或</w:t>
            </w:r>
            <w:r>
              <w:rPr>
                <w:rFonts w:hint="eastAsia" w:cs="宋体" w:asciiTheme="minorEastAsia" w:hAnsiTheme="minorEastAsia"/>
                <w:bCs/>
                <w:szCs w:val="21"/>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szCs w:val="21"/>
              </w:rPr>
              <w:t>2、</w:t>
            </w:r>
            <w:r>
              <w:rPr>
                <w:rFonts w:hint="eastAsia" w:cs="宋体" w:asciiTheme="minorEastAsia" w:hAnsiTheme="minorEastAsia"/>
                <w:bCs/>
                <w:szCs w:val="21"/>
                <w:lang w:val="zh-CN"/>
              </w:rPr>
              <w:t>银行出具的资信证明；</w:t>
            </w:r>
            <w:r>
              <w:rPr>
                <w:rFonts w:hint="eastAsia" w:cs="宋体" w:asciiTheme="minorEastAsia" w:hAnsiTheme="minorEastAsia"/>
                <w:bCs/>
                <w:color w:val="FF0000"/>
                <w:szCs w:val="21"/>
                <w:lang w:val="zh-CN"/>
              </w:rPr>
              <w:t>或</w:t>
            </w:r>
            <w:r>
              <w:rPr>
                <w:rFonts w:hint="eastAsia" w:cs="宋体" w:asciiTheme="minorEastAsia" w:hAnsiTheme="minorEastAsia"/>
                <w:bCs/>
                <w:szCs w:val="21"/>
                <w:lang w:val="zh-CN"/>
              </w:rPr>
              <w:t>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Cs w:val="21"/>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Cs w:val="21"/>
              </w:rPr>
            </w:pPr>
            <w:r>
              <w:rPr>
                <w:rFonts w:hint="eastAsia" w:cs="宋体" w:asciiTheme="minorEastAsia" w:hAnsiTheme="minorEastAsia"/>
                <w:bCs/>
                <w:szCs w:val="21"/>
                <w:lang w:val="zh-CN"/>
              </w:rPr>
              <w:t>相关设备的购置发票、专业技术人员职称证书、用工合同等或者</w:t>
            </w:r>
            <w:r>
              <w:rPr>
                <w:rFonts w:hint="eastAsia" w:cs="宋体" w:asciiTheme="minorEastAsia" w:hAnsiTheme="minorEastAsia"/>
                <w:kern w:val="0"/>
                <w:szCs w:val="21"/>
              </w:rPr>
              <w:t>附投标人相关承诺函或声明。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autoSpaceDE w:val="0"/>
              <w:autoSpaceDN w:val="0"/>
              <w:adjustRightInd w:val="0"/>
              <w:spacing w:line="360" w:lineRule="auto"/>
              <w:ind w:right="-11"/>
              <w:rPr>
                <w:rFonts w:cs="宋体" w:asciiTheme="minorEastAsia" w:hAnsiTheme="minorEastAsia"/>
                <w:b/>
                <w:kern w:val="0"/>
                <w:szCs w:val="21"/>
                <w:lang w:val="zh-CN"/>
              </w:rPr>
            </w:pPr>
            <w:r>
              <w:rPr>
                <w:rFonts w:hint="eastAsia" w:cs="宋体" w:asciiTheme="minorEastAsia" w:hAnsiTheme="minorEastAsia"/>
                <w:b/>
                <w:kern w:val="0"/>
                <w:szCs w:val="21"/>
                <w:lang w:val="zh-CN"/>
              </w:rPr>
              <w:t>七、同时具有水文、水资源调查评价和建设项目水资源论证乙级及以上资质（含乙级）；</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八、</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宋体" w:asciiTheme="minorEastAsia" w:hAnsiTheme="minorEastAsia"/>
                <w:kern w:val="0"/>
                <w:szCs w:val="21"/>
              </w:rPr>
              <w:t>（联合体形式投标的，联合体成员存在不良信用记录，视同联合体存在不良信用记录）。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）和“中国政府采购网”（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900000</w:t>
            </w:r>
            <w:r>
              <w:rPr>
                <w:rFonts w:hint="eastAsia" w:cs="宋体" w:asciiTheme="minorEastAsia" w:hAnsiTheme="minorEastAsia"/>
                <w:bCs/>
                <w:szCs w:val="21"/>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bookmarkStart w:id="9" w:name="_GoBack" w:colFirst="2" w:colLast="2"/>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en-US" w:eastAsia="zh-CN"/>
              </w:rPr>
              <w:t>2018</w:t>
            </w:r>
            <w:r>
              <w:rPr>
                <w:rFonts w:hint="eastAsia" w:cs="宋体" w:asciiTheme="minorEastAsia" w:hAnsiTheme="minorEastAsia"/>
                <w:bCs/>
                <w:color w:val="auto"/>
                <w:szCs w:val="21"/>
                <w:lang w:val="zh-CN"/>
              </w:rPr>
              <w:t>年</w:t>
            </w:r>
            <w:r>
              <w:rPr>
                <w:rFonts w:hint="eastAsia" w:cs="宋体" w:asciiTheme="minorEastAsia" w:hAnsiTheme="minorEastAsia"/>
                <w:bCs/>
                <w:color w:val="auto"/>
                <w:szCs w:val="21"/>
                <w:lang w:val="en-US" w:eastAsia="zh-CN"/>
              </w:rPr>
              <w:t>7</w:t>
            </w:r>
            <w:r>
              <w:rPr>
                <w:rFonts w:hint="eastAsia" w:cs="宋体" w:asciiTheme="minorEastAsia" w:hAnsiTheme="minorEastAsia"/>
                <w:bCs/>
                <w:color w:val="auto"/>
                <w:szCs w:val="21"/>
                <w:lang w:val="zh-CN"/>
              </w:rPr>
              <w:t>月</w:t>
            </w:r>
            <w:r>
              <w:rPr>
                <w:rFonts w:hint="eastAsia" w:cs="宋体" w:asciiTheme="minorEastAsia" w:hAnsiTheme="minorEastAsia"/>
                <w:bCs/>
                <w:color w:val="auto"/>
                <w:szCs w:val="21"/>
                <w:lang w:val="en-US" w:eastAsia="zh-CN"/>
              </w:rPr>
              <w:t>17</w:t>
            </w:r>
            <w:r>
              <w:rPr>
                <w:rFonts w:hint="eastAsia" w:cs="宋体" w:asciiTheme="minorEastAsia" w:hAnsiTheme="minorEastAsia"/>
                <w:bCs/>
                <w:color w:val="auto"/>
                <w:szCs w:val="21"/>
                <w:lang w:val="zh-CN"/>
              </w:rPr>
              <w:t>日</w:t>
            </w:r>
            <w:r>
              <w:rPr>
                <w:rFonts w:hint="eastAsia" w:cs="宋体" w:asciiTheme="minorEastAsia" w:hAnsiTheme="minorEastAsia"/>
                <w:bCs/>
                <w:color w:val="auto"/>
                <w:szCs w:val="21"/>
                <w:lang w:val="en-US" w:eastAsia="zh-CN"/>
              </w:rPr>
              <w:t>9</w:t>
            </w:r>
            <w:r>
              <w:rPr>
                <w:rFonts w:hint="eastAsia" w:cs="宋体" w:asciiTheme="minorEastAsia" w:hAnsiTheme="minorEastAsia"/>
                <w:bCs/>
                <w:color w:val="auto"/>
                <w:szCs w:val="21"/>
                <w:lang w:val="zh-CN"/>
              </w:rPr>
              <w:t>时</w:t>
            </w:r>
            <w:r>
              <w:rPr>
                <w:rFonts w:hint="eastAsia" w:cs="宋体" w:asciiTheme="minorEastAsia" w:hAnsiTheme="minorEastAsia"/>
                <w:bCs/>
                <w:color w:val="auto"/>
                <w:szCs w:val="21"/>
                <w:lang w:val="en-US" w:eastAsia="zh-CN"/>
              </w:rPr>
              <w:t>30</w:t>
            </w:r>
            <w:r>
              <w:rPr>
                <w:rFonts w:hint="eastAsia" w:cs="宋体" w:asciiTheme="minorEastAsia" w:hAnsiTheme="minorEastAsia"/>
                <w:bCs/>
                <w:color w:val="auto"/>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许昌市公共资源交易中心三楼开标</w:t>
            </w:r>
            <w:r>
              <w:rPr>
                <w:rFonts w:hint="eastAsia" w:cs="宋体" w:asciiTheme="minorEastAsia" w:hAnsiTheme="minorEastAsia"/>
                <w:bCs/>
                <w:color w:val="auto"/>
                <w:szCs w:val="21"/>
                <w:u w:val="single"/>
                <w:lang w:val="zh-CN"/>
              </w:rPr>
              <w:t>三</w:t>
            </w:r>
            <w:r>
              <w:rPr>
                <w:rFonts w:hint="eastAsia" w:cs="宋体" w:asciiTheme="minorEastAsia" w:hAnsiTheme="minorEastAsia"/>
                <w:bCs/>
                <w:color w:val="auto"/>
                <w:szCs w:val="21"/>
                <w:lang w:val="zh-CN"/>
              </w:rPr>
              <w:t>室（</w:t>
            </w:r>
            <w:r>
              <w:rPr>
                <w:rFonts w:cs="宋体" w:asciiTheme="minorEastAsia" w:hAnsiTheme="minorEastAsia"/>
                <w:bCs/>
                <w:color w:val="auto"/>
                <w:szCs w:val="21"/>
                <w:lang w:val="zh-CN"/>
              </w:rPr>
              <w:t>龙兴路与竹林路交汇处</w:t>
            </w:r>
            <w:r>
              <w:rPr>
                <w:rFonts w:hint="eastAsia" w:cs="宋体" w:asciiTheme="minorEastAsia" w:hAnsiTheme="minorEastAsia"/>
                <w:bCs/>
                <w:color w:val="auto"/>
                <w:szCs w:val="21"/>
                <w:lang w:val="zh-CN"/>
              </w:rPr>
              <w:t>公共资源大厦）</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金额：壹万捌仟元（¥</w:t>
            </w:r>
            <w:r>
              <w:rPr>
                <w:rFonts w:hint="eastAsia" w:cs="仿宋_GB2312" w:asciiTheme="minorEastAsia" w:hAnsiTheme="minorEastAsia"/>
                <w:szCs w:val="21"/>
                <w:lang w:val="en-US" w:eastAsia="zh-CN"/>
              </w:rPr>
              <w:t>18000</w:t>
            </w:r>
            <w:r>
              <w:rPr>
                <w:rFonts w:hint="eastAsia" w:cs="仿宋_GB2312" w:asciiTheme="minorEastAsia" w:hAnsiTheme="minorEastAsia"/>
                <w:szCs w:val="21"/>
                <w:lang w:val="zh-CN"/>
              </w:rPr>
              <w:t>）</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三、投标保证金缴纳方式：</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Cs w:val="21"/>
                <w:lang w:val="zh-CN"/>
              </w:rPr>
              <w:t>http://221.14.6.70:8088/ggzy</w:t>
            </w:r>
            <w:r>
              <w:rPr>
                <w:rFonts w:hint="eastAsia" w:cs="仿宋_GB2312" w:asciiTheme="minorEastAsia" w:hAnsiTheme="minorEastAsia"/>
                <w:szCs w:val="21"/>
                <w:lang w:val="zh-CN"/>
              </w:rPr>
              <w:fldChar w:fldCharType="end"/>
            </w:r>
            <w:r>
              <w:rPr>
                <w:rFonts w:hint="eastAsia" w:cs="仿宋_GB2312" w:asciiTheme="minorEastAsia" w:hAnsiTheme="minorEastAsia"/>
                <w:szCs w:val="21"/>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u w:val="single"/>
                <w:lang w:eastAsia="zh-CN"/>
              </w:rPr>
              <w:t>一</w:t>
            </w:r>
            <w:r>
              <w:rPr>
                <w:rFonts w:hint="eastAsia" w:cs="仿宋_GB2312" w:asciiTheme="minorEastAsia" w:hAnsiTheme="minorEastAsia"/>
                <w:szCs w:val="21"/>
              </w:rPr>
              <w:t>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要求提交。履约保证金的数额为合同金额的</w:t>
            </w:r>
            <w:r>
              <w:rPr>
                <w:rFonts w:hint="eastAsia" w:cs="宋体" w:asciiTheme="minorEastAsia" w:hAnsiTheme="minorEastAsia"/>
                <w:color w:val="333333"/>
                <w:szCs w:val="21"/>
                <w:u w:val="single"/>
              </w:rPr>
              <w:t xml:space="preserve">   </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不收取</w:t>
            </w:r>
          </w:p>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收取中标人。</w:t>
            </w:r>
            <w:r>
              <w:rPr>
                <w:rFonts w:hint="eastAsia" w:cs="宋体" w:asciiTheme="minorEastAsia" w:hAnsiTheme="minorEastAsia"/>
                <w:b/>
                <w:bCs/>
                <w:szCs w:val="21"/>
                <w:lang w:val="zh-CN"/>
              </w:rPr>
              <w:t>□</w:t>
            </w:r>
            <w:r>
              <w:rPr>
                <w:rFonts w:hint="eastAsia" w:cs="宋体" w:asciiTheme="minorEastAsia" w:hAnsiTheme="minorEastAsia"/>
                <w:bCs/>
                <w:szCs w:val="21"/>
                <w:lang w:val="zh-CN"/>
              </w:rPr>
              <w:t>收取采购人。</w:t>
            </w:r>
            <w:r>
              <w:rPr>
                <w:rFonts w:hint="eastAsia" w:cs="宋体" w:asciiTheme="minorEastAsia" w:hAnsiTheme="minorEastAsia"/>
                <w:color w:val="333333"/>
                <w:szCs w:val="21"/>
              </w:rPr>
              <w:t>收取标准:中标合同金额的</w:t>
            </w:r>
            <w:r>
              <w:rPr>
                <w:rFonts w:hint="eastAsia" w:cs="宋体" w:asciiTheme="minorEastAsia" w:hAnsiTheme="minorEastAsia"/>
                <w:color w:val="333333"/>
                <w:szCs w:val="21"/>
                <w:u w:val="single"/>
                <w:lang w:val="en-US" w:eastAsia="zh-CN"/>
              </w:rPr>
              <w:t>1.5</w:t>
            </w:r>
            <w:r>
              <w:rPr>
                <w:rFonts w:hint="eastAsia" w:cs="宋体" w:asciiTheme="minorEastAsia" w:hAnsiTheme="minorEastAsia"/>
                <w:color w:val="333333"/>
                <w:szCs w:val="21"/>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cs="宋体" w:asciiTheme="minorEastAsia" w:hAnsiTheme="minorEastAsia"/>
                <w:bCs/>
                <w:szCs w:val="21"/>
                <w:lang w:val="en-US" w:eastAsia="zh-CN"/>
              </w:rPr>
              <w:t>614955098@qq.com</w:t>
            </w:r>
            <w:r>
              <w:rPr>
                <w:rFonts w:hint="eastAsia" w:cs="宋体" w:asciiTheme="minorEastAsia" w:hAnsiTheme="minorEastAsia"/>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7"/>
        <w:autoSpaceDE w:val="0"/>
        <w:autoSpaceDN w:val="0"/>
        <w:spacing w:line="360" w:lineRule="auto"/>
        <w:ind w:left="780"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“节能产品”或者“环保产品”：财政部发布的《节能产品政府采购清单》或者《环境标志产品政府采购清单》的产品。</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pStyle w:val="37"/>
        <w:numPr>
          <w:ilvl w:val="1"/>
          <w:numId w:val="8"/>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招标文件列明不允许或未列明允许进口产品参加投标的，均视为拒绝进口产品参加投标。</w:t>
      </w:r>
    </w:p>
    <w:p>
      <w:pPr>
        <w:pStyle w:val="37"/>
        <w:numPr>
          <w:ilvl w:val="1"/>
          <w:numId w:val="9"/>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招标文件中凡标有“★”的条款均系实质性要求条款。</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政府采购严重违法失信行为记录名单（联合体形式投标的，联合体成员存在不良信用记录，视同联合体存在不良信用记录）。</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单位负责人为同一人或者存在直接控股、管理关系的不同供应商，不得参加同一合同项下的政府采购活动；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除单一来源采购项目外，为采购项目提供整体设计、规范编制或者项目管理、监理、检测等服务的供应商，不得再参加该采购项目的其他采购活动。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投标人所投产品如被列入财政部与国家主管部门颁发的节能产品目录或环境标志产品目录，应提供相关证明，在评标时予以优先采购。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收取标准:按照中标合同金额的比例收取。详见投标人须知前附表。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收取方式：一次性以银行划账、电汇、汇票或支票的形式支付。</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7"/>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投标有效期内投标人撤销投标文件的，招标人将不退还投标保证金。</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V1.0”，按招标文件要求根据所投标段制作电子投标文件。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7"/>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（1）投标人应按“投标人须知前附表”规定时间及金额提交投标保证金，并作为其投标的一部分。未按要求提交投标保证金的投标文件为无效投标。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（2）投标保证金用于避免和减少本次招标由于投标人的行为而给采购人带来的损失。</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（5）投标保证金缴纳方式：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投标人网上下载招标文件后，登录</w:t>
      </w:r>
      <w:r>
        <w:fldChar w:fldCharType="begin"/>
      </w:r>
      <w:r>
        <w:instrText xml:space="preserve">HYPERLINK "http://221.14.6.70:8088/ggzy"</w:instrText>
      </w:r>
      <w:r>
        <w:fldChar w:fldCharType="separate"/>
      </w:r>
      <w:r>
        <w:rPr>
          <w:rFonts w:hint="eastAsia" w:cs="宋体" w:asciiTheme="minorEastAsia" w:hAnsiTheme="minorEastAsia"/>
          <w:kern w:val="0"/>
          <w:szCs w:val="21"/>
        </w:rPr>
        <w:t>http://221.14.6.70:8088/ggzy</w:t>
      </w:r>
      <w:r>
        <w:fldChar w:fldCharType="end"/>
      </w:r>
      <w:r>
        <w:rPr>
          <w:rFonts w:hint="eastAsia" w:cs="宋体" w:asciiTheme="minorEastAsia" w:hAnsiTheme="minorEastAsia"/>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成功缴纳后重新登录前述系统，依次点击“会员向导”→“参与投标”→“保证金绑定”→“绑定”进行投标保证金绑定。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cs="仿宋_GB2312" w:asciiTheme="minorEastAsia" w:hAnsiTheme="minorEastAsia"/>
          <w:szCs w:val="21"/>
          <w:lang w:val="zh-CN"/>
        </w:rPr>
      </w:pPr>
      <w:r>
        <w:rPr>
          <w:rFonts w:hint="eastAsia" w:cs="宋体" w:asciiTheme="minorEastAsia" w:hAnsiTheme="minorEastAsia"/>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每个投标人每个项目每个标段只有唯一缴纳账号，切勿重复缴纳或错误缴纳。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投标人所提交的投标保证金仅限当次投标项目（标段）有效，不得重复替代使用。一个招标项目有多个标段或者有多个项目同时招标的，投标人必须按项目、标段分别提交投标保证金。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 不同投标人的投标保证金不得从同一单位或者个人的账户转出。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 未按上述规定操作引起的无效投标，由投标人自行负责。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（10） 汇款凭证无需备注项目编号和项目名称。</w:t>
      </w:r>
    </w:p>
    <w:p>
      <w:pPr>
        <w:pStyle w:val="37"/>
        <w:numPr>
          <w:ilvl w:val="1"/>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退还投标保证金时，区别中标与否，按不同时序由银行按来款途径退还原账户。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自中标通知书发出之日起</w:t>
      </w:r>
      <w:r>
        <w:rPr>
          <w:rFonts w:cs="宋体" w:asciiTheme="minorEastAsia" w:hAnsiTheme="minorEastAsia"/>
          <w:kern w:val="0"/>
          <w:szCs w:val="21"/>
        </w:rPr>
        <w:t>5</w:t>
      </w:r>
      <w:r>
        <w:rPr>
          <w:rFonts w:hint="eastAsia" w:cs="宋体" w:asciiTheme="minorEastAsia" w:hAnsiTheme="minorEastAsia"/>
          <w:kern w:val="0"/>
          <w:szCs w:val="21"/>
        </w:rPr>
        <w:t>个工作日内退还未中标人的投标保证金。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自采购合同签订之日起</w:t>
      </w:r>
      <w:r>
        <w:rPr>
          <w:rFonts w:cs="宋体" w:asciiTheme="minorEastAsia" w:hAnsiTheme="minorEastAsia"/>
          <w:kern w:val="0"/>
          <w:szCs w:val="21"/>
        </w:rPr>
        <w:t>5</w:t>
      </w:r>
      <w:r>
        <w:rPr>
          <w:rFonts w:hint="eastAsia" w:cs="宋体" w:asciiTheme="minorEastAsia" w:hAnsiTheme="minorEastAsia"/>
          <w:kern w:val="0"/>
          <w:szCs w:val="21"/>
        </w:rPr>
        <w:t>个工作日内退还中标人的投标保证金。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w:t>
      </w:r>
      <w:r>
        <w:rPr>
          <w:rFonts w:hint="eastAsia" w:cs="宋体" w:asciiTheme="minorEastAsia" w:hAnsiTheme="minorEastAsia"/>
          <w:kern w:val="0"/>
          <w:szCs w:val="21"/>
          <w:lang w:eastAsia="zh-CN"/>
        </w:rPr>
        <w:t>一</w:t>
      </w:r>
      <w:r>
        <w:rPr>
          <w:rFonts w:hint="eastAsia" w:cs="宋体" w:asciiTheme="minorEastAsia" w:hAnsiTheme="minorEastAsia"/>
          <w:kern w:val="0"/>
          <w:szCs w:val="21"/>
        </w:rPr>
        <w:t>楼交易见证部办理退款手续（0374-2968027）。</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因投标人自身原因无法及时退还投标保证金，滞留三年以上的，投标保证金上缴财政。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有下列情形之一的，投标保证金不予退还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投标有效期内投标人撤销投标文件的；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投标人在投标文件中提供虚假材料的；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除因不可抗力或招标文件认可的情形以外，中标人不与采购人签订合同的；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投标人与采购人、其他投标人或者采购代理机构恶意串通的；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e. 法律法规及招标文件规定的其他情形。</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7"/>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投标人不得在投标有效期内撤销投标文件，否则招标人将不退还其投标保证金。</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（1）电子投标文件的解密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电子投标文件解密异常情况处理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因电子交易系统异常无法解密电子投标文件的，使用纸质投标文件以人工方式进行。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（1）采购预算金额在1000万元以上；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（2）技术复杂；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（3）社会影响较大。</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（3）与供应商有其他可能影响政府采购活动公平、公正进行的关系。</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7"/>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（1）未按照招标文件的规定提交投标保证金的；</w:t>
      </w:r>
      <w:r>
        <w:rPr>
          <w:rFonts w:cs="宋体" w:asciiTheme="minorEastAsia" w:hAnsiTheme="minorEastAsia"/>
          <w:kern w:val="0"/>
          <w:szCs w:val="21"/>
        </w:rPr>
        <w:t xml:space="preserve">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不同投标人的投标文件相互混装；</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不同投标人的投标保证金从同一单位或者个人的账户转出。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p>
    <w:p>
      <w:pPr>
        <w:pStyle w:val="37"/>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7"/>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最低评标价法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综合评分法，是指投标文件满足招标文件全部实质性要求，且按照评审因素的量化指标评审得分最高的投标人为中标候选人的评标方法。</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因落实政府采购政策进行价格调整的，以调整后的价格计算评标基准价和投标报价。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7"/>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7"/>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7"/>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7"/>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7"/>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供应商认为采购文件、采购过程和中标结果使自己的权益受到损害的，可以依法向采购人、采购代理机构提出质疑。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通过《全国公共资源交易平台（河南省·许昌市）》一次性提出，如未提出视为全面接受；</w:t>
      </w:r>
      <w:r>
        <w:rPr>
          <w:rFonts w:hint="eastAsia" w:cs="宋体" w:asciiTheme="minorEastAsia" w:hAnsiTheme="minorEastAsia"/>
          <w:kern w:val="0"/>
          <w:szCs w:val="21"/>
        </w:rPr>
        <w:br w:type="textWrapping"/>
      </w:r>
      <w:r>
        <w:rPr>
          <w:rFonts w:hint="eastAsia" w:cs="宋体" w:asciiTheme="minorEastAsia" w:hAnsiTheme="minorEastAsia"/>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kern w:val="0"/>
          <w:szCs w:val="21"/>
        </w:rPr>
        <w:br w:type="textWrapping"/>
      </w:r>
      <w:r>
        <w:rPr>
          <w:rFonts w:hint="eastAsia" w:cs="宋体" w:asciiTheme="minorEastAsia" w:hAnsiTheme="minorEastAsia"/>
          <w:kern w:val="0"/>
          <w:szCs w:val="21"/>
        </w:rPr>
        <w:t>（3） 对中标结果提出质疑的，为中标结果公告期限届满之日起七个工作日内，以书面形式向采购人和采购代理机构一次性提出。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sz w:val="21"/>
          <w:szCs w:val="21"/>
        </w:rPr>
        <w:t>并加盖投标人公章的原件扫描件（或图片）</w:t>
      </w:r>
      <w:r>
        <w:rPr>
          <w:rFonts w:hint="eastAsia" w:cs="仿宋_GB2312" w:asciiTheme="minorEastAsia" w:hAnsiTheme="minorEastAsia" w:eastAsiaTheme="minorEastAsia"/>
          <w:sz w:val="21"/>
          <w:szCs w:val="21"/>
          <w:lang w:val="zh-CN"/>
        </w:rPr>
        <w:t>。投标人所投其他产品若属于“节能产品政府采购清单”优先采购产品，在同等条件下，优先采购清单中的产品。</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3、对于同时列入环保清单和节能产品政府采购清单的产品，应当优先于只列入其中一个清单的产品。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4、上述“节能产品政府采购清单”、“环境标志产品政府采购清单”，在采购公告发布前已经过期的以及尚在公示期的均不得作为评标时的依据。</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二、促进中小企业发展</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0" w:name="OLE_LINK6"/>
      <w:r>
        <w:rPr>
          <w:rFonts w:hint="eastAsia" w:cs="仿宋_GB2312" w:asciiTheme="minorEastAsia" w:hAnsiTheme="minorEastAsia"/>
          <w:szCs w:val="21"/>
          <w:lang w:val="zh-CN"/>
        </w:rPr>
        <w:t>财库[2014]68号</w:t>
      </w:r>
      <w:bookmarkEnd w:id="0"/>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cs="仿宋_GB2312" w:asciiTheme="minorEastAsia" w:hAnsiTheme="minorEastAsia" w:eastAsiaTheme="minorEastAsia"/>
          <w:b/>
          <w:sz w:val="21"/>
          <w:szCs w:val="21"/>
          <w:lang w:val="zh-CN"/>
        </w:rPr>
        <w:t>一、资格审查</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（一）</w:t>
      </w:r>
      <w:r>
        <w:rPr>
          <w:rFonts w:cs="仿宋_GB2312" w:asciiTheme="minorEastAsia" w:hAnsiTheme="minorEastAsia" w:eastAsiaTheme="minorEastAsia"/>
          <w:sz w:val="21"/>
          <w:szCs w:val="21"/>
          <w:lang w:val="zh-CN"/>
        </w:rPr>
        <w:t>开标结束后，</w:t>
      </w:r>
      <w:r>
        <w:rPr>
          <w:rFonts w:hint="eastAsia" w:cs="仿宋_GB2312" w:asciiTheme="minorEastAsia" w:hAnsiTheme="minorEastAsia" w:eastAsiaTheme="minorEastAsia"/>
          <w:sz w:val="21"/>
          <w:szCs w:val="21"/>
          <w:lang w:val="zh-CN"/>
        </w:rPr>
        <w:t>采购人依法对投标人资格进行审查</w:t>
      </w:r>
      <w:r>
        <w:rPr>
          <w:rFonts w:cs="仿宋_GB2312" w:asciiTheme="minorEastAsia" w:hAnsiTheme="minorEastAsia" w:eastAsiaTheme="minorEastAsia"/>
          <w:sz w:val="21"/>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5"/>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Cs w:val="21"/>
              </w:rPr>
            </w:pPr>
            <w:r>
              <w:rPr>
                <w:rFonts w:hint="eastAsia" w:asciiTheme="minorEastAsia" w:hAnsiTheme="minorEastAsia"/>
                <w:b/>
                <w:szCs w:val="21"/>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Cs w:val="21"/>
              </w:rPr>
            </w:pPr>
            <w:r>
              <w:rPr>
                <w:rFonts w:hint="eastAsia" w:asciiTheme="minorEastAsia" w:hAnsiTheme="minorEastAsia"/>
                <w:b/>
                <w:bCs/>
                <w:szCs w:val="21"/>
              </w:rPr>
              <w:t>2、法人或者其他组织的营业执照等证明文件，自然人的身份证明</w:t>
            </w:r>
          </w:p>
          <w:p>
            <w:pPr>
              <w:spacing w:line="360" w:lineRule="auto"/>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rPr>
                <w:rFonts w:asciiTheme="minorEastAsia" w:hAnsiTheme="minorEastAsia"/>
                <w:bCs/>
                <w:szCs w:val="21"/>
              </w:rPr>
            </w:pPr>
            <w:r>
              <w:rPr>
                <w:rFonts w:hint="eastAsia" w:asciiTheme="minorEastAsia" w:hAnsiTheme="minorEastAsia"/>
                <w:bCs/>
                <w:szCs w:val="21"/>
              </w:rPr>
              <w:t>（3）执业许可证。（非专业服务机构投标提供）</w:t>
            </w:r>
          </w:p>
          <w:p>
            <w:pPr>
              <w:spacing w:line="360" w:lineRule="auto"/>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rPr>
                <w:rFonts w:asciiTheme="minorEastAsia" w:hAnsiTheme="minorEastAsia"/>
                <w:b/>
                <w:szCs w:val="21"/>
              </w:rPr>
            </w:pPr>
            <w:r>
              <w:rPr>
                <w:rFonts w:hint="eastAsia" w:asciiTheme="minorEastAsia" w:hAnsiTheme="minorEastAsia"/>
                <w:bCs/>
                <w:szCs w:val="21"/>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Cs w:val="21"/>
              </w:rPr>
            </w:pPr>
            <w:r>
              <w:rPr>
                <w:rFonts w:hint="eastAsia" w:asciiTheme="minorEastAsia" w:hAnsiTheme="minorEastAsia"/>
                <w:b/>
                <w:bCs/>
                <w:szCs w:val="21"/>
              </w:rPr>
              <w:t>3、财务状况报告相关材料</w:t>
            </w:r>
          </w:p>
          <w:p>
            <w:pPr>
              <w:spacing w:line="360" w:lineRule="auto"/>
              <w:rPr>
                <w:rFonts w:asciiTheme="minorEastAsia" w:hAnsiTheme="minorEastAsia"/>
                <w:bCs/>
                <w:szCs w:val="21"/>
              </w:rPr>
            </w:pPr>
            <w:r>
              <w:rPr>
                <w:rFonts w:hint="eastAsia" w:asciiTheme="minorEastAsia" w:hAnsiTheme="minorEastAsia"/>
                <w:bCs/>
                <w:szCs w:val="21"/>
              </w:rPr>
              <w:t>（1）2016年度经审计的财务报告，包括资产负债表、利润表、现金流量表、所有者权益变动表及其附注；</w:t>
            </w:r>
            <w:r>
              <w:rPr>
                <w:rFonts w:hint="eastAsia" w:asciiTheme="minorEastAsia" w:hAnsiTheme="minorEastAsia"/>
                <w:bCs/>
                <w:color w:val="FF0000"/>
                <w:szCs w:val="21"/>
              </w:rPr>
              <w:t>或</w:t>
            </w:r>
            <w:r>
              <w:rPr>
                <w:rFonts w:hint="eastAsia" w:asciiTheme="minorEastAsia" w:hAnsiTheme="minorEastAsia"/>
                <w:bCs/>
                <w:szCs w:val="21"/>
              </w:rPr>
              <w:t>基本开户银行出具的资信证明；</w:t>
            </w:r>
            <w:r>
              <w:rPr>
                <w:rFonts w:hint="eastAsia" w:asciiTheme="minorEastAsia" w:hAnsiTheme="minorEastAsia"/>
                <w:bCs/>
                <w:color w:val="FF0000"/>
                <w:szCs w:val="21"/>
              </w:rPr>
              <w:t>或</w:t>
            </w:r>
            <w:r>
              <w:rPr>
                <w:rFonts w:hint="eastAsia" w:asciiTheme="minorEastAsia" w:hAnsiTheme="minorEastAsia"/>
                <w:bCs/>
                <w:szCs w:val="21"/>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Cs w:val="21"/>
              </w:rPr>
            </w:pPr>
            <w:r>
              <w:rPr>
                <w:rFonts w:hint="eastAsia" w:asciiTheme="minorEastAsia" w:hAnsiTheme="minorEastAsia"/>
                <w:bCs/>
                <w:szCs w:val="21"/>
              </w:rPr>
              <w:t>（2）银行出具的资信证明；</w:t>
            </w:r>
            <w:r>
              <w:rPr>
                <w:rFonts w:hint="eastAsia" w:asciiTheme="minorEastAsia" w:hAnsiTheme="minorEastAsia"/>
                <w:bCs/>
                <w:color w:val="FF0000"/>
                <w:szCs w:val="21"/>
              </w:rPr>
              <w:t>或</w:t>
            </w:r>
            <w:r>
              <w:rPr>
                <w:rFonts w:hint="eastAsia" w:asciiTheme="minorEastAsia" w:hAnsiTheme="minorEastAsia"/>
                <w:bCs/>
                <w:szCs w:val="21"/>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Cs w:val="21"/>
              </w:rPr>
            </w:pPr>
            <w:r>
              <w:rPr>
                <w:rFonts w:hint="eastAsia" w:asciiTheme="minorEastAsia" w:hAnsiTheme="minorEastAsia"/>
                <w:b/>
                <w:bCs/>
                <w:szCs w:val="21"/>
              </w:rPr>
              <w:t>4、依法缴纳税收相关材料</w:t>
            </w:r>
          </w:p>
          <w:p>
            <w:pPr>
              <w:spacing w:line="360" w:lineRule="auto"/>
              <w:rPr>
                <w:rFonts w:asciiTheme="minorEastAsia" w:hAnsiTheme="minorEastAsia"/>
                <w:b/>
                <w:szCs w:val="21"/>
              </w:rPr>
            </w:pPr>
            <w:r>
              <w:rPr>
                <w:rFonts w:hint="eastAsia" w:asciiTheme="minorEastAsia" w:hAnsiTheme="minorEastAsia"/>
                <w:bCs/>
                <w:szCs w:val="21"/>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Cs w:val="21"/>
              </w:rPr>
            </w:pPr>
            <w:r>
              <w:rPr>
                <w:rFonts w:hint="eastAsia" w:asciiTheme="minorEastAsia" w:hAnsiTheme="minorEastAsia"/>
                <w:b/>
                <w:bCs/>
                <w:szCs w:val="21"/>
              </w:rPr>
              <w:t>5、依法缴纳社会保障资金的证明材料</w:t>
            </w:r>
          </w:p>
          <w:p>
            <w:pPr>
              <w:spacing w:line="360" w:lineRule="auto"/>
              <w:rPr>
                <w:rFonts w:asciiTheme="minorEastAsia" w:hAnsiTheme="minorEastAsia"/>
                <w:bCs/>
                <w:szCs w:val="21"/>
              </w:rPr>
            </w:pP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Cs w:val="21"/>
              </w:rPr>
            </w:pPr>
            <w:r>
              <w:rPr>
                <w:rFonts w:hint="eastAsia" w:asciiTheme="minorEastAsia" w:hAnsiTheme="minorEastAsia"/>
                <w:b/>
                <w:bCs/>
                <w:szCs w:val="21"/>
              </w:rPr>
              <w:t>6、履行合同所必须的设备和专业技术能力的证明材料</w:t>
            </w:r>
          </w:p>
          <w:p>
            <w:pPr>
              <w:spacing w:line="360" w:lineRule="auto"/>
              <w:rPr>
                <w:rFonts w:asciiTheme="minorEastAsia" w:hAnsiTheme="minorEastAsia"/>
                <w:b/>
                <w:szCs w:val="21"/>
              </w:rPr>
            </w:pPr>
            <w:r>
              <w:rPr>
                <w:rFonts w:hint="eastAsia" w:asciiTheme="minorEastAsia" w:hAnsiTheme="minorEastAsia"/>
                <w:bCs/>
                <w:szCs w:val="21"/>
              </w:rPr>
              <w:t>相关设备的购置发票、专业技术人员职称证书、用工合同等</w:t>
            </w:r>
            <w:r>
              <w:rPr>
                <w:rFonts w:hint="eastAsia" w:asciiTheme="minorEastAsia" w:hAnsiTheme="minorEastAsia"/>
                <w:bCs/>
                <w:color w:val="FF0000"/>
                <w:szCs w:val="21"/>
              </w:rPr>
              <w:t>或者</w:t>
            </w:r>
            <w:r>
              <w:rPr>
                <w:rFonts w:hint="eastAsia" w:asciiTheme="minorEastAsia" w:hAnsiTheme="minorEastAsia"/>
                <w:bCs/>
                <w:szCs w:val="21"/>
              </w:rPr>
              <w:t>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Cs w:val="21"/>
              </w:rPr>
            </w:pPr>
            <w:r>
              <w:rPr>
                <w:rFonts w:hint="eastAsia" w:asciiTheme="minorEastAsia" w:hAnsiTheme="minorEastAsia"/>
                <w:b/>
                <w:bCs/>
                <w:szCs w:val="21"/>
              </w:rPr>
              <w:t>7、参加政府采购活动前3年内在经营活动中没有重大违法记录的声明</w:t>
            </w:r>
          </w:p>
          <w:p>
            <w:pPr>
              <w:spacing w:line="360" w:lineRule="auto"/>
              <w:rPr>
                <w:rFonts w:asciiTheme="minorEastAsia" w:hAnsiTheme="minorEastAsia"/>
                <w:bCs/>
                <w:szCs w:val="21"/>
              </w:rPr>
            </w:pP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Cs w:val="21"/>
              </w:rPr>
            </w:pPr>
            <w:r>
              <w:rPr>
                <w:rFonts w:hint="eastAsia" w:asciiTheme="minorEastAsia" w:hAnsiTheme="minorEastAsia"/>
                <w:b/>
                <w:bCs/>
                <w:szCs w:val="21"/>
              </w:rPr>
              <w:t>8、</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asciiTheme="minorEastAsia" w:hAnsiTheme="minorEastAsia"/>
                <w:b/>
                <w:bCs/>
                <w:szCs w:val="21"/>
              </w:rPr>
              <w:t>。</w:t>
            </w:r>
          </w:p>
          <w:p>
            <w:pPr>
              <w:spacing w:line="360" w:lineRule="auto"/>
              <w:rPr>
                <w:rFonts w:asciiTheme="minorEastAsia" w:hAnsiTheme="minorEastAsia"/>
                <w:bCs/>
                <w:szCs w:val="21"/>
              </w:rPr>
            </w:pPr>
            <w:r>
              <w:rPr>
                <w:rFonts w:hint="eastAsia" w:asciiTheme="minorEastAsia" w:hAnsiTheme="minorEastAsia"/>
                <w:bCs/>
                <w:szCs w:val="21"/>
              </w:rPr>
              <w:t>注：政府采购活动中查询及使用投标人信用记录的具体要求为：投标人未被列入失信被执行人、重大税收违法案件当事人名单、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、政府采购严重违法失信行为记录名单（联合体形式投标的，联合体成员存在不良信用记录，视同联合体存在不良信用记录）。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（1）查询渠道：“信用中国”网站（www.creditchina.gov.cn）和“中国政府采购网”（www.ccgp.gov.cn）；</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Cs w:val="21"/>
                <w:lang w:val="zh-CN"/>
              </w:rPr>
            </w:pPr>
            <w:r>
              <w:rPr>
                <w:rFonts w:hint="eastAsia" w:asciiTheme="minorEastAsia" w:hAnsiTheme="minorEastAsia"/>
                <w:b/>
                <w:bCs/>
                <w:szCs w:val="21"/>
              </w:rPr>
              <w:t>9、</w:t>
            </w:r>
            <w:r>
              <w:rPr>
                <w:rFonts w:hint="eastAsia" w:cs="仿宋_GB2312" w:asciiTheme="minorEastAsia" w:hAnsiTheme="minorEastAsia"/>
                <w:b/>
                <w:szCs w:val="21"/>
                <w:lang w:val="zh-CN"/>
              </w:rPr>
              <w:t>报价</w:t>
            </w:r>
          </w:p>
          <w:p>
            <w:pPr>
              <w:spacing w:line="360" w:lineRule="auto"/>
              <w:rPr>
                <w:rFonts w:asciiTheme="minorEastAsia" w:hAnsiTheme="minorEastAsia"/>
                <w:b/>
                <w:bCs/>
                <w:szCs w:val="21"/>
              </w:rPr>
            </w:pPr>
            <w:r>
              <w:rPr>
                <w:rFonts w:hint="eastAsia" w:cs="仿宋_GB2312" w:asciiTheme="minorEastAsia" w:hAnsiTheme="minorEastAsia"/>
                <w:szCs w:val="21"/>
                <w:lang w:val="zh-CN"/>
              </w:rPr>
              <w:t>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Cs w:val="21"/>
              </w:rPr>
            </w:pPr>
            <w:r>
              <w:rPr>
                <w:rFonts w:hint="eastAsia" w:asciiTheme="minorEastAsia" w:hAnsiTheme="minorEastAsia"/>
                <w:b/>
                <w:bCs/>
                <w:szCs w:val="21"/>
              </w:rPr>
              <w:t>10、联合体协议</w:t>
            </w:r>
          </w:p>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Cs w:val="21"/>
              </w:rPr>
            </w:pPr>
            <w:r>
              <w:rPr>
                <w:rFonts w:hint="eastAsia" w:asciiTheme="minorEastAsia" w:hAnsiTheme="minorEastAsia"/>
                <w:b/>
                <w:szCs w:val="21"/>
              </w:rPr>
              <w:t>11、投标保证金</w:t>
            </w:r>
          </w:p>
          <w:p>
            <w:pPr>
              <w:spacing w:line="360" w:lineRule="auto"/>
              <w:rPr>
                <w:rFonts w:asciiTheme="minorEastAsia" w:hAnsiTheme="minorEastAsia"/>
                <w:szCs w:val="21"/>
              </w:rPr>
            </w:pPr>
            <w:r>
              <w:rPr>
                <w:rFonts w:hint="eastAsia" w:asciiTheme="minorEastAsia" w:hAnsiTheme="minorEastAsia"/>
                <w:szCs w:val="21"/>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hint="eastAsia" w:asciiTheme="minorEastAsia" w:hAnsiTheme="minorEastAsia" w:eastAsiaTheme="minorEastAsia"/>
                <w:b/>
                <w:szCs w:val="21"/>
                <w:lang w:val="en-US" w:eastAsia="zh-CN"/>
              </w:rPr>
            </w:pPr>
            <w:r>
              <w:rPr>
                <w:rFonts w:hint="eastAsia" w:asciiTheme="minorEastAsia" w:hAnsiTheme="minorEastAsia"/>
                <w:b/>
                <w:szCs w:val="21"/>
                <w:lang w:val="en-US" w:eastAsia="zh-CN"/>
              </w:rPr>
              <w:t>13、同时具有水文、水资源调查评价和建设项目水资源论证乙级及以上资质（含乙级）</w:t>
            </w: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投标人所投其他产品若属于“节能产品政府采购清单”优先采购产品，</w:t>
      </w:r>
      <w:r>
        <w:rPr>
          <w:rFonts w:hint="eastAsia" w:cs="仿宋_GB2312" w:asciiTheme="minorEastAsia" w:hAnsiTheme="minorEastAsia"/>
          <w:sz w:val="21"/>
          <w:szCs w:val="21"/>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sz w:val="21"/>
          <w:szCs w:val="21"/>
          <w:lang w:val="zh-CN"/>
        </w:rPr>
        <w:t>评标委员会根据本项目评标标准予以判定并赋分。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关于相同品牌产品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）产品查询结果截图并加盖投标人公章或中国信息安全认证中心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（6）评标标准</w:t>
      </w:r>
    </w:p>
    <w:tbl>
      <w:tblPr>
        <w:tblStyle w:val="25"/>
        <w:tblW w:w="89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015"/>
        <w:gridCol w:w="5103"/>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2896" w:type="dxa"/>
            <w:gridSpan w:val="2"/>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分值构成</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(总分100分)</w:t>
            </w:r>
          </w:p>
        </w:tc>
        <w:tc>
          <w:tcPr>
            <w:tcW w:w="6070" w:type="dxa"/>
            <w:gridSpan w:val="2"/>
            <w:vAlign w:val="center"/>
          </w:tcPr>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价格分值：</w:t>
            </w:r>
            <w:r>
              <w:rPr>
                <w:rFonts w:hint="eastAsia" w:ascii="宋体" w:hAnsi="宋体" w:eastAsia="宋体" w:cs="宋体"/>
                <w:color w:val="auto"/>
                <w:sz w:val="21"/>
                <w:szCs w:val="21"/>
                <w:highlight w:val="none"/>
                <w:u w:val="single"/>
              </w:rPr>
              <w:t xml:space="preserve">    10     </w:t>
            </w:r>
            <w:r>
              <w:rPr>
                <w:rFonts w:hint="eastAsia" w:ascii="宋体" w:hAnsi="宋体" w:eastAsia="宋体" w:cs="宋体"/>
                <w:color w:val="auto"/>
                <w:sz w:val="21"/>
                <w:szCs w:val="21"/>
                <w:highlight w:val="none"/>
              </w:rPr>
              <w:t>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商务部分：</w:t>
            </w:r>
            <w:r>
              <w:rPr>
                <w:rFonts w:hint="eastAsia" w:ascii="宋体" w:hAnsi="宋体" w:eastAsia="宋体" w:cs="宋体"/>
                <w:color w:val="auto"/>
                <w:sz w:val="21"/>
                <w:szCs w:val="21"/>
                <w:highlight w:val="none"/>
                <w:u w:val="single"/>
              </w:rPr>
              <w:t xml:space="preserve">    60     </w:t>
            </w:r>
            <w:r>
              <w:rPr>
                <w:rFonts w:hint="eastAsia" w:ascii="宋体" w:hAnsi="宋体" w:eastAsia="宋体" w:cs="宋体"/>
                <w:color w:val="auto"/>
                <w:sz w:val="21"/>
                <w:szCs w:val="21"/>
                <w:highlight w:val="none"/>
              </w:rPr>
              <w:t>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技术部分：</w:t>
            </w:r>
            <w:r>
              <w:rPr>
                <w:rFonts w:hint="eastAsia" w:ascii="宋体" w:hAnsi="宋体" w:eastAsia="宋体" w:cs="宋体"/>
                <w:color w:val="auto"/>
                <w:sz w:val="21"/>
                <w:szCs w:val="21"/>
                <w:highlight w:val="none"/>
                <w:u w:val="single"/>
              </w:rPr>
              <w:t xml:space="preserve">    30     </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66" w:type="dxa"/>
            <w:gridSpan w:val="4"/>
            <w:tcBorders>
              <w:bottom w:val="single" w:color="auto" w:sz="4" w:space="0"/>
            </w:tcBorders>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价格部分（满分</w:t>
            </w:r>
            <w:r>
              <w:rPr>
                <w:rFonts w:hint="eastAsia" w:ascii="宋体" w:hAnsi="宋体" w:eastAsia="宋体" w:cs="宋体"/>
                <w:b/>
                <w:color w:val="auto"/>
                <w:sz w:val="21"/>
                <w:szCs w:val="21"/>
                <w:highlight w:val="none"/>
                <w:u w:val="single"/>
              </w:rPr>
              <w:t xml:space="preserve">  10  </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96" w:type="dxa"/>
            <w:gridSpan w:val="2"/>
            <w:tcBorders>
              <w:top w:val="single" w:color="auto" w:sz="4" w:space="0"/>
            </w:tcBorders>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评分因素</w:t>
            </w:r>
          </w:p>
        </w:tc>
        <w:tc>
          <w:tcPr>
            <w:tcW w:w="5103" w:type="dxa"/>
            <w:tcBorders>
              <w:top w:val="single" w:color="auto" w:sz="4" w:space="0"/>
            </w:tcBorders>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评标标准</w:t>
            </w:r>
          </w:p>
        </w:tc>
        <w:tc>
          <w:tcPr>
            <w:tcW w:w="967" w:type="dxa"/>
            <w:tcBorders>
              <w:top w:val="single" w:color="auto" w:sz="4" w:space="0"/>
            </w:tcBorders>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2896" w:type="dxa"/>
            <w:gridSpan w:val="2"/>
            <w:tcBorders>
              <w:top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评分标准</w:t>
            </w:r>
          </w:p>
        </w:tc>
        <w:tc>
          <w:tcPr>
            <w:tcW w:w="5103" w:type="dxa"/>
            <w:tcBorders>
              <w:top w:val="single" w:color="auto" w:sz="4" w:space="0"/>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评标基准价：满足招标文件要求的有效投标报价中，最低的投标报价为评标基准价。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投标报价得分=（评标基准价/投标报价）×</w:t>
            </w:r>
            <w:r>
              <w:rPr>
                <w:rFonts w:hint="eastAsia" w:ascii="宋体" w:hAnsi="宋体" w:eastAsia="宋体" w:cs="宋体"/>
                <w:color w:val="auto"/>
                <w:sz w:val="21"/>
                <w:szCs w:val="21"/>
                <w:highlight w:val="none"/>
                <w:u w:val="single"/>
              </w:rPr>
              <w:t xml:space="preserve"> 10  </w:t>
            </w:r>
          </w:p>
        </w:tc>
        <w:tc>
          <w:tcPr>
            <w:tcW w:w="967" w:type="dxa"/>
            <w:tcBorders>
              <w:top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10 </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66" w:type="dxa"/>
            <w:gridSpan w:val="4"/>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商务部分（满分</w:t>
            </w:r>
            <w:r>
              <w:rPr>
                <w:rFonts w:hint="eastAsia" w:ascii="宋体" w:hAnsi="宋体" w:eastAsia="宋体" w:cs="宋体"/>
                <w:b/>
                <w:color w:val="auto"/>
                <w:sz w:val="21"/>
                <w:szCs w:val="21"/>
                <w:highlight w:val="none"/>
                <w:u w:val="single"/>
              </w:rPr>
              <w:t xml:space="preserve"> 60  </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96" w:type="dxa"/>
            <w:gridSpan w:val="2"/>
            <w:tcBorders>
              <w:bottom w:val="single" w:color="auto" w:sz="4" w:space="0"/>
            </w:tcBorders>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评分因素</w:t>
            </w:r>
          </w:p>
        </w:tc>
        <w:tc>
          <w:tcPr>
            <w:tcW w:w="5103"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评标标准</w:t>
            </w:r>
          </w:p>
        </w:tc>
        <w:tc>
          <w:tcPr>
            <w:tcW w:w="967"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1" w:type="dxa"/>
            <w:vMerge w:val="restart"/>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企业综合能力</w:t>
            </w:r>
          </w:p>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（30分）</w:t>
            </w:r>
          </w:p>
        </w:tc>
        <w:tc>
          <w:tcPr>
            <w:tcW w:w="2015" w:type="dxa"/>
            <w:vAlign w:val="center"/>
          </w:tcPr>
          <w:p>
            <w:pPr>
              <w:widowControl/>
              <w:adjustRightInd w:val="0"/>
              <w:snapToGrid w:val="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企业业绩</w:t>
            </w:r>
          </w:p>
          <w:p>
            <w:pPr>
              <w:widowControl/>
              <w:adjustRightInd w:val="0"/>
              <w:snapToGrid w:val="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（20分）</w:t>
            </w:r>
          </w:p>
        </w:tc>
        <w:tc>
          <w:tcPr>
            <w:tcW w:w="5103" w:type="dxa"/>
            <w:vAlign w:val="center"/>
          </w:tcPr>
          <w:p>
            <w:pPr>
              <w:widowControl/>
              <w:adjustRightInd w:val="0"/>
              <w:snapToGrid w:val="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2013年以来，以合同签订时间为准，企业承担过类似业绩，每一项业绩得2分，最高可得20分。（</w:t>
            </w:r>
            <w:r>
              <w:rPr>
                <w:rFonts w:hint="eastAsia" w:ascii="宋体" w:hAnsi="宋体" w:eastAsia="宋体" w:cs="宋体"/>
                <w:bCs/>
                <w:color w:val="auto"/>
                <w:sz w:val="21"/>
                <w:szCs w:val="21"/>
                <w:highlight w:val="none"/>
              </w:rPr>
              <w:t>以中标通知书、合同和网站下载的中标公示为准，未提供的或提供不全的不计分</w:t>
            </w:r>
            <w:r>
              <w:rPr>
                <w:rFonts w:hint="eastAsia" w:ascii="宋体" w:hAnsi="宋体" w:eastAsia="宋体" w:cs="宋体"/>
                <w:bCs/>
                <w:color w:val="auto"/>
                <w:kern w:val="0"/>
                <w:sz w:val="21"/>
                <w:szCs w:val="21"/>
                <w:highlight w:val="none"/>
              </w:rPr>
              <w:t>）。</w:t>
            </w:r>
          </w:p>
          <w:p>
            <w:pPr>
              <w:widowControl/>
              <w:adjustRightInd w:val="0"/>
              <w:snapToGrid w:val="0"/>
              <w:jc w:val="left"/>
              <w:rPr>
                <w:rFonts w:hint="eastAsia" w:ascii="宋体" w:hAnsi="宋体" w:eastAsia="宋体" w:cs="宋体"/>
                <w:bCs/>
                <w:color w:val="auto"/>
                <w:kern w:val="0"/>
                <w:sz w:val="21"/>
                <w:szCs w:val="21"/>
                <w:highlight w:val="none"/>
                <w:lang w:eastAsia="zh-CN"/>
              </w:rPr>
            </w:pPr>
            <w:r>
              <w:rPr>
                <w:rFonts w:hint="eastAsia" w:ascii="宋体" w:hAnsi="宋体" w:eastAsia="宋体" w:cs="宋体"/>
                <w:bCs/>
                <w:color w:val="auto"/>
                <w:kern w:val="0"/>
                <w:sz w:val="21"/>
                <w:szCs w:val="21"/>
                <w:highlight w:val="none"/>
                <w:lang w:eastAsia="zh-CN"/>
              </w:rPr>
              <w:t>类似业绩指</w:t>
            </w:r>
            <w:r>
              <w:rPr>
                <w:rFonts w:hint="eastAsia" w:ascii="宋体" w:hAnsi="宋体" w:eastAsia="宋体" w:cs="宋体"/>
                <w:bCs/>
                <w:color w:val="auto"/>
                <w:kern w:val="0"/>
                <w:sz w:val="21"/>
                <w:szCs w:val="21"/>
                <w:highlight w:val="none"/>
              </w:rPr>
              <w:t>水资源调查评价或水资源综合规划或者水资源保护规划或流域生态流量试点方案等</w:t>
            </w:r>
            <w:r>
              <w:rPr>
                <w:rFonts w:hint="eastAsia" w:ascii="宋体" w:hAnsi="宋体" w:eastAsia="宋体" w:cs="宋体"/>
                <w:bCs/>
                <w:color w:val="auto"/>
                <w:kern w:val="0"/>
                <w:sz w:val="21"/>
                <w:szCs w:val="21"/>
                <w:highlight w:val="none"/>
                <w:lang w:eastAsia="zh-CN"/>
              </w:rPr>
              <w:t>。</w:t>
            </w:r>
          </w:p>
        </w:tc>
        <w:tc>
          <w:tcPr>
            <w:tcW w:w="967"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1" w:type="dxa"/>
            <w:vMerge w:val="continue"/>
            <w:vAlign w:val="center"/>
          </w:tcPr>
          <w:p>
            <w:pPr>
              <w:spacing w:line="360" w:lineRule="exact"/>
              <w:jc w:val="center"/>
              <w:rPr>
                <w:rFonts w:hint="eastAsia" w:ascii="宋体" w:hAnsi="宋体" w:eastAsia="宋体" w:cs="宋体"/>
                <w:color w:val="auto"/>
                <w:sz w:val="21"/>
                <w:szCs w:val="21"/>
                <w:highlight w:val="none"/>
              </w:rPr>
            </w:pPr>
          </w:p>
        </w:tc>
        <w:tc>
          <w:tcPr>
            <w:tcW w:w="2015" w:type="dxa"/>
            <w:vAlign w:val="center"/>
          </w:tcPr>
          <w:p>
            <w:pPr>
              <w:widowControl/>
              <w:adjustRightInd w:val="0"/>
              <w:snapToGrid w:val="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获奖情况</w:t>
            </w:r>
          </w:p>
          <w:p>
            <w:pPr>
              <w:widowControl/>
              <w:adjustRightInd w:val="0"/>
              <w:snapToGrid w:val="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（10分）</w:t>
            </w:r>
          </w:p>
        </w:tc>
        <w:tc>
          <w:tcPr>
            <w:tcW w:w="5103" w:type="dxa"/>
            <w:vAlign w:val="center"/>
          </w:tcPr>
          <w:p>
            <w:pPr>
              <w:widowControl/>
              <w:adjustRightInd w:val="0"/>
              <w:snapToGrid w:val="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2013年以来获得水资源类省部级科技进步（或者规划类）奖一等得4分、二等得3分、三等得2分；最高可得</w:t>
            </w:r>
            <w:r>
              <w:rPr>
                <w:rFonts w:hint="eastAsia" w:ascii="宋体" w:hAnsi="宋体" w:eastAsia="宋体" w:cs="宋体"/>
                <w:bCs/>
                <w:color w:val="auto"/>
                <w:kern w:val="0"/>
                <w:sz w:val="21"/>
                <w:szCs w:val="21"/>
                <w:highlight w:val="none"/>
                <w:lang w:val="en-US" w:eastAsia="zh-CN"/>
              </w:rPr>
              <w:t>10</w:t>
            </w:r>
            <w:r>
              <w:rPr>
                <w:rFonts w:hint="eastAsia" w:ascii="宋体" w:hAnsi="宋体" w:eastAsia="宋体" w:cs="宋体"/>
                <w:bCs/>
                <w:color w:val="auto"/>
                <w:kern w:val="0"/>
                <w:sz w:val="21"/>
                <w:szCs w:val="21"/>
                <w:highlight w:val="none"/>
              </w:rPr>
              <w:t>分。（以</w:t>
            </w:r>
            <w:r>
              <w:rPr>
                <w:rFonts w:hint="eastAsia" w:ascii="宋体" w:hAnsi="宋体" w:eastAsia="宋体" w:cs="宋体"/>
                <w:bCs/>
                <w:color w:val="auto"/>
                <w:kern w:val="0"/>
                <w:sz w:val="21"/>
                <w:szCs w:val="21"/>
                <w:highlight w:val="none"/>
                <w:lang w:eastAsia="zh-CN"/>
              </w:rPr>
              <w:t>获奖证书</w:t>
            </w:r>
            <w:r>
              <w:rPr>
                <w:rFonts w:hint="eastAsia" w:ascii="宋体" w:hAnsi="宋体" w:eastAsia="宋体" w:cs="宋体"/>
                <w:bCs/>
                <w:color w:val="auto"/>
                <w:kern w:val="0"/>
                <w:sz w:val="21"/>
                <w:szCs w:val="21"/>
                <w:highlight w:val="none"/>
              </w:rPr>
              <w:t>为准</w:t>
            </w:r>
            <w:r>
              <w:rPr>
                <w:rFonts w:hint="eastAsia" w:ascii="宋体" w:hAnsi="宋体" w:eastAsia="宋体" w:cs="宋体"/>
                <w:bCs/>
                <w:color w:val="auto"/>
                <w:kern w:val="0"/>
                <w:sz w:val="21"/>
                <w:szCs w:val="21"/>
                <w:highlight w:val="none"/>
                <w:lang w:eastAsia="zh-CN"/>
              </w:rPr>
              <w:t>，未提供或提供不全的不计分</w:t>
            </w:r>
            <w:r>
              <w:rPr>
                <w:rFonts w:hint="eastAsia" w:ascii="宋体" w:hAnsi="宋体" w:eastAsia="宋体" w:cs="宋体"/>
                <w:bCs/>
                <w:color w:val="auto"/>
                <w:kern w:val="0"/>
                <w:sz w:val="21"/>
                <w:szCs w:val="21"/>
                <w:highlight w:val="none"/>
              </w:rPr>
              <w:t>）</w:t>
            </w:r>
          </w:p>
        </w:tc>
        <w:tc>
          <w:tcPr>
            <w:tcW w:w="967"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10</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1" w:type="dxa"/>
            <w:vMerge w:val="restart"/>
            <w:vAlign w:val="center"/>
          </w:tcPr>
          <w:p>
            <w:pPr>
              <w:adjustRightInd w:val="0"/>
              <w:snapToGrid w:val="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项目负责人的资历、能力和业绩等</w:t>
            </w:r>
          </w:p>
          <w:p>
            <w:pPr>
              <w:adjustRightInd w:val="0"/>
              <w:snapToGrid w:val="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（20分）</w:t>
            </w:r>
          </w:p>
        </w:tc>
        <w:tc>
          <w:tcPr>
            <w:tcW w:w="2015" w:type="dxa"/>
            <w:vAlign w:val="center"/>
          </w:tcPr>
          <w:p>
            <w:pPr>
              <w:widowControl/>
              <w:adjustRightInd w:val="0"/>
              <w:snapToGrid w:val="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项目负责人获奖情况（8分）</w:t>
            </w:r>
          </w:p>
        </w:tc>
        <w:tc>
          <w:tcPr>
            <w:tcW w:w="5103" w:type="dxa"/>
            <w:vAlign w:val="center"/>
          </w:tcPr>
          <w:p>
            <w:pPr>
              <w:widowControl/>
              <w:adjustRightInd w:val="0"/>
              <w:snapToGrid w:val="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项目负责人类似业绩获得省部级奖项的,每一项得2分，最多得8分。</w:t>
            </w:r>
          </w:p>
          <w:p>
            <w:pPr>
              <w:widowControl/>
              <w:adjustRightInd w:val="0"/>
              <w:snapToGrid w:val="0"/>
              <w:jc w:val="left"/>
              <w:rPr>
                <w:rFonts w:hint="eastAsia" w:ascii="宋体" w:hAnsi="宋体" w:eastAsia="宋体" w:cs="宋体"/>
                <w:bCs/>
                <w:color w:val="auto"/>
                <w:kern w:val="0"/>
                <w:sz w:val="21"/>
                <w:szCs w:val="21"/>
                <w:highlight w:val="none"/>
                <w:lang w:eastAsia="zh-CN"/>
              </w:rPr>
            </w:pPr>
            <w:r>
              <w:rPr>
                <w:rFonts w:hint="eastAsia" w:ascii="宋体" w:hAnsi="宋体" w:eastAsia="宋体" w:cs="宋体"/>
                <w:bCs/>
                <w:color w:val="auto"/>
                <w:kern w:val="0"/>
                <w:sz w:val="21"/>
                <w:szCs w:val="21"/>
                <w:highlight w:val="none"/>
                <w:lang w:eastAsia="zh-CN"/>
              </w:rPr>
              <w:t>类似业绩指</w:t>
            </w:r>
            <w:r>
              <w:rPr>
                <w:rFonts w:hint="eastAsia" w:ascii="宋体" w:hAnsi="宋体" w:eastAsia="宋体" w:cs="宋体"/>
                <w:bCs/>
                <w:color w:val="auto"/>
                <w:kern w:val="0"/>
                <w:sz w:val="21"/>
                <w:szCs w:val="21"/>
                <w:highlight w:val="none"/>
              </w:rPr>
              <w:t>水资源调查评价或水资源综合规划或者水资源保护规划或流域生态流量试点方案等</w:t>
            </w:r>
            <w:r>
              <w:rPr>
                <w:rFonts w:hint="eastAsia" w:ascii="宋体" w:hAnsi="宋体" w:eastAsia="宋体" w:cs="宋体"/>
                <w:bCs/>
                <w:color w:val="auto"/>
                <w:kern w:val="0"/>
                <w:sz w:val="21"/>
                <w:szCs w:val="21"/>
                <w:highlight w:val="none"/>
                <w:lang w:eastAsia="zh-CN"/>
              </w:rPr>
              <w:t>。</w:t>
            </w:r>
          </w:p>
        </w:tc>
        <w:tc>
          <w:tcPr>
            <w:tcW w:w="967" w:type="dxa"/>
            <w:vAlign w:val="center"/>
          </w:tcPr>
          <w:p>
            <w:pPr>
              <w:jc w:val="center"/>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1" w:type="dxa"/>
            <w:vMerge w:val="continue"/>
            <w:vAlign w:val="center"/>
          </w:tcPr>
          <w:p>
            <w:pPr>
              <w:spacing w:line="360" w:lineRule="exact"/>
              <w:jc w:val="center"/>
              <w:rPr>
                <w:rFonts w:hint="eastAsia" w:ascii="宋体" w:hAnsi="宋体" w:eastAsia="宋体" w:cs="宋体"/>
                <w:color w:val="auto"/>
                <w:sz w:val="21"/>
                <w:szCs w:val="21"/>
                <w:highlight w:val="none"/>
              </w:rPr>
            </w:pPr>
          </w:p>
        </w:tc>
        <w:tc>
          <w:tcPr>
            <w:tcW w:w="2015" w:type="dxa"/>
            <w:vAlign w:val="center"/>
          </w:tcPr>
          <w:p>
            <w:pPr>
              <w:widowControl/>
              <w:adjustRightInd w:val="0"/>
              <w:snapToGrid w:val="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项目负责人业绩（12分）</w:t>
            </w:r>
          </w:p>
        </w:tc>
        <w:tc>
          <w:tcPr>
            <w:tcW w:w="5103" w:type="dxa"/>
            <w:vAlign w:val="center"/>
          </w:tcPr>
          <w:p>
            <w:pPr>
              <w:widowControl/>
              <w:adjustRightInd w:val="0"/>
              <w:snapToGrid w:val="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2013年以来，以合同签订时间为准，拟投入的项目负责人每负责以上企业业绩中的一个得2分，最多得12分。（</w:t>
            </w:r>
            <w:r>
              <w:rPr>
                <w:rFonts w:hint="eastAsia" w:ascii="宋体" w:hAnsi="宋体" w:eastAsia="宋体" w:cs="宋体"/>
                <w:bCs/>
                <w:color w:val="auto"/>
                <w:sz w:val="21"/>
                <w:szCs w:val="21"/>
                <w:highlight w:val="none"/>
              </w:rPr>
              <w:t>以中标通知书显示的项目负责人为准，未提供的或提供不全的不计分</w:t>
            </w:r>
            <w:r>
              <w:rPr>
                <w:rFonts w:hint="eastAsia" w:ascii="宋体" w:hAnsi="宋体" w:eastAsia="宋体" w:cs="宋体"/>
                <w:bCs/>
                <w:color w:val="auto"/>
                <w:kern w:val="0"/>
                <w:sz w:val="21"/>
                <w:szCs w:val="21"/>
                <w:highlight w:val="none"/>
              </w:rPr>
              <w:t>）。</w:t>
            </w:r>
          </w:p>
        </w:tc>
        <w:tc>
          <w:tcPr>
            <w:tcW w:w="967" w:type="dxa"/>
            <w:vAlign w:val="center"/>
          </w:tcPr>
          <w:p>
            <w:pPr>
              <w:jc w:val="center"/>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1" w:type="dxa"/>
            <w:vAlign w:val="center"/>
          </w:tcPr>
          <w:p>
            <w:pPr>
              <w:widowControl/>
              <w:adjustRightInd w:val="0"/>
              <w:snapToGrid w:val="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规划编制组的各专业人员配备（10分）</w:t>
            </w:r>
          </w:p>
        </w:tc>
        <w:tc>
          <w:tcPr>
            <w:tcW w:w="2015" w:type="dxa"/>
            <w:vAlign w:val="center"/>
          </w:tcPr>
          <w:p>
            <w:pPr>
              <w:widowControl/>
              <w:adjustRightInd w:val="0"/>
              <w:snapToGrid w:val="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项目部人员</w:t>
            </w:r>
          </w:p>
          <w:p>
            <w:pPr>
              <w:widowControl/>
              <w:adjustRightInd w:val="0"/>
              <w:snapToGrid w:val="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构成及配备</w:t>
            </w:r>
          </w:p>
          <w:p>
            <w:pPr>
              <w:widowControl/>
              <w:adjustRightInd w:val="0"/>
              <w:snapToGrid w:val="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（10分）</w:t>
            </w:r>
          </w:p>
        </w:tc>
        <w:tc>
          <w:tcPr>
            <w:tcW w:w="5103" w:type="dxa"/>
            <w:vAlign w:val="center"/>
          </w:tcPr>
          <w:p>
            <w:pPr>
              <w:widowControl/>
              <w:adjustRightInd w:val="0"/>
              <w:snapToGrid w:val="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项目部人员配备具有水利类专业高级技术职称的（不含项目负责人），每有1人加2分，最多加</w:t>
            </w:r>
            <w:r>
              <w:rPr>
                <w:rFonts w:hint="eastAsia" w:ascii="宋体" w:hAnsi="宋体" w:eastAsia="宋体" w:cs="宋体"/>
                <w:bCs/>
                <w:color w:val="auto"/>
                <w:kern w:val="0"/>
                <w:sz w:val="21"/>
                <w:szCs w:val="21"/>
                <w:highlight w:val="none"/>
                <w:lang w:val="en-US" w:eastAsia="zh-CN"/>
              </w:rPr>
              <w:t>10</w:t>
            </w:r>
            <w:r>
              <w:rPr>
                <w:rFonts w:hint="eastAsia" w:ascii="宋体" w:hAnsi="宋体" w:eastAsia="宋体" w:cs="宋体"/>
                <w:bCs/>
                <w:color w:val="auto"/>
                <w:kern w:val="0"/>
                <w:sz w:val="21"/>
                <w:szCs w:val="21"/>
                <w:highlight w:val="none"/>
              </w:rPr>
              <w:t>分，没有不得分。职称证书工作单位与投标单位名称一致，如不一致提供社保证明。</w:t>
            </w:r>
          </w:p>
        </w:tc>
        <w:tc>
          <w:tcPr>
            <w:tcW w:w="967" w:type="dxa"/>
            <w:vAlign w:val="center"/>
          </w:tcPr>
          <w:p>
            <w:pPr>
              <w:jc w:val="center"/>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966" w:type="dxa"/>
            <w:gridSpan w:val="4"/>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技术部分（满分</w:t>
            </w:r>
            <w:r>
              <w:rPr>
                <w:rFonts w:hint="eastAsia" w:ascii="宋体" w:hAnsi="宋体" w:eastAsia="宋体" w:cs="宋体"/>
                <w:b/>
                <w:color w:val="auto"/>
                <w:sz w:val="21"/>
                <w:szCs w:val="21"/>
                <w:highlight w:val="none"/>
                <w:u w:val="single"/>
              </w:rPr>
              <w:t xml:space="preserve"> 30 </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96" w:type="dxa"/>
            <w:gridSpan w:val="2"/>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评分因素</w:t>
            </w:r>
          </w:p>
        </w:tc>
        <w:tc>
          <w:tcPr>
            <w:tcW w:w="5103"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评标标准</w:t>
            </w:r>
          </w:p>
        </w:tc>
        <w:tc>
          <w:tcPr>
            <w:tcW w:w="967"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96" w:type="dxa"/>
            <w:gridSpan w:val="2"/>
            <w:vAlign w:val="center"/>
          </w:tcPr>
          <w:p>
            <w:pPr>
              <w:widowControl/>
              <w:adjustRightInd w:val="0"/>
              <w:snapToGrid w:val="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规划方案（15分）</w:t>
            </w:r>
          </w:p>
        </w:tc>
        <w:tc>
          <w:tcPr>
            <w:tcW w:w="5103" w:type="dxa"/>
            <w:vAlign w:val="center"/>
          </w:tcPr>
          <w:p>
            <w:pPr>
              <w:numPr>
                <w:ilvl w:val="0"/>
                <w:numId w:val="20"/>
              </w:numPr>
              <w:spacing w:line="360" w:lineRule="exac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对项目规划的理解、以及规划编制的整体思路符合项目本质内容</w:t>
            </w:r>
            <w:r>
              <w:rPr>
                <w:rFonts w:hint="eastAsia" w:ascii="宋体" w:hAnsi="宋体" w:eastAsia="宋体" w:cs="宋体"/>
                <w:bCs/>
                <w:color w:val="auto"/>
                <w:kern w:val="0"/>
                <w:sz w:val="21"/>
                <w:szCs w:val="21"/>
                <w:highlight w:val="none"/>
                <w:lang w:eastAsia="zh-CN"/>
              </w:rPr>
              <w:t>且提供具体方案</w:t>
            </w:r>
            <w:r>
              <w:rPr>
                <w:rFonts w:hint="eastAsia" w:ascii="宋体" w:hAnsi="宋体" w:eastAsia="宋体" w:cs="宋体"/>
                <w:bCs/>
                <w:color w:val="auto"/>
                <w:kern w:val="0"/>
                <w:sz w:val="21"/>
                <w:szCs w:val="21"/>
                <w:highlight w:val="none"/>
              </w:rPr>
              <w:t>的得</w:t>
            </w:r>
            <w:r>
              <w:rPr>
                <w:rFonts w:hint="eastAsia" w:ascii="宋体" w:hAnsi="宋体" w:eastAsia="宋体" w:cs="宋体"/>
                <w:bCs/>
                <w:color w:val="auto"/>
                <w:kern w:val="0"/>
                <w:sz w:val="21"/>
                <w:szCs w:val="21"/>
                <w:highlight w:val="none"/>
                <w:lang w:val="en-US" w:eastAsia="zh-CN"/>
              </w:rPr>
              <w:t>6</w:t>
            </w:r>
            <w:r>
              <w:rPr>
                <w:rFonts w:hint="eastAsia" w:ascii="宋体" w:hAnsi="宋体" w:eastAsia="宋体" w:cs="宋体"/>
                <w:bCs/>
                <w:color w:val="auto"/>
                <w:kern w:val="0"/>
                <w:sz w:val="21"/>
                <w:szCs w:val="21"/>
                <w:highlight w:val="none"/>
              </w:rPr>
              <w:t>分</w:t>
            </w:r>
            <w:r>
              <w:rPr>
                <w:rFonts w:hint="eastAsia" w:ascii="宋体" w:hAnsi="宋体" w:eastAsia="宋体" w:cs="宋体"/>
                <w:bCs/>
                <w:color w:val="auto"/>
                <w:kern w:val="0"/>
                <w:sz w:val="21"/>
                <w:szCs w:val="21"/>
                <w:highlight w:val="none"/>
                <w:lang w:eastAsia="zh-CN"/>
              </w:rPr>
              <w:t>，有相关描述的得</w:t>
            </w:r>
            <w:r>
              <w:rPr>
                <w:rFonts w:hint="eastAsia" w:ascii="宋体" w:hAnsi="宋体" w:eastAsia="宋体" w:cs="宋体"/>
                <w:bCs/>
                <w:color w:val="auto"/>
                <w:kern w:val="0"/>
                <w:sz w:val="21"/>
                <w:szCs w:val="21"/>
                <w:highlight w:val="none"/>
                <w:lang w:val="en-US" w:eastAsia="zh-CN"/>
              </w:rPr>
              <w:t>3</w:t>
            </w:r>
            <w:r>
              <w:rPr>
                <w:rFonts w:hint="eastAsia" w:ascii="宋体" w:hAnsi="宋体" w:eastAsia="宋体" w:cs="宋体"/>
                <w:bCs/>
                <w:color w:val="auto"/>
                <w:kern w:val="0"/>
                <w:sz w:val="21"/>
                <w:szCs w:val="21"/>
                <w:highlight w:val="none"/>
              </w:rPr>
              <w:t>分，</w:t>
            </w:r>
            <w:r>
              <w:rPr>
                <w:rFonts w:hint="eastAsia" w:ascii="宋体" w:hAnsi="宋体" w:eastAsia="宋体" w:cs="宋体"/>
                <w:bCs/>
                <w:color w:val="auto"/>
                <w:kern w:val="0"/>
                <w:sz w:val="21"/>
                <w:szCs w:val="21"/>
                <w:highlight w:val="none"/>
                <w:lang w:eastAsia="zh-CN"/>
              </w:rPr>
              <w:t>不提供不得分。</w:t>
            </w:r>
          </w:p>
          <w:p>
            <w:pPr>
              <w:numPr>
                <w:ilvl w:val="0"/>
                <w:numId w:val="20"/>
              </w:numPr>
              <w:spacing w:line="360" w:lineRule="exac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项目的主要规划方案，有基础的资料收集方案，有必要的图标及说明，能把项目规划方案整体表达清晰，相关说明等符合实际情况的得</w:t>
            </w:r>
            <w:r>
              <w:rPr>
                <w:rFonts w:hint="eastAsia" w:ascii="宋体" w:hAnsi="宋体" w:eastAsia="宋体" w:cs="宋体"/>
                <w:bCs/>
                <w:color w:val="auto"/>
                <w:kern w:val="0"/>
                <w:sz w:val="21"/>
                <w:szCs w:val="21"/>
                <w:highlight w:val="none"/>
                <w:lang w:val="en-US" w:eastAsia="zh-CN"/>
              </w:rPr>
              <w:t>9</w:t>
            </w:r>
            <w:r>
              <w:rPr>
                <w:rFonts w:hint="eastAsia" w:ascii="宋体" w:hAnsi="宋体" w:eastAsia="宋体" w:cs="宋体"/>
                <w:bCs/>
                <w:color w:val="auto"/>
                <w:kern w:val="0"/>
                <w:sz w:val="21"/>
                <w:szCs w:val="21"/>
                <w:highlight w:val="none"/>
              </w:rPr>
              <w:t>分</w:t>
            </w:r>
            <w:r>
              <w:rPr>
                <w:rFonts w:hint="eastAsia" w:ascii="宋体" w:hAnsi="宋体" w:eastAsia="宋体" w:cs="宋体"/>
                <w:bCs/>
                <w:color w:val="auto"/>
                <w:kern w:val="0"/>
                <w:sz w:val="21"/>
                <w:szCs w:val="21"/>
                <w:highlight w:val="none"/>
                <w:lang w:eastAsia="zh-CN"/>
              </w:rPr>
              <w:t>，有相关描述的得</w:t>
            </w:r>
            <w:r>
              <w:rPr>
                <w:rFonts w:hint="eastAsia" w:ascii="宋体" w:hAnsi="宋体" w:eastAsia="宋体" w:cs="宋体"/>
                <w:bCs/>
                <w:color w:val="auto"/>
                <w:kern w:val="0"/>
                <w:sz w:val="21"/>
                <w:szCs w:val="21"/>
                <w:highlight w:val="none"/>
                <w:lang w:val="en-US" w:eastAsia="zh-CN"/>
              </w:rPr>
              <w:t>3</w:t>
            </w:r>
            <w:r>
              <w:rPr>
                <w:rFonts w:hint="eastAsia" w:ascii="宋体" w:hAnsi="宋体" w:eastAsia="宋体" w:cs="宋体"/>
                <w:bCs/>
                <w:color w:val="auto"/>
                <w:kern w:val="0"/>
                <w:sz w:val="21"/>
                <w:szCs w:val="21"/>
                <w:highlight w:val="none"/>
              </w:rPr>
              <w:t>分，</w:t>
            </w:r>
            <w:r>
              <w:rPr>
                <w:rFonts w:hint="eastAsia" w:ascii="宋体" w:hAnsi="宋体" w:eastAsia="宋体" w:cs="宋体"/>
                <w:bCs/>
                <w:color w:val="auto"/>
                <w:kern w:val="0"/>
                <w:sz w:val="21"/>
                <w:szCs w:val="21"/>
                <w:highlight w:val="none"/>
                <w:lang w:eastAsia="zh-CN"/>
              </w:rPr>
              <w:t>不提供不得分。</w:t>
            </w:r>
          </w:p>
        </w:tc>
        <w:tc>
          <w:tcPr>
            <w:tcW w:w="967" w:type="dxa"/>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15</w:t>
            </w:r>
            <w:r>
              <w:rPr>
                <w:rFonts w:hint="eastAsia" w:ascii="宋体" w:hAnsi="宋体" w:eastAsia="宋体" w:cs="宋体"/>
                <w:color w:val="auto"/>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96" w:type="dxa"/>
            <w:gridSpan w:val="2"/>
            <w:vAlign w:val="center"/>
          </w:tcPr>
          <w:p>
            <w:pPr>
              <w:widowControl/>
              <w:adjustRightInd w:val="0"/>
              <w:snapToGrid w:val="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规划编制的实施（15分）</w:t>
            </w:r>
          </w:p>
        </w:tc>
        <w:tc>
          <w:tcPr>
            <w:tcW w:w="5103" w:type="dxa"/>
            <w:vAlign w:val="center"/>
          </w:tcPr>
          <w:p>
            <w:pPr>
              <w:numPr>
                <w:ilvl w:val="0"/>
                <w:numId w:val="21"/>
              </w:numPr>
              <w:spacing w:line="360" w:lineRule="exac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项目实施计划及项目进度措施，项目规划编制的质量及保证措施</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有相关的具体描述及安排情况得</w:t>
            </w:r>
            <w:r>
              <w:rPr>
                <w:rFonts w:hint="eastAsia" w:ascii="宋体" w:hAnsi="宋体" w:eastAsia="宋体" w:cs="宋体"/>
                <w:bCs/>
                <w:color w:val="auto"/>
                <w:kern w:val="0"/>
                <w:sz w:val="21"/>
                <w:szCs w:val="21"/>
                <w:highlight w:val="none"/>
                <w:lang w:val="en-US" w:eastAsia="zh-CN"/>
              </w:rPr>
              <w:t>6</w:t>
            </w:r>
            <w:r>
              <w:rPr>
                <w:rFonts w:hint="eastAsia" w:ascii="宋体" w:hAnsi="宋体" w:eastAsia="宋体" w:cs="宋体"/>
                <w:bCs/>
                <w:color w:val="auto"/>
                <w:kern w:val="0"/>
                <w:sz w:val="21"/>
                <w:szCs w:val="21"/>
                <w:highlight w:val="none"/>
              </w:rPr>
              <w:t>分</w:t>
            </w:r>
            <w:r>
              <w:rPr>
                <w:rFonts w:hint="eastAsia" w:ascii="宋体" w:hAnsi="宋体" w:eastAsia="宋体" w:cs="宋体"/>
                <w:bCs/>
                <w:color w:val="auto"/>
                <w:kern w:val="0"/>
                <w:sz w:val="21"/>
                <w:szCs w:val="21"/>
                <w:highlight w:val="none"/>
                <w:lang w:val="en-US" w:eastAsia="zh-CN"/>
              </w:rPr>
              <w:t>,</w:t>
            </w:r>
            <w:r>
              <w:rPr>
                <w:rFonts w:hint="eastAsia" w:ascii="宋体" w:hAnsi="宋体" w:eastAsia="宋体" w:cs="宋体"/>
                <w:bCs/>
                <w:color w:val="auto"/>
                <w:kern w:val="0"/>
                <w:sz w:val="21"/>
                <w:szCs w:val="21"/>
                <w:highlight w:val="none"/>
                <w:lang w:eastAsia="zh-CN"/>
              </w:rPr>
              <w:t>，有相关描述的得</w:t>
            </w:r>
            <w:r>
              <w:rPr>
                <w:rFonts w:hint="eastAsia" w:ascii="宋体" w:hAnsi="宋体" w:eastAsia="宋体" w:cs="宋体"/>
                <w:bCs/>
                <w:color w:val="auto"/>
                <w:kern w:val="0"/>
                <w:sz w:val="21"/>
                <w:szCs w:val="21"/>
                <w:highlight w:val="none"/>
                <w:lang w:val="en-US" w:eastAsia="zh-CN"/>
              </w:rPr>
              <w:t>3</w:t>
            </w:r>
            <w:r>
              <w:rPr>
                <w:rFonts w:hint="eastAsia" w:ascii="宋体" w:hAnsi="宋体" w:eastAsia="宋体" w:cs="宋体"/>
                <w:bCs/>
                <w:color w:val="auto"/>
                <w:kern w:val="0"/>
                <w:sz w:val="21"/>
                <w:szCs w:val="21"/>
                <w:highlight w:val="none"/>
              </w:rPr>
              <w:t>分，</w:t>
            </w:r>
            <w:r>
              <w:rPr>
                <w:rFonts w:hint="eastAsia" w:ascii="宋体" w:hAnsi="宋体" w:eastAsia="宋体" w:cs="宋体"/>
                <w:bCs/>
                <w:color w:val="auto"/>
                <w:kern w:val="0"/>
                <w:sz w:val="21"/>
                <w:szCs w:val="21"/>
                <w:highlight w:val="none"/>
                <w:lang w:eastAsia="zh-CN"/>
              </w:rPr>
              <w:t>不提供不得分。</w:t>
            </w:r>
          </w:p>
          <w:p>
            <w:pPr>
              <w:numPr>
                <w:ilvl w:val="0"/>
                <w:numId w:val="21"/>
              </w:numPr>
              <w:spacing w:line="360" w:lineRule="exact"/>
              <w:ind w:left="0" w:leftChars="0" w:firstLine="0" w:firstLineChars="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项目的技术支持与保障，技术路线等符合国家、省、市标准和实际情况得</w:t>
            </w:r>
            <w:r>
              <w:rPr>
                <w:rFonts w:hint="eastAsia" w:ascii="宋体" w:hAnsi="宋体" w:eastAsia="宋体" w:cs="宋体"/>
                <w:bCs/>
                <w:color w:val="auto"/>
                <w:kern w:val="0"/>
                <w:sz w:val="21"/>
                <w:szCs w:val="21"/>
                <w:highlight w:val="none"/>
                <w:lang w:val="en-US" w:eastAsia="zh-CN"/>
              </w:rPr>
              <w:t>6</w:t>
            </w:r>
            <w:r>
              <w:rPr>
                <w:rFonts w:hint="eastAsia" w:ascii="宋体" w:hAnsi="宋体" w:eastAsia="宋体" w:cs="宋体"/>
                <w:bCs/>
                <w:color w:val="auto"/>
                <w:kern w:val="0"/>
                <w:sz w:val="21"/>
                <w:szCs w:val="21"/>
                <w:highlight w:val="none"/>
              </w:rPr>
              <w:t>分</w:t>
            </w:r>
            <w:r>
              <w:rPr>
                <w:rFonts w:hint="eastAsia" w:ascii="宋体" w:hAnsi="宋体" w:eastAsia="宋体" w:cs="宋体"/>
                <w:bCs/>
                <w:color w:val="auto"/>
                <w:kern w:val="0"/>
                <w:sz w:val="21"/>
                <w:szCs w:val="21"/>
                <w:highlight w:val="none"/>
                <w:lang w:eastAsia="zh-CN"/>
              </w:rPr>
              <w:t>，有相关描述的得</w:t>
            </w:r>
            <w:r>
              <w:rPr>
                <w:rFonts w:hint="eastAsia" w:ascii="宋体" w:hAnsi="宋体" w:eastAsia="宋体" w:cs="宋体"/>
                <w:bCs/>
                <w:color w:val="auto"/>
                <w:kern w:val="0"/>
                <w:sz w:val="21"/>
                <w:szCs w:val="21"/>
                <w:highlight w:val="none"/>
                <w:lang w:val="en-US" w:eastAsia="zh-CN"/>
              </w:rPr>
              <w:t>3</w:t>
            </w:r>
            <w:r>
              <w:rPr>
                <w:rFonts w:hint="eastAsia" w:ascii="宋体" w:hAnsi="宋体" w:eastAsia="宋体" w:cs="宋体"/>
                <w:bCs/>
                <w:color w:val="auto"/>
                <w:kern w:val="0"/>
                <w:sz w:val="21"/>
                <w:szCs w:val="21"/>
                <w:highlight w:val="none"/>
              </w:rPr>
              <w:t>分，</w:t>
            </w:r>
            <w:r>
              <w:rPr>
                <w:rFonts w:hint="eastAsia" w:ascii="宋体" w:hAnsi="宋体" w:eastAsia="宋体" w:cs="宋体"/>
                <w:bCs/>
                <w:color w:val="auto"/>
                <w:kern w:val="0"/>
                <w:sz w:val="21"/>
                <w:szCs w:val="21"/>
                <w:highlight w:val="none"/>
                <w:lang w:eastAsia="zh-CN"/>
              </w:rPr>
              <w:t>不提供不得分。</w:t>
            </w:r>
          </w:p>
          <w:p>
            <w:pPr>
              <w:numPr>
                <w:ilvl w:val="0"/>
                <w:numId w:val="0"/>
              </w:numPr>
              <w:spacing w:line="360" w:lineRule="exact"/>
              <w:ind w:leftChars="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3、本项目服务承诺：在项目实施期间，能接受甲方合理的安排和建议，并积极配合有相关的承诺及优惠措施，基本符合实际情况的得</w:t>
            </w:r>
            <w:r>
              <w:rPr>
                <w:rFonts w:hint="eastAsia" w:ascii="宋体" w:hAnsi="宋体" w:eastAsia="宋体" w:cs="宋体"/>
                <w:bCs/>
                <w:color w:val="auto"/>
                <w:kern w:val="0"/>
                <w:sz w:val="21"/>
                <w:szCs w:val="21"/>
                <w:highlight w:val="none"/>
                <w:lang w:val="en-US" w:eastAsia="zh-CN"/>
              </w:rPr>
              <w:t>3</w:t>
            </w:r>
            <w:r>
              <w:rPr>
                <w:rFonts w:hint="eastAsia" w:ascii="宋体" w:hAnsi="宋体" w:eastAsia="宋体" w:cs="宋体"/>
                <w:bCs/>
                <w:color w:val="auto"/>
                <w:kern w:val="0"/>
                <w:sz w:val="21"/>
                <w:szCs w:val="21"/>
                <w:highlight w:val="none"/>
              </w:rPr>
              <w:t>分</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有相关的承诺</w:t>
            </w:r>
            <w:r>
              <w:rPr>
                <w:rFonts w:hint="eastAsia" w:ascii="宋体" w:hAnsi="宋体" w:eastAsia="宋体" w:cs="宋体"/>
                <w:bCs/>
                <w:color w:val="auto"/>
                <w:kern w:val="0"/>
                <w:sz w:val="21"/>
                <w:szCs w:val="21"/>
                <w:highlight w:val="none"/>
                <w:lang w:eastAsia="zh-CN"/>
              </w:rPr>
              <w:t>的得</w:t>
            </w:r>
            <w:r>
              <w:rPr>
                <w:rFonts w:hint="eastAsia" w:ascii="宋体" w:hAnsi="宋体" w:eastAsia="宋体" w:cs="宋体"/>
                <w:bCs/>
                <w:color w:val="auto"/>
                <w:kern w:val="0"/>
                <w:sz w:val="21"/>
                <w:szCs w:val="21"/>
                <w:highlight w:val="none"/>
                <w:lang w:val="en-US" w:eastAsia="zh-CN"/>
              </w:rPr>
              <w:t>2分，不提供不得分。</w:t>
            </w:r>
          </w:p>
        </w:tc>
        <w:tc>
          <w:tcPr>
            <w:tcW w:w="967" w:type="dxa"/>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15</w:t>
            </w:r>
            <w:r>
              <w:rPr>
                <w:rFonts w:hint="eastAsia" w:ascii="宋体" w:hAnsi="宋体" w:eastAsia="宋体" w:cs="宋体"/>
                <w:color w:val="auto"/>
                <w:sz w:val="21"/>
                <w:szCs w:val="21"/>
                <w:highlight w:val="none"/>
                <w:lang w:val="en-US" w:eastAsia="zh-CN"/>
              </w:rPr>
              <w:t>分</w:t>
            </w:r>
          </w:p>
        </w:tc>
      </w:tr>
    </w:tbl>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非联合体投标人</w:t>
            </w:r>
          </w:p>
          <w:p>
            <w:pPr>
              <w:jc w:val="center"/>
              <w:rPr>
                <w:rFonts w:ascii="宋体" w:hAnsi="宋体"/>
                <w:b/>
                <w:color w:val="000000"/>
                <w:szCs w:val="21"/>
                <w:lang w:val="en-GB"/>
              </w:rPr>
            </w:pPr>
            <w:r>
              <w:rPr>
                <w:rFonts w:hint="eastAsia" w:ascii="宋体" w:hAnsi="宋体"/>
                <w:color w:val="000000"/>
                <w:szCs w:val="21"/>
                <w:lang w:val="en-GB"/>
              </w:rPr>
              <w:t>（投标人须为中小企业）</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color w:val="FF0000"/>
          <w:szCs w:val="21"/>
          <w:lang w:val="en-GB"/>
        </w:rPr>
      </w:pPr>
      <w:r>
        <w:rPr>
          <w:rFonts w:hint="eastAsia" w:ascii="宋体" w:hAnsi="宋体"/>
          <w:bCs/>
          <w:color w:val="FF0000"/>
          <w:szCs w:val="21"/>
          <w:lang w:val="en-GB"/>
        </w:rPr>
        <w:t>备注：</w:t>
      </w:r>
    </w:p>
    <w:p>
      <w:pPr>
        <w:spacing w:line="360" w:lineRule="auto"/>
        <w:ind w:firstLine="420" w:firstLineChars="200"/>
        <w:rPr>
          <w:rFonts w:ascii="宋体" w:hAnsi="宋体"/>
          <w:bCs/>
          <w:color w:val="FF0000"/>
          <w:szCs w:val="21"/>
          <w:lang w:val="en-GB"/>
        </w:rPr>
      </w:pPr>
      <w:r>
        <w:rPr>
          <w:rFonts w:hint="eastAsia" w:ascii="宋体" w:hAnsi="宋体"/>
          <w:bCs/>
          <w:color w:val="FF0000"/>
          <w:szCs w:val="21"/>
          <w:lang w:val="en-GB"/>
        </w:rPr>
        <w:t>a、不接受联合体投标的项目，本表中第2项、第3项情形不适用。</w:t>
      </w:r>
    </w:p>
    <w:p>
      <w:pPr>
        <w:spacing w:line="360" w:lineRule="auto"/>
        <w:ind w:firstLine="420" w:firstLineChars="200"/>
        <w:rPr>
          <w:rFonts w:ascii="宋体" w:hAnsi="宋体"/>
          <w:bCs/>
          <w:color w:val="FF0000"/>
          <w:szCs w:val="21"/>
          <w:lang w:val="en-GB"/>
        </w:rPr>
      </w:pPr>
      <w:r>
        <w:rPr>
          <w:rFonts w:hint="eastAsia" w:ascii="宋体" w:hAnsi="宋体"/>
          <w:bCs/>
          <w:color w:val="FF0000"/>
          <w:szCs w:val="21"/>
          <w:lang w:val="en-GB"/>
        </w:rPr>
        <w:t>b、小型和微型企业产品包括货物及其提供的服务与工程。</w:t>
      </w:r>
    </w:p>
    <w:p>
      <w:pPr>
        <w:spacing w:line="360" w:lineRule="auto"/>
        <w:ind w:firstLine="420" w:firstLineChars="200"/>
        <w:rPr>
          <w:rFonts w:ascii="宋体" w:hAnsi="宋体"/>
          <w:bCs/>
          <w:color w:val="FF0000"/>
          <w:szCs w:val="21"/>
          <w:lang w:val="en-GB"/>
        </w:rPr>
      </w:pPr>
      <w:r>
        <w:rPr>
          <w:rFonts w:hint="eastAsia" w:ascii="宋体" w:hAnsi="宋体"/>
          <w:bCs/>
          <w:color w:val="FF0000"/>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color w:val="FF0000"/>
          <w:szCs w:val="21"/>
          <w:lang w:val="en-GB"/>
        </w:rPr>
      </w:pPr>
      <w:r>
        <w:rPr>
          <w:rFonts w:hint="eastAsia" w:ascii="宋体" w:hAnsi="宋体"/>
          <w:bCs/>
          <w:color w:val="FF0000"/>
          <w:szCs w:val="21"/>
          <w:lang w:val="en-GB"/>
        </w:rPr>
        <w:t>d、残疾人福利性单位属于小型、微型企业的，不重复享受政策。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（7）</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（8）</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 定义</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1.1“合同”系指甲方和乙方 （简称合同双方）已达成的协议，即由双方签订的合同格式中的文件，包括所有的附件和组成合同部分的所有其他文件。</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1.2“合同价格”系指根据合同规定，在乙方全面正确地履行合同义务时应支付给乙方的款项。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1.3“甲方”系指通过招标方式，接受合同服务的采购人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1.4“乙方”系指中标后提供合同服务的</w:t>
      </w:r>
      <w:r>
        <w:rPr>
          <w:rFonts w:hint="eastAsia" w:ascii="宋体" w:hAnsi="宋体" w:eastAsia="宋体" w:cs="宋体"/>
          <w:bCs/>
          <w:sz w:val="21"/>
          <w:szCs w:val="21"/>
        </w:rPr>
        <w:t>中标方</w:t>
      </w:r>
      <w:r>
        <w:rPr>
          <w:rFonts w:hint="eastAsia" w:ascii="宋体" w:hAnsi="宋体" w:eastAsia="宋体" w:cs="宋体"/>
          <w:sz w:val="21"/>
          <w:szCs w:val="21"/>
        </w:rPr>
        <w:t>或供应商。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2.适用范围</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本合同条款仅适用于本次招标活动。</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3.技术规格和标准</w:t>
      </w:r>
    </w:p>
    <w:p>
      <w:pPr>
        <w:pStyle w:val="15"/>
        <w:spacing w:line="360" w:lineRule="auto"/>
        <w:ind w:firstLine="480"/>
        <w:rPr>
          <w:rFonts w:hint="eastAsia" w:ascii="宋体" w:hAnsi="宋体" w:eastAsia="宋体" w:cs="宋体"/>
          <w:sz w:val="21"/>
          <w:szCs w:val="21"/>
        </w:rPr>
      </w:pPr>
      <w:r>
        <w:rPr>
          <w:rFonts w:hint="eastAsia" w:ascii="宋体" w:hAnsi="宋体" w:eastAsia="宋体" w:cs="宋体"/>
          <w:sz w:val="21"/>
          <w:szCs w:val="21"/>
        </w:rPr>
        <w:t>本合同项下所提供服务的技术规格标准应与本招标文件技术规格规定的标准相一致。</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4.合同期限</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即自</w:t>
      </w:r>
      <w:r>
        <w:rPr>
          <w:rFonts w:hint="eastAsia" w:ascii="宋体" w:hAnsi="宋体" w:eastAsia="宋体" w:cs="宋体"/>
          <w:sz w:val="21"/>
          <w:szCs w:val="21"/>
        </w:rPr>
        <w:tab/>
      </w:r>
      <w:r>
        <w:rPr>
          <w:rFonts w:hint="eastAsia" w:ascii="宋体" w:hAnsi="宋体" w:eastAsia="宋体" w:cs="宋体"/>
          <w:sz w:val="21"/>
          <w:szCs w:val="21"/>
        </w:rPr>
        <w:t>年</w:t>
      </w:r>
      <w:r>
        <w:rPr>
          <w:rFonts w:hint="eastAsia" w:ascii="宋体" w:hAnsi="宋体" w:eastAsia="宋体" w:cs="宋体"/>
          <w:sz w:val="21"/>
          <w:szCs w:val="21"/>
        </w:rPr>
        <w:tab/>
      </w:r>
      <w:r>
        <w:rPr>
          <w:rFonts w:hint="eastAsia" w:ascii="宋体" w:hAnsi="宋体" w:eastAsia="宋体" w:cs="宋体"/>
          <w:sz w:val="21"/>
          <w:szCs w:val="21"/>
        </w:rPr>
        <w:t>月</w:t>
      </w:r>
      <w:r>
        <w:rPr>
          <w:rFonts w:hint="eastAsia" w:ascii="宋体" w:hAnsi="宋体" w:eastAsia="宋体" w:cs="宋体"/>
          <w:sz w:val="21"/>
          <w:szCs w:val="21"/>
        </w:rPr>
        <w:tab/>
      </w:r>
      <w:r>
        <w:rPr>
          <w:rFonts w:hint="eastAsia" w:ascii="宋体" w:hAnsi="宋体" w:eastAsia="宋体" w:cs="宋体"/>
          <w:sz w:val="21"/>
          <w:szCs w:val="21"/>
        </w:rPr>
        <w:t>日起至</w:t>
      </w:r>
      <w:r>
        <w:rPr>
          <w:rFonts w:hint="eastAsia" w:ascii="宋体" w:hAnsi="宋体" w:eastAsia="宋体" w:cs="宋体"/>
          <w:sz w:val="21"/>
          <w:szCs w:val="21"/>
        </w:rPr>
        <w:tab/>
      </w:r>
      <w:r>
        <w:rPr>
          <w:rFonts w:hint="eastAsia" w:ascii="宋体" w:hAnsi="宋体" w:eastAsia="宋体" w:cs="宋体"/>
          <w:sz w:val="21"/>
          <w:szCs w:val="21"/>
        </w:rPr>
        <w:t>年</w:t>
      </w:r>
      <w:r>
        <w:rPr>
          <w:rFonts w:hint="eastAsia" w:ascii="宋体" w:hAnsi="宋体" w:eastAsia="宋体" w:cs="宋体"/>
          <w:sz w:val="21"/>
          <w:szCs w:val="21"/>
        </w:rPr>
        <w:tab/>
      </w:r>
      <w:r>
        <w:rPr>
          <w:rFonts w:hint="eastAsia" w:ascii="宋体" w:hAnsi="宋体" w:eastAsia="宋体" w:cs="宋体"/>
          <w:sz w:val="21"/>
          <w:szCs w:val="21"/>
        </w:rPr>
        <w:t>月</w:t>
      </w:r>
      <w:r>
        <w:rPr>
          <w:rFonts w:hint="eastAsia" w:ascii="宋体" w:hAnsi="宋体" w:eastAsia="宋体" w:cs="宋体"/>
          <w:sz w:val="21"/>
          <w:szCs w:val="21"/>
        </w:rPr>
        <w:tab/>
      </w:r>
      <w:r>
        <w:rPr>
          <w:rFonts w:hint="eastAsia" w:ascii="宋体" w:hAnsi="宋体" w:eastAsia="宋体" w:cs="宋体"/>
          <w:sz w:val="21"/>
          <w:szCs w:val="21"/>
        </w:rPr>
        <w:t>日止。</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5.价格</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除非合同中另有规定，乙方为其所提供货物设备和服务而要求甲方支付的金额应与其投标报价一致。</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6.索赔</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6.1乙方对所提供服务与合同要求不符负有责任，并且甲方已于合同规定的期限内提出索赔，乙方应按甲方同意的下述一种或多种方法解决索赔事宜。</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6.1.1乙方同意甲方取消其不符合要求的服务项目，退还已经收取的款项。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6.1.2对于情节严重、造成甲方损失金额巨大的，同意甲方终止全部项目合同，并赔偿甲方因此造成的损失。</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6.2如果甲方提出索赔通知后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7.不可抗力</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7.2受损一方应在不可抗力事故发生后尽快用电报、传真或电传通知对方，并于事故发生后 14天内将有关部门出具的证明文件用特快专递或挂号信寄给对方审阅确认。</w:t>
      </w:r>
      <w:r>
        <w:rPr>
          <w:rFonts w:hint="eastAsia" w:ascii="宋体" w:hAnsi="宋体" w:eastAsia="宋体" w:cs="宋体"/>
          <w:sz w:val="21"/>
          <w:szCs w:val="21"/>
          <w:u w:val="single"/>
        </w:rPr>
        <w:t>一旦不可抗力事故的影响持续 60天以上</w:t>
      </w:r>
      <w:r>
        <w:rPr>
          <w:rFonts w:hint="eastAsia" w:ascii="宋体" w:hAnsi="宋体" w:eastAsia="宋体" w:cs="宋体"/>
          <w:sz w:val="21"/>
          <w:szCs w:val="21"/>
        </w:rPr>
        <w:t>，双方应通过友好协商，在合理的时间内达成进一步履行合同的协议。</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8.履约保证金</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8.1履约保证金的有效期至供货完毕且验收合格。</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8.2乙方提供的履约保证金按规定格式以现金、转帐支票、电汇的形式提供，与此有关的费用由乙方负担。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8.3如果乙方未能按合同规定履行其义务，甲方有权从履约保证金取得补偿。</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9.争议的解决</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9.1在执行合同中发生的与本合同有关的争端，双方应通过友好协商解决，经协商在 60天内不能达成协议时，应提交仲裁。</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9.2合同双方均为国内法人的，其争端的仲裁应由合同发生地许昌市仲裁委员会根据其仲裁程序进行。</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9.3 仲裁裁决应为最终决定，并对双方具有约束力。</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9.4 除另有裁决外，仲裁费应由败诉方负担。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9.5 在仲裁期间，除正在进行的仲裁部分外，合同其他部分继续执行。</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10.合同终止</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10.1本合同期限为</w:t>
      </w:r>
      <w:r>
        <w:rPr>
          <w:rFonts w:hint="eastAsia" w:ascii="宋体" w:hAnsi="宋体" w:eastAsia="宋体" w:cs="宋体"/>
          <w:b/>
          <w:sz w:val="21"/>
          <w:szCs w:val="21"/>
          <w:u w:val="single"/>
        </w:rPr>
        <w:t xml:space="preserve">     </w:t>
      </w:r>
      <w:r>
        <w:rPr>
          <w:rFonts w:hint="eastAsia" w:ascii="宋体" w:hAnsi="宋体" w:eastAsia="宋体" w:cs="宋体"/>
          <w:sz w:val="21"/>
          <w:szCs w:val="21"/>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10.2 出现下列情况时合同自动终止：</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10.2.1发生不可抗力时。</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10.2.2一方不履行合同条款，造成另一方无法执行合同协议，协商又不能求得解决，合同终止，责任方赔偿损失。</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11.合同修改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对于合同的未尽事宜，需进行修改、补充和完善的，甲乙双方必须就所修改的内容签订书面的合同修改书，作为合同的补充协议。</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12.适用法律</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本合同应按中华人民共和国的法律解释。</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13.主导语言与计量单位</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13.1 合同书写应用中文书写。合同五份，甲乙双方及采购代理机构和许昌市政府采购管理办公室及相关业务科室（备案）各执一份，具有同等法律效力。</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13.2 除技术规格另有规定外，计量单位均使用中华人民共和国法定计量单位。</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14.合同生效</w:t>
      </w:r>
    </w:p>
    <w:p>
      <w:pPr>
        <w:pStyle w:val="13"/>
        <w:spacing w:line="360" w:lineRule="auto"/>
        <w:contextualSpacing/>
        <w:jc w:val="left"/>
        <w:rPr>
          <w:rFonts w:hint="eastAsia" w:ascii="宋体" w:hAnsi="宋体" w:eastAsia="宋体" w:cs="宋体"/>
          <w:b/>
          <w:kern w:val="0"/>
          <w:sz w:val="21"/>
          <w:szCs w:val="21"/>
        </w:rPr>
      </w:pPr>
      <w:r>
        <w:rPr>
          <w:rFonts w:hint="eastAsia" w:ascii="宋体" w:hAnsi="宋体" w:eastAsia="宋体" w:cs="宋体"/>
          <w:sz w:val="21"/>
          <w:szCs w:val="21"/>
        </w:rPr>
        <w:t>除非合同中另有说明，本合同经双方签字盖章，并在招标人收到乙方的履约保证金后，即开始生效。</w:t>
      </w:r>
    </w:p>
    <w:p>
      <w:pPr>
        <w:pStyle w:val="13"/>
        <w:spacing w:line="360" w:lineRule="auto"/>
        <w:contextualSpacing/>
        <w:jc w:val="center"/>
        <w:rPr>
          <w:rFonts w:hint="eastAsia" w:ascii="宋体" w:hAnsi="宋体" w:eastAsia="宋体" w:cs="宋体"/>
          <w:b/>
          <w:kern w:val="0"/>
          <w:sz w:val="21"/>
          <w:szCs w:val="21"/>
        </w:rPr>
      </w:pPr>
    </w:p>
    <w:p>
      <w:pPr>
        <w:wordWrap w:val="0"/>
        <w:topLinePunct/>
        <w:autoSpaceDE w:val="0"/>
        <w:autoSpaceDN w:val="0"/>
        <w:adjustRightInd w:val="0"/>
        <w:snapToGrid w:val="0"/>
        <w:spacing w:line="360" w:lineRule="auto"/>
        <w:jc w:val="center"/>
        <w:outlineLvl w:val="0"/>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（二）合同特殊条款</w:t>
      </w:r>
    </w:p>
    <w:p>
      <w:pPr>
        <w:wordWrap w:val="0"/>
        <w:topLinePunct/>
        <w:autoSpaceDE w:val="0"/>
        <w:autoSpaceDN w:val="0"/>
        <w:adjustRightInd w:val="0"/>
        <w:snapToGrid w:val="0"/>
        <w:spacing w:line="360" w:lineRule="auto"/>
        <w:jc w:val="center"/>
        <w:rPr>
          <w:rFonts w:hint="eastAsia" w:ascii="宋体" w:hAnsi="宋体" w:eastAsia="宋体" w:cs="宋体"/>
          <w:b/>
          <w:bCs/>
          <w:sz w:val="21"/>
          <w:szCs w:val="21"/>
          <w:lang w:val="zh-CN"/>
        </w:rPr>
      </w:pP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outlineLvl w:val="0"/>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合同书 （参考样本）</w:t>
      </w:r>
    </w:p>
    <w:p>
      <w:pPr>
        <w:wordWrap w:val="0"/>
        <w:topLinePunct/>
        <w:autoSpaceDE w:val="0"/>
        <w:autoSpaceDN w:val="0"/>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合同编号：</w:t>
      </w:r>
    </w:p>
    <w:p>
      <w:pPr>
        <w:wordWrap w:val="0"/>
        <w:topLinePunct/>
        <w:autoSpaceDE w:val="0"/>
        <w:autoSpaceDN w:val="0"/>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供方：                                  需方：</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供、需双方根据   年  月  日招标人签发的中标通知书和招投标文件，并经双方协商一致，在平等互利的基础上，达成以下合同条款：</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一、招标文件、投标文件、澄清文件及材料（如果有的话）、中标通知书、合同条款、补充协议（如果有的话）均为合同不可分割的部分。</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二、货物名称、数量、规格、型号、金额及交货期</w:t>
      </w:r>
    </w:p>
    <w:tbl>
      <w:tblPr>
        <w:tblStyle w:val="25"/>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zh-CN"/>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zh-CN"/>
              </w:rPr>
              <w:t>单位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zh-CN"/>
              </w:rPr>
              <w:t>数量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zh-CN"/>
              </w:rPr>
              <w:t>单价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hint="eastAsia" w:ascii="宋体" w:hAnsi="宋体" w:eastAsia="宋体" w:cs="宋体"/>
                <w:sz w:val="21"/>
                <w:szCs w:val="21"/>
              </w:rPr>
            </w:pPr>
            <w:r>
              <w:rPr>
                <w:rFonts w:hint="eastAsia" w:ascii="宋体" w:hAnsi="宋体" w:eastAsia="宋体" w:cs="宋体"/>
                <w:sz w:val="21"/>
                <w:szCs w:val="21"/>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hint="eastAsia" w:ascii="宋体" w:hAnsi="宋体" w:eastAsia="宋体" w:cs="宋体"/>
                <w:sz w:val="21"/>
                <w:szCs w:val="21"/>
              </w:rPr>
            </w:pPr>
            <w:r>
              <w:rPr>
                <w:rFonts w:hint="eastAsia" w:ascii="宋体" w:hAnsi="宋体" w:eastAsia="宋体" w:cs="宋体"/>
                <w:sz w:val="21"/>
                <w:szCs w:val="21"/>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eastAsia="宋体" w:cs="宋体"/>
                <w:sz w:val="21"/>
                <w:szCs w:val="21"/>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eastAsia="宋体" w:cs="宋体"/>
                <w:sz w:val="21"/>
                <w:szCs w:val="21"/>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eastAsia="宋体" w:cs="宋体"/>
                <w:sz w:val="21"/>
                <w:szCs w:val="21"/>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eastAsia="宋体" w:cs="宋体"/>
                <w:sz w:val="21"/>
                <w:szCs w:val="21"/>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eastAsia="宋体" w:cs="宋体"/>
                <w:sz w:val="21"/>
                <w:szCs w:val="21"/>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eastAsia="宋体" w:cs="宋体"/>
                <w:sz w:val="21"/>
                <w:szCs w:val="21"/>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eastAsia="宋体" w:cs="宋体"/>
                <w:sz w:val="21"/>
                <w:szCs w:val="21"/>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eastAsia="宋体" w:cs="宋体"/>
                <w:sz w:val="21"/>
                <w:szCs w:val="21"/>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eastAsia="宋体" w:cs="宋体"/>
                <w:sz w:val="21"/>
                <w:szCs w:val="21"/>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eastAsia="宋体" w:cs="宋体"/>
                <w:sz w:val="21"/>
                <w:szCs w:val="21"/>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eastAsia="宋体" w:cs="宋体"/>
                <w:sz w:val="21"/>
                <w:szCs w:val="21"/>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eastAsia="宋体" w:cs="宋体"/>
                <w:sz w:val="21"/>
                <w:szCs w:val="21"/>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eastAsia="宋体" w:cs="宋体"/>
                <w:sz w:val="21"/>
                <w:szCs w:val="21"/>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eastAsia="宋体" w:cs="宋体"/>
                <w:sz w:val="21"/>
                <w:szCs w:val="21"/>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zh-CN"/>
              </w:rPr>
              <w:t>合计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sz w:val="21"/>
                <w:szCs w:val="21"/>
                <w:lang w:val="zh-CN"/>
              </w:rPr>
            </w:pPr>
            <w:r>
              <w:rPr>
                <w:rFonts w:hint="eastAsia" w:ascii="宋体" w:hAnsi="宋体" w:eastAsia="宋体" w:cs="宋体"/>
                <w:sz w:val="21"/>
                <w:szCs w:val="21"/>
                <w:lang w:val="zh-CN"/>
              </w:rPr>
              <w:t>大写：　　　　　　小写：</w:t>
            </w:r>
          </w:p>
        </w:tc>
      </w:tr>
    </w:tbl>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三、设备质量要求及供方对质量负责的条件和期限</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 xml:space="preserve">    1、供方提供的货物须是全新的且保证不是库存或积压品(包括零部件)，符合国家、部委或地方相关标准以及该产品的出厂标准。</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2、供方应在产品使用期限内，承担所提供的货物因自身质量原因产生的责任。</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四、交货时间、地点、方式： 年 月 日前，供方负责将货物按需方规定的地点交货、安装、调试完毕，并具备验收条件。</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五、货物标志、包装、运输：按招标文件办理。供方将货物直接运至规定的地点，运费自理。</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六、技术资料及技术服务：供方在交货时应执行招标文件中有关技术资料、技术服务的规定，向需方交付技术资料并进行技术培训。</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七、货物验收：验收标准按招标文件规定执行。需方有权对供方所交货物抽样做试运行实验、实验室检查。</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八、售后服务：按招标文件及投标文件相应条款执行。</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九、结算方式：设</w:t>
      </w:r>
      <w:r>
        <w:rPr>
          <w:rFonts w:hint="eastAsia" w:ascii="宋体" w:hAnsi="宋体" w:eastAsia="宋体" w:cs="宋体"/>
          <w:color w:val="000000"/>
          <w:sz w:val="21"/>
          <w:szCs w:val="21"/>
        </w:rPr>
        <w:t>设备安装完成</w:t>
      </w:r>
      <w:r>
        <w:rPr>
          <w:rFonts w:hint="eastAsia" w:ascii="宋体" w:hAnsi="宋体" w:eastAsia="宋体" w:cs="宋体"/>
          <w:sz w:val="21"/>
          <w:szCs w:val="21"/>
        </w:rPr>
        <w:t>经验收合格后付总价的   %，剩余    %满一年无质量问题一次付清。</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十、法律责任</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 xml:space="preserve">    1、供方所交的货物品种、品牌、型号、规格、质量不符合招、投标文件及本合同规定，需方有权拒收，供方应在本合同规定的交货期内负责更换并承担因更换而支付的费用。因更换而造成的逾期交货，则按逾期交货处理。</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 xml:space="preserve">    2、供方逾期交付货物，应向需方每日支付逾期交货部分货款总值5%的违约金；在合同规定的交货期满15日仍未全部交货，按不能交货处理。仅支付已验收货物的货款，供方应承担由此发生的全部费用。</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 xml:space="preserve">    3、供方在本合同规定的交货期内不能交货，应向需方支付全部合同金额5%的违约金，需方有权终止合同。</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 xml:space="preserve">    4、需方无正当理由拒收设备，应向供方支付无正当理由拒收设备金额5%的违约金。 </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 xml:space="preserve">    5、因供方原因造成逾期付款，需方不承担责任。</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十一、质量鉴定：因质量问题发生争议，由许昌市技术监督局或其指定的机构进行质量鉴定，该鉴定结论是终局的，供需双方均应当接受鉴定结论。</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十二、合同生效及其它：本合同经双方法定代表人或委托代理人签字并加盖公章后生效。本合同一式　份，供需双方各一份、相关部门　份。</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供方：                              需方：</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地址：                              地址：</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法定代表人：                        法定代表人：</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委托代理人：                        委托代理人：</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电话：                              电话：</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开户银行：                          开户银行：</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帐号：                              帐号：</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税务登记证号：                      签定时间：</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pStyle w:val="48"/>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6274126"/>
      <w:bookmarkStart w:id="2" w:name="_Toc184023138"/>
      <w:bookmarkStart w:id="3" w:name="_Toc174185203"/>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kern w:val="0"/>
                <w:sz w:val="21"/>
                <w:szCs w:val="21"/>
              </w:rPr>
            </w:pPr>
            <w:r>
              <w:rPr>
                <w:rFonts w:hint="eastAsia" w:hAnsi="宋体"/>
                <w:kern w:val="0"/>
                <w:sz w:val="21"/>
                <w:szCs w:val="21"/>
              </w:rPr>
              <w:t>纳税证明</w:t>
            </w: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纳税凭据复印件</w:t>
            </w:r>
          </w:p>
        </w:tc>
        <w:tc>
          <w:tcPr>
            <w:tcW w:w="1559" w:type="dxa"/>
            <w:vAlign w:val="center"/>
          </w:tcPr>
          <w:p>
            <w:pPr>
              <w:pStyle w:val="13"/>
              <w:rPr>
                <w:rFonts w:ascii="宋体" w:hAnsi="宋体" w:cs="微软雅黑"/>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证明或承诺函</w:t>
            </w:r>
          </w:p>
        </w:tc>
        <w:tc>
          <w:tcPr>
            <w:tcW w:w="709" w:type="dxa"/>
            <w:gridSpan w:val="2"/>
            <w:vMerge w:val="restart"/>
            <w:tcBorders>
              <w:left w:val="single" w:color="auto" w:sz="6"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强制节能产品政府采购清单情况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环境标志产品政府采购清单情况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注：交付日期指完成该项目的最终时间（日历天）。</w:t>
      </w: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投标人法定代表人（或法定代表人授权代表）签字或盖章：</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9"/>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39"/>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2"/>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1"/>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法定代表人：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法定代表人授权代表：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法定代表人授权代表身份证（正面）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许昌公共资源交易中心保证金缴纳回执</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r>
        <w:rPr>
          <w:rFonts w:hint="eastAsia" w:ascii="宋体" w:cs="宋体"/>
          <w:szCs w:val="21"/>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w:t>
      </w:r>
      <w:r>
        <w:rPr>
          <w:rFonts w:cs="宋体" w:asciiTheme="minorEastAsia" w:hAnsiTheme="minorEastAsia"/>
          <w:szCs w:val="21"/>
          <w:lang w:val="zh-CN"/>
        </w:rPr>
        <w:t xml:space="preserve"> </w:t>
      </w:r>
      <w:r>
        <w:rPr>
          <w:rFonts w:hint="eastAsia" w:cs="宋体" w:asciiTheme="minorEastAsia" w:hAnsiTheme="minorEastAsia"/>
          <w:szCs w:val="21"/>
          <w:lang w:val="zh-CN"/>
        </w:rPr>
        <w:t>（或授权代表）签字：</w:t>
      </w: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322" w:type="dxa"/>
        <w:tblInd w:w="0" w:type="dxa"/>
        <w:tblLayout w:type="fixed"/>
        <w:tblCellMar>
          <w:top w:w="0" w:type="dxa"/>
          <w:left w:w="108" w:type="dxa"/>
          <w:bottom w:w="0" w:type="dxa"/>
          <w:right w:w="108" w:type="dxa"/>
        </w:tblCellMar>
      </w:tblPr>
      <w:tblGrid>
        <w:gridCol w:w="828"/>
        <w:gridCol w:w="1265"/>
        <w:gridCol w:w="1559"/>
        <w:gridCol w:w="1559"/>
        <w:gridCol w:w="1560"/>
        <w:gridCol w:w="1134"/>
        <w:gridCol w:w="1417"/>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6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偏离情况说明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Cs w:val="21"/>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制造商</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提供节能产品所在页</w:t>
            </w:r>
          </w:p>
          <w:p>
            <w:pPr>
              <w:pStyle w:val="9"/>
              <w:jc w:val="center"/>
              <w:rPr>
                <w:rFonts w:ascii="宋体" w:hAnsi="宋体" w:eastAsia="宋体" w:cs="宋体"/>
                <w:b/>
                <w:bCs/>
                <w:sz w:val="21"/>
                <w:szCs w:val="21"/>
              </w:rPr>
            </w:pPr>
            <w:r>
              <w:rPr>
                <w:rFonts w:hint="eastAsia" w:ascii="宋体" w:hAnsi="宋体" w:eastAsia="宋体" w:cs="宋体"/>
                <w:b/>
                <w:bCs/>
                <w:sz w:val="21"/>
                <w:szCs w:val="21"/>
              </w:rPr>
              <w:t>复印件</w:t>
            </w:r>
          </w:p>
          <w:p>
            <w:pPr>
              <w:pStyle w:val="9"/>
              <w:jc w:val="center"/>
              <w:rPr>
                <w:rFonts w:ascii="宋体" w:hAnsi="宋体" w:eastAsia="宋体" w:cs="宋体"/>
                <w:b/>
                <w:bCs/>
                <w:sz w:val="21"/>
                <w:szCs w:val="21"/>
              </w:rPr>
            </w:pPr>
            <w:r>
              <w:rPr>
                <w:rFonts w:hint="eastAsia" w:ascii="宋体" w:hAnsi="宋体" w:eastAsia="宋体" w:cs="宋体"/>
                <w:b/>
                <w:bCs/>
                <w:sz w:val="21"/>
                <w:szCs w:val="21"/>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说明：所投产品节能清单所在页复印件并加盖投标人公章须附后。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Cs w:val="21"/>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制造商</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提供节能产品所在页</w:t>
            </w:r>
          </w:p>
          <w:p>
            <w:pPr>
              <w:pStyle w:val="9"/>
              <w:jc w:val="center"/>
              <w:rPr>
                <w:rFonts w:ascii="宋体" w:hAnsi="宋体" w:eastAsia="宋体" w:cs="宋体"/>
                <w:b/>
                <w:bCs/>
                <w:sz w:val="21"/>
                <w:szCs w:val="21"/>
              </w:rPr>
            </w:pPr>
            <w:r>
              <w:rPr>
                <w:rFonts w:hint="eastAsia" w:ascii="宋体" w:hAnsi="宋体" w:eastAsia="宋体" w:cs="宋体"/>
                <w:b/>
                <w:bCs/>
                <w:sz w:val="21"/>
                <w:szCs w:val="21"/>
              </w:rPr>
              <w:t>复印件</w:t>
            </w:r>
          </w:p>
          <w:p>
            <w:pPr>
              <w:pStyle w:val="9"/>
              <w:jc w:val="center"/>
              <w:rPr>
                <w:rFonts w:ascii="宋体" w:hAnsi="宋体" w:eastAsia="宋体" w:cs="宋体"/>
                <w:b/>
                <w:bCs/>
                <w:sz w:val="21"/>
                <w:szCs w:val="21"/>
              </w:rPr>
            </w:pPr>
            <w:r>
              <w:rPr>
                <w:rFonts w:hint="eastAsia" w:ascii="宋体" w:hAnsi="宋体" w:eastAsia="宋体" w:cs="宋体"/>
                <w:b/>
                <w:bCs/>
                <w:sz w:val="21"/>
                <w:szCs w:val="21"/>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Cs w:val="21"/>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制造商</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中国环境标志认证证书编号</w:t>
            </w:r>
          </w:p>
        </w:tc>
        <w:tc>
          <w:tcPr>
            <w:tcW w:w="1439"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提供环境标志产品所在页复印件</w:t>
            </w:r>
          </w:p>
          <w:p>
            <w:pPr>
              <w:pStyle w:val="9"/>
              <w:jc w:val="center"/>
              <w:rPr>
                <w:rFonts w:ascii="宋体" w:hAnsi="宋体" w:eastAsia="宋体" w:cs="宋体"/>
                <w:b/>
                <w:bCs/>
                <w:sz w:val="21"/>
                <w:szCs w:val="21"/>
              </w:rPr>
            </w:pPr>
            <w:r>
              <w:rPr>
                <w:rFonts w:hint="eastAsia" w:ascii="宋体" w:hAnsi="宋体" w:eastAsia="宋体" w:cs="宋体"/>
                <w:b/>
                <w:bCs/>
                <w:sz w:val="21"/>
                <w:szCs w:val="21"/>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jc w:val="left"/>
        <w:rPr>
          <w:rFonts w:ascii="宋体" w:hAnsi="宋体"/>
          <w:color w:val="000000"/>
          <w:szCs w:val="21"/>
        </w:rPr>
      </w:pPr>
    </w:p>
    <w:p>
      <w:pPr>
        <w:widowControl/>
        <w:spacing w:before="100" w:beforeAutospacing="1" w:after="100" w:afterAutospacing="1" w:line="360" w:lineRule="auto"/>
        <w:jc w:val="left"/>
        <w:rPr>
          <w:rFonts w:ascii="宋体" w:hAnsi="宋体"/>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bookmarkStart w:id="7" w:name="OLE_LINK13"/>
      <w:bookmarkStart w:id="8" w:name="OLE_LINK14"/>
      <w:r>
        <w:rPr>
          <w:rFonts w:hint="eastAsia" w:ascii="宋体" w:hAnsi="宋体"/>
          <w:b/>
          <w:bCs/>
          <w:color w:val="000000"/>
          <w:sz w:val="24"/>
          <w:szCs w:val="24"/>
        </w:rPr>
        <w:t>4.10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35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4542E"/>
    <w:multiLevelType w:val="singleLevel"/>
    <w:tmpl w:val="8554542E"/>
    <w:lvl w:ilvl="0" w:tentative="0">
      <w:start w:val="1"/>
      <w:numFmt w:val="chineseCounting"/>
      <w:suff w:val="nothing"/>
      <w:lvlText w:val="%1、"/>
      <w:lvlJc w:val="left"/>
      <w:rPr>
        <w:rFonts w:hint="eastAsia"/>
      </w:rPr>
    </w:lvl>
  </w:abstractNum>
  <w:abstractNum w:abstractNumId="1">
    <w:nsid w:val="E0C02ABF"/>
    <w:multiLevelType w:val="singleLevel"/>
    <w:tmpl w:val="E0C02ABF"/>
    <w:lvl w:ilvl="0" w:tentative="0">
      <w:start w:val="1"/>
      <w:numFmt w:val="decimal"/>
      <w:suff w:val="nothing"/>
      <w:lvlText w:val="%1、"/>
      <w:lvlJc w:val="left"/>
    </w:lvl>
  </w:abstractNum>
  <w:abstractNum w:abstractNumId="2">
    <w:nsid w:val="FCB97BA7"/>
    <w:multiLevelType w:val="singleLevel"/>
    <w:tmpl w:val="FCB97BA7"/>
    <w:lvl w:ilvl="0" w:tentative="0">
      <w:start w:val="1"/>
      <w:numFmt w:val="decimal"/>
      <w:suff w:val="nothing"/>
      <w:lvlText w:val="%1、"/>
      <w:lvlJc w:val="left"/>
    </w:lvl>
  </w:abstractNum>
  <w:abstractNum w:abstractNumId="3">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6207351"/>
    <w:multiLevelType w:val="multilevel"/>
    <w:tmpl w:val="46207351"/>
    <w:lvl w:ilvl="0" w:tentative="0">
      <w:start w:val="2"/>
      <w:numFmt w:val="decimal"/>
      <w:lvlText w:val="%1."/>
      <w:lvlJc w:val="left"/>
      <w:pPr>
        <w:ind w:left="420" w:hanging="420"/>
      </w:pPr>
      <w:rPr>
        <w:rFonts w:hint="eastAsia"/>
      </w:rPr>
    </w:lvl>
    <w:lvl w:ilvl="1" w:tentative="0">
      <w:start w:val="2"/>
      <w:numFmt w:val="decimal"/>
      <w:lvlText w:val="%2.8.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9F817C2"/>
    <w:multiLevelType w:val="singleLevel"/>
    <w:tmpl w:val="59F817C2"/>
    <w:lvl w:ilvl="0" w:tentative="0">
      <w:start w:val="2"/>
      <w:numFmt w:val="chineseCounting"/>
      <w:suff w:val="space"/>
      <w:lvlText w:val="第%1章"/>
      <w:lvlJc w:val="left"/>
    </w:lvl>
  </w:abstractNum>
  <w:abstractNum w:abstractNumId="17">
    <w:nsid w:val="59F817E8"/>
    <w:multiLevelType w:val="singleLevel"/>
    <w:tmpl w:val="59F817E8"/>
    <w:lvl w:ilvl="0" w:tentative="0">
      <w:start w:val="1"/>
      <w:numFmt w:val="chineseCounting"/>
      <w:pStyle w:val="48"/>
      <w:suff w:val="nothing"/>
      <w:lvlText w:val="%1、"/>
      <w:lvlJc w:val="left"/>
    </w:lvl>
  </w:abstractNum>
  <w:abstractNum w:abstractNumId="18">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707C01F4"/>
    <w:multiLevelType w:val="multilevel"/>
    <w:tmpl w:val="707C01F4"/>
    <w:lvl w:ilvl="0" w:tentative="0">
      <w:start w:val="2"/>
      <w:numFmt w:val="decimal"/>
      <w:lvlText w:val="%1."/>
      <w:lvlJc w:val="left"/>
      <w:pPr>
        <w:ind w:left="420" w:hanging="420"/>
      </w:pPr>
      <w:rPr>
        <w:rFonts w:hint="eastAsia"/>
      </w:rPr>
    </w:lvl>
    <w:lvl w:ilvl="1" w:tentative="0">
      <w:start w:val="2"/>
      <w:numFmt w:val="decimal"/>
      <w:lvlText w:val="%2.8.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17"/>
  </w:num>
  <w:num w:numId="4">
    <w:abstractNumId w:val="16"/>
  </w:num>
  <w:num w:numId="5">
    <w:abstractNumId w:val="0"/>
  </w:num>
  <w:num w:numId="6">
    <w:abstractNumId w:val="10"/>
  </w:num>
  <w:num w:numId="7">
    <w:abstractNumId w:val="18"/>
  </w:num>
  <w:num w:numId="8">
    <w:abstractNumId w:val="19"/>
  </w:num>
  <w:num w:numId="9">
    <w:abstractNumId w:val="14"/>
  </w:num>
  <w:num w:numId="10">
    <w:abstractNumId w:val="11"/>
  </w:num>
  <w:num w:numId="11">
    <w:abstractNumId w:val="7"/>
  </w:num>
  <w:num w:numId="12">
    <w:abstractNumId w:val="8"/>
  </w:num>
  <w:num w:numId="13">
    <w:abstractNumId w:val="21"/>
  </w:num>
  <w:num w:numId="14">
    <w:abstractNumId w:val="13"/>
  </w:num>
  <w:num w:numId="15">
    <w:abstractNumId w:val="20"/>
  </w:num>
  <w:num w:numId="16">
    <w:abstractNumId w:val="6"/>
  </w:num>
  <w:num w:numId="17">
    <w:abstractNumId w:val="9"/>
  </w:num>
  <w:num w:numId="18">
    <w:abstractNumId w:val="15"/>
  </w:num>
  <w:num w:numId="19">
    <w:abstractNumId w:val="12"/>
  </w:num>
  <w:num w:numId="20">
    <w:abstractNumId w:val="2"/>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D20A3"/>
    <w:rsid w:val="00000A27"/>
    <w:rsid w:val="000043E4"/>
    <w:rsid w:val="00012712"/>
    <w:rsid w:val="000178D4"/>
    <w:rsid w:val="00020353"/>
    <w:rsid w:val="00022000"/>
    <w:rsid w:val="00022021"/>
    <w:rsid w:val="000300B0"/>
    <w:rsid w:val="000318E9"/>
    <w:rsid w:val="00033D27"/>
    <w:rsid w:val="00034324"/>
    <w:rsid w:val="000554D6"/>
    <w:rsid w:val="00061EBD"/>
    <w:rsid w:val="00066076"/>
    <w:rsid w:val="00074086"/>
    <w:rsid w:val="00086AFB"/>
    <w:rsid w:val="000938BE"/>
    <w:rsid w:val="000A7A0E"/>
    <w:rsid w:val="000B0639"/>
    <w:rsid w:val="000B76FE"/>
    <w:rsid w:val="000C15AC"/>
    <w:rsid w:val="000C5472"/>
    <w:rsid w:val="000D0962"/>
    <w:rsid w:val="000D24B4"/>
    <w:rsid w:val="000D3714"/>
    <w:rsid w:val="000D4F8E"/>
    <w:rsid w:val="000D56C3"/>
    <w:rsid w:val="000E102E"/>
    <w:rsid w:val="000F3964"/>
    <w:rsid w:val="00113A6C"/>
    <w:rsid w:val="00114F7B"/>
    <w:rsid w:val="001309C7"/>
    <w:rsid w:val="0013622E"/>
    <w:rsid w:val="001413B0"/>
    <w:rsid w:val="0014292A"/>
    <w:rsid w:val="001453AC"/>
    <w:rsid w:val="00157BFD"/>
    <w:rsid w:val="0016162A"/>
    <w:rsid w:val="00162961"/>
    <w:rsid w:val="001729F5"/>
    <w:rsid w:val="00175E00"/>
    <w:rsid w:val="001812E3"/>
    <w:rsid w:val="001A1B6C"/>
    <w:rsid w:val="001A3DE4"/>
    <w:rsid w:val="001B3201"/>
    <w:rsid w:val="001B3B1F"/>
    <w:rsid w:val="001B3FA7"/>
    <w:rsid w:val="001C128F"/>
    <w:rsid w:val="001D1F28"/>
    <w:rsid w:val="001D2862"/>
    <w:rsid w:val="001D6D29"/>
    <w:rsid w:val="001E3E55"/>
    <w:rsid w:val="00212A04"/>
    <w:rsid w:val="00220A8C"/>
    <w:rsid w:val="00234499"/>
    <w:rsid w:val="00235DB3"/>
    <w:rsid w:val="002373EF"/>
    <w:rsid w:val="002408D3"/>
    <w:rsid w:val="002447F3"/>
    <w:rsid w:val="00247D4B"/>
    <w:rsid w:val="00247EBC"/>
    <w:rsid w:val="00251DBD"/>
    <w:rsid w:val="0025438E"/>
    <w:rsid w:val="002557F6"/>
    <w:rsid w:val="00257170"/>
    <w:rsid w:val="00257C0C"/>
    <w:rsid w:val="00257C27"/>
    <w:rsid w:val="002644FB"/>
    <w:rsid w:val="00274792"/>
    <w:rsid w:val="00274F8B"/>
    <w:rsid w:val="00282D0F"/>
    <w:rsid w:val="002A4363"/>
    <w:rsid w:val="002A4A94"/>
    <w:rsid w:val="002D5CAA"/>
    <w:rsid w:val="002E3710"/>
    <w:rsid w:val="002F56B1"/>
    <w:rsid w:val="002F68B9"/>
    <w:rsid w:val="00300379"/>
    <w:rsid w:val="00301814"/>
    <w:rsid w:val="00304216"/>
    <w:rsid w:val="00307037"/>
    <w:rsid w:val="003103B1"/>
    <w:rsid w:val="00313750"/>
    <w:rsid w:val="00315BEB"/>
    <w:rsid w:val="00322385"/>
    <w:rsid w:val="00323B0A"/>
    <w:rsid w:val="00325EC7"/>
    <w:rsid w:val="003315A3"/>
    <w:rsid w:val="00333DA4"/>
    <w:rsid w:val="0033593F"/>
    <w:rsid w:val="00336C58"/>
    <w:rsid w:val="00337220"/>
    <w:rsid w:val="00355A48"/>
    <w:rsid w:val="00361029"/>
    <w:rsid w:val="00361EF7"/>
    <w:rsid w:val="00365D02"/>
    <w:rsid w:val="0037403C"/>
    <w:rsid w:val="00380D7C"/>
    <w:rsid w:val="00383B76"/>
    <w:rsid w:val="003B47AA"/>
    <w:rsid w:val="003B602C"/>
    <w:rsid w:val="003B6371"/>
    <w:rsid w:val="003D2B2F"/>
    <w:rsid w:val="003D3FB5"/>
    <w:rsid w:val="003E149A"/>
    <w:rsid w:val="003E2DBE"/>
    <w:rsid w:val="0041124B"/>
    <w:rsid w:val="00412829"/>
    <w:rsid w:val="00414486"/>
    <w:rsid w:val="00415A4E"/>
    <w:rsid w:val="00417373"/>
    <w:rsid w:val="004212CB"/>
    <w:rsid w:val="0042172E"/>
    <w:rsid w:val="004226E9"/>
    <w:rsid w:val="00425942"/>
    <w:rsid w:val="00436090"/>
    <w:rsid w:val="00445971"/>
    <w:rsid w:val="00447141"/>
    <w:rsid w:val="00453CFB"/>
    <w:rsid w:val="00471D9E"/>
    <w:rsid w:val="0048788B"/>
    <w:rsid w:val="004A3EBE"/>
    <w:rsid w:val="004B2239"/>
    <w:rsid w:val="004B22D3"/>
    <w:rsid w:val="004B6F46"/>
    <w:rsid w:val="004B7646"/>
    <w:rsid w:val="004C3729"/>
    <w:rsid w:val="004C488A"/>
    <w:rsid w:val="004D339F"/>
    <w:rsid w:val="004E2C91"/>
    <w:rsid w:val="004E6481"/>
    <w:rsid w:val="004F1DBB"/>
    <w:rsid w:val="004F5BE4"/>
    <w:rsid w:val="005020CD"/>
    <w:rsid w:val="00512A12"/>
    <w:rsid w:val="00521E2C"/>
    <w:rsid w:val="00522091"/>
    <w:rsid w:val="00522697"/>
    <w:rsid w:val="00544270"/>
    <w:rsid w:val="00547C51"/>
    <w:rsid w:val="005549F8"/>
    <w:rsid w:val="00561C5B"/>
    <w:rsid w:val="00573D06"/>
    <w:rsid w:val="005768AB"/>
    <w:rsid w:val="00577061"/>
    <w:rsid w:val="0058043E"/>
    <w:rsid w:val="005856E5"/>
    <w:rsid w:val="005A0399"/>
    <w:rsid w:val="005A0CBC"/>
    <w:rsid w:val="005A14CE"/>
    <w:rsid w:val="005A3071"/>
    <w:rsid w:val="005E3409"/>
    <w:rsid w:val="005E3F3F"/>
    <w:rsid w:val="005F0B1E"/>
    <w:rsid w:val="005F1DF2"/>
    <w:rsid w:val="0060569D"/>
    <w:rsid w:val="00614304"/>
    <w:rsid w:val="0061792B"/>
    <w:rsid w:val="00622B0B"/>
    <w:rsid w:val="00624843"/>
    <w:rsid w:val="006357B0"/>
    <w:rsid w:val="006369BE"/>
    <w:rsid w:val="00636AAD"/>
    <w:rsid w:val="0063754C"/>
    <w:rsid w:val="0065294F"/>
    <w:rsid w:val="00653D9B"/>
    <w:rsid w:val="00654B93"/>
    <w:rsid w:val="006626FF"/>
    <w:rsid w:val="0067408D"/>
    <w:rsid w:val="00674726"/>
    <w:rsid w:val="006906FE"/>
    <w:rsid w:val="00695567"/>
    <w:rsid w:val="006A7085"/>
    <w:rsid w:val="006B11BB"/>
    <w:rsid w:val="006B59F9"/>
    <w:rsid w:val="006C1ABC"/>
    <w:rsid w:val="006C4A8D"/>
    <w:rsid w:val="006D2F3B"/>
    <w:rsid w:val="006D5390"/>
    <w:rsid w:val="006E6EAB"/>
    <w:rsid w:val="006F0427"/>
    <w:rsid w:val="006F2C6A"/>
    <w:rsid w:val="006F68CC"/>
    <w:rsid w:val="0070010A"/>
    <w:rsid w:val="00704BF9"/>
    <w:rsid w:val="00705BA9"/>
    <w:rsid w:val="00716F27"/>
    <w:rsid w:val="00721711"/>
    <w:rsid w:val="00737DB9"/>
    <w:rsid w:val="007401C3"/>
    <w:rsid w:val="00740E91"/>
    <w:rsid w:val="00746A32"/>
    <w:rsid w:val="007568C2"/>
    <w:rsid w:val="007570E2"/>
    <w:rsid w:val="00760543"/>
    <w:rsid w:val="007727E6"/>
    <w:rsid w:val="0077455F"/>
    <w:rsid w:val="00784774"/>
    <w:rsid w:val="0078780A"/>
    <w:rsid w:val="0079352C"/>
    <w:rsid w:val="00796672"/>
    <w:rsid w:val="007A31F4"/>
    <w:rsid w:val="007A34F1"/>
    <w:rsid w:val="007A48E9"/>
    <w:rsid w:val="007B30DE"/>
    <w:rsid w:val="007B39C7"/>
    <w:rsid w:val="007C07ED"/>
    <w:rsid w:val="007C6705"/>
    <w:rsid w:val="007D2A0A"/>
    <w:rsid w:val="007D2B0C"/>
    <w:rsid w:val="007D3A74"/>
    <w:rsid w:val="007D4BAD"/>
    <w:rsid w:val="007D6D78"/>
    <w:rsid w:val="007E1FE9"/>
    <w:rsid w:val="007E5964"/>
    <w:rsid w:val="007E6183"/>
    <w:rsid w:val="007F0A64"/>
    <w:rsid w:val="007F6FB7"/>
    <w:rsid w:val="0080260F"/>
    <w:rsid w:val="008101FB"/>
    <w:rsid w:val="00811BB1"/>
    <w:rsid w:val="00832E87"/>
    <w:rsid w:val="00833C6A"/>
    <w:rsid w:val="0084302F"/>
    <w:rsid w:val="00847088"/>
    <w:rsid w:val="0085213A"/>
    <w:rsid w:val="0086265C"/>
    <w:rsid w:val="008656DB"/>
    <w:rsid w:val="008734AD"/>
    <w:rsid w:val="008753FE"/>
    <w:rsid w:val="00877C6C"/>
    <w:rsid w:val="008833DC"/>
    <w:rsid w:val="008834FE"/>
    <w:rsid w:val="00884D0F"/>
    <w:rsid w:val="00884F11"/>
    <w:rsid w:val="00887FE7"/>
    <w:rsid w:val="0089369E"/>
    <w:rsid w:val="00893B24"/>
    <w:rsid w:val="00896816"/>
    <w:rsid w:val="008A1EE5"/>
    <w:rsid w:val="008A4543"/>
    <w:rsid w:val="008A5850"/>
    <w:rsid w:val="008B57FF"/>
    <w:rsid w:val="008B5A12"/>
    <w:rsid w:val="008B7AF4"/>
    <w:rsid w:val="008C40A8"/>
    <w:rsid w:val="008C4BEA"/>
    <w:rsid w:val="008C53A7"/>
    <w:rsid w:val="008E62A2"/>
    <w:rsid w:val="008F0E43"/>
    <w:rsid w:val="008F3208"/>
    <w:rsid w:val="00902A7F"/>
    <w:rsid w:val="00905A17"/>
    <w:rsid w:val="00920609"/>
    <w:rsid w:val="00920892"/>
    <w:rsid w:val="009209F7"/>
    <w:rsid w:val="0092409E"/>
    <w:rsid w:val="00930F65"/>
    <w:rsid w:val="00945983"/>
    <w:rsid w:val="00973D36"/>
    <w:rsid w:val="0097535A"/>
    <w:rsid w:val="00985EBA"/>
    <w:rsid w:val="0098622D"/>
    <w:rsid w:val="009A452D"/>
    <w:rsid w:val="009B2B36"/>
    <w:rsid w:val="009B5BC7"/>
    <w:rsid w:val="009B6EA8"/>
    <w:rsid w:val="009C12AB"/>
    <w:rsid w:val="009C5BE8"/>
    <w:rsid w:val="009C5BF0"/>
    <w:rsid w:val="009D1F9C"/>
    <w:rsid w:val="009D203C"/>
    <w:rsid w:val="009D20A3"/>
    <w:rsid w:val="009D3502"/>
    <w:rsid w:val="009E6699"/>
    <w:rsid w:val="00A045C1"/>
    <w:rsid w:val="00A0474D"/>
    <w:rsid w:val="00A159FC"/>
    <w:rsid w:val="00A15F7A"/>
    <w:rsid w:val="00A21DDF"/>
    <w:rsid w:val="00A23F1B"/>
    <w:rsid w:val="00A27AA9"/>
    <w:rsid w:val="00A339F0"/>
    <w:rsid w:val="00A36206"/>
    <w:rsid w:val="00A4096D"/>
    <w:rsid w:val="00A42751"/>
    <w:rsid w:val="00A44605"/>
    <w:rsid w:val="00A52737"/>
    <w:rsid w:val="00A54E5B"/>
    <w:rsid w:val="00A61AF6"/>
    <w:rsid w:val="00A63C44"/>
    <w:rsid w:val="00A678EF"/>
    <w:rsid w:val="00A75A79"/>
    <w:rsid w:val="00A910F1"/>
    <w:rsid w:val="00AA0F1B"/>
    <w:rsid w:val="00AA4CCD"/>
    <w:rsid w:val="00AC49CE"/>
    <w:rsid w:val="00AC4FD2"/>
    <w:rsid w:val="00AE3298"/>
    <w:rsid w:val="00B02024"/>
    <w:rsid w:val="00B05115"/>
    <w:rsid w:val="00B07980"/>
    <w:rsid w:val="00B12A55"/>
    <w:rsid w:val="00B15872"/>
    <w:rsid w:val="00B16E78"/>
    <w:rsid w:val="00B20FA0"/>
    <w:rsid w:val="00B24D17"/>
    <w:rsid w:val="00B277AA"/>
    <w:rsid w:val="00B30127"/>
    <w:rsid w:val="00B32542"/>
    <w:rsid w:val="00B32A03"/>
    <w:rsid w:val="00B4067A"/>
    <w:rsid w:val="00B41493"/>
    <w:rsid w:val="00B42330"/>
    <w:rsid w:val="00B42703"/>
    <w:rsid w:val="00B47396"/>
    <w:rsid w:val="00B5289C"/>
    <w:rsid w:val="00B53BAE"/>
    <w:rsid w:val="00B601A6"/>
    <w:rsid w:val="00B61615"/>
    <w:rsid w:val="00B616DF"/>
    <w:rsid w:val="00B775F1"/>
    <w:rsid w:val="00BA68F5"/>
    <w:rsid w:val="00BB1F82"/>
    <w:rsid w:val="00BB2ACA"/>
    <w:rsid w:val="00BB33D2"/>
    <w:rsid w:val="00BB33E6"/>
    <w:rsid w:val="00BB6706"/>
    <w:rsid w:val="00BC09E9"/>
    <w:rsid w:val="00BC30AC"/>
    <w:rsid w:val="00BC4761"/>
    <w:rsid w:val="00BC548C"/>
    <w:rsid w:val="00BD26E3"/>
    <w:rsid w:val="00BD46B3"/>
    <w:rsid w:val="00BD4844"/>
    <w:rsid w:val="00BD4F16"/>
    <w:rsid w:val="00BD62A9"/>
    <w:rsid w:val="00BD6B19"/>
    <w:rsid w:val="00BD7252"/>
    <w:rsid w:val="00BD77B4"/>
    <w:rsid w:val="00BF1566"/>
    <w:rsid w:val="00BF2BE8"/>
    <w:rsid w:val="00C214C3"/>
    <w:rsid w:val="00C21A0B"/>
    <w:rsid w:val="00C22847"/>
    <w:rsid w:val="00C23C88"/>
    <w:rsid w:val="00C3639D"/>
    <w:rsid w:val="00C41183"/>
    <w:rsid w:val="00C42E82"/>
    <w:rsid w:val="00C44B22"/>
    <w:rsid w:val="00C46BF7"/>
    <w:rsid w:val="00C70AC1"/>
    <w:rsid w:val="00C70FB9"/>
    <w:rsid w:val="00C73B5B"/>
    <w:rsid w:val="00C821C3"/>
    <w:rsid w:val="00C967BD"/>
    <w:rsid w:val="00CA60C0"/>
    <w:rsid w:val="00CB5D80"/>
    <w:rsid w:val="00CC635B"/>
    <w:rsid w:val="00CD0DF3"/>
    <w:rsid w:val="00CD1688"/>
    <w:rsid w:val="00CD275D"/>
    <w:rsid w:val="00CE0D24"/>
    <w:rsid w:val="00CE1F97"/>
    <w:rsid w:val="00CE3B68"/>
    <w:rsid w:val="00CE5C22"/>
    <w:rsid w:val="00D03251"/>
    <w:rsid w:val="00D13B7F"/>
    <w:rsid w:val="00D17952"/>
    <w:rsid w:val="00D22B67"/>
    <w:rsid w:val="00D255E5"/>
    <w:rsid w:val="00D273E8"/>
    <w:rsid w:val="00D276CD"/>
    <w:rsid w:val="00D301AB"/>
    <w:rsid w:val="00D306DE"/>
    <w:rsid w:val="00D37098"/>
    <w:rsid w:val="00D42A85"/>
    <w:rsid w:val="00D50424"/>
    <w:rsid w:val="00D53F80"/>
    <w:rsid w:val="00D615B9"/>
    <w:rsid w:val="00D65B94"/>
    <w:rsid w:val="00D65D54"/>
    <w:rsid w:val="00DB0DE6"/>
    <w:rsid w:val="00DC21F0"/>
    <w:rsid w:val="00DC6509"/>
    <w:rsid w:val="00DE35F4"/>
    <w:rsid w:val="00DF1A9A"/>
    <w:rsid w:val="00DF2776"/>
    <w:rsid w:val="00DF323D"/>
    <w:rsid w:val="00E301A5"/>
    <w:rsid w:val="00E31290"/>
    <w:rsid w:val="00E34343"/>
    <w:rsid w:val="00E533A3"/>
    <w:rsid w:val="00E53E54"/>
    <w:rsid w:val="00E554FC"/>
    <w:rsid w:val="00E57228"/>
    <w:rsid w:val="00E7246F"/>
    <w:rsid w:val="00E81BC8"/>
    <w:rsid w:val="00E970F5"/>
    <w:rsid w:val="00EA678F"/>
    <w:rsid w:val="00EB122F"/>
    <w:rsid w:val="00EC12C7"/>
    <w:rsid w:val="00EC52FD"/>
    <w:rsid w:val="00EC5F8C"/>
    <w:rsid w:val="00EC6291"/>
    <w:rsid w:val="00ED12B1"/>
    <w:rsid w:val="00ED4E2E"/>
    <w:rsid w:val="00ED57DC"/>
    <w:rsid w:val="00EE15D9"/>
    <w:rsid w:val="00EF1B01"/>
    <w:rsid w:val="00EF5261"/>
    <w:rsid w:val="00F001F0"/>
    <w:rsid w:val="00F04FC6"/>
    <w:rsid w:val="00F105D7"/>
    <w:rsid w:val="00F270AE"/>
    <w:rsid w:val="00F2739F"/>
    <w:rsid w:val="00F36EAE"/>
    <w:rsid w:val="00F566F9"/>
    <w:rsid w:val="00F6323A"/>
    <w:rsid w:val="00F6614B"/>
    <w:rsid w:val="00F700DD"/>
    <w:rsid w:val="00F726CB"/>
    <w:rsid w:val="00F771F3"/>
    <w:rsid w:val="00F823FB"/>
    <w:rsid w:val="00F84F9D"/>
    <w:rsid w:val="00F94449"/>
    <w:rsid w:val="00F95117"/>
    <w:rsid w:val="00FA3464"/>
    <w:rsid w:val="00FA69A3"/>
    <w:rsid w:val="00FC5937"/>
    <w:rsid w:val="00FC7550"/>
    <w:rsid w:val="00FD2FE5"/>
    <w:rsid w:val="00FE0F7C"/>
    <w:rsid w:val="00FE6A83"/>
    <w:rsid w:val="00FF2E8B"/>
    <w:rsid w:val="00FF7E23"/>
    <w:rsid w:val="0233042E"/>
    <w:rsid w:val="06C24D26"/>
    <w:rsid w:val="07BA3B87"/>
    <w:rsid w:val="08B91887"/>
    <w:rsid w:val="0A0F6C58"/>
    <w:rsid w:val="0A320D1F"/>
    <w:rsid w:val="0A4649EC"/>
    <w:rsid w:val="0C537582"/>
    <w:rsid w:val="0E462717"/>
    <w:rsid w:val="1158353C"/>
    <w:rsid w:val="17180459"/>
    <w:rsid w:val="1A4C02F6"/>
    <w:rsid w:val="2B8B3AC4"/>
    <w:rsid w:val="2D0E35F0"/>
    <w:rsid w:val="2DF14CF9"/>
    <w:rsid w:val="2FB16068"/>
    <w:rsid w:val="35D44904"/>
    <w:rsid w:val="39AC2BC3"/>
    <w:rsid w:val="3B3C7B71"/>
    <w:rsid w:val="3DB36128"/>
    <w:rsid w:val="42216B38"/>
    <w:rsid w:val="4AE1072B"/>
    <w:rsid w:val="4EAB1EBC"/>
    <w:rsid w:val="4F65519D"/>
    <w:rsid w:val="556917D2"/>
    <w:rsid w:val="5B9D4331"/>
    <w:rsid w:val="5D894EB6"/>
    <w:rsid w:val="642B08D6"/>
    <w:rsid w:val="663F6789"/>
    <w:rsid w:val="702715D2"/>
    <w:rsid w:val="77BA2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1">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First Indent"/>
    <w:basedOn w:val="7"/>
    <w:link w:val="50"/>
    <w:qFormat/>
    <w:uiPriority w:val="0"/>
    <w:pPr>
      <w:ind w:firstLine="420" w:firstLineChars="100"/>
    </w:pPr>
    <w:rPr>
      <w:rFonts w:ascii="宋体" w:hAnsi="Times New Roman" w:eastAsia="宋体" w:cs="Times New Roman"/>
      <w:kern w:val="0"/>
      <w:sz w:val="34"/>
      <w:szCs w:val="20"/>
    </w:rPr>
  </w:style>
  <w:style w:type="paragraph" w:styleId="7">
    <w:name w:val="Body Text"/>
    <w:basedOn w:val="1"/>
    <w:link w:val="49"/>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5"/>
    <w:qFormat/>
    <w:uiPriority w:val="0"/>
    <w:rPr>
      <w:rFonts w:ascii="Times New Roman" w:hAnsi="Times New Roman" w:eastAsia="宋体" w:cs="Times New Roman"/>
      <w:color w:val="FF0000"/>
      <w:sz w:val="24"/>
      <w:szCs w:val="24"/>
    </w:rPr>
  </w:style>
  <w:style w:type="paragraph" w:styleId="11">
    <w:name w:val="toc 5"/>
    <w:basedOn w:val="1"/>
    <w:next w:val="1"/>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0"/>
    <w:qFormat/>
    <w:uiPriority w:val="0"/>
    <w:rPr>
      <w:rFonts w:eastAsia="宋体"/>
      <w:sz w:val="24"/>
    </w:rPr>
  </w:style>
  <w:style w:type="paragraph" w:styleId="14">
    <w:name w:val="Date"/>
    <w:basedOn w:val="1"/>
    <w:next w:val="1"/>
    <w:link w:val="31"/>
    <w:unhideWhenUsed/>
    <w:qFormat/>
    <w:uiPriority w:val="99"/>
    <w:pPr>
      <w:ind w:left="100" w:leftChars="2500"/>
    </w:pPr>
  </w:style>
  <w:style w:type="paragraph" w:styleId="15">
    <w:name w:val="Body Text Indent 2"/>
    <w:basedOn w:val="1"/>
    <w:semiHidden/>
    <w:unhideWhenUsed/>
    <w:qFormat/>
    <w:uiPriority w:val="99"/>
    <w:pPr>
      <w:spacing w:line="440" w:lineRule="exact"/>
      <w:ind w:firstLine="560" w:firstLineChars="200"/>
    </w:pPr>
    <w:rPr>
      <w:rFonts w:ascii="仿宋_GB2312" w:eastAsia="仿宋_GB2312"/>
      <w:sz w:val="28"/>
    </w:rPr>
  </w:style>
  <w:style w:type="paragraph" w:styleId="16">
    <w:name w:val="footer"/>
    <w:basedOn w:val="1"/>
    <w:link w:val="32"/>
    <w:unhideWhenUsed/>
    <w:qFormat/>
    <w:uiPriority w:val="99"/>
    <w:pPr>
      <w:tabs>
        <w:tab w:val="center" w:pos="4153"/>
        <w:tab w:val="right" w:pos="8306"/>
      </w:tabs>
      <w:snapToGrid w:val="0"/>
      <w:jc w:val="left"/>
    </w:pPr>
    <w:rPr>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character" w:styleId="22">
    <w:name w:val="Strong"/>
    <w:basedOn w:val="21"/>
    <w:qFormat/>
    <w:uiPriority w:val="22"/>
    <w:rPr>
      <w:b/>
      <w:bCs/>
    </w:rPr>
  </w:style>
  <w:style w:type="character" w:styleId="23">
    <w:name w:val="FollowedHyperlink"/>
    <w:basedOn w:val="21"/>
    <w:semiHidden/>
    <w:unhideWhenUsed/>
    <w:qFormat/>
    <w:uiPriority w:val="99"/>
    <w:rPr>
      <w:color w:val="800080" w:themeColor="followedHyperlink"/>
      <w:u w:val="single"/>
    </w:rPr>
  </w:style>
  <w:style w:type="character" w:styleId="24">
    <w:name w:val="Hyperlink"/>
    <w:basedOn w:val="21"/>
    <w:unhideWhenUsed/>
    <w:qFormat/>
    <w:uiPriority w:val="99"/>
    <w:rPr>
      <w:color w:val="0000FF"/>
      <w:u w:val="single"/>
    </w:rPr>
  </w:style>
  <w:style w:type="character" w:customStyle="1" w:styleId="26">
    <w:name w:val="标题 1 Char"/>
    <w:basedOn w:val="21"/>
    <w:link w:val="2"/>
    <w:qFormat/>
    <w:uiPriority w:val="0"/>
    <w:rPr>
      <w:rFonts w:ascii="Calibri" w:hAnsi="Calibri" w:eastAsia="宋体" w:cs="Times New Roman"/>
      <w:b/>
      <w:bCs/>
      <w:kern w:val="44"/>
      <w:sz w:val="44"/>
      <w:szCs w:val="44"/>
    </w:rPr>
  </w:style>
  <w:style w:type="character" w:customStyle="1" w:styleId="27">
    <w:name w:val="标题 2 Char"/>
    <w:basedOn w:val="21"/>
    <w:link w:val="3"/>
    <w:qFormat/>
    <w:uiPriority w:val="0"/>
    <w:rPr>
      <w:rFonts w:ascii="Arial" w:hAnsi="Arial" w:eastAsia="黑体" w:cs="Times New Roman"/>
      <w:b/>
      <w:bCs/>
      <w:kern w:val="0"/>
      <w:sz w:val="32"/>
      <w:szCs w:val="32"/>
    </w:rPr>
  </w:style>
  <w:style w:type="character" w:customStyle="1" w:styleId="28">
    <w:name w:val="标题 3 Char"/>
    <w:basedOn w:val="21"/>
    <w:link w:val="4"/>
    <w:qFormat/>
    <w:uiPriority w:val="0"/>
    <w:rPr>
      <w:rFonts w:ascii="宋体" w:hAnsi="宋体" w:eastAsia="宋体" w:cs="Times New Roman"/>
      <w:b/>
      <w:color w:val="000000"/>
      <w:kern w:val="0"/>
      <w:sz w:val="24"/>
      <w:szCs w:val="20"/>
      <w:lang w:val="en-GB"/>
    </w:rPr>
  </w:style>
  <w:style w:type="character" w:customStyle="1" w:styleId="29">
    <w:name w:val="标题 4 Char"/>
    <w:basedOn w:val="21"/>
    <w:link w:val="5"/>
    <w:qFormat/>
    <w:uiPriority w:val="0"/>
    <w:rPr>
      <w:rFonts w:ascii="Arial" w:hAnsi="Arial" w:eastAsia="黑体" w:cs="Times New Roman"/>
      <w:b/>
      <w:bCs/>
      <w:kern w:val="0"/>
      <w:sz w:val="28"/>
      <w:szCs w:val="28"/>
    </w:rPr>
  </w:style>
  <w:style w:type="character" w:customStyle="1" w:styleId="30">
    <w:name w:val="纯文本 Char"/>
    <w:basedOn w:val="21"/>
    <w:link w:val="13"/>
    <w:qFormat/>
    <w:uiPriority w:val="0"/>
    <w:rPr>
      <w:rFonts w:eastAsia="宋体"/>
      <w:sz w:val="24"/>
    </w:rPr>
  </w:style>
  <w:style w:type="character" w:customStyle="1" w:styleId="31">
    <w:name w:val="日期 Char"/>
    <w:basedOn w:val="21"/>
    <w:link w:val="14"/>
    <w:qFormat/>
    <w:uiPriority w:val="99"/>
  </w:style>
  <w:style w:type="character" w:customStyle="1" w:styleId="32">
    <w:name w:val="页脚 Char"/>
    <w:basedOn w:val="21"/>
    <w:link w:val="16"/>
    <w:qFormat/>
    <w:uiPriority w:val="99"/>
    <w:rPr>
      <w:sz w:val="18"/>
      <w:szCs w:val="18"/>
    </w:rPr>
  </w:style>
  <w:style w:type="character" w:customStyle="1" w:styleId="33">
    <w:name w:val="页眉 Char"/>
    <w:basedOn w:val="21"/>
    <w:link w:val="17"/>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unhideWhenUsed/>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uiPriority w:val="0"/>
    <w:pPr>
      <w:spacing w:line="360" w:lineRule="auto"/>
      <w:ind w:firstLine="480" w:firstLineChars="200"/>
    </w:pPr>
    <w:rPr>
      <w:rFonts w:ascii="宋体"/>
      <w:sz w:val="24"/>
    </w:rPr>
  </w:style>
  <w:style w:type="character" w:customStyle="1" w:styleId="40">
    <w:name w:val="日期 Char Char"/>
    <w:link w:val="41"/>
    <w:uiPriority w:val="0"/>
    <w:rPr>
      <w:sz w:val="24"/>
    </w:rPr>
  </w:style>
  <w:style w:type="paragraph" w:customStyle="1" w:styleId="41">
    <w:name w:val="日期1"/>
    <w:basedOn w:val="1"/>
    <w:next w:val="1"/>
    <w:link w:val="40"/>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1"/>
    <w:link w:val="10"/>
    <w:qFormat/>
    <w:uiPriority w:val="0"/>
    <w:rPr>
      <w:rFonts w:ascii="Times New Roman" w:hAnsi="Times New Roman" w:eastAsia="宋体" w:cs="Times New Roman"/>
      <w:color w:val="FF0000"/>
      <w:sz w:val="24"/>
      <w:szCs w:val="24"/>
    </w:rPr>
  </w:style>
  <w:style w:type="character" w:customStyle="1" w:styleId="46">
    <w:name w:val="edittexttarea"/>
    <w:basedOn w:val="21"/>
    <w:uiPriority w:val="0"/>
  </w:style>
  <w:style w:type="paragraph" w:customStyle="1" w:styleId="47">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1"/>
    <w:link w:val="7"/>
    <w:semiHidden/>
    <w:qFormat/>
    <w:uiPriority w:val="99"/>
  </w:style>
  <w:style w:type="character" w:customStyle="1" w:styleId="50">
    <w:name w:val="正文首行缩进 Char"/>
    <w:basedOn w:val="49"/>
    <w:link w:val="6"/>
    <w:qFormat/>
    <w:uiPriority w:val="0"/>
    <w:rPr>
      <w:rFonts w:ascii="宋体" w:hAnsi="Times New Roman" w:eastAsia="宋体" w:cs="Times New Roman"/>
      <w:kern w:val="0"/>
      <w:sz w:val="34"/>
      <w:szCs w:val="20"/>
    </w:rPr>
  </w:style>
  <w:style w:type="character" w:customStyle="1" w:styleId="51">
    <w:name w:val="HTML 预设格式 Char"/>
    <w:basedOn w:val="21"/>
    <w:link w:val="19"/>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5258</Words>
  <Characters>29972</Characters>
  <Lines>249</Lines>
  <Paragraphs>70</Paragraphs>
  <TotalTime>5</TotalTime>
  <ScaleCrop>false</ScaleCrop>
  <LinksUpToDate>false</LinksUpToDate>
  <CharactersWithSpaces>35160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2018-05-16T03:22:00Z</dcterms:created>
  <dc:creator>许昌市公共资源交易中心:孟莉</dc:creator>
  <cp:lastModifiedBy>Administrator</cp:lastModifiedBy>
  <dcterms:modified xsi:type="dcterms:W3CDTF">2018-06-22T01:30:27Z</dcterms:modified>
  <cp:revision>444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