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b/>
          <w:w w:val="90"/>
          <w:sz w:val="84"/>
        </w:rPr>
      </w:pPr>
      <w:r>
        <w:rPr>
          <w:rFonts w:hint="eastAsia" w:ascii="仿宋" w:hAnsi="仿宋" w:eastAsia="仿宋" w:cs="仿宋"/>
          <w:b/>
          <w:bCs/>
          <w:sz w:val="44"/>
          <w:szCs w:val="44"/>
        </w:rPr>
        <w:t>禹州市食品药品监督管理局食品抽样检测项目</w:t>
      </w: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3"/>
        <w:spacing w:line="520" w:lineRule="exact"/>
        <w:ind w:firstLine="320" w:firstLineChars="100"/>
        <w:rPr>
          <w:rFonts w:ascii="仿宋" w:hAnsi="仿宋" w:eastAsia="仿宋"/>
          <w:sz w:val="32"/>
        </w:rPr>
      </w:pPr>
      <w:r>
        <w:rPr>
          <w:rFonts w:hint="eastAsia" w:ascii="仿宋" w:hAnsi="仿宋" w:eastAsia="仿宋"/>
          <w:sz w:val="32"/>
        </w:rPr>
        <w:t>采购单位：禹州市食品药品监督管理局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项目名称：禹州市食品药品监督管理局食品抽样检测项目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lang w:val="en-US" w:eastAsia="zh-CN"/>
        </w:rPr>
        <w:t>采购</w:t>
      </w:r>
      <w:r>
        <w:rPr>
          <w:rFonts w:hint="eastAsia" w:ascii="仿宋" w:hAnsi="仿宋" w:eastAsia="仿宋"/>
          <w:sz w:val="32"/>
        </w:rPr>
        <w:t>编号：YZCG—G201816</w:t>
      </w:r>
      <w:r>
        <w:rPr>
          <w:rFonts w:hint="eastAsia" w:ascii="仿宋" w:hAnsi="仿宋" w:eastAsia="仿宋"/>
          <w:sz w:val="32"/>
          <w:lang w:val="en-US" w:eastAsia="zh-CN"/>
        </w:rPr>
        <w:t>4</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val="en-US" w:eastAsia="zh-CN"/>
        </w:rPr>
        <w:t>七</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hint="eastAsia" w:ascii="仿宋" w:hAnsi="仿宋" w:eastAsia="仿宋" w:cs="仿宋_GB2312"/>
          <w:b/>
          <w:sz w:val="44"/>
          <w:szCs w:val="24"/>
          <w:lang w:val="en-US" w:eastAsia="zh-CN"/>
        </w:rPr>
      </w:pPr>
      <w:r>
        <w:rPr>
          <w:rFonts w:hint="eastAsia" w:ascii="仿宋" w:hAnsi="仿宋" w:eastAsia="仿宋" w:cs="仿宋_GB2312"/>
          <w:b/>
          <w:sz w:val="44"/>
          <w:szCs w:val="24"/>
          <w:lang w:val="en-US" w:eastAsia="zh-CN"/>
        </w:rPr>
        <w:t>.</w:t>
      </w: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 xml:space="preserve">第二部分 </w:t>
      </w:r>
      <w:r>
        <w:rPr>
          <w:rFonts w:hint="eastAsia" w:ascii="黑体" w:eastAsia="黑体" w:cs="黑体"/>
          <w:b/>
          <w:bCs/>
          <w:sz w:val="28"/>
          <w:szCs w:val="28"/>
          <w:lang w:val="en-US" w:eastAsia="zh-CN"/>
        </w:rPr>
        <w:t xml:space="preserve"> </w:t>
      </w:r>
      <w:r>
        <w:rPr>
          <w:rFonts w:hint="eastAsia" w:ascii="黑体" w:eastAsia="黑体" w:cs="黑体"/>
          <w:b/>
          <w:bCs/>
          <w:sz w:val="28"/>
          <w:szCs w:val="28"/>
          <w:lang w:val="zh-CN"/>
        </w:rPr>
        <w:t>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en-US" w:eastAsia="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numPr>
          <w:ilvl w:val="0"/>
          <w:numId w:val="4"/>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autoSpaceDE w:val="0"/>
        <w:autoSpaceDN w:val="0"/>
        <w:spacing w:line="360" w:lineRule="auto"/>
        <w:ind w:left="319" w:leftChars="152" w:right="-20"/>
        <w:outlineLvl w:val="0"/>
        <w:rPr>
          <w:rFonts w:hint="eastAsia" w:ascii="仿宋" w:hAnsi="仿宋" w:eastAsia="仿宋"/>
          <w:sz w:val="32"/>
        </w:rPr>
      </w:pPr>
    </w:p>
    <w:p>
      <w:pPr>
        <w:jc w:val="center"/>
        <w:rPr>
          <w:rFonts w:hint="eastAsia" w:ascii="宋体" w:hAnsi="宋体" w:eastAsia="宋体" w:cs="宋体"/>
          <w:b/>
          <w:bCs/>
          <w:sz w:val="32"/>
        </w:rPr>
      </w:pPr>
      <w:r>
        <w:rPr>
          <w:rFonts w:hint="eastAsia" w:ascii="宋体" w:hAnsi="宋体" w:eastAsia="宋体" w:cs="宋体"/>
          <w:b/>
          <w:bCs/>
          <w:sz w:val="32"/>
        </w:rPr>
        <w:t>禹州市食品药品监督管理局食品抽样检测项目</w:t>
      </w:r>
    </w:p>
    <w:p>
      <w:pPr>
        <w:jc w:val="center"/>
        <w:rPr>
          <w:rFonts w:hint="eastAsia" w:ascii="宋体" w:hAnsi="宋体" w:eastAsia="宋体" w:cs="宋体"/>
          <w:b/>
          <w:bCs/>
          <w:sz w:val="32"/>
          <w:lang w:val="en-US" w:eastAsia="zh-CN"/>
        </w:rPr>
      </w:pPr>
      <w:r>
        <w:rPr>
          <w:rFonts w:hint="eastAsia" w:ascii="宋体" w:hAnsi="宋体" w:eastAsia="宋体" w:cs="宋体"/>
          <w:b/>
          <w:bCs/>
          <w:sz w:val="32"/>
          <w:lang w:val="en-US" w:eastAsia="zh-CN"/>
        </w:rPr>
        <w:t>邀请函</w:t>
      </w:r>
    </w:p>
    <w:p>
      <w:pPr>
        <w:spacing w:line="520" w:lineRule="exact"/>
        <w:ind w:firstLine="643" w:firstLineChars="200"/>
        <w:jc w:val="center"/>
        <w:rPr>
          <w:rFonts w:hint="eastAsia" w:ascii="仿宋" w:hAnsi="仿宋" w:eastAsia="仿宋"/>
          <w:b/>
          <w:bCs/>
          <w:sz w:val="32"/>
          <w:lang w:val="en-US" w:eastAsia="zh-CN"/>
        </w:rPr>
      </w:pP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禹州市政府采购中心受禹州市食品药品监督管理局的委托，就“禹州市食品药品监督管理局食品抽样</w:t>
      </w:r>
      <w:r>
        <w:rPr>
          <w:rFonts w:hint="eastAsia" w:ascii="仿宋" w:hAnsi="仿宋" w:eastAsia="仿宋" w:cs="仿宋"/>
          <w:sz w:val="24"/>
          <w:szCs w:val="24"/>
          <w:lang w:eastAsia="zh-CN"/>
        </w:rPr>
        <w:t>检测</w:t>
      </w:r>
      <w:r>
        <w:rPr>
          <w:rFonts w:hint="eastAsia" w:ascii="仿宋" w:hAnsi="仿宋" w:eastAsia="仿宋" w:cs="仿宋"/>
          <w:sz w:val="24"/>
          <w:szCs w:val="24"/>
        </w:rPr>
        <w:t>项目”进行公开招标，欢迎合格的投标人前来投标。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1、采购人：禹州市食品药品监督管理局</w:t>
      </w:r>
    </w:p>
    <w:p>
      <w:pPr>
        <w:spacing w:line="520" w:lineRule="exact"/>
        <w:ind w:left="479" w:leftChars="228" w:firstLine="0" w:firstLineChars="0"/>
        <w:rPr>
          <w:rFonts w:hint="eastAsia" w:ascii="仿宋" w:hAnsi="仿宋" w:eastAsia="仿宋" w:cs="仿宋"/>
          <w:sz w:val="24"/>
          <w:szCs w:val="24"/>
        </w:rPr>
      </w:pPr>
      <w:r>
        <w:rPr>
          <w:rFonts w:hint="eastAsia" w:ascii="仿宋" w:hAnsi="仿宋" w:eastAsia="仿宋" w:cs="仿宋"/>
          <w:sz w:val="24"/>
          <w:szCs w:val="24"/>
        </w:rPr>
        <w:t>2、项目名称：禹州市食品药品监督管理局食品抽样检测项目</w:t>
      </w:r>
    </w:p>
    <w:p>
      <w:pPr>
        <w:spacing w:line="520" w:lineRule="exact"/>
        <w:ind w:left="479" w:leftChars="228" w:firstLine="0" w:firstLineChars="0"/>
        <w:rPr>
          <w:rFonts w:ascii="仿宋" w:hAnsi="仿宋" w:eastAsia="仿宋" w:cs="仿宋"/>
          <w:sz w:val="24"/>
          <w:szCs w:val="24"/>
        </w:rPr>
      </w:pPr>
      <w:r>
        <w:rPr>
          <w:rFonts w:hint="eastAsia" w:ascii="仿宋" w:hAnsi="仿宋" w:eastAsia="仿宋" w:cs="仿宋"/>
          <w:sz w:val="24"/>
          <w:szCs w:val="24"/>
        </w:rPr>
        <w:t>3、采购编号：YZCG—G201816</w:t>
      </w:r>
      <w:r>
        <w:rPr>
          <w:rFonts w:hint="eastAsia" w:ascii="仿宋" w:hAnsi="仿宋" w:eastAsia="仿宋" w:cs="仿宋"/>
          <w:sz w:val="24"/>
          <w:szCs w:val="24"/>
          <w:lang w:val="en-US" w:eastAsia="zh-CN"/>
        </w:rPr>
        <w:t>4</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4、项目需求：禹州市食品药品监督管理局比选</w:t>
      </w:r>
      <w:r>
        <w:rPr>
          <w:rFonts w:hint="eastAsia" w:ascii="仿宋" w:hAnsi="仿宋" w:eastAsia="仿宋" w:cs="仿宋"/>
          <w:sz w:val="24"/>
          <w:szCs w:val="24"/>
          <w:lang w:val="en-US" w:eastAsia="zh-CN"/>
        </w:rPr>
        <w:t>5</w:t>
      </w:r>
      <w:r>
        <w:rPr>
          <w:rFonts w:hint="eastAsia" w:ascii="仿宋" w:hAnsi="仿宋" w:eastAsia="仿宋" w:cs="仿宋"/>
          <w:sz w:val="24"/>
          <w:szCs w:val="24"/>
        </w:rPr>
        <w:t>家食品检验检测机构建立大宗食品检验检测机构备选库，承担2018和2019年度禹州市食品药品监督管理局食品检验检测任务及食品安全突发事件应急检验任务。服务期限截止到2018年大宗食品抽样检验工作完成</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472.5</w:t>
      </w:r>
      <w:r>
        <w:rPr>
          <w:rFonts w:hint="eastAsia" w:ascii="仿宋" w:hAnsi="仿宋" w:eastAsia="仿宋" w:cs="仿宋"/>
          <w:sz w:val="24"/>
          <w:szCs w:val="24"/>
        </w:rPr>
        <w:t>万元</w:t>
      </w:r>
    </w:p>
    <w:p>
      <w:pPr>
        <w:spacing w:line="52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52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52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520" w:lineRule="exact"/>
        <w:ind w:firstLine="480"/>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具有相应的</w:t>
      </w:r>
      <w:r>
        <w:rPr>
          <w:rFonts w:hint="eastAsia" w:ascii="仿宋" w:hAnsi="仿宋" w:eastAsia="仿宋" w:cs="仿宋"/>
          <w:sz w:val="24"/>
          <w:szCs w:val="24"/>
        </w:rPr>
        <w:t>经营范围；</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投标商应开具由项目所在地或企业营业执照注册所在地人民检察院出具的无行贿犯罪档案告知函；</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3、投标商具有《检验检测机构资质认定证书》或《食品检验机构资质认定证书》；</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4、法定代表人授权代表须是本单位职工，提供本公司为本人缴纳社会保险证明；</w:t>
      </w:r>
    </w:p>
    <w:p>
      <w:pPr>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5、本项目不接受联合体投标。</w:t>
      </w:r>
    </w:p>
    <w:p>
      <w:pPr>
        <w:spacing w:line="52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520" w:lineRule="exact"/>
        <w:ind w:firstLine="480" w:firstLineChars="200"/>
        <w:jc w:val="both"/>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spacing w:line="520" w:lineRule="exact"/>
        <w:ind w:firstLine="480" w:firstLineChars="200"/>
        <w:jc w:val="both"/>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5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spacing w:line="5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spacing w:line="52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520" w:lineRule="exact"/>
        <w:rPr>
          <w:rFonts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日9：00　（北京时间），逾期送达或不符合规定的投标文件不予接受。</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52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52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52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艾先生</w:t>
      </w:r>
      <w:r>
        <w:rPr>
          <w:rFonts w:hint="eastAsia" w:ascii="仿宋" w:hAnsi="仿宋" w:eastAsia="仿宋" w:cs="仿宋"/>
          <w:sz w:val="24"/>
          <w:szCs w:val="24"/>
        </w:rPr>
        <w:t xml:space="preserve">  联系电话：0374-2077111</w:t>
      </w:r>
    </w:p>
    <w:p>
      <w:pPr>
        <w:numPr>
          <w:ilvl w:val="0"/>
          <w:numId w:val="5"/>
        </w:numPr>
        <w:spacing w:line="520" w:lineRule="exact"/>
        <w:rPr>
          <w:rFonts w:hint="eastAsia" w:ascii="仿宋" w:hAnsi="仿宋" w:eastAsia="仿宋" w:cs="仿宋"/>
          <w:sz w:val="24"/>
          <w:szCs w:val="24"/>
        </w:rPr>
      </w:pPr>
      <w:r>
        <w:rPr>
          <w:rFonts w:hint="eastAsia" w:ascii="仿宋" w:hAnsi="仿宋" w:eastAsia="仿宋" w:cs="仿宋"/>
          <w:sz w:val="24"/>
          <w:szCs w:val="24"/>
        </w:rPr>
        <w:t>采购单位：禹州市食品药品监督管理局</w:t>
      </w:r>
    </w:p>
    <w:p>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禹州市禹王大道</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 xml:space="preserve">联系人：王先生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联系电话：13803740380</w:t>
      </w:r>
      <w:r>
        <w:rPr>
          <w:rFonts w:hint="eastAsia" w:ascii="仿宋" w:hAnsi="仿宋" w:eastAsia="仿宋" w:cs="仿宋"/>
          <w:sz w:val="24"/>
          <w:szCs w:val="24"/>
        </w:rPr>
        <w:t>　　　　　　　</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　　　　　　　　       　</w:t>
      </w:r>
    </w:p>
    <w:p>
      <w:pPr>
        <w:spacing w:line="520" w:lineRule="exact"/>
        <w:ind w:firstLine="6480" w:firstLineChars="2700"/>
        <w:rPr>
          <w:rFonts w:ascii="仿宋" w:hAnsi="仿宋" w:eastAsia="仿宋" w:cs="仿宋"/>
          <w:b/>
          <w:sz w:val="44"/>
          <w:szCs w:val="4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
      <w:pPr>
        <w:spacing w:line="360" w:lineRule="auto"/>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8"/>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ascii="仿宋" w:hAnsi="仿宋" w:eastAsia="仿宋"/>
                <w:b/>
                <w:kern w:val="0"/>
                <w:sz w:val="24"/>
                <w:szCs w:val="24"/>
              </w:rPr>
            </w:pPr>
            <w:r>
              <w:rPr>
                <w:rFonts w:hint="eastAsia" w:ascii="仿宋" w:hAnsi="仿宋" w:eastAsia="仿宋"/>
                <w:sz w:val="24"/>
                <w:szCs w:val="24"/>
              </w:rPr>
              <w:t>YZCG—G201816</w:t>
            </w:r>
            <w:r>
              <w:rPr>
                <w:rFonts w:hint="eastAsia" w:ascii="仿宋" w:hAnsi="仿宋" w:eastAsia="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pStyle w:val="43"/>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ascii="仿宋" w:hAnsi="仿宋" w:eastAsia="仿宋"/>
                <w:color w:val="000000"/>
                <w:kern w:val="0"/>
                <w:sz w:val="24"/>
                <w:szCs w:val="24"/>
              </w:rPr>
            </w:pPr>
            <w:r>
              <w:rPr>
                <w:rFonts w:hint="eastAsia" w:ascii="仿宋" w:hAnsi="仿宋" w:eastAsia="仿宋"/>
                <w:color w:val="000000"/>
                <w:kern w:val="0"/>
                <w:sz w:val="24"/>
                <w:szCs w:val="24"/>
              </w:rPr>
              <w:t>禹州市食品药品监督管理局食品抽样检测项目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sz w:val="24"/>
                <w:szCs w:val="24"/>
                <w:lang w:eastAsia="zh-CN"/>
              </w:rPr>
              <w:t>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3"/>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3"/>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theme="minorBidi"/>
                <w:color w:val="FF0000"/>
                <w:kern w:val="2"/>
                <w:sz w:val="24"/>
                <w:szCs w:val="24"/>
                <w:lang w:val="en-US" w:eastAsia="zh-CN" w:bidi="ar-SA"/>
              </w:rPr>
              <w:t>472.5</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w:t>
      </w:r>
      <w:r>
        <w:rPr>
          <w:rFonts w:hint="eastAsia" w:ascii="仿宋" w:hAnsi="仿宋" w:eastAsia="仿宋" w:cs="仿宋"/>
          <w:color w:val="FF0000"/>
          <w:sz w:val="24"/>
          <w:lang w:val="zh-CN"/>
        </w:rPr>
        <w:t>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4" w:type="first"/>
          <w:footerReference r:id="rId6" w:type="first"/>
          <w:headerReference r:id="rId3" w:type="default"/>
          <w:footerReference r:id="rId5"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snapToGrid w:val="0"/>
        <w:spacing w:line="360" w:lineRule="auto"/>
        <w:ind w:right="480"/>
        <w:jc w:val="both"/>
        <w:rPr>
          <w:rFonts w:hint="eastAsia" w:ascii="宋体" w:hAnsi="宋体" w:cs="宋体"/>
          <w:b/>
          <w:sz w:val="32"/>
          <w:szCs w:val="32"/>
        </w:rPr>
      </w:pPr>
    </w:p>
    <w:p>
      <w:pPr>
        <w:snapToGrid w:val="0"/>
        <w:spacing w:line="360" w:lineRule="auto"/>
        <w:ind w:right="480"/>
        <w:jc w:val="both"/>
        <w:rPr>
          <w:rFonts w:hint="eastAsia" w:ascii="宋体" w:hAnsi="宋体" w:cs="宋体"/>
          <w:b/>
          <w:sz w:val="24"/>
        </w:rPr>
      </w:pPr>
      <w:r>
        <w:rPr>
          <w:rFonts w:hint="eastAsia" w:ascii="宋体" w:hAnsi="宋体" w:cs="宋体"/>
          <w:b/>
          <w:sz w:val="32"/>
          <w:szCs w:val="32"/>
          <w:lang w:eastAsia="zh-CN"/>
        </w:rPr>
        <w:t>一、</w:t>
      </w:r>
      <w:r>
        <w:rPr>
          <w:rFonts w:hint="eastAsia" w:ascii="宋体" w:hAnsi="宋体" w:cs="宋体"/>
          <w:b/>
          <w:sz w:val="32"/>
          <w:szCs w:val="32"/>
        </w:rPr>
        <w:t>项目需求</w:t>
      </w:r>
      <w:bookmarkStart w:id="0" w:name="_Toc171762333"/>
      <w:bookmarkStart w:id="1" w:name="_Toc165271805"/>
      <w:bookmarkStart w:id="2" w:name="_Toc215222885"/>
      <w:bookmarkStart w:id="3" w:name="_Toc277945144"/>
      <w:bookmarkStart w:id="4" w:name="_Toc165272715"/>
      <w:bookmarkStart w:id="5" w:name="_Toc213257067"/>
    </w:p>
    <w:bookmarkEnd w:id="0"/>
    <w:bookmarkEnd w:id="1"/>
    <w:bookmarkEnd w:id="2"/>
    <w:bookmarkEnd w:id="3"/>
    <w:bookmarkEnd w:id="4"/>
    <w:bookmarkEnd w:id="5"/>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建立食品抽样检测机构备选库，承担2018和2019年度禹州市食品药品监督管理局食品检验检测任务及</w:t>
      </w:r>
      <w:r>
        <w:rPr>
          <w:rFonts w:hint="eastAsia" w:ascii="宋体" w:hAnsi="宋体" w:cs="宋体"/>
          <w:snapToGrid w:val="0"/>
          <w:color w:val="000000"/>
          <w:kern w:val="0"/>
          <w:sz w:val="24"/>
        </w:rPr>
        <w:t>食品安全突发事件应急检验任务</w:t>
      </w:r>
      <w:r>
        <w:rPr>
          <w:rFonts w:hint="eastAsia" w:ascii="宋体" w:hAnsi="宋体" w:cs="宋体"/>
          <w:sz w:val="24"/>
        </w:rPr>
        <w:t>。服务期限截止到2018年大宗食品抽样检验工作完成。</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1、承担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膳食食品、特殊医学用途配方食品、婴幼儿配方食品、食品添加剂、餐饮食品、食用农产品等33大类产品的抽样检验任务及</w:t>
      </w:r>
      <w:r>
        <w:rPr>
          <w:rFonts w:hint="eastAsia" w:ascii="宋体" w:hAnsi="宋体" w:cs="宋体"/>
          <w:snapToGrid w:val="0"/>
          <w:color w:val="000000"/>
          <w:kern w:val="0"/>
          <w:sz w:val="24"/>
        </w:rPr>
        <w:t>食品安全突发事件应急检验任务</w:t>
      </w:r>
      <w:r>
        <w:rPr>
          <w:rFonts w:hint="eastAsia" w:ascii="宋体" w:hAnsi="宋体" w:cs="宋体"/>
          <w:sz w:val="24"/>
        </w:rPr>
        <w:t>。</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2、抽检范围覆盖禹州市下辖所有行政区域，抽样对象涵盖食品生产加工、流通及餐饮服务等环节的食品生产经营单位。</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3、抽样要求。按照《食品安全抽样检验管理办法》、《食品安全监督抽检和风险监测工作规范》、《食品安全监督抽检和风险监测实施细则（2018版）》、《实施细则》执行抽检监测工作程序，履行法定手续。相关样品采集执法文书按照《食品药品监管总局办公厅关于印发食品安全监督抽检和风险监测工作规范的通知》中文书制定。</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4、检测要求。具备满足速冻及冷饮类储运条件的设备，能够保证微生物待检测样品在5小时以内进入实验室。具备专业的检测队伍及科学的实验室体系管理制度，能够在抽样后的20个工作日内出具检验报告，并按照规定时限分析、上报检测结果。</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5、大宗食品检验检测机构协议供货检测品种、项目见下表：</w:t>
      </w:r>
    </w:p>
    <w:tbl>
      <w:tblPr>
        <w:tblStyle w:val="38"/>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1"/>
        <w:gridCol w:w="638"/>
        <w:gridCol w:w="567"/>
        <w:gridCol w:w="709"/>
        <w:gridCol w:w="1276"/>
        <w:gridCol w:w="567"/>
        <w:gridCol w:w="2410"/>
        <w:gridCol w:w="85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rPr>
        <w:tc>
          <w:tcPr>
            <w:tcW w:w="8584" w:type="dxa"/>
            <w:gridSpan w:val="9"/>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2018年食品安全抽检品种、项目表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511"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638"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食品大类</w:t>
            </w:r>
          </w:p>
        </w:tc>
        <w:tc>
          <w:tcPr>
            <w:tcW w:w="567"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食品亚类</w:t>
            </w:r>
          </w:p>
        </w:tc>
        <w:tc>
          <w:tcPr>
            <w:tcW w:w="709"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食品品种</w:t>
            </w:r>
          </w:p>
        </w:tc>
        <w:tc>
          <w:tcPr>
            <w:tcW w:w="1276"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食品细类</w:t>
            </w:r>
          </w:p>
        </w:tc>
        <w:tc>
          <w:tcPr>
            <w:tcW w:w="567"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风险等级</w:t>
            </w:r>
          </w:p>
        </w:tc>
        <w:tc>
          <w:tcPr>
            <w:tcW w:w="2410" w:type="dxa"/>
            <w:vAlign w:val="center"/>
          </w:tcPr>
          <w:p>
            <w:pPr>
              <w:widowControl/>
              <w:spacing w:line="168" w:lineRule="auto"/>
              <w:jc w:val="center"/>
              <w:textAlignment w:val="center"/>
              <w:rPr>
                <w:rFonts w:hint="eastAsia" w:ascii="宋体" w:hAnsi="宋体" w:cs="宋体"/>
                <w:b/>
                <w:color w:val="000000"/>
                <w:sz w:val="24"/>
              </w:rPr>
            </w:pPr>
            <w:r>
              <w:rPr>
                <w:rStyle w:val="141"/>
                <w:rFonts w:hint="default"/>
                <w:lang w:bidi="ar"/>
              </w:rPr>
              <w:t>抽检项目</w:t>
            </w:r>
            <w:r>
              <w:rPr>
                <w:rStyle w:val="142"/>
                <w:rFonts w:hint="default"/>
                <w:lang w:bidi="ar"/>
              </w:rPr>
              <w:t>a</w:t>
            </w:r>
          </w:p>
        </w:tc>
        <w:tc>
          <w:tcPr>
            <w:tcW w:w="850"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单项报价(元)</w:t>
            </w:r>
          </w:p>
        </w:tc>
        <w:tc>
          <w:tcPr>
            <w:tcW w:w="1056"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单批次总报价(元)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粮食加工品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大米</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大米</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甲基嘧啶磷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稻瘟灵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和草敌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敌瘟磷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杀虫环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小麦粉</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小麦粉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通用小麦粉、专用小麦粉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玉米赤霉烯酮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脱氧雪腐镰刀菌烯醇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敌草快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滑石粉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甲醛次硫酸氢钠(以甲醛计)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过氧化苯甲酰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挂面</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挂面</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普通挂面、手工面</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其他粮食加工品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谷物加工品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谷物碾磨加工品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玉米粉、玉米片、玉米渣</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脱氧雪腐镰刀菌烯醇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玉米赤霉烯酮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其他谷物碾磨加工品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谷物粉类制成品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生湿面制品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粮食加工品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其他粮食加工品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谷物粉类制成品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发酵面制品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其他谷物粉类制成品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食用油、油脂及其制品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食用植物油(含煎炸用油)</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食用植物油(半精炼、全精炼)</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花生油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芝麻油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橄榄油、油橄榄果渣油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其他食用植物油(半精炼、全精炼)</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游离棉酚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煎炸过程用油(餐饮环节)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煎炸过程用油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极性组分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羰基价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食用油、油脂及其制品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食用动物油脂</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食用动物油脂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食用动物油脂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丙二醛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食用油脂制品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食用油脂制品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食用油脂制品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镍（以Ni计）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酱油</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酱油</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酿造酱油、配制酱油（酿造和配制按2:1）</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氨基酸态氮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铵盐（以占氨基酸态氮的百分比计）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食醋</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食醋</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酿造食醋、配制食醋</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总酸（以乙酸计）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游离矿酸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酱类</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黄豆酱、甜面酱等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氨基酸态氮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料酒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香辛料调味油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罗丹明B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辣椒、花椒、辣椒粉、花椒粉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罗丹明B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碱性橙Ⅱ,21,22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香辛料酱（芥末酱、青芥酱等）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其他香辛料调味品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固体复合调味料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鸡粉、鸡精调味料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谷氨酸钠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呈味核苷酸二钠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致病菌（金黄色葡萄球菌、沙门氏菌）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其他固体调味料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致病菌（金黄色葡萄球菌、沙门氏菌、副溶血性弧菌）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半固体复合调味料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蛋黄酱、沙拉酱</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致病菌（金黄色葡萄球菌、沙门氏菌、副溶血性弧菌）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坚果与籽类的泥（酱），包括花生酱等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辣椒酱</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火锅底料、麻辣烫底料及蘸料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半固体复合调味料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其他半固体调味料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液体复合调味料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蚝油、虾油、鱼露</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碱性橙Ⅱ,21,22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其他液体调味料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味精</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味精</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味精</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谷氨酸钠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预制肉制品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调理肉制品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调理肉制品（非速冻）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腌腊肉制品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腌腊肉制品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三甲胺氮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抗氧化剂混合使用时各自用量占其最大使用量的比例之和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酱卤肉制品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酱卤肉制品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酸性橙Ⅱ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熟肉干制品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熟肉干制品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熏烧烤肉制品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熏烧烤肉制品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熏煮香肠火腿制品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熏煮香肠火腿制品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液体乳</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巴氏杀菌乳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非脂乳固体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狄氏剂</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非脂乳固体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乳酸菌数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乳酸菌数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β-胡萝卜素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调制乳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β-胡萝卜素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 dl-α-生育酚, d-α-生育酚, 混合生育酚浓缩物)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乳清粉和乳清蛋白粉(企业原料)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脱盐乳清粉、非脱盐乳清粉、浓缩乳清蛋白粉、分离乳清蛋白粉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全脂乳粉、脱脂乳粉、部分脱脂乳粉、调制乳粉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复原乳酸度（除调制乳粉外）</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β-胡萝卜素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spacing w:line="168" w:lineRule="auto"/>
              <w:jc w:val="center"/>
              <w:rPr>
                <w:rFonts w:hint="eastAsia" w:ascii="宋体" w:hAnsi="宋体" w:cs="宋体"/>
                <w:color w:val="000000"/>
                <w:sz w:val="24"/>
              </w:rPr>
            </w:pP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其他乳制品(炼乳、奶油、干酪、固态成型产品)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淡炼乳、加糖炼乳和调制炼乳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干酪(奶酪)、再制干酪</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干酪：铅（以Pb计）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再制干酪：脂肪（干物中）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干物质含量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奶片、奶条等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稀奶油、奶油和无水奶油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非脂乳固体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瓶(桶)装饮用水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饮用天然矿泉水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界限指标</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耗氧量(以O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银</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氟化物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耗氧量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挥发酚（以苯酚计）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阴离子合成洗涤剂</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氟化物(以F</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氰化物(以CN</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硝酸盐(以NO</w:t>
            </w:r>
            <w:r>
              <w:rPr>
                <w:rStyle w:val="144"/>
                <w:rFonts w:hint="default"/>
                <w:lang w:bidi="ar"/>
              </w:rPr>
              <w:t>3</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亚硝酸盐(以NO</w:t>
            </w:r>
            <w:r>
              <w:rPr>
                <w:rStyle w:val="144"/>
                <w:rFonts w:hint="default"/>
                <w:lang w:bidi="ar"/>
              </w:rPr>
              <w:t>2</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粪链球菌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产气荚膜梭菌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铜绿假单胞菌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瓶(桶)装饮用水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饮用纯净水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浑浊度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耗氧量(以O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亚硝酸盐(以NO</w:t>
            </w:r>
            <w:r>
              <w:rPr>
                <w:rStyle w:val="144"/>
                <w:rFonts w:hint="default"/>
                <w:lang w:bidi="ar"/>
              </w:rPr>
              <w:t>2</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余氯(游离氯)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三氯甲烷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四氯化碳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铜绿假单胞菌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其他饮用水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浑浊度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耗氧量(以O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亚硝酸盐(以NO</w:t>
            </w:r>
            <w:r>
              <w:rPr>
                <w:rStyle w:val="144"/>
                <w:rFonts w:hint="default"/>
                <w:lang w:bidi="ar"/>
              </w:rPr>
              <w:t>2</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余氯(游离氯)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三氯甲烷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四氯化碳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挥发性酚(以苯酚计)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铜绿假单胞菌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果、蔬汁饮料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果、蔬汁饮料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邻苯基苯酚（限橙汁）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马拉硫磷（限番茄汁）</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合成着色剂（柠檬黄、诱惑红、赤藓红、亮蓝、日落黄、苋菜红、新红、胭脂红、酸性、红靛蓝)</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合成着色剂（赤藓红、酸性红、苋菜红、诱惑红、新红、胭脂红、柠檬黄、日落黄、亮蓝）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碳酸饮料(汽水)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碳酸饮料(汽水)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二氧化碳气容量</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二氧化碳气容量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茶多酚</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茶多酚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固体饮料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固体饮料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合成着色剂（柠檬黄、日落黄、苋菜红、胭脂红、诱惑红、亮蓝）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合成着色剂（赤藓红、苋菜红、新红、胭脂红、诱惑红、柠檬黄、日落黄、亮蓝）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方便面</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油炸面、非油炸面、方便米粉（米线）、方便粉丝</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调味面制品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调味面制品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富马酸二甲酯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其他方便食品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方便粥、方便盒饭、冷面及其他熟制方便食品等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铅（以 Pb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 Al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畜禽水产罐头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畜禽肉类罐头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水产动物类罐头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组胺（限鲐鱼罐头）</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果蔬罐头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合成着色剂（柠檬黄、日落黄、苋菜红、胭脂红、赤藓红、诱惑红、亮蓝、靛蓝）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食用菌罐头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其他罐头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冷冻饮品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冷冻饮品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冷冻饮品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冰淇淋、雪糕、雪泥、冰棍、食用冰、甜味冰、其他类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速冻面米食品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速冻面米食品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水饺、元宵、馄饨等生制品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包子、馒头等熟制品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速冻其他食品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速冻谷物食品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速冻调理肉制品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速冻其他食品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速冻水产制品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速冻蔬菜制品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速冻蔬菜制品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薯类和膨化食品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薯类和膨化食品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膨化食品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含油型膨化食品和非含油型膨化食品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薯类食品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干制薯类（马铃薯片）</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干制薯类（除马铃薯片外）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冷冻薯类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薯泥（酱）类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薯粉类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糖果制品(含巧克力及制品)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合成着色剂(柠檬黄、苋菜红、胭脂红、日落黄、赤藓红、亮蓝）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相同色泽着色剂混合使用时各自用量占其最大使用量的比例之和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巧克力及巧克力制品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巧克力、巧克力制品、代可可脂巧克力及代可可脂巧克力制品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茶叶及相关制品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绿茶、红茶、乌龙茶、黄茶、白茶、黑茶、花茶、袋泡茶、紧压茶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草甘膦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哒螨灵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噻虫嗪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噻嗪酮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三氯杀螨醇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吡蚜酮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水胺硫磷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砖茶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黑砖茶、花砖茶、茯砖茶、康砖茶、金尖茶、青砖茶、米砖茶等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草甘膦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哒螨灵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噻虫嗪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噻嗪酮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三氯杀螨醇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吡蚜酮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水胺硫磷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含茶制品和代用茶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含茶制品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速溶茶类、其它含茶制品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代用茶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代用茶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蒸馏酒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白酒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白酒、白酒(液态)、白酒(原酒)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啤酒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啤酒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警示语标注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葡萄酒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葡萄酒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其他发酵酒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其他发酵酒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配制酒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以蒸馏酒及食用酒精为酒基的配制酒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合成着色剂(柠檬黄、日落黄、胭脂红、苋菜红、亮蓝、新红、赤藓红)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以发酵酒为酒基的配制酒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合成着色剂(柠檬黄、日落黄、胭脂红、苋菜红、亮蓝、新红、赤藓红)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其他蒸馏酒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其他蒸馏酒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酱腌菜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酱腌菜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纽甜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蔬菜干制品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自然干制品、热风干燥蔬菜、冷冻干燥蔬菜、蔬菜脆片、蔬菜粉及制品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食用菌制品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干制食用菌</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腌渍食用菌</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其他蔬菜制品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其他蔬菜制品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果酱</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果酱</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水果干制品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水果干制品（含干枸杞）</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蜜饯</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蜜饯类、凉果类、果脯类、话化类、果糕类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合成着色剂（亮蓝、日落黄、柠檬黄、胭脂红、苋菜红、赤藓红）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相同色泽着色剂混合使用时各自用量占其最大使用量的比例之和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炒货食品及坚果制品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炒货食品及坚果制品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炒货食品及坚果制品（ 烘炒类、油炸类、其他类）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开心果、杏仁、松仁、瓜子</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纽甜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其他炒货食品及坚果制品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纽甜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再制蛋</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再制蛋</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干蛋类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干蛋类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冰蛋类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冰蛋类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可可及焙烤咖啡产品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焙炒咖啡</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焙炒咖啡</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焙炒咖啡</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可可脂（以干物质计）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食糖</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食糖</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白砂糖、绵白糖、赤砂糖、冰糖、方糖、冰片糖等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蔗糖分</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总糖分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还原糖分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色值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不溶于水杂质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藻类干制品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预制动物性水产干制品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盐渍水产品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盐渍鱼</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盐渍藻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其他盐渍水产品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鱼糜制品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预制鱼糜制品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熟制动物性水产制品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熟制动物性水产制品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生食水产品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生食动物性水产品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铝的残留量（以即食海蜇中Al计）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吸虫囊蚴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线虫幼虫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绦虫裂头蚴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水生动物油脂及制品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水生动物油脂及制品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水产深加工品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水产深加工品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淀粉及淀粉制品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淀粉及淀粉制品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氢氰酸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霉菌/霉菌和酵母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粉丝粉条等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淀粉糖</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富马酸二甲酯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月饼</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月饼</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富马酸二甲酯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粽子</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粽子</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粽子</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发酵性豆制品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腐乳、豆豉、纳豆等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非发酵性豆制品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豆干、豆腐、豆皮等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脲酶试验</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腐竹、油皮</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其他豆制品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大豆蛋白类制品等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果糖和葡萄糖</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嗜渗酵母计数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蜂王浆（含蜂王浆冻干粉）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蜂王浆（含蜂王浆冻干粉）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10-羟基-2-癸烯酸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蜂花粉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蜂花粉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功效/标志性成分</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可溶性固形物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总汞（Hg）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硬胶囊壳中的铬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西布曲明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N-单去甲基西布曲明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N，N-双去甲基西布曲明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麻黄碱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芬氟拉明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酚酞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呋塞米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甲苯磺丁脲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格列本脲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格列齐特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格列吡嗪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格列喹酮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格列美脲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马来酸罗格列酮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瑞格列奈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盐酸吡格列酮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盐酸二甲双胍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盐酸苯乙双胍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盐酸丁二胍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格列波脲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那红地那非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伐地那非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羟基豪莫西地那非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豪莫西地那非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氨基他达拉非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他达拉非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硫代艾地那非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伪伐地那非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那莫西地那非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硝西泮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氯硝西泮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氯氮卓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奥沙西泮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马来酸咪哒唑仑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劳拉西泮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艾司唑仑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阿普唑仑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异戊巴比妥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司可巴比妥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氯美扎酮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佐匹克隆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氯苯那敏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扎来普隆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文拉法辛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青藤碱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罗通定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阿替洛尔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盐酸可乐定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氢氯噻嗪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卡托普利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哌唑嗪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利血平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硝苯地平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氨氯地平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尼群地平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尼莫地平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尼索地平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非洛地平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洛伐他汀</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辛伐他汀</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霉菌和酵母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特殊膳食食品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婴幼儿辅助食品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婴幼儿谷类辅助食品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婴幼儿谷物辅助食品、婴幼儿高蛋白谷物辅助食品、婴幼儿生制类谷物辅助食品、婴幼儿饼干或其他婴幼儿谷物辅助食品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能量</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月桂酸占总脂肪的比值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肉豆蔻酸占总脂肪的比值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不溶性膳食纤维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锡（以Sn计）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婴幼儿罐装辅助食品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泥（糊）状罐装食品、颗粒状罐装食品、汁类罐装食品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锡（以Sn计）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特殊膳食食品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辅食营养补充品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辅食营养补充品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辅食营养素补充食品、辅食营养素补充片、辅食营养素撒剂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特殊医学用途配方食品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特殊医学用途婴儿配方食品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特殊医学用途婴儿配方食品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α-亚麻酸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亚油酸与α-亚麻酸比值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终产品脂肪中月桂酸和肉豆蔻酸（十四烷酸）总量与总脂肪酸的比值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芥酸与总脂肪酸的比值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反式脂肪酸最高含量与总脂肪酸的比值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碳水化合物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钙磷比值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二十二碳六烯酸（22:6n-3）与二十碳四烯酸（20:4n-6）的比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长链不饱和脂肪酸中二十碳五烯酸（20:5n-3）的量与二十二碳六烯酸的量的比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杂质度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阪崎肠杆菌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全营养配方食品、特定全营养配方食品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亚油酸供能比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α-亚麻酸供能比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r>
              <w:rPr>
                <w:rStyle w:val="143"/>
                <w:rFonts w:hint="default"/>
                <w:lang w:bidi="ar"/>
              </w:rPr>
              <w:t>或黄曲霉毒素B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婴幼儿配方食品（湿法工艺、干法工艺、干湿法混合工艺）</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婴儿配方食品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乳基婴儿配方食品、豆基婴儿配方食品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碳水化合物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乳糖占碳水化合物总量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α-亚麻酸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亚油酸与α-亚麻酸比值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终产品脂肪中月桂酸和肉豆蔻酸（十四烷酸）总量占总脂肪酸的比值量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芥酸与总脂肪酸比值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反式脂肪酸与总脂肪酸比值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钙磷比值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二十二碳六烯酸（22:6n-3）与二十碳四烯酸（20:4n-6）的比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长链不饱和脂肪酸中二十碳五烯酸（20:5n-3）的量与二十二碳六烯酸的量的比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杂质度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r>
              <w:rPr>
                <w:rStyle w:val="143"/>
                <w:rFonts w:hint="default"/>
                <w:lang w:bidi="ar"/>
              </w:rPr>
              <w:t>或黄曲霉毒素B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阪崎肠杆菌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婴幼儿配方食品（湿法工艺、干法工艺、干湿法混合工艺）</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较大婴儿和幼儿配方食品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乳基较大婴儿和幼儿配方食品、豆基较大婴儿和幼儿配方食品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钙磷比值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反式脂肪酸与总脂肪酸比值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杂质度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r>
              <w:rPr>
                <w:rStyle w:val="143"/>
                <w:rFonts w:hint="default"/>
                <w:lang w:bidi="ar"/>
              </w:rPr>
              <w:t>或黄曲霉毒素B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餐饮食品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米面及其制品(自制)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小麦粉制品(自制)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发酵面制品(自制)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甲醛次硫酸氢钠(以甲醛计)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油炸面制品(自制)</w:t>
            </w: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肉制品(自制)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熟肉制品(自制)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酱卤肉制品、肉灌肠、其他熟肉(自制)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肉冻、皮冻(自制)</w:t>
            </w: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复合调味料(自制)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半固态调味料(自制)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火锅调味料(底料、蘸料)(自制)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罂粟碱</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吗啡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可待因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那可丁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蒂巴因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其他餐饮食品</w:t>
            </w:r>
          </w:p>
        </w:tc>
        <w:tc>
          <w:tcPr>
            <w:tcW w:w="709"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其他餐饮食品</w:t>
            </w:r>
          </w:p>
        </w:tc>
        <w:tc>
          <w:tcPr>
            <w:tcW w:w="1276"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其他餐饮食品</w:t>
            </w: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各省自定项目</w:t>
            </w:r>
          </w:p>
        </w:tc>
        <w:tc>
          <w:tcPr>
            <w:tcW w:w="850" w:type="dxa"/>
            <w:vAlign w:val="center"/>
          </w:tcPr>
          <w:p>
            <w:pPr>
              <w:spacing w:line="168" w:lineRule="auto"/>
              <w:jc w:val="center"/>
              <w:rPr>
                <w:rFonts w:hint="eastAsia" w:ascii="宋体" w:hAnsi="宋体" w:cs="宋体"/>
                <w:color w:val="000000"/>
                <w:sz w:val="24"/>
              </w:rPr>
            </w:pPr>
          </w:p>
        </w:tc>
        <w:tc>
          <w:tcPr>
            <w:tcW w:w="1056" w:type="dxa"/>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食品添加剂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食品添加剂</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增稠剂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明胶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凝冻强度（6.67%）</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铬（Cr）</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复配食品添加剂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复配膨松剂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重金属（以Pb计）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复配食品添加剂（用于小麦粉）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致病性微生物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复配食品添加剂（其他）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致病性微生物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食品用香精</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食品用香精</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重金属（以Pb计）含量</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砷（以As计）含量/无机砷含量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山梨酸钾</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山梨酸钾（以C</w:t>
            </w:r>
            <w:r>
              <w:rPr>
                <w:rStyle w:val="144"/>
                <w:rFonts w:hint="default"/>
                <w:lang w:bidi="ar"/>
              </w:rPr>
              <w:t>6</w:t>
            </w:r>
            <w:r>
              <w:rPr>
                <w:rStyle w:val="143"/>
                <w:rFonts w:hint="default"/>
                <w:lang w:bidi="ar"/>
              </w:rPr>
              <w:t>H</w:t>
            </w:r>
            <w:r>
              <w:rPr>
                <w:rStyle w:val="144"/>
                <w:rFonts w:hint="default"/>
                <w:lang w:bidi="ar"/>
              </w:rPr>
              <w:t>7</w:t>
            </w:r>
            <w:r>
              <w:rPr>
                <w:rStyle w:val="143"/>
                <w:rFonts w:hint="default"/>
                <w:lang w:bidi="ar"/>
              </w:rPr>
              <w:t>KO</w:t>
            </w:r>
            <w:r>
              <w:rPr>
                <w:rStyle w:val="144"/>
                <w:rFonts w:hint="default"/>
                <w:lang w:bidi="ar"/>
              </w:rPr>
              <w:t>2</w:t>
            </w:r>
            <w:r>
              <w:rPr>
                <w:rStyle w:val="143"/>
                <w:rFonts w:hint="default"/>
                <w:lang w:bidi="ar"/>
              </w:rPr>
              <w:t>计）（以干基计）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重金属（以Pb计）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甜味剂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木糖醇</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木糖醇含量（以干基计）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还原糖（以葡萄糖计）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镍（Ni）</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食用农产品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畜禽肉及副产品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畜肉</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克伦特罗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沙丁胺醇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莱克多巴胺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西玛特罗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呋喃唑酮代谢物（限猪肉）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强力霉素（限牛肌肉猪肉）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土霉素（限肌肉）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金霉素（限肌肉）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四环素（限肌肉）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替米考星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甲砜霉素（限猪牛羊）</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庆大霉素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禽肉</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替米考星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尼卡巴嗪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畜禽副产品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畜内脏</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克伦特罗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沙丁胺醇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莱克多巴胺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西玛特罗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禽内脏</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鳞茎类蔬菜（韭菜）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芸薹属类蔬菜（结球甘蓝）</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氟铃脲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灭幼脲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依维菌素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氟吡甲禾灵和高效氟吡甲禾灵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甲硫威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芸薹属类蔬菜（花椰菜）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灭幼脲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甲硫威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精噁唑禾草灵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叶菜类蔬菜（菠菜）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醚菊酯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炔螨特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叶菜类蔬菜（芹菜）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叶菜类蔬菜（普通白菜（青菜油菜小白菜））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炔螨特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茄果类蔬菜（茄子）</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噻螨酮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茄果类蔬菜（辣椒）</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乙烯利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哒螨灵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联苯肼酯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茄果类蔬菜（番茄）</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苯丁锡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恶唑菌酮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氟喹唑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福美双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甲苯服磺胺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噻螨酮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噻嗪酮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戊菌唑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烯草酮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乙烯利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异菌脲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丙森锌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乙霉威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蝇毒磷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瓜类蔬菜（黄瓜）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苯丁锡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虫螨腈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啶酰菌胺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惡霜灵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福美双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氯吡脲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嗪氨灵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氰霜唑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乙烯菌核利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异丙威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异菌脲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苯酰菌胺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丙森锌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噁唑菌酮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氟喹唑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氟菌唑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噻虫嗪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噻螨酮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戊菌唑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溴螨酯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抑霉唑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豆类蔬菜（豇豆）</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豆类蔬菜（菜豆）</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嗪氨灵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溴螨酯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根茎类和薯芋类蔬菜（马铃薯）</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敌草快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噻节因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杀线威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苯酰菌胺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甲基立枯磷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甲硫威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精二甲吩草胺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氯苯胺灵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烯草酮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抑霉唑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根茎类和薯芋类蔬菜（生姜）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w:t>
            </w: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鲜食用菌</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荧光增白物质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米酵菌酸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代森锰锌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豆芽</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亚硫酸盐</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6-苄基腺嘌呤（6-BA）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淡水鱼</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噁喹酸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苯唑西林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淡水虾</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淡水蟹</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海水鱼</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噁唑酸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苯唑西林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海水虾</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总磺胺（总量）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海水蟹</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贝类</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腹泻类贝类毒素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麻痹性贝类毒素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总磺胺（总量）</w:t>
            </w:r>
          </w:p>
        </w:tc>
        <w:tc>
          <w:tcPr>
            <w:tcW w:w="850" w:type="dxa"/>
            <w:vAlign w:val="center"/>
          </w:tcPr>
          <w:p>
            <w:pPr>
              <w:spacing w:line="168" w:lineRule="auto"/>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其他软体动物</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甲基对硫磷（苹果除外）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水胺硫磷（柑橘苹果）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三唑磷（柑橘、苹果、荔枝）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氯氟氰菊酯和高效氯氟氰菊酯（柑橘类水果仁果类水果桃油桃杏李子樱桃浆果及其他小粒水果橄榄荔枝芒果瓜果类水果）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多菌灵(柑橘橙柚柠檬仁果类水果葡萄桃油桃李子杏樱桃枣草莓黑莓醋栗西瓜无花果橄榄香蕉菠萝猕猴桃荔枝芒果)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杀扑磷（柑橘）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灭多威（柑橘苹果）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硫丹（苹果梨荔枝瓜果类水果）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咪鲜胺（苹果葡萄柑橘类水果皮不可食热带和亚热带水果西瓜）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蝇毒磷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艾氏剂</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狄氏剂</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苯醚甲环唑(柑橘仁果类李子桃油桃樱桃西番莲橄榄荔枝芒果香蕉木瓜西瓜)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吡虫啉（柑橘苹果梨）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毒死蜱（柑橘橙柚柠檬苹果梨荔枝龙眼）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炔螨特（橙柑橘柚柠檬苹果梨）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毒杀芬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烯酰吗啉（葡萄）</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丙溴磷（柑橘苹果芒果山竹）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鲜蛋</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鲜蛋</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鲜蛋</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艾氏剂</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狄氏剂</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林丹</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苏丹红（Ⅰ-Ⅳ）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生干坚果与籽类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生干坚果与籽类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生干坚果与籽类</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酸价（以脂肪计）（KOH）</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黄曲霉毒素B1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联苯肼酯（坚果）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四螨嗪（坚果）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亚胺硫磷（坚果）</w:t>
            </w:r>
          </w:p>
        </w:tc>
        <w:tc>
          <w:tcPr>
            <w:tcW w:w="850" w:type="dxa"/>
            <w:vMerge w:val="restart"/>
            <w:vAlign w:val="center"/>
          </w:tcPr>
          <w:p>
            <w:pPr>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苯醚甲环唑（花生仁葵花籽坚果）</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多菌灵（花生仁坚果）氯菊酯（花生仁葵花籽）</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烯草酮（花生仁葵花籽）</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widowControl/>
              <w:spacing w:line="168" w:lineRule="auto"/>
              <w:jc w:val="center"/>
              <w:textAlignment w:val="center"/>
              <w:rPr>
                <w:rFonts w:hint="eastAsia" w:ascii="宋体" w:hAnsi="宋体" w:cs="宋体"/>
                <w:color w:val="000000"/>
                <w:kern w:val="0"/>
                <w:sz w:val="24"/>
                <w:lang w:bidi="ar"/>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溴氰菊酯（花生仁葵花籽）</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trPr>
        <w:tc>
          <w:tcPr>
            <w:tcW w:w="7528" w:type="dxa"/>
            <w:gridSpan w:val="8"/>
            <w:vAlign w:val="center"/>
          </w:tcPr>
          <w:p>
            <w:pPr>
              <w:spacing w:line="168" w:lineRule="auto"/>
              <w:rPr>
                <w:rFonts w:hint="eastAsia" w:ascii="宋体" w:hAnsi="宋体" w:cs="宋体"/>
                <w:color w:val="000000"/>
                <w:sz w:val="24"/>
              </w:rPr>
            </w:pPr>
            <w:r>
              <w:rPr>
                <w:rFonts w:hint="eastAsia" w:ascii="宋体" w:hAnsi="宋体" w:cs="宋体"/>
                <w:b/>
                <w:bCs/>
                <w:color w:val="000000"/>
                <w:sz w:val="24"/>
              </w:rPr>
              <w:t>投标细类单批次均价</w:t>
            </w:r>
          </w:p>
        </w:tc>
        <w:tc>
          <w:tcPr>
            <w:tcW w:w="1056" w:type="dxa"/>
            <w:vAlign w:val="center"/>
          </w:tcPr>
          <w:p>
            <w:pPr>
              <w:spacing w:line="168" w:lineRule="auto"/>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trPr>
        <w:tc>
          <w:tcPr>
            <w:tcW w:w="8584" w:type="dxa"/>
            <w:gridSpan w:val="9"/>
            <w:vAlign w:val="center"/>
          </w:tcPr>
          <w:p>
            <w:pPr>
              <w:spacing w:line="168" w:lineRule="auto"/>
              <w:rPr>
                <w:rFonts w:hint="eastAsia" w:ascii="宋体" w:hAnsi="宋体" w:cs="宋体"/>
                <w:color w:val="000000"/>
                <w:sz w:val="24"/>
              </w:rPr>
            </w:pPr>
            <w:r>
              <w:rPr>
                <w:rFonts w:hint="eastAsia" w:ascii="宋体" w:hAnsi="宋体" w:cs="宋体"/>
                <w:b/>
                <w:bCs/>
                <w:color w:val="000000"/>
                <w:sz w:val="24"/>
              </w:rPr>
              <w:t>合计：共报</w:t>
            </w:r>
            <w:r>
              <w:rPr>
                <w:rFonts w:hint="eastAsia" w:ascii="宋体" w:hAnsi="宋体" w:cs="宋体"/>
                <w:b/>
                <w:bCs/>
                <w:color w:val="000000"/>
                <w:sz w:val="24"/>
                <w:u w:val="single"/>
              </w:rPr>
              <w:t xml:space="preserve">      </w:t>
            </w:r>
            <w:r>
              <w:rPr>
                <w:rFonts w:hint="eastAsia" w:ascii="宋体" w:hAnsi="宋体" w:cs="宋体"/>
                <w:b/>
                <w:bCs/>
                <w:color w:val="000000"/>
                <w:sz w:val="24"/>
              </w:rPr>
              <w:t>个食品细类，占全部176个食品细类的</w:t>
            </w:r>
            <w:r>
              <w:rPr>
                <w:rFonts w:hint="eastAsia" w:ascii="宋体" w:hAnsi="宋体" w:cs="宋体"/>
                <w:b/>
                <w:bCs/>
                <w:color w:val="000000"/>
                <w:sz w:val="24"/>
                <w:u w:val="single"/>
              </w:rPr>
              <w:t xml:space="preserve">     </w:t>
            </w:r>
            <w:r>
              <w:rPr>
                <w:rFonts w:hint="eastAsia" w:ascii="宋体" w:hAnsi="宋体" w:cs="宋体"/>
                <w:b/>
                <w:bCs/>
                <w:color w:val="000000"/>
                <w:sz w:val="24"/>
              </w:rPr>
              <w:t>%。</w:t>
            </w:r>
          </w:p>
        </w:tc>
      </w:tr>
    </w:tbl>
    <w:p>
      <w:pPr>
        <w:snapToGrid w:val="0"/>
        <w:spacing w:line="360" w:lineRule="auto"/>
        <w:ind w:firstLine="480" w:firstLineChars="200"/>
        <w:rPr>
          <w:rFonts w:hint="eastAsia" w:ascii="宋体" w:hAnsi="宋体" w:cs="宋体"/>
          <w:bCs/>
          <w:sz w:val="24"/>
        </w:rPr>
      </w:pPr>
      <w:r>
        <w:rPr>
          <w:rFonts w:hint="eastAsia" w:ascii="宋体" w:hAnsi="宋体" w:cs="宋体"/>
          <w:bCs/>
          <w:sz w:val="24"/>
        </w:rPr>
        <w:t>注：1、若该表中某食品细类中某些检测项目没有检测资质，请在该检测项目的“检测费”栏划“/”，同时在该食品细类的“单批次总报价”栏划“/”。附表中检测项目对应的检测方法均指该产品类别国家标准中规定的检测方法。</w:t>
      </w:r>
      <w:r>
        <w:rPr>
          <w:rFonts w:hint="eastAsia" w:ascii="宋体" w:hAnsi="宋体" w:cs="宋体"/>
          <w:bCs/>
          <w:sz w:val="24"/>
        </w:rPr>
        <w:br w:type="textWrapping"/>
      </w:r>
      <w:r>
        <w:rPr>
          <w:rFonts w:hint="eastAsia" w:ascii="宋体" w:hAnsi="宋体" w:cs="宋体"/>
          <w:bCs/>
          <w:sz w:val="24"/>
        </w:rPr>
        <w:t xml:space="preserve">    2、检测费是指食品在实验室检测期间产生的费用，包括检测、报告、结果分析等项目。采样费是指除了实验室检测费以外产生的费用，包括买样采样、送样产生的费用。单批次总报价为该食品细类单批次检测费与单批次采样费之和。</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3、投标细类单批次均价=投标细类单批次总报价之和/投标细类总数。</w:t>
      </w:r>
    </w:p>
    <w:p>
      <w:pPr>
        <w:spacing w:line="276" w:lineRule="auto"/>
        <w:ind w:firstLine="1120"/>
        <w:jc w:val="both"/>
        <w:rPr>
          <w:color w:val="000000" w:themeColor="text1"/>
          <w:sz w:val="56"/>
        </w:rPr>
      </w:pPr>
    </w:p>
    <w:p>
      <w:pPr>
        <w:spacing w:line="276" w:lineRule="auto"/>
        <w:ind w:firstLine="1120"/>
        <w:jc w:val="center"/>
        <w:rPr>
          <w:color w:val="000000" w:themeColor="text1"/>
          <w:sz w:val="56"/>
        </w:rPr>
      </w:pPr>
    </w:p>
    <w:p>
      <w:pPr>
        <w:pStyle w:val="134"/>
        <w:ind w:firstLine="0" w:firstLineChars="0"/>
      </w:pPr>
    </w:p>
    <w:p>
      <w:pPr>
        <w:spacing w:line="440" w:lineRule="exact"/>
        <w:rPr>
          <w:rFonts w:hint="eastAsia" w:ascii="仿宋" w:hAnsi="仿宋" w:eastAsia="仿宋" w:cs="仿宋"/>
          <w:b/>
          <w:sz w:val="24"/>
          <w:szCs w:val="24"/>
        </w:rPr>
      </w:pPr>
    </w:p>
    <w:p>
      <w:pPr>
        <w:jc w:val="center"/>
        <w:rPr>
          <w:rFonts w:hint="eastAsia" w:ascii="宋体" w:hAnsi="宋体" w:eastAsia="宋体"/>
          <w:b/>
          <w:kern w:val="44"/>
          <w:sz w:val="32"/>
        </w:rPr>
      </w:pPr>
    </w:p>
    <w:p>
      <w:pPr>
        <w:jc w:val="center"/>
        <w:rPr>
          <w:rFonts w:hint="eastAsia" w:ascii="宋体" w:hAnsi="宋体" w:eastAsia="宋体"/>
          <w:b/>
          <w:kern w:val="44"/>
          <w:sz w:val="32"/>
        </w:rPr>
      </w:pP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六、其它要求</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1、本招标文件所列需求为最低要求，投标产品不得低于最低要求，否则为无效投标。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2、投标人应就该项目完整投标，否则为无效投标。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3、投标人须对照节能产品政府采购清单，如果本次采购的产品属于强制采购范围的（国办发[2007]51号文），投标文件中须提供所投产品属于强制采购产品有效的证明材料且加盖投标单位公章，否则为无效投标。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4、所投产品已列入国家强制性产品认证的产品，投标文件中必须提供国家对实施强制性产品认证的有效证明材料且加盖投标人公章，否则为无效投标。（如3C等）</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6、产品必须符合国家质量检测标准和本招标文件规定标准的全新正品现货，提供随货物《产品合格证》及其它相关质量证明文件。进口产品须提供海关进货单（复印件备查）。</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7、专利权：投标人应保证用户在使用该货物或其任何一部分时不受第三方提出侵犯其专利权、商标权和工业设计权等的起诉。</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9、投标人须明确维修点地址、负责人、联系人和联系电话，维修点具备什么样的维修能力等详细资料。</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10、本项目为交钥匙工程（包括设备、材料、元件等购置、安装调试、验收、与其它施工单位协作所产生的费用等）。 </w:t>
      </w:r>
    </w:p>
    <w:p>
      <w:pPr>
        <w:spacing w:line="520" w:lineRule="exact"/>
        <w:rPr>
          <w:rFonts w:ascii="仿宋" w:hAnsi="仿宋" w:eastAsia="仿宋" w:cs="仿宋_GB2312"/>
          <w:b/>
          <w:sz w:val="44"/>
        </w:rPr>
      </w:pPr>
      <w:r>
        <w:rPr>
          <w:rFonts w:hint="eastAsia" w:ascii="仿宋" w:hAnsi="仿宋" w:eastAsia="仿宋" w:cs="仿宋"/>
          <w:sz w:val="24"/>
          <w:szCs w:val="24"/>
          <w:lang w:val="en-US" w:eastAsia="zh-CN"/>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（2）营业执照、银行开户许可证、无行贿记录告知函、法人代表授权委托书、《检验检测机构资质认定证书》或《食品检验机构资质认定证书》、被委托人提供本单位为其缴纳社保的证明（</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outlineLvl w:val="9"/>
        <w:rPr>
          <w:rFonts w:ascii="仿宋" w:hAnsi="仿宋" w:eastAsia="仿宋" w:cs="仿宋"/>
          <w:sz w:val="24"/>
          <w:szCs w:val="24"/>
        </w:rPr>
      </w:pPr>
      <w:r>
        <w:rPr>
          <w:rFonts w:hint="eastAsia" w:ascii="仿宋" w:hAnsi="仿宋" w:eastAsia="仿宋" w:cs="仿宋"/>
          <w:b/>
          <w:color w:val="FF0000"/>
          <w:sz w:val="24"/>
          <w:szCs w:val="24"/>
        </w:rPr>
        <w:t>本项目采用综合评分法。</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spacing w:line="520" w:lineRule="exact"/>
        <w:ind w:firstLine="482" w:firstLineChars="200"/>
        <w:rPr>
          <w:rFonts w:ascii="宋体" w:hAnsi="宋体"/>
          <w:b/>
          <w:color w:val="0D0D0D"/>
          <w:sz w:val="24"/>
        </w:rPr>
      </w:pPr>
      <w:r>
        <w:rPr>
          <w:rFonts w:hint="eastAsia" w:ascii="宋体" w:hAnsi="宋体"/>
          <w:b/>
          <w:color w:val="0D0D0D"/>
          <w:sz w:val="24"/>
        </w:rPr>
        <w:t>一、综合评分的项目、分值与权值：</w:t>
      </w:r>
    </w:p>
    <w:p>
      <w:pPr>
        <w:spacing w:line="520" w:lineRule="exact"/>
        <w:ind w:firstLine="480" w:firstLineChars="200"/>
        <w:rPr>
          <w:rFonts w:ascii="宋体" w:hAnsi="宋体"/>
          <w:color w:val="0D0D0D"/>
          <w:sz w:val="24"/>
        </w:rPr>
      </w:pPr>
      <w:r>
        <w:rPr>
          <w:rFonts w:ascii="宋体" w:hAnsi="宋体"/>
          <w:color w:val="0D0D0D"/>
          <w:sz w:val="24"/>
        </w:rPr>
        <w:t xml:space="preserve">a) </w:t>
      </w:r>
      <w:r>
        <w:rPr>
          <w:rFonts w:hint="eastAsia" w:ascii="宋体" w:hAnsi="宋体"/>
          <w:color w:val="0D0D0D"/>
          <w:sz w:val="24"/>
        </w:rPr>
        <w:t>商务部分：3</w:t>
      </w:r>
      <w:r>
        <w:rPr>
          <w:rFonts w:hint="eastAsia" w:ascii="宋体" w:hAnsi="宋体"/>
          <w:color w:val="0D0D0D"/>
          <w:sz w:val="24"/>
          <w:lang w:val="en-US" w:eastAsia="zh-CN"/>
        </w:rPr>
        <w:t>0</w:t>
      </w:r>
      <w:r>
        <w:rPr>
          <w:rFonts w:hint="eastAsia" w:ascii="宋体" w:hAnsi="宋体"/>
          <w:color w:val="0D0D0D"/>
          <w:sz w:val="24"/>
        </w:rPr>
        <w:t>分；3</w:t>
      </w:r>
      <w:r>
        <w:rPr>
          <w:rFonts w:hint="eastAsia" w:ascii="宋体" w:hAnsi="宋体"/>
          <w:color w:val="0D0D0D"/>
          <w:sz w:val="24"/>
          <w:lang w:val="en-US" w:eastAsia="zh-CN"/>
        </w:rPr>
        <w:t>0</w:t>
      </w:r>
      <w:r>
        <w:rPr>
          <w:rFonts w:hint="eastAsia" w:ascii="宋体" w:hAnsi="宋体"/>
          <w:color w:val="0D0D0D"/>
          <w:sz w:val="24"/>
        </w:rPr>
        <w:t>％。</w:t>
      </w:r>
    </w:p>
    <w:p>
      <w:pPr>
        <w:spacing w:line="520" w:lineRule="exact"/>
        <w:ind w:firstLine="480" w:firstLineChars="200"/>
        <w:rPr>
          <w:rFonts w:ascii="宋体" w:hAnsi="宋体"/>
          <w:color w:val="0D0D0D"/>
          <w:sz w:val="24"/>
        </w:rPr>
      </w:pPr>
      <w:r>
        <w:rPr>
          <w:rFonts w:ascii="宋体" w:hAnsi="宋体"/>
          <w:color w:val="0D0D0D"/>
          <w:sz w:val="24"/>
        </w:rPr>
        <w:t xml:space="preserve">b) </w:t>
      </w:r>
      <w:r>
        <w:rPr>
          <w:rFonts w:hint="eastAsia" w:ascii="宋体" w:hAnsi="宋体"/>
          <w:color w:val="0D0D0D"/>
          <w:sz w:val="24"/>
        </w:rPr>
        <w:t>技术部分：5</w:t>
      </w:r>
      <w:r>
        <w:rPr>
          <w:rFonts w:hint="eastAsia" w:ascii="宋体" w:hAnsi="宋体"/>
          <w:color w:val="0D0D0D"/>
          <w:sz w:val="24"/>
          <w:lang w:val="en-US" w:eastAsia="zh-CN"/>
        </w:rPr>
        <w:t>0</w:t>
      </w:r>
      <w:r>
        <w:rPr>
          <w:rFonts w:hint="eastAsia" w:ascii="宋体" w:hAnsi="宋体"/>
          <w:color w:val="0D0D0D"/>
          <w:sz w:val="24"/>
        </w:rPr>
        <w:t>分；5</w:t>
      </w:r>
      <w:r>
        <w:rPr>
          <w:rFonts w:hint="eastAsia" w:ascii="宋体" w:hAnsi="宋体"/>
          <w:color w:val="0D0D0D"/>
          <w:sz w:val="24"/>
          <w:lang w:val="en-US" w:eastAsia="zh-CN"/>
        </w:rPr>
        <w:t>0</w:t>
      </w:r>
      <w:r>
        <w:rPr>
          <w:rFonts w:hint="eastAsia" w:ascii="宋体" w:hAnsi="宋体"/>
          <w:color w:val="0D0D0D"/>
          <w:sz w:val="24"/>
        </w:rPr>
        <w:t>％。</w:t>
      </w:r>
    </w:p>
    <w:p>
      <w:pPr>
        <w:spacing w:line="520" w:lineRule="exact"/>
        <w:ind w:firstLine="480" w:firstLineChars="200"/>
        <w:rPr>
          <w:rFonts w:hint="eastAsia" w:ascii="宋体" w:hAnsi="宋体"/>
          <w:color w:val="0D0D0D"/>
          <w:sz w:val="24"/>
        </w:rPr>
      </w:pPr>
      <w:r>
        <w:rPr>
          <w:rFonts w:ascii="宋体" w:hAnsi="宋体"/>
          <w:color w:val="0D0D0D"/>
          <w:sz w:val="24"/>
        </w:rPr>
        <w:t>c)</w:t>
      </w:r>
      <w:r>
        <w:rPr>
          <w:rFonts w:ascii="宋体" w:hAnsi="宋体"/>
          <w:color w:val="0000FF"/>
          <w:sz w:val="24"/>
        </w:rPr>
        <w:t xml:space="preserve"> </w:t>
      </w:r>
      <w:r>
        <w:rPr>
          <w:rFonts w:hint="eastAsia" w:ascii="宋体" w:hAnsi="宋体"/>
          <w:color w:val="0D0D0D"/>
          <w:sz w:val="24"/>
        </w:rPr>
        <w:t>投标报价：</w:t>
      </w:r>
      <w:r>
        <w:rPr>
          <w:rFonts w:hint="eastAsia" w:ascii="宋体" w:hAnsi="宋体"/>
          <w:color w:val="0D0D0D"/>
          <w:sz w:val="24"/>
          <w:lang w:val="en-US" w:eastAsia="zh-CN"/>
        </w:rPr>
        <w:t>2</w:t>
      </w:r>
      <w:r>
        <w:rPr>
          <w:rFonts w:hint="eastAsia" w:ascii="宋体" w:hAnsi="宋体"/>
          <w:color w:val="0D0D0D"/>
          <w:sz w:val="24"/>
        </w:rPr>
        <w:t>0分；</w:t>
      </w:r>
      <w:r>
        <w:rPr>
          <w:rFonts w:hint="eastAsia" w:ascii="宋体" w:hAnsi="宋体"/>
          <w:color w:val="0D0D0D"/>
          <w:sz w:val="24"/>
          <w:lang w:val="en-US" w:eastAsia="zh-CN"/>
        </w:rPr>
        <w:t>2</w:t>
      </w:r>
      <w:r>
        <w:rPr>
          <w:rFonts w:hint="eastAsia" w:ascii="宋体" w:hAnsi="宋体"/>
          <w:color w:val="0D0D0D"/>
          <w:sz w:val="24"/>
        </w:rPr>
        <w:t>0％。</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(一)、商务部分（3</w:t>
      </w:r>
      <w:r>
        <w:rPr>
          <w:rFonts w:hint="eastAsia" w:ascii="宋体" w:hAnsi="宋体"/>
          <w:b/>
          <w:snapToGrid w:val="0"/>
          <w:kern w:val="0"/>
          <w:sz w:val="24"/>
          <w:szCs w:val="20"/>
          <w:lang w:val="en-US" w:eastAsia="zh-CN"/>
        </w:rPr>
        <w:t>0</w:t>
      </w:r>
      <w:r>
        <w:rPr>
          <w:rFonts w:hint="eastAsia" w:ascii="宋体" w:hAnsi="宋体"/>
          <w:b/>
          <w:snapToGrid w:val="0"/>
          <w:kern w:val="0"/>
          <w:sz w:val="24"/>
          <w:szCs w:val="20"/>
        </w:rPr>
        <w:t>分）</w:t>
      </w:r>
    </w:p>
    <w:p>
      <w:pPr>
        <w:spacing w:line="520" w:lineRule="exact"/>
        <w:ind w:firstLine="482" w:firstLineChars="200"/>
        <w:rPr>
          <w:rFonts w:ascii="宋体" w:hAnsi="宋体"/>
          <w:snapToGrid w:val="0"/>
          <w:kern w:val="0"/>
          <w:sz w:val="24"/>
          <w:szCs w:val="20"/>
        </w:rPr>
      </w:pPr>
      <w:r>
        <w:rPr>
          <w:rFonts w:hint="eastAsia" w:ascii="宋体" w:hAnsi="宋体"/>
          <w:b/>
          <w:snapToGrid w:val="0"/>
          <w:kern w:val="0"/>
          <w:sz w:val="24"/>
          <w:szCs w:val="20"/>
        </w:rPr>
        <w:t>1、公司实力及资质（20分）</w:t>
      </w:r>
      <w:r>
        <w:rPr>
          <w:rFonts w:hint="eastAsia" w:ascii="宋体" w:hAnsi="宋体"/>
          <w:snapToGrid w:val="0"/>
          <w:kern w:val="0"/>
          <w:sz w:val="24"/>
          <w:szCs w:val="20"/>
        </w:rPr>
        <w:t>：</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（1）投标人提供2016年以来获得实验室能力验证或比对试验情况：提供国家级及以上能力验证或比对试验并取得合格以上成绩证明材料的，覆盖范围有重金属、添加剂、微生物等，每份至少</w:t>
      </w:r>
      <w:r>
        <w:rPr>
          <w:rFonts w:hint="eastAsia" w:ascii="宋体" w:hAnsi="宋体"/>
          <w:snapToGrid w:val="0"/>
          <w:kern w:val="0"/>
          <w:sz w:val="24"/>
          <w:szCs w:val="20"/>
          <w:lang w:eastAsia="zh-CN"/>
        </w:rPr>
        <w:t>须</w:t>
      </w:r>
      <w:r>
        <w:rPr>
          <w:rFonts w:hint="eastAsia" w:ascii="宋体" w:hAnsi="宋体"/>
          <w:snapToGrid w:val="0"/>
          <w:kern w:val="0"/>
          <w:sz w:val="24"/>
          <w:szCs w:val="20"/>
        </w:rPr>
        <w:t>有1份，一份</w:t>
      </w:r>
      <w:r>
        <w:rPr>
          <w:rFonts w:hint="eastAsia" w:ascii="宋体" w:hAnsi="宋体"/>
          <w:snapToGrid w:val="0"/>
          <w:kern w:val="0"/>
          <w:sz w:val="24"/>
          <w:szCs w:val="20"/>
          <w:lang w:val="en-US" w:eastAsia="zh-CN"/>
        </w:rPr>
        <w:t>1</w:t>
      </w:r>
      <w:r>
        <w:rPr>
          <w:rFonts w:hint="eastAsia" w:ascii="宋体" w:hAnsi="宋体"/>
          <w:snapToGrid w:val="0"/>
          <w:kern w:val="0"/>
          <w:sz w:val="24"/>
          <w:szCs w:val="20"/>
        </w:rPr>
        <w:t>分，</w:t>
      </w:r>
      <w:r>
        <w:rPr>
          <w:rFonts w:hint="eastAsia" w:ascii="宋体" w:hAnsi="宋体"/>
          <w:snapToGrid w:val="0"/>
          <w:kern w:val="0"/>
          <w:sz w:val="24"/>
          <w:szCs w:val="20"/>
          <w:lang w:eastAsia="zh-CN"/>
        </w:rPr>
        <w:t>最高</w:t>
      </w:r>
      <w:r>
        <w:rPr>
          <w:rFonts w:hint="eastAsia" w:ascii="宋体" w:hAnsi="宋体"/>
          <w:snapToGrid w:val="0"/>
          <w:kern w:val="0"/>
          <w:sz w:val="24"/>
          <w:szCs w:val="20"/>
          <w:lang w:val="en-US" w:eastAsia="zh-CN"/>
        </w:rPr>
        <w:t>3</w:t>
      </w:r>
      <w:r>
        <w:rPr>
          <w:rFonts w:hint="eastAsia" w:ascii="宋体" w:hAnsi="宋体"/>
          <w:snapToGrid w:val="0"/>
          <w:kern w:val="0"/>
          <w:sz w:val="24"/>
          <w:szCs w:val="20"/>
        </w:rPr>
        <w:t>分</w:t>
      </w:r>
      <w:r>
        <w:rPr>
          <w:rFonts w:hint="eastAsia" w:ascii="宋体" w:hAnsi="宋体"/>
          <w:b/>
          <w:snapToGrid w:val="0"/>
          <w:kern w:val="0"/>
          <w:sz w:val="24"/>
          <w:szCs w:val="20"/>
        </w:rPr>
        <w:t>（审验原件）</w:t>
      </w:r>
    </w:p>
    <w:p>
      <w:pPr>
        <w:spacing w:line="520" w:lineRule="exact"/>
        <w:ind w:firstLine="480" w:firstLineChars="200"/>
        <w:rPr>
          <w:rFonts w:ascii="宋体" w:hAnsi="宋体"/>
          <w:b/>
          <w:snapToGrid w:val="0"/>
          <w:kern w:val="0"/>
          <w:sz w:val="24"/>
          <w:szCs w:val="20"/>
        </w:rPr>
      </w:pPr>
      <w:r>
        <w:rPr>
          <w:rFonts w:hint="eastAsia" w:ascii="宋体" w:hAnsi="宋体"/>
          <w:snapToGrid w:val="0"/>
          <w:kern w:val="0"/>
          <w:sz w:val="24"/>
          <w:szCs w:val="20"/>
        </w:rPr>
        <w:t>（2）具有食品检测实验室且正常运营时间2年以上（以营业执照证书发证时间和地址为准），得</w:t>
      </w:r>
      <w:r>
        <w:rPr>
          <w:rFonts w:hint="eastAsia" w:ascii="宋体" w:hAnsi="宋体"/>
          <w:snapToGrid w:val="0"/>
          <w:kern w:val="0"/>
          <w:sz w:val="24"/>
          <w:szCs w:val="20"/>
          <w:lang w:val="en-US" w:eastAsia="zh-CN"/>
        </w:rPr>
        <w:t>3</w:t>
      </w:r>
      <w:r>
        <w:rPr>
          <w:rFonts w:hint="eastAsia" w:ascii="宋体" w:hAnsi="宋体"/>
          <w:snapToGrid w:val="0"/>
          <w:kern w:val="0"/>
          <w:sz w:val="24"/>
          <w:szCs w:val="20"/>
        </w:rPr>
        <w:t>分，否则不得分</w:t>
      </w:r>
      <w:r>
        <w:rPr>
          <w:rFonts w:hint="eastAsia" w:ascii="宋体" w:hAnsi="宋体"/>
          <w:b/>
          <w:snapToGrid w:val="0"/>
          <w:kern w:val="0"/>
          <w:sz w:val="24"/>
          <w:szCs w:val="20"/>
        </w:rPr>
        <w:t>（审验原件）</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（3）具有质量管理体系认证证书，并且认证范围包含食品检测的得4分</w:t>
      </w:r>
      <w:r>
        <w:rPr>
          <w:rFonts w:hint="eastAsia" w:ascii="宋体" w:hAnsi="宋体"/>
          <w:b/>
          <w:snapToGrid w:val="0"/>
          <w:kern w:val="0"/>
          <w:sz w:val="24"/>
          <w:szCs w:val="20"/>
        </w:rPr>
        <w:t>（审验原件）</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（4）投标单位具有足够的样品存储，冷库体积在100m³以上得3分，100-80m³得2分，80m³以下得1分。（</w:t>
      </w:r>
      <w:r>
        <w:rPr>
          <w:rFonts w:hint="eastAsia" w:ascii="宋体" w:hAnsi="宋体"/>
          <w:b/>
          <w:snapToGrid w:val="0"/>
          <w:kern w:val="0"/>
          <w:sz w:val="24"/>
          <w:szCs w:val="20"/>
        </w:rPr>
        <w:t>冷库以施工合同，发票为准</w:t>
      </w:r>
      <w:r>
        <w:rPr>
          <w:rFonts w:hint="eastAsia" w:ascii="宋体" w:hAnsi="宋体"/>
          <w:snapToGrid w:val="0"/>
          <w:kern w:val="0"/>
          <w:sz w:val="24"/>
          <w:szCs w:val="20"/>
        </w:rPr>
        <w:t>）</w:t>
      </w:r>
    </w:p>
    <w:p>
      <w:pPr>
        <w:spacing w:line="520" w:lineRule="exact"/>
        <w:ind w:firstLine="480" w:firstLineChars="200"/>
        <w:rPr>
          <w:rFonts w:ascii="宋体" w:hAnsi="宋体" w:cs="宋体"/>
          <w:b/>
          <w:snapToGrid w:val="0"/>
          <w:color w:val="000000"/>
          <w:kern w:val="0"/>
          <w:sz w:val="24"/>
        </w:rPr>
      </w:pPr>
      <w:r>
        <w:rPr>
          <w:rFonts w:hint="eastAsia" w:ascii="宋体" w:hAnsi="宋体"/>
          <w:snapToGrid w:val="0"/>
          <w:kern w:val="0"/>
          <w:sz w:val="24"/>
          <w:szCs w:val="20"/>
        </w:rPr>
        <w:t>（5）</w:t>
      </w:r>
      <w:r>
        <w:rPr>
          <w:rFonts w:hint="eastAsia" w:ascii="宋体" w:hAnsi="宋体" w:cs="宋体"/>
          <w:snapToGrid w:val="0"/>
          <w:color w:val="000000"/>
          <w:kern w:val="0"/>
          <w:sz w:val="24"/>
        </w:rPr>
        <w:t>抽样车辆或冷藏车辆每1辆得1分，满分3分。</w:t>
      </w:r>
      <w:r>
        <w:rPr>
          <w:rFonts w:hint="eastAsia" w:ascii="宋体" w:hAnsi="宋体" w:cs="宋体"/>
          <w:b/>
          <w:snapToGrid w:val="0"/>
          <w:color w:val="000000"/>
          <w:kern w:val="0"/>
          <w:sz w:val="24"/>
        </w:rPr>
        <w:t>（车辆必须为单位所有，须提供购车发票及行驶证原件，否则不得分）</w:t>
      </w:r>
    </w:p>
    <w:p>
      <w:pPr>
        <w:spacing w:line="520" w:lineRule="exact"/>
        <w:ind w:firstLine="480" w:firstLineChars="200"/>
        <w:rPr>
          <w:rFonts w:ascii="宋体" w:hAnsi="宋体"/>
          <w:b/>
          <w:sz w:val="24"/>
        </w:rPr>
      </w:pPr>
      <w:r>
        <w:rPr>
          <w:rFonts w:hint="eastAsia" w:ascii="宋体" w:hAnsi="宋体"/>
          <w:sz w:val="24"/>
        </w:rPr>
        <w:t>(6）取得农产品质量安全检测机构CATL资质证书得4分。（</w:t>
      </w:r>
      <w:r>
        <w:rPr>
          <w:rFonts w:hint="eastAsia" w:ascii="宋体" w:hAnsi="宋体"/>
          <w:b/>
          <w:sz w:val="24"/>
        </w:rPr>
        <w:t>以原件为准）</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2、业绩情况（</w:t>
      </w:r>
      <w:r>
        <w:rPr>
          <w:rFonts w:hint="eastAsia" w:ascii="宋体" w:hAnsi="宋体"/>
          <w:b/>
          <w:snapToGrid w:val="0"/>
          <w:kern w:val="0"/>
          <w:sz w:val="24"/>
          <w:szCs w:val="20"/>
          <w:lang w:val="en-US" w:eastAsia="zh-CN"/>
        </w:rPr>
        <w:t>5</w:t>
      </w:r>
      <w:r>
        <w:rPr>
          <w:rFonts w:hint="eastAsia" w:ascii="宋体" w:hAnsi="宋体"/>
          <w:b/>
          <w:snapToGrid w:val="0"/>
          <w:kern w:val="0"/>
          <w:sz w:val="24"/>
          <w:szCs w:val="20"/>
        </w:rPr>
        <w:t>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2016年以来承担食品安全抽检项目业绩：承担过地市级以下（不含地市级）政府部门组织的食品安全抽检监测项目，每项 0.5分。承担过地市级以上（含地市级）政府部门组织的食品安全抽检监测项目，每项 1分。满分</w:t>
      </w:r>
      <w:r>
        <w:rPr>
          <w:rFonts w:hint="eastAsia" w:ascii="宋体" w:hAnsi="宋体"/>
          <w:snapToGrid w:val="0"/>
          <w:kern w:val="0"/>
          <w:sz w:val="24"/>
          <w:szCs w:val="20"/>
          <w:lang w:val="en-US" w:eastAsia="zh-CN"/>
        </w:rPr>
        <w:t>5</w:t>
      </w:r>
      <w:r>
        <w:rPr>
          <w:rFonts w:hint="eastAsia" w:ascii="宋体" w:hAnsi="宋体"/>
          <w:snapToGrid w:val="0"/>
          <w:kern w:val="0"/>
          <w:sz w:val="24"/>
          <w:szCs w:val="20"/>
        </w:rPr>
        <w:t>分。（</w:t>
      </w:r>
      <w:r>
        <w:rPr>
          <w:rFonts w:hint="eastAsia" w:ascii="宋体" w:hAnsi="宋体"/>
          <w:b/>
          <w:snapToGrid w:val="0"/>
          <w:kern w:val="0"/>
          <w:sz w:val="24"/>
          <w:szCs w:val="20"/>
        </w:rPr>
        <w:t>提供相关合同（或中标通知书）和发票原件为准</w:t>
      </w:r>
      <w:r>
        <w:rPr>
          <w:rFonts w:hint="eastAsia" w:ascii="宋体" w:hAnsi="宋体"/>
          <w:snapToGrid w:val="0"/>
          <w:kern w:val="0"/>
          <w:sz w:val="24"/>
          <w:szCs w:val="20"/>
        </w:rPr>
        <w:t>）</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3、单位场地（5分）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（1）投标单位具有独立实验室，投标单位设立办公及实验室面积2000平方米以上的得2分，每超过面积500平米加1分，最高4分；该项以房屋租赁合同或产权证明为准。（0-4分）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（2）投标单位具有格局合理的微生物检验区和理化检验区得1分。（0-1分）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【上述部分须提供详细地址、场地所有权证明或租赁使用合同原件、工作场地照片，场地布局平面图等证明材料】</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(二)、技术部分（</w:t>
      </w:r>
      <w:r>
        <w:rPr>
          <w:rFonts w:hint="eastAsia" w:ascii="宋体" w:hAnsi="宋体"/>
          <w:b/>
          <w:snapToGrid w:val="0"/>
          <w:kern w:val="0"/>
          <w:sz w:val="24"/>
          <w:szCs w:val="20"/>
          <w:lang w:val="en-US" w:eastAsia="zh-CN"/>
        </w:rPr>
        <w:t>50</w:t>
      </w:r>
      <w:r>
        <w:rPr>
          <w:rFonts w:hint="eastAsia" w:ascii="宋体" w:hAnsi="宋体"/>
          <w:b/>
          <w:snapToGrid w:val="0"/>
          <w:kern w:val="0"/>
          <w:sz w:val="24"/>
          <w:szCs w:val="20"/>
        </w:rPr>
        <w:t>分）</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1、设备情况（1</w:t>
      </w:r>
      <w:r>
        <w:rPr>
          <w:rFonts w:hint="eastAsia" w:ascii="宋体" w:hAnsi="宋体"/>
          <w:b/>
          <w:snapToGrid w:val="0"/>
          <w:kern w:val="0"/>
          <w:sz w:val="24"/>
          <w:szCs w:val="20"/>
          <w:lang w:val="en-US" w:eastAsia="zh-CN"/>
        </w:rPr>
        <w:t>0</w:t>
      </w:r>
      <w:r>
        <w:rPr>
          <w:rFonts w:hint="eastAsia" w:ascii="宋体" w:hAnsi="宋体"/>
          <w:b/>
          <w:snapToGrid w:val="0"/>
          <w:kern w:val="0"/>
          <w:sz w:val="24"/>
          <w:szCs w:val="20"/>
        </w:rPr>
        <w:t>分）</w:t>
      </w:r>
    </w:p>
    <w:p>
      <w:pPr>
        <w:spacing w:line="520" w:lineRule="exact"/>
        <w:ind w:firstLine="480" w:firstLineChars="200"/>
        <w:rPr>
          <w:rFonts w:ascii="宋体" w:hAnsi="宋体"/>
          <w:b/>
          <w:snapToGrid w:val="0"/>
          <w:kern w:val="0"/>
          <w:sz w:val="24"/>
          <w:szCs w:val="20"/>
        </w:rPr>
      </w:pPr>
      <w:r>
        <w:rPr>
          <w:rFonts w:hint="eastAsia" w:ascii="宋体" w:hAnsi="宋体"/>
          <w:snapToGrid w:val="0"/>
          <w:kern w:val="0"/>
          <w:sz w:val="24"/>
          <w:szCs w:val="20"/>
        </w:rPr>
        <w:t>（1）实验室具备承担多项目多频次检测任务所需的必需设备，包括：GC（气相色谱仪）、GC/MS（气相色谱/质谱联用仪）、HPLC（高效液相色谱仪）2台、HLPC/MS（液相色谱/质谱联用仪）、ICP-MS（电感耦合等离子体质谱）、IC（离子色谱仪）、AAS（原子吸收分光光度计）、AFS（原子荧光光度计）、紫外可见分光光度计等食品检验核心设备以上设备每1台</w:t>
      </w:r>
      <w:r>
        <w:rPr>
          <w:rFonts w:hint="eastAsia" w:ascii="宋体" w:hAnsi="宋体"/>
          <w:snapToGrid w:val="0"/>
          <w:kern w:val="0"/>
          <w:sz w:val="24"/>
          <w:szCs w:val="20"/>
          <w:lang w:eastAsia="zh-CN"/>
        </w:rPr>
        <w:t>设备得</w:t>
      </w:r>
      <w:r>
        <w:rPr>
          <w:rFonts w:hint="eastAsia" w:ascii="宋体" w:hAnsi="宋体"/>
          <w:snapToGrid w:val="0"/>
          <w:kern w:val="0"/>
          <w:sz w:val="24"/>
          <w:szCs w:val="20"/>
          <w:lang w:val="en-US" w:eastAsia="zh-CN"/>
        </w:rPr>
        <w:t>1</w:t>
      </w:r>
      <w:r>
        <w:rPr>
          <w:rFonts w:hint="eastAsia" w:ascii="宋体" w:hAnsi="宋体"/>
          <w:snapToGrid w:val="0"/>
          <w:kern w:val="0"/>
          <w:sz w:val="24"/>
          <w:szCs w:val="20"/>
        </w:rPr>
        <w:t>分，</w:t>
      </w:r>
      <w:r>
        <w:rPr>
          <w:rFonts w:hint="eastAsia" w:ascii="宋体" w:hAnsi="宋体"/>
          <w:snapToGrid w:val="0"/>
          <w:kern w:val="0"/>
          <w:sz w:val="24"/>
          <w:szCs w:val="20"/>
          <w:lang w:eastAsia="zh-CN"/>
        </w:rPr>
        <w:t>最高</w:t>
      </w:r>
      <w:r>
        <w:rPr>
          <w:rFonts w:hint="eastAsia" w:ascii="宋体" w:hAnsi="宋体"/>
          <w:snapToGrid w:val="0"/>
          <w:kern w:val="0"/>
          <w:sz w:val="24"/>
          <w:szCs w:val="20"/>
          <w:lang w:val="en-US" w:eastAsia="zh-CN"/>
        </w:rPr>
        <w:t>10分</w:t>
      </w:r>
      <w:r>
        <w:rPr>
          <w:rFonts w:hint="eastAsia" w:ascii="宋体" w:hAnsi="宋体"/>
          <w:snapToGrid w:val="0"/>
          <w:kern w:val="0"/>
          <w:sz w:val="24"/>
          <w:szCs w:val="20"/>
        </w:rPr>
        <w:t>。</w:t>
      </w:r>
      <w:r>
        <w:rPr>
          <w:rFonts w:hint="eastAsia" w:ascii="宋体" w:hAnsi="宋体"/>
          <w:b/>
          <w:snapToGrid w:val="0"/>
          <w:kern w:val="0"/>
          <w:sz w:val="24"/>
          <w:szCs w:val="20"/>
        </w:rPr>
        <w:t>（审验校准证书原件，无校准证书原件不得分）  （0-10分）</w:t>
      </w:r>
    </w:p>
    <w:p>
      <w:pPr>
        <w:spacing w:line="520" w:lineRule="exact"/>
        <w:ind w:firstLine="477" w:firstLineChars="198"/>
        <w:rPr>
          <w:rFonts w:ascii="宋体" w:hAnsi="宋体"/>
          <w:b/>
          <w:sz w:val="24"/>
        </w:rPr>
      </w:pPr>
      <w:r>
        <w:rPr>
          <w:rFonts w:hint="eastAsia" w:ascii="宋体" w:hAnsi="宋体"/>
          <w:b/>
          <w:sz w:val="24"/>
        </w:rPr>
        <w:t>2.人员配备情况（6分）</w:t>
      </w:r>
    </w:p>
    <w:p>
      <w:pPr>
        <w:spacing w:line="520" w:lineRule="exact"/>
        <w:ind w:firstLine="480" w:firstLineChars="200"/>
        <w:rPr>
          <w:rFonts w:hint="eastAsia" w:ascii="宋体" w:hAnsi="宋体" w:cs="宋体"/>
          <w:b/>
          <w:snapToGrid w:val="0"/>
          <w:color w:val="000000"/>
          <w:kern w:val="0"/>
          <w:sz w:val="24"/>
        </w:rPr>
      </w:pPr>
      <w:r>
        <w:rPr>
          <w:rFonts w:hint="eastAsia" w:ascii="宋体" w:hAnsi="宋体" w:cs="宋体"/>
          <w:snapToGrid w:val="0"/>
          <w:color w:val="000000"/>
          <w:kern w:val="0"/>
          <w:sz w:val="24"/>
        </w:rPr>
        <w:t>投标人具有副高及高级职称者每位得1分；具有中级职称证者每位得0.5分；满分为6分。</w:t>
      </w:r>
      <w:r>
        <w:rPr>
          <w:rFonts w:hint="eastAsia" w:ascii="宋体" w:hAnsi="宋体" w:cs="宋体"/>
          <w:b/>
          <w:snapToGrid w:val="0"/>
          <w:color w:val="000000"/>
          <w:kern w:val="0"/>
          <w:sz w:val="24"/>
        </w:rPr>
        <w:t>（以提供职称证原件为准，退休返聘都提供劳动合同原件）</w:t>
      </w:r>
    </w:p>
    <w:p>
      <w:pPr>
        <w:spacing w:line="520" w:lineRule="exact"/>
        <w:ind w:firstLine="482" w:firstLineChars="200"/>
        <w:rPr>
          <w:rFonts w:hint="eastAsia" w:ascii="宋体" w:hAnsi="宋体" w:cs="宋体"/>
          <w:b/>
          <w:snapToGrid w:val="0"/>
          <w:color w:val="000000"/>
          <w:kern w:val="0"/>
          <w:sz w:val="24"/>
          <w:lang w:val="en-US" w:eastAsia="zh-CN"/>
        </w:rPr>
      </w:pPr>
      <w:r>
        <w:rPr>
          <w:rFonts w:hint="eastAsia" w:ascii="宋体" w:hAnsi="宋体" w:cs="宋体"/>
          <w:b/>
          <w:snapToGrid w:val="0"/>
          <w:color w:val="000000"/>
          <w:kern w:val="0"/>
          <w:sz w:val="24"/>
          <w:lang w:val="en-US" w:eastAsia="zh-CN"/>
        </w:rPr>
        <w:t>3.检验项目覆盖率（3分）</w:t>
      </w:r>
    </w:p>
    <w:p>
      <w:pPr>
        <w:spacing w:line="520" w:lineRule="exact"/>
        <w:ind w:firstLine="482" w:firstLineChars="200"/>
        <w:rPr>
          <w:rFonts w:hint="eastAsia" w:ascii="宋体" w:hAnsi="宋体" w:eastAsia="宋体" w:cs="宋体"/>
          <w:b/>
          <w:snapToGrid w:val="0"/>
          <w:color w:val="000000"/>
          <w:kern w:val="0"/>
          <w:sz w:val="24"/>
          <w:lang w:val="en-US" w:eastAsia="zh-CN"/>
        </w:rPr>
      </w:pPr>
      <w:r>
        <w:rPr>
          <w:rFonts w:hint="eastAsia" w:ascii="宋体" w:hAnsi="宋体" w:cs="宋体"/>
          <w:b/>
          <w:snapToGrid w:val="0"/>
          <w:color w:val="000000"/>
          <w:kern w:val="0"/>
          <w:sz w:val="24"/>
          <w:lang w:val="en-US" w:eastAsia="zh-CN"/>
        </w:rPr>
        <w:t>根据招标文件附表上报的食品细类（填报单批次总报价）覆盖率：90%（含）及以上3分，60%（含）-90%（不含）得1分，低于60％不得分。</w:t>
      </w:r>
    </w:p>
    <w:p>
      <w:pPr>
        <w:spacing w:line="520" w:lineRule="exact"/>
        <w:ind w:firstLine="482" w:firstLineChars="200"/>
        <w:rPr>
          <w:rFonts w:ascii="宋体" w:hAnsi="宋体"/>
          <w:b/>
          <w:sz w:val="24"/>
        </w:rPr>
      </w:pPr>
      <w:r>
        <w:rPr>
          <w:rFonts w:hint="eastAsia" w:ascii="宋体" w:hAnsi="宋体"/>
          <w:b/>
          <w:sz w:val="24"/>
          <w:lang w:val="en-US" w:eastAsia="zh-CN"/>
        </w:rPr>
        <w:t>4</w:t>
      </w:r>
      <w:r>
        <w:rPr>
          <w:rFonts w:hint="eastAsia" w:ascii="宋体" w:hAnsi="宋体"/>
          <w:b/>
          <w:sz w:val="24"/>
        </w:rPr>
        <w:t>、技术</w:t>
      </w:r>
      <w:r>
        <w:rPr>
          <w:rFonts w:ascii="宋体" w:hAnsi="宋体"/>
          <w:b/>
          <w:sz w:val="24"/>
        </w:rPr>
        <w:t>方案（</w:t>
      </w:r>
      <w:r>
        <w:rPr>
          <w:rFonts w:hint="eastAsia" w:ascii="宋体" w:hAnsi="宋体"/>
          <w:b/>
          <w:sz w:val="24"/>
        </w:rPr>
        <w:t>18</w:t>
      </w:r>
      <w:r>
        <w:rPr>
          <w:rFonts w:ascii="宋体" w:hAnsi="宋体"/>
          <w:b/>
          <w:sz w:val="24"/>
        </w:rPr>
        <w:t>分）</w:t>
      </w:r>
    </w:p>
    <w:p>
      <w:pPr>
        <w:spacing w:line="520" w:lineRule="exact"/>
        <w:ind w:firstLine="480" w:firstLineChars="200"/>
        <w:rPr>
          <w:rFonts w:ascii="宋体" w:hAnsi="宋体" w:cs="宋体"/>
          <w:sz w:val="24"/>
        </w:rPr>
      </w:pPr>
      <w:r>
        <w:rPr>
          <w:rFonts w:ascii="宋体" w:hAnsi="宋体" w:cs="宋体"/>
          <w:sz w:val="24"/>
        </w:rPr>
        <w:t>（1）投标人明确技术服务工作方法和管理制度，方法中明确成立专门项目组、实施细则、结果专报机制、客户回访、档案管理机制及应急处置机制等（评标委员会综合对比后在0-</w:t>
      </w:r>
      <w:r>
        <w:rPr>
          <w:rFonts w:hint="eastAsia" w:ascii="宋体" w:hAnsi="宋体" w:cs="宋体"/>
          <w:sz w:val="24"/>
        </w:rPr>
        <w:t>5</w:t>
      </w:r>
      <w:r>
        <w:rPr>
          <w:rFonts w:ascii="宋体" w:hAnsi="宋体" w:cs="宋体"/>
          <w:sz w:val="24"/>
        </w:rPr>
        <w:t>分之间</w:t>
      </w:r>
      <w:r>
        <w:rPr>
          <w:rFonts w:hint="eastAsia" w:ascii="宋体" w:hAnsi="宋体" w:cs="宋体"/>
          <w:sz w:val="24"/>
        </w:rPr>
        <w:t>排序</w:t>
      </w:r>
      <w:r>
        <w:rPr>
          <w:rFonts w:ascii="宋体" w:hAnsi="宋体" w:cs="宋体"/>
          <w:sz w:val="24"/>
        </w:rPr>
        <w:t>打分）；</w:t>
      </w:r>
    </w:p>
    <w:p>
      <w:pPr>
        <w:spacing w:line="520" w:lineRule="exact"/>
        <w:ind w:firstLine="480" w:firstLineChars="200"/>
        <w:rPr>
          <w:rFonts w:ascii="宋体" w:hAnsi="宋体" w:cs="宋体"/>
          <w:sz w:val="24"/>
        </w:rPr>
      </w:pPr>
      <w:r>
        <w:rPr>
          <w:rFonts w:ascii="宋体" w:hAnsi="宋体" w:cs="宋体"/>
          <w:sz w:val="24"/>
        </w:rPr>
        <w:t>（2）投标人明确技术服务工作流程，流程设置合理，分工明确，每个工作流程有细致说明及相关责任人员等（评标委员会综合对比后在0-</w:t>
      </w:r>
      <w:r>
        <w:rPr>
          <w:rFonts w:hint="eastAsia" w:ascii="宋体" w:hAnsi="宋体" w:cs="宋体"/>
          <w:sz w:val="24"/>
        </w:rPr>
        <w:t>5</w:t>
      </w:r>
      <w:r>
        <w:rPr>
          <w:rFonts w:ascii="宋体" w:hAnsi="宋体" w:cs="宋体"/>
          <w:sz w:val="24"/>
        </w:rPr>
        <w:t>分之间</w:t>
      </w:r>
      <w:r>
        <w:rPr>
          <w:rFonts w:hint="eastAsia" w:ascii="宋体" w:hAnsi="宋体" w:cs="宋体"/>
          <w:sz w:val="24"/>
        </w:rPr>
        <w:t>排序</w:t>
      </w:r>
      <w:r>
        <w:rPr>
          <w:rFonts w:ascii="宋体" w:hAnsi="宋体" w:cs="宋体"/>
          <w:sz w:val="24"/>
        </w:rPr>
        <w:t>打分）；</w:t>
      </w:r>
    </w:p>
    <w:p>
      <w:pPr>
        <w:spacing w:line="520" w:lineRule="exact"/>
        <w:ind w:firstLine="480" w:firstLineChars="200"/>
        <w:rPr>
          <w:rFonts w:ascii="宋体" w:hAnsi="宋体" w:cs="宋体"/>
          <w:sz w:val="24"/>
        </w:rPr>
      </w:pPr>
      <w:r>
        <w:rPr>
          <w:rFonts w:ascii="宋体" w:hAnsi="宋体" w:cs="宋体"/>
          <w:sz w:val="24"/>
        </w:rPr>
        <w:t>（3）投标人明确技术服务工作要点，包括抽样工作要点、检测工作要点等内容，明确工作难点，符合实际等（评标委员会综合对比后在0-</w:t>
      </w:r>
      <w:r>
        <w:rPr>
          <w:rFonts w:hint="eastAsia" w:ascii="宋体" w:hAnsi="宋体" w:cs="宋体"/>
          <w:sz w:val="24"/>
        </w:rPr>
        <w:t>5</w:t>
      </w:r>
      <w:r>
        <w:rPr>
          <w:rFonts w:ascii="宋体" w:hAnsi="宋体" w:cs="宋体"/>
          <w:sz w:val="24"/>
        </w:rPr>
        <w:t>分之间</w:t>
      </w:r>
      <w:r>
        <w:rPr>
          <w:rFonts w:hint="eastAsia" w:ascii="宋体" w:hAnsi="宋体" w:cs="宋体"/>
          <w:sz w:val="24"/>
        </w:rPr>
        <w:t>排序</w:t>
      </w:r>
      <w:r>
        <w:rPr>
          <w:rFonts w:ascii="宋体" w:hAnsi="宋体" w:cs="宋体"/>
          <w:sz w:val="24"/>
        </w:rPr>
        <w:t>打分）；</w:t>
      </w:r>
    </w:p>
    <w:p>
      <w:pPr>
        <w:spacing w:line="5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）具有完善的食品抽样检验质量控制方案及措施。（评标委员会综合对比后在0-</w:t>
      </w:r>
      <w:r>
        <w:rPr>
          <w:rFonts w:hint="eastAsia" w:ascii="宋体" w:hAnsi="宋体" w:cs="宋体"/>
          <w:sz w:val="24"/>
        </w:rPr>
        <w:t>3</w:t>
      </w:r>
      <w:r>
        <w:rPr>
          <w:rFonts w:ascii="宋体" w:hAnsi="宋体" w:cs="宋体"/>
          <w:sz w:val="24"/>
        </w:rPr>
        <w:t>分之间排序打分）；</w:t>
      </w:r>
    </w:p>
    <w:p>
      <w:pPr>
        <w:spacing w:line="520" w:lineRule="exact"/>
        <w:ind w:firstLine="593" w:firstLineChars="246"/>
        <w:rPr>
          <w:rFonts w:ascii="宋体" w:hAnsi="宋体"/>
          <w:b/>
          <w:sz w:val="24"/>
        </w:rPr>
      </w:pPr>
      <w:r>
        <w:rPr>
          <w:rFonts w:hint="eastAsia" w:ascii="宋体" w:hAnsi="宋体"/>
          <w:b/>
          <w:sz w:val="24"/>
          <w:lang w:val="en-US" w:eastAsia="zh-CN"/>
        </w:rPr>
        <w:t>5</w:t>
      </w:r>
      <w:r>
        <w:rPr>
          <w:rFonts w:hint="eastAsia" w:ascii="宋体" w:hAnsi="宋体"/>
          <w:b/>
          <w:sz w:val="24"/>
        </w:rPr>
        <w:t>、管理制度（</w:t>
      </w:r>
      <w:r>
        <w:rPr>
          <w:rFonts w:hint="eastAsia" w:ascii="宋体" w:hAnsi="宋体"/>
          <w:b/>
          <w:sz w:val="24"/>
          <w:lang w:val="en-US" w:eastAsia="zh-CN"/>
        </w:rPr>
        <w:t>8</w:t>
      </w:r>
      <w:r>
        <w:rPr>
          <w:rFonts w:hint="eastAsia" w:ascii="宋体" w:hAnsi="宋体"/>
          <w:b/>
          <w:sz w:val="24"/>
        </w:rPr>
        <w:t>分）</w:t>
      </w:r>
    </w:p>
    <w:p>
      <w:pPr>
        <w:spacing w:line="520" w:lineRule="exact"/>
        <w:ind w:firstLine="480" w:firstLineChars="200"/>
        <w:rPr>
          <w:rFonts w:ascii="宋体" w:hAnsi="宋体" w:cs="宋体"/>
          <w:sz w:val="24"/>
        </w:rPr>
      </w:pPr>
      <w:r>
        <w:rPr>
          <w:rFonts w:ascii="宋体" w:hAnsi="宋体" w:cs="宋体"/>
          <w:sz w:val="24"/>
        </w:rPr>
        <w:t>（1）有完善的食品安全检测制度、责任追究制度、检验档案管理制度等管理制度。（评标委员会综合对比后在0-</w:t>
      </w:r>
      <w:r>
        <w:rPr>
          <w:rFonts w:hint="eastAsia" w:ascii="宋体" w:hAnsi="宋体" w:cs="宋体"/>
          <w:sz w:val="24"/>
          <w:lang w:val="en-US" w:eastAsia="zh-CN"/>
        </w:rPr>
        <w:t>3</w:t>
      </w:r>
      <w:r>
        <w:rPr>
          <w:rFonts w:ascii="宋体" w:hAnsi="宋体" w:cs="宋体"/>
          <w:sz w:val="24"/>
        </w:rPr>
        <w:t>分之间排序打分）</w:t>
      </w:r>
    </w:p>
    <w:p>
      <w:pPr>
        <w:spacing w:line="520" w:lineRule="exact"/>
        <w:ind w:firstLine="480" w:firstLineChars="200"/>
        <w:rPr>
          <w:rFonts w:ascii="宋体" w:hAnsi="宋体" w:cs="宋体"/>
          <w:sz w:val="24"/>
        </w:rPr>
      </w:pPr>
      <w:r>
        <w:rPr>
          <w:rFonts w:ascii="宋体" w:hAnsi="宋体" w:cs="宋体"/>
          <w:sz w:val="24"/>
        </w:rPr>
        <w:t>（2）具有切实可行的应急预案措施及方案。（评标委员会综合对比后在0-</w:t>
      </w:r>
      <w:r>
        <w:rPr>
          <w:rFonts w:hint="eastAsia" w:ascii="宋体" w:hAnsi="宋体" w:cs="宋体"/>
          <w:sz w:val="24"/>
          <w:lang w:val="en-US" w:eastAsia="zh-CN"/>
        </w:rPr>
        <w:t>3</w:t>
      </w:r>
      <w:r>
        <w:rPr>
          <w:rFonts w:ascii="宋体" w:hAnsi="宋体" w:cs="宋体"/>
          <w:sz w:val="24"/>
        </w:rPr>
        <w:t>分之间排序打分）</w:t>
      </w:r>
    </w:p>
    <w:p>
      <w:pPr>
        <w:spacing w:line="5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根据投标人</w:t>
      </w:r>
      <w:r>
        <w:rPr>
          <w:rFonts w:ascii="宋体" w:hAnsi="宋体" w:cs="宋体"/>
          <w:sz w:val="24"/>
        </w:rPr>
        <w:t>整体实力、检测质量、职业道德、创新能力</w:t>
      </w:r>
      <w:r>
        <w:rPr>
          <w:rFonts w:hint="eastAsia" w:ascii="宋体" w:hAnsi="宋体" w:cs="宋体"/>
          <w:sz w:val="24"/>
        </w:rPr>
        <w:t>等方面</w:t>
      </w:r>
      <w:r>
        <w:rPr>
          <w:rFonts w:ascii="宋体" w:hAnsi="宋体" w:cs="宋体"/>
          <w:sz w:val="24"/>
        </w:rPr>
        <w:t>评标委员会综合对比后在0-</w:t>
      </w:r>
      <w:r>
        <w:rPr>
          <w:rFonts w:hint="eastAsia" w:ascii="宋体" w:hAnsi="宋体" w:cs="宋体"/>
          <w:sz w:val="24"/>
        </w:rPr>
        <w:t>2</w:t>
      </w:r>
      <w:r>
        <w:rPr>
          <w:rFonts w:ascii="宋体" w:hAnsi="宋体" w:cs="宋体"/>
          <w:sz w:val="24"/>
        </w:rPr>
        <w:t>分之间排序打分）</w:t>
      </w:r>
    </w:p>
    <w:p>
      <w:pPr>
        <w:spacing w:line="520" w:lineRule="exact"/>
        <w:rPr>
          <w:rFonts w:ascii="宋体" w:hAnsi="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以上各小项如有缺项，则所缺小项不得分。</w:t>
      </w:r>
    </w:p>
    <w:p>
      <w:pPr>
        <w:spacing w:line="520" w:lineRule="exact"/>
        <w:ind w:firstLine="472" w:firstLineChars="196"/>
        <w:rPr>
          <w:rFonts w:ascii="宋体" w:hAnsi="宋体"/>
          <w:b/>
          <w:sz w:val="24"/>
        </w:rPr>
      </w:pPr>
      <w:r>
        <w:rPr>
          <w:rFonts w:hint="eastAsia" w:ascii="宋体" w:hAnsi="宋体"/>
          <w:b/>
          <w:sz w:val="24"/>
          <w:lang w:val="en-US" w:eastAsia="zh-CN"/>
        </w:rPr>
        <w:t>6</w:t>
      </w:r>
      <w:r>
        <w:rPr>
          <w:rFonts w:hint="eastAsia" w:ascii="宋体" w:hAnsi="宋体"/>
          <w:b/>
          <w:sz w:val="24"/>
        </w:rPr>
        <w:t>、服务承诺（5分）</w:t>
      </w:r>
    </w:p>
    <w:p>
      <w:pPr>
        <w:spacing w:line="52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与采购单位提供咨询、食品安全风险评估、合理化建议及对本次项目重视程度等全方位服务，评标委员会根据各投标单位承诺的服务项目内容，综合评定打分。（评标委员会综合对比后在0-</w:t>
      </w:r>
      <w:r>
        <w:rPr>
          <w:rFonts w:hint="eastAsia" w:ascii="宋体" w:hAnsi="宋体" w:cs="宋体"/>
          <w:sz w:val="24"/>
        </w:rPr>
        <w:t>4</w:t>
      </w:r>
      <w:r>
        <w:rPr>
          <w:rFonts w:ascii="宋体" w:hAnsi="宋体" w:cs="宋体"/>
          <w:sz w:val="24"/>
        </w:rPr>
        <w:t>分之间排序打分）</w:t>
      </w:r>
    </w:p>
    <w:p>
      <w:pPr>
        <w:spacing w:line="52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投标人承诺与采购人及相关单位建立定期或不定期的沟通服务及方案的得1分，没有不得分。</w:t>
      </w:r>
    </w:p>
    <w:p>
      <w:pPr>
        <w:spacing w:line="520" w:lineRule="exact"/>
        <w:ind w:firstLine="482" w:firstLineChars="200"/>
        <w:rPr>
          <w:rFonts w:hint="eastAsia" w:ascii="宋体" w:hAnsi="宋体"/>
          <w:b/>
          <w:snapToGrid w:val="0"/>
          <w:color w:val="0000FF"/>
          <w:kern w:val="0"/>
          <w:sz w:val="24"/>
          <w:szCs w:val="20"/>
        </w:rPr>
      </w:pPr>
      <w:r>
        <w:rPr>
          <w:rFonts w:hint="eastAsia" w:ascii="宋体" w:hAnsi="宋体"/>
          <w:b/>
          <w:snapToGrid w:val="0"/>
          <w:kern w:val="0"/>
          <w:sz w:val="24"/>
          <w:szCs w:val="20"/>
        </w:rPr>
        <w:t>(三</w:t>
      </w:r>
      <w:r>
        <w:rPr>
          <w:rFonts w:ascii="宋体" w:hAnsi="宋体"/>
          <w:b/>
          <w:snapToGrid w:val="0"/>
          <w:kern w:val="0"/>
          <w:sz w:val="24"/>
          <w:szCs w:val="20"/>
        </w:rPr>
        <w:t>）</w:t>
      </w:r>
      <w:r>
        <w:rPr>
          <w:rFonts w:hint="eastAsia" w:ascii="宋体" w:hAnsi="宋体"/>
          <w:b/>
          <w:snapToGrid w:val="0"/>
          <w:kern w:val="0"/>
          <w:sz w:val="24"/>
          <w:szCs w:val="20"/>
        </w:rPr>
        <w:t>报价评分（</w:t>
      </w:r>
      <w:r>
        <w:rPr>
          <w:rFonts w:hint="eastAsia" w:ascii="宋体" w:hAnsi="宋体"/>
          <w:b/>
          <w:snapToGrid w:val="0"/>
          <w:kern w:val="0"/>
          <w:sz w:val="24"/>
          <w:szCs w:val="20"/>
          <w:lang w:val="en-US" w:eastAsia="zh-CN"/>
        </w:rPr>
        <w:t>20</w:t>
      </w:r>
      <w:r>
        <w:rPr>
          <w:rFonts w:hint="eastAsia" w:ascii="宋体" w:hAnsi="宋体"/>
          <w:b/>
          <w:snapToGrid w:val="0"/>
          <w:kern w:val="0"/>
          <w:sz w:val="24"/>
          <w:szCs w:val="20"/>
        </w:rPr>
        <w:t>分）</w:t>
      </w:r>
    </w:p>
    <w:p>
      <w:pPr>
        <w:snapToGrid w:val="0"/>
        <w:spacing w:line="520" w:lineRule="exact"/>
        <w:ind w:firstLine="480" w:firstLineChars="200"/>
        <w:rPr>
          <w:rFonts w:hint="eastAsia" w:ascii="宋体" w:hAnsi="宋体" w:cs="宋体"/>
          <w:snapToGrid w:val="0"/>
          <w:color w:val="000000"/>
          <w:kern w:val="0"/>
          <w:sz w:val="24"/>
          <w:lang w:val="en-US" w:eastAsia="zh-CN"/>
        </w:rPr>
      </w:pPr>
      <w:r>
        <w:rPr>
          <w:rFonts w:hint="eastAsia" w:ascii="宋体" w:hAnsi="宋体" w:cs="宋体"/>
          <w:snapToGrid w:val="0"/>
          <w:color w:val="000000"/>
          <w:kern w:val="0"/>
          <w:sz w:val="24"/>
        </w:rPr>
        <w:t>报价得分=最低有效投标报价/有效投标报价×</w:t>
      </w:r>
      <w:r>
        <w:rPr>
          <w:rFonts w:hint="eastAsia" w:ascii="宋体" w:hAnsi="宋体" w:cs="宋体"/>
          <w:snapToGrid w:val="0"/>
          <w:color w:val="000000"/>
          <w:kern w:val="0"/>
          <w:sz w:val="24"/>
          <w:lang w:val="en-US" w:eastAsia="zh-CN"/>
        </w:rPr>
        <w:t>20</w:t>
      </w:r>
    </w:p>
    <w:p>
      <w:pPr>
        <w:spacing w:line="520" w:lineRule="exact"/>
        <w:ind w:firstLine="480" w:firstLineChars="200"/>
        <w:outlineLvl w:val="1"/>
        <w:rPr>
          <w:color w:val="FF0000"/>
          <w:sz w:val="24"/>
        </w:rPr>
      </w:pPr>
      <w:r>
        <w:rPr>
          <w:rFonts w:hint="eastAsia"/>
          <w:color w:val="FF0000"/>
          <w:sz w:val="24"/>
        </w:rPr>
        <w:t>注：分值计算保留小数点后两位，小数点后第三位“四舍五入”。</w:t>
      </w:r>
    </w:p>
    <w:p>
      <w:pPr>
        <w:spacing w:line="520" w:lineRule="exact"/>
        <w:ind w:firstLine="480" w:firstLineChars="200"/>
        <w:rPr>
          <w:rFonts w:hint="eastAsia" w:ascii="宋体" w:hAnsi="宋体" w:cs="宋体"/>
          <w:snapToGrid w:val="0"/>
          <w:color w:val="000000"/>
          <w:kern w:val="0"/>
          <w:sz w:val="24"/>
          <w:lang w:val="en-US" w:eastAsia="zh-CN"/>
        </w:rPr>
      </w:pPr>
      <w:r>
        <w:rPr>
          <w:rFonts w:hint="eastAsia"/>
          <w:color w:val="FF0000"/>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FF0000"/>
          <w:sz w:val="24"/>
        </w:rPr>
        <w:t>;</w:t>
      </w:r>
      <w:r>
        <w:rPr>
          <w:rFonts w:hint="eastAsia"/>
          <w:color w:val="FF0000"/>
          <w:sz w:val="24"/>
        </w:rPr>
        <w:t>投标人不能证明其报价合理性的，评标委员会应当将其作为无效投标处理。</w:t>
      </w:r>
    </w:p>
    <w:p>
      <w:pPr>
        <w:spacing w:line="520" w:lineRule="exact"/>
        <w:ind w:firstLine="482" w:firstLineChars="200"/>
        <w:rPr>
          <w:rFonts w:hint="eastAsia" w:ascii="宋体" w:hAnsi="宋体"/>
          <w:b/>
          <w:bCs/>
          <w:sz w:val="24"/>
        </w:rPr>
      </w:pPr>
      <w:r>
        <w:rPr>
          <w:rFonts w:hint="eastAsia" w:ascii="宋体" w:hAnsi="宋体"/>
          <w:b/>
          <w:bCs/>
          <w:sz w:val="24"/>
        </w:rPr>
        <w:t>二、定标原则</w:t>
      </w:r>
    </w:p>
    <w:p>
      <w:pPr>
        <w:spacing w:line="520" w:lineRule="exact"/>
        <w:ind w:firstLine="482" w:firstLineChars="200"/>
        <w:rPr>
          <w:rFonts w:ascii="宋体" w:hAnsi="宋体"/>
          <w:b/>
          <w:sz w:val="24"/>
        </w:rPr>
      </w:pPr>
      <w:r>
        <w:rPr>
          <w:rFonts w:hint="eastAsia" w:ascii="宋体" w:hAnsi="宋体"/>
          <w:b/>
          <w:sz w:val="24"/>
        </w:rPr>
        <w:t>1评标委员会按照招标文件中的评标原则、评标程序及评分标准评定投标人名次，投标人的排名按得分顺序从高到低排列</w:t>
      </w:r>
      <w:r>
        <w:rPr>
          <w:rFonts w:hint="eastAsia" w:ascii="宋体" w:hAnsi="宋体"/>
          <w:b/>
          <w:sz w:val="24"/>
          <w:lang w:val="en-US" w:eastAsia="zh-CN"/>
        </w:rPr>
        <w:t xml:space="preserve"> 5家</w:t>
      </w:r>
      <w:r>
        <w:rPr>
          <w:rFonts w:hint="eastAsia" w:ascii="宋体" w:hAnsi="宋体"/>
          <w:b/>
          <w:sz w:val="24"/>
        </w:rPr>
        <w:t>。</w:t>
      </w:r>
    </w:p>
    <w:p>
      <w:pPr>
        <w:snapToGrid w:val="0"/>
        <w:spacing w:line="520" w:lineRule="exact"/>
        <w:ind w:firstLine="482" w:firstLineChars="200"/>
        <w:rPr>
          <w:rFonts w:hint="eastAsia" w:ascii="宋体" w:hAnsi="宋体"/>
          <w:b/>
          <w:sz w:val="24"/>
        </w:rPr>
      </w:pPr>
      <w:r>
        <w:rPr>
          <w:rFonts w:hint="eastAsia" w:ascii="宋体" w:hAnsi="宋体"/>
          <w:b/>
          <w:sz w:val="24"/>
        </w:rPr>
        <w:t>2、</w:t>
      </w:r>
      <w:r>
        <w:rPr>
          <w:rFonts w:hint="eastAsia" w:ascii="宋体" w:hAnsi="宋体" w:cs="宋体"/>
          <w:b/>
          <w:sz w:val="24"/>
          <w:lang w:val="zh-CN"/>
        </w:rPr>
        <w:t>各投标人的最终得分：评标委员会成员对上述各项分别打分、汇总后的算术平均值，采用四舍五入法，保留小数点后二位</w:t>
      </w:r>
      <w:r>
        <w:rPr>
          <w:rFonts w:hint="eastAsia" w:ascii="宋体" w:hAnsi="宋体"/>
          <w:b/>
          <w:sz w:val="24"/>
        </w:rPr>
        <w:t>。</w:t>
      </w:r>
    </w:p>
    <w:p>
      <w:pPr>
        <w:autoSpaceDE w:val="0"/>
        <w:autoSpaceDN w:val="0"/>
        <w:adjustRightInd w:val="0"/>
        <w:snapToGrid w:val="0"/>
        <w:spacing w:line="520" w:lineRule="exact"/>
        <w:ind w:firstLine="480"/>
        <w:rPr>
          <w:rFonts w:hint="eastAsia" w:ascii="宋体" w:hAnsi="宋体" w:cs="宋体"/>
          <w:b/>
          <w:sz w:val="24"/>
          <w:lang w:val="zh-CN"/>
        </w:rPr>
      </w:pPr>
      <w:r>
        <w:rPr>
          <w:rFonts w:hint="eastAsia" w:ascii="宋体" w:hAnsi="宋体"/>
          <w:b/>
          <w:sz w:val="24"/>
        </w:rPr>
        <w:t>3、</w:t>
      </w:r>
      <w:r>
        <w:rPr>
          <w:rFonts w:hint="eastAsia" w:ascii="宋体" w:hAnsi="宋体" w:cs="宋体"/>
          <w:b/>
          <w:sz w:val="24"/>
          <w:lang w:val="zh-CN"/>
        </w:rPr>
        <w:t>本评分办法中的各种有效证明材料，投标人必须在投标文件中提供完整的复印件，且在评标时须同时提供与复印件一致的原件，否则不得分</w:t>
      </w:r>
      <w:r>
        <w:rPr>
          <w:rFonts w:hint="eastAsia" w:ascii="宋体" w:hAnsi="宋体"/>
          <w:b/>
          <w:sz w:val="24"/>
        </w:rPr>
        <w:t>（标书中存在虚报、错报检测资质行为的，经查实后直接取消中标资格）</w:t>
      </w:r>
      <w:r>
        <w:rPr>
          <w:rFonts w:hint="eastAsia" w:ascii="宋体" w:hAnsi="宋体" w:cs="宋体"/>
          <w:b/>
          <w:sz w:val="24"/>
          <w:lang w:val="zh-CN"/>
        </w:rPr>
        <w:t>。</w:t>
      </w:r>
    </w:p>
    <w:p>
      <w:pPr>
        <w:spacing w:line="360" w:lineRule="auto"/>
        <w:ind w:firstLine="480"/>
        <w:textAlignment w:val="baseline"/>
        <w:rPr>
          <w:rFonts w:hint="eastAsia" w:ascii="仿宋" w:hAnsi="仿宋" w:eastAsia="仿宋" w:cs="仿宋"/>
          <w:b/>
          <w:bCs/>
          <w:sz w:val="24"/>
          <w:szCs w:val="24"/>
          <w:lang w:eastAsia="zh-CN"/>
        </w:rPr>
      </w:pPr>
      <w:r>
        <w:rPr>
          <w:rFonts w:hint="eastAsia" w:ascii="宋体" w:hAnsi="宋体" w:cs="宋体"/>
          <w:b/>
          <w:sz w:val="24"/>
          <w:lang w:val="zh-CN"/>
        </w:rPr>
        <w:t>4、本评分办法中涉及提供人员相关情况的，均须同时提供投标截止时间前三个月内任何一个月本单位为其缴纳社会保险的证明材料，否则不</w:t>
      </w:r>
      <w:r>
        <w:rPr>
          <w:rFonts w:hint="eastAsia" w:ascii="宋体" w:hAnsi="宋体" w:cs="宋体"/>
          <w:b/>
          <w:sz w:val="24"/>
          <w:lang w:val="en-US" w:eastAsia="zh-CN"/>
        </w:rPr>
        <w:t>得分</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w:t>
      </w:r>
      <w:r>
        <w:rPr>
          <w:rFonts w:hint="eastAsia" w:ascii="仿宋" w:hAnsi="仿宋" w:eastAsia="仿宋" w:cs="仿宋"/>
          <w:b/>
          <w:bCs/>
          <w:sz w:val="24"/>
          <w:szCs w:val="24"/>
          <w:lang w:eastAsia="zh-CN"/>
        </w:rPr>
        <w:t>五</w:t>
      </w:r>
      <w:r>
        <w:rPr>
          <w:rFonts w:hint="eastAsia" w:ascii="仿宋" w:hAnsi="仿宋" w:eastAsia="仿宋" w:cs="仿宋"/>
          <w:b/>
          <w:bCs/>
          <w:sz w:val="24"/>
          <w:szCs w:val="24"/>
        </w:rPr>
        <w:t>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8"/>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 xml:space="preserve">投 </w:t>
      </w:r>
      <w:bookmarkStart w:id="6" w:name="_GoBack"/>
      <w:bookmarkEnd w:id="6"/>
      <w:r>
        <w:rPr>
          <w:rFonts w:hint="eastAsia" w:ascii="仿宋_GB2312" w:hAnsi="仿宋_GB2312" w:eastAsia="仿宋_GB2312" w:cs="仿宋_GB2312"/>
          <w:b/>
          <w:sz w:val="72"/>
          <w:szCs w:val="72"/>
        </w:rPr>
        <w:t>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相关证明文件</w:t>
      </w:r>
      <w:r>
        <w:rPr>
          <w:rFonts w:hint="eastAsia" w:ascii="仿宋" w:hAnsi="仿宋" w:eastAsia="仿宋" w:cs="宋体"/>
          <w:b/>
          <w:bCs/>
          <w:color w:val="000000" w:themeColor="text1"/>
          <w:sz w:val="24"/>
          <w:szCs w:val="24"/>
        </w:rPr>
        <w:t xml:space="preserve">              </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一、</w:t>
      </w:r>
      <w:r>
        <w:rPr>
          <w:rFonts w:ascii="仿宋" w:hAnsi="仿宋" w:eastAsia="仿宋" w:cs="宋体"/>
          <w:b/>
          <w:bCs/>
          <w:color w:val="000000" w:themeColor="text1"/>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二、</w:t>
      </w:r>
      <w:r>
        <w:rPr>
          <w:rFonts w:ascii="仿宋" w:hAnsi="仿宋" w:eastAsia="仿宋" w:cs="宋体"/>
          <w:b/>
          <w:bCs/>
          <w:color w:val="000000" w:themeColor="text1"/>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（1）201</w:t>
      </w:r>
      <w:r>
        <w:rPr>
          <w:rFonts w:hint="eastAsia" w:ascii="仿宋" w:hAnsi="仿宋" w:eastAsia="仿宋" w:cs="宋体"/>
          <w:bCs/>
          <w:color w:val="000000" w:themeColor="text1"/>
          <w:sz w:val="24"/>
          <w:szCs w:val="24"/>
          <w:lang w:val="en-US" w:eastAsia="zh-CN"/>
        </w:rPr>
        <w:t>7</w:t>
      </w:r>
      <w:r>
        <w:rPr>
          <w:rFonts w:hint="eastAsia" w:ascii="仿宋" w:hAnsi="仿宋" w:eastAsia="仿宋" w:cs="宋体"/>
          <w:bCs/>
          <w:color w:val="000000" w:themeColor="text1"/>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三、</w:t>
      </w:r>
      <w:r>
        <w:rPr>
          <w:rFonts w:ascii="仿宋" w:hAnsi="仿宋" w:eastAsia="仿宋" w:cs="宋体"/>
          <w:b/>
          <w:bCs/>
          <w:color w:val="000000" w:themeColor="text1"/>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四、</w:t>
      </w:r>
      <w:r>
        <w:rPr>
          <w:rFonts w:ascii="仿宋" w:hAnsi="仿宋" w:eastAsia="仿宋" w:cs="宋体"/>
          <w:b/>
          <w:bCs/>
          <w:color w:val="000000" w:themeColor="text1"/>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ascii="仿宋" w:hAnsi="仿宋" w:eastAsia="仿宋" w:cs="宋体"/>
          <w:bCs/>
          <w:color w:val="000000" w:themeColor="text1"/>
          <w:sz w:val="24"/>
          <w:szCs w:val="24"/>
          <w:lang w:val="zh-CN"/>
        </w:rPr>
        <w:t>参加政府采购活动前3年内在经营活动中没有重大违法记录的书面声明</w:t>
      </w:r>
      <w:r>
        <w:rPr>
          <w:rFonts w:hint="eastAsia" w:ascii="仿宋" w:hAnsi="仿宋" w:eastAsia="仿宋" w:cs="宋体"/>
          <w:bCs/>
          <w:color w:val="000000" w:themeColor="text1"/>
          <w:sz w:val="24"/>
          <w:szCs w:val="24"/>
          <w:lang w:val="zh-CN"/>
        </w:rPr>
        <w:t>函。</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注：</w:t>
      </w:r>
      <w:r>
        <w:rPr>
          <w:rFonts w:ascii="仿宋" w:hAnsi="仿宋" w:eastAsia="仿宋" w:cs="宋体"/>
          <w:bCs/>
          <w:color w:val="000000" w:themeColor="text1"/>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九、</w:t>
      </w:r>
      <w:r>
        <w:rPr>
          <w:rFonts w:hint="eastAsia" w:ascii="仿宋" w:hAnsi="仿宋" w:eastAsia="仿宋" w:cs="仿宋"/>
          <w:color w:val="000000" w:themeColor="text1"/>
          <w:sz w:val="24"/>
          <w:szCs w:val="24"/>
        </w:rPr>
        <w:t>投标人工商企业信用信息公示报告【国家企业信用信息公示系统</w:t>
      </w:r>
      <w:r>
        <w:rPr>
          <w:color w:val="000000" w:themeColor="text1"/>
        </w:rPr>
        <w:fldChar w:fldCharType="begin"/>
      </w:r>
      <w:r>
        <w:rPr>
          <w:color w:val="000000" w:themeColor="text1"/>
        </w:rPr>
        <w:instrText xml:space="preserve"> HYPERLINK "http://www.gsxt.gov.cn/" </w:instrText>
      </w:r>
      <w:r>
        <w:rPr>
          <w:color w:val="000000" w:themeColor="text1"/>
        </w:rPr>
        <w:fldChar w:fldCharType="separate"/>
      </w:r>
      <w:r>
        <w:rPr>
          <w:rFonts w:hint="eastAsia" w:ascii="仿宋" w:hAnsi="仿宋" w:eastAsia="仿宋" w:cs="仿宋"/>
          <w:color w:val="000000" w:themeColor="text1"/>
          <w:sz w:val="24"/>
          <w:szCs w:val="24"/>
        </w:rPr>
        <w:t>http://www.gsxt.gov.cn</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000000" w:themeColor="text1"/>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r>
        <w:rPr>
          <w:rFonts w:hint="eastAsia" w:ascii="仿宋" w:hAnsi="仿宋" w:eastAsia="仿宋" w:cs="宋体"/>
          <w:color w:val="000000" w:themeColor="text1"/>
          <w:sz w:val="24"/>
          <w:szCs w:val="24"/>
          <w:lang w:val="zh-CN"/>
        </w:rPr>
        <w:t>附件2</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投标保证金</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140" w:lineRule="exact"/>
        <w:rPr>
          <w:rFonts w:ascii="仿宋" w:hAnsi="仿宋" w:eastAsia="仿宋" w:cs="宋体"/>
          <w:b/>
          <w:bCs/>
          <w:sz w:val="24"/>
          <w:szCs w:val="24"/>
          <w:lang w:val="zh-CN"/>
        </w:rPr>
      </w:pPr>
    </w:p>
    <w:p>
      <w:pPr>
        <w:jc w:val="center"/>
        <w:outlineLvl w:val="2"/>
        <w:rPr>
          <w:rFonts w:hint="eastAsia" w:ascii="宋体" w:hAnsi="宋体"/>
          <w:b/>
          <w:bCs/>
          <w:sz w:val="32"/>
          <w:szCs w:val="32"/>
        </w:rPr>
      </w:pPr>
      <w:r>
        <w:rPr>
          <w:rFonts w:hint="eastAsia" w:ascii="宋体" w:hAnsi="宋体"/>
          <w:b/>
          <w:bCs/>
          <w:sz w:val="32"/>
          <w:szCs w:val="32"/>
        </w:rPr>
        <w:t>开标一览表</w:t>
      </w:r>
    </w:p>
    <w:p>
      <w:pPr>
        <w:pStyle w:val="20"/>
        <w:spacing w:line="360" w:lineRule="auto"/>
        <w:ind w:firstLine="240" w:firstLineChars="100"/>
        <w:rPr>
          <w:rFonts w:hint="eastAsia" w:hAnsi="宋体"/>
          <w:sz w:val="24"/>
          <w:szCs w:val="24"/>
        </w:rPr>
      </w:pPr>
      <w:r>
        <w:rPr>
          <w:rFonts w:hint="eastAsia" w:hAnsi="宋体"/>
          <w:sz w:val="24"/>
          <w:szCs w:val="24"/>
        </w:rPr>
        <w:t>项目名称：</w:t>
      </w:r>
    </w:p>
    <w:p>
      <w:pPr>
        <w:pStyle w:val="20"/>
        <w:spacing w:line="360" w:lineRule="auto"/>
        <w:ind w:firstLine="240" w:firstLineChars="100"/>
        <w:rPr>
          <w:rFonts w:hint="eastAsia" w:hAnsi="宋体"/>
          <w:sz w:val="24"/>
          <w:szCs w:val="24"/>
        </w:rPr>
      </w:pPr>
      <w:r>
        <w:rPr>
          <w:rFonts w:hint="eastAsia" w:hAnsi="宋体"/>
          <w:sz w:val="24"/>
          <w:szCs w:val="24"/>
        </w:rPr>
        <w:t>项目编号：</w:t>
      </w:r>
    </w:p>
    <w:tbl>
      <w:tblPr>
        <w:tblStyle w:val="38"/>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9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1710" w:type="dxa"/>
            <w:vAlign w:val="center"/>
          </w:tcPr>
          <w:p>
            <w:pPr>
              <w:pStyle w:val="20"/>
              <w:spacing w:line="360" w:lineRule="auto"/>
              <w:jc w:val="center"/>
              <w:rPr>
                <w:rFonts w:hint="eastAsia" w:hAnsi="宋体"/>
                <w:sz w:val="24"/>
                <w:szCs w:val="24"/>
              </w:rPr>
            </w:pPr>
            <w:r>
              <w:rPr>
                <w:rFonts w:hint="eastAsia" w:hAnsi="宋体"/>
                <w:sz w:val="24"/>
                <w:szCs w:val="24"/>
              </w:rPr>
              <w:t>投标人名称</w:t>
            </w:r>
          </w:p>
        </w:tc>
        <w:tc>
          <w:tcPr>
            <w:tcW w:w="6697" w:type="dxa"/>
            <w:vAlign w:val="center"/>
          </w:tcPr>
          <w:p>
            <w:pPr>
              <w:pStyle w:val="20"/>
              <w:spacing w:line="360" w:lineRule="auto"/>
              <w:jc w:val="center"/>
              <w:rPr>
                <w:rFonts w:hint="eastAsia" w:hAnsi="宋体"/>
                <w:sz w:val="24"/>
                <w:szCs w:val="24"/>
              </w:rPr>
            </w:pPr>
            <w:r>
              <w:rPr>
                <w:rFonts w:hint="eastAsia" w:hAnsi="宋体"/>
                <w:sz w:val="24"/>
                <w:szCs w:val="24"/>
              </w:rPr>
              <w:t>投标报价</w:t>
            </w:r>
          </w:p>
        </w:tc>
        <w:tc>
          <w:tcPr>
            <w:tcW w:w="1215" w:type="dxa"/>
            <w:vAlign w:val="center"/>
          </w:tcPr>
          <w:p>
            <w:pPr>
              <w:pStyle w:val="20"/>
              <w:spacing w:line="360" w:lineRule="auto"/>
              <w:rPr>
                <w:rFonts w:hint="eastAsia"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1710" w:type="dxa"/>
            <w:vAlign w:val="center"/>
          </w:tcPr>
          <w:p>
            <w:pPr>
              <w:pStyle w:val="20"/>
              <w:spacing w:line="360" w:lineRule="auto"/>
              <w:ind w:firstLine="360" w:firstLineChars="150"/>
              <w:rPr>
                <w:rFonts w:hint="eastAsia" w:hAnsi="宋体"/>
                <w:sz w:val="24"/>
                <w:szCs w:val="24"/>
              </w:rPr>
            </w:pPr>
          </w:p>
        </w:tc>
        <w:tc>
          <w:tcPr>
            <w:tcW w:w="6697" w:type="dxa"/>
            <w:vAlign w:val="center"/>
          </w:tcPr>
          <w:p>
            <w:pPr>
              <w:pStyle w:val="20"/>
              <w:spacing w:line="360" w:lineRule="auto"/>
              <w:jc w:val="left"/>
              <w:rPr>
                <w:rStyle w:val="145"/>
                <w:rFonts w:hint="default"/>
                <w:lang w:bidi="ar"/>
              </w:rPr>
            </w:pPr>
            <w:r>
              <w:rPr>
                <w:rStyle w:val="145"/>
                <w:rFonts w:hint="default"/>
                <w:lang w:bidi="ar"/>
              </w:rPr>
              <w:t>共报</w:t>
            </w:r>
            <w:r>
              <w:rPr>
                <w:rStyle w:val="146"/>
                <w:rFonts w:hint="default"/>
                <w:lang w:bidi="ar"/>
              </w:rPr>
              <w:t xml:space="preserve">       </w:t>
            </w:r>
            <w:r>
              <w:rPr>
                <w:rStyle w:val="145"/>
                <w:rFonts w:hint="default"/>
                <w:lang w:bidi="ar"/>
              </w:rPr>
              <w:t>个食品细类，占全部1</w:t>
            </w:r>
            <w:r>
              <w:rPr>
                <w:rStyle w:val="145"/>
                <w:rFonts w:hint="eastAsia"/>
                <w:lang w:val="en-US" w:eastAsia="zh-CN" w:bidi="ar"/>
              </w:rPr>
              <w:t>76</w:t>
            </w:r>
            <w:r>
              <w:rPr>
                <w:rStyle w:val="145"/>
                <w:rFonts w:hint="default"/>
                <w:lang w:bidi="ar"/>
              </w:rPr>
              <w:t>个食品细类的</w:t>
            </w:r>
            <w:r>
              <w:rPr>
                <w:rStyle w:val="146"/>
                <w:rFonts w:hint="default"/>
                <w:lang w:bidi="ar"/>
              </w:rPr>
              <w:t xml:space="preserve">         </w:t>
            </w:r>
            <w:r>
              <w:rPr>
                <w:rStyle w:val="145"/>
                <w:rFonts w:hint="default"/>
                <w:lang w:bidi="ar"/>
              </w:rPr>
              <w:t xml:space="preserve">%。 </w:t>
            </w:r>
          </w:p>
          <w:p>
            <w:pPr>
              <w:pStyle w:val="20"/>
              <w:spacing w:line="360" w:lineRule="auto"/>
              <w:jc w:val="left"/>
              <w:rPr>
                <w:rStyle w:val="145"/>
                <w:rFonts w:hint="default"/>
                <w:lang w:bidi="ar"/>
              </w:rPr>
            </w:pPr>
            <w:r>
              <w:rPr>
                <w:rStyle w:val="145"/>
                <w:rFonts w:hint="default"/>
                <w:lang w:bidi="ar"/>
              </w:rPr>
              <w:t>投标</w:t>
            </w:r>
            <w:r>
              <w:rPr>
                <w:rFonts w:hint="eastAsia" w:hAnsi="宋体" w:cs="宋体"/>
                <w:b/>
                <w:color w:val="000000"/>
                <w:kern w:val="0"/>
                <w:sz w:val="22"/>
                <w:szCs w:val="22"/>
                <w:lang w:bidi="ar"/>
              </w:rPr>
              <w:t>细类</w:t>
            </w:r>
            <w:r>
              <w:rPr>
                <w:rStyle w:val="145"/>
                <w:rFonts w:hint="default"/>
                <w:lang w:bidi="ar"/>
              </w:rPr>
              <w:t>单批次均价</w:t>
            </w:r>
            <w:r>
              <w:rPr>
                <w:rStyle w:val="145"/>
                <w:rFonts w:hint="default"/>
                <w:u w:val="single"/>
                <w:lang w:bidi="ar"/>
              </w:rPr>
              <w:t xml:space="preserve">          </w:t>
            </w:r>
            <w:r>
              <w:rPr>
                <w:rStyle w:val="145"/>
                <w:rFonts w:hint="default"/>
                <w:lang w:bidi="ar"/>
              </w:rPr>
              <w:t>元。</w:t>
            </w:r>
          </w:p>
        </w:tc>
        <w:tc>
          <w:tcPr>
            <w:tcW w:w="1215" w:type="dxa"/>
            <w:vAlign w:val="center"/>
          </w:tcPr>
          <w:p>
            <w:pPr>
              <w:pStyle w:val="20"/>
              <w:spacing w:line="360" w:lineRule="auto"/>
              <w:ind w:firstLine="360" w:firstLineChars="150"/>
              <w:rPr>
                <w:rFonts w:hint="eastAsia" w:hAnsi="宋体"/>
                <w:sz w:val="24"/>
                <w:szCs w:val="24"/>
              </w:rPr>
            </w:pPr>
          </w:p>
        </w:tc>
      </w:tr>
    </w:tbl>
    <w:p>
      <w:pPr>
        <w:spacing w:line="400" w:lineRule="exact"/>
        <w:rPr>
          <w:rFonts w:hint="eastAsia" w:ascii="宋体" w:hAnsi="宋体"/>
          <w:sz w:val="22"/>
          <w:szCs w:val="22"/>
        </w:rPr>
      </w:pPr>
    </w:p>
    <w:p>
      <w:pPr>
        <w:spacing w:line="400" w:lineRule="exact"/>
        <w:ind w:firstLine="429" w:firstLineChars="195"/>
        <w:rPr>
          <w:rFonts w:hint="eastAsia" w:ascii="宋体" w:hAnsi="宋体"/>
          <w:sz w:val="22"/>
          <w:szCs w:val="22"/>
        </w:rPr>
      </w:pPr>
      <w:r>
        <w:rPr>
          <w:rFonts w:hint="eastAsia" w:ascii="宋体" w:hAnsi="宋体"/>
          <w:sz w:val="22"/>
          <w:szCs w:val="22"/>
        </w:rPr>
        <w:t>投标人：（盖章）</w:t>
      </w:r>
    </w:p>
    <w:p>
      <w:pPr>
        <w:spacing w:line="400" w:lineRule="exact"/>
        <w:ind w:firstLine="429" w:firstLineChars="195"/>
        <w:rPr>
          <w:rFonts w:hint="eastAsia" w:ascii="宋体" w:hAnsi="宋体"/>
          <w:sz w:val="22"/>
          <w:szCs w:val="22"/>
        </w:rPr>
      </w:pPr>
      <w:r>
        <w:rPr>
          <w:rFonts w:hint="eastAsia" w:ascii="宋体" w:hAnsi="宋体"/>
          <w:sz w:val="22"/>
          <w:szCs w:val="22"/>
        </w:rPr>
        <w:t>法定代表人或其委托代理人：（签字或盖章）</w:t>
      </w:r>
    </w:p>
    <w:p>
      <w:pPr>
        <w:spacing w:line="400" w:lineRule="exact"/>
        <w:ind w:right="-31" w:rightChars="-15" w:firstLine="440" w:firstLineChars="200"/>
        <w:rPr>
          <w:rFonts w:hint="eastAsia" w:ascii="宋体" w:hAnsi="宋体"/>
          <w:szCs w:val="21"/>
        </w:rPr>
      </w:pPr>
      <w:r>
        <w:rPr>
          <w:rFonts w:hint="eastAsia" w:ascii="宋体" w:hAnsi="宋体"/>
          <w:sz w:val="22"/>
          <w:szCs w:val="22"/>
        </w:rPr>
        <w:t>日   期：</w:t>
      </w:r>
      <w:r>
        <w:rPr>
          <w:rFonts w:hint="eastAsia" w:ascii="宋体" w:hAnsi="宋体"/>
          <w:szCs w:val="21"/>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spacing w:after="156" w:afterLines="50" w:line="360" w:lineRule="auto"/>
        <w:rPr>
          <w:rFonts w:hint="eastAsia" w:ascii="宋体" w:hAnsi="宋体"/>
          <w:sz w:val="24"/>
        </w:rPr>
      </w:pPr>
      <w:r>
        <w:rPr>
          <w:rFonts w:hint="eastAsia" w:ascii="宋体" w:hAnsi="宋体"/>
          <w:sz w:val="24"/>
        </w:rPr>
        <w:t>同第二部分：项目需求及其它要求中《大宗食品检验检测机构协议供货检测品种、项目及报价表》</w:t>
      </w:r>
    </w:p>
    <w:tbl>
      <w:tblPr>
        <w:tblStyle w:val="38"/>
        <w:tblW w:w="9327" w:type="dxa"/>
        <w:tblInd w:w="0" w:type="dxa"/>
        <w:tblLayout w:type="fixed"/>
        <w:tblCellMar>
          <w:top w:w="15" w:type="dxa"/>
          <w:left w:w="15" w:type="dxa"/>
          <w:bottom w:w="15" w:type="dxa"/>
          <w:right w:w="15" w:type="dxa"/>
        </w:tblCellMar>
      </w:tblPr>
      <w:tblGrid>
        <w:gridCol w:w="472"/>
        <w:gridCol w:w="839"/>
        <w:gridCol w:w="839"/>
        <w:gridCol w:w="843"/>
        <w:gridCol w:w="849"/>
        <w:gridCol w:w="2701"/>
        <w:gridCol w:w="672"/>
        <w:gridCol w:w="696"/>
        <w:gridCol w:w="581"/>
        <w:gridCol w:w="835"/>
      </w:tblGrid>
      <w:tr>
        <w:tblPrEx>
          <w:tblLayout w:type="fixed"/>
          <w:tblCellMar>
            <w:top w:w="15" w:type="dxa"/>
            <w:left w:w="15" w:type="dxa"/>
            <w:bottom w:w="15" w:type="dxa"/>
            <w:right w:w="15" w:type="dxa"/>
          </w:tblCellMar>
        </w:tblPrEx>
        <w:trPr>
          <w:trHeight w:val="630" w:hRule="atLeast"/>
        </w:trPr>
        <w:tc>
          <w:tcPr>
            <w:tcW w:w="472" w:type="dxa"/>
            <w:vAlign w:val="center"/>
          </w:tcPr>
          <w:p>
            <w:pPr>
              <w:widowControl/>
              <w:jc w:val="left"/>
              <w:textAlignment w:val="center"/>
              <w:rPr>
                <w:rFonts w:hint="eastAsia" w:ascii="宋体" w:hAnsi="宋体" w:cs="宋体"/>
                <w:color w:val="000000"/>
                <w:sz w:val="22"/>
                <w:szCs w:val="22"/>
              </w:rPr>
            </w:pPr>
          </w:p>
        </w:tc>
        <w:tc>
          <w:tcPr>
            <w:tcW w:w="8855" w:type="dxa"/>
            <w:gridSpan w:val="9"/>
            <w:vAlign w:val="center"/>
          </w:tcPr>
          <w:p>
            <w:pPr>
              <w:widowControl/>
              <w:jc w:val="center"/>
              <w:textAlignment w:val="center"/>
              <w:rPr>
                <w:rFonts w:hint="eastAsia" w:ascii="宋体" w:hAnsi="宋体" w:cs="宋体"/>
                <w:b/>
                <w:color w:val="000000"/>
                <w:sz w:val="36"/>
                <w:szCs w:val="36"/>
              </w:rPr>
            </w:pPr>
            <w:r>
              <w:rPr>
                <w:rFonts w:hint="eastAsia" w:ascii="宋体" w:hAnsi="宋体"/>
                <w:b/>
                <w:bCs/>
                <w:sz w:val="24"/>
              </w:rPr>
              <w:t>大宗食品检验检测机构协议供货检测品种、项目及报价表</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食品大类</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食品亚类</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食品品种</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食品细类</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检测项目</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单项目检测费</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单批次检测费</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单批次采样费</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单批次总报价</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r>
      <w:tr>
        <w:tblPrEx>
          <w:tblLayout w:type="fixed"/>
          <w:tblCellMar>
            <w:top w:w="15" w:type="dxa"/>
            <w:left w:w="15" w:type="dxa"/>
            <w:bottom w:w="15" w:type="dxa"/>
            <w:right w:w="15" w:type="dxa"/>
          </w:tblCellMar>
        </w:tblPrEx>
        <w:trPr>
          <w:trHeight w:val="539" w:hRule="atLeast"/>
        </w:trPr>
        <w:tc>
          <w:tcPr>
            <w:tcW w:w="8492"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投标细类单批次均价</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22"/>
                <w:szCs w:val="22"/>
                <w:u w:val="single"/>
              </w:rPr>
            </w:pPr>
            <w:r>
              <w:rPr>
                <w:rStyle w:val="146"/>
                <w:rFonts w:hint="default"/>
                <w:lang w:bidi="ar"/>
              </w:rPr>
              <w:t xml:space="preserve">    </w:t>
            </w:r>
            <w:r>
              <w:rPr>
                <w:rStyle w:val="145"/>
                <w:rFonts w:hint="default"/>
                <w:lang w:bidi="ar"/>
              </w:rPr>
              <w:t>元</w:t>
            </w:r>
          </w:p>
        </w:tc>
      </w:tr>
      <w:tr>
        <w:tblPrEx>
          <w:tblLayout w:type="fixed"/>
          <w:tblCellMar>
            <w:top w:w="15" w:type="dxa"/>
            <w:left w:w="15" w:type="dxa"/>
            <w:bottom w:w="15" w:type="dxa"/>
            <w:right w:w="15" w:type="dxa"/>
          </w:tblCellMar>
        </w:tblPrEx>
        <w:trPr>
          <w:trHeight w:val="539" w:hRule="atLeast"/>
        </w:trPr>
        <w:tc>
          <w:tcPr>
            <w:tcW w:w="9327"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2"/>
                <w:szCs w:val="22"/>
              </w:rPr>
            </w:pPr>
            <w:r>
              <w:rPr>
                <w:rStyle w:val="145"/>
                <w:rFonts w:hint="default"/>
                <w:lang w:bidi="ar"/>
              </w:rPr>
              <w:t>合计：共报</w:t>
            </w:r>
            <w:r>
              <w:rPr>
                <w:rStyle w:val="146"/>
                <w:rFonts w:hint="default"/>
                <w:lang w:bidi="ar"/>
              </w:rPr>
              <w:t xml:space="preserve">       </w:t>
            </w:r>
            <w:r>
              <w:rPr>
                <w:rStyle w:val="145"/>
                <w:rFonts w:hint="default"/>
                <w:lang w:bidi="ar"/>
              </w:rPr>
              <w:t>个食品细类，占全部1</w:t>
            </w:r>
            <w:r>
              <w:rPr>
                <w:rStyle w:val="145"/>
                <w:rFonts w:hint="eastAsia" w:eastAsia="宋体"/>
                <w:lang w:val="en-US" w:eastAsia="zh-CN" w:bidi="ar"/>
              </w:rPr>
              <w:t>76</w:t>
            </w:r>
            <w:r>
              <w:rPr>
                <w:rStyle w:val="145"/>
                <w:rFonts w:hint="default"/>
                <w:lang w:bidi="ar"/>
              </w:rPr>
              <w:t>个食品细类的</w:t>
            </w:r>
            <w:r>
              <w:rPr>
                <w:rStyle w:val="146"/>
                <w:rFonts w:hint="default"/>
                <w:lang w:bidi="ar"/>
              </w:rPr>
              <w:t xml:space="preserve">         </w:t>
            </w:r>
            <w:r>
              <w:rPr>
                <w:rStyle w:val="145"/>
                <w:rFonts w:hint="default"/>
                <w:lang w:bidi="ar"/>
              </w:rPr>
              <w:t xml:space="preserve">%。 </w:t>
            </w:r>
          </w:p>
        </w:tc>
      </w:tr>
    </w:tbl>
    <w:p>
      <w:pPr>
        <w:spacing w:after="156" w:afterLines="50" w:line="360" w:lineRule="auto"/>
        <w:rPr>
          <w:rFonts w:hint="eastAsia" w:ascii="宋体" w:hAnsi="宋体"/>
          <w:sz w:val="24"/>
        </w:rPr>
      </w:pPr>
    </w:p>
    <w:p>
      <w:pPr>
        <w:snapToGrid w:val="0"/>
        <w:spacing w:line="360" w:lineRule="auto"/>
        <w:ind w:firstLine="480" w:firstLineChars="200"/>
        <w:rPr>
          <w:rFonts w:hint="eastAsia" w:ascii="宋体" w:hAnsi="宋体" w:cs="宋体"/>
          <w:b/>
          <w:sz w:val="24"/>
        </w:rPr>
      </w:pPr>
      <w:r>
        <w:rPr>
          <w:rFonts w:hint="eastAsia" w:ascii="宋体" w:hAnsi="宋体" w:cs="宋体"/>
          <w:bCs/>
          <w:sz w:val="24"/>
        </w:rPr>
        <w:t>注：1、若该表中某食品细类中某些检测项目没有检测资质，请在该检测项目的“检测费”栏划“/”，同时在该食品细类的“单批次检测费、单批次采样费、单批次总报价”栏划“/”。附表中检测项目对应的检测方法均指该产品类别国家标准中规定的检测方法。</w:t>
      </w:r>
      <w:r>
        <w:rPr>
          <w:rFonts w:hint="eastAsia" w:ascii="宋体" w:hAnsi="宋体" w:cs="宋体"/>
          <w:bCs/>
          <w:sz w:val="24"/>
        </w:rPr>
        <w:br w:type="textWrapping"/>
      </w:r>
      <w:r>
        <w:rPr>
          <w:rFonts w:hint="eastAsia" w:ascii="宋体" w:hAnsi="宋体" w:cs="宋体"/>
          <w:bCs/>
          <w:sz w:val="24"/>
        </w:rPr>
        <w:t xml:space="preserve">    2、检测费是指大宗食品在实验室检测期间产生的费用，包括检测、报告、结果分析等项目。采样费是指除了实验室检测费以外产生的费用，包括买样采样、送样产生的费用。单批次检测费为该食品细类单项目检测费之和。单批次总报价为该食品细类单批次检测费与单批次采样费之和。</w:t>
      </w:r>
      <w:r>
        <w:rPr>
          <w:rFonts w:hint="eastAsia" w:ascii="宋体" w:hAnsi="宋体" w:cs="宋体"/>
          <w:bCs/>
          <w:sz w:val="24"/>
        </w:rPr>
        <w:br w:type="textWrapping"/>
      </w:r>
      <w:r>
        <w:rPr>
          <w:rFonts w:hint="eastAsia" w:ascii="宋体" w:hAnsi="宋体" w:cs="宋体"/>
          <w:bCs/>
          <w:sz w:val="24"/>
        </w:rPr>
        <w:t xml:space="preserve">    3、投标细类单批次均价=投标细类单批次总报价之和/投标细类总数。</w:t>
      </w:r>
    </w:p>
    <w:p>
      <w:pPr>
        <w:spacing w:after="156" w:afterLines="50" w:line="360" w:lineRule="exact"/>
        <w:ind w:firstLine="480" w:firstLineChars="200"/>
        <w:rPr>
          <w:rFonts w:hint="eastAsia" w:ascii="宋体" w:hAnsi="宋体"/>
          <w:sz w:val="24"/>
        </w:rPr>
      </w:pPr>
      <w:r>
        <w:rPr>
          <w:rFonts w:hint="eastAsia" w:ascii="宋体" w:hAnsi="宋体"/>
          <w:sz w:val="24"/>
        </w:rPr>
        <w:t>（</w:t>
      </w:r>
      <w:r>
        <w:rPr>
          <w:rFonts w:hint="eastAsia" w:ascii="宋体" w:hAnsi="宋体"/>
          <w:sz w:val="24"/>
          <w:u w:val="single"/>
        </w:rPr>
        <w:t>不得对检测种类、品种、项目进行随意删减）</w:t>
      </w:r>
      <w:r>
        <w:rPr>
          <w:rFonts w:hint="eastAsia" w:ascii="宋体" w:hAnsi="宋体"/>
          <w:sz w:val="24"/>
        </w:rPr>
        <w:t>。</w:t>
      </w:r>
    </w:p>
    <w:p>
      <w:pPr>
        <w:spacing w:after="156" w:afterLines="50" w:line="360" w:lineRule="exact"/>
        <w:ind w:firstLine="480" w:firstLineChars="200"/>
        <w:rPr>
          <w:rFonts w:hint="eastAsia" w:ascii="宋体" w:hAnsi="宋体"/>
          <w:sz w:val="24"/>
        </w:rPr>
      </w:pPr>
    </w:p>
    <w:p>
      <w:pPr>
        <w:spacing w:line="360" w:lineRule="exact"/>
        <w:ind w:firstLine="429" w:firstLineChars="195"/>
        <w:rPr>
          <w:rFonts w:hint="eastAsia" w:ascii="宋体" w:hAnsi="宋体"/>
          <w:sz w:val="22"/>
          <w:szCs w:val="22"/>
        </w:rPr>
      </w:pPr>
      <w:r>
        <w:rPr>
          <w:rFonts w:hint="eastAsia" w:ascii="宋体" w:hAnsi="宋体"/>
          <w:sz w:val="22"/>
          <w:szCs w:val="22"/>
        </w:rPr>
        <w:t>投标人：（盖章）</w:t>
      </w:r>
    </w:p>
    <w:p>
      <w:pPr>
        <w:spacing w:line="360" w:lineRule="exact"/>
        <w:ind w:firstLine="429" w:firstLineChars="195"/>
        <w:rPr>
          <w:rFonts w:hint="eastAsia" w:ascii="宋体" w:hAnsi="宋体"/>
          <w:sz w:val="22"/>
          <w:szCs w:val="22"/>
        </w:rPr>
      </w:pPr>
    </w:p>
    <w:p>
      <w:pPr>
        <w:spacing w:line="360" w:lineRule="exact"/>
        <w:ind w:firstLine="429" w:firstLineChars="195"/>
        <w:rPr>
          <w:rFonts w:hint="eastAsia" w:ascii="宋体" w:hAnsi="宋体"/>
          <w:sz w:val="22"/>
          <w:szCs w:val="22"/>
        </w:rPr>
      </w:pPr>
      <w:r>
        <w:rPr>
          <w:rFonts w:hint="eastAsia" w:ascii="宋体" w:hAnsi="宋体"/>
          <w:sz w:val="22"/>
          <w:szCs w:val="22"/>
        </w:rPr>
        <w:t>法定代表人或其委托代理人：（签字或盖章）</w:t>
      </w:r>
    </w:p>
    <w:p>
      <w:pPr>
        <w:spacing w:line="360" w:lineRule="exact"/>
        <w:ind w:firstLine="429" w:firstLineChars="195"/>
        <w:rPr>
          <w:rFonts w:hint="eastAsia" w:ascii="宋体" w:hAnsi="宋体"/>
          <w:sz w:val="22"/>
          <w:szCs w:val="22"/>
        </w:rPr>
      </w:pPr>
    </w:p>
    <w:p>
      <w:pPr>
        <w:spacing w:after="156" w:afterLines="50" w:line="360" w:lineRule="auto"/>
        <w:rPr>
          <w:rFonts w:ascii="仿宋" w:hAnsi="仿宋" w:eastAsia="仿宋" w:cs="宋体"/>
          <w:sz w:val="24"/>
          <w:szCs w:val="24"/>
          <w:lang w:val="zh-CN"/>
        </w:rPr>
      </w:pPr>
      <w:r>
        <w:rPr>
          <w:rFonts w:hint="eastAsia" w:ascii="宋体" w:hAnsi="宋体"/>
          <w:sz w:val="22"/>
          <w:szCs w:val="22"/>
        </w:rPr>
        <w:t xml:space="preserve">    日  期：</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技术方案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b/>
          <w:bCs/>
          <w:sz w:val="24"/>
          <w:szCs w:val="24"/>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7                        </w:t>
      </w:r>
      <w:r>
        <w:rPr>
          <w:rFonts w:hint="eastAsia" w:ascii="仿宋" w:hAnsi="仿宋" w:eastAsia="仿宋" w:cs="宋体"/>
          <w:b/>
          <w:bCs/>
          <w:sz w:val="24"/>
          <w:szCs w:val="24"/>
        </w:rPr>
        <w:t xml:space="preserve"> </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b/>
          <w:bCs/>
          <w:sz w:val="24"/>
          <w:szCs w:val="24"/>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8</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附件9</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（本文件中要求的其他相关证明材料）</w:t>
      </w:r>
    </w:p>
    <w:sectPr>
      <w:headerReference r:id="rId7" w:type="default"/>
      <w:footerReference r:id="rId8"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auto"/>
    <w:pitch w:val="default"/>
    <w:sig w:usb0="E0002AFF" w:usb1="C000247B" w:usb2="00000009" w:usb3="00000000" w:csb0="200001FF" w:csb1="00000000"/>
  </w:font>
  <w:font w:name="Time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41</w:t>
    </w:r>
    <w:r>
      <w:fldChar w:fldCharType="end"/>
    </w:r>
  </w:p>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pict>
        <v:shape id="_x0000_s4097" o:spid="_x0000_s409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r>
                  <w:fldChar w:fldCharType="begin"/>
                </w:r>
                <w:r>
                  <w:instrText xml:space="preserve"> PAGE  \* MERGEFORMAT </w:instrText>
                </w:r>
                <w:r>
                  <w:fldChar w:fldCharType="separate"/>
                </w:r>
                <w:r>
                  <w:t>56</w:t>
                </w:r>
                <w:r>
                  <w:fldChar w:fldCharType="end"/>
                </w:r>
              </w:p>
            </w:txbxContent>
          </v:textbox>
        </v:shape>
      </w:pict>
    </w:r>
    <w:r>
      <w:rPr>
        <w:rFonts w:hint="eastAsia"/>
      </w:rPr>
      <w:t xml:space="preserve"> </w:t>
    </w:r>
    <w:r>
      <w:t xml:space="preserve"> </w:t>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3D06895"/>
    <w:multiLevelType w:val="multilevel"/>
    <w:tmpl w:val="03D06895"/>
    <w:lvl w:ilvl="0" w:tentative="0">
      <w:start w:val="1"/>
      <w:numFmt w:val="chineseCountingThousand"/>
      <w:pStyle w:val="136"/>
      <w:lvlText w:val="第%1章"/>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pStyle w:val="137"/>
      <w:isLgl/>
      <w:lvlText w:val="%1.%2"/>
      <w:lvlJc w:val="left"/>
      <w:pPr>
        <w:ind w:left="2410" w:firstLine="0"/>
      </w:pPr>
      <w:rPr>
        <w:rFonts w:hint="eastAsia"/>
      </w:rPr>
    </w:lvl>
    <w:lvl w:ilvl="2" w:tentative="0">
      <w:start w:val="1"/>
      <w:numFmt w:val="decimal"/>
      <w:pStyle w:val="140"/>
      <w:isLgl/>
      <w:lvlText w:val="%1.%2.%3"/>
      <w:lvlJc w:val="left"/>
      <w:pPr>
        <w:ind w:left="709" w:firstLine="0"/>
      </w:pPr>
      <w:rPr>
        <w:rFonts w:hint="eastAsia"/>
      </w:rPr>
    </w:lvl>
    <w:lvl w:ilvl="3" w:tentative="0">
      <w:start w:val="1"/>
      <w:numFmt w:val="decimal"/>
      <w:isLgl/>
      <w:lvlText w:val="%1.%2.%3.%4"/>
      <w:lvlJc w:val="left"/>
      <w:pPr>
        <w:ind w:left="2410" w:firstLine="0"/>
      </w:pPr>
      <w:rPr>
        <w:rFonts w:hint="eastAsia"/>
      </w:rPr>
    </w:lvl>
    <w:lvl w:ilvl="4" w:tentative="0">
      <w:start w:val="1"/>
      <w:numFmt w:val="decimal"/>
      <w:isLgl/>
      <w:lvlText w:val="%1.%2.%3.%4.%5"/>
      <w:lvlJc w:val="left"/>
      <w:pPr>
        <w:ind w:left="2410" w:firstLine="0"/>
      </w:pPr>
      <w:rPr>
        <w:rFonts w:hint="eastAsia"/>
      </w:rPr>
    </w:lvl>
    <w:lvl w:ilvl="5" w:tentative="0">
      <w:start w:val="1"/>
      <w:numFmt w:val="decimal"/>
      <w:isLgl/>
      <w:lvlText w:val="%1.%2.%3.%4.%5.%6"/>
      <w:lvlJc w:val="left"/>
      <w:pPr>
        <w:ind w:left="2410" w:firstLine="0"/>
      </w:pPr>
      <w:rPr>
        <w:rFonts w:hint="eastAsia"/>
      </w:rPr>
    </w:lvl>
    <w:lvl w:ilvl="6" w:tentative="0">
      <w:start w:val="1"/>
      <w:numFmt w:val="decimal"/>
      <w:isLgl/>
      <w:lvlText w:val="%1.%2.%3.%4.%5.%6.%7"/>
      <w:lvlJc w:val="left"/>
      <w:pPr>
        <w:ind w:left="2410" w:firstLine="0"/>
      </w:pPr>
      <w:rPr>
        <w:rFonts w:hint="eastAsia"/>
      </w:rPr>
    </w:lvl>
    <w:lvl w:ilvl="7" w:tentative="0">
      <w:start w:val="1"/>
      <w:numFmt w:val="decimal"/>
      <w:isLgl/>
      <w:lvlText w:val="%1.%2.%3.%4.%5.%6.%7.%8"/>
      <w:lvlJc w:val="left"/>
      <w:pPr>
        <w:ind w:left="2410" w:firstLine="0"/>
      </w:pPr>
      <w:rPr>
        <w:rFonts w:hint="eastAsia"/>
      </w:rPr>
    </w:lvl>
    <w:lvl w:ilvl="8" w:tentative="0">
      <w:start w:val="1"/>
      <w:numFmt w:val="decimal"/>
      <w:isLgl/>
      <w:lvlText w:val="%1.%2.%3.%4.%5.%6.%7.%8.%9"/>
      <w:lvlJc w:val="left"/>
      <w:pPr>
        <w:ind w:left="2410" w:firstLine="0"/>
      </w:pPr>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1418"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21"/>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5"/>
  </w:num>
  <w:num w:numId="7">
    <w:abstractNumId w:val="4"/>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779E2"/>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6E25"/>
    <w:rsid w:val="004E76CE"/>
    <w:rsid w:val="004F0275"/>
    <w:rsid w:val="004F0AA6"/>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A1F"/>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A9"/>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27BD1"/>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52E7"/>
    <w:rsid w:val="00A20320"/>
    <w:rsid w:val="00A32183"/>
    <w:rsid w:val="00A37C94"/>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2B6"/>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4CDD"/>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150AF"/>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E49D1"/>
    <w:rsid w:val="00FF3A15"/>
    <w:rsid w:val="00FF3C91"/>
    <w:rsid w:val="00FF73DB"/>
    <w:rsid w:val="01017847"/>
    <w:rsid w:val="012A2BB6"/>
    <w:rsid w:val="015F5D2B"/>
    <w:rsid w:val="01AE553D"/>
    <w:rsid w:val="01D912AA"/>
    <w:rsid w:val="02943948"/>
    <w:rsid w:val="031A41B0"/>
    <w:rsid w:val="03CB53C9"/>
    <w:rsid w:val="03D744EF"/>
    <w:rsid w:val="04252D6C"/>
    <w:rsid w:val="04524D74"/>
    <w:rsid w:val="048C72C6"/>
    <w:rsid w:val="04985F62"/>
    <w:rsid w:val="04E5185D"/>
    <w:rsid w:val="04F1400C"/>
    <w:rsid w:val="054A14EB"/>
    <w:rsid w:val="055236E0"/>
    <w:rsid w:val="05553AF1"/>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25727"/>
    <w:rsid w:val="09C60246"/>
    <w:rsid w:val="09CE2BB7"/>
    <w:rsid w:val="09E57E48"/>
    <w:rsid w:val="0A2B0E2A"/>
    <w:rsid w:val="0AB05B6D"/>
    <w:rsid w:val="0B047399"/>
    <w:rsid w:val="0B8E4C06"/>
    <w:rsid w:val="0B8F0D95"/>
    <w:rsid w:val="0BC25BE0"/>
    <w:rsid w:val="0BCD3B00"/>
    <w:rsid w:val="0BE45DA3"/>
    <w:rsid w:val="0C00330B"/>
    <w:rsid w:val="0C053D42"/>
    <w:rsid w:val="0C232636"/>
    <w:rsid w:val="0C3957DB"/>
    <w:rsid w:val="0C3C6A01"/>
    <w:rsid w:val="0C662DD8"/>
    <w:rsid w:val="0CBA4EC9"/>
    <w:rsid w:val="0CBE01FC"/>
    <w:rsid w:val="0CD367F2"/>
    <w:rsid w:val="0CE25187"/>
    <w:rsid w:val="0D2824A3"/>
    <w:rsid w:val="0D62434A"/>
    <w:rsid w:val="0D832C84"/>
    <w:rsid w:val="0DD45553"/>
    <w:rsid w:val="0DFD39BC"/>
    <w:rsid w:val="0E1F7A52"/>
    <w:rsid w:val="0F0D73B6"/>
    <w:rsid w:val="0F263449"/>
    <w:rsid w:val="0F2C7289"/>
    <w:rsid w:val="0FBA420F"/>
    <w:rsid w:val="0FFF7B78"/>
    <w:rsid w:val="10240870"/>
    <w:rsid w:val="105F0CCD"/>
    <w:rsid w:val="10A25988"/>
    <w:rsid w:val="10E22F93"/>
    <w:rsid w:val="11014B66"/>
    <w:rsid w:val="11472FC4"/>
    <w:rsid w:val="11662A8F"/>
    <w:rsid w:val="1171773E"/>
    <w:rsid w:val="11D75144"/>
    <w:rsid w:val="11DE60C8"/>
    <w:rsid w:val="11EE1C9B"/>
    <w:rsid w:val="12362245"/>
    <w:rsid w:val="12575BFE"/>
    <w:rsid w:val="127D4879"/>
    <w:rsid w:val="129F4391"/>
    <w:rsid w:val="12B07257"/>
    <w:rsid w:val="12F46B93"/>
    <w:rsid w:val="12FB62CF"/>
    <w:rsid w:val="130F3467"/>
    <w:rsid w:val="131F25B3"/>
    <w:rsid w:val="132168C4"/>
    <w:rsid w:val="133638CF"/>
    <w:rsid w:val="134B3E21"/>
    <w:rsid w:val="135C1261"/>
    <w:rsid w:val="13705BCF"/>
    <w:rsid w:val="139800F8"/>
    <w:rsid w:val="146639B0"/>
    <w:rsid w:val="14810804"/>
    <w:rsid w:val="14C32394"/>
    <w:rsid w:val="14E7756C"/>
    <w:rsid w:val="15555471"/>
    <w:rsid w:val="15D15729"/>
    <w:rsid w:val="162949D9"/>
    <w:rsid w:val="16537889"/>
    <w:rsid w:val="166F3B31"/>
    <w:rsid w:val="16B45F60"/>
    <w:rsid w:val="16BB3F9C"/>
    <w:rsid w:val="17093EDF"/>
    <w:rsid w:val="17411E12"/>
    <w:rsid w:val="175B5BC6"/>
    <w:rsid w:val="176F16AC"/>
    <w:rsid w:val="17D43D54"/>
    <w:rsid w:val="17E545EE"/>
    <w:rsid w:val="180F6DA6"/>
    <w:rsid w:val="183733AB"/>
    <w:rsid w:val="183D0ACD"/>
    <w:rsid w:val="18553478"/>
    <w:rsid w:val="186A4EF9"/>
    <w:rsid w:val="18AD21CB"/>
    <w:rsid w:val="19491C75"/>
    <w:rsid w:val="19786E3B"/>
    <w:rsid w:val="1A107C46"/>
    <w:rsid w:val="1A3D69F2"/>
    <w:rsid w:val="1A4540A3"/>
    <w:rsid w:val="1A717838"/>
    <w:rsid w:val="1A885B59"/>
    <w:rsid w:val="1A8E3CC9"/>
    <w:rsid w:val="1B1630FE"/>
    <w:rsid w:val="1B571CDF"/>
    <w:rsid w:val="1B7751EF"/>
    <w:rsid w:val="1BDD2E04"/>
    <w:rsid w:val="1BFB31C4"/>
    <w:rsid w:val="1CAE5C61"/>
    <w:rsid w:val="1CC57EEC"/>
    <w:rsid w:val="1D1E07AB"/>
    <w:rsid w:val="1D285414"/>
    <w:rsid w:val="1D5D79CE"/>
    <w:rsid w:val="1D846EFB"/>
    <w:rsid w:val="1DBC5717"/>
    <w:rsid w:val="1E1761B2"/>
    <w:rsid w:val="1E572FDA"/>
    <w:rsid w:val="1F34074C"/>
    <w:rsid w:val="1F8F7C87"/>
    <w:rsid w:val="1FA727E3"/>
    <w:rsid w:val="1FA97651"/>
    <w:rsid w:val="1FD141B8"/>
    <w:rsid w:val="1FE67A99"/>
    <w:rsid w:val="200E5455"/>
    <w:rsid w:val="20852B17"/>
    <w:rsid w:val="208F4659"/>
    <w:rsid w:val="20C91244"/>
    <w:rsid w:val="20CB6D0B"/>
    <w:rsid w:val="20E71C78"/>
    <w:rsid w:val="21093329"/>
    <w:rsid w:val="211E0551"/>
    <w:rsid w:val="212773A1"/>
    <w:rsid w:val="214A163F"/>
    <w:rsid w:val="21D44845"/>
    <w:rsid w:val="221572B4"/>
    <w:rsid w:val="22311600"/>
    <w:rsid w:val="226550CC"/>
    <w:rsid w:val="227656A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7742D0"/>
    <w:rsid w:val="288E3F7A"/>
    <w:rsid w:val="288F49C5"/>
    <w:rsid w:val="28BF1B33"/>
    <w:rsid w:val="28BF2210"/>
    <w:rsid w:val="28C85B97"/>
    <w:rsid w:val="28CE556E"/>
    <w:rsid w:val="299315DB"/>
    <w:rsid w:val="29C152D2"/>
    <w:rsid w:val="2A292F06"/>
    <w:rsid w:val="2A29332E"/>
    <w:rsid w:val="2A666F4C"/>
    <w:rsid w:val="2A6671E5"/>
    <w:rsid w:val="2A8574C7"/>
    <w:rsid w:val="2B0B3F2F"/>
    <w:rsid w:val="2B4D775E"/>
    <w:rsid w:val="2B5A4161"/>
    <w:rsid w:val="2B9F495B"/>
    <w:rsid w:val="2BB70DAF"/>
    <w:rsid w:val="2BBD2870"/>
    <w:rsid w:val="2BF938D1"/>
    <w:rsid w:val="2C01063D"/>
    <w:rsid w:val="2C5239AE"/>
    <w:rsid w:val="2C824188"/>
    <w:rsid w:val="2C8C63A5"/>
    <w:rsid w:val="2CF845CD"/>
    <w:rsid w:val="2D562101"/>
    <w:rsid w:val="2D873A70"/>
    <w:rsid w:val="2DB610BD"/>
    <w:rsid w:val="2DFB43CE"/>
    <w:rsid w:val="2E3D7FDF"/>
    <w:rsid w:val="2E5606EB"/>
    <w:rsid w:val="2E9D5FE0"/>
    <w:rsid w:val="2EA172E8"/>
    <w:rsid w:val="2EDB43F3"/>
    <w:rsid w:val="2F232D02"/>
    <w:rsid w:val="2F2A34A3"/>
    <w:rsid w:val="2F38041E"/>
    <w:rsid w:val="2F433D86"/>
    <w:rsid w:val="2F9A5364"/>
    <w:rsid w:val="2F9D183B"/>
    <w:rsid w:val="2FEB36BE"/>
    <w:rsid w:val="30006487"/>
    <w:rsid w:val="30842425"/>
    <w:rsid w:val="30D404C5"/>
    <w:rsid w:val="314C2E93"/>
    <w:rsid w:val="31694A72"/>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B602EE"/>
    <w:rsid w:val="34CE04B2"/>
    <w:rsid w:val="34F94C42"/>
    <w:rsid w:val="35020BCE"/>
    <w:rsid w:val="354E2015"/>
    <w:rsid w:val="35636C46"/>
    <w:rsid w:val="35642145"/>
    <w:rsid w:val="35736992"/>
    <w:rsid w:val="35F3452C"/>
    <w:rsid w:val="360511A0"/>
    <w:rsid w:val="37692631"/>
    <w:rsid w:val="37B10108"/>
    <w:rsid w:val="389F7F0D"/>
    <w:rsid w:val="38B66F17"/>
    <w:rsid w:val="39264E83"/>
    <w:rsid w:val="397D15ED"/>
    <w:rsid w:val="39A31772"/>
    <w:rsid w:val="3A0511AE"/>
    <w:rsid w:val="3A252A28"/>
    <w:rsid w:val="3A361775"/>
    <w:rsid w:val="3A5B0DB6"/>
    <w:rsid w:val="3AA10985"/>
    <w:rsid w:val="3B1A3171"/>
    <w:rsid w:val="3B8A1786"/>
    <w:rsid w:val="3BF37AE3"/>
    <w:rsid w:val="3C5A516A"/>
    <w:rsid w:val="3CD05D89"/>
    <w:rsid w:val="3D056F4A"/>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421537"/>
    <w:rsid w:val="414F44A7"/>
    <w:rsid w:val="41595C3E"/>
    <w:rsid w:val="42031639"/>
    <w:rsid w:val="420D6E21"/>
    <w:rsid w:val="42551AC7"/>
    <w:rsid w:val="426D69CE"/>
    <w:rsid w:val="43306F54"/>
    <w:rsid w:val="439D162E"/>
    <w:rsid w:val="43AF4EB6"/>
    <w:rsid w:val="43D0219E"/>
    <w:rsid w:val="43DA0DF8"/>
    <w:rsid w:val="43F21A5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866C46"/>
    <w:rsid w:val="4BBD5B2C"/>
    <w:rsid w:val="4BF36702"/>
    <w:rsid w:val="4C0E0B24"/>
    <w:rsid w:val="4F071606"/>
    <w:rsid w:val="4F403B1D"/>
    <w:rsid w:val="4F7F31B2"/>
    <w:rsid w:val="4F827ABA"/>
    <w:rsid w:val="4FA93F1C"/>
    <w:rsid w:val="4FCB730B"/>
    <w:rsid w:val="503F52BD"/>
    <w:rsid w:val="504A74E2"/>
    <w:rsid w:val="508C5D14"/>
    <w:rsid w:val="50D62ACD"/>
    <w:rsid w:val="510C3D06"/>
    <w:rsid w:val="51937900"/>
    <w:rsid w:val="51ED5B69"/>
    <w:rsid w:val="536A53D4"/>
    <w:rsid w:val="53857B5E"/>
    <w:rsid w:val="54207CFD"/>
    <w:rsid w:val="54C67D23"/>
    <w:rsid w:val="55005AF5"/>
    <w:rsid w:val="551F63D6"/>
    <w:rsid w:val="55687568"/>
    <w:rsid w:val="55CC6A46"/>
    <w:rsid w:val="55DE4946"/>
    <w:rsid w:val="55EA1952"/>
    <w:rsid w:val="55FD0CFB"/>
    <w:rsid w:val="561945F1"/>
    <w:rsid w:val="56BE79D8"/>
    <w:rsid w:val="57371D65"/>
    <w:rsid w:val="58032131"/>
    <w:rsid w:val="58266B57"/>
    <w:rsid w:val="588A5505"/>
    <w:rsid w:val="58CE0AFE"/>
    <w:rsid w:val="58E11F40"/>
    <w:rsid w:val="58EA7FCE"/>
    <w:rsid w:val="593B360F"/>
    <w:rsid w:val="597E7640"/>
    <w:rsid w:val="59A8191A"/>
    <w:rsid w:val="5A8975CA"/>
    <w:rsid w:val="5A8D6038"/>
    <w:rsid w:val="5A9B5C76"/>
    <w:rsid w:val="5AF228EA"/>
    <w:rsid w:val="5B176006"/>
    <w:rsid w:val="5B8B5722"/>
    <w:rsid w:val="5C1D3EC2"/>
    <w:rsid w:val="5C29274B"/>
    <w:rsid w:val="5C2A1394"/>
    <w:rsid w:val="5C6F34F3"/>
    <w:rsid w:val="5C8F1112"/>
    <w:rsid w:val="5CDE1B94"/>
    <w:rsid w:val="5CF46440"/>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4F23C67"/>
    <w:rsid w:val="651A4BCA"/>
    <w:rsid w:val="659F5C58"/>
    <w:rsid w:val="65D24C12"/>
    <w:rsid w:val="65F1505D"/>
    <w:rsid w:val="660A512C"/>
    <w:rsid w:val="66856058"/>
    <w:rsid w:val="668F2678"/>
    <w:rsid w:val="66BA2132"/>
    <w:rsid w:val="6701680A"/>
    <w:rsid w:val="67547205"/>
    <w:rsid w:val="676E5060"/>
    <w:rsid w:val="67FC0C69"/>
    <w:rsid w:val="686A32EA"/>
    <w:rsid w:val="693E036B"/>
    <w:rsid w:val="698529F7"/>
    <w:rsid w:val="69981330"/>
    <w:rsid w:val="69D62811"/>
    <w:rsid w:val="6A001D5E"/>
    <w:rsid w:val="6A690960"/>
    <w:rsid w:val="6A6F4003"/>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746A10"/>
    <w:rsid w:val="6D886FA0"/>
    <w:rsid w:val="6D945BC5"/>
    <w:rsid w:val="6DD96194"/>
    <w:rsid w:val="6DEF0C58"/>
    <w:rsid w:val="6DF66DFE"/>
    <w:rsid w:val="6DFC67F6"/>
    <w:rsid w:val="6E196A24"/>
    <w:rsid w:val="6E1D6E30"/>
    <w:rsid w:val="6E66357B"/>
    <w:rsid w:val="6EB95270"/>
    <w:rsid w:val="6EEF0FBE"/>
    <w:rsid w:val="6F8956C3"/>
    <w:rsid w:val="6FB90394"/>
    <w:rsid w:val="6FC41E1E"/>
    <w:rsid w:val="6FE86904"/>
    <w:rsid w:val="70241AB8"/>
    <w:rsid w:val="706476AA"/>
    <w:rsid w:val="7105714A"/>
    <w:rsid w:val="710F25A0"/>
    <w:rsid w:val="714177A5"/>
    <w:rsid w:val="7255719B"/>
    <w:rsid w:val="72AB0CB7"/>
    <w:rsid w:val="744C618D"/>
    <w:rsid w:val="74920FD0"/>
    <w:rsid w:val="74924B26"/>
    <w:rsid w:val="74B50A85"/>
    <w:rsid w:val="74DF7784"/>
    <w:rsid w:val="75125292"/>
    <w:rsid w:val="758826A4"/>
    <w:rsid w:val="75B01AA9"/>
    <w:rsid w:val="76140509"/>
    <w:rsid w:val="7626039F"/>
    <w:rsid w:val="763C41F4"/>
    <w:rsid w:val="7678693E"/>
    <w:rsid w:val="768649B8"/>
    <w:rsid w:val="76EF0C8A"/>
    <w:rsid w:val="76F83624"/>
    <w:rsid w:val="773F1990"/>
    <w:rsid w:val="776A79F9"/>
    <w:rsid w:val="777A7DC6"/>
    <w:rsid w:val="78640367"/>
    <w:rsid w:val="78C403B7"/>
    <w:rsid w:val="78E669DE"/>
    <w:rsid w:val="79640B02"/>
    <w:rsid w:val="796E4180"/>
    <w:rsid w:val="79874C47"/>
    <w:rsid w:val="79D2695D"/>
    <w:rsid w:val="7A731DE7"/>
    <w:rsid w:val="7ABE7E81"/>
    <w:rsid w:val="7AE73174"/>
    <w:rsid w:val="7B1234F7"/>
    <w:rsid w:val="7B5007DD"/>
    <w:rsid w:val="7BD60299"/>
    <w:rsid w:val="7BDD1DA1"/>
    <w:rsid w:val="7BE5680C"/>
    <w:rsid w:val="7C09693B"/>
    <w:rsid w:val="7C403415"/>
    <w:rsid w:val="7C504BF4"/>
    <w:rsid w:val="7C6B7787"/>
    <w:rsid w:val="7C6F62EE"/>
    <w:rsid w:val="7C9F5AAF"/>
    <w:rsid w:val="7CCC29A0"/>
    <w:rsid w:val="7CF42D7A"/>
    <w:rsid w:val="7D171AFF"/>
    <w:rsid w:val="7D4359D2"/>
    <w:rsid w:val="7D805C04"/>
    <w:rsid w:val="7D9A0C78"/>
    <w:rsid w:val="7DFE466B"/>
    <w:rsid w:val="7E430C57"/>
    <w:rsid w:val="7E84244F"/>
    <w:rsid w:val="7EB23D15"/>
    <w:rsid w:val="7F0F3D7E"/>
    <w:rsid w:val="7F17791C"/>
    <w:rsid w:val="7F3B2004"/>
    <w:rsid w:val="7F6D3793"/>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8"/>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50"/>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7"/>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9"/>
    <w:unhideWhenUsed/>
    <w:qFormat/>
    <w:uiPriority w:val="99"/>
    <w:rPr>
      <w:b/>
      <w:bCs/>
    </w:rPr>
  </w:style>
  <w:style w:type="paragraph" w:styleId="13">
    <w:name w:val="annotation text"/>
    <w:basedOn w:val="1"/>
    <w:link w:val="86"/>
    <w:unhideWhenUsed/>
    <w:qFormat/>
    <w:uiPriority w:val="0"/>
    <w:pPr>
      <w:jc w:val="left"/>
    </w:pPr>
    <w:rPr>
      <w:rFonts w:ascii="Times New Roman" w:hAnsi="Times New Roman" w:eastAsia="宋体" w:cs="Times New Roman"/>
      <w:szCs w:val="24"/>
    </w:rPr>
  </w:style>
  <w:style w:type="paragraph" w:styleId="14">
    <w:name w:val="Body Text First Indent"/>
    <w:basedOn w:val="15"/>
    <w:link w:val="92"/>
    <w:qFormat/>
    <w:uiPriority w:val="0"/>
    <w:pPr>
      <w:spacing w:after="120"/>
      <w:ind w:firstLine="420" w:firstLineChars="100"/>
    </w:pPr>
    <w:rPr>
      <w:rFonts w:ascii="Times New Roman" w:eastAsia="宋体"/>
      <w:szCs w:val="24"/>
    </w:rPr>
  </w:style>
  <w:style w:type="paragraph" w:styleId="15">
    <w:name w:val="Body Text"/>
    <w:basedOn w:val="1"/>
    <w:link w:val="91"/>
    <w:qFormat/>
    <w:uiPriority w:val="0"/>
    <w:rPr>
      <w:rFonts w:ascii="仿宋_GB2312" w:hAnsi="Times New Roman" w:eastAsia="仿宋_GB2312" w:cs="Times New Roman"/>
      <w:kern w:val="0"/>
      <w:sz w:val="24"/>
      <w:szCs w:val="20"/>
    </w:rPr>
  </w:style>
  <w:style w:type="paragraph" w:styleId="16">
    <w:name w:val="Document Map"/>
    <w:basedOn w:val="1"/>
    <w:link w:val="9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6"/>
    <w:qFormat/>
    <w:uiPriority w:val="0"/>
    <w:pPr>
      <w:spacing w:line="400" w:lineRule="exact"/>
      <w:ind w:left="630"/>
    </w:pPr>
    <w:rPr>
      <w:rFonts w:ascii="楷体_GB2312"/>
    </w:rPr>
  </w:style>
  <w:style w:type="paragraph" w:styleId="19">
    <w:name w:val="toc 3"/>
    <w:basedOn w:val="1"/>
    <w:next w:val="1"/>
    <w:unhideWhenUsed/>
    <w:qFormat/>
    <w:uiPriority w:val="39"/>
    <w:pPr>
      <w:ind w:left="400" w:leftChars="400" w:firstLine="0" w:firstLineChars="0"/>
    </w:pPr>
  </w:style>
  <w:style w:type="paragraph" w:styleId="20">
    <w:name w:val="Plain Text"/>
    <w:basedOn w:val="1"/>
    <w:link w:val="94"/>
    <w:qFormat/>
    <w:uiPriority w:val="0"/>
    <w:rPr>
      <w:rFonts w:ascii="宋体" w:hAnsi="Courier New" w:eastAsia="宋体" w:cs="Courier New"/>
      <w:kern w:val="0"/>
      <w:sz w:val="20"/>
      <w:szCs w:val="21"/>
    </w:rPr>
  </w:style>
  <w:style w:type="paragraph" w:styleId="21">
    <w:name w:val="Date"/>
    <w:basedOn w:val="1"/>
    <w:next w:val="1"/>
    <w:link w:val="70"/>
    <w:qFormat/>
    <w:uiPriority w:val="0"/>
    <w:rPr>
      <w:rFonts w:eastAsia="楷体_GB2312"/>
      <w:sz w:val="32"/>
    </w:rPr>
  </w:style>
  <w:style w:type="paragraph" w:styleId="22">
    <w:name w:val="Body Text Indent 2"/>
    <w:basedOn w:val="1"/>
    <w:link w:val="8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3">
    <w:name w:val="Balloon Text"/>
    <w:basedOn w:val="1"/>
    <w:link w:val="45"/>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rPr>
  </w:style>
  <w:style w:type="paragraph" w:styleId="25">
    <w:name w:val="header"/>
    <w:basedOn w:val="1"/>
    <w:link w:val="66"/>
    <w:qFormat/>
    <w:uiPriority w:val="0"/>
    <w:pPr>
      <w:tabs>
        <w:tab w:val="center" w:pos="4153"/>
        <w:tab w:val="right" w:pos="8306"/>
      </w:tabs>
      <w:snapToGrid w:val="0"/>
    </w:pPr>
    <w:rPr>
      <w:sz w:val="18"/>
    </w:rPr>
  </w:style>
  <w:style w:type="paragraph" w:styleId="26">
    <w:name w:val="toc 1"/>
    <w:basedOn w:val="1"/>
    <w:next w:val="1"/>
    <w:qFormat/>
    <w:uiPriority w:val="0"/>
    <w:rPr>
      <w:rFonts w:ascii="Times New Roman" w:hAnsi="Times New Roman" w:eastAsia="宋体" w:cs="Times New Roman"/>
      <w:sz w:val="24"/>
      <w:szCs w:val="24"/>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93"/>
    <w:qFormat/>
    <w:uiPriority w:val="0"/>
    <w:pPr>
      <w:spacing w:after="120"/>
      <w:ind w:left="420" w:leftChars="200"/>
    </w:pPr>
    <w:rPr>
      <w:rFonts w:ascii="Times New Roman" w:hAnsi="Times New Roman" w:eastAsia="宋体" w:cs="Times New Roman"/>
      <w:kern w:val="0"/>
      <w:sz w:val="16"/>
      <w:szCs w:val="16"/>
    </w:rPr>
  </w:style>
  <w:style w:type="paragraph" w:styleId="29">
    <w:name w:val="toc 2"/>
    <w:basedOn w:val="1"/>
    <w:next w:val="1"/>
    <w:unhideWhenUsed/>
    <w:qFormat/>
    <w:uiPriority w:val="39"/>
    <w:pPr>
      <w:ind w:left="200" w:leftChars="200" w:firstLine="0" w:firstLineChars="0"/>
    </w:pPr>
  </w:style>
  <w:style w:type="paragraph" w:styleId="30">
    <w:name w:val="Body Text 2"/>
    <w:basedOn w:val="1"/>
    <w:link w:val="95"/>
    <w:qFormat/>
    <w:uiPriority w:val="0"/>
    <w:pPr>
      <w:snapToGrid w:val="0"/>
    </w:pPr>
    <w:rPr>
      <w:rFonts w:ascii="Times New Roman" w:hAnsi="Times New Roman" w:eastAsia="宋体" w:cs="Times New Roman"/>
      <w:b/>
      <w:bCs/>
      <w:kern w:val="0"/>
      <w:sz w:val="18"/>
      <w:szCs w:val="24"/>
    </w:rPr>
  </w:style>
  <w:style w:type="paragraph" w:styleId="31">
    <w:name w:val="Normal (Web)"/>
    <w:basedOn w:val="1"/>
    <w:qFormat/>
    <w:uiPriority w:val="0"/>
    <w:rPr>
      <w:sz w:val="24"/>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unhideWhenUsed/>
    <w:qFormat/>
    <w:uiPriority w:val="99"/>
    <w:rPr>
      <w:sz w:val="21"/>
      <w:szCs w:val="21"/>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p0"/>
    <w:basedOn w:val="1"/>
    <w:qFormat/>
    <w:uiPriority w:val="0"/>
    <w:pPr>
      <w:widowControl/>
    </w:pPr>
    <w:rPr>
      <w:kern w:val="0"/>
    </w:rPr>
  </w:style>
  <w:style w:type="paragraph" w:customStyle="1" w:styleId="4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3">
    <w:name w:val="列出段落1"/>
    <w:basedOn w:val="1"/>
    <w:qFormat/>
    <w:uiPriority w:val="99"/>
    <w:pPr>
      <w:ind w:firstLine="420" w:firstLineChars="200"/>
    </w:pPr>
  </w:style>
  <w:style w:type="paragraph" w:customStyle="1" w:styleId="44">
    <w:name w:val="列出段落2"/>
    <w:basedOn w:val="1"/>
    <w:unhideWhenUsed/>
    <w:qFormat/>
    <w:uiPriority w:val="99"/>
    <w:pPr>
      <w:ind w:firstLine="420" w:firstLineChars="200"/>
    </w:pPr>
  </w:style>
  <w:style w:type="character" w:customStyle="1" w:styleId="45">
    <w:name w:val="批注框文本 Char"/>
    <w:basedOn w:val="32"/>
    <w:link w:val="23"/>
    <w:qFormat/>
    <w:uiPriority w:val="0"/>
    <w:rPr>
      <w:rFonts w:asciiTheme="minorHAnsi" w:hAnsiTheme="minorHAnsi" w:eastAsiaTheme="minorEastAsia" w:cstheme="minorBidi"/>
      <w:kern w:val="2"/>
      <w:sz w:val="18"/>
      <w:szCs w:val="18"/>
    </w:rPr>
  </w:style>
  <w:style w:type="character" w:customStyle="1" w:styleId="46">
    <w:name w:val="标题 1 Char"/>
    <w:basedOn w:val="32"/>
    <w:link w:val="2"/>
    <w:qFormat/>
    <w:uiPriority w:val="0"/>
    <w:rPr>
      <w:b/>
      <w:bCs/>
      <w:kern w:val="44"/>
      <w:sz w:val="44"/>
      <w:szCs w:val="44"/>
    </w:rPr>
  </w:style>
  <w:style w:type="character" w:customStyle="1" w:styleId="47">
    <w:name w:val="标题 3 Char"/>
    <w:basedOn w:val="32"/>
    <w:link w:val="4"/>
    <w:qFormat/>
    <w:uiPriority w:val="0"/>
    <w:rPr>
      <w:b/>
      <w:bCs/>
      <w:sz w:val="32"/>
      <w:szCs w:val="32"/>
    </w:rPr>
  </w:style>
  <w:style w:type="character" w:customStyle="1" w:styleId="48">
    <w:name w:val="标题 4 Char"/>
    <w:basedOn w:val="32"/>
    <w:link w:val="5"/>
    <w:qFormat/>
    <w:uiPriority w:val="0"/>
    <w:rPr>
      <w:rFonts w:eastAsia="新宋体"/>
      <w:sz w:val="30"/>
      <w:szCs w:val="21"/>
    </w:rPr>
  </w:style>
  <w:style w:type="character" w:customStyle="1" w:styleId="49">
    <w:name w:val="标题 5 Char"/>
    <w:basedOn w:val="32"/>
    <w:link w:val="6"/>
    <w:qFormat/>
    <w:uiPriority w:val="0"/>
    <w:rPr>
      <w:b/>
      <w:bCs/>
      <w:sz w:val="28"/>
      <w:szCs w:val="28"/>
    </w:rPr>
  </w:style>
  <w:style w:type="character" w:customStyle="1" w:styleId="50">
    <w:name w:val="标题 6 Char"/>
    <w:basedOn w:val="32"/>
    <w:link w:val="7"/>
    <w:qFormat/>
    <w:uiPriority w:val="0"/>
    <w:rPr>
      <w:b/>
      <w:sz w:val="44"/>
    </w:rPr>
  </w:style>
  <w:style w:type="character" w:customStyle="1" w:styleId="51">
    <w:name w:val="标题 7 Char"/>
    <w:basedOn w:val="32"/>
    <w:link w:val="9"/>
    <w:qFormat/>
    <w:uiPriority w:val="0"/>
    <w:rPr>
      <w:b/>
      <w:bCs/>
      <w:sz w:val="24"/>
      <w:szCs w:val="24"/>
    </w:rPr>
  </w:style>
  <w:style w:type="character" w:customStyle="1" w:styleId="52">
    <w:name w:val="标题 8 Char"/>
    <w:basedOn w:val="32"/>
    <w:link w:val="10"/>
    <w:qFormat/>
    <w:uiPriority w:val="0"/>
    <w:rPr>
      <w:rFonts w:ascii="Arial" w:hAnsi="Arial" w:eastAsia="黑体"/>
      <w:sz w:val="24"/>
      <w:szCs w:val="24"/>
    </w:rPr>
  </w:style>
  <w:style w:type="character" w:customStyle="1" w:styleId="53">
    <w:name w:val="标题 9 Char"/>
    <w:basedOn w:val="32"/>
    <w:link w:val="11"/>
    <w:qFormat/>
    <w:uiPriority w:val="0"/>
    <w:rPr>
      <w:rFonts w:ascii="Arial" w:hAnsi="Arial" w:eastAsia="黑体"/>
      <w:sz w:val="24"/>
      <w:szCs w:val="21"/>
    </w:rPr>
  </w:style>
  <w:style w:type="character" w:customStyle="1" w:styleId="54">
    <w:name w:val="样式 ssss + 宋体 五号1 Char"/>
    <w:link w:val="55"/>
    <w:qFormat/>
    <w:uiPriority w:val="0"/>
    <w:rPr>
      <w:rFonts w:ascii="宋体" w:hAnsi="宋体"/>
      <w:sz w:val="24"/>
      <w:szCs w:val="24"/>
    </w:rPr>
  </w:style>
  <w:style w:type="paragraph" w:customStyle="1" w:styleId="55">
    <w:name w:val="样式 ssss + 宋体 五号1"/>
    <w:basedOn w:val="56"/>
    <w:link w:val="54"/>
    <w:qFormat/>
    <w:uiPriority w:val="0"/>
    <w:rPr>
      <w:rFonts w:ascii="宋体" w:hAnsi="宋体"/>
    </w:rPr>
  </w:style>
  <w:style w:type="paragraph" w:customStyle="1" w:styleId="56">
    <w:name w:val="ssss"/>
    <w:basedOn w:val="1"/>
    <w:link w:val="85"/>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7">
    <w:name w:val="正文缩进 Char"/>
    <w:link w:val="8"/>
    <w:qFormat/>
    <w:uiPriority w:val="0"/>
  </w:style>
  <w:style w:type="character" w:customStyle="1" w:styleId="58">
    <w:name w:val="普通正文 Char"/>
    <w:link w:val="59"/>
    <w:qFormat/>
    <w:uiPriority w:val="0"/>
    <w:rPr>
      <w:rFonts w:ascii="Arial" w:hAnsi="Arial"/>
      <w:sz w:val="24"/>
      <w:szCs w:val="24"/>
    </w:rPr>
  </w:style>
  <w:style w:type="paragraph" w:customStyle="1" w:styleId="59">
    <w:name w:val="普通正文"/>
    <w:basedOn w:val="1"/>
    <w:link w:val="58"/>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60">
    <w:name w:val="批注主题 Char"/>
    <w:link w:val="12"/>
    <w:qFormat/>
    <w:uiPriority w:val="99"/>
    <w:rPr>
      <w:b/>
      <w:bCs/>
      <w:kern w:val="2"/>
      <w:sz w:val="21"/>
      <w:szCs w:val="24"/>
    </w:rPr>
  </w:style>
  <w:style w:type="character" w:customStyle="1" w:styleId="61">
    <w:name w:val="正文文本 Char"/>
    <w:link w:val="15"/>
    <w:qFormat/>
    <w:uiPriority w:val="0"/>
    <w:rPr>
      <w:rFonts w:ascii="仿宋_GB2312" w:eastAsia="仿宋_GB2312"/>
      <w:sz w:val="24"/>
    </w:rPr>
  </w:style>
  <w:style w:type="character" w:customStyle="1" w:styleId="62">
    <w:name w:val="文档结构图 Char1"/>
    <w:semiHidden/>
    <w:qFormat/>
    <w:uiPriority w:val="99"/>
    <w:rPr>
      <w:rFonts w:ascii="宋体" w:hAnsi="Times New Roman" w:eastAsia="宋体" w:cs="Times New Roman"/>
      <w:sz w:val="18"/>
      <w:szCs w:val="18"/>
    </w:rPr>
  </w:style>
  <w:style w:type="character" w:customStyle="1" w:styleId="63">
    <w:name w:val="正文首行缩进 Char"/>
    <w:link w:val="14"/>
    <w:qFormat/>
    <w:uiPriority w:val="0"/>
    <w:rPr>
      <w:sz w:val="24"/>
      <w:szCs w:val="24"/>
    </w:rPr>
  </w:style>
  <w:style w:type="character" w:customStyle="1" w:styleId="64">
    <w:name w:val="正文文本 2 Char"/>
    <w:link w:val="30"/>
    <w:qFormat/>
    <w:uiPriority w:val="0"/>
    <w:rPr>
      <w:b/>
      <w:bCs/>
      <w:sz w:val="18"/>
      <w:szCs w:val="24"/>
    </w:rPr>
  </w:style>
  <w:style w:type="character" w:customStyle="1" w:styleId="65">
    <w:name w:val="页脚 Char"/>
    <w:link w:val="24"/>
    <w:qFormat/>
    <w:uiPriority w:val="99"/>
    <w:rPr>
      <w:rFonts w:asciiTheme="minorHAnsi" w:hAnsiTheme="minorHAnsi" w:eastAsiaTheme="minorEastAsia" w:cstheme="minorBidi"/>
      <w:kern w:val="2"/>
      <w:sz w:val="18"/>
      <w:szCs w:val="22"/>
    </w:rPr>
  </w:style>
  <w:style w:type="character" w:customStyle="1" w:styleId="66">
    <w:name w:val="页眉 Char"/>
    <w:link w:val="25"/>
    <w:qFormat/>
    <w:uiPriority w:val="0"/>
    <w:rPr>
      <w:rFonts w:asciiTheme="minorHAnsi" w:hAnsiTheme="minorHAnsi" w:eastAsiaTheme="minorEastAsia" w:cstheme="minorBidi"/>
      <w:kern w:val="2"/>
      <w:sz w:val="18"/>
      <w:szCs w:val="22"/>
    </w:rPr>
  </w:style>
  <w:style w:type="character" w:customStyle="1" w:styleId="67">
    <w:name w:val="批注文字 Char"/>
    <w:link w:val="13"/>
    <w:qFormat/>
    <w:uiPriority w:val="0"/>
    <w:rPr>
      <w:kern w:val="2"/>
      <w:sz w:val="21"/>
      <w:szCs w:val="24"/>
    </w:rPr>
  </w:style>
  <w:style w:type="character" w:customStyle="1" w:styleId="68">
    <w:name w:val="正文文本缩进 2 Char"/>
    <w:link w:val="22"/>
    <w:qFormat/>
    <w:uiPriority w:val="0"/>
    <w:rPr>
      <w:rFonts w:eastAsia="仿宋_GB2312"/>
      <w:sz w:val="28"/>
    </w:rPr>
  </w:style>
  <w:style w:type="character" w:customStyle="1" w:styleId="69">
    <w:name w:val="标题 4 Char1"/>
    <w:qFormat/>
    <w:uiPriority w:val="0"/>
    <w:rPr>
      <w:rFonts w:ascii="Arial" w:hAnsi="Arial" w:eastAsia="黑体"/>
      <w:b/>
      <w:bCs/>
      <w:kern w:val="2"/>
      <w:sz w:val="28"/>
      <w:szCs w:val="28"/>
      <w:lang w:val="en-US" w:eastAsia="zh-CN" w:bidi="ar-SA"/>
    </w:rPr>
  </w:style>
  <w:style w:type="character" w:customStyle="1" w:styleId="70">
    <w:name w:val="日期 Char"/>
    <w:link w:val="21"/>
    <w:qFormat/>
    <w:uiPriority w:val="0"/>
    <w:rPr>
      <w:rFonts w:eastAsia="楷体_GB2312" w:asciiTheme="minorHAnsi" w:hAnsiTheme="minorHAnsi" w:cstheme="minorBidi"/>
      <w:kern w:val="2"/>
      <w:sz w:val="32"/>
      <w:szCs w:val="22"/>
    </w:rPr>
  </w:style>
  <w:style w:type="character" w:customStyle="1" w:styleId="71">
    <w:name w:val="正文缩进2格 Char"/>
    <w:link w:val="72"/>
    <w:qFormat/>
    <w:uiPriority w:val="0"/>
    <w:rPr>
      <w:rFonts w:ascii="仿宋_GB2312" w:hAnsi="宋体" w:eastAsia="仿宋_GB2312"/>
      <w:sz w:val="31"/>
      <w:szCs w:val="28"/>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3">
    <w:name w:val="文档结构图 Char"/>
    <w:link w:val="16"/>
    <w:qFormat/>
    <w:uiPriority w:val="0"/>
    <w:rPr>
      <w:szCs w:val="24"/>
      <w:shd w:val="clear" w:color="auto" w:fill="000080"/>
    </w:rPr>
  </w:style>
  <w:style w:type="character" w:customStyle="1" w:styleId="74">
    <w:name w:val="point_normal1"/>
    <w:qFormat/>
    <w:uiPriority w:val="0"/>
    <w:rPr>
      <w:rFonts w:hint="default" w:ascii="Arial" w:hAnsi="Arial" w:cs="Arial"/>
      <w:sz w:val="16"/>
      <w:szCs w:val="16"/>
    </w:rPr>
  </w:style>
  <w:style w:type="character" w:customStyle="1" w:styleId="75">
    <w:name w:val="批注框文本 Char1"/>
    <w:semiHidden/>
    <w:qFormat/>
    <w:uiPriority w:val="99"/>
    <w:rPr>
      <w:rFonts w:ascii="Times New Roman" w:hAnsi="Times New Roman" w:eastAsia="宋体" w:cs="Times New Roman"/>
      <w:sz w:val="18"/>
      <w:szCs w:val="18"/>
    </w:rPr>
  </w:style>
  <w:style w:type="character" w:customStyle="1" w:styleId="76">
    <w:name w:val="正文文本缩进 Char"/>
    <w:link w:val="18"/>
    <w:qFormat/>
    <w:uiPriority w:val="0"/>
    <w:rPr>
      <w:rFonts w:ascii="楷体_GB2312" w:hAnsiTheme="minorHAnsi" w:eastAsiaTheme="minorEastAsia" w:cstheme="minorBidi"/>
      <w:kern w:val="2"/>
      <w:sz w:val="21"/>
      <w:szCs w:val="22"/>
    </w:rPr>
  </w:style>
  <w:style w:type="character" w:customStyle="1" w:styleId="77">
    <w:name w:val="cn_text1"/>
    <w:qFormat/>
    <w:uiPriority w:val="0"/>
    <w:rPr>
      <w:rFonts w:hint="default" w:ascii="ˎ̥" w:hAnsi="ˎ̥"/>
      <w:color w:val="003399"/>
      <w:spacing w:val="15"/>
      <w:sz w:val="18"/>
      <w:szCs w:val="18"/>
    </w:rPr>
  </w:style>
  <w:style w:type="character" w:customStyle="1" w:styleId="78">
    <w:name w:val="纯文本 Char"/>
    <w:link w:val="20"/>
    <w:qFormat/>
    <w:uiPriority w:val="0"/>
    <w:rPr>
      <w:rFonts w:ascii="宋体" w:hAnsi="Courier New" w:cs="Courier New"/>
      <w:szCs w:val="21"/>
    </w:rPr>
  </w:style>
  <w:style w:type="character" w:customStyle="1" w:styleId="79">
    <w:name w:val="正文文本缩进 3 Char"/>
    <w:link w:val="28"/>
    <w:qFormat/>
    <w:uiPriority w:val="0"/>
    <w:rPr>
      <w:sz w:val="16"/>
      <w:szCs w:val="16"/>
    </w:rPr>
  </w:style>
  <w:style w:type="character" w:customStyle="1" w:styleId="80">
    <w:name w:val="标题 2 Char"/>
    <w:link w:val="3"/>
    <w:qFormat/>
    <w:uiPriority w:val="0"/>
    <w:rPr>
      <w:rFonts w:ascii="Arial" w:hAnsi="Arial" w:eastAsia="黑体" w:cstheme="minorBidi"/>
      <w:b/>
      <w:bCs/>
      <w:kern w:val="2"/>
      <w:sz w:val="32"/>
      <w:szCs w:val="32"/>
    </w:rPr>
  </w:style>
  <w:style w:type="character" w:customStyle="1" w:styleId="81">
    <w:name w:val="ssss Char"/>
    <w:qFormat/>
    <w:uiPriority w:val="0"/>
    <w:rPr>
      <w:rFonts w:eastAsia="宋体"/>
      <w:kern w:val="2"/>
      <w:sz w:val="24"/>
      <w:szCs w:val="24"/>
      <w:lang w:val="en-US" w:eastAsia="zh-CN" w:bidi="ar-SA"/>
    </w:rPr>
  </w:style>
  <w:style w:type="character" w:customStyle="1" w:styleId="82">
    <w:name w:val="FA正文 Char"/>
    <w:link w:val="83"/>
    <w:qFormat/>
    <w:uiPriority w:val="0"/>
    <w:rPr>
      <w:rFonts w:ascii="宋体" w:hAnsi="宋体"/>
      <w:sz w:val="28"/>
      <w:szCs w:val="28"/>
    </w:rPr>
  </w:style>
  <w:style w:type="paragraph" w:customStyle="1" w:styleId="83">
    <w:name w:val="FA正文"/>
    <w:basedOn w:val="1"/>
    <w:link w:val="82"/>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4">
    <w:name w:val="正文文本 3 Char"/>
    <w:link w:val="17"/>
    <w:qFormat/>
    <w:uiPriority w:val="0"/>
    <w:rPr>
      <w:sz w:val="16"/>
      <w:szCs w:val="16"/>
    </w:rPr>
  </w:style>
  <w:style w:type="character" w:customStyle="1" w:styleId="85">
    <w:name w:val="ssss Char1"/>
    <w:link w:val="56"/>
    <w:qFormat/>
    <w:uiPriority w:val="0"/>
    <w:rPr>
      <w:sz w:val="24"/>
      <w:szCs w:val="24"/>
    </w:rPr>
  </w:style>
  <w:style w:type="character" w:customStyle="1" w:styleId="86">
    <w:name w:val="批注文字 Char1"/>
    <w:basedOn w:val="32"/>
    <w:link w:val="13"/>
    <w:qFormat/>
    <w:uiPriority w:val="0"/>
    <w:rPr>
      <w:rFonts w:asciiTheme="minorHAnsi" w:hAnsiTheme="minorHAnsi" w:eastAsiaTheme="minorEastAsia" w:cstheme="minorBidi"/>
      <w:kern w:val="2"/>
      <w:sz w:val="21"/>
      <w:szCs w:val="22"/>
    </w:rPr>
  </w:style>
  <w:style w:type="character" w:customStyle="1" w:styleId="87">
    <w:name w:val="正文文本 3 Char1"/>
    <w:basedOn w:val="32"/>
    <w:link w:val="17"/>
    <w:qFormat/>
    <w:uiPriority w:val="0"/>
    <w:rPr>
      <w:rFonts w:asciiTheme="minorHAnsi" w:hAnsiTheme="minorHAnsi" w:eastAsiaTheme="minorEastAsia" w:cstheme="minorBidi"/>
      <w:kern w:val="2"/>
      <w:sz w:val="16"/>
      <w:szCs w:val="16"/>
    </w:rPr>
  </w:style>
  <w:style w:type="character" w:customStyle="1" w:styleId="88">
    <w:name w:val="正文文本缩进 2 Char1"/>
    <w:basedOn w:val="32"/>
    <w:link w:val="22"/>
    <w:qFormat/>
    <w:uiPriority w:val="0"/>
    <w:rPr>
      <w:rFonts w:asciiTheme="minorHAnsi" w:hAnsiTheme="minorHAnsi" w:eastAsiaTheme="minorEastAsia" w:cstheme="minorBidi"/>
      <w:kern w:val="2"/>
      <w:sz w:val="21"/>
      <w:szCs w:val="22"/>
    </w:rPr>
  </w:style>
  <w:style w:type="character" w:customStyle="1" w:styleId="89">
    <w:name w:val="批注主题 Char1"/>
    <w:basedOn w:val="86"/>
    <w:link w:val="12"/>
    <w:qFormat/>
    <w:uiPriority w:val="0"/>
    <w:rPr>
      <w:b/>
      <w:bCs/>
    </w:rPr>
  </w:style>
  <w:style w:type="character" w:customStyle="1" w:styleId="90">
    <w:name w:val="文档结构图 Char2"/>
    <w:basedOn w:val="32"/>
    <w:link w:val="16"/>
    <w:qFormat/>
    <w:uiPriority w:val="0"/>
    <w:rPr>
      <w:rFonts w:ascii="宋体" w:hAnsiTheme="minorHAnsi" w:cstheme="minorBidi"/>
      <w:kern w:val="2"/>
      <w:sz w:val="18"/>
      <w:szCs w:val="18"/>
    </w:rPr>
  </w:style>
  <w:style w:type="character" w:customStyle="1" w:styleId="91">
    <w:name w:val="正文文本 Char1"/>
    <w:basedOn w:val="32"/>
    <w:link w:val="15"/>
    <w:qFormat/>
    <w:uiPriority w:val="0"/>
    <w:rPr>
      <w:rFonts w:asciiTheme="minorHAnsi" w:hAnsiTheme="minorHAnsi" w:eastAsiaTheme="minorEastAsia" w:cstheme="minorBidi"/>
      <w:kern w:val="2"/>
      <w:sz w:val="21"/>
      <w:szCs w:val="22"/>
    </w:rPr>
  </w:style>
  <w:style w:type="character" w:customStyle="1" w:styleId="92">
    <w:name w:val="正文首行缩进 Char1"/>
    <w:basedOn w:val="91"/>
    <w:link w:val="14"/>
    <w:qFormat/>
    <w:uiPriority w:val="0"/>
  </w:style>
  <w:style w:type="character" w:customStyle="1" w:styleId="93">
    <w:name w:val="正文文本缩进 3 Char1"/>
    <w:basedOn w:val="32"/>
    <w:link w:val="28"/>
    <w:qFormat/>
    <w:uiPriority w:val="0"/>
    <w:rPr>
      <w:rFonts w:asciiTheme="minorHAnsi" w:hAnsiTheme="minorHAnsi" w:eastAsiaTheme="minorEastAsia" w:cstheme="minorBidi"/>
      <w:kern w:val="2"/>
      <w:sz w:val="16"/>
      <w:szCs w:val="16"/>
    </w:rPr>
  </w:style>
  <w:style w:type="character" w:customStyle="1" w:styleId="94">
    <w:name w:val="纯文本 Char1"/>
    <w:basedOn w:val="32"/>
    <w:link w:val="20"/>
    <w:qFormat/>
    <w:uiPriority w:val="0"/>
    <w:rPr>
      <w:rFonts w:ascii="宋体" w:hAnsi="Courier New" w:cs="Courier New"/>
      <w:kern w:val="2"/>
      <w:sz w:val="21"/>
      <w:szCs w:val="21"/>
    </w:rPr>
  </w:style>
  <w:style w:type="character" w:customStyle="1" w:styleId="95">
    <w:name w:val="正文文本 2 Char1"/>
    <w:basedOn w:val="32"/>
    <w:link w:val="30"/>
    <w:qFormat/>
    <w:uiPriority w:val="0"/>
    <w:rPr>
      <w:rFonts w:asciiTheme="minorHAnsi" w:hAnsiTheme="minorHAnsi" w:eastAsiaTheme="minorEastAsia" w:cstheme="minorBidi"/>
      <w:kern w:val="2"/>
      <w:sz w:val="21"/>
      <w:szCs w:val="22"/>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7">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9">
    <w:name w:val="Char"/>
    <w:basedOn w:val="1"/>
    <w:qFormat/>
    <w:uiPriority w:val="0"/>
    <w:rPr>
      <w:rFonts w:ascii="Tahoma" w:hAnsi="Tahoma" w:eastAsia="宋体" w:cs="Times New Roman"/>
      <w:sz w:val="24"/>
      <w:szCs w:val="20"/>
    </w:rPr>
  </w:style>
  <w:style w:type="paragraph" w:customStyle="1" w:styleId="100">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1">
    <w:name w:val="Char Char Char Char"/>
    <w:basedOn w:val="1"/>
    <w:qFormat/>
    <w:uiPriority w:val="0"/>
    <w:rPr>
      <w:rFonts w:ascii="Tahoma" w:hAnsi="Tahoma" w:eastAsia="宋体" w:cs="Times New Roman"/>
      <w:sz w:val="24"/>
      <w:szCs w:val="20"/>
    </w:rPr>
  </w:style>
  <w:style w:type="paragraph" w:customStyle="1" w:styleId="102">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3">
    <w:name w:val="样式 正文文本缩进 3 + 四号"/>
    <w:basedOn w:val="28"/>
    <w:qFormat/>
    <w:uiPriority w:val="0"/>
    <w:pPr>
      <w:spacing w:after="0" w:line="360" w:lineRule="auto"/>
      <w:ind w:left="0" w:leftChars="0" w:firstLine="437"/>
    </w:pPr>
    <w:rPr>
      <w:sz w:val="24"/>
      <w:szCs w:val="21"/>
    </w:rPr>
  </w:style>
  <w:style w:type="paragraph" w:customStyle="1" w:styleId="104">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5">
    <w:name w:val="样式 ssss + 宋体 五号"/>
    <w:basedOn w:val="56"/>
    <w:qFormat/>
    <w:uiPriority w:val="0"/>
    <w:pPr>
      <w:ind w:firstLine="420"/>
    </w:pPr>
    <w:rPr>
      <w:rFonts w:ascii="宋体" w:hAnsi="宋体" w:cs="宋体"/>
      <w:szCs w:val="20"/>
    </w:rPr>
  </w:style>
  <w:style w:type="paragraph" w:customStyle="1" w:styleId="106">
    <w:name w:val="表格"/>
    <w:basedOn w:val="1"/>
    <w:qFormat/>
    <w:uiPriority w:val="0"/>
    <w:rPr>
      <w:rFonts w:ascii="Arial" w:hAnsi="Arial" w:eastAsia="宋体" w:cs="Times New Roman"/>
      <w:sz w:val="24"/>
      <w:szCs w:val="24"/>
    </w:rPr>
  </w:style>
  <w:style w:type="paragraph" w:customStyle="1" w:styleId="107">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8">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9">
    <w:name w:val="样式 样式 ssss + 宋体 五号 + 首行缩进:  2 字符"/>
    <w:basedOn w:val="105"/>
    <w:qFormat/>
    <w:uiPriority w:val="0"/>
    <w:pPr>
      <w:ind w:firstLine="480"/>
    </w:pPr>
  </w:style>
  <w:style w:type="paragraph" w:customStyle="1" w:styleId="110">
    <w:name w:val="标题-----3"/>
    <w:basedOn w:val="4"/>
    <w:qFormat/>
    <w:uiPriority w:val="0"/>
    <w:pPr>
      <w:spacing w:before="0" w:after="0" w:line="240" w:lineRule="auto"/>
      <w:outlineLvl w:val="0"/>
    </w:pPr>
    <w:rPr>
      <w:rFonts w:ascii="宋体" w:hAnsi="宋体"/>
      <w:b w:val="0"/>
      <w:bCs w:val="0"/>
      <w:sz w:val="28"/>
      <w:szCs w:val="28"/>
    </w:rPr>
  </w:style>
  <w:style w:type="paragraph" w:customStyle="1" w:styleId="111">
    <w:name w:val="Char Char Char Char Char Char Char Char Char Char"/>
    <w:basedOn w:val="1"/>
    <w:qFormat/>
    <w:uiPriority w:val="0"/>
    <w:rPr>
      <w:rFonts w:ascii="Tahoma" w:hAnsi="Tahoma" w:eastAsia="宋体" w:cs="Times New Roman"/>
      <w:sz w:val="24"/>
      <w:szCs w:val="20"/>
    </w:rPr>
  </w:style>
  <w:style w:type="paragraph" w:customStyle="1" w:styleId="112">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4">
    <w:name w:val="Char Char Char Char1"/>
    <w:basedOn w:val="1"/>
    <w:qFormat/>
    <w:uiPriority w:val="0"/>
    <w:rPr>
      <w:rFonts w:ascii="Tahoma" w:hAnsi="Tahoma" w:eastAsia="宋体" w:cs="Times New Roman"/>
      <w:sz w:val="24"/>
      <w:szCs w:val="20"/>
    </w:rPr>
  </w:style>
  <w:style w:type="paragraph" w:customStyle="1" w:styleId="115">
    <w:name w:val="Char Char Char"/>
    <w:basedOn w:val="1"/>
    <w:qFormat/>
    <w:uiPriority w:val="0"/>
    <w:rPr>
      <w:rFonts w:ascii="Tahoma" w:hAnsi="Tahoma" w:eastAsia="宋体" w:cs="Times New Roman"/>
      <w:sz w:val="24"/>
      <w:szCs w:val="20"/>
    </w:rPr>
  </w:style>
  <w:style w:type="paragraph" w:customStyle="1" w:styleId="116">
    <w:name w:val="Char1"/>
    <w:basedOn w:val="1"/>
    <w:qFormat/>
    <w:uiPriority w:val="0"/>
    <w:pPr>
      <w:tabs>
        <w:tab w:val="left" w:pos="360"/>
      </w:tabs>
    </w:pPr>
    <w:rPr>
      <w:rFonts w:ascii="Times New Roman" w:hAnsi="Times New Roman" w:eastAsia="宋体" w:cs="Times New Roman"/>
      <w:sz w:val="24"/>
      <w:szCs w:val="24"/>
    </w:rPr>
  </w:style>
  <w:style w:type="paragraph" w:customStyle="1" w:styleId="117">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9">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20">
    <w:name w:val="样式 ssss + 居中"/>
    <w:basedOn w:val="56"/>
    <w:qFormat/>
    <w:uiPriority w:val="0"/>
    <w:pPr>
      <w:jc w:val="center"/>
    </w:pPr>
    <w:rPr>
      <w:rFonts w:cs="宋体"/>
      <w:szCs w:val="20"/>
    </w:rPr>
  </w:style>
  <w:style w:type="paragraph" w:customStyle="1" w:styleId="121">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2">
    <w:name w:val="Heading 2 Char"/>
    <w:basedOn w:val="32"/>
    <w:qFormat/>
    <w:locked/>
    <w:uiPriority w:val="99"/>
    <w:rPr>
      <w:rFonts w:ascii="Arial" w:hAnsi="Arial" w:eastAsia="黑体" w:cs="Times New Roman"/>
      <w:b/>
      <w:bCs/>
      <w:sz w:val="32"/>
      <w:szCs w:val="32"/>
    </w:rPr>
  </w:style>
  <w:style w:type="paragraph" w:customStyle="1" w:styleId="123">
    <w:name w:val="列出段落3"/>
    <w:basedOn w:val="1"/>
    <w:unhideWhenUsed/>
    <w:qFormat/>
    <w:uiPriority w:val="99"/>
    <w:pPr>
      <w:ind w:firstLine="420" w:firstLineChars="200"/>
    </w:pPr>
  </w:style>
  <w:style w:type="paragraph" w:customStyle="1" w:styleId="12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6">
    <w:name w:val="列出段落4"/>
    <w:basedOn w:val="1"/>
    <w:unhideWhenUsed/>
    <w:qFormat/>
    <w:uiPriority w:val="99"/>
    <w:pPr>
      <w:ind w:firstLine="420" w:firstLineChars="200"/>
    </w:pPr>
  </w:style>
  <w:style w:type="paragraph" w:customStyle="1" w:styleId="12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8">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9">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30">
    <w:name w:val="font01"/>
    <w:basedOn w:val="32"/>
    <w:qFormat/>
    <w:uiPriority w:val="0"/>
    <w:rPr>
      <w:rFonts w:hint="eastAsia" w:ascii="仿宋_GB2312" w:hAnsi="Calibri" w:eastAsia="仿宋_GB2312" w:cs="仿宋_GB2312"/>
      <w:color w:val="FF0000"/>
      <w:sz w:val="24"/>
      <w:szCs w:val="24"/>
      <w:u w:val="none"/>
    </w:rPr>
  </w:style>
  <w:style w:type="paragraph" w:customStyle="1" w:styleId="131">
    <w:name w:val="_Style 2"/>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styleId="132">
    <w:name w:val="No Spacing"/>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33">
    <w:name w:val="无间隔2"/>
    <w:qFormat/>
    <w:uiPriority w:val="1"/>
    <w:pPr>
      <w:widowControl w:val="0"/>
      <w:spacing w:beforeLines="50" w:afterLines="50"/>
      <w:ind w:firstLine="200" w:firstLineChars="200"/>
      <w:jc w:val="both"/>
    </w:pPr>
    <w:rPr>
      <w:rFonts w:ascii="Calibri" w:hAnsi="Calibri" w:eastAsia="宋体" w:cs="Times New Roman"/>
      <w:kern w:val="2"/>
      <w:sz w:val="24"/>
      <w:szCs w:val="21"/>
      <w:lang w:val="en-US" w:eastAsia="zh-CN" w:bidi="ar-SA"/>
    </w:rPr>
  </w:style>
  <w:style w:type="paragraph" w:customStyle="1" w:styleId="134">
    <w:name w:val="样式 行距: 1.5 倍行距"/>
    <w:basedOn w:val="1"/>
    <w:qFormat/>
    <w:uiPriority w:val="0"/>
    <w:pPr>
      <w:widowControl/>
      <w:ind w:firstLine="420"/>
      <w:jc w:val="left"/>
    </w:pPr>
    <w:rPr>
      <w:rFonts w:ascii="宋体" w:hAnsi="宋体" w:eastAsia="宋体" w:cs="宋体"/>
      <w:kern w:val="0"/>
      <w:szCs w:val="24"/>
    </w:rPr>
  </w:style>
  <w:style w:type="paragraph" w:customStyle="1" w:styleId="135">
    <w:name w:val="TOC 标题2"/>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136">
    <w:name w:val="Mr.Moon1"/>
    <w:basedOn w:val="2"/>
    <w:qFormat/>
    <w:uiPriority w:val="0"/>
    <w:pPr>
      <w:pageBreakBefore/>
      <w:numPr>
        <w:ilvl w:val="0"/>
        <w:numId w:val="2"/>
      </w:numPr>
      <w:adjustRightInd w:val="0"/>
      <w:spacing w:before="0" w:after="0" w:line="360" w:lineRule="auto"/>
      <w:ind w:firstLineChars="0"/>
      <w:jc w:val="left"/>
    </w:pPr>
    <w:rPr>
      <w:rFonts w:ascii="Times New Roman" w:hAnsi="Times New Roman" w:eastAsia="黑体"/>
      <w:sz w:val="32"/>
    </w:rPr>
  </w:style>
  <w:style w:type="paragraph" w:customStyle="1" w:styleId="137">
    <w:name w:val="Mr.Moon2"/>
    <w:basedOn w:val="3"/>
    <w:qFormat/>
    <w:uiPriority w:val="0"/>
    <w:pPr>
      <w:numPr>
        <w:ilvl w:val="1"/>
        <w:numId w:val="3"/>
      </w:numPr>
      <w:spacing w:beforeLines="25" w:afterLines="25" w:line="360" w:lineRule="auto"/>
      <w:ind w:firstLineChars="0"/>
    </w:pPr>
    <w:rPr>
      <w:rFonts w:ascii="黑体" w:hAnsi="黑体" w:eastAsia="黑体"/>
      <w:szCs w:val="24"/>
    </w:rPr>
  </w:style>
  <w:style w:type="paragraph" w:customStyle="1" w:styleId="138">
    <w:name w:val="！正文"/>
    <w:basedOn w:val="1"/>
    <w:qFormat/>
    <w:uiPriority w:val="0"/>
    <w:rPr>
      <w:rFonts w:ascii="Calibri" w:hAnsi="Calibri" w:eastAsia="宋体"/>
      <w:szCs w:val="21"/>
    </w:rPr>
  </w:style>
  <w:style w:type="paragraph" w:customStyle="1" w:styleId="139">
    <w:name w:val="Mr.Moon正文"/>
    <w:basedOn w:val="1"/>
    <w:qFormat/>
    <w:uiPriority w:val="0"/>
    <w:pPr>
      <w:snapToGrid w:val="0"/>
    </w:pPr>
    <w:rPr>
      <w:rFonts w:ascii="Time new roman" w:hAnsi="Time new roman"/>
      <w:szCs w:val="24"/>
    </w:rPr>
  </w:style>
  <w:style w:type="paragraph" w:customStyle="1" w:styleId="140">
    <w:name w:val="Mr.Moon3"/>
    <w:basedOn w:val="4"/>
    <w:qFormat/>
    <w:uiPriority w:val="0"/>
    <w:pPr>
      <w:numPr>
        <w:ilvl w:val="2"/>
        <w:numId w:val="2"/>
      </w:numPr>
      <w:spacing w:before="0" w:after="0" w:line="360" w:lineRule="auto"/>
      <w:ind w:left="240" w:leftChars="100" w:right="240" w:rightChars="100" w:firstLineChars="0"/>
    </w:pPr>
    <w:rPr>
      <w:rFonts w:ascii="黑体" w:hAnsi="黑体" w:eastAsia="黑体"/>
      <w:sz w:val="30"/>
      <w:shd w:val="clear" w:color="auto" w:fill="FFFFFF"/>
    </w:rPr>
  </w:style>
  <w:style w:type="character" w:customStyle="1" w:styleId="141">
    <w:name w:val="font71"/>
    <w:basedOn w:val="32"/>
    <w:qFormat/>
    <w:uiPriority w:val="0"/>
    <w:rPr>
      <w:rFonts w:hint="eastAsia" w:ascii="宋体" w:hAnsi="宋体" w:eastAsia="宋体" w:cs="宋体"/>
      <w:b/>
      <w:color w:val="000000"/>
      <w:sz w:val="24"/>
      <w:szCs w:val="24"/>
      <w:u w:val="none"/>
    </w:rPr>
  </w:style>
  <w:style w:type="character" w:customStyle="1" w:styleId="142">
    <w:name w:val="font91"/>
    <w:basedOn w:val="32"/>
    <w:qFormat/>
    <w:uiPriority w:val="0"/>
    <w:rPr>
      <w:rFonts w:hint="eastAsia" w:ascii="宋体" w:hAnsi="宋体" w:eastAsia="宋体" w:cs="宋体"/>
      <w:b/>
      <w:color w:val="000000"/>
      <w:sz w:val="24"/>
      <w:szCs w:val="24"/>
      <w:u w:val="none"/>
      <w:vertAlign w:val="superscript"/>
    </w:rPr>
  </w:style>
  <w:style w:type="character" w:customStyle="1" w:styleId="143">
    <w:name w:val="font11"/>
    <w:basedOn w:val="32"/>
    <w:qFormat/>
    <w:uiPriority w:val="0"/>
    <w:rPr>
      <w:rFonts w:hint="eastAsia" w:ascii="宋体" w:hAnsi="宋体" w:eastAsia="宋体" w:cs="宋体"/>
      <w:color w:val="000000"/>
      <w:sz w:val="24"/>
      <w:szCs w:val="24"/>
      <w:u w:val="none"/>
    </w:rPr>
  </w:style>
  <w:style w:type="character" w:customStyle="1" w:styleId="144">
    <w:name w:val="font31"/>
    <w:basedOn w:val="32"/>
    <w:qFormat/>
    <w:uiPriority w:val="0"/>
    <w:rPr>
      <w:rFonts w:hint="eastAsia" w:ascii="宋体" w:hAnsi="宋体" w:eastAsia="宋体" w:cs="宋体"/>
      <w:color w:val="000000"/>
      <w:sz w:val="24"/>
      <w:szCs w:val="24"/>
      <w:u w:val="none"/>
      <w:vertAlign w:val="subscript"/>
    </w:rPr>
  </w:style>
  <w:style w:type="character" w:customStyle="1" w:styleId="145">
    <w:name w:val="font51"/>
    <w:basedOn w:val="32"/>
    <w:qFormat/>
    <w:uiPriority w:val="0"/>
    <w:rPr>
      <w:rFonts w:hint="eastAsia" w:ascii="宋体" w:hAnsi="宋体" w:eastAsia="宋体" w:cs="宋体"/>
      <w:b/>
      <w:color w:val="000000"/>
      <w:sz w:val="21"/>
      <w:szCs w:val="21"/>
      <w:u w:val="none"/>
    </w:rPr>
  </w:style>
  <w:style w:type="character" w:customStyle="1" w:styleId="146">
    <w:name w:val="font4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83BF3-6452-4742-B7C0-312344B6246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6114</Words>
  <Characters>34853</Characters>
  <Lines>290</Lines>
  <Paragraphs>81</Paragraphs>
  <TotalTime>34</TotalTime>
  <ScaleCrop>false</ScaleCrop>
  <LinksUpToDate>false</LinksUpToDate>
  <CharactersWithSpaces>40886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dell</cp:lastModifiedBy>
  <cp:lastPrinted>2018-06-20T07:01:00Z</cp:lastPrinted>
  <dcterms:modified xsi:type="dcterms:W3CDTF">2018-07-04T03:00:32Z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