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jc w:val="center"/>
        <w:rPr>
          <w:rFonts w:hint="eastAsia" w:ascii="黑体" w:hAnsi="黑体" w:eastAsia="黑体"/>
          <w:b/>
          <w:bCs/>
          <w:spacing w:val="-20"/>
          <w:sz w:val="44"/>
          <w:szCs w:val="44"/>
          <w:lang w:val="en-US" w:eastAsia="zh-CN"/>
        </w:rPr>
      </w:pPr>
      <w:r>
        <w:rPr>
          <w:rFonts w:hint="eastAsia" w:ascii="黑体" w:hAnsi="黑体" w:eastAsia="黑体"/>
          <w:b/>
          <w:bCs/>
          <w:spacing w:val="-20"/>
          <w:sz w:val="44"/>
          <w:szCs w:val="44"/>
          <w:lang w:val="en-US" w:eastAsia="zh-CN"/>
        </w:rPr>
        <w:t>禹州市人民政府电子政务办公室</w:t>
      </w:r>
    </w:p>
    <w:p>
      <w:pPr>
        <w:jc w:val="center"/>
        <w:rPr>
          <w:rFonts w:ascii="黑体" w:hAnsi="黑体" w:eastAsia="黑体"/>
          <w:b/>
          <w:bCs/>
          <w:spacing w:val="-20"/>
          <w:sz w:val="44"/>
          <w:szCs w:val="44"/>
        </w:rPr>
      </w:pPr>
      <w:r>
        <w:rPr>
          <w:rFonts w:hint="eastAsia" w:ascii="黑体" w:hAnsi="黑体" w:eastAsia="黑体"/>
          <w:b/>
          <w:bCs/>
          <w:spacing w:val="-20"/>
          <w:sz w:val="44"/>
          <w:szCs w:val="44"/>
          <w:lang w:val="en-US" w:eastAsia="zh-CN"/>
        </w:rPr>
        <w:t>电子政务外网互联网出口线路及安全设备项目</w:t>
      </w:r>
    </w:p>
    <w:p>
      <w:pPr>
        <w:jc w:val="center"/>
        <w:rPr>
          <w:rFonts w:ascii="黑体" w:hAnsi="黑体" w:eastAsia="黑体"/>
          <w:b/>
          <w:bCs/>
          <w:spacing w:val="-20"/>
          <w:sz w:val="44"/>
          <w:szCs w:val="44"/>
        </w:rPr>
      </w:pPr>
    </w:p>
    <w:p>
      <w:pPr>
        <w:ind w:firstLine="3417" w:firstLineChars="450"/>
        <w:rPr>
          <w:rFonts w:hint="eastAsia" w:ascii="仿宋" w:hAnsi="仿宋" w:eastAsia="仿宋"/>
          <w:b/>
          <w:w w:val="90"/>
          <w:sz w:val="84"/>
        </w:rPr>
      </w:pPr>
    </w:p>
    <w:p>
      <w:pPr>
        <w:ind w:firstLine="3417" w:firstLineChars="450"/>
        <w:rPr>
          <w:rFonts w:hint="eastAsia" w:ascii="仿宋" w:hAnsi="仿宋" w:eastAsia="仿宋"/>
          <w:b/>
          <w:w w:val="90"/>
          <w:sz w:val="8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41"/>
        <w:keepNext w:val="0"/>
        <w:keepLines w:val="0"/>
        <w:pageBreakBefore w:val="0"/>
        <w:numPr>
          <w:ilvl w:val="0"/>
          <w:numId w:val="0"/>
        </w:numPr>
        <w:kinsoku/>
        <w:overflowPunct/>
        <w:bidi w:val="0"/>
        <w:spacing w:line="520" w:lineRule="exact"/>
        <w:ind w:right="0" w:rightChars="0" w:firstLine="320" w:firstLineChars="100"/>
        <w:textAlignment w:val="auto"/>
        <w:outlineLvl w:val="9"/>
        <w:rPr>
          <w:rFonts w:hint="eastAsia" w:ascii="仿宋" w:hAnsi="仿宋" w:eastAsia="仿宋"/>
          <w:sz w:val="32"/>
          <w:lang w:val="en-US" w:eastAsia="zh-CN"/>
        </w:rPr>
      </w:pPr>
      <w:r>
        <w:rPr>
          <w:rFonts w:hint="eastAsia" w:ascii="仿宋" w:hAnsi="仿宋" w:eastAsia="仿宋"/>
          <w:sz w:val="32"/>
        </w:rPr>
        <w:t>采购单位：</w:t>
      </w:r>
      <w:r>
        <w:rPr>
          <w:rFonts w:hint="eastAsia" w:ascii="仿宋" w:hAnsi="仿宋" w:eastAsia="仿宋" w:cs="仿宋"/>
          <w:sz w:val="32"/>
          <w:szCs w:val="32"/>
        </w:rPr>
        <w:t>禹州</w:t>
      </w:r>
      <w:r>
        <w:rPr>
          <w:rFonts w:hint="eastAsia" w:ascii="仿宋" w:hAnsi="仿宋" w:eastAsia="仿宋" w:cs="仿宋"/>
          <w:sz w:val="32"/>
          <w:szCs w:val="32"/>
          <w:lang w:eastAsia="zh-CN"/>
        </w:rPr>
        <w:t>市人民政府办公室</w:t>
      </w:r>
    </w:p>
    <w:p>
      <w:pPr>
        <w:autoSpaceDE w:val="0"/>
        <w:autoSpaceDN w:val="0"/>
        <w:spacing w:line="360" w:lineRule="auto"/>
        <w:ind w:left="319" w:leftChars="152" w:right="-20" w:firstLine="0" w:firstLineChars="0"/>
        <w:outlineLvl w:val="0"/>
        <w:rPr>
          <w:rFonts w:hint="eastAsia" w:ascii="仿宋" w:hAnsi="仿宋" w:eastAsia="仿宋"/>
          <w:sz w:val="32"/>
        </w:rPr>
      </w:pPr>
      <w:r>
        <w:rPr>
          <w:rFonts w:hint="eastAsia" w:ascii="仿宋" w:hAnsi="仿宋" w:eastAsia="仿宋"/>
          <w:sz w:val="32"/>
        </w:rPr>
        <w:t>项目名称：禹州市人民政府电子政务办公室电子政务外网互联网出口线路及安全设备项目</w:t>
      </w:r>
    </w:p>
    <w:p>
      <w:pPr>
        <w:autoSpaceDE w:val="0"/>
        <w:autoSpaceDN w:val="0"/>
        <w:spacing w:line="360" w:lineRule="auto"/>
        <w:ind w:left="319" w:leftChars="152" w:right="-20" w:firstLine="0" w:firstLineChars="0"/>
        <w:outlineLvl w:val="0"/>
        <w:rPr>
          <w:rFonts w:ascii="仿宋" w:hAnsi="仿宋" w:eastAsia="仿宋"/>
          <w:sz w:val="32"/>
          <w:lang w:val="en-US"/>
        </w:rPr>
      </w:pPr>
      <w:r>
        <w:rPr>
          <w:rFonts w:hint="eastAsia" w:ascii="仿宋" w:hAnsi="仿宋" w:eastAsia="仿宋"/>
          <w:sz w:val="32"/>
          <w:lang w:eastAsia="zh-CN"/>
        </w:rPr>
        <w:t>采购编号：</w:t>
      </w:r>
      <w:r>
        <w:rPr>
          <w:rFonts w:hint="eastAsia" w:ascii="仿宋" w:hAnsi="仿宋" w:eastAsia="仿宋"/>
          <w:sz w:val="32"/>
        </w:rPr>
        <w:t>YZCG—</w:t>
      </w:r>
      <w:r>
        <w:rPr>
          <w:rFonts w:hint="eastAsia" w:ascii="仿宋" w:hAnsi="仿宋" w:eastAsia="仿宋"/>
          <w:sz w:val="32"/>
          <w:lang w:val="en-US" w:eastAsia="zh-CN"/>
        </w:rPr>
        <w:t>G</w:t>
      </w:r>
      <w:r>
        <w:rPr>
          <w:rFonts w:hint="eastAsia" w:ascii="仿宋" w:hAnsi="仿宋" w:eastAsia="仿宋"/>
          <w:sz w:val="32"/>
        </w:rPr>
        <w:t>201</w:t>
      </w:r>
      <w:r>
        <w:rPr>
          <w:rFonts w:hint="eastAsia" w:ascii="仿宋" w:hAnsi="仿宋" w:eastAsia="仿宋"/>
          <w:sz w:val="32"/>
          <w:lang w:val="en-US" w:eastAsia="zh-CN"/>
        </w:rPr>
        <w:t>8157</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六</w:t>
      </w:r>
      <w:r>
        <w:rPr>
          <w:rFonts w:hint="eastAsia" w:ascii="仿宋" w:hAnsi="仿宋" w:eastAsia="仿宋"/>
          <w:bCs/>
          <w:sz w:val="32"/>
        </w:rPr>
        <w:t>月</w:t>
      </w:r>
    </w:p>
    <w:p>
      <w:pPr>
        <w:rPr>
          <w:rFonts w:ascii="仿宋" w:hAnsi="仿宋" w:eastAsia="仿宋"/>
          <w:bCs/>
          <w:sz w:val="32"/>
        </w:rPr>
        <w:sectPr>
          <w:footerReference r:id="rId6" w:type="first"/>
          <w:headerReference r:id="rId3" w:type="default"/>
          <w:footerReference r:id="rId4" w:type="default"/>
          <w:footerReference r:id="rId5"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合同书（参考样本）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仿宋" w:hAnsi="仿宋" w:eastAsia="仿宋"/>
          <w:b/>
          <w:sz w:val="44"/>
          <w:szCs w:val="44"/>
        </w:rPr>
      </w:pPr>
      <w:r>
        <w:rPr>
          <w:rFonts w:hint="eastAsia" w:ascii="黑体" w:hAnsi="黑体" w:eastAsia="黑体" w:cs="黑体"/>
          <w:b/>
          <w:sz w:val="44"/>
          <w:szCs w:val="44"/>
        </w:rPr>
        <w:t xml:space="preserve"> 投标邀请函</w:t>
      </w:r>
    </w:p>
    <w:p>
      <w:pPr>
        <w:spacing w:line="360" w:lineRule="auto"/>
        <w:rPr>
          <w:rFonts w:ascii="仿宋" w:hAnsi="仿宋" w:eastAsia="仿宋" w:cs="仿宋"/>
          <w:b/>
          <w:sz w:val="24"/>
          <w:szCs w:val="24"/>
        </w:rPr>
      </w:pPr>
    </w:p>
    <w:p>
      <w:pPr>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禹州市人民政府电子政务办公室</w:t>
      </w:r>
    </w:p>
    <w:p>
      <w:pPr>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电子政务外网互联网出口线路及安全设备项目</w:t>
      </w:r>
    </w:p>
    <w:p>
      <w:pPr>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招　标</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邀</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请</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函</w:t>
      </w:r>
    </w:p>
    <w:p>
      <w:pPr>
        <w:jc w:val="both"/>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禹州市政府采购中心受禹州市人民政府</w:t>
      </w:r>
      <w:r>
        <w:rPr>
          <w:rFonts w:hint="eastAsia" w:ascii="仿宋" w:hAnsi="仿宋" w:eastAsia="仿宋" w:cs="仿宋"/>
          <w:sz w:val="24"/>
          <w:szCs w:val="24"/>
          <w:lang w:eastAsia="zh-CN"/>
        </w:rPr>
        <w:t>办公室</w:t>
      </w:r>
      <w:r>
        <w:rPr>
          <w:rFonts w:hint="eastAsia" w:ascii="仿宋" w:hAnsi="仿宋" w:eastAsia="仿宋" w:cs="仿宋"/>
          <w:sz w:val="24"/>
          <w:szCs w:val="24"/>
        </w:rPr>
        <w:t>的委托，就“</w:t>
      </w:r>
      <w:r>
        <w:rPr>
          <w:rFonts w:hint="eastAsia" w:ascii="仿宋" w:hAnsi="仿宋" w:eastAsia="仿宋" w:cs="仿宋"/>
          <w:sz w:val="24"/>
          <w:szCs w:val="24"/>
          <w:lang w:eastAsia="zh-CN"/>
        </w:rPr>
        <w:t>禹州市人民政府电子政务办公室电子政务外网互联网出口线路及安全设备项目</w:t>
      </w:r>
      <w:r>
        <w:rPr>
          <w:rFonts w:hint="eastAsia" w:ascii="仿宋" w:hAnsi="仿宋" w:eastAsia="仿宋" w:cs="仿宋"/>
          <w:sz w:val="24"/>
          <w:szCs w:val="24"/>
        </w:rPr>
        <w:t>”进行公开招标，欢迎合格的投标人前来投标。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2" w:firstLineChars="20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1、采购人：禹州市人民政府办公室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2、项目名称：禹州市人民政府电子政务办公室电子政务外网互联网出口线路及安全设备项目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3、采购编号：YZCG-G201</w:t>
      </w:r>
      <w:r>
        <w:rPr>
          <w:rFonts w:hint="eastAsia" w:ascii="仿宋" w:hAnsi="仿宋" w:eastAsia="仿宋" w:cs="仿宋"/>
          <w:sz w:val="24"/>
          <w:szCs w:val="24"/>
          <w:lang w:val="en-US" w:eastAsia="zh-CN"/>
        </w:rPr>
        <w:t>8157</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4、项目需求：</w:t>
      </w:r>
      <w:r>
        <w:rPr>
          <w:rFonts w:hint="eastAsia" w:ascii="仿宋" w:hAnsi="仿宋" w:eastAsia="仿宋" w:cs="仿宋"/>
          <w:sz w:val="24"/>
          <w:szCs w:val="24"/>
          <w:lang w:eastAsia="zh-CN"/>
        </w:rPr>
        <w:t>本项目分两个包</w:t>
      </w:r>
      <w:r>
        <w:rPr>
          <w:rFonts w:hint="eastAsia" w:ascii="仿宋" w:hAnsi="仿宋" w:eastAsia="仿宋" w:cs="仿宋"/>
          <w:sz w:val="24"/>
          <w:szCs w:val="24"/>
          <w:lang w:val="en-US" w:eastAsia="zh-CN"/>
        </w:rPr>
        <w:t>,第一标段为互联网出口网络设备及线路接入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第二标段为各局委安全设备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5、采购预算：</w:t>
      </w:r>
      <w:r>
        <w:rPr>
          <w:rFonts w:hint="eastAsia" w:ascii="仿宋" w:hAnsi="仿宋" w:eastAsia="仿宋" w:cs="仿宋"/>
          <w:sz w:val="24"/>
          <w:szCs w:val="24"/>
          <w:lang w:eastAsia="zh-CN"/>
        </w:rPr>
        <w:t>第一标段</w:t>
      </w:r>
      <w:r>
        <w:rPr>
          <w:rFonts w:hint="eastAsia" w:ascii="仿宋" w:hAnsi="仿宋" w:eastAsia="仿宋" w:cs="仿宋"/>
          <w:sz w:val="24"/>
          <w:szCs w:val="24"/>
          <w:lang w:val="en-US" w:eastAsia="zh-CN"/>
        </w:rPr>
        <w:t>315</w:t>
      </w:r>
      <w:r>
        <w:rPr>
          <w:rFonts w:hint="eastAsia" w:ascii="仿宋" w:hAnsi="仿宋" w:eastAsia="仿宋" w:cs="仿宋"/>
          <w:sz w:val="24"/>
          <w:szCs w:val="24"/>
        </w:rPr>
        <w:t>万元</w:t>
      </w:r>
      <w:r>
        <w:rPr>
          <w:rFonts w:hint="eastAsia" w:ascii="仿宋" w:hAnsi="仿宋" w:eastAsia="仿宋" w:cs="仿宋"/>
          <w:sz w:val="24"/>
          <w:szCs w:val="24"/>
          <w:lang w:val="en-US" w:eastAsia="zh-CN"/>
        </w:rPr>
        <w:t xml:space="preserve">   第二标段320万元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6、最高限价：第一标段315万元   第二标段320万元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二、需要落实的政府采购政策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本项目落实节约能源、保护环境、扶持不发达地区和少数民族地区、促进中小企业、监狱企业发展等政府采购政策。（详见招标文件）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eastAsia="zh-CN"/>
        </w:rPr>
        <w:t>　</w:t>
      </w:r>
      <w:r>
        <w:rPr>
          <w:rFonts w:hint="eastAsia" w:ascii="仿宋" w:hAnsi="仿宋" w:eastAsia="仿宋" w:cs="仿宋"/>
          <w:b/>
          <w:bCs/>
          <w:sz w:val="24"/>
          <w:szCs w:val="24"/>
          <w:lang w:eastAsia="zh-CN"/>
        </w:rPr>
        <w:t>　</w:t>
      </w:r>
      <w:r>
        <w:rPr>
          <w:rFonts w:hint="eastAsia" w:ascii="仿宋" w:hAnsi="仿宋" w:eastAsia="仿宋" w:cs="仿宋"/>
          <w:b/>
          <w:bCs/>
          <w:sz w:val="24"/>
          <w:szCs w:val="24"/>
        </w:rPr>
        <w:t>三、供应商资格要求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1、符合《政府采购法》第二十二条之规定，具有相应的经营范围（以营业执照为准）；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2、投标商应开具由项目所在地或企业营业执照注册所在地人民检察院出具的无行贿犯罪档案告知函；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3、法定代表人授权代表须是本单位职工，提供本公司为本人缴纳社会保险证明；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4</w:t>
      </w:r>
      <w:r>
        <w:rPr>
          <w:rFonts w:hint="eastAsia" w:ascii="仿宋" w:hAnsi="仿宋" w:eastAsia="仿宋" w:cs="仿宋"/>
          <w:sz w:val="24"/>
          <w:szCs w:val="24"/>
        </w:rPr>
        <w:t>、本项目不接受联合体投标。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四、获取招标文件的方式、时间、地点及文件费用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供应商须加入许昌市公共资源交易中心供应商库，报名期限内在全国公共资源交易平台（河南省·许昌市）网上报名。详情查看全国公共资源交易平台（河南省·许昌市）（www.xczbtb.com）首页办事指南中的业务流程（网上报名指南），网上报名后，自行下载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2、网上下载招标文件时间：自招标文件在网上发出之日起至提交投标文件前一个小时均可进行投标报名、下载招标文件。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3、未通过全国公共资源交易平台（河南省·许昌市）下载招标文件的投标企业，拒收其递交的投标文件</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4、招标文件每份售价人民币</w:t>
      </w:r>
      <w:r>
        <w:rPr>
          <w:rFonts w:hint="eastAsia" w:ascii="仿宋" w:hAnsi="仿宋" w:eastAsia="仿宋" w:cs="仿宋"/>
          <w:sz w:val="24"/>
          <w:szCs w:val="24"/>
          <w:lang w:val="en-US" w:eastAsia="zh-CN"/>
        </w:rPr>
        <w:t>2</w:t>
      </w:r>
      <w:r>
        <w:rPr>
          <w:rFonts w:hint="eastAsia" w:ascii="仿宋" w:hAnsi="仿宋" w:eastAsia="仿宋" w:cs="仿宋"/>
          <w:sz w:val="24"/>
          <w:szCs w:val="24"/>
        </w:rPr>
        <w:t>00元，于递交投标文件时缴纳给采购代理机构，售后不退。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五、投标截止时间、开标时间及地点：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1、投标截止及开标时间：201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北京时间），逾期送达或不符合规定的投标文件不予接受。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 xml:space="preserve">2、开标地点：禹州市公共资源交易中心第二开标室（禹州市行政服务中心楼9楼）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六、代理机构及采购单位地址、联系人、联系电话</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（一）代理机构：禹州市政府采购中心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地址：禹州市行政服务中心楼917房间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联系人：侯女士  联系电话：0374-2077111</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采购单位：</w:t>
      </w:r>
      <w:r>
        <w:rPr>
          <w:rFonts w:hint="eastAsia" w:ascii="仿宋" w:hAnsi="仿宋" w:eastAsia="仿宋" w:cs="仿宋"/>
          <w:sz w:val="24"/>
          <w:szCs w:val="24"/>
          <w:lang w:eastAsia="zh-CN"/>
        </w:rPr>
        <w:t>禹州市人民政府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240" w:firstLineChars="100"/>
        <w:jc w:val="both"/>
        <w:textAlignment w:val="auto"/>
        <w:outlineLvl w:val="9"/>
        <w:rPr>
          <w:rFonts w:hint="eastAsia" w:ascii="仿宋" w:hAnsi="仿宋" w:eastAsia="仿宋" w:cs="仿宋"/>
          <w:sz w:val="24"/>
          <w:szCs w:val="24"/>
          <w:lang w:val="en-US"/>
        </w:rPr>
      </w:pPr>
      <w:r>
        <w:rPr>
          <w:rFonts w:hint="eastAsia" w:ascii="仿宋" w:hAnsi="仿宋" w:eastAsia="仿宋" w:cs="仿宋"/>
          <w:sz w:val="24"/>
          <w:szCs w:val="24"/>
        </w:rPr>
        <w:t>地址：禹州市</w:t>
      </w:r>
      <w:r>
        <w:rPr>
          <w:rFonts w:hint="eastAsia" w:ascii="仿宋" w:hAnsi="仿宋" w:eastAsia="仿宋" w:cs="仿宋"/>
          <w:sz w:val="24"/>
          <w:szCs w:val="24"/>
          <w:lang w:eastAsia="zh-CN"/>
        </w:rPr>
        <w:t>禹王大道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　</w:t>
      </w:r>
      <w:r>
        <w:rPr>
          <w:rFonts w:hint="eastAsia" w:ascii="仿宋" w:hAnsi="仿宋" w:eastAsia="仿宋" w:cs="仿宋"/>
          <w:sz w:val="24"/>
          <w:szCs w:val="24"/>
        </w:rPr>
        <w:t>联系人：</w:t>
      </w:r>
      <w:r>
        <w:rPr>
          <w:rFonts w:hint="eastAsia" w:ascii="仿宋" w:hAnsi="仿宋" w:eastAsia="仿宋" w:cs="仿宋"/>
          <w:sz w:val="24"/>
          <w:szCs w:val="24"/>
          <w:lang w:eastAsia="zh-CN"/>
        </w:rPr>
        <w:t>岳先生</w:t>
      </w:r>
      <w:r>
        <w:rPr>
          <w:rFonts w:hint="eastAsia" w:ascii="仿宋" w:hAnsi="仿宋" w:eastAsia="仿宋" w:cs="仿宋"/>
          <w:sz w:val="24"/>
          <w:szCs w:val="24"/>
        </w:rPr>
        <w:t xml:space="preserve">   联系电话：</w:t>
      </w:r>
      <w:r>
        <w:rPr>
          <w:rFonts w:hint="eastAsia" w:ascii="仿宋" w:hAnsi="仿宋" w:eastAsia="仿宋" w:cs="仿宋"/>
          <w:sz w:val="24"/>
          <w:szCs w:val="24"/>
          <w:lang w:val="en-US" w:eastAsia="zh-CN"/>
        </w:rPr>
        <w:t>0374-8279117</w:t>
      </w: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4560" w:firstLineChars="19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4560" w:firstLineChars="19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80" w:firstLineChars="27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spacing w:line="360" w:lineRule="auto"/>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2650" w:firstLineChars="6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ascii="仿宋" w:hAnsi="仿宋" w:eastAsia="仿宋"/>
                <w:b/>
                <w:kern w:val="0"/>
                <w:sz w:val="24"/>
                <w:szCs w:val="24"/>
                <w:lang w:val="en-US"/>
              </w:rPr>
            </w:pPr>
            <w:r>
              <w:rPr>
                <w:rFonts w:hint="eastAsia" w:ascii="仿宋" w:hAnsi="仿宋" w:eastAsia="仿宋"/>
                <w:sz w:val="24"/>
                <w:szCs w:val="24"/>
              </w:rPr>
              <w:t>YZCG—G201</w:t>
            </w:r>
            <w:r>
              <w:rPr>
                <w:rFonts w:hint="eastAsia" w:ascii="仿宋" w:hAnsi="仿宋" w:eastAsia="仿宋"/>
                <w:sz w:val="24"/>
                <w:szCs w:val="24"/>
                <w:lang w:val="en-US" w:eastAsia="zh-CN"/>
              </w:rPr>
              <w:t>8157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pStyle w:val="41"/>
              <w:keepNext w:val="0"/>
              <w:keepLines w:val="0"/>
              <w:pageBreakBefore w:val="0"/>
              <w:numPr>
                <w:ilvl w:val="0"/>
                <w:numId w:val="0"/>
              </w:numPr>
              <w:kinsoku/>
              <w:overflowPunct/>
              <w:bidi w:val="0"/>
              <w:spacing w:line="520" w:lineRule="exact"/>
              <w:ind w:right="0" w:rightChars="0"/>
              <w:textAlignment w:val="auto"/>
              <w:outlineLvl w:val="9"/>
              <w:rPr>
                <w:rFonts w:ascii="仿宋" w:hAnsi="仿宋" w:eastAsia="仿宋"/>
                <w:color w:val="000000"/>
                <w:kern w:val="0"/>
                <w:sz w:val="24"/>
                <w:szCs w:val="24"/>
              </w:rPr>
            </w:pPr>
            <w:r>
              <w:rPr>
                <w:rFonts w:hint="eastAsia" w:ascii="仿宋" w:hAnsi="仿宋" w:eastAsia="仿宋" w:cstheme="minorBidi"/>
                <w:color w:val="000000"/>
                <w:kern w:val="0"/>
                <w:sz w:val="24"/>
                <w:szCs w:val="24"/>
                <w:lang w:val="en-US" w:eastAsia="zh-CN" w:bidi="ar-SA"/>
              </w:rPr>
              <w:t>禹州市人民政府办公室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jc w:val="both"/>
              <w:rPr>
                <w:rFonts w:ascii="仿宋" w:hAnsi="仿宋" w:eastAsia="仿宋"/>
                <w:color w:val="000000"/>
                <w:kern w:val="0"/>
                <w:sz w:val="24"/>
                <w:szCs w:val="24"/>
              </w:rPr>
            </w:pPr>
            <w:r>
              <w:rPr>
                <w:rFonts w:hint="eastAsia" w:ascii="仿宋" w:hAnsi="仿宋" w:eastAsia="仿宋" w:cs="仿宋"/>
                <w:sz w:val="24"/>
                <w:szCs w:val="24"/>
              </w:rPr>
              <w:t>禹州市人民政府</w:t>
            </w:r>
            <w:r>
              <w:rPr>
                <w:rFonts w:hint="eastAsia" w:ascii="仿宋" w:hAnsi="仿宋" w:eastAsia="仿宋" w:cs="仿宋"/>
                <w:sz w:val="24"/>
                <w:szCs w:val="24"/>
                <w:lang w:val="en-US" w:eastAsia="zh-CN"/>
              </w:rPr>
              <w:t>电子政务办公室</w:t>
            </w:r>
            <w:r>
              <w:rPr>
                <w:rFonts w:hint="eastAsia" w:ascii="仿宋" w:hAnsi="仿宋" w:eastAsia="仿宋" w:cs="仿宋"/>
                <w:sz w:val="24"/>
                <w:szCs w:val="24"/>
              </w:rPr>
              <w:t>电子政务外网互联网出口线路及安全设备项目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hint="eastAsia" w:ascii="仿宋" w:hAnsi="仿宋" w:eastAsia="仿宋"/>
                <w:sz w:val="24"/>
                <w:szCs w:val="24"/>
                <w:lang w:val="en-US" w:eastAsia="zh-CN"/>
              </w:rPr>
            </w:pPr>
            <w:r>
              <w:rPr>
                <w:rFonts w:hint="eastAsia" w:ascii="仿宋" w:hAnsi="仿宋" w:eastAsia="仿宋"/>
                <w:sz w:val="24"/>
                <w:szCs w:val="24"/>
                <w:lang w:eastAsia="zh-CN"/>
              </w:rPr>
              <w:t>第一标段：伍万</w:t>
            </w:r>
            <w:r>
              <w:rPr>
                <w:rFonts w:hint="eastAsia" w:ascii="仿宋" w:hAnsi="仿宋" w:eastAsia="仿宋"/>
                <w:sz w:val="24"/>
                <w:szCs w:val="24"/>
              </w:rPr>
              <w:t>元整</w:t>
            </w:r>
            <w:r>
              <w:rPr>
                <w:rFonts w:hint="eastAsia" w:ascii="仿宋" w:hAnsi="仿宋" w:eastAsia="仿宋"/>
                <w:sz w:val="24"/>
                <w:szCs w:val="24"/>
                <w:lang w:val="en-US" w:eastAsia="zh-CN"/>
              </w:rPr>
              <w:t xml:space="preserve">   第二标段：伍万元整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w:t>
            </w:r>
            <w:r>
              <w:rPr>
                <w:rFonts w:hint="eastAsia" w:ascii="仿宋" w:hAnsi="仿宋" w:eastAsia="仿宋"/>
                <w:sz w:val="24"/>
                <w:szCs w:val="24"/>
                <w:lang w:val="en-US" w:eastAsia="zh-CN"/>
              </w:rPr>
              <w:t xml:space="preserve"> </w:t>
            </w:r>
            <w:r>
              <w:rPr>
                <w:rFonts w:hint="eastAsia" w:ascii="仿宋" w:hAnsi="仿宋" w:eastAsia="仿宋"/>
                <w:sz w:val="24"/>
                <w:szCs w:val="24"/>
              </w:rPr>
              <w:t>月</w:t>
            </w:r>
            <w:r>
              <w:rPr>
                <w:rFonts w:hint="eastAsia" w:ascii="仿宋" w:hAnsi="仿宋" w:eastAsia="仿宋"/>
                <w:sz w:val="24"/>
                <w:szCs w:val="24"/>
                <w:lang w:val="en-US" w:eastAsia="zh-CN"/>
              </w:rPr>
              <w:t xml:space="preserve"> </w:t>
            </w:r>
            <w:r>
              <w:rPr>
                <w:rFonts w:hint="eastAsia" w:ascii="仿宋" w:hAnsi="仿宋" w:eastAsia="仿宋"/>
                <w:sz w:val="24"/>
                <w:szCs w:val="24"/>
              </w:rPr>
              <w:t>日</w:t>
            </w:r>
            <w:r>
              <w:rPr>
                <w:rFonts w:hint="eastAsia" w:ascii="仿宋" w:hAnsi="仿宋" w:eastAsia="仿宋"/>
                <w:sz w:val="24"/>
                <w:szCs w:val="24"/>
                <w:lang w:val="en-US" w:eastAsia="zh-CN"/>
              </w:rPr>
              <w:t>9</w:t>
            </w:r>
            <w:r>
              <w:rPr>
                <w:rFonts w:hint="eastAsia" w:ascii="仿宋" w:hAnsi="仿宋" w:eastAsia="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w:t>
            </w:r>
            <w:r>
              <w:rPr>
                <w:rFonts w:hint="eastAsia" w:ascii="仿宋" w:hAnsi="仿宋" w:eastAsia="仿宋"/>
                <w:color w:val="FF0000"/>
                <w:kern w:val="0"/>
                <w:sz w:val="24"/>
                <w:szCs w:val="24"/>
                <w:lang w:eastAsia="zh-CN"/>
              </w:rPr>
              <w:t>单独</w:t>
            </w:r>
            <w:r>
              <w:rPr>
                <w:rFonts w:hint="eastAsia" w:ascii="仿宋" w:hAnsi="仿宋" w:eastAsia="仿宋"/>
                <w:color w:val="FF0000"/>
                <w:kern w:val="0"/>
                <w:sz w:val="24"/>
                <w:szCs w:val="24"/>
              </w:rPr>
              <w:t>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0"/>
              </w:numPr>
              <w:spacing w:line="440" w:lineRule="exact"/>
              <w:ind w:left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法定代表人（持身份证原件）或授权委托人（持身份证原件和法人代表授权委托书）现场签到，否则拒绝接收其投标文件。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pStyle w:val="121"/>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本项目最高限价第一标段：</w:t>
            </w:r>
            <w:r>
              <w:rPr>
                <w:rFonts w:hint="eastAsia" w:ascii="仿宋" w:hAnsi="仿宋" w:eastAsia="仿宋"/>
                <w:b/>
                <w:bCs/>
                <w:sz w:val="24"/>
                <w:szCs w:val="24"/>
                <w:lang w:val="en-US" w:eastAsia="zh-CN"/>
              </w:rPr>
              <w:t>315万元</w:t>
            </w:r>
            <w:r>
              <w:rPr>
                <w:rFonts w:hint="eastAsia" w:ascii="仿宋" w:hAnsi="仿宋" w:eastAsia="仿宋"/>
                <w:b/>
                <w:bCs/>
                <w:sz w:val="24"/>
                <w:szCs w:val="24"/>
              </w:rPr>
              <w:t>，</w:t>
            </w:r>
            <w:r>
              <w:rPr>
                <w:rFonts w:hint="eastAsia" w:ascii="仿宋" w:hAnsi="仿宋" w:eastAsia="仿宋"/>
                <w:b/>
                <w:bCs/>
                <w:sz w:val="24"/>
                <w:szCs w:val="24"/>
                <w:lang w:eastAsia="zh-CN"/>
              </w:rPr>
              <w:t>第二标段</w:t>
            </w:r>
            <w:r>
              <w:rPr>
                <w:rFonts w:hint="eastAsia" w:ascii="仿宋" w:hAnsi="仿宋" w:eastAsia="仿宋"/>
                <w:b/>
                <w:bCs/>
                <w:sz w:val="24"/>
                <w:szCs w:val="24"/>
                <w:lang w:val="en-US" w:eastAsia="zh-CN"/>
              </w:rPr>
              <w:t>320万元。</w:t>
            </w:r>
            <w:r>
              <w:rPr>
                <w:rFonts w:hint="eastAsia" w:ascii="仿宋" w:hAnsi="仿宋" w:eastAsia="仿宋"/>
                <w:b/>
                <w:bCs/>
                <w:sz w:val="24"/>
                <w:szCs w:val="24"/>
                <w:lang w:val="zh-CN"/>
              </w:rPr>
              <w:t>投标商投标总报价不能超过项目最高限价，否则为无效投标。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5.5.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5.6.投标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宋体"/>
          <w:bCs/>
          <w:sz w:val="24"/>
          <w:lang w:val="en-US" w:eastAsia="zh-CN"/>
        </w:rPr>
        <w:t>5.8.经评标委员会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val="en-US" w:eastAsia="zh-CN"/>
        </w:rPr>
      </w:pPr>
      <w:r>
        <w:rPr>
          <w:rFonts w:hint="eastAsia" w:ascii="仿宋" w:hAnsi="仿宋" w:eastAsia="仿宋" w:cs="宋体"/>
          <w:bCs/>
          <w:sz w:val="24"/>
          <w:lang w:val="en-US" w:eastAsia="zh-CN"/>
        </w:rPr>
        <w:t>5.9.投标文件内容模糊不清，无法辨认的;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hint="eastAsia"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w:t>
      </w:r>
      <w:r>
        <w:rPr>
          <w:rFonts w:hint="eastAsia" w:ascii="仿宋" w:hAnsi="仿宋" w:eastAsia="仿宋" w:cs="仿宋_GB2312"/>
          <w:color w:val="FF0000"/>
          <w:sz w:val="24"/>
          <w:szCs w:val="24"/>
          <w:lang w:eastAsia="zh-CN"/>
        </w:rPr>
        <w:t>书（参考</w:t>
      </w:r>
      <w:r>
        <w:rPr>
          <w:rFonts w:hint="eastAsia" w:ascii="仿宋" w:hAnsi="仿宋" w:eastAsia="仿宋" w:cs="仿宋_GB2312"/>
          <w:color w:val="FF0000"/>
          <w:sz w:val="24"/>
          <w:szCs w:val="24"/>
        </w:rPr>
        <w:t>样本</w:t>
      </w:r>
      <w:r>
        <w:rPr>
          <w:rFonts w:hint="eastAsia" w:ascii="仿宋" w:hAnsi="仿宋" w:eastAsia="仿宋" w:cs="仿宋_GB2312"/>
          <w:color w:val="FF0000"/>
          <w:sz w:val="24"/>
          <w:szCs w:val="24"/>
          <w:lang w:val="en-US" w:eastAsia="zh-CN"/>
        </w:rPr>
        <w:t>)</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w:t>
      </w:r>
      <w:r>
        <w:rPr>
          <w:rFonts w:hint="eastAsia" w:ascii="仿宋" w:hAnsi="仿宋" w:eastAsia="仿宋" w:cs="仿宋_GB2312"/>
          <w:sz w:val="24"/>
          <w:szCs w:val="24"/>
          <w:shd w:val="clear" w:color="auto" w:fill="FFFFFF"/>
          <w:lang w:eastAsia="zh-CN"/>
        </w:rPr>
        <w:t>授权代表</w:t>
      </w:r>
      <w:r>
        <w:rPr>
          <w:rFonts w:hint="eastAsia" w:ascii="仿宋" w:hAnsi="仿宋" w:eastAsia="仿宋" w:cs="仿宋_GB2312"/>
          <w:sz w:val="24"/>
          <w:szCs w:val="24"/>
          <w:shd w:val="clear" w:color="auto" w:fill="FFFFFF"/>
        </w:rPr>
        <w:t>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w:t>
      </w:r>
      <w:r>
        <w:rPr>
          <w:rFonts w:hint="eastAsia" w:ascii="仿宋" w:hAnsi="仿宋" w:eastAsia="仿宋" w:cs="仿宋_GB2312"/>
          <w:sz w:val="24"/>
          <w:szCs w:val="24"/>
          <w:lang w:eastAsia="zh-CN"/>
        </w:rPr>
        <w:t>授权代表</w:t>
      </w:r>
      <w:r>
        <w:rPr>
          <w:rFonts w:hint="eastAsia" w:ascii="仿宋" w:hAnsi="仿宋" w:eastAsia="仿宋" w:cs="仿宋_GB2312"/>
          <w:sz w:val="24"/>
          <w:szCs w:val="24"/>
        </w:rPr>
        <w:t>签字的，投标文件应附法定代表人签署的授权委托书。投标文件应尽量避免涂改、行间插字或删除。如果出现上述情况，改动之处应加盖单位章或由投标人的法定代表人或其授权</w:t>
      </w:r>
      <w:r>
        <w:rPr>
          <w:rFonts w:hint="eastAsia" w:ascii="仿宋" w:hAnsi="仿宋" w:eastAsia="仿宋" w:cs="仿宋_GB2312"/>
          <w:sz w:val="24"/>
          <w:szCs w:val="24"/>
          <w:lang w:eastAsia="zh-CN"/>
        </w:rPr>
        <w:t>代表</w:t>
      </w:r>
      <w:r>
        <w:rPr>
          <w:rFonts w:hint="eastAsia" w:ascii="仿宋" w:hAnsi="仿宋" w:eastAsia="仿宋" w:cs="仿宋_GB2312"/>
          <w:sz w:val="24"/>
          <w:szCs w:val="24"/>
        </w:rPr>
        <w:t>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1</w:t>
      </w:r>
      <w:r>
        <w:rPr>
          <w:rFonts w:hint="eastAsia" w:ascii="仿宋" w:hAnsi="仿宋" w:eastAsia="仿宋" w:cs="仿宋"/>
          <w:b/>
          <w:sz w:val="24"/>
          <w:lang w:val="en-US" w:eastAsia="zh-CN"/>
        </w:rPr>
        <w:t>1</w:t>
      </w:r>
      <w:r>
        <w:rPr>
          <w:rFonts w:hint="eastAsia" w:ascii="仿宋" w:hAnsi="仿宋" w:eastAsia="仿宋" w:cs="仿宋"/>
          <w:b/>
          <w:sz w:val="24"/>
        </w:rPr>
        <w:t>.投标保证金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2</w:t>
      </w:r>
      <w:r>
        <w:rPr>
          <w:rFonts w:hint="eastAsia" w:ascii="仿宋" w:hAnsi="仿宋" w:eastAsia="仿宋" w:cs="仿宋"/>
          <w:sz w:val="24"/>
        </w:rPr>
        <w:t>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479" w:leftChars="228" w:firstLine="0" w:firstLineChars="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w:t>
      </w:r>
      <w:r>
        <w:rPr>
          <w:rFonts w:hint="eastAsia" w:ascii="仿宋" w:hAnsi="仿宋" w:eastAsia="仿宋" w:cs="仿宋"/>
          <w:sz w:val="24"/>
          <w:lang w:val="zh-CN" w:eastAsia="zh-CN"/>
        </w:rPr>
        <w:t>许昌</w:t>
      </w:r>
      <w:r>
        <w:rPr>
          <w:rFonts w:hint="eastAsia" w:ascii="仿宋" w:hAnsi="仿宋" w:eastAsia="仿宋" w:cs="仿宋"/>
          <w:sz w:val="24"/>
          <w:lang w:val="zh-CN"/>
        </w:rPr>
        <w:t>市公共资源交易中心保证金缴纳回执”附投标文件中。同时开标现场提供一份“许昌市公共资源交易中心保证金缴纳回执”以备查询。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11.7.5 法律法规及招标文件规定的其他情形。</w:t>
      </w:r>
    </w:p>
    <w:p>
      <w:pPr>
        <w:keepNext w:val="0"/>
        <w:keepLines w:val="0"/>
        <w:pageBreakBefore w:val="0"/>
        <w:widowControl/>
        <w:kinsoku/>
        <w:overflowPunct/>
        <w:autoSpaceDE/>
        <w:autoSpaceDN/>
        <w:bidi w:val="0"/>
        <w:adjustRightInd/>
        <w:spacing w:line="360" w:lineRule="auto"/>
        <w:ind w:left="0" w:leftChars="0" w:right="0" w:rightChars="0" w:firstLine="482" w:firstLineChars="200"/>
        <w:jc w:val="left"/>
        <w:textAlignment w:val="auto"/>
        <w:outlineLvl w:val="9"/>
        <w:rPr>
          <w:rFonts w:hint="eastAsia" w:ascii="仿宋" w:hAnsi="仿宋" w:eastAsia="仿宋" w:cs="仿宋"/>
          <w:b/>
          <w:sz w:val="24"/>
          <w:szCs w:val="24"/>
        </w:rPr>
      </w:pPr>
      <w:r>
        <w:rPr>
          <w:rFonts w:hint="eastAsia" w:ascii="仿宋" w:hAnsi="仿宋" w:eastAsia="仿宋" w:cs="仿宋"/>
          <w:b/>
          <w:sz w:val="24"/>
          <w:szCs w:val="24"/>
        </w:rPr>
        <w:t>D   投标文件的递交</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72" w:firstLineChars="196"/>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F 无效投标与废标</w:t>
      </w:r>
    </w:p>
    <w:p>
      <w:pPr>
        <w:keepNext w:val="0"/>
        <w:keepLines w:val="0"/>
        <w:pageBreakBefore w:val="0"/>
        <w:widowControl/>
        <w:numPr>
          <w:ilvl w:val="0"/>
          <w:numId w:val="5"/>
        </w:numPr>
        <w:tabs>
          <w:tab w:val="left" w:pos="8280"/>
        </w:tabs>
        <w:kinsoku/>
        <w:wordWrap/>
        <w:overflowPunct/>
        <w:bidi w:val="0"/>
        <w:spacing w:line="360" w:lineRule="auto"/>
        <w:ind w:left="0" w:leftChars="0" w:right="-1" w:firstLine="480" w:firstLineChars="200"/>
        <w:jc w:val="left"/>
        <w:textAlignment w:val="auto"/>
        <w:outlineLvl w:val="9"/>
        <w:rPr>
          <w:rFonts w:hint="eastAsia"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19.5.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19.6.投标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宋体"/>
          <w:bCs/>
          <w:sz w:val="24"/>
          <w:lang w:val="en-US" w:eastAsia="zh-CN"/>
        </w:rPr>
        <w:t>19.8.经评标委员会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19.9投标文件内容模糊不清，无法辨认的；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仿宋_GB2312"/>
          <w:sz w:val="24"/>
          <w:szCs w:val="24"/>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keepNext w:val="0"/>
        <w:keepLines w:val="0"/>
        <w:pageBreakBefore w:val="0"/>
        <w:widowControl/>
        <w:kinsoku/>
        <w:overflowPunct/>
        <w:bidi w:val="0"/>
        <w:spacing w:line="360" w:lineRule="auto"/>
        <w:ind w:left="0" w:leftChars="0" w:firstLine="472" w:firstLineChars="196"/>
        <w:jc w:val="left"/>
        <w:textAlignment w:val="auto"/>
        <w:outlineLvl w:val="9"/>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21、对招标人的纪律要求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22、对投标人的纪律要求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25、</w:t>
      </w:r>
      <w:r>
        <w:rPr>
          <w:rFonts w:hint="eastAsia" w:ascii="仿宋" w:hAnsi="仿宋" w:eastAsia="仿宋" w:cs="仿宋_GB2312"/>
          <w:sz w:val="24"/>
          <w:szCs w:val="24"/>
          <w:lang w:eastAsia="zh-CN"/>
        </w:rPr>
        <w:t>质疑与</w:t>
      </w:r>
      <w:r>
        <w:rPr>
          <w:rFonts w:hint="eastAsia" w:ascii="仿宋" w:hAnsi="仿宋" w:eastAsia="仿宋" w:cs="仿宋_GB2312"/>
          <w:sz w:val="24"/>
          <w:szCs w:val="24"/>
        </w:rPr>
        <w:t>投诉</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投标人认为本次招标活动违反法律、法规和规章规定的，应当遵守</w:t>
      </w:r>
      <w:r>
        <w:rPr>
          <w:rFonts w:hint="eastAsia" w:ascii="仿宋" w:hAnsi="仿宋" w:eastAsia="仿宋" w:cs="仿宋_GB2312"/>
          <w:sz w:val="24"/>
          <w:szCs w:val="24"/>
          <w:lang w:eastAsia="zh-CN"/>
        </w:rPr>
        <w:t>《</w:t>
      </w:r>
      <w:r>
        <w:rPr>
          <w:rFonts w:hint="eastAsia" w:ascii="仿宋" w:hAnsi="仿宋" w:eastAsia="仿宋" w:cs="仿宋_GB2312"/>
          <w:sz w:val="24"/>
          <w:szCs w:val="24"/>
        </w:rPr>
        <w:t>中华人民共和国财政部</w:t>
      </w:r>
      <w:r>
        <w:rPr>
          <w:rFonts w:hint="eastAsia" w:ascii="仿宋" w:hAnsi="仿宋" w:eastAsia="仿宋" w:cs="仿宋_GB2312"/>
          <w:sz w:val="24"/>
          <w:szCs w:val="24"/>
          <w:lang w:val="en-US" w:eastAsia="zh-CN"/>
        </w:rPr>
        <w:t>94</w:t>
      </w:r>
      <w:r>
        <w:rPr>
          <w:rFonts w:hint="eastAsia" w:ascii="仿宋" w:hAnsi="仿宋" w:eastAsia="仿宋" w:cs="仿宋_GB2312"/>
          <w:sz w:val="24"/>
          <w:szCs w:val="24"/>
        </w:rPr>
        <w:t>号令</w:t>
      </w:r>
      <w:r>
        <w:rPr>
          <w:rFonts w:hint="eastAsia" w:ascii="仿宋" w:hAnsi="仿宋" w:eastAsia="仿宋" w:cs="仿宋_GB2312"/>
          <w:sz w:val="24"/>
          <w:szCs w:val="24"/>
          <w:lang w:eastAsia="zh-CN"/>
        </w:rPr>
        <w:t>》</w:t>
      </w:r>
      <w:r>
        <w:rPr>
          <w:rFonts w:hint="eastAsia" w:ascii="仿宋" w:hAnsi="仿宋" w:eastAsia="仿宋" w:cs="仿宋_GB2312"/>
          <w:sz w:val="24"/>
          <w:szCs w:val="24"/>
        </w:rPr>
        <w:t>规定。</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numPr>
          <w:ilvl w:val="0"/>
          <w:numId w:val="6"/>
        </w:numPr>
        <w:spacing w:line="440" w:lineRule="exact"/>
        <w:ind w:firstLine="1533" w:firstLineChars="347"/>
        <w:rPr>
          <w:rFonts w:ascii="仿宋" w:hAnsi="仿宋" w:eastAsia="仿宋"/>
          <w:b/>
          <w:sz w:val="44"/>
        </w:rPr>
        <w:sectPr>
          <w:headerReference r:id="rId7" w:type="default"/>
          <w:footerReference r:id="rId8" w:type="default"/>
          <w:pgSz w:w="11907" w:h="16840"/>
          <w:pgMar w:top="1440" w:right="1474" w:bottom="1440" w:left="1474" w:header="851" w:footer="992" w:gutter="0"/>
          <w:cols w:space="425" w:num="1"/>
          <w:docGrid w:linePitch="312" w:charSpace="0"/>
        </w:sectPr>
      </w:pPr>
    </w:p>
    <w:p>
      <w:pPr>
        <w:widowControl/>
        <w:numPr>
          <w:ilvl w:val="0"/>
          <w:numId w:val="7"/>
        </w:numPr>
        <w:spacing w:line="440" w:lineRule="exact"/>
        <w:ind w:firstLine="1325" w:firstLineChars="300"/>
        <w:rPr>
          <w:rFonts w:hint="eastAsia" w:ascii="仿宋" w:hAnsi="仿宋" w:eastAsia="仿宋"/>
          <w:b/>
          <w:sz w:val="44"/>
        </w:rPr>
      </w:pPr>
      <w:r>
        <w:rPr>
          <w:rFonts w:hint="eastAsia" w:ascii="仿宋" w:hAnsi="仿宋" w:eastAsia="仿宋"/>
          <w:b/>
          <w:sz w:val="44"/>
          <w:lang w:val="en-US" w:eastAsia="zh-CN"/>
        </w:rPr>
        <w:t xml:space="preserve">  </w:t>
      </w:r>
      <w:r>
        <w:rPr>
          <w:rFonts w:hint="eastAsia" w:ascii="仿宋" w:hAnsi="仿宋" w:eastAsia="仿宋"/>
          <w:b/>
          <w:sz w:val="44"/>
        </w:rPr>
        <w:t>采购内容及其他要求</w:t>
      </w:r>
    </w:p>
    <w:p>
      <w:pPr>
        <w:widowControl/>
        <w:numPr>
          <w:ilvl w:val="0"/>
          <w:numId w:val="0"/>
        </w:numPr>
        <w:spacing w:line="440" w:lineRule="exact"/>
        <w:rPr>
          <w:rFonts w:hint="eastAsia" w:ascii="仿宋" w:hAnsi="仿宋" w:eastAsia="仿宋"/>
          <w:b/>
          <w:sz w:val="44"/>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sz w:val="32"/>
          <w:szCs w:val="32"/>
          <w:lang w:val="en-US" w:eastAsia="zh-CN"/>
        </w:rPr>
        <w:t>一、</w:t>
      </w:r>
      <w:r>
        <w:rPr>
          <w:rFonts w:hint="eastAsia" w:ascii="仿宋" w:hAnsi="仿宋" w:eastAsia="仿宋" w:cs="仿宋"/>
          <w:b/>
          <w:bCs/>
          <w:sz w:val="24"/>
          <w:szCs w:val="24"/>
          <w:lang w:val="en-US" w:eastAsia="zh-CN"/>
        </w:rPr>
        <w:t>采购内容及其他要求：</w:t>
      </w:r>
      <w:r>
        <w:rPr>
          <w:rFonts w:hint="eastAsia" w:ascii="仿宋" w:hAnsi="仿宋" w:eastAsia="仿宋" w:cs="仿宋"/>
          <w:sz w:val="24"/>
          <w:szCs w:val="24"/>
          <w:lang w:eastAsia="zh-CN"/>
        </w:rPr>
        <w:t>本项目分两个包</w:t>
      </w:r>
      <w:r>
        <w:rPr>
          <w:rFonts w:hint="eastAsia" w:ascii="仿宋" w:hAnsi="仿宋" w:eastAsia="仿宋" w:cs="仿宋"/>
          <w:sz w:val="24"/>
          <w:szCs w:val="24"/>
          <w:lang w:val="en-US" w:eastAsia="zh-CN"/>
        </w:rPr>
        <w:t>,第一标段为互联网出口网络设备及线路接入；第二标段为各局委安全设备。</w:t>
      </w:r>
    </w:p>
    <w:p>
      <w:pPr>
        <w:spacing w:after="0" w:line="600" w:lineRule="exact"/>
        <w:ind w:firstLine="2409" w:firstLineChars="1000"/>
        <w:rPr>
          <w:rFonts w:ascii="仿宋" w:hAnsi="仿宋" w:eastAsia="仿宋"/>
          <w:b/>
          <w:sz w:val="24"/>
          <w:szCs w:val="24"/>
        </w:rPr>
      </w:pPr>
      <w:r>
        <w:rPr>
          <w:rFonts w:hint="eastAsia" w:ascii="仿宋" w:hAnsi="仿宋" w:eastAsia="仿宋"/>
          <w:b/>
          <w:sz w:val="24"/>
          <w:szCs w:val="24"/>
        </w:rPr>
        <w:t>本项目需实现的功能或者目</w:t>
      </w:r>
    </w:p>
    <w:p>
      <w:pPr>
        <w:spacing w:after="0" w:line="600" w:lineRule="exact"/>
        <w:ind w:firstLine="480" w:firstLineChars="200"/>
        <w:rPr>
          <w:rFonts w:ascii="仿宋" w:hAnsi="仿宋" w:eastAsia="仿宋"/>
          <w:sz w:val="24"/>
          <w:szCs w:val="24"/>
        </w:rPr>
      </w:pPr>
      <w:r>
        <w:rPr>
          <w:rFonts w:ascii="仿宋" w:hAnsi="仿宋" w:eastAsia="仿宋"/>
          <w:sz w:val="24"/>
          <w:szCs w:val="24"/>
        </w:rPr>
        <w:t>严格按照国家电子政务外网标准，实现分区分域、安全隔离、统一互联网出口等功能</w:t>
      </w:r>
      <w:r>
        <w:rPr>
          <w:rFonts w:hint="eastAsia" w:ascii="仿宋" w:hAnsi="仿宋" w:eastAsia="仿宋"/>
          <w:sz w:val="24"/>
          <w:szCs w:val="24"/>
        </w:rPr>
        <w:t>的要求</w:t>
      </w:r>
    </w:p>
    <w:p>
      <w:pPr>
        <w:spacing w:after="0" w:line="60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、接入单位局域网接入部分采用高性能安全设备，有效防止多种网络攻击，路由器支持</w:t>
      </w:r>
      <w:r>
        <w:rPr>
          <w:rFonts w:ascii="仿宋" w:hAnsi="仿宋" w:eastAsia="仿宋"/>
          <w:sz w:val="24"/>
          <w:szCs w:val="24"/>
        </w:rPr>
        <w:t>MCE</w:t>
      </w:r>
      <w:r>
        <w:rPr>
          <w:rFonts w:hint="eastAsia" w:ascii="仿宋" w:hAnsi="仿宋" w:eastAsia="仿宋"/>
          <w:sz w:val="24"/>
          <w:szCs w:val="24"/>
        </w:rPr>
        <w:t>，符合许昌市要求以及自身日常办公需要，能够与许昌市无缝对接，远程管理。</w:t>
      </w:r>
    </w:p>
    <w:p>
      <w:pPr>
        <w:spacing w:after="0" w:line="600" w:lineRule="exact"/>
        <w:ind w:firstLine="480" w:firstLineChars="200"/>
        <w:rPr>
          <w:rFonts w:hint="eastAsia" w:ascii="仿宋" w:hAnsi="仿宋" w:eastAsia="仿宋"/>
          <w:sz w:val="24"/>
          <w:szCs w:val="24"/>
        </w:rPr>
      </w:pPr>
      <w:r>
        <w:rPr>
          <w:rFonts w:ascii="仿宋" w:hAnsi="仿宋" w:eastAsia="仿宋"/>
          <w:sz w:val="24"/>
          <w:szCs w:val="24"/>
        </w:rPr>
        <w:t>2</w:t>
      </w:r>
      <w:r>
        <w:rPr>
          <w:rFonts w:hint="eastAsia" w:ascii="仿宋" w:hAnsi="仿宋" w:eastAsia="仿宋"/>
          <w:sz w:val="24"/>
          <w:szCs w:val="24"/>
        </w:rPr>
        <w:t>、接入单位局域网接入部分应与互联网区安全设备统一出口。</w:t>
      </w:r>
    </w:p>
    <w:p>
      <w:pPr>
        <w:spacing w:after="0" w:line="600" w:lineRule="exact"/>
        <w:ind w:firstLine="480" w:firstLineChars="200"/>
        <w:rPr>
          <w:rFonts w:hint="eastAsia" w:ascii="仿宋" w:hAnsi="仿宋" w:eastAsia="仿宋"/>
          <w:sz w:val="24"/>
          <w:szCs w:val="24"/>
        </w:rPr>
      </w:pPr>
    </w:p>
    <w:p>
      <w:pPr>
        <w:spacing w:after="0" w:line="600" w:lineRule="exact"/>
        <w:ind w:firstLine="480" w:firstLineChars="200"/>
        <w:rPr>
          <w:rFonts w:hint="eastAsia" w:ascii="仿宋" w:hAnsi="仿宋" w:eastAsia="仿宋"/>
          <w:sz w:val="24"/>
          <w:szCs w:val="24"/>
        </w:rPr>
      </w:pPr>
    </w:p>
    <w:p>
      <w:pPr>
        <w:outlineLvl w:val="0"/>
        <w:rPr>
          <w:rFonts w:hint="eastAsia" w:ascii="仿宋" w:hAnsi="仿宋" w:eastAsia="仿宋" w:cs="仿宋"/>
          <w:sz w:val="24"/>
          <w:szCs w:val="24"/>
        </w:rPr>
      </w:pPr>
      <w:r>
        <w:rPr>
          <w:rFonts w:hint="eastAsia" w:ascii="仿宋" w:hAnsi="仿宋" w:eastAsia="仿宋"/>
          <w:b/>
          <w:sz w:val="24"/>
          <w:szCs w:val="24"/>
          <w:lang w:val="en-US" w:eastAsia="zh-CN"/>
        </w:rPr>
        <w:t xml:space="preserve"> </w:t>
      </w:r>
      <w:r>
        <w:rPr>
          <w:rFonts w:hint="eastAsia" w:ascii="仿宋" w:hAnsi="仿宋" w:eastAsia="仿宋" w:cs="仿宋"/>
          <w:b/>
          <w:sz w:val="24"/>
          <w:szCs w:val="24"/>
          <w:lang w:val="en-US" w:eastAsia="zh-CN"/>
        </w:rPr>
        <w:t xml:space="preserve">          第一标段      </w:t>
      </w:r>
      <w:r>
        <w:rPr>
          <w:rFonts w:hint="eastAsia" w:ascii="仿宋" w:hAnsi="仿宋" w:eastAsia="仿宋" w:cs="仿宋"/>
          <w:sz w:val="24"/>
          <w:szCs w:val="24"/>
        </w:rPr>
        <w:t>互联网安全出口网络设备及线路接入</w:t>
      </w:r>
    </w:p>
    <w:tbl>
      <w:tblPr>
        <w:tblStyle w:val="36"/>
        <w:tblW w:w="8522" w:type="dxa"/>
        <w:tblInd w:w="0" w:type="dxa"/>
        <w:tblLayout w:type="fixed"/>
        <w:tblCellMar>
          <w:top w:w="0" w:type="dxa"/>
          <w:left w:w="108" w:type="dxa"/>
          <w:bottom w:w="0" w:type="dxa"/>
          <w:right w:w="108" w:type="dxa"/>
        </w:tblCellMar>
      </w:tblPr>
      <w:tblGrid>
        <w:gridCol w:w="1137"/>
        <w:gridCol w:w="3649"/>
        <w:gridCol w:w="1004"/>
        <w:gridCol w:w="1367"/>
        <w:gridCol w:w="1365"/>
      </w:tblGrid>
      <w:tr>
        <w:tblPrEx>
          <w:tblLayout w:type="fixed"/>
          <w:tblCellMar>
            <w:top w:w="0" w:type="dxa"/>
            <w:left w:w="108" w:type="dxa"/>
            <w:bottom w:w="0" w:type="dxa"/>
            <w:right w:w="108" w:type="dxa"/>
          </w:tblCellMar>
        </w:tblPrEx>
        <w:trPr>
          <w:trHeight w:val="423" w:hRule="atLeast"/>
        </w:trPr>
        <w:tc>
          <w:tcPr>
            <w:tcW w:w="1137" w:type="dxa"/>
            <w:tcBorders>
              <w:top w:val="single" w:color="auto" w:sz="4" w:space="0"/>
              <w:left w:val="single" w:color="auto" w:sz="4" w:space="0"/>
              <w:bottom w:val="single" w:color="auto" w:sz="4" w:space="0"/>
              <w:right w:val="single" w:color="auto" w:sz="4" w:space="0"/>
            </w:tcBorders>
            <w:shd w:val="clear" w:color="000000" w:fill="DCE6F1"/>
            <w:vAlign w:val="center"/>
          </w:tcPr>
          <w:p>
            <w:pPr>
              <w:spacing w:after="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3649" w:type="dxa"/>
            <w:tcBorders>
              <w:top w:val="single" w:color="auto" w:sz="4" w:space="0"/>
              <w:left w:val="nil"/>
              <w:bottom w:val="single" w:color="auto" w:sz="4" w:space="0"/>
              <w:right w:val="single" w:color="auto" w:sz="4" w:space="0"/>
            </w:tcBorders>
            <w:shd w:val="clear" w:color="000000" w:fill="DCE6F1"/>
            <w:vAlign w:val="center"/>
          </w:tcPr>
          <w:p>
            <w:pPr>
              <w:spacing w:after="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名称</w:t>
            </w:r>
          </w:p>
        </w:tc>
        <w:tc>
          <w:tcPr>
            <w:tcW w:w="1004" w:type="dxa"/>
            <w:tcBorders>
              <w:top w:val="single" w:color="auto" w:sz="4" w:space="0"/>
              <w:left w:val="nil"/>
              <w:bottom w:val="single" w:color="auto" w:sz="4" w:space="0"/>
              <w:right w:val="single" w:color="auto" w:sz="4" w:space="0"/>
            </w:tcBorders>
            <w:shd w:val="clear" w:color="000000" w:fill="DCE6F1"/>
            <w:vAlign w:val="center"/>
          </w:tcPr>
          <w:p>
            <w:pPr>
              <w:spacing w:after="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1367" w:type="dxa"/>
            <w:tcBorders>
              <w:top w:val="single" w:color="auto" w:sz="4" w:space="0"/>
              <w:left w:val="nil"/>
              <w:bottom w:val="single" w:color="auto" w:sz="4" w:space="0"/>
              <w:right w:val="single" w:color="auto" w:sz="4" w:space="0"/>
            </w:tcBorders>
            <w:shd w:val="clear" w:color="000000" w:fill="DCE6F1"/>
            <w:vAlign w:val="center"/>
          </w:tcPr>
          <w:p>
            <w:pPr>
              <w:spacing w:after="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1365" w:type="dxa"/>
            <w:tcBorders>
              <w:top w:val="single" w:color="auto" w:sz="4" w:space="0"/>
              <w:left w:val="nil"/>
              <w:bottom w:val="single" w:color="auto" w:sz="4" w:space="0"/>
              <w:right w:val="single" w:color="auto" w:sz="4" w:space="0"/>
            </w:tcBorders>
            <w:shd w:val="clear" w:color="000000" w:fill="DCE6F1"/>
            <w:vAlign w:val="center"/>
          </w:tcPr>
          <w:p>
            <w:pPr>
              <w:spacing w:after="0"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是否核心设备</w:t>
            </w:r>
          </w:p>
        </w:tc>
      </w:tr>
      <w:tr>
        <w:tblPrEx>
          <w:tblLayout w:type="fixed"/>
          <w:tblCellMar>
            <w:top w:w="0" w:type="dxa"/>
            <w:left w:w="108" w:type="dxa"/>
            <w:bottom w:w="0" w:type="dxa"/>
            <w:right w:w="108" w:type="dxa"/>
          </w:tblCellMar>
        </w:tblPrEx>
        <w:trPr>
          <w:trHeight w:val="1162"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3649"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安全综合网关</w:t>
            </w:r>
          </w:p>
        </w:tc>
        <w:tc>
          <w:tcPr>
            <w:tcW w:w="1004"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台</w:t>
            </w:r>
          </w:p>
        </w:tc>
        <w:tc>
          <w:tcPr>
            <w:tcW w:w="1367"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365" w:type="dxa"/>
            <w:tcBorders>
              <w:top w:val="nil"/>
              <w:left w:val="nil"/>
              <w:bottom w:val="single" w:color="auto" w:sz="4" w:space="0"/>
              <w:right w:val="single" w:color="auto" w:sz="4" w:space="0"/>
            </w:tcBorders>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1162"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3649"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可信安全网关边界</w:t>
            </w:r>
          </w:p>
        </w:tc>
        <w:tc>
          <w:tcPr>
            <w:tcW w:w="1004"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台</w:t>
            </w:r>
          </w:p>
        </w:tc>
        <w:tc>
          <w:tcPr>
            <w:tcW w:w="1367"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365" w:type="dxa"/>
            <w:tcBorders>
              <w:top w:val="nil"/>
              <w:left w:val="nil"/>
              <w:bottom w:val="single" w:color="auto" w:sz="4" w:space="0"/>
              <w:right w:val="single" w:color="auto" w:sz="4" w:space="0"/>
            </w:tcBorders>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是</w:t>
            </w:r>
          </w:p>
        </w:tc>
      </w:tr>
      <w:tr>
        <w:tblPrEx>
          <w:tblLayout w:type="fixed"/>
          <w:tblCellMar>
            <w:top w:w="0" w:type="dxa"/>
            <w:left w:w="108" w:type="dxa"/>
            <w:bottom w:w="0" w:type="dxa"/>
            <w:right w:w="108" w:type="dxa"/>
          </w:tblCellMar>
        </w:tblPrEx>
        <w:trPr>
          <w:trHeight w:val="1162"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3649"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异常流量清洗</w:t>
            </w:r>
          </w:p>
        </w:tc>
        <w:tc>
          <w:tcPr>
            <w:tcW w:w="1004"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台</w:t>
            </w:r>
          </w:p>
        </w:tc>
        <w:tc>
          <w:tcPr>
            <w:tcW w:w="1367"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365" w:type="dxa"/>
            <w:tcBorders>
              <w:top w:val="nil"/>
              <w:left w:val="nil"/>
              <w:bottom w:val="single" w:color="auto" w:sz="4" w:space="0"/>
              <w:right w:val="single" w:color="auto" w:sz="4" w:space="0"/>
            </w:tcBorders>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是</w:t>
            </w:r>
          </w:p>
        </w:tc>
      </w:tr>
      <w:tr>
        <w:tblPrEx>
          <w:tblLayout w:type="fixed"/>
          <w:tblCellMar>
            <w:top w:w="0" w:type="dxa"/>
            <w:left w:w="108" w:type="dxa"/>
            <w:bottom w:w="0" w:type="dxa"/>
            <w:right w:w="108" w:type="dxa"/>
          </w:tblCellMar>
        </w:tblPrEx>
        <w:trPr>
          <w:trHeight w:val="1162"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3649"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统一运维管理系统</w:t>
            </w:r>
          </w:p>
        </w:tc>
        <w:tc>
          <w:tcPr>
            <w:tcW w:w="1004"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台</w:t>
            </w:r>
          </w:p>
        </w:tc>
        <w:tc>
          <w:tcPr>
            <w:tcW w:w="1367"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365" w:type="dxa"/>
            <w:tcBorders>
              <w:top w:val="nil"/>
              <w:left w:val="nil"/>
              <w:bottom w:val="single" w:color="auto" w:sz="4" w:space="0"/>
              <w:right w:val="single" w:color="auto" w:sz="4" w:space="0"/>
            </w:tcBorders>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是</w:t>
            </w:r>
          </w:p>
        </w:tc>
      </w:tr>
      <w:tr>
        <w:tblPrEx>
          <w:tblLayout w:type="fixed"/>
          <w:tblCellMar>
            <w:top w:w="0" w:type="dxa"/>
            <w:left w:w="108" w:type="dxa"/>
            <w:bottom w:w="0" w:type="dxa"/>
            <w:right w:w="108" w:type="dxa"/>
          </w:tblCellMar>
        </w:tblPrEx>
        <w:trPr>
          <w:trHeight w:val="1162"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3649"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1000M互联网线路</w:t>
            </w:r>
          </w:p>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专线接入</w:t>
            </w:r>
          </w:p>
        </w:tc>
        <w:tc>
          <w:tcPr>
            <w:tcW w:w="1004"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条</w:t>
            </w:r>
          </w:p>
        </w:tc>
        <w:tc>
          <w:tcPr>
            <w:tcW w:w="1367"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365" w:type="dxa"/>
            <w:tcBorders>
              <w:top w:val="nil"/>
              <w:left w:val="nil"/>
              <w:bottom w:val="single" w:color="auto" w:sz="4" w:space="0"/>
              <w:right w:val="single" w:color="auto" w:sz="4" w:space="0"/>
            </w:tcBorders>
            <w:vAlign w:val="center"/>
          </w:tcPr>
          <w:p>
            <w:pPr>
              <w:spacing w:after="0" w:line="400" w:lineRule="exact"/>
              <w:jc w:val="center"/>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1162"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6</w:t>
            </w:r>
          </w:p>
        </w:tc>
        <w:tc>
          <w:tcPr>
            <w:tcW w:w="3649"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笔记本电脑</w:t>
            </w:r>
          </w:p>
        </w:tc>
        <w:tc>
          <w:tcPr>
            <w:tcW w:w="1004"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台</w:t>
            </w:r>
          </w:p>
        </w:tc>
        <w:tc>
          <w:tcPr>
            <w:tcW w:w="1367"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12</w:t>
            </w:r>
          </w:p>
        </w:tc>
        <w:tc>
          <w:tcPr>
            <w:tcW w:w="1365" w:type="dxa"/>
            <w:tcBorders>
              <w:top w:val="nil"/>
              <w:left w:val="nil"/>
              <w:bottom w:val="single" w:color="auto" w:sz="4" w:space="0"/>
              <w:right w:val="single" w:color="auto" w:sz="4" w:space="0"/>
            </w:tcBorders>
            <w:vAlign w:val="center"/>
          </w:tcPr>
          <w:p>
            <w:pPr>
              <w:spacing w:after="0" w:line="400" w:lineRule="exact"/>
              <w:jc w:val="center"/>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997" w:hRule="atLeast"/>
        </w:trPr>
        <w:tc>
          <w:tcPr>
            <w:tcW w:w="1137" w:type="dxa"/>
            <w:tcBorders>
              <w:top w:val="nil"/>
              <w:left w:val="single" w:color="auto" w:sz="4" w:space="0"/>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7</w:t>
            </w:r>
          </w:p>
        </w:tc>
        <w:tc>
          <w:tcPr>
            <w:tcW w:w="3649"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等级保护评测（三级）</w:t>
            </w:r>
          </w:p>
        </w:tc>
        <w:tc>
          <w:tcPr>
            <w:tcW w:w="1004"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次</w:t>
            </w:r>
          </w:p>
        </w:tc>
        <w:tc>
          <w:tcPr>
            <w:tcW w:w="1367" w:type="dxa"/>
            <w:tcBorders>
              <w:top w:val="nil"/>
              <w:left w:val="nil"/>
              <w:bottom w:val="single" w:color="auto" w:sz="4" w:space="0"/>
              <w:right w:val="single" w:color="auto" w:sz="4" w:space="0"/>
            </w:tcBorders>
            <w:shd w:val="clear" w:color="auto"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365" w:type="dxa"/>
            <w:tcBorders>
              <w:top w:val="nil"/>
              <w:left w:val="nil"/>
              <w:bottom w:val="single" w:color="auto" w:sz="4" w:space="0"/>
              <w:right w:val="single" w:color="auto" w:sz="4" w:space="0"/>
            </w:tcBorders>
            <w:vAlign w:val="center"/>
          </w:tcPr>
          <w:p>
            <w:pPr>
              <w:spacing w:after="0" w:line="400" w:lineRule="exact"/>
              <w:jc w:val="center"/>
              <w:rPr>
                <w:rFonts w:hint="eastAsia" w:ascii="仿宋" w:hAnsi="仿宋" w:eastAsia="仿宋" w:cs="仿宋"/>
                <w:sz w:val="24"/>
                <w:szCs w:val="24"/>
              </w:rPr>
            </w:pPr>
          </w:p>
        </w:tc>
      </w:tr>
    </w:tbl>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adjustRightInd/>
        <w:snapToGrid/>
        <w:spacing w:line="220" w:lineRule="atLeast"/>
        <w:rPr>
          <w:rFonts w:hint="eastAsia" w:ascii="仿宋" w:hAnsi="仿宋" w:eastAsia="仿宋" w:cs="仿宋"/>
          <w:sz w:val="24"/>
          <w:szCs w:val="24"/>
        </w:rPr>
      </w:pPr>
      <w:r>
        <w:rPr>
          <w:rFonts w:hint="eastAsia" w:ascii="仿宋" w:hAnsi="仿宋" w:eastAsia="仿宋" w:cs="仿宋"/>
          <w:sz w:val="24"/>
          <w:szCs w:val="24"/>
        </w:rPr>
        <w:br w:type="page"/>
      </w:r>
    </w:p>
    <w:p>
      <w:pPr>
        <w:jc w:val="center"/>
        <w:rPr>
          <w:rFonts w:hint="eastAsia" w:ascii="仿宋" w:hAnsi="仿宋" w:eastAsia="仿宋" w:cs="仿宋"/>
          <w:sz w:val="24"/>
          <w:szCs w:val="24"/>
        </w:rPr>
      </w:pPr>
      <w:r>
        <w:rPr>
          <w:rFonts w:hint="eastAsia" w:ascii="仿宋" w:hAnsi="仿宋" w:eastAsia="仿宋" w:cs="仿宋"/>
          <w:sz w:val="24"/>
          <w:szCs w:val="24"/>
        </w:rPr>
        <w:t>设备参数</w:t>
      </w:r>
    </w:p>
    <w:p>
      <w:pPr>
        <w:outlineLvl w:val="0"/>
        <w:rPr>
          <w:rFonts w:hint="eastAsia" w:ascii="仿宋" w:hAnsi="仿宋" w:eastAsia="仿宋" w:cs="仿宋"/>
          <w:b/>
          <w:sz w:val="24"/>
          <w:szCs w:val="24"/>
        </w:rPr>
      </w:pPr>
      <w:r>
        <w:rPr>
          <w:rFonts w:hint="eastAsia" w:ascii="仿宋" w:hAnsi="仿宋" w:eastAsia="仿宋" w:cs="仿宋"/>
          <w:b/>
          <w:sz w:val="24"/>
          <w:szCs w:val="24"/>
        </w:rPr>
        <w:t>1、综合安全网关（1台）</w:t>
      </w:r>
    </w:p>
    <w:tbl>
      <w:tblPr>
        <w:tblStyle w:val="36"/>
        <w:tblW w:w="8648" w:type="dxa"/>
        <w:jc w:val="center"/>
        <w:tblInd w:w="7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6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31"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技术指标</w:t>
            </w:r>
          </w:p>
        </w:tc>
        <w:tc>
          <w:tcPr>
            <w:tcW w:w="6917" w:type="dxa"/>
            <w:tcBorders>
              <w:top w:val="single" w:color="auto" w:sz="4" w:space="0"/>
              <w:left w:val="single" w:color="auto" w:sz="4" w:space="0"/>
              <w:bottom w:val="single" w:color="auto" w:sz="4" w:space="0"/>
              <w:right w:val="single" w:color="auto" w:sz="4" w:space="0"/>
            </w:tcBorders>
            <w:vAlign w:val="center"/>
          </w:tcPr>
          <w:p>
            <w:pPr>
              <w:spacing w:after="0" w:line="400" w:lineRule="exact"/>
              <w:ind w:firstLine="33"/>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产品架构</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采用多级交换架构，控制平面与转发平面分离设计，主控板、业务板、交换网板三者占用不同的机箱物理槽位且采用正交设计；主控板槽位数≥2个；业务板槽位数≥8个；独立交换网板槽位数≥4个；须提供设备正面和背面清晰截图及槽位分布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★性能</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为保证产品性能，采用多核高性能处理器，单块业务板卡业务性能每秒新建连接数≥30万、最大并发连接数≥2000万，为保证数据真实可靠性，提供工信部下属第三方检测报告复印件。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路由功能</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支持IPv4静态路由、RIP V1/V2、OSPF、BGP等，支持IPv6静态路由、RIPng、OSPFv3、BGP4+等路由协议。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安全防护功能</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支持多种安全防护功能，包括但不限于Land、Smurf、UDP Snork attack、Large ICMP Traffic 、Ping of Death、Tiny Fragment 、Tear Drop、IP Spoofing、IP分片报文、ARP欺骗、ARP主动反向查询、TCP报文标志位不合法、超大ICMP报文、地址扫描、端口扫描等攻击防范，还能够针对SYN Flood、UPD Flood、ICMP Flood、DNS Flood、CC等常见DDoS类攻击的安全防御。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★安全功能</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支持基于用户、应用的多维安全策略配置，并提供一体化安全策略配置模板（单条策略融合IPS、AV、负载均衡、应用识别等多业务）。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黑名单</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支持静态和动态黑名单功能。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731" w:type="dxa"/>
            <w:tcBorders>
              <w:top w:val="single" w:color="auto" w:sz="4" w:space="0"/>
              <w:left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NAT功能</w:t>
            </w:r>
          </w:p>
        </w:tc>
        <w:tc>
          <w:tcPr>
            <w:tcW w:w="6917" w:type="dxa"/>
            <w:tcBorders>
              <w:top w:val="single" w:color="auto" w:sz="4" w:space="0"/>
              <w:left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支持静态NAT、源地址NAT、目的地址NAT、NAT ALG等功能。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731" w:type="dxa"/>
            <w:tcBorders>
              <w:top w:val="single" w:color="auto" w:sz="4" w:space="0"/>
              <w:left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VPN功能</w:t>
            </w:r>
          </w:p>
        </w:tc>
        <w:tc>
          <w:tcPr>
            <w:tcW w:w="6917" w:type="dxa"/>
            <w:tcBorders>
              <w:top w:val="single" w:color="auto" w:sz="4" w:space="0"/>
              <w:left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支持VPN功能，包括L2TP、IPSec、GRE、MPLS VPN等。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可靠性</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支持Active/Active和Active/Passive两种工作模式，实现负载分担和业务备份，用于提高系统可靠性。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统一管理</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支持统一管理功能，无需对每块板卡进行IP地址规划，用于节省IP地址、减化部署，并能够实现配置管理、性能监控和日志审计等功能。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★集群功能</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支持两框集群和四框集群，支持异构集群，集群之后的设备可以统一管理，即一个管理IP，提供工信部下属第三方检测报告复印件。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★安全销 售许可证</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所投产品非交换机配置安全板卡形态，整机具备公安部《计算机信息系统安全专用产品销售许可证》提供证书复印件。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★配置要求</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双主控、满配交换网板，内置冗余交流电源，配置万兆光接口≥32个，所有端口均为独立可用端口；配置8个万兆多模光模块；配置高性能安全插卡一块，配置负载均衡授权，AV防病毒授权，应用识别授权。</w:t>
            </w:r>
          </w:p>
        </w:tc>
      </w:tr>
    </w:tbl>
    <w:p>
      <w:pPr>
        <w:ind w:left="424" w:leftChars="202" w:right="567" w:firstLine="360" w:firstLineChars="150"/>
        <w:rPr>
          <w:rFonts w:hint="eastAsia" w:ascii="仿宋" w:hAnsi="仿宋" w:eastAsia="仿宋" w:cs="仿宋"/>
          <w:sz w:val="24"/>
          <w:szCs w:val="24"/>
        </w:rPr>
      </w:pPr>
    </w:p>
    <w:p>
      <w:pPr>
        <w:ind w:right="567"/>
        <w:jc w:val="both"/>
        <w:rPr>
          <w:rFonts w:hint="eastAsia" w:ascii="仿宋" w:hAnsi="仿宋" w:eastAsia="仿宋" w:cs="仿宋"/>
          <w:sz w:val="24"/>
          <w:szCs w:val="24"/>
        </w:rPr>
      </w:pPr>
      <w:r>
        <w:rPr>
          <w:rFonts w:hint="eastAsia" w:ascii="仿宋" w:hAnsi="仿宋" w:eastAsia="仿宋" w:cs="仿宋"/>
          <w:b/>
          <w:sz w:val="24"/>
          <w:szCs w:val="24"/>
        </w:rPr>
        <w:t>2、可信安全网关边界（2台）</w:t>
      </w:r>
    </w:p>
    <w:tbl>
      <w:tblPr>
        <w:tblStyle w:val="36"/>
        <w:tblW w:w="8648" w:type="dxa"/>
        <w:jc w:val="center"/>
        <w:tblInd w:w="7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6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173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int="eastAsia" w:ascii="仿宋" w:hAnsi="仿宋" w:eastAsia="仿宋" w:cs="仿宋"/>
                <w:b/>
                <w:sz w:val="24"/>
                <w:szCs w:val="24"/>
              </w:rPr>
            </w:pPr>
            <w:r>
              <w:rPr>
                <w:rFonts w:hint="eastAsia" w:ascii="仿宋" w:hAnsi="仿宋" w:eastAsia="仿宋" w:cs="仿宋"/>
                <w:b/>
                <w:sz w:val="24"/>
                <w:szCs w:val="24"/>
              </w:rPr>
              <w:t>技术指标</w:t>
            </w:r>
          </w:p>
        </w:tc>
        <w:tc>
          <w:tcPr>
            <w:tcW w:w="6917" w:type="dxa"/>
            <w:tcBorders>
              <w:top w:val="single" w:color="auto" w:sz="4" w:space="0"/>
              <w:left w:val="single" w:color="auto" w:sz="4" w:space="0"/>
              <w:bottom w:val="single" w:color="auto" w:sz="4" w:space="0"/>
              <w:right w:val="single" w:color="auto" w:sz="4" w:space="0"/>
            </w:tcBorders>
            <w:vAlign w:val="bottom"/>
          </w:tcPr>
          <w:p>
            <w:pPr>
              <w:spacing w:line="312" w:lineRule="auto"/>
              <w:ind w:firstLine="480"/>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731" w:type="dxa"/>
            <w:tcBorders>
              <w:top w:val="single" w:color="auto" w:sz="4" w:space="0"/>
              <w:left w:val="single" w:color="auto" w:sz="4" w:space="0"/>
              <w:bottom w:val="single" w:color="auto" w:sz="4" w:space="0"/>
              <w:right w:val="single" w:color="auto" w:sz="4" w:space="0"/>
            </w:tcBorders>
            <w:shd w:val="solid" w:color="FFFFFF"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产品架构</w:t>
            </w:r>
          </w:p>
        </w:tc>
        <w:tc>
          <w:tcPr>
            <w:tcW w:w="6917" w:type="dxa"/>
            <w:tcBorders>
              <w:top w:val="single" w:color="auto" w:sz="4" w:space="0"/>
              <w:left w:val="single" w:color="auto" w:sz="4" w:space="0"/>
              <w:bottom w:val="single" w:color="auto" w:sz="4" w:space="0"/>
              <w:right w:val="single" w:color="auto" w:sz="4" w:space="0"/>
            </w:tcBorders>
            <w:shd w:val="solid" w:color="FFFFFF" w:fill="auto"/>
            <w:vAlign w:val="center"/>
          </w:tcPr>
          <w:p>
            <w:pPr>
              <w:rPr>
                <w:rFonts w:hint="eastAsia" w:ascii="仿宋" w:hAnsi="仿宋" w:eastAsia="仿宋" w:cs="仿宋"/>
                <w:sz w:val="24"/>
                <w:szCs w:val="24"/>
              </w:rPr>
            </w:pPr>
            <w:r>
              <w:rPr>
                <w:rFonts w:hint="eastAsia" w:ascii="仿宋" w:hAnsi="仿宋" w:eastAsia="仿宋" w:cs="仿宋"/>
                <w:sz w:val="24"/>
                <w:szCs w:val="24"/>
              </w:rPr>
              <w:t>机架式,双电源，≥6个10/100/1000M BASE-T端口，≥6个SFP光纤接口插槽，整机吞吐率：≥ 10Gbps，最大并发连接数：≥ 320万,并发用户数：≥ 5000；含光模块，支持网关向终端下发访问控制策略，用于隔离电子政务网与互联网；可以实现终端设备的硬件信息采集和接入审批流程；支持支持Radius、LDAP、AD、CA证书等认证方式，支持与电子政务网账号统一管控；</w:t>
            </w:r>
          </w:p>
        </w:tc>
      </w:tr>
    </w:tbl>
    <w:p>
      <w:pPr>
        <w:pStyle w:val="14"/>
        <w:ind w:firstLine="0" w:firstLineChars="0"/>
        <w:rPr>
          <w:rFonts w:hint="eastAsia" w:ascii="仿宋" w:hAnsi="仿宋" w:eastAsia="仿宋" w:cs="仿宋"/>
          <w:b/>
          <w:sz w:val="24"/>
          <w:szCs w:val="24"/>
        </w:rPr>
      </w:pPr>
    </w:p>
    <w:p>
      <w:pPr>
        <w:pStyle w:val="14"/>
        <w:ind w:firstLine="0" w:firstLineChars="0"/>
        <w:rPr>
          <w:rFonts w:hint="eastAsia" w:ascii="仿宋" w:hAnsi="仿宋" w:eastAsia="仿宋" w:cs="仿宋"/>
          <w:b/>
          <w:sz w:val="24"/>
          <w:szCs w:val="24"/>
        </w:rPr>
      </w:pPr>
      <w:r>
        <w:rPr>
          <w:rFonts w:hint="eastAsia" w:ascii="仿宋" w:hAnsi="仿宋" w:eastAsia="仿宋" w:cs="仿宋"/>
          <w:b/>
          <w:sz w:val="24"/>
          <w:szCs w:val="24"/>
        </w:rPr>
        <w:t>3、异常流量清洗（2台）</w:t>
      </w:r>
    </w:p>
    <w:tbl>
      <w:tblPr>
        <w:tblStyle w:val="36"/>
        <w:tblpPr w:leftFromText="180" w:rightFromText="180" w:vertAnchor="text" w:tblpY="1"/>
        <w:tblOverlap w:val="never"/>
        <w:tblW w:w="8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int="eastAsia" w:ascii="仿宋" w:hAnsi="仿宋" w:eastAsia="仿宋" w:cs="仿宋"/>
                <w:b/>
                <w:sz w:val="24"/>
                <w:szCs w:val="24"/>
              </w:rPr>
            </w:pPr>
            <w:r>
              <w:rPr>
                <w:rFonts w:hint="eastAsia" w:ascii="仿宋" w:hAnsi="仿宋" w:eastAsia="仿宋" w:cs="仿宋"/>
                <w:b/>
                <w:sz w:val="24"/>
                <w:szCs w:val="24"/>
              </w:rPr>
              <w:t>技术指标</w:t>
            </w:r>
          </w:p>
        </w:tc>
        <w:tc>
          <w:tcPr>
            <w:tcW w:w="6980" w:type="dxa"/>
            <w:tcBorders>
              <w:top w:val="single" w:color="auto" w:sz="4" w:space="0"/>
              <w:left w:val="single" w:color="auto" w:sz="4" w:space="0"/>
              <w:bottom w:val="single" w:color="auto" w:sz="4" w:space="0"/>
              <w:right w:val="single" w:color="auto" w:sz="4" w:space="0"/>
            </w:tcBorders>
            <w:vAlign w:val="center"/>
          </w:tcPr>
          <w:p>
            <w:pPr>
              <w:spacing w:line="312" w:lineRule="auto"/>
              <w:ind w:firstLine="480"/>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668" w:type="dxa"/>
            <w:tcBorders>
              <w:top w:val="single" w:color="auto" w:sz="4" w:space="0"/>
              <w:left w:val="single" w:color="auto" w:sz="4" w:space="0"/>
              <w:bottom w:val="single" w:color="auto" w:sz="4" w:space="0"/>
              <w:right w:val="single" w:color="auto" w:sz="4" w:space="0"/>
            </w:tcBorders>
            <w:shd w:val="solid" w:color="FFFFFF" w:fill="auto"/>
            <w:vAlign w:val="center"/>
          </w:tcPr>
          <w:p>
            <w:pPr>
              <w:rPr>
                <w:rFonts w:hint="eastAsia" w:ascii="仿宋" w:hAnsi="仿宋" w:eastAsia="仿宋" w:cs="仿宋"/>
                <w:sz w:val="24"/>
                <w:szCs w:val="24"/>
              </w:rPr>
            </w:pPr>
            <w:r>
              <w:rPr>
                <w:rFonts w:hint="eastAsia" w:ascii="仿宋" w:hAnsi="仿宋" w:eastAsia="仿宋" w:cs="仿宋"/>
                <w:sz w:val="24"/>
                <w:szCs w:val="24"/>
              </w:rPr>
              <w:t>产品架构</w:t>
            </w:r>
          </w:p>
        </w:tc>
        <w:tc>
          <w:tcPr>
            <w:tcW w:w="6980" w:type="dxa"/>
            <w:tcBorders>
              <w:top w:val="single" w:color="auto" w:sz="4" w:space="0"/>
              <w:left w:val="single" w:color="auto" w:sz="4" w:space="0"/>
              <w:bottom w:val="single" w:color="auto" w:sz="4" w:space="0"/>
              <w:right w:val="single" w:color="auto" w:sz="4" w:space="0"/>
            </w:tcBorders>
            <w:shd w:val="solid" w:color="FFFFFF" w:fill="auto"/>
            <w:vAlign w:val="center"/>
          </w:tcPr>
          <w:p>
            <w:pPr>
              <w:rPr>
                <w:rFonts w:hint="eastAsia" w:ascii="仿宋" w:hAnsi="仿宋" w:eastAsia="仿宋" w:cs="仿宋"/>
                <w:sz w:val="24"/>
                <w:szCs w:val="24"/>
              </w:rPr>
            </w:pPr>
            <w:r>
              <w:rPr>
                <w:rFonts w:hint="eastAsia" w:ascii="仿宋" w:hAnsi="仿宋" w:eastAsia="仿宋" w:cs="仿宋"/>
                <w:sz w:val="24"/>
                <w:szCs w:val="24"/>
              </w:rPr>
              <w:t>机架式，双电源，≥4个千兆电口，≥4个千兆光口，支持bypass，网络吞吐量≥5Gbps,抗攻击能力≥100万pps,含光模块，防御流量型、应用型、工具箱flood泛洪攻击行为，异常流量清洗，防止DDOS攻击。</w:t>
            </w:r>
          </w:p>
        </w:tc>
      </w:tr>
    </w:tbl>
    <w:p>
      <w:pPr>
        <w:pStyle w:val="14"/>
        <w:ind w:left="630" w:leftChars="300" w:firstLine="120" w:firstLineChars="50"/>
        <w:rPr>
          <w:rFonts w:hint="eastAsia" w:ascii="仿宋" w:hAnsi="仿宋" w:eastAsia="仿宋" w:cs="仿宋"/>
          <w:b/>
          <w:sz w:val="24"/>
          <w:szCs w:val="24"/>
        </w:rPr>
      </w:pPr>
      <w:r>
        <w:rPr>
          <w:rFonts w:hint="eastAsia" w:ascii="仿宋" w:hAnsi="仿宋" w:eastAsia="仿宋" w:cs="仿宋"/>
          <w:sz w:val="24"/>
          <w:szCs w:val="24"/>
        </w:rPr>
        <w:br w:type="textWrapping" w:clear="all"/>
      </w:r>
    </w:p>
    <w:p>
      <w:pPr>
        <w:pStyle w:val="14"/>
        <w:ind w:firstLine="0" w:firstLineChars="0"/>
        <w:rPr>
          <w:rFonts w:hint="eastAsia" w:ascii="仿宋" w:hAnsi="仿宋" w:eastAsia="仿宋" w:cs="仿宋"/>
          <w:b/>
          <w:sz w:val="24"/>
          <w:szCs w:val="24"/>
        </w:rPr>
      </w:pPr>
      <w:r>
        <w:rPr>
          <w:rFonts w:hint="eastAsia" w:ascii="仿宋" w:hAnsi="仿宋" w:eastAsia="仿宋" w:cs="仿宋"/>
          <w:b/>
          <w:sz w:val="24"/>
          <w:szCs w:val="24"/>
        </w:rPr>
        <w:t>4、统一运维管理系统（2台）</w:t>
      </w:r>
    </w:p>
    <w:p>
      <w:pPr>
        <w:pStyle w:val="14"/>
        <w:ind w:left="630" w:leftChars="300" w:firstLine="120" w:firstLineChars="50"/>
        <w:rPr>
          <w:rFonts w:hint="eastAsia" w:ascii="仿宋" w:hAnsi="仿宋" w:eastAsia="仿宋" w:cs="仿宋"/>
          <w:sz w:val="24"/>
          <w:szCs w:val="24"/>
        </w:rPr>
      </w:pPr>
    </w:p>
    <w:tbl>
      <w:tblPr>
        <w:tblStyle w:val="36"/>
        <w:tblW w:w="8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12" w:lineRule="auto"/>
              <w:rPr>
                <w:rFonts w:hint="eastAsia" w:ascii="仿宋" w:hAnsi="仿宋" w:eastAsia="仿宋" w:cs="仿宋"/>
                <w:b/>
                <w:sz w:val="24"/>
                <w:szCs w:val="24"/>
              </w:rPr>
            </w:pPr>
            <w:r>
              <w:rPr>
                <w:rFonts w:hint="eastAsia" w:ascii="仿宋" w:hAnsi="仿宋" w:eastAsia="仿宋" w:cs="仿宋"/>
                <w:b/>
                <w:sz w:val="24"/>
                <w:szCs w:val="24"/>
              </w:rPr>
              <w:t>技术指标</w:t>
            </w:r>
          </w:p>
        </w:tc>
        <w:tc>
          <w:tcPr>
            <w:tcW w:w="6980" w:type="dxa"/>
            <w:tcBorders>
              <w:top w:val="single" w:color="auto" w:sz="4" w:space="0"/>
              <w:left w:val="single" w:color="auto" w:sz="4" w:space="0"/>
              <w:bottom w:val="single" w:color="auto" w:sz="4" w:space="0"/>
              <w:right w:val="single" w:color="auto" w:sz="4" w:space="0"/>
            </w:tcBorders>
            <w:vAlign w:val="center"/>
          </w:tcPr>
          <w:p>
            <w:pPr>
              <w:spacing w:line="312" w:lineRule="auto"/>
              <w:ind w:firstLine="480"/>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668" w:type="dxa"/>
            <w:tcBorders>
              <w:top w:val="single" w:color="auto" w:sz="4" w:space="0"/>
              <w:left w:val="single" w:color="auto" w:sz="4" w:space="0"/>
              <w:bottom w:val="single" w:color="auto" w:sz="4" w:space="0"/>
              <w:right w:val="single" w:color="auto" w:sz="4" w:space="0"/>
            </w:tcBorders>
            <w:shd w:val="solid" w:color="FFFFFF" w:fill="auto"/>
            <w:vAlign w:val="center"/>
          </w:tcPr>
          <w:p>
            <w:pPr>
              <w:rPr>
                <w:rFonts w:hint="eastAsia" w:ascii="仿宋" w:hAnsi="仿宋" w:eastAsia="仿宋" w:cs="仿宋"/>
                <w:sz w:val="24"/>
                <w:szCs w:val="24"/>
              </w:rPr>
            </w:pPr>
            <w:r>
              <w:rPr>
                <w:rFonts w:hint="eastAsia" w:ascii="仿宋" w:hAnsi="仿宋" w:eastAsia="仿宋" w:cs="仿宋"/>
                <w:sz w:val="24"/>
                <w:szCs w:val="24"/>
              </w:rPr>
              <w:t>产品架构</w:t>
            </w:r>
          </w:p>
        </w:tc>
        <w:tc>
          <w:tcPr>
            <w:tcW w:w="6980" w:type="dxa"/>
            <w:tcBorders>
              <w:top w:val="single" w:color="auto" w:sz="4" w:space="0"/>
              <w:left w:val="single" w:color="auto" w:sz="4" w:space="0"/>
              <w:bottom w:val="single" w:color="auto" w:sz="4" w:space="0"/>
              <w:right w:val="single" w:color="auto" w:sz="4" w:space="0"/>
            </w:tcBorders>
            <w:shd w:val="solid" w:color="FFFFFF" w:fill="auto"/>
            <w:vAlign w:val="center"/>
          </w:tcPr>
          <w:p>
            <w:pPr>
              <w:rPr>
                <w:rFonts w:hint="eastAsia" w:ascii="仿宋" w:hAnsi="仿宋" w:eastAsia="仿宋" w:cs="仿宋"/>
                <w:sz w:val="24"/>
                <w:szCs w:val="24"/>
              </w:rPr>
            </w:pPr>
            <w:r>
              <w:rPr>
                <w:rFonts w:hint="eastAsia" w:ascii="仿宋" w:hAnsi="仿宋" w:eastAsia="仿宋" w:cs="仿宋"/>
                <w:sz w:val="24"/>
                <w:szCs w:val="24"/>
              </w:rPr>
              <w:t>1U标准机架式，单电源，专用千兆硬件平台和安全操作系统，≥6个千兆电口，1个管理口，2个USB接口，存储容量1TB。</w:t>
            </w:r>
          </w:p>
        </w:tc>
      </w:tr>
    </w:tbl>
    <w:p>
      <w:pPr>
        <w:jc w:val="center"/>
        <w:rPr>
          <w:rFonts w:hint="eastAsia" w:ascii="仿宋" w:hAnsi="仿宋" w:eastAsia="仿宋" w:cs="仿宋"/>
          <w:sz w:val="24"/>
          <w:szCs w:val="24"/>
        </w:rPr>
      </w:pPr>
    </w:p>
    <w:p>
      <w:pPr>
        <w:rPr>
          <w:rFonts w:hint="eastAsia" w:ascii="仿宋" w:hAnsi="仿宋" w:eastAsia="仿宋" w:cs="仿宋"/>
          <w:b/>
          <w:sz w:val="24"/>
          <w:szCs w:val="24"/>
        </w:rPr>
      </w:pPr>
      <w:r>
        <w:rPr>
          <w:rFonts w:hint="eastAsia" w:ascii="仿宋" w:hAnsi="仿宋" w:eastAsia="仿宋" w:cs="仿宋"/>
          <w:b/>
          <w:sz w:val="24"/>
          <w:szCs w:val="24"/>
        </w:rPr>
        <w:t>5、笔记本（12台）</w:t>
      </w:r>
    </w:p>
    <w:tbl>
      <w:tblPr>
        <w:tblStyle w:val="36"/>
        <w:tblW w:w="8790" w:type="dxa"/>
        <w:jc w:val="center"/>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6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屏幕尺寸</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13.3英寸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分辨率</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1920x1080像素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运行内存</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8GB DDR4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存储容量</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256GB 固态硬盘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电池容量</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大于40Wh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处理器</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第八代智能英特尔® 酷睿 i5-8250U 处理器及以上处理器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显卡</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NVIDIA GeForce MX150 2GB显存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可视角度</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大于175度的宽广视角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对比度</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800比1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亮度</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大于等于200尼特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护眼模式</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040" w:type="dxa"/>
            <w:shd w:val="clear" w:color="auto" w:fill="auto"/>
            <w:vAlign w:val="bottom"/>
          </w:tcPr>
          <w:p>
            <w:pPr>
              <w:adjustRightInd/>
              <w:snapToGrid/>
              <w:spacing w:after="0"/>
              <w:jc w:val="center"/>
              <w:rPr>
                <w:rFonts w:hint="eastAsia" w:ascii="仿宋" w:hAnsi="仿宋" w:eastAsia="仿宋" w:cs="仿宋"/>
                <w:sz w:val="24"/>
                <w:szCs w:val="24"/>
              </w:rPr>
            </w:pPr>
            <w:r>
              <w:rPr>
                <w:rFonts w:hint="eastAsia" w:ascii="仿宋" w:hAnsi="仿宋" w:eastAsia="仿宋" w:cs="仿宋"/>
                <w:sz w:val="24"/>
                <w:szCs w:val="24"/>
              </w:rPr>
              <w:t>WLAN</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支持IEEE 802.11a/b/g/n/ac，2.4和5GHz 2x2 MIMO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蓝牙传输</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USB接口</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支持USB3.0接口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其他接口</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支持HDMI标准接口输出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snapToGrid/>
              <w:spacing w:after="0"/>
              <w:ind w:firstLine="240" w:firstLineChars="100"/>
              <w:rPr>
                <w:rFonts w:hint="eastAsia" w:ascii="仿宋" w:hAnsi="仿宋" w:eastAsia="仿宋" w:cs="仿宋"/>
                <w:sz w:val="24"/>
                <w:szCs w:val="24"/>
              </w:rPr>
            </w:pPr>
            <w:r>
              <w:rPr>
                <w:rFonts w:hint="eastAsia" w:ascii="仿宋" w:hAnsi="仿宋" w:eastAsia="仿宋" w:cs="仿宋"/>
                <w:sz w:val="24"/>
                <w:szCs w:val="24"/>
              </w:rPr>
              <w:t>其他要求</w:t>
            </w:r>
          </w:p>
        </w:tc>
        <w:tc>
          <w:tcPr>
            <w:tcW w:w="6750" w:type="dxa"/>
            <w:shd w:val="clear" w:color="auto" w:fill="auto"/>
            <w:vAlign w:val="bottom"/>
          </w:tcPr>
          <w:p>
            <w:pPr>
              <w:adjustRightInd/>
              <w:snapToGrid/>
              <w:spacing w:after="0"/>
              <w:rPr>
                <w:rFonts w:hint="eastAsia" w:ascii="仿宋" w:hAnsi="仿宋" w:eastAsia="仿宋" w:cs="仿宋"/>
                <w:sz w:val="24"/>
                <w:szCs w:val="24"/>
              </w:rPr>
            </w:pPr>
            <w:r>
              <w:rPr>
                <w:rFonts w:hint="eastAsia" w:ascii="仿宋" w:hAnsi="仿宋" w:eastAsia="仿宋" w:cs="仿宋"/>
                <w:sz w:val="24"/>
                <w:szCs w:val="24"/>
              </w:rPr>
              <w:t>厚度不能大于18毫米</w:t>
            </w:r>
          </w:p>
        </w:tc>
      </w:tr>
    </w:tbl>
    <w:p>
      <w:pPr>
        <w:rPr>
          <w:rFonts w:hint="eastAsia" w:ascii="仿宋" w:hAnsi="仿宋" w:eastAsia="仿宋" w:cs="仿宋"/>
          <w:b/>
          <w:sz w:val="24"/>
          <w:szCs w:val="24"/>
        </w:rPr>
      </w:pPr>
    </w:p>
    <w:p>
      <w:pPr>
        <w:ind w:left="424" w:leftChars="202" w:right="567" w:firstLine="2"/>
        <w:rPr>
          <w:rFonts w:hint="eastAsia" w:ascii="仿宋" w:hAnsi="仿宋" w:eastAsia="仿宋" w:cs="仿宋"/>
          <w:b/>
          <w:bCs/>
          <w:sz w:val="24"/>
          <w:szCs w:val="24"/>
          <w:lang w:val="zh-CN"/>
        </w:rPr>
      </w:pPr>
      <w:r>
        <w:rPr>
          <w:rFonts w:hint="eastAsia" w:ascii="仿宋" w:hAnsi="仿宋" w:eastAsia="仿宋" w:cs="仿宋"/>
          <w:b/>
          <w:bCs/>
          <w:sz w:val="24"/>
          <w:szCs w:val="24"/>
          <w:lang w:val="zh-CN"/>
        </w:rPr>
        <w:t>第一标段其它要求：</w:t>
      </w:r>
    </w:p>
    <w:p>
      <w:pPr>
        <w:ind w:right="-58" w:firstLine="709"/>
        <w:rPr>
          <w:rFonts w:hint="eastAsia" w:ascii="仿宋" w:hAnsi="仿宋" w:eastAsia="仿宋" w:cs="仿宋"/>
          <w:sz w:val="24"/>
          <w:szCs w:val="24"/>
          <w:lang w:val="zh-CN"/>
        </w:rPr>
      </w:pPr>
      <w:r>
        <w:rPr>
          <w:rFonts w:hint="eastAsia" w:ascii="仿宋" w:hAnsi="仿宋" w:eastAsia="仿宋" w:cs="仿宋"/>
          <w:sz w:val="24"/>
          <w:szCs w:val="24"/>
          <w:lang w:val="zh-CN"/>
        </w:rPr>
        <w:t>1、投标人须明确投标产品的厂家、产地、品牌、型号、详细参数，否则为无效投标。</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2、本招标文件所列需求为最低要求，投标产品不得低于最低要求，否则为无效投标。</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3、</w:t>
      </w:r>
      <w:r>
        <w:rPr>
          <w:rFonts w:hint="eastAsia" w:ascii="仿宋" w:hAnsi="仿宋" w:eastAsia="仿宋" w:cs="仿宋"/>
          <w:sz w:val="24"/>
          <w:szCs w:val="24"/>
        </w:rPr>
        <w:t>可信安全网关边界、异常流量清洗、统一运维管理系统为本项目的核心产品。</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4、投标人应就该项目完整投标，否则为无效投标。</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5、招标文件列明不允许或未列明允许进口产品参加投标的，均视为拒绝进口产品参加投标。</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6</w:t>
      </w:r>
      <w:r>
        <w:rPr>
          <w:rFonts w:hint="eastAsia" w:ascii="仿宋" w:hAnsi="仿宋" w:eastAsia="仿宋" w:cs="仿宋"/>
          <w:sz w:val="24"/>
          <w:szCs w:val="24"/>
          <w:lang w:val="zh-CN"/>
        </w:rPr>
        <w:t>、产品必须符合国家质量检测标准和本招标文件规定标准的全新正品现货，提供随货物《产品合格证》及其它相关质量证明文件。</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7</w:t>
      </w:r>
      <w:r>
        <w:rPr>
          <w:rFonts w:hint="eastAsia" w:ascii="仿宋" w:hAnsi="仿宋" w:eastAsia="仿宋" w:cs="仿宋"/>
          <w:sz w:val="24"/>
          <w:szCs w:val="24"/>
          <w:lang w:val="zh-CN"/>
        </w:rPr>
        <w:t>、专利权：投标人应</w:t>
      </w:r>
      <w:r>
        <w:rPr>
          <w:rFonts w:hint="eastAsia" w:ascii="仿宋" w:hAnsi="仿宋" w:eastAsia="仿宋" w:cs="仿宋"/>
          <w:sz w:val="24"/>
          <w:szCs w:val="24"/>
        </w:rPr>
        <w:t>承诺</w:t>
      </w:r>
      <w:r>
        <w:rPr>
          <w:rFonts w:hint="eastAsia" w:ascii="仿宋" w:hAnsi="仿宋" w:eastAsia="仿宋" w:cs="仿宋"/>
          <w:sz w:val="24"/>
          <w:szCs w:val="24"/>
          <w:lang w:val="zh-CN"/>
        </w:rPr>
        <w:t>用户在使用该货物或其任何一部分时不受第三方提出侵犯其专利权、商标权和工业设计权等的起诉。</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8</w:t>
      </w:r>
      <w:r>
        <w:rPr>
          <w:rFonts w:hint="eastAsia" w:ascii="仿宋" w:hAnsi="仿宋" w:eastAsia="仿宋" w:cs="仿宋"/>
          <w:sz w:val="24"/>
          <w:szCs w:val="24"/>
          <w:lang w:val="zh-CN"/>
        </w:rPr>
        <w:t>、投标人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rPr>
        <w:t>9</w:t>
      </w:r>
      <w:r>
        <w:rPr>
          <w:rFonts w:hint="eastAsia" w:ascii="仿宋" w:hAnsi="仿宋" w:eastAsia="仿宋" w:cs="仿宋"/>
          <w:sz w:val="24"/>
          <w:szCs w:val="24"/>
          <w:lang w:val="zh-CN"/>
        </w:rPr>
        <w:t>、投标人须明确维修点地址、负责人、联系人和联系电话等详细资料。</w:t>
      </w:r>
    </w:p>
    <w:p>
      <w:pPr>
        <w:spacing w:after="0"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w:t>
      </w:r>
      <w:r>
        <w:rPr>
          <w:rFonts w:hint="eastAsia" w:ascii="仿宋" w:hAnsi="仿宋" w:eastAsia="仿宋" w:cs="仿宋"/>
          <w:sz w:val="24"/>
          <w:szCs w:val="24"/>
          <w:lang w:val="zh-CN"/>
        </w:rPr>
        <w:t>、中标后，合同签订之前，中标方</w:t>
      </w:r>
      <w:r>
        <w:rPr>
          <w:rFonts w:hint="eastAsia" w:ascii="仿宋" w:hAnsi="仿宋" w:eastAsia="仿宋" w:cs="仿宋"/>
          <w:sz w:val="24"/>
          <w:szCs w:val="24"/>
        </w:rPr>
        <w:t>根据业主需求提供2条千兆带宽固定IP的互联网线路，如提供的线路不符合要求，则取消其中标资格。</w:t>
      </w:r>
    </w:p>
    <w:p>
      <w:pPr>
        <w:spacing w:after="0" w:line="600" w:lineRule="exact"/>
        <w:ind w:firstLine="480" w:firstLineChars="200"/>
        <w:rPr>
          <w:rFonts w:hint="eastAsia" w:ascii="仿宋" w:hAnsi="仿宋" w:eastAsia="仿宋" w:cs="仿宋"/>
          <w:sz w:val="24"/>
          <w:szCs w:val="24"/>
          <w:lang w:val="zh-CN"/>
        </w:rPr>
      </w:pPr>
      <w:r>
        <w:rPr>
          <w:rFonts w:hint="eastAsia" w:ascii="仿宋" w:hAnsi="仿宋" w:eastAsia="仿宋" w:cs="仿宋"/>
          <w:sz w:val="24"/>
          <w:szCs w:val="24"/>
          <w:lang w:val="zh-CN"/>
        </w:rPr>
        <w:t>11、本项目为交钥匙工程（包括设备、材料、元件、</w:t>
      </w:r>
      <w:r>
        <w:rPr>
          <w:rFonts w:hint="eastAsia" w:ascii="仿宋" w:hAnsi="仿宋" w:eastAsia="仿宋" w:cs="仿宋"/>
          <w:sz w:val="24"/>
          <w:szCs w:val="24"/>
        </w:rPr>
        <w:t>设备机柜、三级等保、线路</w:t>
      </w:r>
      <w:r>
        <w:rPr>
          <w:rFonts w:hint="eastAsia" w:ascii="仿宋" w:hAnsi="仿宋" w:eastAsia="仿宋" w:cs="仿宋"/>
          <w:sz w:val="24"/>
          <w:szCs w:val="24"/>
          <w:lang w:val="zh-CN"/>
        </w:rPr>
        <w:t>等购置、安装调试、验收、</w:t>
      </w:r>
      <w:r>
        <w:rPr>
          <w:rFonts w:hint="eastAsia" w:ascii="仿宋" w:hAnsi="仿宋" w:eastAsia="仿宋" w:cs="仿宋"/>
          <w:sz w:val="24"/>
          <w:szCs w:val="24"/>
        </w:rPr>
        <w:t>线路改造及</w:t>
      </w:r>
      <w:r>
        <w:rPr>
          <w:rFonts w:hint="eastAsia" w:ascii="仿宋" w:hAnsi="仿宋" w:eastAsia="仿宋" w:cs="仿宋"/>
          <w:sz w:val="24"/>
          <w:szCs w:val="24"/>
          <w:lang w:val="zh-CN"/>
        </w:rPr>
        <w:t xml:space="preserve">与其它施工单位协作所产生的费用等），项目完工后，中标方应组织业主方相关工作人员进行系统培训，培训方式及时间由中标方和业主方共同商定。 </w:t>
      </w:r>
    </w:p>
    <w:p>
      <w:pPr>
        <w:spacing w:after="0"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zh-CN"/>
        </w:rPr>
        <w:t>1</w:t>
      </w:r>
      <w:r>
        <w:rPr>
          <w:rFonts w:hint="eastAsia" w:ascii="仿宋" w:hAnsi="仿宋" w:eastAsia="仿宋" w:cs="仿宋"/>
          <w:sz w:val="24"/>
          <w:szCs w:val="24"/>
        </w:rPr>
        <w:t>2</w:t>
      </w:r>
      <w:r>
        <w:rPr>
          <w:rFonts w:hint="eastAsia" w:ascii="仿宋" w:hAnsi="仿宋" w:eastAsia="仿宋" w:cs="仿宋"/>
          <w:sz w:val="24"/>
          <w:szCs w:val="24"/>
          <w:lang w:val="zh-CN"/>
        </w:rPr>
        <w:t>、</w:t>
      </w:r>
      <w:r>
        <w:rPr>
          <w:rFonts w:hint="eastAsia" w:ascii="仿宋" w:hAnsi="仿宋" w:eastAsia="仿宋" w:cs="仿宋"/>
          <w:sz w:val="24"/>
          <w:szCs w:val="24"/>
        </w:rPr>
        <w:t>付款方式（不响应者为无效投标）</w:t>
      </w:r>
    </w:p>
    <w:p>
      <w:pPr>
        <w:spacing w:after="0"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经验收合格付合同总价款的90%，5%满一年无质量问题一次付清，剩余5%为免费服务质保金，免费服务期结束无问题后付清余额。</w:t>
      </w:r>
    </w:p>
    <w:p>
      <w:pPr>
        <w:adjustRightInd/>
        <w:snapToGrid/>
        <w:spacing w:line="22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13、预算金额上限：安全出口设备预算180万元，三级等保预算15万元，互联网千兆线路出口预算120万元，超出者为无效投标。</w:t>
      </w:r>
    </w:p>
    <w:p>
      <w:pPr>
        <w:adjustRightInd/>
        <w:snapToGrid/>
        <w:spacing w:line="22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14、投标商必须由法定代表人或委托代理人参加开标会议，随时接受评标委员会询问，并予作出书面解答。</w:t>
      </w:r>
    </w:p>
    <w:p>
      <w:pPr>
        <w:adjustRightInd/>
        <w:snapToGrid/>
        <w:spacing w:line="22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15、验收标准</w:t>
      </w:r>
    </w:p>
    <w:p>
      <w:pPr>
        <w:adjustRightInd/>
        <w:snapToGrid/>
        <w:spacing w:line="220" w:lineRule="atLeast"/>
        <w:rPr>
          <w:rFonts w:hint="eastAsia" w:ascii="仿宋" w:hAnsi="仿宋" w:eastAsia="仿宋" w:cs="仿宋"/>
          <w:sz w:val="24"/>
          <w:szCs w:val="24"/>
        </w:rPr>
      </w:pPr>
      <w:r>
        <w:rPr>
          <w:rFonts w:hint="eastAsia" w:ascii="仿宋" w:hAnsi="仿宋" w:eastAsia="仿宋" w:cs="仿宋"/>
          <w:sz w:val="24"/>
          <w:szCs w:val="24"/>
        </w:rPr>
        <w:t>（1）由采购人成立验收小组,按照采购合同的约定对中标人履约情况进行验收。验收时,按照采购合同的约定对每一项技术、服务、安全标准的履约情况进行确认。验收结束后,出具验收报告,列明各项标准的验收情况及项目总体评价,由验收双方共同签署。</w:t>
      </w:r>
    </w:p>
    <w:p>
      <w:pPr>
        <w:adjustRightInd/>
        <w:snapToGrid/>
        <w:spacing w:line="220" w:lineRule="atLeast"/>
        <w:rPr>
          <w:rFonts w:hint="eastAsia" w:ascii="仿宋" w:hAnsi="仿宋" w:eastAsia="仿宋" w:cs="仿宋"/>
          <w:sz w:val="24"/>
          <w:szCs w:val="24"/>
          <w:lang w:eastAsia="zh-CN"/>
        </w:rPr>
      </w:pPr>
      <w:r>
        <w:rPr>
          <w:rFonts w:hint="eastAsia" w:ascii="仿宋" w:hAnsi="仿宋" w:eastAsia="仿宋" w:cs="仿宋"/>
          <w:sz w:val="24"/>
          <w:szCs w:val="24"/>
        </w:rPr>
        <w:t>（2）按照招标文件要求、投标文件响应和承诺验收。</w:t>
      </w:r>
      <w:r>
        <w:rPr>
          <w:rFonts w:hint="eastAsia" w:ascii="仿宋" w:hAnsi="仿宋" w:eastAsia="仿宋" w:cs="仿宋"/>
          <w:sz w:val="24"/>
          <w:szCs w:val="24"/>
        </w:rPr>
        <w:br w:type="page"/>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第二标段：各局委安全设备</w:t>
      </w:r>
    </w:p>
    <w:tbl>
      <w:tblPr>
        <w:tblStyle w:val="36"/>
        <w:tblW w:w="8832" w:type="dxa"/>
        <w:jc w:val="center"/>
        <w:tblInd w:w="0" w:type="dxa"/>
        <w:tblLayout w:type="fixed"/>
        <w:tblCellMar>
          <w:top w:w="0" w:type="dxa"/>
          <w:left w:w="108" w:type="dxa"/>
          <w:bottom w:w="0" w:type="dxa"/>
          <w:right w:w="108" w:type="dxa"/>
        </w:tblCellMar>
      </w:tblPr>
      <w:tblGrid>
        <w:gridCol w:w="827"/>
        <w:gridCol w:w="1705"/>
        <w:gridCol w:w="2439"/>
        <w:gridCol w:w="860"/>
        <w:gridCol w:w="904"/>
        <w:gridCol w:w="2097"/>
      </w:tblGrid>
      <w:tr>
        <w:tblPrEx>
          <w:tblLayout w:type="fixed"/>
          <w:tblCellMar>
            <w:top w:w="0" w:type="dxa"/>
            <w:left w:w="108" w:type="dxa"/>
            <w:bottom w:w="0" w:type="dxa"/>
            <w:right w:w="108" w:type="dxa"/>
          </w:tblCellMar>
        </w:tblPrEx>
        <w:trPr>
          <w:trHeight w:val="520" w:hRule="atLeast"/>
          <w:jc w:val="center"/>
        </w:trPr>
        <w:tc>
          <w:tcPr>
            <w:tcW w:w="827" w:type="dxa"/>
            <w:tcBorders>
              <w:top w:val="single" w:color="auto" w:sz="4" w:space="0"/>
              <w:left w:val="single" w:color="auto" w:sz="4" w:space="0"/>
              <w:bottom w:val="single" w:color="auto" w:sz="4" w:space="0"/>
              <w:right w:val="single" w:color="auto" w:sz="4" w:space="0"/>
            </w:tcBorders>
            <w:shd w:val="clear" w:color="000000" w:fill="DCE6F1"/>
            <w:vAlign w:val="center"/>
          </w:tcPr>
          <w:p>
            <w:pPr>
              <w:spacing w:line="280" w:lineRule="exact"/>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4144" w:type="dxa"/>
            <w:gridSpan w:val="2"/>
            <w:tcBorders>
              <w:top w:val="single" w:color="auto" w:sz="4" w:space="0"/>
              <w:left w:val="nil"/>
              <w:bottom w:val="single" w:color="auto" w:sz="4" w:space="0"/>
              <w:right w:val="single" w:color="auto" w:sz="4" w:space="0"/>
            </w:tcBorders>
            <w:shd w:val="clear" w:color="000000" w:fill="DCE6F1"/>
            <w:vAlign w:val="center"/>
          </w:tcPr>
          <w:p>
            <w:pPr>
              <w:spacing w:line="280" w:lineRule="exact"/>
              <w:ind w:firstLine="562"/>
              <w:jc w:val="center"/>
              <w:rPr>
                <w:rFonts w:hint="eastAsia" w:ascii="仿宋" w:hAnsi="仿宋" w:eastAsia="仿宋" w:cs="仿宋"/>
                <w:b/>
                <w:bCs/>
                <w:sz w:val="24"/>
                <w:szCs w:val="24"/>
              </w:rPr>
            </w:pPr>
            <w:r>
              <w:rPr>
                <w:rFonts w:hint="eastAsia" w:ascii="仿宋" w:hAnsi="仿宋" w:eastAsia="仿宋" w:cs="仿宋"/>
                <w:b/>
                <w:bCs/>
                <w:sz w:val="24"/>
                <w:szCs w:val="24"/>
              </w:rPr>
              <w:t>名称</w:t>
            </w:r>
          </w:p>
        </w:tc>
        <w:tc>
          <w:tcPr>
            <w:tcW w:w="860" w:type="dxa"/>
            <w:tcBorders>
              <w:top w:val="single" w:color="auto" w:sz="4" w:space="0"/>
              <w:left w:val="nil"/>
              <w:bottom w:val="single" w:color="auto" w:sz="4" w:space="0"/>
              <w:right w:val="single" w:color="auto" w:sz="4" w:space="0"/>
            </w:tcBorders>
            <w:shd w:val="clear" w:color="000000" w:fill="DCE6F1"/>
            <w:vAlign w:val="center"/>
          </w:tcPr>
          <w:p>
            <w:pPr>
              <w:spacing w:line="280" w:lineRule="exact"/>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单位</w:t>
            </w:r>
          </w:p>
        </w:tc>
        <w:tc>
          <w:tcPr>
            <w:tcW w:w="904" w:type="dxa"/>
            <w:tcBorders>
              <w:top w:val="single" w:color="auto" w:sz="4" w:space="0"/>
              <w:left w:val="nil"/>
              <w:bottom w:val="single" w:color="auto" w:sz="4" w:space="0"/>
              <w:right w:val="single" w:color="auto" w:sz="4" w:space="0"/>
            </w:tcBorders>
            <w:shd w:val="clear" w:color="000000" w:fill="DCE6F1"/>
            <w:vAlign w:val="center"/>
          </w:tcPr>
          <w:p>
            <w:pPr>
              <w:spacing w:line="280" w:lineRule="exact"/>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2097" w:type="dxa"/>
            <w:tcBorders>
              <w:top w:val="single" w:color="auto" w:sz="4" w:space="0"/>
              <w:left w:val="nil"/>
              <w:bottom w:val="single" w:color="auto" w:sz="4" w:space="0"/>
              <w:right w:val="single" w:color="auto" w:sz="4" w:space="0"/>
            </w:tcBorders>
            <w:shd w:val="clear" w:color="000000" w:fill="DCE6F1"/>
            <w:vAlign w:val="center"/>
          </w:tcPr>
          <w:p>
            <w:pPr>
              <w:spacing w:line="280" w:lineRule="exact"/>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是否核心设备</w:t>
            </w:r>
          </w:p>
        </w:tc>
      </w:tr>
      <w:tr>
        <w:tblPrEx>
          <w:tblLayout w:type="fixed"/>
          <w:tblCellMar>
            <w:top w:w="0" w:type="dxa"/>
            <w:left w:w="108" w:type="dxa"/>
            <w:bottom w:w="0" w:type="dxa"/>
            <w:right w:w="108" w:type="dxa"/>
          </w:tblCellMar>
        </w:tblPrEx>
        <w:trPr>
          <w:trHeight w:val="520" w:hRule="atLeast"/>
          <w:jc w:val="center"/>
        </w:trPr>
        <w:tc>
          <w:tcPr>
            <w:tcW w:w="827" w:type="dxa"/>
            <w:vMerge w:val="restart"/>
            <w:tcBorders>
              <w:top w:val="nil"/>
              <w:left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w:t>
            </w:r>
          </w:p>
        </w:tc>
        <w:tc>
          <w:tcPr>
            <w:tcW w:w="1705" w:type="dxa"/>
            <w:vMerge w:val="restart"/>
            <w:tcBorders>
              <w:top w:val="nil"/>
              <w:left w:val="nil"/>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500单位</w:t>
            </w:r>
          </w:p>
        </w:tc>
        <w:tc>
          <w:tcPr>
            <w:tcW w:w="2439"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路由器</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Chars="-18" w:hanging="28" w:hangingChars="12"/>
              <w:jc w:val="center"/>
              <w:rPr>
                <w:rFonts w:hint="eastAsia" w:ascii="仿宋" w:hAnsi="仿宋" w:eastAsia="仿宋" w:cs="仿宋"/>
                <w:sz w:val="24"/>
                <w:szCs w:val="24"/>
              </w:rPr>
            </w:pPr>
            <w:r>
              <w:rPr>
                <w:rFonts w:hint="eastAsia" w:ascii="仿宋" w:hAnsi="仿宋" w:eastAsia="仿宋" w:cs="仿宋"/>
                <w:sz w:val="24"/>
                <w:szCs w:val="24"/>
              </w:rPr>
              <w:t>10</w:t>
            </w:r>
          </w:p>
        </w:tc>
        <w:tc>
          <w:tcPr>
            <w:tcW w:w="2097" w:type="dxa"/>
            <w:tcBorders>
              <w:top w:val="single" w:color="auto" w:sz="4" w:space="0"/>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vMerge w:val="continue"/>
            <w:tcBorders>
              <w:left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p>
        </w:tc>
        <w:tc>
          <w:tcPr>
            <w:tcW w:w="1705" w:type="dxa"/>
            <w:vMerge w:val="continue"/>
            <w:tcBorders>
              <w:left w:val="nil"/>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p>
        </w:tc>
        <w:tc>
          <w:tcPr>
            <w:tcW w:w="2439"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接入交换机</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Chars="-18" w:hanging="28" w:hangingChars="12"/>
              <w:jc w:val="center"/>
              <w:rPr>
                <w:rFonts w:hint="eastAsia" w:ascii="仿宋" w:hAnsi="仿宋" w:eastAsia="仿宋" w:cs="仿宋"/>
                <w:sz w:val="24"/>
                <w:szCs w:val="24"/>
              </w:rPr>
            </w:pPr>
            <w:r>
              <w:rPr>
                <w:rFonts w:hint="eastAsia" w:ascii="仿宋" w:hAnsi="仿宋" w:eastAsia="仿宋" w:cs="仿宋"/>
                <w:sz w:val="24"/>
                <w:szCs w:val="24"/>
              </w:rPr>
              <w:t>10</w:t>
            </w:r>
          </w:p>
        </w:tc>
        <w:tc>
          <w:tcPr>
            <w:tcW w:w="2097" w:type="dxa"/>
            <w:tcBorders>
              <w:top w:val="single" w:color="auto" w:sz="4" w:space="0"/>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vMerge w:val="continue"/>
            <w:tcBorders>
              <w:left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p>
        </w:tc>
        <w:tc>
          <w:tcPr>
            <w:tcW w:w="1705" w:type="dxa"/>
            <w:vMerge w:val="continue"/>
            <w:tcBorders>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p>
        </w:tc>
        <w:tc>
          <w:tcPr>
            <w:tcW w:w="2439"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安全设备</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Chars="-18" w:hanging="28" w:hangingChars="12"/>
              <w:jc w:val="center"/>
              <w:rPr>
                <w:rFonts w:hint="eastAsia" w:ascii="仿宋" w:hAnsi="仿宋" w:eastAsia="仿宋" w:cs="仿宋"/>
                <w:sz w:val="24"/>
                <w:szCs w:val="24"/>
              </w:rPr>
            </w:pPr>
            <w:r>
              <w:rPr>
                <w:rFonts w:hint="eastAsia" w:ascii="仿宋" w:hAnsi="仿宋" w:eastAsia="仿宋" w:cs="仿宋"/>
                <w:sz w:val="24"/>
                <w:szCs w:val="24"/>
              </w:rPr>
              <w:t>10</w:t>
            </w:r>
          </w:p>
        </w:tc>
        <w:tc>
          <w:tcPr>
            <w:tcW w:w="2097" w:type="dxa"/>
            <w:tcBorders>
              <w:top w:val="single" w:color="auto" w:sz="4" w:space="0"/>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是</w:t>
            </w:r>
          </w:p>
        </w:tc>
      </w:tr>
      <w:tr>
        <w:tblPrEx>
          <w:tblLayout w:type="fixed"/>
          <w:tblCellMar>
            <w:top w:w="0" w:type="dxa"/>
            <w:left w:w="108" w:type="dxa"/>
            <w:bottom w:w="0" w:type="dxa"/>
            <w:right w:w="108" w:type="dxa"/>
          </w:tblCellMar>
        </w:tblPrEx>
        <w:trPr>
          <w:trHeight w:val="520" w:hRule="atLeast"/>
          <w:jc w:val="center"/>
        </w:trPr>
        <w:tc>
          <w:tcPr>
            <w:tcW w:w="827" w:type="dxa"/>
            <w:vMerge w:val="continue"/>
            <w:tcBorders>
              <w:left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p>
        </w:tc>
        <w:tc>
          <w:tcPr>
            <w:tcW w:w="1705" w:type="dxa"/>
            <w:vMerge w:val="restart"/>
            <w:tcBorders>
              <w:top w:val="nil"/>
              <w:left w:val="nil"/>
              <w:right w:val="single" w:color="auto" w:sz="4" w:space="0"/>
            </w:tcBorders>
            <w:shd w:val="clear" w:color="auto" w:fill="auto"/>
            <w:vAlign w:val="center"/>
          </w:tcPr>
          <w:p>
            <w:pPr>
              <w:spacing w:line="280" w:lineRule="exact"/>
              <w:ind w:left="-166" w:leftChars="-79" w:firstLine="122" w:firstLineChars="51"/>
              <w:jc w:val="center"/>
              <w:rPr>
                <w:rFonts w:hint="eastAsia" w:ascii="仿宋" w:hAnsi="仿宋" w:eastAsia="仿宋" w:cs="仿宋"/>
                <w:sz w:val="24"/>
                <w:szCs w:val="24"/>
              </w:rPr>
            </w:pPr>
            <w:r>
              <w:rPr>
                <w:rFonts w:hint="eastAsia" w:ascii="仿宋" w:hAnsi="仿宋" w:eastAsia="仿宋" w:cs="仿宋"/>
                <w:sz w:val="24"/>
                <w:szCs w:val="24"/>
              </w:rPr>
              <w:t>300单位</w:t>
            </w:r>
          </w:p>
        </w:tc>
        <w:tc>
          <w:tcPr>
            <w:tcW w:w="2439"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路由器</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Chars="-18" w:hanging="28" w:hangingChars="12"/>
              <w:jc w:val="center"/>
              <w:rPr>
                <w:rFonts w:hint="eastAsia" w:ascii="仿宋" w:hAnsi="仿宋" w:eastAsia="仿宋" w:cs="仿宋"/>
                <w:sz w:val="24"/>
                <w:szCs w:val="24"/>
              </w:rPr>
            </w:pPr>
            <w:r>
              <w:rPr>
                <w:rFonts w:hint="eastAsia" w:ascii="仿宋" w:hAnsi="仿宋" w:eastAsia="仿宋" w:cs="仿宋"/>
                <w:sz w:val="24"/>
                <w:szCs w:val="24"/>
              </w:rPr>
              <w:t>20</w:t>
            </w:r>
          </w:p>
        </w:tc>
        <w:tc>
          <w:tcPr>
            <w:tcW w:w="2097" w:type="dxa"/>
            <w:tcBorders>
              <w:top w:val="single" w:color="auto" w:sz="4" w:space="0"/>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vMerge w:val="continue"/>
            <w:tcBorders>
              <w:left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p>
        </w:tc>
        <w:tc>
          <w:tcPr>
            <w:tcW w:w="1705" w:type="dxa"/>
            <w:vMerge w:val="continue"/>
            <w:tcBorders>
              <w:left w:val="nil"/>
              <w:right w:val="single" w:color="auto" w:sz="4" w:space="0"/>
            </w:tcBorders>
            <w:shd w:val="clear" w:color="auto" w:fill="auto"/>
            <w:vAlign w:val="center"/>
          </w:tcPr>
          <w:p>
            <w:pPr>
              <w:spacing w:line="280" w:lineRule="exact"/>
              <w:ind w:left="-166" w:leftChars="-79" w:firstLine="122" w:firstLineChars="51"/>
              <w:jc w:val="center"/>
              <w:rPr>
                <w:rFonts w:hint="eastAsia" w:ascii="仿宋" w:hAnsi="仿宋" w:eastAsia="仿宋" w:cs="仿宋"/>
                <w:sz w:val="24"/>
                <w:szCs w:val="24"/>
              </w:rPr>
            </w:pPr>
          </w:p>
        </w:tc>
        <w:tc>
          <w:tcPr>
            <w:tcW w:w="2439"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接入交换机</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Chars="-18" w:hanging="28" w:hangingChars="12"/>
              <w:jc w:val="center"/>
              <w:rPr>
                <w:rFonts w:hint="eastAsia" w:ascii="仿宋" w:hAnsi="仿宋" w:eastAsia="仿宋" w:cs="仿宋"/>
                <w:sz w:val="24"/>
                <w:szCs w:val="24"/>
              </w:rPr>
            </w:pPr>
            <w:r>
              <w:rPr>
                <w:rFonts w:hint="eastAsia" w:ascii="仿宋" w:hAnsi="仿宋" w:eastAsia="仿宋" w:cs="仿宋"/>
                <w:sz w:val="24"/>
                <w:szCs w:val="24"/>
              </w:rPr>
              <w:t>20</w:t>
            </w:r>
          </w:p>
        </w:tc>
        <w:tc>
          <w:tcPr>
            <w:tcW w:w="2097" w:type="dxa"/>
            <w:tcBorders>
              <w:top w:val="single" w:color="auto" w:sz="4" w:space="0"/>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vMerge w:val="continue"/>
            <w:tcBorders>
              <w:left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p>
        </w:tc>
        <w:tc>
          <w:tcPr>
            <w:tcW w:w="1705" w:type="dxa"/>
            <w:vMerge w:val="continue"/>
            <w:tcBorders>
              <w:left w:val="nil"/>
              <w:bottom w:val="single" w:color="auto" w:sz="4" w:space="0"/>
              <w:right w:val="single" w:color="auto" w:sz="4" w:space="0"/>
            </w:tcBorders>
            <w:shd w:val="clear" w:color="auto" w:fill="auto"/>
            <w:vAlign w:val="center"/>
          </w:tcPr>
          <w:p>
            <w:pPr>
              <w:spacing w:line="280" w:lineRule="exact"/>
              <w:ind w:left="-166" w:leftChars="-79" w:firstLine="122" w:firstLineChars="51"/>
              <w:jc w:val="center"/>
              <w:rPr>
                <w:rFonts w:hint="eastAsia" w:ascii="仿宋" w:hAnsi="仿宋" w:eastAsia="仿宋" w:cs="仿宋"/>
                <w:sz w:val="24"/>
                <w:szCs w:val="24"/>
              </w:rPr>
            </w:pPr>
          </w:p>
        </w:tc>
        <w:tc>
          <w:tcPr>
            <w:tcW w:w="2439"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安全设备</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Chars="-18" w:hanging="28" w:hangingChars="12"/>
              <w:jc w:val="center"/>
              <w:rPr>
                <w:rFonts w:hint="eastAsia" w:ascii="仿宋" w:hAnsi="仿宋" w:eastAsia="仿宋" w:cs="仿宋"/>
                <w:sz w:val="24"/>
                <w:szCs w:val="24"/>
              </w:rPr>
            </w:pPr>
            <w:r>
              <w:rPr>
                <w:rFonts w:hint="eastAsia" w:ascii="仿宋" w:hAnsi="仿宋" w:eastAsia="仿宋" w:cs="仿宋"/>
                <w:sz w:val="24"/>
                <w:szCs w:val="24"/>
              </w:rPr>
              <w:t>20</w:t>
            </w:r>
          </w:p>
        </w:tc>
        <w:tc>
          <w:tcPr>
            <w:tcW w:w="2097" w:type="dxa"/>
            <w:tcBorders>
              <w:top w:val="single" w:color="auto" w:sz="4" w:space="0"/>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是</w:t>
            </w:r>
          </w:p>
        </w:tc>
      </w:tr>
      <w:tr>
        <w:tblPrEx>
          <w:tblLayout w:type="fixed"/>
          <w:tblCellMar>
            <w:top w:w="0" w:type="dxa"/>
            <w:left w:w="108" w:type="dxa"/>
            <w:bottom w:w="0" w:type="dxa"/>
            <w:right w:w="108" w:type="dxa"/>
          </w:tblCellMar>
        </w:tblPrEx>
        <w:trPr>
          <w:trHeight w:val="520" w:hRule="atLeast"/>
          <w:jc w:val="center"/>
        </w:trPr>
        <w:tc>
          <w:tcPr>
            <w:tcW w:w="827" w:type="dxa"/>
            <w:vMerge w:val="continue"/>
            <w:tcBorders>
              <w:left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p>
        </w:tc>
        <w:tc>
          <w:tcPr>
            <w:tcW w:w="1705" w:type="dxa"/>
            <w:vMerge w:val="restart"/>
            <w:tcBorders>
              <w:top w:val="nil"/>
              <w:left w:val="nil"/>
              <w:right w:val="single" w:color="auto" w:sz="4" w:space="0"/>
            </w:tcBorders>
            <w:shd w:val="clear" w:color="auto" w:fill="auto"/>
            <w:vAlign w:val="center"/>
          </w:tcPr>
          <w:p>
            <w:pPr>
              <w:spacing w:line="280" w:lineRule="exact"/>
              <w:ind w:left="-166" w:leftChars="-79" w:firstLine="122" w:firstLineChars="51"/>
              <w:jc w:val="center"/>
              <w:rPr>
                <w:rFonts w:hint="eastAsia" w:ascii="仿宋" w:hAnsi="仿宋" w:eastAsia="仿宋" w:cs="仿宋"/>
                <w:sz w:val="24"/>
                <w:szCs w:val="24"/>
              </w:rPr>
            </w:pPr>
            <w:r>
              <w:rPr>
                <w:rFonts w:hint="eastAsia" w:ascii="仿宋" w:hAnsi="仿宋" w:eastAsia="仿宋" w:cs="仿宋"/>
                <w:sz w:val="24"/>
                <w:szCs w:val="24"/>
              </w:rPr>
              <w:t>100单位</w:t>
            </w:r>
          </w:p>
        </w:tc>
        <w:tc>
          <w:tcPr>
            <w:tcW w:w="2439" w:type="dxa"/>
            <w:tcBorders>
              <w:top w:val="nil"/>
              <w:left w:val="nil"/>
              <w:bottom w:val="single" w:color="auto" w:sz="4" w:space="0"/>
              <w:right w:val="single" w:color="auto" w:sz="4" w:space="0"/>
            </w:tcBorders>
            <w:shd w:val="clear" w:color="auto" w:fill="auto"/>
            <w:vAlign w:val="center"/>
          </w:tcPr>
          <w:p>
            <w:pPr>
              <w:spacing w:line="280" w:lineRule="exact"/>
              <w:ind w:left="-166" w:leftChars="-79" w:firstLine="122" w:firstLineChars="51"/>
              <w:jc w:val="center"/>
              <w:rPr>
                <w:rFonts w:hint="eastAsia" w:ascii="仿宋" w:hAnsi="仿宋" w:eastAsia="仿宋" w:cs="仿宋"/>
                <w:sz w:val="24"/>
                <w:szCs w:val="24"/>
              </w:rPr>
            </w:pPr>
            <w:r>
              <w:rPr>
                <w:rFonts w:hint="eastAsia" w:ascii="仿宋" w:hAnsi="仿宋" w:eastAsia="仿宋" w:cs="仿宋"/>
                <w:sz w:val="24"/>
                <w:szCs w:val="24"/>
              </w:rPr>
              <w:t>路由器</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Chars="-18" w:hanging="28" w:hangingChars="12"/>
              <w:jc w:val="center"/>
              <w:rPr>
                <w:rFonts w:hint="eastAsia" w:ascii="仿宋" w:hAnsi="仿宋" w:eastAsia="仿宋" w:cs="仿宋"/>
                <w:sz w:val="24"/>
                <w:szCs w:val="24"/>
              </w:rPr>
            </w:pPr>
            <w:r>
              <w:rPr>
                <w:rFonts w:hint="eastAsia" w:ascii="仿宋" w:hAnsi="仿宋" w:eastAsia="仿宋" w:cs="仿宋"/>
                <w:sz w:val="24"/>
                <w:szCs w:val="24"/>
              </w:rPr>
              <w:t>77</w:t>
            </w:r>
          </w:p>
        </w:tc>
        <w:tc>
          <w:tcPr>
            <w:tcW w:w="2097" w:type="dxa"/>
            <w:tcBorders>
              <w:top w:val="single" w:color="auto" w:sz="4" w:space="0"/>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vMerge w:val="continue"/>
            <w:tcBorders>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p>
        </w:tc>
        <w:tc>
          <w:tcPr>
            <w:tcW w:w="1705" w:type="dxa"/>
            <w:vMerge w:val="continue"/>
            <w:tcBorders>
              <w:left w:val="nil"/>
              <w:bottom w:val="single" w:color="auto" w:sz="4" w:space="0"/>
              <w:right w:val="single" w:color="auto" w:sz="4" w:space="0"/>
            </w:tcBorders>
            <w:shd w:val="clear" w:color="auto" w:fill="auto"/>
            <w:vAlign w:val="center"/>
          </w:tcPr>
          <w:p>
            <w:pPr>
              <w:spacing w:line="280" w:lineRule="exact"/>
              <w:ind w:left="-166" w:leftChars="-79" w:firstLine="122" w:firstLineChars="51"/>
              <w:jc w:val="center"/>
              <w:rPr>
                <w:rFonts w:hint="eastAsia" w:ascii="仿宋" w:hAnsi="仿宋" w:eastAsia="仿宋" w:cs="仿宋"/>
                <w:sz w:val="24"/>
                <w:szCs w:val="24"/>
              </w:rPr>
            </w:pPr>
          </w:p>
        </w:tc>
        <w:tc>
          <w:tcPr>
            <w:tcW w:w="2439" w:type="dxa"/>
            <w:tcBorders>
              <w:top w:val="nil"/>
              <w:left w:val="nil"/>
              <w:bottom w:val="single" w:color="auto" w:sz="4" w:space="0"/>
              <w:right w:val="single" w:color="auto" w:sz="4" w:space="0"/>
            </w:tcBorders>
            <w:shd w:val="clear" w:color="auto" w:fill="auto"/>
            <w:vAlign w:val="center"/>
          </w:tcPr>
          <w:p>
            <w:pPr>
              <w:spacing w:line="280" w:lineRule="exact"/>
              <w:ind w:left="-166" w:leftChars="-79" w:firstLine="122" w:firstLineChars="51"/>
              <w:jc w:val="center"/>
              <w:rPr>
                <w:rFonts w:hint="eastAsia" w:ascii="仿宋" w:hAnsi="仿宋" w:eastAsia="仿宋" w:cs="仿宋"/>
                <w:sz w:val="24"/>
                <w:szCs w:val="24"/>
              </w:rPr>
            </w:pPr>
            <w:r>
              <w:rPr>
                <w:rFonts w:hint="eastAsia" w:ascii="仿宋" w:hAnsi="仿宋" w:eastAsia="仿宋" w:cs="仿宋"/>
                <w:sz w:val="24"/>
                <w:szCs w:val="24"/>
              </w:rPr>
              <w:t>安全设备</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line="280" w:lineRule="exact"/>
              <w:ind w:leftChars="-18" w:hanging="28" w:hangingChars="12"/>
              <w:jc w:val="center"/>
              <w:rPr>
                <w:rFonts w:hint="eastAsia" w:ascii="仿宋" w:hAnsi="仿宋" w:eastAsia="仿宋" w:cs="仿宋"/>
                <w:sz w:val="24"/>
                <w:szCs w:val="24"/>
              </w:rPr>
            </w:pPr>
            <w:r>
              <w:rPr>
                <w:rFonts w:hint="eastAsia" w:ascii="仿宋" w:hAnsi="仿宋" w:eastAsia="仿宋" w:cs="仿宋"/>
                <w:sz w:val="24"/>
                <w:szCs w:val="24"/>
              </w:rPr>
              <w:t>77</w:t>
            </w:r>
          </w:p>
        </w:tc>
        <w:tc>
          <w:tcPr>
            <w:tcW w:w="2097" w:type="dxa"/>
            <w:tcBorders>
              <w:top w:val="single" w:color="auto" w:sz="4" w:space="0"/>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是</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2</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leftChars="-79" w:hanging="124" w:hangingChars="52"/>
              <w:jc w:val="center"/>
              <w:rPr>
                <w:rFonts w:hint="eastAsia" w:ascii="仿宋" w:hAnsi="仿宋" w:eastAsia="仿宋" w:cs="仿宋"/>
                <w:sz w:val="24"/>
                <w:szCs w:val="24"/>
              </w:rPr>
            </w:pPr>
            <w:r>
              <w:rPr>
                <w:rFonts w:hint="eastAsia" w:ascii="仿宋" w:hAnsi="仿宋" w:eastAsia="仿宋" w:cs="仿宋"/>
                <w:sz w:val="24"/>
                <w:szCs w:val="24"/>
              </w:rPr>
              <w:t>40公里红光笔</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left="-28" w:leftChars="-51" w:hanging="79" w:hangingChars="33"/>
              <w:jc w:val="center"/>
              <w:rPr>
                <w:rFonts w:hint="eastAsia" w:ascii="仿宋" w:hAnsi="仿宋" w:eastAsia="仿宋" w:cs="仿宋"/>
                <w:sz w:val="24"/>
                <w:szCs w:val="24"/>
              </w:rPr>
            </w:pPr>
            <w:r>
              <w:rPr>
                <w:rFonts w:hint="eastAsia" w:ascii="仿宋" w:hAnsi="仿宋" w:eastAsia="仿宋" w:cs="仿宋"/>
                <w:sz w:val="24"/>
                <w:szCs w:val="24"/>
              </w:rPr>
              <w:t>个</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32" w:leftChars="-57" w:hanging="88" w:hangingChars="37"/>
              <w:jc w:val="center"/>
              <w:rPr>
                <w:rFonts w:hint="eastAsia" w:ascii="仿宋" w:hAnsi="仿宋" w:eastAsia="仿宋" w:cs="仿宋"/>
                <w:sz w:val="24"/>
                <w:szCs w:val="24"/>
              </w:rPr>
            </w:pPr>
            <w:r>
              <w:rPr>
                <w:rFonts w:hint="eastAsia" w:ascii="仿宋" w:hAnsi="仿宋" w:eastAsia="仿宋" w:cs="仿宋"/>
                <w:sz w:val="24"/>
                <w:szCs w:val="24"/>
              </w:rPr>
              <w:t>2</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3</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leftChars="-79" w:hanging="124" w:hangingChars="52"/>
              <w:jc w:val="center"/>
              <w:rPr>
                <w:rFonts w:hint="eastAsia" w:ascii="仿宋" w:hAnsi="仿宋" w:eastAsia="仿宋" w:cs="仿宋"/>
                <w:sz w:val="24"/>
                <w:szCs w:val="24"/>
              </w:rPr>
            </w:pPr>
            <w:r>
              <w:rPr>
                <w:rFonts w:hint="eastAsia" w:ascii="仿宋" w:hAnsi="仿宋" w:eastAsia="仿宋" w:cs="仿宋"/>
                <w:sz w:val="24"/>
                <w:szCs w:val="24"/>
              </w:rPr>
              <w:t>光纤识别器</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left="-28" w:leftChars="-51" w:hanging="79" w:hangingChars="33"/>
              <w:jc w:val="center"/>
              <w:rPr>
                <w:rFonts w:hint="eastAsia" w:ascii="仿宋" w:hAnsi="仿宋" w:eastAsia="仿宋" w:cs="仿宋"/>
                <w:sz w:val="24"/>
                <w:szCs w:val="24"/>
              </w:rPr>
            </w:pPr>
            <w:r>
              <w:rPr>
                <w:rFonts w:hint="eastAsia" w:ascii="仿宋" w:hAnsi="仿宋" w:eastAsia="仿宋" w:cs="仿宋"/>
                <w:sz w:val="24"/>
                <w:szCs w:val="24"/>
              </w:rPr>
              <w:t>个</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32" w:leftChars="-57" w:hanging="88" w:hangingChars="37"/>
              <w:jc w:val="center"/>
              <w:rPr>
                <w:rFonts w:hint="eastAsia" w:ascii="仿宋" w:hAnsi="仿宋" w:eastAsia="仿宋" w:cs="仿宋"/>
                <w:sz w:val="24"/>
                <w:szCs w:val="24"/>
              </w:rPr>
            </w:pPr>
            <w:r>
              <w:rPr>
                <w:rFonts w:hint="eastAsia" w:ascii="仿宋" w:hAnsi="仿宋" w:eastAsia="仿宋" w:cs="仿宋"/>
                <w:sz w:val="24"/>
                <w:szCs w:val="24"/>
              </w:rPr>
              <w:t>2</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4</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PON光功率计</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left="-28" w:leftChars="-51" w:hanging="79" w:hangingChars="33"/>
              <w:jc w:val="center"/>
              <w:rPr>
                <w:rFonts w:hint="eastAsia" w:ascii="仿宋" w:hAnsi="仿宋" w:eastAsia="仿宋" w:cs="仿宋"/>
                <w:sz w:val="24"/>
                <w:szCs w:val="24"/>
              </w:rPr>
            </w:pPr>
            <w:r>
              <w:rPr>
                <w:rFonts w:hint="eastAsia" w:ascii="仿宋" w:hAnsi="仿宋" w:eastAsia="仿宋" w:cs="仿宋"/>
                <w:sz w:val="24"/>
                <w:szCs w:val="24"/>
              </w:rPr>
              <w:t>个</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32" w:leftChars="-57" w:hanging="88" w:hangingChars="37"/>
              <w:jc w:val="center"/>
              <w:rPr>
                <w:rFonts w:hint="eastAsia" w:ascii="仿宋" w:hAnsi="仿宋" w:eastAsia="仿宋" w:cs="仿宋"/>
                <w:sz w:val="24"/>
                <w:szCs w:val="24"/>
              </w:rPr>
            </w:pPr>
            <w:r>
              <w:rPr>
                <w:rFonts w:hint="eastAsia" w:ascii="仿宋" w:hAnsi="仿宋" w:eastAsia="仿宋" w:cs="仿宋"/>
                <w:sz w:val="24"/>
                <w:szCs w:val="24"/>
              </w:rPr>
              <w:t>2</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5</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光纤熔接机</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178" w:leftChars="-85" w:firstLine="0" w:firstLineChars="0"/>
              <w:jc w:val="center"/>
              <w:rPr>
                <w:rFonts w:hint="eastAsia" w:ascii="仿宋" w:hAnsi="仿宋" w:eastAsia="仿宋" w:cs="仿宋"/>
                <w:sz w:val="24"/>
                <w:szCs w:val="24"/>
              </w:rPr>
            </w:pPr>
            <w:r>
              <w:rPr>
                <w:rFonts w:hint="eastAsia" w:ascii="仿宋" w:hAnsi="仿宋" w:eastAsia="仿宋" w:cs="仿宋"/>
                <w:sz w:val="24"/>
                <w:szCs w:val="24"/>
              </w:rPr>
              <w:t>1</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6</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OTDR</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178" w:leftChars="-85" w:firstLine="0" w:firstLineChars="0"/>
              <w:jc w:val="center"/>
              <w:rPr>
                <w:rFonts w:hint="eastAsia" w:ascii="仿宋" w:hAnsi="仿宋" w:eastAsia="仿宋" w:cs="仿宋"/>
                <w:sz w:val="24"/>
                <w:szCs w:val="24"/>
              </w:rPr>
            </w:pPr>
            <w:r>
              <w:rPr>
                <w:rFonts w:hint="eastAsia" w:ascii="仿宋" w:hAnsi="仿宋" w:eastAsia="仿宋" w:cs="仿宋"/>
                <w:sz w:val="24"/>
                <w:szCs w:val="24"/>
              </w:rPr>
              <w:t>1</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7</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leftChars="-79" w:hanging="124" w:hangingChars="52"/>
              <w:jc w:val="center"/>
              <w:rPr>
                <w:rFonts w:hint="eastAsia" w:ascii="仿宋" w:hAnsi="仿宋" w:eastAsia="仿宋" w:cs="仿宋"/>
                <w:sz w:val="24"/>
                <w:szCs w:val="24"/>
              </w:rPr>
            </w:pPr>
            <w:r>
              <w:rPr>
                <w:rFonts w:hint="eastAsia" w:ascii="仿宋" w:hAnsi="仿宋" w:eastAsia="仿宋" w:cs="仿宋"/>
                <w:sz w:val="24"/>
                <w:szCs w:val="24"/>
              </w:rPr>
              <w:t>4T移动硬盘</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left="-28" w:leftChars="-51" w:hanging="79" w:hangingChars="33"/>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32" w:leftChars="-57" w:hanging="88" w:hangingChars="37"/>
              <w:jc w:val="center"/>
              <w:rPr>
                <w:rFonts w:hint="eastAsia" w:ascii="仿宋" w:hAnsi="仿宋" w:eastAsia="仿宋" w:cs="仿宋"/>
                <w:sz w:val="24"/>
                <w:szCs w:val="24"/>
              </w:rPr>
            </w:pPr>
            <w:r>
              <w:rPr>
                <w:rFonts w:hint="eastAsia" w:ascii="仿宋" w:hAnsi="仿宋" w:eastAsia="仿宋" w:cs="仿宋"/>
                <w:sz w:val="24"/>
                <w:szCs w:val="24"/>
              </w:rPr>
              <w:t>2</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8</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leftChars="-79" w:hanging="124" w:hangingChars="52"/>
              <w:jc w:val="center"/>
              <w:rPr>
                <w:rFonts w:hint="eastAsia" w:ascii="仿宋" w:hAnsi="仿宋" w:eastAsia="仿宋" w:cs="仿宋"/>
                <w:sz w:val="24"/>
                <w:szCs w:val="24"/>
              </w:rPr>
            </w:pPr>
            <w:r>
              <w:rPr>
                <w:rFonts w:hint="eastAsia" w:ascii="仿宋" w:hAnsi="仿宋" w:eastAsia="仿宋" w:cs="仿宋"/>
                <w:sz w:val="24"/>
                <w:szCs w:val="24"/>
              </w:rPr>
              <w:t>1T服务器硬盘</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left="-28" w:leftChars="-51" w:hanging="79" w:hangingChars="33"/>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32" w:leftChars="-57" w:hanging="88" w:hangingChars="37"/>
              <w:jc w:val="center"/>
              <w:rPr>
                <w:rFonts w:hint="eastAsia" w:ascii="仿宋" w:hAnsi="仿宋" w:eastAsia="仿宋" w:cs="仿宋"/>
                <w:sz w:val="24"/>
                <w:szCs w:val="24"/>
              </w:rPr>
            </w:pPr>
            <w:r>
              <w:rPr>
                <w:rFonts w:hint="eastAsia" w:ascii="仿宋" w:hAnsi="仿宋" w:eastAsia="仿宋" w:cs="仿宋"/>
                <w:sz w:val="24"/>
                <w:szCs w:val="24"/>
              </w:rPr>
              <w:t>10</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9</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leftChars="-79" w:hanging="124" w:hangingChars="52"/>
              <w:jc w:val="center"/>
              <w:rPr>
                <w:rFonts w:hint="eastAsia" w:ascii="仿宋" w:hAnsi="仿宋" w:eastAsia="仿宋" w:cs="仿宋"/>
                <w:sz w:val="24"/>
                <w:szCs w:val="24"/>
              </w:rPr>
            </w:pPr>
            <w:r>
              <w:rPr>
                <w:rFonts w:hint="eastAsia" w:ascii="仿宋" w:hAnsi="仿宋" w:eastAsia="仿宋" w:cs="仿宋"/>
                <w:sz w:val="24"/>
                <w:szCs w:val="24"/>
              </w:rPr>
              <w:t>复印打印扫描一体机</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left="-28" w:leftChars="-51" w:hanging="79" w:hangingChars="33"/>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32" w:leftChars="-57" w:hanging="88" w:hangingChars="37"/>
              <w:jc w:val="center"/>
              <w:rPr>
                <w:rFonts w:hint="eastAsia" w:ascii="仿宋" w:hAnsi="仿宋" w:eastAsia="仿宋" w:cs="仿宋"/>
                <w:sz w:val="24"/>
                <w:szCs w:val="24"/>
              </w:rPr>
            </w:pPr>
            <w:r>
              <w:rPr>
                <w:rFonts w:hint="eastAsia" w:ascii="仿宋" w:hAnsi="仿宋" w:eastAsia="仿宋" w:cs="仿宋"/>
                <w:sz w:val="24"/>
                <w:szCs w:val="24"/>
              </w:rPr>
              <w:t>1</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10</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leftChars="-79" w:hanging="124" w:hangingChars="52"/>
              <w:jc w:val="center"/>
              <w:rPr>
                <w:rFonts w:hint="eastAsia" w:ascii="仿宋" w:hAnsi="仿宋" w:eastAsia="仿宋" w:cs="仿宋"/>
                <w:sz w:val="24"/>
                <w:szCs w:val="24"/>
              </w:rPr>
            </w:pPr>
            <w:r>
              <w:rPr>
                <w:rFonts w:hint="eastAsia" w:ascii="仿宋" w:hAnsi="仿宋" w:eastAsia="仿宋" w:cs="仿宋"/>
                <w:sz w:val="24"/>
                <w:szCs w:val="24"/>
              </w:rPr>
              <w:t>相机电池</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left="-28" w:leftChars="-51" w:hanging="79" w:hangingChars="33"/>
              <w:jc w:val="center"/>
              <w:rPr>
                <w:rFonts w:hint="eastAsia" w:ascii="仿宋" w:hAnsi="仿宋" w:eastAsia="仿宋" w:cs="仿宋"/>
                <w:sz w:val="24"/>
                <w:szCs w:val="24"/>
              </w:rPr>
            </w:pPr>
            <w:r>
              <w:rPr>
                <w:rFonts w:hint="eastAsia" w:ascii="仿宋" w:hAnsi="仿宋" w:eastAsia="仿宋" w:cs="仿宋"/>
                <w:sz w:val="24"/>
                <w:szCs w:val="24"/>
              </w:rPr>
              <w:t>块</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32" w:leftChars="-57" w:hanging="88" w:hangingChars="37"/>
              <w:jc w:val="center"/>
              <w:rPr>
                <w:rFonts w:hint="eastAsia" w:ascii="仿宋" w:hAnsi="仿宋" w:eastAsia="仿宋" w:cs="仿宋"/>
                <w:sz w:val="24"/>
                <w:szCs w:val="24"/>
              </w:rPr>
            </w:pPr>
            <w:r>
              <w:rPr>
                <w:rFonts w:hint="eastAsia" w:ascii="仿宋" w:hAnsi="仿宋" w:eastAsia="仿宋" w:cs="仿宋"/>
                <w:sz w:val="24"/>
                <w:szCs w:val="24"/>
              </w:rPr>
              <w:t>5</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11</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leftChars="-79" w:hanging="124" w:hangingChars="52"/>
              <w:jc w:val="center"/>
              <w:rPr>
                <w:rFonts w:hint="eastAsia" w:ascii="仿宋" w:hAnsi="仿宋" w:eastAsia="仿宋" w:cs="仿宋"/>
                <w:sz w:val="24"/>
                <w:szCs w:val="24"/>
              </w:rPr>
            </w:pPr>
            <w:r>
              <w:rPr>
                <w:rFonts w:hint="eastAsia" w:ascii="仿宋" w:hAnsi="仿宋" w:eastAsia="仿宋" w:cs="仿宋"/>
                <w:sz w:val="24"/>
                <w:szCs w:val="24"/>
              </w:rPr>
              <w:t>16G高速CF卡</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left="-28" w:leftChars="-51" w:hanging="79" w:hangingChars="33"/>
              <w:jc w:val="center"/>
              <w:rPr>
                <w:rFonts w:hint="eastAsia" w:ascii="仿宋" w:hAnsi="仿宋" w:eastAsia="仿宋" w:cs="仿宋"/>
                <w:sz w:val="24"/>
                <w:szCs w:val="24"/>
              </w:rPr>
            </w:pPr>
            <w:r>
              <w:rPr>
                <w:rFonts w:hint="eastAsia" w:ascii="仿宋" w:hAnsi="仿宋" w:eastAsia="仿宋" w:cs="仿宋"/>
                <w:sz w:val="24"/>
                <w:szCs w:val="24"/>
              </w:rPr>
              <w:t>块</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32" w:leftChars="-57" w:hanging="88" w:hangingChars="37"/>
              <w:jc w:val="center"/>
              <w:rPr>
                <w:rFonts w:hint="eastAsia" w:ascii="仿宋" w:hAnsi="仿宋" w:eastAsia="仿宋" w:cs="仿宋"/>
                <w:sz w:val="24"/>
                <w:szCs w:val="24"/>
              </w:rPr>
            </w:pPr>
            <w:r>
              <w:rPr>
                <w:rFonts w:hint="eastAsia" w:ascii="仿宋" w:hAnsi="仿宋" w:eastAsia="仿宋" w:cs="仿宋"/>
                <w:sz w:val="24"/>
                <w:szCs w:val="24"/>
              </w:rPr>
              <w:t>2</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12</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笔记本电脑</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left="-28" w:leftChars="-51" w:hanging="79" w:hangingChars="33"/>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left="-32" w:leftChars="-57" w:hanging="88" w:hangingChars="37"/>
              <w:jc w:val="center"/>
              <w:rPr>
                <w:rFonts w:hint="eastAsia" w:ascii="仿宋" w:hAnsi="仿宋" w:eastAsia="仿宋" w:cs="仿宋"/>
                <w:sz w:val="24"/>
                <w:szCs w:val="24"/>
              </w:rPr>
            </w:pPr>
            <w:r>
              <w:rPr>
                <w:rFonts w:hint="eastAsia" w:ascii="仿宋" w:hAnsi="仿宋" w:eastAsia="仿宋" w:cs="仿宋"/>
                <w:sz w:val="24"/>
                <w:szCs w:val="24"/>
              </w:rPr>
              <w:t>12</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13</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相机</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left="-80" w:leftChars="-38"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1</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14</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核心交换机</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1</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15</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网络摄像机</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28</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16</w:t>
            </w:r>
          </w:p>
        </w:tc>
        <w:tc>
          <w:tcPr>
            <w:tcW w:w="4144" w:type="dxa"/>
            <w:gridSpan w:val="2"/>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网络硬盘录像机</w:t>
            </w:r>
          </w:p>
        </w:tc>
        <w:tc>
          <w:tcPr>
            <w:tcW w:w="860"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nil"/>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1</w:t>
            </w:r>
          </w:p>
        </w:tc>
        <w:tc>
          <w:tcPr>
            <w:tcW w:w="2097" w:type="dxa"/>
            <w:tcBorders>
              <w:top w:val="nil"/>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17</w:t>
            </w:r>
          </w:p>
        </w:tc>
        <w:tc>
          <w:tcPr>
            <w:tcW w:w="4144"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6T硬盘</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块</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1</w:t>
            </w:r>
          </w:p>
        </w:tc>
        <w:tc>
          <w:tcPr>
            <w:tcW w:w="2097" w:type="dxa"/>
            <w:tcBorders>
              <w:top w:val="single" w:color="auto" w:sz="4" w:space="0"/>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r>
        <w:tblPrEx>
          <w:tblLayout w:type="fixed"/>
          <w:tblCellMar>
            <w:top w:w="0" w:type="dxa"/>
            <w:left w:w="108" w:type="dxa"/>
            <w:bottom w:w="0" w:type="dxa"/>
            <w:right w:w="108" w:type="dxa"/>
          </w:tblCellMar>
        </w:tblPrEx>
        <w:trPr>
          <w:trHeight w:val="520" w:hRule="atLeast"/>
          <w:jc w:val="center"/>
        </w:trPr>
        <w:tc>
          <w:tcPr>
            <w:tcW w:w="8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18</w:t>
            </w:r>
          </w:p>
        </w:tc>
        <w:tc>
          <w:tcPr>
            <w:tcW w:w="4144"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平板电脑</w:t>
            </w:r>
          </w:p>
        </w:tc>
        <w:tc>
          <w:tcPr>
            <w:tcW w:w="860"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台</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2</w:t>
            </w:r>
          </w:p>
        </w:tc>
        <w:tc>
          <w:tcPr>
            <w:tcW w:w="2097" w:type="dxa"/>
            <w:tcBorders>
              <w:top w:val="single" w:color="auto" w:sz="4" w:space="0"/>
              <w:left w:val="nil"/>
              <w:bottom w:val="single" w:color="auto" w:sz="4" w:space="0"/>
              <w:right w:val="single" w:color="auto" w:sz="4" w:space="0"/>
            </w:tcBorders>
            <w:vAlign w:val="center"/>
          </w:tcPr>
          <w:p>
            <w:pPr>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否</w:t>
            </w:r>
          </w:p>
        </w:tc>
      </w:tr>
    </w:tbl>
    <w:p>
      <w:pPr>
        <w:adjustRightInd/>
        <w:snapToGrid/>
        <w:spacing w:line="220" w:lineRule="atLeast"/>
        <w:rPr>
          <w:rFonts w:hint="eastAsia" w:ascii="仿宋" w:hAnsi="仿宋" w:eastAsia="仿宋" w:cs="仿宋"/>
          <w:sz w:val="24"/>
          <w:szCs w:val="24"/>
          <w:lang w:eastAsia="zh-CN"/>
        </w:rPr>
      </w:pPr>
      <w:r>
        <w:rPr>
          <w:rFonts w:hint="eastAsia" w:ascii="仿宋" w:hAnsi="仿宋" w:eastAsia="仿宋" w:cs="仿宋"/>
          <w:b/>
          <w:sz w:val="24"/>
          <w:szCs w:val="24"/>
        </w:rPr>
        <w:br w:type="page"/>
      </w:r>
    </w:p>
    <w:p>
      <w:pPr>
        <w:pStyle w:val="2"/>
        <w:rPr>
          <w:rFonts w:hint="eastAsia" w:ascii="仿宋" w:hAnsi="仿宋" w:eastAsia="仿宋" w:cs="仿宋"/>
          <w:sz w:val="24"/>
          <w:szCs w:val="24"/>
        </w:rPr>
      </w:pPr>
      <w:r>
        <w:rPr>
          <w:rFonts w:hint="eastAsia" w:ascii="仿宋" w:hAnsi="仿宋" w:eastAsia="仿宋" w:cs="仿宋"/>
          <w:sz w:val="24"/>
          <w:szCs w:val="24"/>
        </w:rPr>
        <w:t>500单位</w:t>
      </w:r>
    </w:p>
    <w:p>
      <w:pPr>
        <w:pStyle w:val="3"/>
        <w:rPr>
          <w:rFonts w:hint="eastAsia" w:ascii="仿宋" w:hAnsi="仿宋" w:eastAsia="仿宋" w:cs="仿宋"/>
          <w:sz w:val="24"/>
          <w:szCs w:val="24"/>
        </w:rPr>
      </w:pPr>
      <w:r>
        <w:rPr>
          <w:rFonts w:hint="eastAsia" w:ascii="仿宋" w:hAnsi="仿宋" w:eastAsia="仿宋" w:cs="仿宋"/>
          <w:sz w:val="24"/>
          <w:szCs w:val="24"/>
        </w:rPr>
        <w:t>500人路由器（1台）</w:t>
      </w:r>
    </w:p>
    <w:tbl>
      <w:tblPr>
        <w:tblStyle w:val="36"/>
        <w:tblW w:w="8648" w:type="dxa"/>
        <w:tblInd w:w="-176" w:type="dxa"/>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663"/>
      </w:tblGrid>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技术指标</w:t>
            </w:r>
          </w:p>
        </w:tc>
        <w:tc>
          <w:tcPr>
            <w:tcW w:w="6663" w:type="dxa"/>
            <w:vAlign w:val="center"/>
          </w:tcPr>
          <w:p>
            <w:pPr>
              <w:spacing w:line="312" w:lineRule="auto"/>
              <w:ind w:firstLine="643"/>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包转发率★</w:t>
            </w:r>
          </w:p>
        </w:tc>
        <w:tc>
          <w:tcPr>
            <w:tcW w:w="6663"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包转发率≥14Mpps，提供工信部下属第三方权威测试报告证明</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left="-82" w:leftChars="-39" w:firstLine="0" w:firstLineChars="0"/>
              <w:jc w:val="center"/>
              <w:rPr>
                <w:rFonts w:hint="eastAsia" w:ascii="仿宋" w:hAnsi="仿宋" w:eastAsia="仿宋" w:cs="仿宋"/>
                <w:sz w:val="24"/>
                <w:szCs w:val="24"/>
              </w:rPr>
            </w:pPr>
            <w:r>
              <w:rPr>
                <w:rFonts w:hint="eastAsia" w:ascii="仿宋" w:hAnsi="仿宋" w:eastAsia="仿宋" w:cs="仿宋"/>
                <w:sz w:val="24"/>
                <w:szCs w:val="24"/>
              </w:rPr>
              <w:t>主机接口数</w:t>
            </w:r>
          </w:p>
        </w:tc>
        <w:tc>
          <w:tcPr>
            <w:tcW w:w="6663"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主机支持最少3GE（2combo）广域网接口</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内存</w:t>
            </w:r>
          </w:p>
        </w:tc>
        <w:tc>
          <w:tcPr>
            <w:tcW w:w="6663"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缺省内存≥2G</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槽位数★</w:t>
            </w:r>
          </w:p>
        </w:tc>
        <w:tc>
          <w:tcPr>
            <w:tcW w:w="6663"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路由协议</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支持静态路由；动态路由协议：RIP/RIPng，OSPFv2，OSPFv3，BGP，IS-IS</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MPLS</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支持MPLS TE， MPLS/BGP VPN，L2VPN，MPLS支持组播</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网络安全性</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支持端口安全；PPPoEClient&amp;Server，PORTAL，802.1x；Local认证，Radius；防火墙ASPF，ACL，FILTER；硬件加密引擎，IKE，IPSec， Portal；L2TP，NAT/NAPT，PKI，RSA，SSH v1.5/2.0，SSL，URPF，GRE</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可靠性</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支持将两台中物理路由器虚拟化为一台，提高设备可靠性和利用率；支持VRRP，VRRPV3,支持基于多链路的负载分担与备份，支持NQA同路由、接口备份的联动功能，实现端到端链路的检测与备份功能</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接口类型</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支持POS、CPOS、FXS/FXO/E&amp;M、E1/T1等接口类型</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QOS</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支持CAR（Committed Access Rate）；支持LR（Line Rate）；FIFO、PQ、CQ、WFQ、CBQ、RTPQ；WRED/RED</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智能化网管</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支持对系统软硬件部件的内部事件、状态进行监控，出现问题时收集现场信息并尝试自动修复,并能将现场信息发送到指定的Email邮箱</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left="-82" w:leftChars="-39" w:firstLine="0" w:firstLineChars="0"/>
              <w:jc w:val="center"/>
              <w:rPr>
                <w:rFonts w:hint="eastAsia" w:ascii="仿宋" w:hAnsi="仿宋" w:eastAsia="仿宋" w:cs="仿宋"/>
                <w:sz w:val="24"/>
                <w:szCs w:val="24"/>
              </w:rPr>
            </w:pPr>
            <w:r>
              <w:rPr>
                <w:rFonts w:hint="eastAsia" w:ascii="仿宋" w:hAnsi="仿宋" w:eastAsia="仿宋" w:cs="仿宋"/>
                <w:sz w:val="24"/>
                <w:szCs w:val="24"/>
              </w:rPr>
              <w:t>端口密度</w:t>
            </w:r>
          </w:p>
        </w:tc>
        <w:tc>
          <w:tcPr>
            <w:tcW w:w="6663"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整机最大支持千兆以太端口密度≥107</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电源</w:t>
            </w:r>
          </w:p>
        </w:tc>
        <w:tc>
          <w:tcPr>
            <w:tcW w:w="6663"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支持（1+1）冗余内置模块化电源</w:t>
            </w:r>
          </w:p>
        </w:tc>
      </w:tr>
    </w:tbl>
    <w:p>
      <w:pPr>
        <w:pStyle w:val="3"/>
        <w:rPr>
          <w:rFonts w:hint="eastAsia" w:ascii="仿宋" w:hAnsi="仿宋" w:eastAsia="仿宋" w:cs="仿宋"/>
          <w:sz w:val="24"/>
          <w:szCs w:val="24"/>
        </w:rPr>
      </w:pPr>
      <w:r>
        <w:rPr>
          <w:rFonts w:hint="eastAsia" w:ascii="仿宋" w:hAnsi="仿宋" w:eastAsia="仿宋" w:cs="仿宋"/>
          <w:sz w:val="24"/>
          <w:szCs w:val="24"/>
        </w:rPr>
        <w:t>接入交换机（1台）</w:t>
      </w:r>
    </w:p>
    <w:tbl>
      <w:tblPr>
        <w:tblStyle w:val="36"/>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技术指标</w:t>
            </w:r>
          </w:p>
        </w:tc>
        <w:tc>
          <w:tcPr>
            <w:tcW w:w="6663"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转发性能★</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交换容量≥330Gbps，包转发率≥130Mpps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接口类型★</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≥48个千兆电接口，4个千兆光接口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堆叠</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最大堆叠台数≥9台，支持跨设备链路聚合，单一IP管理， 支持通过标准以太端口进行堆叠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对接★</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支持与第三方云平台免费对接，支持设备的蓝牙连接管理功能，提供工信部下属第三方权威测试报告证明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VLAN特性</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pStyle w:val="129"/>
              <w:widowControl w:val="0"/>
              <w:spacing w:before="0" w:beforeAutospacing="0" w:after="0" w:afterAutospacing="0"/>
              <w:jc w:val="both"/>
              <w:rPr>
                <w:rFonts w:hint="eastAsia" w:ascii="仿宋" w:hAnsi="仿宋" w:eastAsia="仿宋" w:cs="仿宋"/>
                <w:kern w:val="2"/>
                <w:sz w:val="24"/>
                <w:szCs w:val="24"/>
              </w:rPr>
            </w:pPr>
            <w:r>
              <w:rPr>
                <w:rFonts w:hint="eastAsia" w:ascii="仿宋" w:hAnsi="仿宋" w:eastAsia="仿宋" w:cs="仿宋"/>
                <w:kern w:val="2"/>
                <w:sz w:val="24"/>
                <w:szCs w:val="24"/>
              </w:rPr>
              <w:t>支持基于端口的VLAN，支持基于协议的VLAN；支持基于MAC的VLAN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高可用功能</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支持防火墙插卡，支持零配置启动，端口节能、USB等高可用功能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985" w:type="dxa"/>
            <w:tcBorders>
              <w:top w:val="single" w:color="auto" w:sz="4" w:space="0"/>
              <w:left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组播协议</w:t>
            </w:r>
          </w:p>
        </w:tc>
        <w:tc>
          <w:tcPr>
            <w:tcW w:w="6663" w:type="dxa"/>
            <w:tcBorders>
              <w:top w:val="single" w:color="auto" w:sz="4" w:space="0"/>
              <w:left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支持IGMP v1/v2/v3，MLD v1/v2，支持PIM Snooping支持MSDP，MSDP for 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985" w:type="dxa"/>
            <w:tcBorders>
              <w:top w:val="single" w:color="auto" w:sz="4" w:space="0"/>
              <w:left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节能环保</w:t>
            </w:r>
          </w:p>
        </w:tc>
        <w:tc>
          <w:tcPr>
            <w:tcW w:w="6663" w:type="dxa"/>
            <w:tcBorders>
              <w:top w:val="single" w:color="auto" w:sz="4" w:space="0"/>
              <w:left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支持端口节能功能，提供工信部下属第三方权威测试报告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Macsec功能</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持802.1ae Macsec安全加密，实现MAC层安全加密，包括用户数据加密、数据帧完整性检查及数据源真实性校验。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配置要求★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配置≥48个千兆电接口，4个千兆光接口。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vMerge w:val="restart"/>
            <w:tcBorders>
              <w:top w:val="single" w:color="auto" w:sz="4" w:space="0"/>
              <w:left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资质证书★</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提供中华人民共和国工业和信息化部电信管理局入网证复印件（入网证申请单位和生产企业必须一致）。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vMerge w:val="continue"/>
            <w:tcBorders>
              <w:left w:val="single" w:color="auto" w:sz="4" w:space="0"/>
              <w:bottom w:val="single" w:color="auto" w:sz="4" w:space="0"/>
              <w:right w:val="single" w:color="auto" w:sz="4" w:space="0"/>
            </w:tcBorders>
            <w:shd w:val="solid" w:color="FFFFFF" w:fill="auto"/>
            <w:vAlign w:val="center"/>
          </w:tcPr>
          <w:p>
            <w:pPr>
              <w:ind w:firstLine="640"/>
              <w:jc w:val="center"/>
              <w:rPr>
                <w:rFonts w:hint="eastAsia" w:ascii="仿宋" w:hAnsi="仿宋" w:eastAsia="仿宋" w:cs="仿宋"/>
                <w:sz w:val="24"/>
                <w:szCs w:val="24"/>
              </w:rPr>
            </w:pP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投标产品提供近三年在中国企业网市场占有率排名前三的IDC权威报告。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其他要求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640"/>
              <w:rPr>
                <w:rFonts w:hint="eastAsia" w:ascii="仿宋" w:hAnsi="仿宋" w:eastAsia="仿宋" w:cs="仿宋"/>
                <w:bCs/>
                <w:sz w:val="24"/>
                <w:szCs w:val="24"/>
              </w:rPr>
            </w:pPr>
            <w:r>
              <w:rPr>
                <w:rFonts w:hint="eastAsia" w:ascii="仿宋" w:hAnsi="仿宋" w:eastAsia="仿宋" w:cs="仿宋"/>
                <w:bCs/>
                <w:sz w:val="24"/>
                <w:szCs w:val="24"/>
              </w:rPr>
              <w:t>要求所有网络、安全设备保持统一品牌；</w:t>
            </w:r>
          </w:p>
        </w:tc>
      </w:tr>
    </w:tbl>
    <w:p>
      <w:pPr>
        <w:pStyle w:val="3"/>
        <w:rPr>
          <w:rFonts w:hint="eastAsia" w:ascii="仿宋" w:hAnsi="仿宋" w:eastAsia="仿宋" w:cs="仿宋"/>
          <w:sz w:val="24"/>
          <w:szCs w:val="24"/>
        </w:rPr>
      </w:pPr>
      <w:r>
        <w:rPr>
          <w:rFonts w:hint="eastAsia" w:ascii="仿宋" w:hAnsi="仿宋" w:eastAsia="仿宋" w:cs="仿宋"/>
          <w:sz w:val="24"/>
          <w:szCs w:val="24"/>
        </w:rPr>
        <w:t>安全设备(1台)</w:t>
      </w:r>
    </w:p>
    <w:tbl>
      <w:tblPr>
        <w:tblStyle w:val="36"/>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技术指标</w:t>
            </w:r>
          </w:p>
        </w:tc>
        <w:tc>
          <w:tcPr>
            <w:tcW w:w="6663"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硬件架构</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spacing w:before="100" w:beforeAutospacing="1" w:after="100" w:afterAutospacing="1" w:line="300" w:lineRule="atLeast"/>
              <w:ind w:firstLine="640"/>
              <w:rPr>
                <w:rFonts w:hint="eastAsia" w:ascii="仿宋" w:hAnsi="仿宋" w:eastAsia="仿宋" w:cs="仿宋"/>
                <w:sz w:val="24"/>
                <w:szCs w:val="24"/>
              </w:rPr>
            </w:pPr>
            <w:r>
              <w:rPr>
                <w:rFonts w:hint="eastAsia" w:ascii="仿宋" w:hAnsi="仿宋" w:eastAsia="仿宋" w:cs="仿宋"/>
                <w:sz w:val="24"/>
                <w:szCs w:val="24"/>
              </w:rPr>
              <w:t>2U以下盒式设备，采用非X86架构，64位多核高性能处理器和高速存储器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端口要求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wordWrap w:val="0"/>
              <w:spacing w:before="100" w:beforeAutospacing="1" w:after="100" w:afterAutospacing="1" w:line="300" w:lineRule="atLeast"/>
              <w:ind w:firstLine="640"/>
              <w:rPr>
                <w:rFonts w:hint="eastAsia" w:ascii="仿宋" w:hAnsi="仿宋" w:eastAsia="仿宋" w:cs="仿宋"/>
                <w:sz w:val="24"/>
                <w:szCs w:val="24"/>
              </w:rPr>
            </w:pPr>
            <w:r>
              <w:rPr>
                <w:rFonts w:hint="eastAsia" w:ascii="仿宋" w:hAnsi="仿宋" w:eastAsia="仿宋" w:cs="仿宋"/>
                <w:sz w:val="24"/>
                <w:szCs w:val="24"/>
              </w:rPr>
              <w:t>固化接口≥16个千兆电口+2个千兆光口，为方便管理，要求端口本机自带，不接受加扩展插卡形式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扩展要求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≥2个扩展槽位，可扩展4PFC接口卡、4SFP插卡、4SFP+插卡</w:t>
            </w:r>
          </w:p>
          <w:p>
            <w:pPr>
              <w:ind w:firstLine="640"/>
              <w:rPr>
                <w:rFonts w:hint="eastAsia" w:ascii="仿宋" w:hAnsi="仿宋" w:eastAsia="仿宋" w:cs="仿宋"/>
                <w:sz w:val="24"/>
                <w:szCs w:val="24"/>
              </w:rPr>
            </w:pPr>
            <w:r>
              <w:rPr>
                <w:rFonts w:hint="eastAsia" w:ascii="仿宋" w:hAnsi="仿宋" w:eastAsia="仿宋" w:cs="仿宋"/>
                <w:sz w:val="24"/>
                <w:szCs w:val="24"/>
              </w:rPr>
              <w:t>≥1个硬盘扩展插槽，可支持扩展500G和1T 的HDD硬盘，480G SDD硬盘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产品性能</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wordWrap w:val="0"/>
              <w:spacing w:before="100" w:beforeAutospacing="1" w:after="100" w:afterAutospacing="1" w:line="300" w:lineRule="atLeast"/>
              <w:ind w:firstLine="640"/>
              <w:rPr>
                <w:rFonts w:hint="eastAsia" w:ascii="仿宋" w:hAnsi="仿宋" w:eastAsia="仿宋" w:cs="仿宋"/>
                <w:sz w:val="24"/>
                <w:szCs w:val="24"/>
              </w:rPr>
            </w:pPr>
            <w:r>
              <w:rPr>
                <w:rFonts w:hint="eastAsia" w:ascii="仿宋" w:hAnsi="仿宋" w:eastAsia="仿宋" w:cs="仿宋"/>
                <w:sz w:val="24"/>
                <w:szCs w:val="24"/>
              </w:rPr>
              <w:t>并发连接数≥120万；吞吐量≥5G；每秒新建连接数≥70,000，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日志</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支持防火墙\NAT日志;支持域间策略匹配日志;支持攻击防范\支持NAT444用户端口块溯源日志，为方便日志审计，要求设备自带≥500G硬盘，可升级为1TB硬盘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可靠性要求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支持虚拟化技术，可以实现1:N、N:1虚拟化技术，实现灵活管理和弹性扩展，实现基于容器技术的虚拟防火墙，虚墙可单独重启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路由</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支持静态路由、RIP v1/2、OSPF、ISIS、BGP、策略路由等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985" w:type="dxa"/>
            <w:tcBorders>
              <w:top w:val="single" w:color="auto" w:sz="4" w:space="0"/>
              <w:left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安全域</w:t>
            </w:r>
          </w:p>
        </w:tc>
        <w:tc>
          <w:tcPr>
            <w:tcW w:w="6663" w:type="dxa"/>
            <w:tcBorders>
              <w:top w:val="single" w:color="auto" w:sz="4" w:space="0"/>
              <w:left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支持安全区域管理，可基于接口、VLAN划分安全区域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985" w:type="dxa"/>
            <w:tcBorders>
              <w:top w:val="single" w:color="auto" w:sz="4" w:space="0"/>
              <w:left w:val="single" w:color="auto" w:sz="4" w:space="0"/>
              <w:right w:val="single" w:color="auto" w:sz="4" w:space="0"/>
            </w:tcBorders>
            <w:shd w:val="solid" w:color="FFFFFF" w:fill="auto"/>
            <w:vAlign w:val="center"/>
          </w:tcPr>
          <w:p>
            <w:pPr>
              <w:ind w:firstLine="420" w:firstLineChars="175"/>
              <w:jc w:val="center"/>
              <w:rPr>
                <w:rFonts w:hint="eastAsia" w:ascii="仿宋" w:hAnsi="仿宋" w:eastAsia="仿宋" w:cs="仿宋"/>
                <w:sz w:val="24"/>
                <w:szCs w:val="24"/>
              </w:rPr>
            </w:pPr>
            <w:r>
              <w:rPr>
                <w:rFonts w:hint="eastAsia" w:ascii="仿宋" w:hAnsi="仿宋" w:eastAsia="仿宋" w:cs="仿宋"/>
                <w:sz w:val="24"/>
                <w:szCs w:val="24"/>
              </w:rPr>
              <w:t>IPV6</w:t>
            </w:r>
          </w:p>
        </w:tc>
        <w:tc>
          <w:tcPr>
            <w:tcW w:w="6663" w:type="dxa"/>
            <w:tcBorders>
              <w:top w:val="single" w:color="auto" w:sz="4" w:space="0"/>
              <w:left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支持IPV6动态路由协议、IPV6对象及策略、IPV6状态防火墙、IPV6攻击防范、IPV6 GRE\IPSEC VPN、IPV6日志审计、IPV6会话热备，支持AFT技术，可用于IPv4和IPv6网络边缘设备，使得用户不必改变目前网络中主机的配置即可实现IPv6网络与IPv4网络的通信。（要求提供配置截图）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安全一体化策略</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支持一体化安全策略：可基于地址、端口、服务、应用、用户、时间、VRF等属性，配置入侵防御、数据过滤、文件过滤、防病毒、URL过滤、日志记录、会话老化时间等高级访问控制功能；（要求提供配置截图）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内容分析</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提供基于用户名（或用户IP地址）实现对用户行为统一分析界面，采用饼状图对访问应用流量、网站访问集中分析展示，包含基于时间轴的访问行为轨迹(应用账号、行为内容等)，关联账号（微信、QQ）等相关用户行为审计内容（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攻击防范</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防范DOS/DDOS攻击</w:t>
            </w:r>
            <w:r>
              <w:rPr>
                <w:rFonts w:hint="eastAsia" w:ascii="仿宋" w:hAnsi="仿宋" w:eastAsia="仿宋" w:cs="仿宋"/>
                <w:sz w:val="24"/>
                <w:szCs w:val="24"/>
              </w:rPr>
              <w:tab/>
            </w:r>
            <w:r>
              <w:rPr>
                <w:rFonts w:hint="eastAsia" w:ascii="仿宋" w:hAnsi="仿宋" w:eastAsia="仿宋" w:cs="仿宋"/>
                <w:sz w:val="24"/>
                <w:szCs w:val="24"/>
              </w:rPr>
              <w:t>支持DDoS流量阈值学习。启用学习功能后，系统将自动分析当前流量并计算出各种攻击类型的防范阈值，管理员可参考学习结果设置阈值。学习功能支持学习时长、学习模式、周期学习及自动应用等功能。（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VPN</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免费支持高性能IPSec、L2TP、GRE VPN功能，能实现与安卓、IOS系统自带VPN组件的L2TP、IPSec、L2TP Over IPSec对接，支持多种用户认证方式：本地认证、支持AAA认证、支持AAA计费、支持LDAP/AD、支持证书双因子认证、支持动态令牌、支持透传账户绑定的硬件信息信息到AAA、支持RADIUS Challenge方式短信认证、支持短信认证/邮件认证，提供15用户SSL VPN授权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深度防御 攻击</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支持对黑客攻击、蠕虫/病毒、木马恶意代码、间谍软件/广告软件、DoS/DDoS等常见的攻击防御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配置要求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配置要求：配置≥16个千兆电口+2个千兆光口，配置单电源，支持双电源扩展，配置AV特征库1年，配置15个SSL VPN授权</w:t>
            </w:r>
          </w:p>
        </w:tc>
      </w:tr>
    </w:tbl>
    <w:p>
      <w:pPr>
        <w:pStyle w:val="2"/>
        <w:rPr>
          <w:rFonts w:hint="eastAsia" w:ascii="仿宋" w:hAnsi="仿宋" w:eastAsia="仿宋" w:cs="仿宋"/>
          <w:sz w:val="24"/>
          <w:szCs w:val="24"/>
        </w:rPr>
      </w:pPr>
      <w:r>
        <w:rPr>
          <w:rFonts w:hint="eastAsia" w:ascii="仿宋" w:hAnsi="仿宋" w:eastAsia="仿宋" w:cs="仿宋"/>
          <w:sz w:val="24"/>
          <w:szCs w:val="24"/>
        </w:rPr>
        <w:t>、300单位</w:t>
      </w:r>
    </w:p>
    <w:p>
      <w:pPr>
        <w:pStyle w:val="3"/>
        <w:rPr>
          <w:rFonts w:hint="eastAsia" w:ascii="仿宋" w:hAnsi="仿宋" w:eastAsia="仿宋" w:cs="仿宋"/>
          <w:sz w:val="24"/>
          <w:szCs w:val="24"/>
        </w:rPr>
      </w:pPr>
      <w:r>
        <w:rPr>
          <w:rFonts w:hint="eastAsia" w:ascii="仿宋" w:hAnsi="仿宋" w:eastAsia="仿宋" w:cs="仿宋"/>
          <w:sz w:val="24"/>
          <w:szCs w:val="24"/>
        </w:rPr>
        <w:t>300人路由器（1台）</w:t>
      </w:r>
    </w:p>
    <w:tbl>
      <w:tblPr>
        <w:tblStyle w:val="36"/>
        <w:tblW w:w="8648" w:type="dxa"/>
        <w:tblInd w:w="-176" w:type="dxa"/>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663"/>
      </w:tblGrid>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技术指标</w:t>
            </w:r>
          </w:p>
        </w:tc>
        <w:tc>
          <w:tcPr>
            <w:tcW w:w="6663" w:type="dxa"/>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left="-82" w:leftChars="-39" w:firstLine="0" w:firstLineChars="0"/>
              <w:jc w:val="center"/>
              <w:rPr>
                <w:rFonts w:hint="eastAsia" w:ascii="仿宋" w:hAnsi="仿宋" w:eastAsia="仿宋" w:cs="仿宋"/>
                <w:sz w:val="24"/>
                <w:szCs w:val="24"/>
              </w:rPr>
            </w:pPr>
            <w:r>
              <w:rPr>
                <w:rFonts w:hint="eastAsia" w:ascii="仿宋" w:hAnsi="仿宋" w:eastAsia="仿宋" w:cs="仿宋"/>
                <w:sz w:val="24"/>
                <w:szCs w:val="24"/>
              </w:rPr>
              <w:t>包转发率★</w:t>
            </w:r>
          </w:p>
        </w:tc>
        <w:tc>
          <w:tcPr>
            <w:tcW w:w="6663"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包转发率≥12Mpps，提供工信部下属第三方权威测试报告证明</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left="-82" w:leftChars="-39" w:firstLine="0" w:firstLineChars="0"/>
              <w:jc w:val="center"/>
              <w:rPr>
                <w:rFonts w:hint="eastAsia" w:ascii="仿宋" w:hAnsi="仿宋" w:eastAsia="仿宋" w:cs="仿宋"/>
                <w:sz w:val="24"/>
                <w:szCs w:val="24"/>
              </w:rPr>
            </w:pPr>
            <w:r>
              <w:rPr>
                <w:rFonts w:hint="eastAsia" w:ascii="仿宋" w:hAnsi="仿宋" w:eastAsia="仿宋" w:cs="仿宋"/>
                <w:sz w:val="24"/>
                <w:szCs w:val="24"/>
              </w:rPr>
              <w:t>主机接口数</w:t>
            </w:r>
          </w:p>
        </w:tc>
        <w:tc>
          <w:tcPr>
            <w:tcW w:w="6663"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主机支持最少4GE（combo）+2SFP广域网接口</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存储</w:t>
            </w:r>
          </w:p>
        </w:tc>
        <w:tc>
          <w:tcPr>
            <w:tcW w:w="6663"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支持内置ssd硬盘</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路由协议</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支持静态路由；动态路由协议：RIP/RIPng，OSPFv2，OSPFv3，BGP，IS-IS</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MPLS</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支持MPLS TE， MPLS/BGP VPN，L2VPN，MPLS支持组播</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网络安全性</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支持端口安全；PPPoEClient&amp;Server，PORTAL，802.1x；Local认证，Radius；防火墙ASPF，ACL，FILTER；硬件加密引擎，IKE，IPSec， Portal；L2TP，NAT/NAPT，PKI，RSA，SSH v1.5/2.0，SSL，URPF，GRE</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可靠性</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支持将两台中物理路由器虚拟化为一台，提高设备可靠性和利用率；支持VRRP，VRRPV3,支持基于多链路的负载分担与备份，支持NQA同路由、接口备份的联动功能，实现端到端链路的检测与备份功能</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接口类型</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支持POS、CPOS、FXS/FXO/E&amp;M、E1/T1等接口类型</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QOS</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支持CAR（Committed Access Rate）；支持LR（Line Rate）；FIFO、PQ、CQ、WFQ、CBQ、RTPQ；WRED/RED</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智能化网管</w:t>
            </w:r>
          </w:p>
        </w:tc>
        <w:tc>
          <w:tcPr>
            <w:tcW w:w="6663"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支持对系统软硬件部件的内部事件、状态进行监控，出现问题时收集现场信息并尝试自动修复,并能将现场信息发送到指定的Email邮箱</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985"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电源</w:t>
            </w:r>
          </w:p>
        </w:tc>
        <w:tc>
          <w:tcPr>
            <w:tcW w:w="6663"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支持（1+1）冗余内置模块化电源</w:t>
            </w:r>
          </w:p>
        </w:tc>
      </w:tr>
    </w:tbl>
    <w:p>
      <w:pPr>
        <w:pStyle w:val="3"/>
        <w:rPr>
          <w:rFonts w:hint="eastAsia" w:ascii="仿宋" w:hAnsi="仿宋" w:eastAsia="仿宋" w:cs="仿宋"/>
          <w:sz w:val="24"/>
          <w:szCs w:val="24"/>
        </w:rPr>
      </w:pPr>
      <w:r>
        <w:rPr>
          <w:rFonts w:hint="eastAsia" w:ascii="仿宋" w:hAnsi="仿宋" w:eastAsia="仿宋" w:cs="仿宋"/>
          <w:sz w:val="24"/>
          <w:szCs w:val="24"/>
        </w:rPr>
        <w:t>接入交换机（1台）</w:t>
      </w:r>
    </w:p>
    <w:tbl>
      <w:tblPr>
        <w:tblStyle w:val="36"/>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技术指标</w:t>
            </w:r>
          </w:p>
        </w:tc>
        <w:tc>
          <w:tcPr>
            <w:tcW w:w="6663" w:type="dxa"/>
            <w:tcBorders>
              <w:top w:val="single" w:color="auto" w:sz="4" w:space="0"/>
              <w:left w:val="single" w:color="auto" w:sz="4" w:space="0"/>
              <w:bottom w:val="single" w:color="auto" w:sz="4" w:space="0"/>
              <w:right w:val="single" w:color="auto" w:sz="4" w:space="0"/>
            </w:tcBorders>
            <w:vAlign w:val="center"/>
          </w:tcPr>
          <w:p>
            <w:pPr>
              <w:spacing w:line="312" w:lineRule="auto"/>
              <w:ind w:firstLine="643"/>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转发性能★</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交换容量≥330Gbps，包转发率≥130Mpps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接口类型★</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≥48个千兆电接口，4个千兆光接口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堆叠</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最大堆叠台数≥9台，支持跨设备链路聚合，单一IP管理， 支持通过标准以太端口进行堆叠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对接</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支持与第三方云平台免费对接，支持设备的蓝牙连接管理功能，提供工信部下属第三方权威测试报告证明。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VLAN特性</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pStyle w:val="129"/>
              <w:widowControl w:val="0"/>
              <w:spacing w:before="0" w:beforeAutospacing="0" w:after="0" w:afterAutospacing="0"/>
              <w:jc w:val="both"/>
              <w:rPr>
                <w:rFonts w:hint="eastAsia" w:ascii="仿宋" w:hAnsi="仿宋" w:eastAsia="仿宋" w:cs="仿宋"/>
                <w:kern w:val="2"/>
                <w:sz w:val="24"/>
                <w:szCs w:val="24"/>
              </w:rPr>
            </w:pPr>
            <w:r>
              <w:rPr>
                <w:rFonts w:hint="eastAsia" w:ascii="仿宋" w:hAnsi="仿宋" w:eastAsia="仿宋" w:cs="仿宋"/>
                <w:kern w:val="2"/>
                <w:sz w:val="24"/>
                <w:szCs w:val="24"/>
              </w:rPr>
              <w:t>支持基于端口的VLAN，支持基于协议的VLAN；支持基于MAC的VLAN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高可用功能</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支持防火墙插卡，支持零配置启动，端口节能、USB等高可用功能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985" w:type="dxa"/>
            <w:tcBorders>
              <w:top w:val="single" w:color="auto" w:sz="4" w:space="0"/>
              <w:left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组播协议</w:t>
            </w:r>
          </w:p>
        </w:tc>
        <w:tc>
          <w:tcPr>
            <w:tcW w:w="6663" w:type="dxa"/>
            <w:tcBorders>
              <w:top w:val="single" w:color="auto" w:sz="4" w:space="0"/>
              <w:left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支持IGMP v1/v2/v3，MLD v1/v2，支持PIM Snooping支持MSDP，MSDP for 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985" w:type="dxa"/>
            <w:tcBorders>
              <w:top w:val="single" w:color="auto" w:sz="4" w:space="0"/>
              <w:left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节能环保</w:t>
            </w:r>
          </w:p>
        </w:tc>
        <w:tc>
          <w:tcPr>
            <w:tcW w:w="6663" w:type="dxa"/>
            <w:tcBorders>
              <w:top w:val="single" w:color="auto" w:sz="4" w:space="0"/>
              <w:left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支持端口节能功能，提供工信部下属第三方权威测试报告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Macsec功能</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持802.1ae Macsec安全加密，实现MAC层安全加密，包括用户数据加密、数据帧完整性检查及数据源真实性校验。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配置要求★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配置≥48个千兆电接口，4个千兆光接口。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资质证书★</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提供中华人民共和国工业和信息化部电信管理局入网证复印件（入网证申请单位和生产企业必须一致）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jc w:val="center"/>
              <w:rPr>
                <w:rFonts w:hint="eastAsia" w:ascii="仿宋" w:hAnsi="仿宋" w:eastAsia="仿宋" w:cs="仿宋"/>
                <w:sz w:val="24"/>
                <w:szCs w:val="24"/>
              </w:rPr>
            </w:pP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投标产品提供近三年在中国企业网市场占有率排名前三的IDC权威报告。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其他要求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rPr>
                <w:rFonts w:hint="eastAsia" w:ascii="仿宋" w:hAnsi="仿宋" w:eastAsia="仿宋" w:cs="仿宋"/>
                <w:bCs/>
                <w:sz w:val="24"/>
                <w:szCs w:val="24"/>
              </w:rPr>
            </w:pPr>
            <w:r>
              <w:rPr>
                <w:rFonts w:hint="eastAsia" w:ascii="仿宋" w:hAnsi="仿宋" w:eastAsia="仿宋" w:cs="仿宋"/>
                <w:bCs/>
                <w:sz w:val="24"/>
                <w:szCs w:val="24"/>
              </w:rPr>
              <w:t>要求所有网络、安全设备保持统一品牌；</w:t>
            </w:r>
          </w:p>
        </w:tc>
      </w:tr>
    </w:tbl>
    <w:p>
      <w:pPr>
        <w:pStyle w:val="3"/>
        <w:rPr>
          <w:rFonts w:hint="eastAsia" w:ascii="仿宋" w:hAnsi="仿宋" w:eastAsia="仿宋" w:cs="仿宋"/>
          <w:sz w:val="24"/>
          <w:szCs w:val="24"/>
        </w:rPr>
      </w:pPr>
      <w:r>
        <w:rPr>
          <w:rFonts w:hint="eastAsia" w:ascii="仿宋" w:hAnsi="仿宋" w:eastAsia="仿宋" w:cs="仿宋"/>
          <w:sz w:val="24"/>
          <w:szCs w:val="24"/>
        </w:rPr>
        <w:t>安全设备（1台）</w:t>
      </w:r>
    </w:p>
    <w:tbl>
      <w:tblPr>
        <w:tblStyle w:val="36"/>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技术指标</w:t>
            </w:r>
          </w:p>
        </w:tc>
        <w:tc>
          <w:tcPr>
            <w:tcW w:w="6663" w:type="dxa"/>
            <w:tcBorders>
              <w:top w:val="single" w:color="auto" w:sz="4" w:space="0"/>
              <w:left w:val="single" w:color="auto" w:sz="4" w:space="0"/>
              <w:bottom w:val="single" w:color="auto" w:sz="4" w:space="0"/>
              <w:right w:val="single" w:color="auto" w:sz="4" w:space="0"/>
            </w:tcBorders>
            <w:vAlign w:val="center"/>
          </w:tcPr>
          <w:p>
            <w:pPr>
              <w:spacing w:line="312" w:lineRule="auto"/>
              <w:ind w:firstLine="24" w:firstLineChars="10"/>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硬件架构</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spacing w:before="100" w:beforeAutospacing="1" w:after="100" w:afterAutospacing="1" w:line="300" w:lineRule="atLeast"/>
              <w:ind w:firstLine="640"/>
              <w:rPr>
                <w:rFonts w:hint="eastAsia" w:ascii="仿宋" w:hAnsi="仿宋" w:eastAsia="仿宋" w:cs="仿宋"/>
                <w:sz w:val="24"/>
                <w:szCs w:val="24"/>
              </w:rPr>
            </w:pPr>
            <w:r>
              <w:rPr>
                <w:rFonts w:hint="eastAsia" w:ascii="仿宋" w:hAnsi="仿宋" w:eastAsia="仿宋" w:cs="仿宋"/>
                <w:sz w:val="24"/>
                <w:szCs w:val="24"/>
              </w:rPr>
              <w:t>2U以下盒式设备，采用非X86架构，64位多核高性能处理器和高速存储器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端口要求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wordWrap w:val="0"/>
              <w:spacing w:before="100" w:beforeAutospacing="1" w:after="100" w:afterAutospacing="1" w:line="300" w:lineRule="atLeast"/>
              <w:ind w:firstLine="640"/>
              <w:rPr>
                <w:rFonts w:hint="eastAsia" w:ascii="仿宋" w:hAnsi="仿宋" w:eastAsia="仿宋" w:cs="仿宋"/>
                <w:sz w:val="24"/>
                <w:szCs w:val="24"/>
              </w:rPr>
            </w:pPr>
            <w:r>
              <w:rPr>
                <w:rFonts w:hint="eastAsia" w:ascii="仿宋" w:hAnsi="仿宋" w:eastAsia="仿宋" w:cs="仿宋"/>
                <w:sz w:val="24"/>
                <w:szCs w:val="24"/>
              </w:rPr>
              <w:t>固化接口≥2个千兆光电复用口+8个千兆电口+2个千兆Bypass口，为方便管理，要求端口本机自带，不接受加扩展插卡形式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产品性能</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wordWrap w:val="0"/>
              <w:spacing w:before="100" w:beforeAutospacing="1" w:after="100" w:afterAutospacing="1" w:line="300" w:lineRule="atLeast"/>
              <w:ind w:firstLine="640"/>
              <w:rPr>
                <w:rFonts w:hint="eastAsia" w:ascii="仿宋" w:hAnsi="仿宋" w:eastAsia="仿宋" w:cs="仿宋"/>
                <w:sz w:val="24"/>
                <w:szCs w:val="24"/>
              </w:rPr>
            </w:pPr>
            <w:r>
              <w:rPr>
                <w:rFonts w:hint="eastAsia" w:ascii="仿宋" w:hAnsi="仿宋" w:eastAsia="仿宋" w:cs="仿宋"/>
                <w:sz w:val="24"/>
                <w:szCs w:val="24"/>
              </w:rPr>
              <w:t>并发连接数≥100万；吞吐量≥3G；每秒新建连接数≥30,000，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日志</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支持防火墙\NAT日志;支持域间策略匹配日志;支持攻击防范\支持NAT444用户端口块溯源日志，为方便日志审计，要求设备自带≥500G硬盘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可靠性要求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支持虚拟化技术，可以实现1:N、N:1虚拟化技术，实现灵活管理和弹性扩展，实现基于容器技术的虚拟防火墙，虚墙可单独重启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路由</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支持静态路由、RIP v1/2、OSPF、ISIS、BGP、策略路由等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985" w:type="dxa"/>
            <w:tcBorders>
              <w:top w:val="single" w:color="auto" w:sz="4" w:space="0"/>
              <w:left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安全域</w:t>
            </w:r>
          </w:p>
        </w:tc>
        <w:tc>
          <w:tcPr>
            <w:tcW w:w="6663" w:type="dxa"/>
            <w:tcBorders>
              <w:top w:val="single" w:color="auto" w:sz="4" w:space="0"/>
              <w:left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支持安全区域管理，可基于接口、VLAN划分安全区域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985" w:type="dxa"/>
            <w:tcBorders>
              <w:top w:val="single" w:color="auto" w:sz="4" w:space="0"/>
              <w:left w:val="single" w:color="auto" w:sz="4" w:space="0"/>
              <w:right w:val="single" w:color="auto" w:sz="4" w:space="0"/>
            </w:tcBorders>
            <w:shd w:val="solid" w:color="FFFFFF" w:fill="auto"/>
            <w:vAlign w:val="center"/>
          </w:tcPr>
          <w:p>
            <w:pPr>
              <w:ind w:firstLine="640"/>
              <w:jc w:val="center"/>
              <w:rPr>
                <w:rFonts w:hint="eastAsia" w:ascii="仿宋" w:hAnsi="仿宋" w:eastAsia="仿宋" w:cs="仿宋"/>
                <w:sz w:val="24"/>
                <w:szCs w:val="24"/>
              </w:rPr>
            </w:pPr>
            <w:r>
              <w:rPr>
                <w:rFonts w:hint="eastAsia" w:ascii="仿宋" w:hAnsi="仿宋" w:eastAsia="仿宋" w:cs="仿宋"/>
                <w:sz w:val="24"/>
                <w:szCs w:val="24"/>
              </w:rPr>
              <w:t>IPV6</w:t>
            </w:r>
          </w:p>
        </w:tc>
        <w:tc>
          <w:tcPr>
            <w:tcW w:w="6663" w:type="dxa"/>
            <w:tcBorders>
              <w:top w:val="single" w:color="auto" w:sz="4" w:space="0"/>
              <w:left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支持IPV6动态路由协议、IPV6对象及策略、IPV6状态防火墙、IPV6攻击防范、IPV6 GRE\IPSEC VPN、IPV6日志审计、IPV6会话热备，支持AFT技术，可用于IPv4和IPv6网络边缘设备，使得用户不必改变目前网络中主机的配置即可实现IPv6网络与IPv4网络的通信。（要求提供配置截图）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安全一体化策略</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支持一体化安全策略：可基于地址、端口、服务、应用、用户、时间、VRF等属性，配置入侵防御、数据过滤、文件过滤、防病毒、URL过滤、日志记录、会话老化时间等高级访问控制功能；（要求提供配置截图）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内容分析</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提供基于用户名（或用户IP地址）实现对用户行为统一分析界面，采用饼状图对访问应用流量、网站访问集中分析展示，包含基于时间轴的访问行为轨迹(应用账号、行为内容等)，关联账号（微信、QQ）等相关用户行为审计内容（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攻击防范</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防范DOS/DDOS攻击</w:t>
            </w:r>
            <w:r>
              <w:rPr>
                <w:rFonts w:hint="eastAsia" w:ascii="仿宋" w:hAnsi="仿宋" w:eastAsia="仿宋" w:cs="仿宋"/>
                <w:sz w:val="24"/>
                <w:szCs w:val="24"/>
              </w:rPr>
              <w:tab/>
            </w:r>
            <w:r>
              <w:rPr>
                <w:rFonts w:hint="eastAsia" w:ascii="仿宋" w:hAnsi="仿宋" w:eastAsia="仿宋" w:cs="仿宋"/>
                <w:sz w:val="24"/>
                <w:szCs w:val="24"/>
              </w:rPr>
              <w:t>支持DDoS流量阈值学习。启用学习功能后，系统将自动分析当前流量并计算出各种攻击类型的防范阈值，管理员可参考学习结果设置阈值。学习功能支持学习时长、学习模式、周期学习及自动应用等功能。（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24" w:firstLineChars="10"/>
              <w:jc w:val="center"/>
              <w:rPr>
                <w:rFonts w:hint="eastAsia" w:ascii="仿宋" w:hAnsi="仿宋" w:eastAsia="仿宋" w:cs="仿宋"/>
                <w:sz w:val="24"/>
                <w:szCs w:val="24"/>
              </w:rPr>
            </w:pPr>
            <w:r>
              <w:rPr>
                <w:rFonts w:hint="eastAsia" w:ascii="仿宋" w:hAnsi="仿宋" w:eastAsia="仿宋" w:cs="仿宋"/>
                <w:sz w:val="24"/>
                <w:szCs w:val="24"/>
              </w:rPr>
              <w:t>VPN</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免费支持高性能IPSec、L2TP、GRE VPN功能，能实现与安卓、IOS系统自带VPN组件的L2TP、IPSec、L2TP Over IPSec对接，支持多种用户认证方式：本地认证、支持AAA认证、支持AAA计费、支持LDAP/AD、支持证书双因子认证、支持动态令牌、支持透传账户绑定的硬件信息信息到AAA、支持RADIUS Challenge方式短信认证、支持短信认证/邮件认证，提供15用户SSL VPN授权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深度防御 攻击</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支持对黑客攻击、蠕虫/病毒、木马恶意代码、间谍软件/广告软件、DoS/DDoS等常见的攻击防御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985"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配置要求</w:t>
            </w:r>
          </w:p>
        </w:tc>
        <w:tc>
          <w:tcPr>
            <w:tcW w:w="6663"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配置要求：配置≥2个千兆光电复用口+8个千兆电口+2个千兆Bypass口，配置AV特征库1年，配置15个SSL VPN授权</w:t>
            </w:r>
          </w:p>
        </w:tc>
      </w:tr>
    </w:tbl>
    <w:p>
      <w:pPr>
        <w:pStyle w:val="2"/>
        <w:rPr>
          <w:rFonts w:hint="eastAsia" w:ascii="仿宋" w:hAnsi="仿宋" w:eastAsia="仿宋" w:cs="仿宋"/>
          <w:sz w:val="24"/>
          <w:szCs w:val="24"/>
        </w:rPr>
      </w:pPr>
      <w:r>
        <w:rPr>
          <w:rFonts w:hint="eastAsia" w:ascii="仿宋" w:hAnsi="仿宋" w:eastAsia="仿宋" w:cs="仿宋"/>
          <w:sz w:val="24"/>
          <w:szCs w:val="24"/>
        </w:rPr>
        <w:t>100人单位</w:t>
      </w:r>
    </w:p>
    <w:p>
      <w:pPr>
        <w:pStyle w:val="3"/>
        <w:rPr>
          <w:rFonts w:hint="eastAsia" w:ascii="仿宋" w:hAnsi="仿宋" w:eastAsia="仿宋" w:cs="仿宋"/>
          <w:sz w:val="24"/>
          <w:szCs w:val="24"/>
        </w:rPr>
      </w:pPr>
      <w:r>
        <w:rPr>
          <w:rFonts w:hint="eastAsia" w:ascii="仿宋" w:hAnsi="仿宋" w:eastAsia="仿宋" w:cs="仿宋"/>
          <w:sz w:val="24"/>
          <w:szCs w:val="24"/>
        </w:rPr>
        <w:t>100人路由器(1台)</w:t>
      </w:r>
    </w:p>
    <w:tbl>
      <w:tblPr>
        <w:tblStyle w:val="36"/>
        <w:tblW w:w="8897" w:type="dxa"/>
        <w:tblInd w:w="108" w:type="dxa"/>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196"/>
      </w:tblGrid>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技术指标</w:t>
            </w:r>
          </w:p>
        </w:tc>
        <w:tc>
          <w:tcPr>
            <w:tcW w:w="7196" w:type="dxa"/>
            <w:vAlign w:val="center"/>
          </w:tcPr>
          <w:p>
            <w:pPr>
              <w:spacing w:line="312"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ind w:left="-82" w:leftChars="-39" w:firstLine="0" w:firstLineChars="0"/>
              <w:jc w:val="center"/>
              <w:rPr>
                <w:rFonts w:hint="eastAsia" w:ascii="仿宋" w:hAnsi="仿宋" w:eastAsia="仿宋" w:cs="仿宋"/>
                <w:sz w:val="24"/>
                <w:szCs w:val="24"/>
              </w:rPr>
            </w:pPr>
            <w:r>
              <w:rPr>
                <w:rFonts w:hint="eastAsia" w:ascii="仿宋" w:hAnsi="仿宋" w:eastAsia="仿宋" w:cs="仿宋"/>
                <w:sz w:val="24"/>
                <w:szCs w:val="24"/>
              </w:rPr>
              <w:t>包转发率★</w:t>
            </w:r>
          </w:p>
        </w:tc>
        <w:tc>
          <w:tcPr>
            <w:tcW w:w="7196"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包转发率≥2Mpps，提供工信部下属第三方权威测试报告证明</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ind w:left="-82" w:leftChars="-39" w:firstLine="0" w:firstLineChars="0"/>
              <w:jc w:val="center"/>
              <w:rPr>
                <w:rFonts w:hint="eastAsia" w:ascii="仿宋" w:hAnsi="仿宋" w:eastAsia="仿宋" w:cs="仿宋"/>
                <w:sz w:val="24"/>
                <w:szCs w:val="24"/>
              </w:rPr>
            </w:pPr>
            <w:r>
              <w:rPr>
                <w:rFonts w:hint="eastAsia" w:ascii="仿宋" w:hAnsi="仿宋" w:eastAsia="仿宋" w:cs="仿宋"/>
                <w:sz w:val="24"/>
                <w:szCs w:val="24"/>
              </w:rPr>
              <w:t>主机接口数</w:t>
            </w:r>
          </w:p>
        </w:tc>
        <w:tc>
          <w:tcPr>
            <w:tcW w:w="7196"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主机接口数≥28（其中3个WAN口，24个LAN口，1个千兆光口），模块插槽≥4个</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路由协议</w:t>
            </w:r>
          </w:p>
        </w:tc>
        <w:tc>
          <w:tcPr>
            <w:tcW w:w="7196"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支持静态路由；动态路由协议：RIP/RIPng，OSPFv2，OSPFv3，BGP，IS-IS</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MPLS</w:t>
            </w:r>
          </w:p>
        </w:tc>
        <w:tc>
          <w:tcPr>
            <w:tcW w:w="7196"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支持MPLS TE， MPLS/BGP VPN，L2VPN，MPLS支持组播</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网络安全性</w:t>
            </w:r>
          </w:p>
        </w:tc>
        <w:tc>
          <w:tcPr>
            <w:tcW w:w="7196"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支持端口安全；PPPoE Client&amp;Server，PORTAL，802.1x；Local认证，Radius；防火墙ASPF，ACL，FILTER；硬件加密引擎，IKE，IPSec， Portal；L2TP，NAT/NAPT，PKI，RSA，SSH v1.5/2.0，SSL，URPF，GRE</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可靠性</w:t>
            </w:r>
          </w:p>
        </w:tc>
        <w:tc>
          <w:tcPr>
            <w:tcW w:w="7196"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支持将两台中物理路由器虚拟化为一台，提高设备可靠性和利用率；支持VRRP，VRRPV3,支持基于多链路的负载分担与备份，支持NQA同路由、接口备份的联动功能，实现端到端链路的检测与备份功能</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接口类型</w:t>
            </w:r>
          </w:p>
        </w:tc>
        <w:tc>
          <w:tcPr>
            <w:tcW w:w="7196"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支持POS、CPOS、FXS/FXO/E&amp;M、E1/T1等接口类型</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QOS</w:t>
            </w:r>
          </w:p>
        </w:tc>
        <w:tc>
          <w:tcPr>
            <w:tcW w:w="7196"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支持CAR（Committed Access Rate）；支持LR（Line Rate）；FIFO、PQ、CQ、WFQ、CBQ、RTPQ；WRED/RED</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智能化网管</w:t>
            </w:r>
          </w:p>
        </w:tc>
        <w:tc>
          <w:tcPr>
            <w:tcW w:w="7196" w:type="dxa"/>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支持对系统软硬件部件的内部事件、状态进行监控，出现问题时收集现场信息并尝试自动修复,并能将现场信息发送到指定的Email邮箱</w:t>
            </w:r>
          </w:p>
        </w:tc>
      </w:tr>
      <w:tr>
        <w:tblPrEx>
          <w:tblBorders>
            <w:top w:val="single" w:color="auto" w:sz="4" w:space="0"/>
            <w:left w:val="single" w:color="auto" w:sz="8"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01" w:type="dxa"/>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电源</w:t>
            </w:r>
          </w:p>
        </w:tc>
        <w:tc>
          <w:tcPr>
            <w:tcW w:w="7196" w:type="dxa"/>
            <w:vAlign w:val="center"/>
          </w:tcPr>
          <w:p>
            <w:pPr>
              <w:ind w:left="-82" w:leftChars="-39" w:firstLine="640"/>
              <w:rPr>
                <w:rFonts w:hint="eastAsia" w:ascii="仿宋" w:hAnsi="仿宋" w:eastAsia="仿宋" w:cs="仿宋"/>
                <w:sz w:val="24"/>
                <w:szCs w:val="24"/>
              </w:rPr>
            </w:pPr>
            <w:r>
              <w:rPr>
                <w:rFonts w:hint="eastAsia" w:ascii="仿宋" w:hAnsi="仿宋" w:eastAsia="仿宋" w:cs="仿宋"/>
                <w:sz w:val="24"/>
                <w:szCs w:val="24"/>
              </w:rPr>
              <w:t>支持（1+1）冗余内置模块化电源</w:t>
            </w:r>
          </w:p>
        </w:tc>
      </w:tr>
    </w:tbl>
    <w:p>
      <w:pPr>
        <w:pStyle w:val="3"/>
        <w:rPr>
          <w:rFonts w:hint="eastAsia" w:ascii="仿宋" w:hAnsi="仿宋" w:eastAsia="仿宋" w:cs="仿宋"/>
          <w:sz w:val="24"/>
          <w:szCs w:val="24"/>
        </w:rPr>
      </w:pPr>
      <w:r>
        <w:rPr>
          <w:rFonts w:hint="eastAsia" w:ascii="仿宋" w:hAnsi="仿宋" w:eastAsia="仿宋" w:cs="仿宋"/>
          <w:sz w:val="24"/>
          <w:szCs w:val="24"/>
        </w:rPr>
        <w:t>安全设备(1台)</w:t>
      </w:r>
    </w:p>
    <w:tbl>
      <w:tblPr>
        <w:tblStyle w:val="36"/>
        <w:tblW w:w="87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701" w:type="dxa"/>
            <w:tcBorders>
              <w:top w:val="single" w:color="auto" w:sz="4" w:space="0"/>
              <w:left w:val="single" w:color="auto" w:sz="4" w:space="0"/>
              <w:bottom w:val="single" w:color="auto" w:sz="4" w:space="0"/>
              <w:right w:val="single" w:color="auto" w:sz="4" w:space="0"/>
            </w:tcBorders>
            <w:vAlign w:val="center"/>
          </w:tcPr>
          <w:p>
            <w:pPr>
              <w:spacing w:line="312"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技术指标</w:t>
            </w:r>
          </w:p>
        </w:tc>
        <w:tc>
          <w:tcPr>
            <w:tcW w:w="7076" w:type="dxa"/>
            <w:tcBorders>
              <w:top w:val="single" w:color="auto" w:sz="4" w:space="0"/>
              <w:left w:val="single" w:color="auto" w:sz="4" w:space="0"/>
              <w:bottom w:val="single" w:color="auto" w:sz="4" w:space="0"/>
              <w:right w:val="single" w:color="auto" w:sz="4" w:space="0"/>
            </w:tcBorders>
            <w:vAlign w:val="center"/>
          </w:tcPr>
          <w:p>
            <w:pPr>
              <w:spacing w:line="312" w:lineRule="auto"/>
              <w:ind w:firstLine="643"/>
              <w:jc w:val="center"/>
              <w:rPr>
                <w:rFonts w:hint="eastAsia" w:ascii="仿宋" w:hAnsi="仿宋" w:eastAsia="仿宋" w:cs="仿宋"/>
                <w:b/>
                <w:sz w:val="24"/>
                <w:szCs w:val="24"/>
              </w:rPr>
            </w:pPr>
            <w:r>
              <w:rPr>
                <w:rFonts w:hint="eastAsia" w:ascii="仿宋" w:hAnsi="仿宋" w:eastAsia="仿宋" w:cs="仿宋"/>
                <w:b/>
                <w:sz w:val="24"/>
                <w:szCs w:val="24"/>
              </w:rPr>
              <w:t>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硬件架构</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spacing w:before="100" w:beforeAutospacing="1" w:after="100" w:afterAutospacing="1" w:line="300" w:lineRule="atLeast"/>
              <w:ind w:firstLine="640"/>
              <w:rPr>
                <w:rFonts w:hint="eastAsia" w:ascii="仿宋" w:hAnsi="仿宋" w:eastAsia="仿宋" w:cs="仿宋"/>
                <w:sz w:val="24"/>
                <w:szCs w:val="24"/>
              </w:rPr>
            </w:pPr>
            <w:r>
              <w:rPr>
                <w:rFonts w:hint="eastAsia" w:ascii="仿宋" w:hAnsi="仿宋" w:eastAsia="仿宋" w:cs="仿宋"/>
                <w:sz w:val="24"/>
                <w:szCs w:val="24"/>
              </w:rPr>
              <w:t>2U以下盒式设备，采用非X86架构，64位多核高性能处理器和高速存储器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端口要求</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wordWrap w:val="0"/>
              <w:spacing w:before="100" w:beforeAutospacing="1" w:after="100" w:afterAutospacing="1" w:line="300" w:lineRule="atLeast"/>
              <w:ind w:firstLine="640"/>
              <w:rPr>
                <w:rFonts w:hint="eastAsia" w:ascii="仿宋" w:hAnsi="仿宋" w:eastAsia="仿宋" w:cs="仿宋"/>
                <w:sz w:val="24"/>
                <w:szCs w:val="24"/>
              </w:rPr>
            </w:pPr>
            <w:r>
              <w:rPr>
                <w:rFonts w:hint="eastAsia" w:ascii="仿宋" w:hAnsi="仿宋" w:eastAsia="仿宋" w:cs="仿宋"/>
                <w:sz w:val="24"/>
                <w:szCs w:val="24"/>
              </w:rPr>
              <w:t>固化接口≥2个千兆光口+8个千兆电口，为方便管理，要求端口本机自带，不接受加扩展插卡形式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产品性能</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wordWrap w:val="0"/>
              <w:spacing w:before="100" w:beforeAutospacing="1" w:after="100" w:afterAutospacing="1" w:line="300" w:lineRule="atLeast"/>
              <w:ind w:firstLine="640"/>
              <w:rPr>
                <w:rFonts w:hint="eastAsia" w:ascii="仿宋" w:hAnsi="仿宋" w:eastAsia="仿宋" w:cs="仿宋"/>
                <w:sz w:val="24"/>
                <w:szCs w:val="24"/>
              </w:rPr>
            </w:pPr>
            <w:r>
              <w:rPr>
                <w:rFonts w:hint="eastAsia" w:ascii="仿宋" w:hAnsi="仿宋" w:eastAsia="仿宋" w:cs="仿宋"/>
                <w:sz w:val="24"/>
                <w:szCs w:val="24"/>
              </w:rPr>
              <w:t>并发连接数≥30万；吞吐量≥1G；每秒新建连接数≥18,000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日志</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 xml:space="preserve">支持防火墙\NAT日志;支持域间策略匹配日志;支持攻击防范\支持NAT444用户端口块溯源日志，为方便日志审计，要求设备自带≥500G硬盘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可靠性要求</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支持虚拟化技术，可以实现1:N、N:1虚拟化技术，实现灵活管理和弹性扩展，实现基于容器技术的虚拟防火墙，虚墙可单独重启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路由</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支持静态路由、RIP v1/2、OSPF、ISIS、BGP、策略路由等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01" w:type="dxa"/>
            <w:tcBorders>
              <w:top w:val="single" w:color="auto" w:sz="4" w:space="0"/>
              <w:left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安全域</w:t>
            </w:r>
          </w:p>
        </w:tc>
        <w:tc>
          <w:tcPr>
            <w:tcW w:w="7076" w:type="dxa"/>
            <w:tcBorders>
              <w:top w:val="single" w:color="auto" w:sz="4" w:space="0"/>
              <w:left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支持安全区域管理，可基于接口、VLAN划分安全区域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01" w:type="dxa"/>
            <w:tcBorders>
              <w:top w:val="single" w:color="auto" w:sz="4" w:space="0"/>
              <w:left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IPV6</w:t>
            </w:r>
          </w:p>
        </w:tc>
        <w:tc>
          <w:tcPr>
            <w:tcW w:w="7076" w:type="dxa"/>
            <w:tcBorders>
              <w:top w:val="single" w:color="auto" w:sz="4" w:space="0"/>
              <w:left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支持IPV6动态路由协议、IPV6对象及策略、IPV6状态防火墙、IPV6攻击防范、IPV6 GRE\IPSEC VPN、IPV6日志审计、IPV6会话热备，支持AFT技术，可用于IPv4和IPv6网络边缘设备，使得用户不必改变目前网络中主机的配置即可实现IPv6网络与IPv4网络的通信。（要求提供配置截图）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安全一体化策略</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支持一体化安全策略：可基于地址、端口、服务、应用、用户、时间、VRF等属性，配置入侵防御、数据过滤、文件过滤、防病毒、URL过滤、日志记录、会话老化时间等高级访问控制功能；（要求提供配置截图）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内容分析</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提供基于用户名（或用户IP地址）实现对用户行为统一分析界面，采用饼状图对访问应用流量、网站访问集中分析展示，包含基于时间轴的访问行为轨迹(应用账号、行为内容等)，关联账号（微信、QQ）等相关用户行为审计内容（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攻击防范</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防范DOS/DDOS攻击</w:t>
            </w:r>
            <w:r>
              <w:rPr>
                <w:rFonts w:hint="eastAsia" w:ascii="仿宋" w:hAnsi="仿宋" w:eastAsia="仿宋" w:cs="仿宋"/>
                <w:sz w:val="24"/>
                <w:szCs w:val="24"/>
              </w:rPr>
              <w:tab/>
            </w:r>
            <w:r>
              <w:rPr>
                <w:rFonts w:hint="eastAsia" w:ascii="仿宋" w:hAnsi="仿宋" w:eastAsia="仿宋" w:cs="仿宋"/>
                <w:sz w:val="24"/>
                <w:szCs w:val="24"/>
              </w:rPr>
              <w:t>支持DDoS流量阈值学习。启用学习功能后，系统将自动分析当前流量并计算出各种攻击类型的防范阈值，管理员可参考学习结果设置阈值。学习功能支持学习时长、学习模式、周期学习及自动应用等功能。（要求提供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VPN</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免费支持高性能IPSec、L2TP、GRE VPN功能，能实现与安卓、IOS系统自带VPN组件的L2TP、IPSec 、L2TP Over IPSec对接，支持多种用户认证方式：本地认证、支持AAA认证、支持AAA计费、支持LDAP/AD、支持证书双因子认证、支持动态令牌、支持透传账户绑定的硬件信息信息到AAA、支持RADIUS Challenge方式短信认证、支持短信认证/邮件认证，提供15用户SSL VPN授权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深度防御攻击</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支持对黑客攻击、蠕虫/病毒、木马恶意代码、间谍软件/广告软件、DoS/DDoS等常见的攻击防御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701"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0" w:firstLineChars="0"/>
              <w:jc w:val="center"/>
              <w:rPr>
                <w:rFonts w:hint="eastAsia" w:ascii="仿宋" w:hAnsi="仿宋" w:eastAsia="仿宋" w:cs="仿宋"/>
                <w:sz w:val="24"/>
                <w:szCs w:val="24"/>
              </w:rPr>
            </w:pPr>
            <w:r>
              <w:rPr>
                <w:rFonts w:hint="eastAsia" w:ascii="仿宋" w:hAnsi="仿宋" w:eastAsia="仿宋" w:cs="仿宋"/>
                <w:sz w:val="24"/>
                <w:szCs w:val="24"/>
              </w:rPr>
              <w:t>配置要求</w:t>
            </w:r>
          </w:p>
        </w:tc>
        <w:tc>
          <w:tcPr>
            <w:tcW w:w="7076" w:type="dxa"/>
            <w:tcBorders>
              <w:top w:val="single" w:color="auto" w:sz="4" w:space="0"/>
              <w:left w:val="single" w:color="auto" w:sz="4" w:space="0"/>
              <w:bottom w:val="single" w:color="auto" w:sz="4" w:space="0"/>
              <w:right w:val="single" w:color="auto" w:sz="4" w:space="0"/>
            </w:tcBorders>
            <w:shd w:val="solid" w:color="FFFFFF" w:fill="auto"/>
            <w:vAlign w:val="center"/>
          </w:tcPr>
          <w:p>
            <w:pPr>
              <w:ind w:firstLine="640"/>
              <w:rPr>
                <w:rFonts w:hint="eastAsia" w:ascii="仿宋" w:hAnsi="仿宋" w:eastAsia="仿宋" w:cs="仿宋"/>
                <w:sz w:val="24"/>
                <w:szCs w:val="24"/>
              </w:rPr>
            </w:pPr>
            <w:r>
              <w:rPr>
                <w:rFonts w:hint="eastAsia" w:ascii="仿宋" w:hAnsi="仿宋" w:eastAsia="仿宋" w:cs="仿宋"/>
                <w:sz w:val="24"/>
                <w:szCs w:val="24"/>
              </w:rPr>
              <w:t>配置要求：配置≥2个千兆光口+8个千兆电口，配置AV特征库1年，配置15个SSL VPN授权</w:t>
            </w:r>
          </w:p>
        </w:tc>
      </w:tr>
    </w:tbl>
    <w:p>
      <w:pPr>
        <w:rPr>
          <w:rFonts w:hint="eastAsia" w:ascii="仿宋" w:hAnsi="仿宋" w:eastAsia="仿宋" w:cs="仿宋"/>
          <w:sz w:val="24"/>
          <w:szCs w:val="24"/>
        </w:rPr>
      </w:pPr>
    </w:p>
    <w:p>
      <w:pPr>
        <w:pStyle w:val="3"/>
        <w:numPr>
          <w:ilvl w:val="0"/>
          <w:numId w:val="0"/>
        </w:numPr>
        <w:rPr>
          <w:rFonts w:hint="eastAsia" w:ascii="仿宋" w:hAnsi="仿宋" w:eastAsia="仿宋" w:cs="仿宋"/>
          <w:sz w:val="24"/>
          <w:szCs w:val="24"/>
        </w:rPr>
      </w:pPr>
      <w:r>
        <w:rPr>
          <w:rFonts w:hint="eastAsia" w:ascii="仿宋" w:hAnsi="仿宋" w:eastAsia="仿宋" w:cs="仿宋"/>
          <w:sz w:val="24"/>
          <w:szCs w:val="24"/>
        </w:rPr>
        <w:t>4、核心交换机(1台)</w:t>
      </w:r>
    </w:p>
    <w:tbl>
      <w:tblPr>
        <w:tblStyle w:val="36"/>
        <w:tblW w:w="8379"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640"/>
              <w:jc w:val="center"/>
              <w:rPr>
                <w:rFonts w:hint="eastAsia" w:ascii="仿宋" w:hAnsi="仿宋" w:eastAsia="仿宋" w:cs="仿宋"/>
                <w:sz w:val="24"/>
                <w:szCs w:val="24"/>
              </w:rPr>
            </w:pPr>
            <w:r>
              <w:rPr>
                <w:rFonts w:hint="eastAsia" w:ascii="仿宋" w:hAnsi="仿宋" w:eastAsia="仿宋" w:cs="仿宋"/>
                <w:sz w:val="24"/>
                <w:szCs w:val="24"/>
              </w:rPr>
              <w:t>技术指标</w:t>
            </w:r>
          </w:p>
        </w:tc>
        <w:tc>
          <w:tcPr>
            <w:tcW w:w="60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640"/>
              <w:jc w:val="center"/>
              <w:rPr>
                <w:rFonts w:hint="eastAsia" w:ascii="仿宋" w:hAnsi="仿宋" w:eastAsia="仿宋" w:cs="仿宋"/>
                <w:sz w:val="24"/>
                <w:szCs w:val="24"/>
              </w:rPr>
            </w:pPr>
            <w:r>
              <w:rPr>
                <w:rFonts w:hint="eastAsia" w:ascii="仿宋" w:hAnsi="仿宋" w:eastAsia="仿宋" w:cs="仿宋"/>
                <w:sz w:val="24"/>
                <w:szCs w:val="24"/>
              </w:rPr>
              <w:t>具体参数要求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22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640"/>
              <w:rPr>
                <w:rFonts w:hint="eastAsia" w:ascii="仿宋" w:hAnsi="仿宋" w:eastAsia="仿宋" w:cs="仿宋"/>
                <w:sz w:val="24"/>
                <w:szCs w:val="24"/>
              </w:rPr>
            </w:pPr>
            <w:r>
              <w:rPr>
                <w:rFonts w:hint="eastAsia" w:ascii="仿宋" w:hAnsi="仿宋" w:eastAsia="仿宋" w:cs="仿宋"/>
                <w:sz w:val="24"/>
                <w:szCs w:val="24"/>
              </w:rPr>
              <w:t>★槽位数</w:t>
            </w:r>
          </w:p>
        </w:tc>
        <w:tc>
          <w:tcPr>
            <w:tcW w:w="60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80" w:firstLineChars="0"/>
              <w:rPr>
                <w:rFonts w:hint="eastAsia" w:ascii="仿宋" w:hAnsi="仿宋" w:eastAsia="仿宋" w:cs="仿宋"/>
                <w:sz w:val="24"/>
                <w:szCs w:val="24"/>
              </w:rPr>
            </w:pPr>
            <w:r>
              <w:rPr>
                <w:rFonts w:hint="eastAsia" w:ascii="仿宋" w:hAnsi="仿宋" w:eastAsia="仿宋" w:cs="仿宋"/>
                <w:sz w:val="24"/>
                <w:szCs w:val="24"/>
              </w:rPr>
              <w:t>主控板槽位数≥2；业务板槽位数≥6；主控与业务槽位不能混用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22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640"/>
              <w:rPr>
                <w:rFonts w:hint="eastAsia" w:ascii="仿宋" w:hAnsi="仿宋" w:eastAsia="仿宋" w:cs="仿宋"/>
                <w:sz w:val="24"/>
                <w:szCs w:val="24"/>
              </w:rPr>
            </w:pPr>
            <w:r>
              <w:rPr>
                <w:rFonts w:hint="eastAsia" w:ascii="仿宋" w:hAnsi="仿宋" w:eastAsia="仿宋" w:cs="仿宋"/>
                <w:sz w:val="24"/>
                <w:szCs w:val="24"/>
              </w:rPr>
              <w:t>★性能</w:t>
            </w:r>
          </w:p>
        </w:tc>
        <w:tc>
          <w:tcPr>
            <w:tcW w:w="60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80" w:firstLineChars="0"/>
              <w:rPr>
                <w:rFonts w:hint="eastAsia" w:ascii="仿宋" w:hAnsi="仿宋" w:eastAsia="仿宋" w:cs="仿宋"/>
                <w:sz w:val="24"/>
                <w:szCs w:val="24"/>
              </w:rPr>
            </w:pPr>
            <w:r>
              <w:rPr>
                <w:rFonts w:hint="eastAsia" w:ascii="仿宋" w:hAnsi="仿宋" w:eastAsia="仿宋" w:cs="仿宋"/>
                <w:sz w:val="24"/>
                <w:szCs w:val="24"/>
              </w:rPr>
              <w:t>交换容量≥19Tbps；包转发率≥2800Mpps，以官网标示最小值为准。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8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0" w:firstLineChars="0"/>
              <w:rPr>
                <w:rFonts w:hint="eastAsia" w:ascii="仿宋" w:hAnsi="仿宋" w:eastAsia="仿宋" w:cs="仿宋"/>
                <w:sz w:val="24"/>
                <w:szCs w:val="24"/>
              </w:rPr>
            </w:pPr>
            <w:r>
              <w:rPr>
                <w:rFonts w:hint="eastAsia" w:ascii="仿宋" w:hAnsi="仿宋" w:eastAsia="仿宋" w:cs="仿宋"/>
                <w:sz w:val="24"/>
                <w:szCs w:val="24"/>
              </w:rPr>
              <w:t>★虚拟化功能</w:t>
            </w:r>
          </w:p>
        </w:tc>
        <w:tc>
          <w:tcPr>
            <w:tcW w:w="60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80" w:firstLineChars="0"/>
              <w:rPr>
                <w:rFonts w:hint="eastAsia" w:ascii="仿宋" w:hAnsi="仿宋" w:eastAsia="仿宋" w:cs="仿宋"/>
                <w:sz w:val="24"/>
                <w:szCs w:val="24"/>
              </w:rPr>
            </w:pPr>
            <w:r>
              <w:rPr>
                <w:rFonts w:hint="eastAsia" w:ascii="仿宋" w:hAnsi="仿宋" w:eastAsia="仿宋" w:cs="仿宋"/>
                <w:sz w:val="24"/>
                <w:szCs w:val="24"/>
              </w:rPr>
              <w:t>支持N:1虚拟化功能，可将N（N≥4）台物理设备虚拟成一台逻辑设备，支持跨设备链路聚合，单一IP管理，统一的路由管理。提供工信部下属第三方权威测试报告证明。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640"/>
              <w:rPr>
                <w:rFonts w:hint="eastAsia" w:ascii="仿宋" w:hAnsi="仿宋" w:eastAsia="仿宋" w:cs="仿宋"/>
                <w:sz w:val="24"/>
                <w:szCs w:val="24"/>
              </w:rPr>
            </w:pPr>
          </w:p>
        </w:tc>
        <w:tc>
          <w:tcPr>
            <w:tcW w:w="60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640"/>
              <w:rPr>
                <w:rFonts w:hint="eastAsia" w:ascii="仿宋" w:hAnsi="仿宋" w:eastAsia="仿宋" w:cs="仿宋"/>
                <w:sz w:val="24"/>
                <w:szCs w:val="24"/>
              </w:rPr>
            </w:pPr>
            <w:r>
              <w:rPr>
                <w:rFonts w:hint="eastAsia" w:ascii="仿宋" w:hAnsi="仿宋" w:eastAsia="仿宋" w:cs="仿宋"/>
                <w:sz w:val="24"/>
                <w:szCs w:val="24"/>
              </w:rPr>
              <w:t>支持1:N虚拟化功能，可将一台物理设备虚拟成多台逻辑设备，逻辑设备之间硬件独立且物理隔离，支持在N:1虚拟化环境下同时实现1:N虚拟化功能。提供工信部下属第三方权威测试报告证明。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640"/>
              <w:rPr>
                <w:rFonts w:hint="eastAsia" w:ascii="仿宋" w:hAnsi="仿宋" w:eastAsia="仿宋" w:cs="仿宋"/>
                <w:sz w:val="24"/>
                <w:szCs w:val="24"/>
              </w:rPr>
            </w:pPr>
          </w:p>
        </w:tc>
        <w:tc>
          <w:tcPr>
            <w:tcW w:w="60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640"/>
              <w:rPr>
                <w:rFonts w:hint="eastAsia" w:ascii="仿宋" w:hAnsi="仿宋" w:eastAsia="仿宋" w:cs="仿宋"/>
                <w:sz w:val="24"/>
                <w:szCs w:val="24"/>
              </w:rPr>
            </w:pPr>
            <w:r>
              <w:rPr>
                <w:rFonts w:hint="eastAsia" w:ascii="仿宋" w:hAnsi="仿宋" w:eastAsia="仿宋" w:cs="仿宋"/>
                <w:sz w:val="24"/>
                <w:szCs w:val="24"/>
              </w:rPr>
              <w:t>支持纵向虚拟化功能，支持将汇聚和接入设备通过纵向虚拟化技术形成一台纵向逻辑虚拟设备，相当于把接入设备作为一块远程接口单板加入核心设备，在支持在持在N:1虚拟化环境下同时实现纵向虚拟化功能。提供工信部下属第三方权威测试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22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0" w:firstLineChars="0"/>
              <w:rPr>
                <w:rFonts w:hint="eastAsia" w:ascii="仿宋" w:hAnsi="仿宋" w:eastAsia="仿宋" w:cs="仿宋"/>
                <w:sz w:val="24"/>
                <w:szCs w:val="24"/>
              </w:rPr>
            </w:pPr>
            <w:r>
              <w:rPr>
                <w:rFonts w:hint="eastAsia" w:ascii="仿宋" w:hAnsi="仿宋" w:eastAsia="仿宋" w:cs="仿宋"/>
                <w:sz w:val="24"/>
                <w:szCs w:val="24"/>
              </w:rPr>
              <w:t>★数据中心互联技术</w:t>
            </w:r>
          </w:p>
        </w:tc>
        <w:tc>
          <w:tcPr>
            <w:tcW w:w="60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80" w:firstLineChars="0"/>
              <w:rPr>
                <w:rFonts w:hint="eastAsia" w:ascii="仿宋" w:hAnsi="仿宋" w:eastAsia="仿宋" w:cs="仿宋"/>
                <w:sz w:val="24"/>
                <w:szCs w:val="24"/>
              </w:rPr>
            </w:pPr>
            <w:r>
              <w:rPr>
                <w:rFonts w:hint="eastAsia" w:ascii="仿宋" w:hAnsi="仿宋" w:eastAsia="仿宋" w:cs="仿宋"/>
                <w:sz w:val="24"/>
                <w:szCs w:val="24"/>
              </w:rPr>
              <w:t>支持Overlay虚拟化网络技术，可以实现VXLAN，NVGRE，STT等任何一种技术标准，实现应用在网络上的承载，并能够与其他网络业务分离。提供工信部下属第三方权威测试报告证明。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14" w:firstLineChars="131"/>
              <w:rPr>
                <w:rFonts w:hint="eastAsia" w:ascii="仿宋" w:hAnsi="仿宋" w:eastAsia="仿宋" w:cs="仿宋"/>
                <w:sz w:val="24"/>
                <w:szCs w:val="24"/>
              </w:rPr>
            </w:pPr>
            <w:r>
              <w:rPr>
                <w:rFonts w:hint="eastAsia" w:ascii="仿宋" w:hAnsi="仿宋" w:eastAsia="仿宋" w:cs="仿宋"/>
                <w:sz w:val="24"/>
                <w:szCs w:val="24"/>
              </w:rPr>
              <w:t>路由协议</w:t>
            </w:r>
          </w:p>
        </w:tc>
        <w:tc>
          <w:tcPr>
            <w:tcW w:w="60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80" w:firstLineChars="0"/>
              <w:rPr>
                <w:rFonts w:hint="eastAsia" w:ascii="仿宋" w:hAnsi="仿宋" w:eastAsia="仿宋" w:cs="仿宋"/>
                <w:sz w:val="24"/>
                <w:szCs w:val="24"/>
              </w:rPr>
            </w:pPr>
            <w:r>
              <w:rPr>
                <w:rFonts w:hint="eastAsia" w:ascii="仿宋" w:hAnsi="仿宋" w:eastAsia="仿宋" w:cs="仿宋"/>
                <w:sz w:val="24"/>
                <w:szCs w:val="24"/>
              </w:rPr>
              <w:t>支持IPv4静态路由、RIP V1/V2、OSPF、BGP等，支持IPv6静态路由、RIPng、OSPFv3、BGP4+等。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14" w:firstLineChars="131"/>
              <w:rPr>
                <w:rFonts w:hint="eastAsia" w:ascii="仿宋" w:hAnsi="仿宋" w:eastAsia="仿宋" w:cs="仿宋"/>
                <w:sz w:val="24"/>
                <w:szCs w:val="24"/>
              </w:rPr>
            </w:pPr>
            <w:r>
              <w:rPr>
                <w:rFonts w:hint="eastAsia" w:ascii="仿宋" w:hAnsi="仿宋" w:eastAsia="仿宋" w:cs="仿宋"/>
                <w:sz w:val="24"/>
                <w:szCs w:val="24"/>
              </w:rPr>
              <w:t>安全特性</w:t>
            </w:r>
          </w:p>
        </w:tc>
        <w:tc>
          <w:tcPr>
            <w:tcW w:w="60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80" w:firstLineChars="0"/>
              <w:rPr>
                <w:rFonts w:hint="eastAsia" w:ascii="仿宋" w:hAnsi="仿宋" w:eastAsia="仿宋" w:cs="仿宋"/>
                <w:sz w:val="24"/>
                <w:szCs w:val="24"/>
              </w:rPr>
            </w:pPr>
            <w:r>
              <w:rPr>
                <w:rFonts w:hint="eastAsia" w:ascii="仿宋" w:hAnsi="仿宋" w:eastAsia="仿宋" w:cs="仿宋"/>
                <w:sz w:val="24"/>
                <w:szCs w:val="24"/>
              </w:rPr>
              <w:t xml:space="preserve">支持基于标准、扩展、VLAN的ACL；支持MAC认证、802.1X认证、Portal认证；支持IP地址、VLAN ID、MAC地址和端口等多种组合绑定。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14" w:firstLineChars="131"/>
              <w:rPr>
                <w:rFonts w:hint="eastAsia" w:ascii="仿宋" w:hAnsi="仿宋" w:eastAsia="仿宋" w:cs="仿宋"/>
                <w:sz w:val="24"/>
                <w:szCs w:val="24"/>
              </w:rPr>
            </w:pPr>
            <w:r>
              <w:rPr>
                <w:rFonts w:hint="eastAsia" w:ascii="仿宋" w:hAnsi="仿宋" w:eastAsia="仿宋" w:cs="仿宋"/>
                <w:sz w:val="24"/>
                <w:szCs w:val="24"/>
              </w:rPr>
              <w:t>设备管理</w:t>
            </w:r>
          </w:p>
        </w:tc>
        <w:tc>
          <w:tcPr>
            <w:tcW w:w="60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480" w:firstLineChars="0"/>
              <w:rPr>
                <w:rFonts w:hint="eastAsia" w:ascii="仿宋" w:hAnsi="仿宋" w:eastAsia="仿宋" w:cs="仿宋"/>
                <w:sz w:val="24"/>
                <w:szCs w:val="24"/>
              </w:rPr>
            </w:pPr>
            <w:r>
              <w:rPr>
                <w:rFonts w:hint="eastAsia" w:ascii="仿宋" w:hAnsi="仿宋" w:eastAsia="仿宋" w:cs="仿宋"/>
                <w:sz w:val="24"/>
                <w:szCs w:val="24"/>
              </w:rPr>
              <w:t>支持SNMPv1、SNMPv2、SNMPv3、RMON等网络管理协议，并且支持通过网管软件远程进行设备软件升级、配置等。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2" w:hRule="atLeast"/>
          <w:jc w:val="center"/>
        </w:trPr>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rPr>
                <w:rFonts w:hint="eastAsia" w:ascii="仿宋" w:hAnsi="仿宋" w:eastAsia="仿宋" w:cs="仿宋"/>
                <w:sz w:val="24"/>
                <w:szCs w:val="24"/>
              </w:rPr>
            </w:pPr>
            <w:r>
              <w:rPr>
                <w:rFonts w:hint="eastAsia" w:ascii="仿宋" w:hAnsi="仿宋" w:eastAsia="仿宋" w:cs="仿宋"/>
                <w:sz w:val="24"/>
                <w:szCs w:val="24"/>
              </w:rPr>
              <w:t>★资质证书</w:t>
            </w:r>
          </w:p>
        </w:tc>
        <w:tc>
          <w:tcPr>
            <w:tcW w:w="6096" w:type="dxa"/>
            <w:tcBorders>
              <w:top w:val="single" w:color="auto" w:sz="4" w:space="0"/>
              <w:left w:val="single" w:color="auto" w:sz="4" w:space="0"/>
              <w:right w:val="single" w:color="auto" w:sz="4" w:space="0"/>
            </w:tcBorders>
            <w:shd w:val="clear" w:color="auto" w:fill="FFFFFF"/>
            <w:vAlign w:val="center"/>
          </w:tcPr>
          <w:p>
            <w:pPr>
              <w:widowControl/>
              <w:ind w:firstLine="480" w:firstLineChars="0"/>
              <w:rPr>
                <w:rFonts w:hint="eastAsia" w:ascii="仿宋" w:hAnsi="仿宋" w:eastAsia="仿宋" w:cs="仿宋"/>
                <w:sz w:val="24"/>
                <w:szCs w:val="24"/>
              </w:rPr>
            </w:pPr>
            <w:r>
              <w:rPr>
                <w:rFonts w:hint="eastAsia" w:ascii="仿宋" w:hAnsi="仿宋" w:eastAsia="仿宋" w:cs="仿宋"/>
                <w:sz w:val="24"/>
                <w:szCs w:val="24"/>
              </w:rPr>
              <w:t>提供中华人民共和国工业和信息化部电信管理局入网证复印件（入网证申请单位和生产企业必须一致）。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8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0" w:firstLineChars="0"/>
              <w:jc w:val="center"/>
              <w:rPr>
                <w:rFonts w:hint="eastAsia" w:ascii="仿宋" w:hAnsi="仿宋" w:eastAsia="仿宋" w:cs="仿宋"/>
                <w:sz w:val="24"/>
                <w:szCs w:val="24"/>
              </w:rPr>
            </w:pPr>
            <w:r>
              <w:rPr>
                <w:rFonts w:hint="eastAsia" w:ascii="仿宋" w:hAnsi="仿宋" w:eastAsia="仿宋" w:cs="仿宋"/>
                <w:sz w:val="24"/>
                <w:szCs w:val="24"/>
              </w:rPr>
              <w:t>★配置要求</w:t>
            </w:r>
          </w:p>
        </w:tc>
        <w:tc>
          <w:tcPr>
            <w:tcW w:w="60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ind w:firstLine="640"/>
              <w:rPr>
                <w:rFonts w:hint="eastAsia" w:ascii="仿宋" w:hAnsi="仿宋" w:eastAsia="仿宋" w:cs="仿宋"/>
                <w:sz w:val="24"/>
                <w:szCs w:val="24"/>
              </w:rPr>
            </w:pPr>
            <w:r>
              <w:rPr>
                <w:rFonts w:hint="eastAsia" w:ascii="仿宋" w:hAnsi="仿宋" w:eastAsia="仿宋" w:cs="仿宋"/>
                <w:sz w:val="24"/>
                <w:szCs w:val="24"/>
              </w:rPr>
              <w:t>单台配置要求：双主控、内置冗余交流电源、千兆电口≥48个，千兆光口≥24个，万兆以太网光接口≥4个。千兆以太网单模光模块≥10个，万兆以太网多模光模块≥4个，3m万兆堆叠线缆1根。</w:t>
            </w:r>
          </w:p>
        </w:tc>
      </w:tr>
    </w:tbl>
    <w:p>
      <w:pPr>
        <w:ind w:firstLine="0" w:firstLineChars="0"/>
        <w:rPr>
          <w:rFonts w:hint="eastAsia" w:ascii="仿宋" w:hAnsi="仿宋" w:eastAsia="仿宋" w:cs="仿宋"/>
          <w:sz w:val="24"/>
          <w:szCs w:val="24"/>
        </w:rPr>
      </w:pPr>
    </w:p>
    <w:p>
      <w:pPr>
        <w:ind w:firstLine="0" w:firstLineChars="0"/>
        <w:rPr>
          <w:rFonts w:hint="eastAsia" w:ascii="仿宋" w:hAnsi="仿宋" w:eastAsia="仿宋" w:cs="仿宋"/>
          <w:b/>
          <w:sz w:val="24"/>
          <w:szCs w:val="24"/>
        </w:rPr>
      </w:pPr>
      <w:r>
        <w:rPr>
          <w:rFonts w:hint="eastAsia" w:ascii="仿宋" w:hAnsi="仿宋" w:eastAsia="仿宋" w:cs="仿宋"/>
          <w:b/>
          <w:sz w:val="24"/>
          <w:szCs w:val="24"/>
        </w:rPr>
        <w:t>5、OTDR（1台）</w:t>
      </w:r>
    </w:p>
    <w:tbl>
      <w:tblPr>
        <w:tblStyle w:val="36"/>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6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vMerge w:val="restart"/>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主要功能</w:t>
            </w:r>
          </w:p>
        </w:tc>
        <w:tc>
          <w:tcPr>
            <w:tcW w:w="609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彩色TFT LCD显示屏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268"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609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光纤放大镜接口，支持外部光纤探头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268"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609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智能故障定位器定位光缆故障点★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268"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609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具有多种测量模式，操作简单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609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配置数据分析与仿真软件，可批量处理、生成、打印测试报告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609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具有有光告警功能，防止在用光信号损毁OTDR★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609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配置2个USB接口、可进行电脑仿真控制及外接存储、打印机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268"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609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可按项目管理光缆自动进行多芯测量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609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内存容量超过1000条曲线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8364"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波长★</w:t>
            </w:r>
          </w:p>
        </w:tc>
        <w:tc>
          <w:tcPr>
            <w:tcW w:w="609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1310/1550nm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量程★</w:t>
            </w:r>
          </w:p>
        </w:tc>
        <w:tc>
          <w:tcPr>
            <w:tcW w:w="609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50km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动态范围★</w:t>
            </w:r>
          </w:p>
        </w:tc>
        <w:tc>
          <w:tcPr>
            <w:tcW w:w="609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32/30 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事件盲区</w:t>
            </w:r>
          </w:p>
        </w:tc>
        <w:tc>
          <w:tcPr>
            <w:tcW w:w="609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0.8 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衰减盲区★</w:t>
            </w:r>
          </w:p>
        </w:tc>
        <w:tc>
          <w:tcPr>
            <w:tcW w:w="609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5 m /5 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脉宽设置</w:t>
            </w:r>
          </w:p>
        </w:tc>
        <w:tc>
          <w:tcPr>
            <w:tcW w:w="609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3ns ~ 10us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26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存储容量</w:t>
            </w:r>
          </w:p>
        </w:tc>
        <w:tc>
          <w:tcPr>
            <w:tcW w:w="609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&gt;1000条曲线</w:t>
            </w:r>
          </w:p>
        </w:tc>
      </w:tr>
    </w:tbl>
    <w:p>
      <w:pPr>
        <w:ind w:firstLine="0" w:firstLineChars="0"/>
        <w:rPr>
          <w:rFonts w:hint="eastAsia" w:ascii="仿宋" w:hAnsi="仿宋" w:eastAsia="仿宋" w:cs="仿宋"/>
          <w:sz w:val="24"/>
          <w:szCs w:val="24"/>
        </w:rPr>
      </w:pPr>
    </w:p>
    <w:p>
      <w:pPr>
        <w:ind w:firstLine="0" w:firstLineChars="0"/>
        <w:rPr>
          <w:rFonts w:hint="eastAsia" w:ascii="仿宋" w:hAnsi="仿宋" w:eastAsia="仿宋" w:cs="仿宋"/>
          <w:b/>
          <w:sz w:val="24"/>
          <w:szCs w:val="24"/>
        </w:rPr>
      </w:pPr>
      <w:r>
        <w:rPr>
          <w:rFonts w:hint="eastAsia" w:ascii="仿宋" w:hAnsi="仿宋" w:eastAsia="仿宋" w:cs="仿宋"/>
          <w:b/>
          <w:sz w:val="24"/>
          <w:szCs w:val="24"/>
        </w:rPr>
        <w:t>6、相机（1台，含镜头）</w:t>
      </w:r>
    </w:p>
    <w:tbl>
      <w:tblPr>
        <w:tblStyle w:val="36"/>
        <w:tblW w:w="86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
      <w:tblGrid>
        <w:gridCol w:w="8640"/>
      </w:tblGrid>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具有自动对焦/自动曝光的单镜头反光式数码相机</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记录媒体：CF卡</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镜头卡口：EF卡口（含镜头24-105mm）</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图像感应器</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类型：CMOS图像感应器★</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尺寸：全画幅（36*24mm）</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有效像素：大于2000万像素★</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除尘功能：自动、手动</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图像类型：JPEG、RAW ，可以同时记录RAW+JPEG</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自动对焦</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类型：TTL辅助影像重合，相位检测，自动对焦点</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对焦亮度范围：EV -2 - 18（使用中央F2.8自动对焦点、23 ℃/73 ℉、ISO100）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对焦模式：单次自动对焦、人工智能伺服自动对焦、人工智能自动对焦、手动对焦</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液晶监视器</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TFT彩色液晶监视器</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具备电子水准仪</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简体中文界面语言</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音频/视频输出/数码端子：模拟视频（兼容NTSC/PAL）/立体声音频输出，计算机通讯、直接打印（Hi-Speed USB或等同规格）、无线文件传输器WFT-E7C</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HDMI mini 输出端子：C型（自动切换分辨率）、CEC兼容</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fixed"/>
          <w:tblCellMar>
            <w:top w:w="0" w:type="dxa"/>
            <w:left w:w="108" w:type="dxa"/>
            <w:bottom w:w="0" w:type="dxa"/>
            <w:right w:w="108" w:type="dxa"/>
          </w:tblCellMar>
        </w:tblPrEx>
        <w:trPr>
          <w:trHeight w:val="285" w:hRule="atLeast"/>
        </w:trPr>
        <w:tc>
          <w:tcPr>
            <w:tcW w:w="864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3.5毫米外接麦克风输入端子</w:t>
            </w:r>
          </w:p>
        </w:tc>
      </w:tr>
    </w:tbl>
    <w:p>
      <w:pPr>
        <w:ind w:firstLine="0" w:firstLineChars="0"/>
        <w:rPr>
          <w:rFonts w:hint="eastAsia" w:ascii="仿宋" w:hAnsi="仿宋" w:eastAsia="仿宋" w:cs="仿宋"/>
          <w:b/>
          <w:sz w:val="24"/>
          <w:szCs w:val="24"/>
        </w:rPr>
      </w:pPr>
    </w:p>
    <w:p>
      <w:pPr>
        <w:ind w:firstLine="0" w:firstLineChars="0"/>
        <w:rPr>
          <w:rFonts w:hint="eastAsia" w:ascii="仿宋" w:hAnsi="仿宋" w:eastAsia="仿宋" w:cs="仿宋"/>
          <w:b/>
          <w:sz w:val="24"/>
          <w:szCs w:val="24"/>
        </w:rPr>
      </w:pPr>
      <w:r>
        <w:rPr>
          <w:rFonts w:hint="eastAsia" w:ascii="仿宋" w:hAnsi="仿宋" w:eastAsia="仿宋" w:cs="仿宋"/>
          <w:b/>
          <w:sz w:val="24"/>
          <w:szCs w:val="24"/>
        </w:rPr>
        <w:t>7、PON光功率计（2台）</w:t>
      </w:r>
    </w:p>
    <w:tbl>
      <w:tblPr>
        <w:tblStyle w:val="36"/>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56"/>
        <w:gridCol w:w="5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364"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彩屏LCD</w:t>
            </w:r>
          </w:p>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同时测量上下行功率数据，同时测量三个通道功率★</w:t>
            </w:r>
          </w:p>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多电源自动切换，并且具备自动充电功能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364"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详细参数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364"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1310nm上行测试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光谱通带</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1260nm~1360nm★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测量范围</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-35dBm~+10dBm★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最大输入功率</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+15dBm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隔离度（1490/1550nm）</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&gt;30dB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364"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1490nm下行测试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光谱通带</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1480nm~1500nm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测量范围</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-50dBm~+10dBm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最大输入功率</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+15dBm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隔离度（对1310nm）</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&gt;30dB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隔离度（对1550nm）</w:t>
            </w:r>
          </w:p>
        </w:tc>
        <w:tc>
          <w:tcPr>
            <w:tcW w:w="5608"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&gt;30dB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364"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1550nm下行测试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光谱通带</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1530nm~1570nm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测量范围</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-45dBm~+25dBm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最大输入功率</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+25dBm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隔离度（对1310nm）</w:t>
            </w:r>
          </w:p>
        </w:tc>
        <w:tc>
          <w:tcPr>
            <w:tcW w:w="5608" w:type="dxa"/>
            <w:shd w:val="clear" w:color="auto" w:fill="auto"/>
            <w:vAlign w:val="top"/>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&gt;30dB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隔离度（对1490nm）</w:t>
            </w:r>
          </w:p>
        </w:tc>
        <w:tc>
          <w:tcPr>
            <w:tcW w:w="5608" w:type="dxa"/>
            <w:shd w:val="clear" w:color="auto" w:fill="auto"/>
            <w:vAlign w:val="top"/>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&gt;30dB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8364" w:type="dxa"/>
            <w:gridSpan w:val="2"/>
            <w:shd w:val="clear" w:color="auto" w:fill="auto"/>
            <w:vAlign w:val="top"/>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公共部分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top"/>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光纤类型</w:t>
            </w:r>
          </w:p>
        </w:tc>
        <w:tc>
          <w:tcPr>
            <w:tcW w:w="5608" w:type="dxa"/>
            <w:shd w:val="clear" w:color="auto" w:fill="auto"/>
            <w:vAlign w:val="top"/>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SM 9/125um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top"/>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光纤连接器</w:t>
            </w:r>
          </w:p>
        </w:tc>
        <w:tc>
          <w:tcPr>
            <w:tcW w:w="5608" w:type="dxa"/>
            <w:shd w:val="clear" w:color="auto" w:fill="auto"/>
            <w:vAlign w:val="top"/>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插入损耗</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&lt;1.5dB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适用电池</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5#碱性或充电电池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电池寿命</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&gt;20H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2756"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相对温度</w:t>
            </w:r>
          </w:p>
        </w:tc>
        <w:tc>
          <w:tcPr>
            <w:tcW w:w="5608"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&lt;90%不结霜</w:t>
            </w:r>
          </w:p>
        </w:tc>
      </w:tr>
    </w:tbl>
    <w:p>
      <w:pPr>
        <w:ind w:firstLine="0" w:firstLineChars="0"/>
        <w:rPr>
          <w:rFonts w:hint="eastAsia" w:ascii="仿宋" w:hAnsi="仿宋" w:eastAsia="仿宋" w:cs="仿宋"/>
          <w:b/>
          <w:sz w:val="24"/>
          <w:szCs w:val="24"/>
        </w:rPr>
      </w:pPr>
      <w:r>
        <w:rPr>
          <w:rFonts w:hint="eastAsia" w:ascii="仿宋" w:hAnsi="仿宋" w:eastAsia="仿宋" w:cs="仿宋"/>
          <w:sz w:val="24"/>
          <w:szCs w:val="24"/>
        </w:rPr>
        <w:t>8、</w:t>
      </w:r>
      <w:r>
        <w:rPr>
          <w:rFonts w:hint="eastAsia" w:ascii="仿宋" w:hAnsi="仿宋" w:eastAsia="仿宋" w:cs="仿宋"/>
          <w:b/>
          <w:sz w:val="24"/>
          <w:szCs w:val="24"/>
        </w:rPr>
        <w:t>光纤识别器（2台）</w:t>
      </w:r>
    </w:p>
    <w:tbl>
      <w:tblPr>
        <w:tblStyle w:val="36"/>
        <w:tblW w:w="8374" w:type="dxa"/>
        <w:tblInd w:w="9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129"/>
        <w:gridCol w:w="2811"/>
        <w:gridCol w:w="24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识别波长范围(nm)</w:t>
            </w: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800～1700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trPr>
        <w:tc>
          <w:tcPr>
            <w:tcW w:w="3129"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适配器类型（mm）★</w:t>
            </w: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Φ0.25（用于裸纤）；Φ0.9，Φ2.0, Φ3.0（用于尾纤）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调制频率（Hz）</w:t>
            </w: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CW，270，1K，2K</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信号方向指示★</w:t>
            </w: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方向指示灯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提示</w:t>
            </w: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低电量提示音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26" w:hRule="atLeast"/>
        </w:trPr>
        <w:tc>
          <w:tcPr>
            <w:tcW w:w="3129" w:type="dxa"/>
            <w:vMerge w:val="restart"/>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信号方向检测范围(dBm,CW/0.9mm裸纤）</w:t>
            </w: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-46～10 (1310nm)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22" w:hRule="atLeast"/>
        </w:trPr>
        <w:tc>
          <w:tcPr>
            <w:tcW w:w="3129"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-50～10 (1550nm)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信号功率检测范围(dBm ,CW/0.9mm裸纤 ) ★</w:t>
            </w: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-50～10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信号频率指示（Hz）</w:t>
            </w: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270，1K，2K</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vMerge w:val="restart"/>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频率检测范围(dBm,平均值)</w:t>
            </w:r>
          </w:p>
        </w:tc>
        <w:tc>
          <w:tcPr>
            <w:tcW w:w="2811" w:type="dxa"/>
            <w:vMerge w:val="restart"/>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Φ0.9，Φ2.0, Φ3.0</w:t>
            </w:r>
          </w:p>
        </w:tc>
        <w:tc>
          <w:tcPr>
            <w:tcW w:w="2434"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-30～0 (270Hz,1KHz)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2811"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2434"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-25～0 (2KHz)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2811" w:type="dxa"/>
            <w:vMerge w:val="restart"/>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Φ0.25</w:t>
            </w:r>
          </w:p>
        </w:tc>
        <w:tc>
          <w:tcPr>
            <w:tcW w:w="2434"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-25～0 (270Hz,1KHz)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2811"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2434"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-20～0 (2KHz)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vMerge w:val="restart"/>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插入损耗（dB，典型值）</w:t>
            </w: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0.8 (1310nm)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trPr>
        <w:tc>
          <w:tcPr>
            <w:tcW w:w="3129"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5245" w:type="dxa"/>
            <w:gridSpan w:val="2"/>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2.5 (1550nm)</w:t>
            </w:r>
          </w:p>
        </w:tc>
      </w:tr>
    </w:tbl>
    <w:p>
      <w:pPr>
        <w:ind w:firstLine="0" w:firstLineChars="0"/>
        <w:rPr>
          <w:rFonts w:hint="eastAsia" w:ascii="仿宋" w:hAnsi="仿宋" w:eastAsia="仿宋" w:cs="仿宋"/>
          <w:b/>
          <w:sz w:val="24"/>
          <w:szCs w:val="24"/>
        </w:rPr>
      </w:pPr>
      <w:r>
        <w:rPr>
          <w:rFonts w:hint="eastAsia" w:ascii="仿宋" w:hAnsi="仿宋" w:eastAsia="仿宋" w:cs="仿宋"/>
          <w:b/>
          <w:sz w:val="24"/>
          <w:szCs w:val="24"/>
        </w:rPr>
        <w:t>9、网络摄像机（26台）</w:t>
      </w:r>
    </w:p>
    <w:tbl>
      <w:tblPr>
        <w:tblStyle w:val="36"/>
        <w:tblW w:w="8320" w:type="dxa"/>
        <w:tblInd w:w="9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44"/>
        <w:gridCol w:w="71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trPr>
        <w:tc>
          <w:tcPr>
            <w:tcW w:w="1144" w:type="dxa"/>
            <w:vMerge w:val="restart"/>
            <w:shd w:val="clear" w:color="000000" w:fill="FAFAFA"/>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主要</w:t>
            </w:r>
          </w:p>
          <w:p>
            <w:pPr>
              <w:widowControl/>
              <w:autoSpaceDE/>
              <w:autoSpaceDN/>
              <w:adjustRightInd/>
              <w:spacing w:line="240" w:lineRule="auto"/>
              <w:ind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参数</w:t>
            </w:r>
          </w:p>
        </w:tc>
        <w:tc>
          <w:tcPr>
            <w:tcW w:w="717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网络摄像机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bCs/>
                <w:sz w:val="24"/>
                <w:szCs w:val="24"/>
              </w:rPr>
            </w:pPr>
            <w:r>
              <w:rPr>
                <w:rFonts w:hint="eastAsia" w:ascii="仿宋" w:hAnsi="仿宋" w:eastAsia="仿宋" w:cs="仿宋"/>
                <w:bCs/>
                <w:sz w:val="24"/>
                <w:szCs w:val="24"/>
              </w:rPr>
              <w:t>日夜转换，宽动态，红外灯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bCs/>
                <w:sz w:val="24"/>
                <w:szCs w:val="24"/>
              </w:rPr>
            </w:pPr>
            <w:r>
              <w:rPr>
                <w:rFonts w:hint="eastAsia" w:ascii="仿宋" w:hAnsi="仿宋" w:eastAsia="仿宋" w:cs="仿宋"/>
                <w:bCs/>
                <w:sz w:val="24"/>
                <w:szCs w:val="24"/>
              </w:rPr>
              <w:t>有效像素大于等于200万</w:t>
            </w:r>
            <w:r>
              <w:rPr>
                <w:rFonts w:hint="eastAsia" w:ascii="仿宋" w:hAnsi="仿宋" w:eastAsia="仿宋" w:cs="仿宋"/>
                <w:sz w:val="24"/>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bCs/>
                <w:sz w:val="24"/>
                <w:szCs w:val="24"/>
              </w:rPr>
            </w:pPr>
            <w:r>
              <w:rPr>
                <w:rFonts w:hint="eastAsia" w:ascii="仿宋" w:hAnsi="仿宋" w:eastAsia="仿宋" w:cs="仿宋"/>
                <w:bCs/>
                <w:sz w:val="24"/>
                <w:szCs w:val="24"/>
              </w:rPr>
              <w:t>镜头参数</w:t>
            </w:r>
            <w:r>
              <w:rPr>
                <w:rFonts w:hint="eastAsia" w:ascii="仿宋" w:hAnsi="仿宋" w:eastAsia="仿宋" w:cs="仿宋"/>
                <w:sz w:val="24"/>
                <w:szCs w:val="24"/>
              </w:rPr>
              <w:t>2.8mm★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数字降噪：3D数字降噪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宽动态范围：120dB★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背光补偿：支持，可选择区域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1144" w:type="dxa"/>
            <w:vMerge w:val="restart"/>
            <w:shd w:val="clear" w:color="000000" w:fill="FAFAFA"/>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音/视频参数</w:t>
            </w: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bCs/>
                <w:sz w:val="24"/>
                <w:szCs w:val="24"/>
              </w:rPr>
            </w:pPr>
            <w:r>
              <w:rPr>
                <w:rFonts w:hint="eastAsia" w:ascii="仿宋" w:hAnsi="仿宋" w:eastAsia="仿宋" w:cs="仿宋"/>
                <w:bCs/>
                <w:sz w:val="24"/>
                <w:szCs w:val="24"/>
              </w:rPr>
              <w:t>分辨率1920×1080</w:t>
            </w:r>
            <w:r>
              <w:rPr>
                <w:rFonts w:hint="eastAsia" w:ascii="仿宋" w:hAnsi="仿宋" w:eastAsia="仿宋" w:cs="仿宋"/>
                <w:sz w:val="24"/>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5"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bCs/>
                <w:sz w:val="24"/>
                <w:szCs w:val="24"/>
              </w:rPr>
            </w:pPr>
            <w:r>
              <w:rPr>
                <w:rFonts w:hint="eastAsia" w:ascii="仿宋" w:hAnsi="仿宋" w:eastAsia="仿宋" w:cs="仿宋"/>
                <w:bCs/>
                <w:sz w:val="24"/>
                <w:szCs w:val="24"/>
              </w:rPr>
              <w:t>压缩格式</w:t>
            </w:r>
            <w:r>
              <w:rPr>
                <w:rFonts w:hint="eastAsia" w:ascii="仿宋" w:hAnsi="仿宋" w:eastAsia="仿宋" w:cs="仿宋"/>
                <w:sz w:val="24"/>
                <w:szCs w:val="24"/>
              </w:rPr>
              <w:t>视频压缩：Smart 265/H.265／H.264／MJPEG（H.265编码类型：Main Profile）★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音频压缩：G.711/G.722.1/G.726/MP2L2/AAC/PCM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bCs/>
                <w:sz w:val="24"/>
                <w:szCs w:val="24"/>
              </w:rPr>
            </w:pPr>
            <w:r>
              <w:rPr>
                <w:rFonts w:hint="eastAsia" w:ascii="仿宋" w:hAnsi="仿宋" w:eastAsia="仿宋" w:cs="仿宋"/>
                <w:bCs/>
                <w:sz w:val="24"/>
                <w:szCs w:val="24"/>
              </w:rPr>
              <w:t>视频帧率50Hz：25fps（1920×1080，1280×960，1280×720）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bCs/>
                <w:sz w:val="24"/>
                <w:szCs w:val="24"/>
              </w:rPr>
            </w:pPr>
            <w:r>
              <w:rPr>
                <w:rFonts w:hint="eastAsia" w:ascii="仿宋" w:hAnsi="仿宋" w:eastAsia="仿宋" w:cs="仿宋"/>
                <w:bCs/>
                <w:sz w:val="24"/>
                <w:szCs w:val="24"/>
              </w:rPr>
              <w:t>压缩码率</w:t>
            </w:r>
            <w:r>
              <w:rPr>
                <w:rFonts w:hint="eastAsia" w:ascii="仿宋" w:hAnsi="仿宋" w:eastAsia="仿宋" w:cs="仿宋"/>
                <w:sz w:val="24"/>
                <w:szCs w:val="24"/>
              </w:rPr>
              <w:t>压缩输出码率：32Kbps-8Mbps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0"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音频压缩码率：64Kbps（G.711）/16Kbps（G.722.1）/16Kbps（G.726）/32-160Kbps（MP2L2）/16-64Kbps（AAC）</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5" w:hRule="atLeast"/>
        </w:trPr>
        <w:tc>
          <w:tcPr>
            <w:tcW w:w="1144" w:type="dxa"/>
            <w:shd w:val="clear" w:color="000000" w:fill="FAFAFA"/>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接口</w:t>
            </w:r>
          </w:p>
          <w:p>
            <w:pPr>
              <w:widowControl/>
              <w:autoSpaceDE/>
              <w:autoSpaceDN/>
              <w:adjustRightInd/>
              <w:spacing w:line="240" w:lineRule="auto"/>
              <w:ind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参数</w:t>
            </w: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bCs/>
                <w:sz w:val="24"/>
                <w:szCs w:val="24"/>
              </w:rPr>
            </w:pPr>
            <w:r>
              <w:rPr>
                <w:rFonts w:hint="eastAsia" w:ascii="仿宋" w:hAnsi="仿宋" w:eastAsia="仿宋" w:cs="仿宋"/>
                <w:bCs/>
                <w:sz w:val="24"/>
                <w:szCs w:val="24"/>
              </w:rPr>
              <w:t>网络接口1×10Base-T/100Base-TX(RJ-45)自适应以太网接口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00" w:hRule="atLeast"/>
        </w:trPr>
        <w:tc>
          <w:tcPr>
            <w:tcW w:w="1144" w:type="dxa"/>
            <w:vMerge w:val="restart"/>
            <w:shd w:val="clear" w:color="000000" w:fill="FAFAFA"/>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其它</w:t>
            </w:r>
          </w:p>
          <w:p>
            <w:pPr>
              <w:widowControl/>
              <w:autoSpaceDE/>
              <w:autoSpaceDN/>
              <w:adjustRightInd/>
              <w:spacing w:line="240" w:lineRule="auto"/>
              <w:ind w:firstLine="0" w:firstLineChars="0"/>
              <w:jc w:val="center"/>
              <w:rPr>
                <w:rFonts w:hint="eastAsia" w:ascii="仿宋" w:hAnsi="仿宋" w:eastAsia="仿宋" w:cs="仿宋"/>
                <w:bCs/>
                <w:sz w:val="24"/>
                <w:szCs w:val="24"/>
              </w:rPr>
            </w:pPr>
            <w:r>
              <w:rPr>
                <w:rFonts w:hint="eastAsia" w:ascii="仿宋" w:hAnsi="仿宋" w:eastAsia="仿宋" w:cs="仿宋"/>
                <w:bCs/>
                <w:sz w:val="24"/>
                <w:szCs w:val="24"/>
              </w:rPr>
              <w:t>参数</w:t>
            </w: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bCs/>
                <w:sz w:val="24"/>
                <w:szCs w:val="24"/>
              </w:rPr>
            </w:pPr>
            <w:r>
              <w:rPr>
                <w:rFonts w:hint="eastAsia" w:ascii="仿宋" w:hAnsi="仿宋" w:eastAsia="仿宋" w:cs="仿宋"/>
                <w:bCs/>
                <w:sz w:val="24"/>
                <w:szCs w:val="24"/>
              </w:rPr>
              <w:t>网络协议TCP/IP，ICMP，HTTP，HTTPS，FTP，DHCP，DNS，DDNS，RTP，RTSP，RTCP，PPPoE，NTP，UPnP，SMTP，IGMP，802.1X，QoS，IPv6，Bonjour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bCs/>
                <w:sz w:val="24"/>
                <w:szCs w:val="24"/>
              </w:rPr>
            </w:pPr>
            <w:r>
              <w:rPr>
                <w:rFonts w:hint="eastAsia" w:ascii="仿宋" w:hAnsi="仿宋" w:eastAsia="仿宋" w:cs="仿宋"/>
                <w:bCs/>
                <w:sz w:val="24"/>
                <w:szCs w:val="24"/>
              </w:rPr>
              <w:t>电源电压DC 12V±25%/PoE（802.3af）</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5"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存储功能：支持Micro SD/SDHC/SDXC卡，断网本地存储★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5"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智能报警：越界侦测，区域入侵侦测，移动侦测，动态分析，遮挡报警，网线断，IP地址冲突，存储器满，存储器错误等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trPr>
        <w:tc>
          <w:tcPr>
            <w:tcW w:w="114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bCs/>
                <w:sz w:val="24"/>
                <w:szCs w:val="24"/>
              </w:rPr>
            </w:pPr>
          </w:p>
        </w:tc>
        <w:tc>
          <w:tcPr>
            <w:tcW w:w="7176" w:type="dxa"/>
            <w:shd w:val="clear" w:color="auto" w:fill="auto"/>
            <w:vAlign w:val="top"/>
          </w:tcPr>
          <w:p>
            <w:pPr>
              <w:widowControl/>
              <w:autoSpaceDE/>
              <w:autoSpaceDN/>
              <w:adjustRightInd/>
              <w:spacing w:line="24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红外照射距离：20-30m★</w:t>
            </w:r>
          </w:p>
        </w:tc>
      </w:tr>
    </w:tbl>
    <w:p>
      <w:pPr>
        <w:ind w:firstLine="0" w:firstLineChars="0"/>
        <w:rPr>
          <w:rFonts w:hint="eastAsia" w:ascii="仿宋" w:hAnsi="仿宋" w:eastAsia="仿宋" w:cs="仿宋"/>
          <w:sz w:val="24"/>
          <w:szCs w:val="24"/>
        </w:rPr>
      </w:pPr>
    </w:p>
    <w:p>
      <w:pPr>
        <w:ind w:firstLine="0" w:firstLineChars="0"/>
        <w:rPr>
          <w:rFonts w:hint="eastAsia" w:ascii="仿宋" w:hAnsi="仿宋" w:eastAsia="仿宋" w:cs="仿宋"/>
          <w:b/>
          <w:sz w:val="24"/>
          <w:szCs w:val="24"/>
        </w:rPr>
      </w:pPr>
      <w:r>
        <w:rPr>
          <w:rFonts w:hint="eastAsia" w:ascii="仿宋" w:hAnsi="仿宋" w:eastAsia="仿宋" w:cs="仿宋"/>
          <w:sz w:val="24"/>
          <w:szCs w:val="24"/>
        </w:rPr>
        <w:t>10、</w:t>
      </w:r>
      <w:r>
        <w:rPr>
          <w:rFonts w:hint="eastAsia" w:ascii="仿宋" w:hAnsi="仿宋" w:eastAsia="仿宋" w:cs="仿宋"/>
          <w:b/>
          <w:sz w:val="24"/>
          <w:szCs w:val="24"/>
        </w:rPr>
        <w:t>硬盘录像机（1台）</w:t>
      </w:r>
    </w:p>
    <w:tbl>
      <w:tblPr>
        <w:tblStyle w:val="36"/>
        <w:tblW w:w="8374" w:type="dxa"/>
        <w:tblInd w:w="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286"/>
        <w:gridCol w:w="1985"/>
        <w:gridCol w:w="510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5" w:hRule="atLeast"/>
        </w:trPr>
        <w:tc>
          <w:tcPr>
            <w:tcW w:w="1286"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视音频输入</w:t>
            </w: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网络视频输入</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32路★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269"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网络视频接入带宽</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256Mbps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5" w:hRule="atLeast"/>
        </w:trPr>
        <w:tc>
          <w:tcPr>
            <w:tcW w:w="1286"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视音频输出</w:t>
            </w:r>
          </w:p>
        </w:tc>
        <w:tc>
          <w:tcPr>
            <w:tcW w:w="1985"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HDMI输出★</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0"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分辨率：4K（3840×2160）/30Hz，1920×1080/60Hz，1600×1200/60Hz，1280×1024/60Hz，1280×720/60Hz，1024×768/60Hz</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5"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VGA输出</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1路，与HDMI同源，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5"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分辨率：1920×1080/60Hz，1600×1200/60Hz，1280×1024/60Hz，1280×720/60Hz，1024×768/60Hz</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5"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音频输出</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1个，RCA接口（线性电平，阻抗：1kΩ）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0" w:hRule="atLeast"/>
        </w:trPr>
        <w:tc>
          <w:tcPr>
            <w:tcW w:w="1286"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视音频编解码参数</w:t>
            </w: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录像分辨率</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6MP/5MP/4MP/3MP/1080p/UXGA/720p/VGA/4CIF/DCIF/2CIF/CIF/QCIF</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同步回放★</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大于8路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5" w:hRule="atLeast"/>
        </w:trPr>
        <w:tc>
          <w:tcPr>
            <w:tcW w:w="1286"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录像管理</w:t>
            </w: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录像/抓图模式</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手动录像、定时录像、事件录像、移动侦测录像、报警录像、动测或报警录像、动测且报警录像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5"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回放模式</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即时回放、常规回放、事件回放、标签回放、智能回放、日志回放、外部文件回放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备份模式</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常规备份、事件备份、录像剪辑备份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5" w:hRule="atLeast"/>
        </w:trPr>
        <w:tc>
          <w:tcPr>
            <w:tcW w:w="1286"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硬盘驱动器</w:t>
            </w: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类型★</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4个SATA接口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0" w:hRule="atLeast"/>
        </w:trPr>
        <w:tc>
          <w:tcPr>
            <w:tcW w:w="1286"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　</w:t>
            </w: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网络接口</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2个，RJ45 10M/100M/1000M自适应以太网口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5"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串行接口</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5"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sz w:val="24"/>
                <w:szCs w:val="24"/>
              </w:rPr>
            </w:pP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5"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USB接口★</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大于等于3个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5"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报警输入</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16路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trPr>
        <w:tc>
          <w:tcPr>
            <w:tcW w:w="1286" w:type="dxa"/>
            <w:vMerge w:val="continue"/>
            <w:shd w:val="clear" w:color="auto" w:fill="auto"/>
            <w:vAlign w:val="center"/>
          </w:tcPr>
          <w:p>
            <w:pPr>
              <w:widowControl/>
              <w:autoSpaceDE/>
              <w:autoSpaceDN/>
              <w:adjustRightInd/>
              <w:spacing w:line="240" w:lineRule="auto"/>
              <w:ind w:firstLine="0" w:firstLineChars="0"/>
              <w:rPr>
                <w:rFonts w:hint="eastAsia" w:ascii="仿宋" w:hAnsi="仿宋" w:eastAsia="仿宋" w:cs="仿宋"/>
                <w:b/>
                <w:bCs/>
                <w:sz w:val="24"/>
                <w:szCs w:val="24"/>
              </w:rPr>
            </w:pP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报警输出</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0" w:hRule="atLeast"/>
        </w:trPr>
        <w:tc>
          <w:tcPr>
            <w:tcW w:w="1286"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b/>
                <w:bCs/>
                <w:sz w:val="24"/>
                <w:szCs w:val="24"/>
              </w:rPr>
            </w:pPr>
            <w:r>
              <w:rPr>
                <w:rFonts w:hint="eastAsia" w:ascii="仿宋" w:hAnsi="仿宋" w:eastAsia="仿宋" w:cs="仿宋"/>
                <w:b/>
                <w:bCs/>
                <w:sz w:val="24"/>
                <w:szCs w:val="24"/>
              </w:rPr>
              <w:t>网络管理</w:t>
            </w:r>
          </w:p>
        </w:tc>
        <w:tc>
          <w:tcPr>
            <w:tcW w:w="198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网络协议</w:t>
            </w:r>
          </w:p>
        </w:tc>
        <w:tc>
          <w:tcPr>
            <w:tcW w:w="5103"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IPv6、UPnP(即插即用)、NTP（网络校时）、SADP（自动搜索IP地址）、PPPoE(拨号上网）、DHCP（自动获取IP地址）等</w:t>
            </w:r>
          </w:p>
        </w:tc>
      </w:tr>
    </w:tbl>
    <w:p>
      <w:pPr>
        <w:ind w:firstLine="0" w:firstLineChars="0"/>
        <w:rPr>
          <w:rFonts w:hint="eastAsia" w:ascii="仿宋" w:hAnsi="仿宋" w:eastAsia="仿宋" w:cs="仿宋"/>
          <w:sz w:val="24"/>
          <w:szCs w:val="24"/>
        </w:rPr>
      </w:pPr>
    </w:p>
    <w:p>
      <w:pPr>
        <w:ind w:firstLine="0" w:firstLineChars="0"/>
        <w:rPr>
          <w:rFonts w:hint="eastAsia" w:ascii="仿宋" w:hAnsi="仿宋" w:eastAsia="仿宋" w:cs="仿宋"/>
          <w:sz w:val="24"/>
          <w:szCs w:val="24"/>
        </w:rPr>
      </w:pPr>
      <w:r>
        <w:rPr>
          <w:rFonts w:hint="eastAsia" w:ascii="仿宋" w:hAnsi="仿宋" w:eastAsia="仿宋" w:cs="仿宋"/>
          <w:sz w:val="24"/>
          <w:szCs w:val="24"/>
        </w:rPr>
        <w:t>11、打印、复印、扫描一体机（1台）</w:t>
      </w:r>
    </w:p>
    <w:tbl>
      <w:tblPr>
        <w:tblStyle w:val="36"/>
        <w:tblW w:w="8220"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
      <w:tblGrid>
        <w:gridCol w:w="8220"/>
      </w:tblGrid>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1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功能：</w:t>
            </w:r>
            <w:r>
              <w:rPr>
                <w:rFonts w:hint="eastAsia" w:ascii="仿宋" w:hAnsi="仿宋" w:eastAsia="仿宋" w:cs="仿宋"/>
                <w:sz w:val="24"/>
                <w:szCs w:val="24"/>
              </w:rPr>
              <w:t>打印、复印、扫描、传真</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00"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打印速度</w:t>
            </w:r>
            <w:r>
              <w:rPr>
                <w:rFonts w:hint="eastAsia" w:ascii="仿宋" w:hAnsi="仿宋" w:eastAsia="仿宋" w:cs="仿宋"/>
                <w:sz w:val="24"/>
                <w:szCs w:val="24"/>
              </w:rPr>
              <w:t>★</w:t>
            </w:r>
            <w:r>
              <w:rPr>
                <w:rFonts w:hint="eastAsia" w:ascii="仿宋" w:hAnsi="仿宋" w:eastAsia="仿宋" w:cs="仿宋"/>
                <w:b/>
                <w:bCs/>
                <w:sz w:val="24"/>
                <w:szCs w:val="24"/>
              </w:rPr>
              <w:t>：</w:t>
            </w:r>
            <w:r>
              <w:rPr>
                <w:rFonts w:hint="eastAsia" w:ascii="仿宋" w:hAnsi="仿宋" w:eastAsia="仿宋" w:cs="仿宋"/>
                <w:sz w:val="24"/>
                <w:szCs w:val="24"/>
              </w:rPr>
              <w:t>正常模式，A4：大于等于25页/分钟</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00"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　　　　　双面打印，A4：大于等于15面/分钟</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1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打印分辨率</w:t>
            </w:r>
            <w:r>
              <w:rPr>
                <w:rFonts w:hint="eastAsia" w:ascii="仿宋" w:hAnsi="仿宋" w:eastAsia="仿宋" w:cs="仿宋"/>
                <w:sz w:val="24"/>
                <w:szCs w:val="24"/>
              </w:rPr>
              <w:t>★</w:t>
            </w:r>
            <w:r>
              <w:rPr>
                <w:rFonts w:hint="eastAsia" w:ascii="仿宋" w:hAnsi="仿宋" w:eastAsia="仿宋" w:cs="仿宋"/>
                <w:b/>
                <w:bCs/>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00" w:hRule="atLeast"/>
          <w:jc w:val="center"/>
        </w:trPr>
        <w:tc>
          <w:tcPr>
            <w:tcW w:w="8220" w:type="dxa"/>
            <w:shd w:val="clear" w:color="auto" w:fill="auto"/>
            <w:vAlign w:val="bottom"/>
          </w:tcPr>
          <w:p>
            <w:pPr>
              <w:widowControl/>
              <w:autoSpaceDE/>
              <w:autoSpaceDN/>
              <w:adjustRightInd/>
              <w:spacing w:line="24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黑白（正常）：600×600dpi</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00" w:hRule="atLeast"/>
          <w:jc w:val="center"/>
        </w:trPr>
        <w:tc>
          <w:tcPr>
            <w:tcW w:w="8220" w:type="dxa"/>
            <w:shd w:val="clear" w:color="auto" w:fill="auto"/>
            <w:vAlign w:val="bottom"/>
          </w:tcPr>
          <w:p>
            <w:pPr>
              <w:widowControl/>
              <w:autoSpaceDE/>
              <w:autoSpaceDN/>
              <w:adjustRightInd/>
              <w:spacing w:line="24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黑白（最佳）：1200×1200dpi</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00"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扫描速度</w:t>
            </w:r>
            <w:r>
              <w:rPr>
                <w:rFonts w:hint="eastAsia" w:ascii="仿宋" w:hAnsi="仿宋" w:eastAsia="仿宋" w:cs="仿宋"/>
                <w:sz w:val="24"/>
                <w:szCs w:val="24"/>
              </w:rPr>
              <w:t>★：正常模式，A4：大于等于15页/分钟</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1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扫描分辨率</w:t>
            </w:r>
            <w:r>
              <w:rPr>
                <w:rFonts w:hint="eastAsia" w:ascii="仿宋" w:hAnsi="仿宋" w:eastAsia="仿宋" w:cs="仿宋"/>
                <w:sz w:val="24"/>
                <w:szCs w:val="24"/>
              </w:rPr>
              <w:t>★：大于等于1200x1200dpi(黑白、平板)</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1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扫描文件格式</w:t>
            </w:r>
            <w:r>
              <w:rPr>
                <w:rFonts w:hint="eastAsia" w:ascii="仿宋" w:hAnsi="仿宋" w:eastAsia="仿宋" w:cs="仿宋"/>
                <w:sz w:val="24"/>
                <w:szCs w:val="24"/>
              </w:rPr>
              <w:t>：JPG、RAW(BMP)、PNG、TIFF、PDF</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1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复印机智能软件功能：</w:t>
            </w:r>
            <w:r>
              <w:rPr>
                <w:rFonts w:hint="eastAsia" w:ascii="仿宋" w:hAnsi="仿宋" w:eastAsia="仿宋" w:cs="仿宋"/>
                <w:sz w:val="24"/>
                <w:szCs w:val="24"/>
              </w:rPr>
              <w:t>自动文档送纸器</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1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复印速度</w:t>
            </w:r>
            <w:r>
              <w:rPr>
                <w:rFonts w:hint="eastAsia" w:ascii="仿宋" w:hAnsi="仿宋" w:eastAsia="仿宋" w:cs="仿宋"/>
                <w:sz w:val="24"/>
                <w:szCs w:val="24"/>
              </w:rPr>
              <w:t>★：黑白(A4，正常模式)：大于等于25页/分钟</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1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复印分辨率</w:t>
            </w:r>
            <w:r>
              <w:rPr>
                <w:rFonts w:hint="eastAsia" w:ascii="仿宋" w:hAnsi="仿宋" w:eastAsia="仿宋" w:cs="仿宋"/>
                <w:sz w:val="24"/>
                <w:szCs w:val="24"/>
              </w:rPr>
              <w:t>★：黑白(文本和图形)：600x600dpi</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1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最大分数</w:t>
            </w:r>
            <w:r>
              <w:rPr>
                <w:rFonts w:hint="eastAsia" w:ascii="仿宋" w:hAnsi="仿宋" w:eastAsia="仿宋" w:cs="仿宋"/>
                <w:sz w:val="24"/>
                <w:szCs w:val="24"/>
              </w:rPr>
              <w:t>：最多99份</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1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传真分辨率</w:t>
            </w:r>
            <w:r>
              <w:rPr>
                <w:rFonts w:hint="eastAsia" w:ascii="仿宋" w:hAnsi="仿宋" w:eastAsia="仿宋" w:cs="仿宋"/>
                <w:sz w:val="24"/>
                <w:szCs w:val="24"/>
              </w:rPr>
              <w:t>：大于等于300x300dpi(启用半色调)</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28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标配连接</w:t>
            </w:r>
            <w:r>
              <w:rPr>
                <w:rFonts w:hint="eastAsia" w:ascii="仿宋" w:hAnsi="仿宋" w:eastAsia="仿宋" w:cs="仿宋"/>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570"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高速USB 2.0端口、高速USB 2.0主机端口、以太网10/100Base-TX端口；输入电话口、输出电话口、无线网卡、NFC近场通讯打印技术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1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无线功能</w:t>
            </w:r>
            <w:r>
              <w:rPr>
                <w:rFonts w:hint="eastAsia" w:ascii="仿宋" w:hAnsi="仿宋" w:eastAsia="仿宋" w:cs="仿宋"/>
                <w:sz w:val="24"/>
                <w:szCs w:val="24"/>
              </w:rPr>
              <w:t>★</w:t>
            </w:r>
            <w:r>
              <w:rPr>
                <w:rFonts w:hint="eastAsia" w:ascii="仿宋" w:hAnsi="仿宋" w:eastAsia="仿宋" w:cs="仿宋"/>
                <w:b/>
                <w:bCs/>
                <w:sz w:val="24"/>
                <w:szCs w:val="24"/>
              </w:rPr>
              <w:t>：</w:t>
            </w:r>
            <w:r>
              <w:rPr>
                <w:rFonts w:hint="eastAsia" w:ascii="仿宋" w:hAnsi="仿宋" w:eastAsia="仿宋" w:cs="仿宋"/>
                <w:sz w:val="24"/>
                <w:szCs w:val="24"/>
              </w:rPr>
              <w:t>内置WiFi 802.11b/g/n</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28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内存</w:t>
            </w:r>
            <w:r>
              <w:rPr>
                <w:rFonts w:hint="eastAsia" w:ascii="仿宋" w:hAnsi="仿宋" w:eastAsia="仿宋" w:cs="仿宋"/>
                <w:sz w:val="24"/>
                <w:szCs w:val="24"/>
              </w:rPr>
              <w:t>★</w:t>
            </w:r>
            <w:r>
              <w:rPr>
                <w:rFonts w:hint="eastAsia" w:ascii="仿宋" w:hAnsi="仿宋" w:eastAsia="仿宋" w:cs="仿宋"/>
                <w:b/>
                <w:sz w:val="24"/>
                <w:szCs w:val="24"/>
              </w:rPr>
              <w:t>：</w:t>
            </w:r>
            <w:r>
              <w:rPr>
                <w:rFonts w:hint="eastAsia" w:ascii="仿宋" w:hAnsi="仿宋" w:eastAsia="仿宋" w:cs="仿宋"/>
                <w:sz w:val="24"/>
                <w:szCs w:val="24"/>
              </w:rPr>
              <w:t>大于等于256MB</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28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打印负荷</w:t>
            </w:r>
            <w:r>
              <w:rPr>
                <w:rFonts w:hint="eastAsia" w:ascii="仿宋" w:hAnsi="仿宋" w:eastAsia="仿宋" w:cs="仿宋"/>
                <w:sz w:val="24"/>
                <w:szCs w:val="24"/>
              </w:rPr>
              <w:t>★</w:t>
            </w:r>
            <w:r>
              <w:rPr>
                <w:rFonts w:hint="eastAsia" w:ascii="仿宋" w:hAnsi="仿宋" w:eastAsia="仿宋" w:cs="仿宋"/>
                <w:b/>
                <w:sz w:val="24"/>
                <w:szCs w:val="24"/>
              </w:rPr>
              <w:t>：</w:t>
            </w:r>
            <w:r>
              <w:rPr>
                <w:rFonts w:hint="eastAsia" w:ascii="仿宋" w:hAnsi="仿宋" w:eastAsia="仿宋" w:cs="仿宋"/>
                <w:sz w:val="24"/>
                <w:szCs w:val="24"/>
              </w:rPr>
              <w:t>月打印量250～2,500</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00"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b/>
                <w:bCs/>
                <w:sz w:val="24"/>
                <w:szCs w:val="24"/>
              </w:rPr>
            </w:pPr>
            <w:r>
              <w:rPr>
                <w:rFonts w:hint="eastAsia" w:ascii="仿宋" w:hAnsi="仿宋" w:eastAsia="仿宋" w:cs="仿宋"/>
                <w:b/>
                <w:bCs/>
                <w:sz w:val="24"/>
                <w:szCs w:val="24"/>
              </w:rPr>
              <w:t>进纸盒</w:t>
            </w:r>
            <w:r>
              <w:rPr>
                <w:rFonts w:hint="eastAsia" w:ascii="仿宋" w:hAnsi="仿宋" w:eastAsia="仿宋" w:cs="仿宋"/>
                <w:sz w:val="24"/>
                <w:szCs w:val="24"/>
              </w:rPr>
              <w:t>：大于等于250页进纸盒</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285"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b/>
                <w:sz w:val="24"/>
                <w:szCs w:val="24"/>
              </w:rPr>
              <w:t>兼容的操作系统</w:t>
            </w:r>
            <w:r>
              <w:rPr>
                <w:rFonts w:hint="eastAsia" w:ascii="仿宋" w:hAnsi="仿宋" w:eastAsia="仿宋" w:cs="仿宋"/>
                <w:sz w:val="24"/>
                <w:szCs w:val="24"/>
              </w:rPr>
              <w:t>★：Windows：10、8、7，32位或64位</w:t>
            </w:r>
          </w:p>
        </w:tc>
      </w:tr>
      <w:tr>
        <w:tblPrEx>
          <w:tblBorders>
            <w:top w:val="single" w:color="000000" w:sz="8" w:space="0"/>
            <w:left w:val="single" w:color="000000" w:sz="8" w:space="0"/>
            <w:bottom w:val="single" w:color="000000" w:sz="8" w:space="0"/>
            <w:right w:val="single" w:color="000000" w:sz="8" w:space="0"/>
            <w:insideH w:val="single" w:color="000000" w:sz="8" w:space="0"/>
            <w:insideV w:val="none" w:color="auto" w:sz="0" w:space="0"/>
          </w:tblBorders>
          <w:tblLayout w:type="fixed"/>
          <w:tblCellMar>
            <w:top w:w="0" w:type="dxa"/>
            <w:left w:w="108" w:type="dxa"/>
            <w:bottom w:w="0" w:type="dxa"/>
            <w:right w:w="108" w:type="dxa"/>
          </w:tblCellMar>
        </w:tblPrEx>
        <w:trPr>
          <w:trHeight w:val="300" w:hRule="atLeast"/>
          <w:jc w:val="center"/>
        </w:trPr>
        <w:tc>
          <w:tcPr>
            <w:tcW w:w="8220" w:type="dxa"/>
            <w:shd w:val="clear" w:color="auto" w:fill="auto"/>
            <w:vAlign w:val="bottom"/>
          </w:tcPr>
          <w:p>
            <w:pPr>
              <w:widowControl/>
              <w:autoSpaceDE/>
              <w:autoSpaceDN/>
              <w:adjustRightInd/>
              <w:spacing w:line="240" w:lineRule="auto"/>
              <w:ind w:firstLine="0" w:firstLineChars="0"/>
              <w:rPr>
                <w:rFonts w:hint="eastAsia" w:ascii="仿宋" w:hAnsi="仿宋" w:eastAsia="仿宋" w:cs="仿宋"/>
                <w:sz w:val="24"/>
                <w:szCs w:val="24"/>
              </w:rPr>
            </w:pPr>
            <w:r>
              <w:rPr>
                <w:rFonts w:hint="eastAsia" w:ascii="仿宋" w:hAnsi="仿宋" w:eastAsia="仿宋" w:cs="仿宋"/>
                <w:b/>
                <w:sz w:val="24"/>
                <w:szCs w:val="24"/>
              </w:rPr>
              <w:t>操作：</w:t>
            </w:r>
            <w:r>
              <w:rPr>
                <w:rFonts w:hint="eastAsia" w:ascii="仿宋" w:hAnsi="仿宋" w:eastAsia="仿宋" w:cs="仿宋"/>
                <w:sz w:val="24"/>
                <w:szCs w:val="24"/>
              </w:rPr>
              <w:t>液晶触摸屏</w:t>
            </w:r>
          </w:p>
        </w:tc>
      </w:tr>
    </w:tbl>
    <w:p>
      <w:pPr>
        <w:ind w:firstLine="0" w:firstLineChars="0"/>
        <w:rPr>
          <w:rFonts w:hint="eastAsia" w:ascii="仿宋" w:hAnsi="仿宋" w:eastAsia="仿宋" w:cs="仿宋"/>
          <w:sz w:val="24"/>
          <w:szCs w:val="24"/>
        </w:rPr>
      </w:pPr>
    </w:p>
    <w:p>
      <w:pPr>
        <w:ind w:firstLine="0" w:firstLineChars="0"/>
        <w:rPr>
          <w:rFonts w:hint="eastAsia" w:ascii="仿宋" w:hAnsi="仿宋" w:eastAsia="仿宋" w:cs="仿宋"/>
          <w:sz w:val="24"/>
          <w:szCs w:val="24"/>
        </w:rPr>
      </w:pPr>
      <w:r>
        <w:rPr>
          <w:rFonts w:hint="eastAsia" w:ascii="仿宋" w:hAnsi="仿宋" w:eastAsia="仿宋" w:cs="仿宋"/>
          <w:sz w:val="24"/>
          <w:szCs w:val="24"/>
        </w:rPr>
        <w:t>12、笔记本（12台）</w:t>
      </w:r>
    </w:p>
    <w:tbl>
      <w:tblPr>
        <w:tblStyle w:val="36"/>
        <w:tblW w:w="8985" w:type="dxa"/>
        <w:jc w:val="center"/>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屏幕尺寸★</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13.3英寸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分辨率★</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1920x1080像素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运行内存★</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8GB DDR4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存储容量★</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256GB 固态硬盘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240" w:firstLineChars="100"/>
              <w:rPr>
                <w:rFonts w:hint="eastAsia" w:ascii="仿宋" w:hAnsi="仿宋" w:eastAsia="仿宋" w:cs="仿宋"/>
                <w:sz w:val="24"/>
                <w:szCs w:val="24"/>
              </w:rPr>
            </w:pPr>
            <w:r>
              <w:rPr>
                <w:rFonts w:hint="eastAsia" w:ascii="仿宋" w:hAnsi="仿宋" w:eastAsia="仿宋" w:cs="仿宋"/>
                <w:sz w:val="24"/>
                <w:szCs w:val="24"/>
              </w:rPr>
              <w:t>电池容量</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大于40Wh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240" w:firstLineChars="100"/>
              <w:rPr>
                <w:rFonts w:hint="eastAsia" w:ascii="仿宋" w:hAnsi="仿宋" w:eastAsia="仿宋" w:cs="仿宋"/>
                <w:sz w:val="24"/>
                <w:szCs w:val="24"/>
              </w:rPr>
            </w:pPr>
            <w:r>
              <w:rPr>
                <w:rFonts w:hint="eastAsia" w:ascii="仿宋" w:hAnsi="仿宋" w:eastAsia="仿宋" w:cs="仿宋"/>
                <w:sz w:val="24"/>
                <w:szCs w:val="24"/>
              </w:rPr>
              <w:t>处理器★</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第八代智能英特尔® 酷睿 i5-8250U 处理器及以上处理器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240" w:firstLineChars="100"/>
              <w:rPr>
                <w:rFonts w:hint="eastAsia" w:ascii="仿宋" w:hAnsi="仿宋" w:eastAsia="仿宋" w:cs="仿宋"/>
                <w:sz w:val="24"/>
                <w:szCs w:val="24"/>
              </w:rPr>
            </w:pPr>
            <w:r>
              <w:rPr>
                <w:rFonts w:hint="eastAsia" w:ascii="仿宋" w:hAnsi="仿宋" w:eastAsia="仿宋" w:cs="仿宋"/>
                <w:sz w:val="24"/>
                <w:szCs w:val="24"/>
              </w:rPr>
              <w:t>显卡★</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NVIDIA GeForce MX150 2GB显存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可视角度★</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大于175度的宽广视角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240" w:firstLineChars="100"/>
              <w:rPr>
                <w:rFonts w:hint="eastAsia" w:ascii="仿宋" w:hAnsi="仿宋" w:eastAsia="仿宋" w:cs="仿宋"/>
                <w:sz w:val="24"/>
                <w:szCs w:val="24"/>
              </w:rPr>
            </w:pPr>
            <w:r>
              <w:rPr>
                <w:rFonts w:hint="eastAsia" w:ascii="仿宋" w:hAnsi="仿宋" w:eastAsia="仿宋" w:cs="仿宋"/>
                <w:sz w:val="24"/>
                <w:szCs w:val="24"/>
              </w:rPr>
              <w:t>对比度</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800比1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240" w:firstLineChars="100"/>
              <w:rPr>
                <w:rFonts w:hint="eastAsia" w:ascii="仿宋" w:hAnsi="仿宋" w:eastAsia="仿宋" w:cs="仿宋"/>
                <w:sz w:val="24"/>
                <w:szCs w:val="24"/>
              </w:rPr>
            </w:pPr>
            <w:r>
              <w:rPr>
                <w:rFonts w:hint="eastAsia" w:ascii="仿宋" w:hAnsi="仿宋" w:eastAsia="仿宋" w:cs="仿宋"/>
                <w:sz w:val="24"/>
                <w:szCs w:val="24"/>
              </w:rPr>
              <w:t>亮度</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大于等于200尼特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240" w:firstLineChars="100"/>
              <w:rPr>
                <w:rFonts w:hint="eastAsia" w:ascii="仿宋" w:hAnsi="仿宋" w:eastAsia="仿宋" w:cs="仿宋"/>
                <w:sz w:val="24"/>
                <w:szCs w:val="24"/>
              </w:rPr>
            </w:pPr>
            <w:r>
              <w:rPr>
                <w:rFonts w:hint="eastAsia" w:ascii="仿宋" w:hAnsi="仿宋" w:eastAsia="仿宋" w:cs="仿宋"/>
                <w:sz w:val="24"/>
                <w:szCs w:val="24"/>
              </w:rPr>
              <w:t>护眼模式</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040" w:type="dxa"/>
            <w:shd w:val="clear" w:color="auto" w:fill="auto"/>
            <w:vAlign w:val="bottom"/>
          </w:tcPr>
          <w:p>
            <w:pPr>
              <w:adjustRightInd/>
              <w:ind w:firstLine="0" w:firstLineChars="0"/>
              <w:jc w:val="center"/>
              <w:rPr>
                <w:rFonts w:hint="eastAsia" w:ascii="仿宋" w:hAnsi="仿宋" w:eastAsia="仿宋" w:cs="仿宋"/>
                <w:sz w:val="24"/>
                <w:szCs w:val="24"/>
              </w:rPr>
            </w:pPr>
            <w:r>
              <w:rPr>
                <w:rFonts w:hint="eastAsia" w:ascii="仿宋" w:hAnsi="仿宋" w:eastAsia="仿宋" w:cs="仿宋"/>
                <w:sz w:val="24"/>
                <w:szCs w:val="24"/>
              </w:rPr>
              <w:t>WLAN★</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支持IEEE 802.11a/b/g/n/ac，2.4和5GHz 2x2 MIMO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240" w:firstLineChars="100"/>
              <w:rPr>
                <w:rFonts w:hint="eastAsia" w:ascii="仿宋" w:hAnsi="仿宋" w:eastAsia="仿宋" w:cs="仿宋"/>
                <w:sz w:val="24"/>
                <w:szCs w:val="24"/>
              </w:rPr>
            </w:pPr>
            <w:r>
              <w:rPr>
                <w:rFonts w:hint="eastAsia" w:ascii="仿宋" w:hAnsi="仿宋" w:eastAsia="仿宋" w:cs="仿宋"/>
                <w:sz w:val="24"/>
                <w:szCs w:val="24"/>
              </w:rPr>
              <w:t>蓝牙传输</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040" w:type="dxa"/>
            <w:shd w:val="clear" w:color="auto" w:fill="auto"/>
            <w:vAlign w:val="bottom"/>
          </w:tcPr>
          <w:p>
            <w:pPr>
              <w:adjustRightInd/>
              <w:ind w:firstLine="240" w:firstLineChars="100"/>
              <w:rPr>
                <w:rFonts w:hint="eastAsia" w:ascii="仿宋" w:hAnsi="仿宋" w:eastAsia="仿宋" w:cs="仿宋"/>
                <w:sz w:val="24"/>
                <w:szCs w:val="24"/>
              </w:rPr>
            </w:pPr>
            <w:r>
              <w:rPr>
                <w:rFonts w:hint="eastAsia" w:ascii="仿宋" w:hAnsi="仿宋" w:eastAsia="仿宋" w:cs="仿宋"/>
                <w:sz w:val="24"/>
                <w:szCs w:val="24"/>
              </w:rPr>
              <w:t>USB接口★</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支持USB3.0接口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其他接口★</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支持HDMI标准接口输出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40" w:type="dxa"/>
            <w:shd w:val="clear" w:color="auto" w:fill="auto"/>
            <w:vAlign w:val="bottom"/>
          </w:tcPr>
          <w:p>
            <w:pPr>
              <w:adjustRightInd/>
              <w:ind w:firstLine="240" w:firstLineChars="100"/>
              <w:rPr>
                <w:rFonts w:hint="eastAsia" w:ascii="仿宋" w:hAnsi="仿宋" w:eastAsia="仿宋" w:cs="仿宋"/>
                <w:sz w:val="24"/>
                <w:szCs w:val="24"/>
              </w:rPr>
            </w:pPr>
            <w:r>
              <w:rPr>
                <w:rFonts w:hint="eastAsia" w:ascii="仿宋" w:hAnsi="仿宋" w:eastAsia="仿宋" w:cs="仿宋"/>
                <w:sz w:val="24"/>
                <w:szCs w:val="24"/>
              </w:rPr>
              <w:t>其他要求</w:t>
            </w:r>
          </w:p>
        </w:tc>
        <w:tc>
          <w:tcPr>
            <w:tcW w:w="6945" w:type="dxa"/>
            <w:shd w:val="clear" w:color="auto" w:fill="auto"/>
            <w:vAlign w:val="bottom"/>
          </w:tcPr>
          <w:p>
            <w:pPr>
              <w:adjustRightInd/>
              <w:ind w:firstLine="0" w:firstLineChars="0"/>
              <w:rPr>
                <w:rFonts w:hint="eastAsia" w:ascii="仿宋" w:hAnsi="仿宋" w:eastAsia="仿宋" w:cs="仿宋"/>
                <w:sz w:val="24"/>
                <w:szCs w:val="24"/>
              </w:rPr>
            </w:pPr>
            <w:r>
              <w:rPr>
                <w:rFonts w:hint="eastAsia" w:ascii="仿宋" w:hAnsi="仿宋" w:eastAsia="仿宋" w:cs="仿宋"/>
                <w:sz w:val="24"/>
                <w:szCs w:val="24"/>
              </w:rPr>
              <w:t>厚度不能大于18毫米</w:t>
            </w:r>
          </w:p>
        </w:tc>
      </w:tr>
    </w:tbl>
    <w:p>
      <w:pPr>
        <w:ind w:firstLine="0" w:firstLineChars="0"/>
        <w:rPr>
          <w:rFonts w:hint="eastAsia" w:ascii="仿宋" w:hAnsi="仿宋" w:eastAsia="仿宋" w:cs="仿宋"/>
          <w:sz w:val="24"/>
          <w:szCs w:val="24"/>
        </w:rPr>
      </w:pPr>
    </w:p>
    <w:p>
      <w:pPr>
        <w:ind w:firstLine="0" w:firstLineChars="0"/>
        <w:rPr>
          <w:rFonts w:hint="eastAsia" w:ascii="仿宋" w:hAnsi="仿宋" w:eastAsia="仿宋" w:cs="仿宋"/>
          <w:sz w:val="24"/>
          <w:szCs w:val="24"/>
        </w:rPr>
      </w:pPr>
      <w:r>
        <w:rPr>
          <w:rFonts w:hint="eastAsia" w:ascii="仿宋" w:hAnsi="仿宋" w:eastAsia="仿宋" w:cs="仿宋"/>
          <w:sz w:val="24"/>
          <w:szCs w:val="24"/>
        </w:rPr>
        <w:t>13、平板电脑（2台）</w:t>
      </w:r>
    </w:p>
    <w:tbl>
      <w:tblPr>
        <w:tblStyle w:val="3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6"/>
        <w:gridCol w:w="271"/>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72" w:type="dxa"/>
            <w:gridSpan w:val="3"/>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b/>
                <w:sz w:val="24"/>
                <w:szCs w:val="24"/>
              </w:rPr>
              <w:t>基本参数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27"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操作系统</w:t>
            </w:r>
          </w:p>
        </w:tc>
        <w:tc>
          <w:tcPr>
            <w:tcW w:w="6945"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Android5.1以上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72" w:type="dxa"/>
            <w:gridSpan w:val="3"/>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b/>
                <w:sz w:val="24"/>
                <w:szCs w:val="24"/>
              </w:rPr>
              <w:t>配置参数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27"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处理器★</w:t>
            </w:r>
          </w:p>
        </w:tc>
        <w:tc>
          <w:tcPr>
            <w:tcW w:w="6945"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Intel X86架构Atom处理器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27"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处理器主频★</w:t>
            </w:r>
          </w:p>
        </w:tc>
        <w:tc>
          <w:tcPr>
            <w:tcW w:w="6945"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2GHz以上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27"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处理器核心★</w:t>
            </w:r>
          </w:p>
        </w:tc>
        <w:tc>
          <w:tcPr>
            <w:tcW w:w="6945"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四核心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27"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系统内存★</w:t>
            </w:r>
          </w:p>
        </w:tc>
        <w:tc>
          <w:tcPr>
            <w:tcW w:w="6945"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27"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存储容量★</w:t>
            </w:r>
          </w:p>
        </w:tc>
        <w:tc>
          <w:tcPr>
            <w:tcW w:w="6945"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≥64GB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27"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存储扩展</w:t>
            </w:r>
          </w:p>
        </w:tc>
        <w:tc>
          <w:tcPr>
            <w:tcW w:w="6945"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支持Micro SD（TF）卡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72" w:type="dxa"/>
            <w:gridSpan w:val="3"/>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显示屏</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屏幕尺寸</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≥10.1英寸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屏幕分辨率</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≥2560x1600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屏幕描述</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电容式触摸屏，多点式触摸屏，十点式触摸屏，IPS屏幕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72" w:type="dxa"/>
            <w:gridSpan w:val="3"/>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功能应用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移动网络★</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4G LTE（全网通），支持3G、2G网络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WiFi功能★</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802.11 a/b/g/n/ac , MiMo , 2.4GHz &amp; 5GHz双频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蓝牙功能</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蓝牙4.0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GPS功能★</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内置GPS导航，支持GLONASS导航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感应器★</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智能重力感应，环境光线感应，电子罗盘，振动器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72" w:type="dxa"/>
            <w:gridSpan w:val="3"/>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多媒体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扬声器★</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内置扬声器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麦克风</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内置麦克风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摄像头★</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双摄像头（前置：≥500万像素，后置：≥1300万像素）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拍照功能</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自动对焦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视频功能★</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支持播放2160P视频，支持录制1080P视频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72" w:type="dxa"/>
            <w:gridSpan w:val="3"/>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接口/按键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数据接口</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1×Micro-USB2.0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音频接口</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3.5mm耳机接口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其他接口</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存储卡接口，Micro-SIM卡插槽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072" w:type="dxa"/>
            <w:gridSpan w:val="3"/>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电源参数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电池类型</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锂电池，≥10000毫安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56" w:type="dxa"/>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续航时间★</w:t>
            </w:r>
          </w:p>
        </w:tc>
        <w:tc>
          <w:tcPr>
            <w:tcW w:w="7216" w:type="dxa"/>
            <w:gridSpan w:val="2"/>
            <w:shd w:val="clear" w:color="auto" w:fill="auto"/>
            <w:vAlign w:val="bottom"/>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10小时左右</w:t>
            </w:r>
          </w:p>
        </w:tc>
      </w:tr>
    </w:tbl>
    <w:p>
      <w:pPr>
        <w:ind w:firstLine="0" w:firstLineChars="0"/>
        <w:rPr>
          <w:rFonts w:hint="eastAsia" w:ascii="仿宋" w:hAnsi="仿宋" w:eastAsia="仿宋" w:cs="仿宋"/>
          <w:sz w:val="24"/>
          <w:szCs w:val="24"/>
        </w:rPr>
      </w:pPr>
      <w:r>
        <w:rPr>
          <w:rFonts w:hint="eastAsia" w:ascii="仿宋" w:hAnsi="仿宋" w:eastAsia="仿宋" w:cs="仿宋"/>
          <w:sz w:val="24"/>
          <w:szCs w:val="24"/>
        </w:rPr>
        <w:t>14、光纤熔接机（1台）</w:t>
      </w:r>
    </w:p>
    <w:tbl>
      <w:tblPr>
        <w:tblStyle w:val="36"/>
        <w:tblW w:w="91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2655"/>
        <w:gridCol w:w="2076"/>
        <w:gridCol w:w="3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trPr>
        <w:tc>
          <w:tcPr>
            <w:tcW w:w="714"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适用光纤</w:t>
            </w: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种类型号★</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SMF(ITU-T G.652)、MMF(ITU-T G.651)、DSF(ITU-T G.653)、NZDSF(ITU-T G.655)、BIF(ITU-T G.657)、EDF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光纤直径★</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包层直径：80mm~150mm、涂层直径：100mm~1,000mm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适用光纤或光缆尺寸★</w:t>
            </w:r>
          </w:p>
        </w:tc>
        <w:tc>
          <w:tcPr>
            <w:tcW w:w="2076"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F1,000mm以下</w:t>
            </w:r>
          </w:p>
        </w:tc>
        <w:tc>
          <w:tcPr>
            <w:tcW w:w="3686"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皮线光缆(2.0×3.1mm)、室内光缆(2.0×2.0mm)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714"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标准性能</w:t>
            </w: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熔接损耗(标准) ★</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小于等于SMF: 0.02dB、MMF: 0.01dB、DSF: 0.04dB、NZDSF: 0.04dB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熔接循环时间(标准) ★</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6秒(快速模式)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加热循环时间(标准) ★</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小于等于14秒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熔接和加热循环★</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大于150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光纤视图和放大倍数★</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两个CMOS摄像机观测、X或Y单轴视图320X(缩放700倍)、X和Y双轴视图88倍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程序</w:t>
            </w: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熔接程序</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最大300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加热程序</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最大100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功能</w:t>
            </w: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损耗推定</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熔接图像捕获/熔接数据存储</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200图像/10,000熔接数据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张力测试★</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1.96-2.09N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熔接衰减★</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0.1dB至15dB、增量为0.1dB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250mm、900mm松紧套光纤用通用夹钳★</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双面式涂层夹</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双自动独立加热器</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自动放电校正</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针对环境条件变化能自动进行补偿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显示剩余熔接和加热循环</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提供(电池模式)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远程互动维护</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显示器★</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大于等于4.1英寸触摸屏彩色LCD显示器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restart"/>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端子</w:t>
            </w: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DC输出</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DC12V(用于JR-6)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USB端口</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USB2.0(mini-B型)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vMerge w:val="continue"/>
            <w:shd w:val="clear" w:color="auto" w:fill="auto"/>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p>
        </w:tc>
        <w:tc>
          <w:tcPr>
            <w:tcW w:w="2655" w:type="dxa"/>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存储媒体</w:t>
            </w:r>
          </w:p>
        </w:tc>
        <w:tc>
          <w:tcPr>
            <w:tcW w:w="5762" w:type="dxa"/>
            <w:gridSpan w:val="2"/>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SD/SDHC内存卡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shd w:val="clear" w:color="000000" w:fill="FFFFFF"/>
            <w:vAlign w:val="center"/>
          </w:tcPr>
          <w:p>
            <w:pPr>
              <w:widowControl/>
              <w:autoSpaceDE/>
              <w:autoSpaceDN/>
              <w:adjustRightInd/>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工作条件</w:t>
            </w:r>
          </w:p>
        </w:tc>
        <w:tc>
          <w:tcPr>
            <w:tcW w:w="8417" w:type="dxa"/>
            <w:gridSpan w:val="3"/>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海拔0~6000m、温度-10~+50℃、湿度0~95% (无结露)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14" w:type="dxa"/>
            <w:shd w:val="clear" w:color="000000" w:fill="FFFFFF"/>
            <w:vAlign w:val="center"/>
          </w:tcPr>
          <w:p>
            <w:pPr>
              <w:widowControl/>
              <w:autoSpaceDE/>
              <w:autoSpaceDN/>
              <w:adjustRightInd/>
              <w:spacing w:line="28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电极寿命★</w:t>
            </w:r>
          </w:p>
        </w:tc>
        <w:tc>
          <w:tcPr>
            <w:tcW w:w="8417" w:type="dxa"/>
            <w:gridSpan w:val="3"/>
            <w:shd w:val="clear" w:color="000000" w:fill="FFFFFF"/>
            <w:vAlign w:val="center"/>
          </w:tcPr>
          <w:p>
            <w:pPr>
              <w:widowControl/>
              <w:autoSpaceDE/>
              <w:autoSpaceDN/>
              <w:adjustRightInd/>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大于等于3000次弧光放电</w:t>
            </w:r>
          </w:p>
        </w:tc>
      </w:tr>
    </w:tbl>
    <w:p>
      <w:pPr>
        <w:tabs>
          <w:tab w:val="left" w:pos="5963"/>
        </w:tabs>
        <w:spacing w:line="420" w:lineRule="exact"/>
        <w:rPr>
          <w:rFonts w:hint="eastAsia" w:ascii="仿宋" w:hAnsi="仿宋" w:eastAsia="仿宋" w:cs="仿宋"/>
          <w:b/>
          <w:bCs/>
          <w:sz w:val="24"/>
          <w:szCs w:val="24"/>
          <w:lang w:val="zh-CN"/>
        </w:rPr>
      </w:pPr>
      <w:r>
        <w:rPr>
          <w:rFonts w:hint="eastAsia" w:ascii="仿宋" w:hAnsi="仿宋" w:eastAsia="仿宋" w:cs="仿宋"/>
          <w:b/>
          <w:bCs/>
          <w:sz w:val="24"/>
          <w:szCs w:val="24"/>
          <w:lang w:val="zh-CN"/>
        </w:rPr>
        <w:t>第二标段其它要求：</w:t>
      </w:r>
    </w:p>
    <w:p>
      <w:pPr>
        <w:ind w:right="-58" w:firstLine="640"/>
        <w:rPr>
          <w:rFonts w:hint="eastAsia" w:ascii="仿宋" w:hAnsi="仿宋" w:eastAsia="仿宋" w:cs="仿宋"/>
          <w:sz w:val="24"/>
          <w:szCs w:val="24"/>
          <w:lang w:val="zh-CN"/>
        </w:rPr>
      </w:pPr>
      <w:r>
        <w:rPr>
          <w:rFonts w:hint="eastAsia" w:ascii="仿宋" w:hAnsi="仿宋" w:eastAsia="仿宋" w:cs="仿宋"/>
          <w:sz w:val="24"/>
          <w:szCs w:val="24"/>
          <w:lang w:val="zh-CN"/>
        </w:rPr>
        <w:t>1、投标人须明确投标产品的厂家、产地、品牌、型号、详细参数，否则为无效投标。</w:t>
      </w:r>
    </w:p>
    <w:p>
      <w:pPr>
        <w:spacing w:line="600" w:lineRule="exact"/>
        <w:ind w:firstLine="640"/>
        <w:rPr>
          <w:rFonts w:hint="eastAsia" w:ascii="仿宋" w:hAnsi="仿宋" w:eastAsia="仿宋" w:cs="仿宋"/>
          <w:sz w:val="24"/>
          <w:szCs w:val="24"/>
          <w:lang w:val="zh-CN"/>
        </w:rPr>
      </w:pPr>
      <w:r>
        <w:rPr>
          <w:rFonts w:hint="eastAsia" w:ascii="仿宋" w:hAnsi="仿宋" w:eastAsia="仿宋" w:cs="仿宋"/>
          <w:sz w:val="24"/>
          <w:szCs w:val="24"/>
          <w:lang w:val="zh-CN"/>
        </w:rPr>
        <w:t>2、本招标文件所列需求为最低要求，投标产品不得低于最低要求，否则为无效投标。</w:t>
      </w:r>
    </w:p>
    <w:p>
      <w:pPr>
        <w:spacing w:line="600" w:lineRule="exact"/>
        <w:ind w:firstLine="640"/>
        <w:rPr>
          <w:rFonts w:hint="eastAsia" w:ascii="仿宋" w:hAnsi="仿宋" w:eastAsia="仿宋" w:cs="仿宋"/>
          <w:sz w:val="24"/>
          <w:szCs w:val="24"/>
          <w:lang w:val="zh-CN"/>
        </w:rPr>
      </w:pPr>
      <w:r>
        <w:rPr>
          <w:rFonts w:hint="eastAsia" w:ascii="仿宋" w:hAnsi="仿宋" w:eastAsia="仿宋" w:cs="仿宋"/>
          <w:sz w:val="24"/>
          <w:szCs w:val="24"/>
          <w:lang w:val="zh-CN"/>
        </w:rPr>
        <w:t>3、各单位安全设备为本项目的核心设备。</w:t>
      </w:r>
    </w:p>
    <w:p>
      <w:pPr>
        <w:spacing w:line="600" w:lineRule="exact"/>
        <w:ind w:firstLine="640"/>
        <w:rPr>
          <w:rFonts w:hint="eastAsia" w:ascii="仿宋" w:hAnsi="仿宋" w:eastAsia="仿宋" w:cs="仿宋"/>
          <w:sz w:val="24"/>
          <w:szCs w:val="24"/>
          <w:lang w:val="zh-CN"/>
        </w:rPr>
      </w:pPr>
      <w:r>
        <w:rPr>
          <w:rFonts w:hint="eastAsia" w:ascii="仿宋" w:hAnsi="仿宋" w:eastAsia="仿宋" w:cs="仿宋"/>
          <w:sz w:val="24"/>
          <w:szCs w:val="24"/>
          <w:lang w:val="zh-CN"/>
        </w:rPr>
        <w:t>4、投标人应就该项目完整投标，否则为无效投标。</w:t>
      </w:r>
    </w:p>
    <w:p>
      <w:pPr>
        <w:spacing w:line="600" w:lineRule="exact"/>
        <w:ind w:firstLine="640"/>
        <w:rPr>
          <w:rFonts w:hint="eastAsia" w:ascii="仿宋" w:hAnsi="仿宋" w:eastAsia="仿宋" w:cs="仿宋"/>
          <w:sz w:val="24"/>
          <w:szCs w:val="24"/>
          <w:lang w:val="zh-CN"/>
        </w:rPr>
      </w:pPr>
      <w:r>
        <w:rPr>
          <w:rFonts w:hint="eastAsia" w:ascii="仿宋" w:hAnsi="仿宋" w:eastAsia="仿宋" w:cs="仿宋"/>
          <w:sz w:val="24"/>
          <w:szCs w:val="24"/>
          <w:lang w:val="zh-CN"/>
        </w:rPr>
        <w:t>5、招标文件列明不允许或未列明允许进口产品参加投标的，均视为拒绝进口产品参加投标。</w:t>
      </w:r>
    </w:p>
    <w:p>
      <w:pPr>
        <w:spacing w:line="600" w:lineRule="exact"/>
        <w:ind w:firstLine="640"/>
        <w:rPr>
          <w:rFonts w:hint="eastAsia" w:ascii="仿宋" w:hAnsi="仿宋" w:eastAsia="仿宋" w:cs="仿宋"/>
          <w:sz w:val="24"/>
          <w:szCs w:val="24"/>
          <w:lang w:val="zh-CN"/>
        </w:rPr>
      </w:pPr>
      <w:r>
        <w:rPr>
          <w:rFonts w:hint="eastAsia" w:ascii="仿宋" w:hAnsi="仿宋" w:eastAsia="仿宋" w:cs="仿宋"/>
          <w:sz w:val="24"/>
          <w:szCs w:val="24"/>
        </w:rPr>
        <w:t>6</w:t>
      </w:r>
      <w:r>
        <w:rPr>
          <w:rFonts w:hint="eastAsia" w:ascii="仿宋" w:hAnsi="仿宋" w:eastAsia="仿宋" w:cs="仿宋"/>
          <w:sz w:val="24"/>
          <w:szCs w:val="24"/>
          <w:lang w:val="zh-CN"/>
        </w:rPr>
        <w:t>、产品必须符合国家质量检测标准和本招标文件规定标准的全新正品现货，提供随货物《产品合格证》及其它相关质量证明文件。</w:t>
      </w:r>
    </w:p>
    <w:p>
      <w:pPr>
        <w:spacing w:line="600" w:lineRule="exact"/>
        <w:ind w:firstLine="640"/>
        <w:rPr>
          <w:rFonts w:hint="eastAsia" w:ascii="仿宋" w:hAnsi="仿宋" w:eastAsia="仿宋" w:cs="仿宋"/>
          <w:sz w:val="24"/>
          <w:szCs w:val="24"/>
          <w:lang w:val="zh-CN"/>
        </w:rPr>
      </w:pPr>
      <w:r>
        <w:rPr>
          <w:rFonts w:hint="eastAsia" w:ascii="仿宋" w:hAnsi="仿宋" w:eastAsia="仿宋" w:cs="仿宋"/>
          <w:sz w:val="24"/>
          <w:szCs w:val="24"/>
        </w:rPr>
        <w:t>7</w:t>
      </w:r>
      <w:r>
        <w:rPr>
          <w:rFonts w:hint="eastAsia" w:ascii="仿宋" w:hAnsi="仿宋" w:eastAsia="仿宋" w:cs="仿宋"/>
          <w:sz w:val="24"/>
          <w:szCs w:val="24"/>
          <w:lang w:val="zh-CN"/>
        </w:rPr>
        <w:t>、专利权：投标人应</w:t>
      </w:r>
      <w:r>
        <w:rPr>
          <w:rFonts w:hint="eastAsia" w:ascii="仿宋" w:hAnsi="仿宋" w:eastAsia="仿宋" w:cs="仿宋"/>
          <w:sz w:val="24"/>
          <w:szCs w:val="24"/>
        </w:rPr>
        <w:t>承诺</w:t>
      </w:r>
      <w:r>
        <w:rPr>
          <w:rFonts w:hint="eastAsia" w:ascii="仿宋" w:hAnsi="仿宋" w:eastAsia="仿宋" w:cs="仿宋"/>
          <w:sz w:val="24"/>
          <w:szCs w:val="24"/>
          <w:lang w:val="zh-CN"/>
        </w:rPr>
        <w:t>用户在使用该货物或其任何一部分时不受第三方提出侵犯其专利权、商标权和工业设计权等的起诉。</w:t>
      </w:r>
    </w:p>
    <w:p>
      <w:pPr>
        <w:spacing w:line="600" w:lineRule="exact"/>
        <w:ind w:firstLine="640"/>
        <w:rPr>
          <w:rFonts w:hint="eastAsia" w:ascii="仿宋" w:hAnsi="仿宋" w:eastAsia="仿宋" w:cs="仿宋"/>
          <w:sz w:val="24"/>
          <w:szCs w:val="24"/>
          <w:lang w:val="zh-CN"/>
        </w:rPr>
      </w:pPr>
      <w:r>
        <w:rPr>
          <w:rFonts w:hint="eastAsia" w:ascii="仿宋" w:hAnsi="仿宋" w:eastAsia="仿宋" w:cs="仿宋"/>
          <w:sz w:val="24"/>
          <w:szCs w:val="24"/>
        </w:rPr>
        <w:t>8</w:t>
      </w:r>
      <w:r>
        <w:rPr>
          <w:rFonts w:hint="eastAsia" w:ascii="仿宋" w:hAnsi="仿宋" w:eastAsia="仿宋" w:cs="仿宋"/>
          <w:sz w:val="24"/>
          <w:szCs w:val="24"/>
          <w:lang w:val="zh-CN"/>
        </w:rPr>
        <w:t>、投标人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spacing w:line="600" w:lineRule="exact"/>
        <w:ind w:firstLine="640"/>
        <w:rPr>
          <w:rFonts w:hint="eastAsia" w:ascii="仿宋" w:hAnsi="仿宋" w:eastAsia="仿宋" w:cs="仿宋"/>
          <w:sz w:val="24"/>
          <w:szCs w:val="24"/>
          <w:lang w:val="zh-CN"/>
        </w:rPr>
      </w:pPr>
      <w:r>
        <w:rPr>
          <w:rFonts w:hint="eastAsia" w:ascii="仿宋" w:hAnsi="仿宋" w:eastAsia="仿宋" w:cs="仿宋"/>
          <w:sz w:val="24"/>
          <w:szCs w:val="24"/>
        </w:rPr>
        <w:t>9</w:t>
      </w:r>
      <w:r>
        <w:rPr>
          <w:rFonts w:hint="eastAsia" w:ascii="仿宋" w:hAnsi="仿宋" w:eastAsia="仿宋" w:cs="仿宋"/>
          <w:sz w:val="24"/>
          <w:szCs w:val="24"/>
          <w:lang w:val="zh-CN"/>
        </w:rPr>
        <w:t>、投标人须明确维修点地址、负责人、联系人和联系电话等详细资料。</w:t>
      </w:r>
    </w:p>
    <w:p>
      <w:pPr>
        <w:spacing w:line="600" w:lineRule="exact"/>
        <w:ind w:firstLine="640"/>
        <w:rPr>
          <w:rFonts w:hint="eastAsia" w:ascii="仿宋" w:hAnsi="仿宋" w:eastAsia="仿宋" w:cs="仿宋"/>
          <w:sz w:val="24"/>
          <w:szCs w:val="24"/>
          <w:lang w:val="zh-CN"/>
        </w:rPr>
      </w:pPr>
      <w:r>
        <w:rPr>
          <w:rFonts w:hint="eastAsia" w:ascii="仿宋" w:hAnsi="仿宋" w:eastAsia="仿宋" w:cs="仿宋"/>
          <w:sz w:val="24"/>
          <w:szCs w:val="24"/>
        </w:rPr>
        <w:t>10</w:t>
      </w:r>
      <w:r>
        <w:rPr>
          <w:rFonts w:hint="eastAsia" w:ascii="仿宋" w:hAnsi="仿宋" w:eastAsia="仿宋" w:cs="仿宋"/>
          <w:sz w:val="24"/>
          <w:szCs w:val="24"/>
          <w:lang w:val="zh-CN"/>
        </w:rPr>
        <w:t>、本项目为交钥匙工程（包括设备、材料、元件、</w:t>
      </w:r>
      <w:r>
        <w:rPr>
          <w:rFonts w:hint="eastAsia" w:ascii="仿宋" w:hAnsi="仿宋" w:eastAsia="仿宋" w:cs="仿宋"/>
          <w:sz w:val="24"/>
          <w:szCs w:val="24"/>
        </w:rPr>
        <w:t>设备机柜、三级等保</w:t>
      </w:r>
      <w:r>
        <w:rPr>
          <w:rFonts w:hint="eastAsia" w:ascii="仿宋" w:hAnsi="仿宋" w:eastAsia="仿宋" w:cs="仿宋"/>
          <w:sz w:val="24"/>
          <w:szCs w:val="24"/>
          <w:lang w:val="zh-CN"/>
        </w:rPr>
        <w:t>等购置、安装调试、验收、</w:t>
      </w:r>
      <w:r>
        <w:rPr>
          <w:rFonts w:hint="eastAsia" w:ascii="仿宋" w:hAnsi="仿宋" w:eastAsia="仿宋" w:cs="仿宋"/>
          <w:sz w:val="24"/>
          <w:szCs w:val="24"/>
        </w:rPr>
        <w:t>部分线路改造及</w:t>
      </w:r>
      <w:r>
        <w:rPr>
          <w:rFonts w:hint="eastAsia" w:ascii="仿宋" w:hAnsi="仿宋" w:eastAsia="仿宋" w:cs="仿宋"/>
          <w:sz w:val="24"/>
          <w:szCs w:val="24"/>
          <w:lang w:val="zh-CN"/>
        </w:rPr>
        <w:t xml:space="preserve">与其它施工单位协作所产生的费用等），项目完工后，中标方应组织业主方相关工作人员进行系统培训，培训方式及时间由中标方和业主方共同商定。 </w:t>
      </w:r>
    </w:p>
    <w:p>
      <w:pPr>
        <w:spacing w:line="600" w:lineRule="exact"/>
        <w:ind w:firstLine="640"/>
        <w:rPr>
          <w:rFonts w:hint="eastAsia" w:ascii="仿宋" w:hAnsi="仿宋" w:eastAsia="仿宋" w:cs="仿宋"/>
          <w:sz w:val="24"/>
          <w:szCs w:val="24"/>
        </w:rPr>
      </w:pPr>
      <w:r>
        <w:rPr>
          <w:rFonts w:hint="eastAsia" w:ascii="仿宋" w:hAnsi="仿宋" w:eastAsia="仿宋" w:cs="仿宋"/>
          <w:sz w:val="24"/>
          <w:szCs w:val="24"/>
          <w:lang w:val="zh-CN"/>
        </w:rPr>
        <w:t>1</w:t>
      </w:r>
      <w:r>
        <w:rPr>
          <w:rFonts w:hint="eastAsia" w:ascii="仿宋" w:hAnsi="仿宋" w:eastAsia="仿宋" w:cs="仿宋"/>
          <w:sz w:val="24"/>
          <w:szCs w:val="24"/>
        </w:rPr>
        <w:t>1</w:t>
      </w:r>
      <w:r>
        <w:rPr>
          <w:rFonts w:hint="eastAsia" w:ascii="仿宋" w:hAnsi="仿宋" w:eastAsia="仿宋" w:cs="仿宋"/>
          <w:sz w:val="24"/>
          <w:szCs w:val="24"/>
          <w:lang w:val="zh-CN"/>
        </w:rPr>
        <w:t>、</w:t>
      </w:r>
      <w:r>
        <w:rPr>
          <w:rFonts w:hint="eastAsia" w:ascii="仿宋" w:hAnsi="仿宋" w:eastAsia="仿宋" w:cs="仿宋"/>
          <w:sz w:val="24"/>
          <w:szCs w:val="24"/>
        </w:rPr>
        <w:t>付款方式（不响应者为无效投标）</w:t>
      </w:r>
    </w:p>
    <w:p>
      <w:pPr>
        <w:spacing w:line="600" w:lineRule="exact"/>
        <w:ind w:firstLine="640"/>
        <w:rPr>
          <w:rFonts w:hint="eastAsia" w:ascii="仿宋" w:hAnsi="仿宋" w:eastAsia="仿宋" w:cs="仿宋"/>
          <w:sz w:val="24"/>
          <w:szCs w:val="24"/>
        </w:rPr>
      </w:pPr>
      <w:r>
        <w:rPr>
          <w:rFonts w:hint="eastAsia" w:ascii="仿宋" w:hAnsi="仿宋" w:eastAsia="仿宋" w:cs="仿宋"/>
          <w:sz w:val="24"/>
          <w:szCs w:val="24"/>
        </w:rPr>
        <w:t>货物到货完毕付合同金额的50%，安装完毕，经验收合格后付剩余45%，一年以后无问题付清剩余5%。</w:t>
      </w:r>
    </w:p>
    <w:p>
      <w:pPr>
        <w:spacing w:line="600" w:lineRule="exact"/>
        <w:ind w:firstLine="640"/>
        <w:rPr>
          <w:rFonts w:hint="eastAsia" w:ascii="仿宋" w:hAnsi="仿宋" w:eastAsia="仿宋" w:cs="仿宋"/>
          <w:sz w:val="24"/>
          <w:szCs w:val="24"/>
        </w:rPr>
      </w:pPr>
      <w:r>
        <w:rPr>
          <w:rFonts w:hint="eastAsia" w:ascii="仿宋" w:hAnsi="仿宋" w:eastAsia="仿宋" w:cs="仿宋"/>
          <w:sz w:val="24"/>
          <w:szCs w:val="24"/>
        </w:rPr>
        <w:t>12、预算金额： 320万元，超出者为无效投标。</w:t>
      </w:r>
    </w:p>
    <w:p>
      <w:pPr>
        <w:spacing w:line="600" w:lineRule="exact"/>
        <w:ind w:firstLine="640"/>
        <w:rPr>
          <w:rFonts w:hint="eastAsia" w:ascii="仿宋" w:hAnsi="仿宋" w:eastAsia="仿宋" w:cs="仿宋"/>
          <w:sz w:val="24"/>
          <w:szCs w:val="24"/>
        </w:rPr>
      </w:pPr>
      <w:r>
        <w:rPr>
          <w:rFonts w:hint="eastAsia" w:ascii="仿宋" w:hAnsi="仿宋" w:eastAsia="仿宋" w:cs="仿宋"/>
          <w:sz w:val="24"/>
          <w:szCs w:val="24"/>
        </w:rPr>
        <w:t>13、投标商必须由法定代表人或委托代理人参加开标会议，随时接受评标委员会询问，并予作出书面解答。</w:t>
      </w:r>
    </w:p>
    <w:p>
      <w:pPr>
        <w:spacing w:line="600" w:lineRule="exact"/>
        <w:ind w:firstLine="640"/>
        <w:rPr>
          <w:rFonts w:hint="eastAsia" w:ascii="仿宋" w:hAnsi="仿宋" w:eastAsia="仿宋" w:cs="仿宋"/>
          <w:bCs/>
          <w:sz w:val="24"/>
          <w:szCs w:val="24"/>
        </w:rPr>
      </w:pPr>
      <w:r>
        <w:rPr>
          <w:rFonts w:hint="eastAsia" w:ascii="仿宋" w:hAnsi="仿宋" w:eastAsia="仿宋" w:cs="仿宋"/>
          <w:bCs/>
          <w:sz w:val="24"/>
          <w:szCs w:val="24"/>
        </w:rPr>
        <w:t>14、验收标准</w:t>
      </w:r>
    </w:p>
    <w:p>
      <w:pPr>
        <w:spacing w:line="600" w:lineRule="exact"/>
        <w:ind w:firstLine="640"/>
        <w:rPr>
          <w:rFonts w:hint="eastAsia" w:ascii="仿宋" w:hAnsi="仿宋" w:eastAsia="仿宋" w:cs="仿宋"/>
          <w:sz w:val="24"/>
          <w:szCs w:val="24"/>
          <w:lang w:val="zh-CN"/>
        </w:rPr>
      </w:pPr>
      <w:r>
        <w:rPr>
          <w:rFonts w:hint="eastAsia" w:ascii="仿宋" w:hAnsi="仿宋" w:eastAsia="仿宋" w:cs="仿宋"/>
          <w:sz w:val="24"/>
          <w:szCs w:val="24"/>
        </w:rPr>
        <w:t>（1）</w:t>
      </w:r>
      <w:r>
        <w:rPr>
          <w:rFonts w:hint="eastAsia" w:ascii="仿宋" w:hAnsi="仿宋" w:eastAsia="仿宋" w:cs="仿宋"/>
          <w:sz w:val="24"/>
          <w:szCs w:val="24"/>
          <w:lang w:val="zh-CN"/>
        </w:rPr>
        <w:t>由采购人成立验收小组,按照采购合同的约定对中标人履约情况进行验收。验收时,按照采购合同的约定对每一项技术、服务、安全标准的履约情况进行确认。验收结束后,出具验收报告,列明各项标准的验收情况及项目总体评价,由验收双方共同签署。</w:t>
      </w:r>
    </w:p>
    <w:p>
      <w:pPr>
        <w:ind w:firstLine="640"/>
        <w:rPr>
          <w:rFonts w:hint="eastAsia" w:ascii="仿宋" w:hAnsi="仿宋" w:eastAsia="仿宋" w:cs="仿宋"/>
          <w:sz w:val="24"/>
          <w:szCs w:val="24"/>
        </w:rPr>
      </w:pPr>
      <w:r>
        <w:rPr>
          <w:rFonts w:hint="eastAsia" w:ascii="仿宋" w:hAnsi="仿宋" w:eastAsia="仿宋" w:cs="仿宋"/>
          <w:sz w:val="24"/>
          <w:szCs w:val="24"/>
          <w:lang w:val="zh-CN"/>
        </w:rPr>
        <w:t>（2）按照招标文件要求、投标文件响应和承诺验收。</w:t>
      </w:r>
    </w:p>
    <w:p>
      <w:pPr>
        <w:spacing w:line="520" w:lineRule="exact"/>
        <w:ind w:firstLine="1205" w:firstLineChars="500"/>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sectPr>
          <w:pgSz w:w="11907" w:h="16840"/>
          <w:pgMar w:top="1440" w:right="1474" w:bottom="1440" w:left="1474" w:header="851" w:footer="992" w:gutter="0"/>
          <w:cols w:space="425" w:num="1"/>
          <w:docGrid w:linePitch="312" w:charSpace="0"/>
        </w:sectPr>
      </w:pPr>
    </w:p>
    <w:p>
      <w:pPr>
        <w:spacing w:line="520" w:lineRule="exact"/>
        <w:ind w:firstLine="1205" w:firstLineChars="500"/>
        <w:rPr>
          <w:rFonts w:hint="eastAsia" w:ascii="仿宋" w:hAnsi="仿宋" w:eastAsia="仿宋" w:cs="仿宋"/>
          <w:b/>
          <w:sz w:val="24"/>
          <w:szCs w:val="24"/>
        </w:rPr>
      </w:pPr>
      <w:r>
        <w:rPr>
          <w:rFonts w:hint="eastAsia" w:ascii="仿宋" w:hAnsi="仿宋" w:eastAsia="仿宋" w:cs="仿宋"/>
          <w:b/>
          <w:sz w:val="24"/>
          <w:szCs w:val="24"/>
        </w:rPr>
        <w:t>第五部分  开标和评标</w:t>
      </w:r>
    </w:p>
    <w:p>
      <w:pPr>
        <w:spacing w:line="520" w:lineRule="exact"/>
        <w:rPr>
          <w:rFonts w:hint="eastAsia" w:ascii="仿宋" w:hAnsi="仿宋" w:eastAsia="仿宋" w:cs="仿宋"/>
          <w:b/>
          <w:sz w:val="24"/>
          <w:szCs w:val="24"/>
        </w:rPr>
      </w:pP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hint="eastAsia"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hint="eastAsia"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（2）营业执照</w:t>
      </w:r>
      <w:r>
        <w:rPr>
          <w:rFonts w:hint="eastAsia" w:ascii="仿宋" w:hAnsi="仿宋" w:eastAsia="仿宋" w:cs="仿宋"/>
          <w:sz w:val="24"/>
          <w:szCs w:val="24"/>
          <w:lang w:eastAsia="zh-CN"/>
        </w:rPr>
        <w:t>副本</w:t>
      </w:r>
      <w:r>
        <w:rPr>
          <w:rFonts w:hint="eastAsia" w:ascii="仿宋" w:hAnsi="仿宋" w:eastAsia="仿宋" w:cs="仿宋"/>
          <w:sz w:val="24"/>
          <w:szCs w:val="24"/>
        </w:rPr>
        <w:t>、银行开户许可证、无行贿记录告知函、</w:t>
      </w:r>
      <w:r>
        <w:rPr>
          <w:rFonts w:hint="eastAsia" w:ascii="仿宋" w:hAnsi="仿宋" w:eastAsia="仿宋" w:cs="仿宋"/>
          <w:sz w:val="24"/>
          <w:szCs w:val="24"/>
          <w:lang w:eastAsia="zh-CN"/>
        </w:rPr>
        <w:t>法定代表人授权代表</w:t>
      </w:r>
      <w:r>
        <w:rPr>
          <w:rFonts w:hint="eastAsia" w:ascii="仿宋" w:hAnsi="仿宋" w:eastAsia="仿宋" w:cs="仿宋"/>
          <w:sz w:val="24"/>
          <w:szCs w:val="24"/>
        </w:rPr>
        <w:t>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（3）投标保证金缴纳</w:t>
      </w:r>
      <w:r>
        <w:rPr>
          <w:rFonts w:hint="eastAsia" w:ascii="仿宋" w:hAnsi="仿宋" w:eastAsia="仿宋" w:cs="仿宋"/>
          <w:sz w:val="24"/>
          <w:szCs w:val="24"/>
          <w:lang w:eastAsia="zh-CN"/>
        </w:rPr>
        <w:t>回执</w:t>
      </w:r>
      <w:r>
        <w:rPr>
          <w:rFonts w:hint="eastAsia" w:ascii="仿宋" w:hAnsi="仿宋" w:eastAsia="仿宋" w:cs="仿宋"/>
          <w:sz w:val="24"/>
          <w:szCs w:val="24"/>
        </w:rPr>
        <w:t>；</w:t>
      </w:r>
    </w:p>
    <w:p>
      <w:pPr>
        <w:spacing w:line="5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w:t>
      </w:r>
      <w:r>
        <w:rPr>
          <w:rFonts w:hint="eastAsia" w:ascii="仿宋" w:hAnsi="仿宋" w:eastAsia="仿宋" w:cs="仿宋"/>
          <w:sz w:val="24"/>
          <w:szCs w:val="24"/>
          <w:shd w:val="clear" w:color="auto" w:fill="FFFFFF"/>
          <w:lang w:val="en-US" w:eastAsia="zh-CN"/>
        </w:rPr>
        <w:t>5</w:t>
      </w:r>
      <w:r>
        <w:rPr>
          <w:rFonts w:hint="eastAsia" w:ascii="仿宋" w:hAnsi="仿宋" w:eastAsia="仿宋" w:cs="仿宋"/>
          <w:sz w:val="24"/>
          <w:szCs w:val="24"/>
          <w:shd w:val="clear" w:color="auto" w:fill="FFFFFF"/>
        </w:rPr>
        <w:t>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hint="eastAsia"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hint="eastAsia" w:ascii="仿宋" w:hAnsi="仿宋" w:eastAsia="仿宋" w:cs="仿宋"/>
          <w:sz w:val="24"/>
          <w:szCs w:val="24"/>
          <w:lang w:eastAsia="zh-CN"/>
        </w:rPr>
      </w:pPr>
      <w:r>
        <w:rPr>
          <w:rFonts w:hint="eastAsia" w:ascii="仿宋" w:hAnsi="仿宋" w:eastAsia="仿宋" w:cs="仿宋"/>
          <w:sz w:val="24"/>
          <w:szCs w:val="24"/>
        </w:rPr>
        <w:t>3.4评标</w:t>
      </w:r>
      <w:r>
        <w:rPr>
          <w:rFonts w:hint="eastAsia" w:ascii="仿宋" w:hAnsi="仿宋" w:eastAsia="仿宋" w:cs="仿宋"/>
          <w:sz w:val="24"/>
          <w:szCs w:val="24"/>
          <w:lang w:eastAsia="zh-CN"/>
        </w:rPr>
        <w:t>办法</w:t>
      </w:r>
    </w:p>
    <w:p>
      <w:pPr>
        <w:spacing w:line="360" w:lineRule="auto"/>
        <w:ind w:firstLine="480"/>
        <w:textAlignment w:val="baseline"/>
        <w:rPr>
          <w:rFonts w:hint="eastAsia"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8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3.5评分标准</w:t>
      </w:r>
    </w:p>
    <w:p>
      <w:pPr>
        <w:spacing w:line="360" w:lineRule="auto"/>
        <w:ind w:firstLine="3902" w:firstLineChars="1626"/>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第一标段</w:t>
      </w:r>
      <w:r>
        <w:rPr>
          <w:rFonts w:hint="eastAsia" w:ascii="仿宋" w:hAnsi="仿宋" w:eastAsia="仿宋" w:cs="仿宋"/>
          <w:sz w:val="24"/>
          <w:szCs w:val="24"/>
        </w:rPr>
        <w:t>评分标准</w:t>
      </w:r>
    </w:p>
    <w:tbl>
      <w:tblPr>
        <w:tblStyle w:val="36"/>
        <w:tblpPr w:leftFromText="180" w:rightFromText="180" w:vertAnchor="text" w:tblpXSpec="center" w:tblpY="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5953"/>
        <w:gridCol w:w="18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2046" w:type="dxa"/>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分值构成</w:t>
            </w:r>
          </w:p>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(总分100分)</w:t>
            </w:r>
          </w:p>
        </w:tc>
        <w:tc>
          <w:tcPr>
            <w:tcW w:w="6993" w:type="dxa"/>
            <w:gridSpan w:val="3"/>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价格分值：30分</w:t>
            </w:r>
          </w:p>
          <w:p>
            <w:pPr>
              <w:spacing w:after="0" w:line="400" w:lineRule="exact"/>
              <w:rPr>
                <w:rFonts w:hint="eastAsia" w:ascii="仿宋" w:hAnsi="仿宋" w:eastAsia="仿宋" w:cs="仿宋"/>
                <w:sz w:val="24"/>
                <w:szCs w:val="24"/>
              </w:rPr>
            </w:pPr>
            <w:r>
              <w:rPr>
                <w:rFonts w:hint="eastAsia" w:ascii="仿宋" w:hAnsi="仿宋" w:eastAsia="仿宋" w:cs="仿宋"/>
                <w:sz w:val="24"/>
                <w:szCs w:val="24"/>
              </w:rPr>
              <w:t>商务部分：36分</w:t>
            </w:r>
          </w:p>
          <w:p>
            <w:pPr>
              <w:spacing w:after="0" w:line="400" w:lineRule="exact"/>
              <w:rPr>
                <w:rFonts w:hint="eastAsia" w:ascii="仿宋" w:hAnsi="仿宋" w:eastAsia="仿宋" w:cs="仿宋"/>
                <w:sz w:val="24"/>
                <w:szCs w:val="24"/>
              </w:rPr>
            </w:pPr>
            <w:r>
              <w:rPr>
                <w:rFonts w:hint="eastAsia" w:ascii="仿宋" w:hAnsi="仿宋" w:eastAsia="仿宋" w:cs="仿宋"/>
                <w:sz w:val="24"/>
                <w:szCs w:val="24"/>
              </w:rPr>
              <w:t>技术部分：34分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39" w:type="dxa"/>
            <w:gridSpan w:val="4"/>
            <w:tcBorders>
              <w:bottom w:val="single" w:color="auto" w:sz="4" w:space="0"/>
            </w:tcBorders>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（一）价格部分（满分</w:t>
            </w:r>
            <w:r>
              <w:rPr>
                <w:rFonts w:hint="eastAsia" w:ascii="仿宋" w:hAnsi="仿宋" w:eastAsia="仿宋" w:cs="仿宋"/>
                <w:sz w:val="24"/>
                <w:szCs w:val="24"/>
              </w:rPr>
              <w:t>30</w:t>
            </w:r>
            <w:r>
              <w:rPr>
                <w:rFonts w:hint="eastAsia" w:ascii="仿宋" w:hAnsi="仿宋" w:eastAsia="仿宋" w:cs="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tcBorders>
              <w:top w:val="single" w:color="auto" w:sz="4" w:space="0"/>
            </w:tcBorders>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评分因素</w:t>
            </w:r>
          </w:p>
        </w:tc>
        <w:tc>
          <w:tcPr>
            <w:tcW w:w="5953" w:type="dxa"/>
            <w:tcBorders>
              <w:top w:val="single" w:color="auto" w:sz="4" w:space="0"/>
            </w:tcBorders>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1040" w:type="dxa"/>
            <w:gridSpan w:val="2"/>
            <w:tcBorders>
              <w:top w:val="single" w:color="auto" w:sz="4" w:space="0"/>
            </w:tcBorders>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2046" w:type="dxa"/>
            <w:tcBorders>
              <w:top w:val="single" w:color="auto" w:sz="4" w:space="0"/>
            </w:tcBorders>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投标报价</w:t>
            </w:r>
          </w:p>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评分标准</w:t>
            </w:r>
          </w:p>
        </w:tc>
        <w:tc>
          <w:tcPr>
            <w:tcW w:w="5953" w:type="dxa"/>
            <w:tcBorders>
              <w:top w:val="single" w:color="auto" w:sz="4" w:space="0"/>
            </w:tcBorders>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评标基准价：满足招标文件要求的有效投标报价中，最低的投标报价为评标基准价。</w:t>
            </w:r>
          </w:p>
          <w:p>
            <w:pPr>
              <w:spacing w:after="0" w:line="400" w:lineRule="exact"/>
              <w:rPr>
                <w:rFonts w:hint="eastAsia" w:ascii="仿宋" w:hAnsi="仿宋" w:eastAsia="仿宋" w:cs="仿宋"/>
                <w:sz w:val="24"/>
                <w:szCs w:val="24"/>
              </w:rPr>
            </w:pPr>
            <w:r>
              <w:rPr>
                <w:rFonts w:hint="eastAsia" w:ascii="仿宋" w:hAnsi="仿宋" w:eastAsia="仿宋" w:cs="仿宋"/>
                <w:sz w:val="24"/>
                <w:szCs w:val="24"/>
              </w:rPr>
              <w:t>投标报价得分=（评标基准价/投标报价）×30</w:t>
            </w:r>
          </w:p>
        </w:tc>
        <w:tc>
          <w:tcPr>
            <w:tcW w:w="1040" w:type="dxa"/>
            <w:gridSpan w:val="2"/>
            <w:tcBorders>
              <w:top w:val="single" w:color="auto" w:sz="4" w:space="0"/>
            </w:tcBorders>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39" w:type="dxa"/>
            <w:gridSpan w:val="4"/>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（二）商务部分（满分</w:t>
            </w:r>
            <w:r>
              <w:rPr>
                <w:rFonts w:hint="eastAsia" w:ascii="仿宋" w:hAnsi="仿宋" w:eastAsia="仿宋" w:cs="仿宋"/>
                <w:sz w:val="24"/>
                <w:szCs w:val="24"/>
              </w:rPr>
              <w:t>36</w:t>
            </w:r>
            <w:r>
              <w:rPr>
                <w:rFonts w:hint="eastAsia" w:ascii="仿宋" w:hAnsi="仿宋" w:eastAsia="仿宋" w:cs="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tcBorders>
              <w:bottom w:val="single" w:color="auto" w:sz="4" w:space="0"/>
            </w:tcBorders>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评分因素</w:t>
            </w:r>
          </w:p>
        </w:tc>
        <w:tc>
          <w:tcPr>
            <w:tcW w:w="6142" w:type="dxa"/>
            <w:gridSpan w:val="2"/>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851" w:type="dxa"/>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2046" w:type="dxa"/>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投标人实力</w:t>
            </w:r>
          </w:p>
        </w:tc>
        <w:tc>
          <w:tcPr>
            <w:tcW w:w="6142" w:type="dxa"/>
            <w:gridSpan w:val="2"/>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1、投标单位具有ISO9001质量管理体系认证证书、职业健康安全管理体系认证证书、环境管理体系认证证书，每项得1分，满分3分。</w:t>
            </w:r>
          </w:p>
          <w:p>
            <w:pPr>
              <w:spacing w:after="0" w:line="400" w:lineRule="exact"/>
              <w:rPr>
                <w:rFonts w:hint="eastAsia" w:ascii="仿宋" w:hAnsi="仿宋" w:eastAsia="仿宋" w:cs="仿宋"/>
                <w:sz w:val="24"/>
                <w:szCs w:val="24"/>
              </w:rPr>
            </w:pPr>
            <w:r>
              <w:rPr>
                <w:rFonts w:hint="eastAsia" w:ascii="仿宋" w:hAnsi="仿宋" w:eastAsia="仿宋" w:cs="仿宋"/>
                <w:sz w:val="24"/>
                <w:szCs w:val="24"/>
              </w:rPr>
              <w:t>2、投标人提供注册地省级及以上信用建设部门认可的信用评级机构出具的信用等级证书，投标单位具有AAA级信用等级证书的得3分。（开标时需提供证书原件、信用报告概述截图及信用评级主管机构网站查询结果页附投标文件中，否则不得分）</w:t>
            </w:r>
          </w:p>
          <w:p>
            <w:pPr>
              <w:spacing w:after="0"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3、投标人提供2016年以来合同金额为500万元以上的类似项目合同，每提供一份得1分，共2分（现场出示中标通告原件、合同原件、验收报告原件）。</w:t>
            </w:r>
          </w:p>
          <w:p>
            <w:pPr>
              <w:spacing w:after="0"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4、提供国家信息技术服务标准工作组颁发的成员单位证书，提供证书复印件加盖投标人公章得1分，否则不得分。</w:t>
            </w:r>
          </w:p>
          <w:p>
            <w:pPr>
              <w:spacing w:after="0" w:line="400" w:lineRule="exact"/>
              <w:rPr>
                <w:rFonts w:hint="eastAsia" w:ascii="仿宋" w:hAnsi="仿宋" w:eastAsia="仿宋" w:cs="仿宋"/>
                <w:color w:val="FF0000"/>
                <w:sz w:val="24"/>
                <w:szCs w:val="24"/>
              </w:rPr>
            </w:pPr>
            <w:r>
              <w:rPr>
                <w:rFonts w:hint="eastAsia" w:ascii="仿宋" w:hAnsi="仿宋" w:eastAsia="仿宋" w:cs="仿宋"/>
                <w:color w:val="000000"/>
                <w:sz w:val="24"/>
                <w:szCs w:val="24"/>
              </w:rPr>
              <w:t>5、具备1名国家信息安全测评中心颁发的注册信息安全专业人员证书（CISP），提供证书复印件加盖投标人公章得1分,否则不得分。</w:t>
            </w:r>
            <w:r>
              <w:rPr>
                <w:rFonts w:hint="eastAsia" w:ascii="仿宋" w:hAnsi="仿宋" w:eastAsia="仿宋" w:cs="仿宋"/>
                <w:sz w:val="24"/>
                <w:szCs w:val="24"/>
              </w:rPr>
              <w:t xml:space="preserve">    </w:t>
            </w:r>
          </w:p>
        </w:tc>
        <w:tc>
          <w:tcPr>
            <w:tcW w:w="851" w:type="dxa"/>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产品保障</w:t>
            </w:r>
          </w:p>
        </w:tc>
        <w:tc>
          <w:tcPr>
            <w:tcW w:w="6142" w:type="dxa"/>
            <w:gridSpan w:val="2"/>
            <w:vAlign w:val="center"/>
          </w:tcPr>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核心产品厂商具备中国信息安全测评中心颁发的《 信息安全服务（安全工程类三级）资质》提供证书复印件加制造厂商项目授权章得3分,否则不得分。</w:t>
            </w:r>
          </w:p>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采购清单中制造厂商为国家信息安全漏洞共享平台CNVD技术组成员单位并提供证书及官网截图证明的得2分，否则不得分。</w:t>
            </w:r>
          </w:p>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采购清单中综合安全网关制造厂商通过CMMI5认证，证书注册地必须为中国，提供CMMI认证复印件及CMMI证书官网查询结果截图，加盖投标产品制造厂商项目授权专用章的得3分，否则不得分。</w:t>
            </w:r>
          </w:p>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采购清单中制造厂商为国家信息安全漏洞库（CNNVD）一级技术支撑单位并提供证书及官网截图证明的得2分，否则不得分。</w:t>
            </w:r>
          </w:p>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本次项目综合安全网关制造厂商需具备科学、系统的知识产权管理体系。能够全面保护、并系统管理知识产权，支撑企业的技术创新能力。通过知识产权管理体系认证，提供知识产权管理体系认证证书复印件，加盖制造厂商项目授权专用章得3分，否则不得分。</w:t>
            </w:r>
          </w:p>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核心产品厂商为《网络安全应急服务支撑单位》（国家级）提供证书复印件加制造厂商项目授权专用章得2分,否则不得分。</w:t>
            </w:r>
          </w:p>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所投综合安全网关入围2017中央政府采购网（www.zycg.gov.cn）协议供货目录之“防火墙产品（万兆）企业级”分类（且与本次所投型号一致），须提供包含中央政府采购网官方网站完整链接的截图证明并加盖产品制造厂商项目授权专用章，得2分，否则不得分。</w:t>
            </w:r>
          </w:p>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为响应国家节能环保要求，采购清单中综合安全网关制造厂商通过能源管理体系认证ISO50001并提供证书及官网截图证明的得2分，否则不得分。</w:t>
            </w:r>
          </w:p>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本次项目综合安全网关制造厂商具有有害物质过程管理体系认证，以确保生产过程对环境低损耗，提供QC080000有害物质过程管理体系认证证书，提供证书复印件并加盖制造厂商项目授权专用章，得2分，否则不得分</w:t>
            </w:r>
          </w:p>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所投产品制造厂商，应具备良好的企业信用，在全国企业信用信息公示系统网站（www.gsxt.gov.cn）中无处罚记录，须提供包含网站完整链接的截图并加盖制造厂商项目授权专用章得3分，否则不得分。</w:t>
            </w:r>
          </w:p>
          <w:p>
            <w:pPr>
              <w:widowControl w:val="0"/>
              <w:numPr>
                <w:ilvl w:val="0"/>
                <w:numId w:val="8"/>
              </w:numPr>
              <w:adjustRightInd/>
              <w:snapToGrid/>
              <w:spacing w:after="0" w:line="400" w:lineRule="exact"/>
              <w:jc w:val="both"/>
              <w:rPr>
                <w:rFonts w:hint="eastAsia" w:ascii="仿宋" w:hAnsi="仿宋" w:eastAsia="仿宋" w:cs="仿宋"/>
                <w:sz w:val="24"/>
                <w:szCs w:val="24"/>
              </w:rPr>
            </w:pPr>
            <w:r>
              <w:rPr>
                <w:rFonts w:hint="eastAsia" w:ascii="仿宋" w:hAnsi="仿宋" w:eastAsia="仿宋" w:cs="仿宋"/>
                <w:sz w:val="24"/>
                <w:szCs w:val="24"/>
              </w:rPr>
              <w:t>核心产品厂商具备中国国家信息安全漏洞库支撑单位（一级），提供证书复印件加盖制造厂商项目授权专用章得2分，否则不得分。</w:t>
            </w:r>
          </w:p>
        </w:tc>
        <w:tc>
          <w:tcPr>
            <w:tcW w:w="851" w:type="dxa"/>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26分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039" w:type="dxa"/>
            <w:gridSpan w:val="4"/>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（三）技术部分（满分</w:t>
            </w:r>
            <w:r>
              <w:rPr>
                <w:rFonts w:hint="eastAsia" w:ascii="仿宋" w:hAnsi="仿宋" w:eastAsia="仿宋" w:cs="仿宋"/>
                <w:sz w:val="24"/>
                <w:szCs w:val="24"/>
              </w:rPr>
              <w:t>34</w:t>
            </w:r>
            <w:r>
              <w:rPr>
                <w:rFonts w:hint="eastAsia" w:ascii="仿宋" w:hAnsi="仿宋" w:eastAsia="仿宋" w:cs="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评分因素</w:t>
            </w:r>
          </w:p>
        </w:tc>
        <w:tc>
          <w:tcPr>
            <w:tcW w:w="5953" w:type="dxa"/>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1040" w:type="dxa"/>
            <w:gridSpan w:val="2"/>
            <w:vAlign w:val="center"/>
          </w:tcPr>
          <w:p>
            <w:pPr>
              <w:spacing w:after="0" w:line="400" w:lineRule="exact"/>
              <w:jc w:val="center"/>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对招标文件</w:t>
            </w:r>
          </w:p>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响应程度</w:t>
            </w:r>
          </w:p>
        </w:tc>
        <w:tc>
          <w:tcPr>
            <w:tcW w:w="5953" w:type="dxa"/>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1、投标产品满足招标文件技术要求，完全满足得基础分16分，加星项每优于一项，加一分，共21分。</w:t>
            </w:r>
          </w:p>
          <w:p>
            <w:pPr>
              <w:spacing w:after="0" w:line="400" w:lineRule="exact"/>
              <w:rPr>
                <w:rFonts w:hint="eastAsia" w:ascii="仿宋" w:hAnsi="仿宋" w:eastAsia="仿宋" w:cs="仿宋"/>
                <w:sz w:val="24"/>
                <w:szCs w:val="24"/>
              </w:rPr>
            </w:pPr>
            <w:r>
              <w:rPr>
                <w:rFonts w:hint="eastAsia" w:ascii="仿宋" w:hAnsi="仿宋" w:eastAsia="仿宋" w:cs="仿宋"/>
                <w:sz w:val="24"/>
                <w:szCs w:val="24"/>
              </w:rPr>
              <w:t>2、投标人提供综合安全网关工信部下属第三方泰尔实验室检测报告的，得4分（同项货物检测报告不累计）。</w:t>
            </w:r>
          </w:p>
        </w:tc>
        <w:tc>
          <w:tcPr>
            <w:tcW w:w="1040" w:type="dxa"/>
            <w:gridSpan w:val="2"/>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投标文件</w:t>
            </w:r>
          </w:p>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规范程度</w:t>
            </w:r>
          </w:p>
        </w:tc>
        <w:tc>
          <w:tcPr>
            <w:tcW w:w="5953" w:type="dxa"/>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1、装订规范、文字清晰、无差错 1 分。</w:t>
            </w:r>
          </w:p>
          <w:p>
            <w:pPr>
              <w:spacing w:after="0" w:line="400" w:lineRule="exact"/>
              <w:rPr>
                <w:rFonts w:hint="eastAsia" w:ascii="仿宋" w:hAnsi="仿宋" w:eastAsia="仿宋" w:cs="仿宋"/>
                <w:sz w:val="24"/>
                <w:szCs w:val="24"/>
              </w:rPr>
            </w:pPr>
            <w:r>
              <w:rPr>
                <w:rFonts w:hint="eastAsia" w:ascii="仿宋" w:hAnsi="仿宋" w:eastAsia="仿宋" w:cs="仿宋"/>
                <w:sz w:val="24"/>
                <w:szCs w:val="24"/>
              </w:rPr>
              <w:t>2、所提供资料准确完整 1 分。</w:t>
            </w:r>
          </w:p>
          <w:p>
            <w:pPr>
              <w:spacing w:after="0" w:line="400" w:lineRule="exact"/>
              <w:rPr>
                <w:rFonts w:hint="eastAsia" w:ascii="仿宋" w:hAnsi="仿宋" w:eastAsia="仿宋" w:cs="仿宋"/>
                <w:sz w:val="24"/>
                <w:szCs w:val="24"/>
              </w:rPr>
            </w:pPr>
            <w:r>
              <w:rPr>
                <w:rFonts w:hint="eastAsia" w:ascii="仿宋" w:hAnsi="仿宋" w:eastAsia="仿宋" w:cs="仿宋"/>
                <w:sz w:val="24"/>
                <w:szCs w:val="24"/>
              </w:rPr>
              <w:t>投标文件编制无目录和页码，排序混乱和缺篇少页的不得分。</w:t>
            </w:r>
          </w:p>
        </w:tc>
        <w:tc>
          <w:tcPr>
            <w:tcW w:w="1040" w:type="dxa"/>
            <w:gridSpan w:val="2"/>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技术实施及售后服务承诺</w:t>
            </w:r>
          </w:p>
        </w:tc>
        <w:tc>
          <w:tcPr>
            <w:tcW w:w="5953" w:type="dxa"/>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1、由评委根据各投标供应商技术方案的详细性、可行性、完善性等进行横向对比酌情打分（0-2分）</w:t>
            </w:r>
          </w:p>
          <w:p>
            <w:pPr>
              <w:spacing w:after="0" w:line="400" w:lineRule="exact"/>
              <w:rPr>
                <w:rFonts w:hint="eastAsia" w:ascii="仿宋" w:hAnsi="仿宋" w:eastAsia="仿宋" w:cs="仿宋"/>
                <w:sz w:val="24"/>
                <w:szCs w:val="24"/>
              </w:rPr>
            </w:pPr>
            <w:r>
              <w:rPr>
                <w:rFonts w:hint="eastAsia" w:ascii="仿宋" w:hAnsi="仿宋" w:eastAsia="仿宋" w:cs="仿宋"/>
                <w:sz w:val="24"/>
                <w:szCs w:val="24"/>
              </w:rPr>
              <w:t>2、免费质保三年得3分。</w:t>
            </w:r>
          </w:p>
          <w:p>
            <w:pPr>
              <w:spacing w:after="0" w:line="400" w:lineRule="exact"/>
              <w:rPr>
                <w:rFonts w:hint="eastAsia" w:ascii="仿宋" w:hAnsi="仿宋" w:eastAsia="仿宋" w:cs="仿宋"/>
                <w:sz w:val="24"/>
                <w:szCs w:val="24"/>
              </w:rPr>
            </w:pPr>
          </w:p>
        </w:tc>
        <w:tc>
          <w:tcPr>
            <w:tcW w:w="1040" w:type="dxa"/>
            <w:gridSpan w:val="2"/>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培训方案</w:t>
            </w:r>
          </w:p>
        </w:tc>
        <w:tc>
          <w:tcPr>
            <w:tcW w:w="5953" w:type="dxa"/>
            <w:vAlign w:val="center"/>
          </w:tcPr>
          <w:p>
            <w:pPr>
              <w:spacing w:after="0" w:line="400" w:lineRule="exact"/>
              <w:rPr>
                <w:rFonts w:hint="eastAsia" w:ascii="仿宋" w:hAnsi="仿宋" w:eastAsia="仿宋" w:cs="仿宋"/>
                <w:sz w:val="24"/>
                <w:szCs w:val="24"/>
              </w:rPr>
            </w:pPr>
            <w:r>
              <w:rPr>
                <w:rFonts w:hint="eastAsia" w:ascii="仿宋" w:hAnsi="仿宋" w:eastAsia="仿宋" w:cs="仿宋"/>
                <w:sz w:val="24"/>
                <w:szCs w:val="24"/>
              </w:rPr>
              <w:t>由评委根据各投标供应商培训方案的详细性、可行性、完善性等进行横向对比酌情打分（0-2分）</w:t>
            </w:r>
          </w:p>
        </w:tc>
        <w:tc>
          <w:tcPr>
            <w:tcW w:w="1040" w:type="dxa"/>
            <w:gridSpan w:val="2"/>
            <w:vAlign w:val="center"/>
          </w:tcPr>
          <w:p>
            <w:pPr>
              <w:spacing w:after="0" w:line="400" w:lineRule="exact"/>
              <w:jc w:val="center"/>
              <w:rPr>
                <w:rFonts w:hint="eastAsia" w:ascii="仿宋" w:hAnsi="仿宋" w:eastAsia="仿宋" w:cs="仿宋"/>
                <w:sz w:val="24"/>
                <w:szCs w:val="24"/>
              </w:rPr>
            </w:pPr>
            <w:r>
              <w:rPr>
                <w:rFonts w:hint="eastAsia" w:ascii="仿宋" w:hAnsi="仿宋" w:eastAsia="仿宋" w:cs="仿宋"/>
                <w:sz w:val="24"/>
                <w:szCs w:val="24"/>
              </w:rPr>
              <w:t>2分</w:t>
            </w:r>
          </w:p>
        </w:tc>
      </w:tr>
    </w:tbl>
    <w:p>
      <w:pPr>
        <w:spacing w:line="360" w:lineRule="auto"/>
        <w:ind w:left="2333" w:leftChars="342" w:hanging="1615" w:hangingChars="673"/>
        <w:textAlignment w:val="baseline"/>
        <w:rPr>
          <w:rFonts w:hint="eastAsia" w:ascii="仿宋" w:hAnsi="仿宋" w:eastAsia="仿宋" w:cs="仿宋"/>
          <w:sz w:val="24"/>
          <w:szCs w:val="24"/>
          <w:lang w:val="en-US" w:eastAsia="zh-CN"/>
        </w:rPr>
      </w:pPr>
      <w:r>
        <w:rPr>
          <w:rFonts w:hint="eastAsia" w:ascii="仿宋" w:hAnsi="仿宋" w:eastAsia="仿宋" w:cs="仿宋"/>
          <w:sz w:val="24"/>
          <w:szCs w:val="24"/>
        </w:rPr>
        <w:br w:type="textWrapping" w:clear="all"/>
      </w:r>
      <w:r>
        <w:rPr>
          <w:rFonts w:hint="eastAsia" w:ascii="仿宋" w:hAnsi="仿宋" w:eastAsia="仿宋" w:cs="仿宋"/>
          <w:sz w:val="24"/>
          <w:szCs w:val="24"/>
          <w:lang w:val="en-US" w:eastAsia="zh-CN"/>
        </w:rPr>
        <w:t>第二标段评分标准</w:t>
      </w:r>
    </w:p>
    <w:tbl>
      <w:tblPr>
        <w:tblStyle w:val="36"/>
        <w:tblpPr w:leftFromText="180" w:rightFromText="180" w:vertAnchor="text" w:tblpXSpec="center" w:tblpY="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5953"/>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2046" w:type="dxa"/>
            <w:vAlign w:val="center"/>
          </w:tcPr>
          <w:p>
            <w:pPr>
              <w:spacing w:line="240" w:lineRule="auto"/>
              <w:ind w:firstLine="0" w:firstLineChars="0"/>
              <w:jc w:val="center"/>
              <w:rPr>
                <w:rFonts w:hint="eastAsia" w:ascii="仿宋" w:hAnsi="仿宋" w:eastAsia="仿宋" w:cs="仿宋"/>
                <w:sz w:val="24"/>
                <w:szCs w:val="24"/>
              </w:rPr>
            </w:pPr>
          </w:p>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分值构成</w:t>
            </w:r>
          </w:p>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(总分100分)</w:t>
            </w:r>
          </w:p>
        </w:tc>
        <w:tc>
          <w:tcPr>
            <w:tcW w:w="6993" w:type="dxa"/>
            <w:gridSpan w:val="2"/>
            <w:vAlign w:val="center"/>
          </w:tcPr>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价格分值：30分</w:t>
            </w:r>
          </w:p>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商务部分：30分</w:t>
            </w:r>
          </w:p>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技术部分：40分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39" w:type="dxa"/>
            <w:gridSpan w:val="3"/>
            <w:tcBorders>
              <w:bottom w:val="single" w:color="auto" w:sz="4" w:space="0"/>
            </w:tcBorders>
            <w:vAlign w:val="center"/>
          </w:tcPr>
          <w:p>
            <w:pPr>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（一）价格部分（满分</w:t>
            </w:r>
            <w:r>
              <w:rPr>
                <w:rFonts w:hint="eastAsia" w:ascii="仿宋" w:hAnsi="仿宋" w:eastAsia="仿宋" w:cs="仿宋"/>
                <w:sz w:val="24"/>
                <w:szCs w:val="24"/>
              </w:rPr>
              <w:t>30</w:t>
            </w:r>
            <w:r>
              <w:rPr>
                <w:rFonts w:hint="eastAsia" w:ascii="仿宋" w:hAnsi="仿宋" w:eastAsia="仿宋" w:cs="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046" w:type="dxa"/>
            <w:tcBorders>
              <w:top w:val="single" w:color="auto" w:sz="4" w:space="0"/>
            </w:tcBorders>
            <w:vAlign w:val="center"/>
          </w:tcPr>
          <w:p>
            <w:pPr>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评分因素</w:t>
            </w:r>
          </w:p>
        </w:tc>
        <w:tc>
          <w:tcPr>
            <w:tcW w:w="5953" w:type="dxa"/>
            <w:tcBorders>
              <w:top w:val="single" w:color="auto" w:sz="4" w:space="0"/>
            </w:tcBorders>
            <w:vAlign w:val="center"/>
          </w:tcPr>
          <w:p>
            <w:pPr>
              <w:spacing w:line="240" w:lineRule="auto"/>
              <w:ind w:firstLine="643"/>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1040" w:type="dxa"/>
            <w:tcBorders>
              <w:top w:val="single" w:color="auto" w:sz="4" w:space="0"/>
            </w:tcBorders>
            <w:vAlign w:val="center"/>
          </w:tcPr>
          <w:p>
            <w:pPr>
              <w:spacing w:line="240" w:lineRule="auto"/>
              <w:ind w:firstLine="0" w:firstLineChars="0"/>
              <w:jc w:val="both"/>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2046" w:type="dxa"/>
            <w:tcBorders>
              <w:top w:val="single" w:color="auto" w:sz="4" w:space="0"/>
            </w:tcBorders>
            <w:vAlign w:val="center"/>
          </w:tcPr>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投标报价</w:t>
            </w:r>
          </w:p>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评分标准</w:t>
            </w:r>
          </w:p>
        </w:tc>
        <w:tc>
          <w:tcPr>
            <w:tcW w:w="5953" w:type="dxa"/>
            <w:tcBorders>
              <w:top w:val="single" w:color="auto" w:sz="4" w:space="0"/>
            </w:tcBorders>
            <w:vAlign w:val="center"/>
          </w:tcPr>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评标基准价：满足招标文件要求的有效投标报价中，最低的投标报价为评标基准价。</w:t>
            </w:r>
          </w:p>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投标报价得分=（评标基准价/投标报价）×30</w:t>
            </w:r>
          </w:p>
        </w:tc>
        <w:tc>
          <w:tcPr>
            <w:tcW w:w="1040" w:type="dxa"/>
            <w:tcBorders>
              <w:top w:val="single" w:color="auto" w:sz="4" w:space="0"/>
            </w:tcBorders>
            <w:vAlign w:val="center"/>
          </w:tcPr>
          <w:p>
            <w:pPr>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39" w:type="dxa"/>
            <w:gridSpan w:val="3"/>
            <w:vAlign w:val="center"/>
          </w:tcPr>
          <w:p>
            <w:pPr>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（二）商务部分（满分</w:t>
            </w:r>
            <w:r>
              <w:rPr>
                <w:rFonts w:hint="eastAsia" w:ascii="仿宋" w:hAnsi="仿宋" w:eastAsia="仿宋" w:cs="仿宋"/>
                <w:sz w:val="24"/>
                <w:szCs w:val="24"/>
              </w:rPr>
              <w:t>30</w:t>
            </w:r>
            <w:r>
              <w:rPr>
                <w:rFonts w:hint="eastAsia" w:ascii="仿宋" w:hAnsi="仿宋" w:eastAsia="仿宋" w:cs="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tcBorders>
              <w:bottom w:val="single" w:color="auto" w:sz="4" w:space="0"/>
            </w:tcBorders>
            <w:vAlign w:val="center"/>
          </w:tcPr>
          <w:p>
            <w:pPr>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评分因素</w:t>
            </w:r>
          </w:p>
        </w:tc>
        <w:tc>
          <w:tcPr>
            <w:tcW w:w="5953" w:type="dxa"/>
            <w:vAlign w:val="center"/>
          </w:tcPr>
          <w:p>
            <w:pPr>
              <w:spacing w:line="240" w:lineRule="auto"/>
              <w:ind w:firstLine="643"/>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1040" w:type="dxa"/>
            <w:vAlign w:val="center"/>
          </w:tcPr>
          <w:p>
            <w:pPr>
              <w:spacing w:line="240" w:lineRule="auto"/>
              <w:ind w:firstLine="0" w:firstLineChars="0"/>
              <w:jc w:val="both"/>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2046" w:type="dxa"/>
            <w:vAlign w:val="center"/>
          </w:tcPr>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投标人实力</w:t>
            </w:r>
          </w:p>
        </w:tc>
        <w:tc>
          <w:tcPr>
            <w:tcW w:w="5953" w:type="dxa"/>
            <w:vAlign w:val="center"/>
          </w:tcPr>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1、投标单位具有ISO9001质量管理体系认证证书、职业健康安全管理体系认证证书、环境管理体系认证证书，每一项得1分，满分3分。</w:t>
            </w:r>
          </w:p>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2、投标单位具有AAA级信用等级证书的得3分。</w:t>
            </w:r>
          </w:p>
        </w:tc>
        <w:tc>
          <w:tcPr>
            <w:tcW w:w="1040" w:type="dxa"/>
            <w:vAlign w:val="center"/>
          </w:tcPr>
          <w:p>
            <w:pPr>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产品保障</w:t>
            </w:r>
          </w:p>
        </w:tc>
        <w:tc>
          <w:tcPr>
            <w:tcW w:w="5953" w:type="dxa"/>
            <w:vAlign w:val="center"/>
          </w:tcPr>
          <w:p>
            <w:pPr>
              <w:numPr>
                <w:ilvl w:val="0"/>
                <w:numId w:val="9"/>
              </w:numPr>
              <w:autoSpaceDE/>
              <w:autoSpaceDN/>
              <w:adjustRightInd/>
              <w:spacing w:line="240" w:lineRule="auto"/>
              <w:ind w:firstLine="480" w:firstLineChars="0"/>
              <w:jc w:val="both"/>
              <w:rPr>
                <w:rFonts w:hint="eastAsia" w:ascii="仿宋" w:hAnsi="仿宋" w:eastAsia="仿宋" w:cs="仿宋"/>
                <w:sz w:val="24"/>
                <w:szCs w:val="24"/>
              </w:rPr>
            </w:pPr>
            <w:r>
              <w:rPr>
                <w:rFonts w:hint="eastAsia" w:ascii="仿宋" w:hAnsi="仿宋" w:eastAsia="仿宋" w:cs="仿宋"/>
                <w:sz w:val="24"/>
                <w:szCs w:val="24"/>
              </w:rPr>
              <w:t>采购清单中安全产品制造厂商为国家信息安全漏洞库（CNNVD）一级技术支撑单位并提供证书及官网截图证明，加盖制造厂商项目授权专用章，得3分，否则不得分。</w:t>
            </w:r>
          </w:p>
          <w:p>
            <w:pPr>
              <w:numPr>
                <w:ilvl w:val="0"/>
                <w:numId w:val="9"/>
              </w:numPr>
              <w:autoSpaceDE/>
              <w:autoSpaceDN/>
              <w:adjustRightInd/>
              <w:spacing w:line="240" w:lineRule="auto"/>
              <w:ind w:firstLine="480" w:firstLineChars="0"/>
              <w:jc w:val="both"/>
              <w:rPr>
                <w:rFonts w:hint="eastAsia" w:ascii="仿宋" w:hAnsi="仿宋" w:eastAsia="仿宋" w:cs="仿宋"/>
                <w:sz w:val="24"/>
                <w:szCs w:val="24"/>
              </w:rPr>
            </w:pPr>
            <w:r>
              <w:rPr>
                <w:rFonts w:hint="eastAsia" w:ascii="仿宋" w:hAnsi="仿宋" w:eastAsia="仿宋" w:cs="仿宋"/>
                <w:sz w:val="24"/>
                <w:szCs w:val="24"/>
              </w:rPr>
              <w:t>采购清单中安全产品制造厂商为国家信息安全漏洞共享平台CNVD技术组成员单位并提供证书及官网截图证明，加盖制造厂商项目授权专用章，得3分，否则不得分。</w:t>
            </w:r>
          </w:p>
          <w:p>
            <w:pPr>
              <w:numPr>
                <w:ilvl w:val="0"/>
                <w:numId w:val="9"/>
              </w:numPr>
              <w:autoSpaceDE/>
              <w:autoSpaceDN/>
              <w:adjustRightInd/>
              <w:spacing w:line="240" w:lineRule="auto"/>
              <w:ind w:firstLine="480" w:firstLineChars="0"/>
              <w:jc w:val="both"/>
              <w:rPr>
                <w:rFonts w:hint="eastAsia" w:ascii="仿宋" w:hAnsi="仿宋" w:eastAsia="仿宋" w:cs="仿宋"/>
                <w:sz w:val="24"/>
                <w:szCs w:val="24"/>
              </w:rPr>
            </w:pPr>
            <w:r>
              <w:rPr>
                <w:rFonts w:hint="eastAsia" w:ascii="仿宋" w:hAnsi="仿宋" w:eastAsia="仿宋" w:cs="仿宋"/>
                <w:sz w:val="24"/>
                <w:szCs w:val="24"/>
              </w:rPr>
              <w:t>采购清单中网络产品制造厂商通过CMMI5认证，证书注册地必须在中国，提供证书复印件，加盖制造厂商项目授权专用章，得3分，否则不得分。</w:t>
            </w:r>
          </w:p>
          <w:p>
            <w:pPr>
              <w:numPr>
                <w:ilvl w:val="0"/>
                <w:numId w:val="9"/>
              </w:numPr>
              <w:autoSpaceDE/>
              <w:autoSpaceDN/>
              <w:adjustRightInd/>
              <w:spacing w:line="240" w:lineRule="auto"/>
              <w:ind w:firstLine="480" w:firstLineChars="0"/>
              <w:jc w:val="both"/>
              <w:rPr>
                <w:rFonts w:hint="eastAsia" w:ascii="仿宋" w:hAnsi="仿宋" w:eastAsia="仿宋" w:cs="仿宋"/>
                <w:sz w:val="24"/>
                <w:szCs w:val="24"/>
              </w:rPr>
            </w:pPr>
            <w:r>
              <w:rPr>
                <w:rFonts w:hint="eastAsia" w:ascii="仿宋" w:hAnsi="仿宋" w:eastAsia="仿宋" w:cs="仿宋"/>
                <w:sz w:val="24"/>
                <w:szCs w:val="24"/>
              </w:rPr>
              <w:t>为响应国家节能环保要求，采购清单中安全设备、路由器制造厂商通过能源管理体系认证ISO50001并提供证书及官网截图证明，加盖制造厂商项目授权专用章，得4分，否则不得分。</w:t>
            </w:r>
          </w:p>
          <w:p>
            <w:pPr>
              <w:numPr>
                <w:ilvl w:val="0"/>
                <w:numId w:val="9"/>
              </w:numPr>
              <w:autoSpaceDE/>
              <w:autoSpaceDN/>
              <w:adjustRightInd/>
              <w:spacing w:line="240" w:lineRule="auto"/>
              <w:ind w:firstLine="480" w:firstLineChars="0"/>
              <w:jc w:val="both"/>
              <w:rPr>
                <w:rFonts w:hint="eastAsia" w:ascii="仿宋" w:hAnsi="仿宋" w:eastAsia="仿宋" w:cs="仿宋"/>
                <w:sz w:val="24"/>
                <w:szCs w:val="24"/>
              </w:rPr>
            </w:pPr>
            <w:r>
              <w:rPr>
                <w:rFonts w:hint="eastAsia" w:ascii="仿宋" w:hAnsi="仿宋" w:eastAsia="仿宋" w:cs="仿宋"/>
                <w:sz w:val="24"/>
                <w:szCs w:val="24"/>
              </w:rPr>
              <w:t>投标人所投“路由器”产品近三年在中国企业网路由器市场占有率排名前三（以IDC权威报告为准），提供证书复印件，加盖制造厂商项目授权专用章，得2分，否则不得分。</w:t>
            </w:r>
          </w:p>
          <w:p>
            <w:pPr>
              <w:numPr>
                <w:ilvl w:val="0"/>
                <w:numId w:val="9"/>
              </w:numPr>
              <w:autoSpaceDE/>
              <w:autoSpaceDN/>
              <w:adjustRightInd/>
              <w:spacing w:line="240" w:lineRule="auto"/>
              <w:ind w:firstLine="480" w:firstLineChars="0"/>
              <w:jc w:val="both"/>
              <w:rPr>
                <w:rFonts w:hint="eastAsia" w:ascii="仿宋" w:hAnsi="仿宋" w:eastAsia="仿宋" w:cs="仿宋"/>
                <w:sz w:val="24"/>
                <w:szCs w:val="24"/>
              </w:rPr>
            </w:pPr>
            <w:r>
              <w:rPr>
                <w:rFonts w:hint="eastAsia" w:ascii="仿宋" w:hAnsi="仿宋" w:eastAsia="仿宋" w:cs="仿宋"/>
                <w:sz w:val="24"/>
                <w:szCs w:val="24"/>
              </w:rPr>
              <w:t>本次项目路由器制造厂商具有有害物质过程管理体系认证，以确保生产过程对环境低损耗，提供QC080000有害物质过程管理体系认证证书，提供证书复印件，加盖制造厂商项目授权专用章，得4分，否则不得分</w:t>
            </w:r>
          </w:p>
          <w:p>
            <w:pPr>
              <w:numPr>
                <w:ilvl w:val="0"/>
                <w:numId w:val="9"/>
              </w:numPr>
              <w:autoSpaceDE/>
              <w:autoSpaceDN/>
              <w:adjustRightInd/>
              <w:spacing w:line="240" w:lineRule="auto"/>
              <w:ind w:firstLine="480" w:firstLineChars="0"/>
              <w:jc w:val="both"/>
              <w:rPr>
                <w:rFonts w:hint="eastAsia" w:ascii="仿宋" w:hAnsi="仿宋" w:eastAsia="仿宋" w:cs="仿宋"/>
                <w:sz w:val="24"/>
                <w:szCs w:val="24"/>
              </w:rPr>
            </w:pPr>
            <w:r>
              <w:rPr>
                <w:rFonts w:hint="eastAsia" w:ascii="仿宋" w:hAnsi="仿宋" w:eastAsia="仿宋" w:cs="仿宋"/>
                <w:sz w:val="24"/>
                <w:szCs w:val="24"/>
              </w:rPr>
              <w:t>所投网络安全产品制造厂商，应具备良好的企业信用，在全国企业信用信息公示系统网站（www.gsxt.gov.cn）中无处罚记录，须提供包含网站完整链接的截图，加盖制造厂商项目授权专用章，得3分，否则不得分</w:t>
            </w:r>
          </w:p>
          <w:p>
            <w:pPr>
              <w:numPr>
                <w:ilvl w:val="0"/>
                <w:numId w:val="9"/>
              </w:numPr>
              <w:autoSpaceDE/>
              <w:autoSpaceDN/>
              <w:adjustRightInd/>
              <w:spacing w:line="240" w:lineRule="auto"/>
              <w:ind w:firstLine="480" w:firstLineChars="0"/>
              <w:jc w:val="both"/>
              <w:rPr>
                <w:rFonts w:hint="eastAsia" w:ascii="仿宋" w:hAnsi="仿宋" w:eastAsia="仿宋" w:cs="仿宋"/>
                <w:sz w:val="24"/>
                <w:szCs w:val="24"/>
              </w:rPr>
            </w:pPr>
            <w:r>
              <w:rPr>
                <w:rFonts w:hint="eastAsia" w:ascii="仿宋" w:hAnsi="仿宋" w:eastAsia="仿宋" w:cs="仿宋"/>
                <w:sz w:val="24"/>
                <w:szCs w:val="24"/>
              </w:rPr>
              <w:t>所投安全产品制造厂商具备OHSAS18001职业健康安全管理体系认证，提供证书复印件加盖制造厂商项目授权专用章，得2分，否则不得分</w:t>
            </w:r>
          </w:p>
        </w:tc>
        <w:tc>
          <w:tcPr>
            <w:tcW w:w="1040" w:type="dxa"/>
            <w:vAlign w:val="center"/>
          </w:tcPr>
          <w:p>
            <w:pPr>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039" w:type="dxa"/>
            <w:gridSpan w:val="3"/>
            <w:vAlign w:val="center"/>
          </w:tcPr>
          <w:p>
            <w:pPr>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（三）技术部分（满分</w:t>
            </w:r>
            <w:r>
              <w:rPr>
                <w:rFonts w:hint="eastAsia" w:ascii="仿宋" w:hAnsi="仿宋" w:eastAsia="仿宋" w:cs="仿宋"/>
                <w:sz w:val="24"/>
                <w:szCs w:val="24"/>
              </w:rPr>
              <w:t>40</w:t>
            </w:r>
            <w:r>
              <w:rPr>
                <w:rFonts w:hint="eastAsia" w:ascii="仿宋" w:hAnsi="仿宋" w:eastAsia="仿宋" w:cs="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line="24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评分因素</w:t>
            </w:r>
          </w:p>
        </w:tc>
        <w:tc>
          <w:tcPr>
            <w:tcW w:w="5953" w:type="dxa"/>
            <w:vAlign w:val="center"/>
          </w:tcPr>
          <w:p>
            <w:pPr>
              <w:spacing w:line="240" w:lineRule="auto"/>
              <w:ind w:firstLine="643"/>
              <w:jc w:val="center"/>
              <w:rPr>
                <w:rFonts w:hint="eastAsia" w:ascii="仿宋" w:hAnsi="仿宋" w:eastAsia="仿宋" w:cs="仿宋"/>
                <w:b/>
                <w:sz w:val="24"/>
                <w:szCs w:val="24"/>
              </w:rPr>
            </w:pPr>
            <w:r>
              <w:rPr>
                <w:rFonts w:hint="eastAsia" w:ascii="仿宋" w:hAnsi="仿宋" w:eastAsia="仿宋" w:cs="仿宋"/>
                <w:b/>
                <w:sz w:val="24"/>
                <w:szCs w:val="24"/>
              </w:rPr>
              <w:t>评分标准</w:t>
            </w:r>
          </w:p>
        </w:tc>
        <w:tc>
          <w:tcPr>
            <w:tcW w:w="1040" w:type="dxa"/>
            <w:vAlign w:val="center"/>
          </w:tcPr>
          <w:p>
            <w:pPr>
              <w:spacing w:line="240"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对招标文件</w:t>
            </w:r>
          </w:p>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响应程度</w:t>
            </w:r>
          </w:p>
        </w:tc>
        <w:tc>
          <w:tcPr>
            <w:tcW w:w="5953" w:type="dxa"/>
            <w:vAlign w:val="center"/>
          </w:tcPr>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1、投标产品满足招标文件技术要求，完全满足得基础分16分，加星项每优于一项，加一分，共21分。</w:t>
            </w:r>
          </w:p>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2、投标人提供核心产品安全设备工信部下属第三方泰尔实验室检测报告的，得4分（同项货物检测报告不累计）。</w:t>
            </w:r>
          </w:p>
        </w:tc>
        <w:tc>
          <w:tcPr>
            <w:tcW w:w="1040" w:type="dxa"/>
            <w:vAlign w:val="center"/>
          </w:tcPr>
          <w:p>
            <w:pPr>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投标文件</w:t>
            </w:r>
          </w:p>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规范程度</w:t>
            </w:r>
          </w:p>
        </w:tc>
        <w:tc>
          <w:tcPr>
            <w:tcW w:w="5953" w:type="dxa"/>
            <w:vAlign w:val="center"/>
          </w:tcPr>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1、装订规范、文字清晰、无差错 1 分。</w:t>
            </w:r>
          </w:p>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2、所提供资料准确完整 1 分。</w:t>
            </w:r>
          </w:p>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投标文件编制无目录和页码，排序混乱和缺篇少页的不得分。</w:t>
            </w:r>
          </w:p>
        </w:tc>
        <w:tc>
          <w:tcPr>
            <w:tcW w:w="1040" w:type="dxa"/>
            <w:vAlign w:val="center"/>
          </w:tcPr>
          <w:p>
            <w:pPr>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line="24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售后服务承诺</w:t>
            </w:r>
          </w:p>
        </w:tc>
        <w:tc>
          <w:tcPr>
            <w:tcW w:w="5953" w:type="dxa"/>
            <w:vAlign w:val="center"/>
          </w:tcPr>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1、免费质保一年得1分，每增加一年加1分，满分3分。</w:t>
            </w:r>
          </w:p>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2、解决问题时间：以小时为单位（四舍五入法，30分钟及以上按1小时计算），以4小时为起点，基本分1分，每减少1小时，加1分，满分2分。4小时以上的每超过1小时扣0.5分，扣完为止。</w:t>
            </w:r>
          </w:p>
        </w:tc>
        <w:tc>
          <w:tcPr>
            <w:tcW w:w="1040" w:type="dxa"/>
            <w:vAlign w:val="center"/>
          </w:tcPr>
          <w:p>
            <w:pPr>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技术实施方案</w:t>
            </w:r>
          </w:p>
        </w:tc>
        <w:tc>
          <w:tcPr>
            <w:tcW w:w="5953" w:type="dxa"/>
            <w:vAlign w:val="center"/>
          </w:tcPr>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由评委根据各投标供应商技术方案的详细性、可行性、完善性等进行横向对比酌情打分（0-5分）</w:t>
            </w:r>
          </w:p>
        </w:tc>
        <w:tc>
          <w:tcPr>
            <w:tcW w:w="1040" w:type="dxa"/>
            <w:vAlign w:val="center"/>
          </w:tcPr>
          <w:p>
            <w:pPr>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6" w:type="dxa"/>
            <w:vAlign w:val="center"/>
          </w:tcPr>
          <w:p>
            <w:pPr>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培训方案</w:t>
            </w:r>
          </w:p>
        </w:tc>
        <w:tc>
          <w:tcPr>
            <w:tcW w:w="5953" w:type="dxa"/>
            <w:vAlign w:val="center"/>
          </w:tcPr>
          <w:p>
            <w:pPr>
              <w:spacing w:line="240" w:lineRule="auto"/>
              <w:ind w:firstLine="640"/>
              <w:rPr>
                <w:rFonts w:hint="eastAsia" w:ascii="仿宋" w:hAnsi="仿宋" w:eastAsia="仿宋" w:cs="仿宋"/>
                <w:sz w:val="24"/>
                <w:szCs w:val="24"/>
              </w:rPr>
            </w:pPr>
            <w:r>
              <w:rPr>
                <w:rFonts w:hint="eastAsia" w:ascii="仿宋" w:hAnsi="仿宋" w:eastAsia="仿宋" w:cs="仿宋"/>
                <w:sz w:val="24"/>
                <w:szCs w:val="24"/>
              </w:rPr>
              <w:t>由评委根据各投标供应商培训方案的详细性、可行性、完善性等进行横向对比酌情打分（0-3分）</w:t>
            </w:r>
          </w:p>
        </w:tc>
        <w:tc>
          <w:tcPr>
            <w:tcW w:w="1040" w:type="dxa"/>
            <w:vAlign w:val="center"/>
          </w:tcPr>
          <w:p>
            <w:pPr>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3分</w:t>
            </w:r>
          </w:p>
        </w:tc>
      </w:tr>
    </w:tbl>
    <w:p>
      <w:pPr>
        <w:pStyle w:val="125"/>
        <w:spacing w:before="120" w:after="120"/>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（特别提示：以上</w:t>
      </w:r>
      <w:r>
        <w:rPr>
          <w:rFonts w:hint="eastAsia" w:ascii="仿宋" w:hAnsi="仿宋" w:eastAsia="仿宋" w:cs="仿宋"/>
          <w:sz w:val="24"/>
          <w:szCs w:val="24"/>
          <w:lang w:eastAsia="zh-CN"/>
        </w:rPr>
        <w:t>各标段</w:t>
      </w:r>
      <w:r>
        <w:rPr>
          <w:rFonts w:hint="eastAsia" w:ascii="仿宋" w:hAnsi="仿宋" w:eastAsia="仿宋" w:cs="仿宋"/>
          <w:sz w:val="24"/>
          <w:szCs w:val="24"/>
        </w:rPr>
        <w:t>评分表中所涉及到的证件投标人在开标时候均须携带原件，未提供原件者不得分）</w:t>
      </w:r>
      <w:bookmarkStart w:id="1" w:name="_GoBack"/>
      <w:bookmarkEnd w:id="1"/>
    </w:p>
    <w:tbl>
      <w:tblPr>
        <w:tblStyle w:val="37"/>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998" w:type="dxa"/>
          </w:tcPr>
          <w:p>
            <w:pPr>
              <w:pStyle w:val="125"/>
              <w:spacing w:before="120" w:after="120"/>
              <w:ind w:firstLine="480"/>
              <w:rPr>
                <w:rFonts w:hint="eastAsia" w:ascii="仿宋" w:hAnsi="仿宋" w:eastAsia="仿宋" w:cs="仿宋"/>
                <w:color w:val="0000FF"/>
                <w:sz w:val="24"/>
                <w:szCs w:val="24"/>
              </w:rPr>
            </w:pPr>
            <w:bookmarkStart w:id="0" w:name="_Toc606"/>
          </w:p>
        </w:tc>
      </w:tr>
      <w:bookmarkEnd w:id="0"/>
    </w:tbl>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7</w:t>
      </w:r>
      <w:r>
        <w:rPr>
          <w:rFonts w:hint="eastAsia" w:ascii="仿宋" w:hAnsi="仿宋" w:eastAsia="仿宋" w:cs="仿宋"/>
          <w:sz w:val="24"/>
          <w:szCs w:val="24"/>
        </w:rPr>
        <w:t>.2评标委员会完成评标后，提出书面评标报告，</w:t>
      </w:r>
      <w:r>
        <w:rPr>
          <w:rFonts w:hint="eastAsia" w:ascii="仿宋" w:hAnsi="仿宋" w:eastAsia="仿宋" w:cs="仿宋"/>
          <w:b/>
          <w:bCs/>
          <w:sz w:val="24"/>
          <w:szCs w:val="24"/>
          <w:lang w:eastAsia="zh-CN"/>
        </w:rPr>
        <w:t>各标段</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w:t>
      </w:r>
      <w:r>
        <w:rPr>
          <w:rFonts w:hint="eastAsia" w:ascii="仿宋" w:hAnsi="仿宋" w:eastAsia="仿宋" w:cs="仿宋"/>
          <w:sz w:val="24"/>
          <w:szCs w:val="24"/>
          <w:lang w:eastAsia="zh-CN"/>
        </w:rPr>
        <w:t>在签订合同前</w:t>
      </w:r>
      <w:r>
        <w:rPr>
          <w:rFonts w:hint="eastAsia" w:ascii="仿宋" w:hAnsi="仿宋" w:eastAsia="仿宋" w:cs="仿宋"/>
          <w:sz w:val="24"/>
          <w:szCs w:val="24"/>
        </w:rPr>
        <w:t>须向</w:t>
      </w:r>
      <w:r>
        <w:rPr>
          <w:rFonts w:hint="eastAsia" w:ascii="仿宋" w:hAnsi="仿宋" w:eastAsia="仿宋" w:cs="仿宋"/>
          <w:sz w:val="24"/>
          <w:szCs w:val="24"/>
          <w:lang w:eastAsia="zh-CN"/>
        </w:rPr>
        <w:t>采购人</w:t>
      </w:r>
      <w:r>
        <w:rPr>
          <w:rFonts w:hint="eastAsia" w:ascii="仿宋" w:hAnsi="仿宋" w:eastAsia="仿宋" w:cs="仿宋"/>
          <w:sz w:val="24"/>
          <w:szCs w:val="24"/>
        </w:rPr>
        <w:t>交纳合同额</w:t>
      </w:r>
      <w:r>
        <w:rPr>
          <w:rFonts w:hint="eastAsia" w:ascii="仿宋" w:hAnsi="仿宋" w:eastAsia="仿宋" w:cs="仿宋"/>
          <w:sz w:val="24"/>
          <w:szCs w:val="24"/>
          <w:lang w:val="en-US" w:eastAsia="zh-CN"/>
        </w:rPr>
        <w:t>10</w:t>
      </w:r>
      <w:r>
        <w:rPr>
          <w:rFonts w:hint="eastAsia" w:ascii="仿宋" w:hAnsi="仿宋" w:eastAsia="仿宋" w:cs="仿宋"/>
          <w:sz w:val="24"/>
          <w:szCs w:val="24"/>
        </w:rPr>
        <w:t>%</w:t>
      </w:r>
      <w:r>
        <w:rPr>
          <w:rFonts w:hint="eastAsia" w:ascii="仿宋" w:hAnsi="仿宋" w:eastAsia="仿宋" w:cs="仿宋"/>
          <w:sz w:val="24"/>
          <w:szCs w:val="24"/>
          <w:lang w:eastAsia="zh-CN"/>
        </w:rPr>
        <w:t>以下</w:t>
      </w:r>
      <w:r>
        <w:rPr>
          <w:rFonts w:hint="eastAsia" w:ascii="仿宋" w:hAnsi="仿宋" w:eastAsia="仿宋" w:cs="仿宋"/>
          <w:sz w:val="24"/>
          <w:szCs w:val="24"/>
        </w:rPr>
        <w:t>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spacing w:line="520" w:lineRule="exact"/>
        <w:ind w:firstLine="600" w:firstLineChars="250"/>
        <w:textAlignment w:val="baseline"/>
        <w:rPr>
          <w:rFonts w:hint="eastAsia" w:ascii="仿宋" w:hAnsi="仿宋" w:eastAsia="仿宋" w:cs="黑体"/>
          <w:b/>
          <w:bCs/>
          <w:sz w:val="24"/>
          <w:szCs w:val="24"/>
          <w:lang w:val="zh-CN"/>
        </w:rPr>
      </w:pPr>
      <w:r>
        <w:rPr>
          <w:rFonts w:hint="eastAsia" w:ascii="仿宋" w:hAnsi="仿宋" w:eastAsia="仿宋" w:cs="仿宋"/>
          <w:sz w:val="24"/>
          <w:szCs w:val="24"/>
          <w:shd w:val="clear" w:color="auto" w:fill="FFFFFF"/>
        </w:rPr>
        <w:t>7、付款方式:以签订合同准。</w:t>
      </w:r>
    </w:p>
    <w:p>
      <w:pPr>
        <w:wordWrap w:val="0"/>
        <w:topLinePunct/>
        <w:autoSpaceDE w:val="0"/>
        <w:autoSpaceDN w:val="0"/>
        <w:adjustRightInd w:val="0"/>
        <w:snapToGrid w:val="0"/>
        <w:spacing w:line="360" w:lineRule="auto"/>
        <w:jc w:val="both"/>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第六部分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第七部分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第八部分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合同书</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（参考样本）</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ascii="仿宋" w:hAnsi="仿宋" w:eastAsia="仿宋" w:cs="仿宋_GB2312"/>
          <w:sz w:val="24"/>
          <w:szCs w:val="24"/>
          <w:lang w:val="zh-CN"/>
        </w:rPr>
        <w:t xml:space="preserve">                               </w:t>
      </w:r>
      <w:r>
        <w:rPr>
          <w:rFonts w:hint="eastAsia" w:ascii="仿宋" w:hAnsi="仿宋" w:eastAsia="仿宋"/>
          <w:sz w:val="24"/>
          <w:szCs w:val="24"/>
        </w:rPr>
        <w:t>本合同双方当事人：</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甲方：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乙方：</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地址：</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cs="仿宋_GB2312"/>
          <w:sz w:val="24"/>
          <w:szCs w:val="24"/>
        </w:rPr>
        <w:t>根据《中华人民共和国合同法》及其他有关法律、法规之规定，在平等、自愿、协商一致的基础上，甲、乙双方现就</w:t>
      </w:r>
      <w:r>
        <w:rPr>
          <w:rFonts w:hint="eastAsia" w:ascii="仿宋" w:hAnsi="仿宋" w:eastAsia="仿宋" w:cs="仿宋_GB2312"/>
          <w:sz w:val="24"/>
          <w:szCs w:val="24"/>
          <w:lang w:val="en-US" w:eastAsia="zh-CN"/>
        </w:rPr>
        <w:t xml:space="preserve">         </w:t>
      </w:r>
      <w:r>
        <w:rPr>
          <w:rFonts w:hint="eastAsia" w:ascii="仿宋" w:hAnsi="仿宋" w:eastAsia="仿宋" w:cs="仿宋_GB2312"/>
          <w:sz w:val="24"/>
          <w:szCs w:val="24"/>
        </w:rPr>
        <w:t>（以下简称“本项目”）咨询服务事宜，达成如下合同条款：</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第一章  总则</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第一条  编制目的</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根据</w:t>
      </w:r>
      <w:r>
        <w:rPr>
          <w:rFonts w:hint="eastAsia" w:ascii="仿宋" w:hAnsi="仿宋" w:eastAsia="仿宋" w:cs="仿宋_GB2312"/>
          <w:sz w:val="24"/>
          <w:szCs w:val="24"/>
          <w:lang w:val="en-US" w:eastAsia="zh-CN"/>
        </w:rPr>
        <w:t xml:space="preserve">               项目要求</w:t>
      </w:r>
      <w:r>
        <w:rPr>
          <w:rFonts w:hint="eastAsia" w:ascii="仿宋" w:hAnsi="仿宋" w:eastAsia="仿宋" w:cs="仿宋_GB2312"/>
          <w:sz w:val="24"/>
          <w:szCs w:val="24"/>
        </w:rPr>
        <w:t>提供咨询服务，完成本项目。</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第二条  乙方的资格</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（简要叙述乙方资质及经验业绩。）</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第二章  咨询服务内容和时间安排</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第三条  咨询服务内容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乙方应结合禹州市实际发展情况，开展前期相关专题研究，并根据《县（市）以上方案内容可根据省财政厅要求及相关部门意见进行修改调整。</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第四条  工作周期</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乙方在接受委托后，应与甲方进行充分沟通，并根据甲方需求详细合理安排本项目的整体工作进度。双方同意，预定的工作周期为</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日，从</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第五条  工作方式</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乙方工作采用现场工作与非现场工作结合的方式。访谈及成果汇报采用现场工作方式，咨询报告编撰采用非现场工作方式。</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第六条  提交咨询工作成果</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在规划编制过程中，乙方应以书面报告和电子文档的方式向甲方提交各工作阶段的工作成果，并以工作日志、会议发言记录和会议纪要等方式对非成果性工作或以正式报告形式难以记载的工作过程予以记载，根据甲方修改意见进行调整和优化。</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第三章</w:t>
      </w:r>
      <w:r>
        <w:rPr>
          <w:rFonts w:hint="eastAsia" w:ascii="仿宋" w:hAnsi="仿宋" w:eastAsia="仿宋"/>
          <w:b/>
          <w:bCs/>
          <w:sz w:val="28"/>
          <w:szCs w:val="28"/>
        </w:rPr>
        <w:tab/>
      </w:r>
      <w:r>
        <w:rPr>
          <w:rFonts w:hint="eastAsia" w:ascii="仿宋" w:hAnsi="仿宋" w:eastAsia="仿宋"/>
          <w:b/>
          <w:bCs/>
          <w:sz w:val="28"/>
          <w:szCs w:val="28"/>
        </w:rPr>
        <w:t>双方的职责和义务</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第七条  甲方的职责和义务</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为了保证实现规划目标，甲方有权对乙方咨询人员提出具体和明确的合理要求。</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甲方应积极协调相关单位，协助乙方开展调研访谈工作，并根据乙方的合理要求，负责向乙方及时提供有关基础资料。</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甲方应当全面、真实地叙述与本项目事务有关的各种情况，并保证所提供的一切相关文件真实、合法和有效。</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甲方应为乙方开展本项工作提供必要的办公地点和办公条件。规划编制过程中，协助有关政府部门和单位的协调，负责规划组织工作，提供会议室、集中资料室及其他便利条件，并承担相应费用。</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甲方应为本项目安排相应的联系人，并安排相关负责人员与乙方就规划情况及重大问题深入沟通，在技术问题上为乙方提供必要的人员支持。</w:t>
      </w:r>
    </w:p>
    <w:p>
      <w:pPr>
        <w:numPr>
          <w:ilvl w:val="0"/>
          <w:numId w:val="10"/>
        </w:numPr>
        <w:spacing w:line="360" w:lineRule="auto"/>
        <w:ind w:left="0" w:firstLine="482"/>
        <w:rPr>
          <w:rFonts w:hint="eastAsia" w:ascii="仿宋" w:hAnsi="仿宋" w:eastAsia="仿宋" w:cs="仿宋_GB2312"/>
          <w:sz w:val="24"/>
          <w:szCs w:val="24"/>
        </w:rPr>
      </w:pPr>
      <w:r>
        <w:rPr>
          <w:rFonts w:hint="eastAsia" w:ascii="仿宋" w:hAnsi="仿宋" w:eastAsia="仿宋" w:cs="仿宋_GB2312"/>
          <w:sz w:val="24"/>
          <w:szCs w:val="24"/>
        </w:rPr>
        <w:t>甲方应按本合同规定及时足额支付相应的费用。</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第八条  乙方的职责和义务</w:t>
      </w:r>
    </w:p>
    <w:p>
      <w:pPr>
        <w:numPr>
          <w:ilvl w:val="0"/>
          <w:numId w:val="11"/>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乙方应充分理解甲方的意图，其工作思路、想法须贯穿规划编制的过程。</w:t>
      </w:r>
    </w:p>
    <w:p>
      <w:pPr>
        <w:numPr>
          <w:ilvl w:val="0"/>
          <w:numId w:val="11"/>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提供第三条所述咨询服务，并对咨询服务质量负责，确保甲方权益。</w:t>
      </w:r>
    </w:p>
    <w:p>
      <w:pPr>
        <w:numPr>
          <w:ilvl w:val="0"/>
          <w:numId w:val="11"/>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选派合格和足够的咨询人员，保证咨询人员足够的工作时间以及时迅捷地提供咨询服务。若甲方对任何咨询人员不满意且提出正当理由，则乙方应及时更换。</w:t>
      </w:r>
    </w:p>
    <w:p>
      <w:pPr>
        <w:numPr>
          <w:ilvl w:val="0"/>
          <w:numId w:val="11"/>
        </w:numPr>
        <w:spacing w:line="360" w:lineRule="auto"/>
        <w:ind w:left="0" w:firstLine="420"/>
        <w:rPr>
          <w:rFonts w:hint="eastAsia" w:ascii="仿宋" w:hAnsi="仿宋" w:eastAsia="仿宋" w:cs="仿宋_GB2312"/>
          <w:sz w:val="24"/>
          <w:szCs w:val="24"/>
        </w:rPr>
      </w:pPr>
      <w:r>
        <w:rPr>
          <w:rFonts w:hint="eastAsia" w:ascii="仿宋" w:hAnsi="仿宋" w:eastAsia="仿宋" w:cs="仿宋_GB2312"/>
          <w:sz w:val="24"/>
          <w:szCs w:val="24"/>
        </w:rPr>
        <w:t>同甲方共同商定咨询服务工作计划，对工作进度进行控制，并按照工作计划安排及时向甲方汇报工作。</w:t>
      </w:r>
    </w:p>
    <w:p>
      <w:pPr>
        <w:numPr>
          <w:ilvl w:val="0"/>
          <w:numId w:val="11"/>
        </w:numPr>
        <w:spacing w:line="360" w:lineRule="auto"/>
        <w:rPr>
          <w:rFonts w:hint="eastAsia" w:ascii="仿宋" w:hAnsi="仿宋" w:eastAsia="仿宋" w:cs="仿宋_GB2312"/>
          <w:sz w:val="24"/>
          <w:szCs w:val="24"/>
        </w:rPr>
      </w:pPr>
      <w:r>
        <w:rPr>
          <w:rFonts w:hint="eastAsia" w:ascii="仿宋" w:hAnsi="仿宋" w:eastAsia="仿宋" w:cs="仿宋_GB2312"/>
          <w:sz w:val="24"/>
          <w:szCs w:val="24"/>
        </w:rPr>
        <w:t>根据合同约定的支付方式及时通知甲方支付咨询服务费。</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第四章  咨询服务费用和支付方式</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第九条  咨询服务费用</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甲方将就乙方为履行本协议第三条规定的服务向乙方支付咨询服务费：</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人民币。该费用包含乙方及其现场工作人员因本项目而发生的全部费用。</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第十条  咨询服务费的支付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经双方协商确定，本项目咨询服务费按照以下方式支付：</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本合同签订后三天内，甲方向乙方支付咨询服务费总额的50％，即人民币</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元。在本项目终稿提交后三天内，甲方支付乙方咨询服务费总额的50％，即人民币             元。</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第五章  违约责任与赔偿</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第十一条  善意履行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甲乙双方应认真履行本合同的规定，任何一方无正当理由不得单方面终止本合同。</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第十二条  违约</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sz w:val="24"/>
          <w:szCs w:val="24"/>
        </w:rPr>
        <w:t>如果由于任何一方违约，导致另一方无法履行本合同项下权利和义务或给对方造</w:t>
      </w:r>
      <w:r>
        <w:rPr>
          <w:rFonts w:hint="eastAsia" w:ascii="仿宋" w:hAnsi="仿宋" w:eastAsia="仿宋" w:cs="仿宋_GB2312"/>
          <w:sz w:val="24"/>
          <w:szCs w:val="24"/>
        </w:rPr>
        <w:t>成重大经济损失，违约方应承担违约责任，守约方有权终止本合同。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甲方赔偿额以未支付的咨询服务费用为限，乙方赔偿额以已收到咨询服务费用为限。</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如甲方未按照本协议第十条规定及时支付咨询服务费，乙方有权中止咨询服务工作，直至款到后继续履约，且每延期一天，甲方应向乙方额外支付千分之一的迟延履行违约金。</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由于乙方故意或重大过失未按照工作计划完成阶段任务，每延误一天，乙方向甲方支付该阶段咨询费千分之一违约金，直至提供服务为止。误期赔偿费的最高限额为合同价格的10%。一旦达到误期赔偿费的最高限额，甲方有权终止合同。</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第六章  不可抗力</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第十三条  通知义务</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任何一方由于不可抗力而影响其履行合同所规定的义务的，受事件影响的一方应尽快将发生的不可抗力事件的情况以传真或特快专递等形式通知另一方，说明发生不可抗力以及不可抗力可能持续的时间。</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第十四条  继续履行</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双方在不可抗力事件停止后或影响消除后应立即继续履行合同义务，合同有效期和/或有关履行合同的预定的期限应相应延长。</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第十五条  损失承担</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双方应承担各自因不可抗力造成的损失。</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第七章  争议解决</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第十六条  友好协商解决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双方应本着平等互利、友好合作的精神保证本合同的顺利履行。如在履行过程中发生争议，应首先通过友好协商解决。</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第十七条  诉讼解决</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如根据第十六条不能解决争议时，任何一方有权向甲方所在地法院提起诉讼。</w:t>
      </w:r>
    </w:p>
    <w:p>
      <w:pPr>
        <w:pStyle w:val="126"/>
        <w:spacing w:before="0" w:beforeAutospacing="0" w:after="0" w:afterAutospacing="0" w:line="360" w:lineRule="auto"/>
        <w:ind w:left="0" w:leftChars="0"/>
        <w:jc w:val="center"/>
        <w:rPr>
          <w:rFonts w:hint="eastAsia" w:ascii="仿宋" w:hAnsi="仿宋" w:eastAsia="仿宋"/>
          <w:b/>
          <w:bCs/>
          <w:sz w:val="28"/>
          <w:szCs w:val="28"/>
        </w:rPr>
      </w:pPr>
      <w:r>
        <w:rPr>
          <w:rFonts w:hint="eastAsia" w:ascii="仿宋" w:hAnsi="仿宋" w:eastAsia="仿宋"/>
          <w:b/>
          <w:bCs/>
          <w:sz w:val="28"/>
          <w:szCs w:val="28"/>
        </w:rPr>
        <w:t>第八章</w:t>
      </w:r>
      <w:r>
        <w:rPr>
          <w:rFonts w:hint="eastAsia" w:ascii="仿宋" w:hAnsi="仿宋" w:eastAsia="仿宋"/>
          <w:b/>
          <w:bCs/>
          <w:sz w:val="28"/>
          <w:szCs w:val="28"/>
        </w:rPr>
        <w:tab/>
      </w:r>
      <w:r>
        <w:rPr>
          <w:rFonts w:hint="eastAsia" w:ascii="仿宋" w:hAnsi="仿宋" w:eastAsia="仿宋"/>
          <w:b/>
          <w:bCs/>
          <w:sz w:val="28"/>
          <w:szCs w:val="28"/>
        </w:rPr>
        <w:t>保密及其它</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第十八条  保密</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未经对方允许，任何一方不得将对方收集、整理、复制、研究和准备的与本合同项下工作有关的任何资料提供给任何第三方。</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任何一方不得将本合同内容，包括合同内容、咨询费用、支付信息及乙方为甲方提供的咨询服务成果等提供给任何第三方（甲方为了规划审批、接受审计等在征得乙方书面同意后方可向其他方提供的情况除外）。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关于保密的规定在本合同终止后五年内仍然有效。</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第十九条  合同生效</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本合同自双方代表签字并加盖公章之日起生效，至本项目终稿提交且甲方向乙方付清全部咨询服务费用之日终止。</w:t>
      </w:r>
    </w:p>
    <w:p>
      <w:pPr>
        <w:pStyle w:val="126"/>
        <w:spacing w:before="0" w:beforeAutospacing="0" w:after="0" w:afterAutospacing="0" w:line="36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第二十条  其他</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咨询成果的知识产权归甲乙双方共同拥有。</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本合同由正文、附件以及相关会议备忘录（如有）等组成，以上各部分均是合同不可分割的组成部分，具有同等的法律效应。</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本合同未尽事宜可由双方协商签订补充协议。本合同的修改和补充必须以书面形式方为有效。合同的修改和补充与本合同具有同等效力。</w:t>
      </w:r>
    </w:p>
    <w:p>
      <w:pPr>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本合同正本一式份，甲方执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份，乙方执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w:t>
      </w:r>
    </w:p>
    <w:p>
      <w:pPr>
        <w:pStyle w:val="126"/>
        <w:spacing w:before="0" w:beforeAutospacing="0" w:after="0" w:afterAutospacing="0" w:line="480" w:lineRule="auto"/>
        <w:ind w:left="0" w:leftChars="0"/>
        <w:jc w:val="center"/>
        <w:rPr>
          <w:rFonts w:hint="eastAsia" w:ascii="仿宋" w:hAnsi="仿宋" w:eastAsia="仿宋"/>
          <w:sz w:val="24"/>
          <w:szCs w:val="24"/>
        </w:rPr>
      </w:pPr>
      <w:r>
        <w:rPr>
          <w:rFonts w:hint="eastAsia" w:ascii="仿宋" w:hAnsi="仿宋" w:eastAsia="仿宋"/>
          <w:sz w:val="24"/>
          <w:szCs w:val="24"/>
        </w:rPr>
        <w:br w:type="page"/>
      </w:r>
      <w:r>
        <w:rPr>
          <w:rFonts w:hint="eastAsia" w:ascii="仿宋" w:hAnsi="仿宋" w:eastAsia="仿宋"/>
          <w:sz w:val="24"/>
          <w:szCs w:val="24"/>
        </w:rPr>
        <w:t>（本页为签字页，无正文）</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甲方（盖章）：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法定代表人：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或授权代表：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2" w:firstLineChars="200"/>
        <w:rPr>
          <w:rFonts w:hint="eastAsia" w:ascii="仿宋" w:hAnsi="仿宋" w:eastAsia="仿宋"/>
          <w:b/>
          <w:bCs/>
          <w:sz w:val="24"/>
          <w:szCs w:val="24"/>
        </w:rPr>
      </w:pPr>
      <w:r>
        <w:rPr>
          <w:rFonts w:hint="eastAsia" w:ascii="仿宋" w:hAnsi="仿宋" w:eastAsia="仿宋"/>
          <w:b/>
          <w:bCs/>
          <w:sz w:val="24"/>
          <w:szCs w:val="24"/>
        </w:rPr>
        <w:t xml:space="preserve">乙方（盖章）： </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法定代表人：</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或授权代表：</w:t>
      </w:r>
    </w:p>
    <w:p>
      <w:pPr>
        <w:pStyle w:val="126"/>
        <w:spacing w:before="0" w:beforeAutospacing="0" w:after="0" w:afterAutospacing="0" w:line="480" w:lineRule="auto"/>
        <w:ind w:left="0" w:leftChars="0" w:firstLine="480" w:firstLineChars="200"/>
        <w:rPr>
          <w:rFonts w:hint="eastAsia" w:ascii="仿宋" w:hAnsi="仿宋" w:eastAsia="仿宋"/>
          <w:sz w:val="24"/>
          <w:szCs w:val="24"/>
        </w:rPr>
      </w:pPr>
      <w:r>
        <w:rPr>
          <w:rFonts w:hint="eastAsia" w:ascii="仿宋" w:hAnsi="仿宋" w:eastAsia="仿宋"/>
          <w:sz w:val="24"/>
          <w:szCs w:val="24"/>
        </w:rPr>
        <w:t>签字时间：             年       月       日</w:t>
      </w:r>
    </w:p>
    <w:p>
      <w:pPr>
        <w:spacing w:line="360" w:lineRule="auto"/>
        <w:ind w:firstLine="7302" w:firstLineChars="1653"/>
        <w:rPr>
          <w:rFonts w:hint="eastAsia" w:ascii="仿宋_GB2312" w:hAnsi="仿宋_GB2312" w:eastAsia="仿宋_GB2312" w:cs="仿宋_GB2312"/>
          <w:b/>
          <w:sz w:val="44"/>
        </w:rPr>
      </w:pPr>
    </w:p>
    <w:p>
      <w:pPr>
        <w:spacing w:line="500" w:lineRule="exact"/>
        <w:ind w:firstLine="883" w:firstLineChars="200"/>
        <w:rPr>
          <w:rFonts w:hint="eastAsia" w:ascii="仿宋_GB2312" w:hAnsi="仿宋_GB2312" w:eastAsia="仿宋_GB2312" w:cs="仿宋_GB2312"/>
          <w:b/>
          <w:sz w:val="44"/>
        </w:rPr>
      </w:pPr>
    </w:p>
    <w:p>
      <w:pPr>
        <w:spacing w:line="500" w:lineRule="exact"/>
        <w:ind w:firstLine="883" w:firstLineChars="2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spacing w:line="500" w:lineRule="exact"/>
        <w:ind w:firstLine="1325" w:firstLineChars="300"/>
        <w:rPr>
          <w:rFonts w:hint="eastAsia" w:ascii="仿宋_GB2312" w:hAnsi="仿宋_GB2312" w:eastAsia="仿宋_GB2312" w:cs="仿宋_GB2312"/>
          <w:b/>
          <w:sz w:val="44"/>
        </w:rPr>
      </w:pPr>
    </w:p>
    <w:p>
      <w:pPr>
        <w:numPr>
          <w:ilvl w:val="0"/>
          <w:numId w:val="12"/>
        </w:numPr>
        <w:autoSpaceDE w:val="0"/>
        <w:autoSpaceDN w:val="0"/>
        <w:adjustRightInd w:val="0"/>
        <w:spacing w:line="360" w:lineRule="auto"/>
        <w:ind w:left="2813" w:leftChars="0" w:firstLine="0" w:firstLineChars="0"/>
        <w:rPr>
          <w:rFonts w:hint="eastAsia" w:ascii="仿宋" w:hAnsi="仿宋" w:eastAsia="仿宋" w:cs="黑体"/>
          <w:b/>
          <w:bCs/>
          <w:sz w:val="36"/>
          <w:szCs w:val="36"/>
        </w:rPr>
      </w:pPr>
      <w:r>
        <w:rPr>
          <w:rFonts w:hint="eastAsia" w:ascii="仿宋" w:hAnsi="仿宋" w:eastAsia="仿宋" w:cs="黑体"/>
          <w:b/>
          <w:bCs/>
          <w:sz w:val="36"/>
          <w:szCs w:val="36"/>
          <w:lang w:val="zh-CN"/>
        </w:rPr>
        <w:t>投标文件内容及组成</w:t>
      </w:r>
      <w:r>
        <w:rPr>
          <w:rFonts w:hint="eastAsia" w:ascii="仿宋" w:hAnsi="仿宋" w:eastAsia="仿宋" w:cs="黑体"/>
          <w:b/>
          <w:bCs/>
          <w:sz w:val="36"/>
          <w:szCs w:val="36"/>
        </w:rPr>
        <w:t xml:space="preserve"> </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投标文件（一）</w:t>
      </w:r>
    </w:p>
    <w:p>
      <w:pPr>
        <w:spacing w:line="360" w:lineRule="auto"/>
        <w:ind w:firstLine="3120" w:firstLineChars="13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lang w:eastAsia="zh-CN"/>
        </w:rPr>
      </w:pPr>
      <w:r>
        <w:rPr>
          <w:rFonts w:hint="eastAsia" w:ascii="仿宋_GB2312" w:hAnsi="仿宋_GB2312" w:eastAsia="仿宋_GB2312" w:cs="仿宋_GB2312"/>
          <w:sz w:val="16"/>
          <w:szCs w:val="44"/>
          <w:lang w:eastAsia="zh-CN"/>
        </w:rPr>
        <w:t>（第</w:t>
      </w:r>
      <w:r>
        <w:rPr>
          <w:rFonts w:hint="eastAsia" w:ascii="仿宋_GB2312" w:hAnsi="仿宋_GB2312" w:eastAsia="仿宋_GB2312" w:cs="仿宋_GB2312"/>
          <w:sz w:val="16"/>
          <w:szCs w:val="44"/>
          <w:lang w:val="en-US" w:eastAsia="zh-CN"/>
        </w:rPr>
        <w:t xml:space="preserve">    标段</w:t>
      </w:r>
      <w:r>
        <w:rPr>
          <w:rFonts w:hint="eastAsia" w:ascii="仿宋_GB2312" w:hAnsi="仿宋_GB2312" w:eastAsia="仿宋_GB2312" w:cs="仿宋_GB2312"/>
          <w:sz w:val="16"/>
          <w:szCs w:val="44"/>
          <w:lang w:eastAsia="zh-CN"/>
        </w:rPr>
        <w:t>）</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投标文件（二）</w:t>
      </w:r>
    </w:p>
    <w:p>
      <w:pPr>
        <w:spacing w:line="360" w:lineRule="auto"/>
        <w:ind w:firstLine="3360" w:firstLineChars="14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符合</w:t>
      </w:r>
      <w:r>
        <w:rPr>
          <w:rFonts w:hint="eastAsia" w:ascii="仿宋_GB2312" w:hAnsi="仿宋_GB2312" w:eastAsia="仿宋_GB2312" w:cs="仿宋_GB2312"/>
          <w:sz w:val="24"/>
          <w:szCs w:val="24"/>
        </w:rPr>
        <w:t>性证明文件）</w:t>
      </w:r>
    </w:p>
    <w:p>
      <w:pPr>
        <w:spacing w:line="360" w:lineRule="auto"/>
        <w:jc w:val="center"/>
        <w:rPr>
          <w:rFonts w:hint="eastAsia" w:ascii="仿宋_GB2312" w:hAnsi="仿宋_GB2312" w:eastAsia="仿宋_GB2312" w:cs="仿宋_GB2312"/>
          <w:sz w:val="16"/>
          <w:szCs w:val="44"/>
          <w:lang w:eastAsia="zh-CN"/>
        </w:rPr>
      </w:pPr>
      <w:r>
        <w:rPr>
          <w:rFonts w:hint="eastAsia" w:ascii="仿宋_GB2312" w:hAnsi="仿宋_GB2312" w:eastAsia="仿宋_GB2312" w:cs="仿宋_GB2312"/>
          <w:sz w:val="16"/>
          <w:szCs w:val="44"/>
          <w:lang w:eastAsia="zh-CN"/>
        </w:rPr>
        <w:t>（第</w:t>
      </w:r>
      <w:r>
        <w:rPr>
          <w:rFonts w:hint="eastAsia" w:ascii="仿宋_GB2312" w:hAnsi="仿宋_GB2312" w:eastAsia="仿宋_GB2312" w:cs="仿宋_GB2312"/>
          <w:sz w:val="16"/>
          <w:szCs w:val="44"/>
          <w:lang w:val="en-US" w:eastAsia="zh-CN"/>
        </w:rPr>
        <w:t xml:space="preserve">   标段</w:t>
      </w:r>
      <w:r>
        <w:rPr>
          <w:rFonts w:hint="eastAsia" w:ascii="仿宋_GB2312" w:hAnsi="仿宋_GB2312" w:eastAsia="仿宋_GB2312" w:cs="仿宋_GB2312"/>
          <w:sz w:val="16"/>
          <w:szCs w:val="44"/>
          <w:lang w:eastAsia="zh-CN"/>
        </w:rPr>
        <w:t>）</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r>
        <w:rPr>
          <w:rFonts w:hint="eastAsia" w:ascii="仿宋" w:hAnsi="仿宋" w:eastAsia="仿宋" w:cs="宋体"/>
          <w:b/>
          <w:bCs/>
          <w:color w:val="FF0000"/>
          <w:sz w:val="24"/>
          <w:szCs w:val="24"/>
          <w:lang w:val="en-US" w:eastAsia="zh-CN"/>
        </w:rPr>
        <w:t xml:space="preserve">              </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w:t>
      </w:r>
      <w:r>
        <w:rPr>
          <w:rFonts w:hint="eastAsia" w:ascii="仿宋" w:hAnsi="仿宋" w:eastAsia="仿宋" w:cs="宋体"/>
          <w:bCs/>
          <w:color w:val="FF0000"/>
          <w:sz w:val="24"/>
          <w:szCs w:val="24"/>
          <w:lang w:val="en-US" w:eastAsia="zh-CN"/>
        </w:rPr>
        <w:t>7</w:t>
      </w:r>
      <w:r>
        <w:rPr>
          <w:rFonts w:hint="eastAsia" w:ascii="仿宋" w:hAnsi="仿宋" w:eastAsia="仿宋" w:cs="宋体"/>
          <w:bCs/>
          <w:color w:val="FF0000"/>
          <w:sz w:val="24"/>
          <w:szCs w:val="24"/>
          <w:lang w:val="zh-CN"/>
        </w:rPr>
        <w:t>年度经审计的财务报告，包括资产负债表、利润表、现金流量表及其附注，或基本开户银行出具的资信证明。（法人投标提供）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（2投标截止时间前三个月内任何一个月投标人及法定代表授权代表缴纳社会保险的凭据复印件。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供应商须对此项做出承诺（格式自拟）并提供类似项目业绩合同。</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七、法人授权代表身份证复印件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项目的投标邀请，本签字人愿意参加投标，提供采购项目一览表中规定的货物及服务，并声明提交的下列文件是准确和真实的。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被委托人签字：</w:t>
      </w:r>
      <w:r>
        <w:rPr>
          <w:rFonts w:ascii="仿宋" w:hAnsi="仿宋" w:eastAsia="仿宋" w:cs="宋体"/>
          <w:sz w:val="24"/>
          <w:szCs w:val="24"/>
          <w:lang w:val="zh-CN"/>
        </w:rPr>
        <w:t xml:space="preserve">      </w:t>
      </w:r>
      <w:r>
        <w:rPr>
          <w:rFonts w:hint="eastAsia" w:ascii="仿宋" w:hAnsi="仿宋" w:eastAsia="仿宋" w:cs="宋体"/>
          <w:sz w:val="24"/>
          <w:szCs w:val="24"/>
          <w:lang w:val="en-US" w:eastAsia="zh-CN"/>
        </w:rPr>
        <w:t xml:space="preserve">        </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（投标人名称、地址）提交下述文件正本一份和副本四份，并对之负法律责任。</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spacing w:line="500" w:lineRule="exact"/>
        <w:ind w:firstLine="480" w:firstLineChars="200"/>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1、</w:t>
      </w:r>
      <w:r>
        <w:rPr>
          <w:rFonts w:hint="eastAsia" w:ascii="仿宋" w:hAnsi="仿宋" w:eastAsia="仿宋" w:cs="仿宋"/>
          <w:sz w:val="24"/>
          <w:szCs w:val="24"/>
        </w:rPr>
        <w:t>所附报价表中规定的应提供和交付的</w:t>
      </w:r>
      <w:r>
        <w:rPr>
          <w:rFonts w:hint="eastAsia" w:ascii="仿宋" w:hAnsi="仿宋" w:eastAsia="仿宋" w:cs="仿宋"/>
          <w:sz w:val="24"/>
          <w:szCs w:val="24"/>
          <w:lang w:eastAsia="zh-CN"/>
        </w:rPr>
        <w:t>货物</w:t>
      </w:r>
      <w:r>
        <w:rPr>
          <w:rFonts w:hint="eastAsia" w:ascii="仿宋" w:hAnsi="仿宋" w:eastAsia="仿宋" w:cs="仿宋"/>
          <w:sz w:val="24"/>
          <w:szCs w:val="24"/>
        </w:rPr>
        <w:t>总价为人民币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，即（大写）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2</w:t>
      </w:r>
      <w:r>
        <w:rPr>
          <w:rFonts w:hint="eastAsia" w:ascii="仿宋" w:hAnsi="仿宋" w:eastAsia="仿宋" w:cs="宋体"/>
          <w:sz w:val="24"/>
          <w:szCs w:val="24"/>
          <w:lang w:val="zh-CN"/>
        </w:rPr>
        <w:t>、如果我们的投标文件被接受，我们将履行招标文件中规定的每一项要求，按期、按质、按量履行合同。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3</w:t>
      </w:r>
      <w:r>
        <w:rPr>
          <w:rFonts w:hint="eastAsia" w:ascii="仿宋" w:hAnsi="仿宋" w:eastAsia="仿宋" w:cs="宋体"/>
          <w:sz w:val="24"/>
          <w:szCs w:val="24"/>
          <w:lang w:val="zh-CN"/>
        </w:rPr>
        <w:t>、我方愿按《中华人民共和国合同法》履行我方的全部责任。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4</w:t>
      </w:r>
      <w:r>
        <w:rPr>
          <w:rFonts w:hint="eastAsia" w:ascii="仿宋" w:hAnsi="仿宋" w:eastAsia="仿宋" w:cs="宋体"/>
          <w:sz w:val="24"/>
          <w:szCs w:val="24"/>
          <w:lang w:val="zh-CN"/>
        </w:rPr>
        <w:t>、投标人已详细审查全部招标文件，包括修改文件以及全部参考资料和有关附件。我们完全理解并同意放弃对这方面有不明及误解的权力。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5</w:t>
      </w:r>
      <w:r>
        <w:rPr>
          <w:rFonts w:hint="eastAsia" w:ascii="仿宋" w:hAnsi="仿宋" w:eastAsia="仿宋" w:cs="宋体"/>
          <w:sz w:val="24"/>
          <w:szCs w:val="24"/>
          <w:lang w:val="zh-CN"/>
        </w:rPr>
        <w:t>、本投标自开标日起有效期为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6</w:t>
      </w:r>
      <w:r>
        <w:rPr>
          <w:rFonts w:hint="eastAsia" w:ascii="仿宋" w:hAnsi="仿宋" w:eastAsia="仿宋" w:cs="宋体"/>
          <w:sz w:val="24"/>
          <w:szCs w:val="24"/>
          <w:lang w:val="zh-CN"/>
        </w:rPr>
        <w:t>、投标人同意提供按照贵方可能要求的与其投标有关的一切数据或资料，理解贵方不一定要接受最低价的投标或收到的任何投标。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7</w:t>
      </w:r>
      <w:r>
        <w:rPr>
          <w:rFonts w:hint="eastAsia" w:ascii="仿宋" w:hAnsi="仿宋" w:eastAsia="仿宋" w:cs="宋体"/>
          <w:sz w:val="24"/>
          <w:szCs w:val="24"/>
          <w:lang w:val="zh-CN"/>
        </w:rPr>
        <w:t>、我方保证投标文件中的所有资料均为真实、有效的，如有虚假，我方承诺投标文件无效并愿承担一切责任。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8</w:t>
      </w:r>
      <w:r>
        <w:rPr>
          <w:rFonts w:hint="eastAsia" w:ascii="仿宋" w:hAnsi="仿宋" w:eastAsia="仿宋" w:cs="宋体"/>
          <w:sz w:val="24"/>
          <w:szCs w:val="24"/>
          <w:lang w:val="zh-CN"/>
        </w:rPr>
        <w:t>、与本投标有关的一切正式往来请寄：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投标人名称：（签章）：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both"/>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仿宋" w:hAnsi="仿宋" w:eastAsia="仿宋" w:cs="宋体"/>
                <w:sz w:val="24"/>
                <w:szCs w:val="24"/>
                <w:lang w:val="zh-CN"/>
              </w:rPr>
            </w:pPr>
            <w:r>
              <w:rPr>
                <w:rFonts w:hint="eastAsia" w:ascii="仿宋" w:hAnsi="仿宋" w:eastAsia="仿宋" w:cs="宋体"/>
                <w:sz w:val="24"/>
                <w:szCs w:val="24"/>
                <w:lang w:val="zh-CN"/>
              </w:rPr>
              <w:t>品牌、规格及型号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910"/>
        <w:gridCol w:w="1110"/>
        <w:gridCol w:w="1400"/>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91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品牌规格及型号</w:t>
            </w:r>
          </w:p>
        </w:tc>
        <w:tc>
          <w:tcPr>
            <w:tcW w:w="111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 w:hAnsi="仿宋" w:eastAsia="仿宋" w:cs="宋体"/>
                <w:sz w:val="24"/>
                <w:szCs w:val="24"/>
                <w:lang w:val="zh-CN"/>
              </w:rPr>
            </w:pPr>
            <w:r>
              <w:rPr>
                <w:rFonts w:hint="eastAsia" w:ascii="仿宋" w:hAnsi="仿宋" w:eastAsia="仿宋" w:cs="宋体"/>
                <w:sz w:val="24"/>
                <w:szCs w:val="24"/>
                <w:lang w:val="zh-CN"/>
              </w:rPr>
              <w:t>厂家及产地</w:t>
            </w:r>
          </w:p>
        </w:tc>
        <w:tc>
          <w:tcPr>
            <w:tcW w:w="14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投标人法定代表人（或授权代表）签字：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1205" w:firstLineChars="500"/>
        <w:jc w:val="left"/>
        <w:rPr>
          <w:rFonts w:ascii="仿宋" w:hAnsi="仿宋" w:eastAsia="仿宋" w:cs="仿宋_GB2312"/>
          <w:b/>
          <w:bCs/>
          <w:sz w:val="24"/>
          <w:szCs w:val="24"/>
        </w:rPr>
      </w:pPr>
      <w:r>
        <w:rPr>
          <w:rFonts w:hint="eastAsia" w:ascii="仿宋" w:hAnsi="仿宋" w:eastAsia="仿宋" w:cs="仿宋_GB2312"/>
          <w:b/>
          <w:bCs/>
          <w:sz w:val="24"/>
          <w:szCs w:val="24"/>
        </w:rPr>
        <w:t>（技术参数</w:t>
      </w:r>
      <w:r>
        <w:rPr>
          <w:rFonts w:hint="eastAsia" w:ascii="仿宋" w:hAnsi="仿宋" w:eastAsia="仿宋" w:cs="仿宋_GB2312"/>
          <w:b/>
          <w:bCs/>
          <w:sz w:val="24"/>
          <w:szCs w:val="24"/>
          <w:lang w:eastAsia="zh-CN"/>
        </w:rPr>
        <w:t>及评分标准</w:t>
      </w:r>
      <w:r>
        <w:rPr>
          <w:rFonts w:hint="eastAsia" w:ascii="仿宋" w:hAnsi="仿宋" w:eastAsia="仿宋" w:cs="仿宋_GB2312"/>
          <w:b/>
          <w:bCs/>
          <w:sz w:val="24"/>
          <w:szCs w:val="24"/>
        </w:rPr>
        <w:t>要求中</w:t>
      </w:r>
      <w:r>
        <w:rPr>
          <w:rFonts w:hint="eastAsia" w:ascii="仿宋" w:hAnsi="仿宋" w:eastAsia="仿宋" w:cs="仿宋_GB2312"/>
          <w:b/>
          <w:bCs/>
          <w:sz w:val="24"/>
          <w:szCs w:val="24"/>
          <w:lang w:eastAsia="zh-CN"/>
        </w:rPr>
        <w:t>所提供的</w:t>
      </w:r>
      <w:r>
        <w:rPr>
          <w:rFonts w:hint="eastAsia" w:ascii="仿宋" w:hAnsi="仿宋" w:eastAsia="仿宋" w:cs="仿宋_GB2312"/>
          <w:b/>
          <w:bCs/>
          <w:sz w:val="24"/>
          <w:szCs w:val="24"/>
        </w:rPr>
        <w:t>相关证明材料</w:t>
      </w:r>
      <w:r>
        <w:rPr>
          <w:rFonts w:hint="eastAsia" w:ascii="仿宋" w:hAnsi="仿宋" w:eastAsia="仿宋" w:cs="仿宋_GB2312"/>
          <w:b/>
          <w:bCs/>
          <w:sz w:val="24"/>
          <w:szCs w:val="24"/>
          <w:lang w:eastAsia="zh-CN"/>
        </w:rPr>
        <w:t>复印件</w:t>
      </w:r>
      <w:r>
        <w:rPr>
          <w:rFonts w:hint="eastAsia" w:ascii="仿宋" w:hAnsi="仿宋" w:eastAsia="仿宋" w:cs="仿宋_GB2312"/>
          <w:b/>
          <w:bCs/>
          <w:sz w:val="24"/>
          <w:szCs w:val="24"/>
        </w:rPr>
        <w:t>）</w:t>
      </w:r>
    </w:p>
    <w:p>
      <w:pPr>
        <w:spacing w:line="360" w:lineRule="exact"/>
        <w:jc w:val="left"/>
        <w:rPr>
          <w:rFonts w:ascii="仿宋" w:hAnsi="仿宋" w:eastAsia="仿宋" w:cs="仿宋_GB2312"/>
          <w:sz w:val="24"/>
          <w:szCs w:val="24"/>
        </w:rPr>
      </w:pPr>
    </w:p>
    <w:p>
      <w:pPr>
        <w:spacing w:line="360" w:lineRule="exact"/>
        <w:ind w:firstLine="2640" w:firstLineChars="1100"/>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1537C7D"/>
    <w:multiLevelType w:val="multilevel"/>
    <w:tmpl w:val="01537C7D"/>
    <w:lvl w:ilvl="0" w:tentative="0">
      <w:start w:val="1"/>
      <w:numFmt w:val="decimal"/>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B9F259E"/>
    <w:multiLevelType w:val="singleLevel"/>
    <w:tmpl w:val="0B9F259E"/>
    <w:lvl w:ilvl="0" w:tentative="0">
      <w:start w:val="9"/>
      <w:numFmt w:val="chineseCounting"/>
      <w:suff w:val="nothing"/>
      <w:lvlText w:val="第%1部分　"/>
      <w:lvlJc w:val="left"/>
      <w:pPr>
        <w:ind w:left="2813" w:leftChars="0" w:firstLine="0" w:firstLineChars="0"/>
      </w:pPr>
      <w:rPr>
        <w:rFonts w:hint="eastAsia"/>
      </w:rPr>
    </w:lvl>
  </w:abstractNum>
  <w:abstractNum w:abstractNumId="3">
    <w:nsid w:val="270A65C3"/>
    <w:multiLevelType w:val="multilevel"/>
    <w:tmpl w:val="270A65C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8A4CB1C"/>
    <w:multiLevelType w:val="singleLevel"/>
    <w:tmpl w:val="28A4CB1C"/>
    <w:lvl w:ilvl="0" w:tentative="0">
      <w:start w:val="19"/>
      <w:numFmt w:val="decimal"/>
      <w:suff w:val="nothing"/>
      <w:lvlText w:val="%1、"/>
      <w:lvlJc w:val="left"/>
    </w:lvl>
  </w:abstractNum>
  <w:abstractNum w:abstractNumId="5">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B38C3AC"/>
    <w:multiLevelType w:val="singleLevel"/>
    <w:tmpl w:val="3B38C3AC"/>
    <w:lvl w:ilvl="0" w:tentative="0">
      <w:start w:val="4"/>
      <w:numFmt w:val="chineseCounting"/>
      <w:suff w:val="space"/>
      <w:lvlText w:val="第%1部分"/>
      <w:lvlJc w:val="left"/>
      <w:rPr>
        <w:rFonts w:hint="eastAsia"/>
      </w:rPr>
    </w:lvl>
  </w:abstractNum>
  <w:abstractNum w:abstractNumId="7">
    <w:nsid w:val="56E374A4"/>
    <w:multiLevelType w:val="singleLevel"/>
    <w:tmpl w:val="56E374A4"/>
    <w:lvl w:ilvl="0" w:tentative="0">
      <w:start w:val="9"/>
      <w:numFmt w:val="decimal"/>
      <w:pStyle w:val="119"/>
      <w:suff w:val="nothing"/>
      <w:lvlText w:val="%1、"/>
      <w:lvlJc w:val="left"/>
    </w:lvl>
  </w:abstractNum>
  <w:abstractNum w:abstractNumId="8">
    <w:nsid w:val="5A0532E2"/>
    <w:multiLevelType w:val="singleLevel"/>
    <w:tmpl w:val="5A0532E2"/>
    <w:lvl w:ilvl="0" w:tentative="0">
      <w:start w:val="4"/>
      <w:numFmt w:val="chineseCounting"/>
      <w:suff w:val="nothing"/>
      <w:lvlText w:val="第%1部"/>
      <w:lvlJc w:val="left"/>
    </w:lvl>
  </w:abstractNum>
  <w:abstractNum w:abstractNumId="9">
    <w:nsid w:val="5A27AEF7"/>
    <w:multiLevelType w:val="singleLevel"/>
    <w:tmpl w:val="5A27AEF7"/>
    <w:lvl w:ilvl="0" w:tentative="0">
      <w:start w:val="2"/>
      <w:numFmt w:val="chineseCounting"/>
      <w:suff w:val="nothing"/>
      <w:lvlText w:val="（%1）"/>
      <w:lvlJc w:val="left"/>
    </w:lvl>
  </w:abstractNum>
  <w:abstractNum w:abstractNumId="10">
    <w:nsid w:val="5A30CB82"/>
    <w:multiLevelType w:val="singleLevel"/>
    <w:tmpl w:val="5A30CB82"/>
    <w:lvl w:ilvl="0" w:tentative="0">
      <w:start w:val="1"/>
      <w:numFmt w:val="chineseCounting"/>
      <w:suff w:val="space"/>
      <w:lvlText w:val="第%1部分"/>
      <w:lvlJc w:val="left"/>
    </w:lvl>
  </w:abstractNum>
  <w:abstractNum w:abstractNumId="11">
    <w:nsid w:val="5A4700EF"/>
    <w:multiLevelType w:val="singleLevel"/>
    <w:tmpl w:val="5A4700EF"/>
    <w:lvl w:ilvl="0" w:tentative="0">
      <w:start w:val="1"/>
      <w:numFmt w:val="decimal"/>
      <w:suff w:val="nothing"/>
      <w:lvlText w:val="%1、"/>
      <w:lvlJc w:val="left"/>
      <w:rPr>
        <w:color w:val="auto"/>
      </w:rPr>
    </w:lvl>
  </w:abstractNum>
  <w:num w:numId="1">
    <w:abstractNumId w:val="7"/>
  </w:num>
  <w:num w:numId="2">
    <w:abstractNumId w:val="10"/>
  </w:num>
  <w:num w:numId="3">
    <w:abstractNumId w:val="9"/>
  </w:num>
  <w:num w:numId="4">
    <w:abstractNumId w:val="5"/>
  </w:num>
  <w:num w:numId="5">
    <w:abstractNumId w:val="4"/>
  </w:num>
  <w:num w:numId="6">
    <w:abstractNumId w:val="8"/>
  </w:num>
  <w:num w:numId="7">
    <w:abstractNumId w:val="6"/>
  </w:num>
  <w:num w:numId="8">
    <w:abstractNumId w:val="0"/>
  </w:num>
  <w:num w:numId="9">
    <w:abstractNumId w:val="11"/>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5D3C"/>
    <w:rsid w:val="001D6434"/>
    <w:rsid w:val="001D6F1F"/>
    <w:rsid w:val="001D7D3E"/>
    <w:rsid w:val="001E177A"/>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24B20"/>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3F26"/>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937E8"/>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250EA"/>
    <w:rsid w:val="00630AC6"/>
    <w:rsid w:val="006379F9"/>
    <w:rsid w:val="00646529"/>
    <w:rsid w:val="00646B38"/>
    <w:rsid w:val="0064702D"/>
    <w:rsid w:val="006515EF"/>
    <w:rsid w:val="00657121"/>
    <w:rsid w:val="006625E6"/>
    <w:rsid w:val="00662E7A"/>
    <w:rsid w:val="006650A3"/>
    <w:rsid w:val="00666DBB"/>
    <w:rsid w:val="00683B0F"/>
    <w:rsid w:val="00685148"/>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4692"/>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7311C"/>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E6B2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08DA"/>
    <w:rsid w:val="009C1231"/>
    <w:rsid w:val="009D1957"/>
    <w:rsid w:val="009D3146"/>
    <w:rsid w:val="009D4FA5"/>
    <w:rsid w:val="009E09DB"/>
    <w:rsid w:val="009E1FB6"/>
    <w:rsid w:val="009E2EBB"/>
    <w:rsid w:val="009E6E3C"/>
    <w:rsid w:val="009F28A4"/>
    <w:rsid w:val="009F58C1"/>
    <w:rsid w:val="00A00552"/>
    <w:rsid w:val="00A02FBB"/>
    <w:rsid w:val="00A1068A"/>
    <w:rsid w:val="00A12D56"/>
    <w:rsid w:val="00A20320"/>
    <w:rsid w:val="00A32183"/>
    <w:rsid w:val="00A4579E"/>
    <w:rsid w:val="00A475BA"/>
    <w:rsid w:val="00A52ED4"/>
    <w:rsid w:val="00A535FA"/>
    <w:rsid w:val="00A564A6"/>
    <w:rsid w:val="00A5710E"/>
    <w:rsid w:val="00A65ADC"/>
    <w:rsid w:val="00A71C22"/>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4D7"/>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057B"/>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3452B"/>
    <w:rsid w:val="00C432F7"/>
    <w:rsid w:val="00C5085A"/>
    <w:rsid w:val="00C55FD8"/>
    <w:rsid w:val="00C57044"/>
    <w:rsid w:val="00C611F9"/>
    <w:rsid w:val="00C6232F"/>
    <w:rsid w:val="00C65549"/>
    <w:rsid w:val="00C74EBE"/>
    <w:rsid w:val="00C75F1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C95"/>
    <w:rsid w:val="00D75F62"/>
    <w:rsid w:val="00D76FBA"/>
    <w:rsid w:val="00D77906"/>
    <w:rsid w:val="00D82171"/>
    <w:rsid w:val="00D82808"/>
    <w:rsid w:val="00D8780B"/>
    <w:rsid w:val="00D90599"/>
    <w:rsid w:val="00D92AD3"/>
    <w:rsid w:val="00D94CA3"/>
    <w:rsid w:val="00DA1A8C"/>
    <w:rsid w:val="00DA241A"/>
    <w:rsid w:val="00DD2580"/>
    <w:rsid w:val="00DD6E6E"/>
    <w:rsid w:val="00DF1841"/>
    <w:rsid w:val="00DF47F4"/>
    <w:rsid w:val="00E0298B"/>
    <w:rsid w:val="00E04584"/>
    <w:rsid w:val="00E06002"/>
    <w:rsid w:val="00E06798"/>
    <w:rsid w:val="00E0770D"/>
    <w:rsid w:val="00E1120A"/>
    <w:rsid w:val="00E11C06"/>
    <w:rsid w:val="00E123FA"/>
    <w:rsid w:val="00E143A3"/>
    <w:rsid w:val="00E14C23"/>
    <w:rsid w:val="00E2389C"/>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D46"/>
    <w:rsid w:val="00EC3E9B"/>
    <w:rsid w:val="00EC5E3C"/>
    <w:rsid w:val="00ED0966"/>
    <w:rsid w:val="00ED60CC"/>
    <w:rsid w:val="00EE065A"/>
    <w:rsid w:val="00EE26F3"/>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536E45"/>
    <w:rsid w:val="015F5D2B"/>
    <w:rsid w:val="01AE553D"/>
    <w:rsid w:val="01D912AA"/>
    <w:rsid w:val="031A41B0"/>
    <w:rsid w:val="03CB53C9"/>
    <w:rsid w:val="03D744EF"/>
    <w:rsid w:val="04252D6C"/>
    <w:rsid w:val="04524D74"/>
    <w:rsid w:val="048C72C6"/>
    <w:rsid w:val="04973478"/>
    <w:rsid w:val="04E5185D"/>
    <w:rsid w:val="04F1400C"/>
    <w:rsid w:val="054A14EB"/>
    <w:rsid w:val="055236E0"/>
    <w:rsid w:val="058277B4"/>
    <w:rsid w:val="05D7384A"/>
    <w:rsid w:val="05F47DA2"/>
    <w:rsid w:val="05F65379"/>
    <w:rsid w:val="05FF5666"/>
    <w:rsid w:val="0603119A"/>
    <w:rsid w:val="0669725A"/>
    <w:rsid w:val="067E4800"/>
    <w:rsid w:val="06902805"/>
    <w:rsid w:val="06B75E86"/>
    <w:rsid w:val="071151B2"/>
    <w:rsid w:val="073F7793"/>
    <w:rsid w:val="080A00AF"/>
    <w:rsid w:val="0859217C"/>
    <w:rsid w:val="088D4853"/>
    <w:rsid w:val="09102145"/>
    <w:rsid w:val="09891681"/>
    <w:rsid w:val="09900A5B"/>
    <w:rsid w:val="09AE4842"/>
    <w:rsid w:val="09C60246"/>
    <w:rsid w:val="09CE2BB7"/>
    <w:rsid w:val="09E57E48"/>
    <w:rsid w:val="0A2B0E2A"/>
    <w:rsid w:val="0AB05B6D"/>
    <w:rsid w:val="0B047399"/>
    <w:rsid w:val="0B0B3BB8"/>
    <w:rsid w:val="0B8F0D95"/>
    <w:rsid w:val="0BC25BE0"/>
    <w:rsid w:val="0C053D42"/>
    <w:rsid w:val="0C232636"/>
    <w:rsid w:val="0C3957DB"/>
    <w:rsid w:val="0C3C6A01"/>
    <w:rsid w:val="0C662DD8"/>
    <w:rsid w:val="0CBA4EC9"/>
    <w:rsid w:val="0CBE01FC"/>
    <w:rsid w:val="0CE25187"/>
    <w:rsid w:val="0D2824A3"/>
    <w:rsid w:val="0D62434A"/>
    <w:rsid w:val="0D832C84"/>
    <w:rsid w:val="0DD45553"/>
    <w:rsid w:val="0DFD39BC"/>
    <w:rsid w:val="0E1F7A52"/>
    <w:rsid w:val="0E3119C4"/>
    <w:rsid w:val="0F0D73B6"/>
    <w:rsid w:val="0F2C7289"/>
    <w:rsid w:val="0FBA420F"/>
    <w:rsid w:val="10240870"/>
    <w:rsid w:val="105F0CCD"/>
    <w:rsid w:val="10A25988"/>
    <w:rsid w:val="11472FC4"/>
    <w:rsid w:val="11662A8F"/>
    <w:rsid w:val="1171773E"/>
    <w:rsid w:val="11D75144"/>
    <w:rsid w:val="11DE60C8"/>
    <w:rsid w:val="12362245"/>
    <w:rsid w:val="12575BFE"/>
    <w:rsid w:val="127D4879"/>
    <w:rsid w:val="129F4391"/>
    <w:rsid w:val="12B07257"/>
    <w:rsid w:val="12F46B93"/>
    <w:rsid w:val="12FB62CF"/>
    <w:rsid w:val="130F3467"/>
    <w:rsid w:val="131F25B3"/>
    <w:rsid w:val="132168C4"/>
    <w:rsid w:val="133638CF"/>
    <w:rsid w:val="134B3E21"/>
    <w:rsid w:val="135C1261"/>
    <w:rsid w:val="135D1987"/>
    <w:rsid w:val="13705BCF"/>
    <w:rsid w:val="146639B0"/>
    <w:rsid w:val="14810804"/>
    <w:rsid w:val="14C32394"/>
    <w:rsid w:val="14E7756C"/>
    <w:rsid w:val="15555471"/>
    <w:rsid w:val="15D15729"/>
    <w:rsid w:val="162949D9"/>
    <w:rsid w:val="166F3B31"/>
    <w:rsid w:val="16BB3F9C"/>
    <w:rsid w:val="17093EDF"/>
    <w:rsid w:val="171656DB"/>
    <w:rsid w:val="17411E12"/>
    <w:rsid w:val="175B5BC6"/>
    <w:rsid w:val="17D43D54"/>
    <w:rsid w:val="17E545EE"/>
    <w:rsid w:val="180F6DA6"/>
    <w:rsid w:val="183733AB"/>
    <w:rsid w:val="183D0ACD"/>
    <w:rsid w:val="18553478"/>
    <w:rsid w:val="186A4EF9"/>
    <w:rsid w:val="18AD21CB"/>
    <w:rsid w:val="19491C75"/>
    <w:rsid w:val="19786E3B"/>
    <w:rsid w:val="1A107C46"/>
    <w:rsid w:val="1A4540A3"/>
    <w:rsid w:val="1A717838"/>
    <w:rsid w:val="1A8E3CC9"/>
    <w:rsid w:val="1B1630FE"/>
    <w:rsid w:val="1BFB31C4"/>
    <w:rsid w:val="1CAE5C61"/>
    <w:rsid w:val="1CC57EEC"/>
    <w:rsid w:val="1D1E07AB"/>
    <w:rsid w:val="1D285414"/>
    <w:rsid w:val="1D5D79CE"/>
    <w:rsid w:val="1D846EFB"/>
    <w:rsid w:val="1E1761B2"/>
    <w:rsid w:val="1F8F7C87"/>
    <w:rsid w:val="1FA97651"/>
    <w:rsid w:val="1FD141B8"/>
    <w:rsid w:val="1FE67A99"/>
    <w:rsid w:val="200E5455"/>
    <w:rsid w:val="20852B17"/>
    <w:rsid w:val="208F4659"/>
    <w:rsid w:val="20C91244"/>
    <w:rsid w:val="20CB6D0B"/>
    <w:rsid w:val="20E71C78"/>
    <w:rsid w:val="21093329"/>
    <w:rsid w:val="212773A1"/>
    <w:rsid w:val="214A163F"/>
    <w:rsid w:val="21D44845"/>
    <w:rsid w:val="221572B4"/>
    <w:rsid w:val="22311600"/>
    <w:rsid w:val="226550CC"/>
    <w:rsid w:val="23523DCA"/>
    <w:rsid w:val="23794CD9"/>
    <w:rsid w:val="24BF19AA"/>
    <w:rsid w:val="24CA4202"/>
    <w:rsid w:val="24D66891"/>
    <w:rsid w:val="25302039"/>
    <w:rsid w:val="256C7451"/>
    <w:rsid w:val="25AD30A0"/>
    <w:rsid w:val="25E3691E"/>
    <w:rsid w:val="2667745A"/>
    <w:rsid w:val="26E95B4E"/>
    <w:rsid w:val="276906C7"/>
    <w:rsid w:val="278238A3"/>
    <w:rsid w:val="28742078"/>
    <w:rsid w:val="288E3F7A"/>
    <w:rsid w:val="288F49C5"/>
    <w:rsid w:val="28BF1B33"/>
    <w:rsid w:val="28BF2210"/>
    <w:rsid w:val="28CE556E"/>
    <w:rsid w:val="299315DB"/>
    <w:rsid w:val="29C152D2"/>
    <w:rsid w:val="2A292F06"/>
    <w:rsid w:val="2A29332E"/>
    <w:rsid w:val="2A666F4C"/>
    <w:rsid w:val="2A6671E5"/>
    <w:rsid w:val="2A8574C7"/>
    <w:rsid w:val="2B0B3F2F"/>
    <w:rsid w:val="2B5A4161"/>
    <w:rsid w:val="2B9F495B"/>
    <w:rsid w:val="2BB70DAF"/>
    <w:rsid w:val="2BBD2870"/>
    <w:rsid w:val="2BF938D1"/>
    <w:rsid w:val="2C01063D"/>
    <w:rsid w:val="2C824188"/>
    <w:rsid w:val="2C8C63A5"/>
    <w:rsid w:val="2CF845CD"/>
    <w:rsid w:val="2D562101"/>
    <w:rsid w:val="2D7249A1"/>
    <w:rsid w:val="2D873A70"/>
    <w:rsid w:val="2DB610BD"/>
    <w:rsid w:val="2DFB43CE"/>
    <w:rsid w:val="2E3D7FDF"/>
    <w:rsid w:val="2E5606EB"/>
    <w:rsid w:val="2E5C72E5"/>
    <w:rsid w:val="2E9D5FE0"/>
    <w:rsid w:val="2F232D02"/>
    <w:rsid w:val="2F2A34A3"/>
    <w:rsid w:val="2F38041E"/>
    <w:rsid w:val="2F433D86"/>
    <w:rsid w:val="2F9A5364"/>
    <w:rsid w:val="2F9D183B"/>
    <w:rsid w:val="2FEB36BE"/>
    <w:rsid w:val="30006487"/>
    <w:rsid w:val="30842425"/>
    <w:rsid w:val="314C2E93"/>
    <w:rsid w:val="316C02DE"/>
    <w:rsid w:val="31754AAE"/>
    <w:rsid w:val="317F2E7E"/>
    <w:rsid w:val="31804229"/>
    <w:rsid w:val="319970FC"/>
    <w:rsid w:val="31AD13B4"/>
    <w:rsid w:val="31BA74D8"/>
    <w:rsid w:val="31C57F0B"/>
    <w:rsid w:val="321A4FF8"/>
    <w:rsid w:val="328D4D46"/>
    <w:rsid w:val="32DE3410"/>
    <w:rsid w:val="333C55A2"/>
    <w:rsid w:val="335D45FD"/>
    <w:rsid w:val="33656785"/>
    <w:rsid w:val="33C315C2"/>
    <w:rsid w:val="33EF6302"/>
    <w:rsid w:val="345D6725"/>
    <w:rsid w:val="34876DB2"/>
    <w:rsid w:val="34B022E5"/>
    <w:rsid w:val="34CE04B2"/>
    <w:rsid w:val="34F94C42"/>
    <w:rsid w:val="35020BCE"/>
    <w:rsid w:val="354E2015"/>
    <w:rsid w:val="35636C46"/>
    <w:rsid w:val="35736992"/>
    <w:rsid w:val="37692631"/>
    <w:rsid w:val="37B10108"/>
    <w:rsid w:val="389F7F0D"/>
    <w:rsid w:val="38B66F17"/>
    <w:rsid w:val="39264E83"/>
    <w:rsid w:val="397D15ED"/>
    <w:rsid w:val="39A31772"/>
    <w:rsid w:val="3A0511AE"/>
    <w:rsid w:val="3A252A28"/>
    <w:rsid w:val="3A361775"/>
    <w:rsid w:val="3A5B0DB6"/>
    <w:rsid w:val="3B1A3171"/>
    <w:rsid w:val="3B8A1786"/>
    <w:rsid w:val="3BF37AE3"/>
    <w:rsid w:val="3C5A516A"/>
    <w:rsid w:val="3CD05D89"/>
    <w:rsid w:val="3D574C5D"/>
    <w:rsid w:val="3D8F46AB"/>
    <w:rsid w:val="3DB32B5C"/>
    <w:rsid w:val="3DE17511"/>
    <w:rsid w:val="3E0165CC"/>
    <w:rsid w:val="3E0A31F9"/>
    <w:rsid w:val="3E5F6553"/>
    <w:rsid w:val="3E85714B"/>
    <w:rsid w:val="3EB83441"/>
    <w:rsid w:val="3ED405D8"/>
    <w:rsid w:val="3EF23AFC"/>
    <w:rsid w:val="3F4E5E4B"/>
    <w:rsid w:val="3F544F16"/>
    <w:rsid w:val="3FD1121A"/>
    <w:rsid w:val="3FDF074D"/>
    <w:rsid w:val="409A7D1F"/>
    <w:rsid w:val="40DD14B7"/>
    <w:rsid w:val="41595C3E"/>
    <w:rsid w:val="42031639"/>
    <w:rsid w:val="420D6E21"/>
    <w:rsid w:val="42551AC7"/>
    <w:rsid w:val="426D69CE"/>
    <w:rsid w:val="43306F54"/>
    <w:rsid w:val="439D162E"/>
    <w:rsid w:val="43AF4EB6"/>
    <w:rsid w:val="43D47894"/>
    <w:rsid w:val="43DA0DF8"/>
    <w:rsid w:val="43F21A5E"/>
    <w:rsid w:val="449D0BDB"/>
    <w:rsid w:val="44A75B9D"/>
    <w:rsid w:val="44CC251D"/>
    <w:rsid w:val="44ED61E4"/>
    <w:rsid w:val="44F765DB"/>
    <w:rsid w:val="452D2CD2"/>
    <w:rsid w:val="454E1873"/>
    <w:rsid w:val="45570A50"/>
    <w:rsid w:val="46FF7143"/>
    <w:rsid w:val="476E4F77"/>
    <w:rsid w:val="479A1D63"/>
    <w:rsid w:val="479E2BBB"/>
    <w:rsid w:val="48164989"/>
    <w:rsid w:val="485B029F"/>
    <w:rsid w:val="48AF4A09"/>
    <w:rsid w:val="49B4550E"/>
    <w:rsid w:val="49F50EB5"/>
    <w:rsid w:val="4AB76254"/>
    <w:rsid w:val="4AF72F43"/>
    <w:rsid w:val="4AFC078A"/>
    <w:rsid w:val="4AFE130C"/>
    <w:rsid w:val="4B06415A"/>
    <w:rsid w:val="4B2C4572"/>
    <w:rsid w:val="4B307A80"/>
    <w:rsid w:val="4BBD5B2C"/>
    <w:rsid w:val="4BF36702"/>
    <w:rsid w:val="4C0E0B24"/>
    <w:rsid w:val="4F071606"/>
    <w:rsid w:val="4F403B1D"/>
    <w:rsid w:val="4F7F31B2"/>
    <w:rsid w:val="4F827ABA"/>
    <w:rsid w:val="4FA93F1C"/>
    <w:rsid w:val="4FCB730B"/>
    <w:rsid w:val="504A74E2"/>
    <w:rsid w:val="50D62ACD"/>
    <w:rsid w:val="510C3D06"/>
    <w:rsid w:val="51937900"/>
    <w:rsid w:val="51ED5B69"/>
    <w:rsid w:val="536A53D4"/>
    <w:rsid w:val="53857B5E"/>
    <w:rsid w:val="54207CFD"/>
    <w:rsid w:val="54C67D23"/>
    <w:rsid w:val="55005AF5"/>
    <w:rsid w:val="551F63D6"/>
    <w:rsid w:val="55CC6A46"/>
    <w:rsid w:val="55DE4946"/>
    <w:rsid w:val="55EA1952"/>
    <w:rsid w:val="55FD0CFB"/>
    <w:rsid w:val="561945F1"/>
    <w:rsid w:val="56BE79D8"/>
    <w:rsid w:val="573B2A77"/>
    <w:rsid w:val="58266B57"/>
    <w:rsid w:val="588A5505"/>
    <w:rsid w:val="58CE0AFE"/>
    <w:rsid w:val="58E11F40"/>
    <w:rsid w:val="58EA7FCE"/>
    <w:rsid w:val="593B360F"/>
    <w:rsid w:val="597E7640"/>
    <w:rsid w:val="5A8975CA"/>
    <w:rsid w:val="5A8D6038"/>
    <w:rsid w:val="5AF228EA"/>
    <w:rsid w:val="5B176006"/>
    <w:rsid w:val="5B8B5722"/>
    <w:rsid w:val="5C1D3EC2"/>
    <w:rsid w:val="5C2A1394"/>
    <w:rsid w:val="5C6F34F3"/>
    <w:rsid w:val="5CDE1B94"/>
    <w:rsid w:val="5D2B1C2D"/>
    <w:rsid w:val="5DAD4A6A"/>
    <w:rsid w:val="5DD07849"/>
    <w:rsid w:val="5E6E4ACB"/>
    <w:rsid w:val="5EEA3B04"/>
    <w:rsid w:val="5F092277"/>
    <w:rsid w:val="5F4B6391"/>
    <w:rsid w:val="5F50568C"/>
    <w:rsid w:val="5F8471B4"/>
    <w:rsid w:val="5FCE7ED4"/>
    <w:rsid w:val="5FEB58A2"/>
    <w:rsid w:val="601B36B0"/>
    <w:rsid w:val="605A5E28"/>
    <w:rsid w:val="60A449E5"/>
    <w:rsid w:val="612A61E3"/>
    <w:rsid w:val="61B82A98"/>
    <w:rsid w:val="61F84732"/>
    <w:rsid w:val="62352BFE"/>
    <w:rsid w:val="62530EF5"/>
    <w:rsid w:val="63097C59"/>
    <w:rsid w:val="633D6D93"/>
    <w:rsid w:val="634F7C15"/>
    <w:rsid w:val="63736A17"/>
    <w:rsid w:val="63937116"/>
    <w:rsid w:val="63C05B9E"/>
    <w:rsid w:val="642F4F3E"/>
    <w:rsid w:val="647F4A97"/>
    <w:rsid w:val="651A4BCA"/>
    <w:rsid w:val="659F5C58"/>
    <w:rsid w:val="65D24C12"/>
    <w:rsid w:val="65F1505D"/>
    <w:rsid w:val="668F2678"/>
    <w:rsid w:val="66BA2132"/>
    <w:rsid w:val="6701680A"/>
    <w:rsid w:val="67547205"/>
    <w:rsid w:val="676E5060"/>
    <w:rsid w:val="67FC0C69"/>
    <w:rsid w:val="686A32EA"/>
    <w:rsid w:val="698529F7"/>
    <w:rsid w:val="69981330"/>
    <w:rsid w:val="69D62811"/>
    <w:rsid w:val="6A001D5E"/>
    <w:rsid w:val="6A690960"/>
    <w:rsid w:val="6AB109E9"/>
    <w:rsid w:val="6AF86FE1"/>
    <w:rsid w:val="6AFE3DEE"/>
    <w:rsid w:val="6B5A4DFF"/>
    <w:rsid w:val="6BB52991"/>
    <w:rsid w:val="6BE93902"/>
    <w:rsid w:val="6C25354C"/>
    <w:rsid w:val="6C68412B"/>
    <w:rsid w:val="6C981ABC"/>
    <w:rsid w:val="6CE52F07"/>
    <w:rsid w:val="6CF54B5F"/>
    <w:rsid w:val="6D0D0A4F"/>
    <w:rsid w:val="6D234DD5"/>
    <w:rsid w:val="6D355556"/>
    <w:rsid w:val="6D377DF7"/>
    <w:rsid w:val="6D886FA0"/>
    <w:rsid w:val="6D945BC5"/>
    <w:rsid w:val="6DD96194"/>
    <w:rsid w:val="6DEF0C58"/>
    <w:rsid w:val="6DF66DFE"/>
    <w:rsid w:val="6DFC67F6"/>
    <w:rsid w:val="6E196A24"/>
    <w:rsid w:val="6E1D6E30"/>
    <w:rsid w:val="6E66357B"/>
    <w:rsid w:val="6EB95270"/>
    <w:rsid w:val="6F8956C3"/>
    <w:rsid w:val="6FB90394"/>
    <w:rsid w:val="6FC41E1E"/>
    <w:rsid w:val="6FE86904"/>
    <w:rsid w:val="70241AB8"/>
    <w:rsid w:val="706476AA"/>
    <w:rsid w:val="7105714A"/>
    <w:rsid w:val="710F25A0"/>
    <w:rsid w:val="714177A5"/>
    <w:rsid w:val="7255719B"/>
    <w:rsid w:val="744C618D"/>
    <w:rsid w:val="74920FD0"/>
    <w:rsid w:val="74924B26"/>
    <w:rsid w:val="74B50A85"/>
    <w:rsid w:val="74DF7784"/>
    <w:rsid w:val="75125292"/>
    <w:rsid w:val="753241CE"/>
    <w:rsid w:val="758826A4"/>
    <w:rsid w:val="75B01AA9"/>
    <w:rsid w:val="76140509"/>
    <w:rsid w:val="763C41F4"/>
    <w:rsid w:val="768649B8"/>
    <w:rsid w:val="76EF0C8A"/>
    <w:rsid w:val="76F83624"/>
    <w:rsid w:val="773F1990"/>
    <w:rsid w:val="776A79F9"/>
    <w:rsid w:val="777A7DC6"/>
    <w:rsid w:val="78640367"/>
    <w:rsid w:val="78C403B7"/>
    <w:rsid w:val="78F73182"/>
    <w:rsid w:val="79640B02"/>
    <w:rsid w:val="796E4180"/>
    <w:rsid w:val="79874C47"/>
    <w:rsid w:val="79D2695D"/>
    <w:rsid w:val="7A731DE7"/>
    <w:rsid w:val="7ABE7E81"/>
    <w:rsid w:val="7AE73174"/>
    <w:rsid w:val="7B1234F7"/>
    <w:rsid w:val="7B5007DD"/>
    <w:rsid w:val="7BD60299"/>
    <w:rsid w:val="7BDD1DA1"/>
    <w:rsid w:val="7BE5680C"/>
    <w:rsid w:val="7C09693B"/>
    <w:rsid w:val="7C504BF4"/>
    <w:rsid w:val="7C6B7787"/>
    <w:rsid w:val="7C6F62EE"/>
    <w:rsid w:val="7C9F5AAF"/>
    <w:rsid w:val="7CAF0D4D"/>
    <w:rsid w:val="7CCC29A0"/>
    <w:rsid w:val="7CF42D7A"/>
    <w:rsid w:val="7D171AFF"/>
    <w:rsid w:val="7D4359D2"/>
    <w:rsid w:val="7D9A0C78"/>
    <w:rsid w:val="7DFE466B"/>
    <w:rsid w:val="7E3459C9"/>
    <w:rsid w:val="7E430C57"/>
    <w:rsid w:val="7E84244F"/>
    <w:rsid w:val="7EB23D15"/>
    <w:rsid w:val="7F0F3D7E"/>
    <w:rsid w:val="7F17791C"/>
    <w:rsid w:val="7F3B2004"/>
    <w:rsid w:val="7FA16D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2"/>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link w:val="12"/>
    <w:qFormat/>
    <w:uiPriority w:val="99"/>
    <w:rPr>
      <w:b/>
      <w:bCs/>
      <w:kern w:val="2"/>
      <w:sz w:val="21"/>
      <w:szCs w:val="24"/>
    </w:rPr>
  </w:style>
  <w:style w:type="character" w:customStyle="1" w:styleId="59">
    <w:name w:val="正文文本 Char"/>
    <w:link w:val="15"/>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link w:val="14"/>
    <w:qFormat/>
    <w:uiPriority w:val="0"/>
    <w:rPr>
      <w:sz w:val="24"/>
      <w:szCs w:val="24"/>
    </w:rPr>
  </w:style>
  <w:style w:type="character" w:customStyle="1" w:styleId="62">
    <w:name w:val="正文文本 2 Char"/>
    <w:link w:val="28"/>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link w:val="13"/>
    <w:qFormat/>
    <w:uiPriority w:val="0"/>
    <w:rPr>
      <w:kern w:val="2"/>
      <w:sz w:val="21"/>
      <w:szCs w:val="24"/>
    </w:rPr>
  </w:style>
  <w:style w:type="character" w:customStyle="1" w:styleId="66">
    <w:name w:val="正文文本缩进 2 Char"/>
    <w:link w:val="21"/>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link w:val="16"/>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link w:val="19"/>
    <w:qFormat/>
    <w:uiPriority w:val="0"/>
    <w:rPr>
      <w:rFonts w:ascii="宋体" w:hAnsi="Courier New" w:cs="Courier New"/>
      <w:szCs w:val="21"/>
    </w:rPr>
  </w:style>
  <w:style w:type="character" w:customStyle="1" w:styleId="77">
    <w:name w:val="正文文本缩进 3 Char"/>
    <w:link w:val="27"/>
    <w:qFormat/>
    <w:uiPriority w:val="0"/>
    <w:rPr>
      <w:sz w:val="16"/>
      <w:szCs w:val="16"/>
    </w:rPr>
  </w:style>
  <w:style w:type="character" w:customStyle="1" w:styleId="78">
    <w:name w:val="标题 2 Char"/>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link w:val="17"/>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b/>
      <w:bCs/>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4">
    <w:name w:val="列出段落4"/>
    <w:basedOn w:val="1"/>
    <w:unhideWhenUsed/>
    <w:qFormat/>
    <w:uiPriority w:val="99"/>
    <w:pPr>
      <w:ind w:firstLine="420" w:firstLineChars="200"/>
    </w:pPr>
  </w:style>
  <w:style w:type="paragraph" w:customStyle="1" w:styleId="125">
    <w:name w:val="正文正文"/>
    <w:basedOn w:val="1"/>
    <w:qFormat/>
    <w:uiPriority w:val="0"/>
    <w:pPr>
      <w:spacing w:beforeLines="50" w:afterLines="50"/>
      <w:ind w:firstLine="200" w:firstLineChars="200"/>
    </w:pPr>
    <w:rPr>
      <w:rFonts w:ascii="Times New Roman" w:hAnsi="Times New Roman" w:eastAsia="宋体"/>
      <w:sz w:val="24"/>
    </w:rPr>
  </w:style>
  <w:style w:type="paragraph" w:customStyle="1" w:styleId="126">
    <w:name w:val="报告正文"/>
    <w:basedOn w:val="1"/>
    <w:qFormat/>
    <w:uiPriority w:val="0"/>
    <w:pPr>
      <w:adjustRightInd w:val="0"/>
      <w:snapToGrid w:val="0"/>
      <w:spacing w:before="100" w:beforeAutospacing="1" w:after="100" w:afterAutospacing="1" w:line="288" w:lineRule="auto"/>
      <w:ind w:left="3060" w:leftChars="1700"/>
    </w:pPr>
    <w:rPr>
      <w:rFonts w:ascii="华文细黑" w:hAnsi="华文细黑" w:eastAsia="华文细黑" w:cs="宋体"/>
      <w:szCs w:val="21"/>
    </w:rPr>
  </w:style>
  <w:style w:type="paragraph" w:customStyle="1" w:styleId="127">
    <w:name w:val="AA-正文"/>
    <w:basedOn w:val="1"/>
    <w:qFormat/>
    <w:uiPriority w:val="0"/>
    <w:pPr>
      <w:widowControl w:val="0"/>
      <w:spacing w:after="70" w:afterLines="70" w:line="360" w:lineRule="auto"/>
      <w:ind w:firstLine="200" w:firstLineChars="200"/>
      <w:jc w:val="both"/>
    </w:pPr>
    <w:rPr>
      <w:rFonts w:ascii="宋体" w:hAnsi="宋体" w:eastAsia="宋体" w:cs="Times New Roman"/>
      <w:kern w:val="2"/>
    </w:rPr>
  </w:style>
  <w:style w:type="character" w:customStyle="1" w:styleId="128">
    <w:name w:val="font01"/>
    <w:basedOn w:val="30"/>
    <w:qFormat/>
    <w:uiPriority w:val="0"/>
    <w:rPr>
      <w:rFonts w:hint="eastAsia" w:ascii="仿宋_GB2312" w:hAnsi="Calibri" w:eastAsia="仿宋_GB2312" w:cs="仿宋_GB2312"/>
      <w:color w:val="FF0000"/>
      <w:sz w:val="24"/>
      <w:szCs w:val="24"/>
      <w:u w:val="none"/>
    </w:rPr>
  </w:style>
  <w:style w:type="paragraph" w:customStyle="1" w:styleId="129">
    <w:name w:val="a2"/>
    <w:basedOn w:val="1"/>
    <w:uiPriority w:val="0"/>
    <w:pPr>
      <w:widowControl/>
      <w:autoSpaceDE/>
      <w:autoSpaceDN/>
      <w:adjustRightInd/>
      <w:spacing w:before="100" w:beforeAutospacing="1" w:after="100" w:afterAutospacing="1" w:line="240" w:lineRule="auto"/>
      <w:ind w:firstLine="0" w:firstLineChars="0"/>
    </w:pPr>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A3794-1806-4912-8E66-3E9A6A9B797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71</Pages>
  <Words>8026</Words>
  <Characters>45752</Characters>
  <Lines>381</Lines>
  <Paragraphs>107</Paragraphs>
  <TotalTime>5</TotalTime>
  <ScaleCrop>false</ScaleCrop>
  <LinksUpToDate>false</LinksUpToDate>
  <CharactersWithSpaces>53671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樱花草</cp:lastModifiedBy>
  <cp:lastPrinted>2017-10-17T02:26:00Z</cp:lastPrinted>
  <dcterms:modified xsi:type="dcterms:W3CDTF">2018-06-26T08:27:32Z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