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禹州市农业林业局</w:t>
      </w:r>
    </w:p>
    <w:p>
      <w:pPr>
        <w:ind w:left="3090" w:leftChars="630" w:hanging="1767" w:hangingChars="400"/>
        <w:jc w:val="both"/>
        <w:rPr>
          <w:rFonts w:hint="eastAsia" w:ascii="仿宋" w:hAnsi="仿宋" w:eastAsia="仿宋" w:cs="仿宋"/>
          <w:b/>
          <w:bCs/>
          <w:sz w:val="44"/>
          <w:szCs w:val="44"/>
          <w:lang w:eastAsia="zh-CN"/>
        </w:rPr>
      </w:pPr>
      <w:r>
        <w:rPr>
          <w:rFonts w:hint="eastAsia" w:ascii="仿宋" w:hAnsi="仿宋" w:eastAsia="仿宋" w:cs="仿宋"/>
          <w:b/>
          <w:bCs/>
          <w:sz w:val="44"/>
          <w:szCs w:val="44"/>
        </w:rPr>
        <w:t>粮食生产功能区划定技术服务项目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hint="eastAsia" w:ascii="仿宋" w:hAnsi="仿宋" w:eastAsia="仿宋"/>
          <w:sz w:val="32"/>
          <w:lang w:val="en-US" w:eastAsia="zh-CN"/>
        </w:rPr>
      </w:pPr>
      <w:r>
        <w:rPr>
          <w:rFonts w:hint="eastAsia" w:ascii="仿宋" w:hAnsi="仿宋" w:eastAsia="仿宋"/>
          <w:sz w:val="32"/>
        </w:rPr>
        <w:t>采购单位：禹州市</w:t>
      </w:r>
      <w:r>
        <w:rPr>
          <w:rFonts w:hint="eastAsia" w:ascii="仿宋" w:hAnsi="仿宋" w:eastAsia="仿宋"/>
          <w:sz w:val="32"/>
          <w:lang w:eastAsia="zh-CN"/>
        </w:rPr>
        <w:t>农业林业局</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rPr>
        <w:t>项目名称：禹州市农业林业局粮食生产功能区划定技术服务项目</w:t>
      </w: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8163</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六</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禹州市农业林业局粮食生产功能区划定技术服务项目</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招标</w:t>
      </w:r>
      <w:r>
        <w:rPr>
          <w:rFonts w:hint="eastAsia" w:ascii="仿宋" w:hAnsi="仿宋" w:eastAsia="仿宋" w:cs="仿宋"/>
          <w:b/>
          <w:bCs/>
          <w:sz w:val="36"/>
          <w:szCs w:val="36"/>
          <w:lang w:eastAsia="zh-CN"/>
        </w:rPr>
        <w:t>邀请函</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禹州市政府采购中心受禹州市农业林业局的委托，就“粮食生产功能区划定技术服务项目”进行公开招标，欢迎合格的投标人前来投标。</w:t>
      </w:r>
    </w:p>
    <w:p>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1、采购人：禹州市农业林业局</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2、项目名称：禹州市农业林业局粮食生产功能区划定技术服务项目</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3、采购编号：YZCG-G2018163</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4、项目需求：</w:t>
      </w:r>
      <w:r>
        <w:rPr>
          <w:rFonts w:ascii="仿宋" w:hAnsi="仿宋" w:eastAsia="仿宋" w:cs="仿宋"/>
          <w:sz w:val="24"/>
          <w:szCs w:val="24"/>
        </w:rPr>
        <w:t xml:space="preserve"> 测绘服务</w:t>
      </w:r>
      <w:r>
        <w:rPr>
          <w:rFonts w:hint="eastAsia" w:ascii="仿宋" w:hAnsi="仿宋" w:eastAsia="仿宋" w:cs="仿宋"/>
          <w:sz w:val="24"/>
          <w:szCs w:val="24"/>
        </w:rPr>
        <w:t>（详见招标文件）</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5、采购预算：266万元</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6、最高限价：266万元</w:t>
      </w:r>
    </w:p>
    <w:p>
      <w:pPr>
        <w:spacing w:line="44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4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4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40" w:lineRule="exact"/>
        <w:ind w:firstLine="640"/>
        <w:rPr>
          <w:rFonts w:ascii="仿宋" w:hAnsi="仿宋" w:eastAsia="仿宋" w:cs="仿宋"/>
          <w:sz w:val="24"/>
          <w:szCs w:val="24"/>
        </w:rPr>
      </w:pPr>
      <w:r>
        <w:rPr>
          <w:rFonts w:hint="eastAsia" w:ascii="仿宋" w:hAnsi="仿宋" w:eastAsia="仿宋" w:cs="仿宋"/>
          <w:sz w:val="24"/>
          <w:szCs w:val="24"/>
        </w:rPr>
        <w:t>1、符合《政府采购法》第二十二条之规定；</w:t>
      </w:r>
    </w:p>
    <w:p>
      <w:pPr>
        <w:pStyle w:val="38"/>
        <w:autoSpaceDN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2、投标商须具有独立法人资格且具有相应的经营范围(以营业执照为准)；</w:t>
      </w:r>
    </w:p>
    <w:p>
      <w:pPr>
        <w:pStyle w:val="38"/>
        <w:autoSpaceDN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3、投标商须具有甲级测绘资质；</w:t>
      </w:r>
    </w:p>
    <w:p>
      <w:pPr>
        <w:pStyle w:val="38"/>
        <w:autoSpaceDN w:val="0"/>
        <w:spacing w:line="44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4、项目负责人须具有注册测绘师或高级工程师证书；</w:t>
      </w:r>
    </w:p>
    <w:p>
      <w:pPr>
        <w:spacing w:line="440" w:lineRule="exact"/>
        <w:ind w:firstLine="640"/>
        <w:rPr>
          <w:rFonts w:ascii="仿宋" w:hAnsi="仿宋" w:eastAsia="仿宋" w:cs="仿宋"/>
          <w:sz w:val="24"/>
          <w:szCs w:val="24"/>
        </w:rPr>
      </w:pPr>
      <w:r>
        <w:rPr>
          <w:rFonts w:hint="eastAsia" w:ascii="仿宋" w:hAnsi="仿宋" w:eastAsia="仿宋" w:cs="仿宋"/>
          <w:sz w:val="24"/>
          <w:szCs w:val="24"/>
        </w:rPr>
        <w:t>5、投标商应开具由项目所在地或企业营业执照注册所在地人民检察院出具的无行贿犯罪档案告知函；</w:t>
      </w:r>
    </w:p>
    <w:p>
      <w:pPr>
        <w:spacing w:line="440" w:lineRule="exact"/>
        <w:ind w:firstLine="640"/>
        <w:rPr>
          <w:rFonts w:ascii="仿宋" w:hAnsi="仿宋" w:eastAsia="仿宋" w:cs="仿宋"/>
          <w:sz w:val="24"/>
          <w:szCs w:val="24"/>
        </w:rPr>
      </w:pPr>
      <w:r>
        <w:rPr>
          <w:rFonts w:hint="eastAsia" w:ascii="仿宋" w:hAnsi="仿宋" w:eastAsia="仿宋" w:cs="仿宋"/>
          <w:sz w:val="24"/>
          <w:szCs w:val="24"/>
        </w:rPr>
        <w:t>6、法定代表人授权代表须是投标人本单位职工，应提供本公司缴纳社会保险证明；</w:t>
      </w:r>
    </w:p>
    <w:p>
      <w:pPr>
        <w:spacing w:line="440" w:lineRule="exact"/>
        <w:ind w:firstLine="640"/>
        <w:rPr>
          <w:rFonts w:ascii="仿宋" w:hAnsi="仿宋" w:eastAsia="仿宋" w:cs="仿宋"/>
          <w:sz w:val="24"/>
          <w:szCs w:val="24"/>
        </w:rPr>
      </w:pPr>
      <w:r>
        <w:rPr>
          <w:rFonts w:hint="eastAsia" w:ascii="仿宋" w:hAnsi="仿宋" w:eastAsia="仿宋" w:cs="仿宋"/>
          <w:sz w:val="24"/>
          <w:szCs w:val="24"/>
        </w:rPr>
        <w:t>7、本项目不接受联合体投标。</w:t>
      </w:r>
    </w:p>
    <w:p>
      <w:pPr>
        <w:spacing w:line="440" w:lineRule="exact"/>
        <w:rPr>
          <w:rFonts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topLinePunct/>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1、持CA数字认证证书，登录</w:t>
      </w:r>
      <w:r>
        <w:rPr>
          <w:sz w:val="24"/>
          <w:szCs w:val="24"/>
        </w:rPr>
        <w:fldChar w:fldCharType="begin"/>
      </w:r>
      <w:r>
        <w:rPr>
          <w:sz w:val="24"/>
          <w:szCs w:val="24"/>
        </w:rPr>
        <w:instrText xml:space="preserve"> HYPERLINK "http://221.14.6.70:8088/ggzy/eps/public/RegistAllJcxx.html" </w:instrText>
      </w:r>
      <w:r>
        <w:rPr>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ascii="仿宋" w:hAnsi="仿宋" w:eastAsia="仿宋" w:cs="仿宋"/>
          <w:sz w:val="24"/>
          <w:szCs w:val="24"/>
        </w:rPr>
      </w:pPr>
      <w:r>
        <w:rPr>
          <w:rFonts w:hint="eastAsia" w:ascii="仿宋" w:hAnsi="仿宋" w:eastAsia="仿宋" w:cs="仿宋"/>
          <w:sz w:val="24"/>
          <w:szCs w:val="24"/>
        </w:rPr>
        <w:t>　2、在投标截止时间前登录</w:t>
      </w:r>
      <w:r>
        <w:rPr>
          <w:sz w:val="24"/>
          <w:szCs w:val="24"/>
        </w:rPr>
        <w:fldChar w:fldCharType="begin"/>
      </w:r>
      <w:r>
        <w:rPr>
          <w:sz w:val="24"/>
          <w:szCs w:val="24"/>
        </w:rPr>
        <w:instrText xml:space="preserve"> HYPERLINK "http://221.14.6.70:8088/ggzy/" </w:instrText>
      </w:r>
      <w:r>
        <w:rPr>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4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40" w:lineRule="exact"/>
        <w:rPr>
          <w:rFonts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44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1、投标截止及开标时间：2018年 </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 :00　（北京时间），逾期送达或不符合规定的投标文件不予接受。</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4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4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地址：禹州市行政服务中心楼917房间  </w:t>
      </w:r>
    </w:p>
    <w:p>
      <w:pPr>
        <w:spacing w:line="440" w:lineRule="exact"/>
        <w:ind w:firstLine="600" w:firstLineChars="250"/>
        <w:rPr>
          <w:rFonts w:ascii="仿宋" w:hAnsi="仿宋" w:eastAsia="仿宋" w:cs="仿宋"/>
          <w:sz w:val="24"/>
          <w:szCs w:val="24"/>
        </w:rPr>
      </w:pPr>
      <w:r>
        <w:rPr>
          <w:rFonts w:hint="eastAsia" w:ascii="仿宋" w:hAnsi="仿宋" w:eastAsia="仿宋" w:cs="仿宋"/>
          <w:sz w:val="24"/>
          <w:szCs w:val="24"/>
        </w:rPr>
        <w:t>联系人：侯女士  联系电话：0374-2077111</w:t>
      </w:r>
    </w:p>
    <w:p>
      <w:pPr>
        <w:spacing w:line="440" w:lineRule="exact"/>
        <w:rPr>
          <w:rFonts w:ascii="仿宋" w:hAnsi="仿宋" w:eastAsia="仿宋" w:cs="仿宋"/>
          <w:sz w:val="24"/>
          <w:szCs w:val="24"/>
        </w:rPr>
      </w:pPr>
      <w:r>
        <w:rPr>
          <w:rFonts w:hint="eastAsia" w:ascii="仿宋" w:hAnsi="仿宋" w:eastAsia="仿宋" w:cs="仿宋"/>
          <w:sz w:val="24"/>
          <w:szCs w:val="24"/>
        </w:rPr>
        <w:t>　（二）采购单位：禹州市农业林业局</w:t>
      </w:r>
    </w:p>
    <w:p>
      <w:pPr>
        <w:spacing w:line="440" w:lineRule="exact"/>
        <w:ind w:firstLine="600" w:firstLineChars="250"/>
        <w:rPr>
          <w:rFonts w:ascii="仿宋" w:hAnsi="仿宋" w:eastAsia="仿宋" w:cs="仿宋"/>
          <w:sz w:val="24"/>
          <w:szCs w:val="24"/>
        </w:rPr>
      </w:pPr>
      <w:r>
        <w:rPr>
          <w:rFonts w:hint="eastAsia" w:ascii="仿宋" w:hAnsi="仿宋" w:eastAsia="仿宋" w:cs="仿宋"/>
          <w:sz w:val="24"/>
          <w:szCs w:val="24"/>
        </w:rPr>
        <w:t>地址：禹州市画圣路</w:t>
      </w:r>
    </w:p>
    <w:p>
      <w:pPr>
        <w:spacing w:line="440" w:lineRule="exact"/>
        <w:ind w:firstLine="600" w:firstLineChars="250"/>
        <w:rPr>
          <w:rFonts w:ascii="仿宋" w:hAnsi="仿宋" w:eastAsia="仿宋" w:cs="仿宋"/>
          <w:sz w:val="24"/>
          <w:szCs w:val="24"/>
        </w:rPr>
      </w:pPr>
      <w:r>
        <w:rPr>
          <w:rFonts w:hint="eastAsia" w:ascii="仿宋" w:hAnsi="仿宋" w:eastAsia="仿宋" w:cs="仿宋"/>
          <w:sz w:val="24"/>
          <w:szCs w:val="24"/>
        </w:rPr>
        <w:t xml:space="preserve"> 联系人：和先生      联系电话：0374-8609621</w:t>
      </w:r>
    </w:p>
    <w:p>
      <w:pPr>
        <w:spacing w:line="440" w:lineRule="exact"/>
        <w:rPr>
          <w:rFonts w:ascii="仿宋" w:hAnsi="仿宋" w:eastAsia="仿宋" w:cs="仿宋"/>
          <w:sz w:val="24"/>
          <w:szCs w:val="24"/>
        </w:rPr>
      </w:pPr>
      <w:r>
        <w:rPr>
          <w:rFonts w:hint="eastAsia" w:ascii="仿宋" w:hAnsi="仿宋" w:eastAsia="仿宋" w:cs="仿宋"/>
          <w:sz w:val="24"/>
          <w:szCs w:val="24"/>
        </w:rPr>
        <w:t>　　　　　　　　　　　　　　　　　　</w:t>
      </w:r>
    </w:p>
    <w:p>
      <w:pPr>
        <w:spacing w:line="440" w:lineRule="exact"/>
        <w:ind w:firstLine="5280" w:firstLineChars="2200"/>
        <w:rPr>
          <w:rFonts w:ascii="仿宋" w:hAnsi="仿宋" w:eastAsia="仿宋" w:cs="仿宋"/>
          <w:sz w:val="24"/>
          <w:szCs w:val="24"/>
        </w:rPr>
      </w:pPr>
      <w:r>
        <w:rPr>
          <w:rFonts w:hint="eastAsia" w:ascii="仿宋" w:hAnsi="仿宋" w:eastAsia="仿宋" w:cs="仿宋"/>
          <w:sz w:val="24"/>
          <w:szCs w:val="24"/>
        </w:rPr>
        <w:t>2018年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p>
    <w:p>
      <w:pPr>
        <w:spacing w:line="360" w:lineRule="auto"/>
        <w:rPr>
          <w:rFonts w:hint="eastAsia" w:ascii="仿宋" w:hAnsi="仿宋" w:eastAsia="仿宋" w:cs="仿宋"/>
          <w:b/>
          <w:sz w:val="24"/>
          <w:szCs w:val="2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农业林业局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禹州市农业林业局粮食生产功能区划定技术服务项目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sz w:val="24"/>
                <w:szCs w:val="24"/>
                <w:lang w:eastAsia="zh-CN"/>
              </w:rPr>
              <w:t>壹万元整</w:t>
            </w:r>
            <w:r>
              <w:rPr>
                <w:rFonts w:hint="eastAsia" w:ascii="仿宋" w:hAnsi="仿宋" w:eastAsia="仿宋"/>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18</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18</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18</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b/>
                <w:bCs/>
                <w:sz w:val="24"/>
                <w:szCs w:val="24"/>
                <w:lang w:val="en-US" w:eastAsia="zh-CN"/>
              </w:rPr>
              <w:t>266万元，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4"/>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5"/>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pStyle w:val="2"/>
        <w:rPr>
          <w:rFonts w:hint="eastAsia" w:ascii="仿宋" w:hAnsi="仿宋" w:eastAsia="仿宋" w:cs="仿宋"/>
          <w:sz w:val="24"/>
          <w:szCs w:val="24"/>
          <w:shd w:val="clear" w:color="auto" w:fill="FFFFFF"/>
        </w:rPr>
      </w:pPr>
      <w:r>
        <w:rPr>
          <w:rFonts w:hint="eastAsia" w:ascii="仿宋" w:hAnsi="仿宋" w:eastAsia="仿宋"/>
          <w:b/>
          <w:sz w:val="44"/>
          <w:lang w:val="en-US" w:eastAsia="zh-CN"/>
        </w:rPr>
        <w:t xml:space="preserve">  </w:t>
      </w:r>
      <w:r>
        <w:rPr>
          <w:rFonts w:hint="eastAsia" w:ascii="仿宋" w:hAnsi="仿宋" w:eastAsia="仿宋" w:cs="仿宋"/>
          <w:b/>
          <w:sz w:val="24"/>
          <w:szCs w:val="24"/>
          <w:lang w:val="en-US" w:eastAsia="zh-CN"/>
        </w:rPr>
        <w:t>一、</w:t>
      </w:r>
      <w:r>
        <w:rPr>
          <w:rFonts w:hint="eastAsia" w:ascii="仿宋" w:hAnsi="仿宋" w:eastAsia="仿宋" w:cs="仿宋"/>
          <w:sz w:val="24"/>
          <w:szCs w:val="24"/>
          <w:shd w:val="clear" w:color="auto" w:fill="FFFFFF"/>
        </w:rPr>
        <w:t>本项目需实现的功能或者目标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（1）“两区”划定：根据上级下达的两区划定面积指标，以地块为基本空间单元，确定“两区”空间位置、面积，并结合实际记录耕地质量等级、作物类型、权属以及路桥涵渠等农田灌排工程等基本信息。</w:t>
      </w:r>
    </w:p>
    <w:p>
      <w:pPr>
        <w:spacing w:line="360" w:lineRule="auto"/>
        <w:ind w:firstLine="480" w:firstLineChars="200"/>
        <w:rPr>
          <w:rFonts w:hint="eastAsia" w:ascii="仿宋" w:hAnsi="仿宋" w:eastAsia="仿宋" w:cs="仿宋"/>
          <w:sz w:val="24"/>
          <w:szCs w:val="24"/>
        </w:rPr>
      </w:pPr>
      <w:bookmarkStart w:id="0" w:name="_Toc491787925"/>
      <w:r>
        <w:rPr>
          <w:rFonts w:hint="eastAsia" w:ascii="仿宋" w:hAnsi="仿宋" w:eastAsia="仿宋" w:cs="仿宋"/>
          <w:sz w:val="24"/>
          <w:szCs w:val="24"/>
        </w:rPr>
        <w:t>（2）“两区”上图入库</w:t>
      </w:r>
      <w:bookmarkEnd w:id="0"/>
      <w:r>
        <w:rPr>
          <w:rFonts w:hint="eastAsia" w:ascii="仿宋" w:hAnsi="仿宋" w:eastAsia="仿宋" w:cs="仿宋"/>
          <w:sz w:val="24"/>
          <w:szCs w:val="24"/>
        </w:rPr>
        <w:t>：将划定的“两区”具体地块制成电子地图，整理汇总“两区”划定各类成果的电子数据和文档，建立、更新“两区”数据库，建成长效的“两区”信息更新、统计与汇总机制，保持“两区”划定数据库的现势性；并与基本农田数据库对接</w:t>
      </w:r>
    </w:p>
    <w:p>
      <w:pPr>
        <w:spacing w:line="360" w:lineRule="auto"/>
        <w:ind w:firstLine="480" w:firstLineChars="200"/>
        <w:rPr>
          <w:rFonts w:hint="eastAsia" w:ascii="仿宋" w:hAnsi="仿宋" w:eastAsia="仿宋" w:cs="仿宋"/>
          <w:sz w:val="24"/>
          <w:szCs w:val="24"/>
        </w:rPr>
      </w:pPr>
      <w:bookmarkStart w:id="1" w:name="_Toc491787926"/>
      <w:r>
        <w:rPr>
          <w:rFonts w:hint="eastAsia" w:ascii="仿宋" w:hAnsi="仿宋" w:eastAsia="仿宋" w:cs="仿宋"/>
          <w:sz w:val="24"/>
          <w:szCs w:val="24"/>
        </w:rPr>
        <w:t>（3）“两区”成果建档立册</w:t>
      </w:r>
      <w:bookmarkEnd w:id="1"/>
      <w:r>
        <w:rPr>
          <w:rFonts w:hint="eastAsia" w:ascii="仿宋" w:hAnsi="仿宋" w:eastAsia="仿宋" w:cs="仿宋"/>
          <w:sz w:val="24"/>
          <w:szCs w:val="24"/>
        </w:rPr>
        <w:t>：建立“两区”划定表册、图件、文本和数据等成果的档案管理制度，明确成果资料的归档、管理和使用。</w:t>
      </w:r>
    </w:p>
    <w:p>
      <w:pPr>
        <w:spacing w:line="360" w:lineRule="auto"/>
        <w:ind w:firstLine="480" w:firstLineChars="200"/>
        <w:rPr>
          <w:rFonts w:hint="eastAsia" w:ascii="仿宋" w:hAnsi="仿宋" w:eastAsia="仿宋" w:cs="仿宋"/>
          <w:sz w:val="24"/>
          <w:szCs w:val="24"/>
        </w:rPr>
      </w:pPr>
      <w:bookmarkStart w:id="2" w:name="_Toc491787927"/>
      <w:r>
        <w:rPr>
          <w:rFonts w:hint="eastAsia" w:ascii="仿宋" w:hAnsi="仿宋" w:eastAsia="仿宋" w:cs="仿宋"/>
          <w:sz w:val="24"/>
          <w:szCs w:val="24"/>
        </w:rPr>
        <w:t>（4）“两区”信息精准化管理</w:t>
      </w:r>
      <w:bookmarkEnd w:id="2"/>
      <w:r>
        <w:rPr>
          <w:rFonts w:hint="eastAsia" w:ascii="仿宋" w:hAnsi="仿宋" w:eastAsia="仿宋" w:cs="仿宋"/>
          <w:sz w:val="24"/>
          <w:szCs w:val="24"/>
        </w:rPr>
        <w:t>：建设“两区”划定建库管理系统，实现“两区”划定数据库的管理和更深层次的应用以及对“两区”划定数据的综合管理。记录并监测“两区”范围内农作物品种、种植面积等种植情况变化信息，相应补助补贴政策投入等基本情况。记录并监测“两区”耕地质量等级、农业基础设施建设及管护主体、标识标志等基本情况。</w:t>
      </w:r>
    </w:p>
    <w:p>
      <w:pPr>
        <w:pStyle w:val="2"/>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三、执行标准</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GB/T2260中华人民共和国行政区代码</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GB/T10114县级以下行政区划代码编制规则</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GB/T19231-2003土地基本术语</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GB/T21010-2007土地利用现状分类</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GB/T30600-2014高标准农田建设通则</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GB/T33130-2016高标准农田建设评价规范</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GB/T28407-2012农用地质量分等规程</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TD/T1014-2007第二次全国土地调查技术规程</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TD/T1016-2007土地利用数据库标准</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TD/T1032-2011基本农田划定技术规程</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TD/T1019-2009基本农田数据库标准</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NY/T2538-2014农村土地承包经营权要素编码规则</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NY/T2539-2016农村土地承包经营权确权登记数据库规范</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粮食生产功能区和重要农产品生产保护区划定技术规程（试行）</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《国务院关于建立粮食生产功能区和重要农产品生产保护区的指导意见》（国发〔2017〕24号）</w:t>
      </w:r>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《河南省人民政府办公厅关于印发河南省粮食生产功能区和重要农产品生产保护区划定工作方案的通知》（豫政〔2017〕115号）</w:t>
      </w:r>
    </w:p>
    <w:p>
      <w:pPr>
        <w:pStyle w:val="2"/>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eastAsia="zh-CN"/>
        </w:rPr>
        <w:t>三</w:t>
      </w:r>
      <w:r>
        <w:rPr>
          <w:rFonts w:hint="eastAsia" w:ascii="仿宋" w:hAnsi="仿宋" w:eastAsia="仿宋" w:cs="仿宋"/>
          <w:sz w:val="24"/>
          <w:szCs w:val="24"/>
          <w:shd w:val="clear" w:color="auto" w:fill="FFFFFF"/>
        </w:rPr>
        <w:t>、服务标准、期限、效率等要求</w:t>
      </w:r>
    </w:p>
    <w:p>
      <w:pPr>
        <w:widowControl/>
        <w:spacing w:line="360" w:lineRule="auto"/>
        <w:ind w:firstLine="470"/>
        <w:jc w:val="left"/>
        <w:rPr>
          <w:rFonts w:hint="eastAsia" w:ascii="仿宋" w:hAnsi="仿宋" w:eastAsia="仿宋" w:cs="仿宋"/>
          <w:kern w:val="0"/>
          <w:sz w:val="24"/>
          <w:szCs w:val="24"/>
        </w:rPr>
      </w:pPr>
      <w:r>
        <w:rPr>
          <w:rFonts w:hint="eastAsia" w:ascii="仿宋" w:hAnsi="仿宋" w:eastAsia="仿宋" w:cs="仿宋"/>
          <w:kern w:val="0"/>
          <w:sz w:val="24"/>
          <w:szCs w:val="24"/>
        </w:rPr>
        <w:t>（1）培训要求</w:t>
      </w:r>
    </w:p>
    <w:p>
      <w:pPr>
        <w:widowControl/>
        <w:spacing w:line="360" w:lineRule="auto"/>
        <w:ind w:firstLine="470"/>
        <w:jc w:val="left"/>
        <w:rPr>
          <w:rFonts w:hint="eastAsia" w:ascii="仿宋" w:hAnsi="仿宋" w:eastAsia="仿宋" w:cs="仿宋"/>
          <w:kern w:val="0"/>
          <w:sz w:val="24"/>
          <w:szCs w:val="24"/>
        </w:rPr>
      </w:pPr>
      <w:r>
        <w:rPr>
          <w:rFonts w:hint="eastAsia" w:ascii="仿宋" w:hAnsi="仿宋" w:eastAsia="仿宋" w:cs="仿宋"/>
          <w:kern w:val="0"/>
          <w:sz w:val="24"/>
          <w:szCs w:val="24"/>
        </w:rPr>
        <w:t>中标方应免费提供对招标方操作人员和技术人员的培训，并负责提供培训资料的准备，投标方应在投标文件中提出详细的培训内容和计划，确保招标方工作人员及技术人员能够熟练操作。</w:t>
      </w:r>
    </w:p>
    <w:p>
      <w:pPr>
        <w:widowControl/>
        <w:spacing w:line="360" w:lineRule="auto"/>
        <w:ind w:firstLine="470"/>
        <w:jc w:val="left"/>
        <w:rPr>
          <w:rFonts w:hint="eastAsia" w:ascii="仿宋" w:hAnsi="仿宋" w:eastAsia="仿宋" w:cs="仿宋"/>
          <w:kern w:val="0"/>
          <w:sz w:val="24"/>
          <w:szCs w:val="24"/>
        </w:rPr>
      </w:pPr>
      <w:r>
        <w:rPr>
          <w:rFonts w:hint="eastAsia" w:ascii="仿宋" w:hAnsi="仿宋" w:eastAsia="仿宋" w:cs="仿宋"/>
          <w:kern w:val="0"/>
          <w:sz w:val="24"/>
          <w:szCs w:val="24"/>
        </w:rPr>
        <w:t>（2）售后要求</w:t>
      </w:r>
    </w:p>
    <w:p>
      <w:pPr>
        <w:widowControl/>
        <w:spacing w:line="360" w:lineRule="auto"/>
        <w:ind w:firstLine="470"/>
        <w:jc w:val="left"/>
        <w:rPr>
          <w:rFonts w:hint="eastAsia" w:ascii="仿宋" w:hAnsi="仿宋" w:eastAsia="仿宋" w:cs="仿宋"/>
          <w:kern w:val="0"/>
          <w:sz w:val="24"/>
          <w:szCs w:val="24"/>
        </w:rPr>
      </w:pPr>
      <w:bookmarkStart w:id="3" w:name="_Toc450914837"/>
      <w:bookmarkEnd w:id="3"/>
      <w:r>
        <w:rPr>
          <w:rFonts w:hint="eastAsia" w:ascii="仿宋" w:hAnsi="仿宋" w:eastAsia="仿宋" w:cs="仿宋"/>
          <w:kern w:val="0"/>
          <w:sz w:val="24"/>
          <w:szCs w:val="24"/>
        </w:rPr>
        <w:t>对本项目成果提供一年的质量保证期。在质量保证期内，应提供免费的售后服务，提供至少1名人员的驻场服务，服务内容包括：系统日常维护、软件应有功能的调整优化与升级、软硬件集成安装调试及维护、数据库维护等。</w:t>
      </w:r>
    </w:p>
    <w:p>
      <w:pPr>
        <w:pStyle w:val="2"/>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eastAsia="zh-CN"/>
        </w:rPr>
        <w:t>四</w:t>
      </w:r>
      <w:r>
        <w:rPr>
          <w:rFonts w:hint="eastAsia" w:ascii="仿宋" w:hAnsi="仿宋" w:eastAsia="仿宋" w:cs="仿宋"/>
          <w:sz w:val="24"/>
          <w:szCs w:val="24"/>
          <w:shd w:val="clear" w:color="auto" w:fill="FFFFFF"/>
        </w:rPr>
        <w:t>、验收标准</w:t>
      </w:r>
    </w:p>
    <w:p>
      <w:pPr>
        <w:shd w:val="clear" w:color="auto" w:fill="FFFFFF"/>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按照农业部《粮食生产功能区和重要农产品生产保护区划定数据库规范（试行）》符合上级制定技术标准；</w:t>
      </w:r>
    </w:p>
    <w:p>
      <w:pPr>
        <w:shd w:val="clear" w:color="auto" w:fill="FFFFFF"/>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在中标人先期自验的基础上，提出验收申请，由采购人成立验收小组,按照采购合同的约定对中标人履约情况进行验收。验收时,按照采购合同的约定对每一项技术、服务、安全标准的履约情况进行确认。</w:t>
      </w:r>
    </w:p>
    <w:p>
      <w:pPr>
        <w:shd w:val="clear" w:color="auto" w:fill="FFFFFF"/>
        <w:spacing w:line="540" w:lineRule="exact"/>
        <w:rPr>
          <w:rFonts w:hint="eastAsia" w:ascii="仿宋" w:hAnsi="仿宋" w:eastAsia="仿宋" w:cs="仿宋"/>
          <w:b/>
          <w:bCs/>
          <w:kern w:val="2"/>
          <w:sz w:val="24"/>
          <w:szCs w:val="24"/>
          <w:shd w:val="clear" w:color="auto" w:fill="FFFFFF"/>
          <w:lang w:val="en-US" w:eastAsia="zh-CN" w:bidi="ar-SA"/>
        </w:rPr>
      </w:pPr>
      <w:r>
        <w:rPr>
          <w:rFonts w:hint="eastAsia" w:ascii="仿宋" w:hAnsi="仿宋" w:eastAsia="仿宋" w:cs="仿宋"/>
          <w:b/>
          <w:bCs/>
          <w:kern w:val="2"/>
          <w:sz w:val="24"/>
          <w:szCs w:val="24"/>
          <w:shd w:val="clear" w:color="auto" w:fill="FFFFFF"/>
          <w:lang w:val="en-US" w:eastAsia="zh-CN" w:bidi="ar-SA"/>
        </w:rPr>
        <w:t>五、采购标的的其他技术、服务等要求</w:t>
      </w:r>
    </w:p>
    <w:p>
      <w:pPr>
        <w:shd w:val="clear" w:color="auto" w:fill="FFFFFF"/>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中标人接受招标人及上级有关部门的业务指导和随时技术方案的调整。</w:t>
      </w:r>
    </w:p>
    <w:p>
      <w:pPr>
        <w:shd w:val="clear" w:color="auto" w:fill="FFFFFF"/>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标价包括以下内容和费用：乙方的中标价已包括资料收集、潜力调查研究、规划成果编制、服务费用、培训费、运行维护费用、规划数据库建设、协调论证会、会议评审、规费、税金、合理利润等所有费用。招标人不另行支付其他费用。</w:t>
      </w:r>
    </w:p>
    <w:p>
      <w:pPr>
        <w:pStyle w:val="2"/>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eastAsia="zh-CN"/>
        </w:rPr>
        <w:t>六</w:t>
      </w:r>
      <w:r>
        <w:rPr>
          <w:rFonts w:hint="eastAsia" w:ascii="仿宋" w:hAnsi="仿宋" w:eastAsia="仿宋" w:cs="仿宋"/>
          <w:sz w:val="24"/>
          <w:szCs w:val="24"/>
          <w:shd w:val="clear" w:color="auto" w:fill="FFFFFF"/>
        </w:rPr>
        <w:t>、</w:t>
      </w:r>
      <w:r>
        <w:rPr>
          <w:rFonts w:hint="eastAsia" w:ascii="仿宋" w:hAnsi="仿宋" w:eastAsia="仿宋" w:cs="仿宋"/>
          <w:sz w:val="24"/>
          <w:szCs w:val="24"/>
          <w:shd w:val="clear" w:color="auto" w:fill="FFFFFF"/>
          <w:lang w:eastAsia="zh-CN"/>
        </w:rPr>
        <w:t>付款方式</w:t>
      </w:r>
      <w:r>
        <w:rPr>
          <w:rFonts w:hint="eastAsia" w:ascii="仿宋" w:hAnsi="仿宋" w:eastAsia="仿宋" w:cs="仿宋"/>
          <w:sz w:val="24"/>
          <w:szCs w:val="24"/>
          <w:shd w:val="clear" w:color="auto" w:fill="FFFFFF"/>
          <w:lang w:val="en-US" w:eastAsia="zh-CN"/>
        </w:rPr>
        <w:t xml:space="preserve"> ：</w:t>
      </w:r>
    </w:p>
    <w:p>
      <w:pPr>
        <w:widowControl/>
        <w:shd w:val="clear" w:color="auto" w:fill="FFFFFF"/>
        <w:spacing w:line="360" w:lineRule="auto"/>
        <w:ind w:firstLine="480" w:firstLineChars="200"/>
        <w:contextualSpacing/>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1、支付方式：</w:t>
      </w:r>
      <w:r>
        <w:rPr>
          <w:rFonts w:hint="eastAsia" w:ascii="仿宋" w:hAnsi="仿宋" w:eastAsia="仿宋" w:cs="仿宋"/>
          <w:sz w:val="24"/>
          <w:szCs w:val="24"/>
        </w:rPr>
        <w:t>国库集中支付。</w:t>
      </w:r>
    </w:p>
    <w:p>
      <w:pPr>
        <w:widowControl/>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2、支付时间及条件：</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（1）完成任务的50%以上（即：完成外业核查、软件开发、安装、调试、培训）可后拨付总价款50%的资金；</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（2）全部完工后（数据库合库完成后）支付总价款的40%；</w:t>
      </w:r>
    </w:p>
    <w:p>
      <w:pPr>
        <w:widowControl/>
        <w:spacing w:line="360" w:lineRule="auto"/>
        <w:ind w:firstLine="480" w:firstLineChars="200"/>
        <w:jc w:val="left"/>
        <w:rPr>
          <w:rFonts w:hint="eastAsia" w:ascii="仿宋" w:hAnsi="仿宋" w:eastAsia="仿宋" w:cs="仿宋"/>
          <w:b/>
          <w:sz w:val="24"/>
          <w:szCs w:val="24"/>
          <w:lang w:val="en-US" w:eastAsia="zh-CN"/>
        </w:rPr>
      </w:pPr>
      <w:r>
        <w:rPr>
          <w:rFonts w:hint="eastAsia" w:ascii="仿宋" w:hAnsi="仿宋" w:eastAsia="仿宋" w:cs="仿宋"/>
          <w:sz w:val="24"/>
          <w:szCs w:val="24"/>
        </w:rPr>
        <w:t>（3）剩余10%款项待项目通过验收后支付。</w:t>
      </w:r>
    </w:p>
    <w:p>
      <w:pPr>
        <w:pStyle w:val="2"/>
        <w:rPr>
          <w:rFonts w:hint="eastAsia"/>
          <w:lang w:val="en-US" w:eastAsia="zh-CN"/>
        </w:rPr>
      </w:pPr>
      <w:r>
        <w:rPr>
          <w:rFonts w:hint="eastAsia" w:ascii="仿宋" w:hAnsi="仿宋" w:eastAsia="仿宋" w:cs="仿宋"/>
          <w:color w:val="auto"/>
          <w:sz w:val="24"/>
          <w:szCs w:val="24"/>
          <w:lang w:val="en-US" w:eastAsia="zh-CN"/>
        </w:rPr>
        <w:t>七、成果要求：符合业主要求。</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八</w:t>
      </w:r>
      <w:r>
        <w:rPr>
          <w:rFonts w:hint="eastAsia" w:ascii="仿宋" w:hAnsi="仿宋" w:eastAsia="仿宋" w:cs="仿宋"/>
          <w:b/>
          <w:sz w:val="24"/>
          <w:szCs w:val="24"/>
        </w:rPr>
        <w:t>、其它要求</w:t>
      </w:r>
      <w:bookmarkStart w:id="4" w:name="_GoBack"/>
      <w:bookmarkEnd w:id="4"/>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1、以上要求为最低要求，投标商应等于或优于此要求，否则为无效投标。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2、投标人应就该项目完整投标，须合理的工作方案，否则为无效投标。</w:t>
      </w:r>
    </w:p>
    <w:p>
      <w:pPr>
        <w:tabs>
          <w:tab w:val="left" w:pos="5963"/>
        </w:tabs>
        <w:spacing w:line="4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3、投标商必须由法定代表人或其授权代表参加开标会议，随时接受评标委员会询问，并予作出书面解答。</w:t>
      </w:r>
    </w:p>
    <w:p>
      <w:pPr>
        <w:tabs>
          <w:tab w:val="left" w:pos="5963"/>
        </w:tabs>
        <w:spacing w:line="420" w:lineRule="exact"/>
        <w:rPr>
          <w:rFonts w:ascii="仿宋" w:hAnsi="仿宋" w:eastAsia="仿宋" w:cs="仿宋"/>
          <w:sz w:val="24"/>
          <w:szCs w:val="24"/>
        </w:rPr>
      </w:pPr>
    </w:p>
    <w:p>
      <w:pPr>
        <w:spacing w:line="520" w:lineRule="exact"/>
        <w:ind w:firstLine="1205" w:firstLineChars="500"/>
        <w:rPr>
          <w:rFonts w:ascii="仿宋" w:hAnsi="仿宋" w:eastAsia="仿宋" w:cs="仿宋"/>
          <w:b/>
          <w:sz w:val="24"/>
          <w:szCs w:val="24"/>
        </w:rPr>
      </w:pPr>
    </w:p>
    <w:p>
      <w:pPr>
        <w:spacing w:line="520" w:lineRule="exact"/>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w:t>
      </w:r>
      <w:r>
        <w:rPr>
          <w:rFonts w:hint="eastAsia" w:ascii="仿宋" w:hAnsi="仿宋" w:eastAsia="仿宋" w:cs="仿宋"/>
          <w:sz w:val="24"/>
          <w:szCs w:val="24"/>
          <w:lang w:eastAsia="zh-CN"/>
        </w:rPr>
        <w:t>资质证书及项目负责人证书、</w:t>
      </w:r>
      <w:r>
        <w:rPr>
          <w:rFonts w:hint="eastAsia" w:ascii="仿宋" w:hAnsi="仿宋" w:eastAsia="仿宋" w:cs="仿宋"/>
          <w:sz w:val="24"/>
          <w:szCs w:val="24"/>
        </w:rPr>
        <w:t>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9356"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
        <w:gridCol w:w="989"/>
        <w:gridCol w:w="1131"/>
        <w:gridCol w:w="1134"/>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9" w:hRule="atLeast"/>
        </w:trPr>
        <w:tc>
          <w:tcPr>
            <w:tcW w:w="999" w:type="dxa"/>
            <w:gridSpan w:val="2"/>
            <w:tcMar>
              <w:left w:w="57" w:type="dxa"/>
              <w:right w:w="57" w:type="dxa"/>
            </w:tcMar>
            <w:vAlign w:val="center"/>
          </w:tcPr>
          <w:p>
            <w:pPr>
              <w:jc w:val="center"/>
              <w:rPr>
                <w:rFonts w:hint="eastAsia" w:ascii="仿宋" w:hAnsi="仿宋" w:eastAsia="仿宋" w:cs="仿宋"/>
                <w:color w:val="000000"/>
                <w:sz w:val="24"/>
                <w:szCs w:val="24"/>
              </w:rPr>
            </w:pPr>
          </w:p>
        </w:tc>
        <w:tc>
          <w:tcPr>
            <w:tcW w:w="989" w:type="dxa"/>
            <w:vAlign w:val="center"/>
          </w:tcPr>
          <w:p>
            <w:pPr>
              <w:spacing w:line="360" w:lineRule="auto"/>
              <w:jc w:val="center"/>
              <w:rPr>
                <w:rFonts w:hint="eastAsia" w:ascii="仿宋" w:hAnsi="仿宋" w:eastAsia="仿宋" w:cs="仿宋"/>
                <w:color w:val="000000"/>
                <w:sz w:val="24"/>
                <w:szCs w:val="24"/>
              </w:rPr>
            </w:pPr>
          </w:p>
        </w:tc>
        <w:tc>
          <w:tcPr>
            <w:tcW w:w="7368" w:type="dxa"/>
            <w:gridSpan w:val="3"/>
            <w:tcMar>
              <w:left w:w="57" w:type="dxa"/>
              <w:right w:w="57" w:type="dxa"/>
            </w:tcMar>
            <w:vAlign w:val="center"/>
          </w:tcPr>
          <w:p>
            <w:pPr>
              <w:spacing w:line="360" w:lineRule="auto"/>
              <w:jc w:val="left"/>
              <w:rPr>
                <w:rFonts w:hint="eastAsia" w:ascii="仿宋" w:hAnsi="仿宋" w:eastAsia="仿宋" w:cs="仿宋"/>
                <w:b/>
                <w:sz w:val="24"/>
                <w:szCs w:val="24"/>
              </w:rPr>
            </w:pPr>
            <w:r>
              <w:rPr>
                <w:rFonts w:hint="eastAsia" w:ascii="仿宋" w:hAnsi="仿宋" w:eastAsia="仿宋" w:cs="仿宋"/>
                <w:color w:val="000000"/>
                <w:kern w:val="0"/>
                <w:sz w:val="24"/>
                <w:szCs w:val="24"/>
              </w:rPr>
              <w:t>综合评分法，是指投标文件满足招标文件全部实质性要求，且按照评审因素的量化指标评审得分最高的投标人为中标候选人的评分办法。</w:t>
            </w:r>
          </w:p>
          <w:p>
            <w:pPr>
              <w:widowControl/>
              <w:shd w:val="clear" w:color="auto" w:fill="FFFFFF"/>
              <w:spacing w:line="360" w:lineRule="auto"/>
              <w:ind w:firstLine="36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各有效投标人按照以下公式计算得分：</w:t>
            </w:r>
          </w:p>
          <w:p>
            <w:pPr>
              <w:widowControl/>
              <w:shd w:val="clear" w:color="auto" w:fill="FFFFFF"/>
              <w:spacing w:line="360" w:lineRule="auto"/>
              <w:ind w:firstLine="36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评标总得分=F1×A1+ F2×A2+……Fn×An</w:t>
            </w:r>
          </w:p>
          <w:p>
            <w:pPr>
              <w:widowControl/>
              <w:shd w:val="clear" w:color="auto" w:fill="FFFFFF"/>
              <w:spacing w:line="360" w:lineRule="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    F1、F2......Fn分别为各项目评审因素的得分（各项目评审因素的得分为所有评委打分和的平均值，保留小数点后两位）；</w:t>
            </w:r>
          </w:p>
          <w:p>
            <w:pPr>
              <w:widowControl/>
              <w:shd w:val="clear" w:color="auto" w:fill="FFFFFF"/>
              <w:spacing w:line="360" w:lineRule="auto"/>
              <w:ind w:firstLine="12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   A1、A2......An分别为各项评审因素所占的权重（A1+A2......+An=1）。</w:t>
            </w:r>
          </w:p>
          <w:p>
            <w:pPr>
              <w:widowControl/>
              <w:shd w:val="clear" w:color="auto" w:fill="FFFFFF"/>
              <w:spacing w:line="360" w:lineRule="auto"/>
              <w:ind w:firstLine="36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 评审过程中，不得去掉报价中的最高报价和最低报价。</w:t>
            </w:r>
          </w:p>
          <w:p>
            <w:pPr>
              <w:widowControl/>
              <w:shd w:val="clear" w:color="auto" w:fill="FFFFFF"/>
              <w:spacing w:line="360" w:lineRule="auto"/>
              <w:ind w:firstLine="360"/>
              <w:rPr>
                <w:rFonts w:hint="eastAsia" w:ascii="仿宋" w:hAnsi="仿宋" w:eastAsia="仿宋" w:cs="仿宋"/>
                <w:sz w:val="24"/>
                <w:szCs w:val="24"/>
              </w:rPr>
            </w:pPr>
            <w:r>
              <w:rPr>
                <w:rFonts w:hint="eastAsia" w:ascii="仿宋" w:hAnsi="仿宋" w:eastAsia="仿宋" w:cs="仿宋"/>
                <w:b/>
                <w:bCs/>
                <w:color w:val="000000"/>
                <w:kern w:val="0"/>
                <w:sz w:val="24"/>
                <w:szCs w:val="24"/>
              </w:rPr>
              <w:t>评审因素权重值：投标报价权重值20%，对招标文件响应程度权重值</w:t>
            </w:r>
            <w:r>
              <w:rPr>
                <w:rFonts w:hint="eastAsia" w:ascii="仿宋" w:hAnsi="仿宋" w:eastAsia="仿宋" w:cs="仿宋"/>
                <w:b/>
                <w:bCs/>
                <w:color w:val="FF0000"/>
                <w:kern w:val="0"/>
                <w:sz w:val="24"/>
                <w:szCs w:val="24"/>
              </w:rPr>
              <w:t>40%，</w:t>
            </w:r>
            <w:r>
              <w:rPr>
                <w:rFonts w:hint="eastAsia" w:ascii="仿宋" w:hAnsi="仿宋" w:eastAsia="仿宋" w:cs="仿宋"/>
                <w:b/>
                <w:bCs/>
                <w:color w:val="000000"/>
                <w:kern w:val="0"/>
                <w:sz w:val="24"/>
                <w:szCs w:val="24"/>
              </w:rPr>
              <w:t>，综合实力权重值</w:t>
            </w:r>
            <w:r>
              <w:rPr>
                <w:rFonts w:hint="eastAsia" w:ascii="仿宋" w:hAnsi="仿宋" w:eastAsia="仿宋" w:cs="仿宋"/>
                <w:b/>
                <w:bCs/>
                <w:color w:val="FF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93" w:type="dxa"/>
            <w:tcMar>
              <w:left w:w="57" w:type="dxa"/>
              <w:right w:w="57" w:type="dxa"/>
            </w:tcMar>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条款号</w:t>
            </w:r>
          </w:p>
        </w:tc>
        <w:tc>
          <w:tcPr>
            <w:tcW w:w="995" w:type="dxa"/>
            <w:gridSpan w:val="2"/>
            <w:tcMar>
              <w:left w:w="57" w:type="dxa"/>
              <w:right w:w="57" w:type="dxa"/>
            </w:tcMar>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权重比例</w:t>
            </w:r>
          </w:p>
        </w:tc>
        <w:tc>
          <w:tcPr>
            <w:tcW w:w="1131" w:type="dxa"/>
            <w:tcMar>
              <w:left w:w="57" w:type="dxa"/>
              <w:right w:w="57" w:type="dxa"/>
            </w:tcMar>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评审因素</w:t>
            </w:r>
          </w:p>
        </w:tc>
        <w:tc>
          <w:tcPr>
            <w:tcW w:w="6237" w:type="dxa"/>
            <w:gridSpan w:val="2"/>
            <w:vAlign w:val="center"/>
          </w:tcPr>
          <w:p>
            <w:pPr>
              <w:snapToGrid w:val="0"/>
              <w:spacing w:line="360" w:lineRule="auto"/>
              <w:ind w:left="422" w:hanging="482" w:hangingChars="200"/>
              <w:jc w:val="center"/>
              <w:rPr>
                <w:rFonts w:hint="eastAsia" w:ascii="仿宋" w:hAnsi="仿宋" w:eastAsia="仿宋" w:cs="仿宋"/>
                <w:b/>
                <w:sz w:val="24"/>
                <w:szCs w:val="24"/>
              </w:rPr>
            </w:pPr>
            <w:r>
              <w:rPr>
                <w:rFonts w:hint="eastAsia" w:ascii="仿宋" w:hAnsi="仿宋" w:eastAsia="仿宋" w:cs="仿宋"/>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993" w:type="dxa"/>
            <w:tcMar>
              <w:left w:w="57" w:type="dxa"/>
              <w:right w:w="57" w:type="dxa"/>
            </w:tcMar>
            <w:vAlign w:val="center"/>
          </w:tcPr>
          <w:p>
            <w:pPr>
              <w:jc w:val="center"/>
              <w:rPr>
                <w:rFonts w:hint="eastAsia" w:ascii="仿宋" w:hAnsi="仿宋" w:eastAsia="仿宋" w:cs="仿宋"/>
                <w:sz w:val="24"/>
                <w:szCs w:val="24"/>
              </w:rPr>
            </w:pPr>
          </w:p>
        </w:tc>
        <w:tc>
          <w:tcPr>
            <w:tcW w:w="995" w:type="dxa"/>
            <w:gridSpan w:val="2"/>
            <w:vAlign w:val="center"/>
          </w:tcPr>
          <w:p>
            <w:pPr>
              <w:jc w:val="center"/>
              <w:rPr>
                <w:rFonts w:hint="eastAsia" w:ascii="仿宋" w:hAnsi="仿宋" w:eastAsia="仿宋" w:cs="仿宋"/>
                <w:sz w:val="24"/>
                <w:szCs w:val="24"/>
              </w:rPr>
            </w:pPr>
            <w:r>
              <w:rPr>
                <w:rFonts w:hint="eastAsia" w:ascii="仿宋" w:hAnsi="仿宋" w:eastAsia="仿宋" w:cs="仿宋"/>
                <w:spacing w:val="1"/>
                <w:kern w:val="0"/>
                <w:sz w:val="24"/>
                <w:szCs w:val="24"/>
              </w:rPr>
              <w:t>100%</w:t>
            </w:r>
          </w:p>
        </w:tc>
        <w:tc>
          <w:tcPr>
            <w:tcW w:w="1131" w:type="dxa"/>
            <w:tcMar>
              <w:left w:w="57" w:type="dxa"/>
              <w:right w:w="57" w:type="dxa"/>
            </w:tcMar>
            <w:vAlign w:val="center"/>
          </w:tcPr>
          <w:p>
            <w:pPr>
              <w:spacing w:line="360" w:lineRule="auto"/>
              <w:rPr>
                <w:rFonts w:hint="eastAsia" w:ascii="仿宋" w:hAnsi="仿宋" w:eastAsia="仿宋" w:cs="仿宋"/>
                <w:sz w:val="24"/>
                <w:szCs w:val="24"/>
              </w:rPr>
            </w:pPr>
          </w:p>
        </w:tc>
        <w:tc>
          <w:tcPr>
            <w:tcW w:w="6237" w:type="dxa"/>
            <w:gridSpan w:val="2"/>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（1）投标报价：20％</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（2）商务部分：</w:t>
            </w:r>
            <w:r>
              <w:rPr>
                <w:rFonts w:hint="eastAsia" w:ascii="仿宋" w:hAnsi="仿宋" w:eastAsia="仿宋" w:cs="仿宋"/>
                <w:color w:val="FF0000"/>
                <w:sz w:val="24"/>
                <w:szCs w:val="24"/>
              </w:rPr>
              <w:t>40%</w:t>
            </w:r>
          </w:p>
          <w:p>
            <w:pPr>
              <w:snapToGrid w:val="0"/>
              <w:spacing w:line="360" w:lineRule="auto"/>
              <w:rPr>
                <w:rFonts w:hint="eastAsia" w:ascii="仿宋" w:hAnsi="仿宋" w:eastAsia="仿宋" w:cs="仿宋"/>
                <w:spacing w:val="1"/>
                <w:kern w:val="0"/>
                <w:sz w:val="24"/>
                <w:szCs w:val="24"/>
              </w:rPr>
            </w:pPr>
            <w:r>
              <w:rPr>
                <w:rFonts w:hint="eastAsia" w:ascii="仿宋" w:hAnsi="仿宋" w:eastAsia="仿宋" w:cs="仿宋"/>
                <w:sz w:val="24"/>
                <w:szCs w:val="24"/>
              </w:rPr>
              <w:t>（3）技术部分：</w:t>
            </w:r>
            <w:r>
              <w:rPr>
                <w:rFonts w:hint="eastAsia" w:ascii="仿宋" w:hAnsi="仿宋" w:eastAsia="仿宋" w:cs="仿宋"/>
                <w:color w:val="FF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993" w:type="dxa"/>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95" w:type="dxa"/>
            <w:gridSpan w:val="2"/>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20％</w:t>
            </w:r>
          </w:p>
        </w:tc>
        <w:tc>
          <w:tcPr>
            <w:tcW w:w="1131" w:type="dxa"/>
            <w:tcMar>
              <w:left w:w="57" w:type="dxa"/>
              <w:right w:w="57" w:type="dxa"/>
            </w:tcMar>
            <w:vAlign w:val="center"/>
          </w:tcPr>
          <w:p>
            <w:pPr>
              <w:pStyle w:val="129"/>
              <w:spacing w:line="240" w:lineRule="atLeast"/>
              <w:jc w:val="center"/>
              <w:rPr>
                <w:rFonts w:hint="eastAsia" w:ascii="仿宋" w:hAnsi="仿宋" w:eastAsia="仿宋" w:cs="仿宋"/>
                <w:color w:val="auto"/>
                <w:spacing w:val="1"/>
                <w:kern w:val="2"/>
                <w:sz w:val="24"/>
                <w:szCs w:val="24"/>
              </w:rPr>
            </w:pPr>
            <w:r>
              <w:rPr>
                <w:rFonts w:hint="eastAsia" w:ascii="仿宋" w:hAnsi="仿宋" w:eastAsia="仿宋" w:cs="仿宋"/>
                <w:color w:val="auto"/>
                <w:spacing w:val="1"/>
                <w:kern w:val="2"/>
                <w:sz w:val="24"/>
                <w:szCs w:val="24"/>
              </w:rPr>
              <w:t>投标报价</w:t>
            </w:r>
          </w:p>
          <w:p>
            <w:pPr>
              <w:spacing w:line="360" w:lineRule="auto"/>
              <w:rPr>
                <w:rFonts w:hint="eastAsia" w:ascii="仿宋" w:hAnsi="仿宋" w:eastAsia="仿宋" w:cs="仿宋"/>
                <w:sz w:val="24"/>
                <w:szCs w:val="24"/>
              </w:rPr>
            </w:pPr>
            <w:r>
              <w:rPr>
                <w:rFonts w:hint="eastAsia" w:ascii="仿宋" w:hAnsi="仿宋" w:eastAsia="仿宋" w:cs="仿宋"/>
                <w:spacing w:val="1"/>
                <w:sz w:val="24"/>
                <w:szCs w:val="24"/>
              </w:rPr>
              <w:t>（100分）</w:t>
            </w:r>
          </w:p>
        </w:tc>
        <w:tc>
          <w:tcPr>
            <w:tcW w:w="6237" w:type="dxa"/>
            <w:gridSpan w:val="2"/>
          </w:tcPr>
          <w:p>
            <w:pPr>
              <w:autoSpaceDE w:val="0"/>
              <w:autoSpaceDN w:val="0"/>
              <w:adjustRightInd w:val="0"/>
              <w:spacing w:before="50"/>
              <w:ind w:right="97" w:firstLine="67" w:firstLineChars="28"/>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（1）价格分采用低价优先法计算，即通过资格性和符合性审查且投标价格最低的投标报价为评标基准价，其价格得分为满分20分，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其他投标人的价格分统一按照下列公式计算：</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投标报价得分=(评标基准价／投标报价)×20</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评标委员会发现投标人的报价明显低于其他投标报价，或者在设有标底时明显低于标底，使得其投标报价可能低于其个别成本，应当要求该投标人作出书面说明并提供相应的证明材料。投标人不能合理说明或者不能提供相应证明材料的，由评标委员会认定该投标人以低于成本报价竞标，将否决其投标。</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注：价格分计算保留小数点后二位。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93" w:type="dxa"/>
            <w:vMerge w:val="restart"/>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95" w:type="dxa"/>
            <w:gridSpan w:val="2"/>
            <w:vMerge w:val="restart"/>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lang w:val="en-US" w:eastAsia="zh-CN"/>
              </w:rPr>
              <w:t>4</w:t>
            </w:r>
            <w:r>
              <w:rPr>
                <w:rFonts w:hint="eastAsia" w:ascii="仿宋" w:hAnsi="仿宋" w:eastAsia="仿宋" w:cs="仿宋"/>
                <w:spacing w:val="1"/>
                <w:kern w:val="0"/>
                <w:sz w:val="24"/>
                <w:szCs w:val="24"/>
              </w:rPr>
              <w:t>0%</w:t>
            </w:r>
          </w:p>
        </w:tc>
        <w:tc>
          <w:tcPr>
            <w:tcW w:w="1131" w:type="dxa"/>
            <w:vMerge w:val="restart"/>
            <w:tcMar>
              <w:left w:w="57" w:type="dxa"/>
              <w:right w:w="57" w:type="dxa"/>
            </w:tcMar>
            <w:vAlign w:val="center"/>
          </w:tcPr>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pStyle w:val="129"/>
              <w:spacing w:line="240" w:lineRule="atLeast"/>
              <w:ind w:firstLine="212"/>
              <w:jc w:val="center"/>
              <w:rPr>
                <w:rFonts w:hint="eastAsia" w:ascii="仿宋" w:hAnsi="仿宋" w:eastAsia="仿宋" w:cs="仿宋"/>
                <w:spacing w:val="1"/>
                <w:kern w:val="2"/>
                <w:sz w:val="24"/>
                <w:szCs w:val="24"/>
              </w:rPr>
            </w:pPr>
          </w:p>
          <w:p>
            <w:pPr>
              <w:pStyle w:val="129"/>
              <w:spacing w:line="240" w:lineRule="atLeast"/>
              <w:rPr>
                <w:rFonts w:hint="eastAsia" w:ascii="仿宋" w:hAnsi="仿宋" w:eastAsia="仿宋" w:cs="仿宋"/>
                <w:spacing w:val="1"/>
                <w:kern w:val="2"/>
                <w:sz w:val="24"/>
                <w:szCs w:val="24"/>
              </w:rPr>
            </w:pPr>
            <w:r>
              <w:rPr>
                <w:rFonts w:hint="eastAsia" w:ascii="仿宋" w:hAnsi="仿宋" w:eastAsia="仿宋" w:cs="仿宋"/>
                <w:spacing w:val="1"/>
                <w:kern w:val="2"/>
                <w:sz w:val="24"/>
                <w:szCs w:val="24"/>
              </w:rPr>
              <w:t>综合实力（100分）</w:t>
            </w: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tc>
        <w:tc>
          <w:tcPr>
            <w:tcW w:w="1134" w:type="dxa"/>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企业实力</w:t>
            </w:r>
          </w:p>
          <w:p>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5103"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1、投标人同时具有质量管理体系认证、环境体系认证、职业健康安全管理体系认证、信息安全管理体系认证证书的得</w:t>
            </w:r>
            <w:r>
              <w:rPr>
                <w:rFonts w:hint="eastAsia" w:ascii="仿宋" w:hAnsi="仿宋" w:eastAsia="仿宋" w:cs="仿宋"/>
                <w:sz w:val="24"/>
                <w:szCs w:val="24"/>
                <w:lang w:val="en-US" w:eastAsia="zh-CN"/>
              </w:rPr>
              <w:t>8</w:t>
            </w:r>
            <w:r>
              <w:rPr>
                <w:rFonts w:hint="eastAsia" w:ascii="仿宋" w:hAnsi="仿宋" w:eastAsia="仿宋" w:cs="仿宋"/>
                <w:sz w:val="24"/>
                <w:szCs w:val="24"/>
              </w:rPr>
              <w:t>分，缺项不得分。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仿宋" w:hAnsi="仿宋" w:eastAsia="仿宋" w:cs="仿宋"/>
                <w:sz w:val="24"/>
                <w:szCs w:val="24"/>
              </w:rPr>
            </w:pPr>
            <w:r>
              <w:rPr>
                <w:rFonts w:hint="eastAsia" w:ascii="仿宋" w:hAnsi="仿宋" w:eastAsia="仿宋" w:cs="仿宋"/>
                <w:sz w:val="24"/>
                <w:szCs w:val="24"/>
              </w:rPr>
              <w:t>2、投标人具有相关系统软件著作权得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3、投标人具有国家级相关部门颁发的有效安全保密条件备案资质证书，得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4、投标人具有AAA级守合同重信用证书得</w:t>
            </w:r>
            <w:r>
              <w:rPr>
                <w:rFonts w:hint="eastAsia" w:ascii="仿宋" w:hAnsi="仿宋" w:eastAsia="仿宋" w:cs="仿宋"/>
                <w:sz w:val="24"/>
                <w:szCs w:val="24"/>
                <w:lang w:val="en-US" w:eastAsia="zh-CN"/>
              </w:rPr>
              <w:t>2</w:t>
            </w:r>
            <w:r>
              <w:rPr>
                <w:rFonts w:hint="eastAsia" w:ascii="仿宋" w:hAnsi="仿宋" w:eastAsia="仿宋" w:cs="仿宋"/>
                <w:sz w:val="24"/>
                <w:szCs w:val="24"/>
              </w:rPr>
              <w:t>分，没有不得分；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5、投标人具有AAA级企业信用等级证书得</w:t>
            </w:r>
            <w:r>
              <w:rPr>
                <w:rFonts w:hint="eastAsia" w:ascii="仿宋" w:hAnsi="仿宋" w:eastAsia="仿宋" w:cs="仿宋"/>
                <w:sz w:val="24"/>
                <w:szCs w:val="24"/>
                <w:lang w:val="en-US" w:eastAsia="zh-CN"/>
              </w:rPr>
              <w:t>2</w:t>
            </w:r>
            <w:r>
              <w:rPr>
                <w:rFonts w:hint="eastAsia" w:ascii="仿宋" w:hAnsi="仿宋" w:eastAsia="仿宋" w:cs="仿宋"/>
                <w:sz w:val="24"/>
                <w:szCs w:val="24"/>
              </w:rPr>
              <w:t>分，没有不得分；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6、投标人具备省级或以上部门颁发的高新技术企业证书的得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注：以上证书投标文件中附复印件，开标时提供证书原件，未提供原件的不得分。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trPr>
        <w:tc>
          <w:tcPr>
            <w:tcW w:w="993" w:type="dxa"/>
            <w:vMerge w:val="continue"/>
            <w:tcMar>
              <w:left w:w="57" w:type="dxa"/>
              <w:right w:w="57" w:type="dxa"/>
            </w:tcMar>
            <w:vAlign w:val="center"/>
          </w:tcPr>
          <w:p>
            <w:pPr>
              <w:jc w:val="center"/>
              <w:rPr>
                <w:rFonts w:hint="eastAsia" w:ascii="仿宋" w:hAnsi="仿宋" w:eastAsia="仿宋" w:cs="仿宋"/>
                <w:sz w:val="24"/>
                <w:szCs w:val="24"/>
              </w:rPr>
            </w:pPr>
          </w:p>
        </w:tc>
        <w:tc>
          <w:tcPr>
            <w:tcW w:w="995" w:type="dxa"/>
            <w:gridSpan w:val="2"/>
            <w:vMerge w:val="continue"/>
            <w:vAlign w:val="center"/>
          </w:tcPr>
          <w:p>
            <w:pPr>
              <w:jc w:val="center"/>
              <w:rPr>
                <w:rFonts w:hint="eastAsia" w:ascii="仿宋" w:hAnsi="仿宋" w:eastAsia="仿宋" w:cs="仿宋"/>
                <w:spacing w:val="1"/>
                <w:kern w:val="0"/>
                <w:sz w:val="24"/>
                <w:szCs w:val="24"/>
              </w:rPr>
            </w:pPr>
          </w:p>
        </w:tc>
        <w:tc>
          <w:tcPr>
            <w:tcW w:w="1131" w:type="dxa"/>
            <w:vMerge w:val="continue"/>
            <w:tcMar>
              <w:left w:w="57" w:type="dxa"/>
              <w:right w:w="57" w:type="dxa"/>
            </w:tcMar>
            <w:vAlign w:val="center"/>
          </w:tcPr>
          <w:p>
            <w:pPr>
              <w:widowControl/>
              <w:spacing w:line="360" w:lineRule="auto"/>
              <w:jc w:val="center"/>
              <w:rPr>
                <w:rFonts w:hint="eastAsia" w:ascii="仿宋" w:hAnsi="仿宋" w:eastAsia="仿宋" w:cs="仿宋"/>
                <w:sz w:val="24"/>
                <w:szCs w:val="24"/>
              </w:rPr>
            </w:pPr>
          </w:p>
        </w:tc>
        <w:tc>
          <w:tcPr>
            <w:tcW w:w="1134" w:type="dxa"/>
            <w:vAlign w:val="center"/>
          </w:tcPr>
          <w:p>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业绩（</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5103"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1、投标人2015年1月1日以来，承担过200万元以上（含200万）类似项目业绩合。提供一个得2分，满分1</w:t>
            </w:r>
            <w:r>
              <w:rPr>
                <w:rFonts w:hint="eastAsia" w:ascii="仿宋" w:hAnsi="仿宋" w:eastAsia="仿宋" w:cs="仿宋"/>
                <w:sz w:val="24"/>
                <w:szCs w:val="24"/>
                <w:lang w:val="en-US" w:eastAsia="zh-CN"/>
              </w:rPr>
              <w:t>2</w:t>
            </w:r>
            <w:r>
              <w:rPr>
                <w:rFonts w:hint="eastAsia" w:ascii="仿宋" w:hAnsi="仿宋" w:eastAsia="仿宋" w:cs="仿宋"/>
                <w:sz w:val="24"/>
                <w:szCs w:val="24"/>
              </w:rPr>
              <w:t>分。开标时提供业绩合同及中标通知书原件，未提供原件的不得分。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93" w:type="dxa"/>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995" w:type="dxa"/>
            <w:gridSpan w:val="2"/>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40％</w:t>
            </w:r>
          </w:p>
        </w:tc>
        <w:tc>
          <w:tcPr>
            <w:tcW w:w="1131" w:type="dxa"/>
            <w:tcMar>
              <w:left w:w="57" w:type="dxa"/>
              <w:right w:w="57" w:type="dxa"/>
            </w:tcMar>
            <w:vAlign w:val="center"/>
          </w:tcPr>
          <w:p>
            <w:pPr>
              <w:pStyle w:val="129"/>
              <w:spacing w:line="240" w:lineRule="atLeast"/>
              <w:rPr>
                <w:rFonts w:hint="eastAsia" w:ascii="仿宋" w:hAnsi="仿宋" w:eastAsia="仿宋" w:cs="仿宋"/>
                <w:color w:val="auto"/>
                <w:spacing w:val="1"/>
                <w:kern w:val="2"/>
                <w:sz w:val="24"/>
                <w:szCs w:val="24"/>
              </w:rPr>
            </w:pPr>
            <w:r>
              <w:rPr>
                <w:rFonts w:hint="eastAsia" w:ascii="仿宋" w:hAnsi="仿宋" w:eastAsia="仿宋" w:cs="仿宋"/>
                <w:color w:val="auto"/>
                <w:spacing w:val="1"/>
                <w:kern w:val="2"/>
                <w:sz w:val="24"/>
                <w:szCs w:val="24"/>
              </w:rPr>
              <w:t>技术方案</w:t>
            </w:r>
          </w:p>
          <w:p>
            <w:pPr>
              <w:pStyle w:val="129"/>
              <w:spacing w:line="240" w:lineRule="atLeast"/>
              <w:jc w:val="both"/>
              <w:rPr>
                <w:rFonts w:hint="eastAsia" w:ascii="仿宋" w:hAnsi="仿宋" w:eastAsia="仿宋" w:cs="仿宋"/>
                <w:sz w:val="24"/>
                <w:szCs w:val="24"/>
              </w:rPr>
            </w:pPr>
            <w:r>
              <w:rPr>
                <w:rFonts w:hint="eastAsia" w:ascii="仿宋" w:hAnsi="仿宋" w:eastAsia="仿宋" w:cs="仿宋"/>
                <w:color w:val="auto"/>
                <w:spacing w:val="1"/>
                <w:kern w:val="2"/>
                <w:sz w:val="24"/>
                <w:szCs w:val="24"/>
              </w:rPr>
              <w:t>（100分）</w:t>
            </w:r>
          </w:p>
        </w:tc>
        <w:tc>
          <w:tcPr>
            <w:tcW w:w="1134" w:type="dxa"/>
          </w:tcPr>
          <w:p>
            <w:pPr>
              <w:spacing w:line="360" w:lineRule="exact"/>
              <w:jc w:val="left"/>
              <w:rPr>
                <w:rFonts w:hint="eastAsia" w:ascii="仿宋" w:hAnsi="仿宋" w:eastAsia="仿宋" w:cs="仿宋"/>
                <w:sz w:val="24"/>
                <w:szCs w:val="24"/>
              </w:rPr>
            </w:pPr>
          </w:p>
        </w:tc>
        <w:tc>
          <w:tcPr>
            <w:tcW w:w="5103"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1、对投标人的总体方案进行综合评价，技术路线合理、技术方案可行、内容齐全的为优得</w:t>
            </w:r>
            <w:r>
              <w:rPr>
                <w:rFonts w:hint="eastAsia" w:ascii="仿宋" w:hAnsi="仿宋" w:eastAsia="仿宋" w:cs="仿宋"/>
                <w:color w:val="FF0000"/>
                <w:sz w:val="24"/>
                <w:szCs w:val="24"/>
              </w:rPr>
              <w:t>6</w:t>
            </w:r>
            <w:r>
              <w:rPr>
                <w:rFonts w:hint="eastAsia" w:ascii="仿宋" w:hAnsi="仿宋" w:eastAsia="仿宋" w:cs="仿宋"/>
                <w:sz w:val="24"/>
                <w:szCs w:val="24"/>
              </w:rPr>
              <w:t>分；技术路线合理、技术方案可行、内容齐全的为良得</w:t>
            </w:r>
            <w:r>
              <w:rPr>
                <w:rFonts w:hint="eastAsia" w:ascii="仿宋" w:hAnsi="仿宋" w:eastAsia="仿宋" w:cs="仿宋"/>
                <w:sz w:val="24"/>
                <w:szCs w:val="24"/>
                <w:lang w:val="en-US" w:eastAsia="zh-CN"/>
              </w:rPr>
              <w:t>3</w:t>
            </w:r>
            <w:r>
              <w:rPr>
                <w:rFonts w:hint="eastAsia" w:ascii="仿宋" w:hAnsi="仿宋" w:eastAsia="仿宋" w:cs="仿宋"/>
                <w:sz w:val="24"/>
                <w:szCs w:val="24"/>
              </w:rPr>
              <w:t>分；技术路线合理、技术方案可行、内容齐全的为一般得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2、对投标人的工期保障措施进行综合评价，保障措施周祥、科学、合理的为优得</w:t>
            </w:r>
            <w:r>
              <w:rPr>
                <w:rFonts w:hint="eastAsia" w:ascii="仿宋" w:hAnsi="仿宋" w:eastAsia="仿宋" w:cs="仿宋"/>
                <w:color w:val="FF0000"/>
                <w:sz w:val="24"/>
                <w:szCs w:val="24"/>
              </w:rPr>
              <w:t>6</w:t>
            </w:r>
            <w:r>
              <w:rPr>
                <w:rFonts w:hint="eastAsia" w:ascii="仿宋" w:hAnsi="仿宋" w:eastAsia="仿宋" w:cs="仿宋"/>
                <w:sz w:val="24"/>
                <w:szCs w:val="24"/>
              </w:rPr>
              <w:t>分；保障措施较周祥、较科学、较合理的为良好得3分；保障措施基本合理的为一般得1分。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3、对投标人的数据安全保障体系进行综合评价；体系健全、方案合理的为优得</w:t>
            </w:r>
            <w:r>
              <w:rPr>
                <w:rFonts w:hint="eastAsia" w:ascii="仿宋" w:hAnsi="仿宋" w:eastAsia="仿宋" w:cs="仿宋"/>
                <w:color w:val="FF0000"/>
                <w:sz w:val="24"/>
                <w:szCs w:val="24"/>
              </w:rPr>
              <w:t>6</w:t>
            </w:r>
            <w:r>
              <w:rPr>
                <w:rFonts w:hint="eastAsia" w:ascii="仿宋" w:hAnsi="仿宋" w:eastAsia="仿宋" w:cs="仿宋"/>
                <w:sz w:val="24"/>
                <w:szCs w:val="24"/>
              </w:rPr>
              <w:t>分；体系较健全、方案较合理的为良得</w:t>
            </w:r>
            <w:r>
              <w:rPr>
                <w:rFonts w:hint="eastAsia" w:ascii="仿宋" w:hAnsi="仿宋" w:eastAsia="仿宋" w:cs="仿宋"/>
                <w:sz w:val="24"/>
                <w:szCs w:val="24"/>
                <w:lang w:val="en-US" w:eastAsia="zh-CN"/>
              </w:rPr>
              <w:t>3</w:t>
            </w:r>
            <w:r>
              <w:rPr>
                <w:rFonts w:hint="eastAsia" w:ascii="仿宋" w:hAnsi="仿宋" w:eastAsia="仿宋" w:cs="仿宋"/>
                <w:sz w:val="24"/>
                <w:szCs w:val="24"/>
              </w:rPr>
              <w:t>分；体系基本健全、方案基本合理的为一般得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4、对投标人项目关键技术的分析进行综合评价，解决重点难点技术环节的方法、策略、应对措施合理的为优得</w:t>
            </w:r>
            <w:r>
              <w:rPr>
                <w:rFonts w:hint="eastAsia" w:ascii="仿宋" w:hAnsi="仿宋" w:eastAsia="仿宋" w:cs="仿宋"/>
                <w:color w:val="FF0000"/>
                <w:sz w:val="24"/>
                <w:szCs w:val="24"/>
              </w:rPr>
              <w:t>6</w:t>
            </w:r>
            <w:r>
              <w:rPr>
                <w:rFonts w:hint="eastAsia" w:ascii="仿宋" w:hAnsi="仿宋" w:eastAsia="仿宋" w:cs="仿宋"/>
                <w:sz w:val="24"/>
                <w:szCs w:val="24"/>
              </w:rPr>
              <w:t>分；解决重点难点技术环节的方法、策略、应对措施较合理的为良得</w:t>
            </w:r>
            <w:r>
              <w:rPr>
                <w:rFonts w:hint="eastAsia" w:ascii="仿宋" w:hAnsi="仿宋" w:eastAsia="仿宋" w:cs="仿宋"/>
                <w:sz w:val="24"/>
                <w:szCs w:val="24"/>
                <w:lang w:val="en-US" w:eastAsia="zh-CN"/>
              </w:rPr>
              <w:t>3</w:t>
            </w:r>
            <w:r>
              <w:rPr>
                <w:rFonts w:hint="eastAsia" w:ascii="仿宋" w:hAnsi="仿宋" w:eastAsia="仿宋" w:cs="仿宋"/>
                <w:sz w:val="24"/>
                <w:szCs w:val="24"/>
              </w:rPr>
              <w:t>分；解决重点难点技术环节的方法、策略、应对措施基本合理的为一般得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5、对投标人的质量保证措施进行综合评价，有专门的质检机构、质检方案合理的为优得</w:t>
            </w:r>
            <w:r>
              <w:rPr>
                <w:rFonts w:hint="eastAsia" w:ascii="仿宋" w:hAnsi="仿宋" w:eastAsia="仿宋" w:cs="仿宋"/>
                <w:sz w:val="24"/>
                <w:szCs w:val="24"/>
                <w:lang w:val="en-US" w:eastAsia="zh-CN"/>
              </w:rPr>
              <w:t>5</w:t>
            </w:r>
            <w:r>
              <w:rPr>
                <w:rFonts w:hint="eastAsia" w:ascii="仿宋" w:hAnsi="仿宋" w:eastAsia="仿宋" w:cs="仿宋"/>
                <w:sz w:val="24"/>
                <w:szCs w:val="24"/>
              </w:rPr>
              <w:t>分；有专门的质检机构、质检方案较合理的为良得3分；有专门的质检机构、质检方案合理的为一般得1分。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6、对投标人的服务</w:t>
            </w:r>
            <w:r>
              <w:rPr>
                <w:rFonts w:hint="eastAsia" w:ascii="仿宋" w:hAnsi="仿宋" w:eastAsia="仿宋" w:cs="仿宋"/>
                <w:sz w:val="24"/>
                <w:szCs w:val="24"/>
                <w:lang w:eastAsia="zh-CN"/>
              </w:rPr>
              <w:t>承诺</w:t>
            </w:r>
            <w:r>
              <w:rPr>
                <w:rFonts w:hint="eastAsia" w:ascii="仿宋" w:hAnsi="仿宋" w:eastAsia="仿宋" w:cs="仿宋"/>
                <w:sz w:val="24"/>
                <w:szCs w:val="24"/>
              </w:rPr>
              <w:t>及售后服务措施进行综合评价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w:t>
            </w:r>
          </w:p>
          <w:p>
            <w:pPr>
              <w:snapToGrid w:val="0"/>
              <w:spacing w:line="360" w:lineRule="auto"/>
              <w:rPr>
                <w:rFonts w:hint="eastAsia" w:ascii="仿宋" w:hAnsi="仿宋" w:eastAsia="仿宋" w:cs="仿宋"/>
                <w:color w:val="FF0000"/>
                <w:sz w:val="24"/>
                <w:szCs w:val="24"/>
              </w:rPr>
            </w:pPr>
            <w:r>
              <w:rPr>
                <w:rFonts w:hint="eastAsia" w:ascii="仿宋" w:hAnsi="仿宋" w:eastAsia="仿宋" w:cs="仿宋"/>
                <w:sz w:val="24"/>
                <w:szCs w:val="24"/>
              </w:rPr>
              <w:t xml:space="preserve"> 7、对投标人的资料和成果保密措施进行综合评价，有保密设施设备、专职保密人员、保密制度合理的为优得</w:t>
            </w:r>
            <w:r>
              <w:rPr>
                <w:rFonts w:hint="eastAsia" w:ascii="仿宋" w:hAnsi="仿宋" w:eastAsia="仿宋" w:cs="仿宋"/>
                <w:color w:val="FF0000"/>
                <w:sz w:val="24"/>
                <w:szCs w:val="24"/>
              </w:rPr>
              <w:t>6</w:t>
            </w:r>
            <w:r>
              <w:rPr>
                <w:rFonts w:hint="eastAsia" w:ascii="仿宋" w:hAnsi="仿宋" w:eastAsia="仿宋" w:cs="仿宋"/>
                <w:sz w:val="24"/>
                <w:szCs w:val="24"/>
              </w:rPr>
              <w:t>分；有保密设施设备、专职保密人员、保密制度较合理的为良得3分；有保密设施设备、专职保密人员、保密制度基本合理的为一般得1分。</w:t>
            </w:r>
          </w:p>
        </w:tc>
      </w:tr>
    </w:tbl>
    <w:p>
      <w:pPr>
        <w:spacing w:line="500" w:lineRule="exact"/>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sz w:val="24"/>
          <w:szCs w:val="24"/>
          <w:lang w:eastAsia="zh-CN"/>
        </w:rPr>
        <w:t>每个包</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8"/>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8"/>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9"/>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被委托人签字：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）包</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4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autoSpaceDE w:val="0"/>
        <w:autoSpaceDN w:val="0"/>
        <w:adjustRightInd w:val="0"/>
        <w:spacing w:line="360" w:lineRule="auto"/>
        <w:ind w:right="-11" w:firstLine="630"/>
        <w:rPr>
          <w:rFonts w:ascii="仿宋" w:hAnsi="仿宋" w:eastAsia="仿宋" w:cs="仿宋_GB2312"/>
          <w:sz w:val="24"/>
          <w:szCs w:val="24"/>
        </w:rPr>
      </w:pPr>
      <w:r>
        <w:rPr>
          <w:rFonts w:hint="eastAsia" w:ascii="仿宋" w:hAnsi="仿宋" w:eastAsia="仿宋" w:cs="仿宋_GB2312"/>
          <w:b/>
          <w:bCs/>
          <w:sz w:val="24"/>
          <w:szCs w:val="24"/>
        </w:rPr>
        <w:t>（技术</w:t>
      </w:r>
      <w:r>
        <w:rPr>
          <w:rFonts w:hint="eastAsia" w:ascii="仿宋" w:hAnsi="仿宋" w:eastAsia="仿宋" w:cs="仿宋_GB2312"/>
          <w:b/>
          <w:bCs/>
          <w:sz w:val="24"/>
          <w:szCs w:val="24"/>
          <w:lang w:eastAsia="zh-CN"/>
        </w:rPr>
        <w:t>要求及评分标准中</w:t>
      </w:r>
      <w:r>
        <w:rPr>
          <w:rFonts w:hint="eastAsia" w:ascii="仿宋" w:hAnsi="仿宋" w:eastAsia="仿宋" w:cs="仿宋_GB2312"/>
          <w:b/>
          <w:bCs/>
          <w:sz w:val="24"/>
          <w:szCs w:val="24"/>
        </w:rPr>
        <w:t>要求</w:t>
      </w:r>
      <w:r>
        <w:rPr>
          <w:rFonts w:hint="eastAsia" w:ascii="仿宋" w:hAnsi="仿宋" w:eastAsia="仿宋" w:cs="仿宋_GB2312"/>
          <w:b/>
          <w:bCs/>
          <w:sz w:val="24"/>
          <w:szCs w:val="24"/>
          <w:lang w:eastAsia="zh-CN"/>
        </w:rPr>
        <w:t>的</w:t>
      </w:r>
      <w:r>
        <w:rPr>
          <w:rFonts w:hint="eastAsia" w:ascii="仿宋" w:hAnsi="仿宋" w:eastAsia="仿宋" w:cs="仿宋_GB2312"/>
          <w:b/>
          <w:bCs/>
          <w:sz w:val="24"/>
          <w:szCs w:val="24"/>
        </w:rPr>
        <w:t>相关证明材料</w:t>
      </w:r>
      <w:r>
        <w:rPr>
          <w:rFonts w:hint="eastAsia" w:ascii="仿宋" w:hAnsi="仿宋" w:eastAsia="仿宋" w:cs="仿宋_GB2312"/>
          <w:b/>
          <w:bCs/>
          <w:sz w:val="24"/>
          <w:szCs w:val="24"/>
          <w:lang w:eastAsia="zh-CN"/>
        </w:rPr>
        <w:t>等</w:t>
      </w:r>
      <w:r>
        <w:rPr>
          <w:rFonts w:hint="eastAsia" w:ascii="仿宋" w:hAnsi="仿宋" w:eastAsia="仿宋" w:cs="宋体"/>
          <w:b/>
          <w:bCs/>
          <w:color w:val="FF0000"/>
          <w:sz w:val="24"/>
          <w:szCs w:val="24"/>
          <w:lang w:val="zh-CN"/>
        </w:rPr>
        <w:t>复印件</w:t>
      </w:r>
      <w:r>
        <w:rPr>
          <w:rFonts w:hint="eastAsia" w:ascii="仿宋" w:hAnsi="仿宋" w:eastAsia="仿宋" w:cs="仿宋_GB2312"/>
          <w:b/>
          <w:bCs/>
          <w:sz w:val="24"/>
          <w:szCs w:val="24"/>
        </w:rPr>
        <w:t>）</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1EFB2969"/>
    <w:multiLevelType w:val="multilevel"/>
    <w:tmpl w:val="1EFB296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E374A4"/>
    <w:multiLevelType w:val="singleLevel"/>
    <w:tmpl w:val="56E374A4"/>
    <w:lvl w:ilvl="0" w:tentative="0">
      <w:start w:val="9"/>
      <w:numFmt w:val="decimal"/>
      <w:pStyle w:val="119"/>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6"/>
  </w:num>
  <w:num w:numId="2">
    <w:abstractNumId w:val="8"/>
  </w:num>
  <w:num w:numId="3">
    <w:abstractNumId w:val="5"/>
  </w:num>
  <w:num w:numId="4">
    <w:abstractNumId w:val="4"/>
  </w:num>
  <w:num w:numId="5">
    <w:abstractNumId w:val="7"/>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4A3127"/>
    <w:rsid w:val="03CB53C9"/>
    <w:rsid w:val="03D744EF"/>
    <w:rsid w:val="04252D6C"/>
    <w:rsid w:val="04524D74"/>
    <w:rsid w:val="048C72C6"/>
    <w:rsid w:val="04E5185D"/>
    <w:rsid w:val="04F1400C"/>
    <w:rsid w:val="052F2202"/>
    <w:rsid w:val="054A14EB"/>
    <w:rsid w:val="055236E0"/>
    <w:rsid w:val="05D7384A"/>
    <w:rsid w:val="05F47DA2"/>
    <w:rsid w:val="05F65379"/>
    <w:rsid w:val="05FF5666"/>
    <w:rsid w:val="0603119A"/>
    <w:rsid w:val="064E3245"/>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504D17"/>
    <w:rsid w:val="0AB05B6D"/>
    <w:rsid w:val="0B047399"/>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F0D73B6"/>
    <w:rsid w:val="0F2C7289"/>
    <w:rsid w:val="0FBA420F"/>
    <w:rsid w:val="0FCB4061"/>
    <w:rsid w:val="10240870"/>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097DFD"/>
    <w:rsid w:val="162949D9"/>
    <w:rsid w:val="166F3B31"/>
    <w:rsid w:val="16BB3F9C"/>
    <w:rsid w:val="17093EDF"/>
    <w:rsid w:val="17411E12"/>
    <w:rsid w:val="175B5BC6"/>
    <w:rsid w:val="17D43D54"/>
    <w:rsid w:val="17E545EE"/>
    <w:rsid w:val="180F6DA6"/>
    <w:rsid w:val="183733AB"/>
    <w:rsid w:val="183D0ACD"/>
    <w:rsid w:val="18553478"/>
    <w:rsid w:val="186A4EF9"/>
    <w:rsid w:val="18AD21CB"/>
    <w:rsid w:val="18DC1C3E"/>
    <w:rsid w:val="19491C75"/>
    <w:rsid w:val="19786E3B"/>
    <w:rsid w:val="1A107C46"/>
    <w:rsid w:val="1A4540A3"/>
    <w:rsid w:val="1A717838"/>
    <w:rsid w:val="1A8E3CC9"/>
    <w:rsid w:val="1B1630FE"/>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A10B66"/>
    <w:rsid w:val="24BF19AA"/>
    <w:rsid w:val="24CA4202"/>
    <w:rsid w:val="24D66891"/>
    <w:rsid w:val="25302039"/>
    <w:rsid w:val="256C7451"/>
    <w:rsid w:val="25AD30A0"/>
    <w:rsid w:val="2667745A"/>
    <w:rsid w:val="26E95B4E"/>
    <w:rsid w:val="276906C7"/>
    <w:rsid w:val="278238A3"/>
    <w:rsid w:val="28742078"/>
    <w:rsid w:val="288E3F7A"/>
    <w:rsid w:val="288F49C5"/>
    <w:rsid w:val="2891663A"/>
    <w:rsid w:val="28BF1B33"/>
    <w:rsid w:val="28BF2210"/>
    <w:rsid w:val="28CE556E"/>
    <w:rsid w:val="299315DB"/>
    <w:rsid w:val="29C152D2"/>
    <w:rsid w:val="2A292F06"/>
    <w:rsid w:val="2A29332E"/>
    <w:rsid w:val="2A666F4C"/>
    <w:rsid w:val="2A6671E5"/>
    <w:rsid w:val="2A8574C7"/>
    <w:rsid w:val="2B0B3F2F"/>
    <w:rsid w:val="2B0F0F07"/>
    <w:rsid w:val="2B33679F"/>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52660"/>
    <w:rsid w:val="34CE04B2"/>
    <w:rsid w:val="34F94C42"/>
    <w:rsid w:val="35020BCE"/>
    <w:rsid w:val="354E2015"/>
    <w:rsid w:val="35636C46"/>
    <w:rsid w:val="35736992"/>
    <w:rsid w:val="37692631"/>
    <w:rsid w:val="37B10108"/>
    <w:rsid w:val="389F7F0D"/>
    <w:rsid w:val="38B66F17"/>
    <w:rsid w:val="39264E83"/>
    <w:rsid w:val="397D15ED"/>
    <w:rsid w:val="39A31772"/>
    <w:rsid w:val="3A0511AE"/>
    <w:rsid w:val="3A252A28"/>
    <w:rsid w:val="3A361775"/>
    <w:rsid w:val="3A5B0DB6"/>
    <w:rsid w:val="3B1A3171"/>
    <w:rsid w:val="3B8A1786"/>
    <w:rsid w:val="3BF37AE3"/>
    <w:rsid w:val="3C5A516A"/>
    <w:rsid w:val="3CD05D89"/>
    <w:rsid w:val="3D574C5D"/>
    <w:rsid w:val="3D724F04"/>
    <w:rsid w:val="3D8F46AB"/>
    <w:rsid w:val="3DB32B5C"/>
    <w:rsid w:val="3DE17511"/>
    <w:rsid w:val="3E0165CC"/>
    <w:rsid w:val="3E0A31F9"/>
    <w:rsid w:val="3E5F6553"/>
    <w:rsid w:val="3E85714B"/>
    <w:rsid w:val="3EB83441"/>
    <w:rsid w:val="3ED405D8"/>
    <w:rsid w:val="3EF23AFC"/>
    <w:rsid w:val="3F4E5E4B"/>
    <w:rsid w:val="3F544F16"/>
    <w:rsid w:val="3FD03003"/>
    <w:rsid w:val="3FD1121A"/>
    <w:rsid w:val="3FDF074D"/>
    <w:rsid w:val="409A7D1F"/>
    <w:rsid w:val="40DD14B7"/>
    <w:rsid w:val="41595C3E"/>
    <w:rsid w:val="42031639"/>
    <w:rsid w:val="420D6E21"/>
    <w:rsid w:val="42551AC7"/>
    <w:rsid w:val="426D69CE"/>
    <w:rsid w:val="43306F54"/>
    <w:rsid w:val="439D162E"/>
    <w:rsid w:val="43AF4EB6"/>
    <w:rsid w:val="43DA0DF8"/>
    <w:rsid w:val="43F21A5E"/>
    <w:rsid w:val="449D0BDB"/>
    <w:rsid w:val="44A75B9D"/>
    <w:rsid w:val="44B3362C"/>
    <w:rsid w:val="44CC251D"/>
    <w:rsid w:val="44ED61E4"/>
    <w:rsid w:val="44F765DB"/>
    <w:rsid w:val="452D2CD2"/>
    <w:rsid w:val="454E1873"/>
    <w:rsid w:val="45570A50"/>
    <w:rsid w:val="46FF7143"/>
    <w:rsid w:val="476E4F77"/>
    <w:rsid w:val="479A1D63"/>
    <w:rsid w:val="479E2BBB"/>
    <w:rsid w:val="48164989"/>
    <w:rsid w:val="4833357F"/>
    <w:rsid w:val="485B029F"/>
    <w:rsid w:val="48956D2A"/>
    <w:rsid w:val="48AF4A09"/>
    <w:rsid w:val="49B4550E"/>
    <w:rsid w:val="49F50EB5"/>
    <w:rsid w:val="4AB76254"/>
    <w:rsid w:val="4AF72F43"/>
    <w:rsid w:val="4AFC078A"/>
    <w:rsid w:val="4AFE130C"/>
    <w:rsid w:val="4B06415A"/>
    <w:rsid w:val="4B2C4572"/>
    <w:rsid w:val="4B307A80"/>
    <w:rsid w:val="4BBD5B2C"/>
    <w:rsid w:val="4BF36702"/>
    <w:rsid w:val="4C0E0B24"/>
    <w:rsid w:val="4D226E99"/>
    <w:rsid w:val="4F071606"/>
    <w:rsid w:val="4F403B1D"/>
    <w:rsid w:val="4F7F31B2"/>
    <w:rsid w:val="4F827ABA"/>
    <w:rsid w:val="4FA93F1C"/>
    <w:rsid w:val="4FCB730B"/>
    <w:rsid w:val="4FD72CF0"/>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30524E"/>
    <w:rsid w:val="5A8975CA"/>
    <w:rsid w:val="5A8D6038"/>
    <w:rsid w:val="5AF228EA"/>
    <w:rsid w:val="5B176006"/>
    <w:rsid w:val="5B8B5722"/>
    <w:rsid w:val="5C1D3EC2"/>
    <w:rsid w:val="5C2A1394"/>
    <w:rsid w:val="5C6F34F3"/>
    <w:rsid w:val="5CD90DD6"/>
    <w:rsid w:val="5CDE1B94"/>
    <w:rsid w:val="5D2B1C2D"/>
    <w:rsid w:val="5D46762B"/>
    <w:rsid w:val="5DAD4A6A"/>
    <w:rsid w:val="5DD07849"/>
    <w:rsid w:val="5E6E4ACB"/>
    <w:rsid w:val="5EEA3B04"/>
    <w:rsid w:val="5F092277"/>
    <w:rsid w:val="5F4B6391"/>
    <w:rsid w:val="5F50568C"/>
    <w:rsid w:val="5F8471B4"/>
    <w:rsid w:val="5F9077DA"/>
    <w:rsid w:val="5FCE7ED4"/>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42F4F3E"/>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8F46C6"/>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8826A4"/>
    <w:rsid w:val="75B01AA9"/>
    <w:rsid w:val="76140509"/>
    <w:rsid w:val="763C41F4"/>
    <w:rsid w:val="768649B8"/>
    <w:rsid w:val="76EF0C8A"/>
    <w:rsid w:val="76F83624"/>
    <w:rsid w:val="773F1990"/>
    <w:rsid w:val="776A79F9"/>
    <w:rsid w:val="777A7DC6"/>
    <w:rsid w:val="78640367"/>
    <w:rsid w:val="78C403B7"/>
    <w:rsid w:val="79640B02"/>
    <w:rsid w:val="796E4180"/>
    <w:rsid w:val="79874C47"/>
    <w:rsid w:val="79D2695D"/>
    <w:rsid w:val="7A031854"/>
    <w:rsid w:val="7A054779"/>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EE12BCD"/>
    <w:rsid w:val="7F0F3D7E"/>
    <w:rsid w:val="7F17791C"/>
    <w:rsid w:val="7F3B2004"/>
    <w:rsid w:val="7FA06F85"/>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2"/>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3"/>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2"/>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7</TotalTime>
  <ScaleCrop>false</ScaleCrop>
  <LinksUpToDate>false</LinksUpToDate>
  <CharactersWithSpaces>53671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2018-06-25T07:44:10Z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