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jc w:val="center"/>
        <w:rPr>
          <w:rFonts w:ascii="黑体" w:hAnsi="黑体" w:eastAsia="黑体"/>
          <w:b/>
          <w:bCs/>
          <w:spacing w:val="-20"/>
          <w:sz w:val="44"/>
          <w:szCs w:val="44"/>
        </w:rPr>
      </w:pPr>
    </w:p>
    <w:p>
      <w:pPr>
        <w:ind w:firstLine="442" w:firstLineChars="100"/>
        <w:rPr>
          <w:rFonts w:hint="eastAsia" w:ascii="仿宋" w:hAnsi="仿宋" w:eastAsia="仿宋"/>
          <w:b/>
          <w:w w:val="90"/>
          <w:sz w:val="84"/>
        </w:rPr>
      </w:pPr>
      <w:bookmarkStart w:id="1" w:name="_GoBack"/>
      <w:r>
        <w:rPr>
          <w:rFonts w:hint="eastAsia" w:ascii="仿宋" w:hAnsi="仿宋" w:eastAsia="仿宋" w:cs="仿宋"/>
          <w:b/>
          <w:bCs/>
          <w:sz w:val="44"/>
          <w:szCs w:val="44"/>
          <w:lang w:eastAsia="zh-CN"/>
        </w:rPr>
        <w:t>禹州市颍河景观带</w:t>
      </w:r>
      <w:r>
        <w:rPr>
          <w:rFonts w:hint="eastAsia" w:ascii="仿宋" w:hAnsi="仿宋" w:eastAsia="仿宋" w:cs="仿宋"/>
          <w:b/>
          <w:bCs/>
          <w:sz w:val="44"/>
          <w:szCs w:val="44"/>
          <w:lang w:val="en-US" w:eastAsia="zh-CN"/>
        </w:rPr>
        <w:t>18座景观平台勘察</w:t>
      </w:r>
      <w:r>
        <w:rPr>
          <w:rFonts w:hint="eastAsia" w:ascii="仿宋" w:hAnsi="仿宋" w:eastAsia="仿宋" w:cs="仿宋"/>
          <w:b/>
          <w:bCs/>
          <w:sz w:val="44"/>
          <w:szCs w:val="44"/>
          <w:lang w:eastAsia="zh-CN"/>
        </w:rPr>
        <w:t>项目</w:t>
      </w:r>
    </w:p>
    <w:bookmarkEnd w:id="1"/>
    <w:p>
      <w:pPr>
        <w:ind w:firstLine="3417" w:firstLineChars="450"/>
        <w:rPr>
          <w:rFonts w:hint="eastAsia" w:ascii="仿宋" w:hAnsi="仿宋" w:eastAsia="仿宋"/>
          <w:b/>
          <w:w w:val="90"/>
          <w:sz w:val="8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keepNext w:val="0"/>
        <w:keepLines w:val="0"/>
        <w:pageBreakBefore w:val="0"/>
        <w:numPr>
          <w:ilvl w:val="0"/>
          <w:numId w:val="0"/>
        </w:numPr>
        <w:kinsoku/>
        <w:overflowPunct/>
        <w:bidi w:val="0"/>
        <w:spacing w:line="520" w:lineRule="exact"/>
        <w:ind w:right="0" w:rightChars="0" w:firstLine="320" w:firstLineChars="100"/>
        <w:textAlignment w:val="auto"/>
        <w:outlineLvl w:val="9"/>
        <w:rPr>
          <w:rFonts w:ascii="仿宋" w:hAnsi="仿宋" w:eastAsia="仿宋"/>
          <w:sz w:val="32"/>
          <w:lang w:val="en-US"/>
        </w:rPr>
      </w:pPr>
      <w:r>
        <w:rPr>
          <w:rFonts w:hint="eastAsia" w:ascii="仿宋" w:hAnsi="仿宋" w:eastAsia="仿宋"/>
          <w:sz w:val="32"/>
        </w:rPr>
        <w:t>采购单位：禹州市住房和城乡规划建设局</w:t>
      </w:r>
    </w:p>
    <w:p>
      <w:pPr>
        <w:autoSpaceDE w:val="0"/>
        <w:autoSpaceDN w:val="0"/>
        <w:spacing w:line="360" w:lineRule="auto"/>
        <w:ind w:left="319" w:leftChars="152" w:right="-20" w:firstLine="0" w:firstLineChars="0"/>
        <w:outlineLvl w:val="0"/>
        <w:rPr>
          <w:rFonts w:hint="eastAsia" w:ascii="仿宋" w:hAnsi="仿宋" w:eastAsia="仿宋"/>
          <w:sz w:val="32"/>
        </w:rPr>
      </w:pPr>
      <w:r>
        <w:rPr>
          <w:rFonts w:hint="eastAsia" w:ascii="仿宋" w:hAnsi="仿宋" w:eastAsia="仿宋"/>
          <w:sz w:val="32"/>
        </w:rPr>
        <w:t>项目名称：禹州市颍河景观带18座景观平台勘察项目</w:t>
      </w:r>
    </w:p>
    <w:p>
      <w:pPr>
        <w:autoSpaceDE w:val="0"/>
        <w:autoSpaceDN w:val="0"/>
        <w:spacing w:line="360" w:lineRule="auto"/>
        <w:ind w:left="319" w:leftChars="152" w:right="-20" w:firstLine="0" w:firstLineChars="0"/>
        <w:outlineLvl w:val="0"/>
        <w:rPr>
          <w:rFonts w:ascii="仿宋" w:hAnsi="仿宋" w:eastAsia="仿宋"/>
          <w:sz w:val="32"/>
          <w:lang w:val="en-US"/>
        </w:rPr>
      </w:pPr>
      <w:r>
        <w:rPr>
          <w:rFonts w:hint="eastAsia" w:ascii="仿宋" w:hAnsi="仿宋" w:eastAsia="仿宋"/>
          <w:sz w:val="32"/>
          <w:lang w:eastAsia="zh-CN"/>
        </w:rPr>
        <w:t>采购编号：</w:t>
      </w:r>
      <w:r>
        <w:rPr>
          <w:rFonts w:hint="eastAsia" w:ascii="仿宋" w:hAnsi="仿宋" w:eastAsia="仿宋"/>
          <w:sz w:val="32"/>
        </w:rPr>
        <w:t>YZCG—</w:t>
      </w:r>
      <w:r>
        <w:rPr>
          <w:rFonts w:hint="eastAsia" w:ascii="仿宋" w:hAnsi="仿宋" w:eastAsia="仿宋"/>
          <w:sz w:val="32"/>
          <w:lang w:val="en-US" w:eastAsia="zh-CN"/>
        </w:rPr>
        <w:t>G</w:t>
      </w:r>
      <w:r>
        <w:rPr>
          <w:rFonts w:hint="eastAsia" w:ascii="仿宋" w:hAnsi="仿宋" w:eastAsia="仿宋"/>
          <w:sz w:val="32"/>
        </w:rPr>
        <w:t>201</w:t>
      </w:r>
      <w:r>
        <w:rPr>
          <w:rFonts w:hint="eastAsia" w:ascii="仿宋" w:hAnsi="仿宋" w:eastAsia="仿宋"/>
          <w:sz w:val="32"/>
          <w:lang w:val="en-US" w:eastAsia="zh-CN"/>
        </w:rPr>
        <w:t>8070</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五</w:t>
      </w:r>
      <w:r>
        <w:rPr>
          <w:rFonts w:hint="eastAsia" w:ascii="仿宋" w:hAnsi="仿宋" w:eastAsia="仿宋"/>
          <w:bCs/>
          <w:sz w:val="32"/>
        </w:rPr>
        <w:t>月</w:t>
      </w:r>
    </w:p>
    <w:p>
      <w:pPr>
        <w:rPr>
          <w:rFonts w:ascii="仿宋" w:hAnsi="仿宋" w:eastAsia="仿宋"/>
          <w:bCs/>
          <w:sz w:val="32"/>
        </w:rPr>
        <w:sectPr>
          <w:footerReference r:id="rId6" w:type="first"/>
          <w:headerReference r:id="rId3" w:type="default"/>
          <w:footerReference r:id="rId4" w:type="default"/>
          <w:footerReference r:id="rId5"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黑体" w:hAnsi="黑体" w:eastAsia="黑体" w:cs="黑体"/>
          <w:b/>
          <w:sz w:val="44"/>
          <w:szCs w:val="44"/>
        </w:rPr>
        <w:t xml:space="preserve"> 投标邀请函</w:t>
      </w:r>
    </w:p>
    <w:p>
      <w:pPr>
        <w:pStyle w:val="2"/>
      </w:pPr>
    </w:p>
    <w:p>
      <w:pPr>
        <w:ind w:firstLine="1084" w:firstLineChars="300"/>
        <w:jc w:val="both"/>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禹州市颍河景观带</w:t>
      </w:r>
      <w:r>
        <w:rPr>
          <w:rFonts w:hint="eastAsia" w:ascii="仿宋" w:hAnsi="仿宋" w:eastAsia="仿宋" w:cs="仿宋"/>
          <w:b/>
          <w:bCs/>
          <w:sz w:val="36"/>
          <w:szCs w:val="36"/>
          <w:lang w:val="en-US" w:eastAsia="zh-CN"/>
        </w:rPr>
        <w:t>18座景观平台勘察</w:t>
      </w:r>
      <w:r>
        <w:rPr>
          <w:rFonts w:hint="eastAsia" w:ascii="仿宋" w:hAnsi="仿宋" w:eastAsia="仿宋" w:cs="仿宋"/>
          <w:b/>
          <w:bCs/>
          <w:sz w:val="36"/>
          <w:szCs w:val="36"/>
          <w:lang w:eastAsia="zh-CN"/>
        </w:rPr>
        <w:t>项目</w:t>
      </w:r>
    </w:p>
    <w:p>
      <w:pPr>
        <w:ind w:firstLine="3614" w:firstLineChars="1000"/>
        <w:jc w:val="both"/>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邀  请  函</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禹州市政府采购中心受禹州</w:t>
      </w:r>
      <w:r>
        <w:rPr>
          <w:rFonts w:hint="eastAsia" w:ascii="仿宋" w:hAnsi="仿宋" w:eastAsia="仿宋" w:cs="仿宋"/>
          <w:sz w:val="24"/>
          <w:szCs w:val="24"/>
          <w:lang w:eastAsia="zh-CN"/>
        </w:rPr>
        <w:t>市住房和城乡规划建设局</w:t>
      </w:r>
      <w:r>
        <w:rPr>
          <w:rFonts w:hint="eastAsia" w:ascii="仿宋" w:hAnsi="仿宋" w:eastAsia="仿宋" w:cs="仿宋"/>
          <w:sz w:val="24"/>
          <w:szCs w:val="24"/>
        </w:rPr>
        <w:t>的委托，就“禹州市颍河景观带18座景观平台</w:t>
      </w:r>
      <w:r>
        <w:rPr>
          <w:rFonts w:hint="eastAsia" w:ascii="仿宋" w:hAnsi="仿宋" w:eastAsia="仿宋" w:cs="仿宋"/>
          <w:sz w:val="24"/>
          <w:szCs w:val="24"/>
          <w:lang w:eastAsia="zh-CN"/>
        </w:rPr>
        <w:t>勘察</w:t>
      </w:r>
      <w:r>
        <w:rPr>
          <w:rFonts w:hint="eastAsia" w:ascii="仿宋" w:hAnsi="仿宋" w:eastAsia="仿宋" w:cs="仿宋"/>
          <w:sz w:val="24"/>
          <w:szCs w:val="24"/>
        </w:rPr>
        <w:t>项目”进行公开招标，欢迎合格的投标人前来投标。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2" w:firstLineChars="20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1、采购人：禹州</w:t>
      </w:r>
      <w:r>
        <w:rPr>
          <w:rFonts w:hint="eastAsia" w:ascii="仿宋" w:hAnsi="仿宋" w:eastAsia="仿宋" w:cs="仿宋"/>
          <w:sz w:val="24"/>
          <w:szCs w:val="24"/>
          <w:lang w:eastAsia="zh-CN"/>
        </w:rPr>
        <w:t>市住房和城乡规划建设局</w:t>
      </w:r>
    </w:p>
    <w:p>
      <w:pPr>
        <w:keepNext w:val="0"/>
        <w:keepLines w:val="0"/>
        <w:pageBreakBefore w:val="0"/>
        <w:widowControl w:val="0"/>
        <w:kinsoku/>
        <w:wordWrap/>
        <w:overflowPunct/>
        <w:topLinePunct w:val="0"/>
        <w:autoSpaceDE/>
        <w:autoSpaceDN/>
        <w:bidi w:val="0"/>
        <w:adjustRightInd/>
        <w:snapToGrid/>
        <w:spacing w:line="520" w:lineRule="exact"/>
        <w:ind w:left="638" w:leftChars="304" w:right="0" w:rightChars="0" w:firstLine="0" w:firstLine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2、项目名称：禹州市颍河景观带18座景观平台桩基</w:t>
      </w:r>
      <w:r>
        <w:rPr>
          <w:rFonts w:hint="eastAsia" w:ascii="仿宋" w:hAnsi="仿宋" w:eastAsia="仿宋" w:cs="仿宋"/>
          <w:sz w:val="24"/>
          <w:szCs w:val="24"/>
          <w:lang w:eastAsia="zh-CN"/>
        </w:rPr>
        <w:t>勘察</w:t>
      </w:r>
      <w:r>
        <w:rPr>
          <w:rFonts w:hint="eastAsia" w:ascii="仿宋" w:hAnsi="仿宋" w:eastAsia="仿宋" w:cs="仿宋"/>
          <w:sz w:val="24"/>
          <w:szCs w:val="24"/>
        </w:rPr>
        <w:t>项目3、采购编号：YZCG-G201</w:t>
      </w:r>
      <w:r>
        <w:rPr>
          <w:rFonts w:hint="eastAsia" w:ascii="仿宋" w:hAnsi="仿宋" w:eastAsia="仿宋" w:cs="仿宋"/>
          <w:sz w:val="24"/>
          <w:szCs w:val="24"/>
          <w:lang w:val="en-US" w:eastAsia="zh-CN"/>
        </w:rPr>
        <w:t>8070</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4、项目需求：18座景观平台桩基</w:t>
      </w:r>
      <w:r>
        <w:rPr>
          <w:rFonts w:hint="eastAsia" w:ascii="仿宋" w:hAnsi="仿宋" w:eastAsia="仿宋" w:cs="仿宋"/>
          <w:sz w:val="24"/>
          <w:szCs w:val="24"/>
          <w:lang w:eastAsia="zh-CN"/>
        </w:rPr>
        <w:t>勘察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5、采购预算：52.04万元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、最高限价：</w:t>
      </w:r>
      <w:r>
        <w:rPr>
          <w:rFonts w:hint="eastAsia" w:ascii="仿宋" w:hAnsi="仿宋" w:eastAsia="仿宋" w:cs="仿宋"/>
          <w:sz w:val="24"/>
          <w:szCs w:val="24"/>
          <w:lang w:val="en-US" w:eastAsia="zh-CN"/>
        </w:rPr>
        <w:t>52.04</w:t>
      </w:r>
      <w:r>
        <w:rPr>
          <w:rFonts w:hint="eastAsia" w:ascii="仿宋" w:hAnsi="仿宋" w:eastAsia="仿宋" w:cs="仿宋"/>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lang w:eastAsia="zh-CN"/>
        </w:rPr>
        <w:t>　　</w:t>
      </w:r>
      <w:r>
        <w:rPr>
          <w:rFonts w:hint="eastAsia" w:ascii="仿宋" w:hAnsi="仿宋" w:eastAsia="仿宋" w:cs="仿宋"/>
          <w:b/>
          <w:bCs/>
          <w:sz w:val="24"/>
          <w:szCs w:val="24"/>
        </w:rPr>
        <w:t>二、需要落实的政府采购政策</w:t>
      </w:r>
      <w:r>
        <w:rPr>
          <w:rFonts w:hint="eastAsia" w:ascii="仿宋" w:hAnsi="仿宋" w:eastAsia="仿宋" w:cs="仿宋"/>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本项目落实节约能源、保护环境、扶持不发达地区和少数民族地区、促进中小企业、监狱企业发展等政府采购政策。（详见招标文件）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lang w:eastAsia="zh-CN"/>
        </w:rPr>
        <w:t>　</w:t>
      </w:r>
      <w:r>
        <w:rPr>
          <w:rFonts w:hint="eastAsia" w:ascii="仿宋" w:hAnsi="仿宋" w:eastAsia="仿宋" w:cs="仿宋"/>
          <w:b/>
          <w:bCs/>
          <w:sz w:val="24"/>
          <w:szCs w:val="24"/>
          <w:lang w:eastAsia="zh-CN"/>
        </w:rPr>
        <w:t>　</w:t>
      </w:r>
      <w:r>
        <w:rPr>
          <w:rFonts w:hint="eastAsia" w:ascii="仿宋" w:hAnsi="仿宋" w:eastAsia="仿宋" w:cs="仿宋"/>
          <w:b/>
          <w:bCs/>
          <w:sz w:val="24"/>
          <w:szCs w:val="24"/>
        </w:rPr>
        <w:t>三、供应商资格要求</w:t>
      </w:r>
      <w:r>
        <w:rPr>
          <w:rFonts w:hint="eastAsia" w:ascii="仿宋" w:hAnsi="仿宋" w:eastAsia="仿宋" w:cs="仿宋"/>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1、符合《政府采购法》第二十二条之规定，具有独立法人资格且具有相应的经营范围（以营业执照为准）；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2.投标商须具有工程勘察专业乙级及以上资质；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、投标商应开具由项目所在地或企业营业执照注册所在地人民检察院出具的无行贿犯罪档案告知函；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4、法定代表人授权代表须是本单位职工，提供本公司为本人缴纳社会保险证明；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5</w:t>
      </w:r>
      <w:r>
        <w:rPr>
          <w:rFonts w:hint="eastAsia" w:ascii="仿宋" w:hAnsi="仿宋" w:eastAsia="仿宋" w:cs="仿宋"/>
          <w:sz w:val="24"/>
          <w:szCs w:val="24"/>
        </w:rPr>
        <w:t>、本项目不接受联合体投标。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四、获取招标文件的方式、时间、地点及文件费用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供应商须加入许昌市公共资源交易中心供应商库，报名期限内在全国公共资源交易平台（河南省·许昌市）网上报名。详情查看全国公共资源交易平台（河南省·许昌市）（www.xczbtb.com）首页办事指南中的业务流程（网上报名指南），网上报名后，自行下载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2、网上下载招标文件时间：自招标文件在网上发出之日起至提交投标文件前一个小时均可进行投标报名、下载招标文件。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3、未通过全国公共资源交易平台（河南省·许昌市）下载招标文件的投标企业，拒收其递交的投标文件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4、招标文件每份售价人民币</w:t>
      </w:r>
      <w:r>
        <w:rPr>
          <w:rFonts w:hint="eastAsia" w:ascii="仿宋" w:hAnsi="仿宋" w:eastAsia="仿宋" w:cs="仿宋"/>
          <w:sz w:val="24"/>
          <w:szCs w:val="24"/>
          <w:lang w:val="en-US" w:eastAsia="zh-CN"/>
        </w:rPr>
        <w:t>2</w:t>
      </w:r>
      <w:r>
        <w:rPr>
          <w:rFonts w:hint="eastAsia" w:ascii="仿宋" w:hAnsi="仿宋" w:eastAsia="仿宋" w:cs="仿宋"/>
          <w:sz w:val="24"/>
          <w:szCs w:val="24"/>
        </w:rPr>
        <w:t>00元，于递交投标文件时缴纳给采购代理机构，售后不退。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五、投标截止时间、开标时间及地点：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1、投标截止及开标时间：201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15</w:t>
      </w: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9:00 </w:t>
      </w:r>
      <w:r>
        <w:rPr>
          <w:rFonts w:hint="eastAsia" w:ascii="仿宋" w:hAnsi="仿宋" w:eastAsia="仿宋" w:cs="仿宋"/>
          <w:sz w:val="24"/>
          <w:szCs w:val="24"/>
        </w:rPr>
        <w:t>（北京时间），逾期送达或不符合规定的投标文件不予接受。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 xml:space="preserve">2、开标地点：禹州市公共资源交易中心第二开标室（禹州市行政服务中心楼9楼）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六、代理机构及采购单位地址、联系人、联系电话</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（一）代理机构：禹州市政府采购中心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地址：禹州市行政服务中心楼917房间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联系人：侯女士  联系电话：0374-2077111</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采购单位：</w:t>
      </w:r>
      <w:r>
        <w:rPr>
          <w:rFonts w:hint="eastAsia" w:ascii="仿宋" w:hAnsi="仿宋" w:eastAsia="仿宋" w:cs="仿宋"/>
          <w:sz w:val="24"/>
          <w:szCs w:val="24"/>
          <w:lang w:eastAsia="zh-CN"/>
        </w:rPr>
        <w:t>禹州市住房和城乡规划建设局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240" w:firstLineChars="1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地址：禹州市</w:t>
      </w:r>
      <w:r>
        <w:rPr>
          <w:rFonts w:hint="eastAsia" w:ascii="仿宋" w:hAnsi="仿宋" w:eastAsia="仿宋" w:cs="仿宋"/>
          <w:sz w:val="24"/>
          <w:szCs w:val="24"/>
          <w:lang w:eastAsia="zh-CN"/>
        </w:rPr>
        <w:t>行政南路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w:t>
      </w:r>
      <w:r>
        <w:rPr>
          <w:rFonts w:hint="eastAsia" w:ascii="仿宋" w:hAnsi="仿宋" w:eastAsia="仿宋" w:cs="仿宋"/>
          <w:sz w:val="24"/>
          <w:szCs w:val="24"/>
        </w:rPr>
        <w:t>联系人：</w:t>
      </w:r>
      <w:r>
        <w:rPr>
          <w:rFonts w:hint="eastAsia" w:ascii="仿宋" w:hAnsi="仿宋" w:eastAsia="仿宋" w:cs="仿宋"/>
          <w:sz w:val="24"/>
          <w:szCs w:val="24"/>
          <w:lang w:eastAsia="zh-CN"/>
        </w:rPr>
        <w:t>郑先生</w:t>
      </w:r>
      <w:r>
        <w:rPr>
          <w:rFonts w:hint="eastAsia" w:ascii="仿宋" w:hAnsi="仿宋" w:eastAsia="仿宋" w:cs="仿宋"/>
          <w:sz w:val="24"/>
          <w:szCs w:val="24"/>
        </w:rPr>
        <w:t xml:space="preserve">   联系电话：</w:t>
      </w:r>
      <w:r>
        <w:rPr>
          <w:rFonts w:hint="eastAsia" w:ascii="仿宋" w:hAnsi="仿宋" w:eastAsia="仿宋" w:cs="仿宋"/>
          <w:sz w:val="24"/>
          <w:szCs w:val="24"/>
          <w:lang w:val="en-US" w:eastAsia="zh-CN"/>
        </w:rPr>
        <w:t>13782331116</w:t>
      </w: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320" w:firstLineChars="1800"/>
        <w:jc w:val="both"/>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4560" w:firstLineChars="19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25</w:t>
      </w:r>
      <w:r>
        <w:rPr>
          <w:rFonts w:hint="eastAsia" w:ascii="仿宋" w:hAnsi="仿宋" w:eastAsia="仿宋" w:cs="仿宋"/>
          <w:sz w:val="24"/>
          <w:szCs w:val="24"/>
        </w:rPr>
        <w:t>日</w:t>
      </w:r>
    </w:p>
    <w:p>
      <w:pPr>
        <w:spacing w:line="360" w:lineRule="auto"/>
        <w:rPr>
          <w:rFonts w:ascii="仿宋" w:hAnsi="仿宋" w:eastAsia="仿宋" w:cs="仿宋"/>
          <w:b/>
          <w:sz w:val="24"/>
          <w:szCs w:val="24"/>
        </w:rPr>
      </w:pPr>
    </w:p>
    <w:p>
      <w:pPr>
        <w:spacing w:line="360" w:lineRule="auto"/>
        <w:ind w:firstLine="1928" w:firstLineChars="800"/>
        <w:rPr>
          <w:rFonts w:hint="eastAsia" w:ascii="仿宋" w:hAnsi="仿宋" w:eastAsia="仿宋" w:cs="仿宋"/>
          <w:b/>
          <w:sz w:val="24"/>
          <w:szCs w:val="2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3"/>
        <w:gridCol w:w="6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2"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2" w:type="dxa"/>
            <w:tcMar>
              <w:top w:w="0" w:type="dxa"/>
              <w:left w:w="0" w:type="dxa"/>
              <w:bottom w:w="0" w:type="dxa"/>
              <w:right w:w="0" w:type="dxa"/>
            </w:tcMar>
            <w:vAlign w:val="center"/>
          </w:tcPr>
          <w:p>
            <w:pPr>
              <w:widowControl/>
              <w:rPr>
                <w:rFonts w:ascii="仿宋" w:hAnsi="仿宋" w:eastAsia="仿宋"/>
                <w:b/>
                <w:kern w:val="0"/>
                <w:sz w:val="24"/>
                <w:szCs w:val="24"/>
                <w:lang w:val="en-US"/>
              </w:rPr>
            </w:pPr>
            <w:r>
              <w:rPr>
                <w:rFonts w:hint="eastAsia" w:ascii="仿宋" w:hAnsi="仿宋" w:eastAsia="仿宋"/>
                <w:sz w:val="24"/>
                <w:szCs w:val="24"/>
              </w:rPr>
              <w:t>YZCG—G201</w:t>
            </w:r>
            <w:r>
              <w:rPr>
                <w:rFonts w:hint="eastAsia" w:ascii="仿宋" w:hAnsi="仿宋" w:eastAsia="仿宋"/>
                <w:sz w:val="24"/>
                <w:szCs w:val="24"/>
                <w:lang w:val="en-US" w:eastAsia="zh-CN"/>
              </w:rPr>
              <w:t>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2"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ascii="仿宋" w:hAnsi="仿宋" w:eastAsia="仿宋"/>
                <w:color w:val="000000"/>
                <w:kern w:val="0"/>
                <w:sz w:val="24"/>
                <w:szCs w:val="24"/>
              </w:rPr>
            </w:pPr>
            <w:r>
              <w:rPr>
                <w:rFonts w:hint="eastAsia" w:ascii="仿宋" w:hAnsi="仿宋" w:eastAsia="仿宋" w:cs="仿宋"/>
                <w:sz w:val="24"/>
                <w:szCs w:val="24"/>
              </w:rPr>
              <w:t>禹州</w:t>
            </w:r>
            <w:r>
              <w:rPr>
                <w:rFonts w:hint="eastAsia" w:ascii="仿宋" w:hAnsi="仿宋" w:eastAsia="仿宋" w:cs="仿宋"/>
                <w:sz w:val="24"/>
                <w:szCs w:val="24"/>
                <w:lang w:eastAsia="zh-CN"/>
              </w:rPr>
              <w:t>市住房和城乡规划建设局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2"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ascii="仿宋" w:hAnsi="仿宋" w:eastAsia="仿宋"/>
                <w:color w:val="000000"/>
                <w:kern w:val="0"/>
                <w:sz w:val="24"/>
                <w:szCs w:val="24"/>
              </w:rPr>
            </w:pPr>
            <w:r>
              <w:rPr>
                <w:rFonts w:hint="eastAsia" w:ascii="仿宋" w:hAnsi="仿宋" w:eastAsia="仿宋" w:cs="仿宋"/>
                <w:sz w:val="24"/>
                <w:szCs w:val="24"/>
                <w:lang w:eastAsia="zh-CN"/>
              </w:rPr>
              <w:t>禹州市颍河景观带</w:t>
            </w:r>
            <w:r>
              <w:rPr>
                <w:rFonts w:hint="eastAsia" w:ascii="仿宋" w:hAnsi="仿宋" w:eastAsia="仿宋" w:cs="仿宋"/>
                <w:sz w:val="24"/>
                <w:szCs w:val="24"/>
                <w:lang w:val="en-US" w:eastAsia="zh-CN"/>
              </w:rPr>
              <w:t>18座景观平台勘察</w:t>
            </w:r>
            <w:r>
              <w:rPr>
                <w:rFonts w:hint="eastAsia" w:ascii="仿宋" w:hAnsi="仿宋" w:eastAsia="仿宋" w:cs="仿宋"/>
                <w:sz w:val="24"/>
                <w:szCs w:val="24"/>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3"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2"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3"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2" w:type="dxa"/>
            <w:tcMar>
              <w:top w:w="0" w:type="dxa"/>
              <w:left w:w="0" w:type="dxa"/>
              <w:bottom w:w="0" w:type="dxa"/>
              <w:right w:w="0" w:type="dxa"/>
            </w:tcMar>
            <w:vAlign w:val="center"/>
          </w:tcPr>
          <w:p>
            <w:pPr>
              <w:autoSpaceDE w:val="0"/>
              <w:autoSpaceDN w:val="0"/>
              <w:adjustRightInd w:val="0"/>
              <w:spacing w:line="420" w:lineRule="exact"/>
              <w:rPr>
                <w:rFonts w:hint="eastAsia" w:ascii="仿宋" w:hAnsi="仿宋" w:eastAsia="仿宋"/>
                <w:sz w:val="24"/>
                <w:szCs w:val="24"/>
                <w:lang w:eastAsia="zh-CN"/>
              </w:rPr>
            </w:pPr>
            <w:r>
              <w:rPr>
                <w:rFonts w:hint="eastAsia" w:ascii="仿宋" w:hAnsi="仿宋" w:eastAsia="仿宋"/>
                <w:sz w:val="24"/>
                <w:szCs w:val="24"/>
                <w:lang w:eastAsia="zh-CN"/>
              </w:rPr>
              <w:t>以</w:t>
            </w:r>
            <w:r>
              <w:rPr>
                <w:rFonts w:hint="eastAsia" w:ascii="仿宋" w:hAnsi="仿宋" w:eastAsia="仿宋"/>
                <w:sz w:val="24"/>
                <w:szCs w:val="24"/>
              </w:rPr>
              <w:t>签订合同</w:t>
            </w:r>
            <w:r>
              <w:rPr>
                <w:rFonts w:hint="eastAsia" w:ascii="仿宋" w:hAnsi="仿宋" w:eastAsia="仿宋"/>
                <w:sz w:val="24"/>
                <w:szCs w:val="24"/>
                <w:lang w:eastAsia="zh-CN"/>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3"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lang w:eastAsia="zh-CN"/>
              </w:rPr>
              <w:t>壹万</w:t>
            </w:r>
            <w:r>
              <w:rPr>
                <w:rFonts w:hint="eastAsia" w:ascii="仿宋" w:hAnsi="仿宋" w:eastAsia="仿宋"/>
                <w:sz w:val="24"/>
                <w:szCs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3"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2" w:type="dxa"/>
            <w:tcMar>
              <w:top w:w="0" w:type="dxa"/>
              <w:left w:w="0" w:type="dxa"/>
              <w:bottom w:w="0" w:type="dxa"/>
              <w:right w:w="0" w:type="dxa"/>
            </w:tcMar>
            <w:vAlign w:val="center"/>
          </w:tcPr>
          <w:p>
            <w:pPr>
              <w:widowControl/>
              <w:spacing w:line="440" w:lineRule="exact"/>
              <w:textAlignment w:val="center"/>
              <w:rPr>
                <w:rFonts w:hint="eastAsia" w:ascii="仿宋" w:hAnsi="仿宋" w:eastAsia="仿宋"/>
                <w:sz w:val="24"/>
                <w:szCs w:val="24"/>
                <w:lang w:val="en-US" w:eastAsia="zh-CN"/>
              </w:rPr>
            </w:pPr>
            <w:r>
              <w:rPr>
                <w:rFonts w:hint="eastAsia" w:ascii="仿宋" w:hAnsi="仿宋" w:eastAsia="仿宋"/>
                <w:sz w:val="24"/>
                <w:szCs w:val="24"/>
              </w:rPr>
              <w:t>2018年</w:t>
            </w:r>
            <w:r>
              <w:rPr>
                <w:rFonts w:hint="eastAsia" w:ascii="仿宋" w:hAnsi="仿宋" w:eastAsia="仿宋"/>
                <w:sz w:val="24"/>
                <w:szCs w:val="24"/>
                <w:lang w:val="en-US" w:eastAsia="zh-CN"/>
              </w:rPr>
              <w:t>6</w:t>
            </w:r>
            <w:r>
              <w:rPr>
                <w:rFonts w:hint="eastAsia" w:ascii="仿宋" w:hAnsi="仿宋" w:eastAsia="仿宋"/>
                <w:sz w:val="24"/>
                <w:szCs w:val="24"/>
              </w:rPr>
              <w:t>月</w:t>
            </w:r>
            <w:r>
              <w:rPr>
                <w:rFonts w:hint="eastAsia" w:ascii="仿宋" w:hAnsi="仿宋" w:eastAsia="仿宋"/>
                <w:sz w:val="24"/>
                <w:szCs w:val="24"/>
                <w:lang w:val="en-US" w:eastAsia="zh-CN"/>
              </w:rPr>
              <w:t>15</w:t>
            </w:r>
            <w:r>
              <w:rPr>
                <w:rFonts w:hint="eastAsia" w:ascii="仿宋" w:hAnsi="仿宋" w:eastAsia="仿宋"/>
                <w:sz w:val="24"/>
                <w:szCs w:val="24"/>
              </w:rPr>
              <w:t>日</w:t>
            </w:r>
            <w:r>
              <w:rPr>
                <w:rFonts w:hint="eastAsia" w:ascii="仿宋" w:hAnsi="仿宋" w:eastAsia="仿宋"/>
                <w:sz w:val="24"/>
                <w:szCs w:val="24"/>
                <w:lang w:val="en-US"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3"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3"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2"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2"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rPr>
              <w:t>注：投标人须提供电子版投标文件一份，</w:t>
            </w:r>
            <w:r>
              <w:rPr>
                <w:rFonts w:hint="eastAsia" w:ascii="仿宋" w:hAnsi="仿宋" w:eastAsia="仿宋"/>
                <w:color w:val="FF0000"/>
                <w:kern w:val="0"/>
                <w:sz w:val="24"/>
                <w:szCs w:val="24"/>
                <w:lang w:eastAsia="zh-CN"/>
              </w:rPr>
              <w:t>单独</w:t>
            </w:r>
            <w:r>
              <w:rPr>
                <w:rFonts w:hint="eastAsia" w:ascii="仿宋" w:hAnsi="仿宋" w:eastAsia="仿宋"/>
                <w:color w:val="FF0000"/>
                <w:kern w:val="0"/>
                <w:sz w:val="24"/>
                <w:szCs w:val="24"/>
              </w:rPr>
              <w:t>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2" w:type="dxa"/>
            <w:tcMar>
              <w:top w:w="0" w:type="dxa"/>
              <w:left w:w="0" w:type="dxa"/>
              <w:bottom w:w="0" w:type="dxa"/>
              <w:right w:w="0" w:type="dxa"/>
            </w:tcMar>
            <w:vAlign w:val="center"/>
          </w:tcPr>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0"/>
              </w:numPr>
              <w:spacing w:line="440" w:lineRule="exact"/>
              <w:ind w:left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3"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en-US"/>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6</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15</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3"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en-US"/>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6</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15</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2" w:type="dxa"/>
            <w:tcMar>
              <w:top w:w="0" w:type="dxa"/>
              <w:left w:w="0" w:type="dxa"/>
              <w:bottom w:w="0" w:type="dxa"/>
              <w:right w:w="0" w:type="dxa"/>
            </w:tcMar>
            <w:vAlign w:val="center"/>
          </w:tcPr>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本项目最高限价为：</w:t>
            </w:r>
            <w:r>
              <w:rPr>
                <w:rFonts w:hint="eastAsia" w:ascii="仿宋" w:hAnsi="仿宋" w:eastAsia="仿宋" w:cs="仿宋"/>
                <w:sz w:val="24"/>
                <w:szCs w:val="24"/>
                <w:lang w:val="en-US" w:eastAsia="zh-CN"/>
              </w:rPr>
              <w:t>52.04</w:t>
            </w:r>
            <w:r>
              <w:rPr>
                <w:rFonts w:hint="eastAsia" w:ascii="仿宋" w:hAnsi="仿宋" w:eastAsia="仿宋"/>
                <w:b/>
                <w:bCs/>
                <w:sz w:val="24"/>
                <w:szCs w:val="24"/>
              </w:rPr>
              <w:t>万元，</w:t>
            </w:r>
            <w:r>
              <w:rPr>
                <w:rFonts w:hint="eastAsia" w:ascii="仿宋" w:hAnsi="仿宋" w:eastAsia="仿宋"/>
                <w:b/>
                <w:bCs/>
                <w:sz w:val="24"/>
                <w:szCs w:val="24"/>
                <w:lang w:val="zh-CN"/>
              </w:rPr>
              <w:t>投标商投标总报价不能超过项目最高限价，否则为无效投标。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5.6.投标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5.8.经评标委员会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宋体"/>
          <w:bCs/>
          <w:sz w:val="24"/>
          <w:lang w:val="en-US" w:eastAsia="zh-CN"/>
        </w:rPr>
        <w:t>5.9.投标文件内容模糊不清，无法辨认的;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hint="eastAsia" w:ascii="仿宋" w:hAnsi="仿宋" w:eastAsia="仿宋"/>
          <w:b/>
          <w:sz w:val="44"/>
          <w:szCs w:val="44"/>
        </w:rPr>
      </w:pPr>
    </w:p>
    <w:p>
      <w:pPr>
        <w:widowControl/>
        <w:spacing w:line="440" w:lineRule="exact"/>
        <w:ind w:firstLine="2182" w:firstLineChars="494"/>
        <w:jc w:val="left"/>
        <w:rPr>
          <w:rFonts w:hint="eastAsia"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w:t>
      </w:r>
      <w:r>
        <w:rPr>
          <w:rFonts w:hint="eastAsia" w:ascii="仿宋" w:hAnsi="仿宋" w:eastAsia="仿宋" w:cs="仿宋_GB2312"/>
          <w:color w:val="FF0000"/>
          <w:sz w:val="24"/>
          <w:szCs w:val="24"/>
          <w:lang w:eastAsia="zh-CN"/>
        </w:rPr>
        <w:t>书（参考</w:t>
      </w:r>
      <w:r>
        <w:rPr>
          <w:rFonts w:hint="eastAsia" w:ascii="仿宋" w:hAnsi="仿宋" w:eastAsia="仿宋" w:cs="仿宋_GB2312"/>
          <w:color w:val="FF0000"/>
          <w:sz w:val="24"/>
          <w:szCs w:val="24"/>
        </w:rPr>
        <w:t>样本</w:t>
      </w:r>
      <w:r>
        <w:rPr>
          <w:rFonts w:hint="eastAsia" w:ascii="仿宋" w:hAnsi="仿宋" w:eastAsia="仿宋" w:cs="仿宋_GB2312"/>
          <w:color w:val="FF0000"/>
          <w:sz w:val="24"/>
          <w:szCs w:val="24"/>
          <w:lang w:val="en-US" w:eastAsia="zh-CN"/>
        </w:rPr>
        <w:t>)</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w:t>
      </w:r>
      <w:r>
        <w:rPr>
          <w:rFonts w:hint="eastAsia" w:ascii="仿宋" w:hAnsi="仿宋" w:eastAsia="仿宋" w:cs="仿宋_GB2312"/>
          <w:sz w:val="24"/>
          <w:szCs w:val="24"/>
          <w:shd w:val="clear" w:color="auto" w:fill="FFFFFF"/>
          <w:lang w:eastAsia="zh-CN"/>
        </w:rPr>
        <w:t>授权代表</w:t>
      </w:r>
      <w:r>
        <w:rPr>
          <w:rFonts w:hint="eastAsia" w:ascii="仿宋" w:hAnsi="仿宋" w:eastAsia="仿宋" w:cs="仿宋_GB2312"/>
          <w:sz w:val="24"/>
          <w:szCs w:val="24"/>
          <w:shd w:val="clear" w:color="auto" w:fill="FFFFFF"/>
        </w:rPr>
        <w:t>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w:t>
      </w:r>
      <w:r>
        <w:rPr>
          <w:rFonts w:hint="eastAsia" w:ascii="仿宋" w:hAnsi="仿宋" w:eastAsia="仿宋" w:cs="仿宋_GB2312"/>
          <w:sz w:val="24"/>
          <w:szCs w:val="24"/>
          <w:lang w:eastAsia="zh-CN"/>
        </w:rPr>
        <w:t>授权代表</w:t>
      </w:r>
      <w:r>
        <w:rPr>
          <w:rFonts w:hint="eastAsia" w:ascii="仿宋" w:hAnsi="仿宋" w:eastAsia="仿宋" w:cs="仿宋_GB2312"/>
          <w:sz w:val="24"/>
          <w:szCs w:val="24"/>
        </w:rPr>
        <w:t>签字的，投标文件应附法定代表人签署的授权委托书。投标文件应尽量避免涂改、行间插字或删除。如果出现上述情况，改动之处应加盖单位章或由投标人的法定代表人或其授权</w:t>
      </w:r>
      <w:r>
        <w:rPr>
          <w:rFonts w:hint="eastAsia" w:ascii="仿宋" w:hAnsi="仿宋" w:eastAsia="仿宋" w:cs="仿宋_GB2312"/>
          <w:sz w:val="24"/>
          <w:szCs w:val="24"/>
          <w:lang w:eastAsia="zh-CN"/>
        </w:rPr>
        <w:t>代表</w:t>
      </w:r>
      <w:r>
        <w:rPr>
          <w:rFonts w:hint="eastAsia" w:ascii="仿宋" w:hAnsi="仿宋" w:eastAsia="仿宋" w:cs="仿宋_GB2312"/>
          <w:sz w:val="24"/>
          <w:szCs w:val="24"/>
        </w:rPr>
        <w:t>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1</w:t>
      </w:r>
      <w:r>
        <w:rPr>
          <w:rFonts w:hint="eastAsia" w:ascii="仿宋" w:hAnsi="仿宋" w:eastAsia="仿宋" w:cs="仿宋"/>
          <w:b/>
          <w:sz w:val="24"/>
          <w:lang w:val="en-US" w:eastAsia="zh-CN"/>
        </w:rPr>
        <w:t>1</w:t>
      </w:r>
      <w:r>
        <w:rPr>
          <w:rFonts w:hint="eastAsia" w:ascii="仿宋" w:hAnsi="仿宋" w:eastAsia="仿宋" w:cs="仿宋"/>
          <w:b/>
          <w:sz w:val="24"/>
        </w:rPr>
        <w:t>.投标保证金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479" w:leftChars="228" w:firstLine="0" w:firstLineChars="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w:t>
      </w:r>
      <w:r>
        <w:rPr>
          <w:rFonts w:hint="eastAsia" w:ascii="仿宋" w:hAnsi="仿宋" w:eastAsia="仿宋" w:cs="仿宋"/>
          <w:sz w:val="24"/>
          <w:lang w:val="zh-CN" w:eastAsia="zh-CN"/>
        </w:rPr>
        <w:t>许昌</w:t>
      </w:r>
      <w:r>
        <w:rPr>
          <w:rFonts w:hint="eastAsia" w:ascii="仿宋" w:hAnsi="仿宋" w:eastAsia="仿宋" w:cs="仿宋"/>
          <w:sz w:val="24"/>
          <w:lang w:val="zh-CN"/>
        </w:rPr>
        <w:t>市公共资源交易中心保证金缴纳回执”附投标文件中。同时开标现场提供一份“许昌市公共资源交易中心保证金缴纳回执”以备查询。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11.7.5 法律法规及招标文件规定的其他情形。</w:t>
      </w:r>
    </w:p>
    <w:p>
      <w:pPr>
        <w:keepNext w:val="0"/>
        <w:keepLines w:val="0"/>
        <w:pageBreakBefore w:val="0"/>
        <w:widowControl/>
        <w:kinsoku/>
        <w:overflowPunct/>
        <w:autoSpaceDE/>
        <w:autoSpaceDN/>
        <w:bidi w:val="0"/>
        <w:adjustRightInd/>
        <w:spacing w:line="360" w:lineRule="auto"/>
        <w:ind w:left="0" w:leftChars="0" w:right="0" w:rightChars="0" w:firstLine="482" w:firstLineChars="200"/>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D   投标文件的递交</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72" w:firstLineChars="196"/>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F 无效投标与废标</w:t>
      </w:r>
    </w:p>
    <w:p>
      <w:pPr>
        <w:keepNext w:val="0"/>
        <w:keepLines w:val="0"/>
        <w:pageBreakBefore w:val="0"/>
        <w:widowControl/>
        <w:numPr>
          <w:ilvl w:val="0"/>
          <w:numId w:val="5"/>
        </w:numPr>
        <w:tabs>
          <w:tab w:val="left" w:pos="8280"/>
        </w:tabs>
        <w:kinsoku/>
        <w:wordWrap/>
        <w:overflowPunct/>
        <w:bidi w:val="0"/>
        <w:spacing w:line="360" w:lineRule="auto"/>
        <w:ind w:left="0" w:leftChars="0" w:right="-1"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19.5.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19.6.投标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19.8.经评标委员会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仿宋_GB2312"/>
          <w:sz w:val="24"/>
          <w:szCs w:val="24"/>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keepNext w:val="0"/>
        <w:keepLines w:val="0"/>
        <w:pageBreakBefore w:val="0"/>
        <w:widowControl/>
        <w:kinsoku/>
        <w:overflowPunct/>
        <w:bidi w:val="0"/>
        <w:spacing w:line="360" w:lineRule="auto"/>
        <w:ind w:left="0" w:leftChars="0" w:firstLine="472" w:firstLineChars="196"/>
        <w:jc w:val="left"/>
        <w:textAlignment w:val="auto"/>
        <w:outlineLvl w:val="9"/>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21、对招标人的纪律要求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22、对投标人的纪律要求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25、</w:t>
      </w:r>
      <w:r>
        <w:rPr>
          <w:rFonts w:hint="eastAsia" w:ascii="仿宋" w:hAnsi="仿宋" w:eastAsia="仿宋" w:cs="仿宋_GB2312"/>
          <w:sz w:val="24"/>
          <w:szCs w:val="24"/>
          <w:lang w:eastAsia="zh-CN"/>
        </w:rPr>
        <w:t>质疑与</w:t>
      </w:r>
      <w:r>
        <w:rPr>
          <w:rFonts w:hint="eastAsia" w:ascii="仿宋" w:hAnsi="仿宋" w:eastAsia="仿宋" w:cs="仿宋_GB2312"/>
          <w:sz w:val="24"/>
          <w:szCs w:val="24"/>
        </w:rPr>
        <w:t>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投标人认为本次招标活动违反法律、法规和规章规定的，应当遵守</w:t>
      </w:r>
      <w:r>
        <w:rPr>
          <w:rFonts w:hint="eastAsia" w:ascii="仿宋" w:hAnsi="仿宋" w:eastAsia="仿宋" w:cs="仿宋_GB2312"/>
          <w:sz w:val="24"/>
          <w:szCs w:val="24"/>
          <w:lang w:eastAsia="zh-CN"/>
        </w:rPr>
        <w:t>《</w:t>
      </w:r>
      <w:r>
        <w:rPr>
          <w:rFonts w:hint="eastAsia" w:ascii="仿宋" w:hAnsi="仿宋" w:eastAsia="仿宋" w:cs="仿宋_GB2312"/>
          <w:sz w:val="24"/>
          <w:szCs w:val="24"/>
        </w:rPr>
        <w:t>中华人民共和国财政部</w:t>
      </w:r>
      <w:r>
        <w:rPr>
          <w:rFonts w:hint="eastAsia" w:ascii="仿宋" w:hAnsi="仿宋" w:eastAsia="仿宋" w:cs="仿宋_GB2312"/>
          <w:sz w:val="24"/>
          <w:szCs w:val="24"/>
          <w:lang w:val="en-US" w:eastAsia="zh-CN"/>
        </w:rPr>
        <w:t>94</w:t>
      </w:r>
      <w:r>
        <w:rPr>
          <w:rFonts w:hint="eastAsia" w:ascii="仿宋" w:hAnsi="仿宋" w:eastAsia="仿宋" w:cs="仿宋_GB2312"/>
          <w:sz w:val="24"/>
          <w:szCs w:val="24"/>
        </w:rPr>
        <w:t>号令</w:t>
      </w:r>
      <w:r>
        <w:rPr>
          <w:rFonts w:hint="eastAsia" w:ascii="仿宋" w:hAnsi="仿宋" w:eastAsia="仿宋" w:cs="仿宋_GB2312"/>
          <w:sz w:val="24"/>
          <w:szCs w:val="24"/>
          <w:lang w:eastAsia="zh-CN"/>
        </w:rPr>
        <w:t>》</w:t>
      </w:r>
      <w:r>
        <w:rPr>
          <w:rFonts w:hint="eastAsia" w:ascii="仿宋" w:hAnsi="仿宋" w:eastAsia="仿宋" w:cs="仿宋_GB2312"/>
          <w:sz w:val="24"/>
          <w:szCs w:val="24"/>
        </w:rPr>
        <w:t>规定。</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8" w:type="first"/>
          <w:footerReference r:id="rId10" w:type="first"/>
          <w:headerReference r:id="rId7" w:type="default"/>
          <w:footerReference r:id="rId9" w:type="default"/>
          <w:pgSz w:w="11907" w:h="16840"/>
          <w:pgMar w:top="1440" w:right="1474" w:bottom="1440" w:left="1474" w:header="851" w:footer="992" w:gutter="0"/>
          <w:cols w:space="720" w:num="1"/>
          <w:titlePg/>
          <w:docGrid w:linePitch="312" w:charSpace="0"/>
        </w:sectPr>
      </w:pPr>
    </w:p>
    <w:p>
      <w:pPr>
        <w:widowControl/>
        <w:numPr>
          <w:ilvl w:val="0"/>
          <w:numId w:val="6"/>
        </w:numPr>
        <w:spacing w:line="440" w:lineRule="exact"/>
        <w:ind w:firstLine="1533" w:firstLineChars="347"/>
        <w:rPr>
          <w:rFonts w:ascii="仿宋" w:hAnsi="仿宋" w:eastAsia="仿宋"/>
          <w:b/>
          <w:sz w:val="44"/>
        </w:rPr>
      </w:pPr>
      <w:r>
        <w:rPr>
          <w:rFonts w:hint="eastAsia" w:ascii="仿宋" w:hAnsi="仿宋" w:eastAsia="仿宋"/>
          <w:b/>
          <w:sz w:val="44"/>
        </w:rPr>
        <w:t>分 采购内容及其他要求</w:t>
      </w:r>
    </w:p>
    <w:p>
      <w:pPr>
        <w:widowControl/>
        <w:numPr>
          <w:ilvl w:val="0"/>
          <w:numId w:val="0"/>
        </w:numPr>
        <w:spacing w:line="440" w:lineRule="exact"/>
        <w:rPr>
          <w:rFonts w:hint="eastAsia" w:ascii="仿宋" w:hAnsi="仿宋" w:eastAsia="仿宋"/>
          <w:b/>
          <w:sz w:val="44"/>
          <w:lang w:val="en-US" w:eastAsia="zh-CN"/>
        </w:rPr>
      </w:pPr>
    </w:p>
    <w:p>
      <w:pPr>
        <w:keepNext w:val="0"/>
        <w:keepLines w:val="0"/>
        <w:pageBreakBefore w:val="0"/>
        <w:widowControl w:val="0"/>
        <w:numPr>
          <w:ilvl w:val="0"/>
          <w:numId w:val="7"/>
        </w:numPr>
        <w:kinsoku/>
        <w:wordWrap/>
        <w:overflowPunct/>
        <w:topLinePunct w:val="0"/>
        <w:autoSpaceDE/>
        <w:autoSpaceDN/>
        <w:bidi w:val="0"/>
        <w:adjustRightInd/>
        <w:snapToGrid/>
        <w:spacing w:before="471" w:after="312" w:line="360" w:lineRule="auto"/>
        <w:textAlignment w:val="auto"/>
        <w:outlineLvl w:val="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勘察工作内容：共计27个码头项目，其中生产码头11个，游船停靠码头16个；2、勘察工作量：共布置钻孔110个，孔深15.0～20.0m（钻孔兼做波速测试孔），总进尺1920.0m。</w:t>
      </w:r>
    </w:p>
    <w:p>
      <w:pPr>
        <w:pStyle w:val="2"/>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勘察技术要求：</w:t>
      </w:r>
    </w:p>
    <w:p>
      <w:pPr>
        <w:pStyle w:val="2"/>
        <w:keepNext w:val="0"/>
        <w:keepLines w:val="0"/>
        <w:pageBreakBefore w:val="0"/>
        <w:widowControl w:val="0"/>
        <w:numPr>
          <w:ilvl w:val="0"/>
          <w:numId w:val="8"/>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通过本次工程地质勘察，对工程建设的适宜性和稳定性有关的工程地质条件做出结论性评价；</w:t>
      </w:r>
    </w:p>
    <w:p>
      <w:pPr>
        <w:pStyle w:val="2"/>
        <w:keepNext w:val="0"/>
        <w:keepLines w:val="0"/>
        <w:pageBreakBefore w:val="0"/>
        <w:widowControl w:val="0"/>
        <w:numPr>
          <w:ilvl w:val="0"/>
          <w:numId w:val="8"/>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查明不良地质现象，特殊性岩土的类型、性质、空间分布范围、发生和诱发条件、发展趋势及危害程度，评价对工程的危害，并对其防治措施提出建设。</w:t>
      </w:r>
    </w:p>
    <w:p>
      <w:pPr>
        <w:pStyle w:val="2"/>
        <w:keepNext w:val="0"/>
        <w:keepLines w:val="0"/>
        <w:pageBreakBefore w:val="0"/>
        <w:widowControl w:val="0"/>
        <w:numPr>
          <w:ilvl w:val="0"/>
          <w:numId w:val="8"/>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查时拟建码头处岩土层分布、形成时代、成因类型。提供各岩土层物理力学性质指标。查明地下水类型（地下水腐蚀性）；提供主要持力层的选择和各岩土怪的承载力参数；</w:t>
      </w:r>
    </w:p>
    <w:p>
      <w:pPr>
        <w:pStyle w:val="2"/>
        <w:keepNext w:val="0"/>
        <w:keepLines w:val="0"/>
        <w:pageBreakBefore w:val="0"/>
        <w:widowControl w:val="0"/>
        <w:numPr>
          <w:ilvl w:val="0"/>
          <w:numId w:val="8"/>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查明可供选择的桩基持力层及下卧层的埋藏深度、厚度及变化规律，提出桩尖持力层最佳方案的建议；提供为计算单桩轴向受压承载力所需的桩壁各土层的极限摩阻力、桩尖处极限承载力等参数；评价成桩可能性，论证桩的施工条件及其对环境的影响；</w:t>
      </w:r>
    </w:p>
    <w:p>
      <w:pPr>
        <w:pStyle w:val="2"/>
        <w:keepNext w:val="0"/>
        <w:keepLines w:val="0"/>
        <w:pageBreakBefore w:val="0"/>
        <w:widowControl w:val="0"/>
        <w:numPr>
          <w:ilvl w:val="0"/>
          <w:numId w:val="8"/>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对本工程选址区的震烈度和地震动参数进行确定；</w:t>
      </w:r>
    </w:p>
    <w:p>
      <w:pPr>
        <w:pStyle w:val="2"/>
        <w:keepNext w:val="0"/>
        <w:keepLines w:val="0"/>
        <w:pageBreakBefore w:val="0"/>
        <w:widowControl w:val="0"/>
        <w:numPr>
          <w:ilvl w:val="0"/>
          <w:numId w:val="8"/>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综合分析选址区岩土工程条件及有关勘探、测试成果，为拟建码头基础持力层选择提供合理的建议，为设计提供详细的地质资料。</w:t>
      </w:r>
    </w:p>
    <w:p>
      <w:pPr>
        <w:pStyle w:val="2"/>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成果要求：符合业主需求。</w:t>
      </w:r>
    </w:p>
    <w:p>
      <w:pPr>
        <w:keepNext w:val="0"/>
        <w:keepLines w:val="0"/>
        <w:pageBreakBefore w:val="0"/>
        <w:widowControl w:val="0"/>
        <w:tabs>
          <w:tab w:val="left" w:pos="5963"/>
        </w:tabs>
        <w:kinsoku/>
        <w:wordWrap/>
        <w:overflowPunct/>
        <w:topLinePunct w:val="0"/>
        <w:autoSpaceDE/>
        <w:autoSpaceDN/>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eastAsia="zh-CN"/>
        </w:rPr>
        <w:t>四、</w:t>
      </w:r>
      <w:r>
        <w:rPr>
          <w:rFonts w:hint="eastAsia" w:ascii="仿宋" w:hAnsi="仿宋" w:eastAsia="仿宋" w:cs="仿宋"/>
          <w:b w:val="0"/>
          <w:bCs/>
          <w:sz w:val="24"/>
          <w:szCs w:val="24"/>
        </w:rPr>
        <w:t>其它要求：</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以上要求为最低要求</w:t>
      </w:r>
      <w:r>
        <w:rPr>
          <w:rFonts w:hint="eastAsia" w:ascii="仿宋" w:hAnsi="仿宋" w:eastAsia="仿宋" w:cs="仿宋"/>
          <w:sz w:val="24"/>
          <w:szCs w:val="24"/>
        </w:rPr>
        <w:t>，</w:t>
      </w:r>
      <w:r>
        <w:rPr>
          <w:rFonts w:hint="eastAsia" w:ascii="仿宋" w:hAnsi="仿宋" w:eastAsia="仿宋" w:cs="仿宋"/>
          <w:sz w:val="24"/>
          <w:szCs w:val="24"/>
          <w:lang w:eastAsia="zh-CN"/>
        </w:rPr>
        <w:t>投标商应等于或优于此要求，</w:t>
      </w:r>
      <w:r>
        <w:rPr>
          <w:rFonts w:hint="eastAsia" w:ascii="仿宋" w:hAnsi="仿宋" w:eastAsia="仿宋" w:cs="仿宋"/>
          <w:sz w:val="24"/>
          <w:szCs w:val="24"/>
        </w:rPr>
        <w:t>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、投标人应就该项目完整投标，</w:t>
      </w:r>
      <w:r>
        <w:rPr>
          <w:rFonts w:hint="eastAsia" w:ascii="仿宋" w:hAnsi="仿宋" w:eastAsia="仿宋" w:cs="仿宋"/>
          <w:sz w:val="24"/>
          <w:szCs w:val="24"/>
          <w:lang w:eastAsia="zh-CN"/>
        </w:rPr>
        <w:t>须合理的工作方案，</w:t>
      </w:r>
      <w:r>
        <w:rPr>
          <w:rFonts w:hint="eastAsia" w:ascii="仿宋" w:hAnsi="仿宋" w:eastAsia="仿宋" w:cs="仿宋"/>
          <w:sz w:val="24"/>
          <w:szCs w:val="24"/>
        </w:rPr>
        <w:t>否则为无效投标。</w:t>
      </w:r>
    </w:p>
    <w:p>
      <w:pPr>
        <w:tabs>
          <w:tab w:val="left" w:pos="5963"/>
        </w:tabs>
        <w:spacing w:line="420" w:lineRule="exact"/>
        <w:ind w:firstLine="480" w:firstLineChars="200"/>
        <w:rPr>
          <w:rFonts w:hint="eastAsia" w:ascii="仿宋" w:hAnsi="仿宋" w:eastAsia="仿宋" w:cs="仿宋"/>
          <w:b/>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、付款方式：以签订合同为准。</w:t>
      </w:r>
    </w:p>
    <w:p>
      <w:pPr>
        <w:spacing w:line="520" w:lineRule="exact"/>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w:t>
      </w:r>
      <w:r>
        <w:rPr>
          <w:rFonts w:hint="eastAsia" w:ascii="仿宋" w:hAnsi="仿宋" w:eastAsia="仿宋" w:cs="仿宋"/>
          <w:sz w:val="24"/>
          <w:szCs w:val="24"/>
          <w:lang w:eastAsia="zh-CN"/>
        </w:rPr>
        <w:t>副本</w:t>
      </w:r>
      <w:r>
        <w:rPr>
          <w:rFonts w:hint="eastAsia" w:ascii="仿宋" w:hAnsi="仿宋" w:eastAsia="仿宋" w:cs="仿宋"/>
          <w:sz w:val="24"/>
          <w:szCs w:val="24"/>
        </w:rPr>
        <w:t>、银行开户许可证、无行贿记录告知函、资质证书、</w:t>
      </w:r>
      <w:r>
        <w:rPr>
          <w:rFonts w:hint="eastAsia" w:ascii="仿宋" w:hAnsi="仿宋" w:eastAsia="仿宋" w:cs="仿宋"/>
          <w:sz w:val="24"/>
          <w:szCs w:val="24"/>
          <w:lang w:eastAsia="zh-CN"/>
        </w:rPr>
        <w:t>法定代表人授权代表</w:t>
      </w:r>
      <w:r>
        <w:rPr>
          <w:rFonts w:hint="eastAsia" w:ascii="仿宋" w:hAnsi="仿宋" w:eastAsia="仿宋" w:cs="仿宋"/>
          <w:sz w:val="24"/>
          <w:szCs w:val="24"/>
        </w:rPr>
        <w:t>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w:t>
      </w:r>
      <w:r>
        <w:rPr>
          <w:rFonts w:hint="eastAsia" w:ascii="仿宋" w:hAnsi="仿宋" w:eastAsia="仿宋" w:cs="仿宋"/>
          <w:sz w:val="24"/>
          <w:szCs w:val="24"/>
          <w:lang w:eastAsia="zh-CN"/>
        </w:rPr>
        <w:t>回执</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w:t>
      </w:r>
      <w:r>
        <w:rPr>
          <w:rFonts w:hint="eastAsia" w:ascii="仿宋" w:hAnsi="仿宋" w:eastAsia="仿宋" w:cs="仿宋"/>
          <w:sz w:val="24"/>
          <w:szCs w:val="24"/>
          <w:shd w:val="clear" w:color="auto" w:fill="FFFFFF"/>
          <w:lang w:val="en-US" w:eastAsia="zh-CN"/>
        </w:rPr>
        <w:t>5</w:t>
      </w:r>
      <w:r>
        <w:rPr>
          <w:rFonts w:hint="eastAsia" w:ascii="仿宋" w:hAnsi="仿宋" w:eastAsia="仿宋" w:cs="仿宋"/>
          <w:sz w:val="24"/>
          <w:szCs w:val="24"/>
          <w:shd w:val="clear" w:color="auto" w:fill="FFFFFF"/>
        </w:rPr>
        <w:t>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hint="eastAsia" w:ascii="仿宋" w:hAnsi="仿宋" w:eastAsia="仿宋" w:cs="仿宋"/>
          <w:sz w:val="24"/>
          <w:szCs w:val="24"/>
          <w:lang w:eastAsia="zh-CN"/>
        </w:rPr>
      </w:pPr>
      <w:r>
        <w:rPr>
          <w:rFonts w:hint="eastAsia" w:ascii="仿宋" w:hAnsi="仿宋" w:eastAsia="仿宋" w:cs="仿宋"/>
          <w:sz w:val="24"/>
          <w:szCs w:val="24"/>
        </w:rPr>
        <w:t>3.4评标</w:t>
      </w:r>
      <w:r>
        <w:rPr>
          <w:rFonts w:hint="eastAsia" w:ascii="仿宋" w:hAnsi="仿宋" w:eastAsia="仿宋" w:cs="仿宋"/>
          <w:sz w:val="24"/>
          <w:szCs w:val="24"/>
          <w:lang w:eastAsia="zh-CN"/>
        </w:rPr>
        <w:t>办法</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3.5评分标准</w:t>
      </w:r>
    </w:p>
    <w:tbl>
      <w:tblPr>
        <w:tblStyle w:val="36"/>
        <w:tblW w:w="950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1476"/>
        <w:gridCol w:w="1940"/>
        <w:gridCol w:w="2456"/>
        <w:gridCol w:w="36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52" w:hRule="atLeast"/>
          <w:jc w:val="center"/>
        </w:trPr>
        <w:tc>
          <w:tcPr>
            <w:tcW w:w="1476"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jc w:val="center"/>
              <w:rPr>
                <w:rFonts w:hint="eastAsia" w:ascii="仿宋" w:hAnsi="仿宋" w:eastAsia="仿宋" w:cs="仿宋"/>
                <w:color w:val="007F00"/>
                <w:sz w:val="24"/>
                <w:szCs w:val="24"/>
                <w:lang w:val="zh-CN" w:eastAsia="zh-CN"/>
              </w:rPr>
            </w:pPr>
            <w:r>
              <w:rPr>
                <w:rFonts w:hint="eastAsia" w:ascii="仿宋" w:hAnsi="仿宋" w:eastAsia="仿宋" w:cs="仿宋"/>
                <w:color w:val="007F00"/>
                <w:sz w:val="24"/>
                <w:szCs w:val="24"/>
                <w:lang w:val="en-US" w:eastAsia="zh-CN"/>
              </w:rPr>
              <w:t>1</w:t>
            </w:r>
          </w:p>
        </w:tc>
        <w:tc>
          <w:tcPr>
            <w:tcW w:w="1940"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jc w:val="center"/>
              <w:rPr>
                <w:rFonts w:hint="eastAsia" w:ascii="仿宋" w:hAnsi="仿宋" w:eastAsia="仿宋" w:cs="仿宋"/>
                <w:sz w:val="24"/>
                <w:szCs w:val="24"/>
                <w:lang w:val="zh-CN"/>
              </w:rPr>
            </w:pPr>
            <w:r>
              <w:rPr>
                <w:rFonts w:hint="eastAsia" w:ascii="仿宋" w:hAnsi="仿宋" w:eastAsia="仿宋" w:cs="仿宋"/>
                <w:sz w:val="24"/>
                <w:szCs w:val="24"/>
                <w:lang w:val="zh-CN"/>
              </w:rPr>
              <w:t>投标报价评分标准</w:t>
            </w:r>
          </w:p>
          <w:p>
            <w:pPr>
              <w:autoSpaceDE w:val="0"/>
              <w:autoSpaceDN w:val="0"/>
              <w:adjustRightInd w:val="0"/>
              <w:spacing w:beforeLines="0" w:afterLines="0"/>
              <w:jc w:val="center"/>
              <w:rPr>
                <w:rFonts w:hint="eastAsia" w:ascii="仿宋" w:hAnsi="仿宋" w:eastAsia="仿宋" w:cs="仿宋"/>
                <w:sz w:val="24"/>
                <w:szCs w:val="24"/>
                <w:lang w:val="zh-CN"/>
              </w:rPr>
            </w:pPr>
            <w:r>
              <w:rPr>
                <w:rFonts w:hint="eastAsia" w:ascii="仿宋" w:hAnsi="仿宋" w:eastAsia="仿宋" w:cs="仿宋"/>
                <w:kern w:val="0"/>
                <w:sz w:val="24"/>
                <w:szCs w:val="24"/>
                <w:lang w:val="zh-CN"/>
              </w:rPr>
              <w:t>（</w:t>
            </w:r>
            <w:r>
              <w:rPr>
                <w:rFonts w:hint="eastAsia" w:ascii="仿宋" w:hAnsi="仿宋" w:eastAsia="仿宋" w:cs="仿宋"/>
                <w:kern w:val="0"/>
                <w:sz w:val="24"/>
                <w:szCs w:val="24"/>
                <w:lang w:val="en-US" w:eastAsia="zh-CN"/>
              </w:rPr>
              <w:t>30</w:t>
            </w:r>
            <w:r>
              <w:rPr>
                <w:rFonts w:hint="eastAsia" w:ascii="仿宋" w:hAnsi="仿宋" w:eastAsia="仿宋" w:cs="仿宋"/>
                <w:kern w:val="0"/>
                <w:sz w:val="24"/>
                <w:szCs w:val="24"/>
                <w:lang w:val="zh-CN"/>
              </w:rPr>
              <w:t>分）</w:t>
            </w:r>
          </w:p>
        </w:tc>
        <w:tc>
          <w:tcPr>
            <w:tcW w:w="6085" w:type="dxa"/>
            <w:gridSpan w:val="2"/>
            <w:tcBorders>
              <w:top w:val="single" w:color="auto" w:sz="6" w:space="0"/>
              <w:left w:val="single" w:color="auto" w:sz="6" w:space="0"/>
              <w:bottom w:val="single" w:color="auto" w:sz="6" w:space="0"/>
              <w:right w:val="single" w:color="auto" w:sz="6" w:space="0"/>
              <w:tl2br w:val="nil"/>
              <w:tr2bl w:val="nil"/>
            </w:tcBorders>
            <w:vAlign w:val="top"/>
          </w:tcPr>
          <w:p>
            <w:pPr>
              <w:pStyle w:val="131"/>
              <w:spacing w:line="240"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评标基准价指满足招标文件要求且投标价格最低的投标报价为评标基准价。</w:t>
            </w:r>
          </w:p>
          <w:p>
            <w:pPr>
              <w:autoSpaceDE w:val="0"/>
              <w:autoSpaceDN w:val="0"/>
              <w:adjustRightInd w:val="0"/>
              <w:spacing w:beforeLines="0" w:afterLines="0" w:line="360" w:lineRule="exact"/>
              <w:rPr>
                <w:rFonts w:hint="eastAsia" w:ascii="仿宋" w:hAnsi="仿宋" w:eastAsia="仿宋" w:cs="仿宋"/>
                <w:sz w:val="24"/>
                <w:szCs w:val="24"/>
                <w:lang w:val="zh-CN"/>
              </w:rPr>
            </w:pPr>
            <w:r>
              <w:rPr>
                <w:rFonts w:hint="eastAsia" w:ascii="仿宋" w:hAnsi="仿宋" w:eastAsia="仿宋" w:cs="仿宋"/>
                <w:b w:val="0"/>
                <w:bCs w:val="0"/>
                <w:kern w:val="2"/>
                <w:sz w:val="24"/>
                <w:szCs w:val="24"/>
                <w:lang w:val="en-US" w:eastAsia="zh-CN" w:bidi="ar-SA"/>
              </w:rPr>
              <w:t>价格得分=（评标基准价/投标报价）×30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850" w:hRule="atLeast"/>
          <w:jc w:val="center"/>
        </w:trPr>
        <w:tc>
          <w:tcPr>
            <w:tcW w:w="1476"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jc w:val="center"/>
              <w:rPr>
                <w:rFonts w:hint="eastAsia" w:ascii="仿宋" w:hAnsi="仿宋" w:eastAsia="仿宋" w:cs="仿宋"/>
                <w:kern w:val="0"/>
                <w:sz w:val="24"/>
                <w:szCs w:val="24"/>
                <w:lang w:val="zh-CN"/>
              </w:rPr>
            </w:pPr>
          </w:p>
        </w:tc>
        <w:tc>
          <w:tcPr>
            <w:tcW w:w="1940"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jc w:val="center"/>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桩基检测方案</w:t>
            </w:r>
          </w:p>
          <w:p>
            <w:pPr>
              <w:autoSpaceDE w:val="0"/>
              <w:autoSpaceDN w:val="0"/>
              <w:adjustRightInd w:val="0"/>
              <w:spacing w:beforeLines="0" w:afterLines="0"/>
              <w:jc w:val="center"/>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w:t>
            </w:r>
            <w:r>
              <w:rPr>
                <w:rFonts w:hint="eastAsia" w:ascii="仿宋" w:hAnsi="仿宋" w:eastAsia="仿宋" w:cs="仿宋"/>
                <w:kern w:val="0"/>
                <w:sz w:val="24"/>
                <w:szCs w:val="24"/>
                <w:lang w:val="en-US" w:eastAsia="zh-CN"/>
              </w:rPr>
              <w:t>35</w:t>
            </w:r>
            <w:r>
              <w:rPr>
                <w:rFonts w:hint="eastAsia" w:ascii="仿宋" w:hAnsi="仿宋" w:eastAsia="仿宋" w:cs="仿宋"/>
                <w:kern w:val="0"/>
                <w:sz w:val="24"/>
                <w:szCs w:val="24"/>
                <w:lang w:val="zh-CN"/>
              </w:rPr>
              <w:t>分）</w:t>
            </w:r>
          </w:p>
          <w:p>
            <w:pPr>
              <w:autoSpaceDE w:val="0"/>
              <w:autoSpaceDN w:val="0"/>
              <w:adjustRightInd w:val="0"/>
              <w:spacing w:beforeLines="0" w:afterLines="0"/>
              <w:jc w:val="center"/>
              <w:rPr>
                <w:rFonts w:hint="eastAsia" w:ascii="仿宋" w:hAnsi="仿宋" w:eastAsia="仿宋" w:cs="仿宋"/>
                <w:kern w:val="0"/>
                <w:sz w:val="24"/>
                <w:szCs w:val="24"/>
                <w:lang w:val="zh-CN"/>
              </w:rPr>
            </w:pPr>
          </w:p>
        </w:tc>
        <w:tc>
          <w:tcPr>
            <w:tcW w:w="2456"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line="360" w:lineRule="exact"/>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1.试桩、工程桩检测方案编制（1-6分）</w:t>
            </w:r>
          </w:p>
        </w:tc>
        <w:tc>
          <w:tcPr>
            <w:tcW w:w="3629"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line="360" w:lineRule="exact"/>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试桩、工程桩检测方案编制内容详细、充实、可行得5-6分；方案内容较详细、充实、可行得3-4分；方案内容一般得1-2分。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850" w:hRule="atLeast"/>
          <w:jc w:val="center"/>
        </w:trPr>
        <w:tc>
          <w:tcPr>
            <w:tcW w:w="147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jc w:val="center"/>
              <w:rPr>
                <w:rFonts w:hint="eastAsia" w:ascii="仿宋" w:hAnsi="仿宋" w:eastAsia="仿宋" w:cs="仿宋"/>
                <w:kern w:val="0"/>
                <w:sz w:val="24"/>
                <w:szCs w:val="24"/>
                <w:lang w:val="zh-CN"/>
              </w:rPr>
            </w:pPr>
          </w:p>
        </w:tc>
        <w:tc>
          <w:tcPr>
            <w:tcW w:w="194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ind w:firstLine="525"/>
              <w:jc w:val="center"/>
              <w:rPr>
                <w:rFonts w:hint="eastAsia" w:ascii="仿宋" w:hAnsi="仿宋" w:eastAsia="仿宋" w:cs="仿宋"/>
                <w:kern w:val="0"/>
                <w:sz w:val="24"/>
                <w:szCs w:val="24"/>
                <w:lang w:val="zh-CN"/>
              </w:rPr>
            </w:pPr>
          </w:p>
        </w:tc>
        <w:tc>
          <w:tcPr>
            <w:tcW w:w="2456"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line="360" w:lineRule="exact"/>
              <w:ind w:hanging="1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2.桩基检测质量保证措施(1-6分)</w:t>
            </w:r>
          </w:p>
        </w:tc>
        <w:tc>
          <w:tcPr>
            <w:tcW w:w="3629"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line="360" w:lineRule="exact"/>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桩基检测方案中质量保证措施可行、合理得5-6分；质量保证措施较可行、合理得3-4分；质量保证措施一般得1-2分。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850" w:hRule="atLeast"/>
          <w:jc w:val="center"/>
        </w:trPr>
        <w:tc>
          <w:tcPr>
            <w:tcW w:w="147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jc w:val="center"/>
              <w:rPr>
                <w:rFonts w:hint="eastAsia" w:ascii="仿宋" w:hAnsi="仿宋" w:eastAsia="仿宋" w:cs="仿宋"/>
                <w:kern w:val="0"/>
                <w:sz w:val="24"/>
                <w:szCs w:val="24"/>
                <w:lang w:val="zh-CN"/>
              </w:rPr>
            </w:pPr>
          </w:p>
        </w:tc>
        <w:tc>
          <w:tcPr>
            <w:tcW w:w="194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ind w:firstLine="525"/>
              <w:jc w:val="center"/>
              <w:rPr>
                <w:rFonts w:hint="eastAsia" w:ascii="仿宋" w:hAnsi="仿宋" w:eastAsia="仿宋" w:cs="仿宋"/>
                <w:kern w:val="0"/>
                <w:sz w:val="24"/>
                <w:szCs w:val="24"/>
                <w:lang w:val="zh-CN"/>
              </w:rPr>
            </w:pPr>
          </w:p>
        </w:tc>
        <w:tc>
          <w:tcPr>
            <w:tcW w:w="2456"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line="360" w:lineRule="exact"/>
              <w:ind w:hanging="1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3.桩基检测进度保证措施(1-6分)</w:t>
            </w:r>
          </w:p>
        </w:tc>
        <w:tc>
          <w:tcPr>
            <w:tcW w:w="3629"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line="360" w:lineRule="exact"/>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桩基检测方案中进度保证措施可行、合理得5-6分；进度保证措施较可行、合理得3-4分；进度保证措施一般得1-2分。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850" w:hRule="atLeast"/>
          <w:jc w:val="center"/>
        </w:trPr>
        <w:tc>
          <w:tcPr>
            <w:tcW w:w="147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jc w:val="center"/>
              <w:rPr>
                <w:rFonts w:hint="eastAsia" w:ascii="仿宋" w:hAnsi="仿宋" w:eastAsia="仿宋" w:cs="仿宋"/>
                <w:kern w:val="0"/>
                <w:sz w:val="24"/>
                <w:szCs w:val="24"/>
                <w:lang w:val="zh-CN"/>
              </w:rPr>
            </w:pPr>
          </w:p>
        </w:tc>
        <w:tc>
          <w:tcPr>
            <w:tcW w:w="194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ind w:firstLine="525"/>
              <w:jc w:val="center"/>
              <w:rPr>
                <w:rFonts w:hint="eastAsia" w:ascii="仿宋" w:hAnsi="仿宋" w:eastAsia="仿宋" w:cs="仿宋"/>
                <w:kern w:val="0"/>
                <w:sz w:val="24"/>
                <w:szCs w:val="24"/>
                <w:lang w:val="zh-CN"/>
              </w:rPr>
            </w:pPr>
          </w:p>
        </w:tc>
        <w:tc>
          <w:tcPr>
            <w:tcW w:w="2456"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line="360" w:lineRule="exact"/>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4.桩基检测安全文明保证措施 (1-6分)</w:t>
            </w:r>
          </w:p>
        </w:tc>
        <w:tc>
          <w:tcPr>
            <w:tcW w:w="3629"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line="360" w:lineRule="exact"/>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桩基检测方案中安全文明保证措施可行、合理得5-6分；安全文明保证措施较可行、合理得3-4分；安全文明保证措施一般得1-2分。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850" w:hRule="atLeast"/>
          <w:jc w:val="center"/>
        </w:trPr>
        <w:tc>
          <w:tcPr>
            <w:tcW w:w="147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jc w:val="center"/>
              <w:rPr>
                <w:rFonts w:hint="eastAsia" w:ascii="仿宋" w:hAnsi="仿宋" w:eastAsia="仿宋" w:cs="仿宋"/>
                <w:kern w:val="0"/>
                <w:sz w:val="24"/>
                <w:szCs w:val="24"/>
                <w:lang w:val="zh-CN"/>
              </w:rPr>
            </w:pPr>
          </w:p>
        </w:tc>
        <w:tc>
          <w:tcPr>
            <w:tcW w:w="194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ind w:firstLine="525"/>
              <w:jc w:val="center"/>
              <w:rPr>
                <w:rFonts w:hint="eastAsia" w:ascii="仿宋" w:hAnsi="仿宋" w:eastAsia="仿宋" w:cs="仿宋"/>
                <w:kern w:val="0"/>
                <w:sz w:val="24"/>
                <w:szCs w:val="24"/>
                <w:lang w:val="zh-CN"/>
              </w:rPr>
            </w:pPr>
          </w:p>
        </w:tc>
        <w:tc>
          <w:tcPr>
            <w:tcW w:w="2456"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line="360" w:lineRule="exac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5. 桩基检测仪器设备配置（1-</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lang w:val="zh-CN"/>
              </w:rPr>
              <w:t>分）</w:t>
            </w:r>
          </w:p>
        </w:tc>
        <w:tc>
          <w:tcPr>
            <w:tcW w:w="3629"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line="360" w:lineRule="exact"/>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桩基检测配置仪器、设备先进，数量充足得</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lang w:val="zh-CN"/>
              </w:rPr>
              <w:t>-</w:t>
            </w: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lang w:val="zh-CN"/>
              </w:rPr>
              <w:t>分；配置仪器、设备一般，数量较少得1-2分。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1257" w:hRule="atLeast"/>
          <w:jc w:val="center"/>
        </w:trPr>
        <w:tc>
          <w:tcPr>
            <w:tcW w:w="147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jc w:val="center"/>
              <w:rPr>
                <w:rFonts w:hint="eastAsia" w:ascii="仿宋" w:hAnsi="仿宋" w:eastAsia="仿宋" w:cs="仿宋"/>
                <w:kern w:val="0"/>
                <w:sz w:val="24"/>
                <w:szCs w:val="24"/>
                <w:lang w:val="zh-CN"/>
              </w:rPr>
            </w:pPr>
          </w:p>
        </w:tc>
        <w:tc>
          <w:tcPr>
            <w:tcW w:w="194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ind w:firstLine="525"/>
              <w:jc w:val="center"/>
              <w:rPr>
                <w:rFonts w:hint="eastAsia" w:ascii="仿宋" w:hAnsi="仿宋" w:eastAsia="仿宋" w:cs="仿宋"/>
                <w:kern w:val="0"/>
                <w:sz w:val="24"/>
                <w:szCs w:val="24"/>
                <w:lang w:val="zh-CN"/>
              </w:rPr>
            </w:pPr>
          </w:p>
        </w:tc>
        <w:tc>
          <w:tcPr>
            <w:tcW w:w="2456"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line="360" w:lineRule="exact"/>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lang w:val="zh-CN"/>
              </w:rPr>
              <w:t>. 桩基检测报告</w:t>
            </w:r>
          </w:p>
          <w:p>
            <w:pPr>
              <w:autoSpaceDE w:val="0"/>
              <w:autoSpaceDN w:val="0"/>
              <w:adjustRightInd w:val="0"/>
              <w:spacing w:beforeLines="0" w:afterLines="0" w:line="360" w:lineRule="exact"/>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val="zh-CN"/>
              </w:rPr>
              <w:t>分）</w:t>
            </w:r>
          </w:p>
        </w:tc>
        <w:tc>
          <w:tcPr>
            <w:tcW w:w="3629"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line="360" w:lineRule="exac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投标人应对其出据检测报告的规范性、完整性、准确性及归档资料的内容完整性作详细阐述，评委酌情打分。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666" w:hRule="atLeast"/>
          <w:jc w:val="center"/>
        </w:trPr>
        <w:tc>
          <w:tcPr>
            <w:tcW w:w="1476"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c>
          <w:tcPr>
            <w:tcW w:w="1940"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jc w:val="center"/>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业绩</w:t>
            </w:r>
          </w:p>
          <w:p>
            <w:pPr>
              <w:autoSpaceDE w:val="0"/>
              <w:autoSpaceDN w:val="0"/>
              <w:adjustRightInd w:val="0"/>
              <w:spacing w:beforeLines="0" w:afterLines="0"/>
              <w:jc w:val="center"/>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w:t>
            </w:r>
            <w:r>
              <w:rPr>
                <w:rFonts w:hint="eastAsia" w:ascii="仿宋" w:hAnsi="仿宋" w:eastAsia="仿宋" w:cs="仿宋"/>
                <w:kern w:val="0"/>
                <w:sz w:val="24"/>
                <w:szCs w:val="24"/>
                <w:lang w:val="en-US" w:eastAsia="zh-CN"/>
              </w:rPr>
              <w:t>20</w:t>
            </w:r>
            <w:r>
              <w:rPr>
                <w:rFonts w:hint="eastAsia" w:ascii="仿宋" w:hAnsi="仿宋" w:eastAsia="仿宋" w:cs="仿宋"/>
                <w:kern w:val="0"/>
                <w:sz w:val="24"/>
                <w:szCs w:val="24"/>
                <w:lang w:val="zh-CN"/>
              </w:rPr>
              <w:t>分）</w:t>
            </w:r>
          </w:p>
        </w:tc>
        <w:tc>
          <w:tcPr>
            <w:tcW w:w="6085" w:type="dxa"/>
            <w:gridSpan w:val="2"/>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201</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lang w:val="zh-CN"/>
              </w:rPr>
              <w:t>年1月1日以来企业从事过类似规模建设项目桩基检测服务的，每提供一份合同得</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lang w:val="zh-CN"/>
              </w:rPr>
              <w:t>分，本项最高得</w:t>
            </w:r>
            <w:r>
              <w:rPr>
                <w:rFonts w:hint="eastAsia" w:ascii="仿宋" w:hAnsi="仿宋" w:eastAsia="仿宋" w:cs="仿宋"/>
                <w:color w:val="000000"/>
                <w:kern w:val="0"/>
                <w:sz w:val="24"/>
                <w:szCs w:val="24"/>
                <w:lang w:val="en-US" w:eastAsia="zh-CN"/>
              </w:rPr>
              <w:t>20</w:t>
            </w:r>
            <w:r>
              <w:rPr>
                <w:rFonts w:hint="eastAsia" w:ascii="仿宋" w:hAnsi="仿宋" w:eastAsia="仿宋" w:cs="仿宋"/>
                <w:color w:val="000000"/>
                <w:kern w:val="0"/>
                <w:sz w:val="24"/>
                <w:szCs w:val="24"/>
                <w:lang w:val="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455" w:hRule="atLeast"/>
          <w:jc w:val="center"/>
        </w:trPr>
        <w:tc>
          <w:tcPr>
            <w:tcW w:w="1476"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jc w:val="center"/>
              <w:rPr>
                <w:rFonts w:hint="eastAsia" w:ascii="仿宋" w:hAnsi="仿宋" w:eastAsia="仿宋" w:cs="仿宋"/>
                <w:kern w:val="0"/>
                <w:sz w:val="24"/>
                <w:szCs w:val="24"/>
                <w:lang w:val="zh-CN" w:eastAsia="zh-CN"/>
              </w:rPr>
            </w:pPr>
            <w:r>
              <w:rPr>
                <w:rFonts w:hint="eastAsia" w:ascii="仿宋" w:hAnsi="仿宋" w:eastAsia="仿宋" w:cs="仿宋"/>
                <w:kern w:val="0"/>
                <w:sz w:val="24"/>
                <w:szCs w:val="24"/>
                <w:lang w:val="en-US" w:eastAsia="zh-CN"/>
              </w:rPr>
              <w:t>3</w:t>
            </w:r>
          </w:p>
        </w:tc>
        <w:tc>
          <w:tcPr>
            <w:tcW w:w="1940"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jc w:val="center"/>
              <w:rPr>
                <w:rFonts w:hint="eastAsia" w:ascii="仿宋" w:hAnsi="仿宋" w:eastAsia="仿宋" w:cs="仿宋"/>
                <w:sz w:val="24"/>
                <w:szCs w:val="24"/>
                <w:lang w:val="zh-CN"/>
              </w:rPr>
            </w:pPr>
            <w:r>
              <w:rPr>
                <w:rFonts w:hint="eastAsia" w:ascii="仿宋" w:hAnsi="仿宋" w:eastAsia="仿宋" w:cs="仿宋"/>
                <w:sz w:val="24"/>
                <w:szCs w:val="24"/>
                <w:lang w:val="zh-CN"/>
              </w:rPr>
              <w:t>检测周期（</w:t>
            </w:r>
            <w:r>
              <w:rPr>
                <w:rFonts w:hint="eastAsia" w:ascii="仿宋" w:hAnsi="仿宋" w:eastAsia="仿宋" w:cs="仿宋"/>
                <w:sz w:val="24"/>
                <w:szCs w:val="24"/>
                <w:lang w:val="en-US" w:eastAsia="zh-CN"/>
              </w:rPr>
              <w:t>2</w:t>
            </w:r>
            <w:r>
              <w:rPr>
                <w:rFonts w:hint="eastAsia" w:ascii="仿宋" w:hAnsi="仿宋" w:eastAsia="仿宋" w:cs="仿宋"/>
                <w:sz w:val="24"/>
                <w:szCs w:val="24"/>
                <w:lang w:val="zh-CN"/>
              </w:rPr>
              <w:t>分）</w:t>
            </w:r>
          </w:p>
        </w:tc>
        <w:tc>
          <w:tcPr>
            <w:tcW w:w="6085" w:type="dxa"/>
            <w:gridSpan w:val="2"/>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lang w:val="zh-CN"/>
              </w:rPr>
              <w:t>检测周期与招标文件相同的得</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val="zh-CN"/>
              </w:rPr>
              <w:t>分，否则不得分。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174" w:hRule="atLeast"/>
          <w:jc w:val="center"/>
        </w:trPr>
        <w:tc>
          <w:tcPr>
            <w:tcW w:w="1476"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jc w:val="center"/>
              <w:rPr>
                <w:rFonts w:hint="eastAsia" w:ascii="仿宋" w:hAnsi="仿宋" w:eastAsia="仿宋" w:cs="仿宋"/>
                <w:kern w:val="0"/>
                <w:sz w:val="24"/>
                <w:szCs w:val="24"/>
                <w:lang w:val="zh-CN" w:eastAsia="zh-CN"/>
              </w:rPr>
            </w:pPr>
            <w:r>
              <w:rPr>
                <w:rFonts w:hint="eastAsia" w:ascii="仿宋" w:hAnsi="仿宋" w:eastAsia="仿宋" w:cs="仿宋"/>
                <w:kern w:val="0"/>
                <w:sz w:val="24"/>
                <w:szCs w:val="24"/>
                <w:lang w:val="en-US" w:eastAsia="zh-CN"/>
              </w:rPr>
              <w:t>4</w:t>
            </w:r>
          </w:p>
        </w:tc>
        <w:tc>
          <w:tcPr>
            <w:tcW w:w="1940"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jc w:val="center"/>
              <w:rPr>
                <w:rFonts w:hint="eastAsia" w:ascii="仿宋" w:hAnsi="仿宋" w:eastAsia="仿宋" w:cs="仿宋"/>
                <w:sz w:val="24"/>
                <w:szCs w:val="24"/>
                <w:lang w:val="zh-CN"/>
              </w:rPr>
            </w:pPr>
            <w:r>
              <w:rPr>
                <w:rFonts w:hint="eastAsia" w:ascii="仿宋" w:hAnsi="仿宋" w:eastAsia="仿宋" w:cs="仿宋"/>
                <w:sz w:val="24"/>
                <w:szCs w:val="24"/>
                <w:lang w:val="zh-CN"/>
              </w:rPr>
              <w:t>服务承诺</w:t>
            </w:r>
          </w:p>
          <w:p>
            <w:pPr>
              <w:autoSpaceDE w:val="0"/>
              <w:autoSpaceDN w:val="0"/>
              <w:adjustRightInd w:val="0"/>
              <w:spacing w:beforeLines="0" w:afterLines="0"/>
              <w:jc w:val="center"/>
              <w:rPr>
                <w:rFonts w:hint="eastAsia"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lang w:val="en-US" w:eastAsia="zh-CN"/>
              </w:rPr>
              <w:t>8</w:t>
            </w:r>
            <w:r>
              <w:rPr>
                <w:rFonts w:hint="eastAsia" w:ascii="仿宋" w:hAnsi="仿宋" w:eastAsia="仿宋" w:cs="仿宋"/>
                <w:sz w:val="24"/>
                <w:szCs w:val="24"/>
                <w:lang w:val="zh-CN"/>
              </w:rPr>
              <w:t>分）</w:t>
            </w:r>
          </w:p>
        </w:tc>
        <w:tc>
          <w:tcPr>
            <w:tcW w:w="6085" w:type="dxa"/>
            <w:gridSpan w:val="2"/>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1.确保按检测方案完成检测任务，得</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val="zh-CN"/>
              </w:rPr>
              <w:t>分；</w:t>
            </w:r>
          </w:p>
          <w:p>
            <w:pPr>
              <w:autoSpaceDE w:val="0"/>
              <w:autoSpaceDN w:val="0"/>
              <w:adjustRightInd w:val="0"/>
              <w:spacing w:beforeLines="0" w:afterLines="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val="zh-CN"/>
              </w:rPr>
              <w:t>.确保检测服务质量，得</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val="zh-CN"/>
              </w:rPr>
              <w:t>分；</w:t>
            </w:r>
          </w:p>
          <w:p>
            <w:pPr>
              <w:autoSpaceDE w:val="0"/>
              <w:autoSpaceDN w:val="0"/>
              <w:adjustRightInd w:val="0"/>
              <w:spacing w:beforeLines="0" w:afterLines="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val="zh-CN"/>
              </w:rPr>
              <w:t>.确保检测过程符合国家、省、行业相关技术规范及验收标，得</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val="zh-CN"/>
              </w:rPr>
              <w:t>分；</w:t>
            </w:r>
          </w:p>
          <w:p>
            <w:pPr>
              <w:autoSpaceDE w:val="0"/>
              <w:autoSpaceDN w:val="0"/>
              <w:adjustRightInd w:val="0"/>
              <w:spacing w:beforeLines="0" w:afterLines="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lang w:val="zh-CN"/>
              </w:rPr>
              <w:t>确保检测报告规范性、完整性、准确性及归档资料的内容完整性的承诺，得</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val="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474" w:hRule="atLeast"/>
          <w:jc w:val="center"/>
        </w:trPr>
        <w:tc>
          <w:tcPr>
            <w:tcW w:w="1476"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jc w:val="center"/>
              <w:rPr>
                <w:rFonts w:hint="eastAsia" w:ascii="仿宋" w:hAnsi="仿宋" w:eastAsia="仿宋" w:cs="仿宋"/>
                <w:kern w:val="0"/>
                <w:sz w:val="24"/>
                <w:szCs w:val="24"/>
                <w:lang w:val="zh-CN" w:eastAsia="zh-CN"/>
              </w:rPr>
            </w:pPr>
            <w:r>
              <w:rPr>
                <w:rFonts w:hint="eastAsia" w:ascii="仿宋" w:hAnsi="仿宋" w:eastAsia="仿宋" w:cs="仿宋"/>
                <w:kern w:val="0"/>
                <w:sz w:val="24"/>
                <w:szCs w:val="24"/>
                <w:lang w:val="en-US" w:eastAsia="zh-CN"/>
              </w:rPr>
              <w:t>5</w:t>
            </w:r>
          </w:p>
        </w:tc>
        <w:tc>
          <w:tcPr>
            <w:tcW w:w="1940"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jc w:val="center"/>
              <w:rPr>
                <w:rFonts w:hint="eastAsia" w:ascii="仿宋" w:hAnsi="仿宋" w:eastAsia="仿宋" w:cs="仿宋"/>
                <w:color w:val="FF0000"/>
                <w:sz w:val="24"/>
                <w:szCs w:val="24"/>
                <w:lang w:val="zh-CN"/>
              </w:rPr>
            </w:pPr>
            <w:r>
              <w:rPr>
                <w:rFonts w:hint="eastAsia" w:ascii="仿宋" w:hAnsi="仿宋" w:eastAsia="仿宋" w:cs="仿宋"/>
                <w:sz w:val="24"/>
                <w:szCs w:val="24"/>
                <w:lang w:val="zh-CN"/>
              </w:rPr>
              <w:t>投标文件的制作：</w:t>
            </w:r>
            <w:r>
              <w:rPr>
                <w:rFonts w:hint="eastAsia" w:ascii="仿宋" w:hAnsi="仿宋" w:eastAsia="仿宋" w:cs="仿宋"/>
                <w:sz w:val="24"/>
                <w:szCs w:val="24"/>
                <w:u w:val="single"/>
                <w:lang w:val="zh-CN"/>
              </w:rPr>
              <w:t xml:space="preserve"> 5 </w:t>
            </w:r>
            <w:r>
              <w:rPr>
                <w:rFonts w:hint="eastAsia" w:ascii="仿宋" w:hAnsi="仿宋" w:eastAsia="仿宋" w:cs="仿宋"/>
                <w:sz w:val="24"/>
                <w:szCs w:val="24"/>
                <w:lang w:val="zh-CN"/>
              </w:rPr>
              <w:t>分</w:t>
            </w:r>
          </w:p>
        </w:tc>
        <w:tc>
          <w:tcPr>
            <w:tcW w:w="6085" w:type="dxa"/>
            <w:gridSpan w:val="2"/>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lang w:val="zh-CN"/>
              </w:rPr>
              <w:t>完整性：</w:t>
            </w:r>
            <w:r>
              <w:rPr>
                <w:rFonts w:hint="eastAsia" w:ascii="仿宋" w:hAnsi="仿宋" w:eastAsia="仿宋" w:cs="仿宋"/>
                <w:color w:val="000000"/>
                <w:sz w:val="24"/>
                <w:szCs w:val="24"/>
              </w:rPr>
              <w:t>2</w:t>
            </w:r>
            <w:r>
              <w:rPr>
                <w:rFonts w:hint="eastAsia" w:ascii="仿宋" w:hAnsi="仿宋" w:eastAsia="仿宋" w:cs="仿宋"/>
                <w:color w:val="000000"/>
                <w:sz w:val="24"/>
                <w:szCs w:val="24"/>
                <w:lang w:val="zh-CN"/>
              </w:rPr>
              <w:t>分</w:t>
            </w:r>
          </w:p>
          <w:p>
            <w:pPr>
              <w:autoSpaceDE w:val="0"/>
              <w:autoSpaceDN w:val="0"/>
              <w:adjustRightInd w:val="0"/>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lang w:val="zh-CN"/>
              </w:rPr>
              <w:t>条理性</w:t>
            </w:r>
            <w:r>
              <w:rPr>
                <w:rFonts w:hint="eastAsia" w:ascii="仿宋" w:hAnsi="仿宋" w:eastAsia="仿宋" w:cs="仿宋"/>
                <w:color w:val="000000"/>
                <w:sz w:val="24"/>
                <w:szCs w:val="24"/>
              </w:rPr>
              <w:t>:2</w:t>
            </w:r>
            <w:r>
              <w:rPr>
                <w:rFonts w:hint="eastAsia" w:ascii="仿宋" w:hAnsi="仿宋" w:eastAsia="仿宋" w:cs="仿宋"/>
                <w:color w:val="000000"/>
                <w:sz w:val="24"/>
                <w:szCs w:val="24"/>
                <w:lang w:val="zh-CN"/>
              </w:rPr>
              <w:t>分</w:t>
            </w:r>
          </w:p>
          <w:p>
            <w:pPr>
              <w:autoSpaceDE w:val="0"/>
              <w:autoSpaceDN w:val="0"/>
              <w:adjustRightInd w:val="0"/>
              <w:spacing w:beforeLines="0" w:afterLines="0"/>
              <w:rPr>
                <w:rFonts w:hint="eastAsia" w:ascii="仿宋" w:hAnsi="仿宋" w:eastAsia="仿宋" w:cs="仿宋"/>
                <w:color w:val="FF0000"/>
                <w:sz w:val="24"/>
                <w:szCs w:val="24"/>
                <w:lang w:val="zh-CN"/>
              </w:rPr>
            </w:pPr>
            <w:r>
              <w:rPr>
                <w:rFonts w:hint="eastAsia" w:ascii="仿宋" w:hAnsi="仿宋" w:eastAsia="仿宋" w:cs="仿宋"/>
                <w:color w:val="000000"/>
                <w:sz w:val="24"/>
                <w:szCs w:val="24"/>
                <w:lang w:val="zh-CN"/>
              </w:rPr>
              <w:t>合理性</w:t>
            </w:r>
            <w:r>
              <w:rPr>
                <w:rFonts w:hint="eastAsia" w:ascii="仿宋" w:hAnsi="仿宋" w:eastAsia="仿宋" w:cs="仿宋"/>
                <w:color w:val="000000"/>
                <w:sz w:val="24"/>
                <w:szCs w:val="24"/>
              </w:rPr>
              <w:t>:1</w:t>
            </w:r>
            <w:r>
              <w:rPr>
                <w:rFonts w:hint="eastAsia" w:ascii="仿宋" w:hAnsi="仿宋" w:eastAsia="仿宋" w:cs="仿宋"/>
                <w:color w:val="000000"/>
                <w:sz w:val="24"/>
                <w:szCs w:val="24"/>
                <w:lang w:val="zh-CN"/>
              </w:rPr>
              <w:t>分</w:t>
            </w:r>
          </w:p>
        </w:tc>
      </w:tr>
    </w:tbl>
    <w:p>
      <w:pPr>
        <w:pStyle w:val="125"/>
        <w:spacing w:before="120" w:after="120"/>
        <w:ind w:left="0" w:leftChars="0" w:firstLine="0" w:firstLineChars="0"/>
        <w:rPr>
          <w:rFonts w:ascii="仿宋" w:hAnsi="仿宋" w:eastAsia="仿宋"/>
        </w:rPr>
      </w:pPr>
      <w:r>
        <w:rPr>
          <w:rFonts w:hint="eastAsia" w:ascii="仿宋" w:hAnsi="仿宋" w:eastAsia="仿宋"/>
        </w:rPr>
        <w:t>（特别提示：以上评分表中所涉及到的证件投标人在开标时候均须携带原件，未提供原件者不得分）</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ascii="仿宋" w:hAnsi="仿宋" w:eastAsia="仿宋"/>
                <w:color w:val="0000FF"/>
              </w:rPr>
            </w:pPr>
            <w:bookmarkStart w:id="0" w:name="_Toc606"/>
          </w:p>
        </w:tc>
      </w:tr>
      <w:bookmarkEnd w:id="0"/>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.2评标委员会完成评标后，提出书面评标报告，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w:t>
      </w:r>
      <w:r>
        <w:rPr>
          <w:rFonts w:hint="eastAsia" w:ascii="仿宋" w:hAnsi="仿宋" w:eastAsia="仿宋" w:cs="仿宋"/>
          <w:sz w:val="24"/>
          <w:szCs w:val="24"/>
          <w:lang w:eastAsia="zh-CN"/>
        </w:rPr>
        <w:t>在签订合同前</w:t>
      </w:r>
      <w:r>
        <w:rPr>
          <w:rFonts w:hint="eastAsia" w:ascii="仿宋" w:hAnsi="仿宋" w:eastAsia="仿宋" w:cs="仿宋"/>
          <w:sz w:val="24"/>
          <w:szCs w:val="24"/>
        </w:rPr>
        <w:t>须向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以下</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hint="eastAsia" w:ascii="仿宋" w:hAnsi="仿宋" w:eastAsia="仿宋" w:cs="黑体"/>
          <w:b/>
          <w:bCs/>
          <w:sz w:val="24"/>
          <w:szCs w:val="24"/>
          <w:lang w:val="zh-CN"/>
        </w:rPr>
      </w:pPr>
      <w:r>
        <w:rPr>
          <w:rFonts w:hint="eastAsia" w:ascii="仿宋" w:hAnsi="仿宋" w:eastAsia="仿宋" w:cs="仿宋"/>
          <w:sz w:val="24"/>
          <w:szCs w:val="24"/>
          <w:shd w:val="clear" w:color="auto" w:fill="FFFFFF"/>
        </w:rPr>
        <w:t>7、付款方式:以签订合同准。</w:t>
      </w:r>
    </w:p>
    <w:p>
      <w:pPr>
        <w:wordWrap w:val="0"/>
        <w:topLinePunct/>
        <w:autoSpaceDE w:val="0"/>
        <w:autoSpaceDN w:val="0"/>
        <w:adjustRightInd w:val="0"/>
        <w:snapToGrid w:val="0"/>
        <w:spacing w:line="360" w:lineRule="auto"/>
        <w:jc w:val="both"/>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ascii="仿宋" w:hAnsi="仿宋" w:eastAsia="仿宋" w:cs="仿宋_GB2312"/>
          <w:sz w:val="24"/>
          <w:szCs w:val="24"/>
          <w:lang w:val="zh-CN"/>
        </w:rPr>
        <w:t xml:space="preserve">                               </w:t>
      </w:r>
      <w:r>
        <w:rPr>
          <w:rFonts w:hint="eastAsia" w:ascii="仿宋" w:hAnsi="仿宋" w:eastAsia="仿宋"/>
          <w:sz w:val="24"/>
          <w:szCs w:val="24"/>
        </w:rPr>
        <w:t>本合同双方当事人：</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甲方：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乙方：</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cs="仿宋_GB2312"/>
          <w:sz w:val="24"/>
          <w:szCs w:val="24"/>
        </w:rPr>
        <w:t>根据《中华人民共和国合同法》及其他有关法律、法规之规定，在平等、自愿、协商一致的基础上，甲、乙双方现就</w:t>
      </w:r>
      <w:r>
        <w:rPr>
          <w:rFonts w:hint="eastAsia" w:ascii="仿宋" w:hAnsi="仿宋" w:eastAsia="仿宋" w:cs="仿宋_GB2312"/>
          <w:sz w:val="24"/>
          <w:szCs w:val="24"/>
          <w:lang w:val="en-US" w:eastAsia="zh-CN"/>
        </w:rPr>
        <w:t xml:space="preserve">         </w:t>
      </w:r>
      <w:r>
        <w:rPr>
          <w:rFonts w:hint="eastAsia" w:ascii="仿宋" w:hAnsi="仿宋" w:eastAsia="仿宋" w:cs="仿宋_GB2312"/>
          <w:sz w:val="24"/>
          <w:szCs w:val="24"/>
        </w:rPr>
        <w:t>（以下简称“本项目”）咨询服务事宜，达成如下合同条款：</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第一章  总则</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第一条  编制目的</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根据</w:t>
      </w:r>
      <w:r>
        <w:rPr>
          <w:rFonts w:hint="eastAsia" w:ascii="仿宋" w:hAnsi="仿宋" w:eastAsia="仿宋" w:cs="仿宋_GB2312"/>
          <w:sz w:val="24"/>
          <w:szCs w:val="24"/>
          <w:lang w:val="en-US" w:eastAsia="zh-CN"/>
        </w:rPr>
        <w:t xml:space="preserve">               项目要求</w:t>
      </w:r>
      <w:r>
        <w:rPr>
          <w:rFonts w:hint="eastAsia" w:ascii="仿宋" w:hAnsi="仿宋" w:eastAsia="仿宋" w:cs="仿宋_GB2312"/>
          <w:sz w:val="24"/>
          <w:szCs w:val="24"/>
        </w:rPr>
        <w:t>提供咨询服务，完成本项目。</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第二条  乙方的资格</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（简要叙述乙方资质及经验业绩。）</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第二章  咨询服务内容和时间安排</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第三条  咨询服务内容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乙方应结合禹州市实际发展情况，开展前期相关专题研究，并根据《县（市）以上方案内容可根据省财政厅要求及相关部门意见进行修改调整。</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第四条  工作周期</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乙方在接受委托后，应与甲方进行充分沟通，并根据甲方需求详细合理安排本项目的整体工作进度。双方同意，预定的工作周期为</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日，从</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日至</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第五条  工作方式</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乙方工作采用现场工作与非现场工作结合的方式。访谈及成果汇报采用现场工作方式，咨询报告编撰采用非现场工作方式。</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第六条  提交咨询工作成果</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在规划编制过程中，乙方应以书面报告和电子文档的方式向甲方提交各工作阶段的工作成果，并以工作日志、会议发言记录和会议纪要等方式对非成果性工作或以正式报告形式难以记载的工作过程予以记载，根据甲方修改意见进行调整和优化。</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第三章</w:t>
      </w:r>
      <w:r>
        <w:rPr>
          <w:rFonts w:hint="eastAsia" w:ascii="仿宋" w:hAnsi="仿宋" w:eastAsia="仿宋"/>
          <w:b/>
          <w:bCs/>
          <w:sz w:val="28"/>
          <w:szCs w:val="28"/>
        </w:rPr>
        <w:tab/>
      </w:r>
      <w:r>
        <w:rPr>
          <w:rFonts w:hint="eastAsia" w:ascii="仿宋" w:hAnsi="仿宋" w:eastAsia="仿宋"/>
          <w:b/>
          <w:bCs/>
          <w:sz w:val="28"/>
          <w:szCs w:val="28"/>
        </w:rPr>
        <w:t>双方的职责和义务</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第七条  甲方的职责和义务</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为了保证实现规划目标，甲方有权对乙方咨询人员提出具体和明确的合理要求。</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甲方应积极协调相关单位，协助乙方开展调研访谈工作，并根据乙方的合理要求，负责向乙方及时提供有关基础资料。</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甲方应当全面、真实地叙述与本项目事务有关的各种情况，并保证所提供的一切相关文件真实、合法和有效。</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甲方应为乙方开展本项工作提供必要的办公地点和办公条件。规划编制过程中，协助有关政府部门和单位的协调，负责规划组织工作，提供会议室、集中资料室及其他便利条件，并承担相应费用。</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甲方应为本项目安排相应的联系人，并安排相关负责人员与乙方就规划情况及重大问题深入沟通，在技术问题上为乙方提供必要的人员支持。</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甲方应按本合同规定及时足额支付相应的费用。</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第八条  乙方的职责和义务</w:t>
      </w:r>
    </w:p>
    <w:p>
      <w:pPr>
        <w:numPr>
          <w:ilvl w:val="0"/>
          <w:numId w:val="10"/>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乙方应充分理解甲方的意图，其工作思路、想法须贯穿规划编制的过程。</w:t>
      </w:r>
    </w:p>
    <w:p>
      <w:pPr>
        <w:numPr>
          <w:ilvl w:val="0"/>
          <w:numId w:val="10"/>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提供第三条所述咨询服务，并对咨询服务质量负责，确保甲方权益。</w:t>
      </w:r>
    </w:p>
    <w:p>
      <w:pPr>
        <w:numPr>
          <w:ilvl w:val="0"/>
          <w:numId w:val="10"/>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选派合格和足够的咨询人员，保证咨询人员足够的工作时间以及时迅捷地提供咨询服务。若甲方对任何咨询人员不满意且提出正当理由，则乙方应及时更换。</w:t>
      </w:r>
    </w:p>
    <w:p>
      <w:pPr>
        <w:numPr>
          <w:ilvl w:val="0"/>
          <w:numId w:val="10"/>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同甲方共同商定咨询服务工作计划，对工作进度进行控制，并按照工作计划安排及时向甲方汇报工作。</w:t>
      </w:r>
    </w:p>
    <w:p>
      <w:pPr>
        <w:numPr>
          <w:ilvl w:val="0"/>
          <w:numId w:val="10"/>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根据合同约定的支付方式及时通知甲方支付咨询服务费。</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第四章  咨询服务费用和支付方式</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第九条  咨询服务费用</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甲方将就乙方为履行本协议第三条规定的服务向乙方支付咨询服务费：</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人民币。该费用包含乙方及其现场工作人员因本项目而发生的全部费用。</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第十条  咨询服务费的支付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经双方协商确定，本项目咨询服务费按照以下方式支付：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本合同签订后三天内，甲方向乙方支付咨询服务费总额的50％，即人民币</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元。在本项目终稿提交后三天内，甲方支付乙方咨询服务费总额的50％，即人民币             元。</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第五章  违约责任与赔偿</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第十一条  善意履行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甲乙双方应认真履行本合同的规定，任何一方无正当理由不得单方面终止本合同。</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第十二条  违约</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sz w:val="24"/>
          <w:szCs w:val="24"/>
        </w:rPr>
        <w:t>如果由于任何一方违约，导致另一方无法履行本合同项下权利和义务或给对方造</w:t>
      </w:r>
      <w:r>
        <w:rPr>
          <w:rFonts w:hint="eastAsia" w:ascii="仿宋" w:hAnsi="仿宋" w:eastAsia="仿宋" w:cs="仿宋_GB2312"/>
          <w:sz w:val="24"/>
          <w:szCs w:val="24"/>
        </w:rPr>
        <w:t>成重大经济损失，违约方应承担违约责任，守约方有权终止本合同。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甲方赔偿额以未支付的咨询服务费用为限，乙方赔偿额以已收到咨询服务费用为限。</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如甲方未按照本协议第十条规定及时支付咨询服务费，乙方有权中止咨询服务工作，直至款到后继续履约，且每延期一天，甲方应向乙方额外支付千分之一的迟延履行违约金。</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由于乙方故意或重大过失未按照工作计划完成阶段任务，每延误一天，乙方向甲方支付该阶段咨询费千分之一违约金，直至提供服务为止。误期赔偿费的最高限额为合同价格的10%。一旦达到误期赔偿费的最高限额，甲方有权终止合同。</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第六章  不可抗力</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第十三条  通知义务</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任何一方由于不可抗力而影响其履行合同所规定的义务的，受事件影响的一方应尽快将发生的不可抗力事件的情况以传真或特快专递等形式通知另一方，说明发生不可抗力以及不可抗力可能持续的时间。</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第十四条  继续履行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双方在不可抗力事件停止后或影响消除后应立即继续履行合同义务，合同有效期和/或有关履行合同的预定的期限应相应延长。</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第十五条  损失承担</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双方应承担各自因不可抗力造成的损失。</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第七章  争议解决</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第十六条  友好协商解决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双方应本着平等互利、友好合作的精神保证本合同的顺利履行。如在履行过程中发生争议，应首先通过友好协商解决。</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第十七条  诉讼解决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如根据第十六条不能解决争议时，任何一方有权向甲方所在地法院提起诉讼。</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第八章</w:t>
      </w:r>
      <w:r>
        <w:rPr>
          <w:rFonts w:hint="eastAsia" w:ascii="仿宋" w:hAnsi="仿宋" w:eastAsia="仿宋"/>
          <w:b/>
          <w:bCs/>
          <w:sz w:val="28"/>
          <w:szCs w:val="28"/>
        </w:rPr>
        <w:tab/>
      </w:r>
      <w:r>
        <w:rPr>
          <w:rFonts w:hint="eastAsia" w:ascii="仿宋" w:hAnsi="仿宋" w:eastAsia="仿宋"/>
          <w:b/>
          <w:bCs/>
          <w:sz w:val="28"/>
          <w:szCs w:val="28"/>
        </w:rPr>
        <w:t>保密及其它</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第十八条  保密</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未经对方允许，任何一方不得将对方收集、整理、复制、研究和准备的与本合同项下工作有关的任何资料提供给任何第三方。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任何一方不得将本合同内容，包括合同内容、咨询费用、支付信息及乙方为甲方提供的咨询服务成果等提供给任何第三方（甲方为了规划审批、接受审计等在征得乙方书面同意后方可向其他方提供的情况除外）。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关于保密的规定在本合同终止后五年内仍然有效。</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第十九条  合同生效</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本合同自双方代表签字并加盖公章之日起生效，至本项目终稿提交且甲方向乙方付清全部咨询服务费用之日终止。</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第二十条  其他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咨询成果的知识产权归甲乙双方共同拥有。</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本合同由正文、附件以及相关会议备忘录（如有）等组成，以上各部分均是合同不可分割的组成部分，具有同等的法律效应。</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本合同未尽事宜可由双方协商签订补充协议。本合同的修改和补充必须以书面形式方为有效。合同的修改和补充与本合同具有同等效力。</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本合同正本一式份，甲方执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份，乙方执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w:t>
      </w:r>
    </w:p>
    <w:p>
      <w:pPr>
        <w:pStyle w:val="126"/>
        <w:spacing w:before="0" w:beforeAutospacing="0" w:after="0" w:afterAutospacing="0" w:line="480" w:lineRule="auto"/>
        <w:ind w:left="0" w:leftChars="0"/>
        <w:jc w:val="center"/>
        <w:rPr>
          <w:rFonts w:hint="eastAsia" w:ascii="仿宋" w:hAnsi="仿宋" w:eastAsia="仿宋"/>
          <w:sz w:val="24"/>
          <w:szCs w:val="24"/>
        </w:rPr>
      </w:pPr>
      <w:r>
        <w:rPr>
          <w:rFonts w:hint="eastAsia" w:ascii="仿宋" w:hAnsi="仿宋" w:eastAsia="仿宋"/>
          <w:sz w:val="24"/>
          <w:szCs w:val="24"/>
        </w:rPr>
        <w:br w:type="page"/>
      </w:r>
      <w:r>
        <w:rPr>
          <w:rFonts w:hint="eastAsia" w:ascii="仿宋" w:hAnsi="仿宋" w:eastAsia="仿宋"/>
          <w:sz w:val="24"/>
          <w:szCs w:val="24"/>
        </w:rPr>
        <w:t>（本页为签字页，无正文）</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甲方（盖章）：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法定代表人：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或授权代表：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乙方（盖章）：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法定代表人：</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或授权代表：</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spacing w:line="360" w:lineRule="auto"/>
        <w:ind w:firstLine="7302" w:firstLineChars="1653"/>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numPr>
          <w:ilvl w:val="0"/>
          <w:numId w:val="11"/>
        </w:numPr>
        <w:autoSpaceDE w:val="0"/>
        <w:autoSpaceDN w:val="0"/>
        <w:adjustRightInd w:val="0"/>
        <w:spacing w:line="360" w:lineRule="auto"/>
        <w:ind w:left="2813" w:leftChars="0" w:firstLine="0" w:firstLineChars="0"/>
        <w:rPr>
          <w:rFonts w:hint="eastAsia" w:ascii="仿宋" w:hAnsi="仿宋" w:eastAsia="仿宋" w:cs="黑体"/>
          <w:b/>
          <w:bCs/>
          <w:sz w:val="36"/>
          <w:szCs w:val="36"/>
        </w:rPr>
      </w:pP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r>
        <w:rPr>
          <w:rFonts w:hint="eastAsia" w:ascii="仿宋" w:hAnsi="仿宋" w:eastAsia="仿宋" w:cs="宋体"/>
          <w:b/>
          <w:bCs/>
          <w:color w:val="FF0000"/>
          <w:sz w:val="24"/>
          <w:szCs w:val="24"/>
          <w:lang w:val="en-US" w:eastAsia="zh-CN"/>
        </w:rPr>
        <w:t xml:space="preserve">              </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lang w:val="en-US" w:eastAsia="zh-CN"/>
        </w:rPr>
        <w:t>7</w:t>
      </w:r>
      <w:r>
        <w:rPr>
          <w:rFonts w:hint="eastAsia" w:ascii="仿宋" w:hAnsi="仿宋" w:eastAsia="仿宋" w:cs="宋体"/>
          <w:bCs/>
          <w:color w:val="FF0000"/>
          <w:sz w:val="24"/>
          <w:szCs w:val="24"/>
          <w:lang w:val="zh-CN"/>
        </w:rPr>
        <w:t>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供应商须对此项做出承诺（格式自拟）并提供类似项目业绩合同。</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项目的投标邀请，本签字人愿意参加投标，提供采购项目一览表中规定的货物及服务，并声明提交的下列文件是准确和真实的。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被委托人签字：</w:t>
      </w: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 xml:space="preserve">        </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r>
        <w:rPr>
          <w:rFonts w:hint="eastAsia" w:ascii="仿宋" w:hAnsi="仿宋" w:eastAsia="仿宋" w:cs="仿宋"/>
          <w:sz w:val="24"/>
          <w:szCs w:val="24"/>
        </w:rPr>
        <w:t>所附报价表中规定的应提供和交付的</w:t>
      </w:r>
      <w:r>
        <w:rPr>
          <w:rFonts w:hint="eastAsia" w:ascii="仿宋" w:hAnsi="仿宋" w:eastAsia="仿宋" w:cs="仿宋"/>
          <w:sz w:val="24"/>
          <w:szCs w:val="24"/>
          <w:lang w:eastAsia="zh-CN"/>
        </w:rPr>
        <w:t>货物</w:t>
      </w:r>
      <w:r>
        <w:rPr>
          <w:rFonts w:hint="eastAsia" w:ascii="仿宋" w:hAnsi="仿宋" w:eastAsia="仿宋" w:cs="仿宋"/>
          <w:sz w:val="24"/>
          <w:szCs w:val="24"/>
        </w:rPr>
        <w:t>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both"/>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hint="eastAsia"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en-US" w:eastAsia="zh-CN"/>
        </w:rPr>
        <w:t xml:space="preserve">      </w:t>
      </w: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pStyle w:val="2"/>
        <w:rPr>
          <w:lang w:val="zh-CN"/>
        </w:rPr>
      </w:pP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643"/>
        <w:gridCol w:w="905"/>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6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p>
        </w:tc>
        <w:tc>
          <w:tcPr>
            <w:tcW w:w="9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p>
        </w:tc>
      </w:tr>
      <w:tr>
        <w:tblPrEx>
          <w:tblLayout w:type="fixed"/>
          <w:tblCellMar>
            <w:top w:w="0" w:type="dxa"/>
            <w:left w:w="108" w:type="dxa"/>
            <w:bottom w:w="0" w:type="dxa"/>
            <w:right w:w="108" w:type="dxa"/>
          </w:tblCellMar>
        </w:tblPrEx>
        <w:tc>
          <w:tcPr>
            <w:tcW w:w="6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9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6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9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en-US" w:eastAsia="zh-CN"/>
        </w:rPr>
        <w:t xml:space="preserve">           </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b/>
          <w:bCs/>
          <w:sz w:val="24"/>
          <w:szCs w:val="24"/>
          <w:lang w:val="en-US" w:eastAsia="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 xml:space="preserve">5                       </w:t>
      </w:r>
      <w:r>
        <w:rPr>
          <w:rFonts w:hint="eastAsia" w:ascii="仿宋" w:hAnsi="仿宋" w:eastAsia="仿宋" w:cs="宋体"/>
          <w:b/>
          <w:bCs/>
          <w:sz w:val="24"/>
          <w:szCs w:val="24"/>
          <w:lang w:val="en-US" w:eastAsia="zh-CN"/>
        </w:rPr>
        <w:t xml:space="preserve"> </w:t>
      </w:r>
    </w:p>
    <w:p>
      <w:pPr>
        <w:autoSpaceDE w:val="0"/>
        <w:autoSpaceDN w:val="0"/>
        <w:adjustRightInd w:val="0"/>
        <w:spacing w:line="360" w:lineRule="auto"/>
        <w:ind w:firstLine="4096" w:firstLineChars="1700"/>
        <w:rPr>
          <w:rFonts w:ascii="仿宋" w:hAnsi="仿宋" w:eastAsia="仿宋" w:cs="宋体"/>
          <w:b/>
          <w:bCs/>
          <w:sz w:val="24"/>
          <w:szCs w:val="24"/>
          <w:lang w:val="zh-CN"/>
        </w:rPr>
      </w:pPr>
      <w:r>
        <w:rPr>
          <w:rFonts w:hint="eastAsia" w:ascii="仿宋" w:hAnsi="仿宋" w:eastAsia="仿宋" w:cs="宋体"/>
          <w:b/>
          <w:bCs/>
          <w:sz w:val="24"/>
          <w:szCs w:val="24"/>
          <w:lang w:val="en-US" w:eastAsia="zh-CN"/>
        </w:rPr>
        <w:t>工作方案</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en-US" w:eastAsia="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附件</w:t>
      </w:r>
      <w:r>
        <w:rPr>
          <w:rFonts w:hint="eastAsia" w:ascii="仿宋" w:hAnsi="仿宋" w:eastAsia="仿宋" w:cs="仿宋_GB2312"/>
          <w:sz w:val="24"/>
          <w:szCs w:val="24"/>
          <w:lang w:val="en-US" w:eastAsia="zh-CN"/>
        </w:rPr>
        <w:t>7</w:t>
      </w:r>
      <w:r>
        <w:rPr>
          <w:rFonts w:hint="eastAsia" w:ascii="仿宋" w:hAnsi="仿宋" w:eastAsia="仿宋" w:cs="仿宋_GB2312"/>
          <w:sz w:val="24"/>
          <w:szCs w:val="24"/>
        </w:rPr>
        <w:t xml:space="preserve">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650" w:firstLineChars="1100"/>
        <w:jc w:val="left"/>
        <w:rPr>
          <w:rFonts w:ascii="仿宋" w:hAnsi="仿宋" w:eastAsia="仿宋" w:cs="仿宋_GB2312"/>
          <w:sz w:val="24"/>
          <w:szCs w:val="24"/>
        </w:rPr>
      </w:pPr>
      <w:r>
        <w:rPr>
          <w:rFonts w:hint="eastAsia" w:ascii="仿宋" w:hAnsi="仿宋" w:eastAsia="仿宋" w:cs="仿宋_GB2312"/>
          <w:b/>
          <w:bCs/>
          <w:sz w:val="24"/>
          <w:szCs w:val="24"/>
        </w:rPr>
        <w:t>（技术要求</w:t>
      </w:r>
      <w:r>
        <w:rPr>
          <w:rFonts w:hint="eastAsia" w:ascii="仿宋" w:hAnsi="仿宋" w:eastAsia="仿宋" w:cs="仿宋_GB2312"/>
          <w:b/>
          <w:bCs/>
          <w:sz w:val="24"/>
          <w:szCs w:val="24"/>
          <w:lang w:eastAsia="zh-CN"/>
        </w:rPr>
        <w:t>及评分标准中</w:t>
      </w:r>
      <w:r>
        <w:rPr>
          <w:rFonts w:hint="eastAsia" w:ascii="仿宋" w:hAnsi="仿宋" w:eastAsia="仿宋" w:cs="仿宋_GB2312"/>
          <w:b/>
          <w:bCs/>
          <w:sz w:val="24"/>
          <w:szCs w:val="24"/>
        </w:rPr>
        <w:t>相关证明材料</w:t>
      </w:r>
      <w:r>
        <w:rPr>
          <w:rFonts w:hint="eastAsia" w:ascii="仿宋" w:hAnsi="仿宋" w:eastAsia="仿宋" w:cs="仿宋_GB2312"/>
          <w:b/>
          <w:bCs/>
          <w:sz w:val="24"/>
          <w:szCs w:val="24"/>
          <w:lang w:eastAsia="zh-CN"/>
        </w:rPr>
        <w:t>复印件</w:t>
      </w:r>
      <w:r>
        <w:rPr>
          <w:rFonts w:hint="eastAsia" w:ascii="仿宋" w:hAnsi="仿宋" w:eastAsia="仿宋" w:cs="仿宋_GB2312"/>
          <w:b/>
          <w:bCs/>
          <w:sz w:val="24"/>
          <w:szCs w:val="24"/>
        </w:rPr>
        <w:t>）</w:t>
      </w: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0000000000000000000"/>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34E694"/>
    <w:multiLevelType w:val="singleLevel"/>
    <w:tmpl w:val="DE34E694"/>
    <w:lvl w:ilvl="0" w:tentative="0">
      <w:start w:val="1"/>
      <w:numFmt w:val="decimal"/>
      <w:suff w:val="nothing"/>
      <w:lvlText w:val="%1、"/>
      <w:lvlJc w:val="left"/>
    </w:lvl>
  </w:abstractNum>
  <w:abstractNum w:abstractNumId="1">
    <w:nsid w:val="01537C7D"/>
    <w:multiLevelType w:val="multilevel"/>
    <w:tmpl w:val="01537C7D"/>
    <w:lvl w:ilvl="0" w:tentative="0">
      <w:start w:val="1"/>
      <w:numFmt w:val="decimal"/>
      <w:lvlText w:val="%1."/>
      <w:lvlJc w:val="left"/>
      <w:pPr>
        <w:ind w:left="846"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B9F259E"/>
    <w:multiLevelType w:val="singleLevel"/>
    <w:tmpl w:val="0B9F259E"/>
    <w:lvl w:ilvl="0" w:tentative="0">
      <w:start w:val="9"/>
      <w:numFmt w:val="chineseCounting"/>
      <w:suff w:val="nothing"/>
      <w:lvlText w:val="第%1部分　"/>
      <w:lvlJc w:val="left"/>
      <w:pPr>
        <w:ind w:left="2813" w:leftChars="0" w:firstLine="0" w:firstLineChars="0"/>
      </w:pPr>
      <w:rPr>
        <w:rFonts w:hint="eastAsia"/>
      </w:rPr>
    </w:lvl>
  </w:abstractNum>
  <w:abstractNum w:abstractNumId="3">
    <w:nsid w:val="270A65C3"/>
    <w:multiLevelType w:val="multilevel"/>
    <w:tmpl w:val="270A65C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8A4CB1C"/>
    <w:multiLevelType w:val="singleLevel"/>
    <w:tmpl w:val="28A4CB1C"/>
    <w:lvl w:ilvl="0" w:tentative="0">
      <w:start w:val="19"/>
      <w:numFmt w:val="decimal"/>
      <w:suff w:val="nothing"/>
      <w:lvlText w:val="%1、"/>
      <w:lvlJc w:val="left"/>
    </w:lvl>
  </w:abstractNum>
  <w:abstractNum w:abstractNumId="5">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6E374A4"/>
    <w:multiLevelType w:val="singleLevel"/>
    <w:tmpl w:val="56E374A4"/>
    <w:lvl w:ilvl="0" w:tentative="0">
      <w:start w:val="9"/>
      <w:numFmt w:val="decimal"/>
      <w:pStyle w:val="119"/>
      <w:suff w:val="nothing"/>
      <w:lvlText w:val="%1、"/>
      <w:lvlJc w:val="left"/>
    </w:lvl>
  </w:abstractNum>
  <w:abstractNum w:abstractNumId="7">
    <w:nsid w:val="5A0532E2"/>
    <w:multiLevelType w:val="singleLevel"/>
    <w:tmpl w:val="5A0532E2"/>
    <w:lvl w:ilvl="0" w:tentative="0">
      <w:start w:val="4"/>
      <w:numFmt w:val="chineseCounting"/>
      <w:suff w:val="nothing"/>
      <w:lvlText w:val="第%1部"/>
      <w:lvlJc w:val="left"/>
    </w:lvl>
  </w:abstractNum>
  <w:abstractNum w:abstractNumId="8">
    <w:nsid w:val="5A27AEF7"/>
    <w:multiLevelType w:val="singleLevel"/>
    <w:tmpl w:val="5A27AEF7"/>
    <w:lvl w:ilvl="0" w:tentative="0">
      <w:start w:val="2"/>
      <w:numFmt w:val="chineseCounting"/>
      <w:suff w:val="nothing"/>
      <w:lvlText w:val="（%1）"/>
      <w:lvlJc w:val="left"/>
    </w:lvl>
  </w:abstractNum>
  <w:abstractNum w:abstractNumId="9">
    <w:nsid w:val="5A30CB82"/>
    <w:multiLevelType w:val="singleLevel"/>
    <w:tmpl w:val="5A30CB82"/>
    <w:lvl w:ilvl="0" w:tentative="0">
      <w:start w:val="1"/>
      <w:numFmt w:val="chineseCounting"/>
      <w:suff w:val="space"/>
      <w:lvlText w:val="第%1部分"/>
      <w:lvlJc w:val="left"/>
    </w:lvl>
  </w:abstractNum>
  <w:abstractNum w:abstractNumId="10">
    <w:nsid w:val="6CE9831D"/>
    <w:multiLevelType w:val="singleLevel"/>
    <w:tmpl w:val="6CE9831D"/>
    <w:lvl w:ilvl="0" w:tentative="0">
      <w:start w:val="1"/>
      <w:numFmt w:val="chineseCounting"/>
      <w:suff w:val="nothing"/>
      <w:lvlText w:val="%1、"/>
      <w:lvlJc w:val="left"/>
      <w:rPr>
        <w:rFonts w:hint="eastAsia"/>
      </w:rPr>
    </w:lvl>
  </w:abstractNum>
  <w:num w:numId="1">
    <w:abstractNumId w:val="6"/>
  </w:num>
  <w:num w:numId="2">
    <w:abstractNumId w:val="9"/>
  </w:num>
  <w:num w:numId="3">
    <w:abstractNumId w:val="8"/>
  </w:num>
  <w:num w:numId="4">
    <w:abstractNumId w:val="5"/>
  </w:num>
  <w:num w:numId="5">
    <w:abstractNumId w:val="4"/>
  </w:num>
  <w:num w:numId="6">
    <w:abstractNumId w:val="7"/>
  </w:num>
  <w:num w:numId="7">
    <w:abstractNumId w:val="10"/>
  </w:num>
  <w:num w:numId="8">
    <w:abstractNumId w:val="0"/>
  </w:num>
  <w:num w:numId="9">
    <w:abstractNumId w:val="3"/>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F5D2B"/>
    <w:rsid w:val="01AE553D"/>
    <w:rsid w:val="01D912AA"/>
    <w:rsid w:val="031A41B0"/>
    <w:rsid w:val="03CB53C9"/>
    <w:rsid w:val="03D744EF"/>
    <w:rsid w:val="04252D6C"/>
    <w:rsid w:val="04524D74"/>
    <w:rsid w:val="048C72C6"/>
    <w:rsid w:val="04E5185D"/>
    <w:rsid w:val="04F1400C"/>
    <w:rsid w:val="054A14EB"/>
    <w:rsid w:val="055236E0"/>
    <w:rsid w:val="05B33489"/>
    <w:rsid w:val="05D7384A"/>
    <w:rsid w:val="05F47DA2"/>
    <w:rsid w:val="05F65379"/>
    <w:rsid w:val="05FF5666"/>
    <w:rsid w:val="0603119A"/>
    <w:rsid w:val="0669725A"/>
    <w:rsid w:val="067E4800"/>
    <w:rsid w:val="06902805"/>
    <w:rsid w:val="06B75E86"/>
    <w:rsid w:val="071151B2"/>
    <w:rsid w:val="073F7793"/>
    <w:rsid w:val="080A00AF"/>
    <w:rsid w:val="0859217C"/>
    <w:rsid w:val="088D4853"/>
    <w:rsid w:val="09102145"/>
    <w:rsid w:val="09891681"/>
    <w:rsid w:val="09900A5B"/>
    <w:rsid w:val="09AE4842"/>
    <w:rsid w:val="09C60246"/>
    <w:rsid w:val="09CE2BB7"/>
    <w:rsid w:val="09E57E48"/>
    <w:rsid w:val="0A2B0E2A"/>
    <w:rsid w:val="0AB05B6D"/>
    <w:rsid w:val="0B047399"/>
    <w:rsid w:val="0B8F0D95"/>
    <w:rsid w:val="0BC25BE0"/>
    <w:rsid w:val="0BE45DA3"/>
    <w:rsid w:val="0C00330B"/>
    <w:rsid w:val="0C053D42"/>
    <w:rsid w:val="0C232636"/>
    <w:rsid w:val="0C3957DB"/>
    <w:rsid w:val="0C3C6A01"/>
    <w:rsid w:val="0C662DD8"/>
    <w:rsid w:val="0CB94AA5"/>
    <w:rsid w:val="0CBA4EC9"/>
    <w:rsid w:val="0CBE01FC"/>
    <w:rsid w:val="0CE25187"/>
    <w:rsid w:val="0D2824A3"/>
    <w:rsid w:val="0D62434A"/>
    <w:rsid w:val="0D832C84"/>
    <w:rsid w:val="0DD45553"/>
    <w:rsid w:val="0DFD39BC"/>
    <w:rsid w:val="0E1F7A52"/>
    <w:rsid w:val="0F0D73B6"/>
    <w:rsid w:val="0F263449"/>
    <w:rsid w:val="0F2C7289"/>
    <w:rsid w:val="0F7261DB"/>
    <w:rsid w:val="0FBA420F"/>
    <w:rsid w:val="10240870"/>
    <w:rsid w:val="105F0CCD"/>
    <w:rsid w:val="10A25988"/>
    <w:rsid w:val="11472FC4"/>
    <w:rsid w:val="11662A8F"/>
    <w:rsid w:val="1171773E"/>
    <w:rsid w:val="11D75144"/>
    <w:rsid w:val="11DE60C8"/>
    <w:rsid w:val="12362245"/>
    <w:rsid w:val="12575BFE"/>
    <w:rsid w:val="127D4879"/>
    <w:rsid w:val="129F4391"/>
    <w:rsid w:val="12B07257"/>
    <w:rsid w:val="12F46B93"/>
    <w:rsid w:val="12FB62CF"/>
    <w:rsid w:val="130F3467"/>
    <w:rsid w:val="131F25B3"/>
    <w:rsid w:val="132168C4"/>
    <w:rsid w:val="133638CF"/>
    <w:rsid w:val="134B3E21"/>
    <w:rsid w:val="135C1261"/>
    <w:rsid w:val="13705BCF"/>
    <w:rsid w:val="146639B0"/>
    <w:rsid w:val="14810804"/>
    <w:rsid w:val="14C32394"/>
    <w:rsid w:val="14E7756C"/>
    <w:rsid w:val="15555471"/>
    <w:rsid w:val="15D15729"/>
    <w:rsid w:val="162949D9"/>
    <w:rsid w:val="166F3B31"/>
    <w:rsid w:val="16BB3F9C"/>
    <w:rsid w:val="17093EDF"/>
    <w:rsid w:val="17411E12"/>
    <w:rsid w:val="175B5BC6"/>
    <w:rsid w:val="17D43D54"/>
    <w:rsid w:val="17E545EE"/>
    <w:rsid w:val="180F6DA6"/>
    <w:rsid w:val="183733AB"/>
    <w:rsid w:val="183D0ACD"/>
    <w:rsid w:val="18553478"/>
    <w:rsid w:val="186A4EF9"/>
    <w:rsid w:val="18AD21CB"/>
    <w:rsid w:val="19491C75"/>
    <w:rsid w:val="19786E3B"/>
    <w:rsid w:val="1A107C46"/>
    <w:rsid w:val="1A4540A3"/>
    <w:rsid w:val="1A717838"/>
    <w:rsid w:val="1A8E3CC9"/>
    <w:rsid w:val="1B1630FE"/>
    <w:rsid w:val="1B276266"/>
    <w:rsid w:val="1BDD2E04"/>
    <w:rsid w:val="1BFB31C4"/>
    <w:rsid w:val="1CAE5C61"/>
    <w:rsid w:val="1CC57EEC"/>
    <w:rsid w:val="1D1E07AB"/>
    <w:rsid w:val="1D285414"/>
    <w:rsid w:val="1D5D79CE"/>
    <w:rsid w:val="1D846EFB"/>
    <w:rsid w:val="1E1761B2"/>
    <w:rsid w:val="1F8F7C87"/>
    <w:rsid w:val="1FA97651"/>
    <w:rsid w:val="1FD141B8"/>
    <w:rsid w:val="1FE67A99"/>
    <w:rsid w:val="200E5455"/>
    <w:rsid w:val="20852B17"/>
    <w:rsid w:val="208F4659"/>
    <w:rsid w:val="20C91244"/>
    <w:rsid w:val="20CB6D0B"/>
    <w:rsid w:val="20E71C78"/>
    <w:rsid w:val="21093329"/>
    <w:rsid w:val="212773A1"/>
    <w:rsid w:val="214A163F"/>
    <w:rsid w:val="21D44845"/>
    <w:rsid w:val="221572B4"/>
    <w:rsid w:val="22311600"/>
    <w:rsid w:val="226550CC"/>
    <w:rsid w:val="23523DCA"/>
    <w:rsid w:val="23794CD9"/>
    <w:rsid w:val="24BF19AA"/>
    <w:rsid w:val="24CA4202"/>
    <w:rsid w:val="24D66891"/>
    <w:rsid w:val="25302039"/>
    <w:rsid w:val="254429A8"/>
    <w:rsid w:val="256C7451"/>
    <w:rsid w:val="25AD30A0"/>
    <w:rsid w:val="2667745A"/>
    <w:rsid w:val="26E95B4E"/>
    <w:rsid w:val="276906C7"/>
    <w:rsid w:val="278238A3"/>
    <w:rsid w:val="28742078"/>
    <w:rsid w:val="288E3F7A"/>
    <w:rsid w:val="288F49C5"/>
    <w:rsid w:val="28BF1B33"/>
    <w:rsid w:val="28BF2210"/>
    <w:rsid w:val="28CE556E"/>
    <w:rsid w:val="299315DB"/>
    <w:rsid w:val="29C152D2"/>
    <w:rsid w:val="29F627FF"/>
    <w:rsid w:val="2A292F06"/>
    <w:rsid w:val="2A29332E"/>
    <w:rsid w:val="2A666F4C"/>
    <w:rsid w:val="2A6671E5"/>
    <w:rsid w:val="2A8574C7"/>
    <w:rsid w:val="2B0B3F2F"/>
    <w:rsid w:val="2B5A4161"/>
    <w:rsid w:val="2B9F495B"/>
    <w:rsid w:val="2BB70DAF"/>
    <w:rsid w:val="2BBD2870"/>
    <w:rsid w:val="2BF938D1"/>
    <w:rsid w:val="2C01063D"/>
    <w:rsid w:val="2C824188"/>
    <w:rsid w:val="2C8C63A5"/>
    <w:rsid w:val="2CF845CD"/>
    <w:rsid w:val="2D562101"/>
    <w:rsid w:val="2D873A70"/>
    <w:rsid w:val="2DB610BD"/>
    <w:rsid w:val="2DFB43CE"/>
    <w:rsid w:val="2E3D7FDF"/>
    <w:rsid w:val="2E5606EB"/>
    <w:rsid w:val="2E9D5FE0"/>
    <w:rsid w:val="2F232D02"/>
    <w:rsid w:val="2F2A34A3"/>
    <w:rsid w:val="2F38041E"/>
    <w:rsid w:val="2F433D86"/>
    <w:rsid w:val="2F9A5364"/>
    <w:rsid w:val="2F9D183B"/>
    <w:rsid w:val="2FEB36BE"/>
    <w:rsid w:val="30006487"/>
    <w:rsid w:val="306E7310"/>
    <w:rsid w:val="30842425"/>
    <w:rsid w:val="314C2E93"/>
    <w:rsid w:val="316C02DE"/>
    <w:rsid w:val="31754AAE"/>
    <w:rsid w:val="317F2E7E"/>
    <w:rsid w:val="31804229"/>
    <w:rsid w:val="319970FC"/>
    <w:rsid w:val="31AD13B4"/>
    <w:rsid w:val="31BA74D8"/>
    <w:rsid w:val="31C57F0B"/>
    <w:rsid w:val="321A4FF8"/>
    <w:rsid w:val="328D4D46"/>
    <w:rsid w:val="32DE3410"/>
    <w:rsid w:val="333C55A2"/>
    <w:rsid w:val="335D45FD"/>
    <w:rsid w:val="33656785"/>
    <w:rsid w:val="33C315C2"/>
    <w:rsid w:val="33EF6302"/>
    <w:rsid w:val="345D6725"/>
    <w:rsid w:val="34876DB2"/>
    <w:rsid w:val="34B022E5"/>
    <w:rsid w:val="34CE04B2"/>
    <w:rsid w:val="34F94C42"/>
    <w:rsid w:val="35020BCE"/>
    <w:rsid w:val="354E2015"/>
    <w:rsid w:val="35636C46"/>
    <w:rsid w:val="35736992"/>
    <w:rsid w:val="37184051"/>
    <w:rsid w:val="37692631"/>
    <w:rsid w:val="37B10108"/>
    <w:rsid w:val="38202D58"/>
    <w:rsid w:val="389F7F0D"/>
    <w:rsid w:val="38B66F17"/>
    <w:rsid w:val="39264E83"/>
    <w:rsid w:val="397D15ED"/>
    <w:rsid w:val="39A31772"/>
    <w:rsid w:val="3A0511AE"/>
    <w:rsid w:val="3A252A28"/>
    <w:rsid w:val="3A361775"/>
    <w:rsid w:val="3A5B0DB6"/>
    <w:rsid w:val="3B1A3171"/>
    <w:rsid w:val="3B8A1786"/>
    <w:rsid w:val="3BF37AE3"/>
    <w:rsid w:val="3C5A516A"/>
    <w:rsid w:val="3CD05D89"/>
    <w:rsid w:val="3D574C5D"/>
    <w:rsid w:val="3D8F46AB"/>
    <w:rsid w:val="3DB32B5C"/>
    <w:rsid w:val="3DE17511"/>
    <w:rsid w:val="3E0165CC"/>
    <w:rsid w:val="3E0A31F9"/>
    <w:rsid w:val="3E5F6553"/>
    <w:rsid w:val="3E85714B"/>
    <w:rsid w:val="3EB83441"/>
    <w:rsid w:val="3ED405D8"/>
    <w:rsid w:val="3EF23AFC"/>
    <w:rsid w:val="3F4E5E4B"/>
    <w:rsid w:val="3F544F16"/>
    <w:rsid w:val="3FD1121A"/>
    <w:rsid w:val="3FDF074D"/>
    <w:rsid w:val="402E6982"/>
    <w:rsid w:val="405158C9"/>
    <w:rsid w:val="409A7D1F"/>
    <w:rsid w:val="40DD14B7"/>
    <w:rsid w:val="41595C3E"/>
    <w:rsid w:val="41A25A87"/>
    <w:rsid w:val="42031639"/>
    <w:rsid w:val="420C4E25"/>
    <w:rsid w:val="420D6E21"/>
    <w:rsid w:val="42551AC7"/>
    <w:rsid w:val="426D69CE"/>
    <w:rsid w:val="43306F54"/>
    <w:rsid w:val="439D162E"/>
    <w:rsid w:val="43AF4EB6"/>
    <w:rsid w:val="43DA0DF8"/>
    <w:rsid w:val="43F21A5E"/>
    <w:rsid w:val="4495081E"/>
    <w:rsid w:val="449D0BDB"/>
    <w:rsid w:val="44A75B9D"/>
    <w:rsid w:val="44CC251D"/>
    <w:rsid w:val="44ED61E4"/>
    <w:rsid w:val="44F765DB"/>
    <w:rsid w:val="452D2CD2"/>
    <w:rsid w:val="454E1873"/>
    <w:rsid w:val="45570A50"/>
    <w:rsid w:val="46FF7143"/>
    <w:rsid w:val="476E4F77"/>
    <w:rsid w:val="479A1D63"/>
    <w:rsid w:val="479E2BBB"/>
    <w:rsid w:val="47D76C48"/>
    <w:rsid w:val="48164989"/>
    <w:rsid w:val="485B029F"/>
    <w:rsid w:val="48AF4A09"/>
    <w:rsid w:val="48FD39E6"/>
    <w:rsid w:val="49B4550E"/>
    <w:rsid w:val="49F50EB5"/>
    <w:rsid w:val="4AB76254"/>
    <w:rsid w:val="4AF72F43"/>
    <w:rsid w:val="4AFC078A"/>
    <w:rsid w:val="4AFE130C"/>
    <w:rsid w:val="4B06415A"/>
    <w:rsid w:val="4B2C4572"/>
    <w:rsid w:val="4B307A80"/>
    <w:rsid w:val="4BBD5B2C"/>
    <w:rsid w:val="4BF36702"/>
    <w:rsid w:val="4C0E0B24"/>
    <w:rsid w:val="4F071606"/>
    <w:rsid w:val="4F403B1D"/>
    <w:rsid w:val="4F7F31B2"/>
    <w:rsid w:val="4F827ABA"/>
    <w:rsid w:val="4FA93F1C"/>
    <w:rsid w:val="4FCB730B"/>
    <w:rsid w:val="504A74E2"/>
    <w:rsid w:val="50D62ACD"/>
    <w:rsid w:val="510C3D06"/>
    <w:rsid w:val="51937900"/>
    <w:rsid w:val="51ED5B69"/>
    <w:rsid w:val="536A53D4"/>
    <w:rsid w:val="53857B5E"/>
    <w:rsid w:val="54207CFD"/>
    <w:rsid w:val="54C67D23"/>
    <w:rsid w:val="55005AF5"/>
    <w:rsid w:val="551F63D6"/>
    <w:rsid w:val="55CC6A46"/>
    <w:rsid w:val="55DE4946"/>
    <w:rsid w:val="55EA1952"/>
    <w:rsid w:val="55FD0CFB"/>
    <w:rsid w:val="561945F1"/>
    <w:rsid w:val="56BE79D8"/>
    <w:rsid w:val="58266B57"/>
    <w:rsid w:val="588A5505"/>
    <w:rsid w:val="58CE0AFE"/>
    <w:rsid w:val="58E11F40"/>
    <w:rsid w:val="58EA7FCE"/>
    <w:rsid w:val="593B360F"/>
    <w:rsid w:val="597E7640"/>
    <w:rsid w:val="5A8975CA"/>
    <w:rsid w:val="5A8D6038"/>
    <w:rsid w:val="5AF228EA"/>
    <w:rsid w:val="5B176006"/>
    <w:rsid w:val="5B8B5722"/>
    <w:rsid w:val="5C1D3EC2"/>
    <w:rsid w:val="5C29274B"/>
    <w:rsid w:val="5C2A1394"/>
    <w:rsid w:val="5C6F34F3"/>
    <w:rsid w:val="5CDE1B94"/>
    <w:rsid w:val="5D2B1C2D"/>
    <w:rsid w:val="5DAD4A6A"/>
    <w:rsid w:val="5DD07849"/>
    <w:rsid w:val="5DF40C4F"/>
    <w:rsid w:val="5E6E4ACB"/>
    <w:rsid w:val="5EEA3B04"/>
    <w:rsid w:val="5F092277"/>
    <w:rsid w:val="5F4B6391"/>
    <w:rsid w:val="5F50568C"/>
    <w:rsid w:val="5F8471B4"/>
    <w:rsid w:val="5FB2630F"/>
    <w:rsid w:val="5FCE7ED4"/>
    <w:rsid w:val="5FEB58A2"/>
    <w:rsid w:val="601B36B0"/>
    <w:rsid w:val="605A5E28"/>
    <w:rsid w:val="60A449E5"/>
    <w:rsid w:val="612A61E3"/>
    <w:rsid w:val="61B82A98"/>
    <w:rsid w:val="61F84732"/>
    <w:rsid w:val="62352BFE"/>
    <w:rsid w:val="62530EF5"/>
    <w:rsid w:val="63097C59"/>
    <w:rsid w:val="633D6D93"/>
    <w:rsid w:val="634F7C15"/>
    <w:rsid w:val="63736A17"/>
    <w:rsid w:val="63937116"/>
    <w:rsid w:val="63C05B9E"/>
    <w:rsid w:val="642F4F3E"/>
    <w:rsid w:val="64A5716B"/>
    <w:rsid w:val="651A4BCA"/>
    <w:rsid w:val="659F5C58"/>
    <w:rsid w:val="65D24C12"/>
    <w:rsid w:val="65F1505D"/>
    <w:rsid w:val="660A512C"/>
    <w:rsid w:val="668F2678"/>
    <w:rsid w:val="66BA2132"/>
    <w:rsid w:val="6701680A"/>
    <w:rsid w:val="67547205"/>
    <w:rsid w:val="676E5060"/>
    <w:rsid w:val="67FC0C69"/>
    <w:rsid w:val="686A32EA"/>
    <w:rsid w:val="698529F7"/>
    <w:rsid w:val="69981330"/>
    <w:rsid w:val="69D62811"/>
    <w:rsid w:val="6A001D5E"/>
    <w:rsid w:val="6A690960"/>
    <w:rsid w:val="6AB109E9"/>
    <w:rsid w:val="6AF86FE1"/>
    <w:rsid w:val="6AFE3DEE"/>
    <w:rsid w:val="6B5A4DFF"/>
    <w:rsid w:val="6BB52991"/>
    <w:rsid w:val="6BE93902"/>
    <w:rsid w:val="6C25354C"/>
    <w:rsid w:val="6C68412B"/>
    <w:rsid w:val="6C981ABC"/>
    <w:rsid w:val="6CE52F07"/>
    <w:rsid w:val="6CF54B5F"/>
    <w:rsid w:val="6D0D0A4F"/>
    <w:rsid w:val="6D234DD5"/>
    <w:rsid w:val="6D355556"/>
    <w:rsid w:val="6D377DF7"/>
    <w:rsid w:val="6D886FA0"/>
    <w:rsid w:val="6D945BC5"/>
    <w:rsid w:val="6DD96194"/>
    <w:rsid w:val="6DEF0C58"/>
    <w:rsid w:val="6DF66DFE"/>
    <w:rsid w:val="6DFC67F6"/>
    <w:rsid w:val="6E196A24"/>
    <w:rsid w:val="6E1D6E30"/>
    <w:rsid w:val="6E66357B"/>
    <w:rsid w:val="6EB95270"/>
    <w:rsid w:val="6F8956C3"/>
    <w:rsid w:val="6FB90394"/>
    <w:rsid w:val="6FC41E1E"/>
    <w:rsid w:val="6FE86904"/>
    <w:rsid w:val="70241AB8"/>
    <w:rsid w:val="706476AA"/>
    <w:rsid w:val="7105714A"/>
    <w:rsid w:val="710F25A0"/>
    <w:rsid w:val="714177A5"/>
    <w:rsid w:val="7255719B"/>
    <w:rsid w:val="744C618D"/>
    <w:rsid w:val="74920FD0"/>
    <w:rsid w:val="74924B26"/>
    <w:rsid w:val="74B50A85"/>
    <w:rsid w:val="74DF7784"/>
    <w:rsid w:val="75125292"/>
    <w:rsid w:val="758826A4"/>
    <w:rsid w:val="75B01AA9"/>
    <w:rsid w:val="76140509"/>
    <w:rsid w:val="763C41F4"/>
    <w:rsid w:val="768649B8"/>
    <w:rsid w:val="76EF0C8A"/>
    <w:rsid w:val="76F83624"/>
    <w:rsid w:val="773F1990"/>
    <w:rsid w:val="776A79F9"/>
    <w:rsid w:val="777A7DC6"/>
    <w:rsid w:val="78640367"/>
    <w:rsid w:val="786556C4"/>
    <w:rsid w:val="78C403B7"/>
    <w:rsid w:val="79640B02"/>
    <w:rsid w:val="796E4180"/>
    <w:rsid w:val="79874C47"/>
    <w:rsid w:val="79D2695D"/>
    <w:rsid w:val="7A731DE7"/>
    <w:rsid w:val="7ABE7E81"/>
    <w:rsid w:val="7AE73174"/>
    <w:rsid w:val="7B1234F7"/>
    <w:rsid w:val="7B5007DD"/>
    <w:rsid w:val="7BD60299"/>
    <w:rsid w:val="7BDD1DA1"/>
    <w:rsid w:val="7BE5680C"/>
    <w:rsid w:val="7C09693B"/>
    <w:rsid w:val="7C504BF4"/>
    <w:rsid w:val="7C6B7787"/>
    <w:rsid w:val="7C6F62EE"/>
    <w:rsid w:val="7C9F5AAF"/>
    <w:rsid w:val="7CCC29A0"/>
    <w:rsid w:val="7CF42D7A"/>
    <w:rsid w:val="7D171AFF"/>
    <w:rsid w:val="7D4359D2"/>
    <w:rsid w:val="7D9A0C78"/>
    <w:rsid w:val="7DFE466B"/>
    <w:rsid w:val="7E430C57"/>
    <w:rsid w:val="7E84244F"/>
    <w:rsid w:val="7EB23D15"/>
    <w:rsid w:val="7F0F3D7E"/>
    <w:rsid w:val="7F17791C"/>
    <w:rsid w:val="7F3B2004"/>
    <w:rsid w:val="7FA16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6">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7">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8">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9">
    <w:name w:val="heading 6"/>
    <w:basedOn w:val="1"/>
    <w:next w:val="10"/>
    <w:link w:val="48"/>
    <w:qFormat/>
    <w:uiPriority w:val="0"/>
    <w:pPr>
      <w:keepNext/>
      <w:jc w:val="center"/>
      <w:outlineLvl w:val="5"/>
    </w:pPr>
    <w:rPr>
      <w:rFonts w:ascii="Times New Roman" w:hAnsi="Times New Roman" w:eastAsia="宋体" w:cs="Times New Roman"/>
      <w:b/>
      <w:kern w:val="0"/>
      <w:sz w:val="44"/>
      <w:szCs w:val="20"/>
    </w:rPr>
  </w:style>
  <w:style w:type="paragraph" w:styleId="11">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2">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3">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90"/>
    <w:qFormat/>
    <w:uiPriority w:val="0"/>
    <w:pPr>
      <w:spacing w:after="120"/>
      <w:ind w:firstLine="420" w:firstLineChars="100"/>
    </w:pPr>
    <w:rPr>
      <w:rFonts w:ascii="Times New Roman" w:eastAsia="宋体"/>
      <w:szCs w:val="24"/>
    </w:rPr>
  </w:style>
  <w:style w:type="paragraph" w:styleId="3">
    <w:name w:val="Body Text"/>
    <w:basedOn w:val="1"/>
    <w:link w:val="89"/>
    <w:qFormat/>
    <w:uiPriority w:val="0"/>
    <w:rPr>
      <w:rFonts w:ascii="仿宋_GB2312" w:hAnsi="Times New Roman" w:eastAsia="仿宋_GB2312" w:cs="Times New Roman"/>
      <w:kern w:val="0"/>
      <w:sz w:val="24"/>
      <w:szCs w:val="20"/>
    </w:rPr>
  </w:style>
  <w:style w:type="paragraph" w:styleId="10">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4">
    <w:name w:val="annotation subject"/>
    <w:basedOn w:val="15"/>
    <w:next w:val="15"/>
    <w:link w:val="87"/>
    <w:unhideWhenUsed/>
    <w:qFormat/>
    <w:uiPriority w:val="99"/>
    <w:rPr>
      <w:b/>
      <w:bCs/>
    </w:rPr>
  </w:style>
  <w:style w:type="paragraph" w:styleId="15">
    <w:name w:val="annotation text"/>
    <w:basedOn w:val="1"/>
    <w:link w:val="84"/>
    <w:unhideWhenUsed/>
    <w:qFormat/>
    <w:uiPriority w:val="0"/>
    <w:pPr>
      <w:jc w:val="left"/>
    </w:pPr>
    <w:rPr>
      <w:rFonts w:ascii="Times New Roman" w:hAnsi="Times New Roman" w:eastAsia="宋体" w:cs="Times New Roman"/>
      <w:szCs w:val="24"/>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5"/>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4"/>
    <w:qFormat/>
    <w:uiPriority w:val="0"/>
    <w:rPr>
      <w:b/>
      <w:bCs/>
      <w:kern w:val="44"/>
      <w:sz w:val="44"/>
      <w:szCs w:val="44"/>
    </w:rPr>
  </w:style>
  <w:style w:type="character" w:customStyle="1" w:styleId="45">
    <w:name w:val="标题 3 Char"/>
    <w:basedOn w:val="30"/>
    <w:link w:val="6"/>
    <w:qFormat/>
    <w:uiPriority w:val="0"/>
    <w:rPr>
      <w:b/>
      <w:bCs/>
      <w:sz w:val="32"/>
      <w:szCs w:val="32"/>
    </w:rPr>
  </w:style>
  <w:style w:type="character" w:customStyle="1" w:styleId="46">
    <w:name w:val="标题 4 Char"/>
    <w:basedOn w:val="30"/>
    <w:link w:val="7"/>
    <w:qFormat/>
    <w:uiPriority w:val="0"/>
    <w:rPr>
      <w:rFonts w:eastAsia="新宋体"/>
      <w:sz w:val="30"/>
      <w:szCs w:val="21"/>
    </w:rPr>
  </w:style>
  <w:style w:type="character" w:customStyle="1" w:styleId="47">
    <w:name w:val="标题 5 Char"/>
    <w:basedOn w:val="30"/>
    <w:link w:val="8"/>
    <w:qFormat/>
    <w:uiPriority w:val="0"/>
    <w:rPr>
      <w:b/>
      <w:bCs/>
      <w:sz w:val="28"/>
      <w:szCs w:val="28"/>
    </w:rPr>
  </w:style>
  <w:style w:type="character" w:customStyle="1" w:styleId="48">
    <w:name w:val="标题 6 Char"/>
    <w:basedOn w:val="30"/>
    <w:link w:val="9"/>
    <w:qFormat/>
    <w:uiPriority w:val="0"/>
    <w:rPr>
      <w:b/>
      <w:sz w:val="44"/>
    </w:rPr>
  </w:style>
  <w:style w:type="character" w:customStyle="1" w:styleId="49">
    <w:name w:val="标题 7 Char"/>
    <w:basedOn w:val="30"/>
    <w:link w:val="11"/>
    <w:qFormat/>
    <w:uiPriority w:val="0"/>
    <w:rPr>
      <w:b/>
      <w:bCs/>
      <w:sz w:val="24"/>
      <w:szCs w:val="24"/>
    </w:rPr>
  </w:style>
  <w:style w:type="character" w:customStyle="1" w:styleId="50">
    <w:name w:val="标题 8 Char"/>
    <w:basedOn w:val="30"/>
    <w:link w:val="12"/>
    <w:qFormat/>
    <w:uiPriority w:val="0"/>
    <w:rPr>
      <w:rFonts w:ascii="Arial" w:hAnsi="Arial" w:eastAsia="黑体"/>
      <w:sz w:val="24"/>
      <w:szCs w:val="24"/>
    </w:rPr>
  </w:style>
  <w:style w:type="character" w:customStyle="1" w:styleId="51">
    <w:name w:val="标题 9 Char"/>
    <w:basedOn w:val="30"/>
    <w:link w:val="13"/>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10"/>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4"/>
    <w:qFormat/>
    <w:uiPriority w:val="99"/>
    <w:rPr>
      <w:b/>
      <w:bCs/>
      <w:kern w:val="2"/>
      <w:sz w:val="21"/>
      <w:szCs w:val="24"/>
    </w:rPr>
  </w:style>
  <w:style w:type="character" w:customStyle="1" w:styleId="59">
    <w:name w:val="正文文本 Char"/>
    <w:link w:val="3"/>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2"/>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5"/>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5"/>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5"/>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4"/>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3"/>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2"/>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7"/>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6"/>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paragraph" w:customStyle="1" w:styleId="126">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 w:type="paragraph" w:customStyle="1" w:styleId="127">
    <w:name w:val="AA-正文"/>
    <w:basedOn w:val="1"/>
    <w:qFormat/>
    <w:uiPriority w:val="0"/>
    <w:pPr>
      <w:widowControl w:val="0"/>
      <w:spacing w:after="70" w:afterLines="70" w:line="360" w:lineRule="auto"/>
      <w:ind w:firstLine="200" w:firstLineChars="200"/>
      <w:jc w:val="both"/>
    </w:pPr>
    <w:rPr>
      <w:rFonts w:ascii="宋体" w:hAnsi="宋体" w:eastAsia="宋体" w:cs="Times New Roman"/>
      <w:kern w:val="2"/>
    </w:rPr>
  </w:style>
  <w:style w:type="character" w:customStyle="1" w:styleId="128">
    <w:name w:val="font01"/>
    <w:basedOn w:val="30"/>
    <w:qFormat/>
    <w:uiPriority w:val="0"/>
    <w:rPr>
      <w:rFonts w:hint="eastAsia" w:ascii="仿宋_GB2312" w:hAnsi="Calibri" w:eastAsia="仿宋_GB2312" w:cs="仿宋_GB2312"/>
      <w:color w:val="FF0000"/>
      <w:sz w:val="24"/>
      <w:szCs w:val="24"/>
      <w:u w:val="none"/>
    </w:rPr>
  </w:style>
  <w:style w:type="character" w:customStyle="1" w:styleId="129">
    <w:name w:val="font21"/>
    <w:basedOn w:val="30"/>
    <w:qFormat/>
    <w:uiPriority w:val="0"/>
    <w:rPr>
      <w:rFonts w:hint="eastAsia" w:ascii="宋体" w:hAnsi="宋体" w:eastAsia="宋体" w:cs="宋体"/>
      <w:b/>
      <w:color w:val="000000"/>
      <w:sz w:val="22"/>
      <w:szCs w:val="22"/>
      <w:u w:val="none"/>
    </w:rPr>
  </w:style>
  <w:style w:type="character" w:customStyle="1" w:styleId="130">
    <w:name w:val="font11"/>
    <w:basedOn w:val="30"/>
    <w:qFormat/>
    <w:uiPriority w:val="0"/>
    <w:rPr>
      <w:rFonts w:hint="eastAsia" w:ascii="宋体" w:hAnsi="宋体" w:eastAsia="宋体" w:cs="宋体"/>
      <w:color w:val="000000"/>
      <w:sz w:val="22"/>
      <w:szCs w:val="22"/>
      <w:u w:val="none"/>
    </w:rPr>
  </w:style>
  <w:style w:type="paragraph" w:customStyle="1" w:styleId="131">
    <w:name w:val="样式 标题 3 + (中文) 黑体 小四 非加粗 段前: 7.8 磅 段后: 0 磅 行距: 固定值 20 磅"/>
    <w:basedOn w:val="6"/>
    <w:qFormat/>
    <w:uiPriority w:val="0"/>
    <w:pPr>
      <w:spacing w:before="0" w:beforeLines="0" w:after="0" w:afterLines="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FA3794-1806-4912-8E66-3E9A6A9B797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8026</Words>
  <Characters>45752</Characters>
  <Lines>381</Lines>
  <Paragraphs>107</Paragraphs>
  <TotalTime>25</TotalTime>
  <ScaleCrop>false</ScaleCrop>
  <LinksUpToDate>false</LinksUpToDate>
  <CharactersWithSpaces>53671</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樱花草</cp:lastModifiedBy>
  <cp:lastPrinted>2017-10-17T02:26:00Z</cp:lastPrinted>
  <dcterms:modified xsi:type="dcterms:W3CDTF">2018-05-28T09:18:36Z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