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r>
        <w:rPr>
          <w:rFonts w:hint="eastAsia" w:ascii="仿宋" w:hAnsi="仿宋" w:eastAsia="仿宋" w:cs="仿宋"/>
          <w:b/>
          <w:bCs/>
          <w:sz w:val="44"/>
          <w:szCs w:val="44"/>
          <w:lang w:eastAsia="zh-CN"/>
        </w:rPr>
        <w:t>禹州市颍河景观带18座景观平台桩基检测项目</w:t>
      </w: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采购单位：禹州市住房和城乡规划建设局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项目名称：禹州市颍河景观带18座景观平台桩基检测项目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8069</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禹州市颍河景观带</w:t>
      </w:r>
      <w:r>
        <w:rPr>
          <w:rFonts w:hint="eastAsia" w:ascii="仿宋" w:hAnsi="仿宋" w:eastAsia="仿宋" w:cs="仿宋"/>
          <w:b/>
          <w:bCs/>
          <w:sz w:val="36"/>
          <w:szCs w:val="36"/>
          <w:lang w:val="en-US" w:eastAsia="zh-CN"/>
        </w:rPr>
        <w:t>18座景观平台桩基检测</w:t>
      </w:r>
      <w:r>
        <w:rPr>
          <w:rFonts w:hint="eastAsia" w:ascii="仿宋" w:hAnsi="仿宋" w:eastAsia="仿宋" w:cs="仿宋"/>
          <w:b/>
          <w:bCs/>
          <w:sz w:val="36"/>
          <w:szCs w:val="36"/>
          <w:lang w:eastAsia="zh-CN"/>
        </w:rPr>
        <w:t>项目</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jc w:val="both"/>
        <w:rPr>
          <w:rFonts w:hint="eastAsia" w:ascii="仿宋" w:hAnsi="仿宋" w:eastAsia="仿宋" w:cs="仿宋"/>
          <w:sz w:val="32"/>
          <w:szCs w:val="32"/>
        </w:rPr>
      </w:pPr>
    </w:p>
    <w:p>
      <w:pPr>
        <w:ind w:firstLine="480" w:firstLineChars="200"/>
        <w:jc w:val="both"/>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市住房和城乡规划建设局</w:t>
      </w:r>
      <w:r>
        <w:rPr>
          <w:rFonts w:hint="eastAsia" w:ascii="仿宋" w:hAnsi="仿宋" w:eastAsia="仿宋" w:cs="仿宋"/>
          <w:sz w:val="24"/>
          <w:szCs w:val="24"/>
        </w:rPr>
        <w:t>的委托，就“禹州市颍河景观带18座景观平台桩基检测项目”进行公开招标，欢迎合格的投标人前来投标。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w:t>
      </w:r>
      <w:r>
        <w:rPr>
          <w:rFonts w:hint="eastAsia" w:ascii="仿宋" w:hAnsi="仿宋" w:eastAsia="仿宋" w:cs="仿宋"/>
          <w:sz w:val="24"/>
          <w:szCs w:val="24"/>
          <w:lang w:eastAsia="zh-CN"/>
        </w:rPr>
        <w:t>市住房和城乡规划建设局</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2、项目名称：禹州市颍河景观带18座景观平台桩基检测项</w:t>
      </w:r>
      <w:r>
        <w:rPr>
          <w:rFonts w:hint="eastAsia" w:ascii="仿宋" w:hAnsi="仿宋" w:eastAsia="仿宋" w:cs="仿宋"/>
          <w:sz w:val="24"/>
          <w:szCs w:val="24"/>
          <w:lang w:eastAsia="zh-CN"/>
        </w:rPr>
        <w:t>目</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8069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4、项目需求：18座景观平台桩基检测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5、采购预算：57.71万元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57.71</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2.投标商须具有水利岩土混凝土甲级资质和省级计量认证证书；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15：30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禹州市住房和城乡规划建设局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行政南路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郑先生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13782331116</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w:t>
            </w:r>
            <w:r>
              <w:rPr>
                <w:rFonts w:hint="eastAsia" w:ascii="仿宋" w:hAnsi="仿宋" w:eastAsia="仿宋" w:cs="仿宋"/>
                <w:sz w:val="24"/>
                <w:szCs w:val="24"/>
                <w:lang w:eastAsia="zh-CN"/>
              </w:rPr>
              <w:t>市住房和城乡规划建设局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禹州市颍河景观带18座景观平台桩基检测项</w:t>
            </w:r>
            <w:r>
              <w:rPr>
                <w:rFonts w:hint="eastAsia" w:ascii="仿宋" w:hAnsi="仿宋" w:eastAsia="仿宋" w:cs="仿宋"/>
                <w:sz w:val="24"/>
                <w:szCs w:val="24"/>
                <w:lang w:eastAsia="zh-CN"/>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w:t>
            </w:r>
            <w:r>
              <w:rPr>
                <w:rFonts w:hint="eastAsia" w:ascii="仿宋" w:hAnsi="仿宋" w:eastAsia="仿宋"/>
                <w:sz w:val="24"/>
                <w:szCs w:val="24"/>
              </w:rPr>
              <w:t>签订合同</w:t>
            </w:r>
            <w:r>
              <w:rPr>
                <w:rFonts w:hint="eastAsia" w:ascii="仿宋" w:hAnsi="仿宋" w:eastAsia="仿宋"/>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rPr>
              <w:t>2018年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14</w:t>
            </w:r>
            <w:r>
              <w:rPr>
                <w:rFonts w:hint="eastAsia" w:ascii="仿宋" w:hAnsi="仿宋" w:eastAsia="仿宋"/>
                <w:sz w:val="24"/>
                <w:szCs w:val="24"/>
              </w:rPr>
              <w:t>日</w:t>
            </w:r>
            <w:r>
              <w:rPr>
                <w:rFonts w:hint="eastAsia" w:ascii="仿宋" w:hAnsi="仿宋" w:eastAsia="仿宋"/>
                <w:sz w:val="24"/>
                <w:szCs w:val="24"/>
                <w:lang w:val="en-US" w:eastAsia="zh-CN"/>
              </w:rPr>
              <w:t>15</w:t>
            </w:r>
            <w:r>
              <w:rPr>
                <w:rFonts w:hint="eastAsia" w:ascii="仿宋" w:hAnsi="仿宋" w:eastAsia="仿宋"/>
                <w:sz w:val="24"/>
                <w:szCs w:val="24"/>
              </w:rPr>
              <w:t>：</w:t>
            </w:r>
            <w:r>
              <w:rPr>
                <w:rFonts w:hint="eastAsia" w:ascii="仿宋" w:hAnsi="仿宋" w:eastAsia="仿宋"/>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仿宋"/>
                <w:sz w:val="24"/>
                <w:szCs w:val="24"/>
                <w:lang w:val="en-US" w:eastAsia="zh-CN"/>
              </w:rPr>
              <w:t>57.71</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numPr>
          <w:ilvl w:val="0"/>
          <w:numId w:val="7"/>
        </w:numPr>
        <w:spacing w:before="471" w:after="312" w:line="360" w:lineRule="auto"/>
        <w:outlineLvl w:val="0"/>
        <w:rPr>
          <w:rFonts w:hint="eastAsia" w:ascii="仿宋" w:hAnsi="仿宋" w:eastAsia="仿宋" w:cs="仿宋"/>
          <w:b/>
          <w:sz w:val="24"/>
          <w:szCs w:val="24"/>
          <w:lang w:val="en-US" w:eastAsia="zh-CN"/>
        </w:rPr>
      </w:pPr>
      <w:r>
        <w:rPr>
          <w:rFonts w:hint="eastAsia" w:ascii="仿宋" w:hAnsi="仿宋" w:eastAsia="仿宋" w:cs="仿宋"/>
          <w:b/>
          <w:sz w:val="24"/>
          <w:szCs w:val="24"/>
        </w:rPr>
        <w:t>项目概述</w:t>
      </w:r>
      <w:r>
        <w:rPr>
          <w:rFonts w:hint="eastAsia" w:ascii="仿宋" w:hAnsi="仿宋" w:eastAsia="仿宋" w:cs="仿宋"/>
          <w:b/>
          <w:sz w:val="24"/>
          <w:szCs w:val="24"/>
          <w:lang w:eastAsia="zh-CN"/>
        </w:rPr>
        <w:t>：一坝人行景观廊桥位于禹州市的颍河上，全长</w:t>
      </w:r>
      <w:r>
        <w:rPr>
          <w:rFonts w:hint="eastAsia" w:ascii="仿宋" w:hAnsi="仿宋" w:eastAsia="仿宋" w:cs="仿宋"/>
          <w:b/>
          <w:sz w:val="24"/>
          <w:szCs w:val="24"/>
          <w:lang w:val="en-US" w:eastAsia="zh-CN"/>
        </w:rPr>
        <w:t>170业，跨径布置为（85+85）米，桥梁全宽5米，根部梁高5.0米，端部梁高2.5米，整体采用廊、桥结合的布置形式，中部桥墩采用矩形实体墩，桥台采用桩基础，边墩设计桩长36米，中墩设计桩长42米。廊道采用钢木结构，高度为4.3米，柱、梁等主要构件为钢材料，钢柱焊接在桥顶面的钢板上，风雨廊建筑面积850平方米。</w:t>
      </w:r>
    </w:p>
    <w:tbl>
      <w:tblPr>
        <w:tblW w:w="9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08"/>
        <w:gridCol w:w="1621"/>
        <w:gridCol w:w="1479"/>
        <w:gridCol w:w="1225"/>
        <w:gridCol w:w="1693"/>
        <w:gridCol w:w="1760"/>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6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 称</w:t>
            </w:r>
          </w:p>
        </w:tc>
        <w:tc>
          <w:tcPr>
            <w:tcW w:w="4397" w:type="dxa"/>
            <w:gridSpan w:val="3"/>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单桩竖向抗压静载实验</w:t>
            </w:r>
          </w:p>
        </w:tc>
        <w:tc>
          <w:tcPr>
            <w:tcW w:w="31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低应变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i w:val="0"/>
                <w:color w:val="000000"/>
                <w:sz w:val="24"/>
                <w:szCs w:val="24"/>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i w:val="0"/>
                <w:color w:val="000000"/>
                <w:sz w:val="24"/>
                <w:szCs w:val="24"/>
                <w:u w:val="none"/>
              </w:rPr>
            </w:pPr>
          </w:p>
        </w:tc>
        <w:tc>
          <w:tcPr>
            <w:tcW w:w="147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检测点次 （根）</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桩径（mm）</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极限承载力特征值（KN）</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检测点次 （根）</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桩长（m）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一坝亲水平台</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一号亲水平台</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三号亲水平台</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6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7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3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二号亲水平台</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6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7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3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6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7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3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7号码头</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45点次</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6" w:hRule="atLeast"/>
        </w:trPr>
        <w:tc>
          <w:tcPr>
            <w:tcW w:w="212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 注</w:t>
            </w:r>
          </w:p>
        </w:tc>
        <w:tc>
          <w:tcPr>
            <w:tcW w:w="754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w:t>
            </w:r>
            <w:r>
              <w:rPr>
                <w:rStyle w:val="129"/>
                <w:rFonts w:hint="eastAsia" w:ascii="仿宋" w:hAnsi="仿宋" w:eastAsia="仿宋" w:cs="仿宋"/>
                <w:sz w:val="24"/>
                <w:szCs w:val="24"/>
                <w:lang w:val="en-US" w:eastAsia="zh-CN" w:bidi="ar"/>
              </w:rPr>
              <w:t>桩基类型均为钻孔灌注桩。</w:t>
            </w:r>
            <w:r>
              <w:rPr>
                <w:rStyle w:val="130"/>
                <w:rFonts w:hint="eastAsia" w:ascii="仿宋" w:hAnsi="仿宋" w:eastAsia="仿宋" w:cs="仿宋"/>
                <w:sz w:val="24"/>
                <w:szCs w:val="24"/>
                <w:lang w:val="en-US" w:eastAsia="zh-CN" w:bidi="ar"/>
              </w:rPr>
              <w:t>由于本工程静载实验采用混凝土块堆载法实验，码头与码头之间距离远，检测一个点次相当于进出场一次。另施工检测平台在颍河河床上面，河床常年积水，现场施工条件难度极大，在岩土工程检测复杂程度等级上面属于复杂等级。</w:t>
            </w:r>
          </w:p>
        </w:tc>
      </w:tr>
    </w:tbl>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、其它要求</w:t>
      </w: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rPr>
        <w:t>其它要求：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、付款方式：以签订合同为准。</w:t>
      </w: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、银行开户许可证、无行贿记录告知函、资质证书和计量认证证书、</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50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476"/>
        <w:gridCol w:w="1940"/>
        <w:gridCol w:w="2456"/>
        <w:gridCol w:w="3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52"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color w:val="007F00"/>
                <w:sz w:val="24"/>
                <w:szCs w:val="24"/>
                <w:lang w:val="zh-CN" w:eastAsia="zh-CN"/>
              </w:rPr>
            </w:pPr>
            <w:r>
              <w:rPr>
                <w:rFonts w:hint="eastAsia" w:ascii="仿宋" w:hAnsi="仿宋" w:eastAsia="仿宋" w:cs="仿宋"/>
                <w:color w:val="007F00"/>
                <w:sz w:val="24"/>
                <w:szCs w:val="24"/>
                <w:lang w:val="en-US" w:eastAsia="zh-CN"/>
              </w:rPr>
              <w:t>1</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投标报价评分标准</w:t>
            </w:r>
          </w:p>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131"/>
              <w:spacing w:line="24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评标基准价指满足招标文件要求且投标价格最低的投标报价为评标基准价。</w:t>
            </w:r>
          </w:p>
          <w:p>
            <w:pPr>
              <w:autoSpaceDE w:val="0"/>
              <w:autoSpaceDN w:val="0"/>
              <w:adjustRightInd w:val="0"/>
              <w:spacing w:beforeLines="0" w:afterLines="0" w:line="360" w:lineRule="exact"/>
              <w:rPr>
                <w:rFonts w:hint="eastAsia" w:ascii="仿宋" w:hAnsi="仿宋" w:eastAsia="仿宋" w:cs="仿宋"/>
                <w:sz w:val="24"/>
                <w:szCs w:val="24"/>
                <w:lang w:val="zh-CN"/>
              </w:rPr>
            </w:pPr>
            <w:r>
              <w:rPr>
                <w:rFonts w:hint="eastAsia" w:ascii="仿宋" w:hAnsi="仿宋" w:eastAsia="仿宋" w:cs="仿宋"/>
                <w:b w:val="0"/>
                <w:bCs w:val="0"/>
                <w:kern w:val="2"/>
                <w:sz w:val="24"/>
                <w:szCs w:val="24"/>
                <w:lang w:val="en-US" w:eastAsia="zh-CN" w:bidi="ar-SA"/>
              </w:rPr>
              <w:t>价格得分=（评标基准价/投标报价）×30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桩基检测方案</w:t>
            </w:r>
          </w:p>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lang w:val="zh-CN"/>
              </w:rPr>
              <w:t>分）</w:t>
            </w:r>
          </w:p>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1.试桩、工程桩检测方案编制（1-6分）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试桩、工程桩检测方案编制内容详细、充实、可行得5-6分；方案内容较详细、充实、可行得3-4分；方案内容一般得1-2分。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ind w:hanging="1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2.桩基检测质量保证措施(1-6分)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桩基检测方案中质量保证措施可行、合理得5-6分；质量保证措施较可行、合理得3-4分；质量保证措施一般得1-2分。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ind w:hanging="1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3.桩基检测进度保证措施(1-6分)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桩基检测方案中进度保证措施可行、合理得5-6分；进度保证措施较可行、合理得3-4分；进度保证措施一般得1-2分。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4.桩基检测安全文明保证措施 (1-6分)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桩基检测方案中安全文明保证措施可行、合理得5-6分；安全文明保证措施较可行、合理得3-4分；安全文明保证措施一般得1-2分。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 桩基检测仪器设备配置（1-</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桩基检测配置仪器、设备先进，数量充足得</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val="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zh-CN"/>
              </w:rPr>
              <w:t>分；配置仪器、设备一般，数量较少得1-2分。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257"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 桩基检测报告</w:t>
            </w:r>
          </w:p>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投标人应对其出据检测报告的规范性、完整性、准确性及归档资料的内容完整性作详细阐述，评委酌情打分。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66"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业绩</w:t>
            </w:r>
          </w:p>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201</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val="zh-CN"/>
              </w:rPr>
              <w:t>年1月1日以来企业从事过类似规模建设项目桩基检测服务的，每提供一份合同得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zh-CN"/>
              </w:rPr>
              <w:t>分，本项最高得</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55"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3</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检测周期（</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检测周期与招标文件相同的得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174"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4</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服务承诺</w:t>
            </w:r>
          </w:p>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1.确保按检测方案完成检测任务，得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.确保检测服务质量，得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.确保检测过程符合国家、省、行业相关技术规范及验收标，得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val="zh-CN"/>
              </w:rPr>
              <w:t>确保检测报告规范性、完整性、准确性及归档资料的内容完整性的承诺，得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74"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5</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color w:val="FF0000"/>
                <w:sz w:val="24"/>
                <w:szCs w:val="24"/>
                <w:lang w:val="zh-CN"/>
              </w:rPr>
            </w:pPr>
            <w:r>
              <w:rPr>
                <w:rFonts w:hint="eastAsia" w:ascii="仿宋" w:hAnsi="仿宋" w:eastAsia="仿宋" w:cs="仿宋"/>
                <w:sz w:val="24"/>
                <w:szCs w:val="24"/>
                <w:lang w:val="zh-CN"/>
              </w:rPr>
              <w:t>投标文件的制作：</w:t>
            </w:r>
            <w:r>
              <w:rPr>
                <w:rFonts w:hint="eastAsia" w:ascii="仿宋" w:hAnsi="仿宋" w:eastAsia="仿宋" w:cs="仿宋"/>
                <w:sz w:val="24"/>
                <w:szCs w:val="24"/>
                <w:u w:val="single"/>
                <w:lang w:val="zh-CN"/>
              </w:rPr>
              <w:t xml:space="preserve"> 5 </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完整性：</w:t>
            </w: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条理性</w:t>
            </w: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FF0000"/>
                <w:sz w:val="24"/>
                <w:szCs w:val="24"/>
                <w:lang w:val="zh-CN"/>
              </w:rPr>
            </w:pPr>
            <w:r>
              <w:rPr>
                <w:rFonts w:hint="eastAsia" w:ascii="仿宋" w:hAnsi="仿宋" w:eastAsia="仿宋" w:cs="仿宋"/>
                <w:color w:val="000000"/>
                <w:sz w:val="24"/>
                <w:szCs w:val="24"/>
                <w:lang w:val="zh-CN"/>
              </w:rPr>
              <w:t>合理性</w:t>
            </w: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分</w:t>
            </w: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0"/>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bookmarkStart w:id="1" w:name="_GoBack"/>
      <w:bookmarkEnd w:id="1"/>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pStyle w:val="2"/>
        <w:rPr>
          <w:lang w:val="zh-CN"/>
        </w:rPr>
      </w:pP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643"/>
        <w:gridCol w:w="905"/>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5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7</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（技术要求</w:t>
      </w:r>
      <w:r>
        <w:rPr>
          <w:rFonts w:hint="eastAsia" w:ascii="仿宋" w:hAnsi="仿宋" w:eastAsia="仿宋" w:cs="仿宋_GB2312"/>
          <w:b/>
          <w:bCs/>
          <w:sz w:val="24"/>
          <w:szCs w:val="24"/>
          <w:lang w:eastAsia="zh-CN"/>
        </w:rPr>
        <w:t>及评分标准中</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singleLevel"/>
    <w:tmpl w:val="5A27AEF7"/>
    <w:lvl w:ilvl="0" w:tentative="0">
      <w:start w:val="2"/>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794EACD2"/>
    <w:multiLevelType w:val="singleLevel"/>
    <w:tmpl w:val="794EACD2"/>
    <w:lvl w:ilvl="0" w:tentative="0">
      <w:start w:val="1"/>
      <w:numFmt w:val="chineseCounting"/>
      <w:suff w:val="nothing"/>
      <w:lvlText w:val="%1、"/>
      <w:lvlJc w:val="left"/>
      <w:rPr>
        <w:rFonts w:hint="eastAsia"/>
      </w:rPr>
    </w:lvl>
  </w:abstractNum>
  <w:num w:numId="1">
    <w:abstractNumId w:val="5"/>
  </w:num>
  <w:num w:numId="2">
    <w:abstractNumId w:val="8"/>
  </w:num>
  <w:num w:numId="3">
    <w:abstractNumId w:val="7"/>
  </w:num>
  <w:num w:numId="4">
    <w:abstractNumId w:val="4"/>
  </w:num>
  <w:num w:numId="5">
    <w:abstractNumId w:val="3"/>
  </w:num>
  <w:num w:numId="6">
    <w:abstractNumId w:val="6"/>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B33489"/>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BC25BE0"/>
    <w:rsid w:val="0BE45DA3"/>
    <w:rsid w:val="0C00330B"/>
    <w:rsid w:val="0C053D42"/>
    <w:rsid w:val="0C232636"/>
    <w:rsid w:val="0C3957DB"/>
    <w:rsid w:val="0C3C6A01"/>
    <w:rsid w:val="0C662DD8"/>
    <w:rsid w:val="0CB94AA5"/>
    <w:rsid w:val="0CBA4EC9"/>
    <w:rsid w:val="0CBE01FC"/>
    <w:rsid w:val="0CE25187"/>
    <w:rsid w:val="0D2824A3"/>
    <w:rsid w:val="0D62434A"/>
    <w:rsid w:val="0D832C84"/>
    <w:rsid w:val="0DD45553"/>
    <w:rsid w:val="0DFD39BC"/>
    <w:rsid w:val="0E1F7A52"/>
    <w:rsid w:val="0F0D73B6"/>
    <w:rsid w:val="0F263449"/>
    <w:rsid w:val="0F2C7289"/>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DD2E04"/>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4429A8"/>
    <w:rsid w:val="256C7451"/>
    <w:rsid w:val="25AD30A0"/>
    <w:rsid w:val="2667745A"/>
    <w:rsid w:val="26E95B4E"/>
    <w:rsid w:val="276906C7"/>
    <w:rsid w:val="278238A3"/>
    <w:rsid w:val="28742078"/>
    <w:rsid w:val="288E3F7A"/>
    <w:rsid w:val="288F49C5"/>
    <w:rsid w:val="28BF1B33"/>
    <w:rsid w:val="28BF2210"/>
    <w:rsid w:val="28CE556E"/>
    <w:rsid w:val="299315DB"/>
    <w:rsid w:val="29C152D2"/>
    <w:rsid w:val="29F627FF"/>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6E7310"/>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184051"/>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2E6982"/>
    <w:rsid w:val="405158C9"/>
    <w:rsid w:val="409A7D1F"/>
    <w:rsid w:val="40DD14B7"/>
    <w:rsid w:val="41595C3E"/>
    <w:rsid w:val="41A25A87"/>
    <w:rsid w:val="42031639"/>
    <w:rsid w:val="420C4E25"/>
    <w:rsid w:val="420D6E21"/>
    <w:rsid w:val="42551AC7"/>
    <w:rsid w:val="426D69CE"/>
    <w:rsid w:val="43306F54"/>
    <w:rsid w:val="439D162E"/>
    <w:rsid w:val="43AF4EB6"/>
    <w:rsid w:val="43DA0DF8"/>
    <w:rsid w:val="43F21A5E"/>
    <w:rsid w:val="4495081E"/>
    <w:rsid w:val="449D0BDB"/>
    <w:rsid w:val="44A75B9D"/>
    <w:rsid w:val="44CC251D"/>
    <w:rsid w:val="44ED61E4"/>
    <w:rsid w:val="44F765DB"/>
    <w:rsid w:val="452D2CD2"/>
    <w:rsid w:val="454E1873"/>
    <w:rsid w:val="45570A50"/>
    <w:rsid w:val="46FF7143"/>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AF228EA"/>
    <w:rsid w:val="5B176006"/>
    <w:rsid w:val="5B8B5722"/>
    <w:rsid w:val="5C1D3EC2"/>
    <w:rsid w:val="5C29274B"/>
    <w:rsid w:val="5C2A1394"/>
    <w:rsid w:val="5C6F34F3"/>
    <w:rsid w:val="5CDE1B94"/>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0A512C"/>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6556C4"/>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character" w:customStyle="1" w:styleId="129">
    <w:name w:val="font21"/>
    <w:basedOn w:val="30"/>
    <w:uiPriority w:val="0"/>
    <w:rPr>
      <w:rFonts w:hint="eastAsia" w:ascii="宋体" w:hAnsi="宋体" w:eastAsia="宋体" w:cs="宋体"/>
      <w:b/>
      <w:color w:val="000000"/>
      <w:sz w:val="22"/>
      <w:szCs w:val="22"/>
      <w:u w:val="none"/>
    </w:rPr>
  </w:style>
  <w:style w:type="character" w:customStyle="1" w:styleId="130">
    <w:name w:val="font11"/>
    <w:basedOn w:val="30"/>
    <w:uiPriority w:val="0"/>
    <w:rPr>
      <w:rFonts w:hint="eastAsia" w:ascii="宋体" w:hAnsi="宋体" w:eastAsia="宋体" w:cs="宋体"/>
      <w:color w:val="000000"/>
      <w:sz w:val="22"/>
      <w:szCs w:val="22"/>
      <w:u w:val="none"/>
    </w:rPr>
  </w:style>
  <w:style w:type="paragraph" w:customStyle="1" w:styleId="131">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2</TotalTime>
  <ScaleCrop>false</ScaleCrop>
  <LinksUpToDate>false</LinksUpToDate>
  <CharactersWithSpaces>53671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2018-05-24T03:11:38Z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