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42" w:rsidRDefault="00693942" w:rsidP="00693942">
      <w:pPr>
        <w:jc w:val="center"/>
        <w:rPr>
          <w:rFonts w:hint="eastAsia"/>
        </w:rPr>
      </w:pPr>
      <w:r>
        <w:rPr>
          <w:rFonts w:ascii="宋体" w:eastAsia="宋体" w:cs="宋体" w:hint="eastAsia"/>
          <w:kern w:val="0"/>
          <w:sz w:val="36"/>
          <w:szCs w:val="36"/>
        </w:rPr>
        <w:t>开标一览表</w:t>
      </w:r>
    </w:p>
    <w:p w:rsidR="00000000" w:rsidRDefault="00E73E86" w:rsidP="00693942">
      <w:pPr>
        <w:jc w:val="center"/>
        <w:rPr>
          <w:rFonts w:hint="eastAsia"/>
        </w:rPr>
      </w:pPr>
      <w:r>
        <w:rPr>
          <w:rFonts w:hint="eastAsia"/>
          <w:noProof/>
        </w:rPr>
        <w:drawing>
          <wp:inline distT="0" distB="0" distL="0" distR="0">
            <wp:extent cx="5095875" cy="686752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095875" cy="6867525"/>
                    </a:xfrm>
                    <a:prstGeom prst="rect">
                      <a:avLst/>
                    </a:prstGeom>
                    <a:noFill/>
                    <a:ln w="9525">
                      <a:noFill/>
                      <a:miter lim="800000"/>
                      <a:headEnd/>
                      <a:tailEnd/>
                    </a:ln>
                  </pic:spPr>
                </pic:pic>
              </a:graphicData>
            </a:graphic>
          </wp:inline>
        </w:drawing>
      </w:r>
    </w:p>
    <w:p w:rsidR="00693942" w:rsidRDefault="00693942" w:rsidP="00693942">
      <w:pPr>
        <w:rPr>
          <w:rFonts w:hint="eastAsia"/>
        </w:rPr>
      </w:pPr>
    </w:p>
    <w:p w:rsidR="00445C3C" w:rsidRDefault="00445C3C" w:rsidP="00693942">
      <w:pPr>
        <w:rPr>
          <w:rFonts w:hint="eastAsia"/>
        </w:rPr>
      </w:pPr>
    </w:p>
    <w:p w:rsidR="00445C3C" w:rsidRDefault="00445C3C" w:rsidP="00693942">
      <w:pPr>
        <w:rPr>
          <w:rFonts w:hint="eastAsia"/>
        </w:rPr>
      </w:pPr>
    </w:p>
    <w:p w:rsidR="00445C3C" w:rsidRDefault="00445C3C" w:rsidP="00693942">
      <w:pPr>
        <w:rPr>
          <w:rFonts w:hint="eastAsia"/>
        </w:rPr>
      </w:pPr>
    </w:p>
    <w:p w:rsidR="00445C3C" w:rsidRDefault="00445C3C" w:rsidP="00693942">
      <w:pPr>
        <w:rPr>
          <w:rFonts w:hint="eastAsia"/>
        </w:rPr>
      </w:pPr>
    </w:p>
    <w:p w:rsidR="00445C3C" w:rsidRDefault="00445C3C" w:rsidP="00693942">
      <w:pPr>
        <w:rPr>
          <w:rFonts w:hint="eastAsia"/>
        </w:rPr>
      </w:pPr>
    </w:p>
    <w:p w:rsidR="00445C3C" w:rsidRDefault="00445C3C" w:rsidP="00445C3C">
      <w:pPr>
        <w:jc w:val="center"/>
        <w:rPr>
          <w:rFonts w:hint="eastAsia"/>
        </w:rPr>
      </w:pPr>
    </w:p>
    <w:p w:rsidR="008826A8" w:rsidRPr="00CE1C27" w:rsidRDefault="008826A8" w:rsidP="008826A8">
      <w:pPr>
        <w:autoSpaceDE w:val="0"/>
        <w:autoSpaceDN w:val="0"/>
        <w:adjustRightInd w:val="0"/>
        <w:spacing w:line="480" w:lineRule="auto"/>
        <w:jc w:val="center"/>
        <w:rPr>
          <w:rFonts w:ascii="宋体" w:hAnsi="宋体" w:cs="黑体"/>
          <w:b/>
          <w:bCs/>
          <w:sz w:val="44"/>
          <w:szCs w:val="44"/>
          <w:lang w:val="zh-CN"/>
        </w:rPr>
      </w:pPr>
      <w:r>
        <w:rPr>
          <w:rFonts w:hAnsi="宋体" w:hint="eastAsia"/>
          <w:b/>
          <w:snapToGrid w:val="0"/>
          <w:kern w:val="0"/>
          <w:sz w:val="36"/>
          <w:szCs w:val="36"/>
        </w:rPr>
        <w:lastRenderedPageBreak/>
        <w:t>实施方案</w:t>
      </w:r>
    </w:p>
    <w:p w:rsidR="008826A8" w:rsidRPr="00873793" w:rsidRDefault="008826A8" w:rsidP="008826A8">
      <w:pPr>
        <w:spacing w:beforeLines="50" w:afterLines="50"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为及时反映许昌市土地使用权价格变动状况，确保新一轮基准地价评估成果的科学、真实、全面、实用，根据《城镇土地分等定级规程》(GB/T 18507-2014)、《城镇土地估价规程》(GB/T 18508-2014)</w:t>
      </w:r>
      <w:r>
        <w:rPr>
          <w:rFonts w:asciiTheme="minorEastAsia" w:hAnsiTheme="minorEastAsia" w:hint="eastAsia"/>
          <w:color w:val="000000"/>
          <w:sz w:val="24"/>
          <w:szCs w:val="24"/>
        </w:rPr>
        <w:t>和</w:t>
      </w:r>
      <w:r w:rsidRPr="00873793">
        <w:rPr>
          <w:rFonts w:asciiTheme="minorEastAsia" w:hAnsiTheme="minorEastAsia" w:hint="eastAsia"/>
          <w:color w:val="000000"/>
          <w:sz w:val="24"/>
          <w:szCs w:val="24"/>
        </w:rPr>
        <w:t>《河南省国土资源厅办公室关于印发城镇土地级别与基准地价更新调整方案的通知》（豫国土资办发[2017]75号），参考《国土资源部办公厅关于加强公示地价体系建设和管理有关问题的通知》（国土资厅发[2017]27</w:t>
      </w:r>
      <w:r>
        <w:rPr>
          <w:rFonts w:asciiTheme="minorEastAsia" w:hAnsiTheme="minorEastAsia" w:hint="eastAsia"/>
          <w:color w:val="000000"/>
          <w:sz w:val="24"/>
          <w:szCs w:val="24"/>
        </w:rPr>
        <w:t>号）</w:t>
      </w:r>
      <w:r w:rsidRPr="00873793">
        <w:rPr>
          <w:rFonts w:asciiTheme="minorEastAsia" w:hAnsiTheme="minorEastAsia" w:hint="eastAsia"/>
          <w:color w:val="000000"/>
          <w:sz w:val="24"/>
          <w:szCs w:val="24"/>
        </w:rPr>
        <w:t>和《河南省国土资源厅办公室关于开展城镇土地级别与基准地价更新调整工作的通知》（豫国土资办发[2017]42号）等有关规定要求，</w:t>
      </w:r>
      <w:r w:rsidRPr="00127B25">
        <w:rPr>
          <w:rFonts w:asciiTheme="minorEastAsia" w:hAnsiTheme="minorEastAsia" w:hint="eastAsia"/>
          <w:color w:val="000000"/>
          <w:sz w:val="24"/>
          <w:szCs w:val="24"/>
        </w:rPr>
        <w:t>应用地租地价理论、方法和先进的地理信息系统技术手段，科学划分市区土地级别，正确测算各级各类用地的基准地价并建立基准地价修正体系，取得市区土地定级估价成果，建立许昌市定级估价信息系统，为许昌市市区土地资产管理奠定基础。</w:t>
      </w:r>
    </w:p>
    <w:p w:rsidR="008826A8" w:rsidRPr="00873793" w:rsidRDefault="008826A8" w:rsidP="008826A8">
      <w:pPr>
        <w:spacing w:line="360" w:lineRule="auto"/>
        <w:ind w:firstLineChars="200" w:firstLine="482"/>
        <w:outlineLvl w:val="1"/>
        <w:rPr>
          <w:rFonts w:asciiTheme="minorEastAsia" w:hAnsiTheme="minorEastAsia"/>
          <w:b/>
          <w:sz w:val="24"/>
          <w:szCs w:val="24"/>
        </w:rPr>
      </w:pPr>
      <w:bookmarkStart w:id="0" w:name="_Toc515371651"/>
      <w:r w:rsidRPr="00873793">
        <w:rPr>
          <w:rFonts w:asciiTheme="minorEastAsia" w:hAnsiTheme="minorEastAsia" w:hint="eastAsia"/>
          <w:b/>
          <w:sz w:val="24"/>
          <w:szCs w:val="24"/>
        </w:rPr>
        <w:t>一、项目技术方案</w:t>
      </w:r>
      <w:r>
        <w:rPr>
          <w:rFonts w:asciiTheme="minorEastAsia" w:hAnsiTheme="minorEastAsia" w:hint="eastAsia"/>
          <w:b/>
          <w:sz w:val="24"/>
          <w:szCs w:val="24"/>
        </w:rPr>
        <w:t>完整性</w:t>
      </w:r>
      <w:bookmarkEnd w:id="0"/>
    </w:p>
    <w:p w:rsidR="008826A8" w:rsidRPr="00127B25" w:rsidRDefault="008826A8" w:rsidP="008826A8">
      <w:pPr>
        <w:spacing w:line="360" w:lineRule="auto"/>
        <w:ind w:firstLine="573"/>
        <w:outlineLvl w:val="2"/>
        <w:rPr>
          <w:rFonts w:asciiTheme="minorEastAsia" w:hAnsiTheme="minorEastAsia"/>
          <w:b/>
          <w:color w:val="000000"/>
          <w:sz w:val="24"/>
          <w:szCs w:val="24"/>
        </w:rPr>
      </w:pPr>
      <w:bookmarkStart w:id="1" w:name="_Toc515371652"/>
      <w:r w:rsidRPr="00127B25">
        <w:rPr>
          <w:rFonts w:asciiTheme="minorEastAsia" w:hAnsiTheme="minorEastAsia" w:hint="eastAsia"/>
          <w:b/>
          <w:color w:val="000000"/>
          <w:sz w:val="24"/>
          <w:szCs w:val="24"/>
        </w:rPr>
        <w:t>（一）对城镇土地级别与基准地价更新的了解</w:t>
      </w:r>
      <w:bookmarkEnd w:id="1"/>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1、基本概念</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城镇土地定级是根据城镇土地的经济、自然两方面属性及其在社会经济活动中的地位、作用，对城镇土地使用价值进行综合分析，揭示城镇内部土地质量的地域差异，评定城镇土地级别的活动。</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基准地价是指在土地利用总体规划确定的城镇可建设用地范围内，对平均开发利用条件下，不同级别或不同均质地域的建设用地，按照商服、住宅、工业等用途分别评估，并由政府确定的，某一估价期日法定最高使用年期土地权利的区域平均价格。</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2、更新的内容</w:t>
      </w:r>
    </w:p>
    <w:p w:rsidR="008826A8" w:rsidRPr="00127B25"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本轮市区城镇土地级别与基准地价更新调整范围是:东至中原路，西至西外环和京广铁路，南至南外环，北至北苑大道及建安区的7建制镇，土地总面积约为270平方公里。涵盖了魏都区、建安区、示范区、东城区和经济技术开发区等城区建设规划覆盖的区域。</w:t>
      </w:r>
      <w:r>
        <w:rPr>
          <w:rFonts w:asciiTheme="minorEastAsia" w:hAnsiTheme="minorEastAsia" w:hint="eastAsia"/>
          <w:color w:val="000000"/>
          <w:sz w:val="24"/>
          <w:szCs w:val="24"/>
        </w:rPr>
        <w:t>更新内容主要包括以下几点：</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（1）</w:t>
      </w:r>
      <w:r w:rsidRPr="00127B25">
        <w:rPr>
          <w:rFonts w:asciiTheme="minorEastAsia" w:hAnsiTheme="minorEastAsia" w:hint="eastAsia"/>
          <w:color w:val="000000"/>
          <w:sz w:val="24"/>
          <w:szCs w:val="24"/>
        </w:rPr>
        <w:t>更新调整商服用地、住宅用地、工矿仓储用地、公共管理与公共服务</w:t>
      </w:r>
      <w:r w:rsidRPr="00127B25">
        <w:rPr>
          <w:rFonts w:asciiTheme="minorEastAsia" w:hAnsiTheme="minorEastAsia" w:hint="eastAsia"/>
          <w:color w:val="000000"/>
          <w:sz w:val="24"/>
          <w:szCs w:val="24"/>
        </w:rPr>
        <w:lastRenderedPageBreak/>
        <w:t>用地、交通运输用地、水利设施用地、特殊用地、划拨用地基准地价。</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（2）</w:t>
      </w:r>
      <w:r w:rsidRPr="00127B25">
        <w:rPr>
          <w:rFonts w:asciiTheme="minorEastAsia" w:hAnsiTheme="minorEastAsia" w:hint="eastAsia"/>
          <w:color w:val="000000"/>
          <w:sz w:val="24"/>
          <w:szCs w:val="24"/>
        </w:rPr>
        <w:t>更新各类用地基准地价修正系数表、因素指标说明表; 商业、住宅用地容积率修正系数表。</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（3）</w:t>
      </w:r>
      <w:r w:rsidRPr="00127B25">
        <w:rPr>
          <w:rFonts w:asciiTheme="minorEastAsia" w:hAnsiTheme="minorEastAsia" w:hint="eastAsia"/>
          <w:color w:val="000000"/>
          <w:sz w:val="24"/>
          <w:szCs w:val="24"/>
        </w:rPr>
        <w:t>评定主要商业街道路线价并编制地价深度修正系数及其他修正系数表。</w:t>
      </w:r>
    </w:p>
    <w:p w:rsidR="008826A8" w:rsidRDefault="008826A8" w:rsidP="008826A8">
      <w:pPr>
        <w:spacing w:line="360" w:lineRule="auto"/>
        <w:ind w:firstLine="573"/>
        <w:rPr>
          <w:rFonts w:asciiTheme="minorEastAsia" w:hAnsiTheme="minorEastAsia"/>
          <w:color w:val="000000"/>
          <w:sz w:val="24"/>
          <w:szCs w:val="24"/>
          <w:highlight w:val="yellow"/>
        </w:rPr>
      </w:pPr>
      <w:r>
        <w:rPr>
          <w:rFonts w:asciiTheme="minorEastAsia" w:hAnsiTheme="minorEastAsia" w:hint="eastAsia"/>
          <w:color w:val="000000"/>
          <w:sz w:val="24"/>
          <w:szCs w:val="24"/>
        </w:rPr>
        <w:t>（4）</w:t>
      </w:r>
      <w:r w:rsidRPr="00127B25">
        <w:rPr>
          <w:rFonts w:asciiTheme="minorEastAsia" w:hAnsiTheme="minorEastAsia" w:hint="eastAsia"/>
          <w:color w:val="000000"/>
          <w:sz w:val="24"/>
          <w:szCs w:val="24"/>
        </w:rPr>
        <w:t>同步制定商服用地、住宅用地、工矿仓储用地的标定地价。</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3、更新目的和意义</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土地市场是一个动态市场，而城镇土地级别与基准地价反映的是一定时间的区域土地质量的地域差异和价格标准，时效性是其特点之一，根据《城镇土地分等定级规程》（GB/T 18507-2014）、《城镇土地估价规程》（GB/T 18508-2014）的要求，为了使土地级别与基准地价成果符合客观实际，保持成果的现势性，在土地市场发生变化、城镇基础设施建设进一步完善或影响土地价格的各种因素发生变化后，必须对土地级别和地价进行重新评估，更新土地级别与基准地价成果和宗地地价评估标准。</w:t>
      </w:r>
    </w:p>
    <w:p w:rsidR="008826A8" w:rsidRPr="00127B25" w:rsidRDefault="008826A8" w:rsidP="008826A8">
      <w:pPr>
        <w:spacing w:line="360" w:lineRule="auto"/>
        <w:ind w:firstLine="573"/>
        <w:outlineLvl w:val="3"/>
        <w:rPr>
          <w:rFonts w:asciiTheme="minorEastAsia" w:hAnsiTheme="minorEastAsia"/>
          <w:b/>
          <w:color w:val="000000"/>
          <w:sz w:val="24"/>
          <w:szCs w:val="24"/>
        </w:rPr>
      </w:pPr>
      <w:r>
        <w:rPr>
          <w:rFonts w:asciiTheme="minorEastAsia" w:hAnsiTheme="minorEastAsia" w:hint="eastAsia"/>
          <w:b/>
          <w:color w:val="000000"/>
          <w:sz w:val="24"/>
          <w:szCs w:val="24"/>
        </w:rPr>
        <w:t>4</w:t>
      </w:r>
      <w:r w:rsidRPr="00127B25">
        <w:rPr>
          <w:rFonts w:asciiTheme="minorEastAsia" w:hAnsiTheme="minorEastAsia" w:hint="eastAsia"/>
          <w:b/>
          <w:color w:val="000000"/>
          <w:sz w:val="24"/>
          <w:szCs w:val="24"/>
        </w:rPr>
        <w:t>、更新</w:t>
      </w:r>
      <w:r>
        <w:rPr>
          <w:rFonts w:asciiTheme="minorEastAsia" w:hAnsiTheme="minorEastAsia" w:hint="eastAsia"/>
          <w:b/>
          <w:color w:val="000000"/>
          <w:sz w:val="24"/>
          <w:szCs w:val="24"/>
        </w:rPr>
        <w:t>的原则</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（1）</w:t>
      </w:r>
      <w:r w:rsidRPr="00127B25">
        <w:rPr>
          <w:rFonts w:asciiTheme="minorEastAsia" w:hAnsiTheme="minorEastAsia" w:hint="eastAsia"/>
          <w:color w:val="000000"/>
          <w:sz w:val="24"/>
          <w:szCs w:val="24"/>
        </w:rPr>
        <w:t>综合分析原则</w:t>
      </w:r>
    </w:p>
    <w:p w:rsidR="008826A8" w:rsidRPr="00127B25"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影响土地利用综合效益的因素是多种多样的，因此，土地级别既要能反映土地在经济效益上的差异，也要能反映经济、社会、生态等综合效益的差异。综合分析原则不仅在定级因素选择上可避免片面性，在级别更新中对于更新的目标、更新范围的确定以及对级别发展趋势分布等方面也都必须遵循这一原则。</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（2）</w:t>
      </w:r>
      <w:r w:rsidRPr="00127B25">
        <w:rPr>
          <w:rFonts w:asciiTheme="minorEastAsia" w:hAnsiTheme="minorEastAsia" w:hint="eastAsia"/>
          <w:color w:val="000000"/>
          <w:sz w:val="24"/>
          <w:szCs w:val="24"/>
        </w:rPr>
        <w:t>主导因素原则</w:t>
      </w:r>
    </w:p>
    <w:p w:rsidR="008826A8" w:rsidRPr="00127B25"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主导因素原则与综合分析原则并不矛盾，二者相辅相成。虽然影响土地级别的因素众多，但在定级中应重点分析对土地定级起控制和主导作用的因素，突出主导因素影响，抓住主要矛盾。如在任何城市都是必选的繁华程度和交通条件等因素。否则，会导致因素、因子之间相互抵消而不能反映客观差异。</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（3）</w:t>
      </w:r>
      <w:r w:rsidRPr="00127B25">
        <w:rPr>
          <w:rFonts w:asciiTheme="minorEastAsia" w:hAnsiTheme="minorEastAsia" w:hint="eastAsia"/>
          <w:color w:val="000000"/>
          <w:sz w:val="24"/>
          <w:szCs w:val="24"/>
        </w:rPr>
        <w:t>地域分异原则</w:t>
      </w:r>
    </w:p>
    <w:p w:rsidR="008826A8" w:rsidRPr="00127B25"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土地的地域差异规律是土地的自然和社会经济各要素不同组合的结果，它反映了地域间土地生产力或利用效益上的差别。城区内部的地域差异也明显存在，如建成区与城乡结合部；商服区、住宅（办公）区、工业（仓储）区的地域分异等。地域差异明显存在但又不是一成不变的，在土地定级中应掌握土地区位条件</w:t>
      </w:r>
      <w:r w:rsidRPr="00127B25">
        <w:rPr>
          <w:rFonts w:asciiTheme="minorEastAsia" w:hAnsiTheme="minorEastAsia" w:hint="eastAsia"/>
          <w:color w:val="000000"/>
          <w:sz w:val="24"/>
          <w:szCs w:val="24"/>
        </w:rPr>
        <w:lastRenderedPageBreak/>
        <w:t>和特性的分布与组合规律，并分析各个由于区位条件不同形成的地域分异状况，将均质地域划归同一土地级别。</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（4）</w:t>
      </w:r>
      <w:r w:rsidRPr="00127B25">
        <w:rPr>
          <w:rFonts w:asciiTheme="minorEastAsia" w:hAnsiTheme="minorEastAsia" w:hint="eastAsia"/>
          <w:color w:val="000000"/>
          <w:sz w:val="24"/>
          <w:szCs w:val="24"/>
        </w:rPr>
        <w:t>级价结合原则</w:t>
      </w:r>
    </w:p>
    <w:p w:rsidR="008826A8" w:rsidRPr="00127B25"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土地定级已不是一个单独的工作过程，它和估价的关系紧密相连。随着土地市场的发展，交易案例的增多，土地定级可以根据土地市场资料，以地价的差异确定土地的级别。实践证明，这是一种提高土地定级科学性、合理性的有效途径。</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（5）</w:t>
      </w:r>
      <w:r w:rsidRPr="00127B25">
        <w:rPr>
          <w:rFonts w:asciiTheme="minorEastAsia" w:hAnsiTheme="minorEastAsia" w:hint="eastAsia"/>
          <w:color w:val="000000"/>
          <w:sz w:val="24"/>
          <w:szCs w:val="24"/>
        </w:rPr>
        <w:t>因地制宜原则</w:t>
      </w:r>
    </w:p>
    <w:p w:rsidR="008826A8" w:rsidRPr="00127B25"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土地定级既要遵循国家规定的技术程序和作业规范，又要结合评价区的实际情况，以确保土地定级成果的客观性和实用性。</w:t>
      </w:r>
    </w:p>
    <w:p w:rsidR="008826A8" w:rsidRPr="00127B25"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（6）</w:t>
      </w:r>
      <w:r w:rsidRPr="00127B25">
        <w:rPr>
          <w:rFonts w:asciiTheme="minorEastAsia" w:hAnsiTheme="minorEastAsia" w:hint="eastAsia"/>
          <w:color w:val="000000"/>
          <w:sz w:val="24"/>
          <w:szCs w:val="24"/>
        </w:rPr>
        <w:t>规划影响原则</w:t>
      </w:r>
    </w:p>
    <w:p w:rsidR="008826A8"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城镇规划发展方向及一些规划要素，在一定程度上也影响着城区土地级别，因此，定级时，应对现状因素与规划因素进行综合考虑，才能真实反映城区土地质量状况。特别是规划商服中心、工业集聚区、成片的住宅小区，对城区内的商服用地、工矿用地、住宅用地的质量和价格水平都有很大影响。</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5、工作依据</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）《中华人民共和国土地管理法》；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（2）《中华人民共和国城市房地产管理法》；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（3）《中华人民共和国资产评估法》；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（4）《城镇土地分等定级规程》(GB/T18507-2014)；</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（5）《城镇土地估价规程》(GB/T18508-2014)；</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（6）《城镇地籍调查规程》(TD1001-1993)；</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（7）《城市地价动态监测技术规范》(TD/T1009-2007)；</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（8）《国务院关于加强土地调控有关问题的通知》(国发[2006]31号)；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（9）《关于发布实施&lt;全国工业用地出让最低价标准&gt;的通知》(国土资发[2006]307号)；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0）《土地利用现状分类标准》(国标GB/T21010-2017)；</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1）国土资源部《关于调整工业用地出让最低价标准实施政策的通知》(国土资发[2009]56号)；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lastRenderedPageBreak/>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2）《国土资源部关于加强房地产用地供应和监管有关问题的通知》(国土资发[2010]34号)；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3）《国土资源听证规定》(国土资源部第22号令，2003年12月30日国土资源部第12次部务会议通过)；</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4）《国土资源部关于整顿和规范土地市场秩序的通知》(国土资发[2001]174号)；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5）《河南省国土资源厅办公室关于开展城镇土地级别与基准地价更新调整工作的通知》(豫国土资办发[2017]42号)；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6）《河南省国土资源厅办公室关于加强公示地价体系建设和管理工作的通知》(豫国土资办发[2017]62号)；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7）国土资源部办公厅《关于发布国有建设用地使用权出让地价评估技术规范(试行)》的通知》(国土资厅发[2013]20号 )；</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8）《国土资源部办公厅关于加强公示地价体系建设和管理有关问题的通知》(国土资厅发[2017]27号)；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（19）《河南省国土资源厅办公室关于开展城镇土地级别与基准地价更新调整工作的通知》(豫国土资办发[2017]42号)；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（20）《河南省国土资源厅办公室关于加强公示地价体系建设和管理工作的通知》(豫国土资办发[2017)62号)；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（2</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）《河南省国土资源厅办公室关于印发城镇土地级别与基准地价更新调整方案的通知》(豫国土资办发[2017]75号)。</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6、工作底图与成果图数据基础</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工作底图采用“2000国家大地坐标系”、“墨卡托投影”，“1985国家高程基准”。</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7、更新的技术方法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采用多因素综合评价、定量分析与定性分析相结合的方法，揭示城镇土地质量差异，评定土地级别。</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8、更新的技术流程</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（1）城镇土地级别更新调整调查表格准备</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（2）制作工作底图</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lastRenderedPageBreak/>
        <w:t>（3）建立土地级别更新调整因素因子体系</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（4）城镇土地级别更新调整资料的收集与调查</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（5）城镇土地级别更新调整资料的整理与量化</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（6）土地级别更新调整因素、因子作用分值计算</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（7）土地定级单元划分与取值</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（8）城镇土地级别划分和验证确定</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（9）城镇土地级别更新调整成果图件编制</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（10）撰写土地级别更新调整工作报告、技术报告。</w:t>
      </w:r>
    </w:p>
    <w:p w:rsidR="008826A8" w:rsidRPr="00127B25" w:rsidRDefault="003D0DAB" w:rsidP="008826A8">
      <w:pPr>
        <w:spacing w:line="360" w:lineRule="auto"/>
        <w:ind w:firstLine="573"/>
        <w:outlineLvl w:val="3"/>
        <w:rPr>
          <w:rFonts w:asciiTheme="minorEastAsia" w:hAnsiTheme="minorEastAsia"/>
          <w:b/>
          <w:color w:val="000000"/>
          <w:sz w:val="24"/>
          <w:szCs w:val="24"/>
        </w:rPr>
      </w:pPr>
      <w:r>
        <w:rPr>
          <w:rFonts w:asciiTheme="minorEastAsia" w:hAnsiTheme="minorEastAsia" w:hint="eastAsia"/>
          <w:b/>
          <w:color w:val="000000"/>
          <w:sz w:val="24"/>
          <w:szCs w:val="24"/>
        </w:rPr>
        <w:t>9</w:t>
      </w:r>
      <w:r w:rsidR="008826A8" w:rsidRPr="00127B25">
        <w:rPr>
          <w:rFonts w:asciiTheme="minorEastAsia" w:hAnsiTheme="minorEastAsia" w:hint="eastAsia"/>
          <w:b/>
          <w:color w:val="000000"/>
          <w:sz w:val="24"/>
          <w:szCs w:val="24"/>
        </w:rPr>
        <w:t>、基准地价的内涵</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基准地价内涵是：城镇各类建设用地，各土地级别或均质地域，在一定的开发程度、一定的土地容积率、最高出让年限、某一估价基准日的同一土地利用类型完整土地使用权益的区域平均价格。</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（1）土地开发程度</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许昌市土地开发程度为七通一平，即通路、通电、通讯、通上水、通下水、通气、通暖及场地平整。</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（2）土地使用权年限</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各建设用地使用权年限根据《中华人民共和国城市国有土地使用权出让和转让暂行条例》第十二条确定，各类建设用地最高使用权年限如表</w:t>
      </w:r>
      <w:r w:rsidRPr="00873793">
        <w:rPr>
          <w:rFonts w:asciiTheme="minorEastAsia" w:hAnsiTheme="minorEastAsia"/>
          <w:color w:val="000000"/>
          <w:sz w:val="24"/>
          <w:szCs w:val="24"/>
        </w:rPr>
        <w:t>3</w:t>
      </w:r>
      <w:r w:rsidRPr="00873793">
        <w:rPr>
          <w:rFonts w:asciiTheme="minorEastAsia" w:hAnsiTheme="minorEastAsia" w:hint="eastAsia"/>
          <w:color w:val="000000"/>
          <w:sz w:val="24"/>
          <w:szCs w:val="24"/>
        </w:rPr>
        <w:t>所示。</w:t>
      </w:r>
    </w:p>
    <w:p w:rsidR="008826A8" w:rsidRPr="00873793" w:rsidRDefault="008826A8" w:rsidP="008826A8">
      <w:pPr>
        <w:spacing w:line="360" w:lineRule="auto"/>
        <w:jc w:val="center"/>
        <w:rPr>
          <w:rFonts w:asciiTheme="minorEastAsia" w:hAnsiTheme="minorEastAsia"/>
          <w:color w:val="000000"/>
          <w:sz w:val="24"/>
          <w:szCs w:val="24"/>
        </w:rPr>
      </w:pPr>
      <w:r w:rsidRPr="00873793">
        <w:rPr>
          <w:rFonts w:asciiTheme="minorEastAsia" w:hAnsiTheme="minorEastAsia" w:hint="eastAsia"/>
          <w:color w:val="000000"/>
          <w:sz w:val="24"/>
          <w:szCs w:val="24"/>
        </w:rPr>
        <w:t>表</w:t>
      </w:r>
      <w:r w:rsidRPr="00873793">
        <w:rPr>
          <w:rFonts w:asciiTheme="minorEastAsia" w:hAnsiTheme="minorEastAsia"/>
          <w:color w:val="000000"/>
          <w:sz w:val="24"/>
          <w:szCs w:val="24"/>
        </w:rPr>
        <w:t>3</w:t>
      </w:r>
      <w:r w:rsidRPr="00873793">
        <w:rPr>
          <w:rFonts w:asciiTheme="minorEastAsia" w:hAnsiTheme="minorEastAsia" w:hint="eastAsia"/>
          <w:color w:val="000000"/>
          <w:sz w:val="24"/>
          <w:szCs w:val="24"/>
        </w:rPr>
        <w:t xml:space="preserve">  城市国有土地使用权出让年限表</w:t>
      </w:r>
    </w:p>
    <w:tbl>
      <w:tblPr>
        <w:tblW w:w="5000" w:type="pct"/>
        <w:jc w:val="center"/>
        <w:tblLook w:val="04A0"/>
      </w:tblPr>
      <w:tblGrid>
        <w:gridCol w:w="4711"/>
        <w:gridCol w:w="1084"/>
        <w:gridCol w:w="1519"/>
        <w:gridCol w:w="1208"/>
      </w:tblGrid>
      <w:tr w:rsidR="008826A8" w:rsidRPr="00127B25" w:rsidTr="00FE767A">
        <w:trPr>
          <w:trHeight w:val="454"/>
          <w:jc w:val="center"/>
        </w:trPr>
        <w:tc>
          <w:tcPr>
            <w:tcW w:w="2764" w:type="pct"/>
            <w:tcBorders>
              <w:top w:val="single" w:sz="4" w:space="0" w:color="auto"/>
              <w:left w:val="single" w:sz="4" w:space="0" w:color="auto"/>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用地类型</w:t>
            </w:r>
          </w:p>
        </w:tc>
        <w:tc>
          <w:tcPr>
            <w:tcW w:w="636" w:type="pct"/>
            <w:tcBorders>
              <w:top w:val="single" w:sz="4" w:space="0" w:color="auto"/>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出让年限</w:t>
            </w:r>
          </w:p>
        </w:tc>
        <w:tc>
          <w:tcPr>
            <w:tcW w:w="891" w:type="pct"/>
            <w:tcBorders>
              <w:top w:val="single" w:sz="4" w:space="0" w:color="auto"/>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用地类型</w:t>
            </w:r>
          </w:p>
        </w:tc>
        <w:tc>
          <w:tcPr>
            <w:tcW w:w="709" w:type="pct"/>
            <w:tcBorders>
              <w:top w:val="single" w:sz="4" w:space="0" w:color="auto"/>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出让年限</w:t>
            </w:r>
          </w:p>
        </w:tc>
      </w:tr>
      <w:tr w:rsidR="008826A8" w:rsidRPr="00127B25" w:rsidTr="00FE767A">
        <w:trPr>
          <w:trHeight w:val="454"/>
          <w:jc w:val="center"/>
        </w:trPr>
        <w:tc>
          <w:tcPr>
            <w:tcW w:w="2764" w:type="pct"/>
            <w:tcBorders>
              <w:top w:val="nil"/>
              <w:left w:val="single" w:sz="4" w:space="0" w:color="auto"/>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商服用地</w:t>
            </w:r>
          </w:p>
        </w:tc>
        <w:tc>
          <w:tcPr>
            <w:tcW w:w="636"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40</w:t>
            </w:r>
            <w:r w:rsidRPr="00127B25">
              <w:rPr>
                <w:rFonts w:asciiTheme="minorEastAsia" w:hAnsiTheme="minorEastAsia" w:hint="eastAsia"/>
                <w:szCs w:val="21"/>
              </w:rPr>
              <w:t>年</w:t>
            </w:r>
          </w:p>
        </w:tc>
        <w:tc>
          <w:tcPr>
            <w:tcW w:w="891"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住宅用地</w:t>
            </w:r>
          </w:p>
        </w:tc>
        <w:tc>
          <w:tcPr>
            <w:tcW w:w="709"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70</w:t>
            </w:r>
            <w:r w:rsidRPr="00127B25">
              <w:rPr>
                <w:rFonts w:asciiTheme="minorEastAsia" w:hAnsiTheme="minorEastAsia" w:hint="eastAsia"/>
                <w:szCs w:val="21"/>
              </w:rPr>
              <w:t>年</w:t>
            </w:r>
          </w:p>
        </w:tc>
      </w:tr>
      <w:tr w:rsidR="008826A8" w:rsidRPr="00127B25" w:rsidTr="00FE767A">
        <w:trPr>
          <w:trHeight w:val="454"/>
          <w:jc w:val="center"/>
        </w:trPr>
        <w:tc>
          <w:tcPr>
            <w:tcW w:w="2764" w:type="pct"/>
            <w:tcBorders>
              <w:top w:val="nil"/>
              <w:left w:val="single" w:sz="4" w:space="0" w:color="auto"/>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公共管理与公共服务用地（旅游、娱乐用地）</w:t>
            </w:r>
          </w:p>
        </w:tc>
        <w:tc>
          <w:tcPr>
            <w:tcW w:w="636"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40</w:t>
            </w:r>
            <w:r w:rsidRPr="00127B25">
              <w:rPr>
                <w:rFonts w:asciiTheme="minorEastAsia" w:hAnsiTheme="minorEastAsia" w:hint="eastAsia"/>
                <w:szCs w:val="21"/>
              </w:rPr>
              <w:t>年</w:t>
            </w:r>
          </w:p>
        </w:tc>
        <w:tc>
          <w:tcPr>
            <w:tcW w:w="891"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工矿仓储用地</w:t>
            </w:r>
          </w:p>
        </w:tc>
        <w:tc>
          <w:tcPr>
            <w:tcW w:w="709"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50</w:t>
            </w:r>
            <w:r w:rsidRPr="00127B25">
              <w:rPr>
                <w:rFonts w:asciiTheme="minorEastAsia" w:hAnsiTheme="minorEastAsia" w:hint="eastAsia"/>
                <w:szCs w:val="21"/>
              </w:rPr>
              <w:t>年</w:t>
            </w:r>
          </w:p>
        </w:tc>
      </w:tr>
      <w:tr w:rsidR="008826A8" w:rsidRPr="00127B25" w:rsidTr="00FE767A">
        <w:trPr>
          <w:trHeight w:val="454"/>
          <w:jc w:val="center"/>
        </w:trPr>
        <w:tc>
          <w:tcPr>
            <w:tcW w:w="2764" w:type="pct"/>
            <w:tcBorders>
              <w:top w:val="nil"/>
              <w:left w:val="single" w:sz="4" w:space="0" w:color="auto"/>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公共管理与公共服务用地（不含旅游、娱乐用地）</w:t>
            </w:r>
          </w:p>
        </w:tc>
        <w:tc>
          <w:tcPr>
            <w:tcW w:w="636"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50</w:t>
            </w:r>
            <w:r w:rsidRPr="00127B25">
              <w:rPr>
                <w:rFonts w:asciiTheme="minorEastAsia" w:hAnsiTheme="minorEastAsia" w:hint="eastAsia"/>
                <w:szCs w:val="21"/>
              </w:rPr>
              <w:t>年</w:t>
            </w:r>
          </w:p>
        </w:tc>
        <w:tc>
          <w:tcPr>
            <w:tcW w:w="891"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交通运输用地</w:t>
            </w:r>
          </w:p>
        </w:tc>
        <w:tc>
          <w:tcPr>
            <w:tcW w:w="709"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50</w:t>
            </w:r>
            <w:r w:rsidRPr="00127B25">
              <w:rPr>
                <w:rFonts w:asciiTheme="minorEastAsia" w:hAnsiTheme="minorEastAsia" w:hint="eastAsia"/>
                <w:szCs w:val="21"/>
              </w:rPr>
              <w:t>年</w:t>
            </w:r>
          </w:p>
        </w:tc>
      </w:tr>
      <w:tr w:rsidR="008826A8" w:rsidRPr="00127B25" w:rsidTr="00FE767A">
        <w:trPr>
          <w:trHeight w:val="454"/>
          <w:jc w:val="center"/>
        </w:trPr>
        <w:tc>
          <w:tcPr>
            <w:tcW w:w="2764" w:type="pct"/>
            <w:tcBorders>
              <w:top w:val="nil"/>
              <w:left w:val="single" w:sz="4" w:space="0" w:color="auto"/>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水利设施用地</w:t>
            </w:r>
          </w:p>
        </w:tc>
        <w:tc>
          <w:tcPr>
            <w:tcW w:w="636" w:type="pct"/>
            <w:tcBorders>
              <w:top w:val="nil"/>
              <w:left w:val="nil"/>
              <w:bottom w:val="single" w:sz="4" w:space="0" w:color="auto"/>
              <w:right w:val="single" w:sz="4" w:space="0" w:color="auto"/>
            </w:tcBorders>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50</w:t>
            </w:r>
            <w:r w:rsidRPr="00127B25">
              <w:rPr>
                <w:rFonts w:asciiTheme="minorEastAsia" w:hAnsiTheme="minorEastAsia" w:hint="eastAsia"/>
                <w:szCs w:val="21"/>
              </w:rPr>
              <w:t>年</w:t>
            </w:r>
          </w:p>
        </w:tc>
        <w:tc>
          <w:tcPr>
            <w:tcW w:w="891" w:type="pct"/>
            <w:tcBorders>
              <w:top w:val="nil"/>
              <w:left w:val="nil"/>
              <w:bottom w:val="single" w:sz="4" w:space="0" w:color="auto"/>
              <w:right w:val="single" w:sz="4" w:space="0" w:color="auto"/>
            </w:tcBorders>
            <w:noWrap/>
            <w:vAlign w:val="center"/>
          </w:tcPr>
          <w:p w:rsidR="008826A8" w:rsidRPr="00127B25" w:rsidRDefault="008826A8" w:rsidP="00FE767A">
            <w:pPr>
              <w:adjustRightInd w:val="0"/>
              <w:jc w:val="left"/>
              <w:rPr>
                <w:rFonts w:asciiTheme="minorEastAsia" w:hAnsiTheme="minorEastAsia"/>
                <w:szCs w:val="21"/>
              </w:rPr>
            </w:pPr>
            <w:r w:rsidRPr="00127B25">
              <w:rPr>
                <w:rFonts w:asciiTheme="minorEastAsia" w:hAnsiTheme="minorEastAsia" w:hint="eastAsia"/>
                <w:szCs w:val="21"/>
              </w:rPr>
              <w:t xml:space="preserve">　特殊用地</w:t>
            </w:r>
          </w:p>
        </w:tc>
        <w:tc>
          <w:tcPr>
            <w:tcW w:w="709" w:type="pct"/>
            <w:tcBorders>
              <w:top w:val="nil"/>
              <w:left w:val="nil"/>
              <w:bottom w:val="single" w:sz="4" w:space="0" w:color="auto"/>
              <w:right w:val="single" w:sz="4" w:space="0" w:color="auto"/>
            </w:tcBorders>
            <w:noWrap/>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szCs w:val="21"/>
              </w:rPr>
              <w:t>50</w:t>
            </w:r>
            <w:r w:rsidRPr="00127B25">
              <w:rPr>
                <w:rFonts w:asciiTheme="minorEastAsia" w:hAnsiTheme="minorEastAsia" w:hint="eastAsia"/>
                <w:szCs w:val="21"/>
              </w:rPr>
              <w:t>年</w:t>
            </w:r>
          </w:p>
        </w:tc>
      </w:tr>
    </w:tbl>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（3）基准地价估价基准日</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基准地价和标定地价的估价基准日一致，估价基准日为</w:t>
      </w:r>
      <w:r w:rsidRPr="00873793">
        <w:rPr>
          <w:rFonts w:asciiTheme="minorEastAsia" w:hAnsiTheme="minorEastAsia"/>
          <w:color w:val="000000"/>
          <w:sz w:val="24"/>
          <w:szCs w:val="24"/>
        </w:rPr>
        <w:t>201</w:t>
      </w:r>
      <w:r w:rsidRPr="00873793">
        <w:rPr>
          <w:rFonts w:asciiTheme="minorEastAsia" w:hAnsiTheme="minorEastAsia" w:hint="eastAsia"/>
          <w:color w:val="000000"/>
          <w:sz w:val="24"/>
          <w:szCs w:val="24"/>
        </w:rPr>
        <w:t>8年</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月</w:t>
      </w:r>
      <w:r w:rsidRPr="00873793">
        <w:rPr>
          <w:rFonts w:asciiTheme="minorEastAsia" w:hAnsiTheme="minorEastAsia"/>
          <w:color w:val="000000"/>
          <w:sz w:val="24"/>
          <w:szCs w:val="24"/>
        </w:rPr>
        <w:t>1</w:t>
      </w:r>
      <w:r w:rsidRPr="00873793">
        <w:rPr>
          <w:rFonts w:asciiTheme="minorEastAsia" w:hAnsiTheme="minorEastAsia" w:hint="eastAsia"/>
          <w:color w:val="000000"/>
          <w:sz w:val="24"/>
          <w:szCs w:val="24"/>
        </w:rPr>
        <w:t>日。</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（4）土地容积率</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基准地价土地容积率见表4。</w:t>
      </w:r>
    </w:p>
    <w:p w:rsidR="008826A8" w:rsidRPr="00873793" w:rsidRDefault="008826A8" w:rsidP="008826A8">
      <w:pPr>
        <w:spacing w:line="360" w:lineRule="auto"/>
        <w:jc w:val="center"/>
        <w:rPr>
          <w:rFonts w:asciiTheme="minorEastAsia" w:hAnsiTheme="minorEastAsia"/>
          <w:color w:val="000000"/>
          <w:sz w:val="24"/>
          <w:szCs w:val="24"/>
        </w:rPr>
      </w:pPr>
      <w:r w:rsidRPr="00873793">
        <w:rPr>
          <w:rFonts w:asciiTheme="minorEastAsia" w:hAnsiTheme="minorEastAsia" w:hint="eastAsia"/>
          <w:color w:val="000000"/>
          <w:sz w:val="24"/>
          <w:szCs w:val="24"/>
        </w:rPr>
        <w:t>表4  标准容积率表</w:t>
      </w:r>
    </w:p>
    <w:tbl>
      <w:tblPr>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1069"/>
        <w:gridCol w:w="1275"/>
        <w:gridCol w:w="1134"/>
        <w:gridCol w:w="1962"/>
        <w:gridCol w:w="1684"/>
      </w:tblGrid>
      <w:tr w:rsidR="008826A8" w:rsidRPr="00127B25" w:rsidTr="00FE767A">
        <w:trPr>
          <w:trHeight w:val="454"/>
          <w:jc w:val="center"/>
        </w:trPr>
        <w:tc>
          <w:tcPr>
            <w:tcW w:w="570" w:type="pct"/>
            <w:vMerge w:val="restar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lastRenderedPageBreak/>
              <w:t>区域</w:t>
            </w:r>
          </w:p>
        </w:tc>
        <w:tc>
          <w:tcPr>
            <w:tcW w:w="3383" w:type="pct"/>
            <w:gridSpan w:val="4"/>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平均容积率</w:t>
            </w:r>
          </w:p>
        </w:tc>
        <w:tc>
          <w:tcPr>
            <w:tcW w:w="1048" w:type="pct"/>
            <w:vMerge w:val="restar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浮动区间</w:t>
            </w:r>
          </w:p>
        </w:tc>
      </w:tr>
      <w:tr w:rsidR="008826A8" w:rsidRPr="00127B25" w:rsidTr="00FE767A">
        <w:trPr>
          <w:trHeight w:val="454"/>
          <w:jc w:val="center"/>
        </w:trPr>
        <w:tc>
          <w:tcPr>
            <w:tcW w:w="570" w:type="pct"/>
            <w:vMerge/>
            <w:vAlign w:val="center"/>
          </w:tcPr>
          <w:p w:rsidR="008826A8" w:rsidRPr="00127B25" w:rsidRDefault="008826A8" w:rsidP="00FE767A">
            <w:pPr>
              <w:adjustRightInd w:val="0"/>
              <w:jc w:val="center"/>
              <w:rPr>
                <w:rFonts w:asciiTheme="minorEastAsia" w:hAnsiTheme="minorEastAsia"/>
                <w:szCs w:val="21"/>
              </w:rPr>
            </w:pPr>
          </w:p>
        </w:tc>
        <w:tc>
          <w:tcPr>
            <w:tcW w:w="665"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商服用地</w:t>
            </w:r>
          </w:p>
        </w:tc>
        <w:tc>
          <w:tcPr>
            <w:tcW w:w="793"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住宅用地</w:t>
            </w:r>
          </w:p>
        </w:tc>
        <w:tc>
          <w:tcPr>
            <w:tcW w:w="705"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工矿仓储用地</w:t>
            </w:r>
          </w:p>
        </w:tc>
        <w:tc>
          <w:tcPr>
            <w:tcW w:w="1220"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公共管理与公共服务用地</w:t>
            </w:r>
          </w:p>
        </w:tc>
        <w:tc>
          <w:tcPr>
            <w:tcW w:w="1048" w:type="pct"/>
            <w:vMerge/>
            <w:vAlign w:val="center"/>
          </w:tcPr>
          <w:p w:rsidR="008826A8" w:rsidRPr="00127B25" w:rsidRDefault="008826A8" w:rsidP="00FE767A">
            <w:pPr>
              <w:adjustRightInd w:val="0"/>
              <w:jc w:val="center"/>
              <w:rPr>
                <w:rFonts w:asciiTheme="minorEastAsia" w:hAnsiTheme="minorEastAsia"/>
                <w:szCs w:val="21"/>
              </w:rPr>
            </w:pPr>
          </w:p>
        </w:tc>
      </w:tr>
      <w:tr w:rsidR="008826A8" w:rsidRPr="00127B25" w:rsidTr="00FE767A">
        <w:trPr>
          <w:trHeight w:val="454"/>
          <w:jc w:val="center"/>
        </w:trPr>
        <w:tc>
          <w:tcPr>
            <w:tcW w:w="570"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许昌市</w:t>
            </w:r>
          </w:p>
        </w:tc>
        <w:tc>
          <w:tcPr>
            <w:tcW w:w="665"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2.0</w:t>
            </w:r>
          </w:p>
        </w:tc>
        <w:tc>
          <w:tcPr>
            <w:tcW w:w="793"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2.5</w:t>
            </w:r>
          </w:p>
        </w:tc>
        <w:tc>
          <w:tcPr>
            <w:tcW w:w="705"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1.0</w:t>
            </w:r>
          </w:p>
        </w:tc>
        <w:tc>
          <w:tcPr>
            <w:tcW w:w="1220"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1.5</w:t>
            </w:r>
          </w:p>
        </w:tc>
        <w:tc>
          <w:tcPr>
            <w:tcW w:w="1048" w:type="pct"/>
            <w:vAlign w:val="center"/>
          </w:tcPr>
          <w:p w:rsidR="008826A8" w:rsidRPr="00127B25" w:rsidRDefault="008826A8" w:rsidP="00FE767A">
            <w:pPr>
              <w:adjustRightInd w:val="0"/>
              <w:jc w:val="center"/>
              <w:rPr>
                <w:rFonts w:asciiTheme="minorEastAsia" w:hAnsiTheme="minorEastAsia"/>
                <w:szCs w:val="21"/>
              </w:rPr>
            </w:pPr>
            <w:r w:rsidRPr="00127B25">
              <w:rPr>
                <w:rFonts w:asciiTheme="minorEastAsia" w:hAnsiTheme="minorEastAsia" w:hint="eastAsia"/>
                <w:szCs w:val="21"/>
              </w:rPr>
              <w:t>[-10%，10%]</w:t>
            </w:r>
          </w:p>
        </w:tc>
      </w:tr>
    </w:tbl>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11、城镇土地估价的原则</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土地估价应遵循预期收益原则、替代原则、最有效利用原则、供需原则、报酬递减原则、贡献原则和变动原则。</w:t>
      </w:r>
    </w:p>
    <w:p w:rsidR="008826A8" w:rsidRPr="00127B25" w:rsidRDefault="008826A8" w:rsidP="008826A8">
      <w:pPr>
        <w:spacing w:line="360" w:lineRule="auto"/>
        <w:ind w:firstLine="573"/>
        <w:outlineLvl w:val="3"/>
        <w:rPr>
          <w:rFonts w:asciiTheme="minorEastAsia" w:hAnsiTheme="minorEastAsia"/>
          <w:b/>
          <w:bCs/>
          <w:sz w:val="24"/>
          <w:szCs w:val="24"/>
        </w:rPr>
      </w:pPr>
      <w:r w:rsidRPr="00127B25">
        <w:rPr>
          <w:rFonts w:asciiTheme="minorEastAsia" w:hAnsiTheme="minorEastAsia" w:hint="eastAsia"/>
          <w:b/>
          <w:color w:val="000000"/>
          <w:sz w:val="24"/>
          <w:szCs w:val="24"/>
        </w:rPr>
        <w:t>12、城镇土地估价的方法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（1）用土地收益资料更新调整基准地价可采用收益还原法。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（2）利用市场交易资料更新调整或评估基准地价。</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（3）用新增城镇建设用地资料评估或更新调整基准地价。</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13、标定地价评估</w:t>
      </w:r>
      <w:r>
        <w:rPr>
          <w:rFonts w:asciiTheme="minorEastAsia" w:hAnsiTheme="minorEastAsia" w:hint="eastAsia"/>
          <w:b/>
          <w:color w:val="000000"/>
          <w:sz w:val="24"/>
          <w:szCs w:val="24"/>
        </w:rPr>
        <w:t>的</w:t>
      </w:r>
      <w:r w:rsidRPr="00127B25">
        <w:rPr>
          <w:rFonts w:asciiTheme="minorEastAsia" w:hAnsiTheme="minorEastAsia" w:hint="eastAsia"/>
          <w:b/>
          <w:color w:val="000000"/>
          <w:sz w:val="24"/>
          <w:szCs w:val="24"/>
        </w:rPr>
        <w:t>方法</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城镇各类建设用地，各土地级别或均质地域，分别选定3～5宗有代表性的宗地作为该区域该类型用地的标准宗地，并按如下方法进行评估。</w:t>
      </w:r>
    </w:p>
    <w:p w:rsidR="008826A8" w:rsidRPr="00127B25" w:rsidRDefault="008826A8" w:rsidP="008826A8">
      <w:pPr>
        <w:spacing w:line="360" w:lineRule="auto"/>
        <w:ind w:firstLine="573"/>
        <w:outlineLvl w:val="3"/>
        <w:rPr>
          <w:rFonts w:asciiTheme="minorEastAsia" w:hAnsiTheme="minorEastAsia"/>
          <w:b/>
          <w:color w:val="000000"/>
          <w:sz w:val="24"/>
          <w:szCs w:val="24"/>
        </w:rPr>
      </w:pPr>
      <w:r w:rsidRPr="00127B25">
        <w:rPr>
          <w:rFonts w:asciiTheme="minorEastAsia" w:hAnsiTheme="minorEastAsia" w:hint="eastAsia"/>
          <w:b/>
          <w:color w:val="000000"/>
          <w:sz w:val="24"/>
          <w:szCs w:val="24"/>
        </w:rPr>
        <w:t>14、基准地价更新调整的成果</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（1）文字成果</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①</w:t>
      </w:r>
      <w:r w:rsidRPr="00873793">
        <w:rPr>
          <w:rFonts w:asciiTheme="minorEastAsia" w:hAnsiTheme="minorEastAsia" w:hint="eastAsia"/>
          <w:color w:val="000000"/>
          <w:sz w:val="24"/>
          <w:szCs w:val="24"/>
        </w:rPr>
        <w:t>城镇土地级别与基准地价更新调整工作报告及技术报告；</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②</w:t>
      </w:r>
      <w:r w:rsidRPr="00873793">
        <w:rPr>
          <w:rFonts w:asciiTheme="minorEastAsia" w:hAnsiTheme="minorEastAsia" w:hint="eastAsia"/>
          <w:color w:val="000000"/>
          <w:sz w:val="24"/>
          <w:szCs w:val="24"/>
        </w:rPr>
        <w:t>各类基准地价修正系数及因素指标说明表；</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③</w:t>
      </w:r>
      <w:r w:rsidRPr="00873793">
        <w:rPr>
          <w:rFonts w:asciiTheme="minorEastAsia" w:hAnsiTheme="minorEastAsia" w:hint="eastAsia"/>
          <w:color w:val="000000"/>
          <w:sz w:val="24"/>
          <w:szCs w:val="24"/>
        </w:rPr>
        <w:t>城镇土地级别与基准地价更新调整平衡报告</w:t>
      </w:r>
      <w:r>
        <w:rPr>
          <w:rFonts w:asciiTheme="minorEastAsia" w:hAnsiTheme="minorEastAsia" w:hint="eastAsia"/>
          <w:color w:val="000000"/>
          <w:sz w:val="24"/>
          <w:szCs w:val="24"/>
        </w:rPr>
        <w:t>（许昌市）</w:t>
      </w:r>
      <w:r w:rsidRPr="00873793">
        <w:rPr>
          <w:rFonts w:asciiTheme="minorEastAsia" w:hAnsiTheme="minorEastAsia" w:hint="eastAsia"/>
          <w:color w:val="000000"/>
          <w:sz w:val="24"/>
          <w:szCs w:val="24"/>
        </w:rPr>
        <w:t>。</w:t>
      </w:r>
    </w:p>
    <w:p w:rsidR="008826A8" w:rsidRDefault="008826A8" w:rsidP="008826A8">
      <w:pPr>
        <w:spacing w:line="360" w:lineRule="auto"/>
        <w:ind w:firstLine="573"/>
        <w:outlineLvl w:val="4"/>
        <w:rPr>
          <w:rFonts w:asciiTheme="minorEastAsia" w:hAnsiTheme="minorEastAsia"/>
          <w:color w:val="000000"/>
          <w:sz w:val="24"/>
          <w:szCs w:val="24"/>
        </w:rPr>
      </w:pPr>
      <w:r>
        <w:rPr>
          <w:rFonts w:asciiTheme="minorEastAsia" w:hAnsiTheme="minorEastAsia" w:hint="eastAsia"/>
          <w:color w:val="000000"/>
          <w:sz w:val="24"/>
          <w:szCs w:val="24"/>
        </w:rPr>
        <w:t>（2）表格成果</w:t>
      </w:r>
    </w:p>
    <w:p w:rsidR="008826A8" w:rsidRPr="00127B25" w:rsidRDefault="008826A8" w:rsidP="008826A8">
      <w:pPr>
        <w:spacing w:line="360" w:lineRule="auto"/>
        <w:ind w:firstLine="573"/>
        <w:outlineLvl w:val="4"/>
        <w:rPr>
          <w:rFonts w:asciiTheme="minorEastAsia" w:hAnsiTheme="minorEastAsia"/>
          <w:color w:val="000000"/>
          <w:sz w:val="24"/>
          <w:szCs w:val="24"/>
        </w:rPr>
      </w:pPr>
      <w:r>
        <w:rPr>
          <w:rFonts w:asciiTheme="minorEastAsia" w:hAnsiTheme="minorEastAsia" w:hint="eastAsia"/>
          <w:color w:val="000000"/>
          <w:sz w:val="24"/>
          <w:szCs w:val="24"/>
        </w:rPr>
        <w:t>①</w:t>
      </w:r>
      <w:r w:rsidRPr="00127B25">
        <w:rPr>
          <w:rFonts w:asciiTheme="minorEastAsia" w:hAnsiTheme="minorEastAsia" w:hint="eastAsia"/>
          <w:color w:val="000000"/>
          <w:sz w:val="24"/>
          <w:szCs w:val="24"/>
        </w:rPr>
        <w:t>各类用地基准地价表;</w:t>
      </w:r>
    </w:p>
    <w:p w:rsidR="008826A8" w:rsidRPr="00127B25" w:rsidRDefault="008826A8" w:rsidP="008826A8">
      <w:pPr>
        <w:spacing w:line="360" w:lineRule="auto"/>
        <w:ind w:firstLine="573"/>
        <w:outlineLvl w:val="4"/>
        <w:rPr>
          <w:rFonts w:asciiTheme="minorEastAsia" w:hAnsiTheme="minorEastAsia"/>
          <w:color w:val="000000"/>
          <w:sz w:val="24"/>
          <w:szCs w:val="24"/>
        </w:rPr>
      </w:pPr>
      <w:r>
        <w:rPr>
          <w:rFonts w:asciiTheme="minorEastAsia" w:hAnsiTheme="minorEastAsia" w:hint="eastAsia"/>
          <w:color w:val="000000"/>
          <w:sz w:val="24"/>
          <w:szCs w:val="24"/>
        </w:rPr>
        <w:t>②</w:t>
      </w:r>
      <w:r w:rsidRPr="00127B25">
        <w:rPr>
          <w:rFonts w:asciiTheme="minorEastAsia" w:hAnsiTheme="minorEastAsia" w:hint="eastAsia"/>
          <w:color w:val="000000"/>
          <w:sz w:val="24"/>
          <w:szCs w:val="24"/>
        </w:rPr>
        <w:t>各类用地基准地价修正系数及因素指标说明表;</w:t>
      </w:r>
    </w:p>
    <w:p w:rsidR="008826A8" w:rsidRPr="00127B25" w:rsidRDefault="008826A8" w:rsidP="008826A8">
      <w:pPr>
        <w:spacing w:line="360" w:lineRule="auto"/>
        <w:ind w:firstLine="573"/>
        <w:outlineLvl w:val="4"/>
        <w:rPr>
          <w:rFonts w:asciiTheme="minorEastAsia" w:hAnsiTheme="minorEastAsia"/>
          <w:color w:val="000000"/>
          <w:sz w:val="24"/>
          <w:szCs w:val="24"/>
        </w:rPr>
      </w:pPr>
      <w:r>
        <w:rPr>
          <w:rFonts w:asciiTheme="minorEastAsia" w:hAnsiTheme="minorEastAsia" w:hint="eastAsia"/>
          <w:color w:val="000000"/>
          <w:sz w:val="24"/>
          <w:szCs w:val="24"/>
        </w:rPr>
        <w:t>③</w:t>
      </w:r>
      <w:r w:rsidRPr="00127B25">
        <w:rPr>
          <w:rFonts w:asciiTheme="minorEastAsia" w:hAnsiTheme="minorEastAsia" w:hint="eastAsia"/>
          <w:color w:val="000000"/>
          <w:sz w:val="24"/>
          <w:szCs w:val="24"/>
        </w:rPr>
        <w:t>商服用地、住宅用地容积率修正系数表;</w:t>
      </w:r>
    </w:p>
    <w:p w:rsidR="008826A8" w:rsidRDefault="008826A8" w:rsidP="008826A8">
      <w:pPr>
        <w:spacing w:line="360" w:lineRule="auto"/>
        <w:ind w:firstLine="573"/>
        <w:outlineLvl w:val="4"/>
        <w:rPr>
          <w:rFonts w:asciiTheme="minorEastAsia" w:hAnsiTheme="minorEastAsia"/>
          <w:color w:val="000000"/>
          <w:sz w:val="24"/>
          <w:szCs w:val="24"/>
        </w:rPr>
      </w:pPr>
      <w:r>
        <w:rPr>
          <w:rFonts w:asciiTheme="minorEastAsia" w:hAnsiTheme="minorEastAsia" w:hint="eastAsia"/>
          <w:color w:val="000000"/>
          <w:sz w:val="24"/>
          <w:szCs w:val="24"/>
        </w:rPr>
        <w:t>④</w:t>
      </w:r>
      <w:r w:rsidRPr="00127B25">
        <w:rPr>
          <w:rFonts w:asciiTheme="minorEastAsia" w:hAnsiTheme="minorEastAsia" w:hint="eastAsia"/>
          <w:color w:val="000000"/>
          <w:sz w:val="24"/>
          <w:szCs w:val="24"/>
        </w:rPr>
        <w:t>开发程度修正系数表。</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t>（</w:t>
      </w:r>
      <w:r>
        <w:rPr>
          <w:rFonts w:asciiTheme="minorEastAsia" w:hAnsiTheme="minorEastAsia" w:hint="eastAsia"/>
          <w:color w:val="000000"/>
          <w:sz w:val="24"/>
          <w:szCs w:val="24"/>
        </w:rPr>
        <w:t>3</w:t>
      </w:r>
      <w:r w:rsidRPr="00873793">
        <w:rPr>
          <w:rFonts w:asciiTheme="minorEastAsia" w:hAnsiTheme="minorEastAsia" w:hint="eastAsia"/>
          <w:color w:val="000000"/>
          <w:sz w:val="24"/>
          <w:szCs w:val="24"/>
        </w:rPr>
        <w:t>）图件成果</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①</w:t>
      </w:r>
      <w:r w:rsidRPr="00873793">
        <w:rPr>
          <w:rFonts w:asciiTheme="minorEastAsia" w:hAnsiTheme="minorEastAsia" w:hint="eastAsia"/>
          <w:color w:val="000000"/>
          <w:sz w:val="24"/>
          <w:szCs w:val="24"/>
        </w:rPr>
        <w:t>城镇各类土地级别与基准地价图；</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②</w:t>
      </w:r>
      <w:r w:rsidRPr="00873793">
        <w:rPr>
          <w:rFonts w:asciiTheme="minorEastAsia" w:hAnsiTheme="minorEastAsia" w:hint="eastAsia"/>
          <w:color w:val="000000"/>
          <w:sz w:val="24"/>
          <w:szCs w:val="24"/>
        </w:rPr>
        <w:t>城镇主要商业街道路线价图；</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③</w:t>
      </w:r>
      <w:r w:rsidRPr="00873793">
        <w:rPr>
          <w:rFonts w:asciiTheme="minorEastAsia" w:hAnsiTheme="minorEastAsia" w:hint="eastAsia"/>
          <w:color w:val="000000"/>
          <w:sz w:val="24"/>
          <w:szCs w:val="24"/>
        </w:rPr>
        <w:t>城镇各类标准宗地分布图；</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④</w:t>
      </w:r>
      <w:r w:rsidRPr="00873793">
        <w:rPr>
          <w:rFonts w:asciiTheme="minorEastAsia" w:hAnsiTheme="minorEastAsia" w:hint="eastAsia"/>
          <w:color w:val="000000"/>
          <w:sz w:val="24"/>
          <w:szCs w:val="24"/>
        </w:rPr>
        <w:t>城镇各类地价样点分布图；</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⑤</w:t>
      </w:r>
      <w:r w:rsidRPr="00873793">
        <w:rPr>
          <w:rFonts w:asciiTheme="minorEastAsia" w:hAnsiTheme="minorEastAsia" w:hint="eastAsia"/>
          <w:color w:val="000000"/>
          <w:sz w:val="24"/>
          <w:szCs w:val="24"/>
        </w:rPr>
        <w:t>城镇各类定级因素作用分值图、综合作用分值图。</w:t>
      </w:r>
    </w:p>
    <w:p w:rsidR="008826A8" w:rsidRPr="00873793" w:rsidRDefault="008826A8" w:rsidP="008826A8">
      <w:pPr>
        <w:spacing w:line="360" w:lineRule="auto"/>
        <w:ind w:firstLine="573"/>
        <w:outlineLvl w:val="4"/>
        <w:rPr>
          <w:rFonts w:asciiTheme="minorEastAsia" w:hAnsiTheme="minorEastAsia"/>
          <w:color w:val="000000"/>
          <w:sz w:val="24"/>
          <w:szCs w:val="24"/>
        </w:rPr>
      </w:pPr>
      <w:r w:rsidRPr="00873793">
        <w:rPr>
          <w:rFonts w:asciiTheme="minorEastAsia" w:hAnsiTheme="minorEastAsia" w:hint="eastAsia"/>
          <w:color w:val="000000"/>
          <w:sz w:val="24"/>
          <w:szCs w:val="24"/>
        </w:rPr>
        <w:lastRenderedPageBreak/>
        <w:t>（</w:t>
      </w:r>
      <w:r>
        <w:rPr>
          <w:rFonts w:asciiTheme="minorEastAsia" w:hAnsiTheme="minorEastAsia" w:hint="eastAsia"/>
          <w:color w:val="000000"/>
          <w:sz w:val="24"/>
          <w:szCs w:val="24"/>
        </w:rPr>
        <w:t>4</w:t>
      </w:r>
      <w:r w:rsidRPr="00873793">
        <w:rPr>
          <w:rFonts w:asciiTheme="minorEastAsia" w:hAnsiTheme="minorEastAsia" w:hint="eastAsia"/>
          <w:color w:val="000000"/>
          <w:sz w:val="24"/>
          <w:szCs w:val="24"/>
        </w:rPr>
        <w:t>）电子成果</w:t>
      </w:r>
    </w:p>
    <w:p w:rsidR="008826A8" w:rsidRPr="00127B25" w:rsidRDefault="008826A8" w:rsidP="008826A8">
      <w:pPr>
        <w:spacing w:line="360" w:lineRule="auto"/>
        <w:ind w:firstLine="573"/>
        <w:outlineLvl w:val="2"/>
        <w:rPr>
          <w:rFonts w:asciiTheme="minorEastAsia" w:hAnsiTheme="minorEastAsia"/>
          <w:color w:val="000000"/>
          <w:sz w:val="24"/>
          <w:szCs w:val="24"/>
        </w:rPr>
      </w:pPr>
      <w:bookmarkStart w:id="2" w:name="_Toc515371653"/>
      <w:r>
        <w:rPr>
          <w:rFonts w:asciiTheme="minorEastAsia" w:hAnsiTheme="minorEastAsia" w:hint="eastAsia"/>
          <w:color w:val="000000"/>
          <w:sz w:val="24"/>
          <w:szCs w:val="24"/>
        </w:rPr>
        <w:t>①</w:t>
      </w:r>
      <w:r w:rsidRPr="00127B25">
        <w:rPr>
          <w:rFonts w:asciiTheme="minorEastAsia" w:hAnsiTheme="minorEastAsia" w:hint="eastAsia"/>
          <w:color w:val="000000"/>
          <w:sz w:val="24"/>
          <w:szCs w:val="24"/>
        </w:rPr>
        <w:t>文字成果和图件成果的电子版本。文字成果统一采用Word格式，图件成果采用JEPG格式与MXD格式ArcGIS地图文件。</w:t>
      </w:r>
      <w:bookmarkEnd w:id="2"/>
    </w:p>
    <w:p w:rsidR="008826A8" w:rsidRDefault="008826A8" w:rsidP="008826A8">
      <w:pPr>
        <w:spacing w:line="360" w:lineRule="auto"/>
        <w:ind w:firstLine="573"/>
        <w:outlineLvl w:val="2"/>
        <w:rPr>
          <w:rFonts w:asciiTheme="minorEastAsia" w:hAnsiTheme="minorEastAsia"/>
          <w:color w:val="000000"/>
          <w:sz w:val="24"/>
          <w:szCs w:val="24"/>
        </w:rPr>
      </w:pPr>
      <w:bookmarkStart w:id="3" w:name="_Toc515371654"/>
      <w:r>
        <w:rPr>
          <w:rFonts w:asciiTheme="minorEastAsia" w:hAnsiTheme="minorEastAsia" w:hint="eastAsia"/>
          <w:color w:val="000000"/>
          <w:sz w:val="24"/>
          <w:szCs w:val="24"/>
        </w:rPr>
        <w:t>②</w:t>
      </w:r>
      <w:r w:rsidRPr="00127B25">
        <w:rPr>
          <w:rFonts w:asciiTheme="minorEastAsia" w:hAnsiTheme="minorEastAsia" w:hint="eastAsia"/>
          <w:color w:val="000000"/>
          <w:sz w:val="24"/>
          <w:szCs w:val="24"/>
        </w:rPr>
        <w:t>城镇土地级别与基准地价更新调整数据库。数据库采用ArcGIS平台编制。</w:t>
      </w:r>
      <w:bookmarkEnd w:id="3"/>
    </w:p>
    <w:p w:rsidR="008826A8" w:rsidRPr="00127B25" w:rsidRDefault="008826A8" w:rsidP="008826A8">
      <w:pPr>
        <w:spacing w:line="360" w:lineRule="auto"/>
        <w:ind w:firstLine="573"/>
        <w:outlineLvl w:val="2"/>
        <w:rPr>
          <w:rFonts w:asciiTheme="minorEastAsia" w:hAnsiTheme="minorEastAsia"/>
          <w:b/>
          <w:color w:val="000000"/>
          <w:sz w:val="24"/>
          <w:szCs w:val="24"/>
        </w:rPr>
      </w:pPr>
      <w:bookmarkStart w:id="4" w:name="_Toc515371655"/>
      <w:r w:rsidRPr="00127B25">
        <w:rPr>
          <w:rFonts w:asciiTheme="minorEastAsia" w:hAnsiTheme="minorEastAsia" w:hint="eastAsia"/>
          <w:b/>
          <w:color w:val="000000"/>
          <w:sz w:val="24"/>
          <w:szCs w:val="24"/>
        </w:rPr>
        <w:t>1</w:t>
      </w:r>
      <w:r>
        <w:rPr>
          <w:rFonts w:asciiTheme="minorEastAsia" w:hAnsiTheme="minorEastAsia" w:hint="eastAsia"/>
          <w:b/>
          <w:color w:val="000000"/>
          <w:sz w:val="24"/>
          <w:szCs w:val="24"/>
        </w:rPr>
        <w:t>5</w:t>
      </w:r>
      <w:r w:rsidRPr="00127B25">
        <w:rPr>
          <w:rFonts w:asciiTheme="minorEastAsia" w:hAnsiTheme="minorEastAsia" w:hint="eastAsia"/>
          <w:b/>
          <w:color w:val="000000"/>
          <w:sz w:val="24"/>
          <w:szCs w:val="24"/>
        </w:rPr>
        <w:t>、基准地价修正体系</w:t>
      </w:r>
      <w:bookmarkEnd w:id="4"/>
    </w:p>
    <w:p w:rsidR="008826A8" w:rsidRPr="00873793" w:rsidRDefault="008826A8" w:rsidP="008826A8">
      <w:pPr>
        <w:spacing w:line="360" w:lineRule="auto"/>
        <w:ind w:firstLine="573"/>
        <w:outlineLvl w:val="3"/>
        <w:rPr>
          <w:rFonts w:asciiTheme="minorEastAsia" w:hAnsiTheme="minorEastAsia"/>
          <w:color w:val="000000"/>
          <w:sz w:val="24"/>
          <w:szCs w:val="24"/>
        </w:rPr>
      </w:pPr>
      <w:r>
        <w:rPr>
          <w:rFonts w:asciiTheme="minorEastAsia" w:hAnsiTheme="minorEastAsia" w:hint="eastAsia"/>
          <w:color w:val="000000"/>
          <w:sz w:val="24"/>
          <w:szCs w:val="24"/>
        </w:rPr>
        <w:t>（1）</w:t>
      </w:r>
      <w:r w:rsidRPr="00873793">
        <w:rPr>
          <w:rFonts w:asciiTheme="minorEastAsia" w:hAnsiTheme="minorEastAsia" w:hint="eastAsia"/>
          <w:color w:val="000000"/>
          <w:sz w:val="24"/>
          <w:szCs w:val="24"/>
        </w:rPr>
        <w:t>级别（区域）基准地价修正体系更新调整</w:t>
      </w:r>
    </w:p>
    <w:p w:rsidR="008826A8" w:rsidRPr="00873793" w:rsidRDefault="008826A8" w:rsidP="008826A8">
      <w:pPr>
        <w:spacing w:line="360" w:lineRule="auto"/>
        <w:ind w:firstLine="573"/>
        <w:outlineLvl w:val="3"/>
        <w:rPr>
          <w:rFonts w:asciiTheme="minorEastAsia" w:hAnsiTheme="minorEastAsia"/>
          <w:color w:val="000000"/>
          <w:sz w:val="24"/>
          <w:szCs w:val="24"/>
        </w:rPr>
      </w:pPr>
      <w:r>
        <w:rPr>
          <w:rFonts w:asciiTheme="minorEastAsia" w:hAnsiTheme="minorEastAsia" w:hint="eastAsia"/>
          <w:color w:val="000000"/>
          <w:sz w:val="24"/>
          <w:szCs w:val="24"/>
        </w:rPr>
        <w:t>（2）</w:t>
      </w:r>
      <w:r w:rsidRPr="00873793">
        <w:rPr>
          <w:rFonts w:asciiTheme="minorEastAsia" w:hAnsiTheme="minorEastAsia" w:hint="eastAsia"/>
          <w:color w:val="000000"/>
          <w:sz w:val="24"/>
          <w:szCs w:val="24"/>
        </w:rPr>
        <w:t>路线价及其修正系数（深度指数）表更新调整</w:t>
      </w:r>
    </w:p>
    <w:p w:rsidR="008826A8" w:rsidRPr="00127B25" w:rsidRDefault="008826A8" w:rsidP="008826A8">
      <w:pPr>
        <w:spacing w:line="360" w:lineRule="auto"/>
        <w:ind w:firstLine="573"/>
        <w:outlineLvl w:val="2"/>
        <w:rPr>
          <w:rFonts w:asciiTheme="minorEastAsia" w:hAnsiTheme="minorEastAsia"/>
          <w:b/>
          <w:color w:val="000000"/>
          <w:sz w:val="24"/>
          <w:szCs w:val="24"/>
        </w:rPr>
      </w:pPr>
      <w:bookmarkStart w:id="5" w:name="_Toc515371656"/>
      <w:r w:rsidRPr="00127B25">
        <w:rPr>
          <w:rFonts w:asciiTheme="minorEastAsia" w:hAnsiTheme="minorEastAsia" w:hint="eastAsia"/>
          <w:b/>
          <w:color w:val="000000"/>
          <w:sz w:val="24"/>
          <w:szCs w:val="24"/>
        </w:rPr>
        <w:t>16、城镇土地级别与基准地价更新信息技术建设</w:t>
      </w:r>
      <w:bookmarkEnd w:id="5"/>
    </w:p>
    <w:p w:rsidR="008826A8" w:rsidRPr="00127B25" w:rsidRDefault="008826A8" w:rsidP="008826A8">
      <w:pPr>
        <w:spacing w:line="360" w:lineRule="auto"/>
        <w:ind w:firstLine="573"/>
        <w:outlineLvl w:val="2"/>
        <w:rPr>
          <w:rFonts w:asciiTheme="minorEastAsia" w:hAnsiTheme="minorEastAsia"/>
          <w:b/>
          <w:color w:val="000000"/>
          <w:sz w:val="24"/>
          <w:szCs w:val="24"/>
        </w:rPr>
      </w:pPr>
      <w:bookmarkStart w:id="6" w:name="_Toc515371657"/>
      <w:r w:rsidRPr="00127B25">
        <w:rPr>
          <w:rFonts w:asciiTheme="minorEastAsia" w:hAnsiTheme="minorEastAsia" w:hint="eastAsia"/>
          <w:b/>
          <w:color w:val="000000"/>
          <w:sz w:val="24"/>
          <w:szCs w:val="24"/>
        </w:rPr>
        <w:t>17、更新成果应用</w:t>
      </w:r>
      <w:bookmarkEnd w:id="6"/>
    </w:p>
    <w:p w:rsidR="00C34BE8" w:rsidRPr="00873793" w:rsidRDefault="008826A8" w:rsidP="00C34BE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城镇土地级别与基准地价更新调整成果是在进行大量有关资料调查和科学分析的基础上获得，真实反映了城镇土地价格水平和空间分布规律，具有很强的应用性。</w:t>
      </w:r>
    </w:p>
    <w:p w:rsidR="008826A8" w:rsidRPr="00873793" w:rsidRDefault="008826A8" w:rsidP="008826A8">
      <w:pPr>
        <w:spacing w:line="360" w:lineRule="auto"/>
        <w:ind w:firstLineChars="200" w:firstLine="482"/>
        <w:outlineLvl w:val="1"/>
        <w:rPr>
          <w:rFonts w:asciiTheme="minorEastAsia" w:hAnsiTheme="minorEastAsia"/>
          <w:b/>
          <w:sz w:val="24"/>
          <w:szCs w:val="24"/>
        </w:rPr>
      </w:pPr>
      <w:bookmarkStart w:id="7" w:name="_Toc515371658"/>
      <w:r w:rsidRPr="00873793">
        <w:rPr>
          <w:rFonts w:asciiTheme="minorEastAsia" w:hAnsiTheme="minorEastAsia" w:hint="eastAsia"/>
          <w:b/>
          <w:sz w:val="24"/>
          <w:szCs w:val="24"/>
        </w:rPr>
        <w:t>二、成果适用性分析</w:t>
      </w:r>
      <w:bookmarkEnd w:id="7"/>
    </w:p>
    <w:p w:rsidR="008826A8" w:rsidRPr="00873793" w:rsidRDefault="008826A8" w:rsidP="008826A8">
      <w:pPr>
        <w:spacing w:line="360" w:lineRule="auto"/>
        <w:ind w:firstLine="573"/>
        <w:outlineLvl w:val="3"/>
        <w:rPr>
          <w:rFonts w:asciiTheme="minorEastAsia" w:hAnsiTheme="minorEastAsia"/>
          <w:color w:val="000000"/>
          <w:sz w:val="24"/>
          <w:szCs w:val="24"/>
        </w:rPr>
      </w:pPr>
      <w:r w:rsidRPr="00873793">
        <w:rPr>
          <w:rFonts w:asciiTheme="minorEastAsia" w:hAnsiTheme="minorEastAsia" w:hint="eastAsia"/>
          <w:color w:val="000000"/>
          <w:sz w:val="24"/>
          <w:szCs w:val="24"/>
        </w:rPr>
        <w:t>（一）城镇土地级别成果的适用性：</w:t>
      </w:r>
    </w:p>
    <w:p w:rsidR="008826A8" w:rsidRPr="00873793" w:rsidRDefault="008826A8" w:rsidP="008826A8">
      <w:pPr>
        <w:spacing w:line="360" w:lineRule="auto"/>
        <w:ind w:firstLine="573"/>
        <w:outlineLvl w:val="3"/>
        <w:rPr>
          <w:rFonts w:asciiTheme="minorEastAsia" w:hAnsiTheme="minorEastAsia"/>
          <w:color w:val="000000"/>
          <w:sz w:val="24"/>
          <w:szCs w:val="24"/>
        </w:rPr>
      </w:pPr>
      <w:r w:rsidRPr="00873793">
        <w:rPr>
          <w:rFonts w:asciiTheme="minorEastAsia" w:hAnsiTheme="minorEastAsia" w:hint="eastAsia"/>
          <w:color w:val="000000"/>
          <w:sz w:val="24"/>
          <w:szCs w:val="24"/>
        </w:rPr>
        <w:t>（二）基准地价成果的适用性</w:t>
      </w:r>
    </w:p>
    <w:p w:rsidR="008826A8" w:rsidRPr="00873793" w:rsidRDefault="008826A8" w:rsidP="008826A8">
      <w:pPr>
        <w:spacing w:line="360" w:lineRule="auto"/>
        <w:ind w:firstLineChars="200" w:firstLine="482"/>
        <w:outlineLvl w:val="1"/>
        <w:rPr>
          <w:rFonts w:asciiTheme="minorEastAsia" w:hAnsiTheme="minorEastAsia"/>
          <w:b/>
          <w:sz w:val="24"/>
          <w:szCs w:val="24"/>
        </w:rPr>
      </w:pPr>
      <w:bookmarkStart w:id="8" w:name="_Toc515371659"/>
      <w:r w:rsidRPr="00873793">
        <w:rPr>
          <w:rFonts w:asciiTheme="minorEastAsia" w:hAnsiTheme="minorEastAsia" w:hint="eastAsia"/>
          <w:b/>
          <w:sz w:val="24"/>
          <w:szCs w:val="24"/>
        </w:rPr>
        <w:t>三、</w:t>
      </w:r>
      <w:r>
        <w:rPr>
          <w:rFonts w:asciiTheme="minorEastAsia" w:hAnsiTheme="minorEastAsia" w:hint="eastAsia"/>
          <w:b/>
          <w:sz w:val="24"/>
          <w:szCs w:val="24"/>
        </w:rPr>
        <w:t>技术方案</w:t>
      </w:r>
      <w:r w:rsidRPr="00873793">
        <w:rPr>
          <w:rFonts w:asciiTheme="minorEastAsia" w:hAnsiTheme="minorEastAsia" w:hint="eastAsia"/>
          <w:b/>
          <w:sz w:val="24"/>
          <w:szCs w:val="24"/>
        </w:rPr>
        <w:t>的重点、难点分析及对策</w:t>
      </w:r>
      <w:bookmarkEnd w:id="8"/>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color w:val="000000"/>
          <w:sz w:val="24"/>
          <w:szCs w:val="24"/>
        </w:rPr>
        <w:t>基准地价评估和更新都是以城镇整体为单位进行</w:t>
      </w:r>
      <w:r w:rsidRPr="00873793">
        <w:rPr>
          <w:rFonts w:asciiTheme="minorEastAsia" w:hAnsiTheme="minorEastAsia" w:hint="eastAsia"/>
          <w:color w:val="000000"/>
          <w:sz w:val="24"/>
          <w:szCs w:val="24"/>
        </w:rPr>
        <w:t>，</w:t>
      </w:r>
      <w:r w:rsidRPr="00873793">
        <w:rPr>
          <w:rFonts w:asciiTheme="minorEastAsia" w:hAnsiTheme="minorEastAsia"/>
          <w:color w:val="000000"/>
          <w:sz w:val="24"/>
          <w:szCs w:val="24"/>
        </w:rPr>
        <w:t>一般城镇基准地价需要2-3年更新一次，全国绝大部分的县市和部分乡镇都先后完成或多次完成了基准地价评估和更新工作。</w:t>
      </w:r>
      <w:r w:rsidRPr="00873793">
        <w:rPr>
          <w:rFonts w:asciiTheme="minorEastAsia" w:hAnsiTheme="minorEastAsia" w:hint="eastAsia"/>
          <w:color w:val="000000"/>
          <w:sz w:val="24"/>
          <w:szCs w:val="24"/>
        </w:rPr>
        <w:t>它</w:t>
      </w:r>
      <w:r w:rsidRPr="00873793">
        <w:rPr>
          <w:rFonts w:asciiTheme="minorEastAsia" w:hAnsiTheme="minorEastAsia"/>
          <w:color w:val="000000"/>
          <w:sz w:val="24"/>
          <w:szCs w:val="24"/>
        </w:rPr>
        <w:t>是伴随着城镇土地使用制度改革的深化和土地市场的发展而逐步产生和发展的，到</w:t>
      </w:r>
      <w:r w:rsidRPr="00873793">
        <w:rPr>
          <w:rFonts w:asciiTheme="minorEastAsia" w:hAnsiTheme="minorEastAsia" w:hint="eastAsia"/>
          <w:color w:val="000000"/>
          <w:sz w:val="24"/>
          <w:szCs w:val="24"/>
        </w:rPr>
        <w:t>现今</w:t>
      </w:r>
      <w:r w:rsidRPr="00873793">
        <w:rPr>
          <w:rFonts w:asciiTheme="minorEastAsia" w:hAnsiTheme="minorEastAsia"/>
          <w:color w:val="000000"/>
          <w:sz w:val="24"/>
          <w:szCs w:val="24"/>
        </w:rPr>
        <w:t>为止已经有20多年。</w:t>
      </w:r>
      <w:r w:rsidRPr="00873793">
        <w:rPr>
          <w:rFonts w:asciiTheme="minorEastAsia" w:hAnsiTheme="minorEastAsia" w:hint="eastAsia"/>
          <w:color w:val="000000"/>
          <w:sz w:val="24"/>
          <w:szCs w:val="24"/>
        </w:rPr>
        <w:t>至目前为至，在基准地价更新中仍存在着一些重点及难点问题：</w:t>
      </w:r>
    </w:p>
    <w:p w:rsidR="008826A8" w:rsidRPr="00127B25" w:rsidRDefault="008826A8" w:rsidP="008826A8">
      <w:pPr>
        <w:spacing w:line="360" w:lineRule="auto"/>
        <w:ind w:firstLine="573"/>
        <w:outlineLvl w:val="3"/>
        <w:rPr>
          <w:rFonts w:asciiTheme="minorEastAsia" w:hAnsiTheme="minorEastAsia"/>
          <w:b/>
          <w:color w:val="000000"/>
          <w:sz w:val="24"/>
          <w:szCs w:val="24"/>
        </w:rPr>
      </w:pPr>
      <w:bookmarkStart w:id="9" w:name="_Toc361067620"/>
      <w:bookmarkStart w:id="10" w:name="_Toc363571144"/>
      <w:r w:rsidRPr="00127B25">
        <w:rPr>
          <w:rFonts w:asciiTheme="minorEastAsia" w:hAnsiTheme="minorEastAsia" w:hint="eastAsia"/>
          <w:b/>
          <w:color w:val="000000"/>
          <w:sz w:val="24"/>
          <w:szCs w:val="24"/>
        </w:rPr>
        <w:t>（一）</w:t>
      </w:r>
      <w:r w:rsidRPr="00127B25">
        <w:rPr>
          <w:rFonts w:asciiTheme="minorEastAsia" w:hAnsiTheme="minorEastAsia"/>
          <w:b/>
          <w:color w:val="000000"/>
          <w:sz w:val="24"/>
          <w:szCs w:val="24"/>
        </w:rPr>
        <w:t>更新</w:t>
      </w:r>
      <w:r w:rsidRPr="00127B25">
        <w:rPr>
          <w:rFonts w:asciiTheme="minorEastAsia" w:hAnsiTheme="minorEastAsia" w:hint="eastAsia"/>
          <w:b/>
          <w:color w:val="000000"/>
          <w:sz w:val="24"/>
          <w:szCs w:val="24"/>
        </w:rPr>
        <w:t>中相关技术方法的</w:t>
      </w:r>
      <w:r w:rsidRPr="00127B25">
        <w:rPr>
          <w:rFonts w:asciiTheme="minorEastAsia" w:hAnsiTheme="minorEastAsia"/>
          <w:b/>
          <w:color w:val="000000"/>
          <w:sz w:val="24"/>
          <w:szCs w:val="24"/>
        </w:rPr>
        <w:t>应用</w:t>
      </w:r>
      <w:bookmarkEnd w:id="9"/>
      <w:bookmarkEnd w:id="10"/>
      <w:r w:rsidRPr="00127B25">
        <w:rPr>
          <w:rFonts w:asciiTheme="minorEastAsia" w:hAnsiTheme="minorEastAsia" w:hint="eastAsia"/>
          <w:b/>
          <w:color w:val="000000"/>
          <w:sz w:val="24"/>
          <w:szCs w:val="24"/>
        </w:rPr>
        <w:t>难点</w:t>
      </w:r>
      <w:r>
        <w:rPr>
          <w:rFonts w:asciiTheme="minorEastAsia" w:hAnsiTheme="minorEastAsia" w:hint="eastAsia"/>
          <w:b/>
          <w:color w:val="000000"/>
          <w:sz w:val="24"/>
          <w:szCs w:val="24"/>
        </w:rPr>
        <w:t>分析</w:t>
      </w:r>
    </w:p>
    <w:p w:rsidR="008826A8" w:rsidRPr="00127B25" w:rsidRDefault="008826A8" w:rsidP="008826A8">
      <w:pPr>
        <w:spacing w:line="360" w:lineRule="auto"/>
        <w:ind w:firstLine="573"/>
        <w:outlineLvl w:val="3"/>
        <w:rPr>
          <w:rFonts w:asciiTheme="minorEastAsia" w:hAnsiTheme="minorEastAsia"/>
          <w:b/>
          <w:color w:val="000000"/>
          <w:sz w:val="24"/>
          <w:szCs w:val="24"/>
        </w:rPr>
      </w:pPr>
      <w:bookmarkStart w:id="11" w:name="_Toc361067621"/>
      <w:bookmarkStart w:id="12" w:name="_Toc363571145"/>
      <w:r w:rsidRPr="00127B25">
        <w:rPr>
          <w:rFonts w:asciiTheme="minorEastAsia" w:hAnsiTheme="minorEastAsia" w:hint="eastAsia"/>
          <w:b/>
          <w:color w:val="000000"/>
          <w:sz w:val="24"/>
          <w:szCs w:val="24"/>
        </w:rPr>
        <w:t>（二）</w:t>
      </w:r>
      <w:r w:rsidRPr="00127B25">
        <w:rPr>
          <w:rFonts w:asciiTheme="minorEastAsia" w:hAnsiTheme="minorEastAsia"/>
          <w:b/>
          <w:color w:val="000000"/>
          <w:sz w:val="24"/>
          <w:szCs w:val="24"/>
        </w:rPr>
        <w:t>更新</w:t>
      </w:r>
      <w:r w:rsidRPr="00127B25">
        <w:rPr>
          <w:rFonts w:asciiTheme="minorEastAsia" w:hAnsiTheme="minorEastAsia" w:hint="eastAsia"/>
          <w:b/>
          <w:color w:val="000000"/>
          <w:sz w:val="24"/>
          <w:szCs w:val="24"/>
        </w:rPr>
        <w:t>中</w:t>
      </w:r>
      <w:bookmarkEnd w:id="11"/>
      <w:bookmarkEnd w:id="12"/>
      <w:r w:rsidRPr="00127B25">
        <w:rPr>
          <w:rFonts w:asciiTheme="minorEastAsia" w:hAnsiTheme="minorEastAsia" w:hint="eastAsia"/>
          <w:b/>
          <w:color w:val="000000"/>
          <w:sz w:val="24"/>
          <w:szCs w:val="24"/>
        </w:rPr>
        <w:t>主要参数选取的难点分析</w:t>
      </w:r>
    </w:p>
    <w:p w:rsidR="008826A8" w:rsidRPr="00127B25" w:rsidRDefault="008826A8" w:rsidP="008826A8">
      <w:pPr>
        <w:spacing w:line="360" w:lineRule="auto"/>
        <w:ind w:firstLine="573"/>
        <w:outlineLvl w:val="3"/>
        <w:rPr>
          <w:rFonts w:asciiTheme="minorEastAsia" w:hAnsiTheme="minorEastAsia"/>
          <w:b/>
          <w:color w:val="000000"/>
          <w:sz w:val="24"/>
          <w:szCs w:val="24"/>
        </w:rPr>
      </w:pPr>
      <w:bookmarkStart w:id="13" w:name="_Toc361067622"/>
      <w:bookmarkStart w:id="14" w:name="_Toc363571146"/>
      <w:r w:rsidRPr="00127B25">
        <w:rPr>
          <w:rFonts w:asciiTheme="minorEastAsia" w:hAnsiTheme="minorEastAsia" w:hint="eastAsia"/>
          <w:b/>
          <w:color w:val="000000"/>
          <w:sz w:val="24"/>
          <w:szCs w:val="24"/>
        </w:rPr>
        <w:t>（三）合适的</w:t>
      </w:r>
      <w:r w:rsidRPr="00127B25">
        <w:rPr>
          <w:rFonts w:asciiTheme="minorEastAsia" w:hAnsiTheme="minorEastAsia"/>
          <w:b/>
          <w:color w:val="000000"/>
          <w:sz w:val="24"/>
          <w:szCs w:val="24"/>
        </w:rPr>
        <w:t>更新方法</w:t>
      </w:r>
      <w:r>
        <w:rPr>
          <w:rFonts w:asciiTheme="minorEastAsia" w:hAnsiTheme="minorEastAsia" w:hint="eastAsia"/>
          <w:b/>
          <w:color w:val="000000"/>
          <w:sz w:val="24"/>
          <w:szCs w:val="24"/>
        </w:rPr>
        <w:t>选取方面的难点分析</w:t>
      </w:r>
      <w:bookmarkEnd w:id="13"/>
      <w:bookmarkEnd w:id="14"/>
    </w:p>
    <w:p w:rsidR="008826A8" w:rsidRPr="00873793" w:rsidRDefault="008826A8" w:rsidP="008826A8">
      <w:pPr>
        <w:spacing w:line="360" w:lineRule="auto"/>
        <w:ind w:firstLineChars="200" w:firstLine="482"/>
        <w:outlineLvl w:val="1"/>
        <w:rPr>
          <w:rFonts w:asciiTheme="minorEastAsia" w:hAnsiTheme="minorEastAsia"/>
          <w:b/>
          <w:sz w:val="24"/>
          <w:szCs w:val="24"/>
        </w:rPr>
      </w:pPr>
      <w:bookmarkStart w:id="15" w:name="_Toc515371660"/>
      <w:r w:rsidRPr="00873793">
        <w:rPr>
          <w:rFonts w:asciiTheme="minorEastAsia" w:hAnsiTheme="minorEastAsia" w:hint="eastAsia"/>
          <w:b/>
          <w:sz w:val="24"/>
          <w:szCs w:val="24"/>
        </w:rPr>
        <w:t>四、</w:t>
      </w:r>
      <w:r>
        <w:rPr>
          <w:rFonts w:asciiTheme="minorEastAsia" w:hAnsiTheme="minorEastAsia" w:hint="eastAsia"/>
          <w:b/>
          <w:sz w:val="24"/>
          <w:szCs w:val="24"/>
        </w:rPr>
        <w:t>质量保证承诺和</w:t>
      </w:r>
      <w:r w:rsidRPr="00873793">
        <w:rPr>
          <w:rFonts w:asciiTheme="minorEastAsia" w:hAnsiTheme="minorEastAsia" w:hint="eastAsia"/>
          <w:b/>
          <w:sz w:val="24"/>
          <w:szCs w:val="24"/>
        </w:rPr>
        <w:t>质量保障措施</w:t>
      </w:r>
      <w:bookmarkEnd w:id="15"/>
    </w:p>
    <w:p w:rsidR="008826A8" w:rsidRPr="00127B25" w:rsidRDefault="008826A8" w:rsidP="008826A8">
      <w:pPr>
        <w:spacing w:line="360" w:lineRule="auto"/>
        <w:ind w:firstLine="573"/>
        <w:outlineLvl w:val="2"/>
        <w:rPr>
          <w:rFonts w:asciiTheme="minorEastAsia" w:hAnsiTheme="minorEastAsia"/>
          <w:b/>
          <w:color w:val="000000"/>
          <w:sz w:val="24"/>
          <w:szCs w:val="24"/>
        </w:rPr>
      </w:pPr>
      <w:r w:rsidRPr="00127B25">
        <w:rPr>
          <w:rFonts w:asciiTheme="minorEastAsia" w:hAnsiTheme="minorEastAsia" w:hint="eastAsia"/>
          <w:b/>
          <w:color w:val="000000"/>
          <w:sz w:val="24"/>
          <w:szCs w:val="24"/>
        </w:rPr>
        <w:t>（一）质量保障承诺</w:t>
      </w:r>
    </w:p>
    <w:p w:rsidR="008826A8" w:rsidRDefault="008826A8" w:rsidP="008826A8">
      <w:pPr>
        <w:spacing w:line="360" w:lineRule="auto"/>
        <w:ind w:firstLine="573"/>
        <w:outlineLvl w:val="2"/>
        <w:rPr>
          <w:rFonts w:asciiTheme="minorEastAsia" w:hAnsiTheme="minorEastAsia"/>
          <w:color w:val="000000"/>
          <w:sz w:val="24"/>
          <w:szCs w:val="24"/>
        </w:rPr>
      </w:pPr>
      <w:r>
        <w:rPr>
          <w:rFonts w:asciiTheme="minorEastAsia" w:hAnsiTheme="minorEastAsia" w:hint="eastAsia"/>
          <w:color w:val="000000"/>
          <w:sz w:val="24"/>
          <w:szCs w:val="24"/>
        </w:rPr>
        <w:t>我公司承诺，我公司做出的许昌市市区土地级别与</w:t>
      </w:r>
      <w:r w:rsidRPr="00127B25">
        <w:rPr>
          <w:rFonts w:asciiTheme="minorEastAsia" w:hAnsiTheme="minorEastAsia" w:hint="eastAsia"/>
          <w:color w:val="000000"/>
          <w:sz w:val="24"/>
          <w:szCs w:val="24"/>
        </w:rPr>
        <w:t>基准地价更新成果具有科学性和现势性</w:t>
      </w:r>
      <w:r>
        <w:rPr>
          <w:rFonts w:asciiTheme="minorEastAsia" w:hAnsiTheme="minorEastAsia" w:hint="eastAsia"/>
          <w:color w:val="000000"/>
          <w:sz w:val="24"/>
          <w:szCs w:val="24"/>
        </w:rPr>
        <w:t>，能够</w:t>
      </w:r>
      <w:r w:rsidRPr="00127B25">
        <w:rPr>
          <w:rFonts w:asciiTheme="minorEastAsia" w:hAnsiTheme="minorEastAsia" w:hint="eastAsia"/>
          <w:color w:val="000000"/>
          <w:sz w:val="24"/>
          <w:szCs w:val="24"/>
        </w:rPr>
        <w:t>客观反映不同均质地域的地价水平，</w:t>
      </w:r>
      <w:r>
        <w:rPr>
          <w:rFonts w:asciiTheme="minorEastAsia" w:hAnsiTheme="minorEastAsia" w:hint="eastAsia"/>
          <w:color w:val="000000"/>
          <w:sz w:val="24"/>
          <w:szCs w:val="24"/>
        </w:rPr>
        <w:t>并</w:t>
      </w:r>
      <w:r w:rsidRPr="00127B25">
        <w:rPr>
          <w:rFonts w:asciiTheme="minorEastAsia" w:hAnsiTheme="minorEastAsia" w:hint="eastAsia"/>
          <w:color w:val="000000"/>
          <w:sz w:val="24"/>
          <w:szCs w:val="24"/>
        </w:rPr>
        <w:t>保证一次性通过省厅验收</w:t>
      </w:r>
      <w:r>
        <w:rPr>
          <w:rFonts w:asciiTheme="minorEastAsia" w:hAnsiTheme="minorEastAsia" w:hint="eastAsia"/>
          <w:color w:val="000000"/>
          <w:sz w:val="24"/>
          <w:szCs w:val="24"/>
        </w:rPr>
        <w:t>，达到合格标准。</w:t>
      </w:r>
    </w:p>
    <w:p w:rsidR="008826A8" w:rsidRPr="00127B25" w:rsidRDefault="008826A8" w:rsidP="008826A8">
      <w:pPr>
        <w:spacing w:line="360" w:lineRule="auto"/>
        <w:ind w:firstLine="573"/>
        <w:outlineLvl w:val="2"/>
        <w:rPr>
          <w:rFonts w:asciiTheme="minorEastAsia" w:hAnsiTheme="minorEastAsia"/>
          <w:b/>
          <w:color w:val="000000"/>
          <w:sz w:val="24"/>
          <w:szCs w:val="24"/>
        </w:rPr>
      </w:pPr>
      <w:bookmarkStart w:id="16" w:name="_Toc515371663"/>
      <w:r w:rsidRPr="00127B25">
        <w:rPr>
          <w:rFonts w:asciiTheme="minorEastAsia" w:hAnsiTheme="minorEastAsia" w:hint="eastAsia"/>
          <w:b/>
          <w:color w:val="000000"/>
          <w:sz w:val="24"/>
          <w:szCs w:val="24"/>
        </w:rPr>
        <w:lastRenderedPageBreak/>
        <w:t>（二）质量保障措施</w:t>
      </w:r>
      <w:bookmarkEnd w:id="16"/>
    </w:p>
    <w:p w:rsidR="008826A8" w:rsidRPr="00873793" w:rsidRDefault="008826A8" w:rsidP="008826A8">
      <w:pPr>
        <w:spacing w:line="360" w:lineRule="auto"/>
        <w:ind w:firstLine="573"/>
        <w:outlineLvl w:val="3"/>
        <w:rPr>
          <w:rFonts w:asciiTheme="minorEastAsia" w:hAnsiTheme="minorEastAsia"/>
          <w:color w:val="000000"/>
          <w:sz w:val="24"/>
          <w:szCs w:val="24"/>
        </w:rPr>
      </w:pPr>
      <w:r w:rsidRPr="00873793">
        <w:rPr>
          <w:rFonts w:asciiTheme="minorEastAsia" w:hAnsiTheme="minorEastAsia" w:hint="eastAsia"/>
          <w:color w:val="000000"/>
          <w:sz w:val="24"/>
          <w:szCs w:val="24"/>
        </w:rPr>
        <w:t>1、明确工作内容，编制合理的进度控制计划</w:t>
      </w:r>
    </w:p>
    <w:p w:rsidR="008826A8" w:rsidRPr="00873793" w:rsidRDefault="008826A8" w:rsidP="008826A8">
      <w:pPr>
        <w:spacing w:line="360" w:lineRule="auto"/>
        <w:ind w:firstLine="573"/>
        <w:outlineLvl w:val="4"/>
        <w:rPr>
          <w:rFonts w:asciiTheme="minorEastAsia" w:hAnsiTheme="minorEastAsia"/>
          <w:sz w:val="24"/>
          <w:szCs w:val="24"/>
        </w:rPr>
      </w:pPr>
      <w:bookmarkStart w:id="17" w:name="_Toc339263936"/>
      <w:bookmarkStart w:id="18" w:name="_Toc346722531"/>
      <w:bookmarkStart w:id="19" w:name="_Toc346789151"/>
      <w:bookmarkStart w:id="20" w:name="_Toc346792480"/>
      <w:bookmarkStart w:id="21" w:name="_Toc347242684"/>
      <w:bookmarkStart w:id="22" w:name="_Toc347242998"/>
      <w:bookmarkStart w:id="23" w:name="_Toc347411932"/>
      <w:bookmarkStart w:id="24" w:name="_Toc357584109"/>
      <w:r w:rsidRPr="00873793">
        <w:rPr>
          <w:rFonts w:asciiTheme="minorEastAsia" w:hAnsiTheme="minorEastAsia" w:hint="eastAsia"/>
          <w:color w:val="000000"/>
          <w:sz w:val="24"/>
          <w:szCs w:val="24"/>
        </w:rPr>
        <w:t>（1）工作内容</w:t>
      </w:r>
    </w:p>
    <w:p w:rsidR="008826A8" w:rsidRPr="00873793" w:rsidRDefault="008826A8" w:rsidP="008826A8">
      <w:pPr>
        <w:spacing w:line="360" w:lineRule="auto"/>
        <w:ind w:firstLine="573"/>
        <w:rPr>
          <w:rFonts w:asciiTheme="minorEastAsia" w:hAnsiTheme="minorEastAsia"/>
          <w:sz w:val="24"/>
          <w:szCs w:val="24"/>
        </w:rPr>
      </w:pPr>
      <w:bookmarkStart w:id="25" w:name="_Toc346789152"/>
      <w:bookmarkStart w:id="26" w:name="_Toc346792481"/>
      <w:bookmarkStart w:id="27" w:name="_Toc347242685"/>
      <w:bookmarkStart w:id="28" w:name="_Toc347242999"/>
      <w:bookmarkEnd w:id="17"/>
      <w:bookmarkEnd w:id="18"/>
      <w:bookmarkEnd w:id="19"/>
      <w:bookmarkEnd w:id="20"/>
      <w:bookmarkEnd w:id="21"/>
      <w:bookmarkEnd w:id="22"/>
      <w:bookmarkEnd w:id="23"/>
      <w:bookmarkEnd w:id="24"/>
      <w:r w:rsidRPr="00873793">
        <w:rPr>
          <w:rFonts w:asciiTheme="minorEastAsia" w:hAnsiTheme="minorEastAsia" w:hint="eastAsia"/>
          <w:sz w:val="24"/>
          <w:szCs w:val="24"/>
        </w:rPr>
        <w:t>1）确定工作范围</w:t>
      </w:r>
      <w:bookmarkEnd w:id="25"/>
      <w:bookmarkEnd w:id="26"/>
      <w:bookmarkEnd w:id="27"/>
      <w:bookmarkEnd w:id="28"/>
    </w:p>
    <w:p w:rsidR="008826A8" w:rsidRPr="00873793" w:rsidRDefault="008826A8" w:rsidP="008826A8">
      <w:pPr>
        <w:spacing w:line="360" w:lineRule="auto"/>
        <w:ind w:firstLine="573"/>
        <w:rPr>
          <w:rFonts w:asciiTheme="minorEastAsia" w:hAnsiTheme="minorEastAsia"/>
          <w:sz w:val="24"/>
          <w:szCs w:val="24"/>
        </w:rPr>
      </w:pPr>
      <w:r w:rsidRPr="00127B25">
        <w:rPr>
          <w:rFonts w:asciiTheme="minorEastAsia" w:hAnsiTheme="minorEastAsia" w:hint="eastAsia"/>
          <w:sz w:val="24"/>
          <w:szCs w:val="24"/>
        </w:rPr>
        <w:t>本轮市区城镇土地级别与基准地价更新调整范围是:东至中原路，西至西外环和京广铁路，南至南外环，北至北苑大道及建安区的7建制镇，土地总面积约为270平方公里。涵盖了魏都区、</w:t>
      </w:r>
      <w:r>
        <w:rPr>
          <w:rFonts w:asciiTheme="minorEastAsia" w:hAnsiTheme="minorEastAsia" w:hint="eastAsia"/>
          <w:sz w:val="24"/>
          <w:szCs w:val="24"/>
        </w:rPr>
        <w:t>建安区、示范区、东城区和经济技术开发区等城区建设规划覆盖的区域</w:t>
      </w:r>
      <w:r w:rsidRPr="00873793">
        <w:rPr>
          <w:rFonts w:asciiTheme="minorEastAsia" w:hAnsiTheme="minorEastAsia" w:hint="eastAsia"/>
          <w:sz w:val="24"/>
          <w:szCs w:val="24"/>
        </w:rPr>
        <w:t>。</w:t>
      </w:r>
    </w:p>
    <w:p w:rsidR="008826A8" w:rsidRPr="00873793" w:rsidRDefault="008826A8" w:rsidP="008826A8">
      <w:pPr>
        <w:spacing w:line="360" w:lineRule="auto"/>
        <w:ind w:firstLine="573"/>
        <w:rPr>
          <w:rFonts w:asciiTheme="minorEastAsia" w:hAnsiTheme="minorEastAsia"/>
          <w:sz w:val="24"/>
          <w:szCs w:val="24"/>
        </w:rPr>
      </w:pPr>
      <w:bookmarkStart w:id="29" w:name="_Toc346789153"/>
      <w:bookmarkStart w:id="30" w:name="_Toc346792482"/>
      <w:bookmarkStart w:id="31" w:name="_Toc347242686"/>
      <w:bookmarkStart w:id="32" w:name="_Toc347243000"/>
      <w:r w:rsidRPr="00873793">
        <w:rPr>
          <w:rFonts w:asciiTheme="minorEastAsia" w:hAnsiTheme="minorEastAsia" w:hint="eastAsia"/>
          <w:sz w:val="24"/>
          <w:szCs w:val="24"/>
        </w:rPr>
        <w:t>2）编制工作底图</w:t>
      </w:r>
      <w:bookmarkEnd w:id="29"/>
      <w:bookmarkEnd w:id="30"/>
      <w:bookmarkEnd w:id="31"/>
      <w:bookmarkEnd w:id="32"/>
    </w:p>
    <w:p w:rsidR="008826A8" w:rsidRPr="00873793" w:rsidRDefault="008826A8" w:rsidP="008826A8">
      <w:pPr>
        <w:spacing w:line="360" w:lineRule="auto"/>
        <w:ind w:firstLine="573"/>
        <w:rPr>
          <w:rFonts w:asciiTheme="minorEastAsia" w:hAnsiTheme="minorEastAsia"/>
          <w:sz w:val="24"/>
          <w:szCs w:val="24"/>
        </w:rPr>
      </w:pPr>
      <w:r w:rsidRPr="00873793">
        <w:rPr>
          <w:rFonts w:asciiTheme="minorEastAsia" w:hAnsiTheme="minorEastAsia" w:hint="eastAsia"/>
          <w:sz w:val="24"/>
          <w:szCs w:val="24"/>
        </w:rPr>
        <w:t>以第二次土地调查中的1：500地籍调查成果为基础，添加新修建的城镇道路、大型商业网点等相关信息，并结合城镇总体规划图或其它反映城镇现状的图件进行综合编绘，形成基准地价更新调整的工作底图。</w:t>
      </w:r>
    </w:p>
    <w:p w:rsidR="008826A8" w:rsidRPr="00873793" w:rsidRDefault="008826A8" w:rsidP="008826A8">
      <w:pPr>
        <w:spacing w:line="360" w:lineRule="auto"/>
        <w:ind w:firstLine="573"/>
        <w:rPr>
          <w:rFonts w:asciiTheme="minorEastAsia" w:hAnsiTheme="minorEastAsia"/>
          <w:sz w:val="24"/>
          <w:szCs w:val="24"/>
        </w:rPr>
      </w:pPr>
      <w:bookmarkStart w:id="33" w:name="_Toc346789154"/>
      <w:bookmarkStart w:id="34" w:name="_Toc346792483"/>
      <w:bookmarkStart w:id="35" w:name="_Toc347242687"/>
      <w:bookmarkStart w:id="36" w:name="_Toc347243001"/>
      <w:r w:rsidRPr="00873793">
        <w:rPr>
          <w:rFonts w:asciiTheme="minorEastAsia" w:hAnsiTheme="minorEastAsia" w:hint="eastAsia"/>
          <w:sz w:val="24"/>
          <w:szCs w:val="24"/>
        </w:rPr>
        <w:t>3）级别调整</w:t>
      </w:r>
      <w:bookmarkEnd w:id="33"/>
      <w:bookmarkEnd w:id="34"/>
      <w:bookmarkEnd w:id="35"/>
      <w:bookmarkEnd w:id="36"/>
    </w:p>
    <w:p w:rsidR="008826A8" w:rsidRPr="00873793" w:rsidRDefault="008826A8" w:rsidP="008826A8">
      <w:pPr>
        <w:spacing w:line="360" w:lineRule="auto"/>
        <w:ind w:firstLine="573"/>
        <w:rPr>
          <w:rFonts w:asciiTheme="minorEastAsia" w:hAnsiTheme="minorEastAsia"/>
          <w:sz w:val="24"/>
          <w:szCs w:val="24"/>
        </w:rPr>
      </w:pPr>
      <w:bookmarkStart w:id="37" w:name="_Toc346789155"/>
      <w:bookmarkStart w:id="38" w:name="_Toc346792484"/>
      <w:bookmarkStart w:id="39" w:name="_Toc347242688"/>
      <w:bookmarkStart w:id="40" w:name="_Toc347243002"/>
      <w:r w:rsidRPr="00873793">
        <w:rPr>
          <w:rFonts w:asciiTheme="minorEastAsia" w:hAnsiTheme="minorEastAsia" w:hint="eastAsia"/>
          <w:sz w:val="24"/>
          <w:szCs w:val="24"/>
        </w:rPr>
        <w:t>4）基准地价更新</w:t>
      </w:r>
      <w:bookmarkEnd w:id="37"/>
      <w:bookmarkEnd w:id="38"/>
      <w:bookmarkEnd w:id="39"/>
      <w:bookmarkEnd w:id="40"/>
    </w:p>
    <w:p w:rsidR="008826A8" w:rsidRPr="00873793" w:rsidRDefault="008826A8" w:rsidP="008826A8">
      <w:pPr>
        <w:spacing w:line="360" w:lineRule="auto"/>
        <w:ind w:firstLine="573"/>
        <w:rPr>
          <w:rFonts w:asciiTheme="minorEastAsia" w:hAnsiTheme="minorEastAsia"/>
          <w:sz w:val="24"/>
          <w:szCs w:val="24"/>
        </w:rPr>
      </w:pPr>
      <w:bookmarkStart w:id="41" w:name="_Toc346789156"/>
      <w:bookmarkStart w:id="42" w:name="_Toc346792485"/>
      <w:bookmarkStart w:id="43" w:name="_Toc347242689"/>
      <w:bookmarkStart w:id="44" w:name="_Toc347243003"/>
      <w:r w:rsidRPr="00873793">
        <w:rPr>
          <w:rFonts w:asciiTheme="minorEastAsia" w:hAnsiTheme="minorEastAsia" w:hint="eastAsia"/>
          <w:sz w:val="24"/>
          <w:szCs w:val="24"/>
        </w:rPr>
        <w:t>5）建立数据库</w:t>
      </w:r>
      <w:bookmarkEnd w:id="41"/>
      <w:bookmarkEnd w:id="42"/>
      <w:bookmarkEnd w:id="43"/>
      <w:bookmarkEnd w:id="44"/>
    </w:p>
    <w:p w:rsidR="008826A8" w:rsidRPr="00873793" w:rsidRDefault="008826A8" w:rsidP="008826A8">
      <w:pPr>
        <w:spacing w:line="360" w:lineRule="auto"/>
        <w:ind w:firstLine="573"/>
        <w:rPr>
          <w:rFonts w:asciiTheme="minorEastAsia" w:hAnsiTheme="minorEastAsia"/>
          <w:sz w:val="24"/>
          <w:szCs w:val="24"/>
        </w:rPr>
      </w:pPr>
      <w:bookmarkStart w:id="45" w:name="_Toc346789157"/>
      <w:bookmarkStart w:id="46" w:name="_Toc346792486"/>
      <w:bookmarkStart w:id="47" w:name="_Toc347242690"/>
      <w:bookmarkStart w:id="48" w:name="_Toc347243004"/>
      <w:r w:rsidRPr="00873793">
        <w:rPr>
          <w:rFonts w:asciiTheme="minorEastAsia" w:hAnsiTheme="minorEastAsia" w:hint="eastAsia"/>
          <w:sz w:val="24"/>
          <w:szCs w:val="24"/>
        </w:rPr>
        <w:t>6）宗地地价修正体系建立</w:t>
      </w:r>
      <w:bookmarkEnd w:id="45"/>
      <w:bookmarkEnd w:id="46"/>
      <w:bookmarkEnd w:id="47"/>
      <w:bookmarkEnd w:id="48"/>
    </w:p>
    <w:p w:rsidR="008826A8" w:rsidRPr="00873793" w:rsidRDefault="008826A8" w:rsidP="008826A8">
      <w:pPr>
        <w:spacing w:line="360" w:lineRule="auto"/>
        <w:ind w:firstLine="573"/>
        <w:rPr>
          <w:rFonts w:asciiTheme="minorEastAsia" w:hAnsiTheme="minorEastAsia"/>
          <w:sz w:val="24"/>
          <w:szCs w:val="24"/>
        </w:rPr>
      </w:pPr>
      <w:bookmarkStart w:id="49" w:name="_Toc346789158"/>
      <w:bookmarkStart w:id="50" w:name="_Toc346792487"/>
      <w:bookmarkStart w:id="51" w:name="_Toc347242691"/>
      <w:bookmarkStart w:id="52" w:name="_Toc347243005"/>
      <w:r w:rsidRPr="00873793">
        <w:rPr>
          <w:rFonts w:asciiTheme="minorEastAsia" w:hAnsiTheme="minorEastAsia" w:hint="eastAsia"/>
          <w:sz w:val="24"/>
          <w:szCs w:val="24"/>
        </w:rPr>
        <w:t>7）形成最终成果</w:t>
      </w:r>
      <w:bookmarkEnd w:id="49"/>
      <w:bookmarkEnd w:id="50"/>
      <w:bookmarkEnd w:id="51"/>
      <w:bookmarkEnd w:id="52"/>
    </w:p>
    <w:p w:rsidR="008826A8" w:rsidRPr="00873793" w:rsidRDefault="008826A8" w:rsidP="008826A8">
      <w:pPr>
        <w:spacing w:line="360" w:lineRule="auto"/>
        <w:ind w:firstLine="573"/>
        <w:outlineLvl w:val="4"/>
        <w:rPr>
          <w:rFonts w:asciiTheme="minorEastAsia" w:hAnsiTheme="minorEastAsia"/>
          <w:color w:val="000000"/>
          <w:sz w:val="24"/>
          <w:szCs w:val="24"/>
        </w:rPr>
      </w:pPr>
      <w:bookmarkStart w:id="53" w:name="_Toc347411933"/>
      <w:bookmarkStart w:id="54" w:name="_Toc357584110"/>
      <w:r w:rsidRPr="00873793">
        <w:rPr>
          <w:rFonts w:asciiTheme="minorEastAsia" w:hAnsiTheme="minorEastAsia" w:hint="eastAsia"/>
          <w:color w:val="000000"/>
          <w:sz w:val="24"/>
          <w:szCs w:val="24"/>
        </w:rPr>
        <w:t>（2）进度安排</w:t>
      </w:r>
      <w:bookmarkEnd w:id="53"/>
      <w:bookmarkEnd w:id="54"/>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1）总体进度安排</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根据该项目要求的工程内容、工程量清单、技术规范、工期，经详细分解工作结构，划分活动单元，将工程的进度时间做出详细的计划。</w:t>
      </w:r>
    </w:p>
    <w:p w:rsidR="008826A8" w:rsidRPr="00873793" w:rsidRDefault="001779FB"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2</w:t>
      </w:r>
      <w:r w:rsidR="008826A8" w:rsidRPr="00873793">
        <w:rPr>
          <w:rFonts w:asciiTheme="minorEastAsia" w:hAnsiTheme="minorEastAsia" w:hint="eastAsia"/>
          <w:color w:val="000000"/>
          <w:sz w:val="24"/>
          <w:szCs w:val="24"/>
        </w:rPr>
        <w:t>）工作时间</w:t>
      </w:r>
    </w:p>
    <w:p w:rsidR="008826A8" w:rsidRPr="00127B25"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项目的技术人员进行内业工作时间：每周工作6天，每天工作8-10小时，如实际</w:t>
      </w:r>
      <w:r w:rsidRPr="00127B25">
        <w:rPr>
          <w:rFonts w:asciiTheme="minorEastAsia" w:hAnsiTheme="minorEastAsia" w:hint="eastAsia"/>
          <w:color w:val="000000"/>
          <w:sz w:val="24"/>
          <w:szCs w:val="24"/>
        </w:rPr>
        <w:t>进度滞后于计划进度，自行调整。</w:t>
      </w:r>
    </w:p>
    <w:p w:rsidR="008826A8" w:rsidRPr="00127B25" w:rsidRDefault="001779FB"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3</w:t>
      </w:r>
      <w:r w:rsidR="008826A8" w:rsidRPr="00127B25">
        <w:rPr>
          <w:rFonts w:asciiTheme="minorEastAsia" w:hAnsiTheme="minorEastAsia" w:hint="eastAsia"/>
          <w:color w:val="000000"/>
          <w:sz w:val="24"/>
          <w:szCs w:val="24"/>
        </w:rPr>
        <w:t xml:space="preserve">）实施计划 </w:t>
      </w:r>
    </w:p>
    <w:p w:rsidR="008826A8" w:rsidRPr="00127B25" w:rsidRDefault="008826A8" w:rsidP="001779FB">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制订更为详细的技术方案，通过与委托方的紧密配合来实施外业调查作业，在获得第一手外业基础资料的基础上，全面展开内业处理工作。</w:t>
      </w:r>
    </w:p>
    <w:p w:rsidR="008826A8" w:rsidRPr="00127B25" w:rsidRDefault="008826A8" w:rsidP="008826A8">
      <w:pPr>
        <w:spacing w:line="360" w:lineRule="auto"/>
        <w:ind w:firstLine="573"/>
        <w:outlineLvl w:val="4"/>
        <w:rPr>
          <w:rFonts w:asciiTheme="minorEastAsia" w:hAnsiTheme="minorEastAsia"/>
          <w:color w:val="000000"/>
          <w:sz w:val="24"/>
          <w:szCs w:val="24"/>
        </w:rPr>
      </w:pPr>
      <w:bookmarkStart w:id="55" w:name="_Toc207250729"/>
      <w:r w:rsidRPr="00127B25">
        <w:rPr>
          <w:rFonts w:asciiTheme="minorEastAsia" w:hAnsiTheme="minorEastAsia" w:hint="eastAsia"/>
          <w:color w:val="000000"/>
          <w:sz w:val="24"/>
          <w:szCs w:val="24"/>
        </w:rPr>
        <w:t>（3）进度确保承诺</w:t>
      </w:r>
      <w:bookmarkEnd w:id="55"/>
    </w:p>
    <w:p w:rsidR="008826A8" w:rsidRPr="00873793" w:rsidRDefault="008826A8" w:rsidP="008826A8">
      <w:pPr>
        <w:spacing w:line="360" w:lineRule="auto"/>
        <w:ind w:firstLine="573"/>
        <w:rPr>
          <w:rFonts w:asciiTheme="minorEastAsia" w:hAnsiTheme="minorEastAsia"/>
          <w:color w:val="000000"/>
          <w:sz w:val="24"/>
          <w:szCs w:val="24"/>
        </w:rPr>
      </w:pPr>
      <w:r w:rsidRPr="00127B25">
        <w:rPr>
          <w:rFonts w:asciiTheme="minorEastAsia" w:hAnsiTheme="minorEastAsia" w:hint="eastAsia"/>
          <w:color w:val="000000"/>
          <w:sz w:val="24"/>
          <w:szCs w:val="24"/>
        </w:rPr>
        <w:t>我公司承诺根据招标文件要求的全部内容并如实准备投标文件，确保投标</w:t>
      </w:r>
      <w:r w:rsidRPr="00127B25">
        <w:rPr>
          <w:rFonts w:asciiTheme="minorEastAsia" w:hAnsiTheme="minorEastAsia" w:hint="eastAsia"/>
          <w:color w:val="000000"/>
          <w:sz w:val="24"/>
          <w:szCs w:val="24"/>
        </w:rPr>
        <w:lastRenderedPageBreak/>
        <w:t>文件真实可靠。中标后严格按照合同条</w:t>
      </w:r>
      <w:r w:rsidRPr="00873793">
        <w:rPr>
          <w:rFonts w:asciiTheme="minorEastAsia" w:hAnsiTheme="minorEastAsia" w:hint="eastAsia"/>
          <w:color w:val="000000"/>
          <w:sz w:val="24"/>
          <w:szCs w:val="24"/>
        </w:rPr>
        <w:t>款组织项目施工，认真履行合同约定条款。</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（1）保证项目所需人员的配备和仪器设备的投入，按期完成项目任务。</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（2）严格执行规范规程，精心组织施工，按质量保障管理体系运行，做好质量控制。</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（3）承担投标费用及投标风险，在项目经费不能完全到位情况，我们保证施工的连续性。</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（4）我们对本研究提供成果资料的质量负责到底，因我方原因造成质量问题将及时采取补救措施，所发生费用自理。</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（5）保证不向第三方泄露成果资料秘密。</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（6）服从甲方安排，同意调剂标的。</w:t>
      </w:r>
    </w:p>
    <w:p w:rsidR="008826A8" w:rsidRPr="00873793" w:rsidRDefault="008826A8" w:rsidP="008826A8">
      <w:pPr>
        <w:spacing w:line="360" w:lineRule="auto"/>
        <w:ind w:firstLine="573"/>
        <w:rPr>
          <w:rFonts w:asciiTheme="minorEastAsia" w:hAnsiTheme="minorEastAsia"/>
          <w:color w:val="000000"/>
          <w:sz w:val="24"/>
          <w:szCs w:val="24"/>
        </w:rPr>
      </w:pPr>
      <w:r w:rsidRPr="00873793">
        <w:rPr>
          <w:rFonts w:asciiTheme="minorEastAsia" w:hAnsiTheme="minorEastAsia" w:hint="eastAsia"/>
          <w:color w:val="000000"/>
          <w:sz w:val="24"/>
          <w:szCs w:val="24"/>
        </w:rPr>
        <w:t>（7）我方愿意承担除因不可抗力造成的违约，而给甲方造成的损失。</w:t>
      </w:r>
    </w:p>
    <w:p w:rsidR="008826A8" w:rsidRPr="00873793" w:rsidRDefault="008826A8" w:rsidP="008826A8">
      <w:pPr>
        <w:spacing w:line="360" w:lineRule="auto"/>
        <w:ind w:firstLine="573"/>
        <w:outlineLvl w:val="3"/>
        <w:rPr>
          <w:rFonts w:asciiTheme="minorEastAsia" w:hAnsiTheme="minorEastAsia"/>
          <w:color w:val="000000"/>
          <w:sz w:val="24"/>
          <w:szCs w:val="24"/>
        </w:rPr>
      </w:pPr>
      <w:r w:rsidRPr="00873793">
        <w:rPr>
          <w:rFonts w:asciiTheme="minorEastAsia" w:hAnsiTheme="minorEastAsia" w:hint="eastAsia"/>
          <w:color w:val="000000"/>
          <w:sz w:val="24"/>
          <w:szCs w:val="24"/>
        </w:rPr>
        <w:t>2、严格质量管理，实施完善的质量保证体系</w:t>
      </w:r>
    </w:p>
    <w:p w:rsidR="008826A8" w:rsidRPr="00873793" w:rsidRDefault="008826A8" w:rsidP="008826A8">
      <w:pPr>
        <w:spacing w:line="360" w:lineRule="auto"/>
        <w:ind w:firstLine="573"/>
        <w:outlineLvl w:val="3"/>
        <w:rPr>
          <w:rFonts w:asciiTheme="minorEastAsia" w:hAnsiTheme="minorEastAsia"/>
          <w:color w:val="000000"/>
          <w:sz w:val="24"/>
          <w:szCs w:val="24"/>
        </w:rPr>
      </w:pPr>
      <w:r w:rsidRPr="00873793">
        <w:rPr>
          <w:rFonts w:asciiTheme="minorEastAsia" w:hAnsiTheme="minorEastAsia" w:hint="eastAsia"/>
          <w:color w:val="000000"/>
          <w:sz w:val="24"/>
          <w:szCs w:val="24"/>
        </w:rPr>
        <w:t>3、建立安全生产规章制度，责任目标落实到人</w:t>
      </w:r>
    </w:p>
    <w:p w:rsidR="008826A8" w:rsidRPr="00873793" w:rsidRDefault="008826A8" w:rsidP="008826A8">
      <w:pPr>
        <w:spacing w:line="360" w:lineRule="auto"/>
        <w:ind w:firstLine="573"/>
        <w:outlineLvl w:val="3"/>
        <w:rPr>
          <w:rFonts w:asciiTheme="minorEastAsia" w:hAnsiTheme="minorEastAsia"/>
          <w:color w:val="000000"/>
          <w:sz w:val="24"/>
          <w:szCs w:val="24"/>
        </w:rPr>
      </w:pPr>
      <w:r w:rsidRPr="00873793">
        <w:rPr>
          <w:rFonts w:asciiTheme="minorEastAsia" w:hAnsiTheme="minorEastAsia" w:hint="eastAsia"/>
          <w:color w:val="000000"/>
          <w:sz w:val="24"/>
          <w:szCs w:val="24"/>
        </w:rPr>
        <w:t>4、确保参与人员技术过关，拟投入设备齐全</w:t>
      </w:r>
    </w:p>
    <w:p w:rsidR="008826A8" w:rsidRPr="00873793" w:rsidRDefault="008826A8" w:rsidP="008826A8">
      <w:pPr>
        <w:spacing w:line="360" w:lineRule="auto"/>
        <w:ind w:firstLineChars="200" w:firstLine="482"/>
        <w:outlineLvl w:val="1"/>
        <w:rPr>
          <w:rFonts w:asciiTheme="minorEastAsia" w:hAnsiTheme="minorEastAsia"/>
          <w:b/>
          <w:sz w:val="24"/>
          <w:szCs w:val="24"/>
        </w:rPr>
      </w:pPr>
      <w:bookmarkStart w:id="56" w:name="_Toc515371664"/>
      <w:r w:rsidRPr="00873793">
        <w:rPr>
          <w:rFonts w:asciiTheme="minorEastAsia" w:hAnsiTheme="minorEastAsia" w:hint="eastAsia"/>
          <w:b/>
          <w:sz w:val="24"/>
          <w:szCs w:val="24"/>
        </w:rPr>
        <w:t>五、服务承诺</w:t>
      </w:r>
      <w:bookmarkEnd w:id="56"/>
    </w:p>
    <w:p w:rsidR="008826A8"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我公司承诺，本</w:t>
      </w:r>
      <w:r w:rsidRPr="00127B25">
        <w:rPr>
          <w:rFonts w:asciiTheme="minorEastAsia" w:hAnsiTheme="minorEastAsia" w:hint="eastAsia"/>
          <w:color w:val="000000"/>
          <w:sz w:val="24"/>
          <w:szCs w:val="24"/>
        </w:rPr>
        <w:t>基准地价更新项目</w:t>
      </w:r>
      <w:r>
        <w:rPr>
          <w:rFonts w:asciiTheme="minorEastAsia" w:hAnsiTheme="minorEastAsia" w:hint="eastAsia"/>
          <w:color w:val="000000"/>
          <w:sz w:val="24"/>
          <w:szCs w:val="24"/>
        </w:rPr>
        <w:t>能够</w:t>
      </w:r>
      <w:r w:rsidRPr="00127B25">
        <w:rPr>
          <w:rFonts w:asciiTheme="minorEastAsia" w:hAnsiTheme="minorEastAsia" w:hint="eastAsia"/>
          <w:color w:val="000000"/>
          <w:sz w:val="24"/>
          <w:szCs w:val="24"/>
        </w:rPr>
        <w:t>按时、按要求内容完成更新任务，并保证服务水平一流、成果及基础资料</w:t>
      </w:r>
      <w:r>
        <w:rPr>
          <w:rFonts w:asciiTheme="minorEastAsia" w:hAnsiTheme="minorEastAsia" w:hint="eastAsia"/>
          <w:color w:val="000000"/>
          <w:sz w:val="24"/>
          <w:szCs w:val="24"/>
        </w:rPr>
        <w:t>的</w:t>
      </w:r>
      <w:r w:rsidRPr="00127B25">
        <w:rPr>
          <w:rFonts w:asciiTheme="minorEastAsia" w:hAnsiTheme="minorEastAsia" w:hint="eastAsia"/>
          <w:color w:val="000000"/>
          <w:sz w:val="24"/>
          <w:szCs w:val="24"/>
        </w:rPr>
        <w:t>保密</w:t>
      </w:r>
      <w:r>
        <w:rPr>
          <w:rFonts w:asciiTheme="minorEastAsia" w:hAnsiTheme="minorEastAsia" w:hint="eastAsia"/>
          <w:color w:val="000000"/>
          <w:sz w:val="24"/>
          <w:szCs w:val="24"/>
        </w:rPr>
        <w:t>。</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另外，我公司做出如下承诺：</w:t>
      </w:r>
      <w:r w:rsidRPr="00873793">
        <w:rPr>
          <w:rFonts w:asciiTheme="minorEastAsia" w:hAnsiTheme="minorEastAsia" w:hint="eastAsia"/>
          <w:color w:val="000000"/>
          <w:sz w:val="24"/>
          <w:szCs w:val="24"/>
        </w:rPr>
        <w:t>我</w:t>
      </w:r>
      <w:r>
        <w:rPr>
          <w:rFonts w:asciiTheme="minorEastAsia" w:hAnsiTheme="minorEastAsia" w:hint="eastAsia"/>
          <w:color w:val="000000"/>
          <w:sz w:val="24"/>
          <w:szCs w:val="24"/>
        </w:rPr>
        <w:t>公司</w:t>
      </w:r>
      <w:r w:rsidRPr="00873793">
        <w:rPr>
          <w:rFonts w:asciiTheme="minorEastAsia" w:hAnsiTheme="minorEastAsia" w:hint="eastAsia"/>
          <w:color w:val="000000"/>
          <w:sz w:val="24"/>
          <w:szCs w:val="24"/>
        </w:rPr>
        <w:t>保证按照上级主管部门及招标人的有关规定和要求进行投标与项目开展，如有违反，我方愿意接受相应处罚或承担相应违约责任</w:t>
      </w:r>
      <w:r>
        <w:rPr>
          <w:rFonts w:asciiTheme="minorEastAsia" w:hAnsiTheme="minorEastAsia" w:hint="eastAsia"/>
          <w:color w:val="000000"/>
          <w:sz w:val="24"/>
          <w:szCs w:val="24"/>
        </w:rPr>
        <w:t>。</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（1）</w:t>
      </w:r>
      <w:r w:rsidRPr="00873793">
        <w:rPr>
          <w:rFonts w:asciiTheme="minorEastAsia" w:hAnsiTheme="minorEastAsia" w:hint="eastAsia"/>
          <w:color w:val="000000"/>
          <w:sz w:val="24"/>
          <w:szCs w:val="24"/>
        </w:rPr>
        <w:t>我公司对在该项目投标活动中提供的所有资料均真实、有效性负责；如果有提供虚假资料或履行合同期间提供的服务、成果低于投标文件的内容，我方承担由此给招标人造成的所有损失。</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（2）</w:t>
      </w:r>
      <w:r w:rsidRPr="00873793">
        <w:rPr>
          <w:rFonts w:asciiTheme="minorEastAsia" w:hAnsiTheme="minorEastAsia" w:hint="eastAsia"/>
          <w:color w:val="000000"/>
          <w:sz w:val="24"/>
          <w:szCs w:val="24"/>
        </w:rPr>
        <w:t>我公司承诺在收到中标通知书后，保证在中标通知书规定期限内与委托方签订合同；同时保证不将项目任务转包给他人，保证不将项目任务分解转包给他人，并保证不再调整项目编制费。</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（3）</w:t>
      </w:r>
      <w:r w:rsidRPr="00873793">
        <w:rPr>
          <w:rFonts w:asciiTheme="minorEastAsia" w:hAnsiTheme="minorEastAsia" w:hint="eastAsia"/>
          <w:color w:val="000000"/>
          <w:sz w:val="24"/>
          <w:szCs w:val="24"/>
        </w:rPr>
        <w:t>我公司保证以委托方认为的最优项目技术方案来实施项目规定的内容。在工作中，严格按照《城镇土地分等定级规程》(GB/T 18507-2014)、《城镇土地估价规程》(GB/T 18508-2014)和河南省国土资源厅有关规定及技术要求开展相</w:t>
      </w:r>
      <w:r w:rsidRPr="00873793">
        <w:rPr>
          <w:rFonts w:asciiTheme="minorEastAsia" w:hAnsiTheme="minorEastAsia" w:hint="eastAsia"/>
          <w:color w:val="000000"/>
          <w:sz w:val="24"/>
          <w:szCs w:val="24"/>
        </w:rPr>
        <w:lastRenderedPageBreak/>
        <w:t>关工作，并保证按时、按要求内容完成更新任务，保证服务水平一流，不向第三方泄露成果及基础资料秘密。</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（4）</w:t>
      </w:r>
      <w:r w:rsidRPr="00873793">
        <w:rPr>
          <w:rFonts w:asciiTheme="minorEastAsia" w:hAnsiTheme="minorEastAsia" w:hint="eastAsia"/>
          <w:color w:val="000000"/>
          <w:sz w:val="24"/>
          <w:szCs w:val="24"/>
        </w:rPr>
        <w:t>在成果质量方面，我公司承诺确保基准地价成果具有科学性和现势性，能客观反映不同均质地域的地价水平，并保证一次性通过省厅验收。</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（5）</w:t>
      </w:r>
      <w:r w:rsidRPr="00006528">
        <w:rPr>
          <w:rFonts w:asciiTheme="minorEastAsia" w:hAnsiTheme="minorEastAsia" w:hint="eastAsia"/>
          <w:color w:val="000000"/>
          <w:sz w:val="24"/>
          <w:szCs w:val="24"/>
        </w:rPr>
        <w:t>我公司将保证项目所需人员的配备和仪器设备的投入，并保证按项目工期80日历天的要求，高质量完成全部任务。</w:t>
      </w:r>
    </w:p>
    <w:p w:rsidR="008826A8" w:rsidRPr="00873793" w:rsidRDefault="008826A8" w:rsidP="008826A8">
      <w:pPr>
        <w:spacing w:line="360" w:lineRule="auto"/>
        <w:ind w:firstLine="573"/>
        <w:rPr>
          <w:rFonts w:asciiTheme="minorEastAsia" w:hAnsiTheme="minorEastAsia"/>
          <w:color w:val="000000"/>
          <w:sz w:val="24"/>
          <w:szCs w:val="24"/>
        </w:rPr>
      </w:pPr>
      <w:r>
        <w:rPr>
          <w:rFonts w:asciiTheme="minorEastAsia" w:hAnsiTheme="minorEastAsia" w:hint="eastAsia"/>
          <w:color w:val="000000"/>
          <w:sz w:val="24"/>
          <w:szCs w:val="24"/>
        </w:rPr>
        <w:t>（6）</w:t>
      </w:r>
      <w:r w:rsidRPr="00873793">
        <w:rPr>
          <w:rFonts w:asciiTheme="minorEastAsia" w:hAnsiTheme="minorEastAsia" w:hint="eastAsia"/>
          <w:color w:val="000000"/>
          <w:sz w:val="24"/>
          <w:szCs w:val="24"/>
        </w:rPr>
        <w:t>我公司保证投入项目的编制人员与投标文件中的编制人员名单一致，且项目负责人不在其它项目中作兼职。如果项目负责人明显不称职，发包人有权提出更换，如果由此造成的损失，由我公司负责。</w:t>
      </w:r>
    </w:p>
    <w:p w:rsidR="008826A8" w:rsidRPr="00873793" w:rsidRDefault="008826A8" w:rsidP="008826A8">
      <w:pPr>
        <w:spacing w:line="360" w:lineRule="auto"/>
        <w:ind w:firstLine="573"/>
        <w:rPr>
          <w:rFonts w:asciiTheme="minorEastAsia" w:hAnsiTheme="minorEastAsia"/>
          <w:sz w:val="24"/>
          <w:szCs w:val="24"/>
        </w:rPr>
      </w:pPr>
      <w:r>
        <w:rPr>
          <w:rFonts w:asciiTheme="minorEastAsia" w:hAnsiTheme="minorEastAsia" w:hint="eastAsia"/>
          <w:color w:val="000000"/>
          <w:sz w:val="24"/>
          <w:szCs w:val="24"/>
        </w:rPr>
        <w:t>（7）</w:t>
      </w:r>
      <w:r w:rsidRPr="00873793">
        <w:rPr>
          <w:rFonts w:asciiTheme="minorEastAsia" w:hAnsiTheme="minorEastAsia" w:hint="eastAsia"/>
          <w:color w:val="000000"/>
          <w:sz w:val="24"/>
          <w:szCs w:val="24"/>
        </w:rPr>
        <w:t>用于本工程的有关技术设备、软件将一直保障本工程的完成，不挪作它用。我们在业主资金不到位情况下，仍要保证项目的连续性，以保证成果质量。当项目完工后，我公司仍将对委托方提供相关的后续服务，作到随叫随到。</w:t>
      </w:r>
    </w:p>
    <w:p w:rsidR="008826A8" w:rsidRPr="00873793" w:rsidRDefault="008826A8" w:rsidP="008826A8">
      <w:pPr>
        <w:snapToGrid w:val="0"/>
        <w:spacing w:line="360" w:lineRule="auto"/>
        <w:jc w:val="center"/>
        <w:rPr>
          <w:rFonts w:asciiTheme="minorEastAsia" w:hAnsiTheme="minorEastAsia"/>
          <w:b/>
          <w:snapToGrid w:val="0"/>
          <w:kern w:val="0"/>
          <w:sz w:val="24"/>
          <w:szCs w:val="24"/>
        </w:rPr>
      </w:pPr>
    </w:p>
    <w:p w:rsidR="008826A8" w:rsidRDefault="008826A8" w:rsidP="008826A8">
      <w:pPr>
        <w:snapToGrid w:val="0"/>
        <w:spacing w:line="360" w:lineRule="auto"/>
        <w:jc w:val="center"/>
        <w:rPr>
          <w:rFonts w:hAnsi="宋体"/>
          <w:b/>
          <w:snapToGrid w:val="0"/>
          <w:kern w:val="0"/>
          <w:sz w:val="36"/>
          <w:szCs w:val="36"/>
        </w:rPr>
      </w:pPr>
    </w:p>
    <w:p w:rsidR="00445C3C" w:rsidRPr="008826A8" w:rsidRDefault="00445C3C" w:rsidP="00445C3C">
      <w:pPr>
        <w:jc w:val="center"/>
        <w:rPr>
          <w:rFonts w:hint="eastAsia"/>
        </w:rPr>
      </w:pPr>
    </w:p>
    <w:p w:rsidR="008826A8" w:rsidRDefault="008826A8" w:rsidP="00445C3C">
      <w:pPr>
        <w:jc w:val="center"/>
      </w:pPr>
    </w:p>
    <w:sectPr w:rsidR="00882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AA7" w:rsidRDefault="00AC0AA7" w:rsidP="00693942">
      <w:r>
        <w:separator/>
      </w:r>
    </w:p>
  </w:endnote>
  <w:endnote w:type="continuationSeparator" w:id="1">
    <w:p w:rsidR="00AC0AA7" w:rsidRDefault="00AC0AA7" w:rsidP="00693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AA7" w:rsidRDefault="00AC0AA7" w:rsidP="00693942">
      <w:r>
        <w:separator/>
      </w:r>
    </w:p>
  </w:footnote>
  <w:footnote w:type="continuationSeparator" w:id="1">
    <w:p w:rsidR="00AC0AA7" w:rsidRDefault="00AC0AA7" w:rsidP="00693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3014F9"/>
    <w:multiLevelType w:val="singleLevel"/>
    <w:tmpl w:val="D23014F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942"/>
    <w:rsid w:val="001779FB"/>
    <w:rsid w:val="001A58BF"/>
    <w:rsid w:val="001B422A"/>
    <w:rsid w:val="003B715B"/>
    <w:rsid w:val="003D0DAB"/>
    <w:rsid w:val="00445C3C"/>
    <w:rsid w:val="00644FE0"/>
    <w:rsid w:val="00693942"/>
    <w:rsid w:val="007F7FB3"/>
    <w:rsid w:val="008826A8"/>
    <w:rsid w:val="00AC0AA7"/>
    <w:rsid w:val="00AF5C41"/>
    <w:rsid w:val="00B72513"/>
    <w:rsid w:val="00C22934"/>
    <w:rsid w:val="00C34BE8"/>
    <w:rsid w:val="00D30AA0"/>
    <w:rsid w:val="00E5782E"/>
    <w:rsid w:val="00E73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26A8"/>
    <w:pPr>
      <w:keepNext/>
      <w:keepLines/>
      <w:spacing w:before="340" w:after="330" w:line="578" w:lineRule="auto"/>
      <w:outlineLvl w:val="0"/>
    </w:pPr>
    <w:rPr>
      <w:rFonts w:ascii="Calibri" w:eastAsia="宋体" w:hAnsi="Calibri" w:cs="Times New Roman"/>
      <w:b/>
      <w:bCs/>
      <w:kern w:val="44"/>
      <w:sz w:val="44"/>
      <w:szCs w:val="44"/>
    </w:rPr>
  </w:style>
  <w:style w:type="paragraph" w:styleId="3">
    <w:name w:val="heading 3"/>
    <w:basedOn w:val="a"/>
    <w:next w:val="a"/>
    <w:link w:val="3Char"/>
    <w:qFormat/>
    <w:rsid w:val="008826A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942"/>
    <w:rPr>
      <w:sz w:val="18"/>
      <w:szCs w:val="18"/>
    </w:rPr>
  </w:style>
  <w:style w:type="paragraph" w:styleId="a4">
    <w:name w:val="footer"/>
    <w:basedOn w:val="a"/>
    <w:link w:val="Char0"/>
    <w:uiPriority w:val="99"/>
    <w:unhideWhenUsed/>
    <w:rsid w:val="00693942"/>
    <w:pPr>
      <w:tabs>
        <w:tab w:val="center" w:pos="4153"/>
        <w:tab w:val="right" w:pos="8306"/>
      </w:tabs>
      <w:snapToGrid w:val="0"/>
      <w:jc w:val="left"/>
    </w:pPr>
    <w:rPr>
      <w:sz w:val="18"/>
      <w:szCs w:val="18"/>
    </w:rPr>
  </w:style>
  <w:style w:type="character" w:customStyle="1" w:styleId="Char0">
    <w:name w:val="页脚 Char"/>
    <w:basedOn w:val="a0"/>
    <w:link w:val="a4"/>
    <w:uiPriority w:val="99"/>
    <w:rsid w:val="00693942"/>
    <w:rPr>
      <w:sz w:val="18"/>
      <w:szCs w:val="18"/>
    </w:rPr>
  </w:style>
  <w:style w:type="paragraph" w:styleId="a5">
    <w:name w:val="Balloon Text"/>
    <w:basedOn w:val="a"/>
    <w:link w:val="Char1"/>
    <w:uiPriority w:val="99"/>
    <w:semiHidden/>
    <w:unhideWhenUsed/>
    <w:rsid w:val="00693942"/>
    <w:rPr>
      <w:sz w:val="18"/>
      <w:szCs w:val="18"/>
    </w:rPr>
  </w:style>
  <w:style w:type="character" w:customStyle="1" w:styleId="Char1">
    <w:name w:val="批注框文本 Char"/>
    <w:basedOn w:val="a0"/>
    <w:link w:val="a5"/>
    <w:uiPriority w:val="99"/>
    <w:semiHidden/>
    <w:rsid w:val="00693942"/>
    <w:rPr>
      <w:sz w:val="18"/>
      <w:szCs w:val="18"/>
    </w:rPr>
  </w:style>
  <w:style w:type="character" w:customStyle="1" w:styleId="1Char">
    <w:name w:val="标题 1 Char"/>
    <w:basedOn w:val="a0"/>
    <w:link w:val="1"/>
    <w:uiPriority w:val="9"/>
    <w:rsid w:val="008826A8"/>
    <w:rPr>
      <w:rFonts w:ascii="Calibri" w:eastAsia="宋体" w:hAnsi="Calibri" w:cs="Times New Roman"/>
      <w:b/>
      <w:bCs/>
      <w:kern w:val="44"/>
      <w:sz w:val="44"/>
      <w:szCs w:val="44"/>
    </w:rPr>
  </w:style>
  <w:style w:type="character" w:customStyle="1" w:styleId="3Char">
    <w:name w:val="标题 3 Char"/>
    <w:basedOn w:val="a0"/>
    <w:link w:val="3"/>
    <w:rsid w:val="008826A8"/>
    <w:rPr>
      <w:rFonts w:ascii="Times New Roman" w:eastAsia="宋体" w:hAnsi="Times New Roman" w:cs="Times New Roman"/>
      <w:b/>
      <w:bCs/>
      <w:sz w:val="32"/>
      <w:szCs w:val="32"/>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8826A8"/>
    <w:rPr>
      <w:rFonts w:ascii="Calibri" w:eastAsia="宋体" w:hAnsi="Calibri" w:cs="Times New Roman"/>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6"/>
    <w:qFormat/>
    <w:rsid w:val="008826A8"/>
    <w:rPr>
      <w:rFonts w:ascii="Calibri" w:eastAsia="宋体" w:hAnsi="Calibri" w:cs="Times New Roman"/>
      <w:sz w:val="24"/>
    </w:rPr>
  </w:style>
  <w:style w:type="paragraph" w:styleId="a7">
    <w:name w:val="Normal (Web)"/>
    <w:basedOn w:val="a"/>
    <w:uiPriority w:val="99"/>
    <w:qFormat/>
    <w:rsid w:val="008826A8"/>
    <w:rPr>
      <w:rFonts w:ascii="Calibri" w:eastAsia="宋体" w:hAnsi="Calibri" w:cs="Times New Roman"/>
      <w:sz w:val="24"/>
      <w:szCs w:val="24"/>
    </w:rPr>
  </w:style>
  <w:style w:type="character" w:customStyle="1" w:styleId="CharChar">
    <w:name w:val="正文文本缩进 Char Char"/>
    <w:link w:val="10"/>
    <w:rsid w:val="008826A8"/>
    <w:rPr>
      <w:rFonts w:ascii="宋体"/>
      <w:sz w:val="24"/>
    </w:rPr>
  </w:style>
  <w:style w:type="paragraph" w:customStyle="1" w:styleId="10">
    <w:name w:val="正文文本缩进1"/>
    <w:basedOn w:val="a"/>
    <w:link w:val="CharChar"/>
    <w:rsid w:val="008826A8"/>
    <w:pPr>
      <w:spacing w:line="360" w:lineRule="auto"/>
      <w:ind w:firstLineChars="200" w:firstLine="480"/>
    </w:pPr>
    <w:rPr>
      <w:rFonts w:ascii="宋体"/>
      <w:sz w:val="24"/>
    </w:rPr>
  </w:style>
  <w:style w:type="character" w:customStyle="1" w:styleId="CharChar0">
    <w:name w:val="日期 Char Char"/>
    <w:link w:val="11"/>
    <w:rsid w:val="008826A8"/>
    <w:rPr>
      <w:sz w:val="24"/>
    </w:rPr>
  </w:style>
  <w:style w:type="paragraph" w:customStyle="1" w:styleId="11">
    <w:name w:val="日期1"/>
    <w:basedOn w:val="a"/>
    <w:next w:val="a"/>
    <w:link w:val="CharChar0"/>
    <w:rsid w:val="008826A8"/>
    <w:rPr>
      <w:sz w:val="24"/>
    </w:rPr>
  </w:style>
  <w:style w:type="paragraph" w:customStyle="1" w:styleId="12">
    <w:name w:val="正文缩进1"/>
    <w:basedOn w:val="a"/>
    <w:rsid w:val="008826A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8">
    <w:name w:val="caption"/>
    <w:basedOn w:val="a"/>
    <w:next w:val="a"/>
    <w:qFormat/>
    <w:rsid w:val="008826A8"/>
    <w:rPr>
      <w:rFonts w:ascii="Arial" w:eastAsia="黑体" w:hAnsi="Arial" w:cs="Arial"/>
      <w:sz w:val="20"/>
      <w:szCs w:val="20"/>
    </w:rPr>
  </w:style>
  <w:style w:type="paragraph" w:styleId="a9">
    <w:name w:val="Body Text"/>
    <w:basedOn w:val="a"/>
    <w:link w:val="Char3"/>
    <w:rsid w:val="008826A8"/>
    <w:rPr>
      <w:rFonts w:ascii="仿宋_GB2312" w:eastAsia="仿宋_GB2312" w:hAnsi="Times New Roman" w:cs="Times New Roman"/>
      <w:sz w:val="24"/>
      <w:szCs w:val="24"/>
    </w:rPr>
  </w:style>
  <w:style w:type="character" w:customStyle="1" w:styleId="Char3">
    <w:name w:val="正文文本 Char"/>
    <w:basedOn w:val="a0"/>
    <w:link w:val="a9"/>
    <w:rsid w:val="008826A8"/>
    <w:rPr>
      <w:rFonts w:ascii="仿宋_GB2312" w:eastAsia="仿宋_GB2312" w:hAnsi="Times New Roman" w:cs="Times New Roman"/>
      <w:sz w:val="24"/>
      <w:szCs w:val="24"/>
    </w:rPr>
  </w:style>
  <w:style w:type="character" w:customStyle="1" w:styleId="Char4">
    <w:name w:val="正文文本缩进 Char"/>
    <w:basedOn w:val="a0"/>
    <w:link w:val="aa"/>
    <w:rsid w:val="008826A8"/>
    <w:rPr>
      <w:rFonts w:ascii="Calibri" w:eastAsia="宋体" w:hAnsi="Calibri" w:cs="Times New Roman"/>
    </w:rPr>
  </w:style>
  <w:style w:type="paragraph" w:styleId="aa">
    <w:name w:val="Body Text Indent"/>
    <w:basedOn w:val="a"/>
    <w:link w:val="Char4"/>
    <w:rsid w:val="008826A8"/>
    <w:pPr>
      <w:spacing w:after="120"/>
      <w:ind w:leftChars="200" w:left="420"/>
    </w:pPr>
    <w:rPr>
      <w:rFonts w:ascii="Calibri" w:eastAsia="宋体" w:hAnsi="Calibri" w:cs="Times New Roman"/>
    </w:rPr>
  </w:style>
  <w:style w:type="character" w:customStyle="1" w:styleId="Char10">
    <w:name w:val="正文文本缩进 Char1"/>
    <w:basedOn w:val="a0"/>
    <w:link w:val="aa"/>
    <w:uiPriority w:val="99"/>
    <w:semiHidden/>
    <w:rsid w:val="008826A8"/>
  </w:style>
  <w:style w:type="paragraph" w:styleId="2">
    <w:name w:val="Body Text Indent 2"/>
    <w:basedOn w:val="a"/>
    <w:link w:val="2Char"/>
    <w:rsid w:val="008826A8"/>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8826A8"/>
    <w:rPr>
      <w:rFonts w:ascii="Times New Roman" w:eastAsia="宋体" w:hAnsi="Times New Roman" w:cs="Times New Roman"/>
      <w:szCs w:val="24"/>
    </w:rPr>
  </w:style>
  <w:style w:type="paragraph" w:styleId="20">
    <w:name w:val="Body Text 2"/>
    <w:basedOn w:val="a"/>
    <w:link w:val="2Char0"/>
    <w:rsid w:val="008826A8"/>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rsid w:val="008826A8"/>
    <w:rPr>
      <w:rFonts w:ascii="Times New Roman" w:eastAsia="宋体" w:hAnsi="Times New Roman" w:cs="Times New Roman"/>
      <w:szCs w:val="24"/>
    </w:rPr>
  </w:style>
  <w:style w:type="paragraph" w:styleId="30">
    <w:name w:val="Body Text 3"/>
    <w:basedOn w:val="a"/>
    <w:link w:val="3Char0"/>
    <w:rsid w:val="008826A8"/>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8826A8"/>
    <w:rPr>
      <w:rFonts w:ascii="Times New Roman" w:eastAsia="宋体" w:hAnsi="Times New Roman" w:cs="Times New Roman"/>
      <w:sz w:val="16"/>
      <w:szCs w:val="16"/>
    </w:rPr>
  </w:style>
  <w:style w:type="paragraph" w:styleId="ab">
    <w:name w:val="Document Map"/>
    <w:basedOn w:val="a"/>
    <w:link w:val="Char5"/>
    <w:uiPriority w:val="99"/>
    <w:semiHidden/>
    <w:unhideWhenUsed/>
    <w:rsid w:val="008826A8"/>
    <w:rPr>
      <w:rFonts w:ascii="宋体" w:eastAsia="宋体" w:hAnsi="Calibri" w:cs="Times New Roman"/>
      <w:sz w:val="18"/>
      <w:szCs w:val="18"/>
    </w:rPr>
  </w:style>
  <w:style w:type="character" w:customStyle="1" w:styleId="Char5">
    <w:name w:val="文档结构图 Char"/>
    <w:basedOn w:val="a0"/>
    <w:link w:val="ab"/>
    <w:uiPriority w:val="99"/>
    <w:semiHidden/>
    <w:rsid w:val="008826A8"/>
    <w:rPr>
      <w:rFonts w:ascii="宋体" w:eastAsia="宋体" w:hAnsi="Calibri" w:cs="Times New Roman"/>
      <w:sz w:val="18"/>
      <w:szCs w:val="18"/>
    </w:rPr>
  </w:style>
  <w:style w:type="character" w:styleId="ac">
    <w:name w:val="annotation reference"/>
    <w:basedOn w:val="a0"/>
    <w:rsid w:val="008826A8"/>
    <w:rPr>
      <w:sz w:val="21"/>
      <w:szCs w:val="21"/>
    </w:rPr>
  </w:style>
  <w:style w:type="paragraph" w:styleId="ad">
    <w:name w:val="annotation text"/>
    <w:basedOn w:val="a"/>
    <w:link w:val="Char6"/>
    <w:rsid w:val="008826A8"/>
    <w:pPr>
      <w:jc w:val="left"/>
    </w:pPr>
    <w:rPr>
      <w:rFonts w:ascii="Times New Roman" w:eastAsia="宋体" w:hAnsi="Times New Roman" w:cs="Times New Roman"/>
      <w:szCs w:val="24"/>
    </w:rPr>
  </w:style>
  <w:style w:type="character" w:customStyle="1" w:styleId="Char6">
    <w:name w:val="批注文字 Char"/>
    <w:basedOn w:val="a0"/>
    <w:link w:val="ad"/>
    <w:rsid w:val="008826A8"/>
    <w:rPr>
      <w:rFonts w:ascii="Times New Roman" w:eastAsia="宋体" w:hAnsi="Times New Roman" w:cs="Times New Roman"/>
      <w:szCs w:val="24"/>
    </w:rPr>
  </w:style>
  <w:style w:type="paragraph" w:styleId="ae">
    <w:name w:val="annotation subject"/>
    <w:basedOn w:val="ad"/>
    <w:next w:val="ad"/>
    <w:link w:val="Char7"/>
    <w:uiPriority w:val="99"/>
    <w:semiHidden/>
    <w:unhideWhenUsed/>
    <w:rsid w:val="008826A8"/>
    <w:rPr>
      <w:rFonts w:ascii="Calibri" w:hAnsi="Calibri"/>
      <w:b/>
      <w:bCs/>
      <w:szCs w:val="22"/>
    </w:rPr>
  </w:style>
  <w:style w:type="character" w:customStyle="1" w:styleId="Char7">
    <w:name w:val="批注主题 Char"/>
    <w:basedOn w:val="Char6"/>
    <w:link w:val="ae"/>
    <w:uiPriority w:val="99"/>
    <w:semiHidden/>
    <w:rsid w:val="008826A8"/>
    <w:rPr>
      <w:rFonts w:ascii="Calibri" w:hAnsi="Calibri"/>
      <w:b/>
      <w:bCs/>
    </w:rPr>
  </w:style>
  <w:style w:type="character" w:styleId="af">
    <w:name w:val="Hyperlink"/>
    <w:basedOn w:val="a0"/>
    <w:uiPriority w:val="99"/>
    <w:unhideWhenUsed/>
    <w:rsid w:val="008826A8"/>
    <w:rPr>
      <w:color w:val="0000FF"/>
      <w:u w:val="single"/>
    </w:rPr>
  </w:style>
  <w:style w:type="character" w:customStyle="1" w:styleId="show-img-bd">
    <w:name w:val="show-img-bd"/>
    <w:basedOn w:val="a0"/>
    <w:rsid w:val="008826A8"/>
  </w:style>
  <w:style w:type="paragraph" w:styleId="TOC">
    <w:name w:val="TOC Heading"/>
    <w:basedOn w:val="1"/>
    <w:next w:val="a"/>
    <w:uiPriority w:val="39"/>
    <w:semiHidden/>
    <w:unhideWhenUsed/>
    <w:qFormat/>
    <w:rsid w:val="008826A8"/>
    <w:pPr>
      <w:widowControl/>
      <w:spacing w:before="480" w:after="0" w:line="276" w:lineRule="auto"/>
      <w:jc w:val="left"/>
      <w:outlineLvl w:val="9"/>
    </w:pPr>
    <w:rPr>
      <w:rFonts w:ascii="Cambria" w:hAnsi="Cambria"/>
      <w:color w:val="365F91"/>
      <w:kern w:val="0"/>
      <w:sz w:val="28"/>
      <w:szCs w:val="28"/>
    </w:rPr>
  </w:style>
  <w:style w:type="paragraph" w:styleId="13">
    <w:name w:val="toc 1"/>
    <w:basedOn w:val="a"/>
    <w:next w:val="a"/>
    <w:autoRedefine/>
    <w:uiPriority w:val="39"/>
    <w:unhideWhenUsed/>
    <w:rsid w:val="008826A8"/>
    <w:rPr>
      <w:rFonts w:ascii="Calibri" w:eastAsia="宋体" w:hAnsi="Calibri" w:cs="Times New Roman"/>
    </w:rPr>
  </w:style>
  <w:style w:type="paragraph" w:styleId="21">
    <w:name w:val="toc 2"/>
    <w:basedOn w:val="a"/>
    <w:next w:val="a"/>
    <w:autoRedefine/>
    <w:uiPriority w:val="39"/>
    <w:unhideWhenUsed/>
    <w:rsid w:val="008826A8"/>
    <w:pPr>
      <w:ind w:leftChars="200" w:left="420"/>
    </w:pPr>
    <w:rPr>
      <w:rFonts w:ascii="Calibri" w:eastAsia="宋体" w:hAnsi="Calibri" w:cs="Times New Roman"/>
    </w:rPr>
  </w:style>
  <w:style w:type="paragraph" w:styleId="31">
    <w:name w:val="toc 3"/>
    <w:basedOn w:val="a"/>
    <w:next w:val="a"/>
    <w:autoRedefine/>
    <w:uiPriority w:val="39"/>
    <w:unhideWhenUsed/>
    <w:rsid w:val="008826A8"/>
    <w:pPr>
      <w:ind w:leftChars="400" w:left="84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18</cp:revision>
  <dcterms:created xsi:type="dcterms:W3CDTF">2018-06-07T07:23:00Z</dcterms:created>
  <dcterms:modified xsi:type="dcterms:W3CDTF">2018-06-07T07:55:00Z</dcterms:modified>
</cp:coreProperties>
</file>