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许昌市建设投资有限责任公司“</w:t>
      </w:r>
      <w:r>
        <w:fldChar w:fldCharType="begin"/>
      </w:r>
      <w:r>
        <w:instrText xml:space="preserve"> HYPERLINK "http://www.hnwxzb.com/wxzb/ywgl/project_projMain.action?mkcode=XMGL_LIST&amp;projId=3464&amp;actionUrl=mkcode%3DXMGL_LIST" </w:instrText>
      </w:r>
      <w:r>
        <w:fldChar w:fldCharType="separate"/>
      </w:r>
      <w:r>
        <w:rPr>
          <w:rFonts w:hint="eastAsia" w:asciiTheme="majorEastAsia" w:hAnsiTheme="majorEastAsia" w:eastAsiaTheme="majorEastAsia" w:cstheme="majorEastAsia"/>
          <w:b/>
          <w:bCs/>
          <w:sz w:val="44"/>
          <w:szCs w:val="44"/>
        </w:rPr>
        <w:t>郑州机场至许昌市域铁路工程许昌段全过程工程造价咨询服务</w:t>
      </w:r>
      <w:r>
        <w:rPr>
          <w:rFonts w:hint="eastAsia" w:asciiTheme="majorEastAsia" w:hAnsiTheme="majorEastAsia" w:eastAsiaTheme="majorEastAsia" w:cstheme="majorEastAsia"/>
          <w:b/>
          <w:bCs/>
          <w:sz w:val="44"/>
          <w:szCs w:val="44"/>
        </w:rPr>
        <w:fldChar w:fldCharType="end"/>
      </w:r>
      <w:r>
        <w:rPr>
          <w:rFonts w:hint="eastAsia" w:asciiTheme="majorEastAsia" w:hAnsiTheme="majorEastAsia" w:eastAsiaTheme="majorEastAsia" w:cstheme="majorEastAsia"/>
          <w:b/>
          <w:bCs/>
          <w:sz w:val="44"/>
          <w:szCs w:val="44"/>
        </w:rPr>
        <w:t>”项目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项目编号：GZCG-G2018004-1号</w:t>
      </w:r>
    </w:p>
    <w:p>
      <w:pPr>
        <w:ind w:firstLine="1084" w:firstLineChars="300"/>
        <w:rPr>
          <w:rFonts w:asciiTheme="majorEastAsia" w:hAnsiTheme="majorEastAsia" w:eastAsiaTheme="majorEastAsia" w:cstheme="majorEastAsia"/>
          <w:b/>
          <w:sz w:val="36"/>
          <w:szCs w:val="36"/>
          <w:shd w:val="clear" w:color="auto" w:fill="FFFFFF"/>
        </w:rPr>
      </w:pPr>
      <w:r>
        <w:rPr>
          <w:rFonts w:hint="eastAsia" w:asciiTheme="majorEastAsia" w:hAnsiTheme="majorEastAsia" w:eastAsiaTheme="majorEastAsia" w:cstheme="majorEastAsia"/>
          <w:b/>
          <w:bCs/>
          <w:sz w:val="36"/>
          <w:szCs w:val="36"/>
        </w:rPr>
        <w:t>采购单位：许昌市建设投资有限责任公司</w:t>
      </w:r>
    </w:p>
    <w:p>
      <w:pPr>
        <w:ind w:firstLine="1084" w:firstLineChars="300"/>
        <w:rPr>
          <w:rFonts w:asciiTheme="majorEastAsia" w:hAnsiTheme="majorEastAsia" w:eastAsiaTheme="majorEastAsia" w:cstheme="majorEastAsia"/>
          <w:b/>
          <w:sz w:val="36"/>
          <w:szCs w:val="36"/>
          <w:shd w:val="clear" w:color="auto" w:fill="FFFFFF"/>
        </w:rPr>
      </w:pPr>
      <w:r>
        <w:rPr>
          <w:rFonts w:hint="eastAsia" w:asciiTheme="majorEastAsia" w:hAnsiTheme="majorEastAsia" w:eastAsiaTheme="majorEastAsia" w:cstheme="majorEastAsia"/>
          <w:b/>
          <w:sz w:val="36"/>
          <w:szCs w:val="36"/>
          <w:shd w:val="clear" w:color="auto" w:fill="FFFFFF"/>
        </w:rPr>
        <w:t>代理机构：河南招标采购服务有限公司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二〇一八年五月八日</w:t>
      </w:r>
    </w:p>
    <w:p>
      <w:pPr>
        <w:jc w:val="cente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0"/>
        <w:widowControl/>
        <w:shd w:val="clear" w:color="auto" w:fill="FFFFFF"/>
        <w:spacing w:line="315" w:lineRule="atLeast"/>
        <w:jc w:val="center"/>
        <w:rPr>
          <w:rFonts w:ascii="宋体" w:hAnsi="宋体" w:cs="宋体"/>
          <w:b/>
          <w:sz w:val="36"/>
          <w:szCs w:val="36"/>
          <w:shd w:val="clear" w:color="auto" w:fill="FFFFFF"/>
        </w:rPr>
        <w:sectPr>
          <w:pgSz w:w="11906" w:h="16838"/>
          <w:pgMar w:top="1417" w:right="1587" w:bottom="1417" w:left="1587" w:header="851" w:footer="992" w:gutter="0"/>
          <w:cols w:space="720" w:num="1"/>
          <w:docGrid w:type="lines" w:linePitch="326" w:charSpace="0"/>
        </w:sectPr>
      </w:pPr>
    </w:p>
    <w:p>
      <w:pPr>
        <w:pStyle w:val="10"/>
        <w:widowControl/>
        <w:shd w:val="clear" w:color="auto" w:fill="FFFFFF"/>
        <w:spacing w:line="315" w:lineRule="atLeast"/>
        <w:jc w:val="center"/>
        <w:rPr>
          <w:rFonts w:ascii="仿宋_GB2312" w:hAnsi="仿宋_GB2312" w:eastAsia="仿宋_GB2312" w:cs="仿宋_GB2312"/>
          <w:sz w:val="32"/>
          <w:szCs w:val="32"/>
          <w:shd w:val="clear" w:color="auto" w:fill="FFFFFF"/>
        </w:rPr>
      </w:pPr>
      <w:r>
        <w:rPr>
          <w:rFonts w:hint="eastAsia" w:ascii="宋体" w:hAnsi="宋体" w:cs="宋体"/>
          <w:b/>
          <w:sz w:val="36"/>
          <w:szCs w:val="36"/>
          <w:shd w:val="clear" w:color="auto" w:fill="FFFFFF"/>
        </w:rPr>
        <w:t>第一章 投标邀请</w:t>
      </w:r>
    </w:p>
    <w:p>
      <w:pPr>
        <w:pStyle w:val="10"/>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cs="黑体" w:asciiTheme="minorEastAsia" w:hAnsiTheme="minorEastAsia" w:eastAsiaTheme="minorEastAsia"/>
          <w:b/>
          <w:bCs/>
          <w:shd w:val="clear" w:color="auto" w:fill="FFFFFF"/>
        </w:rPr>
        <w:t xml:space="preserve">  一、项目基本情况</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（一）项目名称：郑州机场至许昌市域铁路工程许昌段全过程工程造价咨询服务</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（二）项目编号：GZCG-G2018004-1号    </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w:t>
      </w:r>
      <w:r>
        <w:rPr>
          <w:rFonts w:hint="eastAsia" w:cs="仿宋_GB2312" w:asciiTheme="minorEastAsia" w:hAnsiTheme="minorEastAsia" w:eastAsiaTheme="minorEastAsia"/>
          <w:shd w:val="clear" w:color="auto" w:fill="FFFFFF"/>
          <w:lang w:val="zh-CN"/>
        </w:rPr>
        <w:t>工程量清单编制，工程计量与支付审核，合同价款调整审核，设计变更及审核，竣工结算审核，成本控制，工程洽商、索赔、材料询价及其他相关造价咨询工作。</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w:t>
      </w:r>
      <w:r>
        <w:rPr>
          <w:rFonts w:hint="eastAsia" w:cs="仿宋_GB2312" w:asciiTheme="minorEastAsia" w:hAnsiTheme="minorEastAsia" w:eastAsiaTheme="minorEastAsia"/>
          <w:shd w:val="clear" w:color="auto" w:fill="FFFFFF"/>
          <w:lang w:val="zh-CN"/>
        </w:rPr>
        <w:t>预算金额：以经评审建安工程初步设计概算招标控制价的1.8‰ </w:t>
      </w:r>
      <w:r>
        <w:rPr>
          <w:rFonts w:hint="eastAsia" w:cs="仿宋_GB2312" w:asciiTheme="minorEastAsia" w:hAnsiTheme="minorEastAsia" w:eastAsiaTheme="minorEastAsia"/>
          <w:shd w:val="clear" w:color="auto" w:fill="FFFFFF"/>
        </w:rPr>
        <w:t xml:space="preserve"> </w:t>
      </w:r>
    </w:p>
    <w:p>
      <w:pPr>
        <w:pStyle w:val="10"/>
        <w:widowControl/>
        <w:shd w:val="clear" w:color="auto" w:fill="FFFFFF"/>
        <w:spacing w:line="360" w:lineRule="auto"/>
        <w:ind w:firstLine="1200" w:firstLineChars="500"/>
        <w:contextualSpacing/>
        <w:jc w:val="left"/>
        <w:rPr>
          <w:rFonts w:cs="仿宋_GB2312" w:asciiTheme="minorEastAsia" w:hAnsiTheme="minorEastAsia" w:eastAsiaTheme="minorEastAsia"/>
          <w:shd w:val="clear" w:color="auto" w:fill="FFFFFF"/>
          <w:lang w:val="zh-CN"/>
        </w:rPr>
      </w:pPr>
      <w:r>
        <w:rPr>
          <w:rFonts w:hint="eastAsia" w:cs="仿宋_GB2312" w:asciiTheme="minorEastAsia" w:hAnsiTheme="minorEastAsia" w:eastAsiaTheme="minorEastAsia"/>
          <w:shd w:val="clear" w:color="auto" w:fill="FFFFFF"/>
          <w:lang w:val="zh-CN"/>
        </w:rPr>
        <w:t>最高限价：以经评审建安工程初步设计概算招标控制价的1.8‰</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lang w:val="zh-CN"/>
        </w:rPr>
      </w:pPr>
      <w:r>
        <w:rPr>
          <w:rFonts w:hint="eastAsia" w:cs="仿宋_GB2312" w:asciiTheme="minorEastAsia" w:hAnsiTheme="minorEastAsia" w:eastAsiaTheme="minorEastAsia"/>
          <w:shd w:val="clear" w:color="auto" w:fill="FFFFFF"/>
        </w:rPr>
        <w:t>（六）</w:t>
      </w:r>
      <w:r>
        <w:rPr>
          <w:rFonts w:hint="eastAsia" w:cs="仿宋_GB2312" w:asciiTheme="minorEastAsia" w:hAnsiTheme="minorEastAsia" w:eastAsiaTheme="minorEastAsia"/>
          <w:shd w:val="clear" w:color="auto" w:fill="FFFFFF"/>
          <w:lang w:val="zh-CN"/>
        </w:rPr>
        <w:t>服务期限：从项目施工准备阶段开始直至竣工审计完成为止。</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lang w:val="zh-CN"/>
        </w:rPr>
      </w:pPr>
      <w:r>
        <w:rPr>
          <w:rFonts w:hint="eastAsia" w:cs="仿宋_GB2312" w:asciiTheme="minorEastAsia" w:hAnsiTheme="minorEastAsia" w:eastAsiaTheme="minorEastAsia"/>
          <w:shd w:val="clear" w:color="auto" w:fill="FFFFFF"/>
          <w:lang w:val="zh-CN"/>
        </w:rPr>
        <w:t>（</w:t>
      </w:r>
      <w:r>
        <w:rPr>
          <w:rFonts w:hint="eastAsia" w:cs="仿宋_GB2312" w:asciiTheme="minorEastAsia" w:hAnsiTheme="minorEastAsia" w:eastAsiaTheme="minorEastAsia"/>
          <w:shd w:val="clear" w:color="auto" w:fill="FFFFFF"/>
        </w:rPr>
        <w:t>七</w:t>
      </w:r>
      <w:r>
        <w:rPr>
          <w:rFonts w:hint="eastAsia" w:cs="仿宋_GB2312" w:asciiTheme="minorEastAsia" w:hAnsiTheme="minorEastAsia" w:eastAsiaTheme="minorEastAsia"/>
          <w:shd w:val="clear" w:color="auto" w:fill="FFFFFF"/>
          <w:lang w:val="zh-CN"/>
        </w:rPr>
        <w:t>）交付（服务、施工）地点：许昌市建安大道东段财政综合大楼18楼</w:t>
      </w:r>
    </w:p>
    <w:p>
      <w:pPr>
        <w:pStyle w:val="1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lang w:val="zh-CN"/>
        </w:rPr>
      </w:pPr>
      <w:r>
        <w:rPr>
          <w:rFonts w:hint="eastAsia" w:cs="仿宋_GB2312" w:asciiTheme="minorEastAsia" w:hAnsiTheme="minorEastAsia" w:eastAsiaTheme="minorEastAsia"/>
          <w:shd w:val="clear" w:color="auto" w:fill="FFFFFF"/>
          <w:lang w:val="zh-CN"/>
        </w:rPr>
        <w:t>（一）符合《中华人民共和国政府采购法》第二十二条之规定；</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lang w:val="zh-CN"/>
        </w:rPr>
      </w:pPr>
      <w:r>
        <w:rPr>
          <w:rFonts w:hint="eastAsia" w:cs="仿宋_GB2312" w:asciiTheme="minorEastAsia" w:hAnsiTheme="minorEastAsia" w:eastAsiaTheme="minorEastAsia"/>
          <w:shd w:val="clear" w:color="auto" w:fill="FFFFFF"/>
          <w:lang w:val="zh-CN"/>
        </w:rPr>
        <w:t>（二）投标人须具备住房城乡建设主管部门颁发的有效的工程造价咨询甲级资质证书；拟派项目负责人具有住房城乡建设主管部门颁发的有效的注册造价工程师证书，具有工程系列高级职称；</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lang w:val="zh-CN"/>
        </w:rPr>
      </w:pPr>
      <w:r>
        <w:rPr>
          <w:rFonts w:hint="eastAsia" w:cs="仿宋_GB2312" w:asciiTheme="minorEastAsia" w:hAnsiTheme="minorEastAsia" w:eastAsiaTheme="minorEastAsia"/>
          <w:shd w:val="clear" w:color="auto" w:fill="FFFFFF"/>
          <w:lang w:val="zh-CN"/>
        </w:rPr>
        <w:t xml:space="preserve"> (三)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lang w:val="zh-CN"/>
        </w:rPr>
      </w:pPr>
      <w:r>
        <w:rPr>
          <w:rFonts w:hint="eastAsia" w:cs="仿宋_GB2312" w:asciiTheme="minorEastAsia" w:hAnsiTheme="minorEastAsia" w:eastAsiaTheme="minorEastAsia"/>
          <w:shd w:val="clear" w:color="auto" w:fill="FFFFFF"/>
          <w:lang w:val="zh-CN"/>
        </w:rPr>
        <w:t>（四）本次招标不接受联合体投标。</w:t>
      </w:r>
    </w:p>
    <w:p>
      <w:pPr>
        <w:pStyle w:val="1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1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（一）投标截止及开标时间：2018年</w:t>
      </w:r>
      <w:r>
        <w:rPr>
          <w:rFonts w:hint="eastAsia" w:cs="仿宋_GB2312" w:asciiTheme="minorEastAsia" w:hAnsiTheme="minorEastAsia" w:eastAsiaTheme="minorEastAsia"/>
          <w:lang w:val="en-US" w:eastAsia="zh-CN"/>
        </w:rPr>
        <w:t>6</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1</w:t>
      </w:r>
      <w:r>
        <w:rPr>
          <w:rFonts w:hint="eastAsia" w:cs="仿宋_GB2312" w:asciiTheme="minorEastAsia" w:hAnsiTheme="minorEastAsia" w:eastAsiaTheme="minorEastAsia"/>
        </w:rPr>
        <w:t>日</w:t>
      </w:r>
      <w:r>
        <w:rPr>
          <w:rFonts w:hint="eastAsia" w:cs="仿宋_GB2312" w:asciiTheme="minorEastAsia" w:hAnsiTheme="minorEastAsia" w:eastAsiaTheme="minorEastAsia"/>
          <w:lang w:val="en-US" w:eastAsia="zh-CN"/>
        </w:rPr>
        <w:t>9</w:t>
      </w:r>
      <w:r>
        <w:rPr>
          <w:rFonts w:hint="eastAsia" w:cs="仿宋_GB2312" w:asciiTheme="minorEastAsia" w:hAnsiTheme="minorEastAsia" w:eastAsiaTheme="minorEastAsia"/>
        </w:rPr>
        <w:t>时</w:t>
      </w:r>
      <w:r>
        <w:rPr>
          <w:rFonts w:hint="eastAsia" w:cs="仿宋_GB2312" w:asciiTheme="minorEastAsia" w:hAnsiTheme="minorEastAsia" w:eastAsiaTheme="minorEastAsia"/>
          <w:lang w:val="en-US" w:eastAsia="zh-CN"/>
        </w:rPr>
        <w:t>30</w:t>
      </w:r>
      <w:r>
        <w:rPr>
          <w:rFonts w:hint="eastAsia" w:cs="仿宋_GB2312" w:asciiTheme="minorEastAsia" w:hAnsiTheme="minorEastAsia" w:eastAsiaTheme="minorEastAsia"/>
        </w:rPr>
        <w:t>分（北京时间），逾期提交或不符合规定的投标文件不予接受。</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（二）开标地点：许昌市公共资源交易中心（龙兴路与竹林路交汇处公共资源大厦）三楼开标</w:t>
      </w:r>
      <w:r>
        <w:rPr>
          <w:rFonts w:hint="eastAsia" w:cs="仿宋_GB2312" w:asciiTheme="minorEastAsia" w:hAnsiTheme="minorEastAsia" w:eastAsiaTheme="minorEastAsia"/>
          <w:lang w:val="en-US" w:eastAsia="zh-CN"/>
        </w:rPr>
        <w:t>四</w:t>
      </w:r>
      <w:r>
        <w:rPr>
          <w:rFonts w:hint="eastAsia" w:cs="仿宋_GB2312" w:asciiTheme="minorEastAsia" w:hAnsiTheme="minorEastAsia" w:eastAsiaTheme="minorEastAsia"/>
        </w:rPr>
        <w:t>室。</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1、加密电子投标文件（.file格式）须在投标截止时间（开标时间）前通过《全国公共资源交易平台(河南省▪许昌市)》公共资源交易系统成功上传。</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2、纸质投标文件（正本1份、副本2份）和备份文件1份（使用电子介质存储）在投标截止时间（开标时间）前递交至本项目开标地点。</w:t>
      </w:r>
    </w:p>
    <w:p>
      <w:pPr>
        <w:pStyle w:val="1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1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10"/>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采购人：许昌市建设投资有限责任公司</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址：许昌市建安大道东段财政综合大楼18楼</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联系人：刘晓亮 海腾蛟         联系电话：0374-2699018 0374-2699106</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p>
    <w:p>
      <w:pPr>
        <w:pStyle w:val="10"/>
        <w:widowControl/>
        <w:shd w:val="clear" w:color="auto" w:fill="FFFFFF"/>
        <w:spacing w:line="360" w:lineRule="auto"/>
        <w:ind w:left="479" w:leftChars="228"/>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代理机构：河南招标采购服务有限公司</w:t>
      </w:r>
      <w:r>
        <w:rPr>
          <w:rFonts w:hint="eastAsia" w:cs="仿宋_GB2312" w:asciiTheme="minorEastAsia" w:hAnsiTheme="minorEastAsia" w:eastAsiaTheme="minorEastAsia"/>
        </w:rPr>
        <w:br w:type="textWrapping"/>
      </w:r>
      <w:r>
        <w:rPr>
          <w:rFonts w:hint="eastAsia" w:cs="仿宋_GB2312" w:asciiTheme="minorEastAsia" w:hAnsiTheme="minorEastAsia" w:eastAsiaTheme="minorEastAsia"/>
        </w:rPr>
        <w:t>地 址：许昌市城乡一体化芙蓉大道芙蓉商务</w:t>
      </w:r>
      <w:r>
        <w:rPr>
          <w:rFonts w:hint="eastAsia" w:cs="仿宋_GB2312" w:asciiTheme="minorEastAsia" w:hAnsiTheme="minorEastAsia" w:eastAsiaTheme="minorEastAsia"/>
        </w:rPr>
        <w:br w:type="textWrapping"/>
      </w:r>
      <w:r>
        <w:rPr>
          <w:rFonts w:hint="eastAsia" w:cs="仿宋_GB2312" w:asciiTheme="minorEastAsia" w:hAnsiTheme="minorEastAsia" w:eastAsiaTheme="minorEastAsia"/>
        </w:rPr>
        <w:t>联 系 人：刘宝丰 李娅杰</w:t>
      </w:r>
      <w:r>
        <w:rPr>
          <w:rFonts w:hint="eastAsia" w:cs="仿宋_GB2312" w:asciiTheme="minorEastAsia" w:hAnsiTheme="minorEastAsia" w:eastAsiaTheme="minorEastAsia"/>
        </w:rPr>
        <w:br w:type="textWrapping"/>
      </w:r>
      <w:r>
        <w:rPr>
          <w:rFonts w:hint="eastAsia" w:cs="仿宋_GB2312" w:asciiTheme="minorEastAsia" w:hAnsiTheme="minorEastAsia" w:eastAsiaTheme="minorEastAsia"/>
        </w:rPr>
        <w:t xml:space="preserve">联系电话：0374-2219766  </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lang w:val="zh-CN"/>
        </w:rPr>
        <w:t xml:space="preserve">                              </w:t>
      </w:r>
      <w:r>
        <w:rPr>
          <w:rFonts w:hint="eastAsia" w:cs="仿宋_GB2312" w:asciiTheme="minorEastAsia" w:hAnsiTheme="minorEastAsia" w:eastAsiaTheme="minorEastAsia"/>
        </w:rPr>
        <w:t xml:space="preserve">            </w:t>
      </w:r>
      <w:r>
        <w:rPr>
          <w:rFonts w:hint="eastAsia" w:cs="仿宋_GB2312" w:asciiTheme="minorEastAsia" w:hAnsiTheme="minorEastAsia" w:eastAsiaTheme="minorEastAsia"/>
          <w:lang w:val="zh-CN"/>
        </w:rPr>
        <w:t xml:space="preserve"> </w:t>
      </w:r>
      <w:r>
        <w:rPr>
          <w:rFonts w:hint="eastAsia" w:cs="仿宋_GB2312" w:asciiTheme="minorEastAsia" w:hAnsiTheme="minorEastAsia" w:eastAsiaTheme="minorEastAsia"/>
        </w:rPr>
        <w:t>许昌市建设投资有限责任公司</w:t>
      </w:r>
    </w:p>
    <w:p>
      <w:pPr>
        <w:pStyle w:val="1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                                               二〇一八年</w:t>
      </w:r>
      <w:bookmarkStart w:id="15" w:name="_GoBack"/>
      <w:bookmarkEnd w:id="15"/>
      <w:r>
        <w:rPr>
          <w:rFonts w:hint="eastAsia" w:cs="仿宋_GB2312" w:asciiTheme="minorEastAsia" w:hAnsiTheme="minorEastAsia" w:eastAsiaTheme="minorEastAsia"/>
          <w:lang w:val="en-US" w:eastAsia="zh-CN"/>
        </w:rPr>
        <w:t>五</w:t>
      </w:r>
      <w:r>
        <w:rPr>
          <w:rFonts w:hint="eastAsia" w:cs="仿宋_GB2312" w:asciiTheme="minorEastAsia" w:hAnsiTheme="minorEastAsia" w:eastAsiaTheme="minorEastAsia"/>
        </w:rPr>
        <w:t>月</w:t>
      </w:r>
      <w:r>
        <w:rPr>
          <w:rFonts w:hint="eastAsia" w:cs="仿宋_GB2312" w:asciiTheme="minorEastAsia" w:hAnsiTheme="minorEastAsia" w:eastAsiaTheme="minorEastAsia"/>
          <w:lang w:eastAsia="zh-CN"/>
        </w:rPr>
        <w:t>十一</w:t>
      </w:r>
      <w:r>
        <w:rPr>
          <w:rFonts w:hint="eastAsia" w:cs="仿宋_GB2312" w:asciiTheme="minorEastAsia" w:hAnsiTheme="minorEastAsia" w:eastAsiaTheme="minorEastAsia"/>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12"/>
          <w:rFonts w:hAnsi="宋体"/>
          <w:color w:val="auto"/>
          <w:sz w:val="24"/>
          <w:szCs w:val="24"/>
        </w:rPr>
        <w:t>http://221.14.6.70:8088/ggzy/</w:t>
      </w:r>
      <w:r>
        <w:rPr>
          <w:rStyle w:val="12"/>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2"/>
          <w:rFonts w:hAnsi="宋体"/>
          <w:color w:val="auto"/>
          <w:sz w:val="24"/>
          <w:szCs w:val="24"/>
        </w:rPr>
        <w:t>http://221.14.6.70:8088/ggzy/</w:t>
      </w:r>
      <w:r>
        <w:rPr>
          <w:rStyle w:val="12"/>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rPr>
          <w:rFonts w:cs="仿宋_GB2312" w:asciiTheme="minorEastAsia" w:hAnsiTheme="minorEastAsia"/>
          <w:sz w:val="24"/>
          <w:szCs w:val="24"/>
        </w:rPr>
        <w:sectPr>
          <w:footerReference r:id="rId3" w:type="default"/>
          <w:pgSz w:w="11906" w:h="16838"/>
          <w:pgMar w:top="1417" w:right="1587" w:bottom="1417" w:left="1587" w:header="851" w:footer="992" w:gutter="0"/>
          <w:pgNumType w:start="1"/>
          <w:cols w:space="720" w:num="1"/>
          <w:docGrid w:type="lines" w:linePitch="326" w:charSpace="0"/>
        </w:sectPr>
      </w:pPr>
    </w:p>
    <w:p>
      <w:pPr>
        <w:pStyle w:val="2"/>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第二章 项目需求</w:t>
      </w:r>
    </w:p>
    <w:p>
      <w:pPr>
        <w:widowControl/>
        <w:shd w:val="clear" w:color="auto" w:fill="FFFFFF"/>
        <w:spacing w:line="360" w:lineRule="auto"/>
        <w:ind w:firstLine="482" w:firstLineChars="200"/>
        <w:contextualSpacing/>
        <w:jc w:val="left"/>
        <w:rPr>
          <w:rFonts w:ascii="楷体" w:hAnsi="楷体" w:eastAsia="楷体" w:cs="宋体"/>
          <w:kern w:val="0"/>
          <w:sz w:val="28"/>
          <w:szCs w:val="28"/>
        </w:rPr>
      </w:pPr>
      <w:r>
        <w:rPr>
          <w:rFonts w:hint="eastAsia" w:cs="黑体" w:asciiTheme="minorEastAsia" w:hAnsiTheme="minorEastAsia"/>
          <w:b/>
          <w:bCs/>
          <w:sz w:val="24"/>
          <w:szCs w:val="24"/>
          <w:shd w:val="clear" w:color="auto" w:fill="FFFFFF"/>
        </w:rPr>
        <w:t>一、本项目需实现的功能或者目标</w:t>
      </w:r>
      <w:r>
        <w:rPr>
          <w:rFonts w:hint="eastAsia" w:ascii="楷体" w:hAnsi="楷体" w:eastAsia="楷体" w:cs="宋体"/>
          <w:kern w:val="0"/>
          <w:sz w:val="28"/>
          <w:szCs w:val="28"/>
        </w:rPr>
        <w:t xml:space="preserve"> </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工程量清单编制，工程计量与支付审核，合同价款调整审核，设计变更及审核，竣工结算审核，成本控制，工程洽商、索赔、材料询价及其他相关造价咨询工作。</w:t>
      </w:r>
    </w:p>
    <w:p>
      <w:pPr>
        <w:spacing w:line="360" w:lineRule="auto"/>
        <w:ind w:firstLine="482" w:firstLineChars="200"/>
        <w:contextualSpacing/>
        <w:rPr>
          <w:rFonts w:cs="黑体" w:asciiTheme="minorEastAsia" w:hAnsiTheme="minorEastAsia"/>
          <w:b/>
          <w:bCs/>
          <w:sz w:val="24"/>
          <w:szCs w:val="24"/>
          <w:shd w:val="clear" w:color="auto" w:fill="FFFFFF"/>
        </w:rPr>
      </w:pPr>
      <w:r>
        <w:rPr>
          <w:rFonts w:hint="eastAsia" w:cs="微软雅黑" w:asciiTheme="minorEastAsia" w:hAnsiTheme="minorEastAsia"/>
          <w:b/>
          <w:sz w:val="24"/>
          <w:szCs w:val="24"/>
        </w:rPr>
        <w:t>★</w:t>
      </w:r>
      <w:r>
        <w:rPr>
          <w:rFonts w:hint="eastAsia" w:cs="黑体" w:asciiTheme="minorEastAsia" w:hAnsiTheme="minorEastAsia"/>
          <w:b/>
          <w:bCs/>
          <w:sz w:val="24"/>
          <w:szCs w:val="24"/>
          <w:shd w:val="clear" w:color="auto" w:fill="FFFFFF"/>
        </w:rPr>
        <w:t>二、采购清单</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lang w:val="zh-CN"/>
        </w:rPr>
        <w:t>本项目与规划建设的郑州机场至许昌市域铁路工程郑州段接轨，线路北起郑州与许昌市界，沿规划的工业路、魏武大道南行，止于许州路与天宝路交叉口，在京广高铁与许昌东站站前广场地下设许昌东站。线路长33.69公里，设站11座。设梅庄停车场一座，颍川大道、永兴东路2座主变电所，与郑州段共用郑州南控制中心。经许昌市发展和改革委员会以许发改投资审［2017］103号文批复的郑州机场至许昌市域铁路工程（许昌段）总概算核定表，本项目概算总投资约为98.79亿元，其中工程费用约为66.71亿元。</w:t>
      </w:r>
    </w:p>
    <w:p>
      <w:pPr>
        <w:widowControl/>
        <w:shd w:val="clear" w:color="auto" w:fill="FFFFFF"/>
        <w:spacing w:line="360" w:lineRule="auto"/>
        <w:ind w:firstLine="420" w:firstLineChars="200"/>
        <w:contextualSpacing/>
        <w:jc w:val="left"/>
        <w:rPr>
          <w:rFonts w:cs="宋体" w:asciiTheme="minorEastAsia" w:hAnsiTheme="minorEastAsia"/>
          <w:kern w:val="0"/>
          <w:sz w:val="24"/>
          <w:szCs w:val="24"/>
          <w:lang w:val="zh-CN"/>
        </w:rPr>
      </w:pPr>
      <w:r>
        <w:fldChar w:fldCharType="begin"/>
      </w:r>
      <w:r>
        <w:instrText xml:space="preserve"> HYPERLINK "http://www.hnwxzb.com/wxzb/ywgl/project_projMain.action?mkcode=XMGL_LIST&amp;projId=3464&amp;actionUrl=mkcode%3DXMGL_LIST" </w:instrText>
      </w:r>
      <w:r>
        <w:fldChar w:fldCharType="separate"/>
      </w:r>
      <w:r>
        <w:rPr>
          <w:rFonts w:hint="eastAsia" w:cs="宋体" w:asciiTheme="minorEastAsia" w:hAnsiTheme="minorEastAsia"/>
          <w:kern w:val="0"/>
          <w:sz w:val="24"/>
          <w:szCs w:val="24"/>
          <w:lang w:val="zh-CN"/>
        </w:rPr>
        <w:t>郑州机场至许昌市域铁路工程许昌段全过程工程造价咨询服务</w:t>
      </w:r>
      <w:r>
        <w:rPr>
          <w:rFonts w:hint="eastAsia" w:cs="宋体" w:asciiTheme="minorEastAsia" w:hAnsiTheme="minorEastAsia"/>
          <w:kern w:val="0"/>
          <w:sz w:val="24"/>
          <w:szCs w:val="24"/>
          <w:lang w:val="zh-CN"/>
        </w:rPr>
        <w:fldChar w:fldCharType="end"/>
      </w:r>
      <w:r>
        <w:rPr>
          <w:rFonts w:hint="eastAsia" w:cs="宋体" w:asciiTheme="minorEastAsia" w:hAnsiTheme="minorEastAsia"/>
          <w:kern w:val="0"/>
          <w:sz w:val="24"/>
          <w:szCs w:val="24"/>
        </w:rPr>
        <w:t>项目，主要内容为：</w:t>
      </w:r>
      <w:r>
        <w:rPr>
          <w:rFonts w:hint="eastAsia" w:cs="宋体" w:asciiTheme="minorEastAsia" w:hAnsiTheme="minorEastAsia"/>
          <w:kern w:val="0"/>
          <w:sz w:val="24"/>
          <w:szCs w:val="24"/>
          <w:lang w:val="zh-CN"/>
        </w:rPr>
        <w:t>工程量清单编制，工程计量与支付审核，合同价款调整审核，设计变更及审核，竣工结算审核，成本控制，工程洽商、索赔、材料询价及其他相关造价咨询工作。</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1、编制工程量清单：依据招标施工图、图纸会审纪要编制工程量清单，完成与施工总承包单位工程量清单的校对工作；相关工程造价指数统计分析工作。</w:t>
      </w:r>
    </w:p>
    <w:p>
      <w:pPr>
        <w:widowControl/>
        <w:shd w:val="clear" w:color="auto" w:fill="FFFFFF"/>
        <w:spacing w:line="360" w:lineRule="auto"/>
        <w:ind w:firstLine="480" w:firstLineChars="200"/>
        <w:contextualSpacing/>
        <w:jc w:val="left"/>
      </w:pPr>
      <w:r>
        <w:rPr>
          <w:rFonts w:hint="eastAsia" w:cs="宋体" w:asciiTheme="minorEastAsia" w:hAnsiTheme="minorEastAsia"/>
          <w:kern w:val="0"/>
          <w:sz w:val="24"/>
          <w:szCs w:val="24"/>
          <w:lang w:val="zh-CN"/>
        </w:rPr>
        <w:t>2、施工阶段，会同委托人统一变更口径、审查原则、审查方法，及时给委托人提供有关变更审核有关意见，参加变更审核会议，提出指导意见。在施工图完成后，根据工程情况，及时编制工程量并进行核算、对新增项目按照合同原则进行组价，分析各项工程数量、金额的增减情况。随工程实施进展，审查施工阶段中计量、支付、变更、洽商、索赔是否遵守施工合同的约定；对工程变更方案提出合理化建议；对计量、支付、变更、洽商、索赔等工程量及工程造价进行审核，并协助委托人进行审批。建立本工程造价管理台帐，维护管理计量支付系统，并进行动态管理，按月度向委托人提交分析报告，报告内容包括但不限于：本期计量、支付、变更、洽商与索赔情况分析、合同执行偏离情况（含原因、现状与处理建议）等。整理计量、支付、变更、洽商、索赔资料，按照委托人档案管理办法进行归档。相关工程造价指数统计分析工作。</w:t>
      </w:r>
      <w:r>
        <w:rPr>
          <w:rFonts w:hint="eastAsia" w:cs="宋体" w:asciiTheme="minorEastAsia" w:hAnsiTheme="minorEastAsia"/>
          <w:kern w:val="0"/>
          <w:sz w:val="24"/>
          <w:szCs w:val="24"/>
          <w:lang w:val="zh-CN"/>
        </w:rPr>
        <w:br w:type="textWrapping"/>
      </w: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lang w:val="zh-CN"/>
        </w:rPr>
        <w:t>3、编制、审核工程分阶段结算及工程竣工结算文件，及时对合同段范围内所服务工程的施工图纸、设计变更、签证等涉及价款变更的资料进行计算、审核；参与设计变更、签证和计量纠纷的现场鉴定、计量；并进行工程量、综合单价的核算、核定及费用归集，并形成过程成果资料；制定、调整工程分阶段结算及工程竣工结算审核总体工作计划，对分阶段结算及工程竣工结算审核工作进行动态管理；负责工程分阶段结算及工程竣工结算过程中信息资料的收集、整理、反馈，保障各方信息共享、交流顺畅；负责合同范围内的分阶段结算及工程竣工结算审核工作，并与被审核人进行谈判，直至达成一致；根据需要组织外部专家评审并承担相关费用。协助委托人做好政府审计配合工作。相关工程造价指数统计分析工作。</w:t>
      </w:r>
      <w:r>
        <w:rPr>
          <w:rFonts w:hint="eastAsia" w:cs="宋体" w:asciiTheme="minorEastAsia" w:hAnsiTheme="minorEastAsia"/>
          <w:kern w:val="0"/>
          <w:sz w:val="24"/>
          <w:szCs w:val="24"/>
          <w:lang w:val="zh-CN"/>
        </w:rPr>
        <w:br w:type="textWrapping"/>
      </w: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lang w:val="zh-CN"/>
        </w:rPr>
        <w:t>4、项目全寿命周期各阶段对应的概算的审查、分解，对比分析。相关工程造价指数统计分析工作。</w:t>
      </w:r>
    </w:p>
    <w:p>
      <w:pPr>
        <w:spacing w:line="360" w:lineRule="auto"/>
        <w:ind w:firstLine="482" w:firstLineChars="200"/>
        <w:contextualSpacing/>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1、符合国家、行业相关规范、标准的规定，成果确保满足业主使用要求并确保通过各相关部门评审。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zh-CN"/>
        </w:rPr>
        <w:t>质量标准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工程造价咨询成果文件应符合：《建设工程造价咨询规范》（GB/T51095-2015）、《建设工程造价咨询成果文件质量标准》（CECA/GC7-2012）。</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zh-CN"/>
        </w:rPr>
        <w:t>1、工程量清单编制要按照《建设工程工程量清单计价规范》GB50500-2013，清单编码连贯，按顺序排列，项目特征描述清楚明了，工程量单位准确。</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zh-CN"/>
        </w:rPr>
        <w:t>.</w:t>
      </w:r>
      <w:r>
        <w:rPr>
          <w:rFonts w:hint="eastAsia" w:cs="宋体" w:asciiTheme="minorEastAsia" w:hAnsiTheme="minorEastAsia"/>
          <w:kern w:val="0"/>
          <w:sz w:val="24"/>
          <w:szCs w:val="24"/>
        </w:rPr>
        <w:t>2、</w:t>
      </w:r>
      <w:r>
        <w:rPr>
          <w:rFonts w:hint="eastAsia" w:cs="宋体" w:asciiTheme="minorEastAsia" w:hAnsiTheme="minorEastAsia"/>
          <w:kern w:val="0"/>
          <w:sz w:val="24"/>
          <w:szCs w:val="24"/>
          <w:lang w:val="zh-CN"/>
        </w:rPr>
        <w:t>工程量要计算准确，不能漏项，误差率控制在±1%以内，单项造价误差率控制在±</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%以内（以财政评审结果为准），做到图纸、工程量清单、预算三对照。</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2.3、造价咨询人应对施工期出现的设计变更、索赔、现场签证进行造价审核，并对审核结果负责，单项造价误差率在±3%以内（以财政评审结果为准）。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2.4</w:t>
      </w:r>
      <w:r>
        <w:rPr>
          <w:rFonts w:hint="eastAsia" w:cs="宋体" w:asciiTheme="minorEastAsia" w:hAnsiTheme="minorEastAsia"/>
          <w:kern w:val="0"/>
          <w:sz w:val="24"/>
          <w:szCs w:val="24"/>
          <w:lang w:val="zh-CN"/>
        </w:rPr>
        <w:t>、成果文件要装订成册，并附成果文件电子版，满足《建设工程造价咨询成果文件质量标准 CECA/GC 7-2012》。</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2.5、</w:t>
      </w:r>
      <w:r>
        <w:rPr>
          <w:rFonts w:hint="eastAsia" w:cs="宋体" w:asciiTheme="minorEastAsia" w:hAnsiTheme="minorEastAsia"/>
          <w:kern w:val="0"/>
          <w:sz w:val="24"/>
          <w:szCs w:val="24"/>
          <w:lang w:val="zh-CN"/>
        </w:rPr>
        <w:t>工程计量与支付审核报告的编制应遵从承发包双方的合同约定，工程计量与支付审核报告的编制方法、编制深度等应符合《建设工程工程量清单计价规范》GB50500的有关规定。</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2.6、</w:t>
      </w:r>
      <w:r>
        <w:rPr>
          <w:rFonts w:hint="eastAsia" w:cs="宋体" w:asciiTheme="minorEastAsia" w:hAnsiTheme="minorEastAsia"/>
          <w:kern w:val="0"/>
          <w:sz w:val="24"/>
          <w:szCs w:val="24"/>
          <w:lang w:val="zh-CN"/>
        </w:rPr>
        <w:t>在相同的口径下，工程计量与支付审核报告的综合误差率应小于</w:t>
      </w: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 。</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2.7、</w:t>
      </w:r>
      <w:r>
        <w:rPr>
          <w:rFonts w:hint="eastAsia" w:cs="宋体" w:asciiTheme="minorEastAsia" w:hAnsiTheme="minorEastAsia"/>
          <w:kern w:val="0"/>
          <w:sz w:val="24"/>
          <w:szCs w:val="24"/>
          <w:lang w:val="zh-CN"/>
        </w:rPr>
        <w:t xml:space="preserve">合同价款调整成果文件的编制应遵从发承包双方的合同约定，合同价款调整成果文件的编制方法、编制深度等应符合《建设工程工程量清单计价规范》GB50500 。  </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2.8、</w:t>
      </w:r>
      <w:r>
        <w:rPr>
          <w:rFonts w:hint="eastAsia" w:cs="宋体" w:asciiTheme="minorEastAsia" w:hAnsiTheme="minorEastAsia"/>
          <w:kern w:val="0"/>
          <w:sz w:val="24"/>
          <w:szCs w:val="24"/>
          <w:lang w:val="zh-CN"/>
        </w:rPr>
        <w:t>相同口径下，合同价款调整成果文件，综合误差率应小于3% 。</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服务期限：从项目施工准备阶段开始直至竣工审计完成为止。</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 xml:space="preserve">1、 </w:t>
      </w:r>
      <w:r>
        <w:rPr>
          <w:rFonts w:hint="eastAsia" w:cs="宋体" w:asciiTheme="minorEastAsia" w:hAnsiTheme="minorEastAsia"/>
          <w:kern w:val="0"/>
          <w:sz w:val="24"/>
          <w:szCs w:val="24"/>
          <w:lang w:val="zh-CN"/>
        </w:rPr>
        <w:t>提交成果文件一览表（</w:t>
      </w:r>
      <w:r>
        <w:rPr>
          <w:rFonts w:hint="eastAsia" w:cs="宋体" w:asciiTheme="minorEastAsia" w:hAnsiTheme="minorEastAsia"/>
          <w:kern w:val="0"/>
          <w:sz w:val="24"/>
          <w:szCs w:val="24"/>
        </w:rPr>
        <w:t>包含但不限于以下内容</w:t>
      </w:r>
      <w:r>
        <w:rPr>
          <w:rFonts w:hint="eastAsia" w:cs="宋体" w:asciiTheme="minorEastAsia" w:hAnsiTheme="minorEastAsia"/>
          <w:kern w:val="0"/>
          <w:sz w:val="24"/>
          <w:szCs w:val="24"/>
          <w:lang w:val="zh-CN"/>
        </w:rPr>
        <w:t xml:space="preserve">） </w:t>
      </w:r>
    </w:p>
    <w:tbl>
      <w:tblPr>
        <w:tblStyle w:val="13"/>
        <w:tblW w:w="9598" w:type="dxa"/>
        <w:jc w:val="center"/>
        <w:tblInd w:w="0" w:type="dxa"/>
        <w:tblLayout w:type="fixed"/>
        <w:tblCellMar>
          <w:top w:w="0" w:type="dxa"/>
          <w:left w:w="108" w:type="dxa"/>
          <w:bottom w:w="0" w:type="dxa"/>
          <w:right w:w="108" w:type="dxa"/>
        </w:tblCellMar>
      </w:tblPr>
      <w:tblGrid>
        <w:gridCol w:w="1079"/>
        <w:gridCol w:w="1156"/>
        <w:gridCol w:w="3847"/>
        <w:gridCol w:w="3516"/>
      </w:tblGrid>
      <w:tr>
        <w:tblPrEx>
          <w:tblLayout w:type="fixed"/>
          <w:tblCellMar>
            <w:top w:w="0" w:type="dxa"/>
            <w:left w:w="108" w:type="dxa"/>
            <w:bottom w:w="0" w:type="dxa"/>
            <w:right w:w="108" w:type="dxa"/>
          </w:tblCellMar>
        </w:tblPrEx>
        <w:trPr>
          <w:trHeight w:val="454" w:hRule="atLeast"/>
          <w:jc w:val="center"/>
        </w:trPr>
        <w:tc>
          <w:tcPr>
            <w:tcW w:w="1079"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rPr>
                <w:kern w:val="0"/>
                <w:szCs w:val="21"/>
              </w:rPr>
            </w:pPr>
            <w:r>
              <w:rPr>
                <w:rFonts w:hAnsi="宋体"/>
                <w:kern w:val="0"/>
                <w:szCs w:val="21"/>
              </w:rPr>
              <w:t>服务阶段</w:t>
            </w:r>
            <w:r>
              <w:rPr>
                <w:kern w:val="0"/>
                <w:szCs w:val="21"/>
              </w:rPr>
              <w:t xml:space="preserve"> </w:t>
            </w:r>
          </w:p>
        </w:tc>
        <w:tc>
          <w:tcPr>
            <w:tcW w:w="1156" w:type="dxa"/>
            <w:tcBorders>
              <w:top w:val="single" w:color="000000" w:sz="4" w:space="0"/>
              <w:left w:val="nil"/>
              <w:bottom w:val="single" w:color="auto" w:sz="4" w:space="0"/>
              <w:right w:val="single" w:color="000000" w:sz="4" w:space="0"/>
            </w:tcBorders>
            <w:vAlign w:val="center"/>
          </w:tcPr>
          <w:p>
            <w:pPr>
              <w:widowControl/>
              <w:spacing w:line="440" w:lineRule="exact"/>
              <w:jc w:val="center"/>
              <w:rPr>
                <w:kern w:val="0"/>
                <w:szCs w:val="21"/>
              </w:rPr>
            </w:pPr>
            <w:r>
              <w:rPr>
                <w:rFonts w:hAnsi="宋体"/>
                <w:kern w:val="0"/>
                <w:szCs w:val="21"/>
              </w:rPr>
              <w:t>成果文件名称</w:t>
            </w:r>
            <w:r>
              <w:rPr>
                <w:kern w:val="0"/>
                <w:szCs w:val="21"/>
              </w:rPr>
              <w:t xml:space="preserve"> </w:t>
            </w:r>
          </w:p>
        </w:tc>
        <w:tc>
          <w:tcPr>
            <w:tcW w:w="3847" w:type="dxa"/>
            <w:tcBorders>
              <w:top w:val="single" w:color="000000" w:sz="4" w:space="0"/>
              <w:left w:val="nil"/>
              <w:bottom w:val="single" w:color="auto" w:sz="4" w:space="0"/>
              <w:right w:val="single" w:color="000000" w:sz="4" w:space="0"/>
            </w:tcBorders>
            <w:vAlign w:val="center"/>
          </w:tcPr>
          <w:p>
            <w:pPr>
              <w:widowControl/>
              <w:spacing w:line="440" w:lineRule="exact"/>
              <w:jc w:val="center"/>
              <w:rPr>
                <w:kern w:val="0"/>
                <w:szCs w:val="21"/>
              </w:rPr>
            </w:pPr>
            <w:r>
              <w:rPr>
                <w:rFonts w:hAnsi="宋体"/>
                <w:kern w:val="0"/>
                <w:szCs w:val="21"/>
              </w:rPr>
              <w:t>成果文件组成</w:t>
            </w:r>
            <w:r>
              <w:rPr>
                <w:kern w:val="0"/>
                <w:szCs w:val="21"/>
              </w:rPr>
              <w:t xml:space="preserve"> </w:t>
            </w:r>
          </w:p>
        </w:tc>
        <w:tc>
          <w:tcPr>
            <w:tcW w:w="3516" w:type="dxa"/>
            <w:tcBorders>
              <w:top w:val="single" w:color="000000" w:sz="4" w:space="0"/>
              <w:left w:val="nil"/>
              <w:bottom w:val="single" w:color="auto" w:sz="4" w:space="0"/>
              <w:right w:val="single" w:color="000000" w:sz="4" w:space="0"/>
            </w:tcBorders>
            <w:vAlign w:val="center"/>
          </w:tcPr>
          <w:p>
            <w:pPr>
              <w:widowControl/>
              <w:spacing w:line="440" w:lineRule="exact"/>
              <w:jc w:val="center"/>
              <w:rPr>
                <w:kern w:val="0"/>
                <w:szCs w:val="21"/>
              </w:rPr>
            </w:pPr>
            <w:r>
              <w:rPr>
                <w:rFonts w:hAnsi="宋体"/>
                <w:kern w:val="0"/>
                <w:szCs w:val="21"/>
              </w:rPr>
              <w:t>质量标准</w:t>
            </w:r>
            <w:r>
              <w:rPr>
                <w:kern w:val="0"/>
                <w:szCs w:val="21"/>
              </w:rPr>
              <w:t xml:space="preserve"> </w:t>
            </w:r>
          </w:p>
        </w:tc>
      </w:tr>
      <w:tr>
        <w:tblPrEx>
          <w:tblLayout w:type="fixed"/>
          <w:tblCellMar>
            <w:top w:w="0" w:type="dxa"/>
            <w:left w:w="108" w:type="dxa"/>
            <w:bottom w:w="0" w:type="dxa"/>
            <w:right w:w="108" w:type="dxa"/>
          </w:tblCellMar>
        </w:tblPrEx>
        <w:trPr>
          <w:trHeight w:val="454" w:hRule="atLeas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kern w:val="0"/>
                <w:szCs w:val="21"/>
              </w:rPr>
              <w:t xml:space="preserve"> </w:t>
            </w:r>
          </w:p>
          <w:p>
            <w:pPr>
              <w:widowControl/>
              <w:spacing w:line="440" w:lineRule="exact"/>
              <w:jc w:val="center"/>
              <w:rPr>
                <w:kern w:val="0"/>
                <w:szCs w:val="21"/>
              </w:rPr>
            </w:pPr>
            <w:r>
              <w:rPr>
                <w:rFonts w:hAnsi="宋体"/>
                <w:kern w:val="0"/>
                <w:szCs w:val="21"/>
              </w:rPr>
              <w:t>实施阶段</w:t>
            </w:r>
            <w:r>
              <w:rPr>
                <w:kern w:val="0"/>
                <w:szCs w:val="21"/>
              </w:rPr>
              <w:t xml:space="preserve"> </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kern w:val="0"/>
                <w:szCs w:val="21"/>
              </w:rPr>
              <w:t>工程量清单</w:t>
            </w:r>
            <w:r>
              <w:rPr>
                <w:rFonts w:hint="eastAsia"/>
                <w:kern w:val="0"/>
                <w:szCs w:val="21"/>
              </w:rPr>
              <w:t>编制</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pPr>
            <w:r>
              <w:rPr>
                <w:kern w:val="0"/>
                <w:szCs w:val="21"/>
              </w:rPr>
              <w:t>工程量清单封面</w:t>
            </w:r>
            <w:r>
              <w:rPr>
                <w:rFonts w:hint="eastAsia"/>
                <w:kern w:val="0"/>
                <w:szCs w:val="21"/>
              </w:rPr>
              <w:t>、</w:t>
            </w:r>
            <w:r>
              <w:rPr>
                <w:kern w:val="0"/>
                <w:szCs w:val="21"/>
              </w:rPr>
              <w:t>总说明</w:t>
            </w:r>
            <w:r>
              <w:rPr>
                <w:rFonts w:hint="eastAsia"/>
                <w:kern w:val="0"/>
                <w:szCs w:val="21"/>
              </w:rPr>
              <w:t>、</w:t>
            </w:r>
            <w:r>
              <w:rPr>
                <w:kern w:val="0"/>
                <w:szCs w:val="21"/>
              </w:rPr>
              <w:t>工程项目汇总表</w:t>
            </w:r>
            <w:r>
              <w:rPr>
                <w:rFonts w:hint="eastAsia"/>
                <w:kern w:val="0"/>
                <w:szCs w:val="21"/>
              </w:rPr>
              <w:t>、</w:t>
            </w:r>
            <w:r>
              <w:rPr>
                <w:kern w:val="0"/>
                <w:szCs w:val="21"/>
              </w:rPr>
              <w:t>单项工程汇总表</w:t>
            </w:r>
            <w:r>
              <w:rPr>
                <w:rFonts w:hint="eastAsia"/>
                <w:kern w:val="0"/>
                <w:szCs w:val="21"/>
              </w:rPr>
              <w:t>、</w:t>
            </w:r>
            <w:r>
              <w:rPr>
                <w:kern w:val="0"/>
                <w:szCs w:val="21"/>
              </w:rPr>
              <w:t>单位工程汇总表</w:t>
            </w:r>
            <w:r>
              <w:rPr>
                <w:rFonts w:hint="eastAsia"/>
                <w:kern w:val="0"/>
                <w:szCs w:val="21"/>
              </w:rPr>
              <w:t>、</w:t>
            </w:r>
            <w:r>
              <w:rPr>
                <w:kern w:val="0"/>
                <w:szCs w:val="21"/>
              </w:rPr>
              <w:t>分部分项工程量清单表</w:t>
            </w:r>
            <w:r>
              <w:rPr>
                <w:rFonts w:hint="eastAsia"/>
                <w:kern w:val="0"/>
                <w:szCs w:val="21"/>
              </w:rPr>
              <w:t>、</w:t>
            </w:r>
            <w:r>
              <w:rPr>
                <w:kern w:val="0"/>
                <w:szCs w:val="21"/>
              </w:rPr>
              <w:t>措施项目清单表</w:t>
            </w:r>
            <w:r>
              <w:rPr>
                <w:rFonts w:hint="eastAsia"/>
                <w:kern w:val="0"/>
                <w:szCs w:val="21"/>
              </w:rPr>
              <w:t>、</w:t>
            </w:r>
            <w:r>
              <w:rPr>
                <w:kern w:val="0"/>
                <w:szCs w:val="21"/>
              </w:rPr>
              <w:t>其他项目清单表</w:t>
            </w:r>
            <w:r>
              <w:rPr>
                <w:rFonts w:hint="eastAsia"/>
                <w:kern w:val="0"/>
                <w:szCs w:val="21"/>
              </w:rPr>
              <w:t>、</w:t>
            </w:r>
            <w:r>
              <w:rPr>
                <w:kern w:val="0"/>
                <w:szCs w:val="21"/>
              </w:rPr>
              <w:t>规费</w:t>
            </w:r>
            <w:r>
              <w:rPr>
                <w:rFonts w:hint="eastAsia"/>
                <w:kern w:val="0"/>
                <w:szCs w:val="21"/>
              </w:rPr>
              <w:t>/税金项目清单表等。</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kern w:val="0"/>
                <w:szCs w:val="21"/>
              </w:rPr>
              <w:t>符合现行国家标准</w:t>
            </w:r>
            <w:r>
              <w:rPr>
                <w:rFonts w:hint="eastAsia"/>
                <w:kern w:val="0"/>
                <w:szCs w:val="21"/>
              </w:rPr>
              <w:t>《建设工程工程量清单计价规范》GB50500的有关规定，误差率应小于3％</w:t>
            </w:r>
          </w:p>
        </w:tc>
      </w:tr>
      <w:tr>
        <w:tblPrEx>
          <w:tblLayout w:type="fixed"/>
          <w:tblCellMar>
            <w:top w:w="0" w:type="dxa"/>
            <w:left w:w="108" w:type="dxa"/>
            <w:bottom w:w="0" w:type="dxa"/>
            <w:right w:w="108" w:type="dxa"/>
          </w:tblCellMar>
        </w:tblPrEx>
        <w:trPr>
          <w:trHeight w:val="454"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rFonts w:hint="eastAsia"/>
                <w:kern w:val="0"/>
                <w:szCs w:val="21"/>
              </w:rPr>
              <w:t>工程计量与支付</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kern w:val="0"/>
                <w:szCs w:val="21"/>
              </w:rPr>
              <w:t>工程计量与支付审核报告</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kern w:val="0"/>
                <w:szCs w:val="21"/>
              </w:rPr>
              <w:t>符合现行国家标准</w:t>
            </w:r>
            <w:r>
              <w:rPr>
                <w:rFonts w:hint="eastAsia"/>
                <w:kern w:val="0"/>
                <w:szCs w:val="21"/>
              </w:rPr>
              <w:t>《建设工程工程量清单计价规范》GB50500的有关规定，误差率应小于3％</w:t>
            </w:r>
          </w:p>
        </w:tc>
      </w:tr>
      <w:tr>
        <w:tblPrEx>
          <w:tblLayout w:type="fixed"/>
          <w:tblCellMar>
            <w:top w:w="0" w:type="dxa"/>
            <w:left w:w="108" w:type="dxa"/>
            <w:bottom w:w="0" w:type="dxa"/>
            <w:right w:w="108" w:type="dxa"/>
          </w:tblCellMar>
        </w:tblPrEx>
        <w:trPr>
          <w:trHeight w:val="1364"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rFonts w:hint="eastAsia"/>
                <w:kern w:val="0"/>
                <w:szCs w:val="21"/>
              </w:rPr>
              <w:t>设计变更及审核</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rFonts w:hint="eastAsia"/>
                <w:kern w:val="0"/>
                <w:szCs w:val="21"/>
              </w:rPr>
              <w:t>设计变更审核报告</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kern w:val="0"/>
                <w:szCs w:val="21"/>
              </w:rPr>
              <w:t>符合现行国家标准</w:t>
            </w:r>
            <w:r>
              <w:rPr>
                <w:rFonts w:hint="eastAsia"/>
                <w:kern w:val="0"/>
                <w:szCs w:val="21"/>
              </w:rPr>
              <w:t>《建设工程工程量清单计价规范》GB50500的有关规定</w:t>
            </w:r>
          </w:p>
        </w:tc>
      </w:tr>
      <w:tr>
        <w:tblPrEx>
          <w:tblLayout w:type="fixed"/>
          <w:tblCellMar>
            <w:top w:w="0" w:type="dxa"/>
            <w:left w:w="108" w:type="dxa"/>
            <w:bottom w:w="0" w:type="dxa"/>
            <w:right w:w="108" w:type="dxa"/>
          </w:tblCellMar>
        </w:tblPrEx>
        <w:trPr>
          <w:trHeight w:val="1546"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rFonts w:hint="eastAsia"/>
                <w:kern w:val="0"/>
                <w:szCs w:val="21"/>
              </w:rPr>
              <w:t>合同价款调整</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kern w:val="0"/>
                <w:szCs w:val="21"/>
              </w:rPr>
              <w:t>合同价款调整审核报告</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kern w:val="0"/>
                <w:szCs w:val="21"/>
              </w:rPr>
              <w:t>符合现行国家标准</w:t>
            </w:r>
            <w:r>
              <w:rPr>
                <w:rFonts w:hint="eastAsia"/>
                <w:kern w:val="0"/>
                <w:szCs w:val="21"/>
              </w:rPr>
              <w:t>《建设工程工程量清单计价规范》GB50500的有关规定，误差率应小于3％</w:t>
            </w:r>
          </w:p>
        </w:tc>
      </w:tr>
      <w:tr>
        <w:tblPrEx>
          <w:tblLayout w:type="fixed"/>
          <w:tblCellMar>
            <w:top w:w="0" w:type="dxa"/>
            <w:left w:w="108" w:type="dxa"/>
            <w:bottom w:w="0" w:type="dxa"/>
            <w:right w:w="108" w:type="dxa"/>
          </w:tblCellMar>
        </w:tblPrEx>
        <w:trPr>
          <w:trHeight w:val="1444"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rFonts w:hint="eastAsia"/>
                <w:kern w:val="0"/>
                <w:szCs w:val="21"/>
              </w:rPr>
              <w:t>成本控制</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rFonts w:hint="eastAsia"/>
                <w:kern w:val="0"/>
                <w:szCs w:val="21"/>
              </w:rPr>
              <w:t>成本分析报告及管理建议</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Cs w:val="21"/>
              </w:rPr>
            </w:pPr>
            <w:r>
              <w:rPr>
                <w:kern w:val="0"/>
                <w:szCs w:val="21"/>
              </w:rPr>
              <w:t>符合现行国家标准</w:t>
            </w:r>
            <w:r>
              <w:rPr>
                <w:rFonts w:hint="eastAsia"/>
                <w:kern w:val="0"/>
                <w:szCs w:val="21"/>
              </w:rPr>
              <w:t>《建设工程工程量清单计价规范》GB50500的有关规定</w:t>
            </w:r>
          </w:p>
        </w:tc>
      </w:tr>
      <w:tr>
        <w:tblPrEx>
          <w:tblLayout w:type="fixed"/>
          <w:tblCellMar>
            <w:top w:w="0" w:type="dxa"/>
            <w:left w:w="108" w:type="dxa"/>
            <w:bottom w:w="0" w:type="dxa"/>
            <w:right w:w="108" w:type="dxa"/>
          </w:tblCellMar>
        </w:tblPrEx>
        <w:trPr>
          <w:trHeight w:val="454" w:hRule="atLeast"/>
          <w:jc w:val="center"/>
        </w:trPr>
        <w:tc>
          <w:tcPr>
            <w:tcW w:w="1079"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rPr>
                <w:kern w:val="0"/>
                <w:szCs w:val="21"/>
              </w:rPr>
            </w:pPr>
            <w:r>
              <w:rPr>
                <w:rFonts w:hAnsi="宋体"/>
                <w:kern w:val="0"/>
                <w:szCs w:val="21"/>
              </w:rPr>
              <w:t>竣工阶段</w:t>
            </w:r>
            <w:r>
              <w:rPr>
                <w:kern w:val="0"/>
                <w:szCs w:val="21"/>
              </w:rPr>
              <w:t xml:space="preserve"> </w:t>
            </w:r>
          </w:p>
        </w:tc>
        <w:tc>
          <w:tcPr>
            <w:tcW w:w="1156" w:type="dxa"/>
            <w:tcBorders>
              <w:top w:val="single" w:color="auto" w:sz="4" w:space="0"/>
              <w:left w:val="nil"/>
              <w:bottom w:val="single" w:color="000000" w:sz="4" w:space="0"/>
              <w:right w:val="single" w:color="000000" w:sz="4" w:space="0"/>
            </w:tcBorders>
            <w:vAlign w:val="center"/>
          </w:tcPr>
          <w:p>
            <w:pPr>
              <w:widowControl/>
              <w:spacing w:line="440" w:lineRule="exact"/>
              <w:jc w:val="center"/>
              <w:rPr>
                <w:kern w:val="0"/>
                <w:szCs w:val="21"/>
              </w:rPr>
            </w:pPr>
            <w:r>
              <w:rPr>
                <w:kern w:val="0"/>
                <w:szCs w:val="21"/>
              </w:rPr>
              <w:t>竣工结算</w:t>
            </w:r>
          </w:p>
        </w:tc>
        <w:tc>
          <w:tcPr>
            <w:tcW w:w="3847" w:type="dxa"/>
            <w:tcBorders>
              <w:top w:val="single" w:color="auto" w:sz="4" w:space="0"/>
              <w:left w:val="nil"/>
              <w:bottom w:val="single" w:color="000000" w:sz="4" w:space="0"/>
              <w:right w:val="single" w:color="000000" w:sz="4" w:space="0"/>
            </w:tcBorders>
            <w:vAlign w:val="center"/>
          </w:tcPr>
          <w:p>
            <w:pPr>
              <w:widowControl/>
              <w:spacing w:line="440" w:lineRule="exact"/>
              <w:jc w:val="center"/>
              <w:rPr>
                <w:kern w:val="0"/>
                <w:szCs w:val="21"/>
              </w:rPr>
            </w:pPr>
            <w:r>
              <w:rPr>
                <w:kern w:val="0"/>
                <w:szCs w:val="21"/>
              </w:rPr>
              <w:t>竣工结算审查报告书封面</w:t>
            </w:r>
            <w:r>
              <w:rPr>
                <w:rFonts w:hint="eastAsia"/>
                <w:kern w:val="0"/>
                <w:szCs w:val="21"/>
              </w:rPr>
              <w:t>、</w:t>
            </w:r>
            <w:r>
              <w:rPr>
                <w:kern w:val="0"/>
                <w:szCs w:val="21"/>
              </w:rPr>
              <w:t>签署页</w:t>
            </w:r>
            <w:r>
              <w:rPr>
                <w:rFonts w:hint="eastAsia"/>
                <w:kern w:val="0"/>
                <w:szCs w:val="21"/>
              </w:rPr>
              <w:t>、</w:t>
            </w:r>
            <w:r>
              <w:rPr>
                <w:kern w:val="0"/>
                <w:szCs w:val="21"/>
              </w:rPr>
              <w:t>竣工结算审查报告书正文</w:t>
            </w:r>
            <w:r>
              <w:rPr>
                <w:rFonts w:hint="eastAsia"/>
                <w:kern w:val="0"/>
                <w:szCs w:val="21"/>
              </w:rPr>
              <w:t>、</w:t>
            </w:r>
            <w:r>
              <w:rPr>
                <w:kern w:val="0"/>
                <w:szCs w:val="21"/>
              </w:rPr>
              <w:t>竣工结算审定签署表</w:t>
            </w:r>
            <w:r>
              <w:rPr>
                <w:rFonts w:hint="eastAsia"/>
                <w:kern w:val="0"/>
                <w:szCs w:val="21"/>
              </w:rPr>
              <w:t>、</w:t>
            </w:r>
            <w:r>
              <w:rPr>
                <w:kern w:val="0"/>
                <w:szCs w:val="21"/>
              </w:rPr>
              <w:t>竣工结算审查汇总对比表</w:t>
            </w:r>
            <w:r>
              <w:rPr>
                <w:rFonts w:hint="eastAsia"/>
                <w:kern w:val="0"/>
                <w:szCs w:val="21"/>
              </w:rPr>
              <w:t>、</w:t>
            </w:r>
            <w:r>
              <w:rPr>
                <w:kern w:val="0"/>
                <w:szCs w:val="21"/>
              </w:rPr>
              <w:t>单项工程竣工结算审查汇总对比表</w:t>
            </w:r>
            <w:r>
              <w:rPr>
                <w:rFonts w:hint="eastAsia"/>
                <w:kern w:val="0"/>
                <w:szCs w:val="21"/>
              </w:rPr>
              <w:t>、</w:t>
            </w:r>
            <w:r>
              <w:rPr>
                <w:kern w:val="0"/>
                <w:szCs w:val="21"/>
              </w:rPr>
              <w:t>单位工程结算审查汇总对比表</w:t>
            </w:r>
            <w:r>
              <w:rPr>
                <w:rFonts w:hint="eastAsia"/>
                <w:kern w:val="0"/>
                <w:szCs w:val="21"/>
              </w:rPr>
              <w:t>、</w:t>
            </w:r>
            <w:r>
              <w:rPr>
                <w:kern w:val="0"/>
                <w:szCs w:val="21"/>
              </w:rPr>
              <w:t>分部分项</w:t>
            </w:r>
            <w:r>
              <w:rPr>
                <w:rFonts w:hint="eastAsia"/>
                <w:kern w:val="0"/>
                <w:szCs w:val="21"/>
              </w:rPr>
              <w:t>（措施、其他、零星）工程审查对比表等。</w:t>
            </w:r>
          </w:p>
        </w:tc>
        <w:tc>
          <w:tcPr>
            <w:tcW w:w="3516" w:type="dxa"/>
            <w:tcBorders>
              <w:top w:val="single" w:color="auto" w:sz="4" w:space="0"/>
              <w:left w:val="nil"/>
              <w:bottom w:val="single" w:color="000000" w:sz="4" w:space="0"/>
              <w:right w:val="single" w:color="000000" w:sz="4" w:space="0"/>
            </w:tcBorders>
            <w:vAlign w:val="center"/>
          </w:tcPr>
          <w:p>
            <w:pPr>
              <w:widowControl/>
              <w:spacing w:line="440" w:lineRule="exact"/>
              <w:jc w:val="center"/>
              <w:rPr>
                <w:kern w:val="0"/>
                <w:szCs w:val="21"/>
              </w:rPr>
            </w:pPr>
            <w:r>
              <w:rPr>
                <w:kern w:val="0"/>
                <w:szCs w:val="21"/>
              </w:rPr>
              <w:t>符合</w:t>
            </w:r>
            <w:r>
              <w:rPr>
                <w:rFonts w:hint="eastAsia"/>
                <w:kern w:val="0"/>
                <w:szCs w:val="21"/>
              </w:rPr>
              <w:t>《建设项目工程结算编审规程》（CECA/GC3）的有关规定</w:t>
            </w:r>
          </w:p>
        </w:tc>
      </w:tr>
      <w:tr>
        <w:tblPrEx>
          <w:tblLayout w:type="fixed"/>
          <w:tblCellMar>
            <w:top w:w="0" w:type="dxa"/>
            <w:left w:w="108" w:type="dxa"/>
            <w:bottom w:w="0" w:type="dxa"/>
            <w:right w:w="108" w:type="dxa"/>
          </w:tblCellMar>
        </w:tblPrEx>
        <w:trPr>
          <w:trHeight w:val="454" w:hRule="atLeast"/>
          <w:jc w:val="center"/>
        </w:trPr>
        <w:tc>
          <w:tcPr>
            <w:tcW w:w="1079"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rPr>
                <w:rFonts w:hAnsi="宋体"/>
                <w:kern w:val="0"/>
                <w:szCs w:val="21"/>
              </w:rPr>
            </w:pPr>
            <w:r>
              <w:rPr>
                <w:rFonts w:hAnsi="宋体"/>
                <w:kern w:val="0"/>
                <w:szCs w:val="21"/>
              </w:rPr>
              <w:t>其他服务</w:t>
            </w:r>
            <w:r>
              <w:rPr>
                <w:kern w:val="0"/>
                <w:szCs w:val="21"/>
              </w:rPr>
              <w:t xml:space="preserve"> </w:t>
            </w:r>
          </w:p>
        </w:tc>
        <w:tc>
          <w:tcPr>
            <w:tcW w:w="8519" w:type="dxa"/>
            <w:gridSpan w:val="3"/>
            <w:tcBorders>
              <w:top w:val="single" w:color="auto" w:sz="4" w:space="0"/>
              <w:left w:val="nil"/>
              <w:bottom w:val="single" w:color="000000" w:sz="4" w:space="0"/>
              <w:right w:val="single" w:color="000000" w:sz="4" w:space="0"/>
            </w:tcBorders>
            <w:vAlign w:val="center"/>
          </w:tcPr>
          <w:p>
            <w:pPr>
              <w:widowControl/>
              <w:spacing w:line="440" w:lineRule="exact"/>
              <w:jc w:val="center"/>
              <w:rPr>
                <w:kern w:val="0"/>
                <w:szCs w:val="21"/>
              </w:rPr>
            </w:pPr>
            <w:r>
              <w:rPr>
                <w:rFonts w:hint="eastAsia"/>
                <w:kern w:val="0"/>
                <w:szCs w:val="21"/>
              </w:rPr>
              <w:t>配合政府的审计工作</w:t>
            </w:r>
          </w:p>
        </w:tc>
      </w:tr>
    </w:tbl>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提交时间及份数响应采购人的实际需求。</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2、对实施阶段中已完成造价咨询工作的确认及合同价款的支付。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3、如在工程实施期间，由于国家政策变化、政府对本合同工程的计划调整或不可抗力等非采购人主观原因造成工程停建的，则造价咨询必须接受终止服务并积极配合采购人做好善后工作，按已实际完成的造价咨询服务内容和合同的相关约定结清造价咨询酬金，造价咨询人不得要求额外的费用及任何形式的补偿。</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六、验收标准</w:t>
      </w:r>
    </w:p>
    <w:p>
      <w:pPr>
        <w:widowControl/>
        <w:shd w:val="clear" w:color="auto" w:fill="FFFFFF"/>
        <w:spacing w:line="360" w:lineRule="auto"/>
        <w:ind w:firstLine="480" w:firstLineChars="200"/>
        <w:contextualSpacing/>
        <w:jc w:val="left"/>
        <w:rPr>
          <w:lang w:val="zh-CN"/>
        </w:rPr>
      </w:pPr>
      <w:r>
        <w:rPr>
          <w:rFonts w:hint="eastAsia" w:cs="宋体" w:asciiTheme="minorEastAsia" w:hAnsiTheme="minor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napToGrid w:val="0"/>
        <w:ind w:firstLine="422" w:firstLineChars="200"/>
        <w:rPr>
          <w:rFonts w:cs="宋体" w:asciiTheme="minorEastAsia" w:hAnsiTheme="minorEastAsia"/>
          <w:b/>
          <w:kern w:val="0"/>
          <w:sz w:val="24"/>
          <w:szCs w:val="24"/>
          <w:lang w:val="zh-CN"/>
        </w:rPr>
      </w:pPr>
      <w:r>
        <w:rPr>
          <w:rFonts w:hint="eastAsia" w:cs="微软雅黑" w:asciiTheme="minorEastAsia" w:hAnsiTheme="minorEastAsia"/>
          <w:b/>
        </w:rPr>
        <w:t>★</w:t>
      </w:r>
      <w:r>
        <w:rPr>
          <w:rFonts w:hint="eastAsia" w:cs="黑体" w:asciiTheme="minorEastAsia" w:hAnsiTheme="minorEastAsia"/>
          <w:b/>
          <w:bCs/>
          <w:shd w:val="clear" w:color="auto" w:fill="FFFFFF"/>
        </w:rPr>
        <w:t>七</w:t>
      </w:r>
      <w:r>
        <w:rPr>
          <w:rFonts w:hint="eastAsia" w:cs="宋体" w:asciiTheme="minorEastAsia" w:hAnsiTheme="minorEastAsia"/>
          <w:b/>
          <w:kern w:val="0"/>
          <w:sz w:val="24"/>
          <w:szCs w:val="24"/>
          <w:lang w:val="zh-CN"/>
        </w:rPr>
        <w:t>、本项目预算以经评审建安工程初步设计概算招标控制价的1.8‰ ，最高限价以经评审建安工程初步设计概算招标控制价的1.8‰ ，超出最高限价的投标无效。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hint="eastAsia" w:cs="宋体" w:asciiTheme="minorEastAsia" w:hAnsiTheme="minorEastAsia"/>
          <w:kern w:val="0"/>
          <w:sz w:val="24"/>
          <w:szCs w:val="24"/>
        </w:rPr>
        <w:t>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sectPr>
          <w:pgSz w:w="11906" w:h="16838"/>
          <w:pgMar w:top="1417" w:right="1587" w:bottom="1417" w:left="1587" w:header="851" w:footer="992" w:gutter="0"/>
          <w:cols w:space="720" w:num="1"/>
          <w:docGrid w:type="lines" w:linePitch="326" w:charSpace="0"/>
        </w:sectPr>
      </w:pPr>
      <w:r>
        <w:rPr>
          <w:rFonts w:hint="eastAsia" w:cs="宋体" w:asciiTheme="minorEastAsia" w:hAnsiTheme="minorEastAsia"/>
          <w:kern w:val="0"/>
          <w:sz w:val="24"/>
          <w:szCs w:val="24"/>
          <w:lang w:val="zh-CN"/>
        </w:rPr>
        <w:t>2、支付时间及条件：每季度末月份25日前，采购人核定本季度应支付中标人的金额，中标人开具符合采购人要求的增值税专用发票。每季度支付金额=合同总金额÷38*3*70%（付至合同总金额的70%时停止支付），工程竣工验收合格后支付合同总金额的20%,工程竣工审计完成后支付合同总金额的10%。</w:t>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1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adjustRightInd w:val="0"/>
              <w:spacing w:line="440" w:lineRule="exact"/>
              <w:jc w:val="left"/>
              <w:outlineLvl w:val="0"/>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rPr>
              <w:fldChar w:fldCharType="begin"/>
            </w:r>
            <w:r>
              <w:rPr>
                <w:rFonts w:hint="eastAsia" w:cs="仿宋_GB2312" w:asciiTheme="minorEastAsia" w:hAnsiTheme="minorEastAsia"/>
                <w:szCs w:val="21"/>
              </w:rPr>
              <w:instrText xml:space="preserve"> HYPERLINK "http://www.hnwxzb.com/wxzb/ywgl/project_projMain.action?mkcode=XMGL_LIST&amp;projId=3464&amp;actionUrl=mkcode%3DXMGL_LIST" </w:instrText>
            </w:r>
            <w:r>
              <w:rPr>
                <w:rFonts w:hint="eastAsia" w:cs="仿宋_GB2312" w:asciiTheme="minorEastAsia" w:hAnsiTheme="minorEastAsia"/>
                <w:szCs w:val="21"/>
              </w:rPr>
              <w:fldChar w:fldCharType="separate"/>
            </w:r>
            <w:r>
              <w:rPr>
                <w:rFonts w:hint="eastAsia" w:cs="仿宋_GB2312" w:asciiTheme="minorEastAsia" w:hAnsiTheme="minorEastAsia"/>
                <w:szCs w:val="21"/>
              </w:rPr>
              <w:t>郑州机场至许昌市域铁路工程许昌段全过程工程造价咨询服务</w:t>
            </w:r>
            <w:r>
              <w:rPr>
                <w:rFonts w:hint="eastAsia" w:cs="仿宋_GB2312" w:asciiTheme="minorEastAsia" w:hAnsiTheme="minorEastAsia"/>
                <w:szCs w:val="21"/>
              </w:rPr>
              <w:fldChar w:fldCharType="end"/>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项目编号：GZCG-G2018004-1号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bookmarkStart w:id="0" w:name="_Toc31513"/>
            <w:bookmarkStart w:id="1" w:name="_Toc13558"/>
            <w:r>
              <w:rPr>
                <w:rFonts w:hint="eastAsia" w:cs="仿宋_GB2312" w:asciiTheme="minorEastAsia" w:hAnsiTheme="minorEastAsia"/>
                <w:szCs w:val="21"/>
              </w:rPr>
              <w:t>工程量清单编制，工程计量与支付审核，合同价款调整审核，设计变更及审核，竣工结算审核，成本控制，工程洽商、索赔、材料询价及其他相关造价咨询工作。</w:t>
            </w:r>
            <w:bookmarkEnd w:id="0"/>
            <w:bookmarkEnd w:id="1"/>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名称：许昌市建设投资有限责任公司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址：许昌市建安大道东段财政综合大楼18楼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联系人：刘晓亮 海腾蛟         联系电话：0374-2699018 0374-2699106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名称：河南招标采购服务有限公司</w:t>
            </w:r>
            <w:r>
              <w:rPr>
                <w:rFonts w:hint="eastAsia" w:cs="仿宋_GB2312" w:asciiTheme="minorEastAsia" w:hAnsiTheme="minorEastAsia"/>
                <w:szCs w:val="21"/>
              </w:rPr>
              <w:br w:type="textWrapping"/>
            </w:r>
            <w:r>
              <w:rPr>
                <w:rFonts w:hint="eastAsia" w:cs="仿宋_GB2312" w:asciiTheme="minorEastAsia" w:hAnsiTheme="minorEastAsia"/>
                <w:szCs w:val="21"/>
              </w:rPr>
              <w:t>地 址：许昌市城乡一体化芙蓉大道芙蓉商务</w:t>
            </w:r>
            <w:r>
              <w:rPr>
                <w:rFonts w:hint="eastAsia" w:cs="仿宋_GB2312" w:asciiTheme="minorEastAsia" w:hAnsiTheme="minorEastAsia"/>
                <w:szCs w:val="21"/>
              </w:rPr>
              <w:br w:type="textWrapping"/>
            </w:r>
            <w:r>
              <w:rPr>
                <w:rFonts w:hint="eastAsia" w:cs="仿宋_GB2312" w:asciiTheme="minorEastAsia" w:hAnsiTheme="minorEastAsia"/>
                <w:szCs w:val="21"/>
              </w:rPr>
              <w:t>联 系 人：刘宝丰 李娅杰</w:t>
            </w:r>
            <w:r>
              <w:rPr>
                <w:rFonts w:hint="eastAsia" w:cs="仿宋_GB2312" w:asciiTheme="minorEastAsia" w:hAnsiTheme="minorEastAsia"/>
                <w:szCs w:val="21"/>
              </w:rPr>
              <w:br w:type="textWrapping"/>
            </w:r>
            <w:r>
              <w:rPr>
                <w:rFonts w:hint="eastAsia" w:cs="仿宋_GB2312" w:asciiTheme="minorEastAsia" w:hAnsiTheme="minorEastAsia"/>
                <w:szCs w:val="21"/>
              </w:rPr>
              <w:t xml:space="preserve">联系电话：0374-2219766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七、具有住房城乡建设主管部门颁发的有效的工程造价咨询甲级资质证书；拟派项目负责人具有住房城乡建设主管部门颁发的有效的注册造价工程师证书，具有工程系列高级职称；</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4"/>
                <w:sz w:val="31"/>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仿宋_GB2312" w:asciiTheme="minorEastAsia" w:hAnsiTheme="minorEastAsia"/>
                <w:shd w:val="clear" w:color="auto" w:fill="FFFFFF"/>
                <w:lang w:val="zh-CN"/>
              </w:rPr>
              <w:t>以经评审建安工程初步设计概算招标控制价的1.8‰</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4"/>
                <w:sz w:val="31"/>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4"/>
                <w:sz w:val="31"/>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4"/>
                <w:sz w:val="31"/>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cs="宋体" w:asciiTheme="minorEastAsia" w:hAnsiTheme="minorEastAsia"/>
                <w:bCs/>
                <w:szCs w:val="21"/>
                <w:lang w:val="zh-CN"/>
              </w:rPr>
              <w:t>中标人将本项目的非主体、非关键性</w:t>
            </w:r>
          </w:p>
          <w:p>
            <w:pPr>
              <w:autoSpaceDE w:val="0"/>
              <w:autoSpaceDN w:val="0"/>
              <w:adjustRightInd w:val="0"/>
              <w:spacing w:line="360" w:lineRule="auto"/>
              <w:jc w:val="center"/>
              <w:rPr>
                <w:rFonts w:cs="仿宋_GB2312" w:asciiTheme="minorEastAsia" w:hAnsiTheme="minorEastAsia"/>
                <w:szCs w:val="21"/>
              </w:rPr>
            </w:pPr>
            <w:r>
              <w:rPr>
                <w:rFonts w:cs="宋体" w:asciiTheme="minorEastAsia" w:hAnsiTheme="minorEastAsia"/>
                <w:bCs/>
                <w:szCs w:val="21"/>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4"/>
                <w:sz w:val="31"/>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2018年</w:t>
            </w:r>
            <w:r>
              <w:rPr>
                <w:rFonts w:hint="eastAsia" w:cs="宋体" w:asciiTheme="minorEastAsia" w:hAnsiTheme="minorEastAsia"/>
                <w:bCs/>
                <w:szCs w:val="21"/>
                <w:lang w:val="zh-CN"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zh-CN" w:eastAsia="zh-CN"/>
              </w:rPr>
              <w:t>1</w:t>
            </w:r>
            <w:r>
              <w:rPr>
                <w:rFonts w:hint="eastAsia" w:cs="宋体" w:asciiTheme="minorEastAsia" w:hAnsiTheme="minorEastAsia"/>
                <w:bCs/>
                <w:szCs w:val="21"/>
                <w:lang w:val="zh-CN"/>
              </w:rPr>
              <w:t>日</w:t>
            </w:r>
            <w:r>
              <w:rPr>
                <w:rFonts w:hint="eastAsia" w:cs="宋体" w:asciiTheme="minorEastAsia" w:hAnsiTheme="minorEastAsia"/>
                <w:bCs/>
                <w:szCs w:val="21"/>
                <w:lang w:val="zh-CN"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zh-CN"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u w:val="single"/>
                <w:lang w:val="en-US" w:eastAsia="zh-CN"/>
              </w:rPr>
              <w:t>四</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rPr>
              <w:t>叁拾万</w:t>
            </w:r>
            <w:r>
              <w:rPr>
                <w:rFonts w:hint="eastAsia" w:cs="仿宋_GB2312" w:asciiTheme="minorEastAsia" w:hAnsiTheme="minorEastAsia"/>
                <w:szCs w:val="21"/>
                <w:lang w:val="zh-CN"/>
              </w:rPr>
              <w:t>元整（¥</w:t>
            </w:r>
            <w:r>
              <w:rPr>
                <w:rFonts w:hint="eastAsia" w:cs="仿宋_GB2312" w:asciiTheme="minorEastAsia" w:hAnsiTheme="minorEastAsia"/>
                <w:szCs w:val="21"/>
              </w:rPr>
              <w:t>300000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fldChar w:fldCharType="begin"/>
            </w:r>
            <w:r>
              <w:rPr>
                <w:rFonts w:hint="eastAsia" w:cs="宋体" w:asciiTheme="minorEastAsia" w:hAnsiTheme="minorEastAsia"/>
                <w:szCs w:val="21"/>
              </w:rPr>
              <w:instrText xml:space="preserve"> eq \o\ac(</w:instrText>
            </w:r>
            <w:r>
              <w:rPr>
                <w:rFonts w:hint="eastAsia" w:cs="宋体" w:asciiTheme="minorEastAsia" w:hAnsiTheme="minorEastAsia"/>
                <w:position w:val="-4"/>
                <w:sz w:val="31"/>
                <w:szCs w:val="21"/>
              </w:rPr>
              <w:instrText xml:space="preserve">□</w:instrText>
            </w:r>
            <w:r>
              <w:rPr>
                <w:rFonts w:hint="eastAsia" w:cs="宋体" w:asciiTheme="minorEastAsia" w:hAnsiTheme="minorEastAsia"/>
                <w:szCs w:val="21"/>
              </w:rPr>
              <w:instrText xml:space="preserve">,√)</w:instrText>
            </w:r>
            <w:r>
              <w:rPr>
                <w:rFonts w:hint="eastAsia" w:cs="宋体" w:asciiTheme="minorEastAsia" w:hAnsiTheme="minorEastAsia"/>
                <w:szCs w:val="21"/>
              </w:rPr>
              <w:fldChar w:fldCharType="end"/>
            </w:r>
            <w:r>
              <w:rPr>
                <w:rFonts w:hint="eastAsia" w:cs="宋体" w:asciiTheme="minorEastAsia" w:hAnsiTheme="minorEastAsia"/>
                <w:szCs w:val="21"/>
              </w:rPr>
              <w:t>电子投标文件：成功上传至《全国公共资源交易平台（河南省·许昌市）》公共资源交易系统加密电子投标文件1份</w:t>
            </w:r>
            <w:r>
              <w:rPr>
                <w:rFonts w:hint="eastAsia" w:cs="宋体" w:asciiTheme="minorEastAsia" w:hAnsiTheme="minorEastAsia"/>
                <w:szCs w:val="21"/>
                <w:lang w:val="zh-CN"/>
              </w:rPr>
              <w:t>（文件格式为： XXX公司XXX项目编号.file）。</w:t>
            </w:r>
            <w:r>
              <w:rPr>
                <w:rFonts w:hint="eastAsia" w:cs="宋体" w:asciiTheme="minorEastAsia" w:hAnsiTheme="minorEastAsia"/>
                <w:szCs w:val="21"/>
              </w:rPr>
              <w:t>使用电子介质存储的备份文件1份（文件格式为：名称为“备份”的文件夹）。</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fldChar w:fldCharType="begin"/>
            </w:r>
            <w:r>
              <w:rPr>
                <w:rFonts w:hint="eastAsia" w:cs="宋体" w:asciiTheme="minorEastAsia" w:hAnsiTheme="minorEastAsia"/>
                <w:szCs w:val="21"/>
              </w:rPr>
              <w:instrText xml:space="preserve"> eq \o\ac(</w:instrText>
            </w:r>
            <w:r>
              <w:rPr>
                <w:rFonts w:hint="eastAsia" w:cs="宋体" w:asciiTheme="minorEastAsia" w:hAnsiTheme="minorEastAsia"/>
                <w:position w:val="-4"/>
                <w:sz w:val="31"/>
                <w:szCs w:val="21"/>
              </w:rPr>
              <w:instrText xml:space="preserve">□</w:instrText>
            </w:r>
            <w:r>
              <w:rPr>
                <w:rFonts w:hint="eastAsia" w:cs="宋体" w:asciiTheme="minorEastAsia" w:hAnsiTheme="minorEastAsia"/>
                <w:szCs w:val="21"/>
              </w:rPr>
              <w:instrText xml:space="preserve">,√)</w:instrText>
            </w:r>
            <w:r>
              <w:rPr>
                <w:rFonts w:hint="eastAsia" w:cs="宋体" w:asciiTheme="minorEastAsia" w:hAnsiTheme="minorEastAsia"/>
                <w:szCs w:val="21"/>
              </w:rPr>
              <w:fldChar w:fldCharType="end"/>
            </w:r>
            <w:r>
              <w:rPr>
                <w:rFonts w:hint="eastAsia" w:cs="宋体" w:asciiTheme="minorEastAsia" w:hAnsiTheme="minorEastAsia"/>
                <w:szCs w:val="21"/>
              </w:rPr>
              <w:t>纸质投标文件：正本一份，副本二份。使用格式为“投标文件（供打印）.PDF”的文件</w:t>
            </w:r>
          </w:p>
          <w:p>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fldChar w:fldCharType="begin"/>
            </w:r>
            <w:r>
              <w:rPr>
                <w:rFonts w:hint="eastAsia" w:cs="宋体" w:asciiTheme="minorEastAsia" w:hAnsiTheme="minorEastAsia"/>
                <w:szCs w:val="21"/>
              </w:rPr>
              <w:instrText xml:space="preserve"> eq \o\ac(</w:instrText>
            </w:r>
            <w:r>
              <w:rPr>
                <w:rFonts w:hint="eastAsia" w:cs="宋体" w:asciiTheme="minorEastAsia" w:hAnsiTheme="minorEastAsia"/>
                <w:position w:val="-4"/>
                <w:sz w:val="31"/>
                <w:szCs w:val="21"/>
              </w:rPr>
              <w:instrText xml:space="preserve">□</w:instrText>
            </w:r>
            <w:r>
              <w:rPr>
                <w:rFonts w:hint="eastAsia" w:cs="宋体" w:asciiTheme="minorEastAsia" w:hAnsiTheme="minorEastAsia"/>
                <w:szCs w:val="21"/>
              </w:rPr>
              <w:instrText xml:space="preserve">,√)</w:instrText>
            </w:r>
            <w:r>
              <w:rPr>
                <w:rFonts w:hint="eastAsia" w:cs="宋体" w:asciiTheme="minorEastAsia" w:hAnsiTheme="minorEastAsia"/>
                <w:szCs w:val="21"/>
              </w:rPr>
              <w:fldChar w:fldCharType="end"/>
            </w:r>
            <w:r>
              <w:rPr>
                <w:rFonts w:hint="eastAsia" w:cs="宋体" w:asciiTheme="minorEastAsia" w:hAnsiTheme="minorEastAsia"/>
                <w:szCs w:val="21"/>
              </w:rPr>
              <w:t>电子投标文件：按招标文件要求加盖电子印章和法人电子印章。</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fldChar w:fldCharType="begin"/>
            </w:r>
            <w:r>
              <w:rPr>
                <w:rFonts w:hint="eastAsia" w:cs="宋体" w:asciiTheme="minorEastAsia" w:hAnsiTheme="minorEastAsia"/>
                <w:szCs w:val="21"/>
              </w:rPr>
              <w:instrText xml:space="preserve"> eq \o\ac(</w:instrText>
            </w:r>
            <w:r>
              <w:rPr>
                <w:rFonts w:hint="eastAsia" w:cs="宋体" w:asciiTheme="minorEastAsia" w:hAnsiTheme="minorEastAsia"/>
                <w:position w:val="-4"/>
                <w:sz w:val="31"/>
                <w:szCs w:val="21"/>
              </w:rPr>
              <w:instrText xml:space="preserve">□</w:instrText>
            </w:r>
            <w:r>
              <w:rPr>
                <w:rFonts w:hint="eastAsia" w:cs="宋体" w:asciiTheme="minorEastAsia" w:hAnsiTheme="minorEastAsia"/>
                <w:szCs w:val="21"/>
              </w:rPr>
              <w:instrText xml:space="preserve">,√)</w:instrText>
            </w:r>
            <w:r>
              <w:rPr>
                <w:rFonts w:hint="eastAsia" w:cs="宋体" w:asciiTheme="minorEastAsia" w:hAnsiTheme="minorEastAsia"/>
                <w:szCs w:val="21"/>
              </w:rPr>
              <w:fldChar w:fldCharType="end"/>
            </w:r>
            <w:r>
              <w:rPr>
                <w:rFonts w:hint="eastAsia" w:cs="宋体" w:asciiTheme="minorEastAsia" w:hAnsiTheme="minorEastAsia"/>
                <w:szCs w:val="21"/>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4"/>
                <w:sz w:val="31"/>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4"/>
                <w:sz w:val="31"/>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szCs w:val="21"/>
              </w:rPr>
              <w:t>要求提交。履约保证金的数额为合同金额的</w:t>
            </w:r>
            <w:r>
              <w:rPr>
                <w:rFonts w:hint="eastAsia" w:cs="宋体" w:asciiTheme="minorEastAsia" w:hAnsiTheme="minorEastAsia"/>
                <w:szCs w:val="21"/>
                <w:u w:val="single"/>
              </w:rPr>
              <w:t xml:space="preserve"> 5 </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4"/>
                <w:sz w:val="31"/>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szCs w:val="21"/>
              </w:rPr>
              <w:t>收取标准:国家计委计价格[2002]1980号文件及发改办价格[2003]857号文件计取后下浮40 %。一次性以银行划账、电汇、汇票或支票的形式支付。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w:t>
            </w:r>
            <w:r>
              <w:rPr>
                <w:rFonts w:hint="eastAsia" w:cs="宋体" w:asciiTheme="minorEastAsia" w:hAnsiTheme="minorEastAsia"/>
                <w:bCs/>
                <w:szCs w:val="21"/>
              </w:rPr>
              <w:t>李娅杰0374-2219766</w:t>
            </w:r>
            <w:r>
              <w:rPr>
                <w:rFonts w:hint="eastAsia" w:cs="宋体" w:asciiTheme="minorEastAsia" w:hAnsiTheme="minorEastAsia"/>
                <w:bCs/>
                <w:szCs w:val="21"/>
                <w:lang w:val="zh-CN"/>
              </w:rPr>
              <w:t>。代理机构邮箱：</w:t>
            </w:r>
            <w:r>
              <w:rPr>
                <w:rFonts w:hint="eastAsia" w:cs="宋体" w:asciiTheme="minorEastAsia" w:hAnsiTheme="minorEastAsia"/>
                <w:bCs/>
                <w:szCs w:val="21"/>
              </w:rPr>
              <w:t>xiaofeng20051115@126.com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4"/>
                <w:sz w:val="31"/>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1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sz w:val="24"/>
          <w:szCs w:val="24"/>
          <w:shd w:val="clear" w:color="auto" w:fill="FFFFFF"/>
        </w:rPr>
        <w:t>政府采购严重违法失信名单</w:t>
      </w:r>
      <w:r>
        <w:rPr>
          <w:rFonts w:hint="eastAsia" w:cs="仿宋_GB2312" w:asciiTheme="minorEastAsia" w:hAnsiTheme="minorEastAsia"/>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1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6"/>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sectPr>
          <w:pgSz w:w="11906" w:h="16838"/>
          <w:pgMar w:top="1417" w:right="1587" w:bottom="1417" w:left="1587" w:header="851" w:footer="992" w:gutter="0"/>
          <w:cols w:space="720" w:num="1"/>
          <w:docGrid w:type="lines" w:linePitch="326" w:charSpace="0"/>
        </w:sect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6"/>
        <w:spacing w:line="360" w:lineRule="auto"/>
        <w:contextualSpacing/>
        <w:rPr>
          <w:rFonts w:cs="仿宋_GB2312" w:asciiTheme="minorEastAsia" w:hAnsiTheme="minorEastAsia"/>
          <w:lang w:val="zh-CN"/>
        </w:rPr>
      </w:pPr>
    </w:p>
    <w:p>
      <w:pPr>
        <w:pStyle w:val="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1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cs="仿宋_GB2312" w:asciiTheme="minorEastAsia" w:hAnsiTheme="minorEastAsia"/>
                <w:b/>
                <w:sz w:val="24"/>
                <w:szCs w:val="24"/>
                <w:shd w:val="clear" w:color="auto" w:fill="FFFFFF"/>
              </w:rPr>
              <w:t>8、具有住房城乡建设主管部门颁发的有效的工程造价咨询甲级资质证书；拟派项目负责人具有住房城乡建设主管部门颁发的有效的注册造价工程师证书，具有工程系列高级职称；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hd w:val="clear" w:color="auto" w:fill="FFFFFF"/>
              </w:rPr>
              <w:t>”</w:t>
            </w:r>
            <w:r>
              <w:rPr>
                <w:rFonts w:cs="仿宋_GB2312" w:asciiTheme="minorEastAsia" w:hAnsiTheme="minorEastAsia"/>
                <w:b/>
                <w:shd w:val="clear" w:color="auto" w:fill="FFFFFF"/>
              </w:rPr>
              <w:t xml:space="preserve"> </w:t>
            </w:r>
            <w:r>
              <w:rPr>
                <w:rFonts w:cs="仿宋_GB2312" w:asciiTheme="minorEastAsia" w:hAnsiTheme="minorEastAsia"/>
                <w:b/>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p>
            <w:pPr>
              <w:spacing w:line="360" w:lineRule="auto"/>
            </w:pPr>
            <w:r>
              <w:rPr>
                <w:rFonts w:hint="eastAsia" w:asciiTheme="minorEastAsia" w:hAnsiTheme="minorEastAsia"/>
                <w:b/>
                <w:sz w:val="24"/>
                <w:szCs w:val="24"/>
              </w:rPr>
              <w:t>项目负责人持本人身份证参加开标会。</w:t>
            </w:r>
          </w:p>
        </w:tc>
      </w:tr>
    </w:tbl>
    <w:p>
      <w:pPr>
        <w:pStyle w:val="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6"/>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6"/>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6"/>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6"/>
        <w:numPr>
          <w:ilvl w:val="0"/>
          <w:numId w:val="4"/>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6"/>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6"/>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到的证书及材料，均须在电子投标文件中提供原件扫描件（或图片）。</w:t>
      </w:r>
    </w:p>
    <w:p>
      <w:pPr>
        <w:pStyle w:val="6"/>
        <w:spacing w:line="360" w:lineRule="auto"/>
        <w:contextualSpacing/>
        <w:jc w:val="left"/>
        <w:rPr>
          <w:rFonts w:cs="仿宋_GB2312" w:asciiTheme="minorEastAsia" w:hAnsiTheme="minorEastAsia"/>
          <w:szCs w:val="24"/>
          <w:lang w:val="zh-CN"/>
        </w:rPr>
      </w:pP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6"/>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6"/>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6"/>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6"/>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6"/>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6"/>
        <w:spacing w:line="360" w:lineRule="auto"/>
        <w:ind w:firstLine="482" w:firstLineChars="200"/>
        <w:contextualSpacing/>
        <w:rPr>
          <w:rFonts w:asciiTheme="minorEastAsia" w:hAnsiTheme="minorEastAsia" w:eastAsiaTheme="minorEastAsia"/>
          <w:b/>
          <w:szCs w:val="24"/>
          <w:lang w:val="zh-CN"/>
        </w:rPr>
      </w:pPr>
      <w:r>
        <w:rPr>
          <w:rFonts w:hint="eastAsia" w:asciiTheme="minorEastAsia" w:hAnsiTheme="minorEastAsia" w:eastAsiaTheme="minorEastAsia"/>
          <w:b/>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sz w:val="24"/>
          <w:szCs w:val="24"/>
          <w:lang w:val="zh-CN"/>
        </w:rPr>
      </w:pP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spacing w:line="360" w:lineRule="auto"/>
        <w:ind w:firstLine="422" w:firstLineChars="200"/>
        <w:rPr>
          <w:rFonts w:cs="仿宋_GB2312" w:asciiTheme="minorEastAsia" w:hAnsiTheme="minorEastAsia"/>
          <w:b/>
          <w:sz w:val="24"/>
          <w:szCs w:val="24"/>
          <w:lang w:val="zh-CN"/>
        </w:rPr>
      </w:pPr>
      <w:r>
        <w:rPr>
          <w:rFonts w:hint="eastAsia" w:cs="仿宋_GB2312" w:asciiTheme="minorEastAsia" w:hAnsiTheme="minorEastAsia"/>
          <w:b/>
          <w:szCs w:val="24"/>
          <w:lang w:val="zh-CN"/>
        </w:rPr>
        <w:t>（6）评标标准</w:t>
      </w:r>
    </w:p>
    <w:tbl>
      <w:tblPr>
        <w:tblStyle w:val="13"/>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分值构成</w:t>
            </w:r>
          </w:p>
          <w:p>
            <w:pPr>
              <w:spacing w:line="360" w:lineRule="auto"/>
              <w:jc w:val="center"/>
              <w:rPr>
                <w:rFonts w:asciiTheme="minorEastAsia" w:hAnsiTheme="minorEastAsia"/>
                <w:sz w:val="18"/>
                <w:szCs w:val="18"/>
              </w:rPr>
            </w:pPr>
            <w:r>
              <w:rPr>
                <w:rFonts w:hint="eastAsia" w:asciiTheme="minorEastAsia" w:hAnsiTheme="minorEastAsia"/>
                <w:sz w:val="18"/>
                <w:szCs w:val="18"/>
              </w:rPr>
              <w:t>(总分100分)</w:t>
            </w:r>
          </w:p>
        </w:tc>
        <w:tc>
          <w:tcPr>
            <w:tcW w:w="7204" w:type="dxa"/>
            <w:gridSpan w:val="2"/>
            <w:vAlign w:val="center"/>
          </w:tcPr>
          <w:p>
            <w:pPr>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价格分值：</w:t>
            </w:r>
            <w:r>
              <w:rPr>
                <w:rFonts w:hint="eastAsia" w:asciiTheme="minorEastAsia" w:hAnsiTheme="minorEastAsia"/>
                <w:sz w:val="18"/>
                <w:szCs w:val="18"/>
                <w:u w:val="single"/>
              </w:rPr>
              <w:t xml:space="preserve">   10  </w:t>
            </w:r>
            <w:r>
              <w:rPr>
                <w:rFonts w:hint="eastAsia" w:asciiTheme="minorEastAsia" w:hAnsiTheme="minorEastAsia"/>
                <w:sz w:val="18"/>
                <w:szCs w:val="18"/>
              </w:rPr>
              <w:t>分</w:t>
            </w:r>
          </w:p>
          <w:p>
            <w:pPr>
              <w:spacing w:line="360" w:lineRule="auto"/>
              <w:ind w:firstLine="360" w:firstLineChars="200"/>
              <w:rPr>
                <w:rFonts w:asciiTheme="minorEastAsia" w:hAnsiTheme="minorEastAsia"/>
                <w:sz w:val="18"/>
                <w:szCs w:val="18"/>
              </w:rPr>
            </w:pPr>
            <w:r>
              <w:rPr>
                <w:rFonts w:hint="eastAsia" w:asciiTheme="minorEastAsia" w:hAnsiTheme="minorEastAsia"/>
                <w:sz w:val="18"/>
                <w:szCs w:val="18"/>
              </w:rPr>
              <w:t>商务部分：</w:t>
            </w:r>
            <w:r>
              <w:rPr>
                <w:rFonts w:hint="eastAsia" w:asciiTheme="minorEastAsia" w:hAnsiTheme="minorEastAsia"/>
                <w:sz w:val="18"/>
                <w:szCs w:val="18"/>
                <w:u w:val="single"/>
              </w:rPr>
              <w:t xml:space="preserve">   60  </w:t>
            </w:r>
            <w:r>
              <w:rPr>
                <w:rFonts w:hint="eastAsia" w:asciiTheme="minorEastAsia" w:hAnsiTheme="minorEastAsia"/>
                <w:sz w:val="18"/>
                <w:szCs w:val="18"/>
              </w:rPr>
              <w:t>分</w:t>
            </w:r>
          </w:p>
          <w:p>
            <w:pPr>
              <w:spacing w:line="360" w:lineRule="auto"/>
              <w:ind w:firstLine="360" w:firstLineChars="200"/>
              <w:rPr>
                <w:rFonts w:asciiTheme="minorEastAsia" w:hAnsiTheme="minorEastAsia"/>
                <w:sz w:val="18"/>
                <w:szCs w:val="18"/>
              </w:rPr>
            </w:pPr>
            <w:r>
              <w:rPr>
                <w:rFonts w:hint="eastAsia" w:asciiTheme="minorEastAsia" w:hAnsiTheme="minorEastAsia"/>
                <w:sz w:val="18"/>
                <w:szCs w:val="18"/>
              </w:rPr>
              <w:t>技术部分：</w:t>
            </w:r>
            <w:r>
              <w:rPr>
                <w:rFonts w:hint="eastAsia" w:asciiTheme="minorEastAsia" w:hAnsiTheme="minorEastAsia"/>
                <w:sz w:val="18"/>
                <w:szCs w:val="18"/>
                <w:u w:val="single"/>
              </w:rPr>
              <w:t xml:space="preserve">   30  </w:t>
            </w:r>
            <w:r>
              <w:rPr>
                <w:rFonts w:hint="eastAsia"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18"/>
                <w:szCs w:val="18"/>
              </w:rPr>
            </w:pPr>
            <w:r>
              <w:rPr>
                <w:rFonts w:hint="eastAsia" w:asciiTheme="minorEastAsia" w:hAnsiTheme="minorEastAsia"/>
                <w:b/>
                <w:sz w:val="18"/>
                <w:szCs w:val="18"/>
              </w:rPr>
              <w:t>价格部分（满分</w:t>
            </w:r>
            <w:r>
              <w:rPr>
                <w:rFonts w:hint="eastAsia" w:asciiTheme="minorEastAsia" w:hAnsiTheme="minorEastAsia"/>
                <w:b/>
                <w:sz w:val="18"/>
                <w:szCs w:val="18"/>
                <w:u w:val="single"/>
              </w:rPr>
              <w:t xml:space="preserve"> 10 </w:t>
            </w:r>
            <w:r>
              <w:rPr>
                <w:rFonts w:hint="eastAsia" w:asciiTheme="minorEastAsia" w:hAnsiTheme="minorEastAsia"/>
                <w:b/>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18"/>
                <w:szCs w:val="18"/>
              </w:rPr>
            </w:pPr>
            <w:r>
              <w:rPr>
                <w:rFonts w:hint="eastAsia" w:asciiTheme="minorEastAsia" w:hAnsiTheme="minorEastAsia"/>
                <w:b/>
                <w:sz w:val="18"/>
                <w:szCs w:val="18"/>
              </w:rPr>
              <w:t>评分因素</w:t>
            </w:r>
          </w:p>
        </w:tc>
        <w:tc>
          <w:tcPr>
            <w:tcW w:w="6237" w:type="dxa"/>
            <w:tcBorders>
              <w:top w:val="single" w:color="auto" w:sz="4" w:space="0"/>
            </w:tcBorders>
            <w:vAlign w:val="center"/>
          </w:tcPr>
          <w:p>
            <w:pPr>
              <w:jc w:val="center"/>
              <w:rPr>
                <w:rFonts w:asciiTheme="minorEastAsia" w:hAnsiTheme="minorEastAsia"/>
                <w:b/>
                <w:sz w:val="18"/>
                <w:szCs w:val="18"/>
              </w:rPr>
            </w:pPr>
            <w:r>
              <w:rPr>
                <w:rFonts w:hint="eastAsia" w:asciiTheme="minorEastAsia" w:hAnsiTheme="minorEastAsia"/>
                <w:b/>
                <w:sz w:val="18"/>
                <w:szCs w:val="18"/>
              </w:rPr>
              <w:t>评标标准</w:t>
            </w:r>
          </w:p>
        </w:tc>
        <w:tc>
          <w:tcPr>
            <w:tcW w:w="967" w:type="dxa"/>
            <w:tcBorders>
              <w:top w:val="single" w:color="auto" w:sz="4" w:space="0"/>
            </w:tcBorders>
            <w:vAlign w:val="center"/>
          </w:tcPr>
          <w:p>
            <w:pPr>
              <w:jc w:val="center"/>
              <w:rPr>
                <w:rFonts w:asciiTheme="minorEastAsia" w:hAnsiTheme="minorEastAsia"/>
                <w:b/>
                <w:sz w:val="18"/>
                <w:szCs w:val="18"/>
              </w:rPr>
            </w:pPr>
            <w:r>
              <w:rPr>
                <w:rFonts w:hint="eastAsia" w:asciiTheme="minorEastAsia" w:hAnsiTheme="minorEastAsia"/>
                <w:b/>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投标报价</w:t>
            </w:r>
          </w:p>
          <w:p>
            <w:pPr>
              <w:spacing w:line="360" w:lineRule="auto"/>
              <w:jc w:val="center"/>
              <w:rPr>
                <w:rFonts w:asciiTheme="minorEastAsia" w:hAnsiTheme="minorEastAsia"/>
                <w:sz w:val="18"/>
                <w:szCs w:val="18"/>
              </w:rPr>
            </w:pPr>
            <w:r>
              <w:rPr>
                <w:rFonts w:hint="eastAsia" w:asciiTheme="minorEastAsia" w:hAnsiTheme="minorEastAsia"/>
                <w:sz w:val="18"/>
                <w:szCs w:val="18"/>
              </w:rPr>
              <w:t>评分标准</w:t>
            </w:r>
          </w:p>
        </w:tc>
        <w:tc>
          <w:tcPr>
            <w:tcW w:w="6237" w:type="dxa"/>
            <w:tcBorders>
              <w:top w:val="single" w:color="auto" w:sz="4" w:space="0"/>
            </w:tcBorders>
            <w:vAlign w:val="center"/>
          </w:tcPr>
          <w:p>
            <w:pPr>
              <w:spacing w:line="360" w:lineRule="auto"/>
              <w:rPr>
                <w:rFonts w:asciiTheme="minorEastAsia" w:hAnsiTheme="minorEastAsia"/>
                <w:sz w:val="18"/>
                <w:szCs w:val="18"/>
              </w:rPr>
            </w:pPr>
            <w:r>
              <w:rPr>
                <w:rFonts w:hint="eastAsia" w:asciiTheme="minorEastAsia" w:hAnsiTheme="minorEastAsia"/>
                <w:sz w:val="18"/>
                <w:szCs w:val="18"/>
              </w:rPr>
              <w:t>评标基准价：满足招标文件要求的有效投标报价中，最低的投标报价为评标基准价。</w:t>
            </w:r>
          </w:p>
          <w:p>
            <w:pPr>
              <w:spacing w:line="360" w:lineRule="auto"/>
              <w:rPr>
                <w:rFonts w:asciiTheme="minorEastAsia" w:hAnsiTheme="minorEastAsia"/>
                <w:sz w:val="18"/>
                <w:szCs w:val="18"/>
              </w:rPr>
            </w:pPr>
            <w:r>
              <w:rPr>
                <w:rFonts w:hint="eastAsia" w:asciiTheme="minorEastAsia" w:hAnsiTheme="minorEastAsia"/>
                <w:sz w:val="18"/>
                <w:szCs w:val="18"/>
              </w:rPr>
              <w:t>投标报价得分=（评标基准价/投标报价）×</w:t>
            </w:r>
            <w:r>
              <w:rPr>
                <w:rFonts w:hint="eastAsia" w:asciiTheme="minorEastAsia" w:hAnsiTheme="minorEastAsia"/>
                <w:sz w:val="18"/>
                <w:szCs w:val="18"/>
                <w:u w:val="single"/>
              </w:rPr>
              <w:t xml:space="preserve"> 10 </w:t>
            </w:r>
          </w:p>
        </w:tc>
        <w:tc>
          <w:tcPr>
            <w:tcW w:w="967" w:type="dxa"/>
            <w:tcBorders>
              <w:top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u w:val="single"/>
              </w:rPr>
              <w:t xml:space="preserve"> 10 </w:t>
            </w:r>
            <w:r>
              <w:rPr>
                <w:rFonts w:hint="eastAsia"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18"/>
                <w:szCs w:val="18"/>
              </w:rPr>
            </w:pPr>
            <w:r>
              <w:rPr>
                <w:rFonts w:hint="eastAsia" w:asciiTheme="minorEastAsia" w:hAnsiTheme="minorEastAsia"/>
                <w:b/>
                <w:sz w:val="18"/>
                <w:szCs w:val="18"/>
              </w:rPr>
              <w:t>商务部分（满分</w:t>
            </w:r>
            <w:r>
              <w:rPr>
                <w:rFonts w:hint="eastAsia" w:asciiTheme="minorEastAsia" w:hAnsiTheme="minorEastAsia"/>
                <w:b/>
                <w:sz w:val="18"/>
                <w:szCs w:val="18"/>
                <w:u w:val="single"/>
              </w:rPr>
              <w:t xml:space="preserve"> 60 </w:t>
            </w:r>
            <w:r>
              <w:rPr>
                <w:rFonts w:hint="eastAsia" w:asciiTheme="minorEastAsia" w:hAnsiTheme="minorEastAsia"/>
                <w:b/>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18"/>
                <w:szCs w:val="18"/>
              </w:rPr>
            </w:pPr>
            <w:r>
              <w:rPr>
                <w:rFonts w:hint="eastAsia" w:asciiTheme="minorEastAsia" w:hAnsiTheme="minorEastAsia"/>
                <w:b/>
                <w:sz w:val="18"/>
                <w:szCs w:val="18"/>
              </w:rPr>
              <w:t>评分因素</w:t>
            </w:r>
          </w:p>
        </w:tc>
        <w:tc>
          <w:tcPr>
            <w:tcW w:w="6237" w:type="dxa"/>
            <w:vAlign w:val="center"/>
          </w:tcPr>
          <w:p>
            <w:pPr>
              <w:jc w:val="center"/>
              <w:rPr>
                <w:rFonts w:asciiTheme="minorEastAsia" w:hAnsiTheme="minorEastAsia"/>
                <w:b/>
                <w:sz w:val="18"/>
                <w:szCs w:val="18"/>
              </w:rPr>
            </w:pPr>
            <w:r>
              <w:rPr>
                <w:rFonts w:hint="eastAsia" w:asciiTheme="minorEastAsia" w:hAnsiTheme="minorEastAsia"/>
                <w:b/>
                <w:sz w:val="18"/>
                <w:szCs w:val="18"/>
              </w:rPr>
              <w:t>评标标准</w:t>
            </w:r>
          </w:p>
        </w:tc>
        <w:tc>
          <w:tcPr>
            <w:tcW w:w="967" w:type="dxa"/>
            <w:vAlign w:val="center"/>
          </w:tcPr>
          <w:p>
            <w:pPr>
              <w:jc w:val="center"/>
              <w:rPr>
                <w:rFonts w:asciiTheme="minorEastAsia" w:hAnsiTheme="minorEastAsia"/>
                <w:b/>
                <w:sz w:val="18"/>
                <w:szCs w:val="18"/>
              </w:rPr>
            </w:pPr>
            <w:r>
              <w:rPr>
                <w:rFonts w:hint="eastAsia" w:asciiTheme="minorEastAsia" w:hAnsiTheme="minorEastAsia"/>
                <w:b/>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18"/>
                <w:szCs w:val="18"/>
              </w:rPr>
            </w:pPr>
            <w:r>
              <w:rPr>
                <w:rFonts w:hint="eastAsia" w:asciiTheme="minorEastAsia" w:hAnsiTheme="minorEastAsia"/>
                <w:sz w:val="18"/>
                <w:szCs w:val="18"/>
              </w:rPr>
              <w:t>信誉</w:t>
            </w:r>
          </w:p>
        </w:tc>
        <w:tc>
          <w:tcPr>
            <w:tcW w:w="6237" w:type="dxa"/>
            <w:vAlign w:val="center"/>
          </w:tcPr>
          <w:p>
            <w:pPr>
              <w:spacing w:line="360" w:lineRule="auto"/>
              <w:rPr>
                <w:rFonts w:asciiTheme="minorEastAsia" w:hAnsiTheme="minorEastAsia"/>
                <w:sz w:val="18"/>
                <w:szCs w:val="18"/>
              </w:rPr>
            </w:pPr>
            <w:r>
              <w:rPr>
                <w:rFonts w:hint="eastAsia" w:asciiTheme="minorEastAsia" w:hAnsiTheme="minorEastAsia"/>
                <w:sz w:val="18"/>
                <w:szCs w:val="1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kern w:val="0"/>
                <w:sz w:val="18"/>
                <w:szCs w:val="18"/>
              </w:rPr>
            </w:pPr>
            <w:r>
              <w:rPr>
                <w:rFonts w:hint="eastAsia" w:asciiTheme="minorEastAsia" w:hAnsiTheme="minorEastAsia"/>
                <w:sz w:val="18"/>
                <w:szCs w:val="1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Theme="minorEastAsia" w:hAnsiTheme="minorEastAsia"/>
                <w:sz w:val="18"/>
                <w:szCs w:val="18"/>
              </w:rPr>
            </w:pPr>
            <w:r>
              <w:rPr>
                <w:rFonts w:hint="eastAsia" w:asciiTheme="minorEastAsia" w:hAnsiTheme="minorEastAsia"/>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18"/>
                <w:szCs w:val="18"/>
              </w:rPr>
            </w:pPr>
            <w:r>
              <w:rPr>
                <w:rFonts w:hint="eastAsia" w:asciiTheme="minorEastAsia" w:hAnsiTheme="minorEastAsia"/>
                <w:sz w:val="18"/>
                <w:szCs w:val="18"/>
              </w:rPr>
              <w:t>投标人业绩</w:t>
            </w:r>
          </w:p>
        </w:tc>
        <w:tc>
          <w:tcPr>
            <w:tcW w:w="6237" w:type="dxa"/>
            <w:vAlign w:val="center"/>
          </w:tcPr>
          <w:p>
            <w:pPr>
              <w:spacing w:line="360" w:lineRule="auto"/>
              <w:rPr>
                <w:rFonts w:ascii="宋体" w:hAnsi="宋体"/>
                <w:sz w:val="18"/>
                <w:szCs w:val="18"/>
                <w:lang w:val="en-GB"/>
              </w:rPr>
            </w:pPr>
            <w:r>
              <w:rPr>
                <w:rFonts w:hint="eastAsia" w:ascii="宋体" w:hAnsi="宋体" w:cs="微软雅黑"/>
                <w:sz w:val="18"/>
                <w:szCs w:val="18"/>
              </w:rPr>
              <w:t>投标人自2012年1月1日以来具有工程规模在10亿元及以上地铁或轻轨工程造价咨询项目业绩的，每项得5分，最多得25分。</w:t>
            </w:r>
            <w:r>
              <w:rPr>
                <w:rFonts w:hint="eastAsia" w:ascii="宋体" w:hAnsi="宋体" w:cs="微软雅黑"/>
                <w:b/>
                <w:sz w:val="18"/>
                <w:szCs w:val="18"/>
              </w:rPr>
              <w:t>【业绩以合同（无委托金额的须提供委托人证明材料）为准】</w:t>
            </w:r>
          </w:p>
        </w:tc>
        <w:tc>
          <w:tcPr>
            <w:tcW w:w="967" w:type="dxa"/>
            <w:vAlign w:val="center"/>
          </w:tcPr>
          <w:p>
            <w:pPr>
              <w:jc w:val="center"/>
              <w:rPr>
                <w:rFonts w:asciiTheme="minorEastAsia" w:hAnsiTheme="minorEastAsia"/>
                <w:sz w:val="18"/>
                <w:szCs w:val="18"/>
              </w:rPr>
            </w:pPr>
            <w:r>
              <w:rPr>
                <w:rFonts w:hint="eastAsia" w:asciiTheme="minorEastAsia" w:hAnsiTheme="minorEastAsia"/>
                <w:sz w:val="18"/>
                <w:szCs w:val="18"/>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18"/>
                <w:szCs w:val="18"/>
              </w:rPr>
            </w:pPr>
            <w:r>
              <w:rPr>
                <w:rFonts w:hint="eastAsia" w:ascii="宋体" w:hAnsi="宋体" w:cs="微软雅黑"/>
                <w:sz w:val="18"/>
                <w:szCs w:val="18"/>
              </w:rPr>
              <w:t>项目负责人</w:t>
            </w:r>
          </w:p>
        </w:tc>
        <w:tc>
          <w:tcPr>
            <w:tcW w:w="6237" w:type="dxa"/>
            <w:vAlign w:val="center"/>
          </w:tcPr>
          <w:p>
            <w:pPr>
              <w:spacing w:line="440" w:lineRule="exact"/>
              <w:rPr>
                <w:sz w:val="18"/>
                <w:szCs w:val="18"/>
              </w:rPr>
            </w:pPr>
            <w:r>
              <w:rPr>
                <w:rFonts w:hint="eastAsia"/>
                <w:sz w:val="18"/>
                <w:szCs w:val="18"/>
              </w:rPr>
              <w:t>1.拟派项目负责人具有5年（含）～10年（含）造价咨询经验的，得1分；具有10年（不含）以上造价咨询经验的，得2分。【造价咨询经验以注册造价工程师证书中的造价工程师注册时间为准】</w:t>
            </w:r>
          </w:p>
          <w:p>
            <w:pPr>
              <w:spacing w:line="440" w:lineRule="exact"/>
              <w:rPr>
                <w:b/>
                <w:bCs/>
                <w:sz w:val="18"/>
                <w:szCs w:val="18"/>
              </w:rPr>
            </w:pPr>
            <w:r>
              <w:rPr>
                <w:rFonts w:hint="eastAsia"/>
                <w:sz w:val="18"/>
                <w:szCs w:val="18"/>
              </w:rPr>
              <w:t>2.项目负责人自2012年1月1日以来以项目负责人身份完成的工程规模在10亿元及以上地铁或轻轨工程造价咨询项目业绩每有一项得3分，最多得12分。</w:t>
            </w:r>
            <w:r>
              <w:rPr>
                <w:rFonts w:hint="eastAsia"/>
                <w:b/>
                <w:bCs/>
                <w:sz w:val="18"/>
                <w:szCs w:val="18"/>
              </w:rPr>
              <w:t>【业绩以合同（无委托金额、不能体现项目负责人姓名及所担任项目职务等信息的须提供委托人证明材料）、已完结的相关证明材料（委托人出具的委托评价表或委托人证明材料）为准】</w:t>
            </w:r>
          </w:p>
          <w:p>
            <w:pPr>
              <w:spacing w:line="440" w:lineRule="exact"/>
              <w:rPr>
                <w:sz w:val="18"/>
                <w:szCs w:val="18"/>
              </w:rPr>
            </w:pPr>
            <w:r>
              <w:rPr>
                <w:rFonts w:hint="eastAsia"/>
                <w:sz w:val="18"/>
                <w:szCs w:val="18"/>
              </w:rPr>
              <w:t>3.项目负责人自2015年1月1日以来获得造价咨询行业主管部门或造价咨询行业协会颁发的荣誉证书，国家级的每项得2分，省级的每项得1分，同一项目以最高奖项为准，</w:t>
            </w:r>
            <w:r>
              <w:rPr>
                <w:rFonts w:hint="eastAsia" w:ascii="宋体" w:hAnsi="宋体"/>
                <w:sz w:val="18"/>
                <w:szCs w:val="18"/>
              </w:rPr>
              <w:t>不累计计分，</w:t>
            </w:r>
            <w:r>
              <w:rPr>
                <w:rFonts w:hint="eastAsia"/>
                <w:sz w:val="18"/>
                <w:szCs w:val="18"/>
              </w:rPr>
              <w:t>最多得3分。</w:t>
            </w:r>
          </w:p>
          <w:p>
            <w:pPr>
              <w:spacing w:line="360" w:lineRule="exact"/>
              <w:rPr>
                <w:rFonts w:ascii="仿宋" w:hAnsi="仿宋" w:eastAsia="仿宋"/>
                <w:b/>
                <w:sz w:val="18"/>
                <w:szCs w:val="18"/>
              </w:rPr>
            </w:pPr>
            <w:r>
              <w:rPr>
                <w:rFonts w:hint="eastAsia" w:ascii="宋体" w:hAnsi="宋体"/>
                <w:sz w:val="18"/>
                <w:szCs w:val="18"/>
              </w:rPr>
              <w:t>4.项目负责人具有国家工程量清单计价规范编制业绩或省市城市轨道交通工程定额编制业绩的，每具有一项得1分，最多得3分。</w:t>
            </w:r>
            <w:r>
              <w:rPr>
                <w:rFonts w:hint="eastAsia" w:ascii="宋体" w:hAnsi="宋体" w:cs="微软雅黑"/>
                <w:b/>
                <w:sz w:val="18"/>
                <w:szCs w:val="18"/>
              </w:rPr>
              <w:t>【业绩以合同或公开发售的国家工程量清单计价规范或省市城市轨道交通工程定额中含有该编制人员名称的材料为准】</w:t>
            </w:r>
          </w:p>
        </w:tc>
        <w:tc>
          <w:tcPr>
            <w:tcW w:w="967" w:type="dxa"/>
            <w:vAlign w:val="center"/>
          </w:tcPr>
          <w:p>
            <w:pPr>
              <w:jc w:val="center"/>
              <w:rPr>
                <w:rFonts w:asciiTheme="minorEastAsia" w:hAnsiTheme="minorEastAsia"/>
                <w:sz w:val="18"/>
                <w:szCs w:val="18"/>
              </w:rPr>
            </w:pPr>
            <w:r>
              <w:rPr>
                <w:rFonts w:hint="eastAsia" w:asciiTheme="minorEastAsia" w:hAnsiTheme="minorEastAsia"/>
                <w:sz w:val="18"/>
                <w:szCs w:val="1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宋体" w:hAnsi="宋体" w:cs="微软雅黑"/>
                <w:sz w:val="18"/>
                <w:szCs w:val="18"/>
              </w:rPr>
            </w:pPr>
            <w:r>
              <w:rPr>
                <w:rFonts w:hint="eastAsia" w:ascii="宋体" w:hAnsi="宋体" w:cs="微软雅黑"/>
                <w:sz w:val="18"/>
                <w:szCs w:val="18"/>
              </w:rPr>
              <w:t>项目部组成人员</w:t>
            </w:r>
          </w:p>
        </w:tc>
        <w:tc>
          <w:tcPr>
            <w:tcW w:w="6237" w:type="dxa"/>
            <w:vAlign w:val="center"/>
          </w:tcPr>
          <w:p>
            <w:pPr>
              <w:spacing w:line="400" w:lineRule="exact"/>
              <w:jc w:val="left"/>
              <w:rPr>
                <w:rFonts w:ascii="宋体" w:hAnsi="宋体" w:cs="微软雅黑"/>
                <w:sz w:val="18"/>
                <w:szCs w:val="18"/>
              </w:rPr>
            </w:pPr>
            <w:r>
              <w:rPr>
                <w:rFonts w:hint="eastAsia" w:ascii="宋体" w:hAnsi="宋体" w:cs="微软雅黑"/>
                <w:sz w:val="18"/>
                <w:szCs w:val="18"/>
              </w:rPr>
              <w:t>项目部组成人员中，具有1名建筑工程相关专业、中级及以上职称的注册造价工程师，得1分；</w:t>
            </w:r>
          </w:p>
          <w:p>
            <w:pPr>
              <w:spacing w:line="400" w:lineRule="exact"/>
              <w:jc w:val="left"/>
              <w:rPr>
                <w:rFonts w:ascii="宋体" w:hAnsi="宋体" w:cs="微软雅黑"/>
                <w:sz w:val="18"/>
                <w:szCs w:val="18"/>
              </w:rPr>
            </w:pPr>
            <w:r>
              <w:rPr>
                <w:rFonts w:hint="eastAsia" w:ascii="宋体" w:hAnsi="宋体" w:cs="微软雅黑"/>
                <w:sz w:val="18"/>
                <w:szCs w:val="18"/>
              </w:rPr>
              <w:t>具有1名市政工程相关专业、中级及以上职称的注册造价工程师，得1分；</w:t>
            </w:r>
          </w:p>
          <w:p>
            <w:pPr>
              <w:spacing w:line="400" w:lineRule="exact"/>
              <w:jc w:val="left"/>
              <w:rPr>
                <w:rFonts w:ascii="宋体" w:hAnsi="宋体" w:cs="微软雅黑"/>
                <w:sz w:val="18"/>
                <w:szCs w:val="18"/>
              </w:rPr>
            </w:pPr>
            <w:r>
              <w:rPr>
                <w:rFonts w:hint="eastAsia" w:ascii="宋体" w:hAnsi="宋体" w:cs="微软雅黑"/>
                <w:sz w:val="18"/>
                <w:szCs w:val="18"/>
              </w:rPr>
              <w:t>具有1名铁路工程相关专业、中级及以上职称的注册造价工程师，得1分；</w:t>
            </w:r>
          </w:p>
          <w:p>
            <w:pPr>
              <w:spacing w:line="400" w:lineRule="exact"/>
              <w:jc w:val="left"/>
              <w:rPr>
                <w:rFonts w:ascii="宋体" w:hAnsi="宋体" w:cs="微软雅黑"/>
                <w:sz w:val="18"/>
                <w:szCs w:val="18"/>
              </w:rPr>
            </w:pPr>
            <w:r>
              <w:rPr>
                <w:rFonts w:hint="eastAsia" w:ascii="宋体" w:hAnsi="宋体" w:cs="微软雅黑"/>
                <w:sz w:val="18"/>
                <w:szCs w:val="18"/>
              </w:rPr>
              <w:t>具有1名电力工程相关专业、中级及以上职称的注册造价工程师，得1分；</w:t>
            </w:r>
          </w:p>
          <w:p>
            <w:pPr>
              <w:spacing w:line="400" w:lineRule="exact"/>
              <w:jc w:val="left"/>
              <w:rPr>
                <w:rFonts w:ascii="宋体" w:hAnsi="宋体" w:cs="微软雅黑"/>
                <w:sz w:val="18"/>
                <w:szCs w:val="18"/>
              </w:rPr>
            </w:pPr>
            <w:r>
              <w:rPr>
                <w:rFonts w:hint="eastAsia" w:ascii="宋体" w:hAnsi="宋体" w:cs="微软雅黑"/>
                <w:sz w:val="18"/>
                <w:szCs w:val="18"/>
              </w:rPr>
              <w:t>具有1名通信工程相关专业、中级及以上职称的注册造价工程师，得1分；</w:t>
            </w:r>
          </w:p>
          <w:p>
            <w:pPr>
              <w:spacing w:line="400" w:lineRule="exact"/>
              <w:jc w:val="left"/>
              <w:rPr>
                <w:rFonts w:ascii="宋体" w:hAnsi="宋体" w:cs="微软雅黑"/>
                <w:sz w:val="18"/>
                <w:szCs w:val="18"/>
              </w:rPr>
            </w:pPr>
            <w:r>
              <w:rPr>
                <w:rFonts w:hint="eastAsia" w:ascii="宋体" w:hAnsi="宋体" w:cs="微软雅黑"/>
                <w:sz w:val="18"/>
                <w:szCs w:val="18"/>
              </w:rPr>
              <w:t>每再增加一名造价咨询专业人员（具有注册造价工程师证书和中级及以上职称证书）的，加1分，最多加5分。</w:t>
            </w:r>
            <w:r>
              <w:rPr>
                <w:rFonts w:hint="eastAsia"/>
                <w:sz w:val="18"/>
                <w:szCs w:val="18"/>
              </w:rPr>
              <w:t>同一项目以最高奖项为准，</w:t>
            </w:r>
            <w:r>
              <w:rPr>
                <w:rFonts w:hint="eastAsia" w:ascii="宋体" w:hAnsi="宋体"/>
                <w:sz w:val="18"/>
                <w:szCs w:val="18"/>
              </w:rPr>
              <w:t>不累计计分</w:t>
            </w:r>
            <w:r>
              <w:rPr>
                <w:rFonts w:hint="eastAsia" w:ascii="宋体" w:hAnsi="宋体" w:cs="微软雅黑"/>
                <w:sz w:val="18"/>
                <w:szCs w:val="18"/>
              </w:rPr>
              <w:t>，本项最多得10分。【以注册造价工程师证书和中级及以上职称证书为准】</w:t>
            </w:r>
          </w:p>
          <w:p>
            <w:pPr>
              <w:spacing w:line="360" w:lineRule="auto"/>
            </w:pPr>
            <w:r>
              <w:rPr>
                <w:rFonts w:hint="eastAsia"/>
                <w:b/>
                <w:bCs/>
                <w:sz w:val="18"/>
                <w:szCs w:val="18"/>
              </w:rPr>
              <w:t>项目部组成人员须是本单位正式员工，须提供投标前六个月社保证明材料。</w:t>
            </w:r>
          </w:p>
        </w:tc>
        <w:tc>
          <w:tcPr>
            <w:tcW w:w="967" w:type="dxa"/>
            <w:vAlign w:val="center"/>
          </w:tcPr>
          <w:p>
            <w:pPr>
              <w:jc w:val="center"/>
              <w:rPr>
                <w:rFonts w:asciiTheme="minorEastAsia" w:hAnsiTheme="minorEastAsia"/>
                <w:sz w:val="18"/>
                <w:szCs w:val="18"/>
              </w:rPr>
            </w:pPr>
            <w:r>
              <w:rPr>
                <w:rFonts w:hint="eastAsia" w:asciiTheme="minorEastAsia" w:hAnsiTheme="minorEastAsia"/>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 w:val="18"/>
                <w:szCs w:val="18"/>
              </w:rPr>
            </w:pPr>
            <w:r>
              <w:rPr>
                <w:rFonts w:hint="eastAsia" w:ascii="宋体" w:hAnsi="宋体" w:cs="微软雅黑"/>
                <w:sz w:val="18"/>
                <w:szCs w:val="18"/>
              </w:rPr>
              <w:t xml:space="preserve">投标人荣誉 </w:t>
            </w:r>
          </w:p>
        </w:tc>
        <w:tc>
          <w:tcPr>
            <w:tcW w:w="6237" w:type="dxa"/>
            <w:vAlign w:val="center"/>
          </w:tcPr>
          <w:p>
            <w:pPr>
              <w:spacing w:line="360" w:lineRule="auto"/>
              <w:rPr>
                <w:rFonts w:ascii="仿宋" w:hAnsi="仿宋" w:eastAsia="仿宋"/>
                <w:sz w:val="18"/>
                <w:szCs w:val="18"/>
              </w:rPr>
            </w:pPr>
            <w:r>
              <w:rPr>
                <w:rFonts w:hint="eastAsia" w:ascii="宋体" w:hAnsi="宋体"/>
                <w:sz w:val="18"/>
                <w:szCs w:val="18"/>
              </w:rPr>
              <w:t>投标人自2015年1月1日以来获得造价咨询行业主管部门或造价咨询行业协会颁发的荣誉证书，国家级的每项得2分，省级的每项得1分，不累计计分，最多得3分。</w:t>
            </w:r>
          </w:p>
        </w:tc>
        <w:tc>
          <w:tcPr>
            <w:tcW w:w="967" w:type="dxa"/>
            <w:vAlign w:val="center"/>
          </w:tcPr>
          <w:p>
            <w:pPr>
              <w:jc w:val="center"/>
              <w:rPr>
                <w:rFonts w:asciiTheme="minorEastAsia" w:hAnsiTheme="minorEastAsia"/>
                <w:sz w:val="18"/>
                <w:szCs w:val="18"/>
              </w:rPr>
            </w:pPr>
            <w:r>
              <w:rPr>
                <w:rFonts w:hint="eastAsia" w:asciiTheme="minorEastAsia" w:hAnsiTheme="minorEastAsia"/>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18"/>
                <w:szCs w:val="18"/>
              </w:rPr>
            </w:pPr>
            <w:r>
              <w:rPr>
                <w:rFonts w:hint="eastAsia" w:asciiTheme="minorEastAsia" w:hAnsiTheme="minorEastAsia"/>
                <w:b/>
                <w:sz w:val="18"/>
                <w:szCs w:val="18"/>
              </w:rPr>
              <w:t>技术部分（满分</w:t>
            </w:r>
            <w:r>
              <w:rPr>
                <w:rFonts w:hint="eastAsia" w:asciiTheme="minorEastAsia" w:hAnsiTheme="minorEastAsia"/>
                <w:b/>
                <w:sz w:val="18"/>
                <w:szCs w:val="18"/>
                <w:u w:val="single"/>
              </w:rPr>
              <w:t xml:space="preserve"> 30 </w:t>
            </w:r>
            <w:r>
              <w:rPr>
                <w:rFonts w:hint="eastAsia" w:asciiTheme="minorEastAsia" w:hAnsiTheme="minorEastAsia"/>
                <w:b/>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18"/>
                <w:szCs w:val="18"/>
              </w:rPr>
            </w:pPr>
            <w:r>
              <w:rPr>
                <w:rFonts w:hint="eastAsia" w:asciiTheme="minorEastAsia" w:hAnsiTheme="minorEastAsia"/>
                <w:b/>
                <w:sz w:val="18"/>
                <w:szCs w:val="18"/>
              </w:rPr>
              <w:t>评分因素</w:t>
            </w:r>
          </w:p>
        </w:tc>
        <w:tc>
          <w:tcPr>
            <w:tcW w:w="6237" w:type="dxa"/>
            <w:vAlign w:val="center"/>
          </w:tcPr>
          <w:p>
            <w:pPr>
              <w:jc w:val="center"/>
              <w:rPr>
                <w:rFonts w:asciiTheme="minorEastAsia" w:hAnsiTheme="minorEastAsia"/>
                <w:b/>
                <w:sz w:val="18"/>
                <w:szCs w:val="18"/>
              </w:rPr>
            </w:pPr>
            <w:r>
              <w:rPr>
                <w:rFonts w:hint="eastAsia" w:asciiTheme="minorEastAsia" w:hAnsiTheme="minorEastAsia"/>
                <w:b/>
                <w:sz w:val="18"/>
                <w:szCs w:val="18"/>
              </w:rPr>
              <w:t>评标标准</w:t>
            </w:r>
          </w:p>
        </w:tc>
        <w:tc>
          <w:tcPr>
            <w:tcW w:w="967" w:type="dxa"/>
            <w:vAlign w:val="center"/>
          </w:tcPr>
          <w:p>
            <w:pPr>
              <w:jc w:val="center"/>
              <w:rPr>
                <w:rFonts w:asciiTheme="minorEastAsia" w:hAnsiTheme="minorEastAsia"/>
                <w:b/>
                <w:sz w:val="18"/>
                <w:szCs w:val="18"/>
              </w:rPr>
            </w:pPr>
            <w:r>
              <w:rPr>
                <w:rFonts w:hint="eastAsia" w:asciiTheme="minorEastAsia" w:hAnsiTheme="minorEastAsia"/>
                <w:b/>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sz w:val="18"/>
                <w:szCs w:val="18"/>
              </w:rPr>
            </w:pPr>
            <w:r>
              <w:rPr>
                <w:rFonts w:hint="eastAsia" w:ascii="宋体" w:hAnsi="宋体" w:cs="微软雅黑"/>
                <w:sz w:val="18"/>
                <w:szCs w:val="18"/>
              </w:rPr>
              <w:t>造价咨询工作实施方案</w:t>
            </w:r>
          </w:p>
        </w:tc>
        <w:tc>
          <w:tcPr>
            <w:tcW w:w="6237" w:type="dxa"/>
            <w:vAlign w:val="center"/>
          </w:tcPr>
          <w:p>
            <w:pPr>
              <w:spacing w:line="440" w:lineRule="exact"/>
              <w:rPr>
                <w:rFonts w:ascii="宋体" w:hAnsi="宋体" w:cs="微软雅黑"/>
                <w:sz w:val="18"/>
                <w:szCs w:val="18"/>
              </w:rPr>
            </w:pPr>
            <w:r>
              <w:rPr>
                <w:rFonts w:hint="eastAsia" w:ascii="宋体" w:hAnsi="宋体" w:cs="微软雅黑"/>
                <w:sz w:val="18"/>
                <w:szCs w:val="18"/>
              </w:rPr>
              <w:t>拟派项目机构设置合理，分工明确，管理制度健全，得6分；</w:t>
            </w:r>
          </w:p>
          <w:p>
            <w:pPr>
              <w:spacing w:line="440" w:lineRule="exact"/>
              <w:rPr>
                <w:rFonts w:ascii="宋体" w:hAnsi="宋体" w:cs="微软雅黑"/>
                <w:sz w:val="18"/>
                <w:szCs w:val="18"/>
              </w:rPr>
            </w:pPr>
            <w:r>
              <w:rPr>
                <w:rFonts w:hint="eastAsia" w:ascii="宋体" w:hAnsi="宋体" w:cs="微软雅黑"/>
                <w:sz w:val="18"/>
                <w:szCs w:val="18"/>
              </w:rPr>
              <w:t>有相关的基本描述得3分；</w:t>
            </w:r>
          </w:p>
          <w:p>
            <w:pPr>
              <w:spacing w:line="440" w:lineRule="exact"/>
              <w:rPr>
                <w:rFonts w:ascii="仿宋" w:hAnsi="仿宋" w:eastAsia="仿宋"/>
                <w:b/>
                <w:sz w:val="18"/>
                <w:szCs w:val="18"/>
              </w:rPr>
            </w:pPr>
            <w:r>
              <w:rPr>
                <w:rFonts w:hint="eastAsia" w:ascii="宋体" w:hAnsi="宋体" w:cs="微软雅黑"/>
                <w:sz w:val="18"/>
                <w:szCs w:val="18"/>
              </w:rPr>
              <w:t>没有则不得分。</w:t>
            </w:r>
          </w:p>
        </w:tc>
        <w:tc>
          <w:tcPr>
            <w:tcW w:w="967" w:type="dxa"/>
            <w:vAlign w:val="center"/>
          </w:tcPr>
          <w:p>
            <w:pPr>
              <w:jc w:val="center"/>
              <w:rPr>
                <w:rFonts w:asciiTheme="minorEastAsia" w:hAnsiTheme="minorEastAsia"/>
                <w:sz w:val="18"/>
                <w:szCs w:val="18"/>
              </w:rPr>
            </w:pPr>
            <w:r>
              <w:rPr>
                <w:rFonts w:hint="eastAsia" w:ascii="宋体" w:hAnsi="宋体" w:cs="微软雅黑"/>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sz w:val="18"/>
                <w:szCs w:val="18"/>
              </w:rPr>
            </w:pPr>
            <w:r>
              <w:rPr>
                <w:rFonts w:hint="eastAsia" w:ascii="宋体" w:hAnsi="宋体" w:cs="微软雅黑"/>
                <w:sz w:val="18"/>
                <w:szCs w:val="18"/>
              </w:rPr>
              <w:t>造价咨询成果质量保证措施</w:t>
            </w:r>
          </w:p>
        </w:tc>
        <w:tc>
          <w:tcPr>
            <w:tcW w:w="6237" w:type="dxa"/>
            <w:vAlign w:val="center"/>
          </w:tcPr>
          <w:p>
            <w:pPr>
              <w:spacing w:line="440" w:lineRule="exact"/>
              <w:rPr>
                <w:rFonts w:ascii="宋体" w:hAnsi="宋体" w:cs="微软雅黑"/>
                <w:sz w:val="18"/>
                <w:szCs w:val="18"/>
              </w:rPr>
            </w:pPr>
            <w:r>
              <w:rPr>
                <w:rFonts w:hint="eastAsia" w:ascii="宋体" w:hAnsi="宋体" w:cs="微软雅黑"/>
                <w:sz w:val="18"/>
                <w:szCs w:val="18"/>
              </w:rPr>
              <w:t>项目质量标准准确，工作方法、流程合理，保证措施有效、可行，得6分；</w:t>
            </w:r>
          </w:p>
          <w:p>
            <w:pPr>
              <w:spacing w:line="440" w:lineRule="exact"/>
              <w:rPr>
                <w:rFonts w:ascii="宋体" w:hAnsi="宋体" w:cs="微软雅黑"/>
                <w:sz w:val="18"/>
                <w:szCs w:val="18"/>
              </w:rPr>
            </w:pPr>
            <w:r>
              <w:rPr>
                <w:rFonts w:hint="eastAsia" w:ascii="宋体" w:hAnsi="宋体" w:cs="微软雅黑"/>
                <w:sz w:val="18"/>
                <w:szCs w:val="18"/>
              </w:rPr>
              <w:t>有相关的基本描述得3分；</w:t>
            </w:r>
          </w:p>
          <w:p>
            <w:pPr>
              <w:spacing w:line="440" w:lineRule="exact"/>
              <w:rPr>
                <w:rFonts w:ascii="仿宋" w:hAnsi="仿宋" w:eastAsia="仿宋"/>
                <w:sz w:val="18"/>
                <w:szCs w:val="18"/>
              </w:rPr>
            </w:pPr>
            <w:r>
              <w:rPr>
                <w:rFonts w:hint="eastAsia" w:ascii="宋体" w:hAnsi="宋体" w:cs="微软雅黑"/>
                <w:sz w:val="18"/>
                <w:szCs w:val="18"/>
              </w:rPr>
              <w:t>没有则不得分。</w:t>
            </w:r>
          </w:p>
        </w:tc>
        <w:tc>
          <w:tcPr>
            <w:tcW w:w="967" w:type="dxa"/>
            <w:vAlign w:val="center"/>
          </w:tcPr>
          <w:p>
            <w:pPr>
              <w:jc w:val="center"/>
              <w:rPr>
                <w:rFonts w:asciiTheme="minorEastAsia" w:hAnsiTheme="minorEastAsia"/>
                <w:sz w:val="18"/>
                <w:szCs w:val="18"/>
              </w:rPr>
            </w:pPr>
            <w:r>
              <w:rPr>
                <w:rFonts w:hint="eastAsia" w:ascii="宋体" w:hAnsi="宋体" w:cs="微软雅黑"/>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sz w:val="18"/>
                <w:szCs w:val="18"/>
              </w:rPr>
            </w:pPr>
            <w:r>
              <w:rPr>
                <w:rFonts w:hint="eastAsia" w:ascii="宋体" w:hAnsi="宋体" w:cs="微软雅黑"/>
                <w:sz w:val="18"/>
                <w:szCs w:val="18"/>
              </w:rPr>
              <w:t>工期保证措施</w:t>
            </w:r>
          </w:p>
        </w:tc>
        <w:tc>
          <w:tcPr>
            <w:tcW w:w="6237" w:type="dxa"/>
            <w:vAlign w:val="center"/>
          </w:tcPr>
          <w:p>
            <w:pPr>
              <w:spacing w:line="440" w:lineRule="exact"/>
              <w:rPr>
                <w:rFonts w:ascii="宋体" w:hAnsi="宋体" w:cs="微软雅黑"/>
                <w:sz w:val="18"/>
                <w:szCs w:val="18"/>
              </w:rPr>
            </w:pPr>
            <w:r>
              <w:rPr>
                <w:rFonts w:hint="eastAsia" w:ascii="宋体" w:hAnsi="宋体" w:cs="微软雅黑"/>
                <w:sz w:val="18"/>
                <w:szCs w:val="18"/>
              </w:rPr>
              <w:t>项目工期进度安排合理，保证措施有效，得5分；</w:t>
            </w:r>
          </w:p>
          <w:p>
            <w:pPr>
              <w:spacing w:line="440" w:lineRule="exact"/>
              <w:rPr>
                <w:rFonts w:ascii="宋体" w:hAnsi="宋体" w:cs="微软雅黑"/>
                <w:sz w:val="18"/>
                <w:szCs w:val="18"/>
              </w:rPr>
            </w:pPr>
            <w:r>
              <w:rPr>
                <w:rFonts w:hint="eastAsia" w:ascii="宋体" w:hAnsi="宋体" w:cs="微软雅黑"/>
                <w:sz w:val="18"/>
                <w:szCs w:val="18"/>
              </w:rPr>
              <w:t>有相关的基本描述得3分；</w:t>
            </w:r>
          </w:p>
          <w:p>
            <w:pPr>
              <w:spacing w:line="440" w:lineRule="exact"/>
              <w:rPr>
                <w:rFonts w:ascii="仿宋" w:hAnsi="仿宋" w:eastAsia="仿宋"/>
                <w:sz w:val="18"/>
                <w:szCs w:val="18"/>
              </w:rPr>
            </w:pPr>
            <w:r>
              <w:rPr>
                <w:rFonts w:hint="eastAsia" w:ascii="宋体" w:hAnsi="宋体" w:cs="微软雅黑"/>
                <w:sz w:val="18"/>
                <w:szCs w:val="18"/>
              </w:rPr>
              <w:t>没有则不得分。</w:t>
            </w:r>
          </w:p>
        </w:tc>
        <w:tc>
          <w:tcPr>
            <w:tcW w:w="967" w:type="dxa"/>
            <w:vAlign w:val="center"/>
          </w:tcPr>
          <w:p>
            <w:pPr>
              <w:jc w:val="center"/>
              <w:rPr>
                <w:rFonts w:asciiTheme="minorEastAsia" w:hAnsiTheme="minorEastAsia"/>
                <w:sz w:val="18"/>
                <w:szCs w:val="18"/>
                <w:u w:val="single"/>
              </w:rPr>
            </w:pPr>
            <w:r>
              <w:rPr>
                <w:rFonts w:hint="eastAsia" w:ascii="宋体" w:hAnsi="宋体" w:cs="微软雅黑"/>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sz w:val="18"/>
                <w:szCs w:val="18"/>
              </w:rPr>
            </w:pPr>
            <w:r>
              <w:rPr>
                <w:rFonts w:hint="eastAsia" w:ascii="宋体" w:hAnsi="宋体" w:cs="微软雅黑"/>
                <w:sz w:val="18"/>
                <w:szCs w:val="18"/>
              </w:rPr>
              <w:t>对各阶段工作内容、工作重点、实施措施、难点分析的处理方法</w:t>
            </w:r>
          </w:p>
        </w:tc>
        <w:tc>
          <w:tcPr>
            <w:tcW w:w="6237" w:type="dxa"/>
            <w:vAlign w:val="center"/>
          </w:tcPr>
          <w:p>
            <w:pPr>
              <w:spacing w:line="440" w:lineRule="exact"/>
              <w:rPr>
                <w:rFonts w:ascii="宋体" w:hAnsi="宋体" w:cs="微软雅黑"/>
                <w:sz w:val="18"/>
                <w:szCs w:val="18"/>
              </w:rPr>
            </w:pPr>
            <w:r>
              <w:rPr>
                <w:rFonts w:hint="eastAsia" w:ascii="宋体" w:hAnsi="宋体" w:cs="微软雅黑"/>
                <w:sz w:val="18"/>
                <w:szCs w:val="18"/>
              </w:rPr>
              <w:t>项目工作内容完善，流程合理，内部运作机制健全，重点、难点分析明确、恰当，处理办法可行，得6分；</w:t>
            </w:r>
          </w:p>
          <w:p>
            <w:pPr>
              <w:spacing w:line="440" w:lineRule="exact"/>
              <w:rPr>
                <w:rFonts w:ascii="宋体" w:hAnsi="宋体" w:cs="微软雅黑"/>
                <w:sz w:val="18"/>
                <w:szCs w:val="18"/>
              </w:rPr>
            </w:pPr>
            <w:r>
              <w:rPr>
                <w:rFonts w:hint="eastAsia" w:ascii="宋体" w:hAnsi="宋体" w:cs="微软雅黑"/>
                <w:sz w:val="18"/>
                <w:szCs w:val="18"/>
              </w:rPr>
              <w:t>有相关的基本描述得3分；</w:t>
            </w:r>
          </w:p>
          <w:p>
            <w:pPr>
              <w:spacing w:line="440" w:lineRule="exact"/>
              <w:rPr>
                <w:rFonts w:ascii="仿宋" w:hAnsi="仿宋" w:eastAsia="仿宋"/>
                <w:sz w:val="18"/>
                <w:szCs w:val="18"/>
              </w:rPr>
            </w:pPr>
            <w:r>
              <w:rPr>
                <w:rFonts w:hint="eastAsia" w:ascii="宋体" w:hAnsi="宋体" w:cs="微软雅黑"/>
                <w:sz w:val="18"/>
                <w:szCs w:val="18"/>
              </w:rPr>
              <w:t>没有则不得分。</w:t>
            </w:r>
          </w:p>
        </w:tc>
        <w:tc>
          <w:tcPr>
            <w:tcW w:w="967" w:type="dxa"/>
            <w:vAlign w:val="center"/>
          </w:tcPr>
          <w:p>
            <w:pPr>
              <w:jc w:val="center"/>
              <w:rPr>
                <w:rFonts w:asciiTheme="minorEastAsia" w:hAnsiTheme="minorEastAsia"/>
                <w:sz w:val="18"/>
                <w:szCs w:val="18"/>
                <w:u w:val="single"/>
              </w:rPr>
            </w:pPr>
            <w:r>
              <w:rPr>
                <w:rFonts w:hint="eastAsia" w:ascii="宋体" w:hAnsi="宋体" w:cs="微软雅黑"/>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sz w:val="18"/>
                <w:szCs w:val="18"/>
              </w:rPr>
            </w:pPr>
            <w:r>
              <w:rPr>
                <w:rFonts w:hint="eastAsia" w:ascii="宋体" w:hAnsi="宋体" w:cs="微软雅黑"/>
                <w:sz w:val="18"/>
                <w:szCs w:val="18"/>
              </w:rPr>
              <w:t>档案管理措施和方法</w:t>
            </w:r>
          </w:p>
        </w:tc>
        <w:tc>
          <w:tcPr>
            <w:tcW w:w="6237" w:type="dxa"/>
            <w:vAlign w:val="center"/>
          </w:tcPr>
          <w:p>
            <w:pPr>
              <w:spacing w:line="440" w:lineRule="exact"/>
              <w:rPr>
                <w:rFonts w:ascii="宋体" w:hAnsi="宋体" w:cs="微软雅黑"/>
                <w:sz w:val="18"/>
                <w:szCs w:val="18"/>
              </w:rPr>
            </w:pPr>
            <w:r>
              <w:rPr>
                <w:rFonts w:hint="eastAsia" w:ascii="宋体" w:hAnsi="宋体" w:cs="微软雅黑"/>
                <w:sz w:val="18"/>
                <w:szCs w:val="18"/>
              </w:rPr>
              <w:t>档案管理措施全面，方法及时、有效，得5分；</w:t>
            </w:r>
          </w:p>
          <w:p>
            <w:pPr>
              <w:spacing w:line="440" w:lineRule="exact"/>
              <w:rPr>
                <w:rFonts w:ascii="宋体" w:hAnsi="宋体" w:cs="微软雅黑"/>
                <w:sz w:val="18"/>
                <w:szCs w:val="18"/>
              </w:rPr>
            </w:pPr>
            <w:r>
              <w:rPr>
                <w:rFonts w:hint="eastAsia" w:ascii="宋体" w:hAnsi="宋体" w:cs="微软雅黑"/>
                <w:sz w:val="18"/>
                <w:szCs w:val="18"/>
              </w:rPr>
              <w:t>有相关的基本描述得3分；</w:t>
            </w:r>
          </w:p>
          <w:p>
            <w:pPr>
              <w:spacing w:line="440" w:lineRule="exact"/>
              <w:rPr>
                <w:rFonts w:ascii="仿宋" w:hAnsi="仿宋" w:eastAsia="仿宋"/>
                <w:sz w:val="18"/>
                <w:szCs w:val="18"/>
              </w:rPr>
            </w:pPr>
            <w:r>
              <w:rPr>
                <w:rFonts w:hint="eastAsia" w:ascii="宋体" w:hAnsi="宋体" w:cs="微软雅黑"/>
                <w:sz w:val="18"/>
                <w:szCs w:val="18"/>
              </w:rPr>
              <w:t>没有则不得分。</w:t>
            </w:r>
          </w:p>
        </w:tc>
        <w:tc>
          <w:tcPr>
            <w:tcW w:w="967" w:type="dxa"/>
            <w:vAlign w:val="center"/>
          </w:tcPr>
          <w:p>
            <w:pPr>
              <w:jc w:val="center"/>
              <w:rPr>
                <w:rFonts w:asciiTheme="minorEastAsia" w:hAnsiTheme="minorEastAsia"/>
                <w:sz w:val="18"/>
                <w:szCs w:val="18"/>
                <w:u w:val="single"/>
              </w:rPr>
            </w:pPr>
            <w:r>
              <w:rPr>
                <w:rFonts w:hint="eastAsia" w:ascii="宋体" w:hAnsi="宋体" w:cs="微软雅黑"/>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sz w:val="18"/>
                <w:szCs w:val="18"/>
              </w:rPr>
            </w:pPr>
            <w:r>
              <w:rPr>
                <w:rFonts w:hint="eastAsia" w:ascii="宋体" w:hAnsi="宋体" w:cs="微软雅黑"/>
                <w:sz w:val="18"/>
                <w:szCs w:val="18"/>
              </w:rPr>
              <w:t>合理化建议及服务承诺</w:t>
            </w:r>
          </w:p>
        </w:tc>
        <w:tc>
          <w:tcPr>
            <w:tcW w:w="6237" w:type="dxa"/>
            <w:vAlign w:val="center"/>
          </w:tcPr>
          <w:p>
            <w:pPr>
              <w:spacing w:line="440" w:lineRule="exact"/>
              <w:rPr>
                <w:rFonts w:ascii="宋体" w:hAnsi="宋体" w:cs="微软雅黑"/>
                <w:sz w:val="18"/>
                <w:szCs w:val="18"/>
              </w:rPr>
            </w:pPr>
            <w:r>
              <w:rPr>
                <w:rFonts w:hint="eastAsia" w:ascii="宋体" w:hAnsi="宋体" w:cs="微软雅黑"/>
                <w:sz w:val="18"/>
                <w:szCs w:val="18"/>
              </w:rPr>
              <w:t>投标人的合理化建议、服务承诺内容得当、可取，得2分。</w:t>
            </w:r>
          </w:p>
          <w:p>
            <w:pPr>
              <w:spacing w:line="440" w:lineRule="exact"/>
              <w:rPr>
                <w:rFonts w:ascii="宋体" w:hAnsi="宋体" w:cs="微软雅黑"/>
                <w:sz w:val="18"/>
                <w:szCs w:val="18"/>
              </w:rPr>
            </w:pPr>
            <w:r>
              <w:rPr>
                <w:rFonts w:hint="eastAsia" w:ascii="宋体" w:hAnsi="宋体" w:cs="微软雅黑"/>
                <w:sz w:val="18"/>
                <w:szCs w:val="18"/>
              </w:rPr>
              <w:t>有相关的基本描述得1分；</w:t>
            </w:r>
          </w:p>
          <w:p>
            <w:pPr>
              <w:spacing w:line="440" w:lineRule="exact"/>
              <w:rPr>
                <w:rFonts w:ascii="仿宋" w:hAnsi="仿宋" w:eastAsia="仿宋"/>
                <w:sz w:val="18"/>
                <w:szCs w:val="18"/>
              </w:rPr>
            </w:pPr>
            <w:r>
              <w:rPr>
                <w:rFonts w:hint="eastAsia" w:ascii="宋体" w:hAnsi="宋体" w:cs="微软雅黑"/>
                <w:sz w:val="18"/>
                <w:szCs w:val="18"/>
              </w:rPr>
              <w:t>没有则不得分。</w:t>
            </w:r>
          </w:p>
        </w:tc>
        <w:tc>
          <w:tcPr>
            <w:tcW w:w="967" w:type="dxa"/>
            <w:vAlign w:val="center"/>
          </w:tcPr>
          <w:p>
            <w:pPr>
              <w:jc w:val="center"/>
              <w:rPr>
                <w:rFonts w:asciiTheme="minorEastAsia" w:hAnsiTheme="minorEastAsia"/>
                <w:sz w:val="18"/>
                <w:szCs w:val="18"/>
              </w:rPr>
            </w:pPr>
            <w:r>
              <w:rPr>
                <w:rFonts w:hint="eastAsia" w:ascii="宋体" w:hAnsi="宋体" w:cs="微软雅黑"/>
                <w:sz w:val="18"/>
                <w:szCs w:val="18"/>
              </w:rPr>
              <w:t>2分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1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6"/>
        <w:spacing w:line="360" w:lineRule="auto"/>
        <w:contextualSpacing/>
        <w:jc w:val="center"/>
        <w:rPr>
          <w:rFonts w:cs="宋体" w:asciiTheme="majorEastAsia" w:hAnsiTheme="majorEastAsia" w:eastAsiaTheme="majorEastAsia"/>
          <w:b/>
          <w:kern w:val="0"/>
          <w:sz w:val="36"/>
          <w:szCs w:val="36"/>
        </w:rPr>
        <w:sectPr>
          <w:footerReference r:id="rId4" w:type="default"/>
          <w:pgSz w:w="11906" w:h="16838"/>
          <w:pgMar w:top="2098" w:right="1474" w:bottom="1928" w:left="1588" w:header="851" w:footer="992" w:gutter="0"/>
          <w:cols w:space="425" w:num="1"/>
          <w:docGrid w:type="lines" w:linePitch="312" w:charSpace="0"/>
        </w:sect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6"/>
        <w:spacing w:line="360" w:lineRule="auto"/>
        <w:contextualSpacing/>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3.技术规格和标准（服务要求）</w:t>
      </w:r>
    </w:p>
    <w:p>
      <w:pPr>
        <w:pStyle w:val="7"/>
        <w:spacing w:line="360" w:lineRule="auto"/>
        <w:ind w:firstLine="480"/>
        <w:rPr>
          <w:rFonts w:ascii="宋体" w:hAnsi="宋体" w:eastAsia="宋体"/>
          <w:sz w:val="24"/>
        </w:rPr>
      </w:pPr>
      <w:r>
        <w:rPr>
          <w:rFonts w:hint="eastAsia" w:ascii="宋体" w:hAnsi="宋体" w:eastAsia="宋体"/>
          <w:sz w:val="24"/>
        </w:rPr>
        <w:t>本合同项下所提供设计服务的技术规格标准应与本招标文件技术规格规定的标准相一致。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除非合同中另有规定，乙方为其所提供的服务而要求甲方支付的金额应与其投标报价一致。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6.1乙方对所提供的服务与合同要求不符负有责任，并且甲方已于合同规定的期限内提出索赔，乙方应按甲方同意的下述一种或多种方法解决索赔事宜。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6.1.1乙方同意甲方取消其不符合要求的服务项目，退还已经收取的部分的款项。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7.2受损一方应在不可抗力事故发生后尽快用电报、传真或电传通知对方，并于事故发生后15天内将有关部门出具的证明文件用特快专递或挂号信寄给对方审阅确认。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8.争议的解决</w:t>
      </w:r>
    </w:p>
    <w:p>
      <w:pPr>
        <w:spacing w:line="360" w:lineRule="auto"/>
        <w:ind w:firstLine="480" w:firstLineChars="200"/>
        <w:rPr>
          <w:rFonts w:ascii="宋体" w:hAnsi="宋体"/>
          <w:sz w:val="24"/>
        </w:rPr>
      </w:pPr>
      <w:r>
        <w:rPr>
          <w:rFonts w:hint="eastAsia" w:ascii="宋体" w:hAnsi="宋体"/>
          <w:sz w:val="24"/>
        </w:rPr>
        <w:t>8.1在执行合同中发生的与本合同有关的争端，双方应通过友好协商解决，经协商在60天内不能达成。</w:t>
      </w:r>
    </w:p>
    <w:p>
      <w:pPr>
        <w:spacing w:line="360" w:lineRule="auto"/>
        <w:ind w:firstLine="480" w:firstLineChars="200"/>
        <w:rPr>
          <w:rFonts w:ascii="宋体" w:hAnsi="宋体"/>
          <w:sz w:val="24"/>
        </w:rPr>
      </w:pPr>
      <w:r>
        <w:rPr>
          <w:rFonts w:hint="eastAsia" w:ascii="宋体" w:hAnsi="宋体"/>
          <w:sz w:val="24"/>
        </w:rPr>
        <w:t>8.2提交正式仲裁的争端属涉外的，应在北京或中国国内其他地点，由指定的国际经济仲裁委员会根据该委员会的仲裁程序或规则予以最终裁决。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sz w:val="24"/>
        </w:rPr>
      </w:pPr>
      <w:r>
        <w:rPr>
          <w:rFonts w:hint="eastAsia" w:ascii="宋体" w:hAnsi="宋体"/>
          <w:sz w:val="24"/>
        </w:rPr>
        <w:t>8.3合同双方均为国内法人的，其争端的仲裁应由合同发生地许昌市仲裁委员会根据其仲裁程序进行。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8.4 仲裁裁决应为最终决定，并对双方具有约束力。</w:t>
      </w:r>
    </w:p>
    <w:p>
      <w:pPr>
        <w:spacing w:line="360" w:lineRule="auto"/>
        <w:ind w:firstLine="480" w:firstLineChars="200"/>
        <w:rPr>
          <w:rFonts w:ascii="宋体" w:hAnsi="宋体"/>
          <w:sz w:val="24"/>
        </w:rPr>
      </w:pPr>
      <w:r>
        <w:rPr>
          <w:rFonts w:hint="eastAsia" w:ascii="宋体" w:hAnsi="宋体"/>
          <w:sz w:val="24"/>
        </w:rPr>
        <w:t>8.5 除另有裁决外，仲裁费应由败诉方负担。</w:t>
      </w:r>
    </w:p>
    <w:p>
      <w:pPr>
        <w:spacing w:line="360" w:lineRule="auto"/>
        <w:ind w:firstLine="480" w:firstLineChars="200"/>
        <w:rPr>
          <w:rFonts w:ascii="宋体" w:hAnsi="宋体"/>
          <w:sz w:val="24"/>
        </w:rPr>
      </w:pPr>
      <w:r>
        <w:rPr>
          <w:rFonts w:hint="eastAsia" w:ascii="宋体" w:hAnsi="宋体"/>
          <w:sz w:val="24"/>
        </w:rPr>
        <w:t>8.6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9.合同终止</w:t>
      </w:r>
    </w:p>
    <w:p>
      <w:pPr>
        <w:spacing w:line="360" w:lineRule="auto"/>
        <w:ind w:firstLine="480" w:firstLineChars="200"/>
        <w:rPr>
          <w:rFonts w:ascii="宋体" w:hAnsi="宋体"/>
          <w:sz w:val="24"/>
        </w:rPr>
      </w:pPr>
      <w:r>
        <w:rPr>
          <w:rFonts w:hint="eastAsia" w:ascii="宋体" w:hAnsi="宋体"/>
          <w:sz w:val="24"/>
        </w:rPr>
        <w:t>9.1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9.2 出现下列情况时合同自动终止：</w:t>
      </w:r>
    </w:p>
    <w:p>
      <w:pPr>
        <w:spacing w:line="360" w:lineRule="auto"/>
        <w:ind w:firstLine="480" w:firstLineChars="200"/>
        <w:rPr>
          <w:rFonts w:ascii="宋体" w:hAnsi="宋体"/>
          <w:sz w:val="24"/>
        </w:rPr>
      </w:pPr>
      <w:r>
        <w:rPr>
          <w:rFonts w:hint="eastAsia" w:ascii="宋体" w:hAnsi="宋体"/>
          <w:sz w:val="24"/>
        </w:rPr>
        <w:t>9.2.1发生不可抗力时。</w:t>
      </w:r>
    </w:p>
    <w:p>
      <w:pPr>
        <w:spacing w:line="360" w:lineRule="auto"/>
        <w:ind w:firstLine="480" w:firstLineChars="200"/>
        <w:rPr>
          <w:rFonts w:ascii="宋体" w:hAnsi="宋体"/>
          <w:sz w:val="24"/>
        </w:rPr>
      </w:pPr>
      <w:r>
        <w:rPr>
          <w:rFonts w:hint="eastAsia" w:ascii="宋体" w:hAnsi="宋体"/>
          <w:sz w:val="24"/>
        </w:rPr>
        <w:t>9.2.2一方不履行合同条款，造成另一方无法执行合同协议，协商又不能求得解决，合同终止，责任方赔偿损失。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10.合同修改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11.适用法律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12.主导语言与计量单位</w:t>
      </w:r>
    </w:p>
    <w:p>
      <w:pPr>
        <w:spacing w:line="360" w:lineRule="auto"/>
        <w:ind w:firstLine="480" w:firstLineChars="200"/>
        <w:rPr>
          <w:rFonts w:ascii="宋体" w:hAnsi="宋体"/>
          <w:sz w:val="24"/>
        </w:rPr>
      </w:pPr>
      <w:r>
        <w:rPr>
          <w:rFonts w:hint="eastAsia" w:ascii="宋体" w:hAnsi="宋体"/>
          <w:sz w:val="24"/>
        </w:rPr>
        <w:t>12.1 合同书写应用中文书写。合同伍份，甲乙双方及政府采购代理机构和许昌市政府采购监督管理办公室及相关业务科室（备案）各执一份，具有同等法律效力。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12.2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13.合同生效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除非合同中另有说明，本合同经双方签字盖章，即开始生效。</w:t>
      </w:r>
    </w:p>
    <w:p>
      <w:pPr>
        <w:spacing w:line="360" w:lineRule="auto"/>
        <w:ind w:firstLine="480" w:firstLineChars="200"/>
        <w:rPr>
          <w:rFonts w:ascii="宋体" w:hAnsi="宋体"/>
          <w:sz w:val="24"/>
        </w:r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spacing w:line="360" w:lineRule="auto"/>
        <w:jc w:val="center"/>
        <w:rPr>
          <w:rFonts w:ascii="黑体" w:hAnsi="宋体" w:eastAsia="黑体"/>
          <w:b/>
          <w:sz w:val="32"/>
          <w:szCs w:val="32"/>
        </w:rPr>
      </w:pPr>
      <w:r>
        <w:rPr>
          <w:rFonts w:hint="eastAsia" w:ascii="黑体" w:hAnsi="宋体" w:eastAsia="黑体"/>
          <w:b/>
          <w:sz w:val="32"/>
          <w:szCs w:val="32"/>
        </w:rPr>
        <w:t>合同书</w:t>
      </w:r>
    </w:p>
    <w:p>
      <w:pPr>
        <w:spacing w:line="360" w:lineRule="auto"/>
        <w:rPr>
          <w:rFonts w:ascii="仿宋_GB2312" w:eastAsia="仿宋_GB2312"/>
          <w:sz w:val="24"/>
        </w:rPr>
      </w:pPr>
    </w:p>
    <w:p>
      <w:pPr>
        <w:spacing w:line="360" w:lineRule="auto"/>
        <w:rPr>
          <w:rFonts w:ascii="宋体" w:hAnsi="宋体"/>
          <w:sz w:val="24"/>
        </w:rPr>
      </w:pPr>
      <w:r>
        <w:rPr>
          <w:rFonts w:hint="eastAsia" w:ascii="宋体" w:hAnsi="宋体"/>
          <w:sz w:val="24"/>
        </w:rPr>
        <w:t>合同编号：</w:t>
      </w:r>
    </w:p>
    <w:p>
      <w:pPr>
        <w:spacing w:line="360" w:lineRule="auto"/>
        <w:rPr>
          <w:rFonts w:ascii="宋体" w:hAnsi="宋体"/>
          <w:sz w:val="24"/>
        </w:rPr>
      </w:pPr>
      <w:r>
        <w:rPr>
          <w:rFonts w:hint="eastAsia" w:ascii="宋体" w:hAnsi="宋体"/>
          <w:sz w:val="24"/>
        </w:rPr>
        <w:t>供方：</w:t>
      </w:r>
    </w:p>
    <w:p>
      <w:pPr>
        <w:spacing w:line="360" w:lineRule="auto"/>
        <w:rPr>
          <w:rFonts w:ascii="宋体" w:hAnsi="宋体"/>
          <w:sz w:val="24"/>
        </w:rPr>
      </w:pPr>
      <w:r>
        <w:rPr>
          <w:rFonts w:hint="eastAsia" w:ascii="宋体" w:hAnsi="宋体"/>
          <w:sz w:val="24"/>
        </w:rPr>
        <w:t>需方：</w:t>
      </w:r>
    </w:p>
    <w:p>
      <w:pPr>
        <w:spacing w:line="360" w:lineRule="auto"/>
        <w:ind w:firstLine="480" w:firstLineChars="200"/>
        <w:rPr>
          <w:rFonts w:ascii="宋体" w:hAnsi="宋体"/>
          <w:sz w:val="24"/>
        </w:rPr>
      </w:pPr>
      <w:r>
        <w:rPr>
          <w:rFonts w:hint="eastAsia" w:ascii="宋体" w:hAnsi="宋体"/>
          <w:sz w:val="24"/>
        </w:rPr>
        <w:t>供、需双方根据   年  月  日河南招标采购服务有限公司签发的中标通知书和招投标文件，并经双方协商一致，在平等互利的基础上，达成以下合同条款：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ascii="宋体" w:hAnsi="宋体"/>
          <w:sz w:val="24"/>
        </w:rPr>
      </w:pPr>
      <w:r>
        <w:rPr>
          <w:rFonts w:hint="eastAsia" w:ascii="宋体" w:hAnsi="宋体"/>
          <w:sz w:val="24"/>
        </w:rPr>
        <w:t>二、服务内容及期限</w:t>
      </w:r>
    </w:p>
    <w:p>
      <w:pPr>
        <w:spacing w:line="360" w:lineRule="auto"/>
        <w:ind w:firstLine="480" w:firstLineChars="200"/>
        <w:rPr>
          <w:rFonts w:ascii="宋体" w:hAnsi="宋体"/>
          <w:sz w:val="24"/>
        </w:rPr>
      </w:pPr>
      <w:r>
        <w:rPr>
          <w:rFonts w:hint="eastAsia" w:ascii="宋体" w:hAnsi="宋体"/>
          <w:sz w:val="24"/>
        </w:rPr>
        <w:t>三、其它相关条款</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1、咨询人更换投标文件中的项目部组成人员的约定：不得更换。</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2、采购人要求更换咨询人员的，咨询人无条件承担违约责任，承担违约责任金额在合同中约定，情形包括：</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2.1、工作中出现较大过失两次以上的；</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2.2、分项工程量误差超过±1%两次以上的，单项造价误差超过±3%两次以上的；</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2.3、经采购人考核不合格的。</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3、造价咨询人逾期提交造价咨询成果，每超出一天按造价咨询费1%支付违约金。</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4、造价咨询人提供造价咨询成果不符合规定、合同约定时，履约保证金不予退还，剩余未支付款项不再支付。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5、造价咨询人不得擅自变更项目负责人等全部人员，未经允许擅自变更项目负责人的，应承担违约责任金，违约责任金额在合同中约定；未经允许擅自变更项目经理部其他人员的，应承担违约责任金，违约责任金额在合同中约定.如需变更应征得采购人同意，且所变更的项目负责人等人员应具备投标时相应资质、业绩等条件。</w:t>
      </w:r>
    </w:p>
    <w:p>
      <w:pPr>
        <w:widowControl/>
        <w:shd w:val="clear" w:color="auto" w:fill="FFFFFF"/>
        <w:spacing w:line="360" w:lineRule="auto"/>
        <w:ind w:firstLine="480" w:firstLineChars="200"/>
        <w:contextualSpacing/>
        <w:jc w:val="left"/>
      </w:pPr>
      <w:r>
        <w:rPr>
          <w:rFonts w:hint="eastAsia" w:cs="宋体" w:asciiTheme="minorEastAsia" w:hAnsiTheme="minorEastAsia"/>
          <w:kern w:val="0"/>
          <w:sz w:val="24"/>
          <w:szCs w:val="24"/>
        </w:rPr>
        <w:t>6、除不可抗力外，因非咨询人原因导致本项目合同履行期限延长、内容增加时，不增加造价咨询酬金。 因工程规模、服务范围及内容的变化等导致咨询人的工作量增减时，不增加造价咨询酬金。</w:t>
      </w:r>
    </w:p>
    <w:p>
      <w:pPr>
        <w:pStyle w:val="2"/>
      </w:pPr>
    </w:p>
    <w:p>
      <w:pPr>
        <w:spacing w:line="360" w:lineRule="auto"/>
        <w:ind w:firstLine="480" w:firstLineChars="200"/>
        <w:rPr>
          <w:rFonts w:ascii="宋体" w:hAnsi="宋体"/>
          <w:sz w:val="24"/>
        </w:rPr>
      </w:pPr>
      <w:r>
        <w:rPr>
          <w:rFonts w:hint="eastAsia" w:ascii="宋体" w:hAnsi="宋体"/>
          <w:sz w:val="24"/>
        </w:rPr>
        <w:t>四、法律责任</w:t>
      </w:r>
    </w:p>
    <w:p>
      <w:pPr>
        <w:spacing w:line="360" w:lineRule="auto"/>
        <w:ind w:firstLine="480" w:firstLineChars="200"/>
        <w:rPr>
          <w:rFonts w:ascii="宋体" w:hAnsi="宋体"/>
          <w:sz w:val="24"/>
        </w:rPr>
      </w:pPr>
      <w:r>
        <w:rPr>
          <w:rFonts w:hint="eastAsia" w:ascii="宋体" w:hAnsi="宋体"/>
          <w:sz w:val="24"/>
        </w:rPr>
        <w:t>五、合同生效及其它：本合同经双方法定代表人或委托代理人签字并加盖公章后生效。本合同一式伍份，供需双方各一份、其他三份。</w:t>
      </w:r>
    </w:p>
    <w:p>
      <w:pPr>
        <w:spacing w:line="360" w:lineRule="auto"/>
        <w:ind w:firstLine="480" w:firstLineChars="200"/>
        <w:rPr>
          <w:rFonts w:ascii="宋体" w:hAnsi="宋体"/>
          <w:sz w:val="24"/>
        </w:rPr>
      </w:pPr>
      <w:r>
        <w:rPr>
          <w:rFonts w:hint="eastAsia" w:ascii="宋体" w:hAnsi="宋体"/>
          <w:sz w:val="24"/>
        </w:rPr>
        <w:t>供方：                              需方：</w:t>
      </w:r>
    </w:p>
    <w:p>
      <w:pPr>
        <w:spacing w:line="360" w:lineRule="auto"/>
        <w:ind w:firstLine="480" w:firstLineChars="200"/>
        <w:rPr>
          <w:rFonts w:ascii="宋体" w:hAnsi="宋体"/>
          <w:sz w:val="24"/>
        </w:rPr>
      </w:pPr>
      <w:r>
        <w:rPr>
          <w:rFonts w:hint="eastAsia" w:ascii="宋体" w:hAnsi="宋体"/>
          <w:sz w:val="24"/>
        </w:rPr>
        <w:t>地址：                              地址：</w:t>
      </w:r>
    </w:p>
    <w:p>
      <w:pPr>
        <w:spacing w:line="360" w:lineRule="auto"/>
        <w:ind w:firstLine="480" w:firstLineChars="200"/>
        <w:rPr>
          <w:rFonts w:ascii="宋体" w:hAnsi="宋体"/>
          <w:sz w:val="24"/>
        </w:rPr>
      </w:pPr>
      <w:r>
        <w:rPr>
          <w:rFonts w:hint="eastAsia" w:ascii="宋体" w:hAnsi="宋体"/>
          <w:sz w:val="24"/>
        </w:rPr>
        <w:t>法定代表人：                        法定代表人：</w:t>
      </w:r>
    </w:p>
    <w:p>
      <w:pPr>
        <w:spacing w:line="360" w:lineRule="auto"/>
        <w:ind w:firstLine="480" w:firstLineChars="200"/>
        <w:rPr>
          <w:rFonts w:ascii="宋体" w:hAnsi="宋体"/>
          <w:sz w:val="24"/>
        </w:rPr>
      </w:pPr>
      <w:r>
        <w:rPr>
          <w:rFonts w:hint="eastAsia" w:ascii="宋体" w:hAnsi="宋体"/>
          <w:sz w:val="24"/>
        </w:rPr>
        <w:t>委托代理人：                        委托代理人：</w:t>
      </w:r>
    </w:p>
    <w:p>
      <w:pPr>
        <w:spacing w:line="360" w:lineRule="auto"/>
        <w:ind w:firstLine="480" w:firstLineChars="200"/>
        <w:rPr>
          <w:rFonts w:ascii="宋体" w:hAnsi="宋体"/>
          <w:sz w:val="24"/>
        </w:rPr>
      </w:pPr>
      <w:r>
        <w:rPr>
          <w:rFonts w:hint="eastAsia" w:ascii="宋体" w:hAnsi="宋体"/>
          <w:sz w:val="24"/>
        </w:rPr>
        <w:t>电话：                              电话：</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帐号：                              帐号：</w:t>
      </w:r>
    </w:p>
    <w:p>
      <w:pPr>
        <w:spacing w:line="360" w:lineRule="auto"/>
        <w:ind w:firstLine="480" w:firstLineChars="200"/>
        <w:rPr>
          <w:rFonts w:ascii="宋体" w:hAnsi="宋体"/>
          <w:sz w:val="24"/>
        </w:rPr>
      </w:pPr>
      <w:r>
        <w:rPr>
          <w:rFonts w:hint="eastAsia" w:ascii="宋体" w:hAnsi="宋体"/>
          <w:sz w:val="24"/>
        </w:rPr>
        <w:t>税务登记证号：                      签定时间：</w:t>
      </w:r>
    </w:p>
    <w:p>
      <w:pPr>
        <w:spacing w:line="360" w:lineRule="auto"/>
        <w:ind w:firstLine="480" w:firstLineChars="200"/>
        <w:rPr>
          <w:rFonts w:ascii="宋体" w:hAnsi="宋体"/>
          <w:sz w:val="24"/>
        </w:rPr>
      </w:pPr>
      <w:r>
        <w:rPr>
          <w:rFonts w:hint="eastAsia" w:ascii="宋体" w:hAnsi="宋体"/>
          <w:sz w:val="24"/>
        </w:rPr>
        <w:t>签定时间：</w:t>
      </w: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jc w:val="left"/>
        <w:rPr>
          <w:rStyle w:val="14"/>
          <w:rFonts w:ascii="宋体" w:hAnsi="宋体" w:eastAsia="宋体"/>
        </w:rPr>
      </w:pPr>
      <w:bookmarkStart w:id="3" w:name="_Toc184023138"/>
      <w:bookmarkStart w:id="4" w:name="_Toc174185203"/>
      <w:bookmarkStart w:id="5" w:name="_Toc186274126"/>
      <w:r>
        <w:rPr>
          <w:rFonts w:hint="eastAsia" w:cs="黑体" w:asciiTheme="minorEastAsia" w:hAnsiTheme="minorEastAsia"/>
          <w:sz w:val="36"/>
          <w:szCs w:val="36"/>
          <w:lang w:val="zh-CN"/>
        </w:rPr>
        <w:br w:type="page"/>
      </w:r>
      <w:r>
        <w:rPr>
          <w:rStyle w:val="14"/>
          <w:rFonts w:hint="eastAsia" w:ascii="宋体" w:hAnsi="宋体" w:eastAsia="宋体"/>
        </w:rPr>
        <w:t>投标文件封皮格式</w:t>
      </w:r>
      <w:bookmarkStart w:id="6" w:name="_Toc16238"/>
      <w:bookmarkStart w:id="7" w:name="_Toc14398"/>
      <w:bookmarkStart w:id="8" w:name="_Toc12595"/>
      <w:bookmarkStart w:id="9" w:name="_Toc5131"/>
    </w:p>
    <w:p>
      <w:pPr>
        <w:pStyle w:val="4"/>
        <w:ind w:firstLine="340"/>
      </w:pPr>
    </w:p>
    <w:p>
      <w:pPr>
        <w:jc w:val="right"/>
        <w:rPr>
          <w:rStyle w:val="14"/>
          <w:rFonts w:ascii="宋体" w:hAnsi="宋体" w:eastAsia="宋体"/>
        </w:rPr>
      </w:pPr>
      <w:r>
        <w:rPr>
          <w:rStyle w:val="14"/>
          <w:rFonts w:hint="eastAsia" w:ascii="宋体" w:hAnsi="宋体" w:eastAsia="宋体"/>
        </w:rPr>
        <w:t>正本/副本</w:t>
      </w:r>
    </w:p>
    <w:bookmarkEnd w:id="6"/>
    <w:bookmarkEnd w:id="7"/>
    <w:bookmarkEnd w:id="8"/>
    <w:bookmarkEnd w:id="9"/>
    <w:p>
      <w:pPr>
        <w:jc w:val="left"/>
        <w:rPr>
          <w:rStyle w:val="14"/>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4"/>
        <w:ind w:firstLine="340"/>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pStyle w:val="1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cs="Courier New"/>
          <w:color w:val="auto"/>
          <w:szCs w:val="21"/>
        </w:rPr>
        <w:br w:type="page"/>
      </w:r>
    </w:p>
    <w:p>
      <w:pPr>
        <w:pStyle w:val="1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1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6"/>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6"/>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6"/>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6"/>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6"/>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6"/>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6"/>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6"/>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6"/>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6"/>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6"/>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6"/>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6"/>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6"/>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6"/>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6"/>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6"/>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6"/>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6"/>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6"/>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6"/>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6"/>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sectPr>
          <w:pgSz w:w="11906" w:h="16838"/>
          <w:pgMar w:top="2098" w:right="1474" w:bottom="1928" w:left="1588" w:header="851" w:footer="992" w:gutter="0"/>
          <w:cols w:space="425" w:num="1"/>
          <w:docGrid w:type="lines" w:linePitch="312" w:charSpace="0"/>
        </w:sect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单位：‰（费率）</w:t>
      </w:r>
    </w:p>
    <w:tbl>
      <w:tblPr>
        <w:tblStyle w:val="1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r>
              <w:rPr>
                <w:rFonts w:hint="eastAsia" w:cs="宋体" w:asciiTheme="minorEastAsia" w:hAnsiTheme="minorEastAsia"/>
                <w:b/>
                <w:sz w:val="24"/>
                <w:szCs w:val="24"/>
              </w:rPr>
              <w:t>费率</w:t>
            </w:r>
            <w:r>
              <w:rPr>
                <w:rFonts w:hint="eastAsia" w:cs="宋体" w:asciiTheme="minorEastAsia" w:hAnsiTheme="minorEastAsia"/>
                <w:b/>
                <w:sz w:val="24"/>
                <w:szCs w:val="24"/>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sz w:val="24"/>
          <w:lang w:val="zh-CN"/>
        </w:rPr>
      </w:pPr>
      <w:r>
        <w:rPr>
          <w:rFonts w:hint="eastAsia" w:cs="宋体" w:asciiTheme="minorEastAsia" w:hAnsiTheme="minorEastAsia"/>
          <w:sz w:val="24"/>
          <w:szCs w:val="24"/>
        </w:rPr>
        <w:t xml:space="preserve">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pPr>
    </w:p>
    <w:p>
      <w:pPr>
        <w:pStyle w:val="6"/>
        <w:spacing w:line="360" w:lineRule="auto"/>
        <w:jc w:val="center"/>
        <w:rPr>
          <w:rFonts w:asciiTheme="majorEastAsia" w:hAnsiTheme="majorEastAsia" w:eastAsiaTheme="majorEastAsia"/>
          <w:b/>
          <w:snapToGrid w:val="0"/>
          <w:kern w:val="0"/>
          <w:sz w:val="36"/>
          <w:szCs w:val="36"/>
        </w:rPr>
        <w:sectPr>
          <w:pgSz w:w="11906" w:h="16838"/>
          <w:pgMar w:top="2098" w:right="1474" w:bottom="1928" w:left="1588" w:header="851" w:footer="992" w:gutter="0"/>
          <w:cols w:space="425" w:num="1"/>
          <w:docGrid w:type="lines" w:linePitch="312" w:charSpace="0"/>
        </w:sectPr>
      </w:pPr>
    </w:p>
    <w:p>
      <w:pPr>
        <w:pStyle w:val="6"/>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6"/>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6"/>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6"/>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6"/>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6"/>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6"/>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6"/>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6"/>
        <w:adjustRightInd w:val="0"/>
        <w:snapToGrid w:val="0"/>
        <w:spacing w:line="360" w:lineRule="auto"/>
        <w:rPr>
          <w:rFonts w:asciiTheme="minorEastAsia" w:hAnsiTheme="minorEastAsia" w:eastAsiaTheme="minorEastAsia"/>
          <w:szCs w:val="24"/>
        </w:rPr>
      </w:pPr>
    </w:p>
    <w:p>
      <w:pPr>
        <w:pStyle w:val="6"/>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8"/>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18"/>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18"/>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18"/>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18"/>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18"/>
        <w:spacing w:line="480" w:lineRule="auto"/>
        <w:ind w:firstLine="540" w:firstLineChars="225"/>
        <w:jc w:val="left"/>
        <w:rPr>
          <w:rFonts w:asciiTheme="minorEastAsia" w:hAnsiTheme="minorEastAsia"/>
          <w:szCs w:val="24"/>
        </w:rPr>
      </w:pPr>
    </w:p>
    <w:p>
      <w:pPr>
        <w:pStyle w:val="18"/>
        <w:spacing w:line="480" w:lineRule="auto"/>
        <w:ind w:firstLine="540" w:firstLineChars="225"/>
        <w:jc w:val="left"/>
        <w:rPr>
          <w:rFonts w:asciiTheme="minorEastAsia" w:hAnsiTheme="minorEastAsia"/>
          <w:szCs w:val="24"/>
        </w:rPr>
      </w:pPr>
    </w:p>
    <w:p>
      <w:pPr>
        <w:pStyle w:val="18"/>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18"/>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19"/>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20"/>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0" w:name="_资格证明文件"/>
            <w:bookmarkEnd w:id="10"/>
            <w:bookmarkStart w:id="11" w:name="_Toc364329026"/>
            <w:r>
              <w:rPr>
                <w:rFonts w:hint="eastAsia" w:asciiTheme="minorEastAsia" w:hAnsiTheme="minorEastAsia"/>
                <w:sz w:val="24"/>
                <w:szCs w:val="24"/>
              </w:rPr>
              <w:t>法定代表人授权代表身份证（正面）</w:t>
            </w:r>
            <w:bookmarkEnd w:id="11"/>
          </w:p>
        </w:tc>
        <w:tc>
          <w:tcPr>
            <w:tcW w:w="4492" w:type="dxa"/>
            <w:gridSpan w:val="2"/>
            <w:vAlign w:val="center"/>
          </w:tcPr>
          <w:p>
            <w:pPr>
              <w:jc w:val="center"/>
              <w:rPr>
                <w:rFonts w:asciiTheme="minorEastAsia" w:hAnsiTheme="minorEastAsia"/>
                <w:sz w:val="24"/>
                <w:szCs w:val="24"/>
              </w:rPr>
            </w:pPr>
            <w:bookmarkStart w:id="12" w:name="_Toc364329027"/>
            <w:r>
              <w:rPr>
                <w:rFonts w:hint="eastAsia" w:asciiTheme="minorEastAsia" w:hAnsiTheme="minorEastAsia"/>
                <w:sz w:val="24"/>
                <w:szCs w:val="24"/>
              </w:rPr>
              <w:t>法定代表人授权代表身份证（反面）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1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13"/>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5"/>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5"/>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 xml:space="preserve">技术方案 </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spacing w:line="360" w:lineRule="auto"/>
        <w:jc w:val="center"/>
        <w:rPr>
          <w:rFonts w:ascii="宋体" w:hAnsi="宋体"/>
          <w:b/>
          <w:bCs/>
          <w:sz w:val="36"/>
          <w:szCs w:val="36"/>
        </w:rPr>
        <w:sectPr>
          <w:pgSz w:w="11906" w:h="16838"/>
          <w:pgMar w:top="2098" w:right="1474" w:bottom="1928" w:left="1588" w:header="851" w:footer="992" w:gutter="0"/>
          <w:cols w:space="425" w:num="1"/>
          <w:docGrid w:type="lines" w:linePitch="312" w:charSpace="0"/>
        </w:sectPr>
      </w:pPr>
    </w:p>
    <w:p>
      <w:pPr>
        <w:spacing w:line="360" w:lineRule="auto"/>
        <w:jc w:val="center"/>
        <w:rPr>
          <w:rFonts w:ascii="宋体" w:hAnsi="宋体"/>
          <w:b/>
          <w:bCs/>
          <w:sz w:val="36"/>
          <w:szCs w:val="36"/>
        </w:rPr>
      </w:pPr>
      <w:r>
        <w:rPr>
          <w:rFonts w:hint="eastAsia" w:ascii="宋体" w:hAnsi="宋体"/>
          <w:b/>
          <w:bCs/>
          <w:sz w:val="36"/>
          <w:szCs w:val="36"/>
        </w:rPr>
        <w:t>4.6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13" w:name="OLE_LINK14"/>
      <w:bookmarkStart w:id="14" w:name="OLE_LINK13"/>
      <w:r>
        <w:rPr>
          <w:rFonts w:hint="eastAsia" w:ascii="宋体" w:hAnsi="宋体"/>
          <w:b/>
          <w:bCs/>
          <w:sz w:val="36"/>
          <w:szCs w:val="36"/>
        </w:rPr>
        <w:t>4.7 残疾人福利性单位声明函</w:t>
      </w:r>
    </w:p>
    <w:bookmarkEnd w:id="13"/>
    <w:bookmarkEnd w:id="1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1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17"/>
      <w:suff w:val="nothing"/>
      <w:lvlText w:val="%1、"/>
      <w:lvlJc w:val="left"/>
    </w:lvl>
  </w:abstractNum>
  <w:abstractNum w:abstractNumId="4">
    <w:nsid w:val="5AA77FB2"/>
    <w:multiLevelType w:val="singleLevel"/>
    <w:tmpl w:val="5AA77FB2"/>
    <w:lvl w:ilvl="0" w:tentative="0">
      <w:start w:val="3"/>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3922"/>
    <w:rsid w:val="004D3922"/>
    <w:rsid w:val="004F0E26"/>
    <w:rsid w:val="20B931EC"/>
    <w:rsid w:val="255E3E9F"/>
    <w:rsid w:val="39395532"/>
    <w:rsid w:val="39BD5666"/>
    <w:rsid w:val="3EC910D9"/>
    <w:rsid w:val="46661C76"/>
    <w:rsid w:val="4B582B0C"/>
    <w:rsid w:val="529E167A"/>
    <w:rsid w:val="5A4A129F"/>
    <w:rsid w:val="61AD4A5D"/>
    <w:rsid w:val="63B712CA"/>
    <w:rsid w:val="66CF4748"/>
    <w:rsid w:val="6B464FBE"/>
    <w:rsid w:val="6F0522DD"/>
    <w:rsid w:val="7449154E"/>
    <w:rsid w:val="7772335D"/>
    <w:rsid w:val="790042F9"/>
    <w:rsid w:val="7B0A6EC0"/>
    <w:rsid w:val="7E987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unhideWhenUsed/>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First Indent"/>
    <w:basedOn w:val="2"/>
    <w:qFormat/>
    <w:uiPriority w:val="0"/>
    <w:pPr>
      <w:ind w:firstLine="420" w:firstLineChars="100"/>
    </w:pPr>
    <w:rPr>
      <w:rFonts w:ascii="宋体" w:hAnsi="Times New Roman" w:eastAsia="宋体" w:cs="Times New Roman"/>
      <w:kern w:val="0"/>
      <w:sz w:val="34"/>
      <w:szCs w:val="20"/>
    </w:rPr>
  </w:style>
  <w:style w:type="paragraph" w:styleId="5">
    <w:name w:val="caption"/>
    <w:basedOn w:val="1"/>
    <w:next w:val="1"/>
    <w:unhideWhenUsed/>
    <w:qFormat/>
    <w:uiPriority w:val="0"/>
    <w:rPr>
      <w:rFonts w:ascii="Arial" w:hAnsi="Arial" w:eastAsia="黑体" w:cs="Arial"/>
      <w:sz w:val="20"/>
      <w:szCs w:val="20"/>
    </w:rPr>
  </w:style>
  <w:style w:type="paragraph" w:styleId="6">
    <w:name w:val="Plain Text"/>
    <w:basedOn w:val="1"/>
    <w:qFormat/>
    <w:uiPriority w:val="0"/>
    <w:rPr>
      <w:rFonts w:eastAsia="宋体"/>
      <w:sz w:val="24"/>
    </w:rPr>
  </w:style>
  <w:style w:type="paragraph" w:styleId="7">
    <w:name w:val="Body Text Indent 2"/>
    <w:basedOn w:val="1"/>
    <w:qFormat/>
    <w:uiPriority w:val="0"/>
    <w:pPr>
      <w:spacing w:line="440" w:lineRule="exact"/>
      <w:ind w:firstLine="560" w:firstLineChars="200"/>
    </w:pPr>
    <w:rPr>
      <w:rFonts w:ascii="仿宋_GB2312"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rFonts w:ascii="Calibri" w:hAnsi="Calibri" w:eastAsia="宋体" w:cs="Times New Roman"/>
      <w:sz w:val="24"/>
      <w:szCs w:val="24"/>
    </w:rPr>
  </w:style>
  <w:style w:type="character" w:styleId="12">
    <w:name w:val="Hyperlink"/>
    <w:basedOn w:val="11"/>
    <w:qFormat/>
    <w:uiPriority w:val="0"/>
    <w:rPr>
      <w:color w:val="0000FF"/>
      <w:u w:val="single"/>
    </w:rPr>
  </w:style>
  <w:style w:type="character" w:customStyle="1" w:styleId="14">
    <w:name w:val="标题 2 Char"/>
    <w:basedOn w:val="11"/>
    <w:link w:val="3"/>
    <w:qFormat/>
    <w:uiPriority w:val="0"/>
    <w:rPr>
      <w:rFonts w:ascii="Arial" w:hAnsi="Arial" w:eastAsia="黑体" w:cs="Times New Roman"/>
      <w:b/>
      <w:bCs/>
      <w:kern w:val="0"/>
      <w:sz w:val="32"/>
      <w:szCs w:val="32"/>
    </w:rPr>
  </w:style>
  <w:style w:type="paragraph" w:customStyle="1" w:styleId="1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styleId="16">
    <w:name w:val="List Paragraph"/>
    <w:basedOn w:val="1"/>
    <w:unhideWhenUsed/>
    <w:qFormat/>
    <w:uiPriority w:val="99"/>
    <w:pPr>
      <w:ind w:firstLine="420" w:firstLineChars="200"/>
    </w:pPr>
  </w:style>
  <w:style w:type="paragraph" w:customStyle="1" w:styleId="1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8">
    <w:name w:val="正文文本缩进1"/>
    <w:basedOn w:val="1"/>
    <w:qFormat/>
    <w:uiPriority w:val="0"/>
    <w:pPr>
      <w:spacing w:line="360" w:lineRule="auto"/>
      <w:ind w:firstLine="480" w:firstLineChars="200"/>
    </w:pPr>
    <w:rPr>
      <w:rFonts w:ascii="宋体"/>
      <w:sz w:val="24"/>
    </w:rPr>
  </w:style>
  <w:style w:type="paragraph" w:customStyle="1" w:styleId="1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0">
    <w:name w:val="日期1"/>
    <w:basedOn w:val="1"/>
    <w:next w:val="1"/>
    <w:qFormat/>
    <w:uiPriority w:val="0"/>
    <w:rPr>
      <w:sz w:val="24"/>
    </w:rPr>
  </w:style>
  <w:style w:type="character" w:customStyle="1" w:styleId="21">
    <w:name w:val="页眉 Char"/>
    <w:basedOn w:val="11"/>
    <w:link w:val="9"/>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73</Pages>
  <Words>35819</Words>
  <Characters>6159</Characters>
  <Lines>51</Lines>
  <Paragraphs>83</Paragraphs>
  <ScaleCrop>false</ScaleCrop>
  <LinksUpToDate>false</LinksUpToDate>
  <CharactersWithSpaces>41895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2018-04-09T02:14:00Z</cp:lastPrinted>
  <dcterms:modified xsi:type="dcterms:W3CDTF">2018-05-10T09:00:54Z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