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长招采竞字【201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>115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号</w:t>
      </w:r>
    </w:p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《长葛教育志》出版印刷项目竞争性谈判公告二次</w:t>
      </w:r>
    </w:p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受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长葛市教育体育局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的委托，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长葛市公共资源交易中心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就“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长葛教育志出版印刷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”项目进行竞争性谈判采购，欢迎合格的投标人前来投标。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一、项目名称：《长葛教育志》出版印刷项目二次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二、采购编号：长招采竞字【201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】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115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三、采购内容：本项目为《长葛教育志》出版印刷项目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；详细内容见竞争性谈判文件。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 xml:space="preserve">    预算金额：250000.00元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 符合《中华人民共和国政府采购法》第二十二条规定；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2、具备相应的经营范围，有履行合同能力和完善的售后服务体系；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4、具有10本以上的志书类书籍印刷经验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单位负责人为同一人或者存在控股、管理关系的不同单位，不得参加同一标段投标或者未划分标段的同一招标项目投标；与采购人存在利害关系可能影响招标公正性的法人、其他组织或者个人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6、本项目不接受联合体报名；不得转包、挂靠及违法分包。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五</w:t>
      </w: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/>
          <w:bCs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（一）网上下载招标文件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诚信库网上注册相关资料下载”）；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投标报名时间内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登录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交易系统操作手册”）。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 w:val="0"/>
          <w:i w:val="0"/>
          <w:color w:val="FF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投标报名及获取招标文件时间：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2018年 6月6日—2018年6月8日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（二）未通过全国公共资源交易平台（河南省﹒许昌市）下载招标文件的投标企业,拒收其递交的投标文件。</w:t>
      </w:r>
    </w:p>
    <w:p>
      <w:pPr>
        <w:spacing w:line="360" w:lineRule="auto"/>
        <w:ind w:right="-313" w:rightChars="-149" w:firstLine="56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 xml:space="preserve">(三)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注意事项：所有投标单位请及时关注</w:t>
      </w: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eastAsia="zh-CN"/>
        </w:rPr>
        <w:t>全国公共资源交易平台（河南省﹒许昌市）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，澄清、答疑、变更均在</w:t>
      </w: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eastAsia="zh-CN"/>
        </w:rPr>
        <w:t>全国公共资源交易平台（河南省﹒许昌市）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发布，不再另行通知。如未及时查看影响其投标，后果自负。</w:t>
      </w:r>
    </w:p>
    <w:p>
      <w:pPr>
        <w:spacing w:line="360" w:lineRule="auto"/>
        <w:ind w:right="-313" w:rightChars="-149" w:firstLine="602" w:firstLineChars="200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本项目实行资格后审，开标时必须带齐谈判文件中要求的全部证件原件。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六</w:t>
      </w: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（一）投标截止及开标时间：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6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13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日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11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时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0分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（北京时间）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长葛市公共资源交易中心开标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室（长葛市葛天大道东段商务区6#楼 4楼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七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公告发布媒介：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八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hd w:val="clear" w:color="auto" w:fill="FFFFFF"/>
          <w:lang w:eastAsia="zh-CN"/>
        </w:rPr>
        <w:t>公告期限：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个工作日。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/>
          <w:bCs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九、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代理机构及采购单位地址、联系人、联系电话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6189667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采购单位：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长葛市教育体育局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石少华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13569922880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DFF"/>
    <w:multiLevelType w:val="singleLevel"/>
    <w:tmpl w:val="5A153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5A33"/>
    <w:rsid w:val="759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2018-06-04T08:46:00Z</dcterms:created>
  <dc:creator>长葛市公共资源交易中心:殷勇</dc:creator>
  <cp:lastModifiedBy>长葛市公共资源交易中心:殷勇</cp:lastModifiedBy>
  <dcterms:modified xsi:type="dcterms:W3CDTF">2018-06-04T08:48:14Z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