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ascii="宋体" w:hAnsi="宋体" w:eastAsia="宋体" w:cs="宋体"/>
          <w:b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kern w:val="44"/>
          <w:sz w:val="44"/>
          <w:szCs w:val="44"/>
        </w:rPr>
        <w:t>一、开标一览表</w:t>
      </w:r>
    </w:p>
    <w:tbl>
      <w:tblPr>
        <w:tblStyle w:val="4"/>
        <w:tblW w:w="9465" w:type="dxa"/>
        <w:tblInd w:w="13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52"/>
        <w:gridCol w:w="3780"/>
        <w:gridCol w:w="1749"/>
        <w:gridCol w:w="90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1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投标报价</w:t>
            </w:r>
          </w:p>
        </w:tc>
        <w:tc>
          <w:tcPr>
            <w:tcW w:w="17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规划评审决策室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屏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大写： 壹佰零贰万元整     小写：1020000元</w:t>
            </w:r>
          </w:p>
        </w:tc>
        <w:tc>
          <w:tcPr>
            <w:tcW w:w="17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签订合同后10个日历天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140" w:lineRule="exact"/>
        <w:ind w:left="0" w:right="0" w:firstLine="482" w:firstLineChars="200"/>
        <w:jc w:val="both"/>
        <w:rPr>
          <w:rFonts w:hint="eastAsia" w:ascii="宋体" w:hAnsi="Times New Roman" w:eastAsia="宋体" w:cs="宋体"/>
          <w:b/>
          <w:kern w:val="2"/>
          <w:sz w:val="24"/>
          <w:szCs w:val="24"/>
        </w:rPr>
      </w:pPr>
      <w:r>
        <w:rPr>
          <w:rFonts w:hint="eastAsia" w:ascii="宋体" w:hAnsi="Times New Roman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投标人（公章）：河南继元智能科技股份有限公司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投标人法定代表人（或代理人）签字：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注：工期指完成该项目的最终时间（日历天）。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widowControl/>
        <w:rPr>
          <w:rFonts w:hint="eastAsia" w:ascii="宋体" w:hAnsi="宋体" w:eastAsia="宋体" w:cs="宋体"/>
          <w:b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kern w:val="44"/>
          <w:sz w:val="44"/>
          <w:szCs w:val="44"/>
        </w:rPr>
        <w:t>二、投标分项报价一览表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140" w:lineRule="exact"/>
        <w:ind w:left="0" w:right="0" w:firstLine="482" w:firstLineChars="200"/>
        <w:jc w:val="both"/>
        <w:rPr>
          <w:rFonts w:hint="eastAsia" w:ascii="宋体" w:hAnsi="Times New Roman" w:eastAsia="宋体" w:cs="宋体"/>
          <w:b/>
          <w:kern w:val="2"/>
          <w:sz w:val="24"/>
          <w:szCs w:val="24"/>
        </w:rPr>
      </w:pPr>
      <w:r>
        <w:rPr>
          <w:rFonts w:hint="eastAsia" w:ascii="宋体" w:hAnsi="Times New Roman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4"/>
        <w:tblW w:w="9771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832"/>
        <w:gridCol w:w="768"/>
        <w:gridCol w:w="987"/>
        <w:gridCol w:w="2300"/>
        <w:gridCol w:w="916"/>
        <w:gridCol w:w="734"/>
        <w:gridCol w:w="833"/>
        <w:gridCol w:w="1033"/>
        <w:gridCol w:w="717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名 称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品牌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技术参数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单 位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 量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单 价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总价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产地及厂家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LED显示屏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规划评审决策室LED显示屏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利亚德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TWA014OS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1.像素间距1.49mm； 采用亿光LED黑灯，黑灯规格0.8mm*0.8mm。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2.每个灯芯的波长误差值在±1.5nm以内；每个灯芯的亮度误差在2.1％以内；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3.屏幕尺寸：面积：3.6m*2.025m=7.29m²；物理分辨率为2415*1356像素；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4.屏幕亮度：641cd/平方米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5.箱体背部具有LCD运行状态监视窗口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6.智能电源设计，显示屏支持待机，进一步降低功耗，支持电源状态回传；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7.LED平均寿命大于10万小时（半衰期寿命）；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8.盲点率≤0.00001；无常亮点；整屏幕平整度0.15mm；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9.换帧频率：60Hz；刷新频率3840Hz；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10.对比度6410:1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11.支持单点亮度及色度校正，色温可调范围：3000k~10000k，并可自定义色温值；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12.亮度均匀性99.1%；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13.换帧频率：50&amp;60Hz；刷新频率3840Hz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14.水平视角160°，垂直视角160°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15.峰值功率439W/㎡ 平均功率146W/㎡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16.先进的除亮、暗线功能，从软、硬两方面彻底改善困扰小间距LED安装精度造成的亮、暗线问题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17.支持双电源、双信号备份技术，提高产品和系统的稳定性;视频及控制信号采用菊花链式环接，简化布线难度，节省中间设备。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18. 硬件集成度高，打破LED固有硬件架构，灯板与驱动板合二为一。无外置的LED控制器，内置的图像处理板。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19.通用的HDMI输入接口，符合系统集成和最终用户的普遍认识和使用习惯；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20.先进的除亮、暗线功能，从软、硬两方面彻底改善困扰小间距LED安装精度造成的亮、暗线问题；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21. LED屏幕工作噪声，屏前方15.8db，屏左方15.1db，屏后方16.9db，屏右方15.1db。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22.镁铝箱体结构设计，一体化驱动主板设计，拥有自带驱动控制的LED显示单元。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23.低亮高灰效果，100%亮度，16bit灰度；70%亮度，16bit灰度；50%亮度，16bit灰度；20%亮度，15bit灰度。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24.三年质保。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7.29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123000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896670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厂家：利亚德光电股份有限公司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多视频控制器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利亚德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leadshow MVC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1、采用全硬件FPGA架构，无内置操作系统。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2、所有输入，输出板卡在工作状态下支持热插拔，风扇电源的主要模块为插卡式设计。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3、将输入图像数据压缩编码后通过网络传输给综合播控平台。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4、支持回显功能，和视频预监功能。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5、支持无缝切换，确保单个或多个信号进行切换时没有黑场间隔困扰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6、支持对输入信号通道进行字符叠加，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7、单台设备支持同时控制四组不同分辨率的屏幕墙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8、支持视频的倍频倍线处理功能，支持图像去黑边，裁剪，局部放大，偏移校正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9、支持输入端口EDI编辑功能，支持自定义输出分辨率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10、具备以太网和RS232两种控制接口，可以通过触控一体机对设备进行控制。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11、具有信号自动识别功能，信号的接入和拔出可通过软件界面进行识别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12、支持视频预监和屏幕回显功能；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13、支持信号复制功能，多屏幕共享视频源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14、3U机箱，4路DVI输出，4路DVI信号输入，支持预监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29800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29800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厂家：利亚德光电股份有限公司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综合播控平台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利亚德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leadshow CPCS3.0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1、将整个LED显示系统的信号和LED屏幕、配电柜PLC、多视频处理器、视频矩阵，各种类型视频源进行深度整合，统一由一套管理软件，通过控制主机和触摸屏进行配置、管理和调用。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2、支持显示素材多样化，各种视频文件、图片、底图、字幕、流媒体、IP桌面、超大分辨率图像的任意开窗、叠加显示；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3、系统支持PC端触控操作，增强互动性，所见及所得；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4、支持在线、离线场景编辑；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5、支持多权限、多用户同时操作、分区操作，数据库实时数据更新，增强了数据的稳定性及安全性；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6、支持日志记录，操作可追溯；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7、支持多语言功能，方便切换；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8、C/S架构，操作平台和服务分离，控制便捷、执行效率高；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9、为了满足操作的安全性，软件场景设置和设备管理操作分离；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10、支持LED显示屏等系统设备工作状态实时监控、故障智能诊断；支持自动的场景、节目播放、开关控制，适应各时段、多类型显示需求；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11、支持单屏，多屏同时操控、数据集中管理，适应简单系统到复杂系统不同的操控模式，满足各种岗位集中管理、协同工作的需要；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厂家：利亚德光电股份有限公司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H3C 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H3C S3110-10TP-SI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8口百兆交换机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网络标准：IEEE802.3，IEEE802.3u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传输模式：全双工/半双工自适应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传输速率：10/100/1000Mbps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端口类型：UTP/STP 3类或5类电缆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交换容量：32Gbps，包转发率：4.2Mpps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网络端口：8个10/100Base-TX以太网端口，2个10/100/1000Base-T以太网端口和2个复用的100/1000Base-X SFP端口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产地：杭州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厂家：新华三技术有限公司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媒体服务器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惠普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HP ELiteDesk 800 G3 TWR Business PC-14035230058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I7-7700处理器16G内存 1T硬盘 +256GSSD硬盘   (WIN10系统）；GTX1050 2G独立显卡，（dvi+hdmi+dp三接口），21.5寸显示屏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产地：重庆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厂家：惠普有限公司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智能配电柜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利亚德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RF-LM200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1、含PLC控制系统，可实时获取屏幕背部烟雾及温度数据，可执行远程开关机操作；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2、容量10KW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3、本配电柜具备过压、过流、欠压、短路、断路以及漏电保护措施；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厂家：利亚德光电股份有限公司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线材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继元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JY-01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配电线缆、信号线、弱电线缆；线缆用专业穿线管分别敷设；液晶拼接屏移转所需线材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产地：许昌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厂家：河南继元智能科技股份有限公司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屏体钢结构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继元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JY-02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显示屏主体钢结构，钢铝混合结构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产地：许昌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厂家：河南继元智能科技股份有限公司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LED屏安装、调试、运输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继元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JY-03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1、LED显示屏箱体及屏体钢结构运输；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2、LED箱体拼接安装；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3、LED整屏点亮调试确保所有灯芯均能点亮；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4、LED整屏颜色及亮度调试，使整个画面观看效果最佳；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5、LED显示系统的信号和LED屏幕、配电柜PLC、多视频处理器、视频矩阵等联动调试，使其作为一个整体，操作简单、使用方便。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28000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28000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产地：许昌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厂家：河南继元智能科技股份有限公司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LED屏备品备件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利亚德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LYD-1000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为满足现场及时处理故障需要备品备件：模组4块，专业配套电源2块，灯珠2000个，连接线1批。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15800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15800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厂家：利亚德光电股份有限公司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装修费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继元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JY-04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1、背景墙体基础改造，与屏体钢结构平顺对接并保证钢结构突出墙体的尺寸满足要求；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2、屏体四周装饰装修，与原有背景墙装修风格一致；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3、保证饰板上下之间拼缝及饰板与显示屏拼缝满足要求；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4、保证饰板左右之间拼缝及饰板与显示屏拼缝满足要求；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5、背景墙无尘防护；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6、装修主材及辅材。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产地：许昌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厂家：河南继元智能科技股份有限公司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音箱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惠威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VA80S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喇叭口径：8"X1 2"X1 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额定功率：60W 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最大功率:120W 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工作方式：8Ω（定阻）； 70V/100V（定压）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灵敏度：91dB 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频响范围：55Hz-20KHz 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谐振频率：40Hz 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重量(kg)：13.5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只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2550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产地：珠海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厂家：珠海惠威科技有限公司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四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整体调试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继元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JY-05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1、音箱系统接入新建LED屏系统调试，能同步播放画面声音。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2、音箱噪音等调试，使播放声音自然；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3、原有系统接入LED屏调试，使原有系统与新建LED屏系统形成一个新的整体。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5000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5000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产地：许昌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厂家：河南继元智能科技股份有限公司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五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原液晶拼接屏拆除、安装费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继元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JY-06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1、原有液晶显示器拆除；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2、原液晶拼接钢架拆除；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3、原液晶显示器安装（规划局内）；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4、原液晶显示器钢架安装(规划局内）。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4950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产地：许昌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厂家：河南继元智能科技股份有限公司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82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大写：壹佰零贰万元整                                   小写：1020000元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right="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投标人（公章）：河南继元智能科技股份有限公司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投标人法定代表人（或代理人）签字：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 5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 2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480" w:firstLineChars="200"/>
        <w:jc w:val="both"/>
      </w:pP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4D6A"/>
    <w:rsid w:val="045E4D6A"/>
    <w:rsid w:val="2D5E4FC4"/>
    <w:rsid w:val="4BED20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100" w:beforeLines="0" w:beforeAutospacing="0" w:after="90" w:afterLines="0" w:afterAutospacing="0" w:line="360" w:lineRule="auto"/>
      <w:ind w:firstLine="0" w:firstLineChars="0"/>
      <w:jc w:val="both"/>
      <w:outlineLvl w:val="0"/>
    </w:pPr>
    <w:rPr>
      <w:rFonts w:hint="eastAsia" w:ascii="宋体" w:hAnsi="宋体" w:eastAsia="宋体" w:cs="宋体"/>
      <w:b/>
      <w:kern w:val="44"/>
      <w:sz w:val="44"/>
      <w:szCs w:val="4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8"/>
    <w:basedOn w:val="3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6">
    <w:name w:val="15"/>
    <w:basedOn w:val="3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7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8">
    <w:name w:val="16"/>
    <w:basedOn w:val="3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9">
    <w:name w:val="17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2018-05-04T06:36:00Z</dcterms:created>
  <dc:creator>Administrator</dc:creator>
  <cp:lastModifiedBy>Administrator</cp:lastModifiedBy>
  <dcterms:modified xsi:type="dcterms:W3CDTF">2018-05-04T08:08:21Z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