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禹州市防洪影响评价报告、厂院测绘及结构检测项目</w:t>
      </w:r>
    </w:p>
    <w:p>
      <w:pPr>
        <w:ind w:left="3095" w:leftChars="212" w:hanging="2650" w:hangingChars="600"/>
        <w:jc w:val="both"/>
        <w:rPr>
          <w:rFonts w:hint="eastAsia" w:ascii="仿宋" w:hAnsi="仿宋" w:eastAsia="仿宋" w:cs="仿宋"/>
          <w:b/>
          <w:bCs/>
          <w:sz w:val="44"/>
          <w:szCs w:val="44"/>
          <w:lang w:eastAsia="zh-CN"/>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lang w:val="en-US"/>
        </w:rPr>
      </w:pPr>
      <w:r>
        <w:rPr>
          <w:rFonts w:hint="eastAsia" w:ascii="仿宋" w:hAnsi="仿宋" w:eastAsia="仿宋"/>
          <w:sz w:val="32"/>
        </w:rPr>
        <w:t>采购单位：禹州市神垕古镇管理委员会</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项目名称：禹州市防洪影响评价报告、厂院测绘及结构检测项目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8116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五</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禹州市防洪影响评价报告、厂院测绘及结构检测项目</w:t>
      </w:r>
    </w:p>
    <w:p>
      <w:pPr>
        <w:ind w:firstLine="3614" w:firstLineChars="1000"/>
        <w:jc w:val="both"/>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函</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神垕古镇管理委员会</w:t>
      </w:r>
      <w:r>
        <w:rPr>
          <w:rFonts w:hint="eastAsia" w:ascii="仿宋" w:hAnsi="仿宋" w:eastAsia="仿宋" w:cs="仿宋"/>
          <w:sz w:val="24"/>
          <w:szCs w:val="24"/>
        </w:rPr>
        <w:t>的委托，就“禹州市防洪影响评价报告、厂院测绘及结构检测项目”进行公开招标，欢迎合格的投标人前来投标。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1、采购人：禹州市神垕古镇管理委员会</w:t>
      </w:r>
    </w:p>
    <w:p>
      <w:pPr>
        <w:keepNext w:val="0"/>
        <w:keepLines w:val="0"/>
        <w:pageBreakBefore w:val="0"/>
        <w:widowControl w:val="0"/>
        <w:kinsoku/>
        <w:wordWrap/>
        <w:overflowPunct/>
        <w:topLinePunct w:val="0"/>
        <w:autoSpaceDE/>
        <w:autoSpaceDN/>
        <w:bidi w:val="0"/>
        <w:adjustRightInd/>
        <w:snapToGrid/>
        <w:spacing w:line="440" w:lineRule="exact"/>
        <w:ind w:left="2318" w:leftChars="304" w:right="0" w:rightChars="0" w:hanging="1680" w:hangingChars="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2、项目名称：禹州市防洪影响评价报告、厂院测绘及结构检测项目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8116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4、项目需求</w:t>
      </w:r>
      <w:r>
        <w:rPr>
          <w:rFonts w:hint="eastAsia" w:ascii="仿宋" w:hAnsi="仿宋" w:eastAsia="仿宋" w:cs="仿宋"/>
          <w:sz w:val="24"/>
          <w:szCs w:val="24"/>
          <w:lang w:eastAsia="zh-CN"/>
        </w:rPr>
        <w:t>：本项目分三个标段，</w:t>
      </w:r>
      <w:r>
        <w:rPr>
          <w:rFonts w:hint="eastAsia" w:ascii="仿宋" w:hAnsi="仿宋" w:eastAsia="仿宋" w:cs="仿宋"/>
          <w:sz w:val="24"/>
          <w:szCs w:val="24"/>
          <w:lang w:val="en-US" w:eastAsia="zh-CN"/>
        </w:rPr>
        <w:t>A包</w:t>
      </w:r>
      <w:r>
        <w:rPr>
          <w:rFonts w:hint="eastAsia" w:ascii="仿宋" w:hAnsi="仿宋" w:eastAsia="仿宋" w:cs="仿宋"/>
          <w:sz w:val="24"/>
          <w:szCs w:val="24"/>
          <w:lang w:eastAsia="zh-CN"/>
        </w:rPr>
        <w:t>：肖河防洪影响评价报告，</w:t>
      </w:r>
      <w:r>
        <w:rPr>
          <w:rFonts w:hint="eastAsia" w:ascii="仿宋" w:hAnsi="仿宋" w:eastAsia="仿宋" w:cs="仿宋"/>
          <w:sz w:val="24"/>
          <w:szCs w:val="24"/>
          <w:lang w:val="en-US" w:eastAsia="zh-CN"/>
        </w:rPr>
        <w:t>B包</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196处房屋建筑等</w:t>
      </w:r>
      <w:r>
        <w:rPr>
          <w:rFonts w:hint="eastAsia" w:ascii="仿宋" w:hAnsi="仿宋" w:eastAsia="仿宋" w:cs="仿宋"/>
          <w:sz w:val="24"/>
          <w:szCs w:val="24"/>
          <w:lang w:eastAsia="zh-CN"/>
        </w:rPr>
        <w:t>厂院测绘，</w:t>
      </w:r>
      <w:r>
        <w:rPr>
          <w:rFonts w:hint="eastAsia" w:ascii="仿宋" w:hAnsi="仿宋" w:eastAsia="仿宋" w:cs="仿宋"/>
          <w:sz w:val="24"/>
          <w:szCs w:val="24"/>
          <w:lang w:val="en-US" w:eastAsia="zh-CN"/>
        </w:rPr>
        <w:t>C包</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24栋房屋主体</w:t>
      </w:r>
      <w:r>
        <w:rPr>
          <w:rFonts w:hint="eastAsia" w:ascii="仿宋" w:hAnsi="仿宋" w:eastAsia="仿宋" w:cs="仿宋"/>
          <w:sz w:val="24"/>
          <w:szCs w:val="24"/>
          <w:lang w:eastAsia="zh-CN"/>
        </w:rPr>
        <w:t>结构检测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A包 13.75万元，B</w:t>
      </w:r>
      <w:r>
        <w:rPr>
          <w:rFonts w:hint="eastAsia" w:ascii="仿宋" w:hAnsi="仿宋" w:eastAsia="仿宋" w:cs="仿宋"/>
          <w:sz w:val="24"/>
          <w:szCs w:val="24"/>
          <w:lang w:val="en-US" w:eastAsia="zh-CN"/>
        </w:rPr>
        <w:tab/>
      </w:r>
      <w:r>
        <w:rPr>
          <w:rFonts w:hint="eastAsia" w:ascii="仿宋" w:hAnsi="仿宋" w:eastAsia="仿宋" w:cs="仿宋"/>
          <w:sz w:val="24"/>
          <w:szCs w:val="24"/>
          <w:lang w:val="en-US" w:eastAsia="zh-CN"/>
        </w:rPr>
        <w:t>包67.3万元，C包39.34万元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最高限价：</w:t>
      </w:r>
      <w:r>
        <w:rPr>
          <w:rFonts w:hint="eastAsia" w:ascii="仿宋" w:hAnsi="仿宋" w:eastAsia="仿宋" w:cs="仿宋"/>
          <w:sz w:val="24"/>
          <w:szCs w:val="24"/>
          <w:lang w:val="en-US" w:eastAsia="zh-CN"/>
        </w:rPr>
        <w:t>A包 13.75万元，B</w:t>
      </w:r>
      <w:r>
        <w:rPr>
          <w:rFonts w:hint="eastAsia" w:ascii="仿宋" w:hAnsi="仿宋" w:eastAsia="仿宋" w:cs="仿宋"/>
          <w:sz w:val="24"/>
          <w:szCs w:val="24"/>
          <w:lang w:val="en-US" w:eastAsia="zh-CN"/>
        </w:rPr>
        <w:tab/>
      </w:r>
      <w:r>
        <w:rPr>
          <w:rFonts w:hint="eastAsia" w:ascii="仿宋" w:hAnsi="仿宋" w:eastAsia="仿宋" w:cs="仿宋"/>
          <w:sz w:val="24"/>
          <w:szCs w:val="24"/>
          <w:lang w:val="en-US" w:eastAsia="zh-CN"/>
        </w:rPr>
        <w:t>包67.3万元，C包39.34万元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64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w:t>
      </w:r>
      <w:r>
        <w:rPr>
          <w:rFonts w:hint="eastAsia" w:ascii="仿宋" w:hAnsi="仿宋" w:eastAsia="仿宋" w:cs="仿宋"/>
          <w:b/>
          <w:bCs/>
          <w:sz w:val="24"/>
          <w:szCs w:val="24"/>
          <w:lang w:val="en-US" w:eastAsia="zh-CN"/>
        </w:rPr>
        <w:t>A包</w:t>
      </w:r>
      <w:r>
        <w:rPr>
          <w:rFonts w:hint="eastAsia" w:ascii="仿宋" w:hAnsi="仿宋" w:eastAsia="仿宋" w:cs="仿宋"/>
          <w:b/>
          <w:bCs/>
          <w:sz w:val="24"/>
          <w:szCs w:val="24"/>
        </w:rPr>
        <w:t>供应商资格要求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2.投标商须具有独立法资格的</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3、投标商须具有水利行业乙级及以上资质和工程勘察岩土工程专业乙级及以上资质；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4、投标商拟派项目负责人须有水利专业高级及以上职称证书；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B包</w:t>
      </w:r>
      <w:r>
        <w:rPr>
          <w:rFonts w:hint="eastAsia" w:ascii="仿宋" w:hAnsi="仿宋" w:eastAsia="仿宋" w:cs="仿宋"/>
          <w:b/>
          <w:bCs/>
          <w:sz w:val="24"/>
          <w:szCs w:val="24"/>
        </w:rPr>
        <w:t>供应商资格要求</w:t>
      </w:r>
      <w:r>
        <w:rPr>
          <w:rFonts w:hint="eastAsia" w:ascii="仿宋" w:hAnsi="仿宋" w:eastAsia="仿宋" w:cs="仿宋"/>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2.投标商须具有独立法资格的</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3、投标商须具有测绘地理信息行政主管部门颁发的测绘乙级及以上资质（测绘资质的业务范围须包含测绘航空摄影、摄影测量与遥感地理信息系统工程）；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4、投标商拟派项目负责人须有测绘专业中级及以上职称证书；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1" w:firstLineChars="1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C包</w:t>
      </w:r>
      <w:r>
        <w:rPr>
          <w:rFonts w:hint="eastAsia" w:ascii="仿宋" w:hAnsi="仿宋" w:eastAsia="仿宋" w:cs="仿宋"/>
          <w:b/>
          <w:bCs/>
          <w:sz w:val="24"/>
          <w:szCs w:val="24"/>
        </w:rPr>
        <w:t>供应商资格要求</w:t>
      </w:r>
      <w:r>
        <w:rPr>
          <w:rFonts w:hint="eastAsia" w:ascii="仿宋" w:hAnsi="仿宋" w:eastAsia="仿宋" w:cs="仿宋"/>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2.投标商须具有独立法资格的</w:t>
      </w:r>
      <w:r>
        <w:rPr>
          <w:rFonts w:hint="eastAsia" w:ascii="仿宋" w:hAnsi="仿宋" w:eastAsia="仿宋" w:cs="仿宋"/>
          <w:sz w:val="24"/>
          <w:szCs w:val="24"/>
        </w:rPr>
        <w:t>且具有相应的经营范围（以营业执照为准）；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3、投标商须具有省级及以上主管部门颁发的建设工程质量检测机构资质（证书包含主体结构、钢结构）、省级以上质量技术监督局颁发的计量认证证书（CMA）；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4、投标商拟派项目负责人须有相关专业中级及以上职称证书；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44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4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31</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禹州市神垕古镇管理委员会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神垕镇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姜先生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：15993658758</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280" w:firstLineChars="2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280" w:firstLineChars="2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280" w:firstLineChars="2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1928" w:firstLineChars="800"/>
        <w:rPr>
          <w:rFonts w:hint="eastAsia" w:ascii="仿宋" w:hAnsi="仿宋" w:eastAsia="仿宋" w:cs="仿宋"/>
          <w:b/>
          <w:sz w:val="24"/>
          <w:szCs w:val="24"/>
        </w:rPr>
      </w:pP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lang w:val="en-US"/>
              </w:rPr>
            </w:pPr>
            <w:r>
              <w:rPr>
                <w:rFonts w:hint="eastAsia" w:ascii="仿宋" w:hAnsi="仿宋" w:eastAsia="仿宋"/>
                <w:sz w:val="24"/>
                <w:szCs w:val="24"/>
              </w:rPr>
              <w:t>YZCG—G201</w:t>
            </w:r>
            <w:r>
              <w:rPr>
                <w:rFonts w:hint="eastAsia" w:ascii="仿宋" w:hAnsi="仿宋" w:eastAsia="仿宋"/>
                <w:sz w:val="24"/>
                <w:szCs w:val="24"/>
                <w:lang w:val="en-US" w:eastAsia="zh-CN"/>
              </w:rPr>
              <w:t>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lang w:val="en-US"/>
              </w:rPr>
            </w:pPr>
            <w:r>
              <w:rPr>
                <w:rFonts w:hint="eastAsia" w:ascii="仿宋" w:hAnsi="仿宋" w:eastAsia="仿宋"/>
                <w:color w:val="000000"/>
                <w:kern w:val="0"/>
                <w:sz w:val="24"/>
                <w:szCs w:val="24"/>
              </w:rPr>
              <w:t>禹州市神垕古镇管理委员会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仿宋"/>
                <w:sz w:val="24"/>
                <w:szCs w:val="24"/>
              </w:rPr>
              <w:t>禹州市公安局执法音视频综合管理平台项目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val="en-US" w:eastAsia="zh-CN"/>
              </w:rPr>
              <w:t>A包贰仟元整  B包伍仟元整  C包 伍仟元</w:t>
            </w:r>
            <w:r>
              <w:rPr>
                <w:rFonts w:hint="eastAsia" w:ascii="仿宋" w:hAnsi="仿宋" w:eastAsia="仿宋"/>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5</w:t>
            </w:r>
            <w:r>
              <w:rPr>
                <w:rFonts w:hint="eastAsia" w:ascii="仿宋" w:hAnsi="仿宋" w:eastAsia="仿宋"/>
                <w:sz w:val="24"/>
                <w:szCs w:val="24"/>
              </w:rPr>
              <w:t>月</w:t>
            </w:r>
            <w:r>
              <w:rPr>
                <w:rFonts w:hint="eastAsia" w:ascii="仿宋" w:hAnsi="仿宋" w:eastAsia="仿宋"/>
                <w:sz w:val="24"/>
                <w:szCs w:val="24"/>
                <w:lang w:val="en-US" w:eastAsia="zh-CN"/>
              </w:rPr>
              <w:t>31</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5</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5</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31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cs="仿宋"/>
                <w:sz w:val="24"/>
                <w:szCs w:val="24"/>
                <w:lang w:val="en-US" w:eastAsia="zh-CN"/>
              </w:rPr>
              <w:t>A包 13.75万元，B</w:t>
            </w:r>
            <w:r>
              <w:rPr>
                <w:rFonts w:hint="eastAsia" w:ascii="仿宋" w:hAnsi="仿宋" w:eastAsia="仿宋" w:cs="仿宋"/>
                <w:sz w:val="24"/>
                <w:szCs w:val="24"/>
                <w:lang w:val="en-US" w:eastAsia="zh-CN"/>
              </w:rPr>
              <w:tab/>
            </w:r>
            <w:r>
              <w:rPr>
                <w:rFonts w:hint="eastAsia" w:ascii="仿宋" w:hAnsi="仿宋" w:eastAsia="仿宋" w:cs="仿宋"/>
                <w:sz w:val="24"/>
                <w:szCs w:val="24"/>
                <w:lang w:val="en-US" w:eastAsia="zh-CN"/>
              </w:rPr>
              <w:t>包67.3万元，C包39.34万元</w:t>
            </w:r>
            <w:r>
              <w:rPr>
                <w:rFonts w:hint="eastAsia" w:ascii="仿宋" w:hAnsi="仿宋" w:eastAsia="仿宋"/>
                <w:b/>
                <w:bCs/>
                <w:sz w:val="24"/>
                <w:szCs w:val="24"/>
              </w:rPr>
              <w:t>，</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numPr>
          <w:ilvl w:val="0"/>
          <w:numId w:val="0"/>
        </w:numPr>
        <w:spacing w:line="440" w:lineRule="exact"/>
        <w:rPr>
          <w:rFonts w:hint="eastAsia" w:ascii="仿宋" w:hAnsi="仿宋" w:eastAsia="仿宋"/>
          <w:b/>
          <w:sz w:val="44"/>
          <w:lang w:val="en-US" w:eastAsia="zh-CN"/>
        </w:rPr>
      </w:pPr>
    </w:p>
    <w:p>
      <w:pPr>
        <w:numPr>
          <w:ilvl w:val="0"/>
          <w:numId w:val="7"/>
        </w:numPr>
        <w:spacing w:line="360" w:lineRule="auto"/>
        <w:jc w:val="left"/>
        <w:rPr>
          <w:rFonts w:hint="eastAsia" w:ascii="仿宋" w:hAnsi="仿宋" w:eastAsia="仿宋" w:cs="Arial Unicode MS"/>
          <w:position w:val="-4"/>
          <w:sz w:val="24"/>
          <w:lang w:val="en-US" w:eastAsia="zh-CN"/>
        </w:rPr>
      </w:pPr>
      <w:r>
        <w:rPr>
          <w:rFonts w:hint="eastAsia" w:ascii="仿宋" w:hAnsi="仿宋" w:eastAsia="仿宋" w:cs="Arial Unicode MS"/>
          <w:position w:val="-4"/>
          <w:sz w:val="24"/>
          <w:lang w:val="en-US" w:eastAsia="zh-CN"/>
        </w:rPr>
        <w:t>采购内容：本项目分三个标段，A包：肖河防洪影响评价报告，B包：196处房屋建筑等厂院测绘，C包：24栋房屋主体结构检测，投标商应分标段进行投标。各包技术要求如下：</w:t>
      </w:r>
    </w:p>
    <w:p>
      <w:pPr>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仿宋" w:hAnsi="仿宋" w:eastAsia="仿宋" w:cs="仿宋"/>
          <w:b/>
          <w:sz w:val="24"/>
          <w:szCs w:val="24"/>
          <w:lang w:val="en-US"/>
        </w:rPr>
      </w:pPr>
      <w:r>
        <w:rPr>
          <w:rFonts w:hint="eastAsia" w:ascii="仿宋" w:hAnsi="仿宋" w:eastAsia="仿宋" w:cs="仿宋"/>
          <w:b/>
          <w:bCs w:val="0"/>
          <w:color w:val="auto"/>
          <w:sz w:val="24"/>
          <w:szCs w:val="24"/>
          <w:lang w:val="en-US" w:eastAsia="zh-CN"/>
        </w:rPr>
        <w:t xml:space="preserve">A包  </w:t>
      </w:r>
      <w:r>
        <w:rPr>
          <w:rFonts w:hint="eastAsia" w:ascii="仿宋" w:hAnsi="仿宋" w:eastAsia="仿宋" w:cs="仿宋"/>
          <w:sz w:val="24"/>
          <w:szCs w:val="24"/>
          <w:lang w:eastAsia="zh-CN"/>
        </w:rPr>
        <w:t>肖河防洪影响评价报告</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sz w:val="24"/>
          <w:szCs w:val="24"/>
        </w:rPr>
      </w:pPr>
      <w:r>
        <w:rPr>
          <w:rFonts w:hint="eastAsia" w:ascii="仿宋" w:hAnsi="仿宋" w:eastAsia="仿宋" w:cs="仿宋"/>
          <w:b/>
          <w:sz w:val="24"/>
          <w:szCs w:val="24"/>
        </w:rPr>
        <w:t>1. 项目内容：</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2017年6月规委会通过了肖河景观提升方案，即对肖河样板河段设置多种拦河坝梳理河床标高，满足泄洪需求，丰富景观效果。</w:t>
      </w:r>
      <w:r>
        <w:rPr>
          <w:rFonts w:hint="eastAsia" w:ascii="仿宋" w:hAnsi="仿宋" w:eastAsia="仿宋" w:cs="仿宋"/>
          <w:sz w:val="24"/>
          <w:szCs w:val="24"/>
        </w:rPr>
        <w:t>由于</w:t>
      </w:r>
      <w:r>
        <w:rPr>
          <w:rFonts w:hint="eastAsia" w:ascii="仿宋" w:hAnsi="仿宋" w:eastAsia="仿宋" w:cs="仿宋"/>
          <w:sz w:val="24"/>
          <w:szCs w:val="24"/>
          <w:lang w:eastAsia="zh-CN"/>
        </w:rPr>
        <w:t>拦河坝位于肖河河道内</w:t>
      </w:r>
      <w:r>
        <w:rPr>
          <w:rFonts w:hint="eastAsia" w:ascii="仿宋" w:hAnsi="仿宋" w:eastAsia="仿宋" w:cs="仿宋"/>
          <w:sz w:val="24"/>
          <w:szCs w:val="24"/>
        </w:rPr>
        <w:t>，根据水利部、国家计委水政［1992］7号文：“关于颁发《河道管理范围内建设项目管理的有关规定》的通知”及水利部水建字[2001]618号文《关于进一步加强和规范河道管理范围内建设项目审批管理的通知》精神，评价工程建设对河道行洪与防洪安全的影响提供了依据，为评价工程建设与防洪、河道管理等是否相抵触，保证工程满足河道防洪要求，必须编制有关的防洪评价报告，经有关专家评审和河道主管部门审批后方可开工建设，力求将</w:t>
      </w:r>
      <w:r>
        <w:rPr>
          <w:rFonts w:hint="eastAsia" w:ascii="仿宋" w:hAnsi="仿宋" w:eastAsia="仿宋" w:cs="仿宋"/>
          <w:sz w:val="24"/>
          <w:szCs w:val="24"/>
          <w:lang w:eastAsia="zh-CN"/>
        </w:rPr>
        <w:t>拦河坝</w:t>
      </w:r>
      <w:r>
        <w:rPr>
          <w:rFonts w:hint="eastAsia" w:ascii="仿宋" w:hAnsi="仿宋" w:eastAsia="仿宋" w:cs="仿宋"/>
          <w:sz w:val="24"/>
          <w:szCs w:val="24"/>
        </w:rPr>
        <w:t>建设对防洪的影响降到最低。</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sz w:val="24"/>
          <w:szCs w:val="24"/>
        </w:rPr>
      </w:pPr>
      <w:r>
        <w:rPr>
          <w:rFonts w:hint="eastAsia" w:ascii="仿宋" w:hAnsi="仿宋" w:eastAsia="仿宋" w:cs="仿宋"/>
          <w:b/>
          <w:sz w:val="24"/>
          <w:szCs w:val="24"/>
        </w:rPr>
        <w:t>2. 技术要求</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根据《导则》规定的内容进行防洪评价报告的编制工作，主要包括：项目概况、所在河道的基本情况、河道演变的特点、水文分析计算、壅水分析计算及冲刷计算。在此基础上，根据有关法律、法规以及有关技术规范，分析评价</w:t>
      </w:r>
      <w:r>
        <w:rPr>
          <w:rFonts w:hint="eastAsia" w:ascii="仿宋" w:hAnsi="仿宋" w:eastAsia="仿宋" w:cs="仿宋"/>
          <w:sz w:val="24"/>
          <w:szCs w:val="24"/>
          <w:lang w:eastAsia="zh-CN"/>
        </w:rPr>
        <w:t>拦河坝</w:t>
      </w:r>
      <w:r>
        <w:rPr>
          <w:rFonts w:hint="eastAsia" w:ascii="仿宋" w:hAnsi="仿宋" w:eastAsia="仿宋" w:cs="仿宋"/>
          <w:sz w:val="24"/>
          <w:szCs w:val="24"/>
        </w:rPr>
        <w:t>的建设对防洪的综合影响。评价的主要内容包括：</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（1）现场查勘，收集工程基本资料与河流流域的基本特征和暴雨等资料</w:t>
      </w:r>
      <w:r>
        <w:rPr>
          <w:rFonts w:hint="eastAsia" w:ascii="仿宋" w:hAnsi="仿宋" w:eastAsia="仿宋" w:cs="仿宋"/>
          <w:sz w:val="24"/>
          <w:szCs w:val="24"/>
          <w:lang w:eastAsia="zh-CN"/>
        </w:rPr>
        <w:t>，根据河道标准计算出相应标准洪峰流量</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（2）分析</w:t>
      </w:r>
      <w:r>
        <w:rPr>
          <w:rFonts w:hint="eastAsia" w:ascii="仿宋" w:hAnsi="仿宋" w:eastAsia="仿宋" w:cs="仿宋"/>
          <w:sz w:val="24"/>
          <w:szCs w:val="24"/>
          <w:lang w:eastAsia="zh-CN"/>
        </w:rPr>
        <w:t>拦河坝</w:t>
      </w:r>
      <w:r>
        <w:rPr>
          <w:rFonts w:hint="eastAsia" w:ascii="仿宋" w:hAnsi="仿宋" w:eastAsia="仿宋" w:cs="仿宋"/>
          <w:sz w:val="24"/>
          <w:szCs w:val="24"/>
        </w:rPr>
        <w:t>所在河道的基本情况、工程情况及河道演变的特点及趋势</w:t>
      </w:r>
      <w:r>
        <w:rPr>
          <w:rFonts w:hint="eastAsia" w:ascii="仿宋" w:hAnsi="仿宋" w:eastAsia="仿宋" w:cs="仿宋"/>
          <w:sz w:val="24"/>
          <w:szCs w:val="24"/>
          <w:lang w:eastAsia="zh-CN"/>
        </w:rPr>
        <w:t>，河道演变分析要有相应不同年份河道断面对比</w:t>
      </w:r>
      <w:r>
        <w:rPr>
          <w:rFonts w:hint="eastAsia" w:ascii="仿宋" w:hAnsi="仿宋" w:eastAsia="仿宋" w:cs="仿宋"/>
          <w:sz w:val="24"/>
          <w:szCs w:val="24"/>
        </w:rPr>
        <w:t>；</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（3）分析计算</w:t>
      </w:r>
      <w:r>
        <w:rPr>
          <w:rFonts w:hint="eastAsia" w:ascii="仿宋" w:hAnsi="仿宋" w:eastAsia="仿宋" w:cs="仿宋"/>
          <w:sz w:val="24"/>
          <w:szCs w:val="24"/>
          <w:lang w:eastAsia="zh-CN"/>
        </w:rPr>
        <w:t>拦河坝</w:t>
      </w:r>
      <w:r>
        <w:rPr>
          <w:rFonts w:hint="eastAsia" w:ascii="仿宋" w:hAnsi="仿宋" w:eastAsia="仿宋" w:cs="仿宋"/>
          <w:sz w:val="24"/>
          <w:szCs w:val="24"/>
        </w:rPr>
        <w:t>所在河段在设计洪水频率下的设计流量、设计洪水位；</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（4）根据河道水文地质及相关资料，计算</w:t>
      </w:r>
      <w:r>
        <w:rPr>
          <w:rFonts w:hint="eastAsia" w:ascii="仿宋" w:hAnsi="仿宋" w:eastAsia="仿宋" w:cs="仿宋"/>
          <w:sz w:val="24"/>
          <w:szCs w:val="24"/>
          <w:lang w:eastAsia="zh-CN"/>
        </w:rPr>
        <w:t>拦河坝</w:t>
      </w:r>
      <w:r>
        <w:rPr>
          <w:rFonts w:hint="eastAsia" w:ascii="仿宋" w:hAnsi="仿宋" w:eastAsia="仿宋" w:cs="仿宋"/>
          <w:sz w:val="24"/>
          <w:szCs w:val="24"/>
        </w:rPr>
        <w:t>壅水及冲刷深度等防洪评价计算；</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（5）根据河道现有水利设施及近期治理规划，针对</w:t>
      </w:r>
      <w:r>
        <w:rPr>
          <w:rFonts w:hint="eastAsia" w:ascii="仿宋" w:hAnsi="仿宋" w:eastAsia="仿宋" w:cs="仿宋"/>
          <w:sz w:val="24"/>
          <w:szCs w:val="24"/>
          <w:lang w:eastAsia="zh-CN"/>
        </w:rPr>
        <w:t>拦河坝</w:t>
      </w:r>
      <w:r>
        <w:rPr>
          <w:rFonts w:hint="eastAsia" w:ascii="仿宋" w:hAnsi="仿宋" w:eastAsia="仿宋" w:cs="仿宋"/>
          <w:sz w:val="24"/>
          <w:szCs w:val="24"/>
        </w:rPr>
        <w:t>设计方案，评价建设项目对河势变化、堤防安全、河道行洪、河水水质、第三人合法水事权益以及施工期对河道防洪、行洪等方面影响，同时就洪水对</w:t>
      </w:r>
      <w:r>
        <w:rPr>
          <w:rFonts w:hint="eastAsia" w:ascii="仿宋" w:hAnsi="仿宋" w:eastAsia="仿宋" w:cs="仿宋"/>
          <w:sz w:val="24"/>
          <w:szCs w:val="24"/>
          <w:lang w:eastAsia="zh-CN"/>
        </w:rPr>
        <w:t>拦河坝</w:t>
      </w:r>
      <w:r>
        <w:rPr>
          <w:rFonts w:hint="eastAsia" w:ascii="仿宋" w:hAnsi="仿宋" w:eastAsia="仿宋" w:cs="仿宋"/>
          <w:sz w:val="24"/>
          <w:szCs w:val="24"/>
        </w:rPr>
        <w:t>的安全影响进行评价；</w:t>
      </w:r>
    </w:p>
    <w:p>
      <w:pPr>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left"/>
        <w:textAlignment w:val="auto"/>
        <w:rPr>
          <w:rFonts w:hint="eastAsia" w:ascii="仿宋" w:hAnsi="仿宋" w:eastAsia="仿宋" w:cs="仿宋"/>
          <w:kern w:val="0"/>
          <w:sz w:val="24"/>
          <w:szCs w:val="24"/>
        </w:rPr>
      </w:pPr>
      <w:r>
        <w:rPr>
          <w:rFonts w:hint="eastAsia" w:ascii="仿宋" w:hAnsi="仿宋" w:eastAsia="仿宋" w:cs="仿宋"/>
          <w:sz w:val="24"/>
          <w:szCs w:val="24"/>
        </w:rPr>
        <w:t>（6）在防洪综合评价的基础上，提出减小或消除</w:t>
      </w:r>
      <w:r>
        <w:rPr>
          <w:rFonts w:hint="eastAsia" w:ascii="仿宋" w:hAnsi="仿宋" w:eastAsia="仿宋" w:cs="仿宋"/>
          <w:sz w:val="24"/>
          <w:szCs w:val="24"/>
          <w:lang w:eastAsia="zh-CN"/>
        </w:rPr>
        <w:t>拦河坝</w:t>
      </w:r>
      <w:r>
        <w:rPr>
          <w:rFonts w:hint="eastAsia" w:ascii="仿宋" w:hAnsi="仿宋" w:eastAsia="仿宋" w:cs="仿宋"/>
          <w:sz w:val="24"/>
          <w:szCs w:val="24"/>
        </w:rPr>
        <w:t>建设对防洪、第三人合法水事权益等方面不利影响的防治补救措施和建议。</w:t>
      </w:r>
    </w:p>
    <w:p>
      <w:pPr>
        <w:pageBreakBefore w:val="0"/>
        <w:widowControl w:val="0"/>
        <w:kinsoku/>
        <w:wordWrap/>
        <w:overflowPunct/>
        <w:topLinePunct w:val="0"/>
        <w:autoSpaceDE/>
        <w:autoSpaceDN/>
        <w:bidi w:val="0"/>
        <w:adjustRightInd/>
        <w:snapToGrid/>
        <w:spacing w:line="360" w:lineRule="auto"/>
        <w:ind w:left="0" w:leftChars="0" w:right="0" w:rightChars="0" w:firstLine="360" w:firstLineChars="150"/>
        <w:textAlignment w:val="auto"/>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）工期：</w:t>
      </w:r>
      <w:r>
        <w:rPr>
          <w:rFonts w:hint="eastAsia" w:ascii="仿宋" w:hAnsi="仿宋" w:eastAsia="仿宋" w:cs="仿宋"/>
          <w:sz w:val="24"/>
          <w:szCs w:val="24"/>
          <w:lang w:val="en-US" w:eastAsia="zh-CN"/>
        </w:rPr>
        <w:t>20</w:t>
      </w:r>
      <w:r>
        <w:rPr>
          <w:rFonts w:hint="eastAsia" w:ascii="仿宋" w:hAnsi="仿宋" w:eastAsia="仿宋" w:cs="仿宋"/>
          <w:sz w:val="24"/>
          <w:szCs w:val="24"/>
        </w:rPr>
        <w:t>个日历</w:t>
      </w:r>
      <w:r>
        <w:rPr>
          <w:rFonts w:hint="eastAsia" w:ascii="仿宋" w:hAnsi="仿宋" w:eastAsia="仿宋" w:cs="仿宋"/>
          <w:kern w:val="0"/>
          <w:sz w:val="24"/>
          <w:szCs w:val="24"/>
        </w:rPr>
        <w:t xml:space="preserve">天内完成并向甲方提交正式成果 </w:t>
      </w:r>
    </w:p>
    <w:p>
      <w:pPr>
        <w:pStyle w:val="2"/>
        <w:pageBreakBefore w:val="0"/>
        <w:widowControl w:val="0"/>
        <w:kinsoku/>
        <w:wordWrap/>
        <w:overflowPunct/>
        <w:topLinePunct w:val="0"/>
        <w:autoSpaceDE/>
        <w:autoSpaceDN/>
        <w:bidi w:val="0"/>
        <w:adjustRightInd/>
        <w:snapToGrid/>
        <w:spacing w:before="0" w:after="0" w:line="360" w:lineRule="auto"/>
        <w:ind w:left="0" w:leftChars="0" w:right="0" w:rightChars="0"/>
        <w:textAlignment w:val="auto"/>
        <w:rPr>
          <w:rFonts w:hint="eastAsia" w:ascii="仿宋" w:hAnsi="仿宋" w:eastAsia="仿宋" w:cs="仿宋"/>
          <w:b/>
          <w:sz w:val="24"/>
          <w:szCs w:val="24"/>
        </w:rPr>
      </w:pPr>
      <w:r>
        <w:rPr>
          <w:rFonts w:hint="eastAsia" w:ascii="仿宋" w:hAnsi="仿宋" w:eastAsia="仿宋" w:cs="仿宋"/>
          <w:b/>
          <w:sz w:val="24"/>
          <w:szCs w:val="24"/>
        </w:rPr>
        <w:t xml:space="preserve">3. </w:t>
      </w:r>
      <w:bookmarkStart w:id="0" w:name="_Toc16186"/>
      <w:r>
        <w:rPr>
          <w:rFonts w:hint="eastAsia" w:ascii="仿宋" w:hAnsi="仿宋" w:eastAsia="仿宋" w:cs="仿宋"/>
          <w:b/>
          <w:sz w:val="24"/>
          <w:szCs w:val="24"/>
        </w:rPr>
        <w:t>评价依据</w:t>
      </w:r>
      <w:bookmarkEnd w:id="0"/>
      <w:r>
        <w:rPr>
          <w:rFonts w:hint="eastAsia" w:ascii="仿宋" w:hAnsi="仿宋" w:eastAsia="仿宋" w:cs="仿宋"/>
          <w:b/>
          <w:sz w:val="24"/>
          <w:szCs w:val="24"/>
          <w:lang w:eastAsia="zh-CN"/>
        </w:rPr>
        <w:t>及</w:t>
      </w:r>
      <w:r>
        <w:rPr>
          <w:rFonts w:hint="eastAsia" w:ascii="仿宋" w:hAnsi="仿宋" w:eastAsia="仿宋" w:cs="仿宋"/>
          <w:b/>
          <w:sz w:val="24"/>
          <w:szCs w:val="24"/>
        </w:rPr>
        <w:t>执行标准</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（1）《中华人民共和国水法》（2002年8月29日第九届全国人民代表大会常务委员会第二十九次会议通过）；</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（2）《中华人民共和国防洪法》（1997年8月第八届全国人民代表大会常务委员会第二十七次会议通过）；</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（3）《中华人民共和国河道管理条例》（1988年6月10日国务院令发布）；</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（4）原国家计委、水利部关于颁发《河道管理范围内建设项目管理的有关规定》的通知（1992年4月3日水利部水政［1992］7号）；</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（5）水利部关于印发《河道管理范围内建设项目防洪评价报告编制导则》（试行）的通知（2004年7月水利部办建管［2004］109号）；</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（6）水利部淮河水利委员会《关于实施河道管理范围内建设项目审查的通知》（1993年4月24日淮委水政资［1996］06号）；</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（7）河南省水利厅转发水利部办公厅关于印发《河道管理范围内建设项目防洪评价报告编制导则》（试行）的通知（豫水管［2004］41号）；</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（8）河南省水利厅《关于加强河道管理范围内建设项目管理的通知》（豫水管字［1998］10号）。</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）《防洪标准》（GB50201-2014）；</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）《水利水电工程水文计算规范》（SL278-2002）；</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11</w:t>
      </w:r>
      <w:r>
        <w:rPr>
          <w:rFonts w:hint="eastAsia" w:ascii="仿宋" w:hAnsi="仿宋" w:eastAsia="仿宋" w:cs="仿宋"/>
          <w:sz w:val="24"/>
          <w:szCs w:val="24"/>
        </w:rPr>
        <w:t>）《堤防工程设计规范》（GB50286-2013）；</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12</w:t>
      </w:r>
      <w:r>
        <w:rPr>
          <w:rFonts w:hint="eastAsia" w:ascii="仿宋" w:hAnsi="仿宋" w:eastAsia="仿宋" w:cs="仿宋"/>
          <w:sz w:val="24"/>
          <w:szCs w:val="24"/>
        </w:rPr>
        <w:t>）《堤防工程管理设计规范》（SL171-96）；</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13</w:t>
      </w:r>
      <w:r>
        <w:rPr>
          <w:rFonts w:hint="eastAsia" w:ascii="仿宋" w:hAnsi="仿宋" w:eastAsia="仿宋" w:cs="仿宋"/>
          <w:sz w:val="24"/>
          <w:szCs w:val="24"/>
        </w:rPr>
        <w:t>）《公路桥位勘测设计规范》（JTJ062-2002）；</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14</w:t>
      </w:r>
      <w:r>
        <w:rPr>
          <w:rFonts w:hint="eastAsia" w:ascii="仿宋" w:hAnsi="仿宋" w:eastAsia="仿宋" w:cs="仿宋"/>
          <w:sz w:val="24"/>
          <w:szCs w:val="24"/>
        </w:rPr>
        <w:t>）《公路工程技术标准》（JTGB01-2014）；</w:t>
      </w:r>
    </w:p>
    <w:p>
      <w:pPr>
        <w:pageBreakBefore w:val="0"/>
        <w:widowControl w:val="0"/>
        <w:kinsoku/>
        <w:wordWrap/>
        <w:overflowPunct/>
        <w:topLinePunct w:val="0"/>
        <w:autoSpaceDE/>
        <w:autoSpaceDN/>
        <w:bidi w:val="0"/>
        <w:adjustRightInd/>
        <w:snapToGrid/>
        <w:spacing w:line="360" w:lineRule="auto"/>
        <w:ind w:left="0" w:leftChars="0" w:right="0" w:rightChars="0" w:firstLine="56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15</w:t>
      </w:r>
      <w:r>
        <w:rPr>
          <w:rFonts w:hint="eastAsia" w:ascii="仿宋" w:hAnsi="仿宋" w:eastAsia="仿宋" w:cs="仿宋"/>
          <w:sz w:val="24"/>
          <w:szCs w:val="24"/>
        </w:rPr>
        <w:t>）其它相关的规程、规范等。</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cs="仿宋"/>
          <w:b/>
          <w:sz w:val="24"/>
          <w:szCs w:val="24"/>
        </w:rPr>
      </w:pPr>
      <w:r>
        <w:rPr>
          <w:rFonts w:hint="eastAsia" w:ascii="仿宋" w:hAnsi="仿宋" w:eastAsia="仿宋" w:cs="仿宋"/>
          <w:b/>
          <w:sz w:val="24"/>
          <w:szCs w:val="24"/>
        </w:rPr>
        <w:t>4. 提交成果</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《神垕镇肖河景观提升工程防洪评价报告》审定版</w:t>
      </w: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560" w:firstLineChars="800"/>
        <w:jc w:val="both"/>
        <w:textAlignment w:val="auto"/>
        <w:outlineLvl w:val="9"/>
        <w:rPr>
          <w:rFonts w:hint="eastAsia" w:ascii="仿宋" w:hAnsi="仿宋" w:eastAsia="仿宋" w:cs="仿宋"/>
          <w:sz w:val="32"/>
          <w:szCs w:val="32"/>
          <w:lang w:val="en-US" w:eastAsia="zh-CN"/>
        </w:rPr>
      </w:pPr>
    </w:p>
    <w:p>
      <w:pPr>
        <w:ind w:firstLine="2891" w:firstLineChars="1200"/>
        <w:rPr>
          <w:rFonts w:hint="eastAsia" w:ascii="宋体" w:hAnsi="宋体"/>
          <w:b/>
          <w:bCs/>
          <w:sz w:val="24"/>
          <w:lang w:val="en-US" w:eastAsia="zh-CN"/>
        </w:rPr>
      </w:pPr>
      <w:r>
        <w:rPr>
          <w:rFonts w:hint="eastAsia" w:ascii="宋体" w:hAnsi="宋体"/>
          <w:b/>
          <w:bCs/>
          <w:sz w:val="24"/>
          <w:lang w:val="en-US" w:eastAsia="zh-CN"/>
        </w:rPr>
        <w:t>B包    196处房屋建筑等厂院测绘</w:t>
      </w:r>
    </w:p>
    <w:p>
      <w:pPr>
        <w:rPr>
          <w:rFonts w:hint="eastAsia" w:ascii="仿宋" w:hAnsi="仿宋" w:eastAsia="仿宋" w:cs="仿宋"/>
          <w:b/>
          <w:sz w:val="24"/>
          <w:szCs w:val="24"/>
        </w:rPr>
      </w:pPr>
      <w:r>
        <w:rPr>
          <w:rFonts w:hint="eastAsia" w:ascii="仿宋" w:hAnsi="仿宋" w:eastAsia="仿宋" w:cs="仿宋"/>
          <w:b/>
          <w:sz w:val="24"/>
          <w:szCs w:val="24"/>
        </w:rPr>
        <w:t>1. 项目内容：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禹州市神垕镇五个厂院、暴沙路、神彩路建筑物立面测量，建筑物外立面和侧立面以及高出周边沿街建筑的建筑的各个方向的沿街可视面进行1：100立面测量、1：500地形图测量和1：500航空正射影像生成，对沿街建筑物制作高精度倾斜摄影三维模型并提供三维模型管理信息系统，绘制该项目建筑总平面图、平面图、立面图、详图、剖面图等。</w:t>
      </w:r>
    </w:p>
    <w:p>
      <w:pPr>
        <w:rPr>
          <w:rFonts w:hint="eastAsia" w:ascii="仿宋" w:hAnsi="仿宋" w:eastAsia="仿宋" w:cs="仿宋"/>
          <w:b/>
          <w:sz w:val="24"/>
          <w:szCs w:val="24"/>
        </w:rPr>
      </w:pPr>
      <w:r>
        <w:rPr>
          <w:rFonts w:hint="eastAsia" w:ascii="仿宋" w:hAnsi="仿宋" w:eastAsia="仿宋" w:cs="仿宋"/>
          <w:b/>
          <w:sz w:val="24"/>
          <w:szCs w:val="24"/>
        </w:rPr>
        <w:t>2. 技术要求</w:t>
      </w:r>
    </w:p>
    <w:p>
      <w:pPr>
        <w:spacing w:line="360" w:lineRule="auto"/>
        <w:ind w:firstLine="361" w:firstLineChars="150"/>
        <w:jc w:val="left"/>
        <w:rPr>
          <w:rFonts w:hint="eastAsia" w:ascii="仿宋" w:hAnsi="仿宋" w:eastAsia="仿宋" w:cs="仿宋"/>
          <w:sz w:val="24"/>
          <w:szCs w:val="24"/>
        </w:rPr>
      </w:pPr>
      <w:r>
        <w:rPr>
          <w:rFonts w:hint="eastAsia" w:ascii="仿宋" w:hAnsi="仿宋" w:eastAsia="仿宋" w:cs="仿宋"/>
          <w:b/>
          <w:sz w:val="24"/>
          <w:szCs w:val="24"/>
        </w:rPr>
        <w:t>（1）平面图：</w:t>
      </w:r>
      <w:r>
        <w:rPr>
          <w:rFonts w:hint="eastAsia" w:ascii="仿宋" w:hAnsi="仿宋" w:eastAsia="仿宋" w:cs="仿宋"/>
          <w:sz w:val="24"/>
          <w:szCs w:val="24"/>
        </w:rPr>
        <w:t>1:100比例尺，绘制单体外轮廓及标注尺寸、层数、高度；建筑物测绘按照1:100比例尺绘图，包括场地竖向（每栋建筑的两侧室外地坪标高），相邻建筑物的屋顶高差；临街空置场地需要测出详细地形情况和范围；有台地的给出竖向标高、挡土墙的材质。标注开间、进深，室内外高差，楼层标高；标注墙体材料、墙体厚度，外墙不同材料交接的位置；绘制门窗位置，标注门窗尺寸。</w:t>
      </w:r>
    </w:p>
    <w:p>
      <w:pPr>
        <w:spacing w:line="360" w:lineRule="auto"/>
        <w:ind w:firstLine="361" w:firstLineChars="150"/>
        <w:jc w:val="left"/>
        <w:rPr>
          <w:rFonts w:hint="eastAsia" w:ascii="仿宋" w:hAnsi="仿宋" w:eastAsia="仿宋" w:cs="仿宋"/>
          <w:b/>
          <w:sz w:val="24"/>
          <w:szCs w:val="24"/>
        </w:rPr>
      </w:pPr>
      <w:r>
        <w:rPr>
          <w:rFonts w:hint="eastAsia" w:ascii="仿宋" w:hAnsi="仿宋" w:eastAsia="仿宋" w:cs="仿宋"/>
          <w:b/>
          <w:sz w:val="24"/>
          <w:szCs w:val="24"/>
        </w:rPr>
        <w:t>（2）立面图：</w:t>
      </w:r>
      <w:r>
        <w:rPr>
          <w:rFonts w:hint="eastAsia" w:ascii="仿宋" w:hAnsi="仿宋" w:eastAsia="仿宋" w:cs="仿宋"/>
          <w:sz w:val="24"/>
          <w:szCs w:val="24"/>
        </w:rPr>
        <w:t>标注建筑总面宽，建筑总高度，檐口高度，层高（每层楼板面标高）；材料的标注，材料区分，材料交界线；墙体损毁位置及范围；标注门窗洞口尺寸及竖向定位，门窗棂的样式，门窗材质（有防盗窗的要表达防盗窗的材质和形式），配门窗照片；注明高度方向和水平方向的墙体进退尺寸；注明外墙管线数量位置，注明空调机位置（高度和水平方面位置尺寸）；注明其它装饰性构件（如壁柱、栏杆、栏板、女儿墙、小披檐的形式及轮廓尺寸）；注明墙面抹灰脱落，墙面裂缝大小、位置，墙体风化、糟朽位置及范围。</w:t>
      </w:r>
    </w:p>
    <w:p>
      <w:pPr>
        <w:spacing w:line="360" w:lineRule="auto"/>
        <w:ind w:firstLine="361" w:firstLineChars="150"/>
        <w:jc w:val="left"/>
        <w:rPr>
          <w:rFonts w:hint="eastAsia" w:ascii="仿宋" w:hAnsi="仿宋" w:eastAsia="仿宋" w:cs="仿宋"/>
          <w:sz w:val="24"/>
          <w:szCs w:val="24"/>
        </w:rPr>
      </w:pPr>
      <w:r>
        <w:rPr>
          <w:rFonts w:hint="eastAsia" w:ascii="仿宋" w:hAnsi="仿宋" w:eastAsia="仿宋" w:cs="仿宋"/>
          <w:b/>
          <w:sz w:val="24"/>
          <w:szCs w:val="24"/>
        </w:rPr>
        <w:t>（3）详图：</w:t>
      </w:r>
      <w:r>
        <w:rPr>
          <w:rFonts w:hint="eastAsia" w:ascii="仿宋" w:hAnsi="仿宋" w:eastAsia="仿宋" w:cs="仿宋"/>
          <w:sz w:val="24"/>
          <w:szCs w:val="24"/>
        </w:rPr>
        <w:t>台阶详细尺寸，古建筑的墀头、柱础样式及详细尺寸；每面墙主要材料的详细型号；檐口及其他线脚的进退关系（详细尺寸）。</w:t>
      </w:r>
    </w:p>
    <w:p>
      <w:pPr>
        <w:spacing w:line="360" w:lineRule="auto"/>
        <w:ind w:firstLine="361" w:firstLineChars="150"/>
        <w:jc w:val="left"/>
        <w:rPr>
          <w:rFonts w:hint="eastAsia" w:ascii="仿宋" w:hAnsi="仿宋" w:eastAsia="仿宋" w:cs="仿宋"/>
          <w:sz w:val="24"/>
          <w:szCs w:val="24"/>
        </w:rPr>
      </w:pPr>
      <w:r>
        <w:rPr>
          <w:rFonts w:hint="eastAsia" w:ascii="仿宋" w:hAnsi="仿宋" w:eastAsia="仿宋" w:cs="仿宋"/>
          <w:b/>
          <w:sz w:val="24"/>
          <w:szCs w:val="24"/>
        </w:rPr>
        <w:t>（4）剖面图：</w:t>
      </w:r>
      <w:r>
        <w:rPr>
          <w:rFonts w:hint="eastAsia" w:ascii="仿宋" w:hAnsi="仿宋" w:eastAsia="仿宋" w:cs="仿宋"/>
          <w:sz w:val="24"/>
          <w:szCs w:val="24"/>
        </w:rPr>
        <w:t>总进深尺寸、总高度，檐高，梁举架形式；木构件（檩条、椽子）形式、尺寸，墙体材料、不同材料交接、室内外高差，台阶详细尺寸，门槛石、门垛详细尺寸，所有剖到及看到的线脚详细尺寸等。</w:t>
      </w:r>
    </w:p>
    <w:p>
      <w:pPr>
        <w:spacing w:line="360" w:lineRule="auto"/>
        <w:ind w:firstLine="361" w:firstLineChars="150"/>
        <w:jc w:val="left"/>
        <w:rPr>
          <w:rFonts w:hint="eastAsia" w:ascii="仿宋" w:hAnsi="仿宋" w:eastAsia="仿宋" w:cs="仿宋"/>
          <w:kern w:val="0"/>
          <w:sz w:val="24"/>
          <w:szCs w:val="24"/>
        </w:rPr>
      </w:pPr>
      <w:r>
        <w:rPr>
          <w:rFonts w:hint="eastAsia" w:ascii="仿宋" w:hAnsi="仿宋" w:eastAsia="仿宋" w:cs="仿宋"/>
          <w:b/>
          <w:kern w:val="0"/>
          <w:sz w:val="24"/>
          <w:szCs w:val="24"/>
        </w:rPr>
        <w:t>（5）地形图：</w:t>
      </w:r>
      <w:r>
        <w:rPr>
          <w:rFonts w:hint="eastAsia" w:ascii="仿宋" w:hAnsi="仿宋" w:eastAsia="仿宋" w:cs="仿宋"/>
          <w:kern w:val="0"/>
          <w:sz w:val="24"/>
          <w:szCs w:val="24"/>
        </w:rPr>
        <w:t>按国家测量标准和要求测绘1：500地形图。</w:t>
      </w:r>
    </w:p>
    <w:p>
      <w:pPr>
        <w:spacing w:line="360" w:lineRule="auto"/>
        <w:ind w:firstLine="361" w:firstLineChars="150"/>
        <w:jc w:val="left"/>
        <w:rPr>
          <w:rFonts w:hint="eastAsia" w:ascii="仿宋" w:hAnsi="仿宋" w:eastAsia="仿宋" w:cs="仿宋"/>
          <w:kern w:val="0"/>
          <w:sz w:val="24"/>
          <w:szCs w:val="24"/>
        </w:rPr>
      </w:pPr>
      <w:r>
        <w:rPr>
          <w:rFonts w:hint="eastAsia" w:ascii="仿宋" w:hAnsi="仿宋" w:eastAsia="仿宋" w:cs="仿宋"/>
          <w:b/>
          <w:kern w:val="0"/>
          <w:sz w:val="24"/>
          <w:szCs w:val="24"/>
        </w:rPr>
        <w:t>（6）正射影像：</w:t>
      </w:r>
      <w:r>
        <w:rPr>
          <w:rFonts w:hint="eastAsia" w:ascii="仿宋" w:hAnsi="仿宋" w:eastAsia="仿宋" w:cs="仿宋"/>
          <w:kern w:val="0"/>
          <w:sz w:val="24"/>
          <w:szCs w:val="24"/>
        </w:rPr>
        <w:t>生产1：500航空正射影像。</w:t>
      </w:r>
    </w:p>
    <w:p>
      <w:pPr>
        <w:spacing w:line="360" w:lineRule="auto"/>
        <w:ind w:firstLine="361" w:firstLineChars="150"/>
        <w:jc w:val="left"/>
        <w:rPr>
          <w:rFonts w:hint="eastAsia" w:ascii="仿宋" w:hAnsi="仿宋" w:eastAsia="仿宋" w:cs="仿宋"/>
          <w:sz w:val="24"/>
          <w:szCs w:val="24"/>
        </w:rPr>
      </w:pPr>
      <w:r>
        <w:rPr>
          <w:rFonts w:hint="eastAsia" w:ascii="仿宋" w:hAnsi="仿宋" w:eastAsia="仿宋" w:cs="仿宋"/>
          <w:b/>
          <w:kern w:val="0"/>
          <w:sz w:val="24"/>
          <w:szCs w:val="24"/>
        </w:rPr>
        <w:t>（7）三维模型和管理系统：</w:t>
      </w:r>
      <w:r>
        <w:rPr>
          <w:rFonts w:hint="eastAsia" w:ascii="仿宋" w:hAnsi="仿宋" w:eastAsia="仿宋" w:cs="仿宋"/>
          <w:kern w:val="0"/>
          <w:sz w:val="24"/>
          <w:szCs w:val="24"/>
        </w:rPr>
        <w:t>对沿街建筑物进行高精度三维建模，精度达到3厘米，模型导入管理系统能够正常浏览、查询和运行。</w:t>
      </w:r>
    </w:p>
    <w:p>
      <w:pPr>
        <w:spacing w:line="440" w:lineRule="exact"/>
        <w:ind w:firstLine="361" w:firstLineChars="150"/>
        <w:rPr>
          <w:rFonts w:hint="eastAsia" w:ascii="仿宋" w:hAnsi="仿宋" w:eastAsia="仿宋" w:cs="仿宋"/>
          <w:kern w:val="0"/>
          <w:sz w:val="24"/>
          <w:szCs w:val="24"/>
        </w:rPr>
      </w:pPr>
      <w:r>
        <w:rPr>
          <w:rFonts w:hint="eastAsia" w:ascii="仿宋" w:hAnsi="仿宋" w:eastAsia="仿宋" w:cs="仿宋"/>
          <w:b/>
          <w:kern w:val="0"/>
          <w:sz w:val="24"/>
          <w:szCs w:val="24"/>
        </w:rPr>
        <w:t>（8）坐标系统：</w:t>
      </w:r>
      <w:r>
        <w:rPr>
          <w:rFonts w:hint="eastAsia" w:ascii="仿宋" w:hAnsi="仿宋" w:eastAsia="仿宋" w:cs="仿宋"/>
          <w:kern w:val="0"/>
          <w:sz w:val="24"/>
          <w:szCs w:val="24"/>
        </w:rPr>
        <w:t>采用1980西安坐标系</w:t>
      </w:r>
    </w:p>
    <w:p>
      <w:pPr>
        <w:spacing w:line="440" w:lineRule="exact"/>
        <w:ind w:firstLine="361" w:firstLineChars="150"/>
        <w:rPr>
          <w:rFonts w:hint="eastAsia" w:ascii="仿宋" w:hAnsi="仿宋" w:eastAsia="仿宋" w:cs="仿宋"/>
          <w:kern w:val="0"/>
          <w:sz w:val="24"/>
          <w:szCs w:val="24"/>
        </w:rPr>
      </w:pPr>
      <w:r>
        <w:rPr>
          <w:rFonts w:hint="eastAsia" w:ascii="仿宋" w:hAnsi="仿宋" w:eastAsia="仿宋" w:cs="仿宋"/>
          <w:b/>
          <w:kern w:val="0"/>
          <w:sz w:val="24"/>
          <w:szCs w:val="24"/>
        </w:rPr>
        <w:t>（9）工期：</w:t>
      </w:r>
      <w:r>
        <w:rPr>
          <w:rFonts w:hint="eastAsia" w:ascii="仿宋" w:hAnsi="仿宋" w:eastAsia="仿宋" w:cs="仿宋"/>
          <w:kern w:val="0"/>
          <w:sz w:val="24"/>
          <w:szCs w:val="24"/>
        </w:rPr>
        <w:t xml:space="preserve">10个日历天内完成并向甲方提交正式成果 </w:t>
      </w:r>
    </w:p>
    <w:p>
      <w:pPr>
        <w:rPr>
          <w:rFonts w:hint="eastAsia" w:ascii="仿宋" w:hAnsi="仿宋" w:eastAsia="仿宋" w:cs="仿宋"/>
          <w:b/>
          <w:sz w:val="24"/>
          <w:szCs w:val="24"/>
        </w:rPr>
      </w:pPr>
      <w:r>
        <w:rPr>
          <w:rFonts w:hint="eastAsia" w:ascii="仿宋" w:hAnsi="仿宋" w:eastAsia="仿宋" w:cs="仿宋"/>
          <w:b/>
          <w:sz w:val="24"/>
          <w:szCs w:val="24"/>
        </w:rPr>
        <w:t>3. 执行标准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1）CH/T 1004-1999 《测绘技术设计规定》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2）CJJ/T8-2011《城市测量规范》</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3）GB/T 17941—2008《数字测绘产品质量要求》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4）CH/T 1022—2010《平面控制测量成果质量检验技术规程》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5）《测绘管理工作秘密范围的规定》 (国测办[2003]17号)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以上技术规范如有最新要求，则按最新要求执行并满足测绘行业相关测量标准。</w:t>
      </w:r>
    </w:p>
    <w:p>
      <w:pPr>
        <w:rPr>
          <w:rFonts w:hint="eastAsia" w:ascii="仿宋" w:hAnsi="仿宋" w:eastAsia="仿宋" w:cs="仿宋"/>
          <w:b/>
          <w:sz w:val="24"/>
          <w:szCs w:val="24"/>
          <w:lang w:val="en-US" w:eastAsia="zh-CN"/>
        </w:rPr>
      </w:pPr>
      <w:r>
        <w:rPr>
          <w:rFonts w:hint="eastAsia" w:ascii="仿宋" w:hAnsi="仿宋" w:eastAsia="仿宋" w:cs="仿宋"/>
          <w:b/>
          <w:sz w:val="24"/>
          <w:szCs w:val="24"/>
        </w:rPr>
        <w:t>4. 提交成果</w:t>
      </w:r>
      <w:r>
        <w:rPr>
          <w:rFonts w:hint="eastAsia" w:ascii="仿宋" w:hAnsi="仿宋" w:eastAsia="仿宋" w:cs="仿宋"/>
          <w:b/>
          <w:sz w:val="24"/>
          <w:szCs w:val="24"/>
          <w:lang w:eastAsia="zh-CN"/>
        </w:rPr>
        <w:t>要求：</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rPr>
        <w:tab/>
      </w:r>
      <w:r>
        <w:rPr>
          <w:rFonts w:hint="eastAsia" w:ascii="仿宋" w:hAnsi="仿宋" w:eastAsia="仿宋" w:cs="仿宋"/>
          <w:kern w:val="0"/>
          <w:sz w:val="24"/>
          <w:szCs w:val="24"/>
        </w:rPr>
        <w:t>技术设计书；</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2）平面图、立面图、剖面图</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3）地形图</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4）正射影像图</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5）三维模型和管理系统</w:t>
      </w:r>
    </w:p>
    <w:p>
      <w:pPr>
        <w:spacing w:line="360" w:lineRule="auto"/>
        <w:ind w:firstLine="480" w:firstLineChars="200"/>
        <w:rPr>
          <w:rFonts w:hint="eastAsia"/>
          <w:lang w:val="en-US" w:eastAsia="zh-CN"/>
        </w:rPr>
      </w:pPr>
      <w:r>
        <w:rPr>
          <w:rFonts w:hint="eastAsia" w:ascii="仿宋" w:hAnsi="仿宋" w:eastAsia="仿宋" w:cs="仿宋"/>
          <w:kern w:val="0"/>
          <w:sz w:val="24"/>
          <w:szCs w:val="24"/>
        </w:rPr>
        <w:t>6）项目总结；</w:t>
      </w:r>
    </w:p>
    <w:p>
      <w:pPr>
        <w:pageBreakBefore w:val="0"/>
        <w:widowControl w:val="0"/>
        <w:kinsoku/>
        <w:wordWrap/>
        <w:overflowPunct/>
        <w:topLinePunct w:val="0"/>
        <w:autoSpaceDE/>
        <w:autoSpaceDN/>
        <w:bidi w:val="0"/>
        <w:adjustRightInd/>
        <w:snapToGrid/>
        <w:spacing w:line="360" w:lineRule="auto"/>
        <w:ind w:right="0" w:rightChars="0" w:firstLine="2409" w:firstLineChars="10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C包</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24栋房屋主体</w:t>
      </w:r>
      <w:r>
        <w:rPr>
          <w:rFonts w:hint="eastAsia" w:ascii="仿宋" w:hAnsi="仿宋" w:eastAsia="仿宋" w:cs="仿宋"/>
          <w:b/>
          <w:bCs/>
          <w:sz w:val="24"/>
          <w:szCs w:val="24"/>
          <w:lang w:eastAsia="zh-CN"/>
        </w:rPr>
        <w:t>结构检测技术要求</w:t>
      </w:r>
    </w:p>
    <w:p>
      <w:pPr>
        <w:keepNext w:val="0"/>
        <w:keepLines w:val="0"/>
        <w:pageBreakBefore w:val="0"/>
        <w:widowControl w:val="0"/>
        <w:kinsoku/>
        <w:wordWrap/>
        <w:overflowPunct/>
        <w:topLinePunct w:val="0"/>
        <w:autoSpaceDE/>
        <w:autoSpaceDN/>
        <w:bidi w:val="0"/>
        <w:adjustRightInd/>
        <w:snapToGrid w:val="0"/>
        <w:spacing w:before="84" w:beforeLines="25" w:line="360" w:lineRule="auto"/>
        <w:ind w:firstLine="484" w:firstLineChars="200"/>
        <w:textAlignment w:val="auto"/>
        <w:outlineLvl w:val="9"/>
        <w:rPr>
          <w:rFonts w:hint="eastAsia" w:ascii="仿宋" w:hAnsi="仿宋" w:eastAsia="仿宋" w:cs="仿宋"/>
          <w:color w:val="auto"/>
          <w:spacing w:val="1"/>
          <w:kern w:val="0"/>
          <w:sz w:val="24"/>
          <w:szCs w:val="24"/>
          <w:lang w:val="en-US" w:eastAsia="zh-CN"/>
        </w:rPr>
      </w:pPr>
      <w:r>
        <w:rPr>
          <w:rFonts w:hint="eastAsia" w:ascii="仿宋" w:hAnsi="仿宋" w:eastAsia="仿宋" w:cs="仿宋"/>
          <w:color w:val="auto"/>
          <w:spacing w:val="1"/>
          <w:kern w:val="0"/>
          <w:sz w:val="24"/>
          <w:szCs w:val="24"/>
          <w:lang w:val="en-US" w:eastAsia="zh-CN"/>
        </w:rPr>
        <w:t xml:space="preserve"> （1）.除非合同文件中另有特别注明，本工程适用中华人民共和国现行有效的国家规范、规程和标准。检测方案必须满足设计文件以及国家现行技术规范的要求，测点布置及数量必须确保本工程及周围环境的安全、环保要求。</w:t>
      </w:r>
    </w:p>
    <w:p>
      <w:pPr>
        <w:keepNext w:val="0"/>
        <w:keepLines w:val="0"/>
        <w:pageBreakBefore w:val="0"/>
        <w:widowControl w:val="0"/>
        <w:kinsoku/>
        <w:wordWrap/>
        <w:overflowPunct/>
        <w:topLinePunct w:val="0"/>
        <w:autoSpaceDE/>
        <w:autoSpaceDN/>
        <w:bidi w:val="0"/>
        <w:adjustRightInd/>
        <w:snapToGrid w:val="0"/>
        <w:spacing w:before="84" w:beforeLines="25" w:line="360" w:lineRule="auto"/>
        <w:ind w:firstLine="484" w:firstLineChars="200"/>
        <w:textAlignment w:val="auto"/>
        <w:outlineLvl w:val="9"/>
        <w:rPr>
          <w:rFonts w:hint="eastAsia" w:ascii="仿宋" w:hAnsi="仿宋" w:eastAsia="仿宋" w:cs="仿宋"/>
          <w:color w:val="auto"/>
          <w:spacing w:val="1"/>
          <w:kern w:val="0"/>
          <w:sz w:val="24"/>
          <w:szCs w:val="24"/>
          <w:lang w:val="en-US" w:eastAsia="zh-CN"/>
        </w:rPr>
      </w:pPr>
      <w:r>
        <w:rPr>
          <w:rFonts w:hint="eastAsia" w:ascii="仿宋" w:hAnsi="仿宋" w:eastAsia="仿宋" w:cs="仿宋"/>
          <w:color w:val="auto"/>
          <w:spacing w:val="1"/>
          <w:kern w:val="0"/>
          <w:sz w:val="24"/>
          <w:szCs w:val="24"/>
          <w:lang w:val="en-US" w:eastAsia="zh-CN"/>
        </w:rPr>
        <w:t>现场检测要求：投标人应严格按照要求，配合工程进度，及时到现场进行检测工作。投标人须制定现场作业计划报招标人审批，现场作业可分区域进行。投标人在接到通知后达到现场进行检测并及时出具真实、科学、准确、公正的检测报告。</w:t>
      </w:r>
    </w:p>
    <w:p>
      <w:pPr>
        <w:snapToGrid w:val="0"/>
        <w:spacing w:before="81" w:beforeLines="25" w:line="360" w:lineRule="auto"/>
        <w:ind w:firstLine="560"/>
        <w:rPr>
          <w:rFonts w:hint="eastAsia" w:ascii="仿宋" w:hAnsi="仿宋" w:eastAsia="仿宋" w:cs="仿宋"/>
          <w:color w:val="auto"/>
          <w:spacing w:val="1"/>
          <w:kern w:val="0"/>
          <w:sz w:val="24"/>
          <w:szCs w:val="24"/>
          <w:lang w:val="en-US" w:eastAsia="zh-CN"/>
        </w:rPr>
      </w:pPr>
      <w:r>
        <w:rPr>
          <w:rFonts w:hint="eastAsia" w:ascii="仿宋" w:hAnsi="仿宋" w:eastAsia="仿宋" w:cs="仿宋"/>
          <w:color w:val="auto"/>
          <w:spacing w:val="1"/>
          <w:kern w:val="0"/>
          <w:sz w:val="24"/>
          <w:szCs w:val="24"/>
          <w:lang w:val="en-US" w:eastAsia="zh-CN"/>
        </w:rPr>
        <w:t>合同中约定的任何投标人应予遵照执行的国家规范、规程和标准都指他们各自的最新版本。如果在构成本工程规范和技术说明的任何内容与任何现行国家规范、规程和标准包括他们适用的修改之间出现相互矛盾之处或不一致的指示，投标人应按照其中要求最严格的标准执行。</w:t>
      </w:r>
      <w:r>
        <w:rPr>
          <w:rFonts w:hint="eastAsia" w:ascii="仿宋" w:hAnsi="仿宋" w:eastAsia="仿宋" w:cs="仿宋"/>
          <w:color w:val="FF0000"/>
          <w:spacing w:val="1"/>
          <w:kern w:val="0"/>
          <w:sz w:val="24"/>
          <w:szCs w:val="24"/>
          <w:lang w:val="en-US" w:eastAsia="zh-CN"/>
        </w:rPr>
        <w:br w:type="textWrapping"/>
      </w:r>
      <w:r>
        <w:rPr>
          <w:rFonts w:hint="eastAsia" w:ascii="仿宋" w:hAnsi="仿宋" w:eastAsia="仿宋" w:cs="仿宋"/>
          <w:color w:val="FF0000"/>
          <w:spacing w:val="1"/>
          <w:kern w:val="0"/>
          <w:sz w:val="24"/>
          <w:szCs w:val="24"/>
          <w:lang w:val="en-US" w:eastAsia="zh-CN"/>
        </w:rPr>
        <w:t xml:space="preserve">  </w:t>
      </w:r>
      <w:r>
        <w:rPr>
          <w:rFonts w:hint="eastAsia" w:ascii="仿宋" w:hAnsi="仿宋" w:eastAsia="仿宋" w:cs="仿宋"/>
          <w:color w:val="auto"/>
          <w:spacing w:val="1"/>
          <w:kern w:val="0"/>
          <w:sz w:val="24"/>
          <w:szCs w:val="24"/>
          <w:lang w:val="en-US" w:eastAsia="zh-CN"/>
        </w:rPr>
        <w:t xml:space="preserve">   未尽项均执行现行规范及标准,以上规范如有变化，以最新发布的为准。</w:t>
      </w:r>
    </w:p>
    <w:p>
      <w:pPr>
        <w:keepNext w:val="0"/>
        <w:keepLines w:val="0"/>
        <w:pageBreakBefore w:val="0"/>
        <w:widowControl w:val="0"/>
        <w:numPr>
          <w:ilvl w:val="0"/>
          <w:numId w:val="0"/>
        </w:numPr>
        <w:kinsoku/>
        <w:wordWrap/>
        <w:overflowPunct/>
        <w:topLinePunct w:val="0"/>
        <w:autoSpaceDE/>
        <w:autoSpaceDN/>
        <w:bidi w:val="0"/>
        <w:adjustRightInd/>
        <w:snapToGrid w:val="0"/>
        <w:spacing w:before="84" w:beforeLines="25" w:line="360" w:lineRule="auto"/>
        <w:ind w:firstLine="240" w:firstLineChars="100"/>
        <w:textAlignment w:val="auto"/>
        <w:outlineLvl w:val="9"/>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（2)现行有效的主要规范索引</w:t>
      </w:r>
    </w:p>
    <w:p>
      <w:pPr>
        <w:keepNext w:val="0"/>
        <w:keepLines w:val="0"/>
        <w:pageBreakBefore w:val="0"/>
        <w:widowControl w:val="0"/>
        <w:numPr>
          <w:ilvl w:val="0"/>
          <w:numId w:val="0"/>
        </w:numPr>
        <w:kinsoku/>
        <w:wordWrap/>
        <w:overflowPunct/>
        <w:topLinePunct w:val="0"/>
        <w:autoSpaceDE/>
        <w:autoSpaceDN/>
        <w:bidi w:val="0"/>
        <w:adjustRightInd/>
        <w:snapToGrid w:val="0"/>
        <w:spacing w:before="84" w:beforeLines="25" w:line="360" w:lineRule="auto"/>
        <w:ind w:left="629" w:leftChars="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、《建筑结构检测技术标准》（GB/T 50344-2004）；</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2、《砌体工程现场检测技术标准》（GB/T 50315-2011）；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、《农村住房危险性鉴定标准》(JGJ/T363-2014)；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4、《民用建筑可靠性鉴定标准》(GB 50292-</w:t>
      </w:r>
      <w:r>
        <w:rPr>
          <w:rFonts w:hint="eastAsia" w:ascii="仿宋" w:hAnsi="仿宋" w:eastAsia="仿宋" w:cs="仿宋"/>
          <w:color w:val="auto"/>
          <w:sz w:val="24"/>
          <w:szCs w:val="24"/>
          <w:lang w:val="en-US" w:eastAsia="zh-CN"/>
        </w:rPr>
        <w:t>2015</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5、《工业建筑可靠性鉴定标准》(GB 50144-2008)；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6、《砌体结构设计规范》（GB 50003-2011）；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7、《危险房屋鉴定标准》（JGJ 125-</w:t>
      </w:r>
      <w:r>
        <w:rPr>
          <w:rFonts w:hint="eastAsia" w:ascii="仿宋" w:hAnsi="仿宋" w:eastAsia="仿宋" w:cs="仿宋"/>
          <w:color w:val="auto"/>
          <w:sz w:val="24"/>
          <w:szCs w:val="24"/>
          <w:lang w:val="en-US" w:eastAsia="zh-CN"/>
        </w:rPr>
        <w:t>2016</w:t>
      </w:r>
      <w:r>
        <w:rPr>
          <w:rFonts w:hint="eastAsia" w:ascii="仿宋" w:hAnsi="仿宋" w:eastAsia="仿宋" w:cs="仿宋"/>
          <w:color w:val="auto"/>
          <w:sz w:val="24"/>
          <w:szCs w:val="24"/>
        </w:rPr>
        <w:t>）；</w:t>
      </w:r>
      <w:r>
        <w:rPr>
          <w:rFonts w:hint="eastAsia" w:ascii="仿宋" w:hAnsi="仿宋" w:eastAsia="仿宋" w:cs="仿宋"/>
          <w:color w:val="FF0000"/>
          <w:sz w:val="24"/>
          <w:szCs w:val="24"/>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8、《建筑工程测量规范》（GB50026—2007）；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9、《建筑地基基础设计规范》（GB 50007－2011）；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10、《混凝土结构设计规范》（GB 50010-2010）；                  </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11、《木结构设计规范》（GB 50005-2003）；</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12、《回弹法检测混凝土抗压强度技术规程》（JGJ/T 23-2011）；</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13、《建筑变形测量规范》（JGJ8-20</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14、《建筑结构荷载规范》（GB 50009-2012）；</w:t>
      </w:r>
    </w:p>
    <w:p>
      <w:pPr>
        <w:keepNext w:val="0"/>
        <w:keepLines w:val="0"/>
        <w:pageBreakBefore w:val="0"/>
        <w:widowControl w:val="0"/>
        <w:kinsoku/>
        <w:wordWrap/>
        <w:overflowPunct/>
        <w:topLinePunct w:val="0"/>
        <w:autoSpaceDE/>
        <w:autoSpaceDN/>
        <w:bidi w:val="0"/>
        <w:adjustRightInd/>
        <w:snapToGrid w:val="0"/>
        <w:spacing w:before="167" w:beforeLines="50" w:line="360" w:lineRule="auto"/>
        <w:ind w:firstLine="56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15、《混凝土中钢筋检测技术规程》（JGJ/T 152-2008）。</w:t>
      </w:r>
    </w:p>
    <w:p>
      <w:pPr>
        <w:pStyle w:val="2"/>
        <w:ind w:firstLine="482" w:firstLineChars="200"/>
        <w:rPr>
          <w:rFonts w:hint="eastAsia"/>
          <w:lang w:val="en-US" w:eastAsia="zh-CN"/>
        </w:rPr>
      </w:pPr>
      <w:r>
        <w:rPr>
          <w:rFonts w:hint="eastAsia" w:ascii="仿宋" w:hAnsi="仿宋" w:eastAsia="仿宋" w:cs="仿宋"/>
          <w:color w:val="auto"/>
          <w:sz w:val="24"/>
          <w:szCs w:val="24"/>
          <w:lang w:val="en-US" w:eastAsia="zh-CN"/>
        </w:rPr>
        <w:t>(3)成果要求：符合业主要求。</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lang w:eastAsia="zh-CN"/>
        </w:rPr>
        <w:t>二</w:t>
      </w:r>
      <w:r>
        <w:rPr>
          <w:rFonts w:hint="eastAsia" w:ascii="仿宋" w:hAnsi="仿宋" w:eastAsia="仿宋" w:cs="仿宋"/>
          <w:b/>
          <w:sz w:val="24"/>
          <w:szCs w:val="24"/>
        </w:rPr>
        <w:t>、其它要求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1、以上要求为最低要求，投标商应等于或优于此要求，否则为无效投标。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2、投标人应就该项目完整投标，须合理的工作方案，否则为无效投标。</w:t>
      </w:r>
    </w:p>
    <w:p>
      <w:pPr>
        <w:tabs>
          <w:tab w:val="left" w:pos="5963"/>
        </w:tabs>
        <w:spacing w:line="4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 3、投标商必须由法定代表人或其授权代表参加开标会议，随时接受评标委员会询问，并予作出书面解答。</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1767" w:firstLineChars="4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w:t>
      </w:r>
      <w:r>
        <w:rPr>
          <w:rFonts w:hint="eastAsia" w:ascii="仿宋" w:hAnsi="仿宋" w:eastAsia="仿宋" w:cs="仿宋"/>
          <w:sz w:val="24"/>
          <w:szCs w:val="24"/>
          <w:lang w:eastAsia="zh-CN"/>
        </w:rPr>
        <w:t>资质证书及项目负责人证书、计量认证证书（</w:t>
      </w:r>
      <w:r>
        <w:rPr>
          <w:rFonts w:hint="eastAsia" w:ascii="仿宋" w:hAnsi="仿宋" w:eastAsia="仿宋" w:cs="仿宋"/>
          <w:sz w:val="24"/>
          <w:szCs w:val="24"/>
          <w:lang w:val="en-US" w:eastAsia="zh-CN"/>
        </w:rPr>
        <w:t>C包提供</w:t>
      </w:r>
      <w:r>
        <w:rPr>
          <w:rFonts w:hint="eastAsia" w:ascii="仿宋" w:hAnsi="仿宋" w:eastAsia="仿宋" w:cs="仿宋"/>
          <w:sz w:val="24"/>
          <w:szCs w:val="24"/>
          <w:lang w:eastAsia="zh-CN"/>
        </w:rPr>
        <w:t>）、</w:t>
      </w:r>
      <w:r>
        <w:rPr>
          <w:rFonts w:hint="eastAsia" w:ascii="仿宋" w:hAnsi="仿宋" w:eastAsia="仿宋" w:cs="仿宋"/>
          <w:sz w:val="24"/>
          <w:szCs w:val="24"/>
        </w:rPr>
        <w:t>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bookmarkStart w:id="2" w:name="_GoBack"/>
      <w:bookmarkEnd w:id="2"/>
    </w:p>
    <w:p>
      <w:pPr>
        <w:spacing w:line="360" w:lineRule="auto"/>
        <w:ind w:firstLine="3373" w:firstLineChars="1400"/>
        <w:rPr>
          <w:rFonts w:hint="eastAsia" w:ascii="仿宋" w:hAnsi="仿宋" w:eastAsia="仿宋" w:cs="仿宋"/>
          <w:b/>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A包</w:t>
      </w:r>
      <w:r>
        <w:rPr>
          <w:rFonts w:hint="eastAsia" w:ascii="仿宋" w:hAnsi="仿宋" w:eastAsia="仿宋" w:cs="仿宋"/>
          <w:b/>
          <w:bCs/>
          <w:sz w:val="24"/>
          <w:szCs w:val="24"/>
          <w:lang w:eastAsia="zh-CN"/>
        </w:rPr>
        <w:t>）</w:t>
      </w:r>
      <w:r>
        <w:rPr>
          <w:rFonts w:hint="eastAsia" w:ascii="仿宋" w:hAnsi="仿宋" w:eastAsia="仿宋" w:cs="仿宋"/>
          <w:b/>
          <w:bCs/>
          <w:sz w:val="24"/>
          <w:szCs w:val="24"/>
        </w:rPr>
        <w:t>评分标准</w:t>
      </w:r>
    </w:p>
    <w:tbl>
      <w:tblPr>
        <w:tblStyle w:val="36"/>
        <w:tblW w:w="9280" w:type="dxa"/>
        <w:tblInd w:w="0" w:type="dxa"/>
        <w:tblLayout w:type="fixed"/>
        <w:tblCellMar>
          <w:top w:w="0" w:type="dxa"/>
          <w:left w:w="0" w:type="dxa"/>
          <w:bottom w:w="0" w:type="dxa"/>
          <w:right w:w="0" w:type="dxa"/>
        </w:tblCellMar>
      </w:tblPr>
      <w:tblGrid>
        <w:gridCol w:w="712"/>
        <w:gridCol w:w="1262"/>
        <w:gridCol w:w="729"/>
        <w:gridCol w:w="6577"/>
      </w:tblGrid>
      <w:tr>
        <w:tblPrEx>
          <w:tblLayout w:type="fixed"/>
          <w:tblCellMar>
            <w:top w:w="0" w:type="dxa"/>
            <w:left w:w="0" w:type="dxa"/>
            <w:bottom w:w="0" w:type="dxa"/>
            <w:right w:w="0" w:type="dxa"/>
          </w:tblCellMar>
        </w:tblPrEx>
        <w:trPr>
          <w:trHeight w:val="435" w:hRule="atLeast"/>
        </w:trPr>
        <w:tc>
          <w:tcPr>
            <w:tcW w:w="712" w:type="dxa"/>
            <w:tcBorders>
              <w:top w:val="double" w:color="auto" w:sz="4" w:space="0"/>
              <w:left w:val="double" w:color="auto" w:sz="4" w:space="0"/>
              <w:bottom w:val="single" w:color="auto" w:sz="8"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262" w:type="dxa"/>
            <w:tcBorders>
              <w:top w:val="double" w:color="auto" w:sz="4" w:space="0"/>
              <w:left w:val="single" w:color="auto" w:sz="4" w:space="0"/>
              <w:bottom w:val="single" w:color="auto" w:sz="8" w:space="0"/>
              <w:right w:val="single" w:color="auto" w:sz="8"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评审项目</w:t>
            </w:r>
          </w:p>
        </w:tc>
        <w:tc>
          <w:tcPr>
            <w:tcW w:w="729"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bCs/>
                <w:kern w:val="0"/>
                <w:sz w:val="24"/>
                <w:szCs w:val="24"/>
              </w:rPr>
              <w:t>分值</w:t>
            </w:r>
          </w:p>
        </w:tc>
        <w:tc>
          <w:tcPr>
            <w:tcW w:w="6577"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评分细则</w:t>
            </w:r>
          </w:p>
        </w:tc>
      </w:tr>
      <w:tr>
        <w:tblPrEx>
          <w:tblLayout w:type="fixed"/>
          <w:tblCellMar>
            <w:top w:w="0" w:type="dxa"/>
            <w:left w:w="0" w:type="dxa"/>
            <w:bottom w:w="0" w:type="dxa"/>
            <w:right w:w="0" w:type="dxa"/>
          </w:tblCellMar>
        </w:tblPrEx>
        <w:trPr>
          <w:trHeight w:val="1126" w:hRule="atLeast"/>
        </w:trPr>
        <w:tc>
          <w:tcPr>
            <w:tcW w:w="712" w:type="dxa"/>
            <w:tcBorders>
              <w:top w:val="nil"/>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1</w:t>
            </w:r>
          </w:p>
        </w:tc>
        <w:tc>
          <w:tcPr>
            <w:tcW w:w="1262" w:type="dxa"/>
            <w:tcBorders>
              <w:top w:val="nil"/>
              <w:left w:val="single" w:color="auto" w:sz="4" w:space="0"/>
              <w:bottom w:val="single" w:color="auto" w:sz="4" w:space="0"/>
              <w:right w:val="single" w:color="auto" w:sz="8" w:space="0"/>
            </w:tcBorders>
            <w:vAlign w:val="center"/>
          </w:tcPr>
          <w:p>
            <w:pPr>
              <w:jc w:val="center"/>
              <w:rPr>
                <w:rFonts w:hint="eastAsia" w:ascii="仿宋" w:hAnsi="仿宋" w:eastAsia="仿宋" w:cs="仿宋"/>
                <w:kern w:val="0"/>
                <w:sz w:val="24"/>
                <w:szCs w:val="24"/>
              </w:rPr>
            </w:pPr>
            <w:r>
              <w:rPr>
                <w:rFonts w:hint="eastAsia" w:ascii="仿宋" w:hAnsi="仿宋" w:eastAsia="仿宋" w:cs="仿宋"/>
                <w:b/>
                <w:sz w:val="24"/>
                <w:szCs w:val="24"/>
              </w:rPr>
              <w:t>投标报价</w:t>
            </w:r>
          </w:p>
        </w:tc>
        <w:tc>
          <w:tcPr>
            <w:tcW w:w="72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tc>
        <w:tc>
          <w:tcPr>
            <w:tcW w:w="6577" w:type="dxa"/>
            <w:tcBorders>
              <w:top w:val="nil"/>
              <w:left w:val="nil"/>
              <w:bottom w:val="single" w:color="auto" w:sz="4" w:space="0"/>
              <w:right w:val="double" w:color="auto" w:sz="4" w:space="0"/>
            </w:tcBorders>
            <w:tcMar>
              <w:top w:w="0" w:type="dxa"/>
              <w:left w:w="108" w:type="dxa"/>
              <w:bottom w:w="0" w:type="dxa"/>
              <w:right w:w="108" w:type="dxa"/>
            </w:tcMar>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综合评分法中的价格分统一采用低价优先法计算，即满足招标文件要求且报价最低的为评标基准价，其价格分为满分2</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分。其他投标人的价格分统一按照下列公式计算：</w:t>
            </w:r>
          </w:p>
          <w:p>
            <w:pPr>
              <w:widowControl/>
              <w:rPr>
                <w:rFonts w:hint="eastAsia" w:ascii="仿宋" w:hAnsi="仿宋" w:eastAsia="仿宋" w:cs="仿宋"/>
                <w:kern w:val="0"/>
                <w:sz w:val="24"/>
                <w:szCs w:val="24"/>
              </w:rPr>
            </w:pPr>
            <w:r>
              <w:rPr>
                <w:rFonts w:hint="eastAsia" w:ascii="仿宋" w:hAnsi="仿宋" w:eastAsia="仿宋" w:cs="仿宋"/>
                <w:kern w:val="0"/>
                <w:sz w:val="24"/>
                <w:szCs w:val="24"/>
              </w:rPr>
              <w:t>投标报价得分=(评标基准价／投标报价)×2</w:t>
            </w:r>
            <w:r>
              <w:rPr>
                <w:rFonts w:hint="eastAsia" w:ascii="仿宋" w:hAnsi="仿宋" w:eastAsia="仿宋" w:cs="仿宋"/>
                <w:kern w:val="0"/>
                <w:sz w:val="24"/>
                <w:szCs w:val="24"/>
                <w:lang w:val="en-US" w:eastAsia="zh-CN"/>
              </w:rPr>
              <w:t>5</w:t>
            </w:r>
          </w:p>
        </w:tc>
      </w:tr>
      <w:tr>
        <w:tblPrEx>
          <w:tblLayout w:type="fixed"/>
          <w:tblCellMar>
            <w:top w:w="0" w:type="dxa"/>
            <w:left w:w="0" w:type="dxa"/>
            <w:bottom w:w="0" w:type="dxa"/>
            <w:right w:w="0" w:type="dxa"/>
          </w:tblCellMar>
        </w:tblPrEx>
        <w:trPr>
          <w:trHeight w:val="1624" w:hRule="atLeast"/>
        </w:trPr>
        <w:tc>
          <w:tcPr>
            <w:tcW w:w="712"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2</w:t>
            </w:r>
          </w:p>
        </w:tc>
        <w:tc>
          <w:tcPr>
            <w:tcW w:w="126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信誉及认证</w:t>
            </w:r>
          </w:p>
        </w:tc>
        <w:tc>
          <w:tcPr>
            <w:tcW w:w="72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分</w:t>
            </w:r>
          </w:p>
        </w:tc>
        <w:tc>
          <w:tcPr>
            <w:tcW w:w="6577"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①</w:t>
            </w:r>
            <w:r>
              <w:rPr>
                <w:rFonts w:hint="eastAsia" w:ascii="仿宋" w:hAnsi="仿宋" w:eastAsia="仿宋" w:cs="仿宋"/>
                <w:sz w:val="24"/>
                <w:szCs w:val="24"/>
              </w:rPr>
              <w:t>投标人须提供工商企业信用报告（国家企业信用信息公示系统http//www.gsxt.gov.cn)，包含：基础信息、行政许可信息、行政处罚信息、列入经营异常名录信息、列入严重违法失信企业名单（黑名单）信息，无不良记录者得</w:t>
            </w:r>
            <w:r>
              <w:rPr>
                <w:rFonts w:hint="eastAsia" w:ascii="仿宋" w:hAnsi="仿宋" w:eastAsia="仿宋" w:cs="仿宋"/>
                <w:sz w:val="24"/>
                <w:szCs w:val="24"/>
                <w:lang w:val="en-US" w:eastAsia="zh-CN"/>
              </w:rPr>
              <w:t>2</w:t>
            </w:r>
            <w:r>
              <w:rPr>
                <w:rFonts w:hint="eastAsia" w:ascii="仿宋" w:hAnsi="仿宋" w:eastAsia="仿宋" w:cs="仿宋"/>
                <w:sz w:val="24"/>
                <w:szCs w:val="24"/>
              </w:rPr>
              <w:t>分，企业所在地税务主管部门出具的纳税情况证明等信用情况，无不良记录者得</w:t>
            </w:r>
            <w:r>
              <w:rPr>
                <w:rFonts w:hint="eastAsia" w:ascii="仿宋" w:hAnsi="仿宋" w:eastAsia="仿宋" w:cs="仿宋"/>
                <w:sz w:val="24"/>
                <w:szCs w:val="24"/>
                <w:lang w:val="en-US" w:eastAsia="zh-CN"/>
              </w:rPr>
              <w:t>2</w:t>
            </w:r>
            <w:r>
              <w:rPr>
                <w:rFonts w:hint="eastAsia" w:ascii="仿宋" w:hAnsi="仿宋" w:eastAsia="仿宋" w:cs="仿宋"/>
                <w:sz w:val="24"/>
                <w:szCs w:val="24"/>
              </w:rPr>
              <w:t>分，共</w:t>
            </w:r>
            <w:r>
              <w:rPr>
                <w:rFonts w:hint="eastAsia" w:ascii="仿宋" w:hAnsi="仿宋" w:eastAsia="仿宋" w:cs="仿宋"/>
                <w:sz w:val="24"/>
                <w:szCs w:val="24"/>
                <w:lang w:val="en-US" w:eastAsia="zh-CN"/>
              </w:rPr>
              <w:t>4</w:t>
            </w:r>
            <w:r>
              <w:rPr>
                <w:rFonts w:hint="eastAsia" w:ascii="仿宋" w:hAnsi="仿宋" w:eastAsia="仿宋" w:cs="仿宋"/>
                <w:sz w:val="24"/>
                <w:szCs w:val="24"/>
              </w:rPr>
              <w:t>分，未提供者不得分。</w:t>
            </w:r>
          </w:p>
          <w:p>
            <w:pPr>
              <w:widowControl/>
              <w:jc w:val="left"/>
              <w:rPr>
                <w:rFonts w:hint="eastAsia" w:ascii="仿宋" w:hAnsi="仿宋" w:eastAsia="仿宋" w:cs="仿宋"/>
                <w:sz w:val="24"/>
                <w:szCs w:val="24"/>
              </w:rPr>
            </w:pPr>
            <w:r>
              <w:rPr>
                <w:rFonts w:hint="eastAsia" w:ascii="仿宋" w:hAnsi="仿宋" w:eastAsia="仿宋" w:cs="仿宋"/>
                <w:bCs/>
                <w:sz w:val="24"/>
                <w:szCs w:val="24"/>
              </w:rPr>
              <w:t>②投标人具有</w:t>
            </w:r>
            <w:r>
              <w:rPr>
                <w:rFonts w:hint="eastAsia" w:ascii="仿宋" w:hAnsi="仿宋" w:eastAsia="仿宋" w:cs="仿宋"/>
                <w:bCs/>
                <w:sz w:val="24"/>
                <w:szCs w:val="24"/>
                <w:lang w:val="en-US" w:eastAsia="zh-CN"/>
              </w:rPr>
              <w:t>AAA诚信</w:t>
            </w:r>
            <w:r>
              <w:rPr>
                <w:rFonts w:hint="eastAsia" w:ascii="仿宋" w:hAnsi="仿宋" w:eastAsia="仿宋" w:cs="仿宋"/>
                <w:bCs/>
                <w:sz w:val="24"/>
                <w:szCs w:val="24"/>
              </w:rPr>
              <w:t>证书的得</w:t>
            </w:r>
            <w:r>
              <w:rPr>
                <w:rFonts w:hint="eastAsia" w:ascii="仿宋" w:hAnsi="仿宋" w:eastAsia="仿宋" w:cs="仿宋"/>
                <w:bCs/>
                <w:sz w:val="24"/>
                <w:szCs w:val="24"/>
                <w:lang w:val="en-US" w:eastAsia="zh-CN"/>
              </w:rPr>
              <w:t>4</w:t>
            </w:r>
            <w:r>
              <w:rPr>
                <w:rFonts w:hint="eastAsia" w:ascii="仿宋" w:hAnsi="仿宋" w:eastAsia="仿宋" w:cs="仿宋"/>
                <w:bCs/>
                <w:sz w:val="24"/>
                <w:szCs w:val="24"/>
              </w:rPr>
              <w:t>分，否则不得分。（</w:t>
            </w:r>
            <w:r>
              <w:rPr>
                <w:rFonts w:hint="eastAsia" w:ascii="仿宋" w:hAnsi="仿宋" w:eastAsia="仿宋" w:cs="仿宋"/>
                <w:sz w:val="24"/>
                <w:szCs w:val="24"/>
              </w:rPr>
              <w:t>提供证书原件）</w:t>
            </w:r>
          </w:p>
        </w:tc>
      </w:tr>
      <w:tr>
        <w:tblPrEx>
          <w:tblLayout w:type="fixed"/>
          <w:tblCellMar>
            <w:top w:w="0" w:type="dxa"/>
            <w:left w:w="0" w:type="dxa"/>
            <w:bottom w:w="0" w:type="dxa"/>
            <w:right w:w="0" w:type="dxa"/>
          </w:tblCellMar>
        </w:tblPrEx>
        <w:trPr>
          <w:trHeight w:val="1126" w:hRule="atLeast"/>
        </w:trPr>
        <w:tc>
          <w:tcPr>
            <w:tcW w:w="712"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3</w:t>
            </w:r>
          </w:p>
        </w:tc>
        <w:tc>
          <w:tcPr>
            <w:tcW w:w="1262"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业绩</w:t>
            </w:r>
          </w:p>
        </w:tc>
        <w:tc>
          <w:tcPr>
            <w:tcW w:w="72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tc>
        <w:tc>
          <w:tcPr>
            <w:tcW w:w="6577"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sz w:val="24"/>
                <w:szCs w:val="24"/>
              </w:rPr>
            </w:pPr>
            <w:r>
              <w:rPr>
                <w:rFonts w:hint="eastAsia" w:ascii="仿宋" w:hAnsi="仿宋" w:eastAsia="仿宋" w:cs="仿宋"/>
                <w:bCs/>
                <w:sz w:val="24"/>
                <w:szCs w:val="24"/>
              </w:rPr>
              <w:t>投标人提供自201</w:t>
            </w:r>
            <w:r>
              <w:rPr>
                <w:rFonts w:hint="eastAsia" w:ascii="仿宋" w:hAnsi="仿宋" w:eastAsia="仿宋" w:cs="仿宋"/>
                <w:bCs/>
                <w:sz w:val="24"/>
                <w:szCs w:val="24"/>
                <w:lang w:val="en-US" w:eastAsia="zh-CN"/>
              </w:rPr>
              <w:t>5</w:t>
            </w:r>
            <w:r>
              <w:rPr>
                <w:rFonts w:hint="eastAsia" w:ascii="仿宋" w:hAnsi="仿宋" w:eastAsia="仿宋" w:cs="仿宋"/>
                <w:bCs/>
                <w:sz w:val="24"/>
                <w:szCs w:val="24"/>
              </w:rPr>
              <w:t>年1月份(以中标通知书时间为准)以来</w:t>
            </w:r>
            <w:r>
              <w:rPr>
                <w:rFonts w:hint="eastAsia" w:ascii="仿宋" w:hAnsi="仿宋" w:eastAsia="仿宋" w:cs="仿宋"/>
                <w:bCs/>
                <w:sz w:val="24"/>
                <w:szCs w:val="24"/>
                <w:lang w:val="en-US" w:eastAsia="zh-CN"/>
              </w:rPr>
              <w:t>水利工程设计</w:t>
            </w:r>
            <w:r>
              <w:rPr>
                <w:rFonts w:hint="eastAsia" w:ascii="仿宋" w:hAnsi="仿宋" w:eastAsia="仿宋" w:cs="仿宋"/>
                <w:bCs/>
                <w:sz w:val="24"/>
                <w:szCs w:val="24"/>
              </w:rPr>
              <w:t>项目的，每份合同得4分，最多得2</w:t>
            </w:r>
            <w:r>
              <w:rPr>
                <w:rFonts w:hint="eastAsia" w:ascii="仿宋" w:hAnsi="仿宋" w:eastAsia="仿宋" w:cs="仿宋"/>
                <w:bCs/>
                <w:sz w:val="24"/>
                <w:szCs w:val="24"/>
                <w:lang w:val="en-US" w:eastAsia="zh-CN"/>
              </w:rPr>
              <w:t>4</w:t>
            </w:r>
            <w:r>
              <w:rPr>
                <w:rFonts w:hint="eastAsia" w:ascii="仿宋" w:hAnsi="仿宋" w:eastAsia="仿宋" w:cs="仿宋"/>
                <w:bCs/>
                <w:sz w:val="24"/>
                <w:szCs w:val="24"/>
              </w:rPr>
              <w:t>分。</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类似项目指河道治理、景观提升、防洪影响评价</w:t>
            </w:r>
            <w:r>
              <w:rPr>
                <w:rFonts w:hint="eastAsia" w:ascii="仿宋" w:hAnsi="仿宋" w:eastAsia="仿宋" w:cs="仿宋"/>
                <w:bCs/>
                <w:sz w:val="24"/>
                <w:szCs w:val="24"/>
                <w:lang w:eastAsia="zh-CN"/>
              </w:rPr>
              <w:t>）</w:t>
            </w:r>
            <w:r>
              <w:rPr>
                <w:rFonts w:hint="eastAsia" w:ascii="仿宋" w:hAnsi="仿宋" w:eastAsia="仿宋" w:cs="仿宋"/>
                <w:bCs/>
                <w:sz w:val="24"/>
                <w:szCs w:val="24"/>
              </w:rPr>
              <w:t>（开标时提供合同原件和中标通知书原件，否则不得分）</w:t>
            </w:r>
          </w:p>
        </w:tc>
      </w:tr>
      <w:tr>
        <w:tblPrEx>
          <w:tblLayout w:type="fixed"/>
          <w:tblCellMar>
            <w:top w:w="0" w:type="dxa"/>
            <w:left w:w="0" w:type="dxa"/>
            <w:bottom w:w="0" w:type="dxa"/>
            <w:right w:w="0" w:type="dxa"/>
          </w:tblCellMar>
        </w:tblPrEx>
        <w:trPr>
          <w:trHeight w:val="1126" w:hRule="atLeast"/>
        </w:trPr>
        <w:tc>
          <w:tcPr>
            <w:tcW w:w="712"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4</w:t>
            </w: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投标文件的规范程度</w:t>
            </w:r>
          </w:p>
        </w:tc>
        <w:tc>
          <w:tcPr>
            <w:tcW w:w="72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4分</w:t>
            </w:r>
          </w:p>
        </w:tc>
        <w:tc>
          <w:tcPr>
            <w:tcW w:w="6577"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widowControl/>
              <w:numPr>
                <w:ilvl w:val="0"/>
                <w:numId w:val="8"/>
              </w:numPr>
              <w:jc w:val="left"/>
              <w:rPr>
                <w:rFonts w:hint="eastAsia" w:ascii="仿宋" w:hAnsi="仿宋" w:eastAsia="仿宋" w:cs="仿宋"/>
                <w:kern w:val="0"/>
                <w:sz w:val="24"/>
                <w:szCs w:val="24"/>
              </w:rPr>
            </w:pPr>
            <w:r>
              <w:rPr>
                <w:rFonts w:hint="eastAsia" w:ascii="仿宋" w:hAnsi="仿宋" w:eastAsia="仿宋" w:cs="仿宋"/>
                <w:kern w:val="0"/>
                <w:sz w:val="24"/>
                <w:szCs w:val="24"/>
              </w:rPr>
              <w:t>投标文件的编制符合招标文件的规定，根据装订整齐规范的情况1-2分。</w:t>
            </w:r>
          </w:p>
          <w:p>
            <w:pPr>
              <w:widowControl/>
              <w:numPr>
                <w:ilvl w:val="0"/>
                <w:numId w:val="8"/>
              </w:numPr>
              <w:jc w:val="left"/>
              <w:rPr>
                <w:rFonts w:hint="eastAsia" w:ascii="仿宋" w:hAnsi="仿宋" w:eastAsia="仿宋" w:cs="仿宋"/>
                <w:kern w:val="0"/>
                <w:sz w:val="24"/>
                <w:szCs w:val="24"/>
              </w:rPr>
            </w:pPr>
            <w:r>
              <w:rPr>
                <w:rFonts w:hint="eastAsia" w:ascii="仿宋" w:hAnsi="仿宋" w:eastAsia="仿宋" w:cs="仿宋"/>
                <w:kern w:val="0"/>
                <w:sz w:val="24"/>
                <w:szCs w:val="24"/>
              </w:rPr>
              <w:t>根据投标人编制投标文件及方案逻辑严紧、描述规范、无文字错误1-2分。</w:t>
            </w:r>
          </w:p>
        </w:tc>
      </w:tr>
      <w:tr>
        <w:tblPrEx>
          <w:tblLayout w:type="fixed"/>
          <w:tblCellMar>
            <w:top w:w="0" w:type="dxa"/>
            <w:left w:w="0" w:type="dxa"/>
            <w:bottom w:w="0" w:type="dxa"/>
            <w:right w:w="0" w:type="dxa"/>
          </w:tblCellMar>
        </w:tblPrEx>
        <w:trPr>
          <w:trHeight w:val="858" w:hRule="atLeast"/>
        </w:trPr>
        <w:tc>
          <w:tcPr>
            <w:tcW w:w="712" w:type="dxa"/>
            <w:tcBorders>
              <w:top w:val="single" w:color="auto" w:sz="4" w:space="0"/>
              <w:left w:val="double" w:color="auto" w:sz="4" w:space="0"/>
              <w:bottom w:val="single" w:color="auto" w:sz="8"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5</w:t>
            </w:r>
          </w:p>
        </w:tc>
        <w:tc>
          <w:tcPr>
            <w:tcW w:w="1262" w:type="dxa"/>
            <w:tcBorders>
              <w:top w:val="single" w:color="auto" w:sz="4" w:space="0"/>
              <w:left w:val="single" w:color="auto" w:sz="4" w:space="0"/>
              <w:bottom w:val="single" w:color="auto" w:sz="8" w:space="0"/>
              <w:right w:val="single" w:color="auto" w:sz="8" w:space="0"/>
            </w:tcBorders>
            <w:vAlign w:val="center"/>
          </w:tcPr>
          <w:p>
            <w:pPr>
              <w:jc w:val="center"/>
              <w:rPr>
                <w:rFonts w:hint="eastAsia" w:ascii="仿宋" w:hAnsi="仿宋" w:eastAsia="仿宋" w:cs="仿宋"/>
                <w:b/>
                <w:kern w:val="0"/>
                <w:sz w:val="24"/>
                <w:szCs w:val="24"/>
                <w:lang w:eastAsia="zh-CN"/>
              </w:rPr>
            </w:pPr>
            <w:r>
              <w:rPr>
                <w:rFonts w:hint="eastAsia" w:ascii="仿宋" w:hAnsi="仿宋" w:eastAsia="仿宋" w:cs="仿宋"/>
                <w:b/>
                <w:sz w:val="24"/>
                <w:szCs w:val="24"/>
                <w:lang w:eastAsia="zh-CN"/>
              </w:rPr>
              <w:t>获奖</w:t>
            </w:r>
          </w:p>
        </w:tc>
        <w:tc>
          <w:tcPr>
            <w:tcW w:w="72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分</w:t>
            </w:r>
          </w:p>
        </w:tc>
        <w:tc>
          <w:tcPr>
            <w:tcW w:w="6577"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lang w:eastAsia="zh-CN"/>
              </w:rPr>
            </w:pPr>
            <w:r>
              <w:rPr>
                <w:rFonts w:hint="eastAsia" w:ascii="仿宋" w:hAnsi="仿宋" w:eastAsia="仿宋" w:cs="仿宋"/>
                <w:bCs/>
                <w:sz w:val="24"/>
                <w:szCs w:val="24"/>
                <w:lang w:eastAsia="zh-CN"/>
              </w:rPr>
              <w:t>获得省级行业先进单位者，每有一个得</w:t>
            </w:r>
            <w:r>
              <w:rPr>
                <w:rFonts w:hint="eastAsia" w:ascii="仿宋" w:hAnsi="仿宋" w:eastAsia="仿宋" w:cs="仿宋"/>
                <w:bCs/>
                <w:sz w:val="24"/>
                <w:szCs w:val="24"/>
                <w:lang w:val="en-US" w:eastAsia="zh-CN"/>
              </w:rPr>
              <w:t>5分，</w:t>
            </w:r>
            <w:r>
              <w:rPr>
                <w:rFonts w:hint="eastAsia" w:ascii="仿宋" w:hAnsi="仿宋" w:eastAsia="仿宋" w:cs="仿宋"/>
                <w:bCs/>
                <w:sz w:val="24"/>
                <w:szCs w:val="24"/>
                <w:lang w:eastAsia="zh-CN"/>
              </w:rPr>
              <w:t>获得市级及以上行业先进单位者，每有一个得</w:t>
            </w:r>
            <w:r>
              <w:rPr>
                <w:rFonts w:hint="eastAsia" w:ascii="仿宋" w:hAnsi="仿宋" w:eastAsia="仿宋" w:cs="仿宋"/>
                <w:bCs/>
                <w:sz w:val="24"/>
                <w:szCs w:val="24"/>
                <w:lang w:val="en-US" w:eastAsia="zh-CN"/>
              </w:rPr>
              <w:t>3分，最高15分。</w:t>
            </w:r>
          </w:p>
        </w:tc>
      </w:tr>
      <w:tr>
        <w:tblPrEx>
          <w:tblLayout w:type="fixed"/>
          <w:tblCellMar>
            <w:top w:w="0" w:type="dxa"/>
            <w:left w:w="0" w:type="dxa"/>
            <w:bottom w:w="0" w:type="dxa"/>
            <w:right w:w="0" w:type="dxa"/>
          </w:tblCellMar>
        </w:tblPrEx>
        <w:trPr>
          <w:trHeight w:val="1655" w:hRule="atLeast"/>
        </w:trPr>
        <w:tc>
          <w:tcPr>
            <w:tcW w:w="712"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color w:val="4F81BD"/>
                <w:sz w:val="24"/>
                <w:szCs w:val="24"/>
                <w:lang w:val="en-US" w:eastAsia="zh-CN"/>
              </w:rPr>
            </w:pPr>
            <w:r>
              <w:rPr>
                <w:rFonts w:hint="eastAsia" w:ascii="仿宋" w:hAnsi="仿宋" w:eastAsia="仿宋" w:cs="仿宋"/>
                <w:color w:val="000000"/>
                <w:sz w:val="24"/>
                <w:szCs w:val="24"/>
                <w:lang w:val="en-US" w:eastAsia="zh-CN"/>
              </w:rPr>
              <w:t>6</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4F81BD"/>
                <w:sz w:val="24"/>
                <w:szCs w:val="24"/>
              </w:rPr>
            </w:pPr>
            <w:r>
              <w:rPr>
                <w:rFonts w:hint="eastAsia" w:ascii="仿宋" w:hAnsi="仿宋" w:eastAsia="仿宋" w:cs="仿宋"/>
                <w:b/>
                <w:sz w:val="24"/>
                <w:szCs w:val="24"/>
              </w:rPr>
              <w:t>售后服务方案及承诺</w:t>
            </w:r>
          </w:p>
        </w:tc>
        <w:tc>
          <w:tcPr>
            <w:tcW w:w="7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4F81BD"/>
                <w:sz w:val="24"/>
                <w:szCs w:val="24"/>
              </w:rPr>
            </w:pPr>
            <w:r>
              <w:rPr>
                <w:rFonts w:hint="eastAsia" w:ascii="仿宋" w:hAnsi="仿宋" w:eastAsia="仿宋" w:cs="仿宋"/>
                <w:kern w:val="0"/>
                <w:sz w:val="24"/>
                <w:szCs w:val="24"/>
                <w:lang w:val="en-US" w:eastAsia="zh-CN"/>
              </w:rPr>
              <w:t>24</w:t>
            </w:r>
            <w:r>
              <w:rPr>
                <w:rFonts w:hint="eastAsia" w:ascii="仿宋" w:hAnsi="仿宋" w:eastAsia="仿宋" w:cs="仿宋"/>
                <w:kern w:val="0"/>
                <w:sz w:val="24"/>
                <w:szCs w:val="24"/>
              </w:rPr>
              <w:t>分</w:t>
            </w:r>
          </w:p>
        </w:tc>
        <w:tc>
          <w:tcPr>
            <w:tcW w:w="6577" w:type="dxa"/>
            <w:tcBorders>
              <w:top w:val="single" w:color="auto" w:sz="4" w:space="0"/>
              <w:left w:val="single" w:color="auto" w:sz="4" w:space="0"/>
              <w:bottom w:val="single" w:color="auto" w:sz="4" w:space="0"/>
              <w:right w:val="double" w:color="auto" w:sz="4" w:space="0"/>
            </w:tcBorders>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1、投标人提供的售后服务及现场技术支持方案的可行性、完整性、及响应处理机制的合理性，优：</w:t>
            </w:r>
            <w:r>
              <w:rPr>
                <w:rFonts w:hint="eastAsia" w:ascii="仿宋" w:hAnsi="仿宋" w:eastAsia="仿宋" w:cs="仿宋"/>
                <w:bCs/>
                <w:sz w:val="24"/>
                <w:szCs w:val="24"/>
                <w:lang w:val="en-US" w:eastAsia="zh-CN"/>
              </w:rPr>
              <w:t>4-8</w:t>
            </w:r>
            <w:r>
              <w:rPr>
                <w:rFonts w:hint="eastAsia" w:ascii="仿宋" w:hAnsi="仿宋" w:eastAsia="仿宋" w:cs="仿宋"/>
                <w:bCs/>
                <w:sz w:val="24"/>
                <w:szCs w:val="24"/>
              </w:rPr>
              <w:t>分；良</w:t>
            </w:r>
            <w:r>
              <w:rPr>
                <w:rFonts w:hint="eastAsia" w:ascii="仿宋" w:hAnsi="仿宋" w:eastAsia="仿宋" w:cs="仿宋"/>
                <w:bCs/>
                <w:sz w:val="24"/>
                <w:szCs w:val="24"/>
                <w:lang w:val="en-US" w:eastAsia="zh-CN"/>
              </w:rPr>
              <w:t>1-4</w:t>
            </w:r>
            <w:r>
              <w:rPr>
                <w:rFonts w:hint="eastAsia" w:ascii="仿宋" w:hAnsi="仿宋" w:eastAsia="仿宋" w:cs="仿宋"/>
                <w:bCs/>
                <w:sz w:val="24"/>
                <w:szCs w:val="24"/>
              </w:rPr>
              <w:t>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2、投标人就如何做好后续服务保障工作提供一套服务方案。优：</w:t>
            </w:r>
            <w:r>
              <w:rPr>
                <w:rFonts w:hint="eastAsia" w:ascii="仿宋" w:hAnsi="仿宋" w:eastAsia="仿宋" w:cs="仿宋"/>
                <w:bCs/>
                <w:sz w:val="24"/>
                <w:szCs w:val="24"/>
                <w:lang w:val="en-US" w:eastAsia="zh-CN"/>
              </w:rPr>
              <w:t>4-8</w:t>
            </w:r>
            <w:r>
              <w:rPr>
                <w:rFonts w:hint="eastAsia" w:ascii="仿宋" w:hAnsi="仿宋" w:eastAsia="仿宋" w:cs="仿宋"/>
                <w:bCs/>
                <w:sz w:val="24"/>
                <w:szCs w:val="24"/>
              </w:rPr>
              <w:t>分；良</w:t>
            </w:r>
            <w:r>
              <w:rPr>
                <w:rFonts w:hint="eastAsia" w:ascii="仿宋" w:hAnsi="仿宋" w:eastAsia="仿宋" w:cs="仿宋"/>
                <w:bCs/>
                <w:sz w:val="24"/>
                <w:szCs w:val="24"/>
                <w:lang w:val="en-US" w:eastAsia="zh-CN"/>
              </w:rPr>
              <w:t>1-4</w:t>
            </w:r>
            <w:r>
              <w:rPr>
                <w:rFonts w:hint="eastAsia" w:ascii="仿宋" w:hAnsi="仿宋" w:eastAsia="仿宋" w:cs="仿宋"/>
                <w:bCs/>
                <w:sz w:val="24"/>
                <w:szCs w:val="24"/>
              </w:rPr>
              <w:t>分。</w:t>
            </w:r>
          </w:p>
          <w:p>
            <w:pPr>
              <w:widowControl/>
              <w:jc w:val="left"/>
              <w:rPr>
                <w:rFonts w:hint="eastAsia" w:ascii="仿宋" w:hAnsi="仿宋" w:eastAsia="仿宋" w:cs="仿宋"/>
                <w:color w:val="4F81BD"/>
                <w:sz w:val="24"/>
                <w:szCs w:val="24"/>
              </w:rPr>
            </w:pPr>
            <w:r>
              <w:rPr>
                <w:rFonts w:hint="eastAsia" w:ascii="仿宋" w:hAnsi="仿宋" w:eastAsia="仿宋" w:cs="仿宋"/>
                <w:bCs/>
                <w:sz w:val="24"/>
                <w:szCs w:val="24"/>
              </w:rPr>
              <w:t>3、投标人在项目实施完成后所承诺的责任、服务内容，优的得</w:t>
            </w:r>
            <w:r>
              <w:rPr>
                <w:rFonts w:hint="eastAsia" w:ascii="仿宋" w:hAnsi="仿宋" w:eastAsia="仿宋" w:cs="仿宋"/>
                <w:bCs/>
                <w:sz w:val="24"/>
                <w:szCs w:val="24"/>
                <w:lang w:val="en-US" w:eastAsia="zh-CN"/>
              </w:rPr>
              <w:t>8</w:t>
            </w:r>
            <w:r>
              <w:rPr>
                <w:rFonts w:hint="eastAsia" w:ascii="仿宋" w:hAnsi="仿宋" w:eastAsia="仿宋" w:cs="仿宋"/>
                <w:bCs/>
                <w:sz w:val="24"/>
                <w:szCs w:val="24"/>
              </w:rPr>
              <w:t>分，良好的得</w:t>
            </w:r>
            <w:r>
              <w:rPr>
                <w:rFonts w:hint="eastAsia" w:ascii="仿宋" w:hAnsi="仿宋" w:eastAsia="仿宋" w:cs="仿宋"/>
                <w:bCs/>
                <w:sz w:val="24"/>
                <w:szCs w:val="24"/>
                <w:lang w:val="en-US" w:eastAsia="zh-CN"/>
              </w:rPr>
              <w:t>4</w:t>
            </w:r>
            <w:r>
              <w:rPr>
                <w:rFonts w:hint="eastAsia" w:ascii="仿宋" w:hAnsi="仿宋" w:eastAsia="仿宋" w:cs="仿宋"/>
                <w:bCs/>
                <w:sz w:val="24"/>
                <w:szCs w:val="24"/>
              </w:rPr>
              <w:t>分，差的不得分。</w:t>
            </w:r>
          </w:p>
        </w:tc>
      </w:tr>
      <w:tr>
        <w:tblPrEx>
          <w:tblLayout w:type="fixed"/>
          <w:tblCellMar>
            <w:top w:w="0" w:type="dxa"/>
            <w:left w:w="0" w:type="dxa"/>
            <w:bottom w:w="0" w:type="dxa"/>
            <w:right w:w="0" w:type="dxa"/>
          </w:tblCellMar>
        </w:tblPrEx>
        <w:trPr>
          <w:trHeight w:val="1615" w:hRule="atLeast"/>
        </w:trPr>
        <w:tc>
          <w:tcPr>
            <w:tcW w:w="9280" w:type="dxa"/>
            <w:gridSpan w:val="4"/>
            <w:tcBorders>
              <w:top w:val="single" w:color="auto" w:sz="4" w:space="0"/>
              <w:left w:val="double" w:color="auto" w:sz="4" w:space="0"/>
              <w:bottom w:val="double" w:color="auto" w:sz="4" w:space="0"/>
              <w:right w:val="double" w:color="auto" w:sz="4" w:space="0"/>
            </w:tcBorders>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注：本评分办法中的各种有效证明材料，投标文件中必须提供复印件，且在评标时同时提供与复印件一致的原件，否则不得分。生产能力表述需提供相关证明材料。</w:t>
            </w:r>
          </w:p>
          <w:p>
            <w:pPr>
              <w:rPr>
                <w:rFonts w:hint="eastAsia" w:ascii="仿宋" w:hAnsi="仿宋" w:eastAsia="仿宋" w:cs="仿宋"/>
                <w:sz w:val="24"/>
                <w:szCs w:val="24"/>
              </w:rPr>
            </w:pPr>
            <w:r>
              <w:rPr>
                <w:rFonts w:hint="eastAsia" w:ascii="仿宋" w:hAnsi="仿宋" w:eastAsia="仿宋" w:cs="仿宋"/>
                <w:sz w:val="24"/>
                <w:szCs w:val="24"/>
              </w:rPr>
              <w:t xml:space="preserve">    全体评标委员会成员对投标人评分的算术平均值即为该投标人最终评标得分，评分和计算结果均保留小数点后2位（采用四舍五入法）。</w:t>
            </w:r>
          </w:p>
        </w:tc>
      </w:tr>
    </w:tbl>
    <w:p>
      <w:pPr>
        <w:rPr>
          <w:rFonts w:hint="eastAsia" w:ascii="仿宋" w:hAnsi="仿宋" w:eastAsia="仿宋" w:cs="仿宋"/>
          <w:sz w:val="24"/>
          <w:szCs w:val="24"/>
        </w:rPr>
      </w:pPr>
    </w:p>
    <w:p>
      <w:pPr>
        <w:spacing w:line="360" w:lineRule="auto"/>
        <w:ind w:firstLine="1446" w:firstLineChars="600"/>
        <w:rPr>
          <w:rFonts w:hint="eastAsia" w:ascii="仿宋" w:hAnsi="仿宋" w:eastAsia="仿宋" w:cs="仿宋"/>
          <w:b/>
          <w:sz w:val="24"/>
          <w:szCs w:val="24"/>
        </w:rPr>
      </w:pPr>
      <w:r>
        <w:rPr>
          <w:rFonts w:hint="eastAsia" w:ascii="仿宋" w:hAnsi="仿宋" w:eastAsia="仿宋" w:cs="仿宋"/>
          <w:b/>
          <w:bCs/>
          <w:sz w:val="24"/>
          <w:szCs w:val="24"/>
          <w:lang w:val="en-US" w:eastAsia="zh-CN"/>
        </w:rPr>
        <w:t>（B包）196处房屋建筑等厂院测绘</w:t>
      </w:r>
      <w:r>
        <w:rPr>
          <w:rFonts w:hint="eastAsia" w:ascii="仿宋" w:hAnsi="仿宋" w:eastAsia="仿宋" w:cs="仿宋"/>
          <w:b/>
          <w:bCs/>
          <w:sz w:val="24"/>
          <w:szCs w:val="24"/>
        </w:rPr>
        <w:t>评分标准</w:t>
      </w:r>
    </w:p>
    <w:tbl>
      <w:tblPr>
        <w:tblStyle w:val="36"/>
        <w:tblW w:w="9648" w:type="dxa"/>
        <w:jc w:val="center"/>
        <w:tblInd w:w="-15" w:type="dxa"/>
        <w:tblLayout w:type="fixed"/>
        <w:tblCellMar>
          <w:top w:w="0" w:type="dxa"/>
          <w:left w:w="0" w:type="dxa"/>
          <w:bottom w:w="0" w:type="dxa"/>
          <w:right w:w="0" w:type="dxa"/>
        </w:tblCellMar>
      </w:tblPr>
      <w:tblGrid>
        <w:gridCol w:w="720"/>
        <w:gridCol w:w="1331"/>
        <w:gridCol w:w="683"/>
        <w:gridCol w:w="6914"/>
      </w:tblGrid>
      <w:tr>
        <w:tblPrEx>
          <w:tblLayout w:type="fixed"/>
          <w:tblCellMar>
            <w:top w:w="0" w:type="dxa"/>
            <w:left w:w="0" w:type="dxa"/>
            <w:bottom w:w="0" w:type="dxa"/>
            <w:right w:w="0" w:type="dxa"/>
          </w:tblCellMar>
        </w:tblPrEx>
        <w:trPr>
          <w:trHeight w:val="397" w:hRule="atLeast"/>
          <w:jc w:val="center"/>
        </w:trPr>
        <w:tc>
          <w:tcPr>
            <w:tcW w:w="720" w:type="dxa"/>
            <w:tcBorders>
              <w:top w:val="double" w:color="auto" w:sz="4" w:space="0"/>
              <w:left w:val="double" w:color="auto" w:sz="4" w:space="0"/>
              <w:bottom w:val="single" w:color="auto" w:sz="8"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331" w:type="dxa"/>
            <w:tcBorders>
              <w:top w:val="double" w:color="auto" w:sz="4" w:space="0"/>
              <w:left w:val="single" w:color="auto" w:sz="4" w:space="0"/>
              <w:bottom w:val="single" w:color="auto" w:sz="8" w:space="0"/>
              <w:right w:val="single" w:color="auto" w:sz="8"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评审项目</w:t>
            </w:r>
          </w:p>
        </w:tc>
        <w:tc>
          <w:tcPr>
            <w:tcW w:w="683"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bCs/>
                <w:kern w:val="0"/>
                <w:sz w:val="24"/>
                <w:szCs w:val="24"/>
              </w:rPr>
              <w:t>分值</w:t>
            </w:r>
          </w:p>
        </w:tc>
        <w:tc>
          <w:tcPr>
            <w:tcW w:w="6914"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评分细则</w:t>
            </w:r>
          </w:p>
        </w:tc>
      </w:tr>
      <w:tr>
        <w:tblPrEx>
          <w:tblLayout w:type="fixed"/>
          <w:tblCellMar>
            <w:top w:w="0" w:type="dxa"/>
            <w:left w:w="0" w:type="dxa"/>
            <w:bottom w:w="0" w:type="dxa"/>
            <w:right w:w="0" w:type="dxa"/>
          </w:tblCellMar>
        </w:tblPrEx>
        <w:trPr>
          <w:trHeight w:val="1148" w:hRule="atLeast"/>
          <w:jc w:val="center"/>
        </w:trPr>
        <w:tc>
          <w:tcPr>
            <w:tcW w:w="720" w:type="dxa"/>
            <w:tcBorders>
              <w:top w:val="nil"/>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1</w:t>
            </w:r>
          </w:p>
        </w:tc>
        <w:tc>
          <w:tcPr>
            <w:tcW w:w="1331" w:type="dxa"/>
            <w:tcBorders>
              <w:top w:val="nil"/>
              <w:left w:val="single" w:color="auto" w:sz="4" w:space="0"/>
              <w:bottom w:val="single" w:color="auto" w:sz="4" w:space="0"/>
              <w:right w:val="single" w:color="auto" w:sz="8" w:space="0"/>
            </w:tcBorders>
            <w:vAlign w:val="center"/>
          </w:tcPr>
          <w:p>
            <w:pPr>
              <w:jc w:val="center"/>
              <w:rPr>
                <w:rFonts w:hint="eastAsia" w:ascii="仿宋" w:hAnsi="仿宋" w:eastAsia="仿宋" w:cs="仿宋"/>
                <w:kern w:val="0"/>
                <w:sz w:val="24"/>
                <w:szCs w:val="24"/>
              </w:rPr>
            </w:pPr>
            <w:r>
              <w:rPr>
                <w:rFonts w:hint="eastAsia" w:ascii="仿宋" w:hAnsi="仿宋" w:eastAsia="仿宋" w:cs="仿宋"/>
                <w:b/>
                <w:sz w:val="24"/>
                <w:szCs w:val="24"/>
              </w:rPr>
              <w:t>投标报价</w:t>
            </w:r>
          </w:p>
        </w:tc>
        <w:tc>
          <w:tcPr>
            <w:tcW w:w="68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tc>
        <w:tc>
          <w:tcPr>
            <w:tcW w:w="6914" w:type="dxa"/>
            <w:tcBorders>
              <w:top w:val="nil"/>
              <w:left w:val="nil"/>
              <w:bottom w:val="single" w:color="auto" w:sz="4" w:space="0"/>
              <w:right w:val="double" w:color="auto" w:sz="4" w:space="0"/>
            </w:tcBorders>
            <w:tcMar>
              <w:top w:w="0" w:type="dxa"/>
              <w:left w:w="108" w:type="dxa"/>
              <w:bottom w:w="0" w:type="dxa"/>
              <w:right w:w="108" w:type="dxa"/>
            </w:tcMar>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综合评分法中的价格分统一采用低价优先法计算，即满足招标文件要求且报价最低的为评标基准价，其价格分为满分</w:t>
            </w:r>
            <w:r>
              <w:rPr>
                <w:rFonts w:hint="eastAsia" w:ascii="仿宋" w:hAnsi="仿宋" w:eastAsia="仿宋" w:cs="仿宋"/>
                <w:kern w:val="0"/>
                <w:sz w:val="24"/>
                <w:szCs w:val="24"/>
                <w:lang w:val="en-US" w:eastAsia="zh-CN"/>
              </w:rPr>
              <w:t>25</w:t>
            </w:r>
            <w:r>
              <w:rPr>
                <w:rFonts w:hint="eastAsia" w:ascii="仿宋" w:hAnsi="仿宋" w:eastAsia="仿宋" w:cs="仿宋"/>
                <w:kern w:val="0"/>
                <w:sz w:val="24"/>
                <w:szCs w:val="24"/>
              </w:rPr>
              <w:t>分。其他投标人的价格分统一按照下列公式计算：</w:t>
            </w:r>
          </w:p>
          <w:p>
            <w:pPr>
              <w:widowControl/>
              <w:rPr>
                <w:rFonts w:hint="eastAsia" w:ascii="仿宋" w:hAnsi="仿宋" w:eastAsia="仿宋" w:cs="仿宋"/>
                <w:kern w:val="0"/>
                <w:sz w:val="24"/>
                <w:szCs w:val="24"/>
              </w:rPr>
            </w:pPr>
            <w:r>
              <w:rPr>
                <w:rFonts w:hint="eastAsia" w:ascii="仿宋" w:hAnsi="仿宋" w:eastAsia="仿宋" w:cs="仿宋"/>
                <w:kern w:val="0"/>
                <w:sz w:val="24"/>
                <w:szCs w:val="24"/>
              </w:rPr>
              <w:t>投标报价得分=(评标基准价／投标报价)×2</w:t>
            </w:r>
            <w:r>
              <w:rPr>
                <w:rFonts w:hint="eastAsia" w:ascii="仿宋" w:hAnsi="仿宋" w:eastAsia="仿宋" w:cs="仿宋"/>
                <w:kern w:val="0"/>
                <w:sz w:val="24"/>
                <w:szCs w:val="24"/>
                <w:lang w:val="en-US" w:eastAsia="zh-CN"/>
              </w:rPr>
              <w:t>5</w:t>
            </w:r>
          </w:p>
        </w:tc>
      </w:tr>
      <w:tr>
        <w:tblPrEx>
          <w:tblLayout w:type="fixed"/>
          <w:tblCellMar>
            <w:top w:w="0" w:type="dxa"/>
            <w:left w:w="0" w:type="dxa"/>
            <w:bottom w:w="0" w:type="dxa"/>
            <w:right w:w="0" w:type="dxa"/>
          </w:tblCellMar>
        </w:tblPrEx>
        <w:trPr>
          <w:trHeight w:val="629"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2</w:t>
            </w:r>
          </w:p>
        </w:tc>
        <w:tc>
          <w:tcPr>
            <w:tcW w:w="1331"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信誉及认证</w:t>
            </w:r>
          </w:p>
        </w:tc>
        <w:tc>
          <w:tcPr>
            <w:tcW w:w="68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6914"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①</w:t>
            </w:r>
            <w:r>
              <w:rPr>
                <w:rFonts w:hint="eastAsia" w:ascii="仿宋" w:hAnsi="仿宋" w:eastAsia="仿宋" w:cs="仿宋"/>
                <w:sz w:val="24"/>
                <w:szCs w:val="24"/>
              </w:rPr>
              <w:t>投标人须提供工商企业信用报告（国家企业信用信息公示系统http//www.gsxt.gov.cn)，包含：基础信息、行政许可信息、行政处罚信息、列入经营异常名录信息、列入严重违法失信企业名单（黑名单）信息，无不良记录者得1分，企业所在地税务主管部门出具的纳税情况证明等信用情况，无不良记录者得1分，共2分，未提供者不得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②投标人具有质量管理体系认证证书，其认证系体必须符合ISO9001：2015标准，认证范围必须包含测绘航空摄影，两者都符合的得4分，否则不得分。（</w:t>
            </w:r>
            <w:r>
              <w:rPr>
                <w:rFonts w:hint="eastAsia" w:ascii="仿宋" w:hAnsi="仿宋" w:eastAsia="仿宋" w:cs="仿宋"/>
                <w:sz w:val="24"/>
                <w:szCs w:val="24"/>
              </w:rPr>
              <w:t>提供证书原件）</w:t>
            </w:r>
          </w:p>
          <w:p>
            <w:pPr>
              <w:widowControl/>
              <w:jc w:val="left"/>
              <w:rPr>
                <w:rFonts w:hint="eastAsia" w:ascii="仿宋" w:hAnsi="仿宋" w:eastAsia="仿宋" w:cs="仿宋"/>
                <w:sz w:val="24"/>
                <w:szCs w:val="24"/>
              </w:rPr>
            </w:pPr>
            <w:r>
              <w:rPr>
                <w:rFonts w:hint="eastAsia" w:ascii="仿宋" w:hAnsi="仿宋" w:eastAsia="仿宋" w:cs="仿宋"/>
                <w:bCs/>
                <w:sz w:val="24"/>
                <w:szCs w:val="24"/>
              </w:rPr>
              <w:t>③投标人具有3A信用等级证书的得2分，否则不得分。（</w:t>
            </w:r>
            <w:r>
              <w:rPr>
                <w:rFonts w:hint="eastAsia" w:ascii="仿宋" w:hAnsi="仿宋" w:eastAsia="仿宋" w:cs="仿宋"/>
                <w:sz w:val="24"/>
                <w:szCs w:val="24"/>
              </w:rPr>
              <w:t>提供证书原件）</w:t>
            </w:r>
          </w:p>
        </w:tc>
      </w:tr>
      <w:tr>
        <w:tblPrEx>
          <w:tblLayout w:type="fixed"/>
          <w:tblCellMar>
            <w:top w:w="0" w:type="dxa"/>
            <w:left w:w="0" w:type="dxa"/>
            <w:bottom w:w="0" w:type="dxa"/>
            <w:right w:w="0" w:type="dxa"/>
          </w:tblCellMar>
        </w:tblPrEx>
        <w:trPr>
          <w:trHeight w:val="629"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3</w:t>
            </w:r>
          </w:p>
        </w:tc>
        <w:tc>
          <w:tcPr>
            <w:tcW w:w="1331"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业绩</w:t>
            </w:r>
          </w:p>
        </w:tc>
        <w:tc>
          <w:tcPr>
            <w:tcW w:w="68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20分</w:t>
            </w:r>
          </w:p>
        </w:tc>
        <w:tc>
          <w:tcPr>
            <w:tcW w:w="6914"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投标人提供自2015年1月份(以中标通知书时间为准)以来承担测绘航空摄影（合同工作内容必须体现出倾斜摄影三维建模）项目的，每份合同得4分，最多得20分。</w:t>
            </w:r>
          </w:p>
          <w:p>
            <w:pPr>
              <w:widowControl/>
              <w:jc w:val="left"/>
              <w:rPr>
                <w:rFonts w:hint="eastAsia" w:ascii="仿宋" w:hAnsi="仿宋" w:eastAsia="仿宋" w:cs="仿宋"/>
                <w:sz w:val="24"/>
                <w:szCs w:val="24"/>
              </w:rPr>
            </w:pPr>
            <w:r>
              <w:rPr>
                <w:rFonts w:hint="eastAsia" w:ascii="仿宋" w:hAnsi="仿宋" w:eastAsia="仿宋" w:cs="仿宋"/>
                <w:bCs/>
                <w:sz w:val="24"/>
                <w:szCs w:val="24"/>
              </w:rPr>
              <w:t>（开标时提供合同原件和中标通知书原件，否则不得分）</w:t>
            </w:r>
          </w:p>
        </w:tc>
      </w:tr>
      <w:tr>
        <w:tblPrEx>
          <w:tblLayout w:type="fixed"/>
          <w:tblCellMar>
            <w:top w:w="0" w:type="dxa"/>
            <w:left w:w="0" w:type="dxa"/>
            <w:bottom w:w="0" w:type="dxa"/>
            <w:right w:w="0" w:type="dxa"/>
          </w:tblCellMar>
        </w:tblPrEx>
        <w:trPr>
          <w:trHeight w:val="1058" w:hRule="atLeast"/>
          <w:jc w:val="center"/>
        </w:trPr>
        <w:tc>
          <w:tcPr>
            <w:tcW w:w="720" w:type="dxa"/>
            <w:tcBorders>
              <w:top w:val="single" w:color="auto" w:sz="4" w:space="0"/>
              <w:left w:val="double" w:color="auto" w:sz="4" w:space="0"/>
              <w:bottom w:val="single" w:color="auto" w:sz="4"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4</w:t>
            </w:r>
          </w:p>
        </w:tc>
        <w:tc>
          <w:tcPr>
            <w:tcW w:w="1331" w:type="dxa"/>
            <w:tcBorders>
              <w:top w:val="single" w:color="auto" w:sz="4" w:space="0"/>
              <w:left w:val="single" w:color="auto" w:sz="4" w:space="0"/>
              <w:bottom w:val="single" w:color="auto" w:sz="4" w:space="0"/>
              <w:right w:val="single" w:color="auto" w:sz="8"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kern w:val="0"/>
                <w:sz w:val="24"/>
                <w:szCs w:val="24"/>
              </w:rPr>
              <w:t>投标文件的规范程度</w:t>
            </w:r>
          </w:p>
        </w:tc>
        <w:tc>
          <w:tcPr>
            <w:tcW w:w="683"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jc w:val="center"/>
              <w:rPr>
                <w:rFonts w:hint="eastAsia" w:ascii="仿宋" w:hAnsi="仿宋" w:eastAsia="仿宋" w:cs="仿宋"/>
                <w:kern w:val="0"/>
                <w:sz w:val="24"/>
                <w:szCs w:val="24"/>
              </w:rPr>
            </w:pPr>
            <w:r>
              <w:rPr>
                <w:rFonts w:hint="eastAsia" w:ascii="仿宋" w:hAnsi="仿宋" w:eastAsia="仿宋" w:cs="仿宋"/>
                <w:kern w:val="0"/>
                <w:sz w:val="24"/>
                <w:szCs w:val="24"/>
              </w:rPr>
              <w:t>4分</w:t>
            </w:r>
          </w:p>
        </w:tc>
        <w:tc>
          <w:tcPr>
            <w:tcW w:w="6914"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widowControl/>
              <w:numPr>
                <w:ilvl w:val="0"/>
                <w:numId w:val="8"/>
              </w:numPr>
              <w:jc w:val="left"/>
              <w:rPr>
                <w:rFonts w:hint="eastAsia" w:ascii="仿宋" w:hAnsi="仿宋" w:eastAsia="仿宋" w:cs="仿宋"/>
                <w:kern w:val="0"/>
                <w:sz w:val="24"/>
                <w:szCs w:val="24"/>
              </w:rPr>
            </w:pPr>
            <w:r>
              <w:rPr>
                <w:rFonts w:hint="eastAsia" w:ascii="仿宋" w:hAnsi="仿宋" w:eastAsia="仿宋" w:cs="仿宋"/>
                <w:kern w:val="0"/>
                <w:sz w:val="24"/>
                <w:szCs w:val="24"/>
              </w:rPr>
              <w:t>投标文件的编制符合招标文件的规定，根据装订整齐规范的情况1-2分。</w:t>
            </w:r>
          </w:p>
          <w:p>
            <w:pPr>
              <w:widowControl/>
              <w:numPr>
                <w:ilvl w:val="0"/>
                <w:numId w:val="8"/>
              </w:numPr>
              <w:jc w:val="left"/>
              <w:rPr>
                <w:rFonts w:hint="eastAsia" w:ascii="仿宋" w:hAnsi="仿宋" w:eastAsia="仿宋" w:cs="仿宋"/>
                <w:kern w:val="0"/>
                <w:sz w:val="24"/>
                <w:szCs w:val="24"/>
              </w:rPr>
            </w:pPr>
            <w:r>
              <w:rPr>
                <w:rFonts w:hint="eastAsia" w:ascii="仿宋" w:hAnsi="仿宋" w:eastAsia="仿宋" w:cs="仿宋"/>
                <w:kern w:val="0"/>
                <w:sz w:val="24"/>
                <w:szCs w:val="24"/>
              </w:rPr>
              <w:t>根据投标人编制投标文件及方案逻辑严紧、描述规范、无文字错误1-2分。</w:t>
            </w:r>
          </w:p>
        </w:tc>
      </w:tr>
      <w:tr>
        <w:tblPrEx>
          <w:tblLayout w:type="fixed"/>
          <w:tblCellMar>
            <w:top w:w="0" w:type="dxa"/>
            <w:left w:w="0" w:type="dxa"/>
            <w:bottom w:w="0" w:type="dxa"/>
            <w:right w:w="0" w:type="dxa"/>
          </w:tblCellMar>
        </w:tblPrEx>
        <w:trPr>
          <w:trHeight w:val="970"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5</w:t>
            </w:r>
          </w:p>
        </w:tc>
        <w:tc>
          <w:tcPr>
            <w:tcW w:w="1331" w:type="dxa"/>
            <w:tcBorders>
              <w:top w:val="single" w:color="auto" w:sz="4" w:space="0"/>
              <w:left w:val="single" w:color="auto" w:sz="4" w:space="0"/>
              <w:bottom w:val="single" w:color="auto" w:sz="8" w:space="0"/>
              <w:right w:val="single" w:color="auto" w:sz="8" w:space="0"/>
            </w:tcBorders>
            <w:vAlign w:val="center"/>
          </w:tcPr>
          <w:p>
            <w:pPr>
              <w:jc w:val="center"/>
              <w:rPr>
                <w:rFonts w:hint="eastAsia" w:ascii="仿宋" w:hAnsi="仿宋" w:eastAsia="仿宋" w:cs="仿宋"/>
                <w:b/>
                <w:kern w:val="0"/>
                <w:sz w:val="24"/>
                <w:szCs w:val="24"/>
              </w:rPr>
            </w:pPr>
            <w:r>
              <w:rPr>
                <w:rFonts w:hint="eastAsia" w:ascii="仿宋" w:hAnsi="仿宋" w:eastAsia="仿宋" w:cs="仿宋"/>
                <w:b/>
                <w:sz w:val="24"/>
                <w:szCs w:val="24"/>
              </w:rPr>
              <w:t>对招标文件的响应程度</w:t>
            </w:r>
          </w:p>
        </w:tc>
        <w:tc>
          <w:tcPr>
            <w:tcW w:w="68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19</w:t>
            </w:r>
            <w:r>
              <w:rPr>
                <w:rFonts w:hint="eastAsia" w:ascii="仿宋" w:hAnsi="仿宋" w:eastAsia="仿宋" w:cs="仿宋"/>
                <w:kern w:val="0"/>
                <w:sz w:val="24"/>
                <w:szCs w:val="24"/>
              </w:rPr>
              <w:t>分</w:t>
            </w:r>
          </w:p>
        </w:tc>
        <w:tc>
          <w:tcPr>
            <w:tcW w:w="6914"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1、技术方案完全响应招标文件要求，对照用户需求中的技术要求点对点应答是否详尽、明晰。优：4-</w:t>
            </w:r>
            <w:r>
              <w:rPr>
                <w:rFonts w:hint="eastAsia" w:ascii="仿宋" w:hAnsi="仿宋" w:eastAsia="仿宋" w:cs="仿宋"/>
                <w:bCs/>
                <w:sz w:val="24"/>
                <w:szCs w:val="24"/>
                <w:lang w:val="en-US" w:eastAsia="zh-CN"/>
              </w:rPr>
              <w:t>6</w:t>
            </w:r>
            <w:r>
              <w:rPr>
                <w:rFonts w:hint="eastAsia" w:ascii="仿宋" w:hAnsi="仿宋" w:eastAsia="仿宋" w:cs="仿宋"/>
                <w:bCs/>
                <w:sz w:val="24"/>
                <w:szCs w:val="24"/>
              </w:rPr>
              <w:t>分；良1-3分。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2、对本次项目建设的任务、目标理解准确、全面，能够清晰说明本次项目内容。优：4-</w:t>
            </w:r>
            <w:r>
              <w:rPr>
                <w:rFonts w:hint="eastAsia" w:ascii="仿宋" w:hAnsi="仿宋" w:eastAsia="仿宋" w:cs="仿宋"/>
                <w:bCs/>
                <w:sz w:val="24"/>
                <w:szCs w:val="24"/>
                <w:lang w:val="en-US" w:eastAsia="zh-CN"/>
              </w:rPr>
              <w:t>6</w:t>
            </w:r>
            <w:r>
              <w:rPr>
                <w:rFonts w:hint="eastAsia" w:ascii="仿宋" w:hAnsi="仿宋" w:eastAsia="仿宋" w:cs="仿宋"/>
                <w:bCs/>
                <w:sz w:val="24"/>
                <w:szCs w:val="24"/>
              </w:rPr>
              <w:t>分；良1-3分。。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3、能够详细阐述项目技术路线及采用的关键技术。优：4-</w:t>
            </w:r>
            <w:r>
              <w:rPr>
                <w:rFonts w:hint="eastAsia" w:ascii="仿宋" w:hAnsi="仿宋" w:eastAsia="仿宋" w:cs="仿宋"/>
                <w:bCs/>
                <w:sz w:val="24"/>
                <w:szCs w:val="24"/>
                <w:lang w:val="en-US" w:eastAsia="zh-CN"/>
              </w:rPr>
              <w:t>6</w:t>
            </w:r>
            <w:r>
              <w:rPr>
                <w:rFonts w:hint="eastAsia" w:ascii="仿宋" w:hAnsi="仿宋" w:eastAsia="仿宋" w:cs="仿宋"/>
                <w:bCs/>
                <w:sz w:val="24"/>
                <w:szCs w:val="24"/>
              </w:rPr>
              <w:t>分；良1-3分。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4、能够对项目实施提出合理化建议及后续系统对接工作积极响应的，得</w:t>
            </w:r>
            <w:r>
              <w:rPr>
                <w:rFonts w:hint="eastAsia" w:ascii="仿宋" w:hAnsi="仿宋" w:eastAsia="仿宋" w:cs="仿宋"/>
                <w:bCs/>
                <w:sz w:val="24"/>
                <w:szCs w:val="24"/>
                <w:lang w:val="en-US" w:eastAsia="zh-CN"/>
              </w:rPr>
              <w:t>1</w:t>
            </w:r>
            <w:r>
              <w:rPr>
                <w:rFonts w:hint="eastAsia" w:ascii="仿宋" w:hAnsi="仿宋" w:eastAsia="仿宋" w:cs="仿宋"/>
                <w:bCs/>
                <w:sz w:val="24"/>
                <w:szCs w:val="24"/>
              </w:rPr>
              <w:t>分，否则不得分。</w:t>
            </w:r>
          </w:p>
        </w:tc>
      </w:tr>
      <w:tr>
        <w:tblPrEx>
          <w:tblLayout w:type="fixed"/>
          <w:tblCellMar>
            <w:top w:w="0" w:type="dxa"/>
            <w:left w:w="0" w:type="dxa"/>
            <w:bottom w:w="0" w:type="dxa"/>
            <w:right w:w="0" w:type="dxa"/>
          </w:tblCellMar>
        </w:tblPrEx>
        <w:trPr>
          <w:trHeight w:val="284" w:hRule="atLeast"/>
          <w:jc w:val="center"/>
        </w:trPr>
        <w:tc>
          <w:tcPr>
            <w:tcW w:w="720" w:type="dxa"/>
            <w:tcBorders>
              <w:top w:val="single" w:color="auto" w:sz="4" w:space="0"/>
              <w:left w:val="double" w:color="auto" w:sz="4" w:space="0"/>
              <w:bottom w:val="single" w:color="auto" w:sz="8" w:space="0"/>
              <w:right w:val="single" w:color="auto" w:sz="4" w:space="0"/>
            </w:tcBorders>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6</w:t>
            </w:r>
          </w:p>
        </w:tc>
        <w:tc>
          <w:tcPr>
            <w:tcW w:w="1331" w:type="dxa"/>
            <w:tcBorders>
              <w:top w:val="single" w:color="auto" w:sz="4" w:space="0"/>
              <w:left w:val="single" w:color="auto" w:sz="4" w:space="0"/>
              <w:bottom w:val="single" w:color="auto" w:sz="8" w:space="0"/>
              <w:right w:val="single" w:color="auto" w:sz="8" w:space="0"/>
            </w:tcBorders>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售后服务方案及承诺</w:t>
            </w:r>
          </w:p>
        </w:tc>
        <w:tc>
          <w:tcPr>
            <w:tcW w:w="683"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24分</w:t>
            </w:r>
          </w:p>
        </w:tc>
        <w:tc>
          <w:tcPr>
            <w:tcW w:w="6914"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jc w:val="left"/>
              <w:rPr>
                <w:rFonts w:hint="eastAsia" w:ascii="仿宋" w:hAnsi="仿宋" w:eastAsia="仿宋" w:cs="仿宋"/>
                <w:bCs/>
                <w:sz w:val="24"/>
                <w:szCs w:val="24"/>
              </w:rPr>
            </w:pPr>
            <w:r>
              <w:rPr>
                <w:rFonts w:hint="eastAsia" w:ascii="仿宋" w:hAnsi="仿宋" w:eastAsia="仿宋" w:cs="仿宋"/>
                <w:bCs/>
                <w:sz w:val="24"/>
                <w:szCs w:val="24"/>
              </w:rPr>
              <w:t>1、投标人提供的售后服务及现场技术支持方案的可行性、完整性、及响应处理机制的合理性，优：5-8分；良1-4分。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2、投标人就如何做好后续服务保障工作提供一套服务方案。优：5-8分；良1-4分。</w:t>
            </w:r>
          </w:p>
          <w:p>
            <w:pPr>
              <w:widowControl/>
              <w:jc w:val="left"/>
              <w:rPr>
                <w:rFonts w:hint="eastAsia" w:ascii="仿宋" w:hAnsi="仿宋" w:eastAsia="仿宋" w:cs="仿宋"/>
                <w:bCs/>
                <w:sz w:val="24"/>
                <w:szCs w:val="24"/>
              </w:rPr>
            </w:pPr>
            <w:r>
              <w:rPr>
                <w:rFonts w:hint="eastAsia" w:ascii="仿宋" w:hAnsi="仿宋" w:eastAsia="仿宋" w:cs="仿宋"/>
                <w:bCs/>
                <w:sz w:val="24"/>
                <w:szCs w:val="24"/>
              </w:rPr>
              <w:t>3、投标人在项目实施完成后所承诺的责任、服务内容，优的得8分，良好的得4分，差的不得分。</w:t>
            </w:r>
          </w:p>
        </w:tc>
      </w:tr>
      <w:tr>
        <w:tblPrEx>
          <w:tblLayout w:type="fixed"/>
          <w:tblCellMar>
            <w:top w:w="0" w:type="dxa"/>
            <w:left w:w="0" w:type="dxa"/>
            <w:bottom w:w="0" w:type="dxa"/>
            <w:right w:w="0" w:type="dxa"/>
          </w:tblCellMar>
        </w:tblPrEx>
        <w:trPr>
          <w:trHeight w:val="270" w:hRule="atLeast"/>
          <w:jc w:val="center"/>
        </w:trPr>
        <w:tc>
          <w:tcPr>
            <w:tcW w:w="9648" w:type="dxa"/>
            <w:gridSpan w:val="4"/>
            <w:tcBorders>
              <w:top w:val="single" w:color="auto" w:sz="4" w:space="0"/>
              <w:left w:val="double" w:color="auto" w:sz="4" w:space="0"/>
              <w:bottom w:val="double" w:color="auto" w:sz="4" w:space="0"/>
              <w:right w:val="double" w:color="auto" w:sz="4" w:space="0"/>
            </w:tcBorders>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注：本评分办法中的各种有效证明材料，投标文件中必须提供复印件，且在评标时同时提供与复印件一致的原件，否则不得分。生产能力表述需提供相关证明材料。</w:t>
            </w:r>
          </w:p>
          <w:p>
            <w:pPr>
              <w:rPr>
                <w:rFonts w:hint="eastAsia" w:ascii="仿宋" w:hAnsi="仿宋" w:eastAsia="仿宋" w:cs="仿宋"/>
                <w:color w:val="4F81BD"/>
                <w:sz w:val="24"/>
                <w:szCs w:val="24"/>
              </w:rPr>
            </w:pPr>
            <w:r>
              <w:rPr>
                <w:rFonts w:hint="eastAsia" w:ascii="仿宋" w:hAnsi="仿宋" w:eastAsia="仿宋" w:cs="仿宋"/>
                <w:sz w:val="24"/>
                <w:szCs w:val="24"/>
              </w:rPr>
              <w:t xml:space="preserve">    全体评标委员会成员对投标人评分的算术平均值即为该投标人最终评标得分，评分和计算结果均保留小数点后2位（采用四舍五入法）。</w:t>
            </w:r>
          </w:p>
        </w:tc>
      </w:tr>
    </w:tbl>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1" w:name="_Toc606"/>
          </w:p>
        </w:tc>
      </w:tr>
      <w:bookmarkEnd w:id="1"/>
    </w:tbl>
    <w:p>
      <w:pPr>
        <w:spacing w:line="500" w:lineRule="exact"/>
        <w:ind w:firstLine="723" w:firstLineChars="300"/>
        <w:rPr>
          <w:rFonts w:hint="eastAsia" w:ascii="仿宋" w:hAnsi="仿宋" w:eastAsia="仿宋" w:cs="仿宋"/>
          <w:b/>
          <w:bCs/>
          <w:sz w:val="24"/>
          <w:szCs w:val="24"/>
        </w:rPr>
      </w:pPr>
    </w:p>
    <w:tbl>
      <w:tblPr>
        <w:tblStyle w:val="36"/>
        <w:tblW w:w="9680" w:type="dxa"/>
        <w:jc w:val="center"/>
        <w:tblInd w:w="-15" w:type="dxa"/>
        <w:tblLayout w:type="fixed"/>
        <w:tblCellMar>
          <w:top w:w="0" w:type="dxa"/>
          <w:left w:w="0" w:type="dxa"/>
          <w:bottom w:w="0" w:type="dxa"/>
          <w:right w:w="0" w:type="dxa"/>
        </w:tblCellMar>
      </w:tblPr>
      <w:tblGrid>
        <w:gridCol w:w="722"/>
        <w:gridCol w:w="1336"/>
        <w:gridCol w:w="857"/>
        <w:gridCol w:w="6765"/>
      </w:tblGrid>
      <w:tr>
        <w:tblPrEx>
          <w:tblLayout w:type="fixed"/>
          <w:tblCellMar>
            <w:top w:w="0" w:type="dxa"/>
            <w:left w:w="0" w:type="dxa"/>
            <w:bottom w:w="0" w:type="dxa"/>
            <w:right w:w="0" w:type="dxa"/>
          </w:tblCellMar>
        </w:tblPrEx>
        <w:trPr>
          <w:trHeight w:val="618" w:hRule="atLeast"/>
          <w:jc w:val="center"/>
        </w:trPr>
        <w:tc>
          <w:tcPr>
            <w:tcW w:w="722" w:type="dxa"/>
            <w:tcBorders>
              <w:top w:val="double" w:color="auto" w:sz="4" w:space="0"/>
              <w:left w:val="double" w:color="auto" w:sz="4" w:space="0"/>
              <w:bottom w:val="single" w:color="auto" w:sz="8" w:space="0"/>
              <w:right w:val="single" w:color="auto" w:sz="4" w:space="0"/>
            </w:tcBorders>
            <w:vAlign w:val="center"/>
          </w:tcPr>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336" w:type="dxa"/>
            <w:tcBorders>
              <w:top w:val="double" w:color="auto" w:sz="4" w:space="0"/>
              <w:left w:val="single" w:color="auto" w:sz="4" w:space="0"/>
              <w:bottom w:val="single" w:color="auto" w:sz="8" w:space="0"/>
              <w:right w:val="single" w:color="auto" w:sz="8" w:space="0"/>
            </w:tcBorders>
            <w:vAlign w:val="center"/>
          </w:tcPr>
          <w:p>
            <w:pPr>
              <w:widowControl/>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评审项目</w:t>
            </w:r>
          </w:p>
        </w:tc>
        <w:tc>
          <w:tcPr>
            <w:tcW w:w="857"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rPr>
                <w:rFonts w:hint="eastAsia" w:ascii="仿宋" w:hAnsi="仿宋" w:eastAsia="仿宋" w:cs="仿宋"/>
                <w:b/>
                <w:kern w:val="0"/>
                <w:sz w:val="24"/>
                <w:szCs w:val="24"/>
              </w:rPr>
            </w:pPr>
            <w:r>
              <w:rPr>
                <w:rFonts w:hint="eastAsia" w:ascii="仿宋" w:hAnsi="仿宋" w:eastAsia="仿宋" w:cs="仿宋"/>
                <w:b/>
                <w:bCs/>
                <w:kern w:val="0"/>
                <w:sz w:val="24"/>
                <w:szCs w:val="24"/>
              </w:rPr>
              <w:t>分值</w:t>
            </w:r>
          </w:p>
        </w:tc>
        <w:tc>
          <w:tcPr>
            <w:tcW w:w="6765"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ind w:firstLine="504"/>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评分细则</w:t>
            </w:r>
          </w:p>
        </w:tc>
      </w:tr>
      <w:tr>
        <w:tblPrEx>
          <w:tblLayout w:type="fixed"/>
          <w:tblCellMar>
            <w:top w:w="0" w:type="dxa"/>
            <w:left w:w="0" w:type="dxa"/>
            <w:bottom w:w="0" w:type="dxa"/>
            <w:right w:w="0" w:type="dxa"/>
          </w:tblCellMar>
        </w:tblPrEx>
        <w:trPr>
          <w:trHeight w:val="1368" w:hRule="atLeast"/>
          <w:jc w:val="center"/>
        </w:trPr>
        <w:tc>
          <w:tcPr>
            <w:tcW w:w="722" w:type="dxa"/>
            <w:tcBorders>
              <w:top w:val="nil"/>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1336" w:type="dxa"/>
            <w:tcBorders>
              <w:top w:val="nil"/>
              <w:left w:val="single" w:color="auto" w:sz="4" w:space="0"/>
              <w:bottom w:val="single" w:color="auto" w:sz="4" w:space="0"/>
              <w:right w:val="single" w:color="auto" w:sz="8"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投标报价</w:t>
            </w:r>
          </w:p>
        </w:tc>
        <w:tc>
          <w:tcPr>
            <w:tcW w:w="85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765" w:type="dxa"/>
            <w:tcBorders>
              <w:top w:val="nil"/>
              <w:left w:val="nil"/>
              <w:bottom w:val="single" w:color="auto" w:sz="4"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综合评分法中的价格分统一采用低价优先法计算，即满足招标文件要求且最后报价最低的报价为评标基准价，其价格分为满分</w:t>
            </w:r>
            <w:r>
              <w:rPr>
                <w:rFonts w:hint="eastAsia" w:ascii="仿宋" w:hAnsi="仿宋" w:eastAsia="仿宋" w:cs="仿宋"/>
                <w:sz w:val="24"/>
                <w:szCs w:val="24"/>
                <w:lang w:val="en-US" w:eastAsia="zh-CN"/>
              </w:rPr>
              <w:t>25</w:t>
            </w:r>
            <w:r>
              <w:rPr>
                <w:rFonts w:hint="eastAsia" w:ascii="仿宋" w:hAnsi="仿宋" w:eastAsia="仿宋" w:cs="仿宋"/>
                <w:sz w:val="24"/>
                <w:szCs w:val="24"/>
              </w:rPr>
              <w:t>分。其他投标人的价格分统一按照下列公式计算：</w:t>
            </w:r>
          </w:p>
          <w:p>
            <w:pPr>
              <w:snapToGrid w:val="0"/>
              <w:spacing w:line="240" w:lineRule="auto"/>
              <w:ind w:firstLine="0" w:firstLineChars="0"/>
              <w:jc w:val="both"/>
              <w:rPr>
                <w:rFonts w:hint="eastAsia" w:ascii="仿宋" w:hAnsi="仿宋" w:eastAsia="仿宋" w:cs="仿宋"/>
                <w:kern w:val="0"/>
                <w:sz w:val="24"/>
                <w:szCs w:val="24"/>
                <w:lang w:eastAsia="zh-CN"/>
              </w:rPr>
            </w:pPr>
            <w:r>
              <w:rPr>
                <w:rFonts w:hint="eastAsia" w:ascii="仿宋" w:hAnsi="仿宋" w:eastAsia="仿宋" w:cs="仿宋"/>
                <w:sz w:val="24"/>
                <w:szCs w:val="24"/>
              </w:rPr>
              <w:t>投标报价得分=(评标基准价／投标报价)×2</w:t>
            </w:r>
            <w:r>
              <w:rPr>
                <w:rFonts w:hint="eastAsia" w:ascii="仿宋" w:hAnsi="仿宋" w:eastAsia="仿宋" w:cs="仿宋"/>
                <w:sz w:val="24"/>
                <w:szCs w:val="24"/>
                <w:lang w:val="en-US" w:eastAsia="zh-CN"/>
              </w:rPr>
              <w:t>5</w:t>
            </w:r>
          </w:p>
        </w:tc>
      </w:tr>
      <w:tr>
        <w:tblPrEx>
          <w:tblLayout w:type="fixed"/>
          <w:tblCellMar>
            <w:top w:w="0" w:type="dxa"/>
            <w:left w:w="0" w:type="dxa"/>
            <w:bottom w:w="0" w:type="dxa"/>
            <w:right w:w="0" w:type="dxa"/>
          </w:tblCellMar>
        </w:tblPrEx>
        <w:trPr>
          <w:trHeight w:val="74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color w:val="FF0000"/>
                <w:sz w:val="24"/>
                <w:szCs w:val="24"/>
              </w:rPr>
            </w:pPr>
            <w:r>
              <w:rPr>
                <w:rFonts w:hint="eastAsia" w:ascii="仿宋" w:hAnsi="仿宋" w:eastAsia="仿宋" w:cs="仿宋"/>
                <w:sz w:val="24"/>
                <w:szCs w:val="24"/>
              </w:rPr>
              <w:t>业绩</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color w:val="FF0000"/>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FF0000"/>
                <w:sz w:val="24"/>
                <w:szCs w:val="24"/>
              </w:rPr>
            </w:pPr>
            <w:r>
              <w:rPr>
                <w:rFonts w:hint="eastAsia" w:ascii="仿宋" w:hAnsi="仿宋" w:eastAsia="仿宋" w:cs="仿宋"/>
                <w:sz w:val="24"/>
                <w:szCs w:val="24"/>
              </w:rPr>
              <w:t>提供2015年1月1日以来的类似项目业绩，提供类似项目业绩的每一份业绩得</w:t>
            </w:r>
            <w:r>
              <w:rPr>
                <w:rFonts w:hint="eastAsia" w:ascii="仿宋" w:hAnsi="仿宋" w:eastAsia="仿宋" w:cs="仿宋"/>
                <w:sz w:val="24"/>
                <w:szCs w:val="24"/>
                <w:lang w:val="en-US" w:eastAsia="zh-CN"/>
              </w:rPr>
              <w:t>4</w:t>
            </w:r>
            <w:r>
              <w:rPr>
                <w:rFonts w:hint="eastAsia" w:ascii="仿宋" w:hAnsi="仿宋" w:eastAsia="仿宋" w:cs="仿宋"/>
                <w:sz w:val="24"/>
                <w:szCs w:val="24"/>
              </w:rPr>
              <w:t>分，最高得</w:t>
            </w: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r>
      <w:tr>
        <w:tblPrEx>
          <w:tblLayout w:type="fixed"/>
          <w:tblCellMar>
            <w:top w:w="0" w:type="dxa"/>
            <w:left w:w="0" w:type="dxa"/>
            <w:bottom w:w="0" w:type="dxa"/>
            <w:right w:w="0" w:type="dxa"/>
          </w:tblCellMar>
        </w:tblPrEx>
        <w:trPr>
          <w:trHeight w:val="760"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信誉及认证</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具有质量管理体系认证证书，得</w:t>
            </w:r>
            <w:r>
              <w:rPr>
                <w:rFonts w:hint="eastAsia" w:ascii="仿宋" w:hAnsi="仿宋" w:eastAsia="仿宋" w:cs="仿宋"/>
                <w:sz w:val="24"/>
                <w:szCs w:val="24"/>
                <w:lang w:val="en-US" w:eastAsia="zh-CN"/>
              </w:rPr>
              <w:t>3</w:t>
            </w:r>
            <w:r>
              <w:rPr>
                <w:rFonts w:hint="eastAsia" w:ascii="仿宋" w:hAnsi="仿宋" w:eastAsia="仿宋" w:cs="仿宋"/>
                <w:sz w:val="24"/>
                <w:szCs w:val="24"/>
              </w:rPr>
              <w:t>分，否则不得分。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具有3A信用等级证书，得</w:t>
            </w:r>
            <w:r>
              <w:rPr>
                <w:rFonts w:hint="eastAsia" w:ascii="仿宋" w:hAnsi="仿宋" w:eastAsia="仿宋" w:cs="仿宋"/>
                <w:sz w:val="24"/>
                <w:szCs w:val="24"/>
                <w:lang w:val="en-US" w:eastAsia="zh-CN"/>
              </w:rPr>
              <w:t>2</w:t>
            </w:r>
            <w:r>
              <w:rPr>
                <w:rFonts w:hint="eastAsia" w:ascii="仿宋" w:hAnsi="仿宋" w:eastAsia="仿宋" w:cs="仿宋"/>
                <w:sz w:val="24"/>
                <w:szCs w:val="24"/>
              </w:rPr>
              <w:t>分，否则不得分。</w:t>
            </w:r>
          </w:p>
        </w:tc>
      </w:tr>
      <w:tr>
        <w:tblPrEx>
          <w:tblLayout w:type="fixed"/>
          <w:tblCellMar>
            <w:top w:w="0" w:type="dxa"/>
            <w:left w:w="0" w:type="dxa"/>
            <w:bottom w:w="0" w:type="dxa"/>
            <w:right w:w="0" w:type="dxa"/>
          </w:tblCellMar>
        </w:tblPrEx>
        <w:trPr>
          <w:trHeight w:val="193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技术部分</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1、确保检测工期质量安全的技术组织措施，优：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、拟投入的检测仪器、设备合理先进，优：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、能够对项目实施提出合理化建议及后续系统对接工作积极响应的，优：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r>
      <w:tr>
        <w:tblPrEx>
          <w:tblLayout w:type="fixed"/>
          <w:tblCellMar>
            <w:top w:w="0" w:type="dxa"/>
            <w:left w:w="0" w:type="dxa"/>
            <w:bottom w:w="0" w:type="dxa"/>
            <w:right w:w="0" w:type="dxa"/>
          </w:tblCellMar>
        </w:tblPrEx>
        <w:trPr>
          <w:trHeight w:val="1299"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336" w:type="dxa"/>
            <w:tcBorders>
              <w:top w:val="single" w:color="auto" w:sz="4" w:space="0"/>
              <w:left w:val="single" w:color="auto" w:sz="4" w:space="0"/>
              <w:bottom w:val="single" w:color="auto" w:sz="4" w:space="0"/>
              <w:right w:val="single" w:color="auto" w:sz="8" w:space="0"/>
            </w:tcBorders>
            <w:vAlign w:val="center"/>
          </w:tcPr>
          <w:p>
            <w:pPr>
              <w:widowControl/>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投标文件的规范程度</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1、投标文件的编制符合招标文件的规定，根据装订整齐规范的情况1-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2、根据投标人编制投标文件及方案逻辑严紧、描述规范、无文字错误1-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tc>
      </w:tr>
      <w:tr>
        <w:tblPrEx>
          <w:tblLayout w:type="fixed"/>
          <w:tblCellMar>
            <w:top w:w="0" w:type="dxa"/>
            <w:left w:w="0" w:type="dxa"/>
            <w:bottom w:w="0" w:type="dxa"/>
            <w:right w:w="0" w:type="dxa"/>
          </w:tblCellMar>
        </w:tblPrEx>
        <w:trPr>
          <w:trHeight w:val="193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336" w:type="dxa"/>
            <w:tcBorders>
              <w:top w:val="single" w:color="auto" w:sz="4" w:space="0"/>
              <w:left w:val="single" w:color="auto" w:sz="4" w:space="0"/>
              <w:bottom w:val="single" w:color="auto" w:sz="4" w:space="0"/>
              <w:right w:val="single" w:color="auto" w:sz="8" w:space="0"/>
            </w:tcBorders>
            <w:vAlign w:val="center"/>
          </w:tcPr>
          <w:p>
            <w:pPr>
              <w:widowControl/>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售后服务方案及承诺</w:t>
            </w:r>
          </w:p>
        </w:tc>
        <w:tc>
          <w:tcPr>
            <w:tcW w:w="85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c>
          <w:tcPr>
            <w:tcW w:w="6765"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1、投标人提供的售后服务及现场技术支持方案的可行性、完整性、及响应处理机制的合理性，优：4-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2、投标人就如何做好后续服务保障工作提供一套服务方案。优：4-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3、投标人在项目实施完成后所承诺的责任、服务内容，优：4-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tc>
      </w:tr>
      <w:tr>
        <w:tblPrEx>
          <w:tblLayout w:type="fixed"/>
          <w:tblCellMar>
            <w:top w:w="0" w:type="dxa"/>
            <w:left w:w="0" w:type="dxa"/>
            <w:bottom w:w="0" w:type="dxa"/>
            <w:right w:w="0" w:type="dxa"/>
          </w:tblCellMar>
        </w:tblPrEx>
        <w:trPr>
          <w:trHeight w:val="1368" w:hRule="atLeast"/>
          <w:jc w:val="center"/>
        </w:trPr>
        <w:tc>
          <w:tcPr>
            <w:tcW w:w="9680" w:type="dxa"/>
            <w:gridSpan w:val="4"/>
            <w:tcBorders>
              <w:top w:val="single" w:color="auto" w:sz="4" w:space="0"/>
              <w:left w:val="double" w:color="auto" w:sz="4" w:space="0"/>
              <w:bottom w:val="double" w:color="auto" w:sz="4" w:space="0"/>
              <w:right w:val="double" w:color="auto" w:sz="4" w:space="0"/>
            </w:tcBorders>
            <w:vAlign w:val="center"/>
          </w:tcPr>
          <w:p>
            <w:pPr>
              <w:snapToGrid w:val="0"/>
              <w:spacing w:line="240" w:lineRule="auto"/>
              <w:ind w:firstLine="443"/>
              <w:rPr>
                <w:rFonts w:hint="eastAsia" w:ascii="仿宋" w:hAnsi="仿宋" w:eastAsia="仿宋" w:cs="仿宋"/>
                <w:sz w:val="24"/>
                <w:szCs w:val="24"/>
              </w:rPr>
            </w:pPr>
            <w:r>
              <w:rPr>
                <w:rFonts w:hint="eastAsia" w:ascii="仿宋" w:hAnsi="仿宋" w:eastAsia="仿宋" w:cs="仿宋"/>
                <w:sz w:val="24"/>
                <w:szCs w:val="24"/>
              </w:rPr>
              <w:t>注：本评分办法中的各种有效证明材料，投标文件中必须提供复印件，且在评标时同时提供与复印件一致的原件，否则不得分。</w:t>
            </w:r>
          </w:p>
          <w:p>
            <w:pPr>
              <w:snapToGrid w:val="0"/>
              <w:spacing w:line="240" w:lineRule="auto"/>
              <w:ind w:firstLine="443"/>
              <w:rPr>
                <w:rFonts w:hint="eastAsia" w:ascii="仿宋" w:hAnsi="仿宋" w:eastAsia="仿宋" w:cs="仿宋"/>
                <w:color w:val="4F81BD"/>
                <w:sz w:val="24"/>
                <w:szCs w:val="24"/>
              </w:rPr>
            </w:pPr>
            <w:r>
              <w:rPr>
                <w:rFonts w:hint="eastAsia" w:ascii="仿宋" w:hAnsi="仿宋" w:eastAsia="仿宋" w:cs="仿宋"/>
                <w:sz w:val="24"/>
                <w:szCs w:val="24"/>
              </w:rPr>
              <w:t>全体评标委员会成员对投标人评分的算术平均值即为该投标人最终评标得分，评分和计算结果均保留小数点后2位（采用四舍五入法）</w:t>
            </w:r>
            <w:r>
              <w:rPr>
                <w:rFonts w:hint="eastAsia" w:ascii="仿宋" w:hAnsi="仿宋" w:eastAsia="仿宋" w:cs="仿宋"/>
                <w:bCs/>
                <w:sz w:val="24"/>
                <w:szCs w:val="24"/>
              </w:rPr>
              <w:t>。</w:t>
            </w:r>
          </w:p>
        </w:tc>
      </w:tr>
    </w:tbl>
    <w:p>
      <w:pPr>
        <w:pStyle w:val="125"/>
        <w:spacing w:before="120" w:after="120"/>
        <w:ind w:left="0" w:leftChars="0" w:firstLine="0" w:firstLineChars="0"/>
        <w:rPr>
          <w:rFonts w:hint="eastAsia" w:ascii="仿宋" w:hAnsi="仿宋" w:eastAsia="仿宋"/>
          <w:b/>
          <w:bCs/>
          <w:lang w:val="en-US" w:eastAsia="zh-CN"/>
        </w:rPr>
      </w:pPr>
      <w:r>
        <w:rPr>
          <w:rFonts w:hint="eastAsia" w:ascii="仿宋" w:hAnsi="仿宋" w:eastAsia="仿宋"/>
          <w:lang w:val="en-US" w:eastAsia="zh-CN"/>
        </w:rPr>
        <w:t xml:space="preserve">                  </w:t>
      </w:r>
      <w:r>
        <w:rPr>
          <w:rFonts w:hint="eastAsia" w:ascii="仿宋" w:hAnsi="仿宋" w:eastAsia="仿宋"/>
          <w:b/>
          <w:bCs/>
          <w:lang w:val="en-US" w:eastAsia="zh-CN"/>
        </w:rPr>
        <w:t xml:space="preserve"> C包    评分标准</w:t>
      </w:r>
    </w:p>
    <w:tbl>
      <w:tblPr>
        <w:tblStyle w:val="36"/>
        <w:tblW w:w="9680" w:type="dxa"/>
        <w:jc w:val="center"/>
        <w:tblInd w:w="-15" w:type="dxa"/>
        <w:tblLayout w:type="fixed"/>
        <w:tblCellMar>
          <w:top w:w="0" w:type="dxa"/>
          <w:left w:w="0" w:type="dxa"/>
          <w:bottom w:w="0" w:type="dxa"/>
          <w:right w:w="0" w:type="dxa"/>
        </w:tblCellMar>
      </w:tblPr>
      <w:tblGrid>
        <w:gridCol w:w="722"/>
        <w:gridCol w:w="1336"/>
        <w:gridCol w:w="857"/>
        <w:gridCol w:w="6765"/>
      </w:tblGrid>
      <w:tr>
        <w:tblPrEx>
          <w:tblLayout w:type="fixed"/>
          <w:tblCellMar>
            <w:top w:w="0" w:type="dxa"/>
            <w:left w:w="0" w:type="dxa"/>
            <w:bottom w:w="0" w:type="dxa"/>
            <w:right w:w="0" w:type="dxa"/>
          </w:tblCellMar>
        </w:tblPrEx>
        <w:trPr>
          <w:trHeight w:val="618" w:hRule="atLeast"/>
          <w:jc w:val="center"/>
        </w:trPr>
        <w:tc>
          <w:tcPr>
            <w:tcW w:w="722" w:type="dxa"/>
            <w:tcBorders>
              <w:top w:val="double" w:color="auto" w:sz="4" w:space="0"/>
              <w:left w:val="double" w:color="auto" w:sz="4" w:space="0"/>
              <w:bottom w:val="single" w:color="auto" w:sz="8" w:space="0"/>
              <w:right w:val="single" w:color="auto" w:sz="4" w:space="0"/>
            </w:tcBorders>
            <w:vAlign w:val="center"/>
          </w:tcPr>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p>
          <w:p>
            <w:pPr>
              <w:widowControl/>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序号</w:t>
            </w:r>
          </w:p>
        </w:tc>
        <w:tc>
          <w:tcPr>
            <w:tcW w:w="1336" w:type="dxa"/>
            <w:tcBorders>
              <w:top w:val="double" w:color="auto" w:sz="4" w:space="0"/>
              <w:left w:val="single" w:color="auto" w:sz="4" w:space="0"/>
              <w:bottom w:val="single" w:color="auto" w:sz="8" w:space="0"/>
              <w:right w:val="single" w:color="auto" w:sz="8" w:space="0"/>
            </w:tcBorders>
            <w:vAlign w:val="center"/>
          </w:tcPr>
          <w:p>
            <w:pPr>
              <w:widowControl/>
              <w:ind w:firstLine="0" w:firstLineChars="0"/>
              <w:jc w:val="center"/>
              <w:rPr>
                <w:rFonts w:hint="eastAsia" w:ascii="仿宋" w:hAnsi="仿宋" w:eastAsia="仿宋" w:cs="仿宋"/>
                <w:b/>
                <w:kern w:val="0"/>
                <w:sz w:val="24"/>
                <w:szCs w:val="24"/>
              </w:rPr>
            </w:pPr>
            <w:r>
              <w:rPr>
                <w:rFonts w:hint="eastAsia" w:ascii="仿宋" w:hAnsi="仿宋" w:eastAsia="仿宋" w:cs="仿宋"/>
                <w:b/>
                <w:kern w:val="0"/>
                <w:sz w:val="24"/>
                <w:szCs w:val="24"/>
              </w:rPr>
              <w:t>评审项目</w:t>
            </w:r>
          </w:p>
        </w:tc>
        <w:tc>
          <w:tcPr>
            <w:tcW w:w="857"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rPr>
                <w:rFonts w:hint="eastAsia" w:ascii="仿宋" w:hAnsi="仿宋" w:eastAsia="仿宋" w:cs="仿宋"/>
                <w:b/>
                <w:kern w:val="0"/>
                <w:sz w:val="24"/>
                <w:szCs w:val="24"/>
              </w:rPr>
            </w:pPr>
            <w:r>
              <w:rPr>
                <w:rFonts w:hint="eastAsia" w:ascii="仿宋" w:hAnsi="仿宋" w:eastAsia="仿宋" w:cs="仿宋"/>
                <w:b/>
                <w:bCs/>
                <w:kern w:val="0"/>
                <w:sz w:val="24"/>
                <w:szCs w:val="24"/>
              </w:rPr>
              <w:t>分值</w:t>
            </w:r>
          </w:p>
        </w:tc>
        <w:tc>
          <w:tcPr>
            <w:tcW w:w="6765" w:type="dxa"/>
            <w:tcBorders>
              <w:top w:val="double" w:color="auto" w:sz="4" w:space="0"/>
              <w:left w:val="nil"/>
              <w:bottom w:val="single" w:color="auto" w:sz="8" w:space="0"/>
              <w:right w:val="double" w:color="auto" w:sz="4" w:space="0"/>
            </w:tcBorders>
            <w:tcMar>
              <w:top w:w="0" w:type="dxa"/>
              <w:left w:w="108" w:type="dxa"/>
              <w:bottom w:w="0" w:type="dxa"/>
              <w:right w:w="108" w:type="dxa"/>
            </w:tcMar>
            <w:vAlign w:val="center"/>
          </w:tcPr>
          <w:p>
            <w:pPr>
              <w:widowControl/>
              <w:ind w:firstLine="504"/>
              <w:jc w:val="center"/>
              <w:rPr>
                <w:rFonts w:hint="eastAsia" w:ascii="仿宋" w:hAnsi="仿宋" w:eastAsia="仿宋" w:cs="仿宋"/>
                <w:b/>
                <w:kern w:val="0"/>
                <w:sz w:val="24"/>
                <w:szCs w:val="24"/>
              </w:rPr>
            </w:pPr>
            <w:r>
              <w:rPr>
                <w:rFonts w:hint="eastAsia" w:ascii="仿宋" w:hAnsi="仿宋" w:eastAsia="仿宋" w:cs="仿宋"/>
                <w:b/>
                <w:bCs/>
                <w:kern w:val="0"/>
                <w:sz w:val="24"/>
                <w:szCs w:val="24"/>
              </w:rPr>
              <w:t>评分细则</w:t>
            </w:r>
          </w:p>
        </w:tc>
      </w:tr>
      <w:tr>
        <w:tblPrEx>
          <w:tblLayout w:type="fixed"/>
          <w:tblCellMar>
            <w:top w:w="0" w:type="dxa"/>
            <w:left w:w="0" w:type="dxa"/>
            <w:bottom w:w="0" w:type="dxa"/>
            <w:right w:w="0" w:type="dxa"/>
          </w:tblCellMar>
        </w:tblPrEx>
        <w:trPr>
          <w:trHeight w:val="1368" w:hRule="atLeast"/>
          <w:jc w:val="center"/>
        </w:trPr>
        <w:tc>
          <w:tcPr>
            <w:tcW w:w="722" w:type="dxa"/>
            <w:tcBorders>
              <w:top w:val="nil"/>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1336" w:type="dxa"/>
            <w:tcBorders>
              <w:top w:val="nil"/>
              <w:left w:val="single" w:color="auto" w:sz="4" w:space="0"/>
              <w:bottom w:val="single" w:color="auto" w:sz="4" w:space="0"/>
              <w:right w:val="single" w:color="auto" w:sz="8"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投标报价</w:t>
            </w:r>
          </w:p>
        </w:tc>
        <w:tc>
          <w:tcPr>
            <w:tcW w:w="85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765" w:type="dxa"/>
            <w:tcBorders>
              <w:top w:val="nil"/>
              <w:left w:val="nil"/>
              <w:bottom w:val="single" w:color="auto" w:sz="4"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综合评分法中的价格分统一采用低价优先法计算，即满足招标文件要求且报价最低</w:t>
            </w:r>
            <w:r>
              <w:rPr>
                <w:rFonts w:hint="eastAsia" w:ascii="仿宋" w:hAnsi="仿宋" w:eastAsia="仿宋" w:cs="仿宋"/>
                <w:sz w:val="24"/>
                <w:szCs w:val="24"/>
                <w:lang w:eastAsia="zh-CN"/>
              </w:rPr>
              <w:t>的</w:t>
            </w:r>
            <w:r>
              <w:rPr>
                <w:rFonts w:hint="eastAsia" w:ascii="仿宋" w:hAnsi="仿宋" w:eastAsia="仿宋" w:cs="仿宋"/>
                <w:sz w:val="24"/>
                <w:szCs w:val="24"/>
              </w:rPr>
              <w:t>为评标基准价，其价格分为满分</w:t>
            </w:r>
            <w:r>
              <w:rPr>
                <w:rFonts w:hint="eastAsia" w:ascii="仿宋" w:hAnsi="仿宋" w:eastAsia="仿宋" w:cs="仿宋"/>
                <w:sz w:val="24"/>
                <w:szCs w:val="24"/>
                <w:lang w:val="en-US" w:eastAsia="zh-CN"/>
              </w:rPr>
              <w:t>25</w:t>
            </w:r>
            <w:r>
              <w:rPr>
                <w:rFonts w:hint="eastAsia" w:ascii="仿宋" w:hAnsi="仿宋" w:eastAsia="仿宋" w:cs="仿宋"/>
                <w:sz w:val="24"/>
                <w:szCs w:val="24"/>
              </w:rPr>
              <w:t>分。其他投标人的价格分统一按照下列公式计算：</w:t>
            </w:r>
          </w:p>
          <w:p>
            <w:pPr>
              <w:snapToGrid w:val="0"/>
              <w:spacing w:line="240" w:lineRule="auto"/>
              <w:ind w:firstLine="0" w:firstLineChars="0"/>
              <w:jc w:val="both"/>
              <w:rPr>
                <w:rFonts w:hint="eastAsia" w:ascii="仿宋" w:hAnsi="仿宋" w:eastAsia="仿宋" w:cs="仿宋"/>
                <w:kern w:val="0"/>
                <w:sz w:val="24"/>
                <w:szCs w:val="24"/>
                <w:lang w:eastAsia="zh-CN"/>
              </w:rPr>
            </w:pPr>
            <w:r>
              <w:rPr>
                <w:rFonts w:hint="eastAsia" w:ascii="仿宋" w:hAnsi="仿宋" w:eastAsia="仿宋" w:cs="仿宋"/>
                <w:sz w:val="24"/>
                <w:szCs w:val="24"/>
              </w:rPr>
              <w:t>投标报价得分=(评标基准价／投标报价)×2</w:t>
            </w:r>
            <w:r>
              <w:rPr>
                <w:rFonts w:hint="eastAsia" w:ascii="仿宋" w:hAnsi="仿宋" w:eastAsia="仿宋" w:cs="仿宋"/>
                <w:sz w:val="24"/>
                <w:szCs w:val="24"/>
                <w:lang w:val="en-US" w:eastAsia="zh-CN"/>
              </w:rPr>
              <w:t>5</w:t>
            </w:r>
          </w:p>
        </w:tc>
      </w:tr>
      <w:tr>
        <w:tblPrEx>
          <w:tblLayout w:type="fixed"/>
          <w:tblCellMar>
            <w:top w:w="0" w:type="dxa"/>
            <w:left w:w="0" w:type="dxa"/>
            <w:bottom w:w="0" w:type="dxa"/>
            <w:right w:w="0" w:type="dxa"/>
          </w:tblCellMar>
        </w:tblPrEx>
        <w:trPr>
          <w:trHeight w:val="74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color w:val="FF0000"/>
                <w:sz w:val="24"/>
                <w:szCs w:val="24"/>
              </w:rPr>
            </w:pPr>
            <w:r>
              <w:rPr>
                <w:rFonts w:hint="eastAsia" w:ascii="仿宋" w:hAnsi="仿宋" w:eastAsia="仿宋" w:cs="仿宋"/>
                <w:sz w:val="24"/>
                <w:szCs w:val="24"/>
              </w:rPr>
              <w:t>业绩</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color w:val="FF0000"/>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FF0000"/>
                <w:sz w:val="24"/>
                <w:szCs w:val="24"/>
              </w:rPr>
            </w:pPr>
            <w:r>
              <w:rPr>
                <w:rFonts w:hint="eastAsia" w:ascii="仿宋" w:hAnsi="仿宋" w:eastAsia="仿宋" w:cs="仿宋"/>
                <w:sz w:val="24"/>
                <w:szCs w:val="24"/>
              </w:rPr>
              <w:t>提供2015年1月1日以来的类似项目业绩，提供类似项目业绩的每一份业绩得</w:t>
            </w:r>
            <w:r>
              <w:rPr>
                <w:rFonts w:hint="eastAsia" w:ascii="仿宋" w:hAnsi="仿宋" w:eastAsia="仿宋" w:cs="仿宋"/>
                <w:sz w:val="24"/>
                <w:szCs w:val="24"/>
                <w:lang w:val="en-US" w:eastAsia="zh-CN"/>
              </w:rPr>
              <w:t>4</w:t>
            </w:r>
            <w:r>
              <w:rPr>
                <w:rFonts w:hint="eastAsia" w:ascii="仿宋" w:hAnsi="仿宋" w:eastAsia="仿宋" w:cs="仿宋"/>
                <w:sz w:val="24"/>
                <w:szCs w:val="24"/>
              </w:rPr>
              <w:t>分，最高得</w:t>
            </w: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r>
      <w:tr>
        <w:tblPrEx>
          <w:tblLayout w:type="fixed"/>
          <w:tblCellMar>
            <w:top w:w="0" w:type="dxa"/>
            <w:left w:w="0" w:type="dxa"/>
            <w:bottom w:w="0" w:type="dxa"/>
            <w:right w:w="0" w:type="dxa"/>
          </w:tblCellMar>
        </w:tblPrEx>
        <w:trPr>
          <w:trHeight w:val="760"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信誉及认证</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具有质量管理体系认证证书，得</w:t>
            </w:r>
            <w:r>
              <w:rPr>
                <w:rFonts w:hint="eastAsia" w:ascii="仿宋" w:hAnsi="仿宋" w:eastAsia="仿宋" w:cs="仿宋"/>
                <w:sz w:val="24"/>
                <w:szCs w:val="24"/>
                <w:lang w:val="en-US" w:eastAsia="zh-CN"/>
              </w:rPr>
              <w:t>3</w:t>
            </w:r>
            <w:r>
              <w:rPr>
                <w:rFonts w:hint="eastAsia" w:ascii="仿宋" w:hAnsi="仿宋" w:eastAsia="仿宋" w:cs="仿宋"/>
                <w:sz w:val="24"/>
                <w:szCs w:val="24"/>
              </w:rPr>
              <w:t>分，否则不得分。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具有3A信用等级证书，得</w:t>
            </w:r>
            <w:r>
              <w:rPr>
                <w:rFonts w:hint="eastAsia" w:ascii="仿宋" w:hAnsi="仿宋" w:eastAsia="仿宋" w:cs="仿宋"/>
                <w:sz w:val="24"/>
                <w:szCs w:val="24"/>
                <w:lang w:val="en-US" w:eastAsia="zh-CN"/>
              </w:rPr>
              <w:t>2</w:t>
            </w:r>
            <w:r>
              <w:rPr>
                <w:rFonts w:hint="eastAsia" w:ascii="仿宋" w:hAnsi="仿宋" w:eastAsia="仿宋" w:cs="仿宋"/>
                <w:sz w:val="24"/>
                <w:szCs w:val="24"/>
              </w:rPr>
              <w:t>分，否则不得分。</w:t>
            </w:r>
          </w:p>
        </w:tc>
      </w:tr>
      <w:tr>
        <w:tblPrEx>
          <w:tblLayout w:type="fixed"/>
          <w:tblCellMar>
            <w:top w:w="0" w:type="dxa"/>
            <w:left w:w="0" w:type="dxa"/>
            <w:bottom w:w="0" w:type="dxa"/>
            <w:right w:w="0" w:type="dxa"/>
          </w:tblCellMar>
        </w:tblPrEx>
        <w:trPr>
          <w:trHeight w:val="193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4</w:t>
            </w:r>
          </w:p>
        </w:tc>
        <w:tc>
          <w:tcPr>
            <w:tcW w:w="1336" w:type="dxa"/>
            <w:tcBorders>
              <w:top w:val="single" w:color="auto" w:sz="4" w:space="0"/>
              <w:left w:val="single" w:color="auto" w:sz="4" w:space="0"/>
              <w:bottom w:val="single" w:color="auto" w:sz="4" w:space="0"/>
              <w:right w:val="single" w:color="auto" w:sz="8" w:space="0"/>
            </w:tcBorders>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技术部分</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w:t>
            </w:r>
            <w:r>
              <w:rPr>
                <w:rFonts w:hint="eastAsia" w:ascii="仿宋" w:hAnsi="仿宋" w:eastAsia="仿宋" w:cs="仿宋"/>
                <w:color w:val="auto"/>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1、确保检测工期质量安全的技术组织措施，优：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、拟投入的检测仪器、设备合理先进，优：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、能够对项目实施提出合理化建议及后续系统对接工作积极响应的，优：</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分；良1-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r>
      <w:tr>
        <w:tblPrEx>
          <w:tblLayout w:type="fixed"/>
          <w:tblCellMar>
            <w:top w:w="0" w:type="dxa"/>
            <w:left w:w="0" w:type="dxa"/>
            <w:bottom w:w="0" w:type="dxa"/>
            <w:right w:w="0" w:type="dxa"/>
          </w:tblCellMar>
        </w:tblPrEx>
        <w:trPr>
          <w:trHeight w:val="1299"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5</w:t>
            </w:r>
          </w:p>
        </w:tc>
        <w:tc>
          <w:tcPr>
            <w:tcW w:w="1336" w:type="dxa"/>
            <w:tcBorders>
              <w:top w:val="single" w:color="auto" w:sz="4" w:space="0"/>
              <w:left w:val="single" w:color="auto" w:sz="4" w:space="0"/>
              <w:bottom w:val="single" w:color="auto" w:sz="4" w:space="0"/>
              <w:right w:val="single" w:color="auto" w:sz="8" w:space="0"/>
            </w:tcBorders>
            <w:vAlign w:val="center"/>
          </w:tcPr>
          <w:p>
            <w:pPr>
              <w:widowControl/>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投标文件的规范程度</w:t>
            </w:r>
          </w:p>
        </w:tc>
        <w:tc>
          <w:tcPr>
            <w:tcW w:w="85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6765" w:type="dxa"/>
            <w:tcBorders>
              <w:top w:val="single" w:color="auto" w:sz="4" w:space="0"/>
              <w:left w:val="nil"/>
              <w:bottom w:val="single" w:color="auto" w:sz="8"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1、投标文件的编制符合招标文件的规定，根据装订整齐规范的情况1-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snapToGrid w:val="0"/>
              <w:spacing w:line="240" w:lineRule="auto"/>
              <w:ind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2、根据投标人编制投标文件及方案逻辑严紧、描述规范、无文字错误1-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tc>
      </w:tr>
      <w:tr>
        <w:tblPrEx>
          <w:tblLayout w:type="fixed"/>
          <w:tblCellMar>
            <w:top w:w="0" w:type="dxa"/>
            <w:left w:w="0" w:type="dxa"/>
            <w:bottom w:w="0" w:type="dxa"/>
            <w:right w:w="0" w:type="dxa"/>
          </w:tblCellMar>
        </w:tblPrEx>
        <w:trPr>
          <w:trHeight w:val="1938" w:hRule="atLeast"/>
          <w:jc w:val="center"/>
        </w:trPr>
        <w:tc>
          <w:tcPr>
            <w:tcW w:w="722" w:type="dxa"/>
            <w:tcBorders>
              <w:top w:val="single" w:color="auto" w:sz="4" w:space="0"/>
              <w:left w:val="doub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336" w:type="dxa"/>
            <w:tcBorders>
              <w:top w:val="single" w:color="auto" w:sz="4" w:space="0"/>
              <w:left w:val="single" w:color="auto" w:sz="4" w:space="0"/>
              <w:bottom w:val="single" w:color="auto" w:sz="4" w:space="0"/>
              <w:right w:val="single" w:color="auto" w:sz="8" w:space="0"/>
            </w:tcBorders>
            <w:vAlign w:val="center"/>
          </w:tcPr>
          <w:p>
            <w:pPr>
              <w:widowControl/>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售后服务方案及承诺</w:t>
            </w:r>
          </w:p>
        </w:tc>
        <w:tc>
          <w:tcPr>
            <w:tcW w:w="85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napToGrid w:val="0"/>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24</w:t>
            </w:r>
            <w:r>
              <w:rPr>
                <w:rFonts w:hint="eastAsia" w:ascii="仿宋" w:hAnsi="仿宋" w:eastAsia="仿宋" w:cs="仿宋"/>
                <w:sz w:val="24"/>
                <w:szCs w:val="24"/>
              </w:rPr>
              <w:t>分</w:t>
            </w:r>
          </w:p>
        </w:tc>
        <w:tc>
          <w:tcPr>
            <w:tcW w:w="6765" w:type="dxa"/>
            <w:tcBorders>
              <w:top w:val="single" w:color="auto" w:sz="4" w:space="0"/>
              <w:left w:val="nil"/>
              <w:bottom w:val="single" w:color="auto" w:sz="4" w:space="0"/>
              <w:right w:val="double" w:color="auto" w:sz="4" w:space="0"/>
            </w:tcBorders>
            <w:tcMar>
              <w:top w:w="0" w:type="dxa"/>
              <w:left w:w="108" w:type="dxa"/>
              <w:bottom w:w="0" w:type="dxa"/>
              <w:right w:w="108" w:type="dxa"/>
            </w:tcMar>
            <w:vAlign w:val="center"/>
          </w:tcPr>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1、投标人提供的售后服务及现场技术支持方案的可行性、完整性、及响应处理机制的合理性，优：4-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2、投标人就如何做好后续服务保障工作提供一套服务方案。优：4-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p>
            <w:pPr>
              <w:snapToGrid w:val="0"/>
              <w:spacing w:line="240" w:lineRule="auto"/>
              <w:ind w:firstLine="0" w:firstLineChars="0"/>
              <w:jc w:val="both"/>
              <w:rPr>
                <w:rFonts w:hint="eastAsia" w:ascii="仿宋" w:hAnsi="仿宋" w:eastAsia="仿宋" w:cs="仿宋"/>
                <w:sz w:val="24"/>
                <w:szCs w:val="24"/>
              </w:rPr>
            </w:pPr>
            <w:r>
              <w:rPr>
                <w:rFonts w:hint="eastAsia" w:ascii="仿宋" w:hAnsi="仿宋" w:eastAsia="仿宋" w:cs="仿宋"/>
                <w:sz w:val="24"/>
                <w:szCs w:val="24"/>
              </w:rPr>
              <w:t>3、投标人在项目实施完成后所承诺的责任、服务内容，优：4-</w:t>
            </w:r>
            <w:r>
              <w:rPr>
                <w:rFonts w:hint="eastAsia" w:ascii="仿宋" w:hAnsi="仿宋" w:eastAsia="仿宋" w:cs="仿宋"/>
                <w:sz w:val="24"/>
                <w:szCs w:val="24"/>
                <w:lang w:val="en-US" w:eastAsia="zh-CN"/>
              </w:rPr>
              <w:t>8</w:t>
            </w:r>
            <w:r>
              <w:rPr>
                <w:rFonts w:hint="eastAsia" w:ascii="仿宋" w:hAnsi="仿宋" w:eastAsia="仿宋" w:cs="仿宋"/>
                <w:sz w:val="24"/>
                <w:szCs w:val="24"/>
              </w:rPr>
              <w:t>分；良1-3分。</w:t>
            </w:r>
          </w:p>
        </w:tc>
      </w:tr>
      <w:tr>
        <w:tblPrEx>
          <w:tblLayout w:type="fixed"/>
          <w:tblCellMar>
            <w:top w:w="0" w:type="dxa"/>
            <w:left w:w="0" w:type="dxa"/>
            <w:bottom w:w="0" w:type="dxa"/>
            <w:right w:w="0" w:type="dxa"/>
          </w:tblCellMar>
        </w:tblPrEx>
        <w:trPr>
          <w:trHeight w:val="1368" w:hRule="atLeast"/>
          <w:jc w:val="center"/>
        </w:trPr>
        <w:tc>
          <w:tcPr>
            <w:tcW w:w="9680" w:type="dxa"/>
            <w:gridSpan w:val="4"/>
            <w:tcBorders>
              <w:top w:val="single" w:color="auto" w:sz="4" w:space="0"/>
              <w:left w:val="double" w:color="auto" w:sz="4" w:space="0"/>
              <w:bottom w:val="double" w:color="auto" w:sz="4" w:space="0"/>
              <w:right w:val="double" w:color="auto" w:sz="4" w:space="0"/>
            </w:tcBorders>
            <w:vAlign w:val="center"/>
          </w:tcPr>
          <w:p>
            <w:pPr>
              <w:snapToGrid w:val="0"/>
              <w:spacing w:line="240" w:lineRule="auto"/>
              <w:ind w:firstLine="443"/>
              <w:rPr>
                <w:rFonts w:hint="eastAsia" w:ascii="仿宋" w:hAnsi="仿宋" w:eastAsia="仿宋" w:cs="仿宋"/>
                <w:sz w:val="24"/>
                <w:szCs w:val="24"/>
              </w:rPr>
            </w:pPr>
            <w:r>
              <w:rPr>
                <w:rFonts w:hint="eastAsia" w:ascii="仿宋" w:hAnsi="仿宋" w:eastAsia="仿宋" w:cs="仿宋"/>
                <w:sz w:val="24"/>
                <w:szCs w:val="24"/>
              </w:rPr>
              <w:t>注：本评分办法中的各种有效证明材料，投标文件中必须提供复印件，且在评标时同时提供与复印件一致的原件，否则不得分。</w:t>
            </w:r>
          </w:p>
          <w:p>
            <w:pPr>
              <w:snapToGrid w:val="0"/>
              <w:spacing w:line="240" w:lineRule="auto"/>
              <w:ind w:firstLine="443"/>
              <w:rPr>
                <w:rFonts w:hint="eastAsia" w:ascii="仿宋" w:hAnsi="仿宋" w:eastAsia="仿宋" w:cs="仿宋"/>
                <w:color w:val="4F81BD"/>
                <w:sz w:val="24"/>
                <w:szCs w:val="24"/>
              </w:rPr>
            </w:pPr>
            <w:r>
              <w:rPr>
                <w:rFonts w:hint="eastAsia" w:ascii="仿宋" w:hAnsi="仿宋" w:eastAsia="仿宋" w:cs="仿宋"/>
                <w:sz w:val="24"/>
                <w:szCs w:val="24"/>
              </w:rPr>
              <w:t>全体评标委员会成员对投标人评分的算术平均值即为该投标人最终评标得分，评分和计算结果均保留小数点后2位（采用四舍五入法）</w:t>
            </w:r>
            <w:r>
              <w:rPr>
                <w:rFonts w:hint="eastAsia" w:ascii="仿宋" w:hAnsi="仿宋" w:eastAsia="仿宋" w:cs="仿宋"/>
                <w:bCs/>
                <w:sz w:val="24"/>
                <w:szCs w:val="24"/>
              </w:rPr>
              <w:t>。</w:t>
            </w:r>
          </w:p>
        </w:tc>
      </w:tr>
    </w:tbl>
    <w:p>
      <w:pPr>
        <w:spacing w:line="500" w:lineRule="exact"/>
        <w:rPr>
          <w:rFonts w:hint="eastAsia" w:ascii="仿宋" w:hAnsi="仿宋" w:eastAsia="仿宋" w:cs="仿宋"/>
          <w:b/>
          <w:bCs/>
          <w:sz w:val="24"/>
          <w:szCs w:val="24"/>
        </w:rPr>
      </w:pPr>
    </w:p>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sz w:val="24"/>
          <w:szCs w:val="24"/>
          <w:lang w:eastAsia="zh-CN"/>
        </w:rPr>
        <w:t>每个包</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11"/>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lang w:val="en-US" w:eastAsia="zh-CN"/>
        </w:rPr>
      </w:pPr>
      <w:r>
        <w:rPr>
          <w:rFonts w:hint="eastAsia" w:ascii="仿宋_GB2312" w:hAnsi="仿宋_GB2312" w:eastAsia="仿宋_GB2312" w:cs="仿宋_GB2312"/>
          <w:sz w:val="16"/>
          <w:szCs w:val="44"/>
          <w:lang w:eastAsia="zh-CN"/>
        </w:rPr>
        <w:t>（</w:t>
      </w:r>
      <w:r>
        <w:rPr>
          <w:rFonts w:hint="eastAsia" w:ascii="仿宋_GB2312" w:hAnsi="仿宋_GB2312" w:eastAsia="仿宋_GB2312" w:cs="仿宋_GB2312"/>
          <w:sz w:val="16"/>
          <w:szCs w:val="44"/>
          <w:lang w:val="en-US" w:eastAsia="zh-CN"/>
        </w:rPr>
        <w:t xml:space="preserve">    </w:t>
      </w:r>
      <w:r>
        <w:rPr>
          <w:rFonts w:hint="eastAsia" w:ascii="仿宋_GB2312" w:hAnsi="仿宋_GB2312" w:eastAsia="仿宋_GB2312" w:cs="仿宋_GB2312"/>
          <w:sz w:val="16"/>
          <w:szCs w:val="44"/>
          <w:lang w:eastAsia="zh-CN"/>
        </w:rPr>
        <w:t>）</w:t>
      </w:r>
      <w:r>
        <w:rPr>
          <w:rFonts w:hint="eastAsia" w:ascii="仿宋_GB2312" w:hAnsi="仿宋_GB2312" w:eastAsia="仿宋_GB2312" w:cs="仿宋_GB2312"/>
          <w:sz w:val="16"/>
          <w:szCs w:val="44"/>
          <w:lang w:val="en-US" w:eastAsia="zh-CN"/>
        </w:rPr>
        <w:t xml:space="preserve">  包</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ind w:firstLine="3840" w:firstLineChars="2400"/>
        <w:jc w:val="both"/>
        <w:rPr>
          <w:rFonts w:hint="eastAsia" w:ascii="仿宋_GB2312" w:hAnsi="仿宋_GB2312" w:eastAsia="仿宋_GB2312" w:cs="仿宋_GB2312"/>
          <w:sz w:val="16"/>
          <w:szCs w:val="44"/>
          <w:lang w:eastAsia="zh-CN"/>
        </w:rPr>
      </w:pPr>
      <w:r>
        <w:rPr>
          <w:rFonts w:hint="eastAsia" w:ascii="仿宋_GB2312" w:hAnsi="仿宋_GB2312" w:eastAsia="仿宋_GB2312" w:cs="仿宋_GB2312"/>
          <w:sz w:val="16"/>
          <w:szCs w:val="44"/>
          <w:lang w:eastAsia="zh-CN"/>
        </w:rPr>
        <w:t>（</w:t>
      </w:r>
      <w:r>
        <w:rPr>
          <w:rFonts w:hint="eastAsia" w:ascii="仿宋_GB2312" w:hAnsi="仿宋_GB2312" w:eastAsia="仿宋_GB2312" w:cs="仿宋_GB2312"/>
          <w:sz w:val="16"/>
          <w:szCs w:val="44"/>
          <w:lang w:val="en-US" w:eastAsia="zh-CN"/>
        </w:rPr>
        <w:t xml:space="preserve">    </w:t>
      </w:r>
      <w:r>
        <w:rPr>
          <w:rFonts w:hint="eastAsia" w:ascii="仿宋_GB2312" w:hAnsi="仿宋_GB2312" w:eastAsia="仿宋_GB2312" w:cs="仿宋_GB2312"/>
          <w:sz w:val="16"/>
          <w:szCs w:val="44"/>
          <w:lang w:eastAsia="zh-CN"/>
        </w:rPr>
        <w:t>）包</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hint="eastAsia" w:ascii="仿宋" w:hAnsi="仿宋" w:eastAsia="仿宋" w:cs="宋体"/>
          <w:sz w:val="24"/>
          <w:szCs w:val="24"/>
          <w:lang w:val="zh-CN"/>
        </w:rPr>
        <w:t>被委托人签字：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）包</w:t>
      </w:r>
      <w:r>
        <w:rPr>
          <w:rFonts w:hint="eastAsia" w:ascii="仿宋" w:hAnsi="仿宋" w:eastAsia="仿宋" w:cs="宋体"/>
          <w:b/>
          <w:bCs/>
          <w:sz w:val="24"/>
          <w:szCs w:val="24"/>
          <w:lang w:val="en-US" w:eastAsia="zh-CN"/>
        </w:rPr>
        <w:t xml:space="preserve">    </w:t>
      </w: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b/>
          <w:bCs/>
          <w:sz w:val="24"/>
          <w:szCs w:val="24"/>
          <w:lang w:val="en-US" w:eastAsia="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4                        </w:t>
      </w:r>
      <w:r>
        <w:rPr>
          <w:rFonts w:hint="eastAsia" w:ascii="仿宋" w:hAnsi="仿宋" w:eastAsia="仿宋" w:cs="宋体"/>
          <w:b/>
          <w:bCs/>
          <w:sz w:val="24"/>
          <w:szCs w:val="24"/>
          <w:lang w:val="en-US" w:eastAsia="zh-CN"/>
        </w:rPr>
        <w:t xml:space="preserve"> </w:t>
      </w:r>
    </w:p>
    <w:p>
      <w:pPr>
        <w:autoSpaceDE w:val="0"/>
        <w:autoSpaceDN w:val="0"/>
        <w:adjustRightInd w:val="0"/>
        <w:spacing w:line="360" w:lineRule="auto"/>
        <w:ind w:firstLine="4096" w:firstLineChars="1700"/>
        <w:rPr>
          <w:rFonts w:ascii="仿宋" w:hAnsi="仿宋" w:eastAsia="仿宋" w:cs="宋体"/>
          <w:b/>
          <w:bCs/>
          <w:sz w:val="24"/>
          <w:szCs w:val="24"/>
          <w:lang w:val="zh-CN"/>
        </w:rPr>
      </w:pPr>
      <w:r>
        <w:rPr>
          <w:rFonts w:hint="eastAsia" w:ascii="仿宋" w:hAnsi="仿宋" w:eastAsia="仿宋" w:cs="宋体"/>
          <w:b/>
          <w:bCs/>
          <w:sz w:val="24"/>
          <w:szCs w:val="24"/>
          <w:lang w:val="en-US" w:eastAsia="zh-CN"/>
        </w:rPr>
        <w:t>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w:t>
      </w:r>
      <w:r>
        <w:rPr>
          <w:rFonts w:hint="eastAsia" w:ascii="仿宋" w:hAnsi="仿宋" w:eastAsia="仿宋" w:cs="仿宋_GB2312"/>
          <w:sz w:val="24"/>
          <w:szCs w:val="24"/>
          <w:lang w:val="en-US" w:eastAsia="zh-CN"/>
        </w:rPr>
        <w:t>6</w:t>
      </w:r>
      <w:r>
        <w:rPr>
          <w:rFonts w:hint="eastAsia" w:ascii="仿宋" w:hAnsi="仿宋" w:eastAsia="仿宋" w:cs="仿宋_GB2312"/>
          <w:sz w:val="24"/>
          <w:szCs w:val="24"/>
        </w:rPr>
        <w:t xml:space="preserve">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autoSpaceDE w:val="0"/>
        <w:autoSpaceDN w:val="0"/>
        <w:adjustRightInd w:val="0"/>
        <w:spacing w:line="360" w:lineRule="auto"/>
        <w:ind w:right="-11" w:firstLine="630"/>
        <w:rPr>
          <w:rFonts w:ascii="仿宋" w:hAnsi="仿宋" w:eastAsia="仿宋" w:cs="仿宋_GB2312"/>
          <w:sz w:val="24"/>
          <w:szCs w:val="24"/>
        </w:rPr>
      </w:pPr>
      <w:r>
        <w:rPr>
          <w:rFonts w:hint="eastAsia" w:ascii="仿宋" w:hAnsi="仿宋" w:eastAsia="仿宋" w:cs="仿宋_GB2312"/>
          <w:b/>
          <w:bCs/>
          <w:sz w:val="24"/>
          <w:szCs w:val="24"/>
        </w:rPr>
        <w:t>（技术</w:t>
      </w:r>
      <w:r>
        <w:rPr>
          <w:rFonts w:hint="eastAsia" w:ascii="仿宋" w:hAnsi="仿宋" w:eastAsia="仿宋" w:cs="仿宋_GB2312"/>
          <w:b/>
          <w:bCs/>
          <w:sz w:val="24"/>
          <w:szCs w:val="24"/>
          <w:lang w:eastAsia="zh-CN"/>
        </w:rPr>
        <w:t>要求及评分标准中</w:t>
      </w:r>
      <w:r>
        <w:rPr>
          <w:rFonts w:hint="eastAsia" w:ascii="仿宋" w:hAnsi="仿宋" w:eastAsia="仿宋" w:cs="仿宋_GB2312"/>
          <w:b/>
          <w:bCs/>
          <w:sz w:val="24"/>
          <w:szCs w:val="24"/>
        </w:rPr>
        <w:t>要求</w:t>
      </w:r>
      <w:r>
        <w:rPr>
          <w:rFonts w:hint="eastAsia" w:ascii="仿宋" w:hAnsi="仿宋" w:eastAsia="仿宋" w:cs="仿宋_GB2312"/>
          <w:b/>
          <w:bCs/>
          <w:sz w:val="24"/>
          <w:szCs w:val="24"/>
          <w:lang w:eastAsia="zh-CN"/>
        </w:rPr>
        <w:t>的</w:t>
      </w:r>
      <w:r>
        <w:rPr>
          <w:rFonts w:hint="eastAsia" w:ascii="仿宋" w:hAnsi="仿宋" w:eastAsia="仿宋" w:cs="仿宋_GB2312"/>
          <w:b/>
          <w:bCs/>
          <w:sz w:val="24"/>
          <w:szCs w:val="24"/>
        </w:rPr>
        <w:t>相关证明材料</w:t>
      </w:r>
      <w:r>
        <w:rPr>
          <w:rFonts w:hint="eastAsia" w:ascii="仿宋" w:hAnsi="仿宋" w:eastAsia="仿宋" w:cs="仿宋_GB2312"/>
          <w:b/>
          <w:bCs/>
          <w:sz w:val="24"/>
          <w:szCs w:val="24"/>
          <w:lang w:eastAsia="zh-CN"/>
        </w:rPr>
        <w:t>等</w:t>
      </w:r>
      <w:r>
        <w:rPr>
          <w:rFonts w:hint="eastAsia" w:ascii="仿宋" w:hAnsi="仿宋" w:eastAsia="仿宋" w:cs="宋体"/>
          <w:b/>
          <w:bCs/>
          <w:color w:val="FF0000"/>
          <w:sz w:val="24"/>
          <w:szCs w:val="24"/>
          <w:lang w:val="zh-CN"/>
        </w:rPr>
        <w:t>复印件</w:t>
      </w:r>
      <w:r>
        <w:rPr>
          <w:rFonts w:hint="eastAsia" w:ascii="仿宋" w:hAnsi="仿宋" w:eastAsia="仿宋" w:cs="仿宋_GB2312"/>
          <w:b/>
          <w:bCs/>
          <w:sz w:val="24"/>
          <w:szCs w:val="24"/>
        </w:rPr>
        <w:t>）</w:t>
      </w: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AFDAB"/>
    <w:multiLevelType w:val="singleLevel"/>
    <w:tmpl w:val="896AFDAB"/>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4">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A4CB1C"/>
    <w:multiLevelType w:val="singleLevel"/>
    <w:tmpl w:val="28A4CB1C"/>
    <w:lvl w:ilvl="0" w:tentative="0">
      <w:start w:val="19"/>
      <w:numFmt w:val="decimal"/>
      <w:suff w:val="nothing"/>
      <w:lvlText w:val="%1、"/>
      <w:lvlJc w:val="left"/>
    </w:lvl>
  </w:abstractNum>
  <w:abstractNum w:abstractNumId="6">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singleLevel"/>
    <w:tmpl w:val="5A27AEF7"/>
    <w:lvl w:ilvl="0" w:tentative="0">
      <w:start w:val="2"/>
      <w:numFmt w:val="chineseCounting"/>
      <w:suff w:val="nothing"/>
      <w:lvlText w:val="（%1）"/>
      <w:lvlJc w:val="left"/>
    </w:lvl>
  </w:abstractNum>
  <w:abstractNum w:abstractNumId="10">
    <w:nsid w:val="5A30CB82"/>
    <w:multiLevelType w:val="singleLevel"/>
    <w:tmpl w:val="5A30CB82"/>
    <w:lvl w:ilvl="0" w:tentative="0">
      <w:start w:val="1"/>
      <w:numFmt w:val="chineseCounting"/>
      <w:suff w:val="space"/>
      <w:lvlText w:val="第%1部分"/>
      <w:lvlJc w:val="left"/>
    </w:lvl>
  </w:abstractNum>
  <w:num w:numId="1">
    <w:abstractNumId w:val="7"/>
  </w:num>
  <w:num w:numId="2">
    <w:abstractNumId w:val="10"/>
  </w:num>
  <w:num w:numId="3">
    <w:abstractNumId w:val="9"/>
  </w:num>
  <w:num w:numId="4">
    <w:abstractNumId w:val="6"/>
  </w:num>
  <w:num w:numId="5">
    <w:abstractNumId w:val="5"/>
  </w:num>
  <w:num w:numId="6">
    <w:abstractNumId w:val="8"/>
  </w:num>
  <w:num w:numId="7">
    <w:abstractNumId w:val="0"/>
  </w:num>
  <w:num w:numId="8">
    <w:abstractNumId w:val="1"/>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4F1400C"/>
    <w:rsid w:val="054A14EB"/>
    <w:rsid w:val="055236E0"/>
    <w:rsid w:val="05D7384A"/>
    <w:rsid w:val="05F47DA2"/>
    <w:rsid w:val="05F65379"/>
    <w:rsid w:val="05FF5666"/>
    <w:rsid w:val="0603119A"/>
    <w:rsid w:val="064E3245"/>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F0D73B6"/>
    <w:rsid w:val="0F2C7289"/>
    <w:rsid w:val="0FBA420F"/>
    <w:rsid w:val="0FCB4061"/>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6C7451"/>
    <w:rsid w:val="25AD30A0"/>
    <w:rsid w:val="2667745A"/>
    <w:rsid w:val="26E95B4E"/>
    <w:rsid w:val="276906C7"/>
    <w:rsid w:val="278238A3"/>
    <w:rsid w:val="28742078"/>
    <w:rsid w:val="288E3F7A"/>
    <w:rsid w:val="288F49C5"/>
    <w:rsid w:val="2891663A"/>
    <w:rsid w:val="28BF1B33"/>
    <w:rsid w:val="28BF2210"/>
    <w:rsid w:val="28CE556E"/>
    <w:rsid w:val="299315DB"/>
    <w:rsid w:val="29C152D2"/>
    <w:rsid w:val="2A292F06"/>
    <w:rsid w:val="2A29332E"/>
    <w:rsid w:val="2A666F4C"/>
    <w:rsid w:val="2A6671E5"/>
    <w:rsid w:val="2A8574C7"/>
    <w:rsid w:val="2B0B3F2F"/>
    <w:rsid w:val="2B0F0F07"/>
    <w:rsid w:val="2B33679F"/>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D05D89"/>
    <w:rsid w:val="3D574C5D"/>
    <w:rsid w:val="3D724F04"/>
    <w:rsid w:val="3D8F46AB"/>
    <w:rsid w:val="3DB32B5C"/>
    <w:rsid w:val="3DE17511"/>
    <w:rsid w:val="3E0165CC"/>
    <w:rsid w:val="3E0A31F9"/>
    <w:rsid w:val="3E5F6553"/>
    <w:rsid w:val="3E85714B"/>
    <w:rsid w:val="3EB83441"/>
    <w:rsid w:val="3ED405D8"/>
    <w:rsid w:val="3EF23AFC"/>
    <w:rsid w:val="3F4E5E4B"/>
    <w:rsid w:val="3F544F16"/>
    <w:rsid w:val="3FD03003"/>
    <w:rsid w:val="3FD1121A"/>
    <w:rsid w:val="3FDF074D"/>
    <w:rsid w:val="409A7D1F"/>
    <w:rsid w:val="40DD14B7"/>
    <w:rsid w:val="41595C3E"/>
    <w:rsid w:val="42031639"/>
    <w:rsid w:val="420D6E21"/>
    <w:rsid w:val="42551AC7"/>
    <w:rsid w:val="426D69CE"/>
    <w:rsid w:val="43306F54"/>
    <w:rsid w:val="439D162E"/>
    <w:rsid w:val="43AF4EB6"/>
    <w:rsid w:val="43DA0DF8"/>
    <w:rsid w:val="43F21A5E"/>
    <w:rsid w:val="449D0BDB"/>
    <w:rsid w:val="44A75B9D"/>
    <w:rsid w:val="44B3362C"/>
    <w:rsid w:val="44CC251D"/>
    <w:rsid w:val="44ED61E4"/>
    <w:rsid w:val="44F765DB"/>
    <w:rsid w:val="452D2CD2"/>
    <w:rsid w:val="454E1873"/>
    <w:rsid w:val="45570A50"/>
    <w:rsid w:val="46FF7143"/>
    <w:rsid w:val="476E4F77"/>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C0E0B24"/>
    <w:rsid w:val="4D226E99"/>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90DD6"/>
    <w:rsid w:val="5CDE1B94"/>
    <w:rsid w:val="5D2B1C2D"/>
    <w:rsid w:val="5D46762B"/>
    <w:rsid w:val="5DAD4A6A"/>
    <w:rsid w:val="5DD07849"/>
    <w:rsid w:val="5E6E4ACB"/>
    <w:rsid w:val="5EEA3B04"/>
    <w:rsid w:val="5F092277"/>
    <w:rsid w:val="5F4B6391"/>
    <w:rsid w:val="5F50568C"/>
    <w:rsid w:val="5F8471B4"/>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8F46C6"/>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9D2695D"/>
    <w:rsid w:val="7A031854"/>
    <w:rsid w:val="7A054779"/>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EE12BCD"/>
    <w:rsid w:val="7F0F3D7E"/>
    <w:rsid w:val="7F17791C"/>
    <w:rsid w:val="7F3B2004"/>
    <w:rsid w:val="7FA06F85"/>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2"/>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3"/>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2"/>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TotalTime>4</TotalTime>
  <ScaleCrop>false</ScaleCrop>
  <LinksUpToDate>false</LinksUpToDate>
  <CharactersWithSpaces>53671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2017-10-17T02:26:00Z</cp:lastPrinted>
  <dcterms:modified xsi:type="dcterms:W3CDTF">2018-05-10T03:48:09Z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