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许昌经济技术开发区公安消防大队“举高喷射消防车”项目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隶书" w:eastAsia="隶书" w:hAnsiTheme="majorEastAsia" w:cstheme="majorEastAsia"/>
          <w:bCs/>
          <w:color w:val="000000"/>
          <w:w w:val="90"/>
          <w:sz w:val="120"/>
          <w:szCs w:val="120"/>
        </w:rPr>
      </w:pPr>
      <w:r>
        <w:rPr>
          <w:rFonts w:hint="eastAsia" w:ascii="隶书" w:eastAsia="隶书" w:hAnsiTheme="majorEastAsia" w:cstheme="majorEastAsia"/>
          <w:bCs/>
          <w:color w:val="000000"/>
          <w:w w:val="90"/>
          <w:sz w:val="120"/>
          <w:szCs w:val="120"/>
        </w:rPr>
        <w:t>招标文件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项目编号：JZFCG-G2018005-2号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采购单位：许昌经济技术开发区公安消防大队</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代理机构：许昌光大电子商务技术服务有限公司</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w:t>
      </w:r>
      <w:r>
        <w:rPr>
          <w:rFonts w:hint="eastAsia" w:asciiTheme="majorEastAsia" w:hAnsiTheme="majorEastAsia" w:eastAsiaTheme="majorEastAsia" w:cstheme="majorEastAsia"/>
          <w:b/>
          <w:bCs/>
          <w:color w:val="000000"/>
          <w:sz w:val="36"/>
          <w:szCs w:val="36"/>
          <w:lang w:eastAsia="zh-CN"/>
        </w:rPr>
        <w:t>四</w:t>
      </w:r>
      <w:r>
        <w:rPr>
          <w:rFonts w:hint="eastAsia" w:asciiTheme="majorEastAsia" w:hAnsiTheme="majorEastAsia" w:eastAsiaTheme="majorEastAsia" w:cstheme="majorEastAsia"/>
          <w:b/>
          <w:bCs/>
          <w:color w:val="000000"/>
          <w:sz w:val="36"/>
          <w:szCs w:val="36"/>
        </w:rPr>
        <w:t>月</w:t>
      </w: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pStyle w:val="2"/>
        <w:ind w:firstLine="340"/>
      </w:pPr>
    </w:p>
    <w:p>
      <w:pPr>
        <w:pStyle w:val="19"/>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19"/>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19"/>
        <w:widowControl/>
        <w:shd w:val="clear" w:color="auto" w:fill="FFFFFF"/>
        <w:spacing w:line="440" w:lineRule="exact"/>
        <w:ind w:firstLine="424" w:firstLineChars="176"/>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shd w:val="clear" w:color="auto" w:fill="FFFFFF"/>
        </w:rPr>
        <w:t>一、项目基本情况</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w:t>
      </w:r>
      <w:r>
        <w:rPr>
          <w:rFonts w:hint="eastAsia" w:ascii="宋体" w:hAnsi="宋体" w:cs="宋体"/>
          <w:shd w:val="clear" w:color="auto" w:fill="FFFFFF"/>
        </w:rPr>
        <w:t>举高喷射消防车</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（二）项目编号：JZFCG-G2018005-2号    </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（三）采购方式：</w:t>
      </w:r>
      <w:r>
        <w:rPr>
          <w:rFonts w:hint="eastAsia" w:ascii="宋体" w:hAnsi="宋体" w:cs="宋体"/>
          <w:color w:val="000000"/>
          <w:kern w:val="0"/>
        </w:rPr>
        <w:t>公开招标</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（四）项目主要内容、数量及要求：</w:t>
      </w:r>
      <w:r>
        <w:rPr>
          <w:rFonts w:hint="eastAsia" w:ascii="宋体" w:hAnsi="宋体" w:cs="宋体"/>
          <w:shd w:val="clear" w:color="auto" w:fill="FFFFFF"/>
        </w:rPr>
        <w:t>举高喷射消防车</w:t>
      </w:r>
      <w:r>
        <w:rPr>
          <w:rFonts w:hint="eastAsia" w:cs="仿宋_GB2312" w:asciiTheme="minorEastAsia" w:hAnsiTheme="minorEastAsia" w:eastAsiaTheme="minorEastAsia"/>
          <w:color w:val="000000"/>
          <w:shd w:val="clear" w:color="auto" w:fill="FFFFFF"/>
        </w:rPr>
        <w:t>一台，</w:t>
      </w:r>
      <w:r>
        <w:rPr>
          <w:rFonts w:hint="eastAsia" w:cs="仿宋_GB2312" w:asciiTheme="minorEastAsia" w:hAnsiTheme="minorEastAsia"/>
        </w:rPr>
        <w:t>随车器具一批</w:t>
      </w:r>
      <w:r>
        <w:rPr>
          <w:rFonts w:hint="eastAsia" w:cs="仿宋_GB2312" w:asciiTheme="minorEastAsia" w:hAnsiTheme="minorEastAsia" w:eastAsiaTheme="minorEastAsia"/>
          <w:color w:val="000000"/>
          <w:shd w:val="clear" w:color="auto" w:fill="FFFFFF"/>
        </w:rPr>
        <w:t>。</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（五）预算金额：150万元。最高限价：150万元。</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（六）交付（服务、完工）时间：</w:t>
      </w:r>
      <w:r>
        <w:rPr>
          <w:rFonts w:hint="eastAsia" w:ascii="宋体" w:hAnsi="宋体" w:cs="宋体"/>
          <w:shd w:val="clear" w:color="auto" w:fill="FFFFFF"/>
        </w:rPr>
        <w:t>合同签订后90天内交货。</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（七）交付（服务、完工）地点：</w:t>
      </w:r>
      <w:r>
        <w:rPr>
          <w:rFonts w:hint="eastAsia" w:ascii="宋体" w:hAnsi="宋体" w:cs="宋体"/>
          <w:color w:val="000000"/>
          <w:kern w:val="0"/>
        </w:rPr>
        <w:t>许昌经济技术开发区公安消防大队</w:t>
      </w:r>
      <w:r>
        <w:rPr>
          <w:rFonts w:hint="eastAsia" w:ascii="宋体" w:hAnsi="宋体" w:cs="宋体"/>
          <w:shd w:val="clear" w:color="auto" w:fill="FFFFFF"/>
        </w:rPr>
        <w:t>。</w:t>
      </w:r>
    </w:p>
    <w:p>
      <w:pPr>
        <w:pStyle w:val="19"/>
        <w:widowControl/>
        <w:shd w:val="clear" w:color="auto" w:fill="FFFFFF"/>
        <w:spacing w:line="440" w:lineRule="exact"/>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本项目落实节能环保、中小微型企业、监狱企业、残疾人福利性单位扶持等相关政府采购政策。</w:t>
      </w:r>
    </w:p>
    <w:p>
      <w:pPr>
        <w:pStyle w:val="19"/>
        <w:widowControl/>
        <w:shd w:val="clear" w:color="auto" w:fill="FFFFFF"/>
        <w:spacing w:line="440" w:lineRule="exact"/>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hd w:val="clear" w:color="auto" w:fill="FFFFFF"/>
        </w:rPr>
        <w:t>；</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（三）不接受联合体投标。</w:t>
      </w:r>
    </w:p>
    <w:p>
      <w:pPr>
        <w:pStyle w:val="19"/>
        <w:widowControl/>
        <w:shd w:val="clear" w:color="auto" w:fill="FFFFFF"/>
        <w:spacing w:line="440" w:lineRule="exact"/>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w:t>
      </w:r>
      <w:r>
        <w:rPr>
          <w:rFonts w:hint="eastAsia" w:cs="仿宋_GB2312" w:asciiTheme="minorEastAsia" w:hAnsiTheme="minorEastAsia" w:eastAsiaTheme="minorEastAsia"/>
          <w:color w:val="000000"/>
          <w:u w:val="single"/>
          <w:shd w:val="clear" w:color="auto" w:fill="FFFFFF"/>
        </w:rPr>
        <w:t>300</w:t>
      </w:r>
      <w:r>
        <w:rPr>
          <w:rFonts w:hint="eastAsia" w:cs="仿宋_GB2312" w:asciiTheme="minorEastAsia" w:hAnsiTheme="minorEastAsia" w:eastAsiaTheme="minorEastAsia"/>
          <w:color w:val="000000"/>
          <w:shd w:val="clear" w:color="auto" w:fill="FFFFFF"/>
        </w:rPr>
        <w:t>元/套，投标人在递交投标文件时向采购代理机构交纳采购文件费用，售后不退。</w:t>
      </w:r>
    </w:p>
    <w:p>
      <w:pPr>
        <w:pStyle w:val="19"/>
        <w:widowControl/>
        <w:shd w:val="clear" w:color="auto" w:fill="FFFFFF"/>
        <w:spacing w:line="440" w:lineRule="exact"/>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（一）投标截止及开标时间：2018年4月</w:t>
      </w:r>
      <w:r>
        <w:rPr>
          <w:rFonts w:hint="eastAsia" w:cs="仿宋_GB2312" w:asciiTheme="minorEastAsia" w:hAnsiTheme="minorEastAsia" w:eastAsiaTheme="minorEastAsia"/>
          <w:color w:val="000000"/>
          <w:lang w:val="en-US" w:eastAsia="zh-CN"/>
        </w:rPr>
        <w:t>27</w:t>
      </w:r>
      <w:r>
        <w:rPr>
          <w:rFonts w:hint="eastAsia" w:cs="仿宋_GB2312" w:asciiTheme="minorEastAsia" w:hAnsiTheme="minorEastAsia" w:eastAsiaTheme="minorEastAsia"/>
          <w:color w:val="000000"/>
        </w:rPr>
        <w:t>日9时30分（北京时间），逾期提交或不符合规定的投标文件不予接受。</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（二）开标地点：许昌市公共资源交易中心（龙兴路与竹林路交汇处公共资源大厦）三楼开标3室。</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1、加密电子投标文件（.file格式）须在投标截止时间（开标时间）前通过《全国公共资源交易平台(河南省▪许昌市)》公共资源交易系统成功上传。</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2、纸质投标文件（正本、副本各1份）和备份文件1份（使用电子介质存储）在投标截止时间（开标时间）前递交至本项目开标地点。</w:t>
      </w:r>
    </w:p>
    <w:p>
      <w:pPr>
        <w:pStyle w:val="19"/>
        <w:widowControl/>
        <w:shd w:val="clear" w:color="auto" w:fill="FFFFFF"/>
        <w:spacing w:line="440" w:lineRule="exact"/>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440" w:lineRule="exact"/>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19"/>
        <w:widowControl/>
        <w:shd w:val="clear" w:color="auto" w:fill="FFFFFF"/>
        <w:spacing w:line="440" w:lineRule="exact"/>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采购人：</w:t>
      </w:r>
      <w:r>
        <w:rPr>
          <w:rFonts w:hint="eastAsia" w:ascii="宋体" w:hAnsi="宋体" w:cs="宋体"/>
          <w:kern w:val="0"/>
        </w:rPr>
        <w:t>许昌经济技术开发区公安消防大队</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w:t>
      </w:r>
      <w:r>
        <w:rPr>
          <w:rFonts w:hint="eastAsia" w:ascii="宋体" w:hAnsi="宋体" w:cs="宋体"/>
          <w:kern w:val="0"/>
        </w:rPr>
        <w:t>许昌市工农路与瑞昌路交叉口</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w:t>
      </w:r>
      <w:r>
        <w:rPr>
          <w:rFonts w:hint="eastAsia" w:ascii="宋体" w:hAnsi="宋体" w:cs="宋体"/>
          <w:kern w:val="0"/>
        </w:rPr>
        <w:t>王景陶</w:t>
      </w:r>
      <w:r>
        <w:rPr>
          <w:rFonts w:hint="eastAsia" w:cs="仿宋_GB2312" w:asciiTheme="minorEastAsia" w:hAnsiTheme="minorEastAsia" w:eastAsiaTheme="minorEastAsia"/>
          <w:color w:val="000000"/>
        </w:rPr>
        <w:t xml:space="preserve">          联系电话：</w:t>
      </w:r>
      <w:r>
        <w:rPr>
          <w:rFonts w:hint="eastAsia" w:ascii="宋体" w:hAnsi="宋体" w:cs="宋体"/>
          <w:kern w:val="0"/>
        </w:rPr>
        <w:t>15038913726</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代理机构：</w:t>
      </w:r>
      <w:r>
        <w:rPr>
          <w:rFonts w:hint="eastAsia" w:ascii="宋体" w:hAnsi="宋体" w:cs="宋体"/>
          <w:kern w:val="0"/>
        </w:rPr>
        <w:t>许昌光大电子商务技术服务有限公司</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w:t>
      </w:r>
      <w:r>
        <w:fldChar w:fldCharType="begin"/>
      </w:r>
      <w:r>
        <w:instrText xml:space="preserve"> HYPERLINK "mailto:xcgdzfcg@126.com；地址：许昌市莲城大道亨源通世广场1号楼401" </w:instrText>
      </w:r>
      <w:r>
        <w:fldChar w:fldCharType="separate"/>
      </w:r>
      <w:r>
        <w:rPr>
          <w:rFonts w:hint="eastAsia" w:ascii="宋体" w:hAnsi="宋体" w:cs="宋体"/>
          <w:kern w:val="0"/>
        </w:rPr>
        <w:t>许昌市莲城大道亨源通世纪广场1号楼401</w:t>
      </w:r>
      <w:r>
        <w:rPr>
          <w:rFonts w:hint="eastAsia" w:ascii="宋体" w:hAnsi="宋体" w:cs="宋体"/>
          <w:kern w:val="0"/>
        </w:rPr>
        <w:fldChar w:fldCharType="end"/>
      </w:r>
      <w:r>
        <w:rPr>
          <w:rFonts w:hint="eastAsia" w:ascii="宋体" w:hAnsi="宋体" w:cs="宋体"/>
          <w:kern w:val="0"/>
        </w:rPr>
        <w:t>室</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联系人：刘艳艳           联系电话：</w:t>
      </w:r>
      <w:r>
        <w:rPr>
          <w:rFonts w:hint="eastAsia" w:ascii="宋体" w:hAnsi="宋体" w:cs="宋体"/>
          <w:kern w:val="0"/>
        </w:rPr>
        <w:t>13323993003</w:t>
      </w:r>
    </w:p>
    <w:p>
      <w:pPr>
        <w:spacing w:line="440" w:lineRule="exact"/>
        <w:rPr>
          <w:rFonts w:asciiTheme="minorEastAsia" w:hAnsiTheme="minorEastAsia"/>
          <w:sz w:val="24"/>
          <w:szCs w:val="24"/>
        </w:rPr>
      </w:pPr>
    </w:p>
    <w:p>
      <w:pPr>
        <w:spacing w:line="440" w:lineRule="exact"/>
        <w:rPr>
          <w:rFonts w:cs="仿宋_GB2312" w:asciiTheme="minorEastAsia" w:hAnsiTheme="minorEastAsia"/>
          <w:color w:val="000000"/>
          <w:sz w:val="24"/>
          <w:szCs w:val="24"/>
          <w:shd w:val="clear" w:color="auto" w:fill="FFFFFF"/>
        </w:rPr>
      </w:pPr>
    </w:p>
    <w:p>
      <w:pPr>
        <w:autoSpaceDE w:val="0"/>
        <w:autoSpaceDN w:val="0"/>
        <w:adjustRightInd w:val="0"/>
        <w:spacing w:line="440" w:lineRule="exact"/>
        <w:ind w:firstLine="4395"/>
        <w:rPr>
          <w:rFonts w:cs="仿宋_GB2312" w:asciiTheme="minorEastAsia" w:hAnsiTheme="minorEastAsia"/>
          <w:color w:val="000000"/>
          <w:sz w:val="24"/>
          <w:szCs w:val="24"/>
        </w:rPr>
      </w:pPr>
      <w:r>
        <w:rPr>
          <w:rFonts w:hint="eastAsia" w:asciiTheme="minorEastAsia" w:hAnsiTheme="minorEastAsia" w:cstheme="majorEastAsia"/>
          <w:sz w:val="24"/>
          <w:szCs w:val="24"/>
          <w:lang w:val="zh-CN"/>
        </w:rPr>
        <w:t>许昌经济技术开发区公安消防大队</w:t>
      </w:r>
    </w:p>
    <w:p>
      <w:pPr>
        <w:autoSpaceDE w:val="0"/>
        <w:autoSpaceDN w:val="0"/>
        <w:adjustRightInd w:val="0"/>
        <w:spacing w:line="440" w:lineRule="exact"/>
        <w:ind w:firstLine="4992" w:firstLineChars="208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二〇一八年</w:t>
      </w:r>
      <w:r>
        <w:rPr>
          <w:rFonts w:hint="eastAsia" w:cs="仿宋_GB2312" w:asciiTheme="minorEastAsia" w:hAnsiTheme="minorEastAsia"/>
          <w:color w:val="000000"/>
          <w:sz w:val="24"/>
          <w:szCs w:val="24"/>
          <w:lang w:eastAsia="zh-CN"/>
        </w:rPr>
        <w:t>四</w:t>
      </w:r>
      <w:r>
        <w:rPr>
          <w:rFonts w:hint="eastAsia" w:cs="仿宋_GB2312" w:asciiTheme="minorEastAsia" w:hAnsiTheme="minorEastAsia"/>
          <w:color w:val="000000"/>
          <w:sz w:val="24"/>
          <w:szCs w:val="24"/>
        </w:rPr>
        <w:t>月</w:t>
      </w:r>
      <w:r>
        <w:rPr>
          <w:rFonts w:hint="eastAsia" w:cs="仿宋_GB2312" w:asciiTheme="minorEastAsia" w:hAnsiTheme="minorEastAsia"/>
          <w:color w:val="000000"/>
          <w:sz w:val="24"/>
          <w:szCs w:val="24"/>
          <w:lang w:eastAsia="zh-CN"/>
        </w:rPr>
        <w:t>四</w:t>
      </w:r>
      <w:bookmarkStart w:id="33" w:name="_GoBack"/>
      <w:bookmarkEnd w:id="33"/>
      <w:r>
        <w:rPr>
          <w:rFonts w:hint="eastAsia" w:cs="仿宋_GB2312" w:asciiTheme="minorEastAsia" w:hAnsiTheme="minorEastAsia"/>
          <w:color w:val="000000"/>
          <w:sz w:val="24"/>
          <w:szCs w:val="24"/>
        </w:rPr>
        <w:t>日</w:t>
      </w:r>
    </w:p>
    <w:p>
      <w:pPr>
        <w:spacing w:line="360" w:lineRule="auto"/>
        <w:rPr>
          <w:rFonts w:hint="eastAsia" w:ascii="宋体" w:hAnsi="宋体" w:eastAsia="宋体" w:cs="宋体"/>
          <w:b/>
          <w:sz w:val="28"/>
          <w:szCs w:val="28"/>
        </w:rPr>
      </w:pPr>
      <w:r>
        <w:rPr>
          <w:rFonts w:hint="eastAsia" w:ascii="宋体" w:hAnsi="宋体" w:eastAsia="宋体" w:cs="宋体"/>
          <w:b/>
          <w:sz w:val="32"/>
          <w:szCs w:val="32"/>
        </w:rPr>
        <w:t>温馨提示</w:t>
      </w:r>
      <w:r>
        <w:rPr>
          <w:rFonts w:hint="eastAsia" w:ascii="宋体" w:hAnsi="宋体" w:eastAsia="宋体" w:cs="宋体"/>
          <w:b/>
          <w:sz w:val="28"/>
          <w:szCs w:val="28"/>
        </w:rPr>
        <w:t>：</w:t>
      </w:r>
    </w:p>
    <w:p>
      <w:p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int="eastAsia" w:ascii="宋体" w:hAnsi="宋体" w:eastAsia="宋体" w:cs="宋体"/>
          <w:b/>
          <w:color w:val="000000"/>
          <w:sz w:val="24"/>
          <w:szCs w:val="24"/>
        </w:rPr>
      </w:pPr>
      <w:r>
        <w:rPr>
          <w:rFonts w:hint="eastAsia" w:ascii="宋体" w:hAnsi="宋体" w:eastAsia="宋体" w:cs="宋体"/>
          <w:b/>
          <w:color w:val="000000"/>
          <w:sz w:val="24"/>
          <w:szCs w:val="24"/>
        </w:rPr>
        <w:t>1.投标人应按招标文件规定编制、提交电子投标文件和纸质投标文件。开、评标现场不接受投标人递交的备份电子投标文件和纸质投标文件以外的其他资料。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int="eastAsia" w:ascii="宋体" w:hAnsi="宋体" w:eastAsia="宋体" w:cs="宋体"/>
          <w:b/>
          <w:color w:val="000000"/>
          <w:sz w:val="24"/>
          <w:szCs w:val="24"/>
        </w:rPr>
      </w:pPr>
      <w:r>
        <w:rPr>
          <w:rFonts w:hint="eastAsia" w:ascii="宋体" w:hAnsi="宋体" w:eastAsia="宋体" w:cs="宋体"/>
          <w:b/>
          <w:color w:val="000000"/>
          <w:sz w:val="24"/>
          <w:szCs w:val="24"/>
        </w:rPr>
        <w:t>2.电子文件下载、制作、提交期间和开标（</w:t>
      </w:r>
      <w:r>
        <w:rPr>
          <w:rFonts w:hint="eastAsia" w:ascii="宋体" w:hAnsi="宋体" w:eastAsia="宋体" w:cs="宋体"/>
          <w:sz w:val="24"/>
          <w:szCs w:val="24"/>
        </w:rPr>
        <w:t>电子投标文件的解密</w:t>
      </w:r>
      <w:r>
        <w:rPr>
          <w:rFonts w:hint="eastAsia" w:ascii="宋体" w:hAnsi="宋体" w:eastAsia="宋体" w:cs="宋体"/>
          <w:b/>
          <w:color w:val="000000"/>
          <w:sz w:val="24"/>
          <w:szCs w:val="24"/>
        </w:rPr>
        <w:t>）环节，投标人须使用CA数字证书（证书须在有效期内）。</w:t>
      </w:r>
    </w:p>
    <w:p>
      <w:pPr>
        <w:tabs>
          <w:tab w:val="left" w:pos="7095"/>
        </w:tabs>
        <w:spacing w:line="360" w:lineRule="auto"/>
        <w:ind w:firstLine="482" w:firstLineChars="200"/>
        <w:contextualSpacing/>
        <w:rPr>
          <w:rFonts w:hint="eastAsia" w:ascii="宋体" w:hAnsi="宋体" w:eastAsia="宋体" w:cs="宋体"/>
          <w:b/>
          <w:color w:val="000000"/>
          <w:sz w:val="24"/>
          <w:szCs w:val="24"/>
        </w:rPr>
      </w:pPr>
      <w:r>
        <w:rPr>
          <w:rFonts w:hint="eastAsia" w:ascii="宋体" w:hAnsi="宋体" w:eastAsia="宋体" w:cs="宋体"/>
          <w:b/>
          <w:color w:val="000000"/>
          <w:sz w:val="24"/>
          <w:szCs w:val="24"/>
        </w:rPr>
        <w:t>3.电子投标文件的制作</w:t>
      </w:r>
    </w:p>
    <w:p>
      <w:pPr>
        <w:tabs>
          <w:tab w:val="left" w:pos="7095"/>
        </w:tabs>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3.1 投标人登录《全国公共资源交易平台(河南省▪许昌市)》公共资源交易系统（</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"http://221.14.6.70:8088/ggzy/" </w:instrText>
      </w:r>
      <w:r>
        <w:rPr>
          <w:rFonts w:hint="eastAsia" w:ascii="宋体" w:hAnsi="宋体" w:eastAsia="宋体" w:cs="宋体"/>
          <w:color w:val="auto"/>
        </w:rPr>
        <w:fldChar w:fldCharType="separate"/>
      </w:r>
      <w:r>
        <w:rPr>
          <w:rStyle w:val="23"/>
          <w:rFonts w:hint="eastAsia" w:ascii="宋体" w:hAnsi="宋体" w:eastAsia="宋体" w:cs="宋体"/>
          <w:color w:val="auto"/>
          <w:sz w:val="24"/>
          <w:szCs w:val="24"/>
        </w:rPr>
        <w:t>http://221.14.6.70:8088/ggzy/</w:t>
      </w:r>
      <w:r>
        <w:rPr>
          <w:rStyle w:val="23"/>
          <w:rFonts w:hint="eastAsia" w:ascii="宋体" w:hAnsi="宋体" w:eastAsia="宋体" w:cs="宋体"/>
          <w:color w:val="auto"/>
          <w:sz w:val="24"/>
          <w:szCs w:val="24"/>
        </w:rPr>
        <w:fldChar w:fldCharType="end"/>
      </w:r>
      <w:r>
        <w:rPr>
          <w:rFonts w:hint="eastAsia" w:ascii="宋体" w:hAnsi="宋体" w:eastAsia="宋体" w:cs="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hint="eastAsia" w:ascii="宋体" w:hAnsi="宋体" w:eastAsia="宋体" w:cs="宋体"/>
          <w:color w:val="auto"/>
          <w:sz w:val="24"/>
          <w:szCs w:val="24"/>
        </w:rPr>
      </w:pPr>
      <w:r>
        <w:rPr>
          <w:rFonts w:hint="eastAsia" w:ascii="宋体" w:hAnsi="宋体" w:eastAsia="宋体" w:cs="宋体"/>
          <w:color w:val="auto"/>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int="eastAsia" w:ascii="宋体" w:hAnsi="宋体" w:eastAsia="宋体" w:cs="宋体"/>
          <w:b/>
          <w:color w:val="auto"/>
          <w:sz w:val="24"/>
          <w:szCs w:val="24"/>
        </w:rPr>
      </w:pPr>
      <w:r>
        <w:rPr>
          <w:rFonts w:hint="eastAsia" w:ascii="宋体" w:hAnsi="宋体" w:eastAsia="宋体" w:cs="宋体"/>
          <w:b/>
          <w:color w:val="auto"/>
          <w:sz w:val="24"/>
          <w:szCs w:val="24"/>
        </w:rPr>
        <w:t>4.加密电子投标文件的提交</w:t>
      </w:r>
    </w:p>
    <w:p>
      <w:pPr>
        <w:tabs>
          <w:tab w:val="left" w:pos="7095"/>
        </w:tabs>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4.1加密电子投标文件应在招标文件规定的投标截止时间（开标时间）之前成功提交至《全国公共资源交易平台(河南省▪许昌市)》公共资源交易系统（</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"http://221.14.6.70:8088/ggzy/" </w:instrText>
      </w:r>
      <w:r>
        <w:rPr>
          <w:rFonts w:hint="eastAsia" w:ascii="宋体" w:hAnsi="宋体" w:eastAsia="宋体" w:cs="宋体"/>
          <w:color w:val="auto"/>
        </w:rPr>
        <w:fldChar w:fldCharType="separate"/>
      </w:r>
      <w:r>
        <w:rPr>
          <w:rStyle w:val="23"/>
          <w:rFonts w:hint="eastAsia" w:ascii="宋体" w:hAnsi="宋体" w:eastAsia="宋体" w:cs="宋体"/>
          <w:color w:val="auto"/>
          <w:sz w:val="24"/>
          <w:szCs w:val="24"/>
        </w:rPr>
        <w:t>http://221.14.6.70:8088/ggzy/</w:t>
      </w:r>
      <w:r>
        <w:rPr>
          <w:rStyle w:val="23"/>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p>
    <w:p>
      <w:pPr>
        <w:tabs>
          <w:tab w:val="left" w:pos="7095"/>
        </w:tabs>
        <w:spacing w:line="360" w:lineRule="auto"/>
        <w:ind w:firstLine="480" w:firstLineChars="20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4.2 投标人对同一项目多个标段进行投标的，加密电子投标文件应按标段分别提交。</w:t>
      </w:r>
    </w:p>
    <w:p>
      <w:pPr>
        <w:tabs>
          <w:tab w:val="left" w:pos="7095"/>
        </w:tabs>
        <w:spacing w:line="360" w:lineRule="auto"/>
        <w:ind w:firstLine="480" w:firstLineChars="20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4.3 加密电子投标文件成功提交后，投标人应打印“投标文件提交回执单”供开标现场备查。</w:t>
      </w:r>
    </w:p>
    <w:p>
      <w:pPr>
        <w:tabs>
          <w:tab w:val="left" w:pos="7095"/>
        </w:tabs>
        <w:spacing w:line="360" w:lineRule="auto"/>
        <w:ind w:firstLine="482" w:firstLineChars="200"/>
        <w:contextualSpacing/>
        <w:rPr>
          <w:rFonts w:hint="eastAsia" w:ascii="宋体" w:hAnsi="宋体" w:eastAsia="宋体" w:cs="宋体"/>
          <w:b/>
          <w:color w:val="000000"/>
          <w:sz w:val="24"/>
          <w:szCs w:val="24"/>
        </w:rPr>
      </w:pPr>
      <w:r>
        <w:rPr>
          <w:rFonts w:hint="eastAsia" w:ascii="宋体" w:hAnsi="宋体" w:eastAsia="宋体" w:cs="宋体"/>
          <w:b/>
          <w:color w:val="000000"/>
          <w:sz w:val="24"/>
          <w:szCs w:val="24"/>
        </w:rPr>
        <w:t>5.评标依据</w:t>
      </w:r>
    </w:p>
    <w:p>
      <w:pPr>
        <w:tabs>
          <w:tab w:val="left" w:pos="7095"/>
        </w:tabs>
        <w:spacing w:line="360" w:lineRule="auto"/>
        <w:ind w:firstLine="480" w:firstLineChars="20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5.2全流程电子化交易如因系统异常情况无法完成，将以人工方式进行。评标委员会以纸质投标文件为依据评标。</w:t>
      </w:r>
    </w:p>
    <w:p>
      <w:pPr>
        <w:widowControl/>
        <w:jc w:val="left"/>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ind w:firstLine="3253" w:firstLineChars="9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第二章 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黑体" w:asciiTheme="minorEastAsia" w:hAnsiTheme="minorEastAsia"/>
          <w:b/>
          <w:bCs/>
          <w:color w:val="000000"/>
          <w:sz w:val="24"/>
          <w:szCs w:val="24"/>
          <w:shd w:val="clear" w:color="auto" w:fill="FFFFFF"/>
        </w:rPr>
        <w:t>一、</w:t>
      </w:r>
      <w:r>
        <w:rPr>
          <w:rFonts w:hint="eastAsia" w:cs="微软雅黑" w:asciiTheme="minorEastAsia" w:hAnsiTheme="minorEastAsia"/>
          <w:b/>
          <w:sz w:val="24"/>
          <w:szCs w:val="24"/>
        </w:rPr>
        <w:t>货物需求</w:t>
      </w:r>
    </w:p>
    <w:tbl>
      <w:tblPr>
        <w:tblStyle w:val="24"/>
        <w:tblW w:w="10155" w:type="dxa"/>
        <w:tblInd w:w="-3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020"/>
        <w:gridCol w:w="6360"/>
        <w:gridCol w:w="510"/>
        <w:gridCol w:w="51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Align w:val="center"/>
          </w:tcPr>
          <w:p>
            <w:pPr>
              <w:pStyle w:val="2"/>
              <w:spacing w:after="0"/>
              <w:ind w:firstLine="0" w:firstLineChars="0"/>
              <w:jc w:val="center"/>
              <w:rPr>
                <w:rFonts w:hAnsi="宋体" w:cs="宋体"/>
                <w:b/>
                <w:sz w:val="21"/>
                <w:szCs w:val="21"/>
              </w:rPr>
            </w:pPr>
            <w:r>
              <w:rPr>
                <w:rFonts w:hint="eastAsia" w:hAnsi="宋体" w:cs="宋体"/>
                <w:b/>
                <w:sz w:val="21"/>
                <w:szCs w:val="21"/>
              </w:rPr>
              <w:t>序号</w:t>
            </w:r>
          </w:p>
        </w:tc>
        <w:tc>
          <w:tcPr>
            <w:tcW w:w="1020" w:type="dxa"/>
            <w:vAlign w:val="center"/>
          </w:tcPr>
          <w:p>
            <w:pPr>
              <w:pStyle w:val="2"/>
              <w:spacing w:after="0"/>
              <w:ind w:firstLine="0" w:firstLineChars="0"/>
              <w:jc w:val="center"/>
              <w:rPr>
                <w:rFonts w:hAnsi="宋体" w:cs="宋体"/>
                <w:b/>
                <w:sz w:val="21"/>
                <w:szCs w:val="21"/>
              </w:rPr>
            </w:pPr>
            <w:r>
              <w:rPr>
                <w:rFonts w:hint="eastAsia" w:hAnsi="宋体" w:cs="宋体"/>
                <w:b/>
                <w:sz w:val="21"/>
                <w:szCs w:val="21"/>
              </w:rPr>
              <w:t>货物名称</w:t>
            </w:r>
          </w:p>
        </w:tc>
        <w:tc>
          <w:tcPr>
            <w:tcW w:w="6360" w:type="dxa"/>
            <w:vAlign w:val="center"/>
          </w:tcPr>
          <w:p>
            <w:pPr>
              <w:pStyle w:val="2"/>
              <w:spacing w:after="0"/>
              <w:ind w:firstLine="0" w:firstLineChars="0"/>
              <w:jc w:val="center"/>
              <w:rPr>
                <w:rFonts w:hAnsi="宋体" w:cs="宋体"/>
                <w:b/>
                <w:sz w:val="21"/>
                <w:szCs w:val="21"/>
              </w:rPr>
            </w:pPr>
            <w:r>
              <w:rPr>
                <w:rFonts w:hint="eastAsia" w:hAnsi="宋体" w:cs="宋体"/>
                <w:b/>
                <w:sz w:val="21"/>
                <w:szCs w:val="21"/>
              </w:rPr>
              <w:t>技术参数及功能要求</w:t>
            </w:r>
          </w:p>
        </w:tc>
        <w:tc>
          <w:tcPr>
            <w:tcW w:w="510" w:type="dxa"/>
            <w:vAlign w:val="center"/>
          </w:tcPr>
          <w:p>
            <w:pPr>
              <w:pStyle w:val="2"/>
              <w:spacing w:after="0"/>
              <w:ind w:firstLine="0" w:firstLineChars="0"/>
              <w:jc w:val="center"/>
              <w:rPr>
                <w:rFonts w:hAnsi="宋体" w:cs="宋体"/>
                <w:b/>
                <w:color w:val="auto"/>
                <w:sz w:val="21"/>
                <w:szCs w:val="21"/>
              </w:rPr>
            </w:pPr>
            <w:r>
              <w:rPr>
                <w:rFonts w:hint="eastAsia" w:hAnsi="宋体" w:cs="宋体"/>
                <w:b/>
                <w:color w:val="auto"/>
                <w:sz w:val="21"/>
                <w:szCs w:val="21"/>
              </w:rPr>
              <w:t>单位</w:t>
            </w:r>
          </w:p>
        </w:tc>
        <w:tc>
          <w:tcPr>
            <w:tcW w:w="510" w:type="dxa"/>
            <w:vAlign w:val="center"/>
          </w:tcPr>
          <w:p>
            <w:pPr>
              <w:pStyle w:val="2"/>
              <w:spacing w:after="0"/>
              <w:ind w:firstLine="0" w:firstLineChars="0"/>
              <w:jc w:val="center"/>
              <w:rPr>
                <w:rFonts w:hAnsi="宋体" w:cs="宋体"/>
                <w:b/>
                <w:color w:val="auto"/>
                <w:sz w:val="21"/>
                <w:szCs w:val="21"/>
              </w:rPr>
            </w:pPr>
            <w:r>
              <w:rPr>
                <w:rFonts w:hint="eastAsia" w:hAnsi="宋体" w:cs="宋体"/>
                <w:b/>
                <w:color w:val="auto"/>
                <w:sz w:val="21"/>
                <w:szCs w:val="21"/>
              </w:rPr>
              <w:t>数量</w:t>
            </w:r>
          </w:p>
        </w:tc>
        <w:tc>
          <w:tcPr>
            <w:tcW w:w="1095" w:type="dxa"/>
            <w:vAlign w:val="center"/>
          </w:tcPr>
          <w:p>
            <w:pPr>
              <w:widowControl/>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是否为</w:t>
            </w:r>
          </w:p>
          <w:p>
            <w:pPr>
              <w:widowControl/>
              <w:contextualSpacing/>
              <w:jc w:val="center"/>
              <w:rPr>
                <w:rFonts w:ascii="宋体" w:hAnsi="宋体" w:eastAsia="宋体" w:cs="宋体"/>
                <w:b/>
                <w:color w:val="auto"/>
                <w:szCs w:val="21"/>
              </w:rPr>
            </w:pPr>
            <w:r>
              <w:rPr>
                <w:rFonts w:hint="eastAsia" w:ascii="宋体" w:hAnsi="宋体" w:eastAsia="宋体" w:cs="宋体"/>
                <w:b/>
                <w:color w:val="auto"/>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Align w:val="center"/>
          </w:tcPr>
          <w:p>
            <w:pPr>
              <w:pStyle w:val="2"/>
              <w:spacing w:after="0"/>
              <w:ind w:firstLine="0" w:firstLineChars="0"/>
              <w:jc w:val="center"/>
              <w:rPr>
                <w:rFonts w:hAnsi="宋体" w:cs="宋体"/>
                <w:bCs/>
                <w:sz w:val="21"/>
                <w:szCs w:val="21"/>
              </w:rPr>
            </w:pPr>
            <w:r>
              <w:rPr>
                <w:rFonts w:hint="eastAsia" w:hAnsi="宋体" w:cs="宋体"/>
                <w:bCs/>
                <w:sz w:val="21"/>
                <w:szCs w:val="21"/>
              </w:rPr>
              <w:t>1</w:t>
            </w:r>
          </w:p>
        </w:tc>
        <w:tc>
          <w:tcPr>
            <w:tcW w:w="1020" w:type="dxa"/>
            <w:vAlign w:val="center"/>
          </w:tcPr>
          <w:p>
            <w:pPr>
              <w:pStyle w:val="2"/>
              <w:spacing w:after="0"/>
              <w:ind w:firstLine="0" w:firstLineChars="0"/>
              <w:jc w:val="center"/>
              <w:rPr>
                <w:rFonts w:hAnsi="宋体" w:cs="宋体"/>
                <w:bCs/>
                <w:sz w:val="21"/>
                <w:szCs w:val="21"/>
              </w:rPr>
            </w:pPr>
            <w:r>
              <w:rPr>
                <w:rFonts w:hint="eastAsia" w:hAnsi="宋体" w:cs="宋体"/>
                <w:bCs/>
                <w:sz w:val="21"/>
                <w:szCs w:val="21"/>
              </w:rPr>
              <w:t>举高喷射消防车</w:t>
            </w:r>
          </w:p>
        </w:tc>
        <w:tc>
          <w:tcPr>
            <w:tcW w:w="6360" w:type="dxa"/>
          </w:tcPr>
          <w:p>
            <w:pPr>
              <w:pStyle w:val="2"/>
              <w:spacing w:after="0" w:line="240" w:lineRule="atLeast"/>
              <w:ind w:left="158" w:leftChars="75" w:firstLine="0" w:firstLineChars="0"/>
              <w:rPr>
                <w:rFonts w:hAnsi="宋体" w:cs="宋体"/>
                <w:sz w:val="21"/>
                <w:szCs w:val="21"/>
              </w:rPr>
            </w:pPr>
            <w:r>
              <w:rPr>
                <w:rFonts w:hint="eastAsia" w:hAnsi="宋体" w:cs="宋体"/>
                <w:sz w:val="21"/>
                <w:szCs w:val="21"/>
              </w:rPr>
              <w:t>一、发动机：</w:t>
            </w:r>
          </w:p>
          <w:p>
            <w:pPr>
              <w:pStyle w:val="2"/>
              <w:spacing w:after="0" w:line="240" w:lineRule="atLeast"/>
              <w:ind w:left="17" w:leftChars="8" w:firstLine="201" w:firstLineChars="96"/>
              <w:rPr>
                <w:rFonts w:hAnsi="宋体" w:cs="宋体"/>
                <w:sz w:val="21"/>
                <w:szCs w:val="21"/>
              </w:rPr>
            </w:pPr>
            <w:r>
              <w:rPr>
                <w:rFonts w:hint="eastAsia" w:hAnsi="宋体" w:cs="宋体"/>
                <w:sz w:val="21"/>
                <w:szCs w:val="21"/>
              </w:rPr>
              <w:t>☆驱动型式：6×4；轴距：4600+1350 mm；轮胎数：10个，钢丝胎；☆燃料种类：柴油；功率：327 kW（1900r/min）；☆排量：10518ml；排放标准：GB17691-2005国Ⅴ GB3847-2005。</w:t>
            </w:r>
          </w:p>
          <w:p>
            <w:pPr>
              <w:pStyle w:val="2"/>
              <w:spacing w:after="0" w:line="240" w:lineRule="atLeast"/>
              <w:ind w:left="158" w:leftChars="75" w:firstLine="0" w:firstLineChars="0"/>
              <w:rPr>
                <w:rFonts w:hAnsi="宋体" w:cs="宋体"/>
                <w:sz w:val="21"/>
                <w:szCs w:val="21"/>
              </w:rPr>
            </w:pPr>
            <w:bookmarkStart w:id="0" w:name="_Toc482883707"/>
            <w:r>
              <w:rPr>
                <w:rFonts w:hint="eastAsia" w:hAnsi="宋体" w:cs="宋体"/>
                <w:sz w:val="21"/>
                <w:szCs w:val="21"/>
              </w:rPr>
              <w:t>二、驾驶室</w:t>
            </w:r>
            <w:bookmarkEnd w:id="0"/>
          </w:p>
          <w:p>
            <w:pPr>
              <w:pStyle w:val="2"/>
              <w:spacing w:after="0" w:line="240" w:lineRule="atLeast"/>
              <w:ind w:left="17" w:leftChars="8" w:firstLine="201" w:firstLineChars="96"/>
              <w:rPr>
                <w:rFonts w:hAnsi="宋体" w:cs="宋体"/>
                <w:sz w:val="21"/>
                <w:szCs w:val="21"/>
              </w:rPr>
            </w:pPr>
            <w:r>
              <w:rPr>
                <w:rFonts w:hint="eastAsia" w:hAnsi="宋体" w:cs="宋体"/>
                <w:sz w:val="21"/>
                <w:szCs w:val="21"/>
              </w:rPr>
              <w:t>驾驶室：单排驾驶室，平头、标准顶、双开门；驾驶室内设备：除原车设备外，加装附加电源总开关、取力器控制开关、及指示灯；警报器、2个圆形回转警灯开关、标志灯、指示灯、示廓灯控制开关；座位设置：1+1，合计2人；</w:t>
            </w:r>
            <w:bookmarkStart w:id="1" w:name="_Toc318622260"/>
            <w:bookmarkStart w:id="2" w:name="_Toc318440019"/>
            <w:bookmarkStart w:id="3" w:name="_Toc318812718"/>
            <w:r>
              <w:rPr>
                <w:rFonts w:hint="eastAsia" w:hAnsi="宋体" w:cs="宋体"/>
                <w:sz w:val="21"/>
                <w:szCs w:val="21"/>
              </w:rPr>
              <w:t>倒车监视器:驾驶室安装一液晶显示屏,车尾部安装一倒车摄像头,倒车时,可监视车尾画面。</w:t>
            </w:r>
          </w:p>
          <w:bookmarkEnd w:id="1"/>
          <w:bookmarkEnd w:id="2"/>
          <w:bookmarkEnd w:id="3"/>
          <w:p>
            <w:pPr>
              <w:pStyle w:val="2"/>
              <w:spacing w:after="0" w:line="240" w:lineRule="atLeast"/>
              <w:ind w:left="17" w:leftChars="8" w:firstLine="201" w:firstLineChars="96"/>
              <w:rPr>
                <w:rFonts w:hAnsi="宋体" w:cs="宋体"/>
                <w:sz w:val="21"/>
                <w:szCs w:val="21"/>
              </w:rPr>
            </w:pPr>
            <w:bookmarkStart w:id="4" w:name="_Toc318812716"/>
            <w:bookmarkStart w:id="5" w:name="_Toc318440016"/>
            <w:bookmarkStart w:id="6" w:name="_Toc318622258"/>
            <w:bookmarkStart w:id="7" w:name="_Toc482883711"/>
            <w:r>
              <w:rPr>
                <w:rFonts w:hint="eastAsia" w:hAnsi="宋体" w:cs="宋体"/>
                <w:sz w:val="21"/>
                <w:szCs w:val="21"/>
              </w:rPr>
              <w:t>三、载液罐</w:t>
            </w:r>
            <w:bookmarkEnd w:id="4"/>
            <w:bookmarkEnd w:id="5"/>
            <w:bookmarkEnd w:id="6"/>
            <w:bookmarkEnd w:id="7"/>
            <w:bookmarkStart w:id="8" w:name="_Toc482883712"/>
          </w:p>
          <w:p>
            <w:pPr>
              <w:pStyle w:val="2"/>
              <w:spacing w:after="0" w:line="240" w:lineRule="atLeast"/>
              <w:ind w:left="17" w:leftChars="8" w:firstLine="201" w:firstLineChars="96"/>
              <w:rPr>
                <w:rFonts w:hAnsi="宋体" w:cs="宋体"/>
                <w:sz w:val="21"/>
                <w:szCs w:val="21"/>
              </w:rPr>
            </w:pPr>
            <w:r>
              <w:rPr>
                <w:rFonts w:hint="eastAsia" w:hAnsi="宋体" w:cs="宋体"/>
                <w:sz w:val="21"/>
                <w:szCs w:val="21"/>
              </w:rPr>
              <w:t>1、水罐与车体连接方式为弹性连接，能承受底盘的扭曲。</w:t>
            </w:r>
            <w:bookmarkEnd w:id="8"/>
          </w:p>
          <w:p>
            <w:pPr>
              <w:pStyle w:val="2"/>
              <w:spacing w:after="0" w:line="240" w:lineRule="atLeast"/>
              <w:ind w:left="17" w:leftChars="8" w:firstLine="201" w:firstLineChars="96"/>
              <w:rPr>
                <w:rFonts w:hAnsi="宋体" w:cs="宋体"/>
                <w:sz w:val="21"/>
                <w:szCs w:val="21"/>
              </w:rPr>
            </w:pPr>
            <w:r>
              <w:rPr>
                <w:rFonts w:hint="eastAsia" w:hAnsi="宋体" w:cs="宋体"/>
                <w:sz w:val="21"/>
                <w:szCs w:val="21"/>
              </w:rPr>
              <w:t>☆容量: 5000Kg。材质:水罐采用优质碳钢板制成，设计厚度保证强度和刚度。结构：水罐内部有控制横向和纵向力的防荡板。人孔：设不小于DN450人孔1个，带有快速锁定/开启、自动泄压装置。溢流口:水罐顶部还设有合适直径的溢流管，能够起到在加注液体时预防冲压的作用。液位指示器:罐顶设有不锈钢液位指示装置,用于指示罐内液体位置;排水口：设1 个水罐排水口，并配球阀。补水口：分别设在车身左右两侧，可连接消防栓向水罐添加水。接DN 65内扣式接口,每边2只, 单侧汇管≥DN80。后进水口：水罐到水泵的进水管,配置阀门。</w:t>
            </w:r>
          </w:p>
          <w:p>
            <w:pPr>
              <w:pStyle w:val="2"/>
              <w:spacing w:after="0" w:line="240" w:lineRule="atLeast"/>
              <w:ind w:left="158" w:leftChars="75" w:firstLine="0" w:firstLineChars="0"/>
              <w:rPr>
                <w:rFonts w:hAnsi="宋体" w:cs="宋体"/>
                <w:sz w:val="21"/>
                <w:szCs w:val="21"/>
              </w:rPr>
            </w:pPr>
            <w:bookmarkStart w:id="9" w:name="_Toc482883714"/>
            <w:r>
              <w:rPr>
                <w:rFonts w:hint="eastAsia" w:hAnsi="宋体" w:cs="宋体"/>
                <w:sz w:val="21"/>
                <w:szCs w:val="21"/>
              </w:rPr>
              <w:t>2、泡沫罐</w:t>
            </w:r>
            <w:bookmarkEnd w:id="9"/>
          </w:p>
          <w:p>
            <w:pPr>
              <w:pStyle w:val="2"/>
              <w:spacing w:after="0" w:line="240" w:lineRule="atLeast"/>
              <w:ind w:left="17" w:leftChars="8" w:firstLine="199" w:firstLineChars="95"/>
              <w:rPr>
                <w:rFonts w:hAnsi="宋体" w:cs="宋体"/>
                <w:sz w:val="21"/>
                <w:szCs w:val="21"/>
              </w:rPr>
            </w:pPr>
            <w:r>
              <w:rPr>
                <w:rFonts w:hint="eastAsia" w:hAnsi="宋体" w:cs="宋体"/>
                <w:sz w:val="21"/>
                <w:szCs w:val="21"/>
              </w:rPr>
              <w:t>容量: 3000Kg。材质: 优质不锈钢焊接而成，设计厚度保证强度和刚度。人孔：设不小于DN450人孔1个,带有快速锁定/开启、自动泄压装置。呼吸器:罐顶部设有呼吸阀，能够起到在加注液体时预防冲压的作用，同时可以消除在排放罐中液体时可能产生的真空。液位指示器:罐顶设有不锈钢液位指示装置,用于指示罐内液体位置;排液口：设1个泡沫罐排液口。泡沫补液管：设一根吸液管至泡沫比例混合系统，用于外吸泡沫用。</w:t>
            </w:r>
          </w:p>
          <w:p>
            <w:pPr>
              <w:pStyle w:val="2"/>
              <w:spacing w:after="0" w:line="240" w:lineRule="atLeast"/>
              <w:ind w:left="158" w:leftChars="75" w:firstLine="0" w:firstLineChars="0"/>
              <w:rPr>
                <w:rFonts w:hAnsi="宋体" w:cs="宋体"/>
                <w:sz w:val="21"/>
                <w:szCs w:val="21"/>
              </w:rPr>
            </w:pPr>
            <w:bookmarkStart w:id="10" w:name="_Toc482883715"/>
            <w:r>
              <w:rPr>
                <w:rFonts w:hint="eastAsia" w:hAnsi="宋体" w:cs="宋体"/>
                <w:sz w:val="21"/>
                <w:szCs w:val="21"/>
              </w:rPr>
              <w:t>四、消防泵</w:t>
            </w:r>
            <w:bookmarkEnd w:id="10"/>
          </w:p>
          <w:p>
            <w:pPr>
              <w:pStyle w:val="2"/>
              <w:spacing w:after="0" w:line="240" w:lineRule="atLeast"/>
              <w:ind w:left="17" w:leftChars="8" w:firstLine="199" w:firstLineChars="95"/>
              <w:rPr>
                <w:rFonts w:hAnsi="宋体" w:cs="宋体"/>
                <w:sz w:val="21"/>
                <w:szCs w:val="21"/>
              </w:rPr>
            </w:pPr>
            <w:r>
              <w:rPr>
                <w:rFonts w:hint="eastAsia" w:hAnsi="宋体" w:cs="宋体"/>
                <w:sz w:val="21"/>
                <w:szCs w:val="21"/>
              </w:rPr>
              <w:t>☆最大流量：100L/s；额定压力：1.0Mpa；☆最大吸深 (m):7；安装形式：中置式</w:t>
            </w:r>
            <w:bookmarkStart w:id="11" w:name="_Toc482883716"/>
            <w:r>
              <w:rPr>
                <w:rFonts w:hint="eastAsia" w:hAnsi="宋体" w:cs="宋体"/>
                <w:sz w:val="21"/>
                <w:szCs w:val="21"/>
              </w:rPr>
              <w:t>。</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五、消防炮</w:t>
            </w:r>
            <w:bookmarkEnd w:id="11"/>
          </w:p>
          <w:p>
            <w:pPr>
              <w:pStyle w:val="2"/>
              <w:spacing w:after="0" w:line="240" w:lineRule="atLeast"/>
              <w:ind w:left="17" w:leftChars="8" w:firstLine="199" w:firstLineChars="95"/>
              <w:rPr>
                <w:rFonts w:hAnsi="宋体" w:cs="宋体"/>
                <w:sz w:val="21"/>
                <w:szCs w:val="21"/>
              </w:rPr>
            </w:pPr>
            <w:r>
              <w:rPr>
                <w:rFonts w:hint="eastAsia" w:hAnsi="宋体" w:cs="宋体"/>
                <w:sz w:val="21"/>
                <w:szCs w:val="21"/>
              </w:rPr>
              <w:t>电动遥控消防炮；安装位置：折叠臂架头部；控制方式：电控+无线遥控；类别：水-泡沫联用电控消防炮；喷射压力：≤1.0Mpa；☆流量：≥64L/S；☆射程：水≥75米 泡沫：≥65米；☆水平旋转及俯仰角度分别为： 0～270°，-30°- +70°。</w:t>
            </w:r>
          </w:p>
          <w:p>
            <w:pPr>
              <w:pStyle w:val="2"/>
              <w:spacing w:after="0" w:line="240" w:lineRule="atLeast"/>
              <w:ind w:left="17" w:leftChars="8" w:firstLine="199" w:firstLineChars="95"/>
              <w:rPr>
                <w:rFonts w:hAnsi="宋体" w:cs="宋体"/>
                <w:sz w:val="21"/>
                <w:szCs w:val="21"/>
              </w:rPr>
            </w:pPr>
            <w:bookmarkStart w:id="12" w:name="_Toc318622267"/>
            <w:bookmarkStart w:id="13" w:name="_Toc482883718"/>
            <w:bookmarkStart w:id="14" w:name="_Toc318812725"/>
            <w:bookmarkStart w:id="15" w:name="_Toc318440026"/>
            <w:r>
              <w:rPr>
                <w:rFonts w:hint="eastAsia" w:hAnsi="宋体" w:cs="宋体"/>
                <w:sz w:val="21"/>
                <w:szCs w:val="21"/>
              </w:rPr>
              <w:t>六、泡沫比例混合器</w:t>
            </w:r>
            <w:bookmarkEnd w:id="12"/>
            <w:bookmarkEnd w:id="13"/>
            <w:bookmarkEnd w:id="14"/>
            <w:bookmarkEnd w:id="15"/>
          </w:p>
          <w:p>
            <w:pPr>
              <w:pStyle w:val="2"/>
              <w:spacing w:after="0" w:line="240" w:lineRule="atLeast"/>
              <w:ind w:left="17" w:leftChars="8" w:firstLine="199" w:firstLineChars="95"/>
              <w:rPr>
                <w:rFonts w:hAnsi="宋体" w:cs="宋体"/>
                <w:sz w:val="21"/>
                <w:szCs w:val="21"/>
              </w:rPr>
            </w:pPr>
            <w:r>
              <w:rPr>
                <w:rFonts w:hint="eastAsia" w:hAnsi="宋体" w:cs="宋体"/>
                <w:sz w:val="21"/>
                <w:szCs w:val="21"/>
              </w:rPr>
              <w:t>与泵流量匹配的泡沫比例混合系统。</w:t>
            </w:r>
          </w:p>
          <w:p>
            <w:pPr>
              <w:pStyle w:val="2"/>
              <w:spacing w:after="0" w:line="240" w:lineRule="atLeast"/>
              <w:ind w:left="17" w:leftChars="8" w:firstLine="199" w:firstLineChars="95"/>
              <w:rPr>
                <w:rFonts w:hAnsi="宋体" w:cs="宋体"/>
                <w:sz w:val="21"/>
                <w:szCs w:val="21"/>
              </w:rPr>
            </w:pPr>
            <w:r>
              <w:rPr>
                <w:rFonts w:hint="eastAsia" w:hAnsi="宋体" w:cs="宋体"/>
                <w:sz w:val="21"/>
                <w:szCs w:val="21"/>
              </w:rPr>
              <w:t xml:space="preserve">适用：蛋白泡沫液、水成膜泡沫液、抗溶泡沫液。 材质: 阀芯由不锈钢材料制成。 </w:t>
            </w:r>
          </w:p>
          <w:p>
            <w:pPr>
              <w:pStyle w:val="2"/>
              <w:spacing w:after="0" w:line="240" w:lineRule="atLeast"/>
              <w:ind w:left="158" w:leftChars="75" w:firstLine="0" w:firstLineChars="0"/>
              <w:rPr>
                <w:rFonts w:hAnsi="宋体" w:cs="宋体"/>
                <w:sz w:val="21"/>
                <w:szCs w:val="21"/>
              </w:rPr>
            </w:pPr>
            <w:bookmarkStart w:id="16" w:name="_Toc482883719"/>
            <w:r>
              <w:rPr>
                <w:rFonts w:hint="eastAsia" w:hAnsi="宋体" w:cs="宋体"/>
                <w:sz w:val="21"/>
                <w:szCs w:val="21"/>
              </w:rPr>
              <w:t>七、 副车架及支腿</w:t>
            </w:r>
            <w:bookmarkEnd w:id="16"/>
          </w:p>
          <w:p>
            <w:pPr>
              <w:pStyle w:val="2"/>
              <w:spacing w:after="0" w:line="240" w:lineRule="atLeast"/>
              <w:ind w:left="158" w:leftChars="75" w:firstLine="0" w:firstLineChars="0"/>
              <w:rPr>
                <w:rFonts w:hAnsi="宋体" w:cs="宋体"/>
                <w:sz w:val="21"/>
                <w:szCs w:val="21"/>
              </w:rPr>
            </w:pPr>
            <w:r>
              <w:rPr>
                <w:rFonts w:hint="eastAsia" w:hAnsi="宋体" w:cs="宋体"/>
                <w:sz w:val="21"/>
                <w:szCs w:val="21"/>
              </w:rPr>
              <w:t>材质：高强度合金结构钢；结构：副车架是由钢板经冷弯后焊接而成的大箱式结构，支腿采用H型结构四边形截面，外套筒由冷拉无缝型材制作，以保证支撑机构的安全、可靠性。</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支腿跨距（纵×横）：5460 mm×5060 mm</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调平方式：自动调平+手动应急调平</w:t>
            </w:r>
            <w:bookmarkStart w:id="17" w:name="_Toc482883720"/>
          </w:p>
          <w:p>
            <w:pPr>
              <w:pStyle w:val="2"/>
              <w:spacing w:after="0" w:line="240" w:lineRule="atLeast"/>
              <w:ind w:left="158" w:leftChars="75" w:firstLine="0" w:firstLineChars="0"/>
              <w:rPr>
                <w:rFonts w:hAnsi="宋体" w:cs="宋体"/>
                <w:sz w:val="21"/>
                <w:szCs w:val="21"/>
              </w:rPr>
            </w:pPr>
            <w:r>
              <w:rPr>
                <w:rFonts w:hint="eastAsia" w:hAnsi="宋体" w:cs="宋体"/>
                <w:sz w:val="21"/>
                <w:szCs w:val="21"/>
              </w:rPr>
              <w:t>八、转台</w:t>
            </w:r>
            <w:bookmarkEnd w:id="17"/>
          </w:p>
          <w:p>
            <w:pPr>
              <w:pStyle w:val="2"/>
              <w:spacing w:after="0" w:line="240" w:lineRule="atLeast"/>
              <w:ind w:left="158" w:leftChars="75" w:firstLine="0" w:firstLineChars="0"/>
              <w:rPr>
                <w:rFonts w:hAnsi="宋体" w:cs="宋体"/>
                <w:sz w:val="21"/>
                <w:szCs w:val="21"/>
              </w:rPr>
            </w:pPr>
            <w:r>
              <w:rPr>
                <w:rFonts w:hint="eastAsia" w:hAnsi="宋体" w:cs="宋体"/>
                <w:sz w:val="21"/>
                <w:szCs w:val="21"/>
              </w:rPr>
              <w:t>转台材质：</w:t>
            </w:r>
            <w:r>
              <w:rPr>
                <w:rFonts w:hint="eastAsia" w:hAnsi="宋体" w:cs="宋体"/>
                <w:sz w:val="21"/>
                <w:szCs w:val="21"/>
              </w:rPr>
              <w:tab/>
            </w:r>
            <w:r>
              <w:rPr>
                <w:rFonts w:hint="eastAsia" w:hAnsi="宋体" w:cs="宋体"/>
                <w:sz w:val="21"/>
                <w:szCs w:val="21"/>
              </w:rPr>
              <w:t>高强度合金结构钢</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中心回转接头：水、电、液一体式</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传动型式：</w:t>
            </w:r>
            <w:r>
              <w:rPr>
                <w:rFonts w:hint="eastAsia" w:hAnsi="宋体" w:cs="宋体"/>
                <w:sz w:val="21"/>
                <w:szCs w:val="21"/>
              </w:rPr>
              <w:tab/>
            </w:r>
            <w:r>
              <w:rPr>
                <w:rFonts w:hint="eastAsia" w:hAnsi="宋体" w:cs="宋体"/>
                <w:sz w:val="21"/>
                <w:szCs w:val="21"/>
              </w:rPr>
              <w:t>液压马达--回转减速机—回转支撑</w:t>
            </w:r>
          </w:p>
          <w:p>
            <w:pPr>
              <w:pStyle w:val="2"/>
              <w:spacing w:after="0" w:line="240" w:lineRule="atLeast"/>
              <w:ind w:left="158" w:leftChars="75" w:firstLine="0" w:firstLineChars="0"/>
              <w:rPr>
                <w:rFonts w:hAnsi="宋体" w:cs="宋体"/>
                <w:sz w:val="21"/>
                <w:szCs w:val="21"/>
              </w:rPr>
            </w:pPr>
            <w:bookmarkStart w:id="18" w:name="_Toc482883721"/>
            <w:r>
              <w:rPr>
                <w:rFonts w:hint="eastAsia" w:hAnsi="宋体" w:cs="宋体"/>
                <w:sz w:val="21"/>
                <w:szCs w:val="21"/>
              </w:rPr>
              <w:t>臂架结构</w:t>
            </w:r>
            <w:bookmarkEnd w:id="18"/>
          </w:p>
          <w:p>
            <w:pPr>
              <w:pStyle w:val="2"/>
              <w:spacing w:after="0" w:line="240" w:lineRule="atLeast"/>
              <w:ind w:left="158" w:leftChars="75" w:firstLine="0" w:firstLineChars="0"/>
              <w:rPr>
                <w:rFonts w:hAnsi="宋体" w:cs="宋体"/>
                <w:sz w:val="21"/>
                <w:szCs w:val="21"/>
              </w:rPr>
            </w:pPr>
            <w:r>
              <w:rPr>
                <w:rFonts w:hint="eastAsia" w:hAnsi="宋体" w:cs="宋体"/>
                <w:sz w:val="21"/>
                <w:szCs w:val="21"/>
              </w:rPr>
              <w:t>☆1、额定工作高度（m）：≥25</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额定工作幅度（m）：≥16.5</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臂架材质：高强度合金结构钢</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2、臂架结构：四边形截面，钢板冷弯槽型对接，焊接机器人自动焊接而成，臂架内外防腐和应力消除。</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3、臂架型式：</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由主臂变幅机构、两节同步伸缩机构，和一节折叠臂构成。</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☆4、变幅角度：下臂0-82°，折臂臂0-180°</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5、臂架布置形式：上下布置</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6、配备臂架有线遥控（带自动伸缩线盘），遥控距离15米。</w:t>
            </w:r>
          </w:p>
          <w:p>
            <w:pPr>
              <w:pStyle w:val="2"/>
              <w:spacing w:after="0" w:line="240" w:lineRule="atLeast"/>
              <w:ind w:left="158" w:leftChars="75" w:firstLine="0" w:firstLineChars="0"/>
              <w:rPr>
                <w:rFonts w:hAnsi="宋体" w:cs="宋体"/>
                <w:sz w:val="21"/>
                <w:szCs w:val="21"/>
              </w:rPr>
            </w:pPr>
            <w:bookmarkStart w:id="19" w:name="_Toc482883722"/>
            <w:r>
              <w:rPr>
                <w:rFonts w:hint="eastAsia" w:hAnsi="宋体" w:cs="宋体"/>
                <w:sz w:val="21"/>
                <w:szCs w:val="21"/>
              </w:rPr>
              <w:t>十、液压系统</w:t>
            </w:r>
            <w:bookmarkEnd w:id="19"/>
          </w:p>
          <w:p>
            <w:pPr>
              <w:pStyle w:val="2"/>
              <w:spacing w:after="0" w:line="240" w:lineRule="atLeast"/>
              <w:ind w:left="158" w:leftChars="75" w:firstLine="0" w:firstLineChars="0"/>
              <w:rPr>
                <w:rFonts w:hAnsi="宋体" w:cs="宋体"/>
                <w:sz w:val="21"/>
                <w:szCs w:val="21"/>
              </w:rPr>
            </w:pPr>
            <w:r>
              <w:rPr>
                <w:rFonts w:hint="eastAsia" w:hAnsi="宋体" w:cs="宋体"/>
                <w:sz w:val="21"/>
                <w:szCs w:val="21"/>
              </w:rPr>
              <w:t>液压系统型式：开式系统。</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系统压力：20Mpa。</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上车控制阀：配件</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下车控制阀：配件。</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平衡阀：配件。</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油缸数量：支腿水平油缸4根、支腿油缸4根、下臂变幅油缸1根、伸缩油缸1根、小臂变幅油缸1根。</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液压油箱：液压油箱上装有吸油滤油器、回油滤油器和空气滤清器，保证液压系统的清洁度。</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液压油规格：10#航空液压油。</w:t>
            </w:r>
          </w:p>
          <w:p>
            <w:pPr>
              <w:pStyle w:val="2"/>
              <w:spacing w:after="0" w:line="240" w:lineRule="atLeast"/>
              <w:ind w:left="158" w:leftChars="75" w:firstLine="0" w:firstLineChars="0"/>
              <w:rPr>
                <w:rFonts w:hAnsi="宋体" w:cs="宋体"/>
                <w:sz w:val="21"/>
                <w:szCs w:val="21"/>
              </w:rPr>
            </w:pPr>
            <w:bookmarkStart w:id="20" w:name="_Toc482883723"/>
            <w:r>
              <w:rPr>
                <w:rFonts w:hint="eastAsia" w:hAnsi="宋体" w:cs="宋体"/>
                <w:sz w:val="21"/>
                <w:szCs w:val="21"/>
              </w:rPr>
              <w:t>电器系统</w:t>
            </w:r>
            <w:bookmarkEnd w:id="20"/>
          </w:p>
          <w:p>
            <w:pPr>
              <w:pStyle w:val="2"/>
              <w:spacing w:after="0" w:line="240" w:lineRule="atLeast"/>
              <w:ind w:left="158" w:leftChars="75" w:firstLine="0" w:firstLineChars="0"/>
              <w:rPr>
                <w:rFonts w:hAnsi="宋体" w:cs="宋体"/>
                <w:sz w:val="21"/>
                <w:szCs w:val="21"/>
              </w:rPr>
            </w:pPr>
            <w:r>
              <w:rPr>
                <w:rFonts w:hint="eastAsia" w:hAnsi="宋体" w:cs="宋体"/>
                <w:sz w:val="21"/>
                <w:szCs w:val="21"/>
              </w:rPr>
              <w:t>控制系统：车载专用PLC控制系统，CAN总线通讯系统。</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主要功能：整车具备一键展收腿、一键展收车、自动调平、自动对中功能。</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主要硬件配置：</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ab/>
            </w:r>
            <w:r>
              <w:rPr>
                <w:rFonts w:hint="eastAsia" w:hAnsi="宋体" w:cs="宋体"/>
                <w:sz w:val="21"/>
                <w:szCs w:val="21"/>
              </w:rPr>
              <w:t>2个PLC控制器</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ab/>
            </w:r>
            <w:r>
              <w:rPr>
                <w:rFonts w:hint="eastAsia" w:hAnsi="宋体" w:cs="宋体"/>
                <w:sz w:val="21"/>
                <w:szCs w:val="21"/>
              </w:rPr>
              <w:t>1个液晶显示屏</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ab/>
            </w:r>
            <w:r>
              <w:rPr>
                <w:rFonts w:hint="eastAsia" w:hAnsi="宋体" w:cs="宋体"/>
                <w:sz w:val="21"/>
                <w:szCs w:val="21"/>
              </w:rPr>
              <w:t>1个有线遥控器</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ab/>
            </w:r>
            <w:r>
              <w:rPr>
                <w:rFonts w:hint="eastAsia" w:hAnsi="宋体" w:cs="宋体"/>
                <w:sz w:val="21"/>
                <w:szCs w:val="21"/>
              </w:rPr>
              <w:t>1个有线遥控器伸缩电缆线盘</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ab/>
            </w:r>
            <w:r>
              <w:rPr>
                <w:rFonts w:hint="eastAsia" w:hAnsi="宋体" w:cs="宋体"/>
                <w:sz w:val="21"/>
                <w:szCs w:val="21"/>
              </w:rPr>
              <w:t>2个电控手柄（控制臂架）</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ab/>
            </w:r>
            <w:r>
              <w:rPr>
                <w:rFonts w:hint="eastAsia" w:hAnsi="宋体" w:cs="宋体"/>
                <w:sz w:val="21"/>
                <w:szCs w:val="21"/>
              </w:rPr>
              <w:t>1个脚踏板</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十一、照明及警示灯具：</w:t>
            </w:r>
          </w:p>
          <w:p>
            <w:pPr>
              <w:pStyle w:val="2"/>
              <w:spacing w:after="0" w:line="240" w:lineRule="atLeast"/>
              <w:ind w:left="17" w:leftChars="8" w:firstLine="138" w:firstLineChars="66"/>
              <w:rPr>
                <w:rFonts w:hAnsi="宋体" w:cs="宋体"/>
                <w:sz w:val="21"/>
                <w:szCs w:val="21"/>
              </w:rPr>
            </w:pPr>
            <w:r>
              <w:rPr>
                <w:rFonts w:hint="eastAsia" w:hAnsi="宋体" w:cs="宋体"/>
                <w:sz w:val="21"/>
                <w:szCs w:val="21"/>
              </w:rPr>
              <w:t>为夜间灭火所用,在炮口装有照明射灯,可有效地观察火场情况。有前、后示廓灯，两侧各一只转向灯，乘员室、器材箱、泵房内均装有照明灯，并符合GB4785规定。驾驶室顶部安装2只圆形警灯。车辆两侧上方各配有两盏爆闪灯，下方安装安全标志灯，警报器、警灯、爆闪灯电路为独立式附加电路，控制器件安装在驾驶室内。</w:t>
            </w:r>
          </w:p>
          <w:p>
            <w:pPr>
              <w:pStyle w:val="2"/>
              <w:spacing w:after="0" w:line="240" w:lineRule="atLeast"/>
              <w:ind w:left="158" w:leftChars="75" w:firstLine="0" w:firstLineChars="0"/>
              <w:rPr>
                <w:rFonts w:hAnsi="宋体" w:cs="宋体"/>
                <w:sz w:val="21"/>
                <w:szCs w:val="21"/>
              </w:rPr>
            </w:pPr>
            <w:bookmarkStart w:id="21" w:name="_Toc482883724"/>
            <w:r>
              <w:rPr>
                <w:rFonts w:hint="eastAsia" w:hAnsi="宋体" w:cs="宋体"/>
                <w:sz w:val="21"/>
                <w:szCs w:val="21"/>
              </w:rPr>
              <w:t>十二、安全保护装置</w:t>
            </w:r>
            <w:bookmarkEnd w:id="21"/>
          </w:p>
          <w:p>
            <w:pPr>
              <w:pStyle w:val="2"/>
              <w:spacing w:after="0" w:line="240" w:lineRule="atLeast"/>
              <w:ind w:left="17" w:leftChars="8" w:firstLine="138" w:firstLineChars="66"/>
              <w:rPr>
                <w:rFonts w:hAnsi="宋体" w:cs="宋体"/>
                <w:sz w:val="21"/>
                <w:szCs w:val="21"/>
              </w:rPr>
            </w:pPr>
            <w:r>
              <w:rPr>
                <w:rFonts w:hint="eastAsia" w:hAnsi="宋体" w:cs="宋体"/>
                <w:sz w:val="21"/>
                <w:szCs w:val="21"/>
              </w:rPr>
              <w:t>臂架控制：消防车臂架启动时，安全系统应自动工作，消防车臂架在安全工作范围内动作，当接近安全工作范围的边缘或臂架运动的极限位置时，臂架的动作应减速，当达到安全工作范围极限时，臂架（梯架）应自动停止向危险方向动作并有声光报警，臂架停止运动后不能再向危险方向动作，不通过操作任何附加开关臂架可向安全方向动作。</w:t>
            </w:r>
          </w:p>
          <w:p>
            <w:pPr>
              <w:pStyle w:val="2"/>
              <w:spacing w:after="0" w:line="240" w:lineRule="atLeast"/>
              <w:ind w:left="17" w:leftChars="8" w:firstLine="138" w:firstLineChars="66"/>
              <w:rPr>
                <w:rFonts w:hAnsi="宋体" w:cs="宋体"/>
                <w:sz w:val="21"/>
                <w:szCs w:val="21"/>
              </w:rPr>
            </w:pPr>
            <w:r>
              <w:rPr>
                <w:rFonts w:hint="eastAsia" w:hAnsi="宋体" w:cs="宋体"/>
                <w:sz w:val="21"/>
                <w:szCs w:val="21"/>
              </w:rPr>
              <w:t>单边操作控制：消防车支腿可单侧外伸作业时，臂架只能在支腿外伸一侧运动，而向另一侧的动作应自动禁止。安全系统应自动将臂架的动作限制在安全范围内。</w:t>
            </w:r>
          </w:p>
          <w:p>
            <w:pPr>
              <w:pStyle w:val="2"/>
              <w:spacing w:after="0" w:line="240" w:lineRule="atLeast"/>
              <w:ind w:left="17" w:leftChars="8" w:firstLine="138" w:firstLineChars="66"/>
              <w:rPr>
                <w:rFonts w:hAnsi="宋体" w:cs="宋体"/>
                <w:sz w:val="21"/>
                <w:szCs w:val="21"/>
              </w:rPr>
            </w:pPr>
            <w:r>
              <w:rPr>
                <w:rFonts w:hint="eastAsia" w:hAnsi="宋体" w:cs="宋体"/>
                <w:sz w:val="21"/>
                <w:szCs w:val="21"/>
              </w:rPr>
              <w:t>上、下车互锁:当支腿展开调平并支撑可靠之前，臂架不能运动，臂架（梯架）未收回到支撑托架之前，下车支腿不能收回。上、下车互锁功能应自动实现。</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臂架的缓冲保护：臂架伸出或收回至极限点位置时，自动减速；</w:t>
            </w:r>
          </w:p>
          <w:p>
            <w:pPr>
              <w:pStyle w:val="2"/>
              <w:spacing w:after="0" w:line="240" w:lineRule="atLeast"/>
              <w:ind w:left="-183" w:leftChars="-87" w:firstLine="336" w:firstLineChars="160"/>
              <w:rPr>
                <w:rFonts w:hAnsi="宋体" w:cs="宋体"/>
                <w:sz w:val="21"/>
                <w:szCs w:val="21"/>
              </w:rPr>
            </w:pPr>
            <w:r>
              <w:rPr>
                <w:rFonts w:hint="eastAsia" w:hAnsi="宋体" w:cs="宋体"/>
                <w:sz w:val="21"/>
                <w:szCs w:val="21"/>
              </w:rPr>
              <w:t>回转对中：一键收车时，转台会进行自动对中动作；</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水罐涨罐保护：水罐上设置溢水管，防止涨坏；</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水泵超压保护：当水泵工作压力超过额定工作压力的1.1倍时，自动泄压。</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软腿保护: 臂架在运动过程中，当任一支腿出现不受力情况，有声光报警信号,并且臂架不能继续向危险方向运动，但可以向安全方向运动。</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发动机限速:支腿和臂架动作时，发动机自动响应至额定转速；</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臂架限幅保护：臂架超过工作幅度时，自动保护并报警；</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回转缓冲保护：臂架对中时，有缓冲保护；</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车身防碰撞：自动收车时，电控自动将臂架回收至合适的位置，避免臂架与车身碰撞；</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应急功能：配备液压应急动力单元；</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支腿动作报警：支腿调平后，如出现软腿会自动报警；</w:t>
            </w:r>
          </w:p>
          <w:p>
            <w:pPr>
              <w:pStyle w:val="2"/>
              <w:spacing w:after="0" w:line="240" w:lineRule="atLeast"/>
              <w:ind w:left="158" w:leftChars="75" w:firstLine="0" w:firstLineChars="0"/>
              <w:rPr>
                <w:rFonts w:hAnsi="宋体" w:cs="宋体"/>
                <w:sz w:val="21"/>
                <w:szCs w:val="21"/>
              </w:rPr>
            </w:pPr>
            <w:bookmarkStart w:id="22" w:name="_Toc482883725"/>
            <w:r>
              <w:rPr>
                <w:rFonts w:hint="eastAsia" w:hAnsi="宋体" w:cs="宋体"/>
                <w:sz w:val="21"/>
                <w:szCs w:val="21"/>
              </w:rPr>
              <w:t>十三、车身及泵房</w:t>
            </w:r>
            <w:bookmarkEnd w:id="22"/>
          </w:p>
          <w:p>
            <w:pPr>
              <w:pStyle w:val="2"/>
              <w:spacing w:after="0" w:line="240" w:lineRule="atLeast"/>
              <w:ind w:left="158" w:leftChars="75" w:firstLine="0" w:firstLineChars="0"/>
              <w:rPr>
                <w:rFonts w:hAnsi="宋体" w:cs="宋体"/>
                <w:sz w:val="21"/>
                <w:szCs w:val="21"/>
              </w:rPr>
            </w:pPr>
            <w:r>
              <w:rPr>
                <w:rFonts w:hint="eastAsia" w:hAnsi="宋体" w:cs="宋体"/>
                <w:sz w:val="21"/>
                <w:szCs w:val="21"/>
              </w:rPr>
              <w:t>材质：骨架、外蒙皮为优质碳素结构钢，内部蒙皮为花纹铝板。</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结构：全钢框架保护焊焊接结构，内部增设铝合金器材框架，采用德国搭接和粘帖技术；左右两侧有铝合金卷帘门，下设防滑翻踏板。</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整车安装自保系统</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驾驶室顶部，前、左、右各设两个水幕型喷头，每个喷头流量：30L/min。</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底盘前桥每个轮胎各一个水幕型喷头，每个喷头流量：30L/min。</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底盘后两桥每个轮胎各一个水幕型喷头，每个喷头流量：30L/min。</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优质不锈钢，内置式“散花”结构，能进行扇面喷射。</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在驾驶室内设有控制开关。</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车身、器材箱、泵房、翻板等上装部分喷涂消防红，驾驶室为光亮烤漆。轮毂外圈、前保险杠为白色；为保证夜间工作安全，车身设有符合相关标准要求的荧光反光带。</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整车标识：按业主要求喷涂。</w:t>
            </w:r>
          </w:p>
          <w:p>
            <w:pPr>
              <w:pStyle w:val="2"/>
              <w:spacing w:after="0" w:line="240" w:lineRule="atLeast"/>
              <w:ind w:left="158" w:leftChars="75" w:firstLine="0" w:firstLineChars="0"/>
              <w:rPr>
                <w:rFonts w:hAnsi="宋体" w:cs="宋体"/>
                <w:sz w:val="21"/>
                <w:szCs w:val="21"/>
              </w:rPr>
            </w:pPr>
            <w:bookmarkStart w:id="23" w:name="_Toc482883726"/>
            <w:r>
              <w:rPr>
                <w:rFonts w:hint="eastAsia" w:hAnsi="宋体" w:cs="宋体"/>
                <w:sz w:val="21"/>
                <w:szCs w:val="21"/>
              </w:rPr>
              <w:t>十四、随车文件</w:t>
            </w:r>
            <w:bookmarkEnd w:id="23"/>
          </w:p>
          <w:p>
            <w:pPr>
              <w:pStyle w:val="2"/>
              <w:spacing w:after="0" w:line="240" w:lineRule="atLeast"/>
              <w:ind w:left="17" w:leftChars="8" w:firstLine="138" w:firstLineChars="66"/>
              <w:rPr>
                <w:rFonts w:hAnsi="宋体" w:cs="宋体"/>
                <w:sz w:val="21"/>
                <w:szCs w:val="21"/>
              </w:rPr>
            </w:pPr>
            <w:r>
              <w:rPr>
                <w:rFonts w:hint="eastAsia" w:hAnsi="宋体" w:cs="宋体"/>
                <w:sz w:val="21"/>
                <w:szCs w:val="21"/>
              </w:rPr>
              <w:t>整车操作使用书；底盘使用说明书；整车操作维修手册；底盘操作维修手册；底盘质量保修卡；底盘合格证；发动机号码拓印件；底盘号码拓印件；随车装备清单；车辆合格证；车辆跟踪服务卡；车辆交接清单。</w:t>
            </w:r>
          </w:p>
        </w:tc>
        <w:tc>
          <w:tcPr>
            <w:tcW w:w="510" w:type="dxa"/>
            <w:vAlign w:val="center"/>
          </w:tcPr>
          <w:p>
            <w:pPr>
              <w:pStyle w:val="2"/>
              <w:spacing w:after="0"/>
              <w:ind w:firstLine="0" w:firstLineChars="0"/>
              <w:jc w:val="center"/>
              <w:rPr>
                <w:rFonts w:hAnsi="宋体" w:cs="宋体"/>
                <w:bCs/>
                <w:color w:val="auto"/>
                <w:sz w:val="21"/>
                <w:szCs w:val="21"/>
              </w:rPr>
            </w:pPr>
            <w:r>
              <w:rPr>
                <w:rFonts w:hint="eastAsia" w:hAnsi="宋体" w:cs="宋体"/>
                <w:bCs/>
                <w:color w:val="auto"/>
                <w:sz w:val="21"/>
                <w:szCs w:val="21"/>
              </w:rPr>
              <w:t>台</w:t>
            </w:r>
          </w:p>
        </w:tc>
        <w:tc>
          <w:tcPr>
            <w:tcW w:w="510" w:type="dxa"/>
            <w:vAlign w:val="center"/>
          </w:tcPr>
          <w:p>
            <w:pPr>
              <w:pStyle w:val="2"/>
              <w:spacing w:after="0"/>
              <w:ind w:firstLine="0" w:firstLineChars="0"/>
              <w:jc w:val="center"/>
              <w:rPr>
                <w:rFonts w:hAnsi="宋体" w:cs="宋体"/>
                <w:bCs/>
                <w:color w:val="auto"/>
                <w:sz w:val="21"/>
                <w:szCs w:val="21"/>
              </w:rPr>
            </w:pPr>
            <w:r>
              <w:rPr>
                <w:rFonts w:hint="eastAsia" w:hAnsi="宋体" w:cs="宋体"/>
                <w:bCs/>
                <w:color w:val="auto"/>
                <w:sz w:val="21"/>
                <w:szCs w:val="21"/>
              </w:rPr>
              <w:t>1</w:t>
            </w:r>
          </w:p>
        </w:tc>
        <w:tc>
          <w:tcPr>
            <w:tcW w:w="1095" w:type="dxa"/>
            <w:vAlign w:val="center"/>
          </w:tcPr>
          <w:p>
            <w:pPr>
              <w:widowControl/>
              <w:contextualSpacing/>
              <w:jc w:val="center"/>
              <w:rPr>
                <w:rFonts w:ascii="宋体" w:hAnsi="宋体" w:eastAsia="宋体" w:cs="宋体"/>
                <w:bCs/>
                <w:color w:val="auto"/>
                <w:szCs w:val="21"/>
              </w:rPr>
            </w:pPr>
            <w:r>
              <w:rPr>
                <w:rFonts w:hint="eastAsia" w:ascii="宋体" w:hAnsi="宋体" w:eastAsia="宋体" w:cs="宋体"/>
                <w:color w:val="auto"/>
                <w:kern w:val="0"/>
                <w:szCs w:val="21"/>
              </w:rPr>
              <w:t>是</w:t>
            </w:r>
          </w:p>
        </w:tc>
      </w:tr>
    </w:tbl>
    <w:p>
      <w:pPr>
        <w:numPr>
          <w:ilvl w:val="0"/>
          <w:numId w:val="4"/>
        </w:numPr>
        <w:adjustRightInd w:val="0"/>
        <w:snapToGrid w:val="0"/>
        <w:spacing w:line="440" w:lineRule="exact"/>
        <w:ind w:firstLine="420" w:firstLineChars="175"/>
        <w:rPr>
          <w:rFonts w:ascii="宋体" w:hAnsi="宋体"/>
          <w:sz w:val="24"/>
          <w:szCs w:val="24"/>
        </w:rPr>
      </w:pPr>
      <w:r>
        <w:rPr>
          <w:rFonts w:hint="eastAsia" w:ascii="宋体" w:hAnsi="宋体"/>
          <w:sz w:val="24"/>
          <w:szCs w:val="24"/>
        </w:rPr>
        <w:t>高喷车随车配置消防器材明细表：本明细为随车标配附件，价格包括在整车报价内。</w:t>
      </w:r>
    </w:p>
    <w:tbl>
      <w:tblPr>
        <w:tblStyle w:val="24"/>
        <w:tblpPr w:leftFromText="180" w:rightFromText="180" w:vertAnchor="text" w:horzAnchor="margin" w:tblpXSpec="center" w:tblpY="1"/>
        <w:tblOverlap w:val="never"/>
        <w:tblW w:w="94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53"/>
        <w:gridCol w:w="2460"/>
        <w:gridCol w:w="832"/>
        <w:gridCol w:w="780"/>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blHeader/>
        </w:trPr>
        <w:tc>
          <w:tcPr>
            <w:tcW w:w="959" w:type="dxa"/>
            <w:vAlign w:val="center"/>
          </w:tcPr>
          <w:p>
            <w:pPr>
              <w:jc w:val="center"/>
              <w:rPr>
                <w:rFonts w:ascii="宋体" w:hAnsi="宋体"/>
                <w:szCs w:val="21"/>
              </w:rPr>
            </w:pPr>
            <w:r>
              <w:rPr>
                <w:rFonts w:hint="eastAsia" w:ascii="宋体" w:hAnsi="宋体"/>
                <w:szCs w:val="21"/>
              </w:rPr>
              <w:t>序号</w:t>
            </w:r>
          </w:p>
        </w:tc>
        <w:tc>
          <w:tcPr>
            <w:tcW w:w="2653" w:type="dxa"/>
            <w:vAlign w:val="center"/>
          </w:tcPr>
          <w:p>
            <w:pPr>
              <w:jc w:val="center"/>
              <w:rPr>
                <w:rFonts w:ascii="宋体" w:hAnsi="宋体"/>
                <w:szCs w:val="21"/>
              </w:rPr>
            </w:pPr>
            <w:r>
              <w:rPr>
                <w:rFonts w:ascii="宋体" w:hAnsi="宋体"/>
                <w:szCs w:val="21"/>
              </w:rPr>
              <w:t>名称</w:t>
            </w:r>
          </w:p>
        </w:tc>
        <w:tc>
          <w:tcPr>
            <w:tcW w:w="2460" w:type="dxa"/>
            <w:vAlign w:val="center"/>
          </w:tcPr>
          <w:p>
            <w:pPr>
              <w:jc w:val="center"/>
              <w:rPr>
                <w:rFonts w:ascii="宋体" w:hAnsi="宋体"/>
                <w:szCs w:val="21"/>
              </w:rPr>
            </w:pPr>
            <w:r>
              <w:rPr>
                <w:rFonts w:ascii="宋体" w:hAnsi="宋体"/>
                <w:szCs w:val="21"/>
              </w:rPr>
              <w:t>规格</w:t>
            </w:r>
          </w:p>
        </w:tc>
        <w:tc>
          <w:tcPr>
            <w:tcW w:w="832" w:type="dxa"/>
            <w:vAlign w:val="center"/>
          </w:tcPr>
          <w:p>
            <w:pPr>
              <w:jc w:val="center"/>
              <w:rPr>
                <w:rFonts w:ascii="宋体" w:hAnsi="宋体"/>
                <w:szCs w:val="21"/>
              </w:rPr>
            </w:pPr>
            <w:r>
              <w:rPr>
                <w:rFonts w:ascii="宋体" w:hAnsi="宋体"/>
                <w:szCs w:val="21"/>
              </w:rPr>
              <w:t>单位</w:t>
            </w:r>
          </w:p>
        </w:tc>
        <w:tc>
          <w:tcPr>
            <w:tcW w:w="780" w:type="dxa"/>
            <w:vAlign w:val="center"/>
          </w:tcPr>
          <w:p>
            <w:pPr>
              <w:jc w:val="center"/>
              <w:rPr>
                <w:rFonts w:ascii="宋体" w:hAnsi="宋体"/>
                <w:szCs w:val="21"/>
              </w:rPr>
            </w:pPr>
            <w:r>
              <w:rPr>
                <w:rFonts w:ascii="宋体" w:hAnsi="宋体"/>
                <w:szCs w:val="21"/>
              </w:rPr>
              <w:t>数量</w:t>
            </w:r>
          </w:p>
        </w:tc>
        <w:tc>
          <w:tcPr>
            <w:tcW w:w="1765" w:type="dxa"/>
            <w:vAlign w:val="center"/>
          </w:tcPr>
          <w:p>
            <w:pPr>
              <w:widowControl/>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2" w:hRule="atLeast"/>
        </w:trPr>
        <w:tc>
          <w:tcPr>
            <w:tcW w:w="959" w:type="dxa"/>
            <w:vAlign w:val="center"/>
          </w:tcPr>
          <w:p>
            <w:pPr>
              <w:rPr>
                <w:rFonts w:ascii="宋体" w:hAnsi="宋体"/>
                <w:szCs w:val="21"/>
              </w:rPr>
            </w:pPr>
            <w:r>
              <w:rPr>
                <w:rFonts w:hint="eastAsia" w:ascii="宋体" w:hAnsi="宋体"/>
                <w:szCs w:val="21"/>
              </w:rPr>
              <w:t>1</w:t>
            </w:r>
          </w:p>
        </w:tc>
        <w:tc>
          <w:tcPr>
            <w:tcW w:w="2653" w:type="dxa"/>
            <w:vAlign w:val="center"/>
          </w:tcPr>
          <w:p>
            <w:pPr>
              <w:rPr>
                <w:rFonts w:ascii="宋体" w:hAnsi="宋体"/>
                <w:szCs w:val="21"/>
              </w:rPr>
            </w:pPr>
            <w:r>
              <w:rPr>
                <w:rFonts w:ascii="宋体" w:hAnsi="宋体"/>
                <w:szCs w:val="21"/>
              </w:rPr>
              <w:t>吸水管</w:t>
            </w:r>
          </w:p>
        </w:tc>
        <w:tc>
          <w:tcPr>
            <w:tcW w:w="2460" w:type="dxa"/>
            <w:vAlign w:val="center"/>
          </w:tcPr>
          <w:p>
            <w:pPr>
              <w:rPr>
                <w:rFonts w:ascii="宋体" w:hAnsi="宋体"/>
                <w:szCs w:val="21"/>
              </w:rPr>
            </w:pPr>
            <w:r>
              <w:rPr>
                <w:rFonts w:ascii="宋体" w:hAnsi="宋体"/>
                <w:szCs w:val="21"/>
              </w:rPr>
              <w:t>φ1</w:t>
            </w:r>
            <w:r>
              <w:rPr>
                <w:rFonts w:hint="eastAsia" w:ascii="宋体" w:hAnsi="宋体"/>
                <w:szCs w:val="21"/>
              </w:rPr>
              <w:t>50</w:t>
            </w:r>
            <w:r>
              <w:rPr>
                <w:rFonts w:ascii="宋体" w:hAnsi="宋体"/>
                <w:szCs w:val="21"/>
              </w:rPr>
              <w:t>×</w:t>
            </w:r>
            <w:r>
              <w:rPr>
                <w:rFonts w:hint="eastAsia" w:ascii="宋体" w:hAnsi="宋体"/>
                <w:szCs w:val="21"/>
              </w:rPr>
              <w:t>2</w:t>
            </w:r>
            <w:r>
              <w:rPr>
                <w:rFonts w:ascii="宋体" w:hAnsi="宋体"/>
                <w:szCs w:val="21"/>
              </w:rPr>
              <w:t>m</w:t>
            </w:r>
          </w:p>
        </w:tc>
        <w:tc>
          <w:tcPr>
            <w:tcW w:w="832" w:type="dxa"/>
            <w:vAlign w:val="center"/>
          </w:tcPr>
          <w:p>
            <w:pPr>
              <w:rPr>
                <w:rFonts w:ascii="宋体" w:hAnsi="宋体"/>
                <w:szCs w:val="21"/>
              </w:rPr>
            </w:pPr>
            <w:r>
              <w:rPr>
                <w:rFonts w:ascii="宋体" w:hAnsi="宋体"/>
                <w:szCs w:val="21"/>
              </w:rPr>
              <w:t>根</w:t>
            </w:r>
          </w:p>
        </w:tc>
        <w:tc>
          <w:tcPr>
            <w:tcW w:w="780" w:type="dxa"/>
            <w:vAlign w:val="center"/>
          </w:tcPr>
          <w:p>
            <w:pPr>
              <w:rPr>
                <w:rFonts w:ascii="宋体" w:hAnsi="宋体"/>
                <w:szCs w:val="21"/>
              </w:rPr>
            </w:pPr>
            <w:r>
              <w:rPr>
                <w:rFonts w:hint="eastAsia" w:ascii="宋体" w:hAnsi="宋体"/>
                <w:szCs w:val="21"/>
              </w:rPr>
              <w:t>4</w:t>
            </w:r>
          </w:p>
        </w:tc>
        <w:tc>
          <w:tcPr>
            <w:tcW w:w="176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trPr>
        <w:tc>
          <w:tcPr>
            <w:tcW w:w="959" w:type="dxa"/>
            <w:vAlign w:val="center"/>
          </w:tcPr>
          <w:p>
            <w:pPr>
              <w:rPr>
                <w:rFonts w:ascii="宋体" w:hAnsi="宋体"/>
                <w:szCs w:val="21"/>
              </w:rPr>
            </w:pPr>
            <w:r>
              <w:rPr>
                <w:rFonts w:hint="eastAsia" w:ascii="宋体" w:hAnsi="宋体"/>
                <w:szCs w:val="21"/>
              </w:rPr>
              <w:t>2</w:t>
            </w:r>
          </w:p>
        </w:tc>
        <w:tc>
          <w:tcPr>
            <w:tcW w:w="2653" w:type="dxa"/>
            <w:vAlign w:val="center"/>
          </w:tcPr>
          <w:p>
            <w:pPr>
              <w:rPr>
                <w:rFonts w:ascii="宋体" w:hAnsi="宋体"/>
                <w:szCs w:val="21"/>
              </w:rPr>
            </w:pPr>
            <w:r>
              <w:rPr>
                <w:rFonts w:ascii="宋体" w:hAnsi="宋体"/>
                <w:szCs w:val="21"/>
              </w:rPr>
              <w:t>滤水器</w:t>
            </w:r>
          </w:p>
        </w:tc>
        <w:tc>
          <w:tcPr>
            <w:tcW w:w="2460" w:type="dxa"/>
            <w:vAlign w:val="center"/>
          </w:tcPr>
          <w:p>
            <w:pPr>
              <w:rPr>
                <w:rFonts w:ascii="宋体" w:hAnsi="宋体"/>
                <w:szCs w:val="21"/>
              </w:rPr>
            </w:pPr>
            <w:r>
              <w:rPr>
                <w:rFonts w:ascii="宋体" w:hAnsi="宋体"/>
                <w:szCs w:val="21"/>
              </w:rPr>
              <w:t>φ1</w:t>
            </w:r>
            <w:r>
              <w:rPr>
                <w:rFonts w:hint="eastAsia" w:ascii="宋体" w:hAnsi="宋体"/>
                <w:szCs w:val="21"/>
              </w:rPr>
              <w:t>50mm</w:t>
            </w:r>
          </w:p>
        </w:tc>
        <w:tc>
          <w:tcPr>
            <w:tcW w:w="832" w:type="dxa"/>
            <w:vAlign w:val="center"/>
          </w:tcPr>
          <w:p>
            <w:pPr>
              <w:rPr>
                <w:rFonts w:ascii="宋体" w:hAnsi="宋体"/>
                <w:szCs w:val="21"/>
              </w:rPr>
            </w:pPr>
            <w:r>
              <w:rPr>
                <w:rFonts w:ascii="宋体" w:hAnsi="宋体"/>
                <w:szCs w:val="21"/>
              </w:rPr>
              <w:t>只</w:t>
            </w:r>
          </w:p>
        </w:tc>
        <w:tc>
          <w:tcPr>
            <w:tcW w:w="780" w:type="dxa"/>
            <w:vAlign w:val="center"/>
          </w:tcPr>
          <w:p>
            <w:pPr>
              <w:rPr>
                <w:rFonts w:ascii="宋体" w:hAnsi="宋体"/>
                <w:szCs w:val="21"/>
              </w:rPr>
            </w:pPr>
            <w:r>
              <w:rPr>
                <w:rFonts w:ascii="宋体" w:hAnsi="宋体"/>
                <w:szCs w:val="21"/>
              </w:rPr>
              <w:t>1</w:t>
            </w:r>
          </w:p>
        </w:tc>
        <w:tc>
          <w:tcPr>
            <w:tcW w:w="176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959" w:type="dxa"/>
            <w:vAlign w:val="center"/>
          </w:tcPr>
          <w:p>
            <w:pPr>
              <w:rPr>
                <w:rFonts w:ascii="宋体" w:hAnsi="宋体"/>
                <w:szCs w:val="21"/>
              </w:rPr>
            </w:pPr>
            <w:r>
              <w:rPr>
                <w:rFonts w:hint="eastAsia" w:ascii="宋体" w:hAnsi="宋体"/>
                <w:szCs w:val="21"/>
              </w:rPr>
              <w:t>3</w:t>
            </w:r>
          </w:p>
        </w:tc>
        <w:tc>
          <w:tcPr>
            <w:tcW w:w="2653" w:type="dxa"/>
            <w:vAlign w:val="center"/>
          </w:tcPr>
          <w:p>
            <w:pPr>
              <w:rPr>
                <w:rFonts w:ascii="宋体" w:hAnsi="宋体"/>
                <w:szCs w:val="21"/>
              </w:rPr>
            </w:pPr>
            <w:r>
              <w:rPr>
                <w:rFonts w:ascii="宋体" w:hAnsi="宋体"/>
                <w:szCs w:val="21"/>
              </w:rPr>
              <w:t>吸水管扳手</w:t>
            </w:r>
          </w:p>
        </w:tc>
        <w:tc>
          <w:tcPr>
            <w:tcW w:w="2460" w:type="dxa"/>
            <w:vAlign w:val="center"/>
          </w:tcPr>
          <w:p>
            <w:pPr>
              <w:rPr>
                <w:rFonts w:ascii="宋体" w:hAnsi="宋体"/>
                <w:szCs w:val="21"/>
              </w:rPr>
            </w:pPr>
            <w:r>
              <w:rPr>
                <w:rFonts w:ascii="宋体" w:hAnsi="宋体"/>
                <w:szCs w:val="21"/>
              </w:rPr>
              <w:t>φ1</w:t>
            </w:r>
            <w:r>
              <w:rPr>
                <w:rFonts w:hint="eastAsia" w:ascii="宋体" w:hAnsi="宋体"/>
                <w:szCs w:val="21"/>
              </w:rPr>
              <w:t>50</w:t>
            </w:r>
            <w:r>
              <w:rPr>
                <w:rFonts w:ascii="宋体" w:hAnsi="宋体"/>
                <w:szCs w:val="21"/>
              </w:rPr>
              <w:t>mm</w:t>
            </w:r>
          </w:p>
        </w:tc>
        <w:tc>
          <w:tcPr>
            <w:tcW w:w="832" w:type="dxa"/>
            <w:vAlign w:val="center"/>
          </w:tcPr>
          <w:p>
            <w:pPr>
              <w:rPr>
                <w:rFonts w:ascii="宋体" w:hAnsi="宋体"/>
                <w:szCs w:val="21"/>
              </w:rPr>
            </w:pPr>
            <w:r>
              <w:rPr>
                <w:rFonts w:ascii="宋体" w:hAnsi="宋体"/>
                <w:szCs w:val="21"/>
              </w:rPr>
              <w:t>把</w:t>
            </w:r>
          </w:p>
        </w:tc>
        <w:tc>
          <w:tcPr>
            <w:tcW w:w="780" w:type="dxa"/>
            <w:vAlign w:val="center"/>
          </w:tcPr>
          <w:p>
            <w:pPr>
              <w:rPr>
                <w:rFonts w:ascii="宋体" w:hAnsi="宋体"/>
                <w:szCs w:val="21"/>
              </w:rPr>
            </w:pPr>
            <w:r>
              <w:rPr>
                <w:rFonts w:ascii="宋体" w:hAnsi="宋体"/>
                <w:szCs w:val="21"/>
              </w:rPr>
              <w:t>2</w:t>
            </w:r>
          </w:p>
        </w:tc>
        <w:tc>
          <w:tcPr>
            <w:tcW w:w="176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7" w:hRule="atLeast"/>
        </w:trPr>
        <w:tc>
          <w:tcPr>
            <w:tcW w:w="959" w:type="dxa"/>
            <w:vAlign w:val="center"/>
          </w:tcPr>
          <w:p>
            <w:pPr>
              <w:rPr>
                <w:rFonts w:ascii="宋体" w:hAnsi="宋体"/>
                <w:szCs w:val="21"/>
              </w:rPr>
            </w:pPr>
            <w:r>
              <w:rPr>
                <w:rFonts w:hint="eastAsia" w:ascii="宋体" w:hAnsi="宋体"/>
                <w:szCs w:val="21"/>
              </w:rPr>
              <w:t>4</w:t>
            </w:r>
          </w:p>
        </w:tc>
        <w:tc>
          <w:tcPr>
            <w:tcW w:w="2653" w:type="dxa"/>
            <w:vAlign w:val="center"/>
          </w:tcPr>
          <w:p>
            <w:pPr>
              <w:rPr>
                <w:rFonts w:ascii="宋体" w:hAnsi="宋体"/>
                <w:szCs w:val="21"/>
              </w:rPr>
            </w:pPr>
            <w:r>
              <w:rPr>
                <w:rFonts w:hint="eastAsia" w:ascii="宋体" w:hAnsi="宋体"/>
                <w:szCs w:val="21"/>
              </w:rPr>
              <w:t>地上消防栓扳手</w:t>
            </w:r>
          </w:p>
        </w:tc>
        <w:tc>
          <w:tcPr>
            <w:tcW w:w="2460" w:type="dxa"/>
            <w:vAlign w:val="center"/>
          </w:tcPr>
          <w:p>
            <w:pPr>
              <w:rPr>
                <w:rFonts w:ascii="宋体" w:hAnsi="宋体"/>
                <w:szCs w:val="21"/>
              </w:rPr>
            </w:pPr>
            <w:r>
              <w:rPr>
                <w:rFonts w:hint="eastAsia" w:ascii="宋体" w:hAnsi="宋体"/>
                <w:szCs w:val="21"/>
              </w:rPr>
              <w:t>FB450</w:t>
            </w:r>
          </w:p>
        </w:tc>
        <w:tc>
          <w:tcPr>
            <w:tcW w:w="832" w:type="dxa"/>
            <w:vAlign w:val="center"/>
          </w:tcPr>
          <w:p>
            <w:pPr>
              <w:rPr>
                <w:rFonts w:ascii="宋体" w:hAnsi="宋体"/>
                <w:szCs w:val="21"/>
              </w:rPr>
            </w:pPr>
            <w:r>
              <w:rPr>
                <w:rFonts w:ascii="宋体" w:hAnsi="宋体"/>
                <w:szCs w:val="21"/>
              </w:rPr>
              <w:t>把</w:t>
            </w:r>
          </w:p>
        </w:tc>
        <w:tc>
          <w:tcPr>
            <w:tcW w:w="780" w:type="dxa"/>
            <w:vAlign w:val="center"/>
          </w:tcPr>
          <w:p>
            <w:pPr>
              <w:rPr>
                <w:rFonts w:ascii="宋体" w:hAnsi="宋体"/>
                <w:szCs w:val="21"/>
              </w:rPr>
            </w:pPr>
            <w:r>
              <w:rPr>
                <w:rFonts w:hint="eastAsia" w:ascii="宋体" w:hAnsi="宋体"/>
                <w:szCs w:val="21"/>
              </w:rPr>
              <w:t>1</w:t>
            </w:r>
          </w:p>
        </w:tc>
        <w:tc>
          <w:tcPr>
            <w:tcW w:w="176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07" w:hRule="atLeast"/>
        </w:trPr>
        <w:tc>
          <w:tcPr>
            <w:tcW w:w="959" w:type="dxa"/>
            <w:vAlign w:val="center"/>
          </w:tcPr>
          <w:p>
            <w:pPr>
              <w:rPr>
                <w:rFonts w:ascii="宋体" w:hAnsi="宋体"/>
                <w:szCs w:val="21"/>
              </w:rPr>
            </w:pPr>
            <w:r>
              <w:rPr>
                <w:rFonts w:hint="eastAsia" w:ascii="宋体" w:hAnsi="宋体"/>
                <w:szCs w:val="21"/>
              </w:rPr>
              <w:t>5</w:t>
            </w:r>
          </w:p>
        </w:tc>
        <w:tc>
          <w:tcPr>
            <w:tcW w:w="2653" w:type="dxa"/>
            <w:vAlign w:val="center"/>
          </w:tcPr>
          <w:p>
            <w:pPr>
              <w:rPr>
                <w:rFonts w:ascii="宋体" w:hAnsi="宋体"/>
                <w:szCs w:val="21"/>
              </w:rPr>
            </w:pPr>
            <w:r>
              <w:rPr>
                <w:rFonts w:hint="eastAsia" w:ascii="宋体" w:hAnsi="宋体"/>
                <w:szCs w:val="21"/>
              </w:rPr>
              <w:t>地下消防栓扳手</w:t>
            </w:r>
          </w:p>
        </w:tc>
        <w:tc>
          <w:tcPr>
            <w:tcW w:w="2460" w:type="dxa"/>
            <w:vAlign w:val="center"/>
          </w:tcPr>
          <w:p>
            <w:pPr>
              <w:rPr>
                <w:rFonts w:ascii="宋体" w:hAnsi="宋体"/>
                <w:szCs w:val="21"/>
              </w:rPr>
            </w:pPr>
            <w:r>
              <w:rPr>
                <w:rFonts w:hint="eastAsia" w:ascii="宋体" w:hAnsi="宋体"/>
                <w:szCs w:val="21"/>
              </w:rPr>
              <w:t>FB800</w:t>
            </w:r>
          </w:p>
        </w:tc>
        <w:tc>
          <w:tcPr>
            <w:tcW w:w="832" w:type="dxa"/>
            <w:vAlign w:val="center"/>
          </w:tcPr>
          <w:p>
            <w:pPr>
              <w:rPr>
                <w:rFonts w:ascii="宋体" w:hAnsi="宋体"/>
                <w:szCs w:val="21"/>
              </w:rPr>
            </w:pPr>
            <w:r>
              <w:rPr>
                <w:rFonts w:hint="eastAsia" w:ascii="宋体" w:hAnsi="宋体"/>
                <w:szCs w:val="21"/>
              </w:rPr>
              <w:t>把</w:t>
            </w:r>
          </w:p>
        </w:tc>
        <w:tc>
          <w:tcPr>
            <w:tcW w:w="780" w:type="dxa"/>
            <w:vAlign w:val="center"/>
          </w:tcPr>
          <w:p>
            <w:pPr>
              <w:rPr>
                <w:rFonts w:ascii="宋体" w:hAnsi="宋体"/>
                <w:szCs w:val="21"/>
              </w:rPr>
            </w:pPr>
            <w:r>
              <w:rPr>
                <w:rFonts w:hint="eastAsia" w:ascii="宋体" w:hAnsi="宋体"/>
                <w:szCs w:val="21"/>
              </w:rPr>
              <w:t>1</w:t>
            </w:r>
          </w:p>
        </w:tc>
        <w:tc>
          <w:tcPr>
            <w:tcW w:w="176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7" w:hRule="atLeast"/>
        </w:trPr>
        <w:tc>
          <w:tcPr>
            <w:tcW w:w="959" w:type="dxa"/>
            <w:vAlign w:val="center"/>
          </w:tcPr>
          <w:p>
            <w:pPr>
              <w:rPr>
                <w:rFonts w:ascii="宋体" w:hAnsi="宋体"/>
                <w:szCs w:val="21"/>
              </w:rPr>
            </w:pPr>
            <w:r>
              <w:rPr>
                <w:rFonts w:hint="eastAsia" w:ascii="宋体" w:hAnsi="宋体"/>
                <w:szCs w:val="21"/>
              </w:rPr>
              <w:t>6</w:t>
            </w:r>
          </w:p>
        </w:tc>
        <w:tc>
          <w:tcPr>
            <w:tcW w:w="2653" w:type="dxa"/>
            <w:vAlign w:val="center"/>
          </w:tcPr>
          <w:p>
            <w:pPr>
              <w:rPr>
                <w:rFonts w:ascii="宋体" w:hAnsi="宋体"/>
                <w:szCs w:val="21"/>
              </w:rPr>
            </w:pPr>
            <w:r>
              <w:rPr>
                <w:rFonts w:ascii="宋体" w:hAnsi="宋体"/>
                <w:szCs w:val="21"/>
              </w:rPr>
              <w:t>消防水带</w:t>
            </w:r>
          </w:p>
        </w:tc>
        <w:tc>
          <w:tcPr>
            <w:tcW w:w="2460" w:type="dxa"/>
            <w:vAlign w:val="center"/>
          </w:tcPr>
          <w:p>
            <w:pPr>
              <w:rPr>
                <w:rFonts w:ascii="宋体" w:hAnsi="宋体"/>
                <w:szCs w:val="21"/>
              </w:rPr>
            </w:pPr>
            <w:r>
              <w:rPr>
                <w:rFonts w:hint="eastAsia" w:ascii="宋体" w:hAnsi="宋体"/>
                <w:szCs w:val="21"/>
              </w:rPr>
              <w:t>16</w:t>
            </w:r>
            <w:r>
              <w:rPr>
                <w:rFonts w:ascii="宋体" w:hAnsi="宋体"/>
                <w:szCs w:val="21"/>
              </w:rPr>
              <w:t>型φ80×20m</w:t>
            </w:r>
          </w:p>
        </w:tc>
        <w:tc>
          <w:tcPr>
            <w:tcW w:w="832" w:type="dxa"/>
            <w:vAlign w:val="center"/>
          </w:tcPr>
          <w:p>
            <w:pPr>
              <w:rPr>
                <w:rFonts w:ascii="宋体" w:hAnsi="宋体"/>
                <w:szCs w:val="21"/>
              </w:rPr>
            </w:pPr>
            <w:r>
              <w:rPr>
                <w:rFonts w:ascii="宋体" w:hAnsi="宋体"/>
                <w:szCs w:val="21"/>
              </w:rPr>
              <w:t>盘</w:t>
            </w:r>
          </w:p>
        </w:tc>
        <w:tc>
          <w:tcPr>
            <w:tcW w:w="780" w:type="dxa"/>
            <w:vAlign w:val="center"/>
          </w:tcPr>
          <w:p>
            <w:pPr>
              <w:rPr>
                <w:rFonts w:ascii="宋体" w:hAnsi="宋体"/>
                <w:szCs w:val="21"/>
              </w:rPr>
            </w:pPr>
            <w:r>
              <w:rPr>
                <w:rFonts w:hint="eastAsia" w:ascii="宋体" w:hAnsi="宋体"/>
                <w:szCs w:val="21"/>
              </w:rPr>
              <w:t>10</w:t>
            </w:r>
          </w:p>
        </w:tc>
        <w:tc>
          <w:tcPr>
            <w:tcW w:w="176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trPr>
        <w:tc>
          <w:tcPr>
            <w:tcW w:w="959" w:type="dxa"/>
            <w:vAlign w:val="center"/>
          </w:tcPr>
          <w:p>
            <w:pPr>
              <w:rPr>
                <w:rFonts w:ascii="宋体" w:hAnsi="宋体"/>
                <w:szCs w:val="21"/>
              </w:rPr>
            </w:pPr>
            <w:r>
              <w:rPr>
                <w:rFonts w:hint="eastAsia" w:ascii="宋体" w:hAnsi="宋体"/>
                <w:szCs w:val="21"/>
              </w:rPr>
              <w:t>7</w:t>
            </w:r>
          </w:p>
        </w:tc>
        <w:tc>
          <w:tcPr>
            <w:tcW w:w="2653" w:type="dxa"/>
            <w:vAlign w:val="center"/>
          </w:tcPr>
          <w:p>
            <w:pPr>
              <w:rPr>
                <w:rFonts w:ascii="宋体" w:hAnsi="宋体"/>
                <w:szCs w:val="21"/>
              </w:rPr>
            </w:pPr>
            <w:r>
              <w:rPr>
                <w:rFonts w:ascii="宋体" w:hAnsi="宋体"/>
                <w:szCs w:val="21"/>
              </w:rPr>
              <w:t>消防水带</w:t>
            </w:r>
          </w:p>
        </w:tc>
        <w:tc>
          <w:tcPr>
            <w:tcW w:w="2460" w:type="dxa"/>
            <w:vAlign w:val="center"/>
          </w:tcPr>
          <w:p>
            <w:pPr>
              <w:rPr>
                <w:rFonts w:ascii="宋体" w:hAnsi="宋体"/>
                <w:szCs w:val="21"/>
              </w:rPr>
            </w:pPr>
            <w:r>
              <w:rPr>
                <w:rFonts w:hint="eastAsia" w:ascii="宋体" w:hAnsi="宋体"/>
                <w:szCs w:val="21"/>
              </w:rPr>
              <w:t>16</w:t>
            </w:r>
            <w:r>
              <w:rPr>
                <w:rFonts w:ascii="宋体" w:hAnsi="宋体"/>
                <w:szCs w:val="21"/>
              </w:rPr>
              <w:t>型φ</w:t>
            </w:r>
            <w:r>
              <w:rPr>
                <w:rFonts w:hint="eastAsia" w:ascii="宋体" w:hAnsi="宋体"/>
                <w:szCs w:val="21"/>
              </w:rPr>
              <w:t>65</w:t>
            </w:r>
            <w:r>
              <w:rPr>
                <w:rFonts w:ascii="宋体" w:hAnsi="宋体"/>
                <w:szCs w:val="21"/>
              </w:rPr>
              <w:t>×20m</w:t>
            </w:r>
          </w:p>
        </w:tc>
        <w:tc>
          <w:tcPr>
            <w:tcW w:w="832" w:type="dxa"/>
            <w:vAlign w:val="center"/>
          </w:tcPr>
          <w:p>
            <w:pPr>
              <w:rPr>
                <w:rFonts w:ascii="宋体" w:hAnsi="宋体"/>
                <w:szCs w:val="21"/>
              </w:rPr>
            </w:pPr>
            <w:r>
              <w:rPr>
                <w:rFonts w:ascii="宋体" w:hAnsi="宋体"/>
                <w:szCs w:val="21"/>
              </w:rPr>
              <w:t>盘</w:t>
            </w:r>
          </w:p>
        </w:tc>
        <w:tc>
          <w:tcPr>
            <w:tcW w:w="780" w:type="dxa"/>
            <w:vAlign w:val="center"/>
          </w:tcPr>
          <w:p>
            <w:pPr>
              <w:rPr>
                <w:rFonts w:ascii="宋体" w:hAnsi="宋体"/>
                <w:szCs w:val="21"/>
              </w:rPr>
            </w:pPr>
            <w:r>
              <w:rPr>
                <w:rFonts w:hint="eastAsia" w:ascii="宋体" w:hAnsi="宋体"/>
                <w:szCs w:val="21"/>
              </w:rPr>
              <w:t>6</w:t>
            </w:r>
          </w:p>
        </w:tc>
        <w:tc>
          <w:tcPr>
            <w:tcW w:w="176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2" w:hRule="atLeast"/>
        </w:trPr>
        <w:tc>
          <w:tcPr>
            <w:tcW w:w="959" w:type="dxa"/>
            <w:vAlign w:val="center"/>
          </w:tcPr>
          <w:p>
            <w:pPr>
              <w:rPr>
                <w:rFonts w:ascii="宋体" w:hAnsi="宋体"/>
                <w:szCs w:val="21"/>
              </w:rPr>
            </w:pPr>
            <w:r>
              <w:rPr>
                <w:rFonts w:hint="eastAsia" w:ascii="宋体" w:hAnsi="宋体"/>
                <w:szCs w:val="21"/>
              </w:rPr>
              <w:t>8</w:t>
            </w:r>
          </w:p>
        </w:tc>
        <w:tc>
          <w:tcPr>
            <w:tcW w:w="2653" w:type="dxa"/>
            <w:vAlign w:val="center"/>
          </w:tcPr>
          <w:p>
            <w:pPr>
              <w:rPr>
                <w:rFonts w:ascii="宋体" w:hAnsi="宋体"/>
                <w:szCs w:val="21"/>
              </w:rPr>
            </w:pPr>
            <w:r>
              <w:rPr>
                <w:rFonts w:hint="eastAsia" w:ascii="宋体" w:hAnsi="宋体"/>
                <w:szCs w:val="21"/>
              </w:rPr>
              <w:t>异径接扣</w:t>
            </w:r>
          </w:p>
        </w:tc>
        <w:tc>
          <w:tcPr>
            <w:tcW w:w="2460" w:type="dxa"/>
            <w:vAlign w:val="center"/>
          </w:tcPr>
          <w:p>
            <w:pPr>
              <w:ind w:left="28" w:right="28"/>
              <w:rPr>
                <w:rFonts w:ascii="宋体" w:hAnsi="宋体"/>
                <w:szCs w:val="21"/>
              </w:rPr>
            </w:pPr>
            <w:r>
              <w:rPr>
                <w:rFonts w:hint="eastAsia" w:ascii="宋体" w:hAnsi="宋体"/>
                <w:szCs w:val="21"/>
              </w:rPr>
              <w:t>65/80</w:t>
            </w:r>
          </w:p>
        </w:tc>
        <w:tc>
          <w:tcPr>
            <w:tcW w:w="832" w:type="dxa"/>
            <w:vAlign w:val="center"/>
          </w:tcPr>
          <w:p>
            <w:pPr>
              <w:rPr>
                <w:rFonts w:ascii="宋体" w:hAnsi="宋体"/>
                <w:szCs w:val="21"/>
              </w:rPr>
            </w:pPr>
            <w:r>
              <w:rPr>
                <w:rFonts w:hint="eastAsia" w:ascii="宋体" w:hAnsi="宋体"/>
                <w:szCs w:val="21"/>
              </w:rPr>
              <w:t>只</w:t>
            </w:r>
          </w:p>
        </w:tc>
        <w:tc>
          <w:tcPr>
            <w:tcW w:w="780" w:type="dxa"/>
            <w:vAlign w:val="center"/>
          </w:tcPr>
          <w:p>
            <w:pPr>
              <w:rPr>
                <w:rFonts w:ascii="宋体" w:hAnsi="宋体"/>
                <w:szCs w:val="21"/>
              </w:rPr>
            </w:pPr>
            <w:r>
              <w:rPr>
                <w:rFonts w:hint="eastAsia" w:ascii="宋体" w:hAnsi="宋体"/>
                <w:szCs w:val="21"/>
              </w:rPr>
              <w:t>4</w:t>
            </w:r>
          </w:p>
        </w:tc>
        <w:tc>
          <w:tcPr>
            <w:tcW w:w="176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2" w:hRule="atLeast"/>
        </w:trPr>
        <w:tc>
          <w:tcPr>
            <w:tcW w:w="959" w:type="dxa"/>
            <w:vAlign w:val="center"/>
          </w:tcPr>
          <w:p>
            <w:pPr>
              <w:rPr>
                <w:rFonts w:ascii="宋体" w:hAnsi="宋体"/>
                <w:szCs w:val="21"/>
              </w:rPr>
            </w:pPr>
            <w:r>
              <w:rPr>
                <w:rFonts w:hint="eastAsia" w:ascii="宋体" w:hAnsi="宋体"/>
                <w:szCs w:val="21"/>
              </w:rPr>
              <w:t>9</w:t>
            </w:r>
          </w:p>
        </w:tc>
        <w:tc>
          <w:tcPr>
            <w:tcW w:w="2653" w:type="dxa"/>
            <w:vAlign w:val="center"/>
          </w:tcPr>
          <w:p>
            <w:pPr>
              <w:rPr>
                <w:rFonts w:ascii="宋体" w:hAnsi="宋体"/>
                <w:szCs w:val="21"/>
              </w:rPr>
            </w:pPr>
            <w:r>
              <w:rPr>
                <w:rFonts w:ascii="宋体" w:hAnsi="宋体"/>
                <w:szCs w:val="21"/>
              </w:rPr>
              <w:t>集水器</w:t>
            </w:r>
          </w:p>
        </w:tc>
        <w:tc>
          <w:tcPr>
            <w:tcW w:w="2460" w:type="dxa"/>
            <w:vAlign w:val="center"/>
          </w:tcPr>
          <w:p>
            <w:pPr>
              <w:rPr>
                <w:rFonts w:ascii="宋体" w:hAnsi="宋体"/>
                <w:szCs w:val="21"/>
              </w:rPr>
            </w:pPr>
            <w:r>
              <w:rPr>
                <w:rFonts w:hint="eastAsia" w:ascii="宋体" w:hAnsi="宋体"/>
                <w:szCs w:val="21"/>
              </w:rPr>
              <w:t>FSJ150</w:t>
            </w:r>
          </w:p>
        </w:tc>
        <w:tc>
          <w:tcPr>
            <w:tcW w:w="832" w:type="dxa"/>
            <w:vAlign w:val="center"/>
          </w:tcPr>
          <w:p>
            <w:pPr>
              <w:rPr>
                <w:rFonts w:ascii="宋体" w:hAnsi="宋体"/>
                <w:szCs w:val="21"/>
              </w:rPr>
            </w:pPr>
            <w:r>
              <w:rPr>
                <w:rFonts w:ascii="宋体" w:hAnsi="宋体"/>
                <w:szCs w:val="21"/>
              </w:rPr>
              <w:t>只</w:t>
            </w:r>
          </w:p>
        </w:tc>
        <w:tc>
          <w:tcPr>
            <w:tcW w:w="780" w:type="dxa"/>
            <w:vAlign w:val="center"/>
          </w:tcPr>
          <w:p>
            <w:pPr>
              <w:rPr>
                <w:rFonts w:ascii="宋体" w:hAnsi="宋体"/>
                <w:szCs w:val="21"/>
              </w:rPr>
            </w:pPr>
            <w:r>
              <w:rPr>
                <w:rFonts w:hint="eastAsia" w:ascii="宋体" w:hAnsi="宋体"/>
                <w:szCs w:val="21"/>
              </w:rPr>
              <w:t>2</w:t>
            </w:r>
          </w:p>
        </w:tc>
        <w:tc>
          <w:tcPr>
            <w:tcW w:w="176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7" w:hRule="atLeast"/>
        </w:trPr>
        <w:tc>
          <w:tcPr>
            <w:tcW w:w="959" w:type="dxa"/>
            <w:vAlign w:val="center"/>
          </w:tcPr>
          <w:p>
            <w:pPr>
              <w:rPr>
                <w:rFonts w:ascii="宋体" w:hAnsi="宋体"/>
                <w:szCs w:val="21"/>
              </w:rPr>
            </w:pPr>
            <w:r>
              <w:rPr>
                <w:rFonts w:hint="eastAsia" w:ascii="宋体" w:hAnsi="宋体"/>
                <w:szCs w:val="21"/>
              </w:rPr>
              <w:t>10</w:t>
            </w:r>
          </w:p>
        </w:tc>
        <w:tc>
          <w:tcPr>
            <w:tcW w:w="2653" w:type="dxa"/>
          </w:tcPr>
          <w:p>
            <w:pPr>
              <w:rPr>
                <w:rFonts w:ascii="宋体" w:hAnsi="宋体"/>
                <w:szCs w:val="21"/>
              </w:rPr>
            </w:pPr>
            <w:r>
              <w:rPr>
                <w:rFonts w:hint="eastAsia" w:ascii="宋体" w:hAnsi="宋体"/>
                <w:szCs w:val="21"/>
              </w:rPr>
              <w:t>异型异径接口</w:t>
            </w:r>
          </w:p>
        </w:tc>
        <w:tc>
          <w:tcPr>
            <w:tcW w:w="2460" w:type="dxa"/>
          </w:tcPr>
          <w:p>
            <w:pPr>
              <w:rPr>
                <w:rFonts w:ascii="宋体" w:hAnsi="宋体"/>
                <w:szCs w:val="21"/>
              </w:rPr>
            </w:pPr>
            <w:r>
              <w:rPr>
                <w:rFonts w:hint="eastAsia" w:ascii="宋体" w:hAnsi="宋体"/>
                <w:szCs w:val="21"/>
              </w:rPr>
              <w:t>KY150/KT100</w:t>
            </w:r>
          </w:p>
        </w:tc>
        <w:tc>
          <w:tcPr>
            <w:tcW w:w="832" w:type="dxa"/>
          </w:tcPr>
          <w:p>
            <w:pPr>
              <w:rPr>
                <w:rFonts w:ascii="宋体" w:hAnsi="宋体"/>
                <w:szCs w:val="21"/>
              </w:rPr>
            </w:pPr>
            <w:r>
              <w:rPr>
                <w:rFonts w:hint="eastAsia" w:ascii="宋体" w:hAnsi="宋体"/>
                <w:szCs w:val="21"/>
              </w:rPr>
              <w:t>只</w:t>
            </w:r>
          </w:p>
        </w:tc>
        <w:tc>
          <w:tcPr>
            <w:tcW w:w="780" w:type="dxa"/>
          </w:tcPr>
          <w:p>
            <w:pPr>
              <w:rPr>
                <w:rFonts w:ascii="宋体" w:hAnsi="宋体"/>
                <w:szCs w:val="21"/>
              </w:rPr>
            </w:pPr>
            <w:r>
              <w:rPr>
                <w:rFonts w:hint="eastAsia" w:ascii="宋体" w:hAnsi="宋体"/>
                <w:szCs w:val="21"/>
              </w:rPr>
              <w:t>1</w:t>
            </w:r>
          </w:p>
        </w:tc>
        <w:tc>
          <w:tcPr>
            <w:tcW w:w="176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67" w:hRule="atLeast"/>
        </w:trPr>
        <w:tc>
          <w:tcPr>
            <w:tcW w:w="959" w:type="dxa"/>
            <w:vAlign w:val="center"/>
          </w:tcPr>
          <w:p>
            <w:pPr>
              <w:rPr>
                <w:rFonts w:ascii="宋体" w:hAnsi="宋体"/>
                <w:szCs w:val="21"/>
              </w:rPr>
            </w:pPr>
            <w:r>
              <w:rPr>
                <w:rFonts w:hint="eastAsia" w:ascii="宋体" w:hAnsi="宋体"/>
                <w:szCs w:val="21"/>
              </w:rPr>
              <w:t>11</w:t>
            </w:r>
          </w:p>
        </w:tc>
        <w:tc>
          <w:tcPr>
            <w:tcW w:w="2653" w:type="dxa"/>
            <w:vAlign w:val="center"/>
          </w:tcPr>
          <w:p>
            <w:pPr>
              <w:rPr>
                <w:rFonts w:ascii="宋体" w:hAnsi="宋体"/>
                <w:szCs w:val="21"/>
              </w:rPr>
            </w:pPr>
            <w:r>
              <w:rPr>
                <w:rFonts w:hint="eastAsia" w:ascii="宋体" w:hAnsi="宋体"/>
                <w:szCs w:val="21"/>
              </w:rPr>
              <w:t>护带桥</w:t>
            </w:r>
          </w:p>
        </w:tc>
        <w:tc>
          <w:tcPr>
            <w:tcW w:w="2460" w:type="dxa"/>
            <w:vAlign w:val="center"/>
          </w:tcPr>
          <w:p>
            <w:pPr>
              <w:rPr>
                <w:rFonts w:ascii="宋体" w:hAnsi="宋体"/>
                <w:szCs w:val="21"/>
              </w:rPr>
            </w:pPr>
            <w:r>
              <w:rPr>
                <w:rFonts w:hint="eastAsia" w:ascii="宋体" w:hAnsi="宋体"/>
                <w:szCs w:val="21"/>
              </w:rPr>
              <w:t>FH80</w:t>
            </w:r>
          </w:p>
        </w:tc>
        <w:tc>
          <w:tcPr>
            <w:tcW w:w="832" w:type="dxa"/>
            <w:vAlign w:val="center"/>
          </w:tcPr>
          <w:p>
            <w:pPr>
              <w:rPr>
                <w:rFonts w:ascii="宋体" w:hAnsi="宋体"/>
                <w:szCs w:val="21"/>
              </w:rPr>
            </w:pPr>
            <w:r>
              <w:rPr>
                <w:rFonts w:ascii="宋体" w:hAnsi="宋体"/>
                <w:szCs w:val="21"/>
              </w:rPr>
              <w:t>副</w:t>
            </w:r>
          </w:p>
        </w:tc>
        <w:tc>
          <w:tcPr>
            <w:tcW w:w="780" w:type="dxa"/>
            <w:vAlign w:val="center"/>
          </w:tcPr>
          <w:p>
            <w:pPr>
              <w:rPr>
                <w:rFonts w:ascii="宋体" w:hAnsi="宋体"/>
                <w:szCs w:val="21"/>
              </w:rPr>
            </w:pPr>
            <w:r>
              <w:rPr>
                <w:rFonts w:hint="eastAsia" w:ascii="宋体" w:hAnsi="宋体"/>
                <w:szCs w:val="21"/>
              </w:rPr>
              <w:t>2</w:t>
            </w:r>
          </w:p>
        </w:tc>
        <w:tc>
          <w:tcPr>
            <w:tcW w:w="176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 w:hRule="atLeast"/>
        </w:trPr>
        <w:tc>
          <w:tcPr>
            <w:tcW w:w="959" w:type="dxa"/>
            <w:vAlign w:val="center"/>
          </w:tcPr>
          <w:p>
            <w:pPr>
              <w:rPr>
                <w:rFonts w:ascii="宋体" w:hAnsi="宋体"/>
                <w:szCs w:val="21"/>
              </w:rPr>
            </w:pPr>
            <w:r>
              <w:rPr>
                <w:rFonts w:hint="eastAsia" w:ascii="宋体" w:hAnsi="宋体"/>
                <w:szCs w:val="21"/>
              </w:rPr>
              <w:t>12</w:t>
            </w:r>
          </w:p>
        </w:tc>
        <w:tc>
          <w:tcPr>
            <w:tcW w:w="2653" w:type="dxa"/>
            <w:vAlign w:val="center"/>
          </w:tcPr>
          <w:p>
            <w:pPr>
              <w:rPr>
                <w:rFonts w:ascii="宋体" w:hAnsi="宋体"/>
                <w:szCs w:val="21"/>
              </w:rPr>
            </w:pPr>
            <w:r>
              <w:rPr>
                <w:rFonts w:ascii="宋体" w:hAnsi="宋体"/>
                <w:szCs w:val="21"/>
              </w:rPr>
              <w:t>水带包布</w:t>
            </w:r>
          </w:p>
        </w:tc>
        <w:tc>
          <w:tcPr>
            <w:tcW w:w="2460" w:type="dxa"/>
            <w:vAlign w:val="center"/>
          </w:tcPr>
          <w:p>
            <w:pPr>
              <w:rPr>
                <w:rFonts w:ascii="宋体" w:hAnsi="宋体"/>
                <w:szCs w:val="21"/>
              </w:rPr>
            </w:pPr>
            <w:r>
              <w:rPr>
                <w:rFonts w:hint="eastAsia" w:ascii="宋体" w:hAnsi="宋体"/>
                <w:szCs w:val="21"/>
              </w:rPr>
              <w:t>FP470</w:t>
            </w:r>
          </w:p>
        </w:tc>
        <w:tc>
          <w:tcPr>
            <w:tcW w:w="832" w:type="dxa"/>
            <w:vAlign w:val="center"/>
          </w:tcPr>
          <w:p>
            <w:pPr>
              <w:rPr>
                <w:rFonts w:ascii="宋体" w:hAnsi="宋体"/>
                <w:szCs w:val="21"/>
              </w:rPr>
            </w:pPr>
            <w:r>
              <w:rPr>
                <w:rFonts w:ascii="宋体" w:hAnsi="宋体"/>
                <w:szCs w:val="21"/>
              </w:rPr>
              <w:t>只</w:t>
            </w:r>
          </w:p>
        </w:tc>
        <w:tc>
          <w:tcPr>
            <w:tcW w:w="780" w:type="dxa"/>
            <w:vAlign w:val="center"/>
          </w:tcPr>
          <w:p>
            <w:pPr>
              <w:rPr>
                <w:rFonts w:ascii="宋体" w:hAnsi="宋体"/>
                <w:szCs w:val="21"/>
              </w:rPr>
            </w:pPr>
            <w:r>
              <w:rPr>
                <w:rFonts w:hint="eastAsia" w:ascii="宋体" w:hAnsi="宋体"/>
                <w:szCs w:val="21"/>
              </w:rPr>
              <w:t>8</w:t>
            </w:r>
          </w:p>
        </w:tc>
        <w:tc>
          <w:tcPr>
            <w:tcW w:w="176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7" w:hRule="atLeast"/>
        </w:trPr>
        <w:tc>
          <w:tcPr>
            <w:tcW w:w="959" w:type="dxa"/>
            <w:vAlign w:val="center"/>
          </w:tcPr>
          <w:p>
            <w:pPr>
              <w:rPr>
                <w:rFonts w:ascii="宋体" w:hAnsi="宋体"/>
                <w:szCs w:val="21"/>
              </w:rPr>
            </w:pPr>
            <w:r>
              <w:rPr>
                <w:rFonts w:hint="eastAsia" w:ascii="宋体" w:hAnsi="宋体"/>
                <w:szCs w:val="21"/>
              </w:rPr>
              <w:t>13</w:t>
            </w:r>
          </w:p>
        </w:tc>
        <w:tc>
          <w:tcPr>
            <w:tcW w:w="2653" w:type="dxa"/>
          </w:tcPr>
          <w:p>
            <w:pPr>
              <w:rPr>
                <w:rFonts w:ascii="宋体" w:hAnsi="宋体"/>
                <w:szCs w:val="21"/>
              </w:rPr>
            </w:pPr>
            <w:r>
              <w:rPr>
                <w:rFonts w:hint="eastAsia" w:ascii="宋体" w:hAnsi="宋体"/>
                <w:szCs w:val="21"/>
              </w:rPr>
              <w:t>直流水枪</w:t>
            </w:r>
          </w:p>
        </w:tc>
        <w:tc>
          <w:tcPr>
            <w:tcW w:w="2460" w:type="dxa"/>
          </w:tcPr>
          <w:p>
            <w:pPr>
              <w:rPr>
                <w:rFonts w:ascii="宋体" w:hAnsi="宋体"/>
                <w:szCs w:val="21"/>
              </w:rPr>
            </w:pPr>
            <w:r>
              <w:rPr>
                <w:rFonts w:hint="eastAsia" w:ascii="宋体" w:hAnsi="宋体"/>
                <w:szCs w:val="21"/>
              </w:rPr>
              <w:t>QZG3.5/7.5</w:t>
            </w:r>
          </w:p>
        </w:tc>
        <w:tc>
          <w:tcPr>
            <w:tcW w:w="832" w:type="dxa"/>
          </w:tcPr>
          <w:p>
            <w:pPr>
              <w:rPr>
                <w:rFonts w:ascii="宋体" w:hAnsi="宋体"/>
                <w:szCs w:val="21"/>
              </w:rPr>
            </w:pPr>
            <w:r>
              <w:rPr>
                <w:rFonts w:hint="eastAsia" w:ascii="宋体" w:hAnsi="宋体"/>
                <w:szCs w:val="21"/>
              </w:rPr>
              <w:t>支</w:t>
            </w:r>
          </w:p>
        </w:tc>
        <w:tc>
          <w:tcPr>
            <w:tcW w:w="780" w:type="dxa"/>
          </w:tcPr>
          <w:p>
            <w:pPr>
              <w:rPr>
                <w:rFonts w:ascii="宋体" w:hAnsi="宋体"/>
                <w:szCs w:val="21"/>
              </w:rPr>
            </w:pPr>
            <w:r>
              <w:rPr>
                <w:rFonts w:hint="eastAsia" w:ascii="宋体" w:hAnsi="宋体"/>
                <w:szCs w:val="21"/>
              </w:rPr>
              <w:t>2</w:t>
            </w:r>
          </w:p>
        </w:tc>
        <w:tc>
          <w:tcPr>
            <w:tcW w:w="176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7" w:hRule="atLeast"/>
        </w:trPr>
        <w:tc>
          <w:tcPr>
            <w:tcW w:w="959" w:type="dxa"/>
            <w:vAlign w:val="center"/>
          </w:tcPr>
          <w:p>
            <w:pPr>
              <w:rPr>
                <w:rFonts w:ascii="宋体" w:hAnsi="宋体"/>
                <w:szCs w:val="21"/>
              </w:rPr>
            </w:pPr>
            <w:r>
              <w:rPr>
                <w:rFonts w:hint="eastAsia" w:ascii="宋体" w:hAnsi="宋体"/>
                <w:szCs w:val="21"/>
              </w:rPr>
              <w:t>14</w:t>
            </w:r>
          </w:p>
        </w:tc>
        <w:tc>
          <w:tcPr>
            <w:tcW w:w="2653" w:type="dxa"/>
          </w:tcPr>
          <w:p>
            <w:pPr>
              <w:rPr>
                <w:rFonts w:ascii="宋体" w:hAnsi="宋体"/>
                <w:szCs w:val="21"/>
              </w:rPr>
            </w:pPr>
            <w:r>
              <w:rPr>
                <w:rFonts w:hint="eastAsia" w:ascii="宋体" w:hAnsi="宋体"/>
                <w:szCs w:val="21"/>
              </w:rPr>
              <w:t>导流式直流喷雾水枪</w:t>
            </w:r>
          </w:p>
        </w:tc>
        <w:tc>
          <w:tcPr>
            <w:tcW w:w="2460" w:type="dxa"/>
          </w:tcPr>
          <w:p>
            <w:pPr>
              <w:rPr>
                <w:rFonts w:ascii="宋体" w:hAnsi="宋体"/>
                <w:szCs w:val="21"/>
              </w:rPr>
            </w:pPr>
            <w:r>
              <w:rPr>
                <w:rFonts w:hint="eastAsia" w:ascii="宋体" w:hAnsi="宋体"/>
                <w:szCs w:val="21"/>
              </w:rPr>
              <w:t>QZK3.5/7.5A</w:t>
            </w:r>
          </w:p>
        </w:tc>
        <w:tc>
          <w:tcPr>
            <w:tcW w:w="832" w:type="dxa"/>
          </w:tcPr>
          <w:p>
            <w:pPr>
              <w:rPr>
                <w:rFonts w:ascii="宋体" w:hAnsi="宋体"/>
                <w:szCs w:val="21"/>
              </w:rPr>
            </w:pPr>
            <w:r>
              <w:rPr>
                <w:rFonts w:hint="eastAsia" w:ascii="宋体" w:hAnsi="宋体"/>
                <w:szCs w:val="21"/>
              </w:rPr>
              <w:t>支</w:t>
            </w:r>
          </w:p>
        </w:tc>
        <w:tc>
          <w:tcPr>
            <w:tcW w:w="780" w:type="dxa"/>
          </w:tcPr>
          <w:p>
            <w:pPr>
              <w:rPr>
                <w:rFonts w:ascii="宋体" w:hAnsi="宋体"/>
                <w:szCs w:val="21"/>
              </w:rPr>
            </w:pPr>
            <w:r>
              <w:rPr>
                <w:rFonts w:hint="eastAsia" w:ascii="宋体" w:hAnsi="宋体"/>
                <w:szCs w:val="21"/>
              </w:rPr>
              <w:t>2</w:t>
            </w:r>
          </w:p>
        </w:tc>
        <w:tc>
          <w:tcPr>
            <w:tcW w:w="176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2" w:hRule="atLeast"/>
        </w:trPr>
        <w:tc>
          <w:tcPr>
            <w:tcW w:w="959" w:type="dxa"/>
            <w:vAlign w:val="center"/>
          </w:tcPr>
          <w:p>
            <w:pPr>
              <w:rPr>
                <w:rFonts w:ascii="宋体" w:hAnsi="宋体"/>
                <w:szCs w:val="21"/>
              </w:rPr>
            </w:pPr>
            <w:r>
              <w:rPr>
                <w:rFonts w:hint="eastAsia" w:ascii="宋体" w:hAnsi="宋体"/>
                <w:szCs w:val="21"/>
              </w:rPr>
              <w:t>15</w:t>
            </w:r>
          </w:p>
        </w:tc>
        <w:tc>
          <w:tcPr>
            <w:tcW w:w="2653" w:type="dxa"/>
          </w:tcPr>
          <w:p>
            <w:pPr>
              <w:rPr>
                <w:rFonts w:ascii="宋体" w:hAnsi="宋体"/>
                <w:szCs w:val="21"/>
              </w:rPr>
            </w:pPr>
            <w:r>
              <w:rPr>
                <w:rFonts w:hint="eastAsia" w:ascii="宋体" w:hAnsi="宋体"/>
                <w:szCs w:val="21"/>
              </w:rPr>
              <w:t>泡沫枪</w:t>
            </w:r>
          </w:p>
        </w:tc>
        <w:tc>
          <w:tcPr>
            <w:tcW w:w="2460" w:type="dxa"/>
          </w:tcPr>
          <w:p>
            <w:pPr>
              <w:rPr>
                <w:rFonts w:ascii="宋体" w:hAnsi="宋体"/>
                <w:szCs w:val="21"/>
              </w:rPr>
            </w:pPr>
            <w:r>
              <w:rPr>
                <w:rFonts w:hint="eastAsia" w:ascii="宋体" w:hAnsi="宋体"/>
                <w:szCs w:val="21"/>
              </w:rPr>
              <w:t>PQ4/ PQ8</w:t>
            </w:r>
          </w:p>
        </w:tc>
        <w:tc>
          <w:tcPr>
            <w:tcW w:w="832" w:type="dxa"/>
          </w:tcPr>
          <w:p>
            <w:pPr>
              <w:rPr>
                <w:rFonts w:ascii="宋体" w:hAnsi="宋体"/>
                <w:szCs w:val="21"/>
              </w:rPr>
            </w:pPr>
            <w:r>
              <w:rPr>
                <w:rFonts w:hint="eastAsia" w:ascii="宋体" w:hAnsi="宋体"/>
                <w:szCs w:val="21"/>
              </w:rPr>
              <w:t>支</w:t>
            </w:r>
          </w:p>
        </w:tc>
        <w:tc>
          <w:tcPr>
            <w:tcW w:w="780" w:type="dxa"/>
          </w:tcPr>
          <w:p>
            <w:pPr>
              <w:rPr>
                <w:rFonts w:ascii="宋体" w:hAnsi="宋体"/>
                <w:szCs w:val="21"/>
              </w:rPr>
            </w:pPr>
            <w:r>
              <w:rPr>
                <w:rFonts w:hint="eastAsia" w:ascii="宋体" w:hAnsi="宋体"/>
                <w:szCs w:val="21"/>
              </w:rPr>
              <w:t>2</w:t>
            </w:r>
          </w:p>
        </w:tc>
        <w:tc>
          <w:tcPr>
            <w:tcW w:w="1765" w:type="dxa"/>
            <w:vAlign w:val="center"/>
          </w:tcPr>
          <w:p>
            <w:pPr>
              <w:rPr>
                <w:rFonts w:ascii="宋体" w:hAnsi="宋体"/>
                <w:szCs w:val="21"/>
              </w:rPr>
            </w:pPr>
            <w:r>
              <w:rPr>
                <w:rFonts w:hint="eastAsia" w:ascii="宋体" w:hAnsi="宋体"/>
                <w:szCs w:val="21"/>
              </w:rPr>
              <w:t>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7" w:hRule="atLeast"/>
        </w:trPr>
        <w:tc>
          <w:tcPr>
            <w:tcW w:w="959" w:type="dxa"/>
            <w:vAlign w:val="center"/>
          </w:tcPr>
          <w:p>
            <w:pPr>
              <w:rPr>
                <w:rFonts w:ascii="宋体" w:hAnsi="宋体"/>
                <w:szCs w:val="21"/>
              </w:rPr>
            </w:pPr>
            <w:r>
              <w:rPr>
                <w:rFonts w:hint="eastAsia" w:ascii="宋体" w:hAnsi="宋体"/>
                <w:szCs w:val="21"/>
              </w:rPr>
              <w:t>16</w:t>
            </w:r>
          </w:p>
        </w:tc>
        <w:tc>
          <w:tcPr>
            <w:tcW w:w="2653" w:type="dxa"/>
            <w:vAlign w:val="center"/>
          </w:tcPr>
          <w:p>
            <w:pPr>
              <w:rPr>
                <w:rFonts w:ascii="宋体" w:hAnsi="宋体"/>
                <w:szCs w:val="21"/>
              </w:rPr>
            </w:pPr>
            <w:r>
              <w:rPr>
                <w:rFonts w:hint="eastAsia" w:ascii="宋体" w:hAnsi="宋体"/>
                <w:szCs w:val="21"/>
              </w:rPr>
              <w:t>泡沫吸液管</w:t>
            </w:r>
          </w:p>
        </w:tc>
        <w:tc>
          <w:tcPr>
            <w:tcW w:w="2460" w:type="dxa"/>
            <w:vAlign w:val="center"/>
          </w:tcPr>
          <w:p>
            <w:pPr>
              <w:rPr>
                <w:rFonts w:ascii="宋体" w:hAnsi="宋体"/>
                <w:szCs w:val="21"/>
              </w:rPr>
            </w:pPr>
          </w:p>
        </w:tc>
        <w:tc>
          <w:tcPr>
            <w:tcW w:w="832" w:type="dxa"/>
            <w:vAlign w:val="center"/>
          </w:tcPr>
          <w:p>
            <w:pPr>
              <w:rPr>
                <w:rFonts w:ascii="宋体" w:hAnsi="宋体"/>
                <w:szCs w:val="21"/>
              </w:rPr>
            </w:pPr>
            <w:r>
              <w:rPr>
                <w:rFonts w:hint="eastAsia" w:ascii="宋体" w:hAnsi="宋体"/>
                <w:szCs w:val="21"/>
              </w:rPr>
              <w:t>根</w:t>
            </w:r>
          </w:p>
        </w:tc>
        <w:tc>
          <w:tcPr>
            <w:tcW w:w="780" w:type="dxa"/>
            <w:vAlign w:val="center"/>
          </w:tcPr>
          <w:p>
            <w:pPr>
              <w:rPr>
                <w:rFonts w:ascii="宋体" w:hAnsi="宋体"/>
                <w:szCs w:val="21"/>
              </w:rPr>
            </w:pPr>
            <w:r>
              <w:rPr>
                <w:rFonts w:hint="eastAsia" w:ascii="宋体" w:hAnsi="宋体"/>
                <w:szCs w:val="21"/>
              </w:rPr>
              <w:t>1</w:t>
            </w:r>
          </w:p>
        </w:tc>
        <w:tc>
          <w:tcPr>
            <w:tcW w:w="176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22" w:hRule="atLeast"/>
        </w:trPr>
        <w:tc>
          <w:tcPr>
            <w:tcW w:w="959" w:type="dxa"/>
            <w:vAlign w:val="center"/>
          </w:tcPr>
          <w:p>
            <w:pPr>
              <w:rPr>
                <w:rFonts w:ascii="宋体" w:hAnsi="宋体"/>
                <w:szCs w:val="21"/>
              </w:rPr>
            </w:pPr>
            <w:r>
              <w:rPr>
                <w:rFonts w:hint="eastAsia" w:ascii="宋体" w:hAnsi="宋体"/>
                <w:szCs w:val="21"/>
              </w:rPr>
              <w:t>17</w:t>
            </w:r>
          </w:p>
        </w:tc>
        <w:tc>
          <w:tcPr>
            <w:tcW w:w="2653" w:type="dxa"/>
            <w:vAlign w:val="center"/>
          </w:tcPr>
          <w:p>
            <w:pPr>
              <w:rPr>
                <w:rFonts w:ascii="宋体" w:hAnsi="宋体"/>
                <w:szCs w:val="21"/>
              </w:rPr>
            </w:pPr>
            <w:r>
              <w:rPr>
                <w:rFonts w:hint="eastAsia" w:ascii="宋体" w:hAnsi="宋体"/>
                <w:szCs w:val="21"/>
              </w:rPr>
              <w:t>吸液管扳手</w:t>
            </w:r>
          </w:p>
        </w:tc>
        <w:tc>
          <w:tcPr>
            <w:tcW w:w="2460" w:type="dxa"/>
            <w:vAlign w:val="center"/>
          </w:tcPr>
          <w:p>
            <w:pPr>
              <w:rPr>
                <w:rFonts w:ascii="宋体" w:hAnsi="宋体"/>
                <w:szCs w:val="21"/>
              </w:rPr>
            </w:pPr>
          </w:p>
        </w:tc>
        <w:tc>
          <w:tcPr>
            <w:tcW w:w="832" w:type="dxa"/>
            <w:vAlign w:val="center"/>
          </w:tcPr>
          <w:p>
            <w:pPr>
              <w:rPr>
                <w:rFonts w:ascii="宋体" w:hAnsi="宋体"/>
                <w:szCs w:val="21"/>
              </w:rPr>
            </w:pPr>
            <w:r>
              <w:rPr>
                <w:rFonts w:hint="eastAsia" w:ascii="宋体" w:hAnsi="宋体"/>
                <w:szCs w:val="21"/>
              </w:rPr>
              <w:t>个</w:t>
            </w:r>
          </w:p>
        </w:tc>
        <w:tc>
          <w:tcPr>
            <w:tcW w:w="780" w:type="dxa"/>
            <w:vAlign w:val="center"/>
          </w:tcPr>
          <w:p>
            <w:pPr>
              <w:rPr>
                <w:rFonts w:ascii="宋体" w:hAnsi="宋体"/>
                <w:szCs w:val="21"/>
              </w:rPr>
            </w:pPr>
            <w:r>
              <w:rPr>
                <w:rFonts w:hint="eastAsia" w:ascii="宋体" w:hAnsi="宋体"/>
                <w:szCs w:val="21"/>
              </w:rPr>
              <w:t>1</w:t>
            </w:r>
          </w:p>
        </w:tc>
        <w:tc>
          <w:tcPr>
            <w:tcW w:w="176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 w:hRule="atLeast"/>
        </w:trPr>
        <w:tc>
          <w:tcPr>
            <w:tcW w:w="959" w:type="dxa"/>
            <w:vAlign w:val="center"/>
          </w:tcPr>
          <w:p>
            <w:pPr>
              <w:rPr>
                <w:rFonts w:ascii="宋体" w:hAnsi="宋体"/>
                <w:szCs w:val="21"/>
              </w:rPr>
            </w:pPr>
            <w:r>
              <w:rPr>
                <w:rFonts w:hint="eastAsia" w:ascii="宋体" w:hAnsi="宋体"/>
                <w:szCs w:val="21"/>
              </w:rPr>
              <w:t>18</w:t>
            </w:r>
          </w:p>
        </w:tc>
        <w:tc>
          <w:tcPr>
            <w:tcW w:w="2653" w:type="dxa"/>
            <w:vAlign w:val="center"/>
          </w:tcPr>
          <w:p>
            <w:pPr>
              <w:rPr>
                <w:rFonts w:ascii="宋体" w:hAnsi="宋体"/>
                <w:szCs w:val="21"/>
              </w:rPr>
            </w:pPr>
            <w:r>
              <w:rPr>
                <w:rFonts w:hint="eastAsia" w:ascii="宋体" w:hAnsi="宋体"/>
                <w:szCs w:val="21"/>
              </w:rPr>
              <w:t>橡皮锤</w:t>
            </w:r>
          </w:p>
        </w:tc>
        <w:tc>
          <w:tcPr>
            <w:tcW w:w="2460" w:type="dxa"/>
            <w:vAlign w:val="center"/>
          </w:tcPr>
          <w:p>
            <w:pPr>
              <w:rPr>
                <w:rFonts w:ascii="宋体" w:hAnsi="宋体"/>
                <w:szCs w:val="21"/>
              </w:rPr>
            </w:pPr>
          </w:p>
        </w:tc>
        <w:tc>
          <w:tcPr>
            <w:tcW w:w="832" w:type="dxa"/>
            <w:vAlign w:val="center"/>
          </w:tcPr>
          <w:p>
            <w:pPr>
              <w:rPr>
                <w:rFonts w:ascii="宋体" w:hAnsi="宋体"/>
                <w:szCs w:val="21"/>
              </w:rPr>
            </w:pPr>
            <w:r>
              <w:rPr>
                <w:rFonts w:hint="eastAsia" w:ascii="宋体" w:hAnsi="宋体"/>
                <w:szCs w:val="21"/>
              </w:rPr>
              <w:t>个</w:t>
            </w:r>
          </w:p>
        </w:tc>
        <w:tc>
          <w:tcPr>
            <w:tcW w:w="780" w:type="dxa"/>
            <w:vAlign w:val="center"/>
          </w:tcPr>
          <w:p>
            <w:pPr>
              <w:rPr>
                <w:rFonts w:ascii="宋体" w:hAnsi="宋体"/>
                <w:szCs w:val="21"/>
              </w:rPr>
            </w:pPr>
            <w:r>
              <w:rPr>
                <w:rFonts w:hint="eastAsia" w:ascii="宋体" w:hAnsi="宋体"/>
                <w:szCs w:val="21"/>
              </w:rPr>
              <w:t>1</w:t>
            </w:r>
          </w:p>
        </w:tc>
        <w:tc>
          <w:tcPr>
            <w:tcW w:w="176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7" w:hRule="atLeast"/>
        </w:trPr>
        <w:tc>
          <w:tcPr>
            <w:tcW w:w="959" w:type="dxa"/>
            <w:vAlign w:val="center"/>
          </w:tcPr>
          <w:p>
            <w:pPr>
              <w:rPr>
                <w:rFonts w:ascii="宋体" w:hAnsi="宋体"/>
                <w:szCs w:val="21"/>
              </w:rPr>
            </w:pPr>
            <w:r>
              <w:rPr>
                <w:rFonts w:hint="eastAsia" w:ascii="宋体" w:hAnsi="宋体"/>
                <w:szCs w:val="21"/>
              </w:rPr>
              <w:t>19</w:t>
            </w:r>
          </w:p>
        </w:tc>
        <w:tc>
          <w:tcPr>
            <w:tcW w:w="2653" w:type="dxa"/>
            <w:vAlign w:val="center"/>
          </w:tcPr>
          <w:p>
            <w:pPr>
              <w:rPr>
                <w:rFonts w:ascii="宋体" w:hAnsi="宋体"/>
                <w:szCs w:val="21"/>
              </w:rPr>
            </w:pPr>
            <w:r>
              <w:rPr>
                <w:rFonts w:hint="eastAsia" w:ascii="宋体" w:hAnsi="宋体"/>
                <w:szCs w:val="21"/>
              </w:rPr>
              <w:t>手提式灭火器</w:t>
            </w:r>
          </w:p>
        </w:tc>
        <w:tc>
          <w:tcPr>
            <w:tcW w:w="2460" w:type="dxa"/>
            <w:vAlign w:val="center"/>
          </w:tcPr>
          <w:p>
            <w:pPr>
              <w:rPr>
                <w:rFonts w:ascii="宋体" w:hAnsi="宋体"/>
                <w:szCs w:val="21"/>
              </w:rPr>
            </w:pPr>
            <w:r>
              <w:rPr>
                <w:rFonts w:hint="eastAsia" w:ascii="宋体" w:hAnsi="宋体"/>
                <w:szCs w:val="21"/>
              </w:rPr>
              <w:t>8kg</w:t>
            </w:r>
          </w:p>
        </w:tc>
        <w:tc>
          <w:tcPr>
            <w:tcW w:w="832" w:type="dxa"/>
            <w:vAlign w:val="center"/>
          </w:tcPr>
          <w:p>
            <w:pPr>
              <w:rPr>
                <w:rFonts w:ascii="宋体" w:hAnsi="宋体"/>
                <w:szCs w:val="21"/>
              </w:rPr>
            </w:pPr>
            <w:r>
              <w:rPr>
                <w:rFonts w:hint="eastAsia" w:ascii="宋体" w:hAnsi="宋体"/>
                <w:szCs w:val="21"/>
              </w:rPr>
              <w:t>具</w:t>
            </w:r>
          </w:p>
        </w:tc>
        <w:tc>
          <w:tcPr>
            <w:tcW w:w="780" w:type="dxa"/>
            <w:vAlign w:val="center"/>
          </w:tcPr>
          <w:p>
            <w:pPr>
              <w:rPr>
                <w:rFonts w:ascii="宋体" w:hAnsi="宋体"/>
                <w:szCs w:val="21"/>
              </w:rPr>
            </w:pPr>
            <w:r>
              <w:rPr>
                <w:rFonts w:hint="eastAsia" w:ascii="宋体" w:hAnsi="宋体"/>
                <w:szCs w:val="21"/>
              </w:rPr>
              <w:t>1</w:t>
            </w:r>
          </w:p>
        </w:tc>
        <w:tc>
          <w:tcPr>
            <w:tcW w:w="176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trPr>
        <w:tc>
          <w:tcPr>
            <w:tcW w:w="959" w:type="dxa"/>
            <w:vAlign w:val="center"/>
          </w:tcPr>
          <w:p>
            <w:pPr>
              <w:rPr>
                <w:rFonts w:ascii="宋体" w:hAnsi="宋体"/>
                <w:szCs w:val="21"/>
              </w:rPr>
            </w:pPr>
            <w:r>
              <w:rPr>
                <w:rFonts w:hint="eastAsia" w:ascii="宋体" w:hAnsi="宋体"/>
                <w:szCs w:val="21"/>
              </w:rPr>
              <w:t>20</w:t>
            </w:r>
          </w:p>
        </w:tc>
        <w:tc>
          <w:tcPr>
            <w:tcW w:w="2653" w:type="dxa"/>
            <w:vAlign w:val="center"/>
          </w:tcPr>
          <w:p>
            <w:pPr>
              <w:rPr>
                <w:rFonts w:ascii="宋体" w:hAnsi="宋体"/>
                <w:szCs w:val="21"/>
              </w:rPr>
            </w:pPr>
            <w:r>
              <w:rPr>
                <w:rFonts w:hint="eastAsia" w:ascii="宋体" w:hAnsi="宋体"/>
                <w:szCs w:val="21"/>
              </w:rPr>
              <w:t>转台显示器防雨罩</w:t>
            </w:r>
          </w:p>
        </w:tc>
        <w:tc>
          <w:tcPr>
            <w:tcW w:w="2460" w:type="dxa"/>
            <w:vAlign w:val="center"/>
          </w:tcPr>
          <w:p>
            <w:pPr>
              <w:rPr>
                <w:rFonts w:ascii="宋体" w:hAnsi="宋体"/>
                <w:szCs w:val="21"/>
              </w:rPr>
            </w:pPr>
          </w:p>
        </w:tc>
        <w:tc>
          <w:tcPr>
            <w:tcW w:w="832" w:type="dxa"/>
            <w:vAlign w:val="center"/>
          </w:tcPr>
          <w:p>
            <w:pPr>
              <w:rPr>
                <w:rFonts w:ascii="宋体" w:hAnsi="宋体"/>
                <w:szCs w:val="21"/>
              </w:rPr>
            </w:pPr>
            <w:r>
              <w:rPr>
                <w:rFonts w:hint="eastAsia" w:ascii="宋体" w:hAnsi="宋体"/>
                <w:szCs w:val="21"/>
              </w:rPr>
              <w:t>个</w:t>
            </w:r>
          </w:p>
        </w:tc>
        <w:tc>
          <w:tcPr>
            <w:tcW w:w="780" w:type="dxa"/>
            <w:vAlign w:val="center"/>
          </w:tcPr>
          <w:p>
            <w:pPr>
              <w:rPr>
                <w:rFonts w:ascii="宋体" w:hAnsi="宋体"/>
                <w:szCs w:val="21"/>
              </w:rPr>
            </w:pPr>
            <w:r>
              <w:rPr>
                <w:rFonts w:hint="eastAsia" w:ascii="宋体" w:hAnsi="宋体"/>
                <w:szCs w:val="21"/>
              </w:rPr>
              <w:t>1</w:t>
            </w:r>
          </w:p>
        </w:tc>
        <w:tc>
          <w:tcPr>
            <w:tcW w:w="176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 w:hRule="atLeast"/>
        </w:trPr>
        <w:tc>
          <w:tcPr>
            <w:tcW w:w="959" w:type="dxa"/>
            <w:vAlign w:val="center"/>
          </w:tcPr>
          <w:p>
            <w:pPr>
              <w:rPr>
                <w:rFonts w:ascii="宋体" w:hAnsi="宋体"/>
                <w:szCs w:val="21"/>
              </w:rPr>
            </w:pPr>
            <w:r>
              <w:rPr>
                <w:rFonts w:hint="eastAsia" w:ascii="宋体" w:hAnsi="宋体"/>
                <w:szCs w:val="21"/>
              </w:rPr>
              <w:t>21</w:t>
            </w:r>
          </w:p>
        </w:tc>
        <w:tc>
          <w:tcPr>
            <w:tcW w:w="2653" w:type="dxa"/>
            <w:vAlign w:val="center"/>
          </w:tcPr>
          <w:p>
            <w:pPr>
              <w:rPr>
                <w:rFonts w:ascii="宋体" w:hAnsi="宋体"/>
                <w:szCs w:val="21"/>
              </w:rPr>
            </w:pPr>
            <w:r>
              <w:rPr>
                <w:rFonts w:hint="eastAsia" w:ascii="宋体" w:hAnsi="宋体"/>
                <w:szCs w:val="21"/>
              </w:rPr>
              <w:t>转台座椅防雨罩</w:t>
            </w:r>
          </w:p>
        </w:tc>
        <w:tc>
          <w:tcPr>
            <w:tcW w:w="2460" w:type="dxa"/>
            <w:vAlign w:val="center"/>
          </w:tcPr>
          <w:p>
            <w:pPr>
              <w:rPr>
                <w:rFonts w:ascii="宋体" w:hAnsi="宋体"/>
                <w:szCs w:val="21"/>
              </w:rPr>
            </w:pPr>
          </w:p>
        </w:tc>
        <w:tc>
          <w:tcPr>
            <w:tcW w:w="832" w:type="dxa"/>
            <w:vAlign w:val="center"/>
          </w:tcPr>
          <w:p>
            <w:pPr>
              <w:rPr>
                <w:rFonts w:ascii="宋体" w:hAnsi="宋体"/>
                <w:szCs w:val="21"/>
              </w:rPr>
            </w:pPr>
            <w:r>
              <w:rPr>
                <w:rFonts w:hint="eastAsia" w:ascii="宋体" w:hAnsi="宋体"/>
                <w:szCs w:val="21"/>
              </w:rPr>
              <w:t>个</w:t>
            </w:r>
          </w:p>
        </w:tc>
        <w:tc>
          <w:tcPr>
            <w:tcW w:w="780" w:type="dxa"/>
            <w:vAlign w:val="center"/>
          </w:tcPr>
          <w:p>
            <w:pPr>
              <w:rPr>
                <w:rFonts w:ascii="宋体" w:hAnsi="宋体"/>
                <w:szCs w:val="21"/>
              </w:rPr>
            </w:pPr>
            <w:r>
              <w:rPr>
                <w:rFonts w:hint="eastAsia" w:ascii="宋体" w:hAnsi="宋体"/>
                <w:szCs w:val="21"/>
              </w:rPr>
              <w:t>1</w:t>
            </w:r>
          </w:p>
        </w:tc>
        <w:tc>
          <w:tcPr>
            <w:tcW w:w="176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959" w:type="dxa"/>
            <w:vAlign w:val="center"/>
          </w:tcPr>
          <w:p>
            <w:pPr>
              <w:rPr>
                <w:rFonts w:ascii="宋体" w:hAnsi="宋体"/>
                <w:szCs w:val="21"/>
              </w:rPr>
            </w:pPr>
            <w:r>
              <w:rPr>
                <w:rFonts w:hint="eastAsia" w:ascii="宋体" w:hAnsi="宋体"/>
                <w:szCs w:val="21"/>
              </w:rPr>
              <w:t>22</w:t>
            </w:r>
          </w:p>
        </w:tc>
        <w:tc>
          <w:tcPr>
            <w:tcW w:w="2653" w:type="dxa"/>
            <w:vAlign w:val="center"/>
          </w:tcPr>
          <w:p>
            <w:pPr>
              <w:rPr>
                <w:rFonts w:ascii="宋体" w:hAnsi="宋体"/>
                <w:szCs w:val="21"/>
              </w:rPr>
            </w:pPr>
            <w:r>
              <w:rPr>
                <w:rFonts w:hint="eastAsia" w:ascii="宋体" w:hAnsi="宋体"/>
                <w:szCs w:val="21"/>
              </w:rPr>
              <w:t>垫板</w:t>
            </w:r>
          </w:p>
        </w:tc>
        <w:tc>
          <w:tcPr>
            <w:tcW w:w="2460" w:type="dxa"/>
            <w:vAlign w:val="center"/>
          </w:tcPr>
          <w:p>
            <w:pPr>
              <w:rPr>
                <w:rFonts w:ascii="宋体" w:hAnsi="宋体"/>
                <w:szCs w:val="21"/>
              </w:rPr>
            </w:pPr>
            <w:r>
              <w:rPr>
                <w:rFonts w:hint="eastAsia" w:ascii="宋体" w:hAnsi="宋体"/>
                <w:szCs w:val="21"/>
              </w:rPr>
              <w:t>5</w:t>
            </w:r>
            <w:r>
              <w:rPr>
                <w:rFonts w:ascii="宋体" w:hAnsi="宋体"/>
                <w:szCs w:val="21"/>
              </w:rPr>
              <w:t>00×</w:t>
            </w:r>
            <w:r>
              <w:rPr>
                <w:rFonts w:hint="eastAsia" w:ascii="宋体" w:hAnsi="宋体"/>
                <w:szCs w:val="21"/>
              </w:rPr>
              <w:t>5</w:t>
            </w:r>
            <w:r>
              <w:rPr>
                <w:rFonts w:ascii="宋体" w:hAnsi="宋体"/>
                <w:szCs w:val="21"/>
              </w:rPr>
              <w:t>00×δ50</w:t>
            </w:r>
          </w:p>
        </w:tc>
        <w:tc>
          <w:tcPr>
            <w:tcW w:w="832" w:type="dxa"/>
            <w:vAlign w:val="center"/>
          </w:tcPr>
          <w:p>
            <w:pPr>
              <w:rPr>
                <w:rFonts w:ascii="宋体" w:hAnsi="宋体"/>
                <w:szCs w:val="21"/>
              </w:rPr>
            </w:pPr>
            <w:r>
              <w:rPr>
                <w:rFonts w:hint="eastAsia" w:ascii="宋体" w:hAnsi="宋体"/>
                <w:szCs w:val="21"/>
              </w:rPr>
              <w:t>块</w:t>
            </w:r>
          </w:p>
        </w:tc>
        <w:tc>
          <w:tcPr>
            <w:tcW w:w="780" w:type="dxa"/>
            <w:vAlign w:val="center"/>
          </w:tcPr>
          <w:p>
            <w:pPr>
              <w:rPr>
                <w:rFonts w:ascii="宋体" w:hAnsi="宋体"/>
                <w:szCs w:val="21"/>
              </w:rPr>
            </w:pPr>
            <w:r>
              <w:rPr>
                <w:rFonts w:hint="eastAsia" w:ascii="宋体" w:hAnsi="宋体"/>
                <w:szCs w:val="21"/>
              </w:rPr>
              <w:t>4</w:t>
            </w:r>
          </w:p>
        </w:tc>
        <w:tc>
          <w:tcPr>
            <w:tcW w:w="176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90" w:hRule="atLeast"/>
        </w:trPr>
        <w:tc>
          <w:tcPr>
            <w:tcW w:w="959" w:type="dxa"/>
            <w:vAlign w:val="center"/>
          </w:tcPr>
          <w:p>
            <w:pPr>
              <w:rPr>
                <w:rFonts w:ascii="宋体" w:hAnsi="宋体"/>
                <w:szCs w:val="21"/>
              </w:rPr>
            </w:pPr>
            <w:r>
              <w:rPr>
                <w:rFonts w:hint="eastAsia" w:ascii="宋体" w:hAnsi="宋体"/>
                <w:szCs w:val="21"/>
              </w:rPr>
              <w:t>23</w:t>
            </w:r>
          </w:p>
        </w:tc>
        <w:tc>
          <w:tcPr>
            <w:tcW w:w="2653" w:type="dxa"/>
            <w:vAlign w:val="center"/>
          </w:tcPr>
          <w:p>
            <w:pPr>
              <w:rPr>
                <w:rFonts w:ascii="宋体" w:hAnsi="宋体"/>
                <w:szCs w:val="21"/>
              </w:rPr>
            </w:pPr>
            <w:r>
              <w:rPr>
                <w:rFonts w:hint="eastAsia" w:ascii="宋体" w:hAnsi="宋体"/>
                <w:szCs w:val="21"/>
              </w:rPr>
              <w:t>备胎</w:t>
            </w:r>
          </w:p>
        </w:tc>
        <w:tc>
          <w:tcPr>
            <w:tcW w:w="2460" w:type="dxa"/>
            <w:vAlign w:val="center"/>
          </w:tcPr>
          <w:p>
            <w:pPr>
              <w:rPr>
                <w:rFonts w:ascii="宋体" w:hAnsi="宋体"/>
                <w:szCs w:val="21"/>
              </w:rPr>
            </w:pPr>
          </w:p>
        </w:tc>
        <w:tc>
          <w:tcPr>
            <w:tcW w:w="832" w:type="dxa"/>
            <w:vAlign w:val="center"/>
          </w:tcPr>
          <w:p>
            <w:pPr>
              <w:rPr>
                <w:rFonts w:ascii="宋体" w:hAnsi="宋体"/>
                <w:szCs w:val="21"/>
              </w:rPr>
            </w:pPr>
            <w:r>
              <w:rPr>
                <w:rFonts w:hint="eastAsia" w:ascii="宋体" w:hAnsi="宋体"/>
                <w:szCs w:val="21"/>
              </w:rPr>
              <w:t>个</w:t>
            </w:r>
          </w:p>
        </w:tc>
        <w:tc>
          <w:tcPr>
            <w:tcW w:w="780" w:type="dxa"/>
            <w:vAlign w:val="center"/>
          </w:tcPr>
          <w:p>
            <w:pPr>
              <w:rPr>
                <w:rFonts w:ascii="宋体" w:hAnsi="宋体"/>
                <w:szCs w:val="21"/>
              </w:rPr>
            </w:pPr>
            <w:r>
              <w:rPr>
                <w:rFonts w:hint="eastAsia" w:ascii="宋体" w:hAnsi="宋体"/>
                <w:szCs w:val="21"/>
              </w:rPr>
              <w:t>1</w:t>
            </w:r>
          </w:p>
        </w:tc>
        <w:tc>
          <w:tcPr>
            <w:tcW w:w="176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 w:hRule="atLeast"/>
        </w:trPr>
        <w:tc>
          <w:tcPr>
            <w:tcW w:w="959" w:type="dxa"/>
            <w:vAlign w:val="center"/>
          </w:tcPr>
          <w:p>
            <w:pPr>
              <w:rPr>
                <w:rFonts w:ascii="宋体" w:hAnsi="宋体"/>
                <w:szCs w:val="21"/>
              </w:rPr>
            </w:pPr>
            <w:r>
              <w:rPr>
                <w:rFonts w:hint="eastAsia" w:ascii="宋体" w:hAnsi="宋体"/>
                <w:szCs w:val="21"/>
              </w:rPr>
              <w:t>24</w:t>
            </w:r>
          </w:p>
        </w:tc>
        <w:tc>
          <w:tcPr>
            <w:tcW w:w="2653" w:type="dxa"/>
            <w:vAlign w:val="center"/>
          </w:tcPr>
          <w:p>
            <w:pPr>
              <w:rPr>
                <w:rFonts w:ascii="宋体" w:hAnsi="宋体"/>
                <w:szCs w:val="21"/>
              </w:rPr>
            </w:pPr>
            <w:r>
              <w:rPr>
                <w:rFonts w:hint="eastAsia" w:ascii="宋体" w:hAnsi="宋体"/>
                <w:szCs w:val="21"/>
              </w:rPr>
              <w:t>随车工具</w:t>
            </w:r>
          </w:p>
        </w:tc>
        <w:tc>
          <w:tcPr>
            <w:tcW w:w="2460" w:type="dxa"/>
            <w:vAlign w:val="center"/>
          </w:tcPr>
          <w:p>
            <w:pPr>
              <w:rPr>
                <w:rFonts w:ascii="宋体" w:hAnsi="宋体"/>
                <w:szCs w:val="21"/>
              </w:rPr>
            </w:pPr>
          </w:p>
        </w:tc>
        <w:tc>
          <w:tcPr>
            <w:tcW w:w="832" w:type="dxa"/>
            <w:vAlign w:val="center"/>
          </w:tcPr>
          <w:p>
            <w:pPr>
              <w:rPr>
                <w:rFonts w:ascii="宋体" w:hAnsi="宋体"/>
                <w:szCs w:val="21"/>
              </w:rPr>
            </w:pPr>
            <w:r>
              <w:rPr>
                <w:rFonts w:hint="eastAsia" w:ascii="宋体" w:hAnsi="宋体"/>
                <w:szCs w:val="21"/>
              </w:rPr>
              <w:t>套</w:t>
            </w:r>
          </w:p>
        </w:tc>
        <w:tc>
          <w:tcPr>
            <w:tcW w:w="780" w:type="dxa"/>
            <w:vAlign w:val="center"/>
          </w:tcPr>
          <w:p>
            <w:pPr>
              <w:rPr>
                <w:rFonts w:ascii="宋体" w:hAnsi="宋体"/>
                <w:szCs w:val="21"/>
              </w:rPr>
            </w:pPr>
            <w:r>
              <w:rPr>
                <w:rFonts w:hint="eastAsia" w:ascii="宋体" w:hAnsi="宋体"/>
                <w:szCs w:val="21"/>
              </w:rPr>
              <w:t>1</w:t>
            </w:r>
          </w:p>
        </w:tc>
        <w:tc>
          <w:tcPr>
            <w:tcW w:w="1765" w:type="dxa"/>
            <w:vAlign w:val="center"/>
          </w:tcPr>
          <w:p>
            <w:pPr>
              <w:rPr>
                <w:rFonts w:ascii="宋体" w:hAnsi="宋体"/>
                <w:szCs w:val="21"/>
              </w:rPr>
            </w:pPr>
            <w:r>
              <w:rPr>
                <w:rFonts w:hint="eastAsia" w:ascii="宋体" w:hAnsi="宋体"/>
                <w:szCs w:val="21"/>
              </w:rPr>
              <w:t>底盘厂随车附件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 w:hRule="atLeast"/>
        </w:trPr>
        <w:tc>
          <w:tcPr>
            <w:tcW w:w="959" w:type="dxa"/>
            <w:vAlign w:val="center"/>
          </w:tcPr>
          <w:p>
            <w:pPr>
              <w:rPr>
                <w:rFonts w:ascii="宋体" w:hAnsi="宋体"/>
                <w:szCs w:val="21"/>
              </w:rPr>
            </w:pPr>
            <w:r>
              <w:rPr>
                <w:rFonts w:hint="eastAsia" w:ascii="宋体" w:hAnsi="宋体"/>
                <w:szCs w:val="21"/>
              </w:rPr>
              <w:t>25</w:t>
            </w:r>
          </w:p>
        </w:tc>
        <w:tc>
          <w:tcPr>
            <w:tcW w:w="2653" w:type="dxa"/>
            <w:vAlign w:val="center"/>
          </w:tcPr>
          <w:p>
            <w:pPr>
              <w:rPr>
                <w:rFonts w:ascii="宋体" w:hAnsi="宋体"/>
                <w:szCs w:val="21"/>
              </w:rPr>
            </w:pPr>
            <w:r>
              <w:rPr>
                <w:rFonts w:hint="eastAsia" w:ascii="宋体" w:hAnsi="宋体"/>
                <w:szCs w:val="21"/>
              </w:rPr>
              <w:t>25-80-20水带</w:t>
            </w:r>
          </w:p>
        </w:tc>
        <w:tc>
          <w:tcPr>
            <w:tcW w:w="2460" w:type="dxa"/>
            <w:vAlign w:val="center"/>
          </w:tcPr>
          <w:p>
            <w:pPr>
              <w:rPr>
                <w:rFonts w:ascii="宋体" w:hAnsi="宋体"/>
                <w:szCs w:val="21"/>
              </w:rPr>
            </w:pPr>
            <w:r>
              <w:rPr>
                <w:rFonts w:hint="eastAsia" w:ascii="宋体" w:hAnsi="宋体"/>
                <w:szCs w:val="21"/>
              </w:rPr>
              <w:t>含快速接口</w:t>
            </w:r>
          </w:p>
        </w:tc>
        <w:tc>
          <w:tcPr>
            <w:tcW w:w="832" w:type="dxa"/>
            <w:vAlign w:val="center"/>
          </w:tcPr>
          <w:p>
            <w:pPr>
              <w:rPr>
                <w:rFonts w:ascii="宋体" w:hAnsi="宋体"/>
                <w:szCs w:val="21"/>
              </w:rPr>
            </w:pPr>
            <w:r>
              <w:rPr>
                <w:rFonts w:hint="eastAsia" w:ascii="宋体" w:hAnsi="宋体"/>
                <w:szCs w:val="21"/>
              </w:rPr>
              <w:t>盘</w:t>
            </w:r>
          </w:p>
        </w:tc>
        <w:tc>
          <w:tcPr>
            <w:tcW w:w="780" w:type="dxa"/>
            <w:vAlign w:val="center"/>
          </w:tcPr>
          <w:p>
            <w:pPr>
              <w:rPr>
                <w:rFonts w:ascii="宋体" w:hAnsi="宋体"/>
                <w:szCs w:val="21"/>
              </w:rPr>
            </w:pPr>
            <w:r>
              <w:rPr>
                <w:rFonts w:hint="eastAsia" w:ascii="宋体" w:hAnsi="宋体"/>
                <w:szCs w:val="21"/>
              </w:rPr>
              <w:t>50</w:t>
            </w:r>
          </w:p>
        </w:tc>
        <w:tc>
          <w:tcPr>
            <w:tcW w:w="1765" w:type="dxa"/>
            <w:vAlign w:val="center"/>
          </w:tcPr>
          <w:p>
            <w:pPr>
              <w:rPr>
                <w:rFonts w:ascii="宋体" w:hAnsi="宋体"/>
                <w:szCs w:val="21"/>
              </w:rPr>
            </w:pPr>
          </w:p>
        </w:tc>
      </w:tr>
    </w:tbl>
    <w:p>
      <w:pPr>
        <w:adjustRightInd w:val="0"/>
        <w:spacing w:line="440" w:lineRule="exact"/>
        <w:ind w:firstLine="482" w:firstLineChars="200"/>
        <w:jc w:val="left"/>
        <w:textAlignment w:val="baseline"/>
        <w:rPr>
          <w:rFonts w:ascii="宋体" w:hAnsi="宋体" w:cs="宋体"/>
          <w:b/>
          <w:color w:val="000000"/>
          <w:sz w:val="24"/>
          <w:szCs w:val="24"/>
        </w:rPr>
      </w:pPr>
      <w:r>
        <w:rPr>
          <w:rFonts w:hint="eastAsia" w:ascii="宋体" w:hAnsi="宋体" w:cs="宋体"/>
          <w:b/>
          <w:color w:val="000000"/>
          <w:sz w:val="24"/>
          <w:szCs w:val="24"/>
        </w:rPr>
        <w:t>二、其它要求</w:t>
      </w:r>
    </w:p>
    <w:p>
      <w:pPr>
        <w:numPr>
          <w:ilvl w:val="0"/>
          <w:numId w:val="5"/>
        </w:numPr>
        <w:adjustRightInd w:val="0"/>
        <w:snapToGrid w:val="0"/>
        <w:spacing w:line="440" w:lineRule="exact"/>
        <w:ind w:firstLine="480" w:firstLineChars="200"/>
        <w:rPr>
          <w:rFonts w:ascii="宋体" w:hAnsi="宋体"/>
          <w:sz w:val="24"/>
        </w:rPr>
      </w:pPr>
      <w:r>
        <w:rPr>
          <w:rFonts w:hint="eastAsia" w:ascii="宋体" w:hAnsi="宋体" w:cs="宋体"/>
          <w:sz w:val="24"/>
        </w:rPr>
        <w:t>投</w:t>
      </w:r>
      <w:r>
        <w:rPr>
          <w:rFonts w:hint="eastAsia" w:ascii="宋体" w:hAnsi="宋体"/>
          <w:sz w:val="24"/>
        </w:rPr>
        <w:t>标人须明确所投产品的厂家、品牌、型号、详细参数及功能，否则为无效投标。</w:t>
      </w:r>
    </w:p>
    <w:p>
      <w:pPr>
        <w:numPr>
          <w:ilvl w:val="0"/>
          <w:numId w:val="5"/>
        </w:numPr>
        <w:adjustRightInd w:val="0"/>
        <w:snapToGrid w:val="0"/>
        <w:spacing w:line="440" w:lineRule="exact"/>
        <w:ind w:firstLine="480" w:firstLineChars="200"/>
        <w:rPr>
          <w:rFonts w:ascii="宋体" w:hAnsi="宋体"/>
          <w:sz w:val="24"/>
        </w:rPr>
      </w:pPr>
      <w:r>
        <w:rPr>
          <w:rFonts w:hint="eastAsia" w:ascii="宋体" w:hAnsi="宋体"/>
          <w:sz w:val="24"/>
        </w:rPr>
        <w:t>强制性产品认证</w:t>
      </w:r>
    </w:p>
    <w:p>
      <w:pPr>
        <w:adjustRightInd w:val="0"/>
        <w:snapToGrid w:val="0"/>
        <w:spacing w:line="440" w:lineRule="exact"/>
        <w:ind w:firstLine="480" w:firstLineChars="200"/>
        <w:rPr>
          <w:rFonts w:ascii="宋体" w:hAnsi="宋体"/>
          <w:b/>
          <w:sz w:val="24"/>
        </w:rPr>
      </w:pPr>
      <w:r>
        <w:rPr>
          <w:rFonts w:hint="eastAsia" w:ascii="宋体" w:hAnsi="宋体"/>
          <w:sz w:val="24"/>
        </w:rPr>
        <w:t>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认证）。投标人不能提供超出此目录范畴外的替代品并须在投标文件中提供：“所投产品符合国家强制性要求承诺函”并加盖投标人公章的原件扫描件（或图片）。</w:t>
      </w:r>
      <w:r>
        <w:rPr>
          <w:rFonts w:hint="eastAsia" w:ascii="宋体" w:hAnsi="宋体"/>
          <w:b/>
          <w:sz w:val="24"/>
        </w:rPr>
        <w:t>本项目产品未被列入则不需提供。</w:t>
      </w:r>
    </w:p>
    <w:p>
      <w:pPr>
        <w:numPr>
          <w:ilvl w:val="0"/>
          <w:numId w:val="5"/>
        </w:numPr>
        <w:adjustRightInd w:val="0"/>
        <w:snapToGrid w:val="0"/>
        <w:spacing w:line="440" w:lineRule="exact"/>
        <w:ind w:firstLine="480" w:firstLineChars="200"/>
        <w:rPr>
          <w:rFonts w:ascii="宋体" w:hAnsi="宋体"/>
          <w:sz w:val="24"/>
        </w:rPr>
      </w:pPr>
      <w:r>
        <w:rPr>
          <w:rFonts w:hint="eastAsia" w:ascii="宋体" w:hAnsi="宋体"/>
          <w:sz w:val="24"/>
        </w:rPr>
        <w:t>设备必须符合国家质量检测标准和本招</w:t>
      </w:r>
      <w:r>
        <w:rPr>
          <w:rFonts w:ascii="宋体" w:hAnsi="宋体"/>
          <w:sz w:val="24"/>
        </w:rPr>
        <w:t>标</w:t>
      </w:r>
      <w:r>
        <w:rPr>
          <w:rFonts w:hint="eastAsia" w:ascii="宋体" w:hAnsi="宋体"/>
          <w:sz w:val="24"/>
        </w:rPr>
        <w:t>文件规定标准的全新正品现货，供货时随货物提供《产品合格证》及其它相关质量证明文件。</w:t>
      </w:r>
    </w:p>
    <w:p>
      <w:pPr>
        <w:numPr>
          <w:ilvl w:val="0"/>
          <w:numId w:val="5"/>
        </w:numPr>
        <w:adjustRightInd w:val="0"/>
        <w:snapToGrid w:val="0"/>
        <w:spacing w:line="440" w:lineRule="exact"/>
        <w:ind w:firstLine="480" w:firstLineChars="200"/>
        <w:rPr>
          <w:rFonts w:ascii="宋体" w:hAnsi="宋体"/>
          <w:sz w:val="24"/>
        </w:rPr>
      </w:pPr>
      <w:r>
        <w:rPr>
          <w:rFonts w:hint="eastAsia" w:ascii="宋体" w:hAnsi="宋体"/>
          <w:sz w:val="24"/>
        </w:rPr>
        <w:t>专利权：供应商应保证用户在使用该货物或其任何一部分时不受第三方提出侵犯其专利权、商标权和工业设计权等起诉。</w:t>
      </w:r>
    </w:p>
    <w:p>
      <w:pPr>
        <w:numPr>
          <w:ilvl w:val="0"/>
          <w:numId w:val="5"/>
        </w:numPr>
        <w:adjustRightInd w:val="0"/>
        <w:snapToGrid w:val="0"/>
        <w:spacing w:line="400" w:lineRule="exact"/>
        <w:ind w:firstLine="480" w:firstLineChars="200"/>
        <w:rPr>
          <w:rFonts w:ascii="宋体" w:hAnsi="宋体"/>
          <w:sz w:val="24"/>
        </w:rPr>
      </w:pPr>
      <w:r>
        <w:rPr>
          <w:rFonts w:hint="eastAsia" w:ascii="宋体" w:hAnsi="宋体"/>
          <w:sz w:val="24"/>
        </w:rPr>
        <w:t>验收</w:t>
      </w:r>
    </w:p>
    <w:p>
      <w:pPr>
        <w:adjustRightInd w:val="0"/>
        <w:snapToGrid w:val="0"/>
        <w:spacing w:line="440" w:lineRule="exact"/>
        <w:ind w:firstLine="480" w:firstLineChars="200"/>
        <w:rPr>
          <w:rFonts w:ascii="宋体" w:hAnsi="宋体"/>
          <w:sz w:val="24"/>
        </w:rPr>
      </w:pPr>
      <w:r>
        <w:rPr>
          <w:rFonts w:hint="eastAsia" w:ascii="宋体" w:hAnsi="宋体"/>
          <w:sz w:val="24"/>
          <w:lang w:val="en-US" w:eastAsia="zh-CN"/>
        </w:rPr>
        <w:t>5</w:t>
      </w:r>
      <w:r>
        <w:rPr>
          <w:rFonts w:hint="eastAsia" w:ascii="宋体" w:hAnsi="宋体"/>
          <w:sz w:val="24"/>
        </w:rPr>
        <w:t>.1开箱验收。中标供应商在指定地点交货时须由采供双方共同开箱验收，填写交货验收单。验收的主要内容包括：产品外观、数量、产品标示、产品合格证、产品检测报告（如需要）、产品参数、品牌型号、厂家及产地。本验收如发现与中标产品不符时，应中止交货。</w:t>
      </w:r>
    </w:p>
    <w:p>
      <w:pPr>
        <w:adjustRightInd w:val="0"/>
        <w:snapToGrid w:val="0"/>
        <w:spacing w:line="440" w:lineRule="exact"/>
        <w:ind w:firstLine="480" w:firstLineChars="200"/>
        <w:rPr>
          <w:rFonts w:ascii="宋体" w:hAnsi="宋体"/>
          <w:sz w:val="24"/>
        </w:rPr>
      </w:pPr>
      <w:r>
        <w:rPr>
          <w:rFonts w:hint="eastAsia" w:ascii="宋体" w:hAnsi="宋体"/>
          <w:sz w:val="24"/>
          <w:lang w:val="en-US" w:eastAsia="zh-CN"/>
        </w:rPr>
        <w:t>5</w:t>
      </w:r>
      <w:r>
        <w:rPr>
          <w:rFonts w:hint="eastAsia" w:ascii="宋体" w:hAnsi="宋体"/>
          <w:sz w:val="24"/>
        </w:rPr>
        <w:t>.2项目验收。产品安装调试完成，试运行和测试合格，符合验收条件，由供应商提出验收审请，并向验收小组提供测试运行报告。</w:t>
      </w:r>
    </w:p>
    <w:p>
      <w:pPr>
        <w:adjustRightInd w:val="0"/>
        <w:snapToGrid w:val="0"/>
        <w:spacing w:line="440" w:lineRule="exact"/>
        <w:ind w:firstLine="480" w:firstLineChars="200"/>
        <w:rPr>
          <w:rFonts w:ascii="宋体" w:hAnsi="宋体"/>
          <w:sz w:val="24"/>
        </w:rPr>
      </w:pPr>
      <w:r>
        <w:rPr>
          <w:rFonts w:hint="eastAsia" w:ascii="宋体" w:hAnsi="宋体"/>
          <w:sz w:val="24"/>
          <w:lang w:val="en-US" w:eastAsia="zh-CN"/>
        </w:rPr>
        <w:t>5</w:t>
      </w:r>
      <w:r>
        <w:rPr>
          <w:rFonts w:hint="eastAsia" w:ascii="宋体" w:hAnsi="宋体"/>
          <w:sz w:val="24"/>
        </w:rPr>
        <w:t>.3由采购人组成验收小组，成员包括邀请专家、第三方机构或其他供应商组成。验收小组根据招标文件、投标文件、采购合同、国家相关标准进行验收，出具验收意见，签署验收报告书。</w:t>
      </w:r>
    </w:p>
    <w:p>
      <w:pPr>
        <w:adjustRightInd w:val="0"/>
        <w:snapToGrid w:val="0"/>
        <w:spacing w:line="400" w:lineRule="exact"/>
        <w:ind w:firstLine="480" w:firstLineChars="200"/>
        <w:rPr>
          <w:rFonts w:ascii="宋体" w:hAnsi="宋体"/>
          <w:sz w:val="24"/>
        </w:rPr>
      </w:pPr>
      <w:r>
        <w:rPr>
          <w:rFonts w:hint="eastAsia" w:ascii="宋体" w:hAnsi="宋体"/>
          <w:sz w:val="24"/>
          <w:lang w:val="en-US" w:eastAsia="zh-CN"/>
        </w:rPr>
        <w:t>6</w:t>
      </w:r>
      <w:r>
        <w:rPr>
          <w:rFonts w:hint="eastAsia" w:ascii="宋体" w:hAnsi="宋体"/>
          <w:sz w:val="24"/>
        </w:rPr>
        <w:t>. 售后服务及培训</w:t>
      </w:r>
    </w:p>
    <w:p>
      <w:pPr>
        <w:adjustRightInd w:val="0"/>
        <w:snapToGrid w:val="0"/>
        <w:spacing w:line="440" w:lineRule="exact"/>
        <w:ind w:firstLine="480" w:firstLineChars="200"/>
        <w:rPr>
          <w:rFonts w:ascii="宋体" w:hAnsi="宋体"/>
          <w:sz w:val="24"/>
        </w:rPr>
      </w:pPr>
      <w:r>
        <w:rPr>
          <w:rFonts w:hint="eastAsia" w:ascii="宋体" w:hAnsi="宋体"/>
          <w:sz w:val="24"/>
          <w:lang w:val="en-US" w:eastAsia="zh-CN"/>
        </w:rPr>
        <w:t>6</w:t>
      </w:r>
      <w:r>
        <w:rPr>
          <w:rFonts w:hint="eastAsia" w:ascii="宋体" w:hAnsi="宋体"/>
          <w:sz w:val="24"/>
        </w:rPr>
        <w:t>.1本项目所有产品必须提供2年质保售后服务。投标产品厂家需提供400等7*24小时电话服务；厂家须提供售中、售后全方位的技术支持。</w:t>
      </w:r>
    </w:p>
    <w:p>
      <w:pPr>
        <w:adjustRightInd w:val="0"/>
        <w:snapToGrid w:val="0"/>
        <w:spacing w:line="440" w:lineRule="exact"/>
        <w:ind w:firstLine="480" w:firstLineChars="200"/>
        <w:rPr>
          <w:rFonts w:ascii="宋体" w:hAnsi="宋体"/>
          <w:sz w:val="24"/>
        </w:rPr>
      </w:pPr>
      <w:r>
        <w:rPr>
          <w:rFonts w:hint="eastAsia" w:ascii="宋体" w:hAnsi="宋体"/>
          <w:sz w:val="24"/>
          <w:lang w:val="en-US" w:eastAsia="zh-CN"/>
        </w:rPr>
        <w:t>6</w:t>
      </w:r>
      <w:r>
        <w:rPr>
          <w:rFonts w:hint="eastAsia" w:ascii="宋体" w:hAnsi="宋体"/>
          <w:sz w:val="24"/>
        </w:rPr>
        <w:t>.2供应商须明确免费保修期，同时应提出故障响应时间，须明确维修点地址、负责人、联系人和联系电话，维修点具备什么样的维修能力等详细资料。在免费保维期内，同一质量问题连续两次维修仍无法正常使用，供应商必须予以更换同品牌、同型号的全新产品，超过保修期发生故障，用户可自由选择维修单位，如委托给谈判供应商，供应商不得借故推诿，并且维修费不能超过市场平均价格。</w:t>
      </w:r>
    </w:p>
    <w:p>
      <w:pPr>
        <w:adjustRightInd w:val="0"/>
        <w:snapToGrid w:val="0"/>
        <w:spacing w:line="440" w:lineRule="exact"/>
        <w:ind w:firstLine="480" w:firstLineChars="200"/>
        <w:rPr>
          <w:rFonts w:ascii="宋体" w:hAnsi="宋体"/>
          <w:sz w:val="24"/>
        </w:rPr>
      </w:pPr>
      <w:r>
        <w:rPr>
          <w:rFonts w:hint="eastAsia" w:ascii="宋体" w:hAnsi="宋体"/>
          <w:sz w:val="24"/>
          <w:lang w:val="en-US" w:eastAsia="zh-CN"/>
        </w:rPr>
        <w:t>6</w:t>
      </w:r>
      <w:r>
        <w:rPr>
          <w:rFonts w:hint="eastAsia" w:ascii="宋体" w:hAnsi="宋体"/>
          <w:sz w:val="24"/>
        </w:rPr>
        <w:t>.3供应商须对所供产品的使用、操作、维护保养等方面的技术进行现场或异地培训。具体培训计划、内容及目标应在合同中约定，其费用包含在总报价内。</w:t>
      </w:r>
    </w:p>
    <w:p>
      <w:pPr>
        <w:adjustRightInd w:val="0"/>
        <w:snapToGrid w:val="0"/>
        <w:spacing w:line="440" w:lineRule="exact"/>
        <w:ind w:firstLine="480" w:firstLineChars="200"/>
        <w:rPr>
          <w:rFonts w:ascii="宋体" w:hAnsi="宋体"/>
          <w:sz w:val="24"/>
        </w:rPr>
      </w:pPr>
      <w:r>
        <w:rPr>
          <w:rFonts w:hint="eastAsia" w:ascii="宋体" w:hAnsi="宋体"/>
          <w:sz w:val="24"/>
          <w:lang w:val="en-US" w:eastAsia="zh-CN"/>
        </w:rPr>
        <w:t>7</w:t>
      </w:r>
      <w:r>
        <w:rPr>
          <w:rFonts w:hint="eastAsia" w:ascii="宋体" w:hAnsi="宋体"/>
          <w:sz w:val="24"/>
        </w:rPr>
        <w:t>.本项目为交钥匙工程，投标报价为总包价,包括设备、材料、元件等购置、安装调试、验收、培训、售后服务、施工所产生的费用等，招标采购人不另行支付任何其他费用。</w:t>
      </w:r>
    </w:p>
    <w:p>
      <w:pPr>
        <w:adjustRightInd w:val="0"/>
        <w:snapToGrid w:val="0"/>
        <w:spacing w:line="440" w:lineRule="exact"/>
        <w:ind w:firstLine="482" w:firstLineChars="200"/>
        <w:rPr>
          <w:rFonts w:ascii="宋体" w:hAnsi="宋体"/>
          <w:kern w:val="0"/>
          <w:sz w:val="24"/>
        </w:rPr>
      </w:pPr>
      <w:r>
        <w:rPr>
          <w:rFonts w:hint="eastAsia" w:ascii="宋体" w:hAnsi="宋体"/>
          <w:b/>
          <w:bCs/>
          <w:kern w:val="0"/>
          <w:sz w:val="24"/>
          <w:lang w:val="en-US" w:eastAsia="zh-CN"/>
        </w:rPr>
        <w:t>8</w:t>
      </w:r>
      <w:r>
        <w:rPr>
          <w:rFonts w:hint="eastAsia" w:ascii="宋体" w:hAnsi="宋体"/>
          <w:b/>
          <w:bCs/>
          <w:kern w:val="0"/>
          <w:sz w:val="24"/>
        </w:rPr>
        <w:t>.付款方式：</w:t>
      </w:r>
      <w:r>
        <w:rPr>
          <w:rFonts w:hint="eastAsia" w:ascii="宋体" w:hAnsi="宋体"/>
          <w:kern w:val="0"/>
          <w:sz w:val="24"/>
        </w:rPr>
        <w:t>设备到货安装调试完成，经河南省公安消防总队验收合格后支付合同总价的90%，剩余10%满一年无质量问题一次付清。</w:t>
      </w:r>
    </w:p>
    <w:p>
      <w:pPr>
        <w:adjustRightInd w:val="0"/>
        <w:snapToGrid w:val="0"/>
        <w:spacing w:line="440" w:lineRule="exact"/>
        <w:ind w:firstLine="480" w:firstLineChars="200"/>
        <w:rPr>
          <w:rFonts w:ascii="宋体" w:hAnsi="宋体"/>
          <w:kern w:val="0"/>
          <w:sz w:val="24"/>
        </w:rPr>
      </w:pPr>
      <w:r>
        <w:rPr>
          <w:rFonts w:hint="eastAsia" w:ascii="宋体" w:hAnsi="宋体"/>
          <w:kern w:val="0"/>
          <w:sz w:val="24"/>
          <w:lang w:val="en-US" w:eastAsia="zh-CN"/>
        </w:rPr>
        <w:t>9</w:t>
      </w:r>
      <w:r>
        <w:rPr>
          <w:rFonts w:hint="eastAsia" w:ascii="宋体" w:hAnsi="宋体"/>
          <w:kern w:val="0"/>
          <w:sz w:val="24"/>
        </w:rPr>
        <w:t>.合同签订后90日内交货，90日仍未全部交货，采购方有权选择合同终止，供方应承担由此发生的全部费用。供方在本合同规定的交货期内不能交货，应向需方支付全部合同金额10%的违约金，需方有权终止合同。</w:t>
      </w: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项目名称：举高喷射消防车</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项目编号：JZFCG-G2018005-2号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项目内容：举高喷射消防车1台及随车器具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w:t>
            </w:r>
            <w:r>
              <w:rPr>
                <w:rFonts w:hint="eastAsia" w:ascii="宋体" w:hAnsi="宋体" w:cs="宋体"/>
                <w:color w:val="000000"/>
                <w:kern w:val="0"/>
                <w:sz w:val="24"/>
              </w:rPr>
              <w:t>许昌经济技术开发区公安消防大队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w:t>
            </w:r>
            <w:r>
              <w:rPr>
                <w:rFonts w:hint="eastAsia" w:ascii="宋体" w:hAnsi="宋体" w:cs="宋体"/>
                <w:color w:val="000000"/>
                <w:kern w:val="0"/>
                <w:sz w:val="24"/>
              </w:rPr>
              <w:t>许昌经济技术开发区公安消防大队</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地址：许昌市</w:t>
            </w:r>
            <w:r>
              <w:rPr>
                <w:rFonts w:hint="eastAsia" w:ascii="宋体" w:hAnsi="宋体" w:cs="宋体"/>
                <w:kern w:val="0"/>
                <w:sz w:val="24"/>
              </w:rPr>
              <w:t>工农路与瑞昌路交叉口</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ascii="宋体" w:hAnsi="宋体" w:cs="宋体"/>
                <w:kern w:val="0"/>
                <w:sz w:val="24"/>
              </w:rPr>
              <w:t>王景陶</w:t>
            </w:r>
            <w:r>
              <w:rPr>
                <w:rFonts w:hint="eastAsia" w:cs="仿宋_GB2312" w:asciiTheme="minorEastAsia" w:hAnsiTheme="minorEastAsia"/>
                <w:sz w:val="24"/>
                <w:szCs w:val="24"/>
              </w:rPr>
              <w:t xml:space="preserve">     电话：</w:t>
            </w:r>
            <w:r>
              <w:rPr>
                <w:rFonts w:hint="eastAsia" w:ascii="宋体" w:hAnsi="宋体" w:cs="宋体"/>
                <w:kern w:val="0"/>
                <w:sz w:val="24"/>
              </w:rPr>
              <w:t>15038913726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w:t>
            </w:r>
            <w:r>
              <w:rPr>
                <w:rFonts w:hint="eastAsia" w:ascii="宋体" w:hAnsi="宋体" w:cs="宋体"/>
                <w:kern w:val="0"/>
                <w:sz w:val="24"/>
              </w:rPr>
              <w:t>许昌光大电子商务技术服务有限公司</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w:t>
            </w:r>
            <w:r>
              <w:fldChar w:fldCharType="begin"/>
            </w:r>
            <w:r>
              <w:instrText xml:space="preserve"> HYPERLINK "mailto:xcgdzfcg@126.com；地址：许昌市莲城大道亨源通世广场1号楼401" </w:instrText>
            </w:r>
            <w:r>
              <w:fldChar w:fldCharType="separate"/>
            </w:r>
            <w:r>
              <w:rPr>
                <w:rFonts w:hint="eastAsia" w:ascii="宋体" w:hAnsi="宋体" w:cs="宋体"/>
                <w:kern w:val="0"/>
                <w:sz w:val="24"/>
              </w:rPr>
              <w:t>许昌市莲城大道亨源通世纪广场1号楼401</w:t>
            </w:r>
            <w:r>
              <w:rPr>
                <w:rFonts w:hint="eastAsia" w:ascii="宋体" w:hAnsi="宋体" w:cs="宋体"/>
                <w:kern w:val="0"/>
                <w:sz w:val="24"/>
              </w:rPr>
              <w:fldChar w:fldCharType="end"/>
            </w:r>
            <w:r>
              <w:rPr>
                <w:rFonts w:hint="eastAsia" w:ascii="宋体" w:hAnsi="宋体" w:cs="宋体"/>
                <w:kern w:val="0"/>
                <w:sz w:val="24"/>
              </w:rPr>
              <w:t>室</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联系人：刘艳艳     电话：</w:t>
            </w:r>
            <w:r>
              <w:rPr>
                <w:rFonts w:hint="eastAsia" w:ascii="宋体" w:hAnsi="宋体" w:cs="宋体"/>
                <w:kern w:val="0"/>
                <w:sz w:val="24"/>
              </w:rPr>
              <w:t>13323993003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时提供。法人包括企业法人、机关法人、事业单位法人和社会团体法人）</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w:t>
            </w:r>
            <w:r>
              <w:rPr>
                <w:rFonts w:hint="eastAsia" w:cs="宋体" w:asciiTheme="minorEastAsia" w:hAnsiTheme="minorEastAsia"/>
                <w:b/>
                <w:bCs/>
                <w:sz w:val="24"/>
                <w:szCs w:val="24"/>
                <w:lang w:val="zh-CN"/>
              </w:rPr>
              <w:t>（其他组织和自然人投标时提供）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七、</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rPr>
              <w:t>150</w:t>
            </w:r>
            <w:r>
              <w:rPr>
                <w:rFonts w:hint="eastAsia" w:cs="宋体" w:asciiTheme="minorEastAsia" w:hAnsiTheme="minorEastAsia"/>
                <w:bCs/>
                <w:sz w:val="24"/>
                <w:szCs w:val="24"/>
                <w:lang w:val="zh-CN"/>
              </w:rPr>
              <w:t xml:space="preserve"> 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auto"/>
                <w:sz w:val="24"/>
                <w:szCs w:val="24"/>
                <w:lang w:val="zh-CN"/>
              </w:rPr>
              <w:t>2018年</w:t>
            </w:r>
            <w:r>
              <w:rPr>
                <w:rFonts w:hint="eastAsia" w:cs="宋体" w:asciiTheme="minorEastAsia" w:hAnsiTheme="minorEastAsia"/>
                <w:bCs/>
                <w:color w:val="auto"/>
                <w:sz w:val="24"/>
                <w:szCs w:val="24"/>
              </w:rPr>
              <w:t>04</w:t>
            </w:r>
            <w:r>
              <w:rPr>
                <w:rFonts w:hint="eastAsia" w:cs="宋体" w:asciiTheme="minorEastAsia" w:hAnsiTheme="minorEastAsia"/>
                <w:bCs/>
                <w:color w:val="auto"/>
                <w:sz w:val="24"/>
                <w:szCs w:val="24"/>
                <w:lang w:val="zh-CN"/>
              </w:rPr>
              <w:t>月</w:t>
            </w:r>
            <w:r>
              <w:rPr>
                <w:rFonts w:hint="eastAsia" w:cs="宋体" w:asciiTheme="minorEastAsia" w:hAnsiTheme="minorEastAsia"/>
                <w:bCs/>
                <w:color w:val="auto"/>
                <w:sz w:val="24"/>
                <w:szCs w:val="24"/>
                <w:lang w:val="en-US" w:eastAsia="zh-CN"/>
              </w:rPr>
              <w:t>27</w:t>
            </w:r>
            <w:r>
              <w:rPr>
                <w:rFonts w:hint="eastAsia" w:cs="宋体" w:asciiTheme="minorEastAsia" w:hAnsiTheme="minorEastAsia"/>
                <w:bCs/>
                <w:color w:val="auto"/>
                <w:sz w:val="24"/>
                <w:szCs w:val="24"/>
                <w:lang w:val="zh-CN"/>
              </w:rPr>
              <w:t>日</w:t>
            </w:r>
            <w:r>
              <w:rPr>
                <w:rFonts w:hint="eastAsia" w:cs="宋体" w:asciiTheme="minorEastAsia" w:hAnsiTheme="minorEastAsia"/>
                <w:bCs/>
                <w:color w:val="auto"/>
                <w:sz w:val="24"/>
                <w:szCs w:val="24"/>
              </w:rPr>
              <w:t>9</w:t>
            </w:r>
            <w:r>
              <w:rPr>
                <w:rFonts w:hint="eastAsia" w:cs="宋体" w:asciiTheme="minorEastAsia" w:hAnsiTheme="minorEastAsia"/>
                <w:bCs/>
                <w:color w:val="auto"/>
                <w:sz w:val="24"/>
                <w:szCs w:val="24"/>
                <w:lang w:val="zh-CN"/>
              </w:rPr>
              <w:t>时</w:t>
            </w:r>
            <w:r>
              <w:rPr>
                <w:rFonts w:hint="eastAsia" w:cs="宋体" w:asciiTheme="minorEastAsia" w:hAnsiTheme="minorEastAsia"/>
                <w:bCs/>
                <w:color w:val="auto"/>
                <w:sz w:val="24"/>
                <w:szCs w:val="24"/>
              </w:rPr>
              <w:t>30</w:t>
            </w:r>
            <w:r>
              <w:rPr>
                <w:rFonts w:hint="eastAsia" w:cs="宋体" w:asciiTheme="minorEastAsia" w:hAnsiTheme="minorEastAsia"/>
                <w:bCs/>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lang w:val="en-US" w:eastAsia="zh-CN"/>
              </w:rPr>
              <w:t>3</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b/>
                <w:bCs/>
                <w:sz w:val="24"/>
                <w:szCs w:val="24"/>
                <w:lang w:val="zh-CN"/>
              </w:rPr>
            </w:pPr>
            <w:r>
              <w:rPr>
                <w:rFonts w:hint="eastAsia" w:cs="仿宋_GB2312" w:asciiTheme="minorEastAsia" w:hAnsiTheme="minorEastAsia"/>
                <w:sz w:val="24"/>
                <w:szCs w:val="24"/>
                <w:lang w:val="zh-CN"/>
              </w:rPr>
              <w:t>金额：</w:t>
            </w:r>
            <w:r>
              <w:rPr>
                <w:rFonts w:hint="eastAsia" w:cs="仿宋_GB2312" w:asciiTheme="minorEastAsia" w:hAnsiTheme="minorEastAsia"/>
                <w:b/>
                <w:bCs/>
                <w:sz w:val="24"/>
                <w:szCs w:val="24"/>
                <w:lang w:val="zh-CN"/>
              </w:rPr>
              <w:t>叁万元整（¥30000.00元）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电子投标文件：成功上传至《全国公共资源交易平台（河南省·许昌市）》公共资源交易系统加密电子投标文件1份</w:t>
            </w:r>
            <w:r>
              <w:rPr>
                <w:rFonts w:hint="eastAsia" w:cs="宋体" w:asciiTheme="minorEastAsia" w:hAnsiTheme="minorEastAsia"/>
                <w:color w:val="000000"/>
                <w:sz w:val="24"/>
                <w:szCs w:val="24"/>
                <w:lang w:val="zh-CN"/>
              </w:rPr>
              <w:t>（文件格式为： XXX公司XXX项目编号.file）。</w:t>
            </w:r>
            <w:r>
              <w:rPr>
                <w:rFonts w:hint="eastAsia" w:cs="宋体" w:asciiTheme="minorEastAsia" w:hAnsiTheme="minorEastAsia"/>
                <w:color w:val="000000"/>
                <w:sz w:val="24"/>
                <w:szCs w:val="24"/>
              </w:rPr>
              <w:t>使用电子介质存储的备份文件1份（文件格式为：名称为“备份”的文件夹）。</w:t>
            </w:r>
          </w:p>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纸质投标文件：</w:t>
            </w:r>
            <w:r>
              <w:rPr>
                <w:rFonts w:hint="eastAsia" w:cs="宋体" w:asciiTheme="minorEastAsia" w:hAnsiTheme="minorEastAsia"/>
                <w:b/>
                <w:bCs/>
                <w:color w:val="000000"/>
                <w:sz w:val="24"/>
                <w:szCs w:val="24"/>
              </w:rPr>
              <w:t>正本一份，副本</w:t>
            </w:r>
            <w:r>
              <w:rPr>
                <w:rFonts w:hint="eastAsia" w:cs="宋体" w:asciiTheme="minorEastAsia" w:hAnsiTheme="minorEastAsia"/>
                <w:b/>
                <w:bCs/>
                <w:color w:val="000000"/>
                <w:sz w:val="24"/>
                <w:szCs w:val="24"/>
                <w:lang w:eastAsia="zh-CN"/>
              </w:rPr>
              <w:t>一</w:t>
            </w:r>
            <w:r>
              <w:rPr>
                <w:rFonts w:hint="eastAsia" w:cs="宋体" w:asciiTheme="minorEastAsia" w:hAnsiTheme="minorEastAsia"/>
                <w:b/>
                <w:bCs/>
                <w:color w:val="000000"/>
                <w:sz w:val="24"/>
                <w:szCs w:val="24"/>
              </w:rPr>
              <w:t>份</w:t>
            </w:r>
            <w:r>
              <w:rPr>
                <w:rFonts w:hint="eastAsia" w:cs="宋体" w:asciiTheme="minorEastAsia" w:hAnsiTheme="minorEastAsia"/>
                <w:color w:val="000000"/>
                <w:sz w:val="24"/>
                <w:szCs w:val="24"/>
              </w:rPr>
              <w:t>。使用格式为“投标文件（供打印）.PDF”的文件</w:t>
            </w:r>
          </w:p>
          <w:p>
            <w:pPr>
              <w:autoSpaceDE w:val="0"/>
              <w:autoSpaceDN w:val="0"/>
              <w:adjustRightInd w:val="0"/>
              <w:spacing w:line="360" w:lineRule="auto"/>
              <w:rPr>
                <w:rFonts w:cs="宋体" w:asciiTheme="minorEastAsia" w:hAnsiTheme="minorEastAsia"/>
                <w:color w:val="000000"/>
                <w:sz w:val="24"/>
                <w:szCs w:val="24"/>
                <w:lang w:val="zh-CN"/>
              </w:rPr>
            </w:pPr>
            <w:r>
              <w:rPr>
                <w:rFonts w:hint="eastAsia" w:cs="宋体" w:asciiTheme="minorEastAsia" w:hAnsiTheme="minorEastAsia"/>
                <w:color w:val="000000"/>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电子投标文件：按招标文件要求加盖电子印章和法人电子印章。</w:t>
            </w:r>
          </w:p>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纸质投标文件：正本按招标文件要求签字盖章（无需逐页签字盖章），副本应与正本保持一致（可为正本的复印件）。正本与副本不一致的，以正本为准。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color w:val="333333"/>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r>
              <w:rPr>
                <w:rFonts w:hint="eastAsia" w:cs="宋体" w:asciiTheme="minorEastAsia" w:hAnsiTheme="minorEastAsia"/>
                <w:color w:val="333333"/>
                <w:sz w:val="24"/>
                <w:szCs w:val="24"/>
              </w:rPr>
              <w:t>收取标准:中标合同金额的</w:t>
            </w:r>
            <w:r>
              <w:rPr>
                <w:rFonts w:hint="eastAsia" w:cs="宋体" w:asciiTheme="minorEastAsia" w:hAnsiTheme="minorEastAsia"/>
                <w:color w:val="333333"/>
                <w:sz w:val="24"/>
                <w:szCs w:val="24"/>
                <w:u w:val="single"/>
              </w:rPr>
              <w:t>1.5</w:t>
            </w:r>
            <w:r>
              <w:rPr>
                <w:rFonts w:hint="eastAsia" w:cs="宋体" w:asciiTheme="minorEastAsia" w:hAnsiTheme="minorEastAsia"/>
                <w:color w:val="333333"/>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 w:val="24"/>
                <w:szCs w:val="24"/>
              </w:rPr>
              <w:t>xcgdzfcg@126.com</w:t>
            </w:r>
            <w:r>
              <w:rPr>
                <w:rFonts w:hint="eastAsia" w:cs="宋体" w:asciiTheme="minorEastAsia" w:hAnsiTheme="minorEastAsia"/>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pStyle w:val="2"/>
        <w:ind w:firstLine="361"/>
        <w:rPr>
          <w:rFonts w:cs="宋体" w:asciiTheme="majorEastAsia" w:hAnsiTheme="majorEastAsia" w:eastAsiaTheme="majorEastAsia"/>
          <w:b/>
          <w:sz w:val="36"/>
          <w:szCs w:val="36"/>
        </w:rPr>
      </w:pPr>
    </w:p>
    <w:p>
      <w:pPr>
        <w:pStyle w:val="2"/>
        <w:ind w:firstLine="361"/>
        <w:rPr>
          <w:rFonts w:cs="宋体" w:asciiTheme="majorEastAsia" w:hAnsiTheme="majorEastAsia" w:eastAsiaTheme="majorEastAsia"/>
          <w:b/>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2"/>
        <w:numPr>
          <w:ilvl w:val="0"/>
          <w:numId w:val="0"/>
        </w:numPr>
        <w:tabs>
          <w:tab w:val="left" w:pos="0"/>
        </w:tabs>
        <w:adjustRightInd/>
        <w:spacing w:line="360" w:lineRule="auto"/>
        <w:ind w:firstLine="422" w:firstLineChars="176"/>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ind w:firstLine="422" w:firstLineChars="176"/>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2符合本项目“投标邀请”和“投标人须知前附表”中规定的合格投标人所必须具备的条件。</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4单位负责人为同一人或者存在直接控股、管理关系的不同供应商，不得参加同一合同项下的政府采购活动；</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5除单一来源采购项目外，为采购项目提供整体设计、规范编制或者项目管理、监理、检测等服务的供应商，不得再参加该采购项目的其他采购活动。</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r>
        <w:rPr>
          <w:rFonts w:hint="eastAsia" w:cs="宋体" w:asciiTheme="minorEastAsia" w:hAnsiTheme="minorEastAsia"/>
          <w:b/>
          <w:kern w:val="0"/>
          <w:sz w:val="24"/>
          <w:szCs w:val="24"/>
        </w:rPr>
        <w:t>（招标文件未明确要求提供证明的评委会不得强制审查）</w:t>
      </w:r>
    </w:p>
    <w:p>
      <w:pPr>
        <w:autoSpaceDE w:val="0"/>
        <w:autoSpaceDN w:val="0"/>
        <w:spacing w:line="360" w:lineRule="auto"/>
        <w:ind w:firstLine="422" w:firstLineChars="176"/>
        <w:contextualSpacing/>
        <w:rPr>
          <w:rFonts w:cs="宋体" w:asciiTheme="minorEastAsia" w:hAnsiTheme="minorEastAsia"/>
          <w:b/>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r>
        <w:rPr>
          <w:rFonts w:hint="eastAsia" w:cs="宋体" w:asciiTheme="minorEastAsia" w:hAnsiTheme="minorEastAsia"/>
          <w:b/>
          <w:kern w:val="0"/>
          <w:sz w:val="24"/>
          <w:szCs w:val="24"/>
        </w:rPr>
        <w:t>招标文件未明确要求提供证明的评委会不得强制审查）</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见投标人须知前附表。</w:t>
      </w:r>
    </w:p>
    <w:p>
      <w:pPr>
        <w:widowControl/>
        <w:tabs>
          <w:tab w:val="left" w:pos="636"/>
        </w:tabs>
        <w:spacing w:line="360" w:lineRule="auto"/>
        <w:ind w:firstLine="422" w:firstLineChars="176"/>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8．招标文件构成</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8.1 招标文件由以下部分组成：</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9.现场考察、开标前答疑会</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9.4 现场考察及参加开标前答疑会所发生的费用及一切责任由投标人自行承担。</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10.招标文件的澄清或修改</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10.1 在投标截止期前，无论出于何种原因，招标人可主动地或在解答潜在投标人提出的澄清问题时对招标文件进行修改。</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10</w:t>
      </w:r>
      <w:r>
        <w:rPr>
          <w:rFonts w:cs="宋体" w:asciiTheme="minorEastAsia" w:hAnsiTheme="minorEastAsia"/>
          <w:kern w:val="0"/>
          <w:sz w:val="24"/>
          <w:szCs w:val="24"/>
        </w:rPr>
        <w:t>.</w:t>
      </w:r>
      <w:r>
        <w:rPr>
          <w:rFonts w:hint="eastAsia" w:cs="宋体" w:asciiTheme="minorEastAsia" w:hAnsiTheme="minorEastAsia"/>
          <w:kern w:val="0"/>
          <w:sz w:val="24"/>
          <w:szCs w:val="24"/>
        </w:rPr>
        <w:t>2招标人可以对已发出的招标文件进行必要的澄清或者修改。澄清或者修改的内容可能影响投标文件编制的，招标人将在投标截止时间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如果澄清或者修改发出的时间距规定的投标截止时间不足15日，招标人将顺延提交投标文件的截止时间。</w:t>
      </w:r>
    </w:p>
    <w:p>
      <w:pPr>
        <w:autoSpaceDE w:val="0"/>
        <w:autoSpaceDN w:val="0"/>
        <w:spacing w:line="360" w:lineRule="auto"/>
        <w:ind w:firstLine="422" w:firstLineChars="176"/>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 投标的语言及计量单位</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采购人不得向投标人索要或者接受其给予的赠品、回扣或者与采购无关的其他商品、服务。</w:t>
      </w:r>
    </w:p>
    <w:p>
      <w:pPr>
        <w:pStyle w:val="36"/>
        <w:spacing w:line="374" w:lineRule="auto"/>
        <w:ind w:firstLine="422" w:firstLineChars="176"/>
        <w:rPr>
          <w:rFonts w:cs="宋体" w:asciiTheme="minorEastAsia" w:hAnsiTheme="minorEastAsia"/>
          <w:kern w:val="0"/>
          <w:sz w:val="24"/>
          <w:szCs w:val="24"/>
        </w:rPr>
      </w:pPr>
      <w:r>
        <w:rPr>
          <w:rFonts w:hint="eastAsia" w:cs="宋体" w:asciiTheme="minorEastAsia" w:hAnsiTheme="minorEastAsia"/>
          <w:kern w:val="0"/>
          <w:sz w:val="24"/>
          <w:szCs w:val="24"/>
        </w:rPr>
        <w:t>12.3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ind w:firstLine="422" w:firstLineChars="176"/>
        <w:outlineLvl w:val="0"/>
        <w:rPr>
          <w:rFonts w:cs="宋体" w:asciiTheme="minorEastAsia" w:hAnsiTheme="minorEastAsia"/>
          <w:kern w:val="0"/>
          <w:sz w:val="24"/>
          <w:szCs w:val="24"/>
        </w:rPr>
      </w:pPr>
      <w:r>
        <w:rPr>
          <w:rFonts w:hint="eastAsia" w:cs="宋体" w:asciiTheme="minorEastAsia" w:hAnsiTheme="minor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本项目所涉及的运输、施工、安装、集成、调试、验收、备品和工具等费用均包含在投标报价中。</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12.6 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12.7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12.8 最低报价不能作为中标的保证。</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13．投标有效期</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13.1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13.2 投标有效期内投标人撤销投标文件的，招标人将不退还投标保证金。</w:t>
      </w:r>
    </w:p>
    <w:p>
      <w:pPr>
        <w:widowControl/>
        <w:tabs>
          <w:tab w:val="left" w:pos="636"/>
        </w:tabs>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13.4 中标人的投标文件作为项目合同的附件，其有效期至中标人全部合同义务履行完毕为止。</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14．投标文件构成</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投标文件的构成应符合法律法规及招标文件的要求。</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投标人应当按照招标文件的要求编制投标文件。投标文件应当对招标文件提出的要求和条件作出明确响应。</w:t>
      </w:r>
    </w:p>
    <w:p>
      <w:pPr>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14.3 投标文件由资格证明材料、符合性证明材料、其它材料等组成。</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14.5 投标人登录许昌公共资源交易系统下载“许昌投标文件制作系统SEARUN V1.0”，按招标文件要求根据所投标段制作电子投标文件。 </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电子投标文件制作技术咨询：0374-2961598。</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15.投标文件格式</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投标人应按招标文件提供的格式编写投标文件。招标文件未提供标准格式的投标人可自行拟定。</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16.投标保证金</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16.1投标保证金的缴纳</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16.1 .1投标人应按“投标人须知前附表”规定时间及金额提交投标保证金，并作为其投标的一部分。未按要求提交投标保证金的投标文件为无效投标。</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16.1.2 投标保证金用于避免和减少本次招标由于投标人的行为而给采购人带来的损失。</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16.1.8 不同投标人的投标保证金不得从同一单位或者个人的账户转出。</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16.1.10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ind w:firstLine="424" w:firstLineChars="176"/>
        <w:contextualSpacing/>
        <w:rPr>
          <w:rFonts w:cs="仿宋_GB2312" w:asciiTheme="minorEastAsia" w:hAnsiTheme="minorEastAsia"/>
          <w:sz w:val="24"/>
          <w:szCs w:val="24"/>
        </w:rPr>
      </w:pPr>
      <w:r>
        <w:rPr>
          <w:rFonts w:hint="eastAsia" w:cs="宋体" w:asciiTheme="minorEastAsia" w:hAnsiTheme="minorEastAsia"/>
          <w:b/>
          <w:kern w:val="0"/>
          <w:sz w:val="24"/>
          <w:szCs w:val="24"/>
        </w:rPr>
        <w:t>16.2 投标保证金的退还</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rPr>
      </w:pPr>
      <w:r>
        <w:rPr>
          <w:rFonts w:hint="eastAsia" w:cs="仿宋_GB2312" w:asciiTheme="minorEastAsia" w:hAnsiTheme="minor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spacing w:line="360" w:lineRule="auto"/>
        <w:ind w:firstLine="422" w:firstLineChars="176"/>
        <w:contextualSpacing/>
        <w:rPr>
          <w:rFonts w:cs="仿宋_GB2312" w:asciiTheme="minorEastAsia" w:hAnsiTheme="minorEastAsia"/>
          <w:b/>
          <w:sz w:val="24"/>
          <w:szCs w:val="24"/>
        </w:rPr>
      </w:pPr>
      <w:r>
        <w:rPr>
          <w:rFonts w:hint="eastAsia" w:cs="仿宋_GB2312" w:asciiTheme="minorEastAsia" w:hAnsiTheme="minorEastAsia"/>
          <w:sz w:val="24"/>
          <w:szCs w:val="24"/>
        </w:rPr>
        <w:t>16.2.1.4 因投标人自身原因无法及时退还投标保证金，</w:t>
      </w:r>
      <w:r>
        <w:rPr>
          <w:rFonts w:hint="eastAsia" w:cs="仿宋_GB2312" w:asciiTheme="minorEastAsia" w:hAnsiTheme="minorEastAsia"/>
          <w:b/>
          <w:sz w:val="24"/>
          <w:szCs w:val="24"/>
        </w:rPr>
        <w:t>滞留三年以上的，投标保证金上缴财政。</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rPr>
      </w:pPr>
      <w:r>
        <w:rPr>
          <w:rFonts w:hint="eastAsia" w:cs="仿宋_GB2312" w:asciiTheme="minorEastAsia" w:hAnsiTheme="minorEastAsia"/>
          <w:sz w:val="24"/>
          <w:szCs w:val="24"/>
        </w:rPr>
        <w:t>16.2.2.4 投标人与采购人、其他投标人或者采购代理机构恶意串通的；</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rPr>
      </w:pPr>
      <w:r>
        <w:rPr>
          <w:rFonts w:hint="eastAsia" w:cs="仿宋_GB2312" w:asciiTheme="minorEastAsia" w:hAnsiTheme="minorEastAsia"/>
          <w:sz w:val="24"/>
          <w:szCs w:val="24"/>
        </w:rPr>
        <w:t>16.2.2.5 法律法规及招标文件规定的其他情形。</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16.3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ind w:firstLine="422" w:firstLineChars="176"/>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投标人应提交投标文件份数见投标人须知前附表。</w:t>
      </w:r>
    </w:p>
    <w:p>
      <w:pPr>
        <w:autoSpaceDE w:val="0"/>
        <w:autoSpaceDN w:val="0"/>
        <w:adjustRightInd w:val="0"/>
        <w:spacing w:line="360" w:lineRule="auto"/>
        <w:ind w:firstLine="422" w:firstLineChars="176"/>
        <w:rPr>
          <w:rFonts w:cs="仿宋_GB2312" w:asciiTheme="minorEastAsia" w:hAnsiTheme="minorEastAsia"/>
          <w:sz w:val="24"/>
          <w:szCs w:val="24"/>
          <w:lang w:val="zh-CN"/>
        </w:rPr>
      </w:pPr>
      <w:r>
        <w:rPr>
          <w:rFonts w:hint="eastAsia" w:cs="仿宋_GB2312" w:asciiTheme="minorEastAsia" w:hAnsiTheme="minorEastAsia"/>
          <w:sz w:val="24"/>
          <w:szCs w:val="24"/>
          <w:lang w:val="zh-CN"/>
        </w:rPr>
        <w:t>纸质投标文件正本和副本投标文件封面上应清楚标明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字样；一旦正本和副本内容不一致时，以正本为准。投标文件的正本及所有副本的封面均须由投标人加盖投标人公章。</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纸质投标文件副本，所有资料都可以是投标文件的正本复印而成。</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纸质投标文件正本均须打印并由法定代表人或经过法定代表人正式授权的投标人代表在正本上规定处签字（有特殊要求的按要求执行）。</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asciiTheme="minorEastAsia" w:hAnsiTheme="minorEastAsia"/>
          <w:bCs/>
          <w:sz w:val="24"/>
          <w:szCs w:val="24"/>
        </w:rPr>
        <w:t>17.4 除投标人对错处做必要修改外，投标文件不得行间插字、涂改或增删。如有修改错漏处，</w:t>
      </w:r>
      <w:r>
        <w:rPr>
          <w:rFonts w:hint="eastAsia" w:cs="仿宋_GB2312" w:asciiTheme="minorEastAsia" w:hAnsiTheme="minorEastAsia"/>
          <w:sz w:val="24"/>
          <w:szCs w:val="24"/>
          <w:lang w:val="zh-CN"/>
        </w:rPr>
        <w:t>必须由法定代表人或经其正式授权的代表</w:t>
      </w:r>
      <w:r>
        <w:rPr>
          <w:rFonts w:hint="eastAsia" w:asciiTheme="minorEastAsia" w:hAnsiTheme="minorEastAsia"/>
          <w:bCs/>
          <w:sz w:val="24"/>
          <w:szCs w:val="24"/>
        </w:rPr>
        <w:t>签字并加盖投标人公章</w:t>
      </w:r>
      <w:r>
        <w:rPr>
          <w:rFonts w:hint="eastAsia" w:cs="仿宋_GB2312" w:asciiTheme="minorEastAsia" w:hAnsiTheme="minorEastAsia"/>
          <w:sz w:val="24"/>
          <w:szCs w:val="24"/>
          <w:lang w:val="zh-CN"/>
        </w:rPr>
        <w:t>。</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shd w:val="pct10" w:color="auto" w:fill="FFFFFF"/>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.5 在招标文件中已明示需盖章及签名之处，投标文件正本均须加盖投标人公章，并经投标人法定代表人或其授权代表签名。电子投标文件按招标文件要求加盖电子印章和法人电子印章。</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18</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rPr>
        <w:t>18</w:t>
      </w:r>
      <w:r>
        <w:rPr>
          <w:rFonts w:hint="eastAsia" w:cs="仿宋_GB2312" w:asciiTheme="minorEastAsia" w:hAnsiTheme="minorEastAsia"/>
          <w:sz w:val="24"/>
          <w:szCs w:val="24"/>
          <w:lang w:val="zh-CN"/>
        </w:rPr>
        <w:t>.1 投标人应将纸质投标文件“正本”、“ 副本”密封包装。使用电子介质存储的投标文件单独密封包装，并随纸质投标文件一并提交。</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18.2 投标文件如果未按规定密封，招标人将拒绝接收。</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ind w:firstLine="422" w:firstLineChars="176"/>
        <w:contextualSpacing/>
        <w:rPr>
          <w:rFonts w:asciiTheme="minorEastAsia" w:hAnsiTheme="minorEastAsia"/>
          <w:bCs/>
          <w:sz w:val="24"/>
          <w:szCs w:val="24"/>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ind w:firstLine="422" w:firstLineChars="176"/>
        <w:contextualSpacing/>
        <w:rPr>
          <w:rFonts w:asciiTheme="minorEastAsia" w:hAnsiTheme="minorEastAsia"/>
          <w:bCs/>
          <w:sz w:val="24"/>
          <w:szCs w:val="24"/>
        </w:rPr>
      </w:pPr>
      <w:r>
        <w:rPr>
          <w:rFonts w:hint="eastAsia" w:asciiTheme="minorEastAsia" w:hAnsiTheme="minorEastAsia"/>
          <w:bCs/>
          <w:sz w:val="24"/>
          <w:szCs w:val="24"/>
        </w:rPr>
        <w:t>19.2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22" w:firstLineChars="176"/>
        <w:contextualSpacing/>
        <w:rPr>
          <w:rFonts w:asciiTheme="minorEastAsia" w:hAnsiTheme="minorEastAsia"/>
          <w:bCs/>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1</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21.2 投标人补充、修改的内容并作为投标文件的组成部分。补充或修改应当按招标文件要求签署、盖章、密封、递交，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22．除投标人须知前附表另有规定外，投标人所提交的电子投标文件、纸质投标文件及电子介质存储的备份文件不予退还。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3</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23.3.1 电子投标文件的解密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（2）代理机构解密：代理机构按电子投标文件到达交易系统的先后顺序，使用代理机构CA数字证书进行再次解密。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23.3.2 电子投标文件解密异常情况处理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（1）因电子交易系统异常无法解密电子投标文件的，使用纸质投标文件以人工方式进行。</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ind w:firstLine="422" w:firstLineChars="176"/>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23.6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25.1.1 采购项目符合下列情形之一的，评标委员会成员人数应当为7人以上单数：</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25.7 评标委员会成员名单在评标结果公告前应当保密。</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总价金额与按单价汇总金额不一致的，以单价金额计算结果为准。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同时出现两种以上不一致的，按照前款规定的顺序修正。修正后的报价按照“投标人须知”2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.投标无效情形</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投标文件属下列情况之一的，按照无效投标处理：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.1.1 未按照招标文件的规定提交投标保证金的；</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.1.2 投标文件未按招标文件要求签署、盖章的；</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.1.3 不具备招标文件中规定的资格要求的；</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.1.4 报价超过招标文件中规定的预算金额或者最高限价的；</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有下列情形之一的，视为投标人串通投标，其投标无效：</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.2.1 不同投标人的投标文件由同一单位或者个人编制；</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.2.2 不同投标人委托同一单位或者个人办理投标事宜；</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.2.3 不同投标人的投标文件载明的项目管理成员或者联系人员为同一人；</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.2.4 不同投标人的投标文件异常一致或者投标报价呈规律性差异；</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.2.5 不同投标人的投标文件相互混装；</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.2.6 不同投标人的投标保证金从同一单位或者个人的账户转出。</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ind w:firstLine="422" w:firstLineChars="176"/>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30.</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31</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.评标方法、评标标准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rPr>
        <w:t>32</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ind w:firstLine="422" w:firstLineChars="176"/>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ind w:firstLine="424" w:firstLineChars="176"/>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3</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34.5 在评标过程中擅离职守，影响评标程序正常进行的；</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ind w:firstLine="422" w:firstLineChars="176"/>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37.3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38.</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rPr>
      </w:pPr>
      <w:r>
        <w:rPr>
          <w:rFonts w:hint="eastAsia" w:cs="仿宋_GB2312" w:asciiTheme="minorEastAsia" w:hAnsiTheme="minorEastAsia"/>
          <w:sz w:val="24"/>
          <w:szCs w:val="24"/>
        </w:rPr>
        <w:t>38.1 供应商认为采购文件、采购过程和中标结果使自己的权益受到损害的，可以依法向采购人</w:t>
      </w:r>
      <w:r>
        <w:rPr>
          <w:rFonts w:hint="eastAsia" w:cs="宋体" w:asciiTheme="minorEastAsia" w:hAnsiTheme="minorEastAsia"/>
          <w:bCs/>
          <w:color w:val="000000" w:themeColor="text1"/>
          <w:sz w:val="24"/>
          <w:szCs w:val="24"/>
          <w:lang w:val="zh-CN"/>
        </w:rPr>
        <w:t>、采购代理机构提出质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rPr>
      </w:pPr>
      <w:r>
        <w:rPr>
          <w:rFonts w:hint="eastAsia" w:cs="仿宋_GB2312" w:asciiTheme="minorEastAsia" w:hAnsiTheme="minorEastAsia"/>
          <w:sz w:val="24"/>
          <w:szCs w:val="24"/>
        </w:rPr>
        <w:t>38.1.1对采购文件提出质疑的，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通过《全国公共资源交易平台（河南省·许昌市）》一次性提出，如未提出视为全面接受；</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38.1.2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38.1.3 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rPr>
      </w:pPr>
      <w:r>
        <w:rPr>
          <w:rFonts w:hint="eastAsia" w:cs="仿宋_GB2312" w:asciiTheme="minorEastAsia" w:hAnsiTheme="minorEastAsia"/>
          <w:b/>
          <w:sz w:val="24"/>
          <w:szCs w:val="24"/>
        </w:rPr>
        <w:t>40.履约保证金</w:t>
      </w:r>
    </w:p>
    <w:p>
      <w:pPr>
        <w:tabs>
          <w:tab w:val="left" w:pos="1260"/>
        </w:tabs>
        <w:autoSpaceDE w:val="0"/>
        <w:autoSpaceDN w:val="0"/>
        <w:spacing w:line="360" w:lineRule="auto"/>
        <w:ind w:firstLine="422" w:firstLineChars="176"/>
        <w:contextualSpacing/>
        <w:jc w:val="left"/>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本次采购货物中属于强制采购的节能产品，投标人所投产品必须是《节能产品政府采购清单》内产品，投标文件中须提供最新一期《节能产品政府采购清单》中产品所在页所</w:t>
      </w:r>
      <w:r>
        <w:rPr>
          <w:rFonts w:hint="eastAsia" w:cs="仿宋_GB2312" w:asciiTheme="minorEastAsia" w:hAnsiTheme="minorEastAsia" w:eastAsiaTheme="minorEastAsia"/>
          <w:szCs w:val="24"/>
        </w:rPr>
        <w:t>在页并加盖投标人公章的原件扫描件（或图片），</w:t>
      </w:r>
      <w:r>
        <w:rPr>
          <w:rFonts w:hint="eastAsia" w:cs="仿宋_GB2312" w:asciiTheme="minorEastAsia" w:hAnsiTheme="minorEastAsia" w:eastAsiaTheme="minorEastAsia"/>
          <w:szCs w:val="24"/>
          <w:lang w:val="zh-CN"/>
        </w:rPr>
        <w:t>否则为无效投标。投标人所投其他产品若属于“节能产品政府采购清单”优先采购产品，在同等条件下，优先采购清单中的产品。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24" w:name="OLE_LINK6"/>
      <w:r>
        <w:rPr>
          <w:rFonts w:hint="eastAsia" w:cs="仿宋_GB2312" w:asciiTheme="minorEastAsia" w:hAnsiTheme="minorEastAsia"/>
          <w:sz w:val="24"/>
          <w:szCs w:val="24"/>
          <w:lang w:val="zh-CN"/>
        </w:rPr>
        <w:t>财库[2014]68号</w:t>
      </w:r>
      <w:bookmarkEnd w:id="24"/>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86" w:rightChars="-41"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55" w:rightChars="26"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（2）银行出具的资信证明；或财政部门认可的政府采购专业担保机构的证明文件和担保机构出具的投标担保函。</w:t>
            </w:r>
            <w:r>
              <w:rPr>
                <w:rFonts w:hint="eastAsia" w:asciiTheme="minorEastAsia" w:hAnsiTheme="minorEastAsia"/>
                <w:b/>
                <w:bCs/>
                <w:sz w:val="24"/>
                <w:szCs w:val="24"/>
              </w:rPr>
              <w:t>（其他组织和自然人投标提供）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相关设备的购置发票、专业技术人员职称证书、用工合同等或者投标人相关承诺函</w:t>
            </w:r>
            <w:r>
              <w:rPr>
                <w:rFonts w:hint="eastAsia" w:asciiTheme="minorEastAsia" w:hAnsiTheme="minorEastAsia"/>
                <w:b/>
                <w:bCs/>
                <w:sz w:val="24"/>
                <w:szCs w:val="24"/>
              </w:rPr>
              <w:t>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numPr>
          <w:ilvl w:val="0"/>
          <w:numId w:val="6"/>
        </w:numPr>
        <w:spacing w:line="360" w:lineRule="auto"/>
        <w:ind w:firstLine="465"/>
        <w:contextualSpacing/>
        <w:jc w:val="left"/>
        <w:rPr>
          <w:rFonts w:cs="仿宋_GB2312" w:asciiTheme="minorEastAsia" w:hAnsiTheme="minorEastAsia" w:eastAsiaTheme="minorEastAsia"/>
          <w:b/>
          <w:szCs w:val="24"/>
          <w:lang w:val="zh-CN"/>
        </w:rPr>
      </w:pPr>
      <w:r>
        <w:rPr>
          <w:rFonts w:cs="仿宋_GB2312" w:asciiTheme="minorEastAsia" w:hAnsiTheme="minorEastAsia" w:eastAsiaTheme="minorEastAsia"/>
          <w:b/>
          <w:szCs w:val="24"/>
          <w:lang w:val="zh-CN"/>
        </w:rPr>
        <w:t>对投标文件进行比较和评价；</w:t>
      </w:r>
    </w:p>
    <w:p>
      <w:pPr>
        <w:pStyle w:val="13"/>
        <w:spacing w:line="360" w:lineRule="auto"/>
        <w:contextualSpacing/>
        <w:jc w:val="left"/>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szCs w:val="24"/>
          <w:lang w:val="zh-CN"/>
        </w:rPr>
        <w:t>注：</w:t>
      </w:r>
      <w:r>
        <w:rPr>
          <w:rFonts w:hint="eastAsia" w:cs="仿宋_GB2312" w:asciiTheme="minorEastAsia" w:hAnsiTheme="minorEastAsia" w:eastAsiaTheme="minorEastAsia"/>
          <w:szCs w:val="24"/>
          <w:lang w:val="zh-CN"/>
        </w:rPr>
        <w:t>评标标准中所涉及</w:t>
      </w:r>
      <w:r>
        <w:rPr>
          <w:rFonts w:hint="eastAsia" w:cs="仿宋_GB2312" w:asciiTheme="minorEastAsia" w:hAnsiTheme="minorEastAsia"/>
          <w:szCs w:val="24"/>
          <w:lang w:val="zh-CN"/>
        </w:rPr>
        <w:t>到的证书及材料，均须在电子投标文件中提供原件的扫描件（或图片）。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w:t>
      </w:r>
      <w:r>
        <w:rPr>
          <w:rFonts w:hint="eastAsia" w:cs="仿宋_GB2312" w:asciiTheme="minorEastAsia" w:hAnsiTheme="minorEastAsia" w:eastAsiaTheme="minorEastAsia"/>
          <w:szCs w:val="24"/>
          <w:lang w:val="zh-CN"/>
        </w:rPr>
        <w:t>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w:t>
      </w:r>
      <w:r>
        <w:rPr>
          <w:rFonts w:hint="eastAsia" w:cs="仿宋_GB2312" w:asciiTheme="minorEastAsia" w:hAnsiTheme="minorEastAsia" w:eastAsiaTheme="minorEastAsia"/>
          <w:szCs w:val="24"/>
          <w:lang w:val="zh-CN"/>
        </w:rPr>
        <w:t>产品政府采购清单》中产品所在页并加盖投标人公章的原件扫描件（或图片），评标委员会根据本项目评标标准予以判定并赋分。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82" w:firstLineChars="200"/>
        <w:contextualSpacing/>
        <w:rPr>
          <w:rFonts w:asciiTheme="minorEastAsia" w:hAnsiTheme="minorEastAsia" w:eastAsiaTheme="minorEastAsia"/>
          <w:b/>
          <w:color w:val="000000"/>
          <w:szCs w:val="24"/>
          <w:lang w:val="zh-CN"/>
        </w:rPr>
      </w:pPr>
      <w:r>
        <w:rPr>
          <w:rFonts w:hint="eastAsia" w:asciiTheme="minorEastAsia" w:hAnsiTheme="minorEastAsia" w:eastAsiaTheme="minorEastAsia"/>
          <w:b/>
          <w:color w:val="000000"/>
          <w:szCs w:val="24"/>
          <w:lang w:val="zh-CN"/>
        </w:rPr>
        <w:t>（4）关于强制性产品认证</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1）投标人所投产品</w:t>
      </w:r>
      <w:r>
        <w:rPr>
          <w:rFonts w:hint="eastAsia" w:cs="仿宋_GB2312" w:asciiTheme="minorEastAsia" w:hAnsiTheme="minorEastAsia"/>
          <w:b/>
          <w:sz w:val="24"/>
          <w:szCs w:val="24"/>
          <w:lang w:val="zh-CN"/>
        </w:rPr>
        <w:t>如被列入</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a.中国国家认证认可监督管理委员会官网（</w:t>
      </w:r>
      <w:r>
        <w:fldChar w:fldCharType="begin"/>
      </w:r>
      <w:r>
        <w:instrText xml:space="preserve"> HYPERLINK "http://cx.cnca.cn/rjwcx/web/cert/index.do" \t "_blank" </w:instrText>
      </w:r>
      <w:r>
        <w:fldChar w:fldCharType="separate"/>
      </w:r>
      <w:r>
        <w:rPr>
          <w:rFonts w:hint="eastAsia" w:cs="仿宋_GB2312" w:asciiTheme="minorEastAsia" w:hAnsiTheme="minorEastAsia"/>
          <w:sz w:val="24"/>
          <w:szCs w:val="24"/>
          <w:lang w:val="zh-CN"/>
        </w:rPr>
        <w:t>http://cx.cnca.cn/rjwcx/web/cert/index.do</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）产品认证证书打印并加盖投标人公章的原件扫描件（或图片）。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b.强制性产品认证机构颁发的CCC认证证书并加盖投标人公章的原件扫描件（或图片）。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c.投标人提供“所投产品符合国家强制性要求承诺函”并加盖投标人公章的原件扫描件（或图片）。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2)投标人所投产品如被列入</w:t>
      </w:r>
      <w:r>
        <w:rPr>
          <w:rFonts w:cs="仿宋_GB2312" w:asciiTheme="minorEastAsia" w:hAnsiTheme="minorEastAsia"/>
          <w:sz w:val="24"/>
          <w:szCs w:val="24"/>
          <w:lang w:val="zh-CN"/>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 中国信息安全认证中心官网（</w:t>
      </w:r>
      <w:r>
        <w:rPr>
          <w:rFonts w:cs="仿宋_GB2312" w:asciiTheme="minorEastAsia" w:hAnsiTheme="minorEastAsia"/>
          <w:sz w:val="24"/>
          <w:szCs w:val="24"/>
          <w:lang w:val="zh-CN"/>
        </w:rPr>
        <w:t>http://www.isccc.gov.cn/index.shtml</w:t>
      </w:r>
      <w:r>
        <w:rPr>
          <w:rFonts w:hint="eastAsia" w:cs="仿宋_GB2312" w:asciiTheme="minorEastAsia" w:hAnsiTheme="minorEastAsia"/>
          <w:sz w:val="24"/>
          <w:szCs w:val="24"/>
          <w:lang w:val="zh-CN"/>
        </w:rPr>
        <w:t>）产品查询结果截图并加盖投标人公章的原件扫描件（或图片）</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 中国信息安全认证中心颁发的《中国国家信息安全产品认证证书》并加盖投标人公章的原件扫描件（或图片）。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4"/>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分值构成</w:t>
            </w:r>
          </w:p>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(总分100分)</w:t>
            </w:r>
          </w:p>
        </w:tc>
        <w:tc>
          <w:tcPr>
            <w:tcW w:w="7204" w:type="dxa"/>
            <w:gridSpan w:val="2"/>
            <w:vAlign w:val="center"/>
          </w:tcPr>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价格分值：</w:t>
            </w:r>
            <w:r>
              <w:rPr>
                <w:rFonts w:hint="eastAsia" w:asciiTheme="minorEastAsia" w:hAnsiTheme="minorEastAsia"/>
                <w:color w:val="auto"/>
                <w:sz w:val="24"/>
                <w:szCs w:val="24"/>
                <w:u w:val="single"/>
              </w:rPr>
              <w:t>40</w:t>
            </w:r>
            <w:r>
              <w:rPr>
                <w:rFonts w:hint="eastAsia" w:asciiTheme="minorEastAsia" w:hAnsiTheme="minorEastAsia"/>
                <w:color w:val="auto"/>
                <w:sz w:val="24"/>
                <w:szCs w:val="24"/>
              </w:rPr>
              <w:t>分；</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商务部分：</w:t>
            </w:r>
            <w:r>
              <w:rPr>
                <w:rFonts w:hint="eastAsia" w:asciiTheme="minorEastAsia" w:hAnsiTheme="minorEastAsia"/>
                <w:color w:val="auto"/>
                <w:sz w:val="24"/>
                <w:szCs w:val="24"/>
                <w:u w:val="single"/>
              </w:rPr>
              <w:t>13</w:t>
            </w:r>
            <w:r>
              <w:rPr>
                <w:rFonts w:hint="eastAsia" w:asciiTheme="minorEastAsia" w:hAnsiTheme="minorEastAsia"/>
                <w:color w:val="auto"/>
                <w:sz w:val="24"/>
                <w:szCs w:val="24"/>
              </w:rPr>
              <w:t>分；</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技术部分：</w:t>
            </w:r>
            <w:r>
              <w:rPr>
                <w:rFonts w:hint="eastAsia" w:asciiTheme="minorEastAsia" w:hAnsiTheme="minorEastAsia"/>
                <w:color w:val="auto"/>
                <w:sz w:val="24"/>
                <w:szCs w:val="24"/>
                <w:u w:val="single"/>
              </w:rPr>
              <w:t>47</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价格部分（满分</w:t>
            </w:r>
            <w:r>
              <w:rPr>
                <w:rFonts w:hint="eastAsia" w:asciiTheme="minorEastAsia" w:hAnsiTheme="minorEastAsia"/>
                <w:b/>
                <w:color w:val="auto"/>
                <w:sz w:val="24"/>
                <w:szCs w:val="24"/>
                <w:u w:val="single"/>
              </w:rPr>
              <w:t>40</w:t>
            </w:r>
            <w:r>
              <w:rPr>
                <w:rFonts w:hint="eastAsia" w:asciiTheme="minorEastAsia" w:hAnsiTheme="minorEastAsia"/>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评分因素</w:t>
            </w:r>
          </w:p>
        </w:tc>
        <w:tc>
          <w:tcPr>
            <w:tcW w:w="6237" w:type="dxa"/>
            <w:tcBorders>
              <w:top w:val="single" w:color="auto" w:sz="4" w:space="0"/>
            </w:tcBorders>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评标标准</w:t>
            </w:r>
          </w:p>
        </w:tc>
        <w:tc>
          <w:tcPr>
            <w:tcW w:w="967" w:type="dxa"/>
            <w:tcBorders>
              <w:top w:val="single" w:color="auto" w:sz="4" w:space="0"/>
            </w:tcBorders>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投标报价</w:t>
            </w:r>
          </w:p>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评分标准</w:t>
            </w:r>
          </w:p>
        </w:tc>
        <w:tc>
          <w:tcPr>
            <w:tcW w:w="6237" w:type="dxa"/>
            <w:tcBorders>
              <w:top w:val="single" w:color="auto" w:sz="4" w:space="0"/>
            </w:tcBorders>
            <w:vAlign w:val="center"/>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评标基准价：满足招标文件要求的有效投标报价中，最低的投标报价为评标基准价。</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投标报价得分=（评标基准价/投标报价）×</w:t>
            </w:r>
            <w:r>
              <w:rPr>
                <w:rFonts w:hint="eastAsia" w:asciiTheme="minorEastAsia" w:hAnsiTheme="minorEastAsia"/>
                <w:color w:val="auto"/>
                <w:sz w:val="24"/>
                <w:szCs w:val="24"/>
                <w:u w:val="single"/>
              </w:rPr>
              <w:t>40</w:t>
            </w:r>
          </w:p>
        </w:tc>
        <w:tc>
          <w:tcPr>
            <w:tcW w:w="967" w:type="dxa"/>
            <w:tcBorders>
              <w:top w:val="single" w:color="auto" w:sz="4" w:space="0"/>
            </w:tcBorders>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u w:val="single"/>
              </w:rPr>
              <w:t>40</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商务部分（满分</w:t>
            </w:r>
            <w:r>
              <w:rPr>
                <w:rFonts w:hint="eastAsia" w:asciiTheme="minorEastAsia" w:hAnsiTheme="minorEastAsia"/>
                <w:b/>
                <w:color w:val="auto"/>
                <w:sz w:val="24"/>
                <w:szCs w:val="24"/>
                <w:u w:val="single"/>
              </w:rPr>
              <w:t>13</w:t>
            </w:r>
            <w:r>
              <w:rPr>
                <w:rFonts w:hint="eastAsia" w:asciiTheme="minorEastAsia" w:hAnsiTheme="minorEastAsia"/>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评分因素</w:t>
            </w:r>
          </w:p>
        </w:tc>
        <w:tc>
          <w:tcPr>
            <w:tcW w:w="6237" w:type="dxa"/>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评标标准</w:t>
            </w:r>
          </w:p>
        </w:tc>
        <w:tc>
          <w:tcPr>
            <w:tcW w:w="967" w:type="dxa"/>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宋体" w:hAnsi="宋体" w:eastAsia="宋体" w:cs="宋体"/>
                <w:color w:val="auto"/>
                <w:sz w:val="24"/>
                <w:szCs w:val="24"/>
              </w:rPr>
            </w:pPr>
            <w:r>
              <w:rPr>
                <w:rFonts w:hint="eastAsia" w:ascii="宋体" w:hAnsi="宋体" w:eastAsia="宋体" w:cs="宋体"/>
                <w:color w:val="auto"/>
                <w:sz w:val="24"/>
                <w:szCs w:val="24"/>
              </w:rPr>
              <w:t>信誉</w:t>
            </w:r>
          </w:p>
        </w:tc>
        <w:tc>
          <w:tcPr>
            <w:tcW w:w="6237" w:type="dxa"/>
            <w:vAlign w:val="center"/>
          </w:tcPr>
          <w:p>
            <w:pPr>
              <w:spacing w:line="360" w:lineRule="exact"/>
              <w:rPr>
                <w:rFonts w:ascii="宋体" w:hAnsi="宋体" w:eastAsia="宋体" w:cs="宋体"/>
                <w:color w:val="auto"/>
                <w:sz w:val="24"/>
                <w:szCs w:val="24"/>
              </w:rPr>
            </w:pPr>
            <w:r>
              <w:rPr>
                <w:rFonts w:hint="eastAsia" w:ascii="宋体" w:hAnsi="宋体" w:eastAsia="宋体" w:cs="宋体"/>
                <w:color w:val="auto"/>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pPr>
              <w:spacing w:line="360" w:lineRule="exact"/>
              <w:rPr>
                <w:rFonts w:ascii="宋体" w:hAnsi="宋体" w:eastAsia="宋体" w:cs="宋体"/>
                <w:b/>
                <w:i/>
                <w:color w:val="auto"/>
                <w:kern w:val="0"/>
                <w:sz w:val="24"/>
                <w:szCs w:val="24"/>
              </w:rPr>
            </w:pPr>
            <w:r>
              <w:rPr>
                <w:rFonts w:hint="eastAsia" w:ascii="宋体" w:hAnsi="宋体" w:eastAsia="宋体" w:cs="宋体"/>
                <w:color w:val="auto"/>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宋体" w:hAnsi="宋体" w:eastAsia="宋体" w:cs="宋体"/>
                <w:color w:val="auto"/>
                <w:sz w:val="24"/>
                <w:szCs w:val="24"/>
              </w:rPr>
            </w:pPr>
            <w:r>
              <w:rPr>
                <w:rFonts w:hint="eastAsia" w:ascii="宋体" w:hAnsi="宋体" w:eastAsia="宋体" w:cs="宋体"/>
                <w:color w:val="auto"/>
                <w:sz w:val="24"/>
                <w:szCs w:val="24"/>
              </w:rPr>
              <w:t>节约能源、保护环境政策加分</w:t>
            </w:r>
          </w:p>
        </w:tc>
        <w:tc>
          <w:tcPr>
            <w:tcW w:w="6237" w:type="dxa"/>
            <w:vAlign w:val="center"/>
          </w:tcPr>
          <w:p>
            <w:pPr>
              <w:spacing w:line="360" w:lineRule="exact"/>
              <w:rPr>
                <w:rFonts w:ascii="宋体" w:hAnsi="宋体" w:eastAsia="宋体" w:cs="宋体"/>
                <w:color w:val="auto"/>
                <w:sz w:val="24"/>
                <w:szCs w:val="24"/>
              </w:rPr>
            </w:pPr>
            <w:r>
              <w:rPr>
                <w:rFonts w:hint="eastAsia" w:ascii="宋体" w:hAnsi="宋体" w:eastAsia="宋体" w:cs="宋体"/>
                <w:color w:val="auto"/>
                <w:sz w:val="24"/>
                <w:szCs w:val="24"/>
              </w:rPr>
              <w:t>1、除政府强制采购的节能产品外，投标人所投其他产品属于“节能产品政府采购清单”优先采购产品，投标文件中须提供最新一期《节能产品政府采购清单》中产品所在页并加盖投标人公章的原件扫描件（或图片）。每项0.5分，满分1分。</w:t>
            </w:r>
          </w:p>
          <w:p>
            <w:pPr>
              <w:spacing w:line="360" w:lineRule="exact"/>
              <w:rPr>
                <w:rFonts w:ascii="宋体" w:hAnsi="宋体" w:eastAsia="宋体" w:cs="宋体"/>
                <w:color w:val="auto"/>
                <w:sz w:val="24"/>
                <w:szCs w:val="24"/>
              </w:rPr>
            </w:pPr>
            <w:r>
              <w:rPr>
                <w:rFonts w:hint="eastAsia" w:ascii="宋体" w:hAnsi="宋体" w:eastAsia="宋体" w:cs="宋体"/>
                <w:color w:val="auto"/>
                <w:sz w:val="24"/>
                <w:szCs w:val="24"/>
              </w:rPr>
              <w:t>2、投标人所投产品属于“环境标志产品政府采购清单”内产品，投标文件中须提供最新一期《环保产品政府采购清单》中产品所在页并加盖投标人公章的原件扫描件（或图片）。每项0.5分，满分1分。</w:t>
            </w:r>
          </w:p>
          <w:p>
            <w:pPr>
              <w:spacing w:line="360" w:lineRule="exact"/>
              <w:rPr>
                <w:rFonts w:ascii="宋体" w:hAnsi="宋体" w:eastAsia="宋体" w:cs="宋体"/>
                <w:color w:val="auto"/>
                <w:sz w:val="24"/>
                <w:szCs w:val="24"/>
                <w:lang w:val="en-GB"/>
              </w:rPr>
            </w:pPr>
            <w:r>
              <w:rPr>
                <w:rFonts w:hint="eastAsia" w:ascii="宋体" w:hAnsi="宋体" w:eastAsia="宋体" w:cs="宋体"/>
                <w:bCs/>
                <w:color w:val="auto"/>
                <w:sz w:val="24"/>
                <w:szCs w:val="24"/>
                <w:lang w:val="en-GB"/>
              </w:rPr>
              <w:t>注：对于同时列入节能产品政府采购清单和环保清单的产品，应当优先于只列入其中一个清单的产品。</w:t>
            </w:r>
          </w:p>
        </w:tc>
        <w:tc>
          <w:tcPr>
            <w:tcW w:w="967" w:type="dxa"/>
            <w:vAlign w:val="center"/>
          </w:tcPr>
          <w:p>
            <w:pPr>
              <w:jc w:val="center"/>
              <w:rPr>
                <w:rFonts w:ascii="宋体" w:hAnsi="宋体" w:eastAsia="宋体" w:cs="宋体"/>
                <w:color w:val="auto"/>
                <w:sz w:val="24"/>
                <w:szCs w:val="24"/>
                <w:lang w:val="en-GB"/>
              </w:rPr>
            </w:pPr>
            <w:r>
              <w:rPr>
                <w:rFonts w:hint="eastAsia" w:ascii="宋体" w:hAnsi="宋体" w:eastAsia="宋体" w:cs="宋体"/>
                <w:color w:val="auto"/>
                <w:sz w:val="24"/>
                <w:szCs w:val="24"/>
                <w:lang w:val="en-GB"/>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1762" w:type="dxa"/>
            <w:vAlign w:val="center"/>
          </w:tcPr>
          <w:p>
            <w:pPr>
              <w:spacing w:line="360" w:lineRule="exact"/>
              <w:jc w:val="center"/>
              <w:rPr>
                <w:rFonts w:ascii="宋体" w:hAnsi="宋体" w:eastAsia="宋体" w:cs="宋体"/>
                <w:color w:val="auto"/>
                <w:sz w:val="24"/>
                <w:szCs w:val="24"/>
              </w:rPr>
            </w:pPr>
            <w:r>
              <w:rPr>
                <w:rFonts w:hint="eastAsia" w:ascii="宋体" w:hAnsi="宋体" w:eastAsia="宋体" w:cs="宋体"/>
                <w:color w:val="auto"/>
                <w:sz w:val="24"/>
                <w:szCs w:val="24"/>
              </w:rPr>
              <w:t>业绩</w:t>
            </w:r>
          </w:p>
        </w:tc>
        <w:tc>
          <w:tcPr>
            <w:tcW w:w="6237" w:type="dxa"/>
            <w:vAlign w:val="center"/>
          </w:tcPr>
          <w:p>
            <w:pPr>
              <w:spacing w:line="360" w:lineRule="exact"/>
              <w:rPr>
                <w:rFonts w:ascii="宋体" w:hAnsi="宋体" w:eastAsia="宋体" w:cs="宋体"/>
                <w:b/>
                <w:color w:val="auto"/>
                <w:sz w:val="24"/>
                <w:szCs w:val="24"/>
              </w:rPr>
            </w:pPr>
            <w:r>
              <w:rPr>
                <w:rFonts w:hint="eastAsia" w:ascii="宋体" w:hAnsi="宋体" w:eastAsia="宋体" w:cs="宋体"/>
                <w:color w:val="auto"/>
                <w:sz w:val="24"/>
                <w:szCs w:val="24"/>
              </w:rPr>
              <w:t>2016年来具有同类项目消防车销售合同，合同要素齐全，每份合同2分，最多8分。并提供合同和中标通知书复印件，提供不全者不得分。</w:t>
            </w:r>
          </w:p>
        </w:tc>
        <w:tc>
          <w:tcPr>
            <w:tcW w:w="967"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u w:val="single"/>
              </w:rPr>
              <w:t>8</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宋体" w:hAnsi="宋体" w:eastAsia="宋体" w:cs="宋体"/>
                <w:color w:val="auto"/>
                <w:sz w:val="24"/>
                <w:szCs w:val="24"/>
              </w:rPr>
            </w:pPr>
            <w:r>
              <w:rPr>
                <w:rFonts w:hint="eastAsia" w:ascii="宋体" w:hAnsi="宋体" w:eastAsia="宋体" w:cs="宋体"/>
                <w:bCs/>
                <w:color w:val="auto"/>
                <w:kern w:val="0"/>
                <w:sz w:val="24"/>
                <w:szCs w:val="24"/>
              </w:rPr>
              <w:t>投标文件的规范程度</w:t>
            </w:r>
          </w:p>
        </w:tc>
        <w:tc>
          <w:tcPr>
            <w:tcW w:w="6237" w:type="dxa"/>
            <w:vAlign w:val="center"/>
          </w:tcPr>
          <w:p>
            <w:pPr>
              <w:spacing w:line="360" w:lineRule="exact"/>
              <w:rPr>
                <w:rFonts w:ascii="宋体" w:hAnsi="宋体" w:eastAsia="宋体" w:cs="宋体"/>
                <w:color w:val="auto"/>
                <w:sz w:val="24"/>
                <w:szCs w:val="24"/>
              </w:rPr>
            </w:pPr>
            <w:r>
              <w:rPr>
                <w:rFonts w:hint="eastAsia" w:ascii="宋体" w:hAnsi="宋体" w:eastAsia="宋体" w:cs="宋体"/>
                <w:color w:val="auto"/>
                <w:sz w:val="24"/>
                <w:szCs w:val="24"/>
              </w:rPr>
              <w:t>投标文件的编制符合招标文件的规定，根据装订整齐印刷精美的情况2分；投标文件编制无目录和页码，排序混乱和缺篇少页的不得分。</w:t>
            </w:r>
          </w:p>
        </w:tc>
        <w:tc>
          <w:tcPr>
            <w:tcW w:w="967"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u w:val="single"/>
              </w:rPr>
              <w:t>2</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技术部分（满分</w:t>
            </w:r>
            <w:r>
              <w:rPr>
                <w:rFonts w:hint="eastAsia" w:asciiTheme="minorEastAsia" w:hAnsiTheme="minorEastAsia"/>
                <w:b/>
                <w:color w:val="auto"/>
                <w:sz w:val="24"/>
                <w:szCs w:val="24"/>
                <w:u w:val="single"/>
              </w:rPr>
              <w:t>47</w:t>
            </w:r>
            <w:r>
              <w:rPr>
                <w:rFonts w:hint="eastAsia" w:asciiTheme="minorEastAsia" w:hAnsiTheme="minorEastAsia"/>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评分因素</w:t>
            </w:r>
          </w:p>
        </w:tc>
        <w:tc>
          <w:tcPr>
            <w:tcW w:w="6237" w:type="dxa"/>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评标标准</w:t>
            </w:r>
          </w:p>
        </w:tc>
        <w:tc>
          <w:tcPr>
            <w:tcW w:w="967" w:type="dxa"/>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对招标文件响应程度</w:t>
            </w:r>
          </w:p>
        </w:tc>
        <w:tc>
          <w:tcPr>
            <w:tcW w:w="6237" w:type="dxa"/>
            <w:vAlign w:val="center"/>
          </w:tcPr>
          <w:p>
            <w:pPr>
              <w:spacing w:line="360" w:lineRule="exact"/>
              <w:rPr>
                <w:rFonts w:ascii="宋体" w:hAnsi="宋体" w:eastAsia="宋体" w:cs="宋体"/>
                <w:color w:val="auto"/>
                <w:sz w:val="24"/>
                <w:szCs w:val="24"/>
              </w:rPr>
            </w:pPr>
            <w:r>
              <w:rPr>
                <w:rFonts w:hint="eastAsia" w:ascii="宋体" w:hAnsi="宋体" w:eastAsia="宋体" w:cs="宋体"/>
                <w:color w:val="auto"/>
                <w:sz w:val="24"/>
                <w:szCs w:val="24"/>
              </w:rPr>
              <w:t>（1）未实质响应招标文件的要求为无效投标；</w:t>
            </w:r>
          </w:p>
          <w:p>
            <w:pPr>
              <w:spacing w:line="360" w:lineRule="exact"/>
              <w:rPr>
                <w:rFonts w:ascii="宋体" w:hAnsi="宋体" w:eastAsia="宋体" w:cs="宋体"/>
                <w:color w:val="auto"/>
                <w:sz w:val="24"/>
                <w:szCs w:val="24"/>
              </w:rPr>
            </w:pPr>
            <w:r>
              <w:rPr>
                <w:rFonts w:hint="eastAsia" w:ascii="宋体" w:hAnsi="宋体" w:eastAsia="宋体" w:cs="宋体"/>
                <w:color w:val="auto"/>
                <w:sz w:val="24"/>
                <w:szCs w:val="24"/>
              </w:rPr>
              <w:t>（2）完全响应招标文件技术要求没有负偏离者35分；</w:t>
            </w:r>
          </w:p>
          <w:p>
            <w:pPr>
              <w:spacing w:line="360" w:lineRule="exact"/>
              <w:rPr>
                <w:rFonts w:ascii="宋体" w:hAnsi="宋体" w:eastAsia="宋体" w:cs="宋体"/>
                <w:color w:val="auto"/>
                <w:sz w:val="24"/>
                <w:szCs w:val="24"/>
              </w:rPr>
            </w:pPr>
            <w:r>
              <w:rPr>
                <w:rFonts w:hint="eastAsia" w:ascii="宋体" w:hAnsi="宋体" w:eastAsia="宋体" w:cs="宋体"/>
                <w:color w:val="auto"/>
                <w:sz w:val="24"/>
                <w:szCs w:val="24"/>
              </w:rPr>
              <w:t>（3）投标的产品技术参数有正偏离者，经评审为实质性优于招标文件要求，每优于技术参数中有☆的加1分，最多加7分，满分42分。</w:t>
            </w:r>
          </w:p>
        </w:tc>
        <w:tc>
          <w:tcPr>
            <w:tcW w:w="967"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u w:val="single"/>
              </w:rPr>
              <w:t>42</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ascii="宋体" w:hAnsi="宋体" w:eastAsia="宋体" w:cs="宋体"/>
                <w:bCs/>
                <w:color w:val="auto"/>
                <w:sz w:val="24"/>
                <w:szCs w:val="24"/>
              </w:rPr>
            </w:pPr>
            <w:r>
              <w:rPr>
                <w:rFonts w:hint="eastAsia" w:asciiTheme="minorEastAsia" w:hAnsiTheme="minorEastAsia"/>
                <w:color w:val="auto"/>
                <w:sz w:val="24"/>
                <w:szCs w:val="24"/>
              </w:rPr>
              <w:t>售后服务及培训</w:t>
            </w:r>
          </w:p>
        </w:tc>
        <w:tc>
          <w:tcPr>
            <w:tcW w:w="6237" w:type="dxa"/>
            <w:vAlign w:val="center"/>
          </w:tcPr>
          <w:p>
            <w:pPr>
              <w:spacing w:line="360" w:lineRule="exact"/>
              <w:rPr>
                <w:rFonts w:ascii="宋体" w:hAnsi="宋体" w:eastAsia="宋体" w:cs="宋体"/>
                <w:color w:val="auto"/>
                <w:sz w:val="24"/>
                <w:szCs w:val="24"/>
              </w:rPr>
            </w:pPr>
            <w:r>
              <w:rPr>
                <w:rFonts w:hint="eastAsia" w:ascii="宋体" w:hAnsi="宋体" w:eastAsia="宋体" w:cs="宋体"/>
                <w:color w:val="auto"/>
                <w:sz w:val="24"/>
                <w:szCs w:val="24"/>
              </w:rPr>
              <w:t>（1）根据投标人提供的售后服务承诺，服务方案、服务体系完整，质保期2年者，得2分；内容不齐全者得1分；未提供者不得分。</w:t>
            </w:r>
          </w:p>
          <w:p>
            <w:pPr>
              <w:spacing w:line="360" w:lineRule="exact"/>
              <w:rPr>
                <w:rFonts w:ascii="宋体" w:hAnsi="宋体" w:eastAsia="宋体" w:cs="宋体"/>
                <w:color w:val="auto"/>
                <w:kern w:val="0"/>
                <w:sz w:val="24"/>
                <w:szCs w:val="24"/>
              </w:rPr>
            </w:pPr>
            <w:r>
              <w:rPr>
                <w:rFonts w:hint="eastAsia" w:ascii="宋体" w:hAnsi="宋体" w:eastAsia="宋体" w:cs="宋体"/>
                <w:color w:val="auto"/>
                <w:sz w:val="24"/>
                <w:szCs w:val="24"/>
              </w:rPr>
              <w:t>（2）投标人有正规的售后服务网点，售后服务人员配备完善，并且签订有授权委托售后服务协议者，得3分；未提供者不得分。</w:t>
            </w:r>
          </w:p>
        </w:tc>
        <w:tc>
          <w:tcPr>
            <w:tcW w:w="967" w:type="dxa"/>
            <w:vAlign w:val="center"/>
          </w:tcPr>
          <w:p>
            <w:pPr>
              <w:jc w:val="center"/>
              <w:rPr>
                <w:rFonts w:asciiTheme="minorEastAsia" w:hAnsiTheme="minorEastAsia"/>
                <w:color w:val="auto"/>
                <w:sz w:val="24"/>
                <w:szCs w:val="24"/>
                <w:u w:val="single"/>
              </w:rPr>
            </w:pPr>
            <w:r>
              <w:rPr>
                <w:rFonts w:hint="eastAsia" w:asciiTheme="minorEastAsia" w:hAnsiTheme="minorEastAsia"/>
                <w:color w:val="auto"/>
                <w:sz w:val="24"/>
                <w:szCs w:val="24"/>
                <w:u w:val="single"/>
              </w:rPr>
              <w:t>5</w:t>
            </w:r>
            <w:r>
              <w:rPr>
                <w:rFonts w:hint="eastAsia" w:asciiTheme="minorEastAsia" w:hAnsiTheme="minorEastAsia"/>
                <w:color w:val="auto"/>
                <w:sz w:val="24"/>
                <w:szCs w:val="24"/>
              </w:rPr>
              <w:t>分</w:t>
            </w:r>
          </w:p>
        </w:tc>
      </w:tr>
    </w:tbl>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t>2</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本项目评标委会员向采购人按得分由高到低的顺序推荐不少于3名中标后选人。</w:t>
      </w: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spacing w:line="440" w:lineRule="exact"/>
        <w:rPr>
          <w:rFonts w:ascii="Arial" w:hAnsi="宋体" w:cs="Arial"/>
          <w:color w:val="000000"/>
          <w:sz w:val="24"/>
          <w:szCs w:val="24"/>
        </w:rPr>
      </w:pPr>
      <w:r>
        <w:rPr>
          <w:rFonts w:hint="eastAsia" w:ascii="Arial" w:hAnsi="宋体" w:cs="Arial"/>
          <w:color w:val="000000"/>
          <w:sz w:val="24"/>
          <w:szCs w:val="24"/>
        </w:rPr>
        <w:t>采购方（甲方）：</w:t>
      </w:r>
    </w:p>
    <w:p>
      <w:pPr>
        <w:spacing w:line="440" w:lineRule="exact"/>
        <w:rPr>
          <w:rFonts w:ascii="Arial" w:hAnsi="宋体" w:cs="Arial"/>
          <w:color w:val="000000"/>
          <w:sz w:val="24"/>
          <w:szCs w:val="24"/>
        </w:rPr>
      </w:pPr>
      <w:r>
        <w:rPr>
          <w:rFonts w:hint="eastAsia" w:ascii="Arial" w:hAnsi="宋体" w:cs="Arial"/>
          <w:color w:val="000000"/>
          <w:sz w:val="24"/>
          <w:szCs w:val="24"/>
        </w:rPr>
        <w:t xml:space="preserve">法定代表人：  </w:t>
      </w:r>
    </w:p>
    <w:p>
      <w:pPr>
        <w:spacing w:line="440" w:lineRule="exact"/>
        <w:rPr>
          <w:rFonts w:ascii="Arial" w:hAnsi="宋体" w:cs="Arial"/>
          <w:color w:val="000000"/>
          <w:sz w:val="24"/>
          <w:szCs w:val="24"/>
        </w:rPr>
      </w:pPr>
      <w:r>
        <w:rPr>
          <w:rFonts w:hint="eastAsia" w:ascii="Arial" w:hAnsi="宋体" w:cs="Arial"/>
          <w:color w:val="000000"/>
          <w:sz w:val="24"/>
          <w:szCs w:val="24"/>
        </w:rPr>
        <w:t xml:space="preserve">委托代理人： </w:t>
      </w:r>
    </w:p>
    <w:p>
      <w:pPr>
        <w:spacing w:line="440" w:lineRule="exact"/>
        <w:rPr>
          <w:rFonts w:ascii="Arial" w:hAnsi="宋体" w:cs="Arial"/>
          <w:color w:val="000000"/>
          <w:sz w:val="24"/>
          <w:szCs w:val="24"/>
        </w:rPr>
      </w:pPr>
      <w:r>
        <w:rPr>
          <w:rFonts w:hint="eastAsia" w:ascii="Arial" w:hAnsi="宋体" w:cs="Arial"/>
          <w:color w:val="000000"/>
          <w:sz w:val="24"/>
          <w:szCs w:val="24"/>
        </w:rPr>
        <w:t xml:space="preserve">地址： </w:t>
      </w:r>
    </w:p>
    <w:p>
      <w:pPr>
        <w:spacing w:line="440" w:lineRule="exact"/>
        <w:rPr>
          <w:rFonts w:ascii="Arial" w:hAnsi="宋体" w:cs="Arial"/>
          <w:color w:val="000000"/>
          <w:sz w:val="24"/>
          <w:szCs w:val="24"/>
        </w:rPr>
      </w:pPr>
      <w:r>
        <w:rPr>
          <w:rFonts w:hint="eastAsia" w:ascii="Arial" w:hAnsi="宋体" w:cs="Arial"/>
          <w:color w:val="000000"/>
          <w:sz w:val="24"/>
          <w:szCs w:val="24"/>
        </w:rPr>
        <w:t>供应商（乙方）：</w:t>
      </w:r>
    </w:p>
    <w:p>
      <w:pPr>
        <w:spacing w:line="440" w:lineRule="exact"/>
        <w:rPr>
          <w:rFonts w:ascii="Arial" w:hAnsi="宋体" w:cs="Arial"/>
          <w:color w:val="000000"/>
          <w:sz w:val="24"/>
          <w:szCs w:val="24"/>
        </w:rPr>
      </w:pPr>
      <w:r>
        <w:rPr>
          <w:rFonts w:hint="eastAsia" w:ascii="Arial" w:hAnsi="宋体" w:cs="Arial"/>
          <w:color w:val="000000"/>
          <w:sz w:val="24"/>
          <w:szCs w:val="24"/>
        </w:rPr>
        <w:t>法定代表人：</w:t>
      </w:r>
    </w:p>
    <w:p>
      <w:pPr>
        <w:spacing w:line="440" w:lineRule="exact"/>
        <w:rPr>
          <w:rFonts w:ascii="Arial" w:hAnsi="宋体" w:cs="Arial"/>
          <w:color w:val="000000"/>
          <w:sz w:val="24"/>
          <w:szCs w:val="24"/>
        </w:rPr>
      </w:pPr>
      <w:r>
        <w:rPr>
          <w:rFonts w:hint="eastAsia" w:ascii="Arial" w:hAnsi="宋体" w:cs="Arial"/>
          <w:color w:val="000000"/>
          <w:sz w:val="24"/>
          <w:szCs w:val="24"/>
        </w:rPr>
        <w:t>委托代理人：</w:t>
      </w:r>
    </w:p>
    <w:p>
      <w:pPr>
        <w:spacing w:line="440" w:lineRule="exact"/>
        <w:rPr>
          <w:rFonts w:ascii="Arial" w:hAnsi="宋体" w:cs="Arial"/>
          <w:color w:val="000000"/>
          <w:sz w:val="24"/>
          <w:szCs w:val="24"/>
        </w:rPr>
      </w:pPr>
      <w:r>
        <w:rPr>
          <w:rFonts w:hint="eastAsia" w:ascii="Arial" w:hAnsi="宋体" w:cs="Arial"/>
          <w:color w:val="000000"/>
          <w:sz w:val="24"/>
          <w:szCs w:val="24"/>
        </w:rPr>
        <w:t>地址：</w:t>
      </w:r>
    </w:p>
    <w:p>
      <w:pPr>
        <w:spacing w:line="440" w:lineRule="exact"/>
        <w:rPr>
          <w:rFonts w:ascii="Arial" w:hAnsi="宋体" w:cs="Arial"/>
          <w:color w:val="000000"/>
          <w:sz w:val="24"/>
          <w:szCs w:val="24"/>
        </w:rPr>
      </w:pPr>
      <w:r>
        <w:rPr>
          <w:rFonts w:hint="eastAsia" w:eastAsia="仿宋_GB2312"/>
          <w:sz w:val="28"/>
          <w:szCs w:val="28"/>
        </w:rPr>
        <w:t xml:space="preserve">   </w:t>
      </w:r>
      <w:r>
        <w:rPr>
          <w:rFonts w:hint="eastAsia" w:eastAsia="仿宋_GB2312"/>
          <w:sz w:val="28"/>
          <w:szCs w:val="28"/>
          <w:u w:val="single"/>
        </w:rPr>
        <w:t xml:space="preserve">              </w:t>
      </w:r>
      <w:r>
        <w:rPr>
          <w:rFonts w:hint="eastAsia" w:ascii="Arial" w:hAnsi="宋体" w:cs="Arial"/>
          <w:color w:val="000000"/>
          <w:sz w:val="24"/>
          <w:szCs w:val="24"/>
        </w:rPr>
        <w:t>（以下简称甲方）和</w:t>
      </w:r>
      <w:r>
        <w:rPr>
          <w:rFonts w:hint="eastAsia" w:ascii="Arial" w:hAnsi="宋体" w:cs="Arial"/>
          <w:color w:val="000000"/>
          <w:sz w:val="24"/>
          <w:szCs w:val="24"/>
          <w:u w:val="single"/>
        </w:rPr>
        <w:t xml:space="preserve">                 </w:t>
      </w:r>
      <w:r>
        <w:rPr>
          <w:rFonts w:hint="eastAsia" w:ascii="Arial" w:hAnsi="宋体" w:cs="Arial"/>
          <w:color w:val="000000"/>
          <w:sz w:val="24"/>
          <w:szCs w:val="24"/>
        </w:rPr>
        <w:t>（以下简称卖方），根据《中华人民共和国合同法》和《中华人民共和国政采购法》等有关法律法规的规定，依据</w:t>
      </w:r>
      <w:r>
        <w:rPr>
          <w:rFonts w:hint="eastAsia" w:ascii="Arial" w:hAnsi="宋体" w:cs="Arial"/>
          <w:color w:val="000000"/>
          <w:sz w:val="24"/>
          <w:szCs w:val="24"/>
          <w:u w:val="single"/>
        </w:rPr>
        <w:t>XXXXX</w:t>
      </w:r>
      <w:r>
        <w:rPr>
          <w:rFonts w:hint="eastAsia" w:ascii="Arial" w:hAnsi="宋体" w:cs="Arial"/>
          <w:color w:val="000000"/>
          <w:sz w:val="24"/>
          <w:szCs w:val="24"/>
        </w:rPr>
        <w:t>项目（编号</w:t>
      </w:r>
      <w:r>
        <w:rPr>
          <w:rFonts w:hint="eastAsia" w:ascii="Arial" w:hAnsi="宋体" w:cs="Arial"/>
          <w:color w:val="000000"/>
          <w:sz w:val="24"/>
          <w:szCs w:val="24"/>
          <w:u w:val="single"/>
        </w:rPr>
        <w:t>：  号</w:t>
      </w:r>
      <w:r>
        <w:rPr>
          <w:rFonts w:hint="eastAsia" w:ascii="Arial" w:hAnsi="宋体" w:cs="Arial"/>
          <w:color w:val="000000"/>
          <w:sz w:val="24"/>
          <w:szCs w:val="24"/>
        </w:rPr>
        <w:t>）的中标通知书要求，遵循平等、自愿、公平和诚实信用原则，同意按照下面的条款和条件订立以下合同条款，共同信守。</w:t>
      </w:r>
    </w:p>
    <w:p>
      <w:pPr>
        <w:spacing w:line="440" w:lineRule="exact"/>
        <w:rPr>
          <w:rFonts w:ascii="宋体" w:hAnsi="宋体" w:cs="宋体"/>
          <w:b/>
          <w:bCs/>
          <w:sz w:val="24"/>
          <w:szCs w:val="24"/>
        </w:rPr>
      </w:pPr>
      <w:r>
        <w:rPr>
          <w:rFonts w:hint="eastAsia" w:ascii="Arial" w:hAnsi="宋体" w:cs="Arial"/>
          <w:color w:val="000000"/>
          <w:sz w:val="24"/>
          <w:szCs w:val="24"/>
        </w:rPr>
        <w:t xml:space="preserve">  </w:t>
      </w:r>
      <w:r>
        <w:rPr>
          <w:rFonts w:hint="eastAsia" w:ascii="宋体" w:hAnsi="宋体" w:cs="宋体"/>
          <w:color w:val="000000"/>
          <w:sz w:val="24"/>
          <w:szCs w:val="24"/>
        </w:rPr>
        <w:t xml:space="preserve">  </w:t>
      </w:r>
      <w:r>
        <w:rPr>
          <w:rFonts w:hint="eastAsia" w:ascii="宋体" w:hAnsi="宋体" w:cs="宋体"/>
          <w:b/>
          <w:bCs/>
          <w:sz w:val="24"/>
          <w:szCs w:val="24"/>
        </w:rPr>
        <w:t>第一条 组成本合同的文件</w:t>
      </w:r>
    </w:p>
    <w:p>
      <w:pPr>
        <w:spacing w:line="520" w:lineRule="exact"/>
        <w:rPr>
          <w:rFonts w:ascii="宋体" w:hAnsi="宋体" w:cs="宋体"/>
          <w:sz w:val="24"/>
          <w:szCs w:val="24"/>
        </w:rPr>
      </w:pPr>
      <w:r>
        <w:rPr>
          <w:rFonts w:hint="eastAsia" w:ascii="宋体" w:hAnsi="宋体" w:cs="宋体"/>
          <w:sz w:val="24"/>
          <w:szCs w:val="24"/>
        </w:rPr>
        <w:t xml:space="preserve">    本合同所附下列文件是构成本合同不可分割的部分：</w:t>
      </w:r>
    </w:p>
    <w:p>
      <w:pPr>
        <w:spacing w:line="520" w:lineRule="exact"/>
        <w:rPr>
          <w:rFonts w:ascii="宋体" w:hAnsi="宋体" w:cs="宋体"/>
          <w:sz w:val="24"/>
          <w:szCs w:val="24"/>
        </w:rPr>
      </w:pPr>
      <w:r>
        <w:rPr>
          <w:rFonts w:hint="eastAsia" w:ascii="宋体" w:hAnsi="宋体" w:cs="宋体"/>
          <w:sz w:val="24"/>
          <w:szCs w:val="24"/>
        </w:rPr>
        <w:t xml:space="preserve">    1、招标文件（招标文件编号：        ）；</w:t>
      </w:r>
    </w:p>
    <w:p>
      <w:pPr>
        <w:spacing w:line="520" w:lineRule="exact"/>
        <w:rPr>
          <w:rFonts w:ascii="宋体" w:hAnsi="宋体" w:cs="宋体"/>
          <w:sz w:val="24"/>
          <w:szCs w:val="24"/>
        </w:rPr>
      </w:pPr>
      <w:r>
        <w:rPr>
          <w:rFonts w:hint="eastAsia" w:ascii="宋体" w:hAnsi="宋体" w:cs="宋体"/>
          <w:sz w:val="24"/>
          <w:szCs w:val="24"/>
        </w:rPr>
        <w:t xml:space="preserve">    2、乙方提交的投标文件；</w:t>
      </w:r>
    </w:p>
    <w:p>
      <w:pPr>
        <w:spacing w:line="520" w:lineRule="exact"/>
        <w:rPr>
          <w:rFonts w:ascii="宋体" w:hAnsi="宋体" w:cs="宋体"/>
          <w:sz w:val="24"/>
          <w:szCs w:val="24"/>
        </w:rPr>
      </w:pPr>
      <w:r>
        <w:rPr>
          <w:rFonts w:hint="eastAsia" w:ascii="宋体" w:hAnsi="宋体" w:cs="宋体"/>
          <w:sz w:val="24"/>
          <w:szCs w:val="24"/>
        </w:rPr>
        <w:t xml:space="preserve">    3、中标通知书；</w:t>
      </w:r>
    </w:p>
    <w:p>
      <w:pPr>
        <w:spacing w:line="520" w:lineRule="exact"/>
        <w:rPr>
          <w:rFonts w:ascii="宋体" w:hAnsi="宋体" w:cs="宋体"/>
          <w:sz w:val="24"/>
          <w:szCs w:val="24"/>
        </w:rPr>
      </w:pPr>
      <w:r>
        <w:rPr>
          <w:rFonts w:hint="eastAsia" w:ascii="宋体" w:hAnsi="宋体" w:cs="宋体"/>
          <w:sz w:val="24"/>
          <w:szCs w:val="24"/>
        </w:rPr>
        <w:t xml:space="preserve">    4、评标过程中的质疑、澄清资料；</w:t>
      </w:r>
    </w:p>
    <w:p>
      <w:pPr>
        <w:spacing w:line="520" w:lineRule="exact"/>
        <w:rPr>
          <w:rFonts w:ascii="宋体" w:hAnsi="宋体" w:cs="宋体"/>
          <w:sz w:val="24"/>
          <w:szCs w:val="24"/>
        </w:rPr>
      </w:pPr>
      <w:r>
        <w:rPr>
          <w:rFonts w:hint="eastAsia" w:ascii="宋体" w:hAnsi="宋体" w:cs="宋体"/>
          <w:sz w:val="24"/>
          <w:szCs w:val="24"/>
        </w:rPr>
        <w:t xml:space="preserve">    5、投标货物明细表；</w:t>
      </w:r>
    </w:p>
    <w:p>
      <w:pPr>
        <w:tabs>
          <w:tab w:val="left" w:pos="6171"/>
        </w:tabs>
        <w:spacing w:line="520" w:lineRule="exact"/>
        <w:rPr>
          <w:rFonts w:ascii="宋体" w:hAnsi="宋体" w:cs="宋体"/>
          <w:sz w:val="24"/>
          <w:szCs w:val="24"/>
        </w:rPr>
      </w:pPr>
      <w:r>
        <w:rPr>
          <w:rFonts w:hint="eastAsia" w:ascii="宋体" w:hAnsi="宋体" w:cs="宋体"/>
          <w:sz w:val="24"/>
          <w:szCs w:val="24"/>
        </w:rPr>
        <w:t xml:space="preserve">    6、图纸；</w:t>
      </w:r>
      <w:r>
        <w:rPr>
          <w:rFonts w:hint="eastAsia" w:ascii="宋体" w:hAnsi="宋体" w:cs="宋体"/>
          <w:sz w:val="24"/>
          <w:szCs w:val="24"/>
        </w:rPr>
        <w:tab/>
      </w:r>
    </w:p>
    <w:p>
      <w:pPr>
        <w:spacing w:line="520" w:lineRule="exact"/>
        <w:rPr>
          <w:rFonts w:ascii="宋体" w:hAnsi="宋体" w:cs="宋体"/>
          <w:sz w:val="24"/>
          <w:szCs w:val="24"/>
        </w:rPr>
      </w:pPr>
      <w:r>
        <w:rPr>
          <w:rFonts w:hint="eastAsia" w:ascii="宋体" w:hAnsi="宋体" w:cs="宋体"/>
          <w:sz w:val="24"/>
          <w:szCs w:val="24"/>
        </w:rPr>
        <w:t xml:space="preserve">    7、双方有关项目的洽商、变更等全部书面资料。</w:t>
      </w:r>
    </w:p>
    <w:p>
      <w:pPr>
        <w:spacing w:line="520" w:lineRule="exact"/>
        <w:ind w:firstLine="420"/>
        <w:rPr>
          <w:rFonts w:ascii="宋体" w:hAnsi="宋体" w:cs="宋体"/>
          <w:b/>
          <w:bCs/>
          <w:sz w:val="24"/>
          <w:szCs w:val="24"/>
        </w:rPr>
      </w:pPr>
      <w:r>
        <w:rPr>
          <w:rFonts w:hint="eastAsia" w:ascii="宋体" w:hAnsi="宋体" w:cs="宋体"/>
          <w:b/>
          <w:bCs/>
          <w:sz w:val="24"/>
          <w:szCs w:val="24"/>
        </w:rPr>
        <w:t>第二条 项目概况</w:t>
      </w:r>
    </w:p>
    <w:p>
      <w:pPr>
        <w:spacing w:line="520" w:lineRule="exact"/>
        <w:ind w:firstLine="560"/>
        <w:rPr>
          <w:rFonts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r>
        <w:rPr>
          <w:rFonts w:hint="eastAsia" w:ascii="宋体" w:hAnsi="宋体" w:cs="宋体"/>
          <w:sz w:val="24"/>
          <w:szCs w:val="24"/>
        </w:rPr>
        <w:t>。</w:t>
      </w:r>
    </w:p>
    <w:p>
      <w:pPr>
        <w:spacing w:line="520" w:lineRule="exact"/>
        <w:ind w:firstLine="560"/>
        <w:rPr>
          <w:rFonts w:ascii="宋体" w:hAnsi="宋体" w:cs="宋体"/>
          <w:sz w:val="24"/>
          <w:szCs w:val="24"/>
        </w:rPr>
      </w:pPr>
      <w:r>
        <w:rPr>
          <w:rFonts w:hint="eastAsia" w:ascii="宋体" w:hAnsi="宋体" w:cs="宋体"/>
          <w:sz w:val="24"/>
          <w:szCs w:val="24"/>
        </w:rPr>
        <w:t>项目地点：</w:t>
      </w:r>
      <w:r>
        <w:rPr>
          <w:rFonts w:hint="eastAsia" w:ascii="宋体" w:hAnsi="宋体" w:cs="宋体"/>
          <w:sz w:val="24"/>
          <w:szCs w:val="24"/>
          <w:u w:val="single"/>
        </w:rPr>
        <w:t xml:space="preserve">                           </w:t>
      </w:r>
      <w:r>
        <w:rPr>
          <w:rFonts w:hint="eastAsia" w:ascii="宋体" w:hAnsi="宋体" w:cs="宋体"/>
          <w:sz w:val="24"/>
          <w:szCs w:val="24"/>
        </w:rPr>
        <w:t>。</w:t>
      </w:r>
    </w:p>
    <w:p>
      <w:pPr>
        <w:spacing w:line="520" w:lineRule="exact"/>
        <w:ind w:firstLine="361" w:firstLineChars="150"/>
        <w:rPr>
          <w:rFonts w:ascii="宋体" w:hAnsi="宋体" w:cs="宋体"/>
          <w:b/>
          <w:bCs/>
          <w:sz w:val="24"/>
          <w:szCs w:val="24"/>
        </w:rPr>
      </w:pPr>
      <w:r>
        <w:rPr>
          <w:rFonts w:hint="eastAsia" w:ascii="宋体" w:hAnsi="宋体" w:cs="宋体"/>
          <w:b/>
          <w:bCs/>
          <w:sz w:val="24"/>
          <w:szCs w:val="24"/>
        </w:rPr>
        <w:t xml:space="preserve"> 第三条 合同金额</w:t>
      </w:r>
    </w:p>
    <w:p>
      <w:pPr>
        <w:spacing w:line="520" w:lineRule="exact"/>
        <w:ind w:firstLine="360" w:firstLineChars="150"/>
        <w:rPr>
          <w:rFonts w:ascii="宋体" w:hAnsi="宋体" w:cs="宋体"/>
          <w:sz w:val="24"/>
          <w:szCs w:val="24"/>
        </w:rPr>
      </w:pPr>
      <w:r>
        <w:rPr>
          <w:rFonts w:hint="eastAsia" w:ascii="宋体" w:hAnsi="宋体" w:cs="宋体"/>
          <w:sz w:val="24"/>
          <w:szCs w:val="24"/>
        </w:rPr>
        <w:t xml:space="preserve"> 合同总额：</w:t>
      </w:r>
      <w:r>
        <w:rPr>
          <w:rFonts w:hint="eastAsia" w:ascii="宋体" w:hAnsi="宋体" w:cs="宋体"/>
          <w:sz w:val="24"/>
          <w:szCs w:val="24"/>
          <w:u w:val="single"/>
        </w:rPr>
        <w:t xml:space="preserve">￥            </w:t>
      </w:r>
      <w:r>
        <w:rPr>
          <w:rFonts w:hint="eastAsia" w:ascii="宋体" w:hAnsi="宋体" w:cs="宋体"/>
          <w:sz w:val="24"/>
          <w:szCs w:val="24"/>
        </w:rPr>
        <w:t>元，大写：</w:t>
      </w:r>
      <w:r>
        <w:rPr>
          <w:rFonts w:hint="eastAsia" w:ascii="宋体" w:hAnsi="宋体" w:cs="宋体"/>
          <w:sz w:val="24"/>
          <w:szCs w:val="24"/>
          <w:u w:val="single"/>
        </w:rPr>
        <w:t xml:space="preserve">                      </w:t>
      </w:r>
      <w:r>
        <w:rPr>
          <w:rFonts w:hint="eastAsia" w:ascii="宋体" w:hAnsi="宋体" w:cs="宋体"/>
          <w:sz w:val="24"/>
          <w:szCs w:val="24"/>
        </w:rPr>
        <w:t>。</w:t>
      </w:r>
    </w:p>
    <w:p>
      <w:pPr>
        <w:spacing w:line="520" w:lineRule="exact"/>
        <w:ind w:firstLine="361" w:firstLineChars="150"/>
        <w:rPr>
          <w:rFonts w:ascii="宋体" w:hAnsi="宋体" w:cs="宋体"/>
          <w:b/>
          <w:bCs/>
          <w:sz w:val="24"/>
          <w:szCs w:val="24"/>
        </w:rPr>
      </w:pPr>
      <w:r>
        <w:rPr>
          <w:rFonts w:hint="eastAsia" w:ascii="宋体" w:hAnsi="宋体" w:cs="宋体"/>
          <w:b/>
          <w:bCs/>
          <w:sz w:val="24"/>
          <w:szCs w:val="24"/>
        </w:rPr>
        <w:t xml:space="preserve"> 第四条 采购内容</w:t>
      </w:r>
    </w:p>
    <w:p>
      <w:pPr>
        <w:numPr>
          <w:ilvl w:val="0"/>
          <w:numId w:val="7"/>
        </w:numPr>
        <w:spacing w:line="520" w:lineRule="exact"/>
        <w:ind w:firstLine="420" w:firstLineChars="175"/>
        <w:rPr>
          <w:rFonts w:ascii="宋体" w:hAnsi="宋体" w:cs="宋体"/>
          <w:sz w:val="24"/>
          <w:szCs w:val="24"/>
        </w:rPr>
      </w:pPr>
      <w:r>
        <w:rPr>
          <w:rFonts w:hint="eastAsia" w:ascii="宋体" w:hAnsi="宋体" w:cs="宋体"/>
          <w:sz w:val="24"/>
          <w:szCs w:val="24"/>
        </w:rPr>
        <w:t>采购明细表：</w:t>
      </w:r>
    </w:p>
    <w:tbl>
      <w:tblPr>
        <w:tblStyle w:val="24"/>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223"/>
        <w:gridCol w:w="1215"/>
        <w:gridCol w:w="2715"/>
        <w:gridCol w:w="1140"/>
        <w:gridCol w:w="795"/>
        <w:gridCol w:w="960"/>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Pr>
          <w:p>
            <w:pPr>
              <w:spacing w:line="320" w:lineRule="exact"/>
              <w:ind w:right="-361" w:rightChars="-172"/>
              <w:rPr>
                <w:rFonts w:ascii="宋体" w:hAnsi="宋体" w:cs="宋体"/>
                <w:szCs w:val="21"/>
              </w:rPr>
            </w:pPr>
            <w:r>
              <w:rPr>
                <w:rFonts w:hint="eastAsia" w:ascii="宋体" w:hAnsi="宋体" w:cs="宋体"/>
                <w:szCs w:val="21"/>
              </w:rPr>
              <w:t>序号</w:t>
            </w:r>
          </w:p>
        </w:tc>
        <w:tc>
          <w:tcPr>
            <w:tcW w:w="1223" w:type="dxa"/>
          </w:tcPr>
          <w:p>
            <w:pPr>
              <w:spacing w:line="320" w:lineRule="exact"/>
              <w:rPr>
                <w:rFonts w:ascii="宋体" w:hAnsi="宋体" w:cs="宋体"/>
                <w:szCs w:val="21"/>
              </w:rPr>
            </w:pPr>
            <w:r>
              <w:rPr>
                <w:rFonts w:hint="eastAsia" w:ascii="宋体" w:hAnsi="宋体" w:cs="宋体"/>
                <w:szCs w:val="21"/>
              </w:rPr>
              <w:t>货物名称</w:t>
            </w:r>
          </w:p>
        </w:tc>
        <w:tc>
          <w:tcPr>
            <w:tcW w:w="1215" w:type="dxa"/>
          </w:tcPr>
          <w:p>
            <w:pPr>
              <w:spacing w:line="320" w:lineRule="exact"/>
              <w:rPr>
                <w:rFonts w:ascii="宋体" w:hAnsi="宋体" w:cs="宋体"/>
                <w:szCs w:val="21"/>
              </w:rPr>
            </w:pPr>
            <w:r>
              <w:rPr>
                <w:rFonts w:hint="eastAsia" w:ascii="宋体" w:hAnsi="宋体" w:cs="宋体"/>
                <w:szCs w:val="21"/>
              </w:rPr>
              <w:t>厂家产地</w:t>
            </w:r>
          </w:p>
        </w:tc>
        <w:tc>
          <w:tcPr>
            <w:tcW w:w="2715" w:type="dxa"/>
          </w:tcPr>
          <w:p>
            <w:pPr>
              <w:spacing w:line="320" w:lineRule="exact"/>
              <w:ind w:right="-65" w:rightChars="-31"/>
              <w:rPr>
                <w:rFonts w:ascii="宋体" w:hAnsi="宋体" w:cs="宋体"/>
                <w:szCs w:val="21"/>
              </w:rPr>
            </w:pPr>
            <w:r>
              <w:rPr>
                <w:rFonts w:hint="eastAsia" w:ascii="宋体" w:hAnsi="宋体" w:cs="宋体"/>
                <w:szCs w:val="21"/>
              </w:rPr>
              <w:t>品牌型号详细技术功能参数</w:t>
            </w:r>
          </w:p>
        </w:tc>
        <w:tc>
          <w:tcPr>
            <w:tcW w:w="1140" w:type="dxa"/>
          </w:tcPr>
          <w:p>
            <w:pPr>
              <w:spacing w:line="320" w:lineRule="exact"/>
              <w:rPr>
                <w:rFonts w:ascii="宋体" w:hAnsi="宋体" w:cs="宋体"/>
                <w:szCs w:val="21"/>
              </w:rPr>
            </w:pPr>
            <w:r>
              <w:rPr>
                <w:rFonts w:hint="eastAsia" w:ascii="宋体" w:hAnsi="宋体" w:cs="宋体"/>
                <w:szCs w:val="21"/>
              </w:rPr>
              <w:t>单位</w:t>
            </w:r>
          </w:p>
        </w:tc>
        <w:tc>
          <w:tcPr>
            <w:tcW w:w="795" w:type="dxa"/>
          </w:tcPr>
          <w:p>
            <w:pPr>
              <w:spacing w:line="320" w:lineRule="exact"/>
              <w:rPr>
                <w:rFonts w:ascii="宋体" w:hAnsi="宋体" w:cs="宋体"/>
                <w:szCs w:val="21"/>
              </w:rPr>
            </w:pPr>
            <w:r>
              <w:rPr>
                <w:rFonts w:hint="eastAsia" w:ascii="宋体" w:hAnsi="宋体" w:cs="宋体"/>
                <w:szCs w:val="21"/>
              </w:rPr>
              <w:t>数量</w:t>
            </w:r>
          </w:p>
        </w:tc>
        <w:tc>
          <w:tcPr>
            <w:tcW w:w="960" w:type="dxa"/>
          </w:tcPr>
          <w:p>
            <w:pPr>
              <w:spacing w:line="320" w:lineRule="exact"/>
              <w:rPr>
                <w:rFonts w:ascii="宋体" w:hAnsi="宋体" w:cs="宋体"/>
                <w:szCs w:val="21"/>
              </w:rPr>
            </w:pPr>
            <w:r>
              <w:rPr>
                <w:rFonts w:hint="eastAsia" w:ascii="宋体" w:hAnsi="宋体" w:cs="宋体"/>
                <w:szCs w:val="21"/>
              </w:rPr>
              <w:t>单价</w:t>
            </w:r>
          </w:p>
        </w:tc>
        <w:tc>
          <w:tcPr>
            <w:tcW w:w="858" w:type="dxa"/>
          </w:tcPr>
          <w:p>
            <w:pPr>
              <w:spacing w:line="320" w:lineRule="exact"/>
              <w:rPr>
                <w:rFonts w:ascii="宋体" w:hAnsi="宋体" w:cs="宋体"/>
                <w:szCs w:val="21"/>
              </w:rPr>
            </w:pPr>
            <w:r>
              <w:rPr>
                <w:rFonts w:hint="eastAsia" w:ascii="宋体" w:hAnsi="宋体" w:cs="宋体"/>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693" w:type="dxa"/>
          </w:tcPr>
          <w:p>
            <w:pPr>
              <w:spacing w:line="520" w:lineRule="exact"/>
              <w:rPr>
                <w:rFonts w:ascii="宋体" w:hAnsi="宋体" w:cs="宋体"/>
                <w:szCs w:val="21"/>
              </w:rPr>
            </w:pPr>
          </w:p>
        </w:tc>
        <w:tc>
          <w:tcPr>
            <w:tcW w:w="1223" w:type="dxa"/>
          </w:tcPr>
          <w:p>
            <w:pPr>
              <w:spacing w:line="520" w:lineRule="exact"/>
              <w:rPr>
                <w:rFonts w:ascii="宋体" w:hAnsi="宋体" w:cs="宋体"/>
                <w:szCs w:val="21"/>
              </w:rPr>
            </w:pPr>
          </w:p>
        </w:tc>
        <w:tc>
          <w:tcPr>
            <w:tcW w:w="1215" w:type="dxa"/>
          </w:tcPr>
          <w:p>
            <w:pPr>
              <w:spacing w:line="520" w:lineRule="exact"/>
              <w:rPr>
                <w:rFonts w:ascii="宋体" w:hAnsi="宋体" w:cs="宋体"/>
                <w:szCs w:val="21"/>
              </w:rPr>
            </w:pPr>
          </w:p>
        </w:tc>
        <w:tc>
          <w:tcPr>
            <w:tcW w:w="2715" w:type="dxa"/>
          </w:tcPr>
          <w:p>
            <w:pPr>
              <w:spacing w:line="520" w:lineRule="exact"/>
              <w:rPr>
                <w:rFonts w:ascii="宋体" w:hAnsi="宋体" w:cs="宋体"/>
                <w:szCs w:val="21"/>
              </w:rPr>
            </w:pPr>
          </w:p>
        </w:tc>
        <w:tc>
          <w:tcPr>
            <w:tcW w:w="1140" w:type="dxa"/>
          </w:tcPr>
          <w:p>
            <w:pPr>
              <w:spacing w:line="520" w:lineRule="exact"/>
              <w:rPr>
                <w:rFonts w:ascii="宋体" w:hAnsi="宋体" w:cs="宋体"/>
                <w:szCs w:val="21"/>
              </w:rPr>
            </w:pPr>
          </w:p>
        </w:tc>
        <w:tc>
          <w:tcPr>
            <w:tcW w:w="795" w:type="dxa"/>
          </w:tcPr>
          <w:p>
            <w:pPr>
              <w:spacing w:line="520" w:lineRule="exact"/>
              <w:rPr>
                <w:rFonts w:ascii="宋体" w:hAnsi="宋体" w:cs="宋体"/>
                <w:szCs w:val="21"/>
              </w:rPr>
            </w:pPr>
          </w:p>
        </w:tc>
        <w:tc>
          <w:tcPr>
            <w:tcW w:w="960" w:type="dxa"/>
          </w:tcPr>
          <w:p>
            <w:pPr>
              <w:spacing w:line="520" w:lineRule="exact"/>
              <w:rPr>
                <w:rFonts w:ascii="宋体" w:hAnsi="宋体" w:cs="宋体"/>
                <w:szCs w:val="21"/>
              </w:rPr>
            </w:pPr>
          </w:p>
        </w:tc>
        <w:tc>
          <w:tcPr>
            <w:tcW w:w="858" w:type="dxa"/>
          </w:tcPr>
          <w:p>
            <w:pPr>
              <w:spacing w:line="5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Pr>
          <w:p>
            <w:pPr>
              <w:spacing w:line="520" w:lineRule="exact"/>
              <w:rPr>
                <w:rFonts w:ascii="宋体" w:hAnsi="宋体" w:cs="宋体"/>
                <w:szCs w:val="21"/>
              </w:rPr>
            </w:pPr>
          </w:p>
        </w:tc>
        <w:tc>
          <w:tcPr>
            <w:tcW w:w="1223" w:type="dxa"/>
          </w:tcPr>
          <w:p>
            <w:pPr>
              <w:spacing w:line="520" w:lineRule="exact"/>
              <w:rPr>
                <w:rFonts w:ascii="宋体" w:hAnsi="宋体" w:cs="宋体"/>
                <w:szCs w:val="21"/>
              </w:rPr>
            </w:pPr>
          </w:p>
        </w:tc>
        <w:tc>
          <w:tcPr>
            <w:tcW w:w="1215" w:type="dxa"/>
          </w:tcPr>
          <w:p>
            <w:pPr>
              <w:spacing w:line="520" w:lineRule="exact"/>
              <w:rPr>
                <w:rFonts w:ascii="宋体" w:hAnsi="宋体" w:cs="宋体"/>
                <w:szCs w:val="21"/>
              </w:rPr>
            </w:pPr>
          </w:p>
        </w:tc>
        <w:tc>
          <w:tcPr>
            <w:tcW w:w="2715" w:type="dxa"/>
          </w:tcPr>
          <w:p>
            <w:pPr>
              <w:spacing w:line="520" w:lineRule="exact"/>
              <w:rPr>
                <w:rFonts w:ascii="宋体" w:hAnsi="宋体" w:cs="宋体"/>
                <w:szCs w:val="21"/>
              </w:rPr>
            </w:pPr>
          </w:p>
        </w:tc>
        <w:tc>
          <w:tcPr>
            <w:tcW w:w="1140" w:type="dxa"/>
          </w:tcPr>
          <w:p>
            <w:pPr>
              <w:spacing w:line="520" w:lineRule="exact"/>
              <w:rPr>
                <w:rFonts w:ascii="宋体" w:hAnsi="宋体" w:cs="宋体"/>
                <w:szCs w:val="21"/>
              </w:rPr>
            </w:pPr>
          </w:p>
        </w:tc>
        <w:tc>
          <w:tcPr>
            <w:tcW w:w="795" w:type="dxa"/>
          </w:tcPr>
          <w:p>
            <w:pPr>
              <w:spacing w:line="520" w:lineRule="exact"/>
              <w:rPr>
                <w:rFonts w:ascii="宋体" w:hAnsi="宋体" w:cs="宋体"/>
                <w:szCs w:val="21"/>
              </w:rPr>
            </w:pPr>
          </w:p>
        </w:tc>
        <w:tc>
          <w:tcPr>
            <w:tcW w:w="960" w:type="dxa"/>
          </w:tcPr>
          <w:p>
            <w:pPr>
              <w:spacing w:line="520" w:lineRule="exact"/>
              <w:rPr>
                <w:rFonts w:ascii="宋体" w:hAnsi="宋体" w:cs="宋体"/>
                <w:szCs w:val="21"/>
              </w:rPr>
            </w:pPr>
          </w:p>
        </w:tc>
        <w:tc>
          <w:tcPr>
            <w:tcW w:w="858" w:type="dxa"/>
          </w:tcPr>
          <w:p>
            <w:pPr>
              <w:spacing w:line="5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Pr>
          <w:p>
            <w:pPr>
              <w:spacing w:line="520" w:lineRule="exact"/>
              <w:rPr>
                <w:rFonts w:ascii="宋体" w:hAnsi="宋体" w:cs="宋体"/>
                <w:szCs w:val="21"/>
              </w:rPr>
            </w:pPr>
          </w:p>
        </w:tc>
        <w:tc>
          <w:tcPr>
            <w:tcW w:w="1223" w:type="dxa"/>
          </w:tcPr>
          <w:p>
            <w:pPr>
              <w:spacing w:line="520" w:lineRule="exact"/>
              <w:rPr>
                <w:rFonts w:ascii="宋体" w:hAnsi="宋体" w:cs="宋体"/>
                <w:szCs w:val="21"/>
              </w:rPr>
            </w:pPr>
          </w:p>
        </w:tc>
        <w:tc>
          <w:tcPr>
            <w:tcW w:w="1215" w:type="dxa"/>
          </w:tcPr>
          <w:p>
            <w:pPr>
              <w:spacing w:line="520" w:lineRule="exact"/>
              <w:rPr>
                <w:rFonts w:ascii="宋体" w:hAnsi="宋体" w:cs="宋体"/>
                <w:szCs w:val="21"/>
              </w:rPr>
            </w:pPr>
          </w:p>
        </w:tc>
        <w:tc>
          <w:tcPr>
            <w:tcW w:w="2715" w:type="dxa"/>
          </w:tcPr>
          <w:p>
            <w:pPr>
              <w:spacing w:line="520" w:lineRule="exact"/>
              <w:rPr>
                <w:rFonts w:ascii="宋体" w:hAnsi="宋体" w:cs="宋体"/>
                <w:szCs w:val="21"/>
              </w:rPr>
            </w:pPr>
          </w:p>
        </w:tc>
        <w:tc>
          <w:tcPr>
            <w:tcW w:w="1140" w:type="dxa"/>
          </w:tcPr>
          <w:p>
            <w:pPr>
              <w:spacing w:line="520" w:lineRule="exact"/>
              <w:rPr>
                <w:rFonts w:ascii="宋体" w:hAnsi="宋体" w:cs="宋体"/>
                <w:szCs w:val="21"/>
              </w:rPr>
            </w:pPr>
          </w:p>
        </w:tc>
        <w:tc>
          <w:tcPr>
            <w:tcW w:w="795" w:type="dxa"/>
          </w:tcPr>
          <w:p>
            <w:pPr>
              <w:spacing w:line="520" w:lineRule="exact"/>
              <w:rPr>
                <w:rFonts w:ascii="宋体" w:hAnsi="宋体" w:cs="宋体"/>
                <w:szCs w:val="21"/>
              </w:rPr>
            </w:pPr>
          </w:p>
        </w:tc>
        <w:tc>
          <w:tcPr>
            <w:tcW w:w="960" w:type="dxa"/>
          </w:tcPr>
          <w:p>
            <w:pPr>
              <w:spacing w:line="520" w:lineRule="exact"/>
              <w:rPr>
                <w:rFonts w:ascii="宋体" w:hAnsi="宋体" w:cs="宋体"/>
                <w:szCs w:val="21"/>
              </w:rPr>
            </w:pPr>
          </w:p>
        </w:tc>
        <w:tc>
          <w:tcPr>
            <w:tcW w:w="858" w:type="dxa"/>
          </w:tcPr>
          <w:p>
            <w:pPr>
              <w:spacing w:line="5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Pr>
          <w:p>
            <w:pPr>
              <w:spacing w:line="520" w:lineRule="exact"/>
              <w:rPr>
                <w:rFonts w:ascii="宋体" w:hAnsi="宋体" w:cs="宋体"/>
                <w:szCs w:val="21"/>
              </w:rPr>
            </w:pPr>
          </w:p>
        </w:tc>
        <w:tc>
          <w:tcPr>
            <w:tcW w:w="1223" w:type="dxa"/>
          </w:tcPr>
          <w:p>
            <w:pPr>
              <w:spacing w:line="520" w:lineRule="exact"/>
              <w:rPr>
                <w:rFonts w:ascii="宋体" w:hAnsi="宋体" w:cs="宋体"/>
                <w:szCs w:val="21"/>
              </w:rPr>
            </w:pPr>
          </w:p>
        </w:tc>
        <w:tc>
          <w:tcPr>
            <w:tcW w:w="1215" w:type="dxa"/>
          </w:tcPr>
          <w:p>
            <w:pPr>
              <w:spacing w:line="520" w:lineRule="exact"/>
              <w:rPr>
                <w:rFonts w:ascii="宋体" w:hAnsi="宋体" w:cs="宋体"/>
                <w:szCs w:val="21"/>
              </w:rPr>
            </w:pPr>
          </w:p>
        </w:tc>
        <w:tc>
          <w:tcPr>
            <w:tcW w:w="2715" w:type="dxa"/>
          </w:tcPr>
          <w:p>
            <w:pPr>
              <w:spacing w:line="520" w:lineRule="exact"/>
              <w:rPr>
                <w:rFonts w:ascii="宋体" w:hAnsi="宋体" w:cs="宋体"/>
                <w:szCs w:val="21"/>
              </w:rPr>
            </w:pPr>
          </w:p>
        </w:tc>
        <w:tc>
          <w:tcPr>
            <w:tcW w:w="1140" w:type="dxa"/>
          </w:tcPr>
          <w:p>
            <w:pPr>
              <w:spacing w:line="520" w:lineRule="exact"/>
              <w:rPr>
                <w:rFonts w:ascii="宋体" w:hAnsi="宋体" w:cs="宋体"/>
                <w:szCs w:val="21"/>
              </w:rPr>
            </w:pPr>
          </w:p>
        </w:tc>
        <w:tc>
          <w:tcPr>
            <w:tcW w:w="795" w:type="dxa"/>
          </w:tcPr>
          <w:p>
            <w:pPr>
              <w:spacing w:line="520" w:lineRule="exact"/>
              <w:rPr>
                <w:rFonts w:ascii="宋体" w:hAnsi="宋体" w:cs="宋体"/>
                <w:szCs w:val="21"/>
              </w:rPr>
            </w:pPr>
          </w:p>
        </w:tc>
        <w:tc>
          <w:tcPr>
            <w:tcW w:w="960" w:type="dxa"/>
          </w:tcPr>
          <w:p>
            <w:pPr>
              <w:spacing w:line="520" w:lineRule="exact"/>
              <w:rPr>
                <w:rFonts w:ascii="宋体" w:hAnsi="宋体" w:cs="宋体"/>
                <w:szCs w:val="21"/>
              </w:rPr>
            </w:pPr>
          </w:p>
        </w:tc>
        <w:tc>
          <w:tcPr>
            <w:tcW w:w="858" w:type="dxa"/>
          </w:tcPr>
          <w:p>
            <w:pPr>
              <w:spacing w:line="5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Pr>
          <w:p>
            <w:pPr>
              <w:spacing w:line="520" w:lineRule="exact"/>
              <w:rPr>
                <w:rFonts w:ascii="宋体" w:hAnsi="宋体" w:cs="宋体"/>
                <w:szCs w:val="21"/>
              </w:rPr>
            </w:pPr>
          </w:p>
        </w:tc>
        <w:tc>
          <w:tcPr>
            <w:tcW w:w="1223" w:type="dxa"/>
          </w:tcPr>
          <w:p>
            <w:pPr>
              <w:spacing w:line="520" w:lineRule="exact"/>
              <w:rPr>
                <w:rFonts w:ascii="宋体" w:hAnsi="宋体" w:cs="宋体"/>
                <w:szCs w:val="21"/>
              </w:rPr>
            </w:pPr>
          </w:p>
        </w:tc>
        <w:tc>
          <w:tcPr>
            <w:tcW w:w="1215" w:type="dxa"/>
          </w:tcPr>
          <w:p>
            <w:pPr>
              <w:spacing w:line="520" w:lineRule="exact"/>
              <w:rPr>
                <w:rFonts w:ascii="宋体" w:hAnsi="宋体" w:cs="宋体"/>
                <w:szCs w:val="21"/>
              </w:rPr>
            </w:pPr>
          </w:p>
        </w:tc>
        <w:tc>
          <w:tcPr>
            <w:tcW w:w="2715" w:type="dxa"/>
          </w:tcPr>
          <w:p>
            <w:pPr>
              <w:spacing w:line="520" w:lineRule="exact"/>
              <w:rPr>
                <w:rFonts w:ascii="宋体" w:hAnsi="宋体" w:cs="宋体"/>
                <w:szCs w:val="21"/>
              </w:rPr>
            </w:pPr>
          </w:p>
        </w:tc>
        <w:tc>
          <w:tcPr>
            <w:tcW w:w="1140" w:type="dxa"/>
          </w:tcPr>
          <w:p>
            <w:pPr>
              <w:spacing w:line="520" w:lineRule="exact"/>
              <w:rPr>
                <w:rFonts w:ascii="宋体" w:hAnsi="宋体" w:cs="宋体"/>
                <w:szCs w:val="21"/>
              </w:rPr>
            </w:pPr>
          </w:p>
        </w:tc>
        <w:tc>
          <w:tcPr>
            <w:tcW w:w="795" w:type="dxa"/>
          </w:tcPr>
          <w:p>
            <w:pPr>
              <w:spacing w:line="520" w:lineRule="exact"/>
              <w:rPr>
                <w:rFonts w:ascii="宋体" w:hAnsi="宋体" w:cs="宋体"/>
                <w:szCs w:val="21"/>
              </w:rPr>
            </w:pPr>
          </w:p>
        </w:tc>
        <w:tc>
          <w:tcPr>
            <w:tcW w:w="960" w:type="dxa"/>
          </w:tcPr>
          <w:p>
            <w:pPr>
              <w:spacing w:line="520" w:lineRule="exact"/>
              <w:rPr>
                <w:rFonts w:ascii="宋体" w:hAnsi="宋体" w:cs="宋体"/>
                <w:szCs w:val="21"/>
              </w:rPr>
            </w:pPr>
          </w:p>
        </w:tc>
        <w:tc>
          <w:tcPr>
            <w:tcW w:w="858" w:type="dxa"/>
          </w:tcPr>
          <w:p>
            <w:pPr>
              <w:spacing w:line="5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9" w:type="dxa"/>
            <w:gridSpan w:val="8"/>
          </w:tcPr>
          <w:p>
            <w:pPr>
              <w:spacing w:line="520" w:lineRule="exact"/>
              <w:rPr>
                <w:rFonts w:ascii="宋体" w:hAnsi="宋体" w:cs="宋体"/>
                <w:szCs w:val="21"/>
              </w:rPr>
            </w:pPr>
            <w:r>
              <w:rPr>
                <w:rFonts w:hint="eastAsia" w:ascii="宋体" w:hAnsi="宋体" w:cs="宋体"/>
                <w:szCs w:val="21"/>
              </w:rPr>
              <w:t>合计：大写：                                          小写：￥</w:t>
            </w:r>
          </w:p>
        </w:tc>
      </w:tr>
    </w:tbl>
    <w:p>
      <w:pPr>
        <w:numPr>
          <w:ilvl w:val="0"/>
          <w:numId w:val="7"/>
        </w:numPr>
        <w:spacing w:line="440" w:lineRule="exact"/>
        <w:ind w:firstLine="420" w:firstLineChars="175"/>
        <w:rPr>
          <w:rFonts w:ascii="宋体" w:hAnsi="宋体" w:cs="宋体"/>
          <w:color w:val="000000"/>
          <w:sz w:val="24"/>
          <w:szCs w:val="24"/>
        </w:rPr>
      </w:pPr>
      <w:r>
        <w:rPr>
          <w:rFonts w:hint="eastAsia" w:ascii="宋体" w:hAnsi="宋体" w:cs="宋体"/>
          <w:color w:val="000000"/>
          <w:sz w:val="24"/>
          <w:szCs w:val="24"/>
        </w:rPr>
        <w:t>本项目为交钥匙工程。乙方总价承包，负项目全责。在招投标文件、设计图纸及合同等文件中未约定的，但本项目明显所必须的设备、材料、配件、施工等，均包含在项目总价中，甲方不再另行付费。</w:t>
      </w:r>
    </w:p>
    <w:p>
      <w:pPr>
        <w:tabs>
          <w:tab w:val="left" w:pos="0"/>
        </w:tabs>
        <w:spacing w:line="520" w:lineRule="exact"/>
        <w:ind w:firstLine="422" w:firstLineChars="175"/>
        <w:rPr>
          <w:rFonts w:ascii="宋体" w:hAnsi="宋体" w:cs="宋体"/>
          <w:color w:val="000000"/>
          <w:sz w:val="24"/>
          <w:szCs w:val="24"/>
        </w:rPr>
      </w:pPr>
      <w:r>
        <w:rPr>
          <w:rFonts w:hint="eastAsia" w:ascii="宋体" w:hAnsi="宋体" w:cs="宋体"/>
          <w:b/>
          <w:bCs/>
          <w:color w:val="000000"/>
          <w:sz w:val="24"/>
          <w:szCs w:val="24"/>
        </w:rPr>
        <w:t>第五条 交货期</w:t>
      </w:r>
      <w:r>
        <w:rPr>
          <w:rFonts w:hint="eastAsia" w:ascii="宋体" w:hAnsi="宋体" w:cs="宋体"/>
          <w:b/>
          <w:bCs/>
          <w:color w:val="000000"/>
          <w:sz w:val="24"/>
          <w:szCs w:val="24"/>
        </w:rPr>
        <w:br w:type="textWrapping"/>
      </w:r>
      <w:r>
        <w:rPr>
          <w:rFonts w:hint="eastAsia" w:ascii="宋体" w:hAnsi="宋体" w:cs="宋体"/>
          <w:color w:val="000000"/>
          <w:sz w:val="24"/>
          <w:szCs w:val="24"/>
        </w:rPr>
        <w:t>　　合同签订后90日交货。</w:t>
      </w:r>
    </w:p>
    <w:p>
      <w:pPr>
        <w:tabs>
          <w:tab w:val="left" w:pos="0"/>
        </w:tabs>
        <w:spacing w:line="520" w:lineRule="exact"/>
        <w:ind w:firstLine="420"/>
        <w:rPr>
          <w:rFonts w:ascii="宋体" w:hAnsi="宋体" w:cs="宋体"/>
          <w:b/>
          <w:bCs/>
          <w:color w:val="000000"/>
          <w:sz w:val="24"/>
          <w:szCs w:val="24"/>
        </w:rPr>
      </w:pPr>
      <w:r>
        <w:rPr>
          <w:rFonts w:hint="eastAsia" w:ascii="宋体" w:hAnsi="宋体" w:cs="宋体"/>
          <w:b/>
          <w:bCs/>
          <w:color w:val="000000"/>
          <w:sz w:val="24"/>
          <w:szCs w:val="24"/>
        </w:rPr>
        <w:t>第六条 付款方式</w:t>
      </w:r>
    </w:p>
    <w:p>
      <w:pPr>
        <w:pStyle w:val="51"/>
        <w:spacing w:line="440" w:lineRule="exact"/>
        <w:ind w:left="0" w:firstLine="420" w:firstLineChars="175"/>
        <w:rPr>
          <w:rFonts w:hAnsi="宋体"/>
          <w:sz w:val="24"/>
          <w:szCs w:val="24"/>
        </w:rPr>
      </w:pPr>
      <w:r>
        <w:rPr>
          <w:rFonts w:hint="eastAsia" w:hAnsi="宋体"/>
          <w:color w:val="000000"/>
          <w:sz w:val="24"/>
          <w:szCs w:val="24"/>
        </w:rPr>
        <w:t>按招标文件约定执行。</w:t>
      </w:r>
    </w:p>
    <w:p>
      <w:pPr>
        <w:tabs>
          <w:tab w:val="left" w:pos="-200"/>
        </w:tabs>
        <w:spacing w:line="520" w:lineRule="exact"/>
        <w:rPr>
          <w:rFonts w:ascii="宋体" w:hAnsi="宋体" w:cs="宋体"/>
          <w:sz w:val="24"/>
          <w:szCs w:val="24"/>
        </w:rPr>
      </w:pPr>
      <w:r>
        <w:rPr>
          <w:rFonts w:hint="eastAsia" w:ascii="宋体" w:hAnsi="宋体" w:cs="宋体"/>
          <w:sz w:val="24"/>
          <w:szCs w:val="24"/>
        </w:rPr>
        <w:t xml:space="preserve">    </w:t>
      </w:r>
      <w:r>
        <w:rPr>
          <w:rFonts w:hint="eastAsia" w:ascii="宋体" w:hAnsi="宋体" w:cs="宋体"/>
          <w:b/>
          <w:bCs/>
          <w:sz w:val="24"/>
          <w:szCs w:val="24"/>
        </w:rPr>
        <w:t>第七条 质量标准</w:t>
      </w:r>
    </w:p>
    <w:p>
      <w:pPr>
        <w:tabs>
          <w:tab w:val="left" w:pos="-200"/>
        </w:tabs>
        <w:spacing w:line="440" w:lineRule="exact"/>
        <w:ind w:firstLine="480"/>
        <w:rPr>
          <w:rFonts w:ascii="宋体" w:hAnsi="宋体" w:cs="宋体"/>
          <w:sz w:val="24"/>
          <w:szCs w:val="24"/>
        </w:rPr>
      </w:pPr>
      <w:r>
        <w:rPr>
          <w:rFonts w:hint="eastAsia" w:ascii="宋体" w:hAnsi="宋体" w:cs="宋体"/>
          <w:sz w:val="24"/>
          <w:szCs w:val="24"/>
        </w:rPr>
        <w:t>（1）按招投标文件约定的标准执行。　　　</w:t>
      </w:r>
    </w:p>
    <w:p>
      <w:pPr>
        <w:tabs>
          <w:tab w:val="left" w:pos="-200"/>
        </w:tabs>
        <w:spacing w:line="440" w:lineRule="exact"/>
        <w:ind w:firstLine="480"/>
        <w:rPr>
          <w:rFonts w:ascii="宋体" w:hAnsi="宋体" w:cs="宋体"/>
          <w:sz w:val="24"/>
          <w:szCs w:val="24"/>
        </w:rPr>
      </w:pPr>
      <w:r>
        <w:rPr>
          <w:rFonts w:hint="eastAsia" w:ascii="宋体" w:hAnsi="宋体" w:cs="宋体"/>
          <w:sz w:val="24"/>
          <w:szCs w:val="24"/>
        </w:rPr>
        <w:t>（2）符合国家规范质量标准。</w:t>
      </w:r>
    </w:p>
    <w:p>
      <w:pPr>
        <w:tabs>
          <w:tab w:val="left" w:pos="-200"/>
        </w:tabs>
        <w:spacing w:line="440" w:lineRule="exact"/>
        <w:ind w:firstLine="480"/>
        <w:rPr>
          <w:rFonts w:ascii="宋体" w:hAnsi="宋体" w:cs="宋体"/>
          <w:sz w:val="24"/>
          <w:szCs w:val="24"/>
        </w:rPr>
      </w:pPr>
      <w:r>
        <w:rPr>
          <w:rFonts w:hint="eastAsia" w:ascii="宋体" w:hAnsi="宋体" w:cs="宋体"/>
          <w:sz w:val="24"/>
          <w:szCs w:val="24"/>
        </w:rPr>
        <w:t>（3）符合行业质量标准。</w:t>
      </w:r>
    </w:p>
    <w:p>
      <w:pPr>
        <w:tabs>
          <w:tab w:val="left" w:pos="-200"/>
        </w:tabs>
        <w:spacing w:line="520" w:lineRule="exact"/>
        <w:rPr>
          <w:rFonts w:ascii="宋体" w:hAnsi="宋体" w:cs="宋体"/>
          <w:sz w:val="24"/>
          <w:szCs w:val="24"/>
        </w:rPr>
      </w:pPr>
      <w:r>
        <w:rPr>
          <w:rFonts w:hint="eastAsia" w:ascii="宋体" w:hAnsi="宋体" w:cs="宋体"/>
          <w:sz w:val="24"/>
          <w:szCs w:val="24"/>
        </w:rPr>
        <w:t xml:space="preserve"> </w:t>
      </w:r>
      <w:r>
        <w:rPr>
          <w:rFonts w:hint="eastAsia" w:ascii="宋体" w:hAnsi="宋体" w:cs="宋体"/>
          <w:b/>
          <w:bCs/>
          <w:sz w:val="24"/>
          <w:szCs w:val="24"/>
        </w:rPr>
        <w:t xml:space="preserve">   第八条  甲方权利和义务 </w:t>
      </w:r>
    </w:p>
    <w:p>
      <w:pPr>
        <w:pStyle w:val="52"/>
        <w:tabs>
          <w:tab w:val="clear" w:pos="525"/>
        </w:tabs>
        <w:spacing w:line="520" w:lineRule="exact"/>
        <w:ind w:left="412" w:leftChars="196" w:firstLine="0" w:firstLineChars="0"/>
        <w:rPr>
          <w:rFonts w:ascii="宋体" w:eastAsia="宋体"/>
        </w:rPr>
      </w:pPr>
      <w:r>
        <w:rPr>
          <w:rFonts w:hint="eastAsia" w:ascii="宋体" w:eastAsia="宋体"/>
        </w:rPr>
        <w:t>1.权利</w:t>
      </w:r>
    </w:p>
    <w:p>
      <w:pPr>
        <w:pStyle w:val="52"/>
        <w:numPr>
          <w:ilvl w:val="0"/>
          <w:numId w:val="8"/>
        </w:numPr>
        <w:tabs>
          <w:tab w:val="clear" w:pos="525"/>
        </w:tabs>
        <w:spacing w:line="440" w:lineRule="exact"/>
        <w:rPr>
          <w:rFonts w:ascii="宋体" w:eastAsia="宋体"/>
        </w:rPr>
      </w:pPr>
      <w:r>
        <w:rPr>
          <w:rFonts w:hint="eastAsia" w:ascii="宋体" w:eastAsia="宋体"/>
        </w:rPr>
        <w:t>甲方在本合同项目施实期间，有权查验货物（软硬件设备、材料、配件等），阻止不合规范的行为，拒绝不合格或不符采购合同规定的设备进行安装。</w:t>
      </w:r>
    </w:p>
    <w:p>
      <w:pPr>
        <w:pStyle w:val="52"/>
        <w:numPr>
          <w:ilvl w:val="0"/>
          <w:numId w:val="8"/>
        </w:numPr>
        <w:tabs>
          <w:tab w:val="clear" w:pos="525"/>
        </w:tabs>
        <w:spacing w:line="440" w:lineRule="exact"/>
        <w:rPr>
          <w:rFonts w:ascii="宋体" w:eastAsia="宋体"/>
        </w:rPr>
      </w:pPr>
      <w:r>
        <w:rPr>
          <w:rFonts w:hint="eastAsia" w:ascii="宋体" w:eastAsia="宋体"/>
        </w:rPr>
        <w:t>根据项建设实际需要，可调整部分采购数量，但需与乙方签署补充协议。</w:t>
      </w:r>
    </w:p>
    <w:p>
      <w:pPr>
        <w:pStyle w:val="52"/>
        <w:numPr>
          <w:ilvl w:val="0"/>
          <w:numId w:val="8"/>
        </w:numPr>
        <w:tabs>
          <w:tab w:val="clear" w:pos="525"/>
        </w:tabs>
        <w:spacing w:line="440" w:lineRule="exact"/>
        <w:rPr>
          <w:rFonts w:ascii="宋体" w:eastAsia="宋体"/>
        </w:rPr>
      </w:pPr>
      <w:r>
        <w:rPr>
          <w:rFonts w:hint="eastAsia" w:ascii="宋体" w:eastAsia="宋体"/>
        </w:rPr>
        <w:t>在履约过程中甲方有权对乙方进行监督和管理的权力，对乙方的违规、违约行为进行处罚。</w:t>
      </w:r>
    </w:p>
    <w:p>
      <w:pPr>
        <w:pStyle w:val="52"/>
        <w:numPr>
          <w:ilvl w:val="0"/>
          <w:numId w:val="8"/>
        </w:numPr>
        <w:tabs>
          <w:tab w:val="clear" w:pos="525"/>
        </w:tabs>
        <w:spacing w:line="440" w:lineRule="exact"/>
        <w:rPr>
          <w:rFonts w:ascii="宋体" w:eastAsia="宋体"/>
        </w:rPr>
      </w:pPr>
      <w:r>
        <w:rPr>
          <w:rFonts w:hint="eastAsia" w:ascii="宋体" w:eastAsia="宋体"/>
        </w:rPr>
        <w:t>甲方自主委托第三方技术监理机构对项目进行全面技术监理，监理机构受委托依法对乙方行为进行监督和检查。</w:t>
      </w:r>
    </w:p>
    <w:p>
      <w:pPr>
        <w:pStyle w:val="52"/>
        <w:tabs>
          <w:tab w:val="clear" w:pos="525"/>
        </w:tabs>
        <w:spacing w:line="520" w:lineRule="exact"/>
        <w:ind w:firstLine="480" w:firstLineChars="200"/>
        <w:rPr>
          <w:rFonts w:ascii="宋体" w:eastAsia="宋体"/>
        </w:rPr>
      </w:pPr>
      <w:r>
        <w:rPr>
          <w:rFonts w:hint="eastAsia" w:ascii="宋体" w:eastAsia="宋体"/>
        </w:rPr>
        <w:t>2.义务</w:t>
      </w:r>
    </w:p>
    <w:p>
      <w:pPr>
        <w:pStyle w:val="52"/>
        <w:tabs>
          <w:tab w:val="clear" w:pos="525"/>
        </w:tabs>
        <w:spacing w:line="440" w:lineRule="exact"/>
        <w:rPr>
          <w:rFonts w:ascii="宋体" w:eastAsia="宋体"/>
          <w:kern w:val="2"/>
        </w:rPr>
      </w:pPr>
      <w:r>
        <w:rPr>
          <w:rFonts w:hint="eastAsia" w:ascii="宋体" w:eastAsia="宋体"/>
        </w:rPr>
        <w:t>（1）</w:t>
      </w:r>
      <w:r>
        <w:rPr>
          <w:rFonts w:hint="eastAsia" w:ascii="宋体" w:eastAsia="宋体"/>
          <w:kern w:val="2"/>
        </w:rPr>
        <w:t>甲方应指定项目负责人，负责协调本合同项目相关事宜，确保乙方货物、设备及工具、人员顺利进场，进行正常的调试工作。</w:t>
      </w:r>
    </w:p>
    <w:p>
      <w:pPr>
        <w:pStyle w:val="52"/>
        <w:tabs>
          <w:tab w:val="clear" w:pos="525"/>
        </w:tabs>
        <w:spacing w:line="440" w:lineRule="exact"/>
        <w:ind w:firstLine="480" w:firstLineChars="200"/>
        <w:rPr>
          <w:rFonts w:ascii="宋体" w:eastAsia="宋体"/>
          <w:kern w:val="2"/>
        </w:rPr>
      </w:pPr>
      <w:r>
        <w:rPr>
          <w:rFonts w:hint="eastAsia" w:ascii="宋体" w:eastAsia="宋体"/>
          <w:kern w:val="2"/>
        </w:rPr>
        <w:t>（2）甲方应向乙方提供本合同相关的存放场地和调试环境。</w:t>
      </w:r>
    </w:p>
    <w:p>
      <w:pPr>
        <w:pStyle w:val="52"/>
        <w:tabs>
          <w:tab w:val="clear" w:pos="525"/>
        </w:tabs>
        <w:spacing w:line="440" w:lineRule="exact"/>
        <w:ind w:firstLine="480" w:firstLineChars="200"/>
        <w:rPr>
          <w:rFonts w:ascii="宋体" w:eastAsia="宋体"/>
          <w:kern w:val="2"/>
        </w:rPr>
      </w:pPr>
      <w:r>
        <w:rPr>
          <w:rFonts w:hint="eastAsia" w:ascii="宋体" w:eastAsia="宋体"/>
        </w:rPr>
        <w:t>（</w:t>
      </w:r>
      <w:r>
        <w:rPr>
          <w:rFonts w:hint="eastAsia" w:ascii="宋体" w:eastAsia="宋体"/>
          <w:kern w:val="2"/>
        </w:rPr>
        <w:t>3）甲方应按合同规定要求，按时支付乙方本合同项目款项。</w:t>
      </w:r>
    </w:p>
    <w:p>
      <w:pPr>
        <w:pStyle w:val="52"/>
        <w:tabs>
          <w:tab w:val="clear" w:pos="525"/>
        </w:tabs>
        <w:spacing w:line="440" w:lineRule="exact"/>
        <w:ind w:firstLine="480" w:firstLineChars="200"/>
        <w:rPr>
          <w:rFonts w:ascii="宋体" w:eastAsia="宋体"/>
          <w:kern w:val="2"/>
        </w:rPr>
      </w:pPr>
      <w:r>
        <w:rPr>
          <w:rFonts w:hint="eastAsia" w:ascii="宋体" w:eastAsia="宋体"/>
          <w:kern w:val="2"/>
        </w:rPr>
        <w:t>（4）甲方不得违规干扰乙方按计规进行项目施实。</w:t>
      </w:r>
    </w:p>
    <w:p>
      <w:pPr>
        <w:tabs>
          <w:tab w:val="left" w:pos="0"/>
        </w:tabs>
        <w:spacing w:line="520" w:lineRule="exact"/>
        <w:ind w:firstLine="481"/>
        <w:rPr>
          <w:rFonts w:ascii="宋体" w:hAnsi="宋体" w:cs="宋体"/>
          <w:b/>
          <w:bCs/>
          <w:sz w:val="24"/>
          <w:szCs w:val="24"/>
        </w:rPr>
      </w:pPr>
      <w:r>
        <w:rPr>
          <w:rFonts w:hint="eastAsia" w:ascii="宋体" w:hAnsi="宋体" w:cs="宋体"/>
          <w:b/>
          <w:bCs/>
          <w:sz w:val="24"/>
          <w:szCs w:val="24"/>
        </w:rPr>
        <w:t xml:space="preserve">第九条 乙方权利和义务 </w:t>
      </w:r>
    </w:p>
    <w:p>
      <w:pPr>
        <w:tabs>
          <w:tab w:val="left" w:pos="0"/>
        </w:tabs>
        <w:spacing w:line="520" w:lineRule="exact"/>
        <w:ind w:firstLine="481"/>
        <w:rPr>
          <w:rFonts w:ascii="宋体" w:hAnsi="宋体" w:cs="宋体"/>
          <w:sz w:val="24"/>
          <w:szCs w:val="24"/>
        </w:rPr>
      </w:pPr>
      <w:r>
        <w:rPr>
          <w:rFonts w:hint="eastAsia" w:ascii="宋体" w:cs="宋体"/>
          <w:sz w:val="24"/>
          <w:szCs w:val="24"/>
        </w:rPr>
        <w:t>1.</w:t>
      </w:r>
      <w:r>
        <w:rPr>
          <w:rFonts w:hint="eastAsia" w:ascii="宋体" w:hAnsi="宋体" w:cs="宋体"/>
          <w:sz w:val="24"/>
          <w:szCs w:val="24"/>
        </w:rPr>
        <w:t>权利</w:t>
      </w:r>
    </w:p>
    <w:p>
      <w:pPr>
        <w:pStyle w:val="52"/>
        <w:numPr>
          <w:ilvl w:val="0"/>
          <w:numId w:val="9"/>
        </w:numPr>
        <w:tabs>
          <w:tab w:val="clear" w:pos="525"/>
        </w:tabs>
        <w:spacing w:line="440" w:lineRule="exact"/>
        <w:ind w:firstLine="480" w:firstLineChars="200"/>
        <w:rPr>
          <w:rFonts w:ascii="宋体" w:eastAsia="宋体"/>
          <w:kern w:val="2"/>
        </w:rPr>
      </w:pPr>
      <w:r>
        <w:rPr>
          <w:rFonts w:hint="eastAsia" w:ascii="宋体" w:eastAsia="宋体"/>
          <w:kern w:val="2"/>
        </w:rPr>
        <w:t>乙方享有甲方按时足额支付本合同项目款；提供场地和本合同项目相关事宜协调的权利。</w:t>
      </w:r>
    </w:p>
    <w:p>
      <w:pPr>
        <w:pStyle w:val="52"/>
        <w:numPr>
          <w:ilvl w:val="0"/>
          <w:numId w:val="9"/>
        </w:numPr>
        <w:tabs>
          <w:tab w:val="clear" w:pos="525"/>
        </w:tabs>
        <w:spacing w:line="440" w:lineRule="exact"/>
        <w:ind w:firstLine="480" w:firstLineChars="200"/>
        <w:rPr>
          <w:rFonts w:ascii="宋体" w:eastAsia="宋体"/>
          <w:kern w:val="2"/>
        </w:rPr>
      </w:pPr>
      <w:r>
        <w:rPr>
          <w:rFonts w:hint="eastAsia" w:ascii="宋体" w:eastAsia="宋体"/>
          <w:kern w:val="2"/>
        </w:rPr>
        <w:t>乙方有权力就供货物过程出现的问题向甲方提出修改、变更和解决问题的权利，所有变更应签署补充协议。</w:t>
      </w:r>
    </w:p>
    <w:p>
      <w:pPr>
        <w:pStyle w:val="52"/>
        <w:numPr>
          <w:ilvl w:val="0"/>
          <w:numId w:val="9"/>
        </w:numPr>
        <w:tabs>
          <w:tab w:val="clear" w:pos="525"/>
        </w:tabs>
        <w:spacing w:line="440" w:lineRule="exact"/>
        <w:ind w:firstLine="480" w:firstLineChars="200"/>
        <w:rPr>
          <w:rFonts w:ascii="宋体" w:eastAsia="宋体"/>
          <w:kern w:val="2"/>
        </w:rPr>
      </w:pPr>
      <w:r>
        <w:rPr>
          <w:rFonts w:hint="eastAsia" w:ascii="宋体" w:eastAsia="宋体"/>
          <w:kern w:val="2"/>
        </w:rPr>
        <w:t>乙方对甲方的违约行为所造成的损失有要求补偿的权利。</w:t>
      </w:r>
    </w:p>
    <w:p>
      <w:pPr>
        <w:pStyle w:val="52"/>
        <w:numPr>
          <w:ilvl w:val="0"/>
          <w:numId w:val="9"/>
        </w:numPr>
        <w:tabs>
          <w:tab w:val="clear" w:pos="525"/>
        </w:tabs>
        <w:spacing w:line="440" w:lineRule="exact"/>
        <w:ind w:firstLine="480" w:firstLineChars="200"/>
        <w:rPr>
          <w:rFonts w:ascii="宋体" w:eastAsia="宋体"/>
          <w:kern w:val="2"/>
        </w:rPr>
      </w:pPr>
      <w:r>
        <w:rPr>
          <w:rFonts w:hint="eastAsia" w:ascii="宋体" w:eastAsia="宋体"/>
          <w:kern w:val="2"/>
        </w:rPr>
        <w:t>甲方在履约过程中有违法行为时，乙方有拒绝的权利，并及时其监管部门反映违法情况。</w:t>
      </w:r>
    </w:p>
    <w:p>
      <w:pPr>
        <w:pStyle w:val="52"/>
        <w:tabs>
          <w:tab w:val="clear" w:pos="525"/>
        </w:tabs>
        <w:spacing w:line="520" w:lineRule="exact"/>
        <w:ind w:left="420" w:leftChars="200" w:firstLine="0" w:firstLineChars="0"/>
        <w:rPr>
          <w:rFonts w:ascii="宋体" w:eastAsia="宋体"/>
          <w:kern w:val="2"/>
        </w:rPr>
      </w:pPr>
      <w:r>
        <w:rPr>
          <w:rFonts w:hint="eastAsia" w:ascii="宋体" w:eastAsia="宋体"/>
          <w:kern w:val="2"/>
        </w:rPr>
        <w:t>2.义务</w:t>
      </w:r>
    </w:p>
    <w:p>
      <w:pPr>
        <w:pStyle w:val="52"/>
        <w:tabs>
          <w:tab w:val="clear" w:pos="525"/>
        </w:tabs>
        <w:spacing w:line="440" w:lineRule="exact"/>
        <w:rPr>
          <w:rFonts w:ascii="宋体" w:eastAsia="宋体"/>
          <w:kern w:val="2"/>
        </w:rPr>
      </w:pPr>
      <w:r>
        <w:rPr>
          <w:rFonts w:hint="eastAsia" w:ascii="宋体" w:eastAsia="宋体"/>
          <w:kern w:val="2"/>
        </w:rPr>
        <w:t>（1）乙方应指派约定的项目负责人，负责整个项目的组织协调，包括人员组织、货物入场及安装调试、安全、质量及工期等有关事务。</w:t>
      </w:r>
    </w:p>
    <w:p>
      <w:pPr>
        <w:pStyle w:val="52"/>
        <w:tabs>
          <w:tab w:val="clear" w:pos="525"/>
        </w:tabs>
        <w:spacing w:line="440" w:lineRule="exact"/>
        <w:rPr>
          <w:rFonts w:ascii="宋体" w:eastAsia="宋体"/>
          <w:kern w:val="2"/>
        </w:rPr>
      </w:pPr>
      <w:r>
        <w:rPr>
          <w:rFonts w:hint="eastAsia" w:ascii="宋体" w:eastAsia="宋体"/>
          <w:kern w:val="2"/>
        </w:rPr>
        <w:t>（2）乙方应按本合同要求进行供货、施工和服务，并保证项目进度。</w:t>
      </w:r>
    </w:p>
    <w:p>
      <w:pPr>
        <w:pStyle w:val="52"/>
        <w:tabs>
          <w:tab w:val="clear" w:pos="525"/>
        </w:tabs>
        <w:spacing w:line="440" w:lineRule="exact"/>
        <w:rPr>
          <w:rFonts w:ascii="宋体" w:eastAsia="宋体"/>
          <w:kern w:val="2"/>
        </w:rPr>
      </w:pPr>
      <w:r>
        <w:rPr>
          <w:rFonts w:hint="eastAsia" w:ascii="宋体" w:eastAsia="宋体"/>
          <w:kern w:val="2"/>
        </w:rPr>
        <w:t>（3）乙方应向甲方提供货物、施工和服务等合格证明及相关手续。</w:t>
      </w:r>
    </w:p>
    <w:p>
      <w:pPr>
        <w:pStyle w:val="52"/>
        <w:tabs>
          <w:tab w:val="clear" w:pos="525"/>
        </w:tabs>
        <w:spacing w:line="440" w:lineRule="exact"/>
        <w:rPr>
          <w:rFonts w:ascii="宋体" w:eastAsia="宋体"/>
          <w:kern w:val="2"/>
        </w:rPr>
      </w:pPr>
      <w:r>
        <w:rPr>
          <w:rFonts w:hint="eastAsia" w:ascii="宋体" w:eastAsia="宋体"/>
          <w:kern w:val="2"/>
        </w:rPr>
        <w:t>（4）乙方应当接受甲方及委托的监理机构的监督和检查，并有义务接受对不当行为的处理。</w:t>
      </w:r>
    </w:p>
    <w:p>
      <w:pPr>
        <w:spacing w:line="520" w:lineRule="exact"/>
        <w:jc w:val="left"/>
        <w:rPr>
          <w:rFonts w:ascii="宋体" w:hAnsi="宋体" w:cs="宋体"/>
          <w:sz w:val="24"/>
          <w:szCs w:val="24"/>
        </w:rPr>
      </w:pPr>
      <w:r>
        <w:rPr>
          <w:rFonts w:hint="eastAsia" w:ascii="宋体" w:hAnsi="宋体" w:cs="宋体"/>
          <w:sz w:val="24"/>
          <w:szCs w:val="24"/>
        </w:rPr>
        <w:t xml:space="preserve">    </w:t>
      </w:r>
      <w:r>
        <w:rPr>
          <w:rFonts w:hint="eastAsia" w:ascii="宋体" w:hAnsi="宋体" w:cs="宋体"/>
          <w:b/>
          <w:bCs/>
          <w:sz w:val="24"/>
          <w:szCs w:val="24"/>
        </w:rPr>
        <w:t xml:space="preserve">第十条 验收 </w:t>
      </w:r>
    </w:p>
    <w:p>
      <w:pPr>
        <w:pStyle w:val="52"/>
        <w:tabs>
          <w:tab w:val="clear" w:pos="525"/>
        </w:tabs>
        <w:spacing w:line="440" w:lineRule="exact"/>
        <w:rPr>
          <w:rFonts w:ascii="宋体" w:eastAsia="宋体"/>
          <w:kern w:val="2"/>
        </w:rPr>
      </w:pPr>
      <w:r>
        <w:rPr>
          <w:rFonts w:hint="eastAsia" w:ascii="宋体" w:eastAsia="宋体"/>
          <w:kern w:val="2"/>
        </w:rPr>
        <w:t>1.竣工，乙方须完成设备测试、培训工作，具备验收条件时，乙方须书面向甲方提出验收申请及验收所需相关材料。　　</w:t>
      </w:r>
    </w:p>
    <w:p>
      <w:pPr>
        <w:pStyle w:val="52"/>
        <w:tabs>
          <w:tab w:val="clear" w:pos="525"/>
        </w:tabs>
        <w:spacing w:line="440" w:lineRule="exact"/>
        <w:rPr>
          <w:rFonts w:ascii="宋体" w:eastAsia="宋体"/>
          <w:kern w:val="2"/>
        </w:rPr>
      </w:pPr>
      <w:r>
        <w:rPr>
          <w:rFonts w:hint="eastAsia" w:ascii="宋体" w:eastAsia="宋体"/>
          <w:kern w:val="2"/>
        </w:rPr>
        <w:t>2.甲方组织验收。在收到项目验收申请后，10日内通知采购相关当事方进行验收，各方应配合做好验收相关工作。</w:t>
      </w:r>
    </w:p>
    <w:p>
      <w:pPr>
        <w:pStyle w:val="52"/>
        <w:tabs>
          <w:tab w:val="clear" w:pos="525"/>
        </w:tabs>
        <w:spacing w:line="440" w:lineRule="exact"/>
        <w:rPr>
          <w:rFonts w:ascii="宋体" w:eastAsia="宋体"/>
          <w:kern w:val="2"/>
        </w:rPr>
      </w:pPr>
      <w:r>
        <w:rPr>
          <w:rFonts w:hint="eastAsia" w:ascii="宋体" w:eastAsia="宋体"/>
          <w:kern w:val="2"/>
        </w:rPr>
        <w:t xml:space="preserve">3.如验收不合格，乙方须承担重复验收等发生的一切费用。 </w:t>
      </w:r>
    </w:p>
    <w:p>
      <w:pPr>
        <w:pStyle w:val="52"/>
        <w:tabs>
          <w:tab w:val="clear" w:pos="525"/>
        </w:tabs>
        <w:spacing w:line="520" w:lineRule="exact"/>
        <w:ind w:left="412" w:leftChars="196" w:firstLine="0" w:firstLineChars="0"/>
        <w:rPr>
          <w:rFonts w:ascii="宋体" w:eastAsia="宋体"/>
          <w:b/>
          <w:bCs/>
          <w:kern w:val="2"/>
        </w:rPr>
      </w:pPr>
      <w:r>
        <w:rPr>
          <w:rFonts w:hint="eastAsia" w:ascii="宋体" w:eastAsia="宋体"/>
          <w:b/>
          <w:bCs/>
          <w:kern w:val="2"/>
        </w:rPr>
        <w:t xml:space="preserve"> 第十一条 不可抗力 </w:t>
      </w:r>
    </w:p>
    <w:p>
      <w:pPr>
        <w:pStyle w:val="52"/>
        <w:tabs>
          <w:tab w:val="clear" w:pos="525"/>
        </w:tabs>
        <w:spacing w:line="440" w:lineRule="exact"/>
        <w:ind w:firstLine="480" w:firstLineChars="0"/>
        <w:rPr>
          <w:rFonts w:ascii="宋体" w:eastAsia="宋体"/>
          <w:kern w:val="2"/>
        </w:rPr>
      </w:pPr>
      <w:r>
        <w:rPr>
          <w:rFonts w:hint="eastAsia" w:ascii="宋体" w:eastAsia="宋体"/>
          <w:kern w:val="2"/>
        </w:rPr>
        <w:t>不可抗力（包括因战争、动乱、空中飞行物体坠落或其他非发包人承包人责任造成的爆炸、火灾、暴雨、暴雪、洪水、地震等自然灾害及瘟疫等）应以国家和本市有关主管部门正式发布为准。</w:t>
      </w:r>
    </w:p>
    <w:p>
      <w:pPr>
        <w:pStyle w:val="52"/>
        <w:tabs>
          <w:tab w:val="clear" w:pos="525"/>
        </w:tabs>
        <w:spacing w:line="440" w:lineRule="exact"/>
        <w:ind w:firstLine="480" w:firstLineChars="0"/>
        <w:rPr>
          <w:rFonts w:ascii="宋体" w:eastAsia="宋体"/>
          <w:kern w:val="2"/>
        </w:rPr>
      </w:pPr>
      <w:r>
        <w:rPr>
          <w:rFonts w:hint="eastAsia" w:ascii="宋体" w:eastAsia="宋体"/>
          <w:kern w:val="2"/>
        </w:rPr>
        <w:t>不可抗力事件发生后，乙方应迅速采取措施，尽力减少损失，甲方应协助乙方采取措施。乙方不承担延期违约责任。</w:t>
      </w:r>
    </w:p>
    <w:p>
      <w:pPr>
        <w:spacing w:line="520" w:lineRule="exact"/>
        <w:ind w:firstLine="472" w:firstLineChars="196"/>
        <w:jc w:val="left"/>
        <w:rPr>
          <w:rFonts w:ascii="宋体" w:hAnsi="宋体" w:cs="宋体"/>
          <w:b/>
          <w:bCs/>
          <w:sz w:val="24"/>
          <w:szCs w:val="24"/>
        </w:rPr>
      </w:pPr>
      <w:r>
        <w:rPr>
          <w:rFonts w:hint="eastAsia" w:ascii="宋体" w:hAnsi="宋体" w:cs="宋体"/>
          <w:b/>
          <w:bCs/>
          <w:sz w:val="24"/>
          <w:szCs w:val="24"/>
        </w:rPr>
        <w:t>第十二条 售后服务及培训</w:t>
      </w:r>
    </w:p>
    <w:p>
      <w:pPr>
        <w:spacing w:line="520" w:lineRule="exact"/>
        <w:ind w:firstLine="480" w:firstLineChars="200"/>
        <w:jc w:val="left"/>
        <w:rPr>
          <w:rFonts w:ascii="宋体" w:hAnsi="宋体" w:cs="宋体"/>
          <w:sz w:val="24"/>
          <w:szCs w:val="24"/>
        </w:rPr>
      </w:pPr>
      <w:r>
        <w:rPr>
          <w:rFonts w:hint="eastAsia" w:ascii="宋体" w:hAnsi="宋体" w:cs="宋体"/>
          <w:sz w:val="24"/>
          <w:szCs w:val="24"/>
        </w:rPr>
        <w:t>1.质保期。自竣工验收合格后</w:t>
      </w:r>
      <w:r>
        <w:rPr>
          <w:rFonts w:hint="eastAsia" w:ascii="宋体" w:hAnsi="宋体" w:cs="宋体"/>
          <w:sz w:val="24"/>
          <w:szCs w:val="24"/>
          <w:u w:val="single"/>
        </w:rPr>
        <w:t xml:space="preserve">   </w:t>
      </w:r>
      <w:r>
        <w:rPr>
          <w:rFonts w:hint="eastAsia" w:ascii="宋体" w:hAnsi="宋体" w:cs="宋体"/>
          <w:sz w:val="24"/>
          <w:szCs w:val="24"/>
        </w:rPr>
        <w:t>个月。</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日常巡检。乙方每月提供不少于1次的上门全面巡检，并向用户方提交符合运维标准的巡检文档。运维响应，乙方须提供7*24小时电话响应和网上诊断服务。服务期内，如本合同项目设备和环境发生故障和异常，乙方应在4小时内到达现场或网上诊断并解决；如设备故障需返厂维修或更换配件时，乙方须24小时内向甲方免费提供备机或备件；重大故障应在48小时内解除并恢复正常。</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 xml:space="preserve">3.履约期间，如果发现乙方或其所供产品的制造厂商未能按照其承诺执行的，自发现之日起顺延本项目的质量保证期时间，同时将视具体情况予以扣除相应履约保证金和延长质量保证期的处罚。 </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4.人员培训。乙方在安装、调试设备的同时，对甲方相关操作人员免费进行技术培训，使其熟悉例行维护的程序。</w:t>
      </w:r>
    </w:p>
    <w:p>
      <w:pPr>
        <w:spacing w:line="520" w:lineRule="exact"/>
        <w:ind w:firstLine="472" w:firstLineChars="196"/>
        <w:jc w:val="left"/>
        <w:rPr>
          <w:rFonts w:ascii="宋体" w:hAnsi="宋体" w:cs="宋体"/>
          <w:b/>
          <w:bCs/>
          <w:sz w:val="24"/>
          <w:szCs w:val="24"/>
        </w:rPr>
      </w:pPr>
      <w:r>
        <w:rPr>
          <w:rFonts w:hint="eastAsia" w:ascii="宋体" w:hAnsi="宋体" w:cs="宋体"/>
          <w:b/>
          <w:bCs/>
          <w:sz w:val="24"/>
          <w:szCs w:val="24"/>
        </w:rPr>
        <w:t>第十三条 违约责任</w:t>
      </w:r>
    </w:p>
    <w:p>
      <w:pPr>
        <w:spacing w:line="520" w:lineRule="exact"/>
        <w:jc w:val="left"/>
        <w:rPr>
          <w:rFonts w:ascii="宋体" w:hAnsi="宋体" w:cs="宋体"/>
          <w:b/>
          <w:bCs/>
          <w:sz w:val="24"/>
          <w:szCs w:val="24"/>
        </w:rPr>
      </w:pPr>
      <w:r>
        <w:rPr>
          <w:rFonts w:hint="eastAsia" w:ascii="宋体" w:hAnsi="宋体" w:cs="宋体"/>
          <w:b/>
          <w:bCs/>
          <w:sz w:val="24"/>
          <w:szCs w:val="24"/>
        </w:rPr>
        <w:t xml:space="preserve">    1.甲方违约责任</w:t>
      </w:r>
    </w:p>
    <w:p>
      <w:pPr>
        <w:numPr>
          <w:ilvl w:val="0"/>
          <w:numId w:val="10"/>
        </w:numPr>
        <w:spacing w:line="440" w:lineRule="exact"/>
        <w:ind w:firstLine="420" w:firstLineChars="175"/>
        <w:jc w:val="left"/>
        <w:rPr>
          <w:rFonts w:ascii="宋体" w:hAnsi="宋体" w:cs="宋体"/>
          <w:sz w:val="24"/>
          <w:szCs w:val="24"/>
        </w:rPr>
      </w:pPr>
      <w:r>
        <w:rPr>
          <w:rFonts w:hint="eastAsia" w:ascii="宋体" w:hAnsi="宋体" w:cs="宋体"/>
          <w:sz w:val="24"/>
          <w:szCs w:val="24"/>
        </w:rPr>
        <w:t>甲方无正当理由拒收设备，应向供方支付无正当理由拒收设备金额5%的违约金。</w:t>
      </w:r>
    </w:p>
    <w:p>
      <w:pPr>
        <w:numPr>
          <w:ilvl w:val="0"/>
          <w:numId w:val="10"/>
        </w:numPr>
        <w:spacing w:line="440" w:lineRule="exact"/>
        <w:ind w:firstLine="420" w:firstLineChars="175"/>
        <w:jc w:val="left"/>
        <w:rPr>
          <w:rFonts w:ascii="宋体" w:hAnsi="宋体" w:cs="宋体"/>
          <w:sz w:val="24"/>
          <w:szCs w:val="24"/>
        </w:rPr>
      </w:pPr>
      <w:r>
        <w:rPr>
          <w:rFonts w:hint="eastAsia" w:ascii="宋体" w:hAnsi="宋体" w:cs="宋体"/>
          <w:sz w:val="24"/>
          <w:szCs w:val="24"/>
        </w:rPr>
        <w:t>因甲方责任给乙方造成损失的应当承担相应的补偿责任。</w:t>
      </w:r>
    </w:p>
    <w:p>
      <w:pPr>
        <w:numPr>
          <w:ilvl w:val="0"/>
          <w:numId w:val="10"/>
        </w:numPr>
        <w:spacing w:line="440" w:lineRule="exact"/>
        <w:ind w:firstLine="420" w:firstLineChars="175"/>
        <w:jc w:val="left"/>
        <w:rPr>
          <w:rFonts w:ascii="宋体" w:hAnsi="宋体" w:cs="宋体"/>
          <w:sz w:val="24"/>
          <w:szCs w:val="24"/>
        </w:rPr>
      </w:pPr>
      <w:r>
        <w:rPr>
          <w:rFonts w:hint="eastAsia" w:ascii="宋体" w:hAnsi="宋体" w:cs="宋体"/>
          <w:sz w:val="24"/>
          <w:szCs w:val="24"/>
        </w:rPr>
        <w:t>因乙方原因造成逾期付款或损失，甲方方不承担责任。</w:t>
      </w:r>
    </w:p>
    <w:p>
      <w:pPr>
        <w:spacing w:line="440" w:lineRule="exact"/>
        <w:ind w:firstLine="422" w:firstLineChars="175"/>
        <w:jc w:val="left"/>
        <w:rPr>
          <w:rFonts w:ascii="宋体" w:hAnsi="宋体" w:cs="宋体"/>
          <w:sz w:val="24"/>
          <w:szCs w:val="24"/>
        </w:rPr>
      </w:pPr>
      <w:r>
        <w:rPr>
          <w:rFonts w:hint="eastAsia" w:ascii="宋体" w:hAnsi="宋体" w:cs="宋体"/>
          <w:b/>
          <w:bCs/>
          <w:sz w:val="24"/>
          <w:szCs w:val="24"/>
        </w:rPr>
        <w:t>2.乙方违约责任</w:t>
      </w:r>
      <w:r>
        <w:rPr>
          <w:rFonts w:hint="eastAsia" w:ascii="宋体" w:hAnsi="宋体" w:cs="宋体"/>
          <w:b/>
          <w:bCs/>
          <w:sz w:val="24"/>
          <w:szCs w:val="24"/>
        </w:rPr>
        <w:br w:type="textWrapping"/>
      </w:r>
      <w:r>
        <w:rPr>
          <w:rFonts w:hint="eastAsia" w:ascii="宋体" w:hAnsi="宋体" w:cs="宋体"/>
          <w:sz w:val="24"/>
          <w:szCs w:val="24"/>
        </w:rPr>
        <w:t>　 （1）所供的货物品种、品牌、型号、规格、质量不符国家标准或不符合招、投标文件规定，需方有权拒收，乙方应在本合同规定的交货期内负责更换并承担因更换而支付的费用。因更换而造成的逾期交货，则按逾期交货处理。</w:t>
      </w:r>
    </w:p>
    <w:p>
      <w:pPr>
        <w:spacing w:line="440" w:lineRule="exact"/>
        <w:ind w:firstLine="420" w:firstLineChars="175"/>
        <w:jc w:val="left"/>
        <w:rPr>
          <w:rFonts w:ascii="宋体" w:hAnsi="宋体" w:cs="宋体"/>
          <w:sz w:val="24"/>
          <w:szCs w:val="24"/>
        </w:rPr>
      </w:pPr>
      <w:r>
        <w:rPr>
          <w:rFonts w:hint="eastAsia" w:ascii="宋体" w:hAnsi="宋体" w:cs="宋体"/>
          <w:sz w:val="24"/>
          <w:szCs w:val="24"/>
        </w:rPr>
        <w:t>（2）乙方逾期交付货物，应向需方每日支付逾期交货部分货款总值5‰的违约金；在合同规定的交货期满15日仍未全部交货，按不能交货处理。仅支付已验收合格货物的货款，从方应承担由此发生的全部费用。</w:t>
      </w:r>
    </w:p>
    <w:p>
      <w:pPr>
        <w:numPr>
          <w:ilvl w:val="0"/>
          <w:numId w:val="11"/>
        </w:numPr>
        <w:spacing w:line="440" w:lineRule="exact"/>
        <w:ind w:firstLine="420" w:firstLineChars="175"/>
        <w:jc w:val="left"/>
        <w:rPr>
          <w:rFonts w:ascii="宋体" w:hAnsi="宋体" w:cs="宋体"/>
          <w:sz w:val="24"/>
          <w:szCs w:val="24"/>
          <w:lang w:val="zh-CN"/>
        </w:rPr>
      </w:pPr>
      <w:r>
        <w:rPr>
          <w:rFonts w:hint="eastAsia" w:ascii="宋体" w:hAnsi="宋体" w:cs="宋体"/>
          <w:sz w:val="24"/>
          <w:szCs w:val="24"/>
        </w:rPr>
        <w:t>乙方在本合同履行过程中出现了甲方认为实质性的违约，甲方有权解除乙方合，终止合同执行，若符合追究乙方责任时应当依法进行。</w:t>
      </w:r>
    </w:p>
    <w:p>
      <w:pPr>
        <w:numPr>
          <w:ilvl w:val="0"/>
          <w:numId w:val="11"/>
        </w:numPr>
        <w:spacing w:line="440" w:lineRule="exact"/>
        <w:ind w:firstLine="420" w:firstLineChars="175"/>
        <w:jc w:val="left"/>
        <w:rPr>
          <w:rFonts w:ascii="宋体" w:hAnsi="宋体" w:cs="宋体"/>
          <w:sz w:val="24"/>
          <w:szCs w:val="24"/>
          <w:lang w:val="zh-CN"/>
        </w:rPr>
      </w:pPr>
      <w:r>
        <w:rPr>
          <w:rFonts w:hint="eastAsia" w:ascii="宋体" w:hAnsi="宋体" w:cs="宋体"/>
          <w:sz w:val="24"/>
          <w:szCs w:val="24"/>
        </w:rPr>
        <w:t>因乙方责任给甲方造成损失应当进行赔偿。</w:t>
      </w:r>
    </w:p>
    <w:p>
      <w:pPr>
        <w:spacing w:line="520" w:lineRule="exact"/>
        <w:ind w:firstLine="472" w:firstLineChars="196"/>
        <w:jc w:val="left"/>
        <w:rPr>
          <w:rFonts w:ascii="宋体" w:hAnsi="宋体" w:cs="宋体"/>
          <w:b/>
          <w:bCs/>
          <w:sz w:val="24"/>
          <w:szCs w:val="24"/>
        </w:rPr>
      </w:pPr>
      <w:r>
        <w:rPr>
          <w:rFonts w:hint="eastAsia" w:ascii="宋体" w:hAnsi="宋体" w:cs="宋体"/>
          <w:b/>
          <w:bCs/>
          <w:sz w:val="24"/>
          <w:szCs w:val="24"/>
        </w:rPr>
        <w:t xml:space="preserve">第十四条 争议 </w:t>
      </w:r>
    </w:p>
    <w:p>
      <w:pPr>
        <w:spacing w:line="440" w:lineRule="exact"/>
        <w:ind w:firstLine="470" w:firstLineChars="196"/>
        <w:jc w:val="left"/>
        <w:rPr>
          <w:rFonts w:ascii="宋体" w:hAnsi="宋体" w:cs="宋体"/>
          <w:sz w:val="24"/>
          <w:szCs w:val="24"/>
        </w:rPr>
      </w:pPr>
      <w:r>
        <w:rPr>
          <w:rFonts w:hint="eastAsia" w:ascii="宋体" w:hAnsi="宋体" w:cs="宋体"/>
          <w:sz w:val="24"/>
          <w:szCs w:val="24"/>
        </w:rPr>
        <w:t>1.质量鉴定：因质量问题发生争议，由项目所在地质量技术监督局或其指定的机构进行质量量鉴定，该鉴定结论是终局的，供需双方均应当接受鉴定结论。</w:t>
      </w:r>
    </w:p>
    <w:p>
      <w:pPr>
        <w:spacing w:line="440" w:lineRule="exact"/>
        <w:ind w:firstLine="470" w:firstLineChars="196"/>
        <w:jc w:val="left"/>
        <w:rPr>
          <w:rFonts w:ascii="宋体" w:hAnsi="宋体" w:cs="宋体"/>
          <w:sz w:val="24"/>
          <w:szCs w:val="24"/>
        </w:rPr>
      </w:pPr>
      <w:r>
        <w:rPr>
          <w:rFonts w:hint="eastAsia" w:ascii="宋体" w:hAnsi="宋体" w:cs="宋体"/>
          <w:sz w:val="24"/>
          <w:szCs w:val="24"/>
        </w:rPr>
        <w:t>2.因本协议发生的争议，甲乙双方应友好协商解决；协商不成的，向本项目所在地中裁机构或人民法院提起诉讼。</w:t>
      </w:r>
    </w:p>
    <w:p>
      <w:pPr>
        <w:spacing w:line="440" w:lineRule="exact"/>
        <w:ind w:firstLine="472" w:firstLineChars="196"/>
        <w:jc w:val="left"/>
        <w:rPr>
          <w:rFonts w:ascii="宋体" w:hAnsi="宋体" w:cs="宋体"/>
          <w:sz w:val="24"/>
          <w:szCs w:val="24"/>
        </w:rPr>
      </w:pPr>
      <w:r>
        <w:rPr>
          <w:rFonts w:hint="eastAsia" w:ascii="宋体" w:hAnsi="宋体" w:cs="宋体"/>
          <w:b/>
          <w:bCs/>
          <w:sz w:val="24"/>
          <w:szCs w:val="24"/>
        </w:rPr>
        <w:t xml:space="preserve">第十五条 合同份数 </w:t>
      </w:r>
      <w:r>
        <w:rPr>
          <w:rFonts w:hint="eastAsia" w:ascii="宋体" w:hAnsi="宋体" w:cs="宋体"/>
          <w:sz w:val="24"/>
          <w:szCs w:val="24"/>
        </w:rPr>
        <w:br w:type="textWrapping"/>
      </w:r>
      <w:r>
        <w:rPr>
          <w:rFonts w:hint="eastAsia" w:ascii="宋体" w:hAnsi="宋体" w:cs="宋体"/>
          <w:sz w:val="24"/>
          <w:szCs w:val="24"/>
        </w:rPr>
        <w:t>　　双方约定合同份数：本合同一式5份，具有相同的效力。（甲方3份和乙方2份）</w:t>
      </w:r>
    </w:p>
    <w:p>
      <w:pPr>
        <w:spacing w:line="520" w:lineRule="exact"/>
        <w:ind w:firstLine="472" w:firstLineChars="196"/>
        <w:jc w:val="left"/>
        <w:rPr>
          <w:rFonts w:ascii="宋体" w:hAnsi="宋体" w:cs="宋体"/>
          <w:b/>
          <w:bCs/>
          <w:sz w:val="24"/>
          <w:szCs w:val="24"/>
        </w:rPr>
      </w:pPr>
      <w:r>
        <w:rPr>
          <w:rFonts w:hint="eastAsia" w:ascii="宋体" w:hAnsi="宋体" w:cs="宋体"/>
          <w:b/>
          <w:bCs/>
          <w:sz w:val="24"/>
          <w:szCs w:val="24"/>
        </w:rPr>
        <w:t>第十六条 其他</w:t>
      </w:r>
    </w:p>
    <w:p>
      <w:pPr>
        <w:spacing w:line="440" w:lineRule="exact"/>
        <w:ind w:firstLine="470" w:firstLineChars="196"/>
        <w:jc w:val="left"/>
        <w:rPr>
          <w:rFonts w:ascii="宋体" w:hAnsi="宋体" w:cs="宋体"/>
          <w:sz w:val="24"/>
          <w:szCs w:val="24"/>
        </w:rPr>
      </w:pPr>
      <w:r>
        <w:rPr>
          <w:rFonts w:hint="eastAsia" w:ascii="宋体" w:hAnsi="宋体" w:cs="宋体"/>
          <w:sz w:val="24"/>
          <w:szCs w:val="24"/>
        </w:rPr>
        <w:t>未尽事宜双方协商另行签订补充协议，对本合同内容的任何修改、补充或变更须采用书面形式，经双方加盖公章后正式生效。</w:t>
      </w:r>
    </w:p>
    <w:p>
      <w:pPr>
        <w:spacing w:line="520" w:lineRule="exact"/>
        <w:ind w:firstLine="470" w:firstLineChars="196"/>
        <w:jc w:val="left"/>
        <w:rPr>
          <w:rFonts w:ascii="宋体" w:hAnsi="宋体" w:cs="宋体"/>
          <w:sz w:val="24"/>
          <w:szCs w:val="24"/>
        </w:rPr>
      </w:pPr>
      <w:r>
        <w:rPr>
          <w:rFonts w:hint="eastAsia" w:ascii="宋体" w:hAnsi="宋体" w:cs="宋体"/>
          <w:sz w:val="24"/>
          <w:szCs w:val="24"/>
        </w:rPr>
        <w:t xml:space="preserve">甲方：（公章） </w:t>
      </w:r>
    </w:p>
    <w:p>
      <w:pPr>
        <w:spacing w:line="520" w:lineRule="exact"/>
        <w:ind w:firstLine="470" w:firstLineChars="196"/>
        <w:jc w:val="left"/>
        <w:rPr>
          <w:rFonts w:ascii="宋体" w:hAnsi="宋体" w:cs="宋体"/>
          <w:sz w:val="24"/>
          <w:szCs w:val="24"/>
        </w:rPr>
      </w:pPr>
      <w:r>
        <w:rPr>
          <w:rFonts w:hint="eastAsia" w:ascii="宋体" w:hAnsi="宋体" w:cs="宋体"/>
          <w:sz w:val="24"/>
          <w:szCs w:val="24"/>
        </w:rPr>
        <w:t xml:space="preserve">法定代表人或委托代理人签字： </w:t>
      </w:r>
    </w:p>
    <w:p>
      <w:pPr>
        <w:spacing w:line="520" w:lineRule="exact"/>
        <w:ind w:firstLine="470" w:firstLineChars="196"/>
        <w:jc w:val="left"/>
        <w:rPr>
          <w:rFonts w:ascii="宋体" w:hAnsi="宋体" w:cs="宋体"/>
          <w:sz w:val="24"/>
          <w:szCs w:val="24"/>
        </w:rPr>
      </w:pPr>
      <w:r>
        <w:rPr>
          <w:rFonts w:hint="eastAsia" w:ascii="宋体" w:hAnsi="宋体" w:cs="宋体"/>
          <w:sz w:val="24"/>
          <w:szCs w:val="24"/>
        </w:rPr>
        <w:t>地址：</w:t>
      </w:r>
    </w:p>
    <w:p>
      <w:pPr>
        <w:spacing w:line="520" w:lineRule="exact"/>
        <w:ind w:firstLine="470" w:firstLineChars="196"/>
        <w:jc w:val="left"/>
        <w:rPr>
          <w:rFonts w:ascii="宋体" w:hAnsi="宋体" w:cs="宋体"/>
          <w:sz w:val="24"/>
          <w:szCs w:val="24"/>
        </w:rPr>
      </w:pPr>
      <w:r>
        <w:rPr>
          <w:rFonts w:hint="eastAsia" w:ascii="宋体" w:hAnsi="宋体" w:cs="宋体"/>
          <w:sz w:val="24"/>
          <w:szCs w:val="24"/>
        </w:rPr>
        <w:t xml:space="preserve">电话：                  传真： </w:t>
      </w:r>
    </w:p>
    <w:p>
      <w:pPr>
        <w:spacing w:line="520" w:lineRule="exact"/>
        <w:ind w:firstLine="470" w:firstLineChars="196"/>
        <w:jc w:val="left"/>
        <w:rPr>
          <w:rFonts w:ascii="宋体" w:hAnsi="宋体" w:cs="宋体"/>
          <w:sz w:val="24"/>
          <w:szCs w:val="24"/>
        </w:rPr>
      </w:pPr>
      <w:r>
        <w:rPr>
          <w:rFonts w:hint="eastAsia" w:ascii="宋体" w:hAnsi="宋体" w:cs="宋体"/>
          <w:sz w:val="24"/>
          <w:szCs w:val="24"/>
        </w:rPr>
        <w:t>开户银行：              账号：</w:t>
      </w:r>
    </w:p>
    <w:p>
      <w:pPr>
        <w:spacing w:line="520" w:lineRule="exact"/>
        <w:ind w:firstLine="470" w:firstLineChars="196"/>
        <w:jc w:val="left"/>
        <w:rPr>
          <w:rFonts w:ascii="宋体" w:hAnsi="宋体" w:cs="宋体"/>
          <w:sz w:val="24"/>
          <w:szCs w:val="24"/>
        </w:rPr>
      </w:pPr>
      <w:r>
        <w:rPr>
          <w:rFonts w:hint="eastAsia" w:ascii="宋体" w:hAnsi="宋体" w:cs="宋体"/>
          <w:sz w:val="24"/>
          <w:szCs w:val="24"/>
        </w:rPr>
        <w:t>日期：</w:t>
      </w:r>
    </w:p>
    <w:p>
      <w:pPr>
        <w:spacing w:line="520" w:lineRule="exact"/>
        <w:ind w:firstLine="470" w:firstLineChars="196"/>
        <w:jc w:val="left"/>
        <w:rPr>
          <w:rFonts w:ascii="宋体" w:hAnsi="宋体" w:cs="宋体"/>
          <w:sz w:val="24"/>
          <w:szCs w:val="24"/>
        </w:rPr>
      </w:pPr>
      <w:r>
        <w:rPr>
          <w:rFonts w:hint="eastAsia" w:ascii="宋体" w:hAnsi="宋体" w:cs="宋体"/>
          <w:sz w:val="24"/>
          <w:szCs w:val="24"/>
        </w:rPr>
        <w:t>乙方：（公章）</w:t>
      </w:r>
    </w:p>
    <w:p>
      <w:pPr>
        <w:spacing w:line="520" w:lineRule="exact"/>
        <w:ind w:firstLine="470" w:firstLineChars="196"/>
        <w:jc w:val="left"/>
        <w:rPr>
          <w:rFonts w:ascii="宋体" w:hAnsi="宋体" w:cs="宋体"/>
          <w:sz w:val="24"/>
          <w:szCs w:val="24"/>
        </w:rPr>
      </w:pPr>
      <w:r>
        <w:rPr>
          <w:rFonts w:hint="eastAsia" w:ascii="宋体" w:hAnsi="宋体" w:cs="宋体"/>
          <w:sz w:val="24"/>
          <w:szCs w:val="24"/>
        </w:rPr>
        <w:t>地址：</w:t>
      </w:r>
    </w:p>
    <w:p>
      <w:pPr>
        <w:spacing w:line="520" w:lineRule="exact"/>
        <w:ind w:firstLine="470" w:firstLineChars="196"/>
        <w:jc w:val="left"/>
        <w:rPr>
          <w:rFonts w:ascii="宋体" w:hAnsi="宋体" w:cs="宋体"/>
          <w:sz w:val="24"/>
          <w:szCs w:val="24"/>
        </w:rPr>
      </w:pPr>
      <w:r>
        <w:rPr>
          <w:rFonts w:hint="eastAsia" w:ascii="宋体" w:hAnsi="宋体" w:cs="宋体"/>
          <w:sz w:val="24"/>
          <w:szCs w:val="24"/>
        </w:rPr>
        <w:t>法定代表人或委托代理人签字：</w:t>
      </w:r>
    </w:p>
    <w:p>
      <w:pPr>
        <w:spacing w:line="520" w:lineRule="exact"/>
        <w:ind w:firstLine="470" w:firstLineChars="196"/>
        <w:jc w:val="left"/>
        <w:rPr>
          <w:rFonts w:ascii="宋体" w:hAnsi="宋体" w:cs="宋体"/>
          <w:sz w:val="24"/>
          <w:szCs w:val="24"/>
        </w:rPr>
      </w:pPr>
      <w:r>
        <w:rPr>
          <w:rFonts w:hint="eastAsia" w:ascii="宋体" w:hAnsi="宋体" w:cs="宋体"/>
          <w:sz w:val="24"/>
          <w:szCs w:val="24"/>
        </w:rPr>
        <w:t>电话：                  传真：</w:t>
      </w:r>
    </w:p>
    <w:p>
      <w:pPr>
        <w:spacing w:line="520" w:lineRule="exact"/>
        <w:ind w:firstLine="470" w:firstLineChars="196"/>
        <w:jc w:val="left"/>
        <w:rPr>
          <w:rFonts w:ascii="宋体" w:hAnsi="宋体" w:cs="宋体"/>
          <w:sz w:val="24"/>
          <w:szCs w:val="24"/>
        </w:rPr>
      </w:pPr>
      <w:r>
        <w:rPr>
          <w:rFonts w:hint="eastAsia" w:ascii="宋体" w:hAnsi="宋体" w:cs="宋体"/>
          <w:sz w:val="24"/>
          <w:szCs w:val="24"/>
        </w:rPr>
        <w:t>开户银行：              账号：</w:t>
      </w:r>
    </w:p>
    <w:p>
      <w:pPr>
        <w:spacing w:line="520" w:lineRule="exact"/>
        <w:ind w:firstLine="470" w:firstLineChars="196"/>
        <w:jc w:val="left"/>
        <w:rPr>
          <w:rFonts w:ascii="宋体" w:hAnsi="宋体" w:cs="宋体"/>
          <w:sz w:val="24"/>
          <w:szCs w:val="24"/>
        </w:rPr>
      </w:pPr>
      <w:r>
        <w:rPr>
          <w:rFonts w:hint="eastAsia" w:ascii="宋体" w:hAnsi="宋体" w:cs="宋体"/>
          <w:sz w:val="24"/>
          <w:szCs w:val="24"/>
        </w:rPr>
        <w:t>日期：</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6"/>
          <w:szCs w:val="36"/>
        </w:rPr>
        <w:t>第八章 投标文件有关格式</w:t>
      </w:r>
    </w:p>
    <w:p>
      <w:pPr>
        <w:spacing w:line="480" w:lineRule="exact"/>
        <w:jc w:val="left"/>
        <w:rPr>
          <w:rFonts w:hint="eastAsia" w:ascii="宋体" w:hAnsi="宋体" w:eastAsia="宋体" w:cs="Times New Roman"/>
          <w:b/>
          <w:color w:val="000000"/>
          <w:kern w:val="0"/>
          <w:sz w:val="24"/>
          <w:szCs w:val="24"/>
        </w:rPr>
      </w:pPr>
      <w:bookmarkStart w:id="25" w:name="_Toc186274126"/>
      <w:bookmarkStart w:id="26" w:name="_Toc184023138"/>
      <w:bookmarkStart w:id="27" w:name="_Toc174185203"/>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ascii="Lucida Sans Unicode" w:hAnsi="Lucida Sans Unicode" w:eastAsia="宋体" w:cs="Lucida Sans Unicode"/>
          <w:b/>
          <w:color w:val="000000"/>
        </w:rPr>
      </w:pPr>
      <w:r>
        <w:rPr>
          <w:rFonts w:hint="eastAsia" w:ascii="宋体" w:hAnsi="宋体" w:eastAsia="宋体" w:cs="Times New Roman"/>
          <w:b/>
          <w:color w:val="000000"/>
          <w:kern w:val="0"/>
          <w:sz w:val="24"/>
          <w:szCs w:val="24"/>
        </w:rPr>
        <w:t>注：</w:t>
      </w:r>
      <w:r>
        <w:rPr>
          <w:rFonts w:ascii="宋体" w:hAnsi="宋体" w:eastAsia="宋体" w:cs="Times New Roman"/>
          <w:b/>
          <w:color w:val="000000"/>
          <w:kern w:val="0"/>
          <w:sz w:val="24"/>
          <w:szCs w:val="24"/>
        </w:rPr>
        <w:t>请</w:t>
      </w:r>
      <w:r>
        <w:rPr>
          <w:rFonts w:hint="eastAsia" w:ascii="宋体" w:hAnsi="宋体" w:eastAsia="宋体" w:cs="Times New Roman"/>
          <w:b/>
          <w:color w:val="000000"/>
          <w:kern w:val="0"/>
          <w:sz w:val="24"/>
          <w:szCs w:val="24"/>
        </w:rPr>
        <w:t>投</w:t>
      </w:r>
      <w:r>
        <w:rPr>
          <w:rFonts w:ascii="宋体" w:hAnsi="宋体" w:eastAsia="宋体" w:cs="Times New Roman"/>
          <w:b/>
          <w:color w:val="000000"/>
          <w:kern w:val="0"/>
          <w:sz w:val="24"/>
          <w:szCs w:val="24"/>
        </w:rPr>
        <w:t>标</w:t>
      </w:r>
      <w:r>
        <w:rPr>
          <w:rFonts w:hint="eastAsia" w:ascii="宋体" w:hAnsi="宋体" w:eastAsia="宋体" w:cs="Times New Roman"/>
          <w:b/>
          <w:color w:val="000000"/>
          <w:kern w:val="0"/>
          <w:sz w:val="24"/>
          <w:szCs w:val="24"/>
        </w:rPr>
        <w:t>人务必</w:t>
      </w:r>
      <w:r>
        <w:rPr>
          <w:rFonts w:hint="eastAsia" w:ascii="宋体" w:hAnsi="宋体"/>
          <w:b/>
          <w:color w:val="000000"/>
          <w:kern w:val="0"/>
          <w:sz w:val="24"/>
          <w:szCs w:val="24"/>
        </w:rPr>
        <w:t>根据招标文件要求</w:t>
      </w:r>
      <w:r>
        <w:rPr>
          <w:rFonts w:hint="eastAsia" w:ascii="宋体" w:hAnsi="宋体" w:eastAsia="宋体" w:cs="Times New Roman"/>
          <w:b/>
          <w:color w:val="000000"/>
          <w:kern w:val="0"/>
          <w:sz w:val="24"/>
          <w:szCs w:val="24"/>
        </w:rPr>
        <w:t>修改此封面。</w:t>
      </w:r>
    </w:p>
    <w:p>
      <w:pPr>
        <w:tabs>
          <w:tab w:val="left" w:pos="360"/>
        </w:tabs>
        <w:rPr>
          <w:rFonts w:hint="eastAsia" w:ascii="宋体" w:hAnsi="宋体"/>
          <w:b/>
          <w:sz w:val="52"/>
          <w:szCs w:val="52"/>
        </w:rPr>
      </w:pPr>
    </w:p>
    <w:p>
      <w:pPr>
        <w:tabs>
          <w:tab w:val="left" w:pos="360"/>
        </w:tabs>
        <w:jc w:val="center"/>
        <w:rPr>
          <w:rFonts w:hint="eastAsia" w:ascii="宋体" w:hAnsi="宋体" w:eastAsia="宋体" w:cs="Times New Roman"/>
          <w:b/>
          <w:w w:val="66"/>
          <w:sz w:val="52"/>
          <w:szCs w:val="52"/>
        </w:rPr>
      </w:pPr>
      <w:r>
        <w:rPr>
          <w:rFonts w:hint="eastAsia" w:ascii="宋体" w:hAnsi="宋体"/>
          <w:b/>
          <w:sz w:val="52"/>
          <w:szCs w:val="52"/>
        </w:rPr>
        <w:t>xxxxx</w:t>
      </w:r>
      <w:r>
        <w:rPr>
          <w:rFonts w:hint="eastAsia" w:ascii="宋体" w:hAnsi="宋体" w:eastAsia="宋体" w:cs="Times New Roman"/>
          <w:b/>
          <w:sz w:val="52"/>
          <w:szCs w:val="52"/>
        </w:rPr>
        <w:t>项目</w:t>
      </w:r>
    </w:p>
    <w:p>
      <w:pPr>
        <w:tabs>
          <w:tab w:val="left" w:pos="55"/>
        </w:tabs>
        <w:jc w:val="left"/>
        <w:rPr>
          <w:rFonts w:hint="eastAsia" w:ascii="Calibri" w:hAnsi="Calibri" w:eastAsia="宋体" w:cs="Times New Roman"/>
          <w:b/>
          <w:w w:val="150"/>
          <w:sz w:val="48"/>
          <w:szCs w:val="48"/>
        </w:rPr>
      </w:pPr>
      <w:r>
        <w:rPr>
          <w:rFonts w:ascii="Calibri" w:hAnsi="Calibri" w:eastAsia="宋体" w:cs="Times New Roman"/>
          <w:b/>
          <w:w w:val="150"/>
          <w:sz w:val="84"/>
        </w:rPr>
        <w:tab/>
      </w:r>
    </w:p>
    <w:p>
      <w:pPr>
        <w:tabs>
          <w:tab w:val="left" w:pos="1950"/>
        </w:tabs>
        <w:jc w:val="left"/>
        <w:rPr>
          <w:rFonts w:hint="eastAsia" w:ascii="Calibri" w:hAnsi="Calibri" w:eastAsia="宋体" w:cs="Times New Roman"/>
          <w:b/>
          <w:w w:val="150"/>
          <w:sz w:val="48"/>
          <w:szCs w:val="48"/>
        </w:rPr>
      </w:pPr>
    </w:p>
    <w:p>
      <w:pPr>
        <w:tabs>
          <w:tab w:val="left" w:pos="1950"/>
        </w:tabs>
        <w:jc w:val="left"/>
        <w:rPr>
          <w:rFonts w:hint="eastAsia" w:ascii="Calibri" w:hAnsi="Calibri" w:eastAsia="宋体" w:cs="Times New Roman"/>
          <w:b/>
          <w:w w:val="150"/>
          <w:sz w:val="48"/>
          <w:szCs w:val="48"/>
        </w:rPr>
      </w:pPr>
    </w:p>
    <w:p>
      <w:pPr>
        <w:jc w:val="center"/>
        <w:rPr>
          <w:rFonts w:hint="eastAsia" w:ascii="宋体" w:hAnsi="宋体" w:eastAsia="宋体" w:cs="Times New Roman"/>
          <w:b/>
          <w:sz w:val="84"/>
          <w:szCs w:val="84"/>
        </w:rPr>
      </w:pPr>
      <w:r>
        <w:rPr>
          <w:rFonts w:hint="eastAsia" w:ascii="宋体" w:hAnsi="宋体" w:eastAsia="宋体" w:cs="Times New Roman"/>
          <w:b/>
          <w:sz w:val="84"/>
          <w:szCs w:val="84"/>
        </w:rPr>
        <w:t>投标文件</w:t>
      </w:r>
    </w:p>
    <w:p>
      <w:pPr>
        <w:spacing w:line="360" w:lineRule="auto"/>
        <w:jc w:val="center"/>
        <w:rPr>
          <w:rFonts w:hint="eastAsia" w:ascii="仿宋" w:hAnsi="仿宋" w:eastAsia="仿宋" w:cs="Times New Roman"/>
          <w:b/>
          <w:bCs/>
          <w:szCs w:val="21"/>
        </w:rPr>
      </w:pPr>
      <w:r>
        <w:rPr>
          <w:rFonts w:hint="eastAsia" w:ascii="仿宋" w:hAnsi="仿宋" w:eastAsia="仿宋" w:cs="Times New Roman"/>
          <w:b/>
          <w:bCs/>
          <w:sz w:val="36"/>
        </w:rPr>
        <w:t xml:space="preserve">     </w:t>
      </w:r>
    </w:p>
    <w:p>
      <w:pPr>
        <w:spacing w:line="360" w:lineRule="auto"/>
        <w:jc w:val="center"/>
        <w:rPr>
          <w:rFonts w:hint="eastAsia" w:ascii="仿宋" w:hAnsi="仿宋" w:eastAsia="仿宋" w:cs="Times New Roman"/>
          <w:b/>
          <w:bCs/>
          <w:szCs w:val="21"/>
        </w:rPr>
      </w:pPr>
    </w:p>
    <w:p>
      <w:pPr>
        <w:tabs>
          <w:tab w:val="left" w:pos="360"/>
        </w:tabs>
        <w:rPr>
          <w:rFonts w:hint="eastAsia" w:ascii="宋体" w:hAnsi="宋体" w:eastAsia="宋体" w:cs="Times New Roman"/>
          <w:b/>
          <w:sz w:val="36"/>
          <w:szCs w:val="36"/>
        </w:rPr>
      </w:pPr>
    </w:p>
    <w:p>
      <w:pPr>
        <w:tabs>
          <w:tab w:val="left" w:pos="360"/>
        </w:tabs>
        <w:ind w:firstLine="1807" w:firstLineChars="500"/>
        <w:rPr>
          <w:rFonts w:hint="eastAsia" w:ascii="宋体" w:hAnsi="宋体" w:eastAsia="宋体" w:cs="Times New Roman"/>
          <w:b/>
          <w:sz w:val="36"/>
          <w:szCs w:val="36"/>
        </w:rPr>
      </w:pPr>
    </w:p>
    <w:p>
      <w:pPr>
        <w:tabs>
          <w:tab w:val="left" w:pos="360"/>
        </w:tabs>
        <w:ind w:firstLine="1807" w:firstLineChars="500"/>
        <w:rPr>
          <w:rFonts w:hint="eastAsia" w:ascii="宋体" w:hAnsi="宋体" w:eastAsia="宋体" w:cs="Times New Roman"/>
          <w:b/>
          <w:sz w:val="36"/>
          <w:szCs w:val="36"/>
        </w:rPr>
      </w:pPr>
      <w:r>
        <w:rPr>
          <w:rFonts w:hint="eastAsia" w:ascii="宋体" w:hAnsi="宋体" w:eastAsia="宋体" w:cs="Times New Roman"/>
          <w:b/>
          <w:sz w:val="36"/>
          <w:szCs w:val="36"/>
        </w:rPr>
        <w:t>招 标 编号：</w:t>
      </w:r>
    </w:p>
    <w:p>
      <w:pPr>
        <w:tabs>
          <w:tab w:val="left" w:pos="360"/>
        </w:tabs>
        <w:ind w:firstLine="1807" w:firstLineChars="500"/>
        <w:rPr>
          <w:rFonts w:hint="eastAsia" w:ascii="宋体" w:hAnsi="宋体" w:eastAsia="宋体" w:cs="Times New Roman"/>
          <w:b/>
          <w:sz w:val="36"/>
          <w:szCs w:val="36"/>
        </w:rPr>
      </w:pPr>
    </w:p>
    <w:p>
      <w:pPr>
        <w:tabs>
          <w:tab w:val="left" w:pos="360"/>
        </w:tabs>
        <w:ind w:firstLine="1807" w:firstLineChars="500"/>
        <w:rPr>
          <w:rFonts w:hint="eastAsia" w:ascii="宋体" w:hAnsi="宋体" w:eastAsia="宋体" w:cs="Times New Roman"/>
          <w:b/>
          <w:sz w:val="36"/>
          <w:szCs w:val="36"/>
        </w:rPr>
      </w:pPr>
      <w:r>
        <w:rPr>
          <w:rFonts w:hint="eastAsia" w:ascii="宋体" w:hAnsi="宋体" w:eastAsia="宋体" w:cs="Times New Roman"/>
          <w:b/>
          <w:sz w:val="36"/>
          <w:szCs w:val="36"/>
        </w:rPr>
        <w:t xml:space="preserve">投  标  人： </w:t>
      </w:r>
    </w:p>
    <w:p>
      <w:pPr>
        <w:tabs>
          <w:tab w:val="left" w:pos="360"/>
        </w:tabs>
        <w:rPr>
          <w:rFonts w:hint="eastAsia" w:ascii="宋体" w:hAnsi="宋体" w:eastAsia="宋体" w:cs="Times New Roman"/>
          <w:b/>
          <w:sz w:val="36"/>
          <w:szCs w:val="36"/>
        </w:rPr>
      </w:pPr>
      <w:r>
        <w:rPr>
          <w:rFonts w:hint="eastAsia" w:ascii="宋体" w:hAnsi="宋体" w:eastAsia="宋体" w:cs="Times New Roman"/>
          <w:b/>
          <w:sz w:val="36"/>
          <w:szCs w:val="36"/>
        </w:rPr>
        <w:t xml:space="preserve"> </w:t>
      </w:r>
    </w:p>
    <w:p>
      <w:pPr>
        <w:tabs>
          <w:tab w:val="left" w:pos="360"/>
        </w:tabs>
        <w:ind w:firstLine="1807" w:firstLineChars="500"/>
        <w:rPr>
          <w:rFonts w:hint="eastAsia" w:ascii="宋体" w:hAnsi="宋体" w:eastAsia="宋体" w:cs="Times New Roman"/>
          <w:b/>
          <w:sz w:val="36"/>
          <w:szCs w:val="36"/>
        </w:rPr>
      </w:pPr>
      <w:r>
        <w:rPr>
          <w:rFonts w:hint="eastAsia" w:ascii="宋体" w:hAnsi="宋体" w:eastAsia="宋体" w:cs="Times New Roman"/>
          <w:b/>
          <w:sz w:val="36"/>
          <w:szCs w:val="36"/>
        </w:rPr>
        <w:t xml:space="preserve">时      间：  </w:t>
      </w:r>
    </w:p>
    <w:p>
      <w:pPr>
        <w:tabs>
          <w:tab w:val="left" w:pos="360"/>
        </w:tabs>
        <w:ind w:firstLine="1807" w:firstLineChars="500"/>
        <w:rPr>
          <w:rFonts w:hint="eastAsia" w:ascii="宋体" w:hAnsi="宋体" w:eastAsia="宋体" w:cs="Times New Roman"/>
          <w:b/>
          <w:sz w:val="36"/>
          <w:szCs w:val="36"/>
        </w:rPr>
      </w:pPr>
      <w:r>
        <w:rPr>
          <w:rFonts w:hint="eastAsia" w:ascii="宋体" w:hAnsi="宋体" w:eastAsia="宋体" w:cs="Times New Roman"/>
          <w:b/>
          <w:sz w:val="36"/>
          <w:szCs w:val="36"/>
        </w:rPr>
        <w:t xml:space="preserve">  </w:t>
      </w:r>
    </w:p>
    <w:p>
      <w:pPr>
        <w:pStyle w:val="2"/>
      </w:pPr>
    </w:p>
    <w:p>
      <w:pPr>
        <w:pStyle w:val="47"/>
        <w:numPr>
          <w:ilvl w:val="0"/>
          <w:numId w:val="0"/>
        </w:numPr>
        <w:tabs>
          <w:tab w:val="left" w:pos="660"/>
        </w:tabs>
        <w:snapToGrid w:val="0"/>
        <w:spacing w:before="0" w:line="400" w:lineRule="exact"/>
        <w:rPr>
          <w:rFonts w:cs="黑体" w:asciiTheme="minorEastAsia" w:hAnsiTheme="minorEastAsia" w:eastAsiaTheme="minorEastAsia"/>
          <w:color w:val="auto"/>
          <w:kern w:val="2"/>
          <w:sz w:val="32"/>
          <w:szCs w:val="32"/>
          <w:lang w:val="zh-CN"/>
        </w:rPr>
      </w:pPr>
      <w:r>
        <w:rPr>
          <w:rFonts w:hint="eastAsia" w:cs="黑体" w:asciiTheme="minorEastAsia" w:hAnsiTheme="minorEastAsia" w:eastAsiaTheme="minorEastAsia"/>
          <w:color w:val="auto"/>
          <w:kern w:val="2"/>
          <w:sz w:val="32"/>
          <w:szCs w:val="32"/>
          <w:lang w:val="zh-CN"/>
        </w:rPr>
        <w:t>一、投标人应答索引表</w:t>
      </w:r>
      <w:bookmarkEnd w:id="25"/>
      <w:bookmarkEnd w:id="26"/>
      <w:bookmarkEnd w:id="27"/>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71"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3"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3"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3"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1"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7"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9"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4"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6"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2"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3"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6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7"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4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5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vMerge w:val="restart"/>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cs="宋体" w:asciiTheme="minorEastAsia" w:hAnsiTheme="minorEastAsia"/>
                <w:kern w:val="0"/>
                <w:szCs w:val="24"/>
              </w:rPr>
              <w:t>中国国家认证认可监督管理委员会官网产品认证证书打印</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79"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52"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13"/>
        <w:spacing w:line="360" w:lineRule="auto"/>
        <w:jc w:val="left"/>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说明：</w:t>
      </w:r>
    </w:p>
    <w:p>
      <w:pPr>
        <w:pStyle w:val="13"/>
        <w:spacing w:line="360" w:lineRule="auto"/>
        <w:ind w:firstLine="424" w:firstLineChars="176"/>
        <w:jc w:val="left"/>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本表中的内容投标人应当根据自身的属性依据招标文件具体要求决定是否提供。其中有些是必须提供的，有些无须提供或根据需要才提供。采购文件没有明确要求提供的可不提供。</w:t>
      </w:r>
    </w:p>
    <w:p>
      <w:pPr>
        <w:pStyle w:val="13"/>
        <w:spacing w:line="360" w:lineRule="auto"/>
        <w:ind w:firstLine="424" w:firstLineChars="176"/>
        <w:jc w:val="left"/>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Cs w:val="24"/>
        </w:rPr>
        <w:t>评标时，评委会应当认真阅读招标文件，决定是否是必审项，否决投标项或认定无效投标必须具有充分理由。</w:t>
      </w: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cs="宋体" w:asciiTheme="minorEastAsia" w:hAnsiTheme="minorEastAsia" w:eastAsiaTheme="minorEastAsia"/>
                <w:sz w:val="24"/>
                <w:szCs w:val="24"/>
                <w:lang w:val="zh-CN" w:eastAsia="zh-CN"/>
              </w:rPr>
            </w:pPr>
            <w:r>
              <w:rPr>
                <w:rFonts w:hint="eastAsia" w:cs="宋体" w:asciiTheme="minorEastAsia" w:hAnsiTheme="minorEastAsia"/>
                <w:sz w:val="24"/>
                <w:szCs w:val="24"/>
                <w:lang w:val="en-US" w:eastAsia="zh-CN"/>
              </w:rPr>
              <w:t xml:space="preserve"> </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pStyle w:val="2"/>
        <w:ind w:firstLine="240"/>
        <w:rPr>
          <w:rFonts w:cs="宋体"/>
          <w:sz w:val="24"/>
          <w:lang w:val="zh-CN"/>
        </w:rPr>
      </w:pPr>
    </w:p>
    <w:p>
      <w:pPr>
        <w:pStyle w:val="2"/>
        <w:ind w:firstLine="240"/>
        <w:rPr>
          <w:rFonts w:cs="宋体"/>
          <w:sz w:val="24"/>
          <w:lang w:val="zh-CN"/>
        </w:rPr>
      </w:pPr>
    </w:p>
    <w:p>
      <w:pPr>
        <w:pStyle w:val="2"/>
        <w:ind w:firstLine="240"/>
        <w:rPr>
          <w:rFonts w:cs="宋体"/>
          <w:sz w:val="24"/>
          <w:lang w:val="zh-CN"/>
        </w:rPr>
      </w:pPr>
    </w:p>
    <w:p>
      <w:pPr>
        <w:pStyle w:val="2"/>
        <w:ind w:firstLine="240"/>
        <w:rPr>
          <w:rFonts w:cs="宋体"/>
          <w:sz w:val="24"/>
          <w:lang w:val="zh-CN"/>
        </w:rPr>
      </w:pPr>
    </w:p>
    <w:p>
      <w:pPr>
        <w:pStyle w:val="2"/>
        <w:ind w:firstLine="240"/>
        <w:rPr>
          <w:rFonts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36"/>
          <w:szCs w:val="36"/>
          <w:lang w:val="zh-CN"/>
        </w:rPr>
      </w:pPr>
    </w:p>
    <w:p>
      <w:pPr>
        <w:autoSpaceDE w:val="0"/>
        <w:autoSpaceDN w:val="0"/>
        <w:adjustRightInd w:val="0"/>
        <w:spacing w:line="360" w:lineRule="auto"/>
        <w:jc w:val="center"/>
        <w:rPr>
          <w:rFonts w:cs="黑体" w:asciiTheme="minorEastAsia" w:hAnsiTheme="minorEastAsia"/>
          <w:b/>
          <w:bCs/>
          <w:sz w:val="36"/>
          <w:szCs w:val="36"/>
          <w:lang w:val="zh-CN"/>
        </w:rPr>
      </w:pPr>
    </w:p>
    <w:p>
      <w:pPr>
        <w:autoSpaceDE w:val="0"/>
        <w:autoSpaceDN w:val="0"/>
        <w:adjustRightInd w:val="0"/>
        <w:spacing w:line="360" w:lineRule="auto"/>
        <w:jc w:val="center"/>
        <w:rPr>
          <w:rFonts w:cs="黑体" w:asciiTheme="minorEastAsia" w:hAnsiTheme="minorEastAsia"/>
          <w:b/>
          <w:bCs/>
          <w:sz w:val="36"/>
          <w:szCs w:val="36"/>
          <w:lang w:val="zh-CN"/>
        </w:rPr>
      </w:pPr>
    </w:p>
    <w:p>
      <w:pPr>
        <w:autoSpaceDE w:val="0"/>
        <w:autoSpaceDN w:val="0"/>
        <w:adjustRightInd w:val="0"/>
        <w:spacing w:line="360" w:lineRule="auto"/>
        <w:jc w:val="center"/>
        <w:rPr>
          <w:rFonts w:cs="黑体" w:asciiTheme="minorEastAsia" w:hAnsiTheme="minorEastAsia"/>
          <w:b/>
          <w:bCs/>
          <w:sz w:val="36"/>
          <w:szCs w:val="36"/>
          <w:lang w:val="zh-CN"/>
        </w:rPr>
      </w:pPr>
    </w:p>
    <w:p>
      <w:pPr>
        <w:autoSpaceDE w:val="0"/>
        <w:autoSpaceDN w:val="0"/>
        <w:adjustRightInd w:val="0"/>
        <w:spacing w:line="360" w:lineRule="auto"/>
        <w:jc w:val="center"/>
        <w:rPr>
          <w:rFonts w:cs="黑体" w:asciiTheme="minorEastAsia" w:hAnsiTheme="minorEastAsia"/>
          <w:b/>
          <w:bCs/>
          <w:sz w:val="36"/>
          <w:szCs w:val="36"/>
          <w:lang w:val="zh-CN"/>
        </w:rPr>
      </w:pPr>
    </w:p>
    <w:p>
      <w:pPr>
        <w:autoSpaceDE w:val="0"/>
        <w:autoSpaceDN w:val="0"/>
        <w:adjustRightInd w:val="0"/>
        <w:spacing w:line="360" w:lineRule="auto"/>
        <w:jc w:val="center"/>
        <w:rPr>
          <w:rFonts w:cs="黑体" w:asciiTheme="minorEastAsia" w:hAnsiTheme="minorEastAsia"/>
          <w:b/>
          <w:bCs/>
          <w:sz w:val="36"/>
          <w:szCs w:val="36"/>
          <w:lang w:val="zh-CN"/>
        </w:rPr>
      </w:pPr>
    </w:p>
    <w:p>
      <w:pPr>
        <w:autoSpaceDE w:val="0"/>
        <w:autoSpaceDN w:val="0"/>
        <w:adjustRightInd w:val="0"/>
        <w:spacing w:line="360" w:lineRule="auto"/>
        <w:jc w:val="center"/>
        <w:rPr>
          <w:rFonts w:cs="黑体" w:asciiTheme="minorEastAsia" w:hAnsiTheme="minorEastAsia"/>
          <w:b/>
          <w:bCs/>
          <w:sz w:val="36"/>
          <w:szCs w:val="36"/>
          <w:lang w:val="zh-CN"/>
        </w:rPr>
      </w:pPr>
    </w:p>
    <w:p>
      <w:pPr>
        <w:autoSpaceDE w:val="0"/>
        <w:autoSpaceDN w:val="0"/>
        <w:adjustRightInd w:val="0"/>
        <w:spacing w:line="360" w:lineRule="auto"/>
        <w:jc w:val="center"/>
        <w:rPr>
          <w:rFonts w:cs="黑体" w:asciiTheme="minorEastAsia" w:hAnsiTheme="minorEastAsia"/>
          <w:b/>
          <w:bCs/>
          <w:sz w:val="36"/>
          <w:szCs w:val="36"/>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36"/>
          <w:szCs w:val="36"/>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（采购代理机构）</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  邮政编码：.</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  传    真：.</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  职    务：.</w:t>
      </w:r>
    </w:p>
    <w:p>
      <w:pPr>
        <w:adjustRightInd w:val="0"/>
        <w:snapToGrid w:val="0"/>
        <w:spacing w:line="360" w:lineRule="auto"/>
        <w:rPr>
          <w:rFonts w:cs="宋体" w:asciiTheme="minorEastAsia" w:hAnsiTheme="minorEastAsia"/>
          <w:sz w:val="24"/>
          <w:szCs w:val="24"/>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widowControl/>
        <w:jc w:val="left"/>
        <w:rPr>
          <w:rFonts w:asciiTheme="majorEastAsia" w:hAnsiTheme="majorEastAsia" w:eastAsiaTheme="majorEastAsia"/>
          <w:b/>
          <w:bCs/>
          <w:color w:val="000000"/>
          <w:sz w:val="36"/>
          <w:szCs w:val="36"/>
        </w:rPr>
      </w:pPr>
      <w:r>
        <w:rPr>
          <w:rFonts w:asciiTheme="majorEastAsia" w:hAnsiTheme="majorEastAsia" w:eastAsiaTheme="majorEastAsia"/>
          <w:b/>
          <w:bCs/>
          <w:color w:val="000000"/>
          <w:sz w:val="36"/>
          <w:szCs w:val="36"/>
        </w:rPr>
        <w:br w:type="page"/>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8"/>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asciiTheme="minorEastAsia" w:hAnsiTheme="minorEastAsia"/>
          <w:i/>
          <w:color w:val="000000"/>
          <w:szCs w:val="24"/>
          <w:u w:val="single"/>
        </w:rPr>
        <w:t>项目编号</w:t>
      </w:r>
      <w:r>
        <w:rPr>
          <w:rFonts w:hint="eastAsia" w:asciiTheme="minorEastAsia" w:hAnsiTheme="minorEastAsia"/>
          <w:color w:val="000000"/>
          <w:szCs w:val="24"/>
        </w:rPr>
        <w:t>的</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8"/>
        <w:spacing w:line="480" w:lineRule="auto"/>
        <w:ind w:firstLine="540" w:firstLineChars="225"/>
        <w:jc w:val="left"/>
        <w:rPr>
          <w:rFonts w:asciiTheme="minorEastAsia" w:hAnsiTheme="minorEastAsia"/>
          <w:color w:val="000000"/>
          <w:szCs w:val="24"/>
        </w:rPr>
      </w:pPr>
    </w:p>
    <w:p>
      <w:pPr>
        <w:pStyle w:val="38"/>
        <w:spacing w:line="480" w:lineRule="auto"/>
        <w:ind w:firstLine="540" w:firstLineChars="225"/>
        <w:jc w:val="left"/>
        <w:rPr>
          <w:rFonts w:asciiTheme="minorEastAsia" w:hAnsiTheme="minorEastAsia"/>
          <w:color w:val="000000"/>
          <w:szCs w:val="24"/>
        </w:rPr>
      </w:pPr>
    </w:p>
    <w:p>
      <w:pPr>
        <w:pStyle w:val="38"/>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8"/>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1"/>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0"/>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法定代表人授权代表：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28" w:name="_资格证明文件"/>
            <w:bookmarkEnd w:id="28"/>
            <w:bookmarkStart w:id="29" w:name="_Toc364329026"/>
            <w:r>
              <w:rPr>
                <w:rFonts w:hint="eastAsia" w:asciiTheme="minorEastAsia" w:hAnsiTheme="minorEastAsia"/>
                <w:sz w:val="24"/>
                <w:szCs w:val="24"/>
              </w:rPr>
              <w:t>法定代表人授权代表身份证（正面）</w:t>
            </w:r>
            <w:bookmarkEnd w:id="29"/>
          </w:p>
        </w:tc>
        <w:tc>
          <w:tcPr>
            <w:tcW w:w="4492" w:type="dxa"/>
            <w:gridSpan w:val="2"/>
            <w:vAlign w:val="center"/>
          </w:tcPr>
          <w:p>
            <w:pPr>
              <w:jc w:val="center"/>
              <w:rPr>
                <w:rFonts w:asciiTheme="minorEastAsia" w:hAnsiTheme="minorEastAsia"/>
                <w:sz w:val="24"/>
                <w:szCs w:val="24"/>
              </w:rPr>
            </w:pPr>
            <w:bookmarkStart w:id="30" w:name="_Toc364329027"/>
            <w:r>
              <w:rPr>
                <w:rFonts w:hint="eastAsia" w:asciiTheme="minorEastAsia" w:hAnsiTheme="minorEastAsia"/>
                <w:sz w:val="24"/>
                <w:szCs w:val="24"/>
              </w:rPr>
              <w:t>法定代表人授权代表身份证（反面）</w:t>
            </w:r>
            <w:bookmarkEnd w:id="30"/>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ind w:firstLine="424" w:firstLineChars="177"/>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（注：开标现场单独提供一份“许昌公共资源交易中心保证金缴纳回执”以备查询，最终以交易中心确认为准）</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36"/>
          <w:szCs w:val="36"/>
          <w:lang w:val="zh-CN"/>
        </w:rPr>
      </w:pPr>
      <w:r>
        <w:rPr>
          <w:rFonts w:hint="eastAsia" w:cs="黑体" w:asciiTheme="minorEastAsia" w:hAnsiTheme="minorEastAsia"/>
          <w:b/>
          <w:bCs/>
          <w:sz w:val="36"/>
          <w:szCs w:val="36"/>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（此表投标人如无业绩可不提供）</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w:t>
      </w:r>
    </w:p>
    <w:p>
      <w:pPr>
        <w:ind w:firstLine="566" w:firstLineChars="236"/>
        <w:rPr>
          <w:rFonts w:cs="宋体" w:asciiTheme="minorEastAsia" w:hAnsiTheme="minorEastAsia"/>
          <w:sz w:val="24"/>
          <w:szCs w:val="24"/>
          <w:lang w:val="zh-CN"/>
        </w:rPr>
      </w:pPr>
      <w:r>
        <w:rPr>
          <w:rFonts w:hint="eastAsia" w:cs="宋体" w:asciiTheme="minorEastAsia" w:hAnsiTheme="minorEastAsia"/>
          <w:sz w:val="24"/>
          <w:szCs w:val="24"/>
          <w:lang w:val="zh-CN"/>
        </w:rPr>
        <w:t>所投产品节能清单所在页复印件并加盖投标人公章须附后。</w:t>
      </w:r>
    </w:p>
    <w:p>
      <w:pPr>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（如投标人没有投标相应的产品无须提供此表）</w:t>
      </w: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w:t>
      </w:r>
    </w:p>
    <w:p>
      <w:pPr>
        <w:ind w:firstLine="424" w:firstLineChars="177"/>
        <w:rPr>
          <w:rFonts w:cs="宋体" w:asciiTheme="minorEastAsia" w:hAnsiTheme="minorEastAsia"/>
          <w:sz w:val="24"/>
          <w:szCs w:val="24"/>
          <w:lang w:val="zh-CN"/>
        </w:rPr>
      </w:pPr>
      <w:r>
        <w:rPr>
          <w:rFonts w:hint="eastAsia" w:cs="宋体" w:asciiTheme="minorEastAsia" w:hAnsiTheme="minorEastAsia"/>
          <w:sz w:val="24"/>
          <w:szCs w:val="24"/>
          <w:lang w:val="zh-CN"/>
        </w:rPr>
        <w:t>所投产品“节能产品政府采购清单”所在页复印件并加盖投标人公章须附后。</w:t>
      </w:r>
    </w:p>
    <w:p>
      <w:pPr>
        <w:spacing w:line="360" w:lineRule="auto"/>
        <w:jc w:val="center"/>
        <w:rPr>
          <w:rFonts w:ascii="宋体" w:hAnsi="宋体"/>
          <w:b/>
          <w:bCs/>
          <w:color w:val="000000"/>
          <w:sz w:val="36"/>
          <w:szCs w:val="36"/>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（如投标人没有投标相应的产品无须提供此表）</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w:t>
      </w:r>
    </w:p>
    <w:p>
      <w:pPr>
        <w:ind w:left="2" w:firstLine="424" w:firstLineChars="177"/>
        <w:rPr>
          <w:rFonts w:cs="宋体" w:asciiTheme="minorEastAsia" w:hAnsiTheme="minorEastAsia"/>
          <w:sz w:val="24"/>
          <w:szCs w:val="24"/>
          <w:lang w:val="zh-CN"/>
        </w:rPr>
      </w:pPr>
      <w:r>
        <w:rPr>
          <w:rFonts w:hint="eastAsia" w:cs="宋体" w:asciiTheme="minorEastAsia" w:hAnsiTheme="minorEastAsia"/>
          <w:sz w:val="24"/>
          <w:szCs w:val="24"/>
          <w:lang w:val="zh-CN"/>
        </w:rPr>
        <w:t>所投产品“环境标志产品政府采购清单”所在页复印件并加盖投标人公章须附后。</w:t>
      </w:r>
    </w:p>
    <w:p>
      <w:pPr>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（如投标人没有投标相应的产品无须提供此表）</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ind w:firstLine="424" w:firstLineChars="177"/>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ind w:firstLine="424" w:firstLineChars="177"/>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31" w:name="OLE_LINK14"/>
      <w:bookmarkStart w:id="32" w:name="OLE_LINK13"/>
      <w:r>
        <w:rPr>
          <w:rFonts w:hint="eastAsia" w:ascii="宋体" w:hAnsi="宋体"/>
          <w:b/>
          <w:bCs/>
          <w:color w:val="000000"/>
          <w:sz w:val="36"/>
          <w:szCs w:val="36"/>
        </w:rPr>
        <w:t>4.10 残疾人福利性单位声明函</w:t>
      </w:r>
    </w:p>
    <w:bookmarkEnd w:id="31"/>
    <w:bookmarkEnd w:id="32"/>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r>
        <w:rPr>
          <w:rFonts w:hint="eastAsia"/>
          <w:sz w:val="24"/>
          <w:szCs w:val="24"/>
        </w:rPr>
        <w:t>（如是须提供，否则无须提供</w:t>
      </w:r>
      <w:r>
        <w:rPr>
          <w:rFonts w:hint="eastAsia"/>
        </w:rPr>
        <w:t>）</w:t>
      </w:r>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投标人所投产品涉及国家有属强制性规定的，须承诺其所投产品符合国家强制性要求。（格式自拟）</w:t>
      </w:r>
    </w:p>
    <w:p>
      <w:pPr>
        <w:widowControl/>
        <w:spacing w:before="100" w:beforeAutospacing="1" w:after="100" w:afterAutospacing="1" w:line="360" w:lineRule="auto"/>
        <w:jc w:val="left"/>
        <w:rPr>
          <w:rFonts w:ascii="宋体" w:hAnsi="宋体"/>
          <w:b/>
          <w:bCs/>
          <w:color w:val="000000"/>
          <w:sz w:val="24"/>
          <w:szCs w:val="24"/>
        </w:rPr>
      </w:pPr>
      <w:r>
        <w:rPr>
          <w:rFonts w:hint="eastAsia" w:ascii="宋体" w:hAnsi="宋体"/>
          <w:b/>
          <w:bCs/>
          <w:color w:val="000000"/>
          <w:sz w:val="24"/>
          <w:szCs w:val="24"/>
        </w:rPr>
        <w:t>说明：</w:t>
      </w:r>
    </w:p>
    <w:p>
      <w:pPr>
        <w:widowControl/>
        <w:spacing w:before="100" w:beforeAutospacing="1" w:after="100" w:afterAutospacing="1" w:line="360" w:lineRule="auto"/>
        <w:ind w:firstLine="424" w:firstLineChars="176"/>
        <w:jc w:val="left"/>
        <w:rPr>
          <w:rFonts w:ascii="宋体" w:hAnsi="宋体"/>
          <w:b/>
          <w:bCs/>
          <w:color w:val="000000"/>
          <w:sz w:val="24"/>
          <w:szCs w:val="24"/>
        </w:rPr>
      </w:pPr>
      <w:r>
        <w:rPr>
          <w:rFonts w:hint="eastAsia" w:ascii="宋体" w:hAnsi="宋体"/>
          <w:b/>
          <w:bCs/>
          <w:color w:val="000000"/>
          <w:sz w:val="24"/>
          <w:szCs w:val="24"/>
        </w:rPr>
        <w:t>如招标文件中没明确要求提供所投产品的认证或检测报告，评标委员会不得强制审查产品证明文件，或以不提供相关证明文件否决投标人的投标（或认定投标文件无效）。</w:t>
      </w: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36"/>
          <w:szCs w:val="36"/>
          <w:lang w:val="zh-CN"/>
        </w:rPr>
      </w:pPr>
      <w:r>
        <w:rPr>
          <w:rFonts w:hint="eastAsia" w:cs="黑体" w:asciiTheme="minorEastAsia" w:hAnsiTheme="minorEastAsia"/>
          <w:b/>
          <w:bCs/>
          <w:sz w:val="36"/>
          <w:szCs w:val="36"/>
          <w:lang w:val="zh-CN"/>
        </w:rPr>
        <w:t>五、</w:t>
      </w:r>
      <w:r>
        <w:rPr>
          <w:rFonts w:cs="黑体" w:asciiTheme="minorEastAsia" w:hAnsiTheme="minorEastAsia"/>
          <w:b/>
          <w:sz w:val="36"/>
          <w:szCs w:val="36"/>
          <w:lang w:val="zh-CN"/>
        </w:rPr>
        <w:t>其他资料（若有）</w:t>
      </w:r>
    </w:p>
    <w:p/>
    <w:p/>
    <w:p/>
    <w:p>
      <w:pPr>
        <w:spacing w:line="360" w:lineRule="auto"/>
        <w:ind w:firstLine="424" w:firstLineChars="176"/>
        <w:jc w:val="left"/>
        <w:rPr>
          <w:rFonts w:ascii="宋体" w:hAnsi="宋体"/>
          <w:b/>
          <w:bCs/>
          <w:color w:val="000000"/>
          <w:sz w:val="24"/>
          <w:szCs w:val="24"/>
        </w:rPr>
      </w:pPr>
      <w:r>
        <w:rPr>
          <w:rFonts w:ascii="宋体" w:hAnsi="宋体"/>
          <w:b/>
          <w:bCs/>
          <w:color w:val="000000"/>
          <w:sz w:val="24"/>
          <w:szCs w:val="24"/>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Microsoft Sans Serif"/>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PMingLiU"/>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Microsoft Sans Serif"/>
    <w:panose1 w:val="020F0502020204030204"/>
    <w:charset w:val="00"/>
    <w:family w:val="swiss"/>
    <w:pitch w:val="default"/>
    <w:sig w:usb0="00000000" w:usb1="00000000" w:usb2="00000001" w:usb3="00000000" w:csb0="0000019F" w:csb1="00000000"/>
  </w:font>
  <w:font w:name="MingLiU">
    <w:panose1 w:val="02020309000000000000"/>
    <w:charset w:val="88"/>
    <w:family w:val="auto"/>
    <w:pitch w:val="default"/>
    <w:sig w:usb0="00000003" w:usb1="082E0000" w:usb2="00000016" w:usb3="00000000" w:csb0="00100001" w:csb1="00000000"/>
  </w:font>
  <w:font w:name="MT Extra">
    <w:panose1 w:val="05050102010205020202"/>
    <w:charset w:val="00"/>
    <w:family w:val="auto"/>
    <w:pitch w:val="default"/>
    <w:sig w:usb0="80000000" w:usb1="00000000" w:usb2="00000000" w:usb3="00000000" w:csb0="00000000" w:csb1="00000000"/>
  </w:font>
  <w:font w:name="Microsoft Sans Serif">
    <w:panose1 w:val="020B0604020202020204"/>
    <w:charset w:val="00"/>
    <w:family w:val="auto"/>
    <w:pitch w:val="default"/>
    <w:sig w:usb0="61007BDF" w:usb1="80000000" w:usb2="00000008" w:usb3="00000000" w:csb0="200101FF" w:csb1="20280000"/>
  </w:font>
  <w:font w:name="PMingLiU">
    <w:panose1 w:val="02020300000000000000"/>
    <w:charset w:val="88"/>
    <w:family w:val="auto"/>
    <w:pitch w:val="default"/>
    <w:sig w:usb0="00000003" w:usb1="082E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TimesNewRomanPSMT">
    <w:altName w:val="MingLiU"/>
    <w:panose1 w:val="00000000000000000000"/>
    <w:charset w:val="00"/>
    <w:family w:val="roman"/>
    <w:pitch w:val="default"/>
    <w:sig w:usb0="00000000" w:usb1="00000000" w:usb2="00000000" w:usb3="00000000" w:csb0="00000001" w:csb1="00000000"/>
  </w:font>
  <w:font w:name="Lucida Sans Unicode">
    <w:altName w:val="LuzSans-Book"/>
    <w:panose1 w:val="020B0602030504020204"/>
    <w:charset w:val="00"/>
    <w:family w:val="swiss"/>
    <w:pitch w:val="default"/>
    <w:sig w:usb0="00000000" w:usb1="00000000" w:usb2="00000000" w:usb3="00000000" w:csb0="200000BF" w:csb1="D7F7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Microsoft Sans Serif">
    <w:panose1 w:val="020B0604020202020204"/>
    <w:charset w:val="01"/>
    <w:family w:val="swiss"/>
    <w:pitch w:val="default"/>
    <w:sig w:usb0="61007BDF" w:usb1="80000000" w:usb2="00000008" w:usb3="00000000" w:csb0="200101FF" w:csb1="20280000"/>
  </w:font>
  <w:font w:name="LuzSans-Book">
    <w:panose1 w:val="02000603040000020003"/>
    <w:charset w:val="00"/>
    <w:family w:val="auto"/>
    <w:pitch w:val="default"/>
    <w:sig w:usb0="800002AF" w:usb1="5000204A" w:usb2="00000000" w:usb3="00000000" w:csb0="2000019F" w:csb1="4F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59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84513F"/>
    <w:multiLevelType w:val="singleLevel"/>
    <w:tmpl w:val="5984513F"/>
    <w:lvl w:ilvl="0" w:tentative="0">
      <w:start w:val="1"/>
      <w:numFmt w:val="decimal"/>
      <w:suff w:val="nothing"/>
      <w:lvlText w:val="%1."/>
      <w:lvlJc w:val="left"/>
    </w:lvl>
  </w:abstractNum>
  <w:abstractNum w:abstractNumId="4">
    <w:nsid w:val="5987BE5D"/>
    <w:multiLevelType w:val="singleLevel"/>
    <w:tmpl w:val="5987BE5D"/>
    <w:lvl w:ilvl="0" w:tentative="0">
      <w:start w:val="1"/>
      <w:numFmt w:val="decimal"/>
      <w:suff w:val="nothing"/>
      <w:lvlText w:val="（%1）"/>
      <w:lvlJc w:val="left"/>
    </w:lvl>
  </w:abstractNum>
  <w:abstractNum w:abstractNumId="5">
    <w:nsid w:val="5987E2BE"/>
    <w:multiLevelType w:val="singleLevel"/>
    <w:tmpl w:val="5987E2BE"/>
    <w:lvl w:ilvl="0" w:tentative="0">
      <w:start w:val="2"/>
      <w:numFmt w:val="decimal"/>
      <w:suff w:val="nothing"/>
      <w:lvlText w:val="（%1）"/>
      <w:lvlJc w:val="left"/>
    </w:lvl>
  </w:abstractNum>
  <w:abstractNum w:abstractNumId="6">
    <w:nsid w:val="5987E3D9"/>
    <w:multiLevelType w:val="singleLevel"/>
    <w:tmpl w:val="5987E3D9"/>
    <w:lvl w:ilvl="0" w:tentative="0">
      <w:start w:val="1"/>
      <w:numFmt w:val="decimal"/>
      <w:suff w:val="nothing"/>
      <w:lvlText w:val="（%1）"/>
      <w:lvlJc w:val="left"/>
    </w:lvl>
  </w:abstractNum>
  <w:abstractNum w:abstractNumId="7">
    <w:nsid w:val="59890AAD"/>
    <w:multiLevelType w:val="singleLevel"/>
    <w:tmpl w:val="59890AAD"/>
    <w:lvl w:ilvl="0" w:tentative="0">
      <w:start w:val="1"/>
      <w:numFmt w:val="decimal"/>
      <w:suff w:val="nothing"/>
      <w:lvlText w:val="%1."/>
      <w:lvlJc w:val="left"/>
    </w:lvl>
  </w:abstractNum>
  <w:abstractNum w:abstractNumId="8">
    <w:nsid w:val="59890CAC"/>
    <w:multiLevelType w:val="singleLevel"/>
    <w:tmpl w:val="59890CAC"/>
    <w:lvl w:ilvl="0" w:tentative="0">
      <w:start w:val="1"/>
      <w:numFmt w:val="decimal"/>
      <w:suff w:val="nothing"/>
      <w:lvlText w:val="（%1）"/>
      <w:lvlJc w:val="left"/>
    </w:lvl>
  </w:abstractNum>
  <w:abstractNum w:abstractNumId="9">
    <w:nsid w:val="59F817E8"/>
    <w:multiLevelType w:val="singleLevel"/>
    <w:tmpl w:val="59F817E8"/>
    <w:lvl w:ilvl="0" w:tentative="0">
      <w:start w:val="1"/>
      <w:numFmt w:val="chineseCounting"/>
      <w:pStyle w:val="47"/>
      <w:suff w:val="nothing"/>
      <w:lvlText w:val="%1、"/>
      <w:lvlJc w:val="left"/>
    </w:lvl>
  </w:abstractNum>
  <w:abstractNum w:abstractNumId="10">
    <w:nsid w:val="5A02945B"/>
    <w:multiLevelType w:val="singleLevel"/>
    <w:tmpl w:val="5A02945B"/>
    <w:lvl w:ilvl="0" w:tentative="0">
      <w:start w:val="2"/>
      <w:numFmt w:val="decimal"/>
      <w:lvlText w:val="%1."/>
      <w:lvlJc w:val="left"/>
      <w:pPr>
        <w:tabs>
          <w:tab w:val="left" w:pos="312"/>
        </w:tabs>
      </w:pPr>
    </w:lvl>
  </w:abstractNum>
  <w:abstractNum w:abstractNumId="11">
    <w:nsid w:val="5AA77FB2"/>
    <w:multiLevelType w:val="singleLevel"/>
    <w:tmpl w:val="5AA77FB2"/>
    <w:lvl w:ilvl="0" w:tentative="0">
      <w:start w:val="3"/>
      <w:numFmt w:val="decimal"/>
      <w:suff w:val="nothing"/>
      <w:lvlText w:val="%1、"/>
      <w:lvlJc w:val="left"/>
    </w:lvl>
  </w:abstractNum>
  <w:num w:numId="1">
    <w:abstractNumId w:val="0"/>
  </w:num>
  <w:num w:numId="2">
    <w:abstractNumId w:val="1"/>
  </w:num>
  <w:num w:numId="3">
    <w:abstractNumId w:val="9"/>
  </w:num>
  <w:num w:numId="4">
    <w:abstractNumId w:val="10"/>
  </w:num>
  <w:num w:numId="5">
    <w:abstractNumId w:val="7"/>
  </w:num>
  <w:num w:numId="6">
    <w:abstractNumId w:val="11"/>
  </w:num>
  <w:num w:numId="7">
    <w:abstractNumId w:val="3"/>
  </w:num>
  <w:num w:numId="8">
    <w:abstractNumId w:val="8"/>
  </w:num>
  <w:num w:numId="9">
    <w:abstractNumId w:val="4"/>
  </w:num>
  <w:num w:numId="10">
    <w:abstractNumId w:val="6"/>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3C00"/>
    <w:rsid w:val="00003D13"/>
    <w:rsid w:val="00010A8E"/>
    <w:rsid w:val="000159BD"/>
    <w:rsid w:val="00020755"/>
    <w:rsid w:val="00025E45"/>
    <w:rsid w:val="000311FB"/>
    <w:rsid w:val="000328B5"/>
    <w:rsid w:val="00034E53"/>
    <w:rsid w:val="0003556C"/>
    <w:rsid w:val="000400E2"/>
    <w:rsid w:val="00040A19"/>
    <w:rsid w:val="00047B44"/>
    <w:rsid w:val="000530F0"/>
    <w:rsid w:val="000609FD"/>
    <w:rsid w:val="00061CC7"/>
    <w:rsid w:val="00073DCF"/>
    <w:rsid w:val="00077FF3"/>
    <w:rsid w:val="00082C6E"/>
    <w:rsid w:val="00086DE9"/>
    <w:rsid w:val="00092652"/>
    <w:rsid w:val="00093BD2"/>
    <w:rsid w:val="00094806"/>
    <w:rsid w:val="000B59E9"/>
    <w:rsid w:val="000C05E8"/>
    <w:rsid w:val="000C393F"/>
    <w:rsid w:val="000C6E80"/>
    <w:rsid w:val="000D74F9"/>
    <w:rsid w:val="000E264F"/>
    <w:rsid w:val="000E4F3B"/>
    <w:rsid w:val="001008C2"/>
    <w:rsid w:val="00110C26"/>
    <w:rsid w:val="00110E86"/>
    <w:rsid w:val="0011325E"/>
    <w:rsid w:val="001262C8"/>
    <w:rsid w:val="001276EF"/>
    <w:rsid w:val="00140426"/>
    <w:rsid w:val="00141B3F"/>
    <w:rsid w:val="00147B7D"/>
    <w:rsid w:val="00163CBE"/>
    <w:rsid w:val="001645B9"/>
    <w:rsid w:val="00165060"/>
    <w:rsid w:val="00177750"/>
    <w:rsid w:val="00183EF7"/>
    <w:rsid w:val="00185ECD"/>
    <w:rsid w:val="0018761C"/>
    <w:rsid w:val="001948F5"/>
    <w:rsid w:val="00195D1B"/>
    <w:rsid w:val="001977EA"/>
    <w:rsid w:val="001A70C2"/>
    <w:rsid w:val="001B41AD"/>
    <w:rsid w:val="001B7057"/>
    <w:rsid w:val="001B7C18"/>
    <w:rsid w:val="001C0F1B"/>
    <w:rsid w:val="001C309B"/>
    <w:rsid w:val="001C6C61"/>
    <w:rsid w:val="001D357E"/>
    <w:rsid w:val="001D6E54"/>
    <w:rsid w:val="001E1B0A"/>
    <w:rsid w:val="001E66A5"/>
    <w:rsid w:val="001E6C54"/>
    <w:rsid w:val="001E78EA"/>
    <w:rsid w:val="001F121D"/>
    <w:rsid w:val="001F202D"/>
    <w:rsid w:val="001F4319"/>
    <w:rsid w:val="001F4B20"/>
    <w:rsid w:val="001F7E43"/>
    <w:rsid w:val="002026FE"/>
    <w:rsid w:val="00206784"/>
    <w:rsid w:val="002121A9"/>
    <w:rsid w:val="00212788"/>
    <w:rsid w:val="00215FC1"/>
    <w:rsid w:val="00216728"/>
    <w:rsid w:val="002232E0"/>
    <w:rsid w:val="00223E42"/>
    <w:rsid w:val="0023671B"/>
    <w:rsid w:val="00243B01"/>
    <w:rsid w:val="00247570"/>
    <w:rsid w:val="00247938"/>
    <w:rsid w:val="0025544A"/>
    <w:rsid w:val="002567BE"/>
    <w:rsid w:val="00257257"/>
    <w:rsid w:val="00263C0C"/>
    <w:rsid w:val="00264FDB"/>
    <w:rsid w:val="00266A53"/>
    <w:rsid w:val="00266F38"/>
    <w:rsid w:val="002704F0"/>
    <w:rsid w:val="00281155"/>
    <w:rsid w:val="00296074"/>
    <w:rsid w:val="002969B1"/>
    <w:rsid w:val="002A00B7"/>
    <w:rsid w:val="002A0347"/>
    <w:rsid w:val="002B2BE8"/>
    <w:rsid w:val="002D0D13"/>
    <w:rsid w:val="002E3055"/>
    <w:rsid w:val="002E60F6"/>
    <w:rsid w:val="002E744B"/>
    <w:rsid w:val="0030587D"/>
    <w:rsid w:val="0031527C"/>
    <w:rsid w:val="00316537"/>
    <w:rsid w:val="00316973"/>
    <w:rsid w:val="00327206"/>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D2A39"/>
    <w:rsid w:val="003D6EA0"/>
    <w:rsid w:val="003E4CE5"/>
    <w:rsid w:val="003E7330"/>
    <w:rsid w:val="00400336"/>
    <w:rsid w:val="004040EC"/>
    <w:rsid w:val="00414D08"/>
    <w:rsid w:val="004162FD"/>
    <w:rsid w:val="00420293"/>
    <w:rsid w:val="004224AA"/>
    <w:rsid w:val="00423593"/>
    <w:rsid w:val="00431A4E"/>
    <w:rsid w:val="0043314E"/>
    <w:rsid w:val="00436C3E"/>
    <w:rsid w:val="0043706F"/>
    <w:rsid w:val="00450B7E"/>
    <w:rsid w:val="004511E4"/>
    <w:rsid w:val="00452FF0"/>
    <w:rsid w:val="00454B40"/>
    <w:rsid w:val="00461772"/>
    <w:rsid w:val="0046214B"/>
    <w:rsid w:val="0046220D"/>
    <w:rsid w:val="00464639"/>
    <w:rsid w:val="004676F5"/>
    <w:rsid w:val="004713E9"/>
    <w:rsid w:val="00475975"/>
    <w:rsid w:val="00475BC1"/>
    <w:rsid w:val="00477E2A"/>
    <w:rsid w:val="00483BBC"/>
    <w:rsid w:val="004A1281"/>
    <w:rsid w:val="004A35BF"/>
    <w:rsid w:val="004A69C6"/>
    <w:rsid w:val="004C00FF"/>
    <w:rsid w:val="004C15CA"/>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6002"/>
    <w:rsid w:val="00555840"/>
    <w:rsid w:val="0055734D"/>
    <w:rsid w:val="005601D7"/>
    <w:rsid w:val="0056210B"/>
    <w:rsid w:val="00572C46"/>
    <w:rsid w:val="005755F7"/>
    <w:rsid w:val="00576428"/>
    <w:rsid w:val="00590F3F"/>
    <w:rsid w:val="005939AD"/>
    <w:rsid w:val="00594467"/>
    <w:rsid w:val="0059516F"/>
    <w:rsid w:val="005A1C0C"/>
    <w:rsid w:val="005B439F"/>
    <w:rsid w:val="005B6237"/>
    <w:rsid w:val="005B7ED5"/>
    <w:rsid w:val="005C2C3A"/>
    <w:rsid w:val="005C34CD"/>
    <w:rsid w:val="005D272E"/>
    <w:rsid w:val="005D3E02"/>
    <w:rsid w:val="005D5852"/>
    <w:rsid w:val="005D5E11"/>
    <w:rsid w:val="005D77CF"/>
    <w:rsid w:val="005E0D81"/>
    <w:rsid w:val="005E1286"/>
    <w:rsid w:val="005E6DCD"/>
    <w:rsid w:val="006010BB"/>
    <w:rsid w:val="00601DC9"/>
    <w:rsid w:val="00603BB7"/>
    <w:rsid w:val="006070B9"/>
    <w:rsid w:val="006211BD"/>
    <w:rsid w:val="00621788"/>
    <w:rsid w:val="00622134"/>
    <w:rsid w:val="00622FF6"/>
    <w:rsid w:val="006341CB"/>
    <w:rsid w:val="00636AAD"/>
    <w:rsid w:val="00644E97"/>
    <w:rsid w:val="00651415"/>
    <w:rsid w:val="006674B6"/>
    <w:rsid w:val="00671218"/>
    <w:rsid w:val="0067693F"/>
    <w:rsid w:val="00680403"/>
    <w:rsid w:val="0068441A"/>
    <w:rsid w:val="00685CAE"/>
    <w:rsid w:val="00687238"/>
    <w:rsid w:val="0069117B"/>
    <w:rsid w:val="006951C7"/>
    <w:rsid w:val="006A419C"/>
    <w:rsid w:val="006B3B14"/>
    <w:rsid w:val="006B4193"/>
    <w:rsid w:val="006C1B6D"/>
    <w:rsid w:val="006C33F0"/>
    <w:rsid w:val="006C575E"/>
    <w:rsid w:val="006D24FE"/>
    <w:rsid w:val="006D7995"/>
    <w:rsid w:val="006E1073"/>
    <w:rsid w:val="006E5294"/>
    <w:rsid w:val="006E69A9"/>
    <w:rsid w:val="006E7D75"/>
    <w:rsid w:val="006F1882"/>
    <w:rsid w:val="006F42BD"/>
    <w:rsid w:val="006F6735"/>
    <w:rsid w:val="00702EE1"/>
    <w:rsid w:val="00703498"/>
    <w:rsid w:val="00714EA5"/>
    <w:rsid w:val="00723ED1"/>
    <w:rsid w:val="0072488A"/>
    <w:rsid w:val="00727688"/>
    <w:rsid w:val="00730668"/>
    <w:rsid w:val="0073735A"/>
    <w:rsid w:val="007373E3"/>
    <w:rsid w:val="00737B3F"/>
    <w:rsid w:val="00742F47"/>
    <w:rsid w:val="00743379"/>
    <w:rsid w:val="00743F24"/>
    <w:rsid w:val="00761164"/>
    <w:rsid w:val="007642BA"/>
    <w:rsid w:val="00771B80"/>
    <w:rsid w:val="00773878"/>
    <w:rsid w:val="00775A7C"/>
    <w:rsid w:val="00775C43"/>
    <w:rsid w:val="007942AC"/>
    <w:rsid w:val="007A05F2"/>
    <w:rsid w:val="007A0F7B"/>
    <w:rsid w:val="007A1777"/>
    <w:rsid w:val="007B3355"/>
    <w:rsid w:val="007C23FB"/>
    <w:rsid w:val="007D37EB"/>
    <w:rsid w:val="007D6EF3"/>
    <w:rsid w:val="007E2A0C"/>
    <w:rsid w:val="007F1CC8"/>
    <w:rsid w:val="00810B9A"/>
    <w:rsid w:val="008123F9"/>
    <w:rsid w:val="00813462"/>
    <w:rsid w:val="008147AE"/>
    <w:rsid w:val="00814D8F"/>
    <w:rsid w:val="00815F3D"/>
    <w:rsid w:val="00815F60"/>
    <w:rsid w:val="008219F4"/>
    <w:rsid w:val="00822AC8"/>
    <w:rsid w:val="00827FEC"/>
    <w:rsid w:val="00847A1F"/>
    <w:rsid w:val="00856E26"/>
    <w:rsid w:val="008629A1"/>
    <w:rsid w:val="00870DCD"/>
    <w:rsid w:val="00875099"/>
    <w:rsid w:val="0088227A"/>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4C89"/>
    <w:rsid w:val="009462A9"/>
    <w:rsid w:val="00951C8E"/>
    <w:rsid w:val="00964173"/>
    <w:rsid w:val="009652AA"/>
    <w:rsid w:val="00973BD1"/>
    <w:rsid w:val="00974710"/>
    <w:rsid w:val="00976944"/>
    <w:rsid w:val="00977773"/>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A0270D"/>
    <w:rsid w:val="00A05160"/>
    <w:rsid w:val="00A06482"/>
    <w:rsid w:val="00A1226A"/>
    <w:rsid w:val="00A146D0"/>
    <w:rsid w:val="00A222E1"/>
    <w:rsid w:val="00A26A2D"/>
    <w:rsid w:val="00A272CE"/>
    <w:rsid w:val="00A30773"/>
    <w:rsid w:val="00A409A7"/>
    <w:rsid w:val="00A5050D"/>
    <w:rsid w:val="00A57099"/>
    <w:rsid w:val="00A634C2"/>
    <w:rsid w:val="00A6700A"/>
    <w:rsid w:val="00A71479"/>
    <w:rsid w:val="00A9002A"/>
    <w:rsid w:val="00AA0FE4"/>
    <w:rsid w:val="00AA16B6"/>
    <w:rsid w:val="00AA265E"/>
    <w:rsid w:val="00AC0D4D"/>
    <w:rsid w:val="00AC6B92"/>
    <w:rsid w:val="00AD310A"/>
    <w:rsid w:val="00AD37D7"/>
    <w:rsid w:val="00AD43D5"/>
    <w:rsid w:val="00AD5C9F"/>
    <w:rsid w:val="00AE0428"/>
    <w:rsid w:val="00B010CD"/>
    <w:rsid w:val="00B0198A"/>
    <w:rsid w:val="00B0319F"/>
    <w:rsid w:val="00B17370"/>
    <w:rsid w:val="00B2055A"/>
    <w:rsid w:val="00B24B86"/>
    <w:rsid w:val="00B30A6C"/>
    <w:rsid w:val="00B40771"/>
    <w:rsid w:val="00B40C7E"/>
    <w:rsid w:val="00B66E6E"/>
    <w:rsid w:val="00B75416"/>
    <w:rsid w:val="00B80C52"/>
    <w:rsid w:val="00B8792E"/>
    <w:rsid w:val="00B91885"/>
    <w:rsid w:val="00B95A20"/>
    <w:rsid w:val="00BB1EC0"/>
    <w:rsid w:val="00BB6CC2"/>
    <w:rsid w:val="00BC01E9"/>
    <w:rsid w:val="00BD3AFF"/>
    <w:rsid w:val="00BD7145"/>
    <w:rsid w:val="00BE7117"/>
    <w:rsid w:val="00BF1DA5"/>
    <w:rsid w:val="00C06F9E"/>
    <w:rsid w:val="00C1514A"/>
    <w:rsid w:val="00C23622"/>
    <w:rsid w:val="00C36189"/>
    <w:rsid w:val="00C414AD"/>
    <w:rsid w:val="00C430C9"/>
    <w:rsid w:val="00C45EEC"/>
    <w:rsid w:val="00C51319"/>
    <w:rsid w:val="00C60FFC"/>
    <w:rsid w:val="00C638EC"/>
    <w:rsid w:val="00C67486"/>
    <w:rsid w:val="00C7070E"/>
    <w:rsid w:val="00C7189B"/>
    <w:rsid w:val="00C731CA"/>
    <w:rsid w:val="00C75A26"/>
    <w:rsid w:val="00C8587D"/>
    <w:rsid w:val="00C932A1"/>
    <w:rsid w:val="00C956D7"/>
    <w:rsid w:val="00CA0494"/>
    <w:rsid w:val="00CA2C12"/>
    <w:rsid w:val="00CB5576"/>
    <w:rsid w:val="00CD4CBE"/>
    <w:rsid w:val="00CD7E6D"/>
    <w:rsid w:val="00CE0F39"/>
    <w:rsid w:val="00CF4F24"/>
    <w:rsid w:val="00D11037"/>
    <w:rsid w:val="00D17C86"/>
    <w:rsid w:val="00D21019"/>
    <w:rsid w:val="00D35049"/>
    <w:rsid w:val="00D409E1"/>
    <w:rsid w:val="00D54C29"/>
    <w:rsid w:val="00D60BC1"/>
    <w:rsid w:val="00D87CA6"/>
    <w:rsid w:val="00D90CE2"/>
    <w:rsid w:val="00D95770"/>
    <w:rsid w:val="00DA3386"/>
    <w:rsid w:val="00DB748A"/>
    <w:rsid w:val="00DD116A"/>
    <w:rsid w:val="00DD1648"/>
    <w:rsid w:val="00DD7936"/>
    <w:rsid w:val="00E10EF9"/>
    <w:rsid w:val="00E155B5"/>
    <w:rsid w:val="00E16A95"/>
    <w:rsid w:val="00E203D7"/>
    <w:rsid w:val="00E23924"/>
    <w:rsid w:val="00E32D01"/>
    <w:rsid w:val="00E403D1"/>
    <w:rsid w:val="00E43378"/>
    <w:rsid w:val="00E52D68"/>
    <w:rsid w:val="00E6072E"/>
    <w:rsid w:val="00E71FE4"/>
    <w:rsid w:val="00E72B34"/>
    <w:rsid w:val="00E85524"/>
    <w:rsid w:val="00E906B8"/>
    <w:rsid w:val="00E956EC"/>
    <w:rsid w:val="00EA0782"/>
    <w:rsid w:val="00EA20BB"/>
    <w:rsid w:val="00EB3D1C"/>
    <w:rsid w:val="00EB4C15"/>
    <w:rsid w:val="00EC0745"/>
    <w:rsid w:val="00EC2484"/>
    <w:rsid w:val="00ED4705"/>
    <w:rsid w:val="00ED4AF7"/>
    <w:rsid w:val="00EE20E3"/>
    <w:rsid w:val="00EE37D3"/>
    <w:rsid w:val="00EE38E4"/>
    <w:rsid w:val="00EE42CF"/>
    <w:rsid w:val="00EF56E4"/>
    <w:rsid w:val="00EF684F"/>
    <w:rsid w:val="00EF69A2"/>
    <w:rsid w:val="00F01880"/>
    <w:rsid w:val="00F06A23"/>
    <w:rsid w:val="00F13EFD"/>
    <w:rsid w:val="00F165A3"/>
    <w:rsid w:val="00F21E3B"/>
    <w:rsid w:val="00F3359B"/>
    <w:rsid w:val="00F43428"/>
    <w:rsid w:val="00F44074"/>
    <w:rsid w:val="00F4626B"/>
    <w:rsid w:val="00F51389"/>
    <w:rsid w:val="00F51E01"/>
    <w:rsid w:val="00F51ED8"/>
    <w:rsid w:val="00F6477D"/>
    <w:rsid w:val="00F66967"/>
    <w:rsid w:val="00F67F31"/>
    <w:rsid w:val="00F75216"/>
    <w:rsid w:val="00F847FE"/>
    <w:rsid w:val="00F849D7"/>
    <w:rsid w:val="00F86489"/>
    <w:rsid w:val="00F8732C"/>
    <w:rsid w:val="00F90D82"/>
    <w:rsid w:val="00F92C08"/>
    <w:rsid w:val="00FA64E7"/>
    <w:rsid w:val="00FA774A"/>
    <w:rsid w:val="00FB0DF3"/>
    <w:rsid w:val="00FC0DEB"/>
    <w:rsid w:val="00FC0E28"/>
    <w:rsid w:val="00FC4909"/>
    <w:rsid w:val="00FC4962"/>
    <w:rsid w:val="00FD12DE"/>
    <w:rsid w:val="00FD62FF"/>
    <w:rsid w:val="00FE2F78"/>
    <w:rsid w:val="00FE61C6"/>
    <w:rsid w:val="00FF4EA4"/>
    <w:rsid w:val="013D4D85"/>
    <w:rsid w:val="03301845"/>
    <w:rsid w:val="062062C8"/>
    <w:rsid w:val="0938719A"/>
    <w:rsid w:val="0B7C7CF7"/>
    <w:rsid w:val="0EEE414A"/>
    <w:rsid w:val="142063C0"/>
    <w:rsid w:val="150E2ADE"/>
    <w:rsid w:val="18A77C8D"/>
    <w:rsid w:val="22E1086F"/>
    <w:rsid w:val="23454469"/>
    <w:rsid w:val="266A6CD9"/>
    <w:rsid w:val="298A78DD"/>
    <w:rsid w:val="29AC42A7"/>
    <w:rsid w:val="2C60282F"/>
    <w:rsid w:val="335D147F"/>
    <w:rsid w:val="353071A6"/>
    <w:rsid w:val="395333EF"/>
    <w:rsid w:val="3A4770C4"/>
    <w:rsid w:val="3CB67A1C"/>
    <w:rsid w:val="3D0A4AD3"/>
    <w:rsid w:val="4568123C"/>
    <w:rsid w:val="4AA94FDB"/>
    <w:rsid w:val="4B80017D"/>
    <w:rsid w:val="4D2C16DC"/>
    <w:rsid w:val="4D3815C9"/>
    <w:rsid w:val="50CB4221"/>
    <w:rsid w:val="54C85695"/>
    <w:rsid w:val="55F11889"/>
    <w:rsid w:val="5D69733E"/>
    <w:rsid w:val="638909D1"/>
    <w:rsid w:val="64CA39E0"/>
    <w:rsid w:val="6D180B3A"/>
    <w:rsid w:val="718479FA"/>
    <w:rsid w:val="7A3271FC"/>
    <w:rsid w:val="7FC26F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49"/>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48"/>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unhideWhenUsed/>
    <w:qFormat/>
    <w:uiPriority w:val="99"/>
    <w:rPr>
      <w:color w:val="800080" w:themeColor="followedHyperlink"/>
      <w:u w:val="single"/>
    </w:rPr>
  </w:style>
  <w:style w:type="character" w:styleId="23">
    <w:name w:val="Hyperlink"/>
    <w:basedOn w:val="20"/>
    <w:unhideWhenUsed/>
    <w:qFormat/>
    <w:uiPriority w:val="99"/>
    <w:rPr>
      <w:color w:val="0000FF"/>
      <w:u w:val="single"/>
    </w:rPr>
  </w:style>
  <w:style w:type="character" w:customStyle="1" w:styleId="25">
    <w:name w:val="标题 1 Char"/>
    <w:basedOn w:val="20"/>
    <w:link w:val="4"/>
    <w:qFormat/>
    <w:uiPriority w:val="0"/>
    <w:rPr>
      <w:rFonts w:ascii="Calibri" w:hAnsi="Calibri" w:eastAsia="宋体" w:cs="Times New Roman"/>
      <w:b/>
      <w:bCs/>
      <w:kern w:val="44"/>
      <w:sz w:val="44"/>
      <w:szCs w:val="44"/>
    </w:rPr>
  </w:style>
  <w:style w:type="character" w:customStyle="1" w:styleId="26">
    <w:name w:val="标题 2 Char"/>
    <w:basedOn w:val="20"/>
    <w:link w:val="5"/>
    <w:qFormat/>
    <w:uiPriority w:val="0"/>
    <w:rPr>
      <w:rFonts w:ascii="Arial" w:hAnsi="Arial" w:eastAsia="黑体" w:cs="Times New Roman"/>
      <w:b/>
      <w:bCs/>
      <w:kern w:val="0"/>
      <w:sz w:val="32"/>
      <w:szCs w:val="32"/>
    </w:rPr>
  </w:style>
  <w:style w:type="character" w:customStyle="1" w:styleId="27">
    <w:name w:val="标题 3 Char"/>
    <w:basedOn w:val="20"/>
    <w:link w:val="6"/>
    <w:qFormat/>
    <w:uiPriority w:val="0"/>
    <w:rPr>
      <w:rFonts w:ascii="宋体" w:hAnsi="宋体" w:eastAsia="宋体" w:cs="Times New Roman"/>
      <w:b/>
      <w:color w:val="000000"/>
      <w:kern w:val="0"/>
      <w:sz w:val="24"/>
      <w:szCs w:val="20"/>
      <w:lang w:val="en-GB"/>
    </w:rPr>
  </w:style>
  <w:style w:type="character" w:customStyle="1" w:styleId="28">
    <w:name w:val="标题 4 Char"/>
    <w:basedOn w:val="20"/>
    <w:link w:val="7"/>
    <w:qFormat/>
    <w:uiPriority w:val="0"/>
    <w:rPr>
      <w:rFonts w:ascii="Arial" w:hAnsi="Arial" w:eastAsia="黑体" w:cs="Times New Roman"/>
      <w:b/>
      <w:bCs/>
      <w:kern w:val="0"/>
      <w:sz w:val="28"/>
      <w:szCs w:val="28"/>
    </w:rPr>
  </w:style>
  <w:style w:type="character" w:customStyle="1" w:styleId="29">
    <w:name w:val="纯文本 Char"/>
    <w:basedOn w:val="20"/>
    <w:link w:val="13"/>
    <w:qFormat/>
    <w:uiPriority w:val="0"/>
    <w:rPr>
      <w:rFonts w:eastAsia="宋体"/>
      <w:sz w:val="24"/>
    </w:rPr>
  </w:style>
  <w:style w:type="character" w:customStyle="1" w:styleId="30">
    <w:name w:val="日期 Char"/>
    <w:basedOn w:val="20"/>
    <w:link w:val="14"/>
    <w:qFormat/>
    <w:uiPriority w:val="99"/>
  </w:style>
  <w:style w:type="character" w:customStyle="1" w:styleId="31">
    <w:name w:val="页脚 Char"/>
    <w:basedOn w:val="20"/>
    <w:link w:val="15"/>
    <w:qFormat/>
    <w:uiPriority w:val="99"/>
    <w:rPr>
      <w:sz w:val="18"/>
      <w:szCs w:val="18"/>
    </w:rPr>
  </w:style>
  <w:style w:type="character" w:customStyle="1" w:styleId="32">
    <w:name w:val="页眉 Char"/>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5">
    <w:name w:val="列出段落1"/>
    <w:basedOn w:val="1"/>
    <w:qFormat/>
    <w:uiPriority w:val="34"/>
    <w:pPr>
      <w:ind w:firstLine="420" w:firstLineChars="200"/>
    </w:pPr>
  </w:style>
  <w:style w:type="paragraph" w:styleId="36">
    <w:name w:val="List Paragraph"/>
    <w:basedOn w:val="1"/>
    <w:unhideWhenUsed/>
    <w:qFormat/>
    <w:uiPriority w:val="99"/>
    <w:pPr>
      <w:ind w:firstLine="420" w:firstLineChars="200"/>
    </w:pPr>
  </w:style>
  <w:style w:type="character" w:customStyle="1" w:styleId="37">
    <w:name w:val="正文文本缩进 Char Char"/>
    <w:link w:val="38"/>
    <w:qFormat/>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sz w:val="24"/>
    </w:rPr>
  </w:style>
  <w:style w:type="character" w:customStyle="1" w:styleId="39">
    <w:name w:val="日期 Char Char"/>
    <w:link w:val="40"/>
    <w:qFormat/>
    <w:uiPriority w:val="0"/>
    <w:rPr>
      <w:sz w:val="24"/>
    </w:rPr>
  </w:style>
  <w:style w:type="paragraph" w:customStyle="1" w:styleId="40">
    <w:name w:val="日期1"/>
    <w:basedOn w:val="1"/>
    <w:next w:val="1"/>
    <w:link w:val="39"/>
    <w:qFormat/>
    <w:uiPriority w:val="0"/>
    <w:rPr>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Char"/>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qFormat/>
    <w:uiPriority w:val="0"/>
  </w:style>
  <w:style w:type="paragraph" w:customStyle="1" w:styleId="46">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Char"/>
    <w:basedOn w:val="20"/>
    <w:link w:val="3"/>
    <w:semiHidden/>
    <w:qFormat/>
    <w:uiPriority w:val="99"/>
  </w:style>
  <w:style w:type="character" w:customStyle="1" w:styleId="49">
    <w:name w:val="正文首行缩进 Char"/>
    <w:basedOn w:val="48"/>
    <w:link w:val="2"/>
    <w:qFormat/>
    <w:uiPriority w:val="0"/>
    <w:rPr>
      <w:rFonts w:ascii="宋体" w:hAnsi="Times New Roman" w:eastAsia="宋体" w:cs="Times New Roman"/>
      <w:kern w:val="0"/>
      <w:sz w:val="34"/>
      <w:szCs w:val="20"/>
    </w:rPr>
  </w:style>
  <w:style w:type="character" w:customStyle="1" w:styleId="50">
    <w:name w:val="HTML 预设格式 Char"/>
    <w:basedOn w:val="20"/>
    <w:link w:val="18"/>
    <w:semiHidden/>
    <w:qFormat/>
    <w:uiPriority w:val="99"/>
    <w:rPr>
      <w:rFonts w:ascii="宋体" w:hAnsi="宋体" w:eastAsia="宋体" w:cs="宋体"/>
      <w:kern w:val="0"/>
      <w:sz w:val="24"/>
      <w:szCs w:val="24"/>
    </w:rPr>
  </w:style>
  <w:style w:type="paragraph" w:customStyle="1" w:styleId="51">
    <w:name w:val="as"/>
    <w:basedOn w:val="1"/>
    <w:qFormat/>
    <w:uiPriority w:val="0"/>
    <w:pPr>
      <w:tabs>
        <w:tab w:val="left" w:pos="525"/>
      </w:tabs>
      <w:ind w:left="525" w:firstLine="315"/>
    </w:pPr>
    <w:rPr>
      <w:rFonts w:ascii="宋体" w:hAnsi="Calibri" w:eastAsia="宋体" w:cs="宋体"/>
      <w:sz w:val="28"/>
      <w:szCs w:val="28"/>
    </w:rPr>
  </w:style>
  <w:style w:type="paragraph" w:customStyle="1" w:styleId="52">
    <w:name w:val="sa"/>
    <w:basedOn w:val="51"/>
    <w:qFormat/>
    <w:uiPriority w:val="0"/>
    <w:pPr>
      <w:ind w:left="0" w:firstLine="470" w:firstLineChars="196"/>
    </w:pPr>
    <w:rPr>
      <w:rFonts w:ascii="仿宋_GB2312" w:hAnsi="宋体" w:eastAsia="仿宋_GB2312"/>
      <w:kern w:val="24"/>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7531C8-A5B1-461C-9E8A-F216C03523F9}">
  <ds:schemaRefs/>
</ds:datastoreItem>
</file>

<file path=docProps/app.xml><?xml version="1.0" encoding="utf-8"?>
<Properties xmlns="http://schemas.openxmlformats.org/officeDocument/2006/extended-properties" xmlns:vt="http://schemas.openxmlformats.org/officeDocument/2006/docPropsVTypes">
  <Template>Normal</Template>
  <Company>MS</Company>
  <Pages>76</Pages>
  <Words>6435</Words>
  <Characters>36685</Characters>
  <Lines>305</Lines>
  <Paragraphs>86</Paragraphs>
  <ScaleCrop>false</ScaleCrop>
  <LinksUpToDate>false</LinksUpToDate>
  <CharactersWithSpaces>43034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2018-02-27T06:49:00Z</dcterms:created>
  <dc:creator>许昌市公共资源交易中心:孟莉</dc:creator>
  <cp:lastModifiedBy>キンテンテン</cp:lastModifiedBy>
  <cp:lastPrinted>2018-03-16T06:29:00Z</cp:lastPrinted>
  <dcterms:modified xsi:type="dcterms:W3CDTF">2018-04-04T07:14:27Z</dcterms:modified>
  <cp:revision>409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