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ind w:left="0" w:right="0" w:firstLine="1325" w:firstLineChars="300"/>
        <w:jc w:val="both"/>
        <w:rPr>
          <w:b/>
          <w:sz w:val="44"/>
          <w:szCs w:val="44"/>
          <w:lang w:val="en-US"/>
        </w:rPr>
      </w:pPr>
      <w:r>
        <w:rPr>
          <w:rFonts w:hint="eastAsia" w:ascii="Calibri" w:hAnsi="Calibri" w:eastAsia="宋体" w:cs="宋体"/>
          <w:b/>
          <w:kern w:val="2"/>
          <w:sz w:val="44"/>
          <w:szCs w:val="44"/>
          <w:lang w:val="en-US" w:eastAsia="zh-CN" w:bidi="ar"/>
        </w:rPr>
        <w:t>禹州市看守所视频改造项目</w:t>
      </w:r>
    </w:p>
    <w:p>
      <w:pPr>
        <w:keepNext w:val="0"/>
        <w:keepLines w:val="0"/>
        <w:widowControl w:val="0"/>
        <w:suppressLineNumbers w:val="0"/>
        <w:spacing w:before="0" w:beforeAutospacing="0" w:after="0" w:afterAutospacing="0"/>
        <w:ind w:left="0" w:right="0" w:firstLine="3092" w:firstLineChars="700"/>
        <w:jc w:val="both"/>
        <w:rPr>
          <w:b/>
          <w:sz w:val="44"/>
          <w:szCs w:val="44"/>
          <w:lang w:val="en-US"/>
        </w:rPr>
      </w:pPr>
      <w:r>
        <w:rPr>
          <w:rFonts w:hint="eastAsia" w:ascii="Calibri" w:hAnsi="Calibri" w:eastAsia="宋体" w:cs="宋体"/>
          <w:b/>
          <w:kern w:val="2"/>
          <w:sz w:val="44"/>
          <w:szCs w:val="44"/>
          <w:lang w:val="en-US" w:eastAsia="zh-CN" w:bidi="ar"/>
        </w:rPr>
        <w:t>变 更 通 知</w:t>
      </w:r>
    </w:p>
    <w:p>
      <w:pPr>
        <w:keepNext w:val="0"/>
        <w:keepLines w:val="0"/>
        <w:widowControl w:val="0"/>
        <w:suppressLineNumbers w:val="0"/>
        <w:spacing w:before="0" w:beforeAutospacing="0" w:after="0" w:afterAutospacing="0"/>
        <w:ind w:left="0" w:right="0" w:firstLine="2100" w:firstLineChars="1000"/>
        <w:jc w:val="both"/>
        <w:rPr>
          <w:lang w:val="en-US"/>
        </w:rPr>
      </w:pPr>
    </w:p>
    <w:p>
      <w:pPr>
        <w:keepNext w:val="0"/>
        <w:keepLines w:val="0"/>
        <w:widowControl w:val="0"/>
        <w:suppressLineNumbers w:val="0"/>
        <w:spacing w:before="0" w:beforeAutospacing="0" w:after="0" w:afterAutospacing="0"/>
        <w:ind w:left="0" w:right="0"/>
        <w:jc w:val="both"/>
        <w:rPr>
          <w:rFonts w:hint="eastAsia" w:ascii="仿宋" w:hAnsi="仿宋" w:eastAsia="仿宋" w:cs="仿宋"/>
          <w:lang w:val="en-US"/>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outlineLvl w:val="9"/>
        <w:rPr>
          <w:rFonts w:hint="eastAsia" w:ascii="仿宋" w:hAnsi="仿宋" w:eastAsia="仿宋" w:cs="仿宋"/>
          <w:b/>
          <w:bCs/>
          <w:sz w:val="24"/>
          <w:szCs w:val="24"/>
          <w:lang w:val="en-US"/>
        </w:rPr>
      </w:pPr>
      <w:r>
        <w:rPr>
          <w:rFonts w:hint="eastAsia" w:ascii="仿宋" w:hAnsi="仿宋" w:eastAsia="仿宋" w:cs="仿宋"/>
          <w:b/>
          <w:bCs/>
          <w:kern w:val="2"/>
          <w:sz w:val="24"/>
          <w:szCs w:val="24"/>
          <w:lang w:val="en-US" w:eastAsia="zh-CN" w:bidi="ar"/>
        </w:rPr>
        <w:t>致各潜在供应商：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640"/>
        <w:jc w:val="both"/>
        <w:textAlignment w:val="auto"/>
        <w:outlineLvl w:val="9"/>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我单位看守所视频改造项目（采购编号：YZCG—G2018066），对于部分供应商提出的异议情况，我单位高度重视，组织相关专业人员对采购需求及评标标准进行了重新论证，降低了技术标准，重新论证后的技术参数无倾向性和排它性，修改后的技术要求及评分标准如下：</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0"/>
        <w:jc w:val="both"/>
        <w:textAlignment w:val="auto"/>
        <w:outlineLvl w:val="9"/>
        <w:rPr>
          <w:rFonts w:hint="eastAsia" w:ascii="仿宋" w:hAnsi="仿宋" w:eastAsia="仿宋" w:cs="仿宋"/>
          <w:kern w:val="2"/>
          <w:sz w:val="24"/>
          <w:szCs w:val="24"/>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outlineLvl w:val="9"/>
        <w:rPr>
          <w:rFonts w:hint="eastAsia" w:ascii="黑体" w:hAnsi="黑体" w:eastAsia="黑体" w:cs="黑体"/>
          <w:kern w:val="2"/>
          <w:sz w:val="24"/>
          <w:szCs w:val="24"/>
          <w:lang w:val="en-US" w:eastAsia="zh-CN" w:bidi="ar"/>
        </w:rPr>
      </w:pPr>
      <w:r>
        <w:rPr>
          <w:rFonts w:hint="eastAsia" w:ascii="黑体" w:hAnsi="黑体" w:eastAsia="黑体" w:cs="黑体"/>
          <w:kern w:val="2"/>
          <w:sz w:val="24"/>
          <w:szCs w:val="24"/>
          <w:lang w:val="en-US" w:eastAsia="zh-CN" w:bidi="ar"/>
        </w:rPr>
        <w:t>采购需求及其它要求</w:t>
      </w:r>
    </w:p>
    <w:p>
      <w:pPr>
        <w:spacing w:before="471" w:after="312" w:line="360" w:lineRule="auto"/>
        <w:outlineLvl w:val="0"/>
        <w:rPr>
          <w:rFonts w:hint="eastAsia" w:ascii="仿宋" w:hAnsi="仿宋" w:eastAsia="仿宋" w:cs="仿宋"/>
          <w:sz w:val="24"/>
          <w:szCs w:val="24"/>
        </w:rPr>
      </w:pPr>
      <w:r>
        <w:rPr>
          <w:rFonts w:hint="eastAsia" w:ascii="仿宋" w:hAnsi="仿宋" w:eastAsia="仿宋" w:cs="仿宋"/>
          <w:b/>
          <w:bCs/>
          <w:kern w:val="44"/>
          <w:sz w:val="24"/>
          <w:szCs w:val="24"/>
          <w:lang w:eastAsia="zh-CN"/>
        </w:rPr>
        <w:t>一</w:t>
      </w:r>
      <w:r>
        <w:rPr>
          <w:rFonts w:hint="eastAsia" w:ascii="仿宋" w:hAnsi="仿宋" w:eastAsia="仿宋" w:cs="仿宋"/>
          <w:b/>
          <w:bCs/>
          <w:kern w:val="44"/>
          <w:sz w:val="24"/>
          <w:szCs w:val="24"/>
        </w:rPr>
        <w:t>、</w:t>
      </w:r>
      <w:r>
        <w:rPr>
          <w:rFonts w:hint="eastAsia" w:ascii="仿宋" w:hAnsi="仿宋" w:eastAsia="仿宋" w:cs="仿宋"/>
          <w:b/>
          <w:sz w:val="24"/>
          <w:szCs w:val="24"/>
        </w:rPr>
        <w:t>项目概述</w:t>
      </w:r>
    </w:p>
    <w:tbl>
      <w:tblPr>
        <w:tblStyle w:val="7"/>
        <w:tblW w:w="8916"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2376"/>
        <w:gridCol w:w="65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549" w:hRule="atLeast"/>
        </w:trPr>
        <w:tc>
          <w:tcPr>
            <w:tcW w:w="2376" w:type="dxa"/>
            <w:vAlign w:val="center"/>
          </w:tcPr>
          <w:p>
            <w:pPr>
              <w:keepNext w:val="0"/>
              <w:keepLines w:val="0"/>
              <w:suppressLineNumbers w:val="0"/>
              <w:snapToGrid w:val="0"/>
              <w:spacing w:before="0" w:beforeAutospacing="0" w:after="0" w:afterAutospacing="0"/>
              <w:ind w:left="0" w:right="0"/>
              <w:jc w:val="center"/>
              <w:outlineLvl w:val="0"/>
              <w:rPr>
                <w:rFonts w:hint="eastAsia" w:ascii="仿宋" w:hAnsi="仿宋" w:eastAsia="仿宋" w:cs="仿宋"/>
                <w:b/>
                <w:sz w:val="24"/>
                <w:szCs w:val="24"/>
              </w:rPr>
            </w:pPr>
            <w:r>
              <w:rPr>
                <w:rFonts w:hint="eastAsia" w:ascii="仿宋" w:hAnsi="仿宋" w:eastAsia="仿宋" w:cs="仿宋"/>
                <w:b/>
                <w:sz w:val="24"/>
                <w:szCs w:val="24"/>
              </w:rPr>
              <w:t>项目名称</w:t>
            </w:r>
          </w:p>
        </w:tc>
        <w:tc>
          <w:tcPr>
            <w:tcW w:w="6540" w:type="dxa"/>
            <w:vAlign w:val="center"/>
          </w:tcPr>
          <w:p>
            <w:pPr>
              <w:keepNext w:val="0"/>
              <w:keepLines w:val="0"/>
              <w:suppressLineNumbers w:val="0"/>
              <w:snapToGrid w:val="0"/>
              <w:spacing w:before="0" w:beforeAutospacing="0" w:after="0" w:afterAutospacing="0"/>
              <w:ind w:left="0" w:right="0"/>
              <w:outlineLvl w:val="0"/>
              <w:rPr>
                <w:rFonts w:hint="eastAsia" w:ascii="仿宋" w:hAnsi="仿宋" w:eastAsia="仿宋" w:cs="仿宋"/>
                <w:sz w:val="24"/>
                <w:szCs w:val="24"/>
              </w:rPr>
            </w:pPr>
            <w:r>
              <w:rPr>
                <w:rFonts w:hint="eastAsia" w:ascii="仿宋" w:hAnsi="仿宋" w:eastAsia="仿宋" w:cs="仿宋"/>
                <w:sz w:val="24"/>
                <w:szCs w:val="24"/>
              </w:rPr>
              <w:t>禹州市看守所视频改造项目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514" w:hRule="atLeast"/>
        </w:trPr>
        <w:tc>
          <w:tcPr>
            <w:tcW w:w="2376" w:type="dxa"/>
            <w:vAlign w:val="center"/>
          </w:tcPr>
          <w:p>
            <w:pPr>
              <w:keepNext w:val="0"/>
              <w:keepLines w:val="0"/>
              <w:suppressLineNumbers w:val="0"/>
              <w:snapToGrid w:val="0"/>
              <w:spacing w:before="0" w:beforeAutospacing="0" w:after="0" w:afterAutospacing="0"/>
              <w:ind w:left="0" w:right="0"/>
              <w:jc w:val="center"/>
              <w:outlineLvl w:val="0"/>
              <w:rPr>
                <w:rFonts w:hint="eastAsia" w:ascii="仿宋" w:hAnsi="仿宋" w:eastAsia="仿宋" w:cs="仿宋"/>
                <w:b/>
                <w:sz w:val="24"/>
                <w:szCs w:val="24"/>
              </w:rPr>
            </w:pPr>
            <w:r>
              <w:rPr>
                <w:rFonts w:hint="eastAsia" w:ascii="仿宋" w:hAnsi="仿宋" w:eastAsia="仿宋" w:cs="仿宋"/>
                <w:b/>
                <w:sz w:val="24"/>
                <w:szCs w:val="24"/>
              </w:rPr>
              <w:t>采购内容</w:t>
            </w:r>
          </w:p>
        </w:tc>
        <w:tc>
          <w:tcPr>
            <w:tcW w:w="6540" w:type="dxa"/>
            <w:vAlign w:val="center"/>
          </w:tcPr>
          <w:p>
            <w:pPr>
              <w:keepNext w:val="0"/>
              <w:keepLines w:val="0"/>
              <w:suppressLineNumbers w:val="0"/>
              <w:spacing w:before="0" w:beforeAutospacing="0" w:after="0" w:afterAutospacing="0" w:line="400" w:lineRule="exact"/>
              <w:ind w:left="0" w:right="0"/>
              <w:rPr>
                <w:rFonts w:hint="eastAsia" w:ascii="仿宋" w:hAnsi="仿宋" w:eastAsia="仿宋" w:cs="仿宋"/>
                <w:sz w:val="24"/>
                <w:szCs w:val="24"/>
              </w:rPr>
            </w:pPr>
            <w:r>
              <w:rPr>
                <w:rFonts w:hint="eastAsia" w:ascii="仿宋" w:hAnsi="仿宋" w:eastAsia="仿宋" w:cs="仿宋"/>
                <w:sz w:val="24"/>
                <w:szCs w:val="24"/>
              </w:rPr>
              <w:t>本项目的采购内容为禹州市看守所视频改造项目采购及安装、调试、验收、培训、质保服务、运输和保险以及与货物有关的其他伴随服务。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530" w:hRule="atLeast"/>
        </w:trPr>
        <w:tc>
          <w:tcPr>
            <w:tcW w:w="2376" w:type="dxa"/>
            <w:vAlign w:val="center"/>
          </w:tcPr>
          <w:p>
            <w:pPr>
              <w:keepNext w:val="0"/>
              <w:keepLines w:val="0"/>
              <w:suppressLineNumbers w:val="0"/>
              <w:snapToGrid w:val="0"/>
              <w:spacing w:before="0" w:beforeAutospacing="0" w:after="0" w:afterAutospacing="0"/>
              <w:ind w:left="0" w:right="0"/>
              <w:jc w:val="center"/>
              <w:outlineLvl w:val="0"/>
              <w:rPr>
                <w:rFonts w:hint="eastAsia" w:ascii="仿宋" w:hAnsi="仿宋" w:eastAsia="仿宋" w:cs="仿宋"/>
                <w:b/>
                <w:sz w:val="24"/>
                <w:szCs w:val="24"/>
              </w:rPr>
            </w:pPr>
            <w:r>
              <w:rPr>
                <w:rFonts w:hint="eastAsia" w:ascii="仿宋" w:hAnsi="仿宋" w:eastAsia="仿宋" w:cs="仿宋"/>
                <w:b/>
                <w:sz w:val="24"/>
                <w:szCs w:val="24"/>
              </w:rPr>
              <w:t>主要技术规格</w:t>
            </w:r>
          </w:p>
        </w:tc>
        <w:tc>
          <w:tcPr>
            <w:tcW w:w="6540" w:type="dxa"/>
            <w:vAlign w:val="center"/>
          </w:tcPr>
          <w:p>
            <w:pPr>
              <w:keepNext w:val="0"/>
              <w:keepLines w:val="0"/>
              <w:suppressLineNumbers w:val="0"/>
              <w:snapToGrid w:val="0"/>
              <w:spacing w:before="0" w:beforeAutospacing="0" w:after="0" w:afterAutospacing="0"/>
              <w:ind w:left="0" w:right="0"/>
              <w:rPr>
                <w:rFonts w:hint="eastAsia" w:ascii="仿宋" w:hAnsi="仿宋" w:eastAsia="仿宋" w:cs="仿宋"/>
                <w:sz w:val="24"/>
                <w:szCs w:val="24"/>
              </w:rPr>
            </w:pPr>
            <w:r>
              <w:rPr>
                <w:rFonts w:hint="eastAsia" w:ascii="仿宋" w:hAnsi="仿宋" w:eastAsia="仿宋" w:cs="仿宋"/>
                <w:sz w:val="24"/>
                <w:szCs w:val="24"/>
              </w:rPr>
              <w:t>详见设备清单技术参数</w:t>
            </w:r>
          </w:p>
        </w:tc>
      </w:tr>
    </w:tbl>
    <w:p>
      <w:pPr>
        <w:pStyle w:val="2"/>
        <w:snapToGrid w:val="0"/>
        <w:spacing w:after="156" w:afterLines="50"/>
        <w:outlineLvl w:val="0"/>
        <w:rPr>
          <w:rFonts w:hint="eastAsia" w:ascii="仿宋" w:hAnsi="仿宋" w:eastAsia="仿宋" w:cs="仿宋"/>
          <w:b/>
          <w:sz w:val="24"/>
          <w:szCs w:val="24"/>
        </w:rPr>
      </w:pPr>
    </w:p>
    <w:p>
      <w:pPr>
        <w:snapToGrid w:val="0"/>
        <w:spacing w:after="156" w:afterLines="50"/>
        <w:outlineLvl w:val="0"/>
        <w:rPr>
          <w:rFonts w:hint="eastAsia" w:ascii="仿宋" w:hAnsi="仿宋" w:eastAsia="仿宋" w:cs="仿宋"/>
          <w:b/>
          <w:sz w:val="24"/>
          <w:szCs w:val="24"/>
        </w:rPr>
      </w:pPr>
      <w:r>
        <w:rPr>
          <w:rFonts w:hint="eastAsia" w:ascii="仿宋" w:hAnsi="仿宋" w:eastAsia="仿宋" w:cs="仿宋"/>
          <w:b/>
          <w:sz w:val="24"/>
          <w:szCs w:val="24"/>
        </w:rPr>
        <w:t>二、项目需求及要求</w:t>
      </w:r>
    </w:p>
    <w:p>
      <w:pPr>
        <w:widowControl/>
        <w:spacing w:line="360" w:lineRule="auto"/>
        <w:rPr>
          <w:rFonts w:hint="eastAsia" w:ascii="仿宋" w:hAnsi="仿宋" w:eastAsia="仿宋" w:cs="仿宋"/>
          <w:b/>
          <w:bCs/>
          <w:kern w:val="0"/>
          <w:sz w:val="24"/>
          <w:szCs w:val="24"/>
        </w:rPr>
      </w:pPr>
      <w:r>
        <w:rPr>
          <w:rFonts w:hint="eastAsia" w:ascii="仿宋" w:hAnsi="仿宋" w:eastAsia="仿宋" w:cs="仿宋"/>
          <w:b/>
          <w:bCs/>
          <w:kern w:val="0"/>
          <w:sz w:val="24"/>
          <w:szCs w:val="24"/>
        </w:rPr>
        <w:t>1、招标内容及基本要求</w:t>
      </w:r>
    </w:p>
    <w:p>
      <w:pPr>
        <w:widowControl/>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投标人须保证系统达到用户的功能要求，保证系统正常、稳定运行。本需求方案的功能要求及需求清单所列设备仅是基本需求，投标人须根据本项目的总体安排，并结合实际情况、项目资金预算等对所有的设备、器件、软件、附件进行完善、补充，使技术方案更全面、功能更完善，并在投标文件内列明设备清单、报价（包含所有安装调试和人工等一切费用）。</w:t>
      </w:r>
    </w:p>
    <w:p>
      <w:pPr>
        <w:pStyle w:val="2"/>
        <w:snapToGrid w:val="0"/>
        <w:spacing w:after="156" w:afterLines="50"/>
        <w:outlineLvl w:val="0"/>
        <w:rPr>
          <w:rFonts w:hint="eastAsia" w:ascii="仿宋" w:hAnsi="仿宋" w:eastAsia="仿宋" w:cs="仿宋"/>
          <w:b/>
          <w:sz w:val="24"/>
          <w:szCs w:val="24"/>
        </w:rPr>
      </w:pPr>
      <w:r>
        <w:rPr>
          <w:rFonts w:hint="eastAsia" w:ascii="仿宋" w:hAnsi="仿宋" w:eastAsia="仿宋" w:cs="仿宋"/>
          <w:b/>
          <w:sz w:val="24"/>
          <w:szCs w:val="24"/>
        </w:rPr>
        <w:t>三、说明</w:t>
      </w:r>
    </w:p>
    <w:p>
      <w:pPr>
        <w:spacing w:line="360" w:lineRule="auto"/>
        <w:ind w:firstLine="435"/>
        <w:rPr>
          <w:rFonts w:hint="eastAsia" w:ascii="仿宋" w:hAnsi="仿宋" w:eastAsia="仿宋" w:cs="仿宋"/>
          <w:sz w:val="24"/>
          <w:szCs w:val="24"/>
        </w:rPr>
      </w:pPr>
      <w:r>
        <w:rPr>
          <w:rFonts w:hint="eastAsia" w:ascii="仿宋" w:hAnsi="仿宋" w:eastAsia="仿宋" w:cs="仿宋"/>
          <w:sz w:val="24"/>
          <w:szCs w:val="24"/>
        </w:rPr>
        <w:t>1、总则</w:t>
      </w:r>
    </w:p>
    <w:p>
      <w:pPr>
        <w:spacing w:line="360" w:lineRule="auto"/>
        <w:ind w:firstLine="435"/>
        <w:rPr>
          <w:rFonts w:hint="eastAsia" w:ascii="仿宋" w:hAnsi="仿宋" w:eastAsia="仿宋" w:cs="仿宋"/>
          <w:sz w:val="24"/>
          <w:szCs w:val="24"/>
        </w:rPr>
      </w:pPr>
      <w:r>
        <w:rPr>
          <w:rFonts w:hint="eastAsia" w:ascii="仿宋" w:hAnsi="仿宋" w:eastAsia="仿宋" w:cs="仿宋"/>
          <w:sz w:val="24"/>
          <w:szCs w:val="24"/>
        </w:rPr>
        <w:t xml:space="preserve">    1．1本章所述技术规格及要求是招标人提供的最低限度的技术要求，投标人应保证提供符合本技术规格及要求和有关工业标准的优质产品。</w:t>
      </w:r>
    </w:p>
    <w:p>
      <w:pPr>
        <w:spacing w:line="360" w:lineRule="auto"/>
        <w:ind w:firstLine="435"/>
        <w:rPr>
          <w:rFonts w:hint="eastAsia" w:ascii="仿宋" w:hAnsi="仿宋" w:eastAsia="仿宋" w:cs="仿宋"/>
          <w:sz w:val="24"/>
          <w:szCs w:val="24"/>
        </w:rPr>
      </w:pPr>
      <w:r>
        <w:rPr>
          <w:rFonts w:hint="eastAsia" w:ascii="仿宋" w:hAnsi="仿宋" w:eastAsia="仿宋" w:cs="仿宋"/>
          <w:sz w:val="24"/>
          <w:szCs w:val="24"/>
        </w:rPr>
        <w:t xml:space="preserve">    1．2本技术规格及要求所使用的标准和规范如与投标人所执行的标准发生矛盾时，按较高标准执行。</w:t>
      </w:r>
    </w:p>
    <w:p>
      <w:pPr>
        <w:spacing w:line="360" w:lineRule="auto"/>
        <w:ind w:firstLine="435"/>
        <w:rPr>
          <w:rFonts w:hint="eastAsia" w:ascii="仿宋" w:hAnsi="仿宋" w:eastAsia="仿宋" w:cs="仿宋"/>
          <w:sz w:val="24"/>
          <w:szCs w:val="24"/>
        </w:rPr>
      </w:pPr>
      <w:r>
        <w:rPr>
          <w:rFonts w:hint="eastAsia" w:ascii="仿宋" w:hAnsi="仿宋" w:eastAsia="仿宋" w:cs="仿宋"/>
          <w:sz w:val="24"/>
          <w:szCs w:val="24"/>
        </w:rPr>
        <w:t xml:space="preserve">    1．3招标人保留在对本技术规格及要求补充和修改的权利，投标人应承诺予以配合，如提出修改，具体事件由中标人与招标人另行商定。</w:t>
      </w:r>
    </w:p>
    <w:p>
      <w:pPr>
        <w:spacing w:line="360" w:lineRule="auto"/>
        <w:ind w:firstLine="435"/>
        <w:rPr>
          <w:rFonts w:hint="eastAsia" w:ascii="仿宋" w:hAnsi="仿宋" w:eastAsia="仿宋" w:cs="仿宋"/>
          <w:sz w:val="24"/>
          <w:szCs w:val="24"/>
        </w:rPr>
      </w:pPr>
      <w:r>
        <w:rPr>
          <w:rFonts w:hint="eastAsia" w:ascii="仿宋" w:hAnsi="仿宋" w:eastAsia="仿宋" w:cs="仿宋"/>
          <w:sz w:val="24"/>
          <w:szCs w:val="24"/>
        </w:rPr>
        <w:t xml:space="preserve">    1．4投标人所提供的货物，如若发生侵犯知识产权的行为时，其侵权责任与招标人无关，应由投标人承担相应的责任，并不得损害招标人的利益。</w:t>
      </w:r>
    </w:p>
    <w:p>
      <w:pPr>
        <w:spacing w:line="360" w:lineRule="auto"/>
        <w:ind w:firstLine="435"/>
        <w:rPr>
          <w:rFonts w:hint="eastAsia" w:ascii="仿宋" w:hAnsi="仿宋" w:eastAsia="仿宋" w:cs="仿宋"/>
          <w:sz w:val="24"/>
          <w:szCs w:val="24"/>
        </w:rPr>
      </w:pPr>
      <w:r>
        <w:rPr>
          <w:rFonts w:hint="eastAsia" w:ascii="仿宋" w:hAnsi="仿宋" w:eastAsia="仿宋" w:cs="仿宋"/>
          <w:sz w:val="24"/>
          <w:szCs w:val="24"/>
        </w:rPr>
        <w:t>2、所遵循的标准和质量保证</w:t>
      </w:r>
    </w:p>
    <w:p>
      <w:pPr>
        <w:spacing w:line="360" w:lineRule="auto"/>
        <w:ind w:firstLine="435"/>
        <w:rPr>
          <w:rFonts w:hint="eastAsia" w:ascii="仿宋" w:hAnsi="仿宋" w:eastAsia="仿宋" w:cs="仿宋"/>
          <w:sz w:val="24"/>
          <w:szCs w:val="24"/>
        </w:rPr>
      </w:pPr>
      <w:r>
        <w:rPr>
          <w:rFonts w:hint="eastAsia" w:ascii="仿宋" w:hAnsi="仿宋" w:eastAsia="仿宋" w:cs="仿宋"/>
          <w:sz w:val="24"/>
          <w:szCs w:val="24"/>
        </w:rPr>
        <w:t xml:space="preserve">    2．1投标人提供的所有货物，其制造商应有完善的质量检测手段和质量保证体系，产品符合国家标准和行业标准。</w:t>
      </w:r>
    </w:p>
    <w:p>
      <w:pPr>
        <w:spacing w:line="360" w:lineRule="auto"/>
        <w:ind w:firstLine="435"/>
        <w:rPr>
          <w:rFonts w:hint="eastAsia" w:ascii="仿宋" w:hAnsi="仿宋" w:eastAsia="仿宋" w:cs="仿宋"/>
          <w:sz w:val="24"/>
          <w:szCs w:val="24"/>
        </w:rPr>
      </w:pPr>
      <w:r>
        <w:rPr>
          <w:rFonts w:hint="eastAsia" w:ascii="仿宋" w:hAnsi="仿宋" w:eastAsia="仿宋" w:cs="仿宋"/>
          <w:sz w:val="24"/>
          <w:szCs w:val="24"/>
        </w:rPr>
        <w:t xml:space="preserve">    2．2投标人所提供货物的设计、制造、产品性能、材料的选择和材料的检验及产品的测试等，都应按国内外通行的现行标准和相应的技术规范执行。而这些标准和技术规范应为合同签字日为止最新发布发行的标准和技术规范。</w:t>
      </w:r>
    </w:p>
    <w:p>
      <w:pPr>
        <w:spacing w:line="360" w:lineRule="auto"/>
        <w:ind w:firstLine="435"/>
        <w:rPr>
          <w:rFonts w:hint="eastAsia" w:ascii="仿宋" w:hAnsi="仿宋" w:eastAsia="仿宋" w:cs="仿宋"/>
          <w:sz w:val="24"/>
          <w:szCs w:val="24"/>
        </w:rPr>
      </w:pPr>
      <w:r>
        <w:rPr>
          <w:rFonts w:hint="eastAsia" w:ascii="仿宋" w:hAnsi="仿宋" w:eastAsia="仿宋" w:cs="仿宋"/>
          <w:sz w:val="24"/>
          <w:szCs w:val="24"/>
        </w:rPr>
        <w:t>3、设计依据</w:t>
      </w:r>
    </w:p>
    <w:p>
      <w:pPr>
        <w:spacing w:line="360" w:lineRule="auto"/>
        <w:ind w:firstLine="480"/>
        <w:rPr>
          <w:rFonts w:hint="eastAsia" w:ascii="仿宋" w:hAnsi="仿宋" w:eastAsia="仿宋" w:cs="仿宋"/>
          <w:sz w:val="24"/>
          <w:szCs w:val="24"/>
        </w:rPr>
      </w:pPr>
      <w:r>
        <w:rPr>
          <w:rFonts w:hint="eastAsia" w:ascii="仿宋" w:hAnsi="仿宋" w:eastAsia="仿宋" w:cs="仿宋"/>
          <w:sz w:val="24"/>
          <w:szCs w:val="24"/>
        </w:rPr>
        <w:t>主要依据《安全防范视频监控联网系统信息传输、交换、控制技术要求》（GB/T 28181-2011）或《公共安全视频监控联网系统信息传输、交换、控制技术要求》（GB/T 28181-2016）、《看守所技术建设规范》（JJ001-2002）、《看守所监控系统建设规范》（公监管[2009]189号）、《周界防范高压电网装置》（GB25287-2010）、现行国家、行业和地方的标准规范、政府和管理部门的法律和管理条例进行设计。</w:t>
      </w:r>
    </w:p>
    <w:p>
      <w:pPr>
        <w:spacing w:line="360" w:lineRule="auto"/>
        <w:ind w:left="566" w:leftChars="135" w:right="315" w:rightChars="150" w:hanging="283"/>
        <w:rPr>
          <w:rFonts w:hint="eastAsia" w:ascii="仿宋" w:hAnsi="仿宋" w:eastAsia="仿宋" w:cs="仿宋"/>
          <w:sz w:val="24"/>
          <w:szCs w:val="24"/>
        </w:rPr>
      </w:pPr>
      <w:r>
        <w:rPr>
          <w:rFonts w:hint="eastAsia" w:ascii="仿宋" w:hAnsi="仿宋" w:eastAsia="仿宋" w:cs="仿宋"/>
          <w:sz w:val="24"/>
          <w:szCs w:val="24"/>
        </w:rPr>
        <w:t>《安全防范视频监控联网系统信息传输、交换、控制技术要求》（GB/T 28181-2011）或《公共安全视频监控联网系统信息传输、交换、控制技术要求》（GB/T 28181-2016）</w:t>
      </w:r>
    </w:p>
    <w:p>
      <w:pPr>
        <w:spacing w:line="360" w:lineRule="auto"/>
        <w:ind w:firstLine="284"/>
        <w:rPr>
          <w:rFonts w:hint="eastAsia" w:ascii="仿宋" w:hAnsi="仿宋" w:eastAsia="仿宋" w:cs="仿宋"/>
          <w:sz w:val="24"/>
          <w:szCs w:val="24"/>
        </w:rPr>
      </w:pPr>
      <w:r>
        <w:rPr>
          <w:rFonts w:hint="eastAsia" w:ascii="仿宋" w:hAnsi="仿宋" w:eastAsia="仿宋" w:cs="仿宋"/>
          <w:sz w:val="24"/>
          <w:szCs w:val="24"/>
        </w:rPr>
        <w:t>《看守所技术建设规范》（JJ001-2002）</w:t>
      </w:r>
    </w:p>
    <w:p>
      <w:pPr>
        <w:spacing w:line="360" w:lineRule="auto"/>
        <w:ind w:firstLine="284"/>
        <w:rPr>
          <w:rFonts w:hint="eastAsia" w:ascii="仿宋" w:hAnsi="仿宋" w:eastAsia="仿宋" w:cs="仿宋"/>
          <w:sz w:val="24"/>
          <w:szCs w:val="24"/>
        </w:rPr>
      </w:pPr>
      <w:r>
        <w:rPr>
          <w:rFonts w:hint="eastAsia" w:ascii="仿宋" w:hAnsi="仿宋" w:eastAsia="仿宋" w:cs="仿宋"/>
          <w:sz w:val="24"/>
          <w:szCs w:val="24"/>
        </w:rPr>
        <w:t xml:space="preserve">《看守所监控系统建设规范》(公监管[2009]189号)  </w:t>
      </w:r>
    </w:p>
    <w:p>
      <w:pPr>
        <w:spacing w:line="360" w:lineRule="auto"/>
        <w:ind w:firstLine="284"/>
        <w:rPr>
          <w:rFonts w:hint="eastAsia" w:ascii="仿宋" w:hAnsi="仿宋" w:eastAsia="仿宋" w:cs="仿宋"/>
          <w:sz w:val="24"/>
          <w:szCs w:val="24"/>
        </w:rPr>
      </w:pPr>
      <w:r>
        <w:rPr>
          <w:rFonts w:hint="eastAsia" w:ascii="仿宋" w:hAnsi="仿宋" w:eastAsia="仿宋" w:cs="仿宋"/>
          <w:sz w:val="24"/>
          <w:szCs w:val="24"/>
        </w:rPr>
        <w:t xml:space="preserve">《看守所装备配备标准》(PB003-2001) </w:t>
      </w:r>
    </w:p>
    <w:p>
      <w:pPr>
        <w:spacing w:line="360" w:lineRule="auto"/>
        <w:ind w:firstLine="284"/>
        <w:rPr>
          <w:rFonts w:hint="eastAsia" w:ascii="仿宋" w:hAnsi="仿宋" w:eastAsia="仿宋" w:cs="仿宋"/>
          <w:sz w:val="24"/>
          <w:szCs w:val="24"/>
        </w:rPr>
      </w:pPr>
      <w:r>
        <w:rPr>
          <w:rFonts w:hint="eastAsia" w:ascii="仿宋" w:hAnsi="仿宋" w:eastAsia="仿宋" w:cs="仿宋"/>
          <w:sz w:val="24"/>
          <w:szCs w:val="24"/>
        </w:rPr>
        <w:t xml:space="preserve">《周界防范高压电网装置》(GB25287-2010) </w:t>
      </w:r>
    </w:p>
    <w:p>
      <w:pPr>
        <w:spacing w:line="360" w:lineRule="auto"/>
        <w:ind w:firstLine="284"/>
        <w:rPr>
          <w:rFonts w:hint="eastAsia" w:ascii="仿宋" w:hAnsi="仿宋" w:eastAsia="仿宋" w:cs="仿宋"/>
          <w:sz w:val="24"/>
          <w:szCs w:val="24"/>
        </w:rPr>
      </w:pPr>
      <w:r>
        <w:rPr>
          <w:rFonts w:hint="eastAsia" w:ascii="仿宋" w:hAnsi="仿宋" w:eastAsia="仿宋" w:cs="仿宋"/>
          <w:sz w:val="24"/>
          <w:szCs w:val="24"/>
        </w:rPr>
        <w:t xml:space="preserve">《智能建筑设计标准》(GB/T50314-2006) </w:t>
      </w:r>
    </w:p>
    <w:p>
      <w:pPr>
        <w:spacing w:line="360" w:lineRule="auto"/>
        <w:ind w:firstLine="284"/>
        <w:rPr>
          <w:rFonts w:hint="eastAsia" w:ascii="仿宋" w:hAnsi="仿宋" w:eastAsia="仿宋" w:cs="仿宋"/>
          <w:sz w:val="24"/>
          <w:szCs w:val="24"/>
        </w:rPr>
      </w:pPr>
      <w:r>
        <w:rPr>
          <w:rFonts w:hint="eastAsia" w:ascii="仿宋" w:hAnsi="仿宋" w:eastAsia="仿宋" w:cs="仿宋"/>
          <w:sz w:val="24"/>
          <w:szCs w:val="24"/>
        </w:rPr>
        <w:t xml:space="preserve">《智能建筑工程质量验收规范》(GB 50339-2013) </w:t>
      </w:r>
    </w:p>
    <w:p>
      <w:pPr>
        <w:spacing w:line="360" w:lineRule="auto"/>
        <w:ind w:firstLine="284"/>
        <w:rPr>
          <w:rFonts w:hint="eastAsia" w:ascii="仿宋" w:hAnsi="仿宋" w:eastAsia="仿宋" w:cs="仿宋"/>
          <w:sz w:val="24"/>
          <w:szCs w:val="24"/>
        </w:rPr>
      </w:pPr>
      <w:r>
        <w:rPr>
          <w:rFonts w:hint="eastAsia" w:ascii="仿宋" w:hAnsi="仿宋" w:eastAsia="仿宋" w:cs="仿宋"/>
          <w:sz w:val="24"/>
          <w:szCs w:val="24"/>
        </w:rPr>
        <w:t xml:space="preserve">《电子计算机机房设计规范》(GB 50174—2008) </w:t>
      </w:r>
    </w:p>
    <w:p>
      <w:pPr>
        <w:spacing w:line="360" w:lineRule="auto"/>
        <w:ind w:firstLine="284"/>
        <w:rPr>
          <w:rFonts w:hint="eastAsia" w:ascii="仿宋" w:hAnsi="仿宋" w:eastAsia="仿宋" w:cs="仿宋"/>
          <w:sz w:val="24"/>
          <w:szCs w:val="24"/>
        </w:rPr>
      </w:pPr>
      <w:r>
        <w:rPr>
          <w:rFonts w:hint="eastAsia" w:ascii="仿宋" w:hAnsi="仿宋" w:eastAsia="仿宋" w:cs="仿宋"/>
          <w:sz w:val="24"/>
          <w:szCs w:val="24"/>
        </w:rPr>
        <w:t xml:space="preserve">《电子信息系统机房施工及验收规范》(GB50462-2008)   </w:t>
      </w:r>
    </w:p>
    <w:p>
      <w:pPr>
        <w:spacing w:line="360" w:lineRule="auto"/>
        <w:ind w:firstLine="284"/>
        <w:rPr>
          <w:rFonts w:hint="eastAsia" w:ascii="仿宋" w:hAnsi="仿宋" w:eastAsia="仿宋" w:cs="仿宋"/>
          <w:sz w:val="24"/>
          <w:szCs w:val="24"/>
        </w:rPr>
      </w:pPr>
      <w:r>
        <w:rPr>
          <w:rFonts w:hint="eastAsia" w:ascii="仿宋" w:hAnsi="仿宋" w:eastAsia="仿宋" w:cs="仿宋"/>
          <w:sz w:val="24"/>
          <w:szCs w:val="24"/>
        </w:rPr>
        <w:t xml:space="preserve">《系统接地的形式及安全技术要求》(GB14050-2008)     </w:t>
      </w:r>
    </w:p>
    <w:p>
      <w:pPr>
        <w:spacing w:line="360" w:lineRule="auto"/>
        <w:ind w:firstLine="284"/>
        <w:rPr>
          <w:rFonts w:hint="eastAsia" w:ascii="仿宋" w:hAnsi="仿宋" w:eastAsia="仿宋" w:cs="仿宋"/>
          <w:sz w:val="24"/>
          <w:szCs w:val="24"/>
        </w:rPr>
      </w:pPr>
      <w:r>
        <w:rPr>
          <w:rFonts w:hint="eastAsia" w:ascii="仿宋" w:hAnsi="仿宋" w:eastAsia="仿宋" w:cs="仿宋"/>
          <w:sz w:val="24"/>
          <w:szCs w:val="24"/>
        </w:rPr>
        <w:t xml:space="preserve">《低压配电设计规范》(GB50054-2011) </w:t>
      </w:r>
    </w:p>
    <w:p>
      <w:pPr>
        <w:spacing w:line="360" w:lineRule="auto"/>
        <w:ind w:firstLine="284"/>
        <w:rPr>
          <w:rFonts w:hint="eastAsia" w:ascii="仿宋" w:hAnsi="仿宋" w:eastAsia="仿宋" w:cs="仿宋"/>
          <w:sz w:val="24"/>
          <w:szCs w:val="24"/>
        </w:rPr>
      </w:pPr>
      <w:r>
        <w:rPr>
          <w:rFonts w:hint="eastAsia" w:ascii="仿宋" w:hAnsi="仿宋" w:eastAsia="仿宋" w:cs="仿宋"/>
          <w:sz w:val="24"/>
          <w:szCs w:val="24"/>
        </w:rPr>
        <w:t xml:space="preserve">《民用建设电气设计规范》(JGJ_16-2008) </w:t>
      </w:r>
    </w:p>
    <w:p>
      <w:pPr>
        <w:spacing w:line="360" w:lineRule="auto"/>
        <w:ind w:firstLine="284"/>
        <w:rPr>
          <w:rFonts w:hint="eastAsia" w:ascii="仿宋" w:hAnsi="仿宋" w:eastAsia="仿宋" w:cs="仿宋"/>
          <w:sz w:val="24"/>
          <w:szCs w:val="24"/>
        </w:rPr>
      </w:pPr>
      <w:r>
        <w:rPr>
          <w:rFonts w:hint="eastAsia" w:ascii="仿宋" w:hAnsi="仿宋" w:eastAsia="仿宋" w:cs="仿宋"/>
          <w:sz w:val="24"/>
          <w:szCs w:val="24"/>
        </w:rPr>
        <w:t xml:space="preserve">《建筑防雷接地设计规范》(GB50057-2010) </w:t>
      </w:r>
    </w:p>
    <w:p>
      <w:pPr>
        <w:spacing w:line="360" w:lineRule="auto"/>
        <w:ind w:firstLine="284"/>
        <w:rPr>
          <w:rFonts w:hint="eastAsia" w:ascii="仿宋" w:hAnsi="仿宋" w:eastAsia="仿宋" w:cs="仿宋"/>
          <w:sz w:val="24"/>
          <w:szCs w:val="24"/>
        </w:rPr>
      </w:pPr>
      <w:r>
        <w:rPr>
          <w:rFonts w:hint="eastAsia" w:ascii="仿宋" w:hAnsi="仿宋" w:eastAsia="仿宋" w:cs="仿宋"/>
          <w:sz w:val="24"/>
          <w:szCs w:val="24"/>
        </w:rPr>
        <w:t xml:space="preserve">《建筑电气工程施工质量验收规范》(GB50303-2011) </w:t>
      </w:r>
    </w:p>
    <w:p>
      <w:pPr>
        <w:spacing w:line="360" w:lineRule="auto"/>
        <w:ind w:firstLine="284"/>
        <w:rPr>
          <w:rFonts w:hint="eastAsia" w:ascii="仿宋" w:hAnsi="仿宋" w:eastAsia="仿宋" w:cs="仿宋"/>
          <w:sz w:val="24"/>
          <w:szCs w:val="24"/>
        </w:rPr>
      </w:pPr>
      <w:r>
        <w:rPr>
          <w:rFonts w:hint="eastAsia" w:ascii="仿宋" w:hAnsi="仿宋" w:eastAsia="仿宋" w:cs="仿宋"/>
          <w:sz w:val="24"/>
          <w:szCs w:val="24"/>
        </w:rPr>
        <w:t>《民用闭路监视电视系统工程技术规范》(GB50198-2011)</w:t>
      </w:r>
    </w:p>
    <w:p>
      <w:pPr>
        <w:spacing w:line="360" w:lineRule="auto"/>
        <w:ind w:firstLine="284"/>
        <w:rPr>
          <w:rFonts w:hint="eastAsia" w:ascii="仿宋" w:hAnsi="仿宋" w:eastAsia="仿宋" w:cs="仿宋"/>
          <w:sz w:val="24"/>
          <w:szCs w:val="24"/>
        </w:rPr>
      </w:pPr>
      <w:r>
        <w:rPr>
          <w:rFonts w:hint="eastAsia" w:ascii="仿宋" w:hAnsi="仿宋" w:eastAsia="仿宋" w:cs="仿宋"/>
          <w:sz w:val="24"/>
          <w:szCs w:val="24"/>
        </w:rPr>
        <w:t xml:space="preserve">《工业电视系统工程设计规范》(GB 50115-2009) </w:t>
      </w:r>
    </w:p>
    <w:p>
      <w:pPr>
        <w:spacing w:line="360" w:lineRule="auto"/>
        <w:ind w:firstLine="284"/>
        <w:rPr>
          <w:rFonts w:hint="eastAsia" w:ascii="仿宋" w:hAnsi="仿宋" w:eastAsia="仿宋" w:cs="仿宋"/>
          <w:sz w:val="24"/>
          <w:szCs w:val="24"/>
        </w:rPr>
      </w:pPr>
      <w:r>
        <w:rPr>
          <w:rFonts w:hint="eastAsia" w:ascii="仿宋" w:hAnsi="仿宋" w:eastAsia="仿宋" w:cs="仿宋"/>
          <w:sz w:val="24"/>
          <w:szCs w:val="24"/>
        </w:rPr>
        <w:t xml:space="preserve">《彩色电视图像质量主观评价方法》(GB/T 7401-1987) </w:t>
      </w:r>
    </w:p>
    <w:p>
      <w:pPr>
        <w:spacing w:line="360" w:lineRule="auto"/>
        <w:ind w:firstLine="480"/>
        <w:rPr>
          <w:rFonts w:hint="eastAsia" w:ascii="仿宋" w:hAnsi="仿宋" w:eastAsia="仿宋" w:cs="仿宋"/>
          <w:sz w:val="24"/>
          <w:szCs w:val="24"/>
        </w:rPr>
      </w:pPr>
      <w:r>
        <w:rPr>
          <w:rFonts w:hint="eastAsia" w:ascii="仿宋" w:hAnsi="仿宋" w:eastAsia="仿宋" w:cs="仿宋"/>
          <w:sz w:val="24"/>
          <w:szCs w:val="24"/>
        </w:rPr>
        <w:t xml:space="preserve">《有线电视系统工程技术规范》(GB50200-94)  </w:t>
      </w:r>
    </w:p>
    <w:p>
      <w:pPr>
        <w:spacing w:line="360" w:lineRule="auto"/>
        <w:ind w:firstLine="480"/>
        <w:rPr>
          <w:rFonts w:hint="eastAsia" w:ascii="仿宋" w:hAnsi="仿宋" w:eastAsia="仿宋" w:cs="仿宋"/>
          <w:sz w:val="24"/>
          <w:szCs w:val="24"/>
        </w:rPr>
      </w:pPr>
      <w:r>
        <w:rPr>
          <w:rFonts w:hint="eastAsia" w:ascii="仿宋" w:hAnsi="仿宋" w:eastAsia="仿宋" w:cs="仿宋"/>
          <w:sz w:val="24"/>
          <w:szCs w:val="24"/>
        </w:rPr>
        <w:t xml:space="preserve">《安全防范验收规划》(GA /308—2001) </w:t>
      </w:r>
    </w:p>
    <w:p>
      <w:pPr>
        <w:spacing w:line="360" w:lineRule="auto"/>
        <w:ind w:firstLine="480"/>
        <w:rPr>
          <w:rFonts w:hint="eastAsia" w:ascii="仿宋" w:hAnsi="仿宋" w:eastAsia="仿宋" w:cs="仿宋"/>
          <w:sz w:val="24"/>
          <w:szCs w:val="24"/>
        </w:rPr>
      </w:pPr>
      <w:r>
        <w:rPr>
          <w:rFonts w:hint="eastAsia" w:ascii="仿宋" w:hAnsi="仿宋" w:eastAsia="仿宋" w:cs="仿宋"/>
          <w:sz w:val="24"/>
          <w:szCs w:val="24"/>
        </w:rPr>
        <w:t xml:space="preserve">《安全防范工程技术规范》(GB/50348—2004) </w:t>
      </w:r>
    </w:p>
    <w:p>
      <w:pPr>
        <w:spacing w:line="360" w:lineRule="auto"/>
        <w:ind w:firstLine="480"/>
        <w:rPr>
          <w:rFonts w:hint="eastAsia" w:ascii="仿宋" w:hAnsi="仿宋" w:eastAsia="仿宋" w:cs="仿宋"/>
          <w:sz w:val="24"/>
          <w:szCs w:val="24"/>
        </w:rPr>
      </w:pPr>
      <w:r>
        <w:rPr>
          <w:rFonts w:hint="eastAsia" w:ascii="仿宋" w:hAnsi="仿宋" w:eastAsia="仿宋" w:cs="仿宋"/>
          <w:sz w:val="24"/>
          <w:szCs w:val="24"/>
        </w:rPr>
        <w:t xml:space="preserve">《防盗报警中心控制台》(GB/T16572-1996) </w:t>
      </w:r>
    </w:p>
    <w:p>
      <w:pPr>
        <w:spacing w:line="360" w:lineRule="auto"/>
        <w:ind w:firstLine="480"/>
        <w:rPr>
          <w:rFonts w:hint="eastAsia" w:ascii="仿宋" w:hAnsi="仿宋" w:eastAsia="仿宋" w:cs="仿宋"/>
          <w:sz w:val="24"/>
          <w:szCs w:val="24"/>
        </w:rPr>
      </w:pPr>
      <w:r>
        <w:rPr>
          <w:rFonts w:hint="eastAsia" w:ascii="仿宋" w:hAnsi="仿宋" w:eastAsia="仿宋" w:cs="仿宋"/>
          <w:sz w:val="24"/>
          <w:szCs w:val="24"/>
        </w:rPr>
        <w:t xml:space="preserve">《安全防范系统通用图形符号》(GA/T 74-2000) </w:t>
      </w:r>
    </w:p>
    <w:p>
      <w:pPr>
        <w:spacing w:line="360" w:lineRule="auto"/>
        <w:ind w:firstLine="480"/>
        <w:rPr>
          <w:rFonts w:hint="eastAsia" w:ascii="仿宋" w:hAnsi="仿宋" w:eastAsia="仿宋" w:cs="仿宋"/>
          <w:sz w:val="24"/>
          <w:szCs w:val="24"/>
        </w:rPr>
      </w:pPr>
      <w:r>
        <w:rPr>
          <w:rFonts w:hint="eastAsia" w:ascii="仿宋" w:hAnsi="仿宋" w:eastAsia="仿宋" w:cs="仿宋"/>
          <w:sz w:val="24"/>
          <w:szCs w:val="24"/>
        </w:rPr>
        <w:t xml:space="preserve">《安全防范工程费用概预算编制办法》(GA/T 70-2004)   </w:t>
      </w:r>
    </w:p>
    <w:p>
      <w:pPr>
        <w:spacing w:line="360" w:lineRule="auto"/>
        <w:ind w:firstLine="480"/>
        <w:rPr>
          <w:rFonts w:hint="eastAsia" w:ascii="仿宋" w:hAnsi="仿宋" w:eastAsia="仿宋" w:cs="仿宋"/>
          <w:sz w:val="24"/>
          <w:szCs w:val="24"/>
        </w:rPr>
      </w:pPr>
      <w:r>
        <w:rPr>
          <w:rFonts w:hint="eastAsia" w:ascii="仿宋" w:hAnsi="仿宋" w:eastAsia="仿宋" w:cs="仿宋"/>
          <w:sz w:val="24"/>
          <w:szCs w:val="24"/>
        </w:rPr>
        <w:t xml:space="preserve">《安全防范系统验收规划》(GA 308—2007) </w:t>
      </w:r>
    </w:p>
    <w:p>
      <w:pPr>
        <w:spacing w:line="360" w:lineRule="auto"/>
        <w:ind w:firstLine="480"/>
        <w:rPr>
          <w:rFonts w:hint="eastAsia" w:ascii="仿宋" w:hAnsi="仿宋" w:eastAsia="仿宋" w:cs="仿宋"/>
          <w:sz w:val="24"/>
          <w:szCs w:val="24"/>
        </w:rPr>
      </w:pPr>
      <w:r>
        <w:rPr>
          <w:rFonts w:hint="eastAsia" w:ascii="仿宋" w:hAnsi="仿宋" w:eastAsia="仿宋" w:cs="仿宋"/>
          <w:sz w:val="24"/>
          <w:szCs w:val="24"/>
        </w:rPr>
        <w:t xml:space="preserve">《安全防范工程技术规范》(GB 50348—2004) </w:t>
      </w:r>
    </w:p>
    <w:p>
      <w:pPr>
        <w:spacing w:line="360" w:lineRule="auto"/>
        <w:ind w:firstLine="480"/>
        <w:rPr>
          <w:rFonts w:hint="eastAsia" w:ascii="仿宋" w:hAnsi="仿宋" w:eastAsia="仿宋" w:cs="仿宋"/>
          <w:sz w:val="24"/>
          <w:szCs w:val="24"/>
        </w:rPr>
      </w:pPr>
      <w:r>
        <w:rPr>
          <w:rFonts w:hint="eastAsia" w:ascii="仿宋" w:hAnsi="仿宋" w:eastAsia="仿宋" w:cs="仿宋"/>
          <w:sz w:val="24"/>
          <w:szCs w:val="24"/>
        </w:rPr>
        <w:t xml:space="preserve">《安全防范系统雷电浪涌防护技术要求》(GA/T 670-2006)  </w:t>
      </w:r>
    </w:p>
    <w:p>
      <w:pPr>
        <w:spacing w:line="360" w:lineRule="auto"/>
        <w:ind w:firstLine="480"/>
        <w:rPr>
          <w:rFonts w:hint="eastAsia" w:ascii="仿宋" w:hAnsi="仿宋" w:eastAsia="仿宋" w:cs="仿宋"/>
          <w:sz w:val="24"/>
          <w:szCs w:val="24"/>
        </w:rPr>
      </w:pPr>
      <w:r>
        <w:rPr>
          <w:rFonts w:hint="eastAsia" w:ascii="仿宋" w:hAnsi="仿宋" w:eastAsia="仿宋" w:cs="仿宋"/>
          <w:sz w:val="24"/>
          <w:szCs w:val="24"/>
        </w:rPr>
        <w:t xml:space="preserve">《安全防范报警设备安全要求和实验方法》(GB 16796-1997)  </w:t>
      </w:r>
    </w:p>
    <w:p>
      <w:pPr>
        <w:spacing w:line="360" w:lineRule="auto"/>
        <w:ind w:firstLine="480"/>
        <w:rPr>
          <w:rFonts w:hint="eastAsia" w:ascii="仿宋" w:hAnsi="仿宋" w:eastAsia="仿宋" w:cs="仿宋"/>
          <w:sz w:val="24"/>
          <w:szCs w:val="24"/>
        </w:rPr>
      </w:pPr>
      <w:r>
        <w:rPr>
          <w:rFonts w:hint="eastAsia" w:ascii="仿宋" w:hAnsi="仿宋" w:eastAsia="仿宋" w:cs="仿宋"/>
          <w:sz w:val="24"/>
          <w:szCs w:val="24"/>
        </w:rPr>
        <w:t xml:space="preserve">《出入口控制系统工程设计规范》(GB50396-2007) </w:t>
      </w:r>
    </w:p>
    <w:p>
      <w:pPr>
        <w:pStyle w:val="2"/>
        <w:snapToGrid w:val="0"/>
        <w:spacing w:after="156" w:afterLines="50"/>
        <w:outlineLvl w:val="0"/>
        <w:rPr>
          <w:rFonts w:hint="eastAsia" w:ascii="仿宋" w:hAnsi="仿宋" w:eastAsia="仿宋" w:cs="仿宋"/>
          <w:b/>
          <w:sz w:val="24"/>
          <w:szCs w:val="24"/>
        </w:rPr>
      </w:pPr>
      <w:r>
        <w:rPr>
          <w:rFonts w:hint="eastAsia" w:ascii="仿宋" w:hAnsi="仿宋" w:eastAsia="仿宋" w:cs="仿宋"/>
          <w:b/>
          <w:sz w:val="24"/>
          <w:szCs w:val="24"/>
        </w:rPr>
        <w:t>四、安装及验收</w:t>
      </w:r>
    </w:p>
    <w:p>
      <w:pPr>
        <w:spacing w:line="360" w:lineRule="auto"/>
        <w:ind w:firstLine="435"/>
        <w:rPr>
          <w:rFonts w:hint="eastAsia" w:ascii="仿宋" w:hAnsi="仿宋" w:eastAsia="仿宋" w:cs="仿宋"/>
          <w:sz w:val="24"/>
          <w:szCs w:val="24"/>
        </w:rPr>
      </w:pPr>
      <w:r>
        <w:rPr>
          <w:rFonts w:hint="eastAsia" w:ascii="仿宋" w:hAnsi="仿宋" w:eastAsia="仿宋" w:cs="仿宋"/>
          <w:sz w:val="24"/>
          <w:szCs w:val="24"/>
        </w:rPr>
        <w:t>1、总体要求</w:t>
      </w:r>
    </w:p>
    <w:p>
      <w:pPr>
        <w:spacing w:line="360" w:lineRule="auto"/>
        <w:ind w:firstLine="435"/>
        <w:rPr>
          <w:rFonts w:hint="eastAsia" w:ascii="仿宋" w:hAnsi="仿宋" w:eastAsia="仿宋" w:cs="仿宋"/>
          <w:sz w:val="24"/>
          <w:szCs w:val="24"/>
        </w:rPr>
      </w:pPr>
      <w:r>
        <w:rPr>
          <w:rFonts w:hint="eastAsia" w:ascii="仿宋" w:hAnsi="仿宋" w:eastAsia="仿宋" w:cs="仿宋"/>
          <w:sz w:val="24"/>
          <w:szCs w:val="24"/>
        </w:rPr>
        <w:t xml:space="preserve">    1.1供应商严格按照国家及有关部门规定的程序和安全规范进行安装；</w:t>
      </w:r>
    </w:p>
    <w:p>
      <w:pPr>
        <w:spacing w:line="360" w:lineRule="auto"/>
        <w:ind w:firstLine="435"/>
        <w:rPr>
          <w:rFonts w:hint="eastAsia" w:ascii="仿宋" w:hAnsi="仿宋" w:eastAsia="仿宋" w:cs="仿宋"/>
          <w:sz w:val="24"/>
          <w:szCs w:val="24"/>
        </w:rPr>
      </w:pPr>
      <w:r>
        <w:rPr>
          <w:rFonts w:hint="eastAsia" w:ascii="仿宋" w:hAnsi="仿宋" w:eastAsia="仿宋" w:cs="仿宋"/>
          <w:sz w:val="24"/>
          <w:szCs w:val="24"/>
        </w:rPr>
        <w:t xml:space="preserve">    1.2货物设备的安装调试由成交供应商负责，其费用包含在投标报价中。</w:t>
      </w:r>
    </w:p>
    <w:p>
      <w:pPr>
        <w:spacing w:line="360" w:lineRule="auto"/>
        <w:ind w:firstLine="435"/>
        <w:rPr>
          <w:rFonts w:hint="eastAsia" w:ascii="仿宋" w:hAnsi="仿宋" w:eastAsia="仿宋" w:cs="仿宋"/>
          <w:sz w:val="24"/>
          <w:szCs w:val="24"/>
        </w:rPr>
      </w:pPr>
      <w:r>
        <w:rPr>
          <w:rFonts w:hint="eastAsia" w:ascii="仿宋" w:hAnsi="仿宋" w:eastAsia="仿宋" w:cs="仿宋"/>
          <w:sz w:val="24"/>
          <w:szCs w:val="24"/>
        </w:rPr>
        <w:t>2、设备的检验与调试</w:t>
      </w:r>
    </w:p>
    <w:p>
      <w:pPr>
        <w:spacing w:line="360" w:lineRule="auto"/>
        <w:ind w:firstLine="435"/>
        <w:rPr>
          <w:rFonts w:hint="eastAsia" w:ascii="仿宋" w:hAnsi="仿宋" w:eastAsia="仿宋" w:cs="仿宋"/>
          <w:sz w:val="24"/>
          <w:szCs w:val="24"/>
        </w:rPr>
      </w:pPr>
      <w:r>
        <w:rPr>
          <w:rFonts w:hint="eastAsia" w:ascii="仿宋" w:hAnsi="仿宋" w:eastAsia="仿宋" w:cs="仿宋"/>
          <w:sz w:val="24"/>
          <w:szCs w:val="24"/>
        </w:rPr>
        <w:t xml:space="preserve">  招标人要求对整机的性能进行调试、试验、检测。检测结果必须符台国家制造与安装安全规范以及中标人提供的制造、安装标准和技术规范要求。</w:t>
      </w:r>
    </w:p>
    <w:p>
      <w:pPr>
        <w:spacing w:line="360" w:lineRule="auto"/>
        <w:ind w:firstLine="435"/>
        <w:rPr>
          <w:rFonts w:hint="eastAsia" w:ascii="仿宋" w:hAnsi="仿宋" w:eastAsia="仿宋" w:cs="仿宋"/>
          <w:sz w:val="24"/>
          <w:szCs w:val="24"/>
        </w:rPr>
      </w:pPr>
      <w:r>
        <w:rPr>
          <w:rFonts w:hint="eastAsia" w:ascii="仿宋" w:hAnsi="仿宋" w:eastAsia="仿宋" w:cs="仿宋"/>
          <w:sz w:val="24"/>
          <w:szCs w:val="24"/>
        </w:rPr>
        <w:t>3、人员培训</w:t>
      </w:r>
    </w:p>
    <w:p>
      <w:pPr>
        <w:spacing w:line="360" w:lineRule="auto"/>
        <w:ind w:firstLine="435"/>
        <w:rPr>
          <w:rFonts w:hint="eastAsia" w:ascii="仿宋" w:hAnsi="仿宋" w:eastAsia="仿宋" w:cs="仿宋"/>
          <w:sz w:val="24"/>
          <w:szCs w:val="24"/>
        </w:rPr>
      </w:pPr>
      <w:r>
        <w:rPr>
          <w:rFonts w:hint="eastAsia" w:ascii="仿宋" w:hAnsi="仿宋" w:eastAsia="仿宋" w:cs="仿宋"/>
          <w:sz w:val="24"/>
          <w:szCs w:val="24"/>
        </w:rPr>
        <w:t xml:space="preserve">    中标人应选派有资格的工程技术人员对招标人有关人员进行免费培训。培训内容为投备的基本原理、操作使用、维修保养等。</w:t>
      </w:r>
    </w:p>
    <w:p>
      <w:pPr>
        <w:spacing w:line="360" w:lineRule="auto"/>
        <w:ind w:firstLine="435"/>
        <w:rPr>
          <w:rFonts w:hint="eastAsia" w:ascii="仿宋" w:hAnsi="仿宋" w:eastAsia="仿宋" w:cs="仿宋"/>
          <w:sz w:val="24"/>
          <w:szCs w:val="24"/>
        </w:rPr>
      </w:pPr>
      <w:r>
        <w:rPr>
          <w:rFonts w:hint="eastAsia" w:ascii="仿宋" w:hAnsi="仿宋" w:eastAsia="仿宋" w:cs="仿宋"/>
          <w:sz w:val="24"/>
          <w:szCs w:val="24"/>
        </w:rPr>
        <w:t>4、售后服务</w:t>
      </w:r>
    </w:p>
    <w:p>
      <w:pPr>
        <w:spacing w:line="360" w:lineRule="auto"/>
        <w:ind w:firstLine="435"/>
        <w:rPr>
          <w:rFonts w:hint="eastAsia" w:ascii="仿宋" w:hAnsi="仿宋" w:eastAsia="仿宋" w:cs="仿宋"/>
          <w:sz w:val="24"/>
          <w:szCs w:val="24"/>
        </w:rPr>
      </w:pPr>
      <w:r>
        <w:rPr>
          <w:rFonts w:hint="eastAsia" w:ascii="仿宋" w:hAnsi="仿宋" w:eastAsia="仿宋" w:cs="仿宋"/>
          <w:sz w:val="24"/>
          <w:szCs w:val="24"/>
        </w:rPr>
        <w:t xml:space="preserve">    4．1提供设备使用和维护技术方面的信息和技术资料；</w:t>
      </w:r>
    </w:p>
    <w:p>
      <w:pPr>
        <w:spacing w:line="360" w:lineRule="auto"/>
        <w:ind w:firstLine="435"/>
        <w:rPr>
          <w:rFonts w:hint="eastAsia" w:ascii="仿宋" w:hAnsi="仿宋" w:eastAsia="仿宋" w:cs="仿宋"/>
          <w:sz w:val="24"/>
          <w:szCs w:val="24"/>
        </w:rPr>
      </w:pPr>
      <w:r>
        <w:rPr>
          <w:rFonts w:hint="eastAsia" w:ascii="仿宋" w:hAnsi="仿宋" w:eastAsia="仿宋" w:cs="仿宋"/>
          <w:sz w:val="24"/>
          <w:szCs w:val="24"/>
        </w:rPr>
        <w:t xml:space="preserve">    4. 2投标人应对售后服务作出承诺。</w:t>
      </w:r>
    </w:p>
    <w:p>
      <w:pPr>
        <w:spacing w:line="360" w:lineRule="auto"/>
        <w:ind w:firstLine="435"/>
        <w:rPr>
          <w:rFonts w:hint="eastAsia" w:ascii="仿宋" w:hAnsi="仿宋" w:eastAsia="仿宋" w:cs="仿宋"/>
          <w:sz w:val="24"/>
          <w:szCs w:val="24"/>
        </w:rPr>
      </w:pPr>
      <w:r>
        <w:rPr>
          <w:rFonts w:hint="eastAsia" w:ascii="仿宋" w:hAnsi="仿宋" w:eastAsia="仿宋" w:cs="仿宋"/>
          <w:sz w:val="24"/>
          <w:szCs w:val="24"/>
        </w:rPr>
        <w:t>5、质量保证期</w:t>
      </w:r>
    </w:p>
    <w:p>
      <w:pPr>
        <w:spacing w:line="360" w:lineRule="auto"/>
        <w:ind w:firstLine="435"/>
        <w:rPr>
          <w:rFonts w:hint="eastAsia" w:ascii="仿宋" w:hAnsi="仿宋" w:eastAsia="仿宋" w:cs="仿宋"/>
          <w:sz w:val="24"/>
          <w:szCs w:val="24"/>
        </w:rPr>
      </w:pPr>
      <w:r>
        <w:rPr>
          <w:rFonts w:hint="eastAsia" w:ascii="仿宋" w:hAnsi="仿宋" w:eastAsia="仿宋" w:cs="仿宋"/>
          <w:sz w:val="24"/>
          <w:szCs w:val="24"/>
        </w:rPr>
        <w:t xml:space="preserve">    质量保证期为不低于三年。在此期间，设备因制造、安装而发生损坏或不能正常工作时，中标人应负责免费维修或更换零部件。</w:t>
      </w:r>
    </w:p>
    <w:p>
      <w:pPr>
        <w:spacing w:line="360" w:lineRule="auto"/>
        <w:jc w:val="center"/>
        <w:rPr>
          <w:rFonts w:hint="eastAsia" w:ascii="仿宋" w:hAnsi="仿宋" w:eastAsia="仿宋" w:cs="仿宋"/>
          <w:sz w:val="24"/>
          <w:szCs w:val="24"/>
        </w:rPr>
      </w:pPr>
    </w:p>
    <w:p>
      <w:pPr>
        <w:spacing w:line="360" w:lineRule="auto"/>
        <w:rPr>
          <w:rFonts w:hint="eastAsia" w:ascii="仿宋" w:hAnsi="仿宋" w:eastAsia="仿宋" w:cs="仿宋"/>
          <w:sz w:val="24"/>
          <w:szCs w:val="24"/>
        </w:rPr>
      </w:pPr>
    </w:p>
    <w:p>
      <w:pPr>
        <w:spacing w:line="360" w:lineRule="auto"/>
        <w:jc w:val="center"/>
        <w:rPr>
          <w:rFonts w:hint="eastAsia" w:ascii="仿宋" w:hAnsi="仿宋" w:eastAsia="仿宋" w:cs="仿宋"/>
          <w:position w:val="-4"/>
          <w:sz w:val="24"/>
          <w:szCs w:val="24"/>
        </w:rPr>
      </w:pPr>
    </w:p>
    <w:p>
      <w:pPr>
        <w:spacing w:line="360" w:lineRule="auto"/>
        <w:jc w:val="center"/>
        <w:rPr>
          <w:rFonts w:hint="eastAsia" w:ascii="仿宋" w:hAnsi="仿宋" w:eastAsia="仿宋" w:cs="仿宋"/>
          <w:position w:val="-4"/>
          <w:sz w:val="24"/>
          <w:szCs w:val="24"/>
        </w:rPr>
      </w:pPr>
    </w:p>
    <w:p>
      <w:pPr>
        <w:spacing w:line="360" w:lineRule="auto"/>
        <w:jc w:val="center"/>
        <w:rPr>
          <w:rFonts w:hint="eastAsia" w:ascii="仿宋" w:hAnsi="仿宋" w:eastAsia="仿宋" w:cs="仿宋"/>
          <w:position w:val="-4"/>
          <w:sz w:val="24"/>
          <w:szCs w:val="24"/>
        </w:rPr>
      </w:pPr>
    </w:p>
    <w:p>
      <w:pPr>
        <w:spacing w:line="360" w:lineRule="auto"/>
        <w:jc w:val="center"/>
        <w:rPr>
          <w:rFonts w:hint="eastAsia" w:ascii="仿宋" w:hAnsi="仿宋" w:eastAsia="仿宋" w:cs="仿宋"/>
          <w:position w:val="-4"/>
          <w:sz w:val="24"/>
          <w:szCs w:val="24"/>
        </w:rPr>
      </w:pPr>
    </w:p>
    <w:p>
      <w:pPr>
        <w:spacing w:line="360" w:lineRule="auto"/>
        <w:jc w:val="center"/>
        <w:rPr>
          <w:rFonts w:hint="eastAsia" w:ascii="仿宋" w:hAnsi="仿宋" w:eastAsia="仿宋" w:cs="仿宋"/>
          <w:position w:val="-4"/>
          <w:sz w:val="24"/>
          <w:szCs w:val="24"/>
        </w:rPr>
      </w:pPr>
    </w:p>
    <w:p>
      <w:pPr>
        <w:spacing w:line="360" w:lineRule="auto"/>
        <w:jc w:val="center"/>
        <w:rPr>
          <w:rFonts w:hint="eastAsia" w:ascii="仿宋" w:hAnsi="仿宋" w:eastAsia="仿宋" w:cs="仿宋"/>
          <w:position w:val="-4"/>
          <w:sz w:val="24"/>
          <w:szCs w:val="24"/>
        </w:rPr>
      </w:pPr>
    </w:p>
    <w:p>
      <w:pPr>
        <w:spacing w:line="360" w:lineRule="auto"/>
        <w:jc w:val="center"/>
        <w:rPr>
          <w:rFonts w:hint="eastAsia" w:ascii="仿宋" w:hAnsi="仿宋" w:eastAsia="仿宋" w:cs="仿宋"/>
          <w:position w:val="-4"/>
          <w:sz w:val="24"/>
          <w:szCs w:val="24"/>
        </w:rPr>
      </w:pPr>
    </w:p>
    <w:p>
      <w:pPr>
        <w:spacing w:line="360" w:lineRule="auto"/>
        <w:jc w:val="center"/>
        <w:rPr>
          <w:rFonts w:hint="eastAsia" w:ascii="仿宋" w:hAnsi="仿宋" w:eastAsia="仿宋" w:cs="仿宋"/>
          <w:position w:val="-4"/>
          <w:sz w:val="24"/>
          <w:szCs w:val="24"/>
        </w:rPr>
      </w:pPr>
    </w:p>
    <w:p>
      <w:pPr>
        <w:spacing w:line="360" w:lineRule="auto"/>
        <w:jc w:val="center"/>
        <w:rPr>
          <w:rFonts w:hint="eastAsia" w:ascii="仿宋" w:hAnsi="仿宋" w:eastAsia="仿宋" w:cs="仿宋"/>
          <w:position w:val="-4"/>
          <w:sz w:val="24"/>
          <w:szCs w:val="24"/>
        </w:rPr>
      </w:pPr>
    </w:p>
    <w:p>
      <w:pPr>
        <w:spacing w:line="360" w:lineRule="auto"/>
        <w:jc w:val="both"/>
        <w:rPr>
          <w:rFonts w:hint="eastAsia" w:ascii="仿宋" w:hAnsi="仿宋" w:eastAsia="仿宋" w:cs="仿宋"/>
          <w:b/>
          <w:sz w:val="24"/>
          <w:szCs w:val="24"/>
        </w:rPr>
      </w:pPr>
    </w:p>
    <w:p>
      <w:pPr>
        <w:spacing w:line="360" w:lineRule="auto"/>
        <w:jc w:val="both"/>
        <w:rPr>
          <w:rFonts w:hint="eastAsia" w:ascii="仿宋" w:hAnsi="仿宋" w:eastAsia="仿宋" w:cs="仿宋"/>
          <w:b/>
          <w:sz w:val="24"/>
          <w:szCs w:val="24"/>
        </w:rPr>
      </w:pPr>
    </w:p>
    <w:p>
      <w:pPr>
        <w:spacing w:line="360" w:lineRule="auto"/>
        <w:jc w:val="both"/>
        <w:rPr>
          <w:rFonts w:hint="eastAsia" w:ascii="仿宋" w:hAnsi="仿宋" w:eastAsia="仿宋" w:cs="仿宋"/>
          <w:b/>
          <w:sz w:val="24"/>
          <w:szCs w:val="24"/>
        </w:rPr>
      </w:pPr>
    </w:p>
    <w:p>
      <w:pPr>
        <w:spacing w:line="360" w:lineRule="auto"/>
        <w:jc w:val="both"/>
        <w:rPr>
          <w:rFonts w:hint="eastAsia" w:ascii="仿宋" w:hAnsi="仿宋" w:eastAsia="仿宋" w:cs="仿宋"/>
          <w:b/>
          <w:sz w:val="24"/>
          <w:szCs w:val="24"/>
        </w:rPr>
      </w:pPr>
    </w:p>
    <w:p>
      <w:pPr>
        <w:spacing w:line="360" w:lineRule="auto"/>
        <w:jc w:val="both"/>
        <w:rPr>
          <w:rFonts w:hint="eastAsia" w:ascii="仿宋" w:hAnsi="仿宋" w:eastAsia="仿宋" w:cs="仿宋"/>
          <w:b/>
          <w:sz w:val="24"/>
          <w:szCs w:val="24"/>
        </w:rPr>
      </w:pPr>
    </w:p>
    <w:p>
      <w:pPr>
        <w:spacing w:line="360" w:lineRule="auto"/>
        <w:jc w:val="both"/>
        <w:rPr>
          <w:rFonts w:hint="eastAsia" w:ascii="仿宋" w:hAnsi="仿宋" w:eastAsia="仿宋" w:cs="仿宋"/>
          <w:b/>
          <w:sz w:val="24"/>
          <w:szCs w:val="24"/>
        </w:rPr>
      </w:pPr>
    </w:p>
    <w:p>
      <w:pPr>
        <w:spacing w:line="360" w:lineRule="auto"/>
        <w:jc w:val="both"/>
        <w:rPr>
          <w:rFonts w:hint="eastAsia" w:ascii="仿宋" w:hAnsi="仿宋" w:eastAsia="仿宋" w:cs="仿宋"/>
          <w:b/>
          <w:sz w:val="24"/>
          <w:szCs w:val="24"/>
        </w:rPr>
      </w:pPr>
    </w:p>
    <w:p>
      <w:pPr>
        <w:spacing w:line="360" w:lineRule="auto"/>
        <w:jc w:val="both"/>
        <w:rPr>
          <w:rFonts w:hint="eastAsia" w:ascii="仿宋" w:hAnsi="仿宋" w:eastAsia="仿宋" w:cs="仿宋"/>
          <w:b/>
          <w:sz w:val="24"/>
          <w:szCs w:val="24"/>
        </w:rPr>
      </w:pPr>
    </w:p>
    <w:p>
      <w:pPr>
        <w:spacing w:line="360" w:lineRule="auto"/>
        <w:jc w:val="both"/>
        <w:rPr>
          <w:rFonts w:hint="eastAsia" w:ascii="仿宋" w:hAnsi="仿宋" w:eastAsia="仿宋" w:cs="仿宋"/>
          <w:b/>
          <w:sz w:val="24"/>
          <w:szCs w:val="24"/>
        </w:rPr>
      </w:pPr>
    </w:p>
    <w:p>
      <w:pPr>
        <w:spacing w:line="360" w:lineRule="auto"/>
        <w:jc w:val="both"/>
        <w:rPr>
          <w:rFonts w:hint="eastAsia" w:ascii="仿宋" w:hAnsi="仿宋" w:eastAsia="仿宋" w:cs="仿宋"/>
          <w:b/>
          <w:sz w:val="24"/>
          <w:szCs w:val="24"/>
        </w:rPr>
      </w:pPr>
    </w:p>
    <w:p>
      <w:pPr>
        <w:spacing w:line="360" w:lineRule="auto"/>
        <w:jc w:val="both"/>
        <w:rPr>
          <w:rFonts w:hint="eastAsia" w:ascii="仿宋" w:hAnsi="仿宋" w:eastAsia="仿宋" w:cs="仿宋"/>
          <w:b/>
          <w:sz w:val="24"/>
          <w:szCs w:val="24"/>
        </w:rPr>
      </w:pPr>
      <w:r>
        <w:rPr>
          <w:rFonts w:hint="eastAsia" w:ascii="仿宋" w:hAnsi="仿宋" w:eastAsia="仿宋" w:cs="仿宋"/>
          <w:b/>
          <w:sz w:val="24"/>
          <w:szCs w:val="24"/>
          <w:lang w:eastAsia="zh-CN"/>
        </w:rPr>
        <w:t>五</w:t>
      </w:r>
      <w:r>
        <w:rPr>
          <w:rFonts w:hint="eastAsia" w:ascii="仿宋" w:hAnsi="仿宋" w:eastAsia="仿宋" w:cs="仿宋"/>
          <w:b/>
          <w:sz w:val="24"/>
          <w:szCs w:val="24"/>
        </w:rPr>
        <w:t>、设备采购清单</w:t>
      </w:r>
    </w:p>
    <w:tbl>
      <w:tblPr>
        <w:tblStyle w:val="7"/>
        <w:tblW w:w="10348"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993"/>
        <w:gridCol w:w="5811"/>
        <w:gridCol w:w="709"/>
        <w:gridCol w:w="99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0348" w:type="dxa"/>
            <w:gridSpan w:val="6"/>
            <w:vAlign w:val="center"/>
          </w:tcPr>
          <w:p>
            <w:pPr>
              <w:keepNext w:val="0"/>
              <w:keepLines w:val="0"/>
              <w:widowControl/>
              <w:suppressLineNumbers w:val="0"/>
              <w:spacing w:before="0" w:beforeAutospacing="0" w:after="0" w:afterAutospacing="0"/>
              <w:ind w:left="0" w:right="0"/>
              <w:rPr>
                <w:rFonts w:hint="eastAsia" w:ascii="仿宋" w:hAnsi="仿宋" w:eastAsia="仿宋" w:cs="仿宋"/>
                <w:b/>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709" w:type="dxa"/>
            <w:shd w:val="clear" w:color="000000" w:fill="8DB4E2"/>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序号</w:t>
            </w:r>
          </w:p>
        </w:tc>
        <w:tc>
          <w:tcPr>
            <w:tcW w:w="993" w:type="dxa"/>
            <w:shd w:val="clear" w:color="000000" w:fill="8DB4E2"/>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设备名称</w:t>
            </w:r>
          </w:p>
        </w:tc>
        <w:tc>
          <w:tcPr>
            <w:tcW w:w="5811" w:type="dxa"/>
            <w:shd w:val="clear" w:color="000000" w:fill="8DB4E2"/>
            <w:vAlign w:val="top"/>
          </w:tcPr>
          <w:p>
            <w:pPr>
              <w:keepNext w:val="0"/>
              <w:keepLines w:val="0"/>
              <w:widowControl/>
              <w:suppressLineNumbers w:val="0"/>
              <w:spacing w:before="0" w:beforeAutospacing="0" w:after="0" w:afterAutospacing="0"/>
              <w:ind w:left="0" w:right="0"/>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技术参数及要求</w:t>
            </w:r>
          </w:p>
        </w:tc>
        <w:tc>
          <w:tcPr>
            <w:tcW w:w="709" w:type="dxa"/>
            <w:shd w:val="clear" w:color="000000" w:fill="8DB4E2"/>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数量</w:t>
            </w:r>
          </w:p>
        </w:tc>
        <w:tc>
          <w:tcPr>
            <w:tcW w:w="992" w:type="dxa"/>
            <w:shd w:val="clear" w:color="000000" w:fill="8DB4E2"/>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单位</w:t>
            </w:r>
          </w:p>
        </w:tc>
        <w:tc>
          <w:tcPr>
            <w:tcW w:w="1134" w:type="dxa"/>
            <w:shd w:val="clear" w:color="000000" w:fill="8DB4E2"/>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5" w:hRule="atLeast"/>
        </w:trPr>
        <w:tc>
          <w:tcPr>
            <w:tcW w:w="709"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1.1</w:t>
            </w:r>
          </w:p>
        </w:tc>
        <w:tc>
          <w:tcPr>
            <w:tcW w:w="993"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300万全景摄像机</w:t>
            </w:r>
          </w:p>
        </w:tc>
        <w:tc>
          <w:tcPr>
            <w:tcW w:w="5811" w:type="dxa"/>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具有300万像素CMOS传感器。</w:t>
            </w:r>
          </w:p>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★最低照度彩色：0.01lx，黑白:0.001lx，灰度等级不小于11级。</w:t>
            </w:r>
          </w:p>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★红外补光距离不小于45米。</w:t>
            </w:r>
          </w:p>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需支持三码流技术，可同时输出三路码流，主码流最高2048x1536@30fps，第三码流最大2048x1536@30fps，子码流704x576@30fps。</w:t>
            </w:r>
          </w:p>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在2048x1536@25fps下，清晰度不小于1400TVL。</w:t>
            </w:r>
          </w:p>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支持H.264、H.265、MJPEG视频编码格式。</w:t>
            </w:r>
          </w:p>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需具备人脸抓拍、区域入侵检测、越界检测、虚焦检测、进入区域、离开区域、徘徊、人员聚集、逆行、场景变更等功能。</w:t>
            </w:r>
          </w:p>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需具有电子防抖、ROI感兴趣区域、SVC可伸缩编码、自动增益、背光补偿、数字降噪、强光抑制、走廊模式、视频水印等功能。</w:t>
            </w:r>
          </w:p>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★设备与客户端之间用100米网线进行传输，数据包丢包率不大于0.2%。</w:t>
            </w:r>
          </w:p>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★不低于IP66防尘防水等级。</w:t>
            </w:r>
          </w:p>
        </w:tc>
        <w:tc>
          <w:tcPr>
            <w:tcW w:w="709"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46</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台</w:t>
            </w:r>
          </w:p>
        </w:tc>
        <w:tc>
          <w:tcPr>
            <w:tcW w:w="1134"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46个监室全景摄像机,内置拾音器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0" w:hRule="atLeast"/>
        </w:trPr>
        <w:tc>
          <w:tcPr>
            <w:tcW w:w="709"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1.2</w:t>
            </w:r>
          </w:p>
        </w:tc>
        <w:tc>
          <w:tcPr>
            <w:tcW w:w="993"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400万H.265 POE半球</w:t>
            </w:r>
          </w:p>
        </w:tc>
        <w:tc>
          <w:tcPr>
            <w:tcW w:w="5811" w:type="dxa"/>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400万1/3”CMOS ICR日夜型半球型网络摄像机；支持H.265及/H.264/ MJPEG编码；最小照度 0.07Lux @(F1.2,AGC ON) ,0 Lux with IR；0.19 Lux @(F2.0,AGC ON), 0 Lux with IR；快门 1/3秒至1/100,000秒；镜头 4mm, 水平视场角:78°(2.8mm,6mm,8mm可选)；调整角度 水平:0°~360°;垂直:0°~ 75°;旋转:0°~360°；宽动态范围 120dB；帧率 50Hz: 25fps(2560×1440, 2048 × 1536, 1920 × 1080, 1280 × 720)；感兴趣区域 ROI支持双码流分别设置1个固定区域；存储功能 支持Micro SD/SDHC /SDXC卡(128G)断网本地存储；智能功能 越界侦测,区域入侵侦测,场景变更侦测,人脸侦测,虚焦侦测,物品遗留侦测,物品拾取侦测,非法停车侦测,人员聚集侦测,徘徊侦测,快速移动侦测,进入区域侦测,离开区域侦测，音频异常侦测；工作温度和湿度 -10℃~40℃,湿度小于95%(无凝结)；电源供应 DC12V±25% / PoE(802.3af)；功耗 5.5W MAX（ICR切换瞬间7.5W MAX）；红外照射距离 EXIR 20-30米；内置麦克风；1对音频输入（Line in）/输出接口（插线式）、1对报警输入/输出接口</w:t>
            </w:r>
          </w:p>
        </w:tc>
        <w:tc>
          <w:tcPr>
            <w:tcW w:w="709"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143</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台</w:t>
            </w:r>
          </w:p>
        </w:tc>
        <w:tc>
          <w:tcPr>
            <w:tcW w:w="1134"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内置拾音功能，对每个风场各两台防暴半球、审讯室、医疗室等室内场所进行监控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5" w:hRule="atLeast"/>
        </w:trPr>
        <w:tc>
          <w:tcPr>
            <w:tcW w:w="709"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1.3</w:t>
            </w:r>
          </w:p>
        </w:tc>
        <w:tc>
          <w:tcPr>
            <w:tcW w:w="993"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400万枪机</w:t>
            </w:r>
          </w:p>
        </w:tc>
        <w:tc>
          <w:tcPr>
            <w:tcW w:w="5811" w:type="dxa"/>
            <w:vAlign w:val="top"/>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具有400万像素CMOS传感器。</w:t>
            </w:r>
          </w:p>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最低照度彩色：0.001lx，黑白：0.0001lx，灰度等级不小于11级。</w:t>
            </w:r>
          </w:p>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★红外补光距离不小于50米。</w:t>
            </w:r>
          </w:p>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★清晰度不小于1300TVL。</w:t>
            </w:r>
          </w:p>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支持H.264、H.265、MJPEG视频编码格式。</w:t>
            </w:r>
          </w:p>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★信噪比不小于57dB。</w:t>
            </w:r>
          </w:p>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需支持8行字符显示，字体颜色可设置。</w:t>
            </w:r>
          </w:p>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★需具有1路报警输入和2路报警输出接口，具有1个音频输入、1个音频输出接口。</w:t>
            </w:r>
          </w:p>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不低于IP66防尘防水等级。</w:t>
            </w:r>
          </w:p>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电源供电 DC12V±25%，支持PoE(802.3af)</w:t>
            </w:r>
          </w:p>
        </w:tc>
        <w:tc>
          <w:tcPr>
            <w:tcW w:w="709"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121</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台</w:t>
            </w:r>
          </w:p>
        </w:tc>
        <w:tc>
          <w:tcPr>
            <w:tcW w:w="1134" w:type="dxa"/>
            <w:vAlign w:val="top"/>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对上巡视道、下巡视道、监区通道、审讯走道等进行监控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709"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1.4</w:t>
            </w:r>
          </w:p>
        </w:tc>
        <w:tc>
          <w:tcPr>
            <w:tcW w:w="993"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枪机支架</w:t>
            </w:r>
          </w:p>
        </w:tc>
        <w:tc>
          <w:tcPr>
            <w:tcW w:w="5811" w:type="dxa"/>
            <w:vAlign w:val="top"/>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壁装支架/白/铝合金/尺寸不小于70×97.1×181.8mm</w:t>
            </w:r>
          </w:p>
        </w:tc>
        <w:tc>
          <w:tcPr>
            <w:tcW w:w="709"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140</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个</w:t>
            </w:r>
          </w:p>
        </w:tc>
        <w:tc>
          <w:tcPr>
            <w:tcW w:w="1134" w:type="dxa"/>
            <w:vAlign w:val="top"/>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709"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1.5</w:t>
            </w:r>
          </w:p>
        </w:tc>
        <w:tc>
          <w:tcPr>
            <w:tcW w:w="993"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拾音器</w:t>
            </w:r>
          </w:p>
        </w:tc>
        <w:tc>
          <w:tcPr>
            <w:tcW w:w="5811" w:type="dxa"/>
            <w:vAlign w:val="top"/>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★拾音器据声源5米距离声音采集清晰，能够有效监听60平方米范围。</w:t>
            </w:r>
          </w:p>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★需支持DC12V供电，且在不小于DC12V±20%范围内变化时可以正常工作。</w:t>
            </w:r>
          </w:p>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★降噪能力不小于9dB。</w:t>
            </w:r>
          </w:p>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拾音器能够在-30~70摄氏度环境下稳定工作。</w:t>
            </w:r>
          </w:p>
        </w:tc>
        <w:tc>
          <w:tcPr>
            <w:tcW w:w="709"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个</w:t>
            </w:r>
          </w:p>
        </w:tc>
        <w:tc>
          <w:tcPr>
            <w:tcW w:w="1134"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律师会见室专用拾音器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709"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2.1</w:t>
            </w:r>
          </w:p>
        </w:tc>
        <w:tc>
          <w:tcPr>
            <w:tcW w:w="993"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看守所智能综合管控平台</w:t>
            </w:r>
          </w:p>
        </w:tc>
        <w:tc>
          <w:tcPr>
            <w:tcW w:w="5811" w:type="dxa"/>
            <w:vAlign w:val="top"/>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支持统一接入管理视频监控系统、门禁系统、对讲系统、报警系统、巡更系统、智能系统、LED等各安防子系统，能与视频监控系统间实现联动操作；</w:t>
            </w:r>
          </w:p>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支持录像查询、回放、下载，可进行快速播放、慢速播放、单帧播放、边放边录，支持多路同步回放、录像切片回放、录像定点回放等功能；</w:t>
            </w:r>
          </w:p>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含服务器1台，配置不低于：E5-2630 V4(10核2.2GHz)×1/16GB DDR4×2/1TB SATA×1/SAS_HBA/DVD/1GbE×4/冗电/导轨/2U/Windows Server 2008 R2简体中文标准版激活码</w:t>
            </w:r>
          </w:p>
        </w:tc>
        <w:tc>
          <w:tcPr>
            <w:tcW w:w="709"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台</w:t>
            </w:r>
          </w:p>
        </w:tc>
        <w:tc>
          <w:tcPr>
            <w:tcW w:w="1134" w:type="dxa"/>
            <w:vAlign w:val="top"/>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trPr>
        <w:tc>
          <w:tcPr>
            <w:tcW w:w="709"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2.2</w:t>
            </w:r>
          </w:p>
        </w:tc>
        <w:tc>
          <w:tcPr>
            <w:tcW w:w="993"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网络存储服务器</w:t>
            </w:r>
          </w:p>
        </w:tc>
        <w:tc>
          <w:tcPr>
            <w:tcW w:w="5811" w:type="dxa"/>
            <w:vAlign w:val="top"/>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单设备应配置≥64位多核处理器，≥4GB内存，需配置冗余金牌电源，支持双系统</w:t>
            </w:r>
          </w:p>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★应支持IPSAN、NAS存储功能</w:t>
            </w:r>
          </w:p>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可接入2T/3T/4T/6T/8T/10TSATA磁盘，支持磁盘交错启动和漫游，并支持在线热插拔；</w:t>
            </w:r>
          </w:p>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★可接入硬盘≥24块，支持SATA混插；</w:t>
            </w:r>
          </w:p>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应能提供RAID0、1、3、5、6、10、50，60模式，支持全局、局部等多种热备选择，支持坏盘自动重构；</w:t>
            </w:r>
          </w:p>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★设备可对视音频、图片、智能数据（智能行为分析录像）流进行混合直存，无须存储服务器和图片服务器的参与，平台服务器宕机时，存储业务正常</w:t>
            </w:r>
          </w:p>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★支持不低于550MBps图片并发输入，同时不低于550MBps图片并发输出</w:t>
            </w:r>
          </w:p>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★支持接入单前端设备不超出25路码流冗余存储</w:t>
            </w:r>
          </w:p>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★设备应能预录报警触发前1-30分钟的视频录像。</w:t>
            </w:r>
          </w:p>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可接入MPEG4、H.264、H.265、Smart265、SVAC的前端设备并存储录像文件,可将大华、宇视、海康等厂商SDK封装格式的视频流转成标准（MPEG4、H.264、H.265、SVAC等编码格式）PS流（ProgramStream）输出。</w:t>
            </w:r>
          </w:p>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★设备可同时支持视频、图片、智能流和文件直写存储。</w:t>
            </w:r>
          </w:p>
        </w:tc>
        <w:tc>
          <w:tcPr>
            <w:tcW w:w="709"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台</w:t>
            </w:r>
          </w:p>
        </w:tc>
        <w:tc>
          <w:tcPr>
            <w:tcW w:w="1134" w:type="dxa"/>
            <w:vAlign w:val="top"/>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trPr>
        <w:tc>
          <w:tcPr>
            <w:tcW w:w="709"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2.3</w:t>
            </w:r>
          </w:p>
        </w:tc>
        <w:tc>
          <w:tcPr>
            <w:tcW w:w="993"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硬盘</w:t>
            </w:r>
          </w:p>
        </w:tc>
        <w:tc>
          <w:tcPr>
            <w:tcW w:w="5811" w:type="dxa"/>
            <w:vAlign w:val="top"/>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企业级4T硬盘</w:t>
            </w:r>
          </w:p>
        </w:tc>
        <w:tc>
          <w:tcPr>
            <w:tcW w:w="709"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84</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块</w:t>
            </w:r>
          </w:p>
        </w:tc>
        <w:tc>
          <w:tcPr>
            <w:tcW w:w="1134" w:type="dxa"/>
            <w:vAlign w:val="top"/>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存储20天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0" w:hRule="atLeast"/>
        </w:trPr>
        <w:tc>
          <w:tcPr>
            <w:tcW w:w="709"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2.4</w:t>
            </w:r>
          </w:p>
        </w:tc>
        <w:tc>
          <w:tcPr>
            <w:tcW w:w="993"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55寸拼接单元</w:t>
            </w:r>
          </w:p>
        </w:tc>
        <w:tc>
          <w:tcPr>
            <w:tcW w:w="5811" w:type="dxa"/>
            <w:vAlign w:val="top"/>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55“超窄边液晶屏；物理分辨率达到1920×1080，物理拼缝≤5mm，响应时间≤8ms。输入接口：VGA×1，DVI×1，BNC×1，YPbPr×1，HDMI×1，USB×1。</w:t>
            </w:r>
          </w:p>
        </w:tc>
        <w:tc>
          <w:tcPr>
            <w:tcW w:w="709"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14</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块</w:t>
            </w:r>
          </w:p>
        </w:tc>
        <w:tc>
          <w:tcPr>
            <w:tcW w:w="1134" w:type="dxa"/>
            <w:vAlign w:val="top"/>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trPr>
        <w:tc>
          <w:tcPr>
            <w:tcW w:w="709"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2.5</w:t>
            </w:r>
          </w:p>
        </w:tc>
        <w:tc>
          <w:tcPr>
            <w:tcW w:w="993"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拼接处理器</w:t>
            </w:r>
          </w:p>
        </w:tc>
        <w:tc>
          <w:tcPr>
            <w:tcW w:w="5811" w:type="dxa"/>
            <w:vAlign w:val="top"/>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不大于5U机箱+4路DVI输入（支持转VGA）+16路DVI输出+单主控板+单电源；整机支持解码128路1080P@30Hz、256路720P@30Hz或512路4CIF@30Hz以下分辨率；</w:t>
            </w:r>
          </w:p>
        </w:tc>
        <w:tc>
          <w:tcPr>
            <w:tcW w:w="709"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套</w:t>
            </w:r>
          </w:p>
        </w:tc>
        <w:tc>
          <w:tcPr>
            <w:tcW w:w="1134" w:type="dxa"/>
            <w:vAlign w:val="top"/>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5" w:hRule="atLeast"/>
        </w:trPr>
        <w:tc>
          <w:tcPr>
            <w:tcW w:w="709"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2.6</w:t>
            </w:r>
          </w:p>
        </w:tc>
        <w:tc>
          <w:tcPr>
            <w:tcW w:w="993"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4路嵌入式高清解码器</w:t>
            </w:r>
          </w:p>
        </w:tc>
        <w:tc>
          <w:tcPr>
            <w:tcW w:w="5811" w:type="dxa"/>
            <w:vAlign w:val="top"/>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1个VGA输入接口，1个DVI-I输入接口。输出口支持4个HDMI接口，支持4路模拟音频输出，支持2路模拟视频输出。</w:t>
            </w:r>
          </w:p>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★设备可以设置1024×768、1280×1024、1280×720、1920×1080、1600×1200、3840x2160等的视频图像分辨率通过HDMI输出显示。</w:t>
            </w:r>
          </w:p>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设备支持解码显示画面任意设置大小，并可通过客户端软件使显示画面在外接多个显示屏上随意移动并跨屏显示。</w:t>
            </w:r>
          </w:p>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要求设备支持按1/4/9/16画面进行分割，也支持1路输入视频发送到多个输出接口拼接显示，支持1x2,1x3,1x4,2x1,2x2,3x1,4x1的拼接显示</w:t>
            </w:r>
          </w:p>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★要求设备支持ONVIF、RTSP、H264、H265等协议。</w:t>
            </w:r>
          </w:p>
        </w:tc>
        <w:tc>
          <w:tcPr>
            <w:tcW w:w="709"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套</w:t>
            </w:r>
          </w:p>
        </w:tc>
        <w:tc>
          <w:tcPr>
            <w:tcW w:w="1134" w:type="dxa"/>
            <w:vAlign w:val="top"/>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提审室及律师会见室监控画面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09"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2.7</w:t>
            </w:r>
          </w:p>
        </w:tc>
        <w:tc>
          <w:tcPr>
            <w:tcW w:w="993"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落地支架</w:t>
            </w:r>
          </w:p>
        </w:tc>
        <w:tc>
          <w:tcPr>
            <w:tcW w:w="5811" w:type="dxa"/>
            <w:vAlign w:val="top"/>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采用1.2-1.5冷轧钢板焊接喷塑而成</w:t>
            </w:r>
          </w:p>
        </w:tc>
        <w:tc>
          <w:tcPr>
            <w:tcW w:w="709"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7</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套</w:t>
            </w:r>
          </w:p>
        </w:tc>
        <w:tc>
          <w:tcPr>
            <w:tcW w:w="1134" w:type="dxa"/>
            <w:vAlign w:val="top"/>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09"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2.8</w:t>
            </w:r>
          </w:p>
        </w:tc>
        <w:tc>
          <w:tcPr>
            <w:tcW w:w="993"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大屏配套线缆</w:t>
            </w:r>
          </w:p>
        </w:tc>
        <w:tc>
          <w:tcPr>
            <w:tcW w:w="5811" w:type="dxa"/>
            <w:vAlign w:val="top"/>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DVI、VGA等线缆，可根据现场实际情况确定；</w:t>
            </w:r>
          </w:p>
        </w:tc>
        <w:tc>
          <w:tcPr>
            <w:tcW w:w="709"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14</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套</w:t>
            </w:r>
          </w:p>
        </w:tc>
        <w:tc>
          <w:tcPr>
            <w:tcW w:w="1134" w:type="dxa"/>
            <w:vAlign w:val="top"/>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9" w:hRule="atLeast"/>
        </w:trPr>
        <w:tc>
          <w:tcPr>
            <w:tcW w:w="709"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2.9</w:t>
            </w:r>
          </w:p>
        </w:tc>
        <w:tc>
          <w:tcPr>
            <w:tcW w:w="993"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防静电地板</w:t>
            </w:r>
          </w:p>
        </w:tc>
        <w:tc>
          <w:tcPr>
            <w:tcW w:w="5811" w:type="dxa"/>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12m*5.4m,60mm*60mm</w:t>
            </w:r>
          </w:p>
        </w:tc>
        <w:tc>
          <w:tcPr>
            <w:tcW w:w="709"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75</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平方米</w:t>
            </w:r>
          </w:p>
        </w:tc>
        <w:tc>
          <w:tcPr>
            <w:tcW w:w="1134" w:type="dxa"/>
            <w:vAlign w:val="top"/>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用于二楼监控室以及一楼机房静电地面铺设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trPr>
        <w:tc>
          <w:tcPr>
            <w:tcW w:w="709"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2.10</w:t>
            </w:r>
          </w:p>
        </w:tc>
        <w:tc>
          <w:tcPr>
            <w:tcW w:w="993"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监控室操作台</w:t>
            </w:r>
          </w:p>
        </w:tc>
        <w:tc>
          <w:tcPr>
            <w:tcW w:w="5811" w:type="dxa"/>
            <w:vAlign w:val="top"/>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4.2m*1.2m</w:t>
            </w:r>
          </w:p>
        </w:tc>
        <w:tc>
          <w:tcPr>
            <w:tcW w:w="709"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套</w:t>
            </w:r>
          </w:p>
        </w:tc>
        <w:tc>
          <w:tcPr>
            <w:tcW w:w="1134" w:type="dxa"/>
            <w:vAlign w:val="top"/>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 w:hRule="atLeast"/>
        </w:trPr>
        <w:tc>
          <w:tcPr>
            <w:tcW w:w="709"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2.11</w:t>
            </w:r>
          </w:p>
        </w:tc>
        <w:tc>
          <w:tcPr>
            <w:tcW w:w="993"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智能网络视频分析服务器</w:t>
            </w:r>
          </w:p>
        </w:tc>
        <w:tc>
          <w:tcPr>
            <w:tcW w:w="5811" w:type="dxa"/>
            <w:vAlign w:val="top"/>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支持剧烈运动、人员攀高、人员起身、如厕超时、声强突变、离岗报警、穿越警戒线、进入区域、离开区域、区域入侵、徘徊报警、放风场滞留等功能。</w:t>
            </w:r>
          </w:p>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配合前端摄像机以及拾音器，对48个监舍打架斗殴、攀高事件进行预警</w:t>
            </w:r>
          </w:p>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支持智能服务器对智能报警事件录像存储功能。可对触发智能规则的报警时间进行录像存储，并可设置报警预录和延录时间。</w:t>
            </w:r>
          </w:p>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支持视频质量诊断功能，诊断内容包括条纹干扰、信号丢失、场景突变、视频异常。</w:t>
            </w:r>
          </w:p>
        </w:tc>
        <w:tc>
          <w:tcPr>
            <w:tcW w:w="709"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套</w:t>
            </w:r>
          </w:p>
        </w:tc>
        <w:tc>
          <w:tcPr>
            <w:tcW w:w="1134" w:type="dxa"/>
            <w:vAlign w:val="top"/>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配合前端摄像机以及拾音器，对48个监舍打架斗殴、攀高事件进行预警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6" w:hRule="atLeast"/>
        </w:trPr>
        <w:tc>
          <w:tcPr>
            <w:tcW w:w="709"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3.1</w:t>
            </w:r>
          </w:p>
        </w:tc>
        <w:tc>
          <w:tcPr>
            <w:tcW w:w="993"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高清播放机</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(多媒体信息发布终端)</w:t>
            </w:r>
          </w:p>
        </w:tc>
        <w:tc>
          <w:tcPr>
            <w:tcW w:w="5811" w:type="dxa"/>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CPU:高性能ARM Cotex-A9双核，1GHz;</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GPU:四核ARM Mali-400 MP GPU;</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RAM:1GB，DDR3;</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FLASH：4GB eMMC Flash；</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 xml:space="preserve">内含多媒体播放器软件及杜比音效Dolby Digital AC-3 </w:t>
            </w:r>
          </w:p>
        </w:tc>
        <w:tc>
          <w:tcPr>
            <w:tcW w:w="709"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台</w:t>
            </w:r>
          </w:p>
        </w:tc>
        <w:tc>
          <w:tcPr>
            <w:tcW w:w="1134" w:type="dxa"/>
            <w:vAlign w:val="top"/>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09"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3.2</w:t>
            </w:r>
          </w:p>
        </w:tc>
        <w:tc>
          <w:tcPr>
            <w:tcW w:w="993"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服务器</w:t>
            </w:r>
          </w:p>
        </w:tc>
        <w:tc>
          <w:tcPr>
            <w:tcW w:w="5811" w:type="dxa"/>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至强四核E3-1226v3（3.30GHz）/8G/500G/无dvd/3年</w:t>
            </w:r>
          </w:p>
        </w:tc>
        <w:tc>
          <w:tcPr>
            <w:tcW w:w="709"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台</w:t>
            </w:r>
          </w:p>
        </w:tc>
        <w:tc>
          <w:tcPr>
            <w:tcW w:w="1134" w:type="dxa"/>
            <w:vAlign w:val="top"/>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709"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3.3</w:t>
            </w:r>
          </w:p>
        </w:tc>
        <w:tc>
          <w:tcPr>
            <w:tcW w:w="993"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单路直播编码器</w:t>
            </w:r>
          </w:p>
        </w:tc>
        <w:tc>
          <w:tcPr>
            <w:tcW w:w="5811" w:type="dxa"/>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输入：1路HDMI输入；视频编码方式：MPEG-4 AVC/H.264；音频编码方式：MPEG-1 Layer 2, HE-AAC (V2), LC-AAC。</w:t>
            </w:r>
          </w:p>
        </w:tc>
        <w:tc>
          <w:tcPr>
            <w:tcW w:w="709"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套</w:t>
            </w:r>
          </w:p>
        </w:tc>
        <w:tc>
          <w:tcPr>
            <w:tcW w:w="1134" w:type="dxa"/>
            <w:vAlign w:val="top"/>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709"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3.4</w:t>
            </w:r>
          </w:p>
        </w:tc>
        <w:tc>
          <w:tcPr>
            <w:tcW w:w="993"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信号处理器（工业级专用）</w:t>
            </w:r>
          </w:p>
        </w:tc>
        <w:tc>
          <w:tcPr>
            <w:tcW w:w="5811" w:type="dxa"/>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将HDMI信号转为STMB信号</w:t>
            </w:r>
          </w:p>
        </w:tc>
        <w:tc>
          <w:tcPr>
            <w:tcW w:w="709"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台</w:t>
            </w:r>
          </w:p>
        </w:tc>
        <w:tc>
          <w:tcPr>
            <w:tcW w:w="1134" w:type="dxa"/>
            <w:vAlign w:val="top"/>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709"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3.5</w:t>
            </w:r>
          </w:p>
        </w:tc>
        <w:tc>
          <w:tcPr>
            <w:tcW w:w="993"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智能信息发布系统核心软件V2.0</w:t>
            </w:r>
          </w:p>
        </w:tc>
        <w:tc>
          <w:tcPr>
            <w:tcW w:w="5811" w:type="dxa"/>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CLEAR IMS admin 2.0 </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CLEAR IMS main server 2.0</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CLEAR IMS log server 2.0</w:t>
            </w:r>
          </w:p>
        </w:tc>
        <w:tc>
          <w:tcPr>
            <w:tcW w:w="709"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套</w:t>
            </w:r>
          </w:p>
        </w:tc>
        <w:tc>
          <w:tcPr>
            <w:tcW w:w="1134" w:type="dxa"/>
            <w:vAlign w:val="top"/>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09"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4.1</w:t>
            </w:r>
          </w:p>
        </w:tc>
        <w:tc>
          <w:tcPr>
            <w:tcW w:w="993"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CD播放器</w:t>
            </w:r>
          </w:p>
        </w:tc>
        <w:tc>
          <w:tcPr>
            <w:tcW w:w="5811" w:type="dxa"/>
            <w:vAlign w:val="top"/>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自动播放控制，全数码伺服；系统+ESS解码方案，超强纠错功能</w:t>
            </w:r>
          </w:p>
        </w:tc>
        <w:tc>
          <w:tcPr>
            <w:tcW w:w="709"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台</w:t>
            </w:r>
          </w:p>
        </w:tc>
        <w:tc>
          <w:tcPr>
            <w:tcW w:w="1134" w:type="dxa"/>
            <w:vAlign w:val="top"/>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709"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4.2</w:t>
            </w:r>
          </w:p>
        </w:tc>
        <w:tc>
          <w:tcPr>
            <w:tcW w:w="993"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数字调谐器</w:t>
            </w:r>
          </w:p>
        </w:tc>
        <w:tc>
          <w:tcPr>
            <w:tcW w:w="5811" w:type="dxa"/>
            <w:vAlign w:val="top"/>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调频、调幅两波段，分别有可存储电台达100个</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 xml:space="preserve"> 有自动调谐、记忆功能</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遥控器控制操作简单</w:t>
            </w:r>
          </w:p>
        </w:tc>
        <w:tc>
          <w:tcPr>
            <w:tcW w:w="709"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台</w:t>
            </w:r>
          </w:p>
        </w:tc>
        <w:tc>
          <w:tcPr>
            <w:tcW w:w="1134" w:type="dxa"/>
            <w:vAlign w:val="top"/>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0" w:hRule="atLeast"/>
        </w:trPr>
        <w:tc>
          <w:tcPr>
            <w:tcW w:w="709"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4.3</w:t>
            </w:r>
          </w:p>
        </w:tc>
        <w:tc>
          <w:tcPr>
            <w:tcW w:w="993"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前置放大器</w:t>
            </w:r>
          </w:p>
        </w:tc>
        <w:tc>
          <w:tcPr>
            <w:tcW w:w="5811" w:type="dxa"/>
            <w:vAlign w:val="top"/>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12个输入通道，包括5路话筒、3路线路口、4个紧急接口</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第5个话筒具有最高优先、强行切入优先功能</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每个通道均可独立调校音量，统一音量控制</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4个紧急输入具有二级优先，强行切入优先功能</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 xml:space="preserve">12 input channels including 5 channels of MIC input, 3 Line-In, 4 </w:t>
            </w:r>
          </w:p>
        </w:tc>
        <w:tc>
          <w:tcPr>
            <w:tcW w:w="709"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台</w:t>
            </w:r>
          </w:p>
        </w:tc>
        <w:tc>
          <w:tcPr>
            <w:tcW w:w="1134" w:type="dxa"/>
            <w:vAlign w:val="top"/>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0" w:hRule="atLeast"/>
        </w:trPr>
        <w:tc>
          <w:tcPr>
            <w:tcW w:w="709"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4.4</w:t>
            </w:r>
          </w:p>
        </w:tc>
        <w:tc>
          <w:tcPr>
            <w:tcW w:w="993"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桌面</w:t>
            </w:r>
          </w:p>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话筒</w:t>
            </w:r>
          </w:p>
        </w:tc>
        <w:tc>
          <w:tcPr>
            <w:tcW w:w="5811" w:type="dxa"/>
            <w:vAlign w:val="top"/>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1.专业控制台设计，可桌面放置、壁挂安装和嵌入式安装；</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 xml:space="preserve">2.具有10.1寸数字真彩显示屏，电容式触摸屏，分辨率达1280*800； </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 xml:space="preserve">3.内置500万像素高清数字摄像头(具有硬件遮挡功能，保护隐私)，采用H.264编码； </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 xml:space="preserve">4.内置3W扬声器和话筒咪头，用于免提通话、接收广播和监听(数字降噪)； </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 xml:space="preserve">5.可对全区、分区、个别终端进行喊话广播； </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 xml:space="preserve">6.文件广播和预录音广播功能，可将本地音频文件或录音广播给指定终端； </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 xml:space="preserve">7.具有红色紧急按键，支持一键广播到预设分区； </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 xml:space="preserve">8.支持来/去电显示功能，来电语音播报； </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9.仿调音台操作界面，音源控制直观便捷；</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10.支持无服务器情况下的脱机广播；</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 xml:space="preserve">11.可查看其他终端的工作状态(登录状态、对讲状态、任务状态)； </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 xml:space="preserve">12.可拆卸话筒杆，支持3种方式通话：免提(内置咪)、免提(话筒杆)和听筒； </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 xml:space="preserve">13.具有HDMI接口，可外接显示器； </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 xml:space="preserve">14.支持POE供电，符合IEEE802.3af标准； </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15. 标准RJ45接口，有以太网口的地方即可接入，支持跨网段和跨路由；</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电源、功耗    DC 12V或POE IEEE802.3af,  ≤20W</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 xml:space="preserve">网络通讯协议  TCP、UDP、ARP、ICMP、IGMP、SIP、HTTP、FTP </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网络芯片速率  10/100Mbps</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音频编码      MP2/MP3/PCM/ADPCM</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音频采样、位率 8kHz～44.1kHz, 16bit, 8kbps-320kbps</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视频传输位率   96Kbps-2048Kbps</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摄像头         CMOS 500W像素</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内置功放功率   3W</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信噪比, 频响   &gt; 90dB、20 Hz～20K Hz</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网络声音延迟 对讲延迟≤30ms</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显示屏         TFT 10.1"LCD 1280x800</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显示语言       中文、英语</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接口           1个RJ45网口, 1路报警输入, 1路报警输出, 1路线路输出,1路线路输入，1路HDMI接口,2个USB接口</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工作温度、湿度  -10℃～55℃,  ≤90%RH（无结露）</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产品尺寸、重量  336x210x32.5mm ,1.65kg</w:t>
            </w:r>
          </w:p>
        </w:tc>
        <w:tc>
          <w:tcPr>
            <w:tcW w:w="709"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台</w:t>
            </w:r>
          </w:p>
        </w:tc>
        <w:tc>
          <w:tcPr>
            <w:tcW w:w="1134" w:type="dxa"/>
            <w:vAlign w:val="top"/>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0" w:hRule="atLeast"/>
        </w:trPr>
        <w:tc>
          <w:tcPr>
            <w:tcW w:w="709"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4.5</w:t>
            </w:r>
          </w:p>
        </w:tc>
        <w:tc>
          <w:tcPr>
            <w:tcW w:w="993"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监所专用网络广播功放-120W</w:t>
            </w:r>
          </w:p>
        </w:tc>
        <w:tc>
          <w:tcPr>
            <w:tcW w:w="5811" w:type="dxa"/>
            <w:vAlign w:val="top"/>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1.机架式设计(1U)，超薄型的网络定压功放, 启动时间≤1秒;</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2.内置D类数字功放，120W定压100V输出，发热小功效更高；</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3.设有5个输入通道，每一通道均可独立调节音量，统一音调控制；</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4.可以自由设置5个输入通道的优先级 (前面板话筒口默认最高优先)；</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5.提供音频线路输出，接外部功放扩音(带功放电源控制)；</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6.有以太网口地方即可接入，支持跨网段和跨路由；</w:t>
            </w:r>
          </w:p>
        </w:tc>
        <w:tc>
          <w:tcPr>
            <w:tcW w:w="709"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台</w:t>
            </w:r>
          </w:p>
        </w:tc>
        <w:tc>
          <w:tcPr>
            <w:tcW w:w="1134" w:type="dxa"/>
            <w:vAlign w:val="top"/>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709"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4.6</w:t>
            </w:r>
          </w:p>
        </w:tc>
        <w:tc>
          <w:tcPr>
            <w:tcW w:w="993"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监所专用室内音箱</w:t>
            </w:r>
          </w:p>
        </w:tc>
        <w:tc>
          <w:tcPr>
            <w:tcW w:w="5811" w:type="dxa"/>
            <w:vAlign w:val="top"/>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材料:木制；额定功率：5W；最大功率：10W；频率响应：180-20KHz；定压；尺寸：248x156x146</w:t>
            </w:r>
          </w:p>
        </w:tc>
        <w:tc>
          <w:tcPr>
            <w:tcW w:w="709"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47</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台</w:t>
            </w:r>
          </w:p>
        </w:tc>
        <w:tc>
          <w:tcPr>
            <w:tcW w:w="1134" w:type="dxa"/>
            <w:vAlign w:val="top"/>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0" w:hRule="atLeast"/>
        </w:trPr>
        <w:tc>
          <w:tcPr>
            <w:tcW w:w="709"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4.7</w:t>
            </w:r>
          </w:p>
        </w:tc>
        <w:tc>
          <w:tcPr>
            <w:tcW w:w="993"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监所专用网络对讲广播控制中心</w:t>
            </w:r>
          </w:p>
        </w:tc>
        <w:tc>
          <w:tcPr>
            <w:tcW w:w="5811" w:type="dxa"/>
            <w:vAlign w:val="top"/>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 1.专业机架式工控机箱体设计，采用钢结构，有较高防磁、防尘、防冲击能力；</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2.采用15英寸工业级加固触摸屏，简单易用的触摸屏操控；</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3.内置大容量硬盘，具有抗震动、抗摔、读写速度快、功耗低等特点；</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4.工业级专用主板设计，处理速度更快，运作性能更强，适用于长时间运行；</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5.安装广播系统服务器软件后，构成IP广播系统的管理控制中心，对广播系统各路音源信号控制，广播区域分配，终端信息的配置；</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6.可根据服务软件形成的电子地图，查看各路广播终端实时情况，尽在掌控；</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7.标准RJ45网络接口，有以太网口的地方即可接入，支持跨网段和跨路由。</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电源、功耗 AC100-240V；≤300W</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显示屏幕 15寸电阻式(四线)触控屏，TFT32位真彩色, 1024*768分辨率</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光驱 DVD-ROM</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CPU:  i3-4150（因配置不断升级，以合同为准）</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主板：华硕 P8H61-MPLUSV3(英特尔  H61 芯片组)</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内存：金士顿（Kingston）DDR3 1600 2GB</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硬盘：SATA 1TB（因配置不断升级，以合同为准）</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显卡：英特尔 HD  Graphics Family(1GB/华硕)</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显示器：乐华 R0W0001 Grystal  View</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光驱：华硕 DVD-E818A9T b DVD 光驱</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声卡： 瑞昱ALC887@英特尔6Series  Chipset 高保真音频</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网卡： 瑞昱RTL8168E PCI-E Gigabit Etherner NIC/华硕</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分辨率：1024×768 32位真彩色（刷新率：60HZ）</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网络通讯协议 TCP、UDP、ARP、ICMP、IGMP</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网络芯片速率 10/100Mbps</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音频编码 MP2/MP3/PCM/ADPCM</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音频采样 8kHz～44.1kHz, 16位</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传输位率 16kbps-192kbps</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信噪比/频响 LINE: ≥70dB; MIC: ≥70dB; 20Hz-20KHz</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网络声音延迟 广播延迟≤100ms, 对讲延迟≤30ms</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音频接口 1路线路输入、1路线路输出、1路话筒输入</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其他接口 1个 RJ45网口，4个 USB口</w:t>
            </w:r>
          </w:p>
        </w:tc>
        <w:tc>
          <w:tcPr>
            <w:tcW w:w="709"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台</w:t>
            </w:r>
          </w:p>
        </w:tc>
        <w:tc>
          <w:tcPr>
            <w:tcW w:w="1134" w:type="dxa"/>
            <w:vAlign w:val="top"/>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0" w:hRule="atLeast"/>
        </w:trPr>
        <w:tc>
          <w:tcPr>
            <w:tcW w:w="709"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5.1</w:t>
            </w:r>
          </w:p>
        </w:tc>
        <w:tc>
          <w:tcPr>
            <w:tcW w:w="993"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接入交换机</w:t>
            </w:r>
          </w:p>
        </w:tc>
        <w:tc>
          <w:tcPr>
            <w:tcW w:w="5811" w:type="dxa"/>
            <w:vAlign w:val="top"/>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全千兆网管二层POE交换机，机架式，24个千兆POE电口，4个千兆光口，支持通过console口管理。交换容量336Gbps，包转发率96Mpps，1U高度，尺寸（宽×深×高mm）440×260×44，重量&lt;5.5KG，工作温度：0℃～50℃，支持220v交流，POE输出功率≤370W，支持802.3af/at；支持VLAN,流量控制，ACL，QOS，支持SNMP V1/V2c/V3网管，支持静态路由、RIP、RIPng、STP，支持Openflow协议标准，支持线缆检测</w:t>
            </w:r>
          </w:p>
        </w:tc>
        <w:tc>
          <w:tcPr>
            <w:tcW w:w="709"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16</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台</w:t>
            </w:r>
          </w:p>
        </w:tc>
        <w:tc>
          <w:tcPr>
            <w:tcW w:w="1134" w:type="dxa"/>
            <w:vAlign w:val="top"/>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709"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5.2</w:t>
            </w:r>
          </w:p>
        </w:tc>
        <w:tc>
          <w:tcPr>
            <w:tcW w:w="993"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核心交换机</w:t>
            </w:r>
          </w:p>
        </w:tc>
        <w:tc>
          <w:tcPr>
            <w:tcW w:w="5811" w:type="dxa"/>
            <w:vAlign w:val="top"/>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全网管三层交换机，机架式，48个千兆电口，4个万兆SFP+光口，2个QSFP+堆叠口，交换容量598Gbps,包转发率252Mpps,支持通过console口管理。1U高度，19英寸宽，工作温度：0℃～40℃，支持220v交流，48V直流供电，满负荷功耗90瓦；支持路由，IPV6，VLAN,流量控制，ACL，QOS，支持SNMP V1/V2c/V3网管。</w:t>
            </w:r>
          </w:p>
        </w:tc>
        <w:tc>
          <w:tcPr>
            <w:tcW w:w="709"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台</w:t>
            </w:r>
          </w:p>
        </w:tc>
        <w:tc>
          <w:tcPr>
            <w:tcW w:w="1134" w:type="dxa"/>
            <w:vAlign w:val="top"/>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09"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5.3</w:t>
            </w:r>
          </w:p>
        </w:tc>
        <w:tc>
          <w:tcPr>
            <w:tcW w:w="993"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机柜</w:t>
            </w:r>
          </w:p>
        </w:tc>
        <w:tc>
          <w:tcPr>
            <w:tcW w:w="5811" w:type="dxa"/>
            <w:vAlign w:val="top"/>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2米标准机柜</w:t>
            </w:r>
          </w:p>
        </w:tc>
        <w:tc>
          <w:tcPr>
            <w:tcW w:w="709"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台</w:t>
            </w:r>
          </w:p>
        </w:tc>
        <w:tc>
          <w:tcPr>
            <w:tcW w:w="1134" w:type="dxa"/>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09"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5.4</w:t>
            </w:r>
          </w:p>
        </w:tc>
        <w:tc>
          <w:tcPr>
            <w:tcW w:w="993"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光纤</w:t>
            </w:r>
          </w:p>
        </w:tc>
        <w:tc>
          <w:tcPr>
            <w:tcW w:w="5811" w:type="dxa"/>
            <w:vAlign w:val="top"/>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12芯光纤</w:t>
            </w:r>
          </w:p>
        </w:tc>
        <w:tc>
          <w:tcPr>
            <w:tcW w:w="709"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1500</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米</w:t>
            </w:r>
          </w:p>
        </w:tc>
        <w:tc>
          <w:tcPr>
            <w:tcW w:w="1134" w:type="dxa"/>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709"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5.5</w:t>
            </w:r>
          </w:p>
        </w:tc>
        <w:tc>
          <w:tcPr>
            <w:tcW w:w="993"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光纤收发器</w:t>
            </w:r>
          </w:p>
        </w:tc>
        <w:tc>
          <w:tcPr>
            <w:tcW w:w="5811" w:type="dxa"/>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DC10-58V工作温度-40-85存储温度-40-85传输距离0-60KM（可选）</w:t>
            </w:r>
          </w:p>
        </w:tc>
        <w:tc>
          <w:tcPr>
            <w:tcW w:w="709"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8</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对</w:t>
            </w:r>
          </w:p>
        </w:tc>
        <w:tc>
          <w:tcPr>
            <w:tcW w:w="1134"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709"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5.6</w:t>
            </w:r>
          </w:p>
        </w:tc>
        <w:tc>
          <w:tcPr>
            <w:tcW w:w="993"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光纤附件</w:t>
            </w:r>
          </w:p>
        </w:tc>
        <w:tc>
          <w:tcPr>
            <w:tcW w:w="5811" w:type="dxa"/>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国标</w:t>
            </w:r>
          </w:p>
        </w:tc>
        <w:tc>
          <w:tcPr>
            <w:tcW w:w="709"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批</w:t>
            </w:r>
          </w:p>
        </w:tc>
        <w:tc>
          <w:tcPr>
            <w:tcW w:w="1134"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709"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5.7</w:t>
            </w:r>
          </w:p>
        </w:tc>
        <w:tc>
          <w:tcPr>
            <w:tcW w:w="993"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网线</w:t>
            </w:r>
          </w:p>
        </w:tc>
        <w:tc>
          <w:tcPr>
            <w:tcW w:w="5811" w:type="dxa"/>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室外防水4*0.5</w:t>
            </w:r>
          </w:p>
        </w:tc>
        <w:tc>
          <w:tcPr>
            <w:tcW w:w="709"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箱</w:t>
            </w:r>
          </w:p>
        </w:tc>
        <w:tc>
          <w:tcPr>
            <w:tcW w:w="1134"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709"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5.8</w:t>
            </w:r>
          </w:p>
        </w:tc>
        <w:tc>
          <w:tcPr>
            <w:tcW w:w="993"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电源线</w:t>
            </w:r>
          </w:p>
        </w:tc>
        <w:tc>
          <w:tcPr>
            <w:tcW w:w="5811" w:type="dxa"/>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国标RVV2*2.0</w:t>
            </w:r>
          </w:p>
        </w:tc>
        <w:tc>
          <w:tcPr>
            <w:tcW w:w="709"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3000</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米</w:t>
            </w:r>
          </w:p>
        </w:tc>
        <w:tc>
          <w:tcPr>
            <w:tcW w:w="1134"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709"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5.9</w:t>
            </w:r>
          </w:p>
        </w:tc>
        <w:tc>
          <w:tcPr>
            <w:tcW w:w="993"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工程附件</w:t>
            </w:r>
          </w:p>
        </w:tc>
        <w:tc>
          <w:tcPr>
            <w:tcW w:w="5811" w:type="dxa"/>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排插、软管、缠绕管、防水胶带等</w:t>
            </w:r>
          </w:p>
        </w:tc>
        <w:tc>
          <w:tcPr>
            <w:tcW w:w="709"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套</w:t>
            </w:r>
          </w:p>
        </w:tc>
        <w:tc>
          <w:tcPr>
            <w:tcW w:w="1134"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　</w:t>
            </w:r>
          </w:p>
        </w:tc>
      </w:tr>
    </w:tbl>
    <w:p>
      <w:pPr>
        <w:spacing w:line="590" w:lineRule="exact"/>
        <w:outlineLvl w:val="0"/>
        <w:rPr>
          <w:rFonts w:hint="eastAsia" w:ascii="仿宋" w:hAnsi="仿宋" w:eastAsia="仿宋" w:cs="仿宋"/>
          <w:b/>
          <w:sz w:val="24"/>
          <w:szCs w:val="24"/>
        </w:rPr>
      </w:pPr>
    </w:p>
    <w:p>
      <w:pPr>
        <w:spacing w:line="590" w:lineRule="exact"/>
        <w:jc w:val="center"/>
        <w:outlineLvl w:val="0"/>
        <w:rPr>
          <w:rFonts w:hint="eastAsia" w:ascii="仿宋" w:hAnsi="仿宋" w:eastAsia="仿宋" w:cs="仿宋"/>
          <w:b/>
          <w:bCs/>
          <w:kern w:val="44"/>
          <w:sz w:val="24"/>
          <w:szCs w:val="24"/>
        </w:rPr>
      </w:pPr>
      <w:r>
        <w:rPr>
          <w:rFonts w:hint="eastAsia" w:ascii="仿宋" w:hAnsi="仿宋" w:eastAsia="仿宋" w:cs="仿宋"/>
          <w:b/>
          <w:sz w:val="24"/>
          <w:szCs w:val="24"/>
        </w:rPr>
        <w:t>其他要求</w:t>
      </w:r>
    </w:p>
    <w:p>
      <w:pPr>
        <w:numPr>
          <w:ilvl w:val="0"/>
          <w:numId w:val="1"/>
        </w:numPr>
        <w:spacing w:line="440" w:lineRule="exact"/>
        <w:ind w:firstLine="480" w:firstLineChars="200"/>
        <w:rPr>
          <w:rFonts w:hint="eastAsia" w:ascii="仿宋" w:hAnsi="仿宋" w:eastAsia="仿宋" w:cs="仿宋"/>
          <w:bCs/>
          <w:color w:val="FF0000"/>
          <w:sz w:val="24"/>
          <w:szCs w:val="24"/>
        </w:rPr>
      </w:pPr>
      <w:r>
        <w:rPr>
          <w:rFonts w:hint="eastAsia" w:ascii="仿宋" w:hAnsi="仿宋" w:eastAsia="仿宋" w:cs="仿宋"/>
          <w:bCs/>
          <w:color w:val="FF0000"/>
          <w:sz w:val="24"/>
          <w:szCs w:val="24"/>
        </w:rPr>
        <w:t>投标商应确保系统与上级公安机关监管部门视频监控平台无缝对接，中标后如不能完成无缝对接，取消其中标资格；</w:t>
      </w:r>
    </w:p>
    <w:p>
      <w:pPr>
        <w:numPr>
          <w:ilvl w:val="0"/>
          <w:numId w:val="1"/>
        </w:numPr>
        <w:spacing w:line="440" w:lineRule="exact"/>
        <w:ind w:firstLine="480" w:firstLineChars="200"/>
        <w:rPr>
          <w:rFonts w:hint="eastAsia" w:ascii="仿宋" w:hAnsi="仿宋" w:eastAsia="仿宋" w:cs="仿宋"/>
          <w:bCs/>
          <w:sz w:val="24"/>
          <w:szCs w:val="24"/>
        </w:rPr>
      </w:pPr>
      <w:r>
        <w:rPr>
          <w:rFonts w:hint="eastAsia" w:ascii="仿宋" w:hAnsi="仿宋" w:eastAsia="仿宋" w:cs="仿宋"/>
          <w:bCs/>
          <w:sz w:val="24"/>
          <w:szCs w:val="24"/>
        </w:rPr>
        <w:t>本采购项目为交钥匙项目，未尽事宜由投标人负责完善方案，不追加费用；</w:t>
      </w:r>
    </w:p>
    <w:p>
      <w:pPr>
        <w:numPr>
          <w:ilvl w:val="0"/>
          <w:numId w:val="1"/>
        </w:numPr>
        <w:spacing w:line="440" w:lineRule="exact"/>
        <w:ind w:firstLine="480" w:firstLineChars="200"/>
        <w:rPr>
          <w:rFonts w:hint="eastAsia" w:ascii="仿宋" w:hAnsi="仿宋" w:eastAsia="仿宋" w:cs="仿宋"/>
          <w:bCs/>
          <w:sz w:val="24"/>
          <w:szCs w:val="24"/>
        </w:rPr>
      </w:pPr>
      <w:r>
        <w:rPr>
          <w:rFonts w:hint="eastAsia" w:ascii="仿宋" w:hAnsi="仿宋" w:eastAsia="仿宋" w:cs="仿宋"/>
          <w:bCs/>
          <w:sz w:val="24"/>
          <w:szCs w:val="24"/>
        </w:rPr>
        <w:t>本采购项目工期60日，自签订施工合同之日起60日内完成施工，每超期1日扣除合同金额的1%；</w:t>
      </w:r>
    </w:p>
    <w:p>
      <w:pPr>
        <w:numPr>
          <w:ilvl w:val="0"/>
          <w:numId w:val="1"/>
        </w:numPr>
        <w:spacing w:line="440" w:lineRule="exact"/>
        <w:ind w:firstLine="480" w:firstLineChars="200"/>
        <w:rPr>
          <w:rFonts w:hint="eastAsia" w:ascii="仿宋" w:hAnsi="仿宋" w:eastAsia="仿宋" w:cs="仿宋"/>
          <w:bCs/>
          <w:sz w:val="24"/>
          <w:szCs w:val="24"/>
        </w:rPr>
      </w:pPr>
      <w:r>
        <w:rPr>
          <w:rFonts w:hint="eastAsia" w:ascii="仿宋" w:hAnsi="仿宋" w:eastAsia="仿宋" w:cs="仿宋"/>
          <w:bCs/>
          <w:sz w:val="24"/>
          <w:szCs w:val="24"/>
        </w:rPr>
        <w:t>本采购项目质保期为3年，质保期内，投标商应确保系统正常运行，系统正常运行维护费用由中标供应商负担，监控前端运行完好率要达到95%以上，</w:t>
      </w:r>
      <w:r>
        <w:rPr>
          <w:rFonts w:hint="eastAsia" w:ascii="仿宋" w:hAnsi="仿宋" w:eastAsia="仿宋" w:cs="仿宋"/>
          <w:kern w:val="0"/>
          <w:sz w:val="24"/>
          <w:szCs w:val="24"/>
        </w:rPr>
        <w:t>前后端设备、线路传输、电源等一概故障均要在24小时内处理完毕，质保期内</w:t>
      </w:r>
      <w:r>
        <w:rPr>
          <w:rFonts w:hint="eastAsia" w:ascii="仿宋" w:hAnsi="仿宋" w:eastAsia="仿宋" w:cs="仿宋"/>
          <w:bCs/>
          <w:sz w:val="24"/>
          <w:szCs w:val="24"/>
        </w:rPr>
        <w:t>免费系统升级；</w:t>
      </w:r>
    </w:p>
    <w:p>
      <w:pPr>
        <w:numPr>
          <w:ilvl w:val="0"/>
          <w:numId w:val="1"/>
        </w:numPr>
        <w:spacing w:line="440" w:lineRule="exact"/>
        <w:ind w:firstLine="480" w:firstLineChars="200"/>
        <w:rPr>
          <w:rFonts w:hint="eastAsia" w:ascii="仿宋" w:hAnsi="仿宋" w:eastAsia="仿宋" w:cs="仿宋"/>
          <w:bCs/>
          <w:sz w:val="24"/>
          <w:szCs w:val="24"/>
        </w:rPr>
      </w:pPr>
      <w:r>
        <w:rPr>
          <w:rFonts w:hint="eastAsia" w:ascii="仿宋" w:hAnsi="仿宋" w:eastAsia="仿宋" w:cs="仿宋"/>
          <w:kern w:val="0"/>
          <w:sz w:val="24"/>
          <w:szCs w:val="24"/>
        </w:rPr>
        <w:t>供应商应确保视频图像监控正常运行和信息安全，同时不得以任何理由和方式将视频图像监控的有关图像、资料和信息向第三方公开，不得将视频图像传输网络（线路）以任何理由和方式接入其他网络。由于维保服务责任单位和相关人员原因发生失密泄密的，公安机关保留追究维保责任单位和个人法律责任的权利。</w:t>
      </w:r>
    </w:p>
    <w:p>
      <w:pPr>
        <w:spacing w:line="440" w:lineRule="exact"/>
        <w:rPr>
          <w:rFonts w:hint="eastAsia" w:ascii="仿宋" w:hAnsi="仿宋" w:eastAsia="仿宋" w:cs="仿宋"/>
          <w:bCs/>
          <w:sz w:val="24"/>
          <w:szCs w:val="24"/>
        </w:rPr>
      </w:pPr>
      <w:r>
        <w:rPr>
          <w:rFonts w:hint="eastAsia" w:ascii="仿宋" w:hAnsi="仿宋" w:eastAsia="仿宋" w:cs="仿宋"/>
          <w:b/>
          <w:sz w:val="24"/>
          <w:szCs w:val="24"/>
        </w:rPr>
        <w:t xml:space="preserve">   </w:t>
      </w:r>
      <w:r>
        <w:rPr>
          <w:rFonts w:hint="eastAsia" w:ascii="仿宋" w:hAnsi="仿宋" w:eastAsia="仿宋" w:cs="仿宋"/>
          <w:bCs/>
          <w:sz w:val="24"/>
          <w:szCs w:val="24"/>
        </w:rPr>
        <w:t xml:space="preserve"> 六、付款方式：系统建设建设完成经验收合格后付90%，剩余10%质保期满后一次性支付。</w:t>
      </w:r>
    </w:p>
    <w:p>
      <w:pPr>
        <w:spacing w:line="440" w:lineRule="exact"/>
        <w:rPr>
          <w:rFonts w:hint="eastAsia" w:ascii="仿宋" w:hAnsi="仿宋" w:eastAsia="仿宋" w:cs="仿宋"/>
          <w:b/>
          <w:sz w:val="24"/>
          <w:szCs w:val="24"/>
        </w:rPr>
      </w:pPr>
    </w:p>
    <w:p>
      <w:pPr>
        <w:spacing w:line="440" w:lineRule="exact"/>
        <w:rPr>
          <w:rFonts w:hint="eastAsia" w:ascii="仿宋" w:hAnsi="仿宋" w:eastAsia="仿宋" w:cs="仿宋"/>
          <w:b/>
          <w:sz w:val="24"/>
          <w:szCs w:val="24"/>
        </w:rPr>
      </w:pPr>
    </w:p>
    <w:p>
      <w:pPr>
        <w:spacing w:line="440" w:lineRule="exact"/>
        <w:rPr>
          <w:rFonts w:hint="eastAsia" w:ascii="仿宋" w:hAnsi="仿宋" w:eastAsia="仿宋" w:cs="仿宋"/>
          <w:b/>
          <w:sz w:val="24"/>
          <w:szCs w:val="24"/>
        </w:rPr>
      </w:pPr>
    </w:p>
    <w:p>
      <w:pPr>
        <w:spacing w:line="440" w:lineRule="exact"/>
        <w:rPr>
          <w:rFonts w:hint="eastAsia" w:ascii="仿宋" w:hAnsi="仿宋" w:eastAsia="仿宋" w:cs="仿宋"/>
          <w:b/>
          <w:sz w:val="24"/>
          <w:szCs w:val="24"/>
        </w:rPr>
      </w:pPr>
    </w:p>
    <w:p>
      <w:pPr>
        <w:spacing w:line="440" w:lineRule="exact"/>
        <w:rPr>
          <w:rFonts w:hint="eastAsia" w:ascii="仿宋" w:hAnsi="仿宋" w:eastAsia="仿宋" w:cs="仿宋"/>
          <w:b/>
          <w:sz w:val="24"/>
          <w:szCs w:val="24"/>
        </w:rPr>
      </w:pPr>
    </w:p>
    <w:p>
      <w:pPr>
        <w:spacing w:line="440" w:lineRule="exact"/>
        <w:rPr>
          <w:rFonts w:hint="eastAsia" w:ascii="仿宋" w:hAnsi="仿宋" w:eastAsia="仿宋" w:cs="仿宋"/>
          <w:b/>
          <w:sz w:val="24"/>
          <w:szCs w:val="24"/>
        </w:rPr>
      </w:pPr>
    </w:p>
    <w:p>
      <w:pPr>
        <w:spacing w:line="440" w:lineRule="exact"/>
        <w:rPr>
          <w:rFonts w:hint="eastAsia" w:ascii="仿宋" w:hAnsi="仿宋" w:eastAsia="仿宋" w:cs="仿宋"/>
          <w:b/>
          <w:sz w:val="24"/>
          <w:szCs w:val="24"/>
        </w:rPr>
      </w:pPr>
    </w:p>
    <w:p>
      <w:pPr>
        <w:spacing w:line="440" w:lineRule="exact"/>
        <w:rPr>
          <w:rFonts w:hint="eastAsia" w:ascii="仿宋" w:hAnsi="仿宋" w:eastAsia="仿宋" w:cs="仿宋"/>
          <w:b/>
          <w:sz w:val="24"/>
          <w:szCs w:val="24"/>
        </w:rPr>
      </w:pPr>
    </w:p>
    <w:p>
      <w:pPr>
        <w:spacing w:line="440" w:lineRule="exact"/>
        <w:rPr>
          <w:rFonts w:hint="eastAsia" w:ascii="仿宋" w:hAnsi="仿宋" w:eastAsia="仿宋" w:cs="仿宋"/>
          <w:b/>
          <w:sz w:val="24"/>
          <w:szCs w:val="24"/>
        </w:rPr>
      </w:pPr>
    </w:p>
    <w:p>
      <w:pPr>
        <w:spacing w:line="440" w:lineRule="exact"/>
        <w:rPr>
          <w:rFonts w:hint="eastAsia" w:ascii="仿宋" w:hAnsi="仿宋" w:eastAsia="仿宋" w:cs="仿宋"/>
          <w:b/>
          <w:sz w:val="24"/>
          <w:szCs w:val="24"/>
        </w:rPr>
      </w:pPr>
    </w:p>
    <w:p>
      <w:pPr>
        <w:spacing w:line="440" w:lineRule="exact"/>
        <w:rPr>
          <w:rFonts w:hint="eastAsia" w:ascii="仿宋" w:hAnsi="仿宋" w:eastAsia="仿宋" w:cs="仿宋"/>
          <w:b/>
          <w:sz w:val="24"/>
          <w:szCs w:val="24"/>
        </w:rPr>
      </w:pPr>
    </w:p>
    <w:p>
      <w:pPr>
        <w:spacing w:line="440" w:lineRule="exact"/>
        <w:rPr>
          <w:rFonts w:hint="eastAsia" w:ascii="仿宋" w:hAnsi="仿宋" w:eastAsia="仿宋" w:cs="仿宋"/>
          <w:b/>
          <w:sz w:val="24"/>
          <w:szCs w:val="24"/>
        </w:rPr>
      </w:pPr>
    </w:p>
    <w:p>
      <w:pPr>
        <w:spacing w:line="360" w:lineRule="auto"/>
        <w:outlineLvl w:val="0"/>
        <w:rPr>
          <w:rFonts w:hint="eastAsia" w:ascii="仿宋" w:hAnsi="仿宋" w:eastAsia="仿宋" w:cs="仿宋"/>
          <w:b/>
          <w:bCs/>
          <w:kern w:val="44"/>
          <w:sz w:val="24"/>
          <w:szCs w:val="24"/>
        </w:rPr>
      </w:pPr>
      <w:bookmarkStart w:id="0" w:name="_Toc9033"/>
    </w:p>
    <w:p>
      <w:pPr>
        <w:spacing w:line="360" w:lineRule="auto"/>
        <w:jc w:val="center"/>
        <w:outlineLvl w:val="0"/>
        <w:rPr>
          <w:rFonts w:hint="eastAsia" w:ascii="仿宋" w:hAnsi="仿宋" w:eastAsia="仿宋" w:cs="仿宋"/>
          <w:b/>
          <w:bCs/>
          <w:kern w:val="44"/>
          <w:sz w:val="24"/>
          <w:szCs w:val="24"/>
        </w:rPr>
      </w:pPr>
    </w:p>
    <w:p>
      <w:pPr>
        <w:spacing w:line="360" w:lineRule="auto"/>
        <w:jc w:val="center"/>
        <w:outlineLvl w:val="0"/>
        <w:rPr>
          <w:rFonts w:hint="eastAsia" w:ascii="仿宋" w:hAnsi="仿宋" w:eastAsia="仿宋" w:cs="仿宋"/>
          <w:b/>
          <w:bCs/>
          <w:kern w:val="44"/>
          <w:sz w:val="24"/>
          <w:szCs w:val="24"/>
        </w:rPr>
      </w:pPr>
    </w:p>
    <w:p>
      <w:pPr>
        <w:spacing w:line="360" w:lineRule="auto"/>
        <w:jc w:val="center"/>
        <w:outlineLvl w:val="0"/>
        <w:rPr>
          <w:rFonts w:hint="eastAsia" w:ascii="仿宋" w:hAnsi="仿宋" w:eastAsia="仿宋" w:cs="仿宋"/>
          <w:b/>
          <w:bCs/>
          <w:kern w:val="44"/>
          <w:sz w:val="24"/>
          <w:szCs w:val="24"/>
        </w:rPr>
      </w:pPr>
    </w:p>
    <w:p>
      <w:pPr>
        <w:spacing w:line="360" w:lineRule="auto"/>
        <w:jc w:val="center"/>
        <w:outlineLvl w:val="0"/>
        <w:rPr>
          <w:rFonts w:hint="eastAsia" w:ascii="仿宋" w:hAnsi="仿宋" w:eastAsia="仿宋" w:cs="仿宋"/>
          <w:b/>
          <w:bCs/>
          <w:kern w:val="44"/>
          <w:sz w:val="24"/>
          <w:szCs w:val="24"/>
        </w:rPr>
      </w:pPr>
      <w:r>
        <w:rPr>
          <w:rFonts w:hint="eastAsia" w:ascii="仿宋" w:hAnsi="仿宋" w:eastAsia="仿宋" w:cs="仿宋"/>
          <w:b/>
          <w:bCs/>
          <w:kern w:val="44"/>
          <w:sz w:val="24"/>
          <w:szCs w:val="24"/>
        </w:rPr>
        <w:t>监控安装位置汇总表</w:t>
      </w:r>
    </w:p>
    <w:tbl>
      <w:tblPr>
        <w:tblStyle w:val="7"/>
        <w:tblW w:w="8931" w:type="dxa"/>
        <w:tblInd w:w="108" w:type="dxa"/>
        <w:tblLayout w:type="fixed"/>
        <w:tblCellMar>
          <w:top w:w="0" w:type="dxa"/>
          <w:left w:w="108" w:type="dxa"/>
          <w:bottom w:w="0" w:type="dxa"/>
          <w:right w:w="108" w:type="dxa"/>
        </w:tblCellMar>
      </w:tblPr>
      <w:tblGrid>
        <w:gridCol w:w="1560"/>
        <w:gridCol w:w="2551"/>
        <w:gridCol w:w="992"/>
        <w:gridCol w:w="3828"/>
      </w:tblGrid>
      <w:tr>
        <w:tblPrEx>
          <w:tblLayout w:type="fixed"/>
          <w:tblCellMar>
            <w:top w:w="0" w:type="dxa"/>
            <w:left w:w="108" w:type="dxa"/>
            <w:bottom w:w="0" w:type="dxa"/>
            <w:right w:w="108" w:type="dxa"/>
          </w:tblCellMar>
        </w:tblPrEx>
        <w:trPr>
          <w:trHeight w:val="270" w:hRule="atLeast"/>
        </w:trPr>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摄像机类型</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安装位置</w:t>
            </w:r>
          </w:p>
        </w:tc>
        <w:tc>
          <w:tcPr>
            <w:tcW w:w="9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数量</w:t>
            </w:r>
          </w:p>
        </w:tc>
        <w:tc>
          <w:tcPr>
            <w:tcW w:w="382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备注</w:t>
            </w:r>
          </w:p>
        </w:tc>
      </w:tr>
      <w:tr>
        <w:tblPrEx>
          <w:tblLayout w:type="fixed"/>
          <w:tblCellMar>
            <w:top w:w="0" w:type="dxa"/>
            <w:left w:w="108" w:type="dxa"/>
            <w:bottom w:w="0" w:type="dxa"/>
            <w:right w:w="108" w:type="dxa"/>
          </w:tblCellMar>
        </w:tblPrEx>
        <w:trPr>
          <w:trHeight w:val="270" w:hRule="atLeast"/>
        </w:trPr>
        <w:tc>
          <w:tcPr>
            <w:tcW w:w="156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300万全景摄像机</w:t>
            </w:r>
          </w:p>
        </w:tc>
        <w:tc>
          <w:tcPr>
            <w:tcW w:w="255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监室</w:t>
            </w:r>
          </w:p>
        </w:tc>
        <w:tc>
          <w:tcPr>
            <w:tcW w:w="99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46</w:t>
            </w:r>
          </w:p>
        </w:tc>
        <w:tc>
          <w:tcPr>
            <w:tcW w:w="382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内置拾音，每个监室一台</w:t>
            </w:r>
          </w:p>
        </w:tc>
      </w:tr>
      <w:tr>
        <w:tblPrEx>
          <w:tblLayout w:type="fixed"/>
          <w:tblCellMar>
            <w:top w:w="0" w:type="dxa"/>
            <w:left w:w="108" w:type="dxa"/>
            <w:bottom w:w="0" w:type="dxa"/>
            <w:right w:w="108" w:type="dxa"/>
          </w:tblCellMar>
        </w:tblPrEx>
        <w:trPr>
          <w:trHeight w:val="270" w:hRule="atLeast"/>
        </w:trPr>
        <w:tc>
          <w:tcPr>
            <w:tcW w:w="1560"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400万像素H.265 POE半球</w:t>
            </w:r>
          </w:p>
        </w:tc>
        <w:tc>
          <w:tcPr>
            <w:tcW w:w="255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风场</w:t>
            </w:r>
          </w:p>
        </w:tc>
        <w:tc>
          <w:tcPr>
            <w:tcW w:w="99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94</w:t>
            </w:r>
          </w:p>
        </w:tc>
        <w:tc>
          <w:tcPr>
            <w:tcW w:w="382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内置拾音</w:t>
            </w:r>
          </w:p>
        </w:tc>
      </w:tr>
      <w:tr>
        <w:tblPrEx>
          <w:tblLayout w:type="fixed"/>
          <w:tblCellMar>
            <w:top w:w="0" w:type="dxa"/>
            <w:left w:w="108" w:type="dxa"/>
            <w:bottom w:w="0" w:type="dxa"/>
            <w:right w:w="108" w:type="dxa"/>
          </w:tblCellMar>
        </w:tblPrEx>
        <w:trPr>
          <w:trHeight w:val="270" w:hRule="atLeast"/>
        </w:trPr>
        <w:tc>
          <w:tcPr>
            <w:tcW w:w="156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p>
        </w:tc>
        <w:tc>
          <w:tcPr>
            <w:tcW w:w="255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禁闭室</w:t>
            </w:r>
          </w:p>
        </w:tc>
        <w:tc>
          <w:tcPr>
            <w:tcW w:w="99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w:t>
            </w:r>
          </w:p>
        </w:tc>
        <w:tc>
          <w:tcPr>
            <w:tcW w:w="382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内置拾音，三个禁闭室加禁闭室走廊</w:t>
            </w:r>
          </w:p>
        </w:tc>
      </w:tr>
      <w:tr>
        <w:tblPrEx>
          <w:tblLayout w:type="fixed"/>
          <w:tblCellMar>
            <w:top w:w="0" w:type="dxa"/>
            <w:left w:w="108" w:type="dxa"/>
            <w:bottom w:w="0" w:type="dxa"/>
            <w:right w:w="108" w:type="dxa"/>
          </w:tblCellMar>
        </w:tblPrEx>
        <w:trPr>
          <w:trHeight w:val="270" w:hRule="atLeast"/>
        </w:trPr>
        <w:tc>
          <w:tcPr>
            <w:tcW w:w="156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p>
        </w:tc>
        <w:tc>
          <w:tcPr>
            <w:tcW w:w="255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管教室</w:t>
            </w:r>
          </w:p>
        </w:tc>
        <w:tc>
          <w:tcPr>
            <w:tcW w:w="99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12</w:t>
            </w:r>
          </w:p>
        </w:tc>
        <w:tc>
          <w:tcPr>
            <w:tcW w:w="382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内置拾音</w:t>
            </w:r>
          </w:p>
        </w:tc>
      </w:tr>
      <w:tr>
        <w:tblPrEx>
          <w:tblLayout w:type="fixed"/>
          <w:tblCellMar>
            <w:top w:w="0" w:type="dxa"/>
            <w:left w:w="108" w:type="dxa"/>
            <w:bottom w:w="0" w:type="dxa"/>
            <w:right w:w="108" w:type="dxa"/>
          </w:tblCellMar>
        </w:tblPrEx>
        <w:trPr>
          <w:trHeight w:val="270" w:hRule="atLeast"/>
        </w:trPr>
        <w:tc>
          <w:tcPr>
            <w:tcW w:w="156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p>
        </w:tc>
        <w:tc>
          <w:tcPr>
            <w:tcW w:w="255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心理咨询室</w:t>
            </w:r>
          </w:p>
        </w:tc>
        <w:tc>
          <w:tcPr>
            <w:tcW w:w="99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w:t>
            </w:r>
          </w:p>
        </w:tc>
        <w:tc>
          <w:tcPr>
            <w:tcW w:w="382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内置拾音</w:t>
            </w:r>
          </w:p>
        </w:tc>
      </w:tr>
      <w:tr>
        <w:tblPrEx>
          <w:tblLayout w:type="fixed"/>
          <w:tblCellMar>
            <w:top w:w="0" w:type="dxa"/>
            <w:left w:w="108" w:type="dxa"/>
            <w:bottom w:w="0" w:type="dxa"/>
            <w:right w:w="108" w:type="dxa"/>
          </w:tblCellMar>
        </w:tblPrEx>
        <w:trPr>
          <w:trHeight w:val="270" w:hRule="atLeast"/>
        </w:trPr>
        <w:tc>
          <w:tcPr>
            <w:tcW w:w="156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p>
        </w:tc>
        <w:tc>
          <w:tcPr>
            <w:tcW w:w="255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医疗室</w:t>
            </w:r>
          </w:p>
        </w:tc>
        <w:tc>
          <w:tcPr>
            <w:tcW w:w="99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w:t>
            </w:r>
          </w:p>
        </w:tc>
        <w:tc>
          <w:tcPr>
            <w:tcW w:w="382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内置拾音</w:t>
            </w:r>
          </w:p>
        </w:tc>
      </w:tr>
      <w:tr>
        <w:tblPrEx>
          <w:tblLayout w:type="fixed"/>
          <w:tblCellMar>
            <w:top w:w="0" w:type="dxa"/>
            <w:left w:w="108" w:type="dxa"/>
            <w:bottom w:w="0" w:type="dxa"/>
            <w:right w:w="108" w:type="dxa"/>
          </w:tblCellMar>
        </w:tblPrEx>
        <w:trPr>
          <w:trHeight w:val="270" w:hRule="atLeast"/>
        </w:trPr>
        <w:tc>
          <w:tcPr>
            <w:tcW w:w="156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p>
        </w:tc>
        <w:tc>
          <w:tcPr>
            <w:tcW w:w="255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家属会见</w:t>
            </w:r>
          </w:p>
        </w:tc>
        <w:tc>
          <w:tcPr>
            <w:tcW w:w="99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w:t>
            </w:r>
          </w:p>
        </w:tc>
        <w:tc>
          <w:tcPr>
            <w:tcW w:w="382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内置拾音</w:t>
            </w:r>
          </w:p>
        </w:tc>
      </w:tr>
      <w:tr>
        <w:tblPrEx>
          <w:tblLayout w:type="fixed"/>
          <w:tblCellMar>
            <w:top w:w="0" w:type="dxa"/>
            <w:left w:w="108" w:type="dxa"/>
            <w:bottom w:w="0" w:type="dxa"/>
            <w:right w:w="108" w:type="dxa"/>
          </w:tblCellMar>
        </w:tblPrEx>
        <w:trPr>
          <w:trHeight w:val="270" w:hRule="atLeast"/>
        </w:trPr>
        <w:tc>
          <w:tcPr>
            <w:tcW w:w="156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p>
        </w:tc>
        <w:tc>
          <w:tcPr>
            <w:tcW w:w="255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律师会见</w:t>
            </w:r>
          </w:p>
        </w:tc>
        <w:tc>
          <w:tcPr>
            <w:tcW w:w="99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w:t>
            </w:r>
          </w:p>
        </w:tc>
        <w:tc>
          <w:tcPr>
            <w:tcW w:w="382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外置拾音，安装高保真拾音器</w:t>
            </w:r>
          </w:p>
        </w:tc>
      </w:tr>
      <w:tr>
        <w:tblPrEx>
          <w:tblLayout w:type="fixed"/>
          <w:tblCellMar>
            <w:top w:w="0" w:type="dxa"/>
            <w:left w:w="108" w:type="dxa"/>
            <w:bottom w:w="0" w:type="dxa"/>
            <w:right w:w="108" w:type="dxa"/>
          </w:tblCellMar>
        </w:tblPrEx>
        <w:trPr>
          <w:trHeight w:val="270" w:hRule="atLeast"/>
        </w:trPr>
        <w:tc>
          <w:tcPr>
            <w:tcW w:w="156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p>
        </w:tc>
        <w:tc>
          <w:tcPr>
            <w:tcW w:w="255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监控室</w:t>
            </w:r>
          </w:p>
        </w:tc>
        <w:tc>
          <w:tcPr>
            <w:tcW w:w="99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382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内置拾音</w:t>
            </w:r>
          </w:p>
        </w:tc>
      </w:tr>
      <w:tr>
        <w:tblPrEx>
          <w:tblLayout w:type="fixed"/>
          <w:tblCellMar>
            <w:top w:w="0" w:type="dxa"/>
            <w:left w:w="108" w:type="dxa"/>
            <w:bottom w:w="0" w:type="dxa"/>
            <w:right w:w="108" w:type="dxa"/>
          </w:tblCellMar>
        </w:tblPrEx>
        <w:trPr>
          <w:trHeight w:val="270" w:hRule="atLeast"/>
        </w:trPr>
        <w:tc>
          <w:tcPr>
            <w:tcW w:w="156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p>
        </w:tc>
        <w:tc>
          <w:tcPr>
            <w:tcW w:w="255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收押大厅</w:t>
            </w:r>
          </w:p>
        </w:tc>
        <w:tc>
          <w:tcPr>
            <w:tcW w:w="99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w:t>
            </w:r>
          </w:p>
        </w:tc>
        <w:tc>
          <w:tcPr>
            <w:tcW w:w="382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内置拾音</w:t>
            </w:r>
          </w:p>
        </w:tc>
      </w:tr>
      <w:tr>
        <w:tblPrEx>
          <w:tblLayout w:type="fixed"/>
          <w:tblCellMar>
            <w:top w:w="0" w:type="dxa"/>
            <w:left w:w="108" w:type="dxa"/>
            <w:bottom w:w="0" w:type="dxa"/>
            <w:right w:w="108" w:type="dxa"/>
          </w:tblCellMar>
        </w:tblPrEx>
        <w:trPr>
          <w:trHeight w:val="270" w:hRule="atLeast"/>
        </w:trPr>
        <w:tc>
          <w:tcPr>
            <w:tcW w:w="156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p>
        </w:tc>
        <w:tc>
          <w:tcPr>
            <w:tcW w:w="255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便民服务大厅</w:t>
            </w:r>
          </w:p>
        </w:tc>
        <w:tc>
          <w:tcPr>
            <w:tcW w:w="99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382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内置拾音</w:t>
            </w:r>
          </w:p>
        </w:tc>
      </w:tr>
      <w:tr>
        <w:tblPrEx>
          <w:tblLayout w:type="fixed"/>
          <w:tblCellMar>
            <w:top w:w="0" w:type="dxa"/>
            <w:left w:w="108" w:type="dxa"/>
            <w:bottom w:w="0" w:type="dxa"/>
            <w:right w:w="108" w:type="dxa"/>
          </w:tblCellMar>
        </w:tblPrEx>
        <w:trPr>
          <w:trHeight w:val="270" w:hRule="atLeast"/>
        </w:trPr>
        <w:tc>
          <w:tcPr>
            <w:tcW w:w="156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p>
        </w:tc>
        <w:tc>
          <w:tcPr>
            <w:tcW w:w="255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存包室</w:t>
            </w:r>
          </w:p>
        </w:tc>
        <w:tc>
          <w:tcPr>
            <w:tcW w:w="99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382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内置拾音</w:t>
            </w:r>
          </w:p>
        </w:tc>
      </w:tr>
      <w:tr>
        <w:tblPrEx>
          <w:tblLayout w:type="fixed"/>
          <w:tblCellMar>
            <w:top w:w="0" w:type="dxa"/>
            <w:left w:w="108" w:type="dxa"/>
            <w:bottom w:w="0" w:type="dxa"/>
            <w:right w:w="108" w:type="dxa"/>
          </w:tblCellMar>
        </w:tblPrEx>
        <w:trPr>
          <w:trHeight w:val="270" w:hRule="atLeast"/>
        </w:trPr>
        <w:tc>
          <w:tcPr>
            <w:tcW w:w="156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p>
        </w:tc>
        <w:tc>
          <w:tcPr>
            <w:tcW w:w="255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提审室</w:t>
            </w:r>
          </w:p>
        </w:tc>
        <w:tc>
          <w:tcPr>
            <w:tcW w:w="99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16</w:t>
            </w:r>
          </w:p>
        </w:tc>
        <w:tc>
          <w:tcPr>
            <w:tcW w:w="382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内置拾音</w:t>
            </w:r>
          </w:p>
        </w:tc>
      </w:tr>
      <w:tr>
        <w:tblPrEx>
          <w:tblLayout w:type="fixed"/>
          <w:tblCellMar>
            <w:top w:w="0" w:type="dxa"/>
            <w:left w:w="108" w:type="dxa"/>
            <w:bottom w:w="0" w:type="dxa"/>
            <w:right w:w="108" w:type="dxa"/>
          </w:tblCellMar>
        </w:tblPrEx>
        <w:trPr>
          <w:trHeight w:val="270" w:hRule="atLeast"/>
        </w:trPr>
        <w:tc>
          <w:tcPr>
            <w:tcW w:w="156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p>
        </w:tc>
        <w:tc>
          <w:tcPr>
            <w:tcW w:w="255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监区电动大门</w:t>
            </w:r>
          </w:p>
        </w:tc>
        <w:tc>
          <w:tcPr>
            <w:tcW w:w="99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w:t>
            </w:r>
          </w:p>
        </w:tc>
        <w:tc>
          <w:tcPr>
            <w:tcW w:w="382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内置拾音</w:t>
            </w:r>
          </w:p>
        </w:tc>
      </w:tr>
      <w:tr>
        <w:tblPrEx>
          <w:tblLayout w:type="fixed"/>
          <w:tblCellMar>
            <w:top w:w="0" w:type="dxa"/>
            <w:left w:w="108" w:type="dxa"/>
            <w:bottom w:w="0" w:type="dxa"/>
            <w:right w:w="108" w:type="dxa"/>
          </w:tblCellMar>
        </w:tblPrEx>
        <w:trPr>
          <w:trHeight w:val="270" w:hRule="atLeast"/>
        </w:trPr>
        <w:tc>
          <w:tcPr>
            <w:tcW w:w="1560"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400万像素枪机</w:t>
            </w:r>
          </w:p>
        </w:tc>
        <w:tc>
          <w:tcPr>
            <w:tcW w:w="255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车行通道B门+提审室门</w:t>
            </w:r>
          </w:p>
        </w:tc>
        <w:tc>
          <w:tcPr>
            <w:tcW w:w="99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382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红外80米</w:t>
            </w:r>
          </w:p>
        </w:tc>
      </w:tr>
      <w:tr>
        <w:tblPrEx>
          <w:tblLayout w:type="fixed"/>
          <w:tblCellMar>
            <w:top w:w="0" w:type="dxa"/>
            <w:left w:w="108" w:type="dxa"/>
            <w:bottom w:w="0" w:type="dxa"/>
            <w:right w:w="108" w:type="dxa"/>
          </w:tblCellMar>
        </w:tblPrEx>
        <w:trPr>
          <w:trHeight w:val="270" w:hRule="atLeast"/>
        </w:trPr>
        <w:tc>
          <w:tcPr>
            <w:tcW w:w="156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p>
        </w:tc>
        <w:tc>
          <w:tcPr>
            <w:tcW w:w="255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车行通道A门到北二层楼南头</w:t>
            </w:r>
          </w:p>
        </w:tc>
        <w:tc>
          <w:tcPr>
            <w:tcW w:w="99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382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红外80米</w:t>
            </w:r>
          </w:p>
        </w:tc>
      </w:tr>
      <w:tr>
        <w:tblPrEx>
          <w:tblLayout w:type="fixed"/>
          <w:tblCellMar>
            <w:top w:w="0" w:type="dxa"/>
            <w:left w:w="108" w:type="dxa"/>
            <w:bottom w:w="0" w:type="dxa"/>
            <w:right w:w="108" w:type="dxa"/>
          </w:tblCellMar>
        </w:tblPrEx>
        <w:trPr>
          <w:trHeight w:val="270" w:hRule="atLeast"/>
        </w:trPr>
        <w:tc>
          <w:tcPr>
            <w:tcW w:w="156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p>
        </w:tc>
        <w:tc>
          <w:tcPr>
            <w:tcW w:w="255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医疗会见室门</w:t>
            </w:r>
          </w:p>
        </w:tc>
        <w:tc>
          <w:tcPr>
            <w:tcW w:w="99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382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红外80米</w:t>
            </w:r>
          </w:p>
        </w:tc>
      </w:tr>
      <w:tr>
        <w:tblPrEx>
          <w:tblLayout w:type="fixed"/>
          <w:tblCellMar>
            <w:top w:w="0" w:type="dxa"/>
            <w:left w:w="108" w:type="dxa"/>
            <w:bottom w:w="0" w:type="dxa"/>
            <w:right w:w="108" w:type="dxa"/>
          </w:tblCellMar>
        </w:tblPrEx>
        <w:trPr>
          <w:trHeight w:val="270" w:hRule="atLeast"/>
        </w:trPr>
        <w:tc>
          <w:tcPr>
            <w:tcW w:w="156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p>
        </w:tc>
        <w:tc>
          <w:tcPr>
            <w:tcW w:w="255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上巡视道</w:t>
            </w:r>
          </w:p>
        </w:tc>
        <w:tc>
          <w:tcPr>
            <w:tcW w:w="99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32</w:t>
            </w:r>
          </w:p>
        </w:tc>
        <w:tc>
          <w:tcPr>
            <w:tcW w:w="382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红外80米</w:t>
            </w:r>
          </w:p>
        </w:tc>
      </w:tr>
      <w:tr>
        <w:tblPrEx>
          <w:tblLayout w:type="fixed"/>
          <w:tblCellMar>
            <w:top w:w="0" w:type="dxa"/>
            <w:left w:w="108" w:type="dxa"/>
            <w:bottom w:w="0" w:type="dxa"/>
            <w:right w:w="108" w:type="dxa"/>
          </w:tblCellMar>
        </w:tblPrEx>
        <w:trPr>
          <w:trHeight w:val="270" w:hRule="atLeast"/>
        </w:trPr>
        <w:tc>
          <w:tcPr>
            <w:tcW w:w="156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p>
        </w:tc>
        <w:tc>
          <w:tcPr>
            <w:tcW w:w="255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下巡视道</w:t>
            </w:r>
          </w:p>
        </w:tc>
        <w:tc>
          <w:tcPr>
            <w:tcW w:w="99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32</w:t>
            </w:r>
          </w:p>
        </w:tc>
        <w:tc>
          <w:tcPr>
            <w:tcW w:w="382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红外80米</w:t>
            </w:r>
          </w:p>
        </w:tc>
      </w:tr>
      <w:tr>
        <w:tblPrEx>
          <w:tblLayout w:type="fixed"/>
          <w:tblCellMar>
            <w:top w:w="0" w:type="dxa"/>
            <w:left w:w="108" w:type="dxa"/>
            <w:bottom w:w="0" w:type="dxa"/>
            <w:right w:w="108" w:type="dxa"/>
          </w:tblCellMar>
        </w:tblPrEx>
        <w:trPr>
          <w:trHeight w:val="270" w:hRule="atLeast"/>
        </w:trPr>
        <w:tc>
          <w:tcPr>
            <w:tcW w:w="156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p>
        </w:tc>
        <w:tc>
          <w:tcPr>
            <w:tcW w:w="255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下巡视道走道</w:t>
            </w:r>
          </w:p>
        </w:tc>
        <w:tc>
          <w:tcPr>
            <w:tcW w:w="99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12</w:t>
            </w:r>
          </w:p>
        </w:tc>
        <w:tc>
          <w:tcPr>
            <w:tcW w:w="382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红外80米</w:t>
            </w:r>
          </w:p>
        </w:tc>
      </w:tr>
      <w:tr>
        <w:tblPrEx>
          <w:tblLayout w:type="fixed"/>
          <w:tblCellMar>
            <w:top w:w="0" w:type="dxa"/>
            <w:left w:w="108" w:type="dxa"/>
            <w:bottom w:w="0" w:type="dxa"/>
            <w:right w:w="108" w:type="dxa"/>
          </w:tblCellMar>
        </w:tblPrEx>
        <w:trPr>
          <w:trHeight w:val="270" w:hRule="atLeast"/>
        </w:trPr>
        <w:tc>
          <w:tcPr>
            <w:tcW w:w="156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p>
        </w:tc>
        <w:tc>
          <w:tcPr>
            <w:tcW w:w="255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上巡视道走道</w:t>
            </w:r>
          </w:p>
        </w:tc>
        <w:tc>
          <w:tcPr>
            <w:tcW w:w="99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12</w:t>
            </w:r>
          </w:p>
        </w:tc>
        <w:tc>
          <w:tcPr>
            <w:tcW w:w="382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红外80米</w:t>
            </w:r>
          </w:p>
        </w:tc>
      </w:tr>
      <w:tr>
        <w:tblPrEx>
          <w:tblLayout w:type="fixed"/>
          <w:tblCellMar>
            <w:top w:w="0" w:type="dxa"/>
            <w:left w:w="108" w:type="dxa"/>
            <w:bottom w:w="0" w:type="dxa"/>
            <w:right w:w="108" w:type="dxa"/>
          </w:tblCellMar>
        </w:tblPrEx>
        <w:trPr>
          <w:trHeight w:val="270" w:hRule="atLeast"/>
        </w:trPr>
        <w:tc>
          <w:tcPr>
            <w:tcW w:w="156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p>
        </w:tc>
        <w:tc>
          <w:tcPr>
            <w:tcW w:w="255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监控室上下走道</w:t>
            </w:r>
          </w:p>
        </w:tc>
        <w:tc>
          <w:tcPr>
            <w:tcW w:w="99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382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红外80米</w:t>
            </w:r>
          </w:p>
        </w:tc>
      </w:tr>
      <w:tr>
        <w:tblPrEx>
          <w:tblLayout w:type="fixed"/>
          <w:tblCellMar>
            <w:top w:w="0" w:type="dxa"/>
            <w:left w:w="108" w:type="dxa"/>
            <w:bottom w:w="0" w:type="dxa"/>
            <w:right w:w="108" w:type="dxa"/>
          </w:tblCellMar>
        </w:tblPrEx>
        <w:trPr>
          <w:trHeight w:val="270" w:hRule="atLeast"/>
        </w:trPr>
        <w:tc>
          <w:tcPr>
            <w:tcW w:w="156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p>
        </w:tc>
        <w:tc>
          <w:tcPr>
            <w:tcW w:w="255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监区院子</w:t>
            </w:r>
          </w:p>
        </w:tc>
        <w:tc>
          <w:tcPr>
            <w:tcW w:w="99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12</w:t>
            </w:r>
          </w:p>
        </w:tc>
        <w:tc>
          <w:tcPr>
            <w:tcW w:w="382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红外80米</w:t>
            </w:r>
          </w:p>
        </w:tc>
      </w:tr>
      <w:tr>
        <w:tblPrEx>
          <w:tblLayout w:type="fixed"/>
          <w:tblCellMar>
            <w:top w:w="0" w:type="dxa"/>
            <w:left w:w="108" w:type="dxa"/>
            <w:bottom w:w="0" w:type="dxa"/>
            <w:right w:w="108" w:type="dxa"/>
          </w:tblCellMar>
        </w:tblPrEx>
        <w:trPr>
          <w:trHeight w:val="270" w:hRule="atLeast"/>
        </w:trPr>
        <w:tc>
          <w:tcPr>
            <w:tcW w:w="156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p>
        </w:tc>
        <w:tc>
          <w:tcPr>
            <w:tcW w:w="255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铁丝网旁走道</w:t>
            </w:r>
          </w:p>
        </w:tc>
        <w:tc>
          <w:tcPr>
            <w:tcW w:w="99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w:t>
            </w:r>
          </w:p>
        </w:tc>
        <w:tc>
          <w:tcPr>
            <w:tcW w:w="382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红外80米</w:t>
            </w:r>
          </w:p>
        </w:tc>
      </w:tr>
      <w:tr>
        <w:tblPrEx>
          <w:tblLayout w:type="fixed"/>
          <w:tblCellMar>
            <w:top w:w="0" w:type="dxa"/>
            <w:left w:w="108" w:type="dxa"/>
            <w:bottom w:w="0" w:type="dxa"/>
            <w:right w:w="108" w:type="dxa"/>
          </w:tblCellMar>
        </w:tblPrEx>
        <w:trPr>
          <w:trHeight w:val="270" w:hRule="atLeast"/>
        </w:trPr>
        <w:tc>
          <w:tcPr>
            <w:tcW w:w="156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p>
        </w:tc>
        <w:tc>
          <w:tcPr>
            <w:tcW w:w="255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提审走道</w:t>
            </w:r>
          </w:p>
        </w:tc>
        <w:tc>
          <w:tcPr>
            <w:tcW w:w="99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w:t>
            </w:r>
          </w:p>
        </w:tc>
        <w:tc>
          <w:tcPr>
            <w:tcW w:w="382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红外80米</w:t>
            </w:r>
          </w:p>
        </w:tc>
      </w:tr>
      <w:tr>
        <w:tblPrEx>
          <w:tblLayout w:type="fixed"/>
          <w:tblCellMar>
            <w:top w:w="0" w:type="dxa"/>
            <w:left w:w="108" w:type="dxa"/>
            <w:bottom w:w="0" w:type="dxa"/>
            <w:right w:w="108" w:type="dxa"/>
          </w:tblCellMar>
        </w:tblPrEx>
        <w:trPr>
          <w:trHeight w:val="270" w:hRule="atLeast"/>
        </w:trPr>
        <w:tc>
          <w:tcPr>
            <w:tcW w:w="156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p>
        </w:tc>
        <w:tc>
          <w:tcPr>
            <w:tcW w:w="255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医疗走道</w:t>
            </w:r>
          </w:p>
        </w:tc>
        <w:tc>
          <w:tcPr>
            <w:tcW w:w="99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w:t>
            </w:r>
          </w:p>
        </w:tc>
        <w:tc>
          <w:tcPr>
            <w:tcW w:w="382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红外80米</w:t>
            </w:r>
          </w:p>
        </w:tc>
      </w:tr>
      <w:tr>
        <w:tblPrEx>
          <w:tblLayout w:type="fixed"/>
          <w:tblCellMar>
            <w:top w:w="0" w:type="dxa"/>
            <w:left w:w="108" w:type="dxa"/>
            <w:bottom w:w="0" w:type="dxa"/>
            <w:right w:w="108" w:type="dxa"/>
          </w:tblCellMar>
        </w:tblPrEx>
        <w:trPr>
          <w:trHeight w:val="270" w:hRule="atLeast"/>
        </w:trPr>
        <w:tc>
          <w:tcPr>
            <w:tcW w:w="156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p>
        </w:tc>
        <w:tc>
          <w:tcPr>
            <w:tcW w:w="255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收押大厅及电动A门</w:t>
            </w:r>
          </w:p>
        </w:tc>
        <w:tc>
          <w:tcPr>
            <w:tcW w:w="99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382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红外80米</w:t>
            </w:r>
          </w:p>
        </w:tc>
      </w:tr>
      <w:tr>
        <w:tblPrEx>
          <w:tblLayout w:type="fixed"/>
          <w:tblCellMar>
            <w:top w:w="0" w:type="dxa"/>
            <w:left w:w="108" w:type="dxa"/>
            <w:bottom w:w="0" w:type="dxa"/>
            <w:right w:w="108" w:type="dxa"/>
          </w:tblCellMar>
        </w:tblPrEx>
        <w:trPr>
          <w:trHeight w:val="270" w:hRule="atLeast"/>
        </w:trPr>
        <w:tc>
          <w:tcPr>
            <w:tcW w:w="156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p>
        </w:tc>
        <w:tc>
          <w:tcPr>
            <w:tcW w:w="255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律师会见及家属会见门口</w:t>
            </w:r>
          </w:p>
        </w:tc>
        <w:tc>
          <w:tcPr>
            <w:tcW w:w="99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382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红外80米</w:t>
            </w:r>
          </w:p>
        </w:tc>
      </w:tr>
      <w:tr>
        <w:tblPrEx>
          <w:tblLayout w:type="fixed"/>
          <w:tblCellMar>
            <w:top w:w="0" w:type="dxa"/>
            <w:left w:w="108" w:type="dxa"/>
            <w:bottom w:w="0" w:type="dxa"/>
            <w:right w:w="108" w:type="dxa"/>
          </w:tblCellMar>
        </w:tblPrEx>
        <w:trPr>
          <w:trHeight w:val="270" w:hRule="atLeast"/>
        </w:trPr>
        <w:tc>
          <w:tcPr>
            <w:tcW w:w="156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p>
        </w:tc>
        <w:tc>
          <w:tcPr>
            <w:tcW w:w="255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存包室门口与东大门内</w:t>
            </w:r>
          </w:p>
        </w:tc>
        <w:tc>
          <w:tcPr>
            <w:tcW w:w="99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382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红外80米</w:t>
            </w:r>
          </w:p>
        </w:tc>
      </w:tr>
      <w:tr>
        <w:tblPrEx>
          <w:tblLayout w:type="fixed"/>
          <w:tblCellMar>
            <w:top w:w="0" w:type="dxa"/>
            <w:left w:w="108" w:type="dxa"/>
            <w:bottom w:w="0" w:type="dxa"/>
            <w:right w:w="108" w:type="dxa"/>
          </w:tblCellMar>
        </w:tblPrEx>
        <w:trPr>
          <w:trHeight w:val="270" w:hRule="atLeast"/>
        </w:trPr>
        <w:tc>
          <w:tcPr>
            <w:tcW w:w="156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p>
        </w:tc>
        <w:tc>
          <w:tcPr>
            <w:tcW w:w="255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便民服务门口与大门</w:t>
            </w:r>
          </w:p>
        </w:tc>
        <w:tc>
          <w:tcPr>
            <w:tcW w:w="99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382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红外80米</w:t>
            </w:r>
          </w:p>
        </w:tc>
      </w:tr>
      <w:tr>
        <w:tblPrEx>
          <w:tblLayout w:type="fixed"/>
          <w:tblCellMar>
            <w:top w:w="0" w:type="dxa"/>
            <w:left w:w="108" w:type="dxa"/>
            <w:bottom w:w="0" w:type="dxa"/>
            <w:right w:w="108" w:type="dxa"/>
          </w:tblCellMar>
        </w:tblPrEx>
        <w:trPr>
          <w:trHeight w:val="270" w:hRule="atLeast"/>
        </w:trPr>
        <w:tc>
          <w:tcPr>
            <w:tcW w:w="156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p>
        </w:tc>
        <w:tc>
          <w:tcPr>
            <w:tcW w:w="255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存包室外门与东大门外</w:t>
            </w:r>
          </w:p>
        </w:tc>
        <w:tc>
          <w:tcPr>
            <w:tcW w:w="99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w:t>
            </w:r>
          </w:p>
        </w:tc>
        <w:tc>
          <w:tcPr>
            <w:tcW w:w="382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红外80米</w:t>
            </w:r>
          </w:p>
        </w:tc>
      </w:tr>
      <w:tr>
        <w:tblPrEx>
          <w:tblLayout w:type="fixed"/>
          <w:tblCellMar>
            <w:top w:w="0" w:type="dxa"/>
            <w:left w:w="108" w:type="dxa"/>
            <w:bottom w:w="0" w:type="dxa"/>
            <w:right w:w="108" w:type="dxa"/>
          </w:tblCellMar>
        </w:tblPrEx>
        <w:trPr>
          <w:trHeight w:val="270" w:hRule="atLeast"/>
        </w:trPr>
        <w:tc>
          <w:tcPr>
            <w:tcW w:w="156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p>
        </w:tc>
        <w:tc>
          <w:tcPr>
            <w:tcW w:w="255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看守所大门口</w:t>
            </w:r>
          </w:p>
        </w:tc>
        <w:tc>
          <w:tcPr>
            <w:tcW w:w="99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382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红外80米</w:t>
            </w:r>
          </w:p>
        </w:tc>
      </w:tr>
      <w:tr>
        <w:tblPrEx>
          <w:tblLayout w:type="fixed"/>
          <w:tblCellMar>
            <w:top w:w="0" w:type="dxa"/>
            <w:left w:w="108" w:type="dxa"/>
            <w:bottom w:w="0" w:type="dxa"/>
            <w:right w:w="108" w:type="dxa"/>
          </w:tblCellMar>
        </w:tblPrEx>
        <w:trPr>
          <w:trHeight w:val="270" w:hRule="atLeast"/>
        </w:trPr>
        <w:tc>
          <w:tcPr>
            <w:tcW w:w="8931"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合计：310</w:t>
            </w:r>
          </w:p>
        </w:tc>
      </w:tr>
    </w:tbl>
    <w:p>
      <w:pPr>
        <w:spacing w:line="360" w:lineRule="auto"/>
        <w:outlineLvl w:val="0"/>
        <w:rPr>
          <w:rFonts w:hint="eastAsia" w:ascii="仿宋" w:hAnsi="仿宋" w:eastAsia="仿宋" w:cs="仿宋"/>
          <w:b/>
          <w:bCs/>
          <w:kern w:val="44"/>
          <w:sz w:val="24"/>
          <w:szCs w:val="24"/>
        </w:rPr>
      </w:pPr>
    </w:p>
    <w:p>
      <w:pPr>
        <w:spacing w:line="360" w:lineRule="auto"/>
        <w:outlineLvl w:val="0"/>
        <w:rPr>
          <w:rFonts w:hint="eastAsia" w:ascii="仿宋" w:hAnsi="仿宋" w:eastAsia="仿宋" w:cs="仿宋"/>
          <w:b/>
          <w:bCs/>
          <w:kern w:val="44"/>
          <w:sz w:val="24"/>
          <w:szCs w:val="24"/>
        </w:rPr>
      </w:pPr>
    </w:p>
    <w:bookmarkEnd w:id="0"/>
    <w:p>
      <w:pPr>
        <w:spacing w:line="360" w:lineRule="auto"/>
        <w:ind w:firstLine="4320" w:firstLineChars="1800"/>
        <w:rPr>
          <w:rFonts w:hint="eastAsia" w:ascii="仿宋" w:hAnsi="仿宋" w:eastAsia="仿宋" w:cs="仿宋"/>
          <w:sz w:val="24"/>
          <w:szCs w:val="24"/>
          <w:lang w:eastAsia="zh-CN"/>
        </w:rPr>
      </w:pPr>
      <w:r>
        <w:rPr>
          <w:rFonts w:hint="eastAsia" w:ascii="仿宋" w:hAnsi="仿宋" w:eastAsia="仿宋" w:cs="仿宋"/>
          <w:sz w:val="24"/>
          <w:szCs w:val="24"/>
          <w:lang w:eastAsia="zh-CN"/>
        </w:rPr>
        <w:t>评分标准</w:t>
      </w:r>
    </w:p>
    <w:tbl>
      <w:tblPr>
        <w:tblStyle w:val="7"/>
        <w:tblW w:w="9573" w:type="dxa"/>
        <w:tblInd w:w="1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900"/>
        <w:gridCol w:w="1019"/>
        <w:gridCol w:w="1559"/>
        <w:gridCol w:w="6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636" w:hRule="atLeast"/>
        </w:trPr>
        <w:tc>
          <w:tcPr>
            <w:tcW w:w="900" w:type="dxa"/>
            <w:vAlign w:val="center"/>
          </w:tcPr>
          <w:p>
            <w:pPr>
              <w:keepNext w:val="0"/>
              <w:keepLines w:val="0"/>
              <w:suppressLineNumbers w:val="0"/>
              <w:spacing w:before="0" w:beforeAutospacing="0" w:after="0" w:afterAutospacing="0" w:line="360" w:lineRule="auto"/>
              <w:ind w:left="0" w:right="0"/>
              <w:rPr>
                <w:rFonts w:hint="eastAsia" w:ascii="仿宋" w:hAnsi="仿宋" w:eastAsia="仿宋" w:cs="仿宋"/>
                <w:sz w:val="24"/>
                <w:szCs w:val="24"/>
              </w:rPr>
            </w:pPr>
            <w:r>
              <w:rPr>
                <w:rFonts w:hint="eastAsia" w:ascii="仿宋" w:hAnsi="仿宋" w:eastAsia="仿宋" w:cs="仿宋"/>
                <w:sz w:val="24"/>
                <w:szCs w:val="24"/>
              </w:rPr>
              <w:t>序号</w:t>
            </w:r>
          </w:p>
        </w:tc>
        <w:tc>
          <w:tcPr>
            <w:tcW w:w="2578" w:type="dxa"/>
            <w:gridSpan w:val="2"/>
            <w:vAlign w:val="center"/>
          </w:tcPr>
          <w:p>
            <w:pPr>
              <w:keepNext w:val="0"/>
              <w:keepLines w:val="0"/>
              <w:suppressLineNumbers w:val="0"/>
              <w:spacing w:before="0" w:beforeAutospacing="0" w:after="0" w:afterAutospacing="0" w:line="360" w:lineRule="auto"/>
              <w:ind w:left="0" w:right="0"/>
              <w:jc w:val="center"/>
              <w:rPr>
                <w:rFonts w:hint="eastAsia" w:ascii="仿宋" w:hAnsi="仿宋" w:eastAsia="仿宋" w:cs="仿宋"/>
                <w:sz w:val="24"/>
                <w:szCs w:val="24"/>
              </w:rPr>
            </w:pPr>
            <w:r>
              <w:rPr>
                <w:rFonts w:hint="eastAsia" w:ascii="仿宋" w:hAnsi="仿宋" w:eastAsia="仿宋" w:cs="仿宋"/>
                <w:b/>
                <w:sz w:val="24"/>
                <w:szCs w:val="24"/>
              </w:rPr>
              <w:t>评审内容</w:t>
            </w:r>
          </w:p>
        </w:tc>
        <w:tc>
          <w:tcPr>
            <w:tcW w:w="6095" w:type="dxa"/>
            <w:vAlign w:val="center"/>
          </w:tcPr>
          <w:p>
            <w:pPr>
              <w:keepNext w:val="0"/>
              <w:keepLines w:val="0"/>
              <w:suppressLineNumbers w:val="0"/>
              <w:spacing w:before="0" w:beforeAutospacing="0" w:after="0" w:afterAutospacing="0" w:line="360" w:lineRule="auto"/>
              <w:ind w:left="0" w:right="0"/>
              <w:jc w:val="center"/>
              <w:rPr>
                <w:rFonts w:hint="eastAsia" w:ascii="仿宋" w:hAnsi="仿宋" w:eastAsia="仿宋" w:cs="仿宋"/>
                <w:sz w:val="24"/>
                <w:szCs w:val="24"/>
              </w:rPr>
            </w:pPr>
            <w:r>
              <w:rPr>
                <w:rFonts w:hint="eastAsia" w:ascii="仿宋" w:hAnsi="仿宋" w:eastAsia="仿宋" w:cs="仿宋"/>
                <w:b/>
                <w:sz w:val="24"/>
                <w:szCs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758" w:hRule="atLeast"/>
        </w:trPr>
        <w:tc>
          <w:tcPr>
            <w:tcW w:w="900" w:type="dxa"/>
            <w:vAlign w:val="center"/>
          </w:tcPr>
          <w:p>
            <w:pPr>
              <w:keepNext w:val="0"/>
              <w:keepLines w:val="0"/>
              <w:suppressLineNumbers w:val="0"/>
              <w:spacing w:before="0" w:beforeAutospacing="0" w:after="0" w:afterAutospacing="0" w:line="360" w:lineRule="auto"/>
              <w:ind w:left="0" w:right="0"/>
              <w:rPr>
                <w:rFonts w:hint="eastAsia" w:ascii="仿宋" w:hAnsi="仿宋" w:eastAsia="仿宋" w:cs="仿宋"/>
                <w:sz w:val="24"/>
                <w:szCs w:val="24"/>
              </w:rPr>
            </w:pPr>
            <w:r>
              <w:rPr>
                <w:rFonts w:hint="eastAsia" w:ascii="仿宋" w:hAnsi="仿宋" w:eastAsia="仿宋" w:cs="仿宋"/>
                <w:sz w:val="24"/>
                <w:szCs w:val="24"/>
              </w:rPr>
              <w:t>3.5.1</w:t>
            </w:r>
          </w:p>
        </w:tc>
        <w:tc>
          <w:tcPr>
            <w:tcW w:w="2578" w:type="dxa"/>
            <w:gridSpan w:val="2"/>
            <w:vAlign w:val="center"/>
          </w:tcPr>
          <w:p>
            <w:pPr>
              <w:keepNext w:val="0"/>
              <w:keepLines w:val="0"/>
              <w:suppressLineNumbers w:val="0"/>
              <w:spacing w:before="0" w:beforeAutospacing="0" w:after="0" w:afterAutospacing="0" w:line="360" w:lineRule="auto"/>
              <w:ind w:left="0" w:right="0"/>
              <w:rPr>
                <w:rFonts w:hint="eastAsia" w:ascii="仿宋" w:hAnsi="仿宋" w:eastAsia="仿宋" w:cs="仿宋"/>
                <w:sz w:val="24"/>
                <w:szCs w:val="24"/>
              </w:rPr>
            </w:pPr>
            <w:r>
              <w:rPr>
                <w:rFonts w:hint="eastAsia" w:ascii="仿宋" w:hAnsi="仿宋" w:eastAsia="仿宋" w:cs="仿宋"/>
                <w:sz w:val="24"/>
                <w:szCs w:val="24"/>
              </w:rPr>
              <w:t xml:space="preserve">          分值组成</w:t>
            </w:r>
          </w:p>
          <w:p>
            <w:pPr>
              <w:keepNext w:val="0"/>
              <w:keepLines w:val="0"/>
              <w:suppressLineNumbers w:val="0"/>
              <w:spacing w:before="0" w:beforeAutospacing="0" w:after="0" w:afterAutospacing="0" w:line="360" w:lineRule="auto"/>
              <w:ind w:left="0" w:right="0"/>
              <w:rPr>
                <w:rFonts w:hint="eastAsia" w:ascii="仿宋" w:hAnsi="仿宋" w:eastAsia="仿宋" w:cs="仿宋"/>
                <w:sz w:val="24"/>
                <w:szCs w:val="24"/>
              </w:rPr>
            </w:pPr>
            <w:r>
              <w:rPr>
                <w:rFonts w:hint="eastAsia" w:ascii="仿宋" w:hAnsi="仿宋" w:eastAsia="仿宋" w:cs="仿宋"/>
                <w:sz w:val="24"/>
                <w:szCs w:val="24"/>
              </w:rPr>
              <w:t xml:space="preserve">       （总分100分）</w:t>
            </w:r>
          </w:p>
        </w:tc>
        <w:tc>
          <w:tcPr>
            <w:tcW w:w="6095" w:type="dxa"/>
            <w:vAlign w:val="bottom"/>
          </w:tcPr>
          <w:p>
            <w:pPr>
              <w:keepNext w:val="0"/>
              <w:keepLines w:val="0"/>
              <w:suppressLineNumbers w:val="0"/>
              <w:spacing w:before="0" w:beforeAutospacing="0" w:after="0" w:afterAutospacing="0" w:line="360" w:lineRule="auto"/>
              <w:ind w:left="0" w:right="0"/>
              <w:rPr>
                <w:rFonts w:hint="eastAsia" w:ascii="仿宋" w:hAnsi="仿宋" w:eastAsia="仿宋" w:cs="仿宋"/>
                <w:sz w:val="24"/>
                <w:szCs w:val="24"/>
              </w:rPr>
            </w:pPr>
            <w:r>
              <w:rPr>
                <w:rFonts w:hint="eastAsia" w:ascii="仿宋" w:hAnsi="仿宋" w:eastAsia="仿宋" w:cs="仿宋"/>
                <w:sz w:val="24"/>
                <w:szCs w:val="24"/>
              </w:rPr>
              <w:t>报价得分：50分</w:t>
            </w:r>
          </w:p>
          <w:p>
            <w:pPr>
              <w:keepNext w:val="0"/>
              <w:keepLines w:val="0"/>
              <w:suppressLineNumbers w:val="0"/>
              <w:spacing w:before="0" w:beforeAutospacing="0" w:after="0" w:afterAutospacing="0" w:line="360" w:lineRule="auto"/>
              <w:ind w:left="0" w:right="0"/>
              <w:rPr>
                <w:rFonts w:hint="eastAsia" w:ascii="仿宋" w:hAnsi="仿宋" w:eastAsia="仿宋" w:cs="仿宋"/>
                <w:sz w:val="24"/>
                <w:szCs w:val="24"/>
              </w:rPr>
            </w:pPr>
            <w:r>
              <w:rPr>
                <w:rFonts w:hint="eastAsia" w:ascii="仿宋" w:hAnsi="仿宋" w:eastAsia="仿宋" w:cs="仿宋"/>
                <w:sz w:val="24"/>
                <w:szCs w:val="24"/>
              </w:rPr>
              <w:t>商务技术评分：50分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843" w:hRule="atLeast"/>
        </w:trPr>
        <w:tc>
          <w:tcPr>
            <w:tcW w:w="900" w:type="dxa"/>
            <w:vAlign w:val="center"/>
          </w:tcPr>
          <w:p>
            <w:pPr>
              <w:keepNext w:val="0"/>
              <w:keepLines w:val="0"/>
              <w:suppressLineNumbers w:val="0"/>
              <w:spacing w:before="0" w:beforeAutospacing="0" w:after="0" w:afterAutospacing="0" w:line="360" w:lineRule="auto"/>
              <w:ind w:left="0" w:right="0"/>
              <w:rPr>
                <w:rFonts w:hint="eastAsia" w:ascii="仿宋" w:hAnsi="仿宋" w:eastAsia="仿宋" w:cs="仿宋"/>
                <w:sz w:val="24"/>
                <w:szCs w:val="24"/>
              </w:rPr>
            </w:pPr>
            <w:r>
              <w:rPr>
                <w:rFonts w:hint="eastAsia" w:ascii="仿宋" w:hAnsi="仿宋" w:eastAsia="仿宋" w:cs="仿宋"/>
                <w:sz w:val="24"/>
                <w:szCs w:val="24"/>
              </w:rPr>
              <w:t>3.5.2</w:t>
            </w:r>
          </w:p>
        </w:tc>
        <w:tc>
          <w:tcPr>
            <w:tcW w:w="2578" w:type="dxa"/>
            <w:gridSpan w:val="2"/>
            <w:vAlign w:val="center"/>
          </w:tcPr>
          <w:p>
            <w:pPr>
              <w:keepNext w:val="0"/>
              <w:keepLines w:val="0"/>
              <w:suppressLineNumbers w:val="0"/>
              <w:spacing w:before="0" w:beforeAutospacing="0" w:after="0" w:afterAutospacing="0" w:line="360" w:lineRule="auto"/>
              <w:ind w:left="0" w:right="0"/>
              <w:rPr>
                <w:rFonts w:hint="eastAsia" w:ascii="仿宋" w:hAnsi="仿宋" w:eastAsia="仿宋" w:cs="仿宋"/>
                <w:sz w:val="24"/>
                <w:szCs w:val="24"/>
              </w:rPr>
            </w:pPr>
            <w:r>
              <w:rPr>
                <w:rFonts w:hint="eastAsia" w:ascii="仿宋" w:hAnsi="仿宋" w:eastAsia="仿宋" w:cs="仿宋"/>
                <w:sz w:val="24"/>
                <w:szCs w:val="24"/>
              </w:rPr>
              <w:t>评标基准价</w:t>
            </w:r>
          </w:p>
        </w:tc>
        <w:tc>
          <w:tcPr>
            <w:tcW w:w="6095" w:type="dxa"/>
            <w:vAlign w:val="center"/>
          </w:tcPr>
          <w:p>
            <w:pPr>
              <w:keepNext w:val="0"/>
              <w:keepLines w:val="0"/>
              <w:suppressLineNumbers w:val="0"/>
              <w:spacing w:before="0" w:beforeAutospacing="0" w:after="0" w:afterAutospacing="0" w:line="360" w:lineRule="auto"/>
              <w:ind w:left="0" w:right="0" w:firstLine="72" w:firstLineChars="30"/>
              <w:jc w:val="left"/>
              <w:rPr>
                <w:rFonts w:hint="eastAsia" w:ascii="仿宋" w:hAnsi="仿宋" w:eastAsia="仿宋" w:cs="仿宋"/>
                <w:color w:val="FF0000"/>
                <w:sz w:val="24"/>
                <w:szCs w:val="24"/>
              </w:rPr>
            </w:pPr>
            <w:r>
              <w:rPr>
                <w:rFonts w:hint="eastAsia" w:ascii="仿宋" w:hAnsi="仿宋" w:eastAsia="仿宋" w:cs="仿宋"/>
                <w:sz w:val="24"/>
                <w:szCs w:val="24"/>
              </w:rPr>
              <w:t>评标基准价指满足招标文件要求且投标价格最低的投标报价为评标基准价。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3412" w:hRule="atLeast"/>
        </w:trPr>
        <w:tc>
          <w:tcPr>
            <w:tcW w:w="900" w:type="dxa"/>
            <w:vAlign w:val="center"/>
          </w:tcPr>
          <w:p>
            <w:pPr>
              <w:keepNext w:val="0"/>
              <w:keepLines w:val="0"/>
              <w:suppressLineNumbers w:val="0"/>
              <w:spacing w:before="0" w:beforeAutospacing="0" w:after="0" w:afterAutospacing="0" w:line="360" w:lineRule="auto"/>
              <w:ind w:left="0" w:right="0"/>
              <w:rPr>
                <w:rFonts w:hint="eastAsia" w:ascii="仿宋" w:hAnsi="仿宋" w:eastAsia="仿宋" w:cs="仿宋"/>
                <w:sz w:val="24"/>
                <w:szCs w:val="24"/>
              </w:rPr>
            </w:pPr>
            <w:r>
              <w:rPr>
                <w:rFonts w:hint="eastAsia" w:ascii="仿宋" w:hAnsi="仿宋" w:eastAsia="仿宋" w:cs="仿宋"/>
                <w:sz w:val="24"/>
                <w:szCs w:val="24"/>
              </w:rPr>
              <w:t>3.5.3</w:t>
            </w:r>
          </w:p>
        </w:tc>
        <w:tc>
          <w:tcPr>
            <w:tcW w:w="2578" w:type="dxa"/>
            <w:gridSpan w:val="2"/>
            <w:vAlign w:val="center"/>
          </w:tcPr>
          <w:p>
            <w:pPr>
              <w:keepNext w:val="0"/>
              <w:keepLines w:val="0"/>
              <w:suppressLineNumbers w:val="0"/>
              <w:spacing w:before="0" w:beforeAutospacing="0" w:after="0" w:afterAutospacing="0" w:line="360" w:lineRule="auto"/>
              <w:ind w:left="0" w:right="0" w:firstLine="480" w:firstLineChars="200"/>
              <w:rPr>
                <w:rFonts w:hint="eastAsia" w:ascii="仿宋" w:hAnsi="仿宋" w:eastAsia="仿宋" w:cs="仿宋"/>
                <w:sz w:val="24"/>
                <w:szCs w:val="24"/>
              </w:rPr>
            </w:pPr>
            <w:r>
              <w:rPr>
                <w:rFonts w:hint="eastAsia" w:ascii="仿宋" w:hAnsi="仿宋" w:eastAsia="仿宋" w:cs="仿宋"/>
                <w:sz w:val="24"/>
                <w:szCs w:val="24"/>
              </w:rPr>
              <w:t>投标报价得分</w:t>
            </w:r>
          </w:p>
          <w:p>
            <w:pPr>
              <w:keepNext w:val="0"/>
              <w:keepLines w:val="0"/>
              <w:suppressLineNumbers w:val="0"/>
              <w:spacing w:before="0" w:beforeAutospacing="0" w:after="0" w:afterAutospacing="0" w:line="360" w:lineRule="auto"/>
              <w:ind w:left="0" w:right="0" w:firstLine="480" w:firstLineChars="200"/>
              <w:rPr>
                <w:rFonts w:hint="eastAsia" w:ascii="仿宋" w:hAnsi="仿宋" w:eastAsia="仿宋" w:cs="仿宋"/>
                <w:sz w:val="24"/>
                <w:szCs w:val="24"/>
              </w:rPr>
            </w:pPr>
            <w:r>
              <w:rPr>
                <w:rFonts w:hint="eastAsia" w:ascii="仿宋" w:hAnsi="仿宋" w:eastAsia="仿宋" w:cs="仿宋"/>
                <w:sz w:val="24"/>
                <w:szCs w:val="24"/>
              </w:rPr>
              <w:t>（50分）</w:t>
            </w:r>
          </w:p>
        </w:tc>
        <w:tc>
          <w:tcPr>
            <w:tcW w:w="6095" w:type="dxa"/>
            <w:vAlign w:val="center"/>
          </w:tcPr>
          <w:p>
            <w:pPr>
              <w:keepNext w:val="0"/>
              <w:keepLines w:val="0"/>
              <w:suppressLineNumbers w:val="0"/>
              <w:spacing w:before="0" w:beforeAutospacing="0" w:after="0" w:afterAutospacing="0" w:line="360" w:lineRule="auto"/>
              <w:ind w:left="0" w:right="0" w:firstLine="480" w:firstLineChars="200"/>
              <w:jc w:val="left"/>
              <w:rPr>
                <w:rFonts w:hint="eastAsia" w:ascii="仿宋" w:hAnsi="仿宋" w:eastAsia="仿宋" w:cs="仿宋"/>
                <w:sz w:val="24"/>
                <w:szCs w:val="24"/>
              </w:rPr>
            </w:pPr>
            <w:r>
              <w:rPr>
                <w:rFonts w:hint="eastAsia" w:ascii="仿宋" w:hAnsi="仿宋" w:eastAsia="仿宋" w:cs="仿宋"/>
                <w:sz w:val="24"/>
                <w:szCs w:val="24"/>
              </w:rPr>
              <w:t>价格得分=（评标基准价/投标报价）×50</w:t>
            </w:r>
          </w:p>
          <w:p>
            <w:pPr>
              <w:keepNext w:val="0"/>
              <w:keepLines w:val="0"/>
              <w:suppressLineNumbers w:val="0"/>
              <w:spacing w:before="0" w:beforeAutospacing="0" w:after="0" w:afterAutospacing="0" w:line="360" w:lineRule="auto"/>
              <w:ind w:left="0" w:right="0"/>
              <w:rPr>
                <w:rFonts w:hint="eastAsia" w:ascii="仿宋" w:hAnsi="仿宋" w:eastAsia="仿宋" w:cs="仿宋"/>
                <w:color w:val="FF0000"/>
                <w:sz w:val="24"/>
                <w:szCs w:val="24"/>
              </w:rPr>
            </w:pPr>
            <w:r>
              <w:rPr>
                <w:rFonts w:hint="eastAsia" w:ascii="仿宋" w:hAnsi="仿宋" w:eastAsia="仿宋" w:cs="仿宋"/>
                <w:sz w:val="24"/>
                <w:szCs w:val="24"/>
              </w:rPr>
              <w:t>《中华人民共和国财政部令第87号》六十条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r>
              <w:rPr>
                <w:rFonts w:hint="eastAsia" w:ascii="仿宋" w:hAnsi="仿宋" w:eastAsia="仿宋" w:cs="仿宋"/>
                <w:color w:val="FF000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784" w:hRule="atLeast"/>
        </w:trPr>
        <w:tc>
          <w:tcPr>
            <w:tcW w:w="900" w:type="dxa"/>
            <w:vMerge w:val="restart"/>
            <w:tcBorders>
              <w:right w:val="single" w:color="auto" w:sz="4" w:space="0"/>
            </w:tcBorders>
            <w:vAlign w:val="center"/>
          </w:tcPr>
          <w:p>
            <w:pPr>
              <w:pStyle w:val="2"/>
              <w:keepNext w:val="0"/>
              <w:keepLines w:val="0"/>
              <w:suppressLineNumbers w:val="0"/>
              <w:spacing w:before="0" w:beforeAutospacing="0" w:after="0" w:afterAutospacing="0" w:line="360" w:lineRule="auto"/>
              <w:ind w:left="0" w:right="0"/>
              <w:jc w:val="center"/>
              <w:rPr>
                <w:rFonts w:hint="eastAsia" w:ascii="仿宋" w:hAnsi="仿宋" w:eastAsia="仿宋" w:cs="仿宋"/>
                <w:sz w:val="24"/>
                <w:szCs w:val="24"/>
              </w:rPr>
            </w:pPr>
            <w:r>
              <w:rPr>
                <w:rFonts w:hint="eastAsia" w:ascii="仿宋" w:hAnsi="仿宋" w:eastAsia="仿宋" w:cs="仿宋"/>
                <w:sz w:val="24"/>
                <w:szCs w:val="24"/>
              </w:rPr>
              <w:t>3.5.4</w:t>
            </w:r>
          </w:p>
        </w:tc>
        <w:tc>
          <w:tcPr>
            <w:tcW w:w="1019" w:type="dxa"/>
            <w:vMerge w:val="restart"/>
            <w:tcBorders>
              <w:left w:val="single" w:color="auto" w:sz="4" w:space="0"/>
              <w:right w:val="single" w:color="auto" w:sz="4" w:space="0"/>
            </w:tcBorders>
            <w:vAlign w:val="center"/>
          </w:tcPr>
          <w:p>
            <w:pPr>
              <w:pStyle w:val="2"/>
              <w:keepNext w:val="0"/>
              <w:keepLines w:val="0"/>
              <w:suppressLineNumbers w:val="0"/>
              <w:spacing w:before="0" w:beforeAutospacing="0" w:after="0" w:afterAutospacing="0" w:line="360" w:lineRule="auto"/>
              <w:ind w:left="0" w:right="0"/>
              <w:jc w:val="center"/>
              <w:rPr>
                <w:rFonts w:hint="eastAsia" w:ascii="仿宋" w:hAnsi="仿宋" w:eastAsia="仿宋" w:cs="仿宋"/>
                <w:sz w:val="24"/>
                <w:szCs w:val="24"/>
              </w:rPr>
            </w:pPr>
            <w:r>
              <w:rPr>
                <w:rFonts w:hint="eastAsia" w:ascii="仿宋" w:hAnsi="仿宋" w:eastAsia="仿宋" w:cs="仿宋"/>
                <w:sz w:val="24"/>
                <w:szCs w:val="24"/>
              </w:rPr>
              <w:t>商</w:t>
            </w:r>
          </w:p>
          <w:p>
            <w:pPr>
              <w:pStyle w:val="2"/>
              <w:keepNext w:val="0"/>
              <w:keepLines w:val="0"/>
              <w:suppressLineNumbers w:val="0"/>
              <w:spacing w:before="0" w:beforeAutospacing="0" w:after="0" w:afterAutospacing="0" w:line="360" w:lineRule="auto"/>
              <w:ind w:left="0" w:right="0"/>
              <w:jc w:val="center"/>
              <w:rPr>
                <w:rFonts w:hint="eastAsia" w:ascii="仿宋" w:hAnsi="仿宋" w:eastAsia="仿宋" w:cs="仿宋"/>
                <w:sz w:val="24"/>
                <w:szCs w:val="24"/>
              </w:rPr>
            </w:pPr>
            <w:r>
              <w:rPr>
                <w:rFonts w:hint="eastAsia" w:ascii="仿宋" w:hAnsi="仿宋" w:eastAsia="仿宋" w:cs="仿宋"/>
                <w:sz w:val="24"/>
                <w:szCs w:val="24"/>
              </w:rPr>
              <w:t>务</w:t>
            </w:r>
          </w:p>
          <w:p>
            <w:pPr>
              <w:pStyle w:val="2"/>
              <w:keepNext w:val="0"/>
              <w:keepLines w:val="0"/>
              <w:suppressLineNumbers w:val="0"/>
              <w:spacing w:before="0" w:beforeAutospacing="0" w:after="0" w:afterAutospacing="0" w:line="360" w:lineRule="auto"/>
              <w:ind w:left="0" w:right="0"/>
              <w:jc w:val="center"/>
              <w:rPr>
                <w:rFonts w:hint="eastAsia" w:ascii="仿宋" w:hAnsi="仿宋" w:eastAsia="仿宋" w:cs="仿宋"/>
                <w:sz w:val="24"/>
                <w:szCs w:val="24"/>
              </w:rPr>
            </w:pPr>
            <w:r>
              <w:rPr>
                <w:rFonts w:hint="eastAsia" w:ascii="仿宋" w:hAnsi="仿宋" w:eastAsia="仿宋" w:cs="仿宋"/>
                <w:sz w:val="24"/>
                <w:szCs w:val="24"/>
              </w:rPr>
              <w:t>部</w:t>
            </w:r>
          </w:p>
          <w:p>
            <w:pPr>
              <w:pStyle w:val="2"/>
              <w:keepNext w:val="0"/>
              <w:keepLines w:val="0"/>
              <w:suppressLineNumbers w:val="0"/>
              <w:spacing w:before="0" w:beforeAutospacing="0" w:after="0" w:afterAutospacing="0" w:line="360" w:lineRule="auto"/>
              <w:ind w:left="0" w:right="0"/>
              <w:jc w:val="center"/>
              <w:rPr>
                <w:rFonts w:hint="eastAsia" w:ascii="仿宋" w:hAnsi="仿宋" w:eastAsia="仿宋" w:cs="仿宋"/>
                <w:sz w:val="24"/>
                <w:szCs w:val="24"/>
              </w:rPr>
            </w:pPr>
            <w:r>
              <w:rPr>
                <w:rFonts w:hint="eastAsia" w:ascii="仿宋" w:hAnsi="仿宋" w:eastAsia="仿宋" w:cs="仿宋"/>
                <w:sz w:val="24"/>
                <w:szCs w:val="24"/>
              </w:rPr>
              <w:t>分</w:t>
            </w:r>
          </w:p>
          <w:p>
            <w:pPr>
              <w:pStyle w:val="2"/>
              <w:keepNext w:val="0"/>
              <w:keepLines w:val="0"/>
              <w:suppressLineNumbers w:val="0"/>
              <w:spacing w:before="0" w:beforeAutospacing="0" w:after="0" w:afterAutospacing="0" w:line="360" w:lineRule="auto"/>
              <w:ind w:left="0" w:right="0"/>
              <w:jc w:val="center"/>
              <w:rPr>
                <w:rFonts w:hint="eastAsia" w:ascii="仿宋" w:hAnsi="仿宋" w:eastAsia="仿宋" w:cs="仿宋"/>
                <w:sz w:val="24"/>
                <w:szCs w:val="24"/>
              </w:rPr>
            </w:pPr>
            <w:r>
              <w:rPr>
                <w:rFonts w:hint="eastAsia" w:ascii="仿宋" w:hAnsi="仿宋" w:eastAsia="仿宋" w:cs="仿宋"/>
                <w:sz w:val="24"/>
                <w:szCs w:val="24"/>
              </w:rPr>
              <w:t>（40分）</w:t>
            </w:r>
          </w:p>
        </w:tc>
        <w:tc>
          <w:tcPr>
            <w:tcW w:w="1559" w:type="dxa"/>
            <w:tcBorders>
              <w:left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eastAsia" w:ascii="仿宋" w:hAnsi="仿宋" w:eastAsia="仿宋" w:cs="仿宋"/>
                <w:color w:val="000000"/>
                <w:sz w:val="24"/>
                <w:szCs w:val="24"/>
              </w:rPr>
            </w:pPr>
            <w:r>
              <w:rPr>
                <w:rFonts w:hint="eastAsia" w:ascii="仿宋" w:hAnsi="仿宋" w:eastAsia="仿宋" w:cs="仿宋"/>
                <w:color w:val="000000"/>
                <w:sz w:val="24"/>
                <w:szCs w:val="24"/>
              </w:rPr>
              <w:t>企业综合实力</w:t>
            </w:r>
          </w:p>
          <w:p>
            <w:pPr>
              <w:keepNext w:val="0"/>
              <w:keepLines w:val="0"/>
              <w:suppressLineNumbers w:val="0"/>
              <w:spacing w:before="0" w:beforeAutospacing="0" w:after="0" w:afterAutospacing="0" w:line="360" w:lineRule="auto"/>
              <w:ind w:left="0" w:right="0" w:firstLine="72" w:firstLineChars="30"/>
              <w:jc w:val="center"/>
              <w:rPr>
                <w:rFonts w:hint="eastAsia" w:ascii="仿宋" w:hAnsi="仿宋" w:eastAsia="仿宋" w:cs="仿宋"/>
                <w:sz w:val="24"/>
                <w:szCs w:val="24"/>
              </w:rPr>
            </w:pPr>
            <w:r>
              <w:rPr>
                <w:rFonts w:hint="eastAsia" w:ascii="仿宋" w:hAnsi="仿宋" w:eastAsia="仿宋" w:cs="仿宋"/>
                <w:color w:val="000000"/>
                <w:sz w:val="24"/>
                <w:szCs w:val="24"/>
              </w:rPr>
              <w:t>及项目班子配备</w:t>
            </w:r>
            <w:r>
              <w:rPr>
                <w:rFonts w:hint="eastAsia" w:ascii="仿宋" w:hAnsi="仿宋" w:eastAsia="仿宋" w:cs="仿宋"/>
                <w:color w:val="000000"/>
                <w:sz w:val="24"/>
                <w:szCs w:val="24"/>
              </w:rPr>
              <w:br w:type="textWrapping"/>
            </w:r>
            <w:r>
              <w:rPr>
                <w:rFonts w:hint="eastAsia" w:ascii="仿宋" w:hAnsi="仿宋" w:eastAsia="仿宋" w:cs="仿宋"/>
                <w:color w:val="000000"/>
                <w:sz w:val="24"/>
                <w:szCs w:val="24"/>
              </w:rPr>
              <w:t>（5分）</w:t>
            </w:r>
          </w:p>
        </w:tc>
        <w:tc>
          <w:tcPr>
            <w:tcW w:w="6095" w:type="dxa"/>
            <w:tcBorders>
              <w:left w:val="single" w:color="auto" w:sz="4" w:space="0"/>
            </w:tcBorders>
            <w:vAlign w:val="center"/>
          </w:tcPr>
          <w:p>
            <w:pPr>
              <w:keepNext w:val="0"/>
              <w:keepLines w:val="0"/>
              <w:suppressLineNumbers w:val="0"/>
              <w:spacing w:before="0" w:beforeAutospacing="0" w:after="0" w:afterAutospacing="0" w:line="360" w:lineRule="auto"/>
              <w:ind w:left="0" w:right="0" w:firstLine="72" w:firstLineChars="30"/>
              <w:jc w:val="left"/>
              <w:rPr>
                <w:rFonts w:hint="eastAsia" w:ascii="仿宋" w:hAnsi="仿宋" w:eastAsia="仿宋" w:cs="仿宋"/>
                <w:kern w:val="0"/>
                <w:sz w:val="24"/>
                <w:szCs w:val="24"/>
              </w:rPr>
            </w:pPr>
            <w:r>
              <w:rPr>
                <w:rFonts w:hint="eastAsia" w:ascii="仿宋" w:hAnsi="仿宋" w:eastAsia="仿宋" w:cs="仿宋"/>
                <w:kern w:val="0"/>
                <w:sz w:val="24"/>
                <w:szCs w:val="24"/>
              </w:rPr>
              <w:t>1、投标人须提供工商企业信用信息公示报告【国家企业信用信息公示系统http://www.gsxt.gov.cn包括基础信息、行政许可信息、行政处罚信息、列入经营异常名录信息、列入严重违法失信企业名单（黑名单）信息】（加盖投标人公章），提供完整且无不良信息者得1分；提供企业所在地税务主管部门出具的纳税情况证明等信用情况（加盖企业所在地税务主管部门公章）的得1分，该项满分2分。</w:t>
            </w:r>
          </w:p>
          <w:p>
            <w:pPr>
              <w:keepNext w:val="0"/>
              <w:keepLines w:val="0"/>
              <w:suppressLineNumbers w:val="0"/>
              <w:spacing w:before="0" w:beforeAutospacing="0" w:after="0" w:afterAutospacing="0" w:line="360" w:lineRule="auto"/>
              <w:ind w:left="0" w:right="0" w:firstLine="72" w:firstLineChars="3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2、投标人具有质量管理体系、信息安全管理体系、信息技术服务管理体系证书的得2分； </w:t>
            </w:r>
          </w:p>
          <w:p>
            <w:pPr>
              <w:keepNext w:val="0"/>
              <w:keepLines w:val="0"/>
              <w:suppressLineNumbers w:val="0"/>
              <w:spacing w:before="0" w:beforeAutospacing="0" w:after="0" w:afterAutospacing="0" w:line="360" w:lineRule="auto"/>
              <w:ind w:left="0" w:right="0" w:firstLine="72" w:firstLineChars="30"/>
              <w:jc w:val="left"/>
              <w:rPr>
                <w:rFonts w:hint="eastAsia" w:ascii="仿宋" w:hAnsi="仿宋" w:eastAsia="仿宋" w:cs="仿宋"/>
                <w:kern w:val="0"/>
                <w:sz w:val="24"/>
                <w:szCs w:val="24"/>
              </w:rPr>
            </w:pPr>
            <w:r>
              <w:rPr>
                <w:rFonts w:hint="eastAsia" w:ascii="仿宋" w:hAnsi="仿宋" w:eastAsia="仿宋" w:cs="仿宋"/>
                <w:color w:val="000000"/>
                <w:kern w:val="0"/>
                <w:sz w:val="24"/>
                <w:szCs w:val="24"/>
              </w:rPr>
              <w:t>3、投标人具有中国信息安全认证中心颁发的信息安全服务资质认证证书三级及以上资质的得1分；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2322" w:hRule="atLeast"/>
        </w:trPr>
        <w:tc>
          <w:tcPr>
            <w:tcW w:w="900" w:type="dxa"/>
            <w:vMerge w:val="continue"/>
            <w:tcBorders>
              <w:right w:val="single" w:color="auto" w:sz="4" w:space="0"/>
            </w:tcBorders>
            <w:vAlign w:val="center"/>
          </w:tcPr>
          <w:p>
            <w:pPr>
              <w:pStyle w:val="2"/>
              <w:keepNext w:val="0"/>
              <w:keepLines w:val="0"/>
              <w:suppressLineNumbers w:val="0"/>
              <w:spacing w:before="0" w:beforeAutospacing="0" w:after="0" w:afterAutospacing="0" w:line="360" w:lineRule="auto"/>
              <w:ind w:left="0" w:right="0"/>
              <w:jc w:val="center"/>
              <w:rPr>
                <w:rFonts w:hint="eastAsia" w:ascii="仿宋" w:hAnsi="仿宋" w:eastAsia="仿宋" w:cs="仿宋"/>
                <w:sz w:val="24"/>
                <w:szCs w:val="24"/>
              </w:rPr>
            </w:pPr>
          </w:p>
        </w:tc>
        <w:tc>
          <w:tcPr>
            <w:tcW w:w="1019" w:type="dxa"/>
            <w:vMerge w:val="continue"/>
            <w:tcBorders>
              <w:left w:val="single" w:color="auto" w:sz="4" w:space="0"/>
              <w:right w:val="single" w:color="auto" w:sz="4" w:space="0"/>
            </w:tcBorders>
            <w:vAlign w:val="center"/>
          </w:tcPr>
          <w:p>
            <w:pPr>
              <w:pStyle w:val="2"/>
              <w:keepNext w:val="0"/>
              <w:keepLines w:val="0"/>
              <w:suppressLineNumbers w:val="0"/>
              <w:spacing w:before="0" w:beforeAutospacing="0" w:after="0" w:afterAutospacing="0" w:line="360" w:lineRule="auto"/>
              <w:ind w:left="0" w:right="0"/>
              <w:jc w:val="center"/>
              <w:rPr>
                <w:rFonts w:hint="eastAsia" w:ascii="仿宋" w:hAnsi="仿宋" w:eastAsia="仿宋" w:cs="仿宋"/>
                <w:sz w:val="24"/>
                <w:szCs w:val="24"/>
              </w:rPr>
            </w:pPr>
          </w:p>
        </w:tc>
        <w:tc>
          <w:tcPr>
            <w:tcW w:w="1559" w:type="dxa"/>
            <w:tcBorders>
              <w:left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rPr>
              <w:t>主要设备、材料的质量和性能</w:t>
            </w:r>
            <w:r>
              <w:rPr>
                <w:rFonts w:hint="eastAsia" w:ascii="仿宋" w:hAnsi="仿宋" w:eastAsia="仿宋" w:cs="仿宋"/>
                <w:sz w:val="24"/>
                <w:szCs w:val="24"/>
              </w:rPr>
              <w:t>（30分）</w:t>
            </w:r>
          </w:p>
        </w:tc>
        <w:tc>
          <w:tcPr>
            <w:tcW w:w="6095" w:type="dxa"/>
            <w:tcBorders>
              <w:left w:val="single" w:color="auto" w:sz="4" w:space="0"/>
            </w:tcBorders>
            <w:vAlign w:val="center"/>
          </w:tcPr>
          <w:p>
            <w:pPr>
              <w:keepNext w:val="0"/>
              <w:keepLines w:val="0"/>
              <w:suppressLineNumbers w:val="0"/>
              <w:spacing w:before="0" w:beforeAutospacing="0" w:after="0" w:afterAutospacing="0" w:line="360" w:lineRule="auto"/>
              <w:ind w:left="0" w:right="0"/>
              <w:rPr>
                <w:rFonts w:hint="eastAsia" w:ascii="仿宋" w:hAnsi="仿宋" w:eastAsia="仿宋" w:cs="仿宋"/>
                <w:sz w:val="24"/>
                <w:szCs w:val="24"/>
              </w:rPr>
            </w:pPr>
            <w:r>
              <w:rPr>
                <w:rFonts w:hint="eastAsia" w:ascii="仿宋" w:hAnsi="仿宋" w:eastAsia="仿宋" w:cs="仿宋"/>
                <w:sz w:val="24"/>
                <w:szCs w:val="24"/>
              </w:rPr>
              <w:t>1、主要设备同一品牌，含摄像机、编解码设备、服务器、监控平台、存储设备为同一品牌，得4分，否则不得分。</w:t>
            </w:r>
          </w:p>
          <w:p>
            <w:pPr>
              <w:keepNext w:val="0"/>
              <w:keepLines w:val="0"/>
              <w:suppressLineNumbers w:val="0"/>
              <w:spacing w:before="0" w:beforeAutospacing="0" w:after="0" w:afterAutospacing="0" w:line="360" w:lineRule="auto"/>
              <w:ind w:left="0" w:right="0"/>
              <w:rPr>
                <w:rFonts w:hint="eastAsia" w:ascii="仿宋" w:hAnsi="仿宋" w:eastAsia="仿宋" w:cs="仿宋"/>
                <w:sz w:val="24"/>
                <w:szCs w:val="24"/>
              </w:rPr>
            </w:pPr>
            <w:r>
              <w:rPr>
                <w:rFonts w:hint="eastAsia" w:ascii="仿宋" w:hAnsi="仿宋" w:eastAsia="仿宋" w:cs="仿宋"/>
                <w:sz w:val="24"/>
                <w:szCs w:val="24"/>
              </w:rPr>
              <w:t>2、主要产品设备制造商应通过ISO9001质量管理体系认证、ISO14001环境管理体系认证、ISO27001信息安全管理体系认证，提供有效的证书复印件并加盖产品制造商公章，全部提供得6分，否则不得分；</w:t>
            </w:r>
          </w:p>
          <w:p>
            <w:pPr>
              <w:keepNext w:val="0"/>
              <w:keepLines w:val="0"/>
              <w:suppressLineNumbers w:val="0"/>
              <w:spacing w:before="0" w:beforeAutospacing="0" w:after="0" w:afterAutospacing="0" w:line="360" w:lineRule="auto"/>
              <w:ind w:left="0" w:right="0"/>
              <w:rPr>
                <w:rFonts w:hint="eastAsia" w:ascii="仿宋" w:hAnsi="仿宋" w:eastAsia="仿宋" w:cs="仿宋"/>
                <w:sz w:val="24"/>
                <w:szCs w:val="24"/>
              </w:rPr>
            </w:pPr>
            <w:r>
              <w:rPr>
                <w:rFonts w:hint="eastAsia" w:ascii="仿宋" w:hAnsi="仿宋" w:eastAsia="仿宋" w:cs="仿宋"/>
                <w:sz w:val="24"/>
                <w:szCs w:val="24"/>
              </w:rPr>
              <w:t>3、设备技术参数（20分）</w:t>
            </w:r>
          </w:p>
          <w:p>
            <w:pPr>
              <w:keepNext w:val="0"/>
              <w:keepLines w:val="0"/>
              <w:suppressLineNumbers w:val="0"/>
              <w:spacing w:before="0" w:beforeAutospacing="0" w:after="0" w:afterAutospacing="0" w:line="360" w:lineRule="auto"/>
              <w:ind w:left="0" w:right="0" w:firstLine="240" w:firstLineChars="100"/>
              <w:rPr>
                <w:rFonts w:hint="eastAsia" w:ascii="仿宋" w:hAnsi="仿宋" w:eastAsia="仿宋" w:cs="仿宋"/>
                <w:sz w:val="24"/>
                <w:szCs w:val="24"/>
              </w:rPr>
            </w:pPr>
            <w:r>
              <w:rPr>
                <w:rFonts w:hint="eastAsia" w:ascii="仿宋" w:hAnsi="仿宋" w:eastAsia="仿宋" w:cs="仿宋"/>
                <w:sz w:val="24"/>
                <w:szCs w:val="24"/>
              </w:rPr>
              <w:t>投标人所提供货物必须为“无偏离或正偏离”，其中加★项需提供公安部型检报告复印件，评委根据加★项参数正楄离情况在0-20内加分（以提供的检测报告为准，每优于1项加1分，最高加20分）。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3854" w:hRule="atLeast"/>
        </w:trPr>
        <w:tc>
          <w:tcPr>
            <w:tcW w:w="900" w:type="dxa"/>
            <w:vMerge w:val="continue"/>
            <w:tcBorders>
              <w:right w:val="single" w:color="auto" w:sz="4" w:space="0"/>
            </w:tcBorders>
            <w:vAlign w:val="center"/>
          </w:tcPr>
          <w:p>
            <w:pPr>
              <w:pStyle w:val="2"/>
              <w:keepNext w:val="0"/>
              <w:keepLines w:val="0"/>
              <w:suppressLineNumbers w:val="0"/>
              <w:spacing w:before="0" w:beforeAutospacing="0" w:after="0" w:afterAutospacing="0" w:line="360" w:lineRule="auto"/>
              <w:ind w:left="0" w:right="0"/>
              <w:jc w:val="center"/>
              <w:rPr>
                <w:rFonts w:hint="eastAsia" w:ascii="仿宋" w:hAnsi="仿宋" w:eastAsia="仿宋" w:cs="仿宋"/>
                <w:sz w:val="24"/>
                <w:szCs w:val="24"/>
              </w:rPr>
            </w:pPr>
          </w:p>
        </w:tc>
        <w:tc>
          <w:tcPr>
            <w:tcW w:w="1019" w:type="dxa"/>
            <w:vMerge w:val="continue"/>
            <w:tcBorders>
              <w:left w:val="single" w:color="auto" w:sz="4" w:space="0"/>
              <w:right w:val="single" w:color="auto" w:sz="4" w:space="0"/>
            </w:tcBorders>
            <w:vAlign w:val="center"/>
          </w:tcPr>
          <w:p>
            <w:pPr>
              <w:pStyle w:val="2"/>
              <w:keepNext w:val="0"/>
              <w:keepLines w:val="0"/>
              <w:suppressLineNumbers w:val="0"/>
              <w:spacing w:before="0" w:beforeAutospacing="0" w:after="0" w:afterAutospacing="0" w:line="360" w:lineRule="auto"/>
              <w:ind w:left="0" w:right="0"/>
              <w:jc w:val="center"/>
              <w:rPr>
                <w:rFonts w:hint="eastAsia" w:ascii="仿宋" w:hAnsi="仿宋" w:eastAsia="仿宋" w:cs="仿宋"/>
                <w:sz w:val="24"/>
                <w:szCs w:val="24"/>
              </w:rPr>
            </w:pPr>
          </w:p>
        </w:tc>
        <w:tc>
          <w:tcPr>
            <w:tcW w:w="1559" w:type="dxa"/>
            <w:tcBorders>
              <w:left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firstLine="72" w:firstLineChars="30"/>
              <w:jc w:val="center"/>
              <w:rPr>
                <w:rFonts w:hint="eastAsia" w:ascii="仿宋" w:hAnsi="仿宋" w:eastAsia="仿宋" w:cs="仿宋"/>
                <w:sz w:val="24"/>
                <w:szCs w:val="24"/>
              </w:rPr>
            </w:pPr>
            <w:r>
              <w:rPr>
                <w:rFonts w:hint="eastAsia" w:ascii="仿宋" w:hAnsi="仿宋" w:eastAsia="仿宋" w:cs="仿宋"/>
                <w:sz w:val="24"/>
                <w:szCs w:val="24"/>
              </w:rPr>
              <w:t>售后服务</w:t>
            </w:r>
          </w:p>
          <w:p>
            <w:pPr>
              <w:keepNext w:val="0"/>
              <w:keepLines w:val="0"/>
              <w:suppressLineNumbers w:val="0"/>
              <w:spacing w:before="0" w:beforeAutospacing="0" w:after="0" w:afterAutospacing="0" w:line="360" w:lineRule="exact"/>
              <w:ind w:left="0" w:right="0"/>
              <w:jc w:val="center"/>
              <w:rPr>
                <w:rFonts w:hint="eastAsia" w:ascii="仿宋" w:hAnsi="仿宋" w:eastAsia="仿宋" w:cs="仿宋"/>
                <w:kern w:val="0"/>
                <w:sz w:val="24"/>
                <w:szCs w:val="24"/>
              </w:rPr>
            </w:pPr>
            <w:r>
              <w:rPr>
                <w:rFonts w:hint="eastAsia" w:ascii="仿宋" w:hAnsi="仿宋" w:eastAsia="仿宋" w:cs="仿宋"/>
                <w:sz w:val="24"/>
                <w:szCs w:val="24"/>
              </w:rPr>
              <w:t>（5分）</w:t>
            </w:r>
          </w:p>
        </w:tc>
        <w:tc>
          <w:tcPr>
            <w:tcW w:w="6095" w:type="dxa"/>
            <w:tcBorders>
              <w:left w:val="single" w:color="auto" w:sz="4" w:space="0"/>
            </w:tcBorders>
            <w:vAlign w:val="center"/>
          </w:tcPr>
          <w:p>
            <w:pPr>
              <w:keepNext w:val="0"/>
              <w:keepLines w:val="0"/>
              <w:suppressLineNumbers w:val="0"/>
              <w:autoSpaceDE w:val="0"/>
              <w:autoSpaceDN w:val="0"/>
              <w:spacing w:before="0" w:beforeAutospacing="0" w:after="0" w:afterAutospacing="0" w:line="360" w:lineRule="auto"/>
              <w:ind w:left="0" w:right="0"/>
              <w:rPr>
                <w:rFonts w:hint="eastAsia" w:ascii="仿宋" w:hAnsi="仿宋" w:eastAsia="仿宋" w:cs="仿宋"/>
                <w:sz w:val="24"/>
                <w:szCs w:val="24"/>
              </w:rPr>
            </w:pPr>
            <w:r>
              <w:rPr>
                <w:rFonts w:hint="eastAsia" w:ascii="仿宋" w:hAnsi="仿宋" w:eastAsia="仿宋" w:cs="仿宋"/>
                <w:sz w:val="24"/>
                <w:szCs w:val="24"/>
              </w:rPr>
              <w:t xml:space="preserve">1、售后服务（0-2分） </w:t>
            </w:r>
          </w:p>
          <w:p>
            <w:pPr>
              <w:keepNext w:val="0"/>
              <w:keepLines w:val="0"/>
              <w:suppressLineNumbers w:val="0"/>
              <w:autoSpaceDE w:val="0"/>
              <w:autoSpaceDN w:val="0"/>
              <w:spacing w:before="0" w:beforeAutospacing="0" w:after="0" w:afterAutospacing="0" w:line="360" w:lineRule="auto"/>
              <w:ind w:left="0" w:right="0" w:firstLine="240" w:firstLineChars="100"/>
              <w:rPr>
                <w:rFonts w:hint="eastAsia" w:ascii="仿宋" w:hAnsi="仿宋" w:eastAsia="仿宋" w:cs="仿宋"/>
                <w:sz w:val="24"/>
                <w:szCs w:val="24"/>
              </w:rPr>
            </w:pPr>
            <w:r>
              <w:rPr>
                <w:rFonts w:hint="eastAsia" w:ascii="仿宋" w:hAnsi="仿宋" w:eastAsia="仿宋" w:cs="仿宋"/>
                <w:sz w:val="24"/>
                <w:szCs w:val="24"/>
              </w:rPr>
              <w:t>根据技术培训内容、形式、时间安排的合理性以及投标人在方案中阐述的售后服务情况，在1-2分范围内酌情打分。</w:t>
            </w:r>
          </w:p>
          <w:p>
            <w:pPr>
              <w:keepNext w:val="0"/>
              <w:keepLines w:val="0"/>
              <w:suppressLineNumbers w:val="0"/>
              <w:autoSpaceDE w:val="0"/>
              <w:autoSpaceDN w:val="0"/>
              <w:spacing w:before="0" w:beforeAutospacing="0" w:after="0" w:afterAutospacing="0" w:line="360" w:lineRule="auto"/>
              <w:ind w:left="0" w:right="0"/>
              <w:rPr>
                <w:rFonts w:hint="eastAsia" w:ascii="仿宋" w:hAnsi="仿宋" w:eastAsia="仿宋" w:cs="仿宋"/>
                <w:sz w:val="24"/>
                <w:szCs w:val="24"/>
              </w:rPr>
            </w:pPr>
            <w:r>
              <w:rPr>
                <w:rFonts w:hint="eastAsia" w:ascii="仿宋" w:hAnsi="仿宋" w:eastAsia="仿宋" w:cs="仿宋"/>
                <w:sz w:val="24"/>
                <w:szCs w:val="24"/>
              </w:rPr>
              <w:t>2、售后响应时间（0-2分）</w:t>
            </w:r>
          </w:p>
          <w:p>
            <w:pPr>
              <w:keepNext w:val="0"/>
              <w:keepLines w:val="0"/>
              <w:suppressLineNumbers w:val="0"/>
              <w:autoSpaceDE w:val="0"/>
              <w:autoSpaceDN w:val="0"/>
              <w:spacing w:before="0" w:beforeAutospacing="0" w:after="0" w:afterAutospacing="0" w:line="360" w:lineRule="auto"/>
              <w:ind w:left="0" w:right="0"/>
              <w:rPr>
                <w:rFonts w:hint="eastAsia" w:ascii="仿宋" w:hAnsi="仿宋" w:eastAsia="仿宋" w:cs="仿宋"/>
                <w:sz w:val="24"/>
                <w:szCs w:val="24"/>
              </w:rPr>
            </w:pPr>
            <w:r>
              <w:rPr>
                <w:rFonts w:hint="eastAsia" w:ascii="仿宋" w:hAnsi="仿宋" w:eastAsia="仿宋" w:cs="仿宋"/>
                <w:sz w:val="24"/>
                <w:szCs w:val="24"/>
              </w:rPr>
              <w:t xml:space="preserve">  售后服务上门响应时间以小时为单位，以6小时为起点，基本分0.5分，每减少1小时，加0.5分，最多加2分，6小时以上的不得分。</w:t>
            </w:r>
          </w:p>
          <w:p>
            <w:pPr>
              <w:keepNext w:val="0"/>
              <w:keepLines w:val="0"/>
              <w:suppressLineNumbers w:val="0"/>
              <w:autoSpaceDE w:val="0"/>
              <w:autoSpaceDN w:val="0"/>
              <w:spacing w:before="0" w:beforeAutospacing="0" w:after="0" w:afterAutospacing="0" w:line="360" w:lineRule="auto"/>
              <w:ind w:left="0" w:right="0"/>
              <w:rPr>
                <w:rFonts w:hint="eastAsia" w:ascii="仿宋" w:hAnsi="仿宋" w:eastAsia="仿宋" w:cs="仿宋"/>
                <w:color w:val="000000"/>
                <w:sz w:val="24"/>
                <w:szCs w:val="24"/>
              </w:rPr>
            </w:pPr>
            <w:r>
              <w:rPr>
                <w:rFonts w:hint="eastAsia" w:ascii="仿宋" w:hAnsi="仿宋" w:eastAsia="仿宋" w:cs="仿宋"/>
                <w:color w:val="000000"/>
                <w:kern w:val="0"/>
                <w:sz w:val="24"/>
                <w:szCs w:val="24"/>
              </w:rPr>
              <w:t>3、</w:t>
            </w:r>
            <w:r>
              <w:rPr>
                <w:rFonts w:hint="eastAsia" w:ascii="仿宋" w:hAnsi="仿宋" w:eastAsia="仿宋" w:cs="仿宋"/>
                <w:color w:val="000000"/>
                <w:sz w:val="24"/>
                <w:szCs w:val="24"/>
              </w:rPr>
              <w:t>服务承诺（0-1分）</w:t>
            </w:r>
          </w:p>
          <w:p>
            <w:pPr>
              <w:keepNext w:val="0"/>
              <w:keepLines w:val="0"/>
              <w:suppressLineNumbers w:val="0"/>
              <w:spacing w:before="0" w:beforeAutospacing="0" w:after="0" w:afterAutospacing="0" w:line="360" w:lineRule="auto"/>
              <w:ind w:left="0" w:right="0"/>
              <w:rPr>
                <w:rFonts w:hint="eastAsia" w:ascii="仿宋" w:hAnsi="仿宋" w:eastAsia="仿宋" w:cs="仿宋"/>
                <w:sz w:val="24"/>
                <w:szCs w:val="24"/>
              </w:rPr>
            </w:pPr>
            <w:r>
              <w:rPr>
                <w:rFonts w:hint="eastAsia" w:ascii="仿宋" w:hAnsi="仿宋" w:eastAsia="仿宋" w:cs="仿宋"/>
                <w:sz w:val="24"/>
                <w:szCs w:val="24"/>
              </w:rPr>
              <w:t>评标委员会根据响应情况进行横向比较得分。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91" w:hRule="atLeast"/>
        </w:trPr>
        <w:tc>
          <w:tcPr>
            <w:tcW w:w="900" w:type="dxa"/>
            <w:vMerge w:val="restart"/>
            <w:vAlign w:val="center"/>
          </w:tcPr>
          <w:p>
            <w:pPr>
              <w:pStyle w:val="2"/>
              <w:keepNext w:val="0"/>
              <w:keepLines w:val="0"/>
              <w:suppressLineNumbers w:val="0"/>
              <w:spacing w:before="0" w:beforeAutospacing="0" w:after="0" w:afterAutospacing="0" w:line="360" w:lineRule="auto"/>
              <w:ind w:left="0" w:right="0" w:firstLine="459"/>
              <w:rPr>
                <w:rFonts w:hint="eastAsia" w:ascii="仿宋" w:hAnsi="仿宋" w:eastAsia="仿宋" w:cs="仿宋"/>
                <w:sz w:val="24"/>
                <w:szCs w:val="24"/>
              </w:rPr>
            </w:pPr>
            <w:r>
              <w:rPr>
                <w:rFonts w:hint="eastAsia" w:ascii="仿宋" w:hAnsi="仿宋" w:eastAsia="仿宋" w:cs="仿宋"/>
                <w:sz w:val="24"/>
                <w:szCs w:val="24"/>
              </w:rPr>
              <w:t xml:space="preserve"> 3.5.5</w:t>
            </w:r>
          </w:p>
          <w:p>
            <w:pPr>
              <w:pStyle w:val="2"/>
              <w:keepNext w:val="0"/>
              <w:keepLines w:val="0"/>
              <w:suppressLineNumbers w:val="0"/>
              <w:spacing w:before="0" w:beforeAutospacing="0" w:after="0" w:afterAutospacing="0" w:line="360" w:lineRule="auto"/>
              <w:ind w:left="0" w:right="0"/>
              <w:rPr>
                <w:rFonts w:hint="eastAsia" w:ascii="仿宋" w:hAnsi="仿宋" w:eastAsia="仿宋" w:cs="仿宋"/>
                <w:sz w:val="24"/>
                <w:szCs w:val="24"/>
              </w:rPr>
            </w:pPr>
          </w:p>
        </w:tc>
        <w:tc>
          <w:tcPr>
            <w:tcW w:w="1019" w:type="dxa"/>
            <w:vMerge w:val="restart"/>
            <w:vAlign w:val="center"/>
          </w:tcPr>
          <w:p>
            <w:pPr>
              <w:pStyle w:val="2"/>
              <w:keepNext w:val="0"/>
              <w:keepLines w:val="0"/>
              <w:suppressLineNumbers w:val="0"/>
              <w:spacing w:before="0" w:beforeAutospacing="0" w:after="0" w:afterAutospacing="0" w:line="360" w:lineRule="auto"/>
              <w:ind w:left="0" w:right="0"/>
              <w:jc w:val="center"/>
              <w:rPr>
                <w:rFonts w:hint="eastAsia" w:ascii="仿宋" w:hAnsi="仿宋" w:eastAsia="仿宋" w:cs="仿宋"/>
                <w:sz w:val="24"/>
                <w:szCs w:val="24"/>
              </w:rPr>
            </w:pPr>
            <w:r>
              <w:rPr>
                <w:rFonts w:hint="eastAsia" w:ascii="仿宋" w:hAnsi="仿宋" w:eastAsia="仿宋" w:cs="仿宋"/>
                <w:sz w:val="24"/>
                <w:szCs w:val="24"/>
              </w:rPr>
              <w:t>技</w:t>
            </w:r>
          </w:p>
          <w:p>
            <w:pPr>
              <w:pStyle w:val="2"/>
              <w:keepNext w:val="0"/>
              <w:keepLines w:val="0"/>
              <w:suppressLineNumbers w:val="0"/>
              <w:spacing w:before="0" w:beforeAutospacing="0" w:after="0" w:afterAutospacing="0" w:line="360" w:lineRule="auto"/>
              <w:ind w:left="0" w:right="0"/>
              <w:jc w:val="center"/>
              <w:rPr>
                <w:rFonts w:hint="eastAsia" w:ascii="仿宋" w:hAnsi="仿宋" w:eastAsia="仿宋" w:cs="仿宋"/>
                <w:sz w:val="24"/>
                <w:szCs w:val="24"/>
              </w:rPr>
            </w:pPr>
            <w:r>
              <w:rPr>
                <w:rFonts w:hint="eastAsia" w:ascii="仿宋" w:hAnsi="仿宋" w:eastAsia="仿宋" w:cs="仿宋"/>
                <w:sz w:val="24"/>
                <w:szCs w:val="24"/>
              </w:rPr>
              <w:t>术</w:t>
            </w:r>
          </w:p>
          <w:p>
            <w:pPr>
              <w:pStyle w:val="2"/>
              <w:keepNext w:val="0"/>
              <w:keepLines w:val="0"/>
              <w:suppressLineNumbers w:val="0"/>
              <w:spacing w:before="0" w:beforeAutospacing="0" w:after="0" w:afterAutospacing="0" w:line="360" w:lineRule="auto"/>
              <w:ind w:left="0" w:right="0"/>
              <w:jc w:val="center"/>
              <w:rPr>
                <w:rFonts w:hint="eastAsia" w:ascii="仿宋" w:hAnsi="仿宋" w:eastAsia="仿宋" w:cs="仿宋"/>
                <w:sz w:val="24"/>
                <w:szCs w:val="24"/>
              </w:rPr>
            </w:pPr>
            <w:r>
              <w:rPr>
                <w:rFonts w:hint="eastAsia" w:ascii="仿宋" w:hAnsi="仿宋" w:eastAsia="仿宋" w:cs="仿宋"/>
                <w:sz w:val="24"/>
                <w:szCs w:val="24"/>
              </w:rPr>
              <w:t>部</w:t>
            </w:r>
          </w:p>
          <w:p>
            <w:pPr>
              <w:pStyle w:val="2"/>
              <w:keepNext w:val="0"/>
              <w:keepLines w:val="0"/>
              <w:suppressLineNumbers w:val="0"/>
              <w:spacing w:before="0" w:beforeAutospacing="0" w:after="0" w:afterAutospacing="0" w:line="360" w:lineRule="auto"/>
              <w:ind w:left="0" w:right="0"/>
              <w:jc w:val="center"/>
              <w:rPr>
                <w:rFonts w:hint="eastAsia" w:ascii="仿宋" w:hAnsi="仿宋" w:eastAsia="仿宋" w:cs="仿宋"/>
                <w:sz w:val="24"/>
                <w:szCs w:val="24"/>
              </w:rPr>
            </w:pPr>
            <w:r>
              <w:rPr>
                <w:rFonts w:hint="eastAsia" w:ascii="仿宋" w:hAnsi="仿宋" w:eastAsia="仿宋" w:cs="仿宋"/>
                <w:sz w:val="24"/>
                <w:szCs w:val="24"/>
              </w:rPr>
              <w:t>分</w:t>
            </w:r>
          </w:p>
          <w:p>
            <w:pPr>
              <w:keepNext w:val="0"/>
              <w:keepLines w:val="0"/>
              <w:suppressLineNumbers w:val="0"/>
              <w:autoSpaceDE w:val="0"/>
              <w:autoSpaceDN w:val="0"/>
              <w:adjustRightInd w:val="0"/>
              <w:spacing w:before="0" w:beforeAutospacing="0" w:after="0" w:afterAutospacing="0" w:line="360" w:lineRule="auto"/>
              <w:ind w:left="0" w:right="0"/>
              <w:jc w:val="center"/>
              <w:rPr>
                <w:rFonts w:hint="eastAsia" w:ascii="仿宋" w:hAnsi="仿宋" w:eastAsia="仿宋" w:cs="仿宋"/>
                <w:kern w:val="0"/>
                <w:sz w:val="24"/>
                <w:szCs w:val="24"/>
              </w:rPr>
            </w:pPr>
            <w:r>
              <w:rPr>
                <w:rFonts w:hint="eastAsia" w:ascii="仿宋" w:hAnsi="仿宋" w:eastAsia="仿宋" w:cs="仿宋"/>
                <w:sz w:val="24"/>
                <w:szCs w:val="24"/>
              </w:rPr>
              <w:t>（10分）</w:t>
            </w:r>
          </w:p>
        </w:tc>
        <w:tc>
          <w:tcPr>
            <w:tcW w:w="1559" w:type="dxa"/>
            <w:vAlign w:val="center"/>
          </w:tcPr>
          <w:p>
            <w:pPr>
              <w:keepNext w:val="0"/>
              <w:keepLines w:val="0"/>
              <w:suppressLineNumbers w:val="0"/>
              <w:autoSpaceDE w:val="0"/>
              <w:autoSpaceDN w:val="0"/>
              <w:adjustRightInd w:val="0"/>
              <w:spacing w:before="0" w:beforeAutospacing="0" w:after="0" w:afterAutospacing="0" w:line="360" w:lineRule="auto"/>
              <w:ind w:left="0" w:right="0"/>
              <w:jc w:val="center"/>
              <w:rPr>
                <w:rFonts w:hint="eastAsia" w:ascii="仿宋" w:hAnsi="仿宋" w:eastAsia="仿宋" w:cs="仿宋"/>
                <w:kern w:val="0"/>
                <w:sz w:val="24"/>
                <w:szCs w:val="24"/>
              </w:rPr>
            </w:pPr>
            <w:r>
              <w:rPr>
                <w:rFonts w:hint="eastAsia" w:ascii="仿宋" w:hAnsi="仿宋" w:eastAsia="仿宋" w:cs="仿宋"/>
                <w:kern w:val="0"/>
                <w:sz w:val="24"/>
                <w:szCs w:val="24"/>
              </w:rPr>
              <w:t>项目实施方案</w:t>
            </w:r>
          </w:p>
          <w:p>
            <w:pPr>
              <w:keepNext w:val="0"/>
              <w:keepLines w:val="0"/>
              <w:suppressLineNumbers w:val="0"/>
              <w:autoSpaceDE w:val="0"/>
              <w:autoSpaceDN w:val="0"/>
              <w:adjustRightInd w:val="0"/>
              <w:spacing w:before="0" w:beforeAutospacing="0" w:after="0" w:afterAutospacing="0" w:line="360" w:lineRule="auto"/>
              <w:ind w:left="0" w:right="0"/>
              <w:jc w:val="center"/>
              <w:rPr>
                <w:rFonts w:hint="eastAsia" w:ascii="仿宋" w:hAnsi="仿宋" w:eastAsia="仿宋" w:cs="仿宋"/>
                <w:kern w:val="0"/>
                <w:sz w:val="24"/>
                <w:szCs w:val="24"/>
              </w:rPr>
            </w:pPr>
            <w:r>
              <w:rPr>
                <w:rFonts w:hint="eastAsia" w:ascii="仿宋" w:hAnsi="仿宋" w:eastAsia="仿宋" w:cs="仿宋"/>
                <w:kern w:val="0"/>
                <w:sz w:val="24"/>
                <w:szCs w:val="24"/>
              </w:rPr>
              <w:t>（3分）</w:t>
            </w:r>
          </w:p>
        </w:tc>
        <w:tc>
          <w:tcPr>
            <w:tcW w:w="6095" w:type="dxa"/>
            <w:vAlign w:val="center"/>
          </w:tcPr>
          <w:p>
            <w:pPr>
              <w:keepNext w:val="0"/>
              <w:keepLines w:val="0"/>
              <w:widowControl/>
              <w:suppressLineNumbers w:val="0"/>
              <w:adjustRightInd w:val="0"/>
              <w:spacing w:before="0" w:beforeAutospacing="0" w:after="0" w:afterAutospacing="0" w:line="360" w:lineRule="auto"/>
              <w:ind w:left="0" w:right="0"/>
              <w:jc w:val="left"/>
              <w:rPr>
                <w:rFonts w:hint="eastAsia" w:ascii="仿宋" w:hAnsi="仿宋" w:eastAsia="仿宋" w:cs="仿宋"/>
                <w:sz w:val="24"/>
                <w:szCs w:val="24"/>
              </w:rPr>
            </w:pPr>
            <w:r>
              <w:rPr>
                <w:rFonts w:hint="eastAsia" w:ascii="仿宋" w:hAnsi="仿宋" w:eastAsia="仿宋" w:cs="仿宋"/>
                <w:sz w:val="24"/>
                <w:szCs w:val="24"/>
              </w:rPr>
              <w:t>（1）设备供货、安装、调试方案（0-1分）</w:t>
            </w:r>
          </w:p>
          <w:p>
            <w:pPr>
              <w:keepNext w:val="0"/>
              <w:keepLines w:val="0"/>
              <w:widowControl/>
              <w:suppressLineNumbers w:val="0"/>
              <w:adjustRightInd w:val="0"/>
              <w:spacing w:before="0" w:beforeAutospacing="0" w:after="0" w:afterAutospacing="0" w:line="360" w:lineRule="auto"/>
              <w:ind w:left="0" w:right="0"/>
              <w:jc w:val="left"/>
              <w:rPr>
                <w:rFonts w:hint="eastAsia" w:ascii="仿宋" w:hAnsi="仿宋" w:eastAsia="仿宋" w:cs="仿宋"/>
                <w:sz w:val="24"/>
                <w:szCs w:val="24"/>
              </w:rPr>
            </w:pPr>
            <w:r>
              <w:rPr>
                <w:rFonts w:hint="eastAsia" w:ascii="仿宋" w:hAnsi="仿宋" w:eastAsia="仿宋" w:cs="仿宋"/>
                <w:sz w:val="24"/>
                <w:szCs w:val="24"/>
              </w:rPr>
              <w:t>（2）伴随服务（0-1分）</w:t>
            </w:r>
          </w:p>
          <w:p>
            <w:pPr>
              <w:keepNext w:val="0"/>
              <w:keepLines w:val="0"/>
              <w:widowControl/>
              <w:suppressLineNumbers w:val="0"/>
              <w:adjustRightInd w:val="0"/>
              <w:spacing w:before="0" w:beforeAutospacing="0" w:after="0" w:afterAutospacing="0" w:line="360" w:lineRule="auto"/>
              <w:ind w:left="0" w:right="0"/>
              <w:jc w:val="left"/>
              <w:rPr>
                <w:rFonts w:hint="eastAsia" w:ascii="仿宋" w:hAnsi="仿宋" w:eastAsia="仿宋" w:cs="仿宋"/>
                <w:sz w:val="24"/>
                <w:szCs w:val="24"/>
              </w:rPr>
            </w:pPr>
            <w:r>
              <w:rPr>
                <w:rFonts w:hint="eastAsia" w:ascii="仿宋" w:hAnsi="仿宋" w:eastAsia="仿宋" w:cs="仿宋"/>
                <w:sz w:val="24"/>
                <w:szCs w:val="24"/>
              </w:rPr>
              <w:t>（3）成品保护措施（0-1分）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811" w:hRule="atLeast"/>
        </w:trPr>
        <w:tc>
          <w:tcPr>
            <w:tcW w:w="900" w:type="dxa"/>
            <w:vMerge w:val="continue"/>
            <w:vAlign w:val="center"/>
          </w:tcPr>
          <w:p>
            <w:pPr>
              <w:pStyle w:val="2"/>
              <w:keepNext w:val="0"/>
              <w:keepLines w:val="0"/>
              <w:suppressLineNumbers w:val="0"/>
              <w:spacing w:before="0" w:beforeAutospacing="0" w:after="0" w:afterAutospacing="0" w:line="360" w:lineRule="auto"/>
              <w:ind w:left="0" w:right="0"/>
              <w:jc w:val="center"/>
              <w:rPr>
                <w:rFonts w:hint="eastAsia" w:ascii="仿宋" w:hAnsi="仿宋" w:eastAsia="仿宋" w:cs="仿宋"/>
                <w:sz w:val="24"/>
                <w:szCs w:val="24"/>
              </w:rPr>
            </w:pPr>
          </w:p>
        </w:tc>
        <w:tc>
          <w:tcPr>
            <w:tcW w:w="1019" w:type="dxa"/>
            <w:vMerge w:val="continue"/>
            <w:vAlign w:val="center"/>
          </w:tcPr>
          <w:p>
            <w:pPr>
              <w:keepNext w:val="0"/>
              <w:keepLines w:val="0"/>
              <w:suppressLineNumbers w:val="0"/>
              <w:spacing w:before="0" w:beforeAutospacing="0" w:after="0" w:afterAutospacing="0" w:line="360" w:lineRule="auto"/>
              <w:ind w:left="0" w:right="0"/>
              <w:jc w:val="center"/>
              <w:rPr>
                <w:rFonts w:hint="eastAsia" w:ascii="仿宋" w:hAnsi="仿宋" w:eastAsia="仿宋" w:cs="仿宋"/>
                <w:sz w:val="24"/>
                <w:szCs w:val="24"/>
              </w:rPr>
            </w:pPr>
          </w:p>
        </w:tc>
        <w:tc>
          <w:tcPr>
            <w:tcW w:w="1559" w:type="dxa"/>
            <w:vAlign w:val="center"/>
          </w:tcPr>
          <w:p>
            <w:pPr>
              <w:keepNext w:val="0"/>
              <w:keepLines w:val="0"/>
              <w:suppressLineNumbers w:val="0"/>
              <w:spacing w:before="0" w:beforeAutospacing="0" w:after="0" w:afterAutospacing="0" w:line="360" w:lineRule="auto"/>
              <w:ind w:left="0" w:right="0"/>
              <w:jc w:val="center"/>
              <w:textAlignment w:val="baseline"/>
              <w:rPr>
                <w:rFonts w:hint="eastAsia" w:ascii="仿宋" w:hAnsi="仿宋" w:eastAsia="仿宋" w:cs="仿宋"/>
                <w:sz w:val="24"/>
                <w:szCs w:val="24"/>
              </w:rPr>
            </w:pPr>
            <w:r>
              <w:rPr>
                <w:rFonts w:hint="eastAsia" w:ascii="仿宋" w:hAnsi="仿宋" w:eastAsia="仿宋" w:cs="仿宋"/>
                <w:sz w:val="24"/>
                <w:szCs w:val="24"/>
              </w:rPr>
              <w:t>供货安装质量保证措施</w:t>
            </w:r>
            <w:r>
              <w:rPr>
                <w:rFonts w:hint="eastAsia" w:ascii="仿宋" w:hAnsi="仿宋" w:eastAsia="仿宋" w:cs="仿宋"/>
                <w:kern w:val="0"/>
                <w:sz w:val="24"/>
                <w:szCs w:val="24"/>
              </w:rPr>
              <w:t>（1分）</w:t>
            </w:r>
          </w:p>
        </w:tc>
        <w:tc>
          <w:tcPr>
            <w:tcW w:w="6095" w:type="dxa"/>
            <w:vAlign w:val="center"/>
          </w:tcPr>
          <w:p>
            <w:pPr>
              <w:pStyle w:val="2"/>
              <w:keepNext w:val="0"/>
              <w:keepLines w:val="0"/>
              <w:suppressLineNumbers w:val="0"/>
              <w:spacing w:before="0" w:beforeAutospacing="0" w:after="0" w:afterAutospacing="0" w:line="360" w:lineRule="auto"/>
              <w:ind w:left="0" w:right="0"/>
              <w:jc w:val="left"/>
              <w:rPr>
                <w:rFonts w:hint="eastAsia" w:ascii="仿宋" w:hAnsi="仿宋" w:eastAsia="仿宋" w:cs="仿宋"/>
                <w:sz w:val="24"/>
                <w:szCs w:val="24"/>
              </w:rPr>
            </w:pPr>
            <w:r>
              <w:rPr>
                <w:rFonts w:hint="eastAsia" w:ascii="仿宋" w:hAnsi="仿宋" w:eastAsia="仿宋" w:cs="仿宋"/>
                <w:sz w:val="24"/>
                <w:szCs w:val="24"/>
              </w:rPr>
              <w:t>供货及安装质量保证措施可行的得0-1分，没有的不得分。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91" w:hRule="atLeast"/>
        </w:trPr>
        <w:tc>
          <w:tcPr>
            <w:tcW w:w="900" w:type="dxa"/>
            <w:vMerge w:val="continue"/>
            <w:vAlign w:val="center"/>
          </w:tcPr>
          <w:p>
            <w:pPr>
              <w:pStyle w:val="2"/>
              <w:keepNext w:val="0"/>
              <w:keepLines w:val="0"/>
              <w:suppressLineNumbers w:val="0"/>
              <w:spacing w:before="0" w:beforeAutospacing="0" w:after="0" w:afterAutospacing="0" w:line="360" w:lineRule="auto"/>
              <w:ind w:left="0" w:right="0"/>
              <w:jc w:val="center"/>
              <w:rPr>
                <w:rFonts w:hint="eastAsia" w:ascii="仿宋" w:hAnsi="仿宋" w:eastAsia="仿宋" w:cs="仿宋"/>
                <w:sz w:val="24"/>
                <w:szCs w:val="24"/>
              </w:rPr>
            </w:pPr>
          </w:p>
        </w:tc>
        <w:tc>
          <w:tcPr>
            <w:tcW w:w="1019" w:type="dxa"/>
            <w:vMerge w:val="continue"/>
            <w:vAlign w:val="center"/>
          </w:tcPr>
          <w:p>
            <w:pPr>
              <w:pStyle w:val="2"/>
              <w:keepNext w:val="0"/>
              <w:keepLines w:val="0"/>
              <w:suppressLineNumbers w:val="0"/>
              <w:spacing w:before="0" w:beforeAutospacing="0" w:after="0" w:afterAutospacing="0" w:line="360" w:lineRule="auto"/>
              <w:ind w:left="0" w:right="0"/>
              <w:jc w:val="center"/>
              <w:rPr>
                <w:rFonts w:hint="eastAsia" w:ascii="仿宋" w:hAnsi="仿宋" w:eastAsia="仿宋" w:cs="仿宋"/>
                <w:sz w:val="24"/>
                <w:szCs w:val="24"/>
              </w:rPr>
            </w:pPr>
          </w:p>
        </w:tc>
        <w:tc>
          <w:tcPr>
            <w:tcW w:w="1559" w:type="dxa"/>
            <w:vAlign w:val="center"/>
          </w:tcPr>
          <w:p>
            <w:pPr>
              <w:keepNext w:val="0"/>
              <w:keepLines w:val="0"/>
              <w:suppressLineNumbers w:val="0"/>
              <w:spacing w:before="0" w:beforeAutospacing="0" w:after="0" w:afterAutospacing="0" w:line="360" w:lineRule="auto"/>
              <w:ind w:left="0" w:right="0"/>
              <w:jc w:val="center"/>
              <w:textAlignment w:val="baseline"/>
              <w:rPr>
                <w:rFonts w:hint="eastAsia" w:ascii="仿宋" w:hAnsi="仿宋" w:eastAsia="仿宋" w:cs="仿宋"/>
                <w:sz w:val="24"/>
                <w:szCs w:val="24"/>
              </w:rPr>
            </w:pPr>
            <w:r>
              <w:rPr>
                <w:rFonts w:hint="eastAsia" w:ascii="仿宋" w:hAnsi="仿宋" w:eastAsia="仿宋" w:cs="仿宋"/>
                <w:sz w:val="24"/>
                <w:szCs w:val="24"/>
              </w:rPr>
              <w:t>供货及安装进度保证措施</w:t>
            </w:r>
            <w:r>
              <w:rPr>
                <w:rFonts w:hint="eastAsia" w:ascii="仿宋" w:hAnsi="仿宋" w:eastAsia="仿宋" w:cs="仿宋"/>
                <w:kern w:val="0"/>
                <w:sz w:val="24"/>
                <w:szCs w:val="24"/>
              </w:rPr>
              <w:t>（2分）</w:t>
            </w:r>
          </w:p>
        </w:tc>
        <w:tc>
          <w:tcPr>
            <w:tcW w:w="6095" w:type="dxa"/>
            <w:vAlign w:val="center"/>
          </w:tcPr>
          <w:p>
            <w:pPr>
              <w:pStyle w:val="2"/>
              <w:keepNext w:val="0"/>
              <w:keepLines w:val="0"/>
              <w:suppressLineNumbers w:val="0"/>
              <w:spacing w:before="0" w:beforeAutospacing="0" w:after="0" w:afterAutospacing="0" w:line="360" w:lineRule="auto"/>
              <w:ind w:left="0" w:right="0"/>
              <w:jc w:val="left"/>
              <w:rPr>
                <w:rFonts w:hint="eastAsia" w:ascii="仿宋" w:hAnsi="仿宋" w:eastAsia="仿宋" w:cs="仿宋"/>
                <w:sz w:val="24"/>
                <w:szCs w:val="24"/>
              </w:rPr>
            </w:pPr>
            <w:r>
              <w:rPr>
                <w:rFonts w:hint="eastAsia" w:ascii="仿宋" w:hAnsi="仿宋" w:eastAsia="仿宋" w:cs="仿宋"/>
                <w:sz w:val="24"/>
                <w:szCs w:val="24"/>
              </w:rPr>
              <w:t>主要设备15日内全部到位得2分，30日内到位得1分，否则不得分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91" w:hRule="atLeast"/>
        </w:trPr>
        <w:tc>
          <w:tcPr>
            <w:tcW w:w="900" w:type="dxa"/>
            <w:vMerge w:val="continue"/>
            <w:vAlign w:val="center"/>
          </w:tcPr>
          <w:p>
            <w:pPr>
              <w:pStyle w:val="2"/>
              <w:keepNext w:val="0"/>
              <w:keepLines w:val="0"/>
              <w:suppressLineNumbers w:val="0"/>
              <w:spacing w:before="0" w:beforeAutospacing="0" w:after="0" w:afterAutospacing="0" w:line="360" w:lineRule="auto"/>
              <w:ind w:left="0" w:right="0"/>
              <w:jc w:val="center"/>
              <w:rPr>
                <w:rFonts w:hint="eastAsia" w:ascii="仿宋" w:hAnsi="仿宋" w:eastAsia="仿宋" w:cs="仿宋"/>
                <w:sz w:val="24"/>
                <w:szCs w:val="24"/>
              </w:rPr>
            </w:pPr>
          </w:p>
        </w:tc>
        <w:tc>
          <w:tcPr>
            <w:tcW w:w="1019" w:type="dxa"/>
            <w:vMerge w:val="continue"/>
            <w:vAlign w:val="center"/>
          </w:tcPr>
          <w:p>
            <w:pPr>
              <w:pStyle w:val="2"/>
              <w:keepNext w:val="0"/>
              <w:keepLines w:val="0"/>
              <w:suppressLineNumbers w:val="0"/>
              <w:spacing w:before="0" w:beforeAutospacing="0" w:after="0" w:afterAutospacing="0" w:line="360" w:lineRule="auto"/>
              <w:ind w:left="0" w:right="0"/>
              <w:jc w:val="center"/>
              <w:rPr>
                <w:rFonts w:hint="eastAsia" w:ascii="仿宋" w:hAnsi="仿宋" w:eastAsia="仿宋" w:cs="仿宋"/>
                <w:sz w:val="24"/>
                <w:szCs w:val="24"/>
              </w:rPr>
            </w:pPr>
          </w:p>
        </w:tc>
        <w:tc>
          <w:tcPr>
            <w:tcW w:w="1559" w:type="dxa"/>
            <w:vAlign w:val="center"/>
          </w:tcPr>
          <w:p>
            <w:pPr>
              <w:keepNext w:val="0"/>
              <w:keepLines w:val="0"/>
              <w:suppressLineNumbers w:val="0"/>
              <w:spacing w:before="0" w:beforeAutospacing="0" w:after="0" w:afterAutospacing="0" w:line="360" w:lineRule="auto"/>
              <w:ind w:left="0" w:right="0"/>
              <w:jc w:val="center"/>
              <w:textAlignment w:val="baseline"/>
              <w:rPr>
                <w:rFonts w:hint="eastAsia" w:ascii="仿宋" w:hAnsi="仿宋" w:eastAsia="仿宋" w:cs="仿宋"/>
                <w:kern w:val="0"/>
                <w:sz w:val="24"/>
                <w:szCs w:val="24"/>
              </w:rPr>
            </w:pPr>
            <w:r>
              <w:rPr>
                <w:rFonts w:hint="eastAsia" w:ascii="仿宋" w:hAnsi="仿宋" w:eastAsia="仿宋" w:cs="仿宋"/>
                <w:kern w:val="0"/>
                <w:sz w:val="24"/>
                <w:szCs w:val="24"/>
              </w:rPr>
              <w:t>后续服务的安排及保证措施（2分）</w:t>
            </w:r>
          </w:p>
        </w:tc>
        <w:tc>
          <w:tcPr>
            <w:tcW w:w="6095" w:type="dxa"/>
            <w:vAlign w:val="center"/>
          </w:tcPr>
          <w:p>
            <w:pPr>
              <w:pStyle w:val="2"/>
              <w:keepNext w:val="0"/>
              <w:keepLines w:val="0"/>
              <w:suppressLineNumbers w:val="0"/>
              <w:spacing w:before="0" w:beforeAutospacing="0" w:after="0" w:afterAutospacing="0" w:line="360" w:lineRule="auto"/>
              <w:ind w:left="0" w:right="0"/>
              <w:jc w:val="left"/>
              <w:rPr>
                <w:rFonts w:hint="eastAsia" w:ascii="仿宋" w:hAnsi="仿宋" w:eastAsia="仿宋" w:cs="仿宋"/>
                <w:sz w:val="24"/>
                <w:szCs w:val="24"/>
              </w:rPr>
            </w:pPr>
            <w:r>
              <w:rPr>
                <w:rFonts w:hint="eastAsia" w:ascii="仿宋" w:hAnsi="仿宋" w:eastAsia="仿宋" w:cs="仿宋"/>
                <w:kern w:val="0"/>
                <w:sz w:val="24"/>
                <w:szCs w:val="24"/>
              </w:rPr>
              <w:t>有后续服务的安排及保证措施得在0-2分范围内酌情打分，没有的不得分。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91" w:hRule="atLeast"/>
        </w:trPr>
        <w:tc>
          <w:tcPr>
            <w:tcW w:w="900" w:type="dxa"/>
            <w:vMerge w:val="continue"/>
            <w:vAlign w:val="center"/>
          </w:tcPr>
          <w:p>
            <w:pPr>
              <w:pStyle w:val="2"/>
              <w:keepNext w:val="0"/>
              <w:keepLines w:val="0"/>
              <w:suppressLineNumbers w:val="0"/>
              <w:spacing w:before="0" w:beforeAutospacing="0" w:after="0" w:afterAutospacing="0" w:line="360" w:lineRule="auto"/>
              <w:ind w:left="0" w:right="0"/>
              <w:jc w:val="center"/>
              <w:rPr>
                <w:rFonts w:hint="eastAsia" w:ascii="仿宋" w:hAnsi="仿宋" w:eastAsia="仿宋" w:cs="仿宋"/>
                <w:sz w:val="24"/>
                <w:szCs w:val="24"/>
              </w:rPr>
            </w:pPr>
          </w:p>
        </w:tc>
        <w:tc>
          <w:tcPr>
            <w:tcW w:w="1019" w:type="dxa"/>
            <w:vMerge w:val="continue"/>
            <w:vAlign w:val="center"/>
          </w:tcPr>
          <w:p>
            <w:pPr>
              <w:pStyle w:val="2"/>
              <w:keepNext w:val="0"/>
              <w:keepLines w:val="0"/>
              <w:suppressLineNumbers w:val="0"/>
              <w:spacing w:before="0" w:beforeAutospacing="0" w:after="0" w:afterAutospacing="0" w:line="360" w:lineRule="auto"/>
              <w:ind w:left="0" w:right="0"/>
              <w:jc w:val="center"/>
              <w:rPr>
                <w:rFonts w:hint="eastAsia" w:ascii="仿宋" w:hAnsi="仿宋" w:eastAsia="仿宋" w:cs="仿宋"/>
                <w:sz w:val="24"/>
                <w:szCs w:val="24"/>
              </w:rPr>
            </w:pPr>
          </w:p>
        </w:tc>
        <w:tc>
          <w:tcPr>
            <w:tcW w:w="1559" w:type="dxa"/>
            <w:vAlign w:val="center"/>
          </w:tcPr>
          <w:p>
            <w:pPr>
              <w:keepNext w:val="0"/>
              <w:keepLines w:val="0"/>
              <w:suppressLineNumbers w:val="0"/>
              <w:spacing w:before="0" w:beforeAutospacing="0" w:after="0" w:afterAutospacing="0" w:line="360" w:lineRule="auto"/>
              <w:ind w:left="0" w:right="0"/>
              <w:jc w:val="center"/>
              <w:textAlignment w:val="baseline"/>
              <w:rPr>
                <w:rFonts w:hint="eastAsia" w:ascii="仿宋" w:hAnsi="仿宋" w:eastAsia="仿宋" w:cs="仿宋"/>
                <w:kern w:val="0"/>
                <w:sz w:val="24"/>
                <w:szCs w:val="24"/>
              </w:rPr>
            </w:pPr>
            <w:r>
              <w:rPr>
                <w:rFonts w:hint="eastAsia" w:ascii="仿宋" w:hAnsi="仿宋" w:eastAsia="仿宋" w:cs="仿宋"/>
                <w:kern w:val="0"/>
                <w:sz w:val="24"/>
                <w:szCs w:val="24"/>
              </w:rPr>
              <w:t>技术培训计划（2分）</w:t>
            </w:r>
          </w:p>
        </w:tc>
        <w:tc>
          <w:tcPr>
            <w:tcW w:w="6095" w:type="dxa"/>
            <w:vAlign w:val="center"/>
          </w:tcPr>
          <w:p>
            <w:pPr>
              <w:pStyle w:val="2"/>
              <w:keepNext w:val="0"/>
              <w:keepLines w:val="0"/>
              <w:suppressLineNumbers w:val="0"/>
              <w:spacing w:before="0" w:beforeAutospacing="0" w:after="0" w:afterAutospacing="0" w:line="360" w:lineRule="auto"/>
              <w:ind w:left="0" w:right="0"/>
              <w:jc w:val="left"/>
              <w:rPr>
                <w:rFonts w:hint="eastAsia" w:ascii="仿宋" w:hAnsi="仿宋" w:eastAsia="仿宋" w:cs="仿宋"/>
                <w:sz w:val="24"/>
                <w:szCs w:val="24"/>
              </w:rPr>
            </w:pPr>
            <w:r>
              <w:rPr>
                <w:rFonts w:hint="eastAsia" w:ascii="仿宋" w:hAnsi="仿宋" w:eastAsia="仿宋" w:cs="仿宋"/>
                <w:kern w:val="0"/>
                <w:sz w:val="24"/>
                <w:szCs w:val="24"/>
              </w:rPr>
              <w:t>根据技术培训内容、形式、时间安排的合理性在0-2分范围内酌情打分，没有的不得分。</w:t>
            </w:r>
          </w:p>
        </w:tc>
      </w:tr>
    </w:tbl>
    <w:p>
      <w:pPr>
        <w:spacing w:line="440" w:lineRule="exact"/>
        <w:rPr>
          <w:rFonts w:hint="eastAsia" w:ascii="仿宋" w:hAnsi="仿宋" w:eastAsia="仿宋" w:cs="仿宋"/>
          <w:b/>
          <w:sz w:val="24"/>
          <w:szCs w:val="24"/>
        </w:rPr>
      </w:pPr>
    </w:p>
    <w:p>
      <w:pPr>
        <w:spacing w:line="440" w:lineRule="exact"/>
        <w:rPr>
          <w:rFonts w:hint="eastAsia" w:ascii="仿宋" w:hAnsi="仿宋" w:eastAsia="仿宋" w:cs="仿宋"/>
          <w:b/>
          <w:sz w:val="24"/>
          <w:szCs w:val="24"/>
          <w:lang w:val="en-US" w:eastAsia="zh-CN"/>
        </w:rPr>
      </w:pPr>
      <w:r>
        <w:rPr>
          <w:rFonts w:hint="eastAsia" w:ascii="仿宋" w:hAnsi="仿宋" w:eastAsia="仿宋" w:cs="仿宋"/>
          <w:b/>
          <w:sz w:val="24"/>
          <w:szCs w:val="24"/>
          <w:lang w:eastAsia="zh-CN"/>
        </w:rPr>
        <w:t>六、开标时间及保证金递交时间顺延至</w:t>
      </w:r>
      <w:r>
        <w:rPr>
          <w:rFonts w:hint="eastAsia" w:ascii="仿宋" w:hAnsi="仿宋" w:eastAsia="仿宋" w:cs="仿宋"/>
          <w:b/>
          <w:sz w:val="24"/>
          <w:szCs w:val="24"/>
          <w:lang w:val="en-US" w:eastAsia="zh-CN"/>
        </w:rPr>
        <w:t>2018年5月21日9：00。</w:t>
      </w:r>
    </w:p>
    <w:p>
      <w:pPr>
        <w:spacing w:line="440" w:lineRule="exact"/>
        <w:rPr>
          <w:rFonts w:hint="eastAsia" w:ascii="仿宋" w:hAnsi="仿宋" w:eastAsia="仿宋" w:cs="仿宋"/>
          <w:b/>
          <w:sz w:val="24"/>
          <w:szCs w:val="24"/>
          <w:lang w:val="en-US" w:eastAsia="zh-CN"/>
        </w:rPr>
      </w:pPr>
    </w:p>
    <w:p>
      <w:pPr>
        <w:spacing w:line="360" w:lineRule="auto"/>
        <w:rPr>
          <w:rFonts w:hint="eastAsia" w:ascii="仿宋" w:hAnsi="仿宋" w:eastAsia="仿宋" w:cs="仿宋"/>
          <w:sz w:val="24"/>
          <w:szCs w:val="24"/>
          <w:lang w:eastAsia="zh-CN"/>
        </w:rPr>
      </w:pPr>
    </w:p>
    <w:p>
      <w:pPr>
        <w:keepNext w:val="0"/>
        <w:keepLines w:val="0"/>
        <w:widowControl w:val="0"/>
        <w:suppressLineNumbers w:val="0"/>
        <w:spacing w:before="0" w:beforeAutospacing="0" w:after="0" w:afterAutospacing="0"/>
        <w:ind w:left="0" w:right="0" w:firstLine="640"/>
        <w:jc w:val="both"/>
        <w:rPr>
          <w:rFonts w:hint="eastAsia" w:ascii="仿宋" w:hAnsi="仿宋" w:eastAsia="仿宋" w:cs="仿宋"/>
          <w:kern w:val="2"/>
          <w:sz w:val="24"/>
          <w:szCs w:val="24"/>
          <w:lang w:val="en-US" w:eastAsia="zh-CN" w:bidi="ar"/>
        </w:rPr>
      </w:pPr>
    </w:p>
    <w:p>
      <w:pPr>
        <w:keepNext w:val="0"/>
        <w:keepLines w:val="0"/>
        <w:widowControl w:val="0"/>
        <w:numPr>
          <w:ilvl w:val="0"/>
          <w:numId w:val="0"/>
        </w:numPr>
        <w:suppressLineNumbers w:val="0"/>
        <w:spacing w:before="0" w:beforeAutospacing="0" w:after="0" w:afterAutospacing="0"/>
        <w:ind w:left="640" w:leftChars="0" w:right="0" w:rightChars="0"/>
        <w:jc w:val="both"/>
        <w:rPr>
          <w:rFonts w:hint="eastAsia" w:ascii="仿宋" w:hAnsi="仿宋" w:eastAsia="仿宋" w:cs="仿宋"/>
          <w:sz w:val="24"/>
          <w:szCs w:val="24"/>
          <w:lang w:val="en-US"/>
        </w:rPr>
      </w:pPr>
    </w:p>
    <w:p>
      <w:pPr>
        <w:keepNext w:val="0"/>
        <w:keepLines w:val="0"/>
        <w:widowControl w:val="0"/>
        <w:numPr>
          <w:ilvl w:val="0"/>
          <w:numId w:val="0"/>
        </w:numPr>
        <w:suppressLineNumbers w:val="0"/>
        <w:spacing w:before="0" w:beforeAutospacing="0" w:after="0" w:afterAutospacing="0"/>
        <w:ind w:left="640" w:leftChars="0" w:right="0" w:rightChars="0"/>
        <w:jc w:val="both"/>
        <w:rPr>
          <w:rFonts w:hint="eastAsia" w:ascii="仿宋" w:hAnsi="仿宋" w:eastAsia="仿宋" w:cs="仿宋"/>
          <w:sz w:val="24"/>
          <w:szCs w:val="24"/>
          <w:lang w:val="en-US"/>
        </w:rPr>
      </w:pPr>
      <w:bookmarkStart w:id="1" w:name="_GoBack"/>
      <w:bookmarkEnd w:id="1"/>
    </w:p>
    <w:p>
      <w:pPr>
        <w:keepNext w:val="0"/>
        <w:keepLines w:val="0"/>
        <w:widowControl w:val="0"/>
        <w:suppressLineNumbers w:val="0"/>
        <w:spacing w:before="0" w:beforeAutospacing="0" w:after="0" w:afterAutospacing="0"/>
        <w:ind w:left="0" w:right="0"/>
        <w:jc w:val="both"/>
        <w:rPr>
          <w:rFonts w:hint="eastAsia" w:ascii="仿宋" w:hAnsi="仿宋" w:eastAsia="仿宋" w:cs="仿宋"/>
          <w:sz w:val="24"/>
          <w:szCs w:val="24"/>
          <w:lang w:val="en-US"/>
        </w:rPr>
      </w:pPr>
    </w:p>
    <w:p>
      <w:pPr>
        <w:keepNext w:val="0"/>
        <w:keepLines w:val="0"/>
        <w:widowControl w:val="0"/>
        <w:suppressLineNumbers w:val="0"/>
        <w:spacing w:before="0" w:beforeAutospacing="0" w:after="0" w:afterAutospacing="0"/>
        <w:ind w:left="0" w:right="0"/>
        <w:jc w:val="both"/>
        <w:rPr>
          <w:rFonts w:hint="eastAsia" w:ascii="仿宋" w:hAnsi="仿宋" w:eastAsia="仿宋" w:cs="仿宋"/>
          <w:sz w:val="24"/>
          <w:szCs w:val="24"/>
          <w:lang w:val="en-US"/>
        </w:rPr>
      </w:pPr>
    </w:p>
    <w:p>
      <w:pPr>
        <w:keepNext w:val="0"/>
        <w:keepLines w:val="0"/>
        <w:widowControl w:val="0"/>
        <w:suppressLineNumbers w:val="0"/>
        <w:spacing w:before="0" w:beforeAutospacing="0" w:after="0" w:afterAutospacing="0"/>
        <w:ind w:left="0" w:right="0"/>
        <w:jc w:val="both"/>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 xml:space="preserve">                                  禹州市公安局</w:t>
      </w:r>
    </w:p>
    <w:p>
      <w:pPr>
        <w:keepNext w:val="0"/>
        <w:keepLines w:val="0"/>
        <w:widowControl w:val="0"/>
        <w:suppressLineNumbers w:val="0"/>
        <w:spacing w:before="0" w:beforeAutospacing="0" w:after="0" w:afterAutospacing="0"/>
        <w:ind w:left="0" w:right="0"/>
        <w:jc w:val="both"/>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 xml:space="preserve">                                2018年4月28日</w:t>
      </w:r>
    </w:p>
    <w:p>
      <w:pPr>
        <w:keepNext w:val="0"/>
        <w:keepLines w:val="0"/>
        <w:widowControl w:val="0"/>
        <w:suppressLineNumbers w:val="0"/>
        <w:spacing w:before="0" w:beforeAutospacing="0" w:after="0" w:afterAutospacing="0"/>
        <w:ind w:left="0" w:right="0"/>
        <w:jc w:val="both"/>
        <w:rPr>
          <w:rFonts w:hint="eastAsia" w:ascii="仿宋" w:hAnsi="仿宋" w:eastAsia="仿宋" w:cs="仿宋"/>
          <w:sz w:val="24"/>
          <w:szCs w:val="24"/>
          <w:lang w:val="en-US"/>
        </w:rPr>
      </w:pPr>
    </w:p>
    <w:p>
      <w:pPr>
        <w:rPr>
          <w:rFonts w:hint="eastAsia" w:ascii="仿宋" w:hAnsi="仿宋" w:eastAsia="仿宋" w:cs="仿宋"/>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C9CB2"/>
    <w:multiLevelType w:val="singleLevel"/>
    <w:tmpl w:val="5A4C9CB2"/>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C96DC8"/>
    <w:rsid w:val="1DC11B34"/>
    <w:rsid w:val="2C864447"/>
    <w:rsid w:val="2CD34667"/>
    <w:rsid w:val="34C96DC8"/>
    <w:rsid w:val="47C702FE"/>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7">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cs="Calibri"/>
      <w:sz w:val="20"/>
      <w:szCs w:val="20"/>
    </w:rPr>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eastAsia="宋体" w:cs="Courier New"/>
      <w:kern w:val="2"/>
      <w:sz w:val="21"/>
      <w:szCs w:val="21"/>
      <w:lang w:val="en-US" w:eastAsia="zh-CN" w:bidi="ar-SA"/>
    </w:rPr>
  </w:style>
  <w:style w:type="paragraph" w:styleId="3">
    <w:name w:val="footer"/>
    <w:basedOn w:val="1"/>
    <w:qFormat/>
    <w:uiPriority w:val="0"/>
    <w:pPr>
      <w:pBdr>
        <w:top w:val="single" w:color="auto" w:sz="4" w:space="1"/>
      </w:pBd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qFormat/>
    <w:uiPriority w:val="0"/>
    <w:rPr>
      <w:rFonts w:ascii="Arial" w:hAnsi="Arial" w:eastAsia="黑体"/>
      <w:kern w:val="2"/>
      <w:sz w:val="21"/>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10</TotalTime>
  <ScaleCrop>false</ScaleCrop>
  <LinksUpToDate>false</LinksUpToDate>
  <CharactersWithSpaces>0</CharactersWithSpaces>
  <Application>WPS Office_10.1.0.7311_F1E327BC-269C-435d-A152-05C5408002CA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2018-04-28T03:20:00Z</dcterms:created>
  <dc:creator>樱花草</dc:creator>
  <cp:lastModifiedBy>樱花草</cp:lastModifiedBy>
  <cp:lastPrinted>2018-04-28T03:43:00Z</cp:lastPrinted>
  <dcterms:modified xsi:type="dcterms:W3CDTF">2018-04-28T03:48:07Z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ies>
</file>