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50" w:lineRule="exact"/>
        <w:jc w:val="center"/>
        <w:rPr>
          <w:rFonts w:ascii="宋体" w:hAnsi="宋体"/>
          <w:sz w:val="24"/>
          <w:shd w:val="clear" w:color="auto" w:fill="FFFFFF"/>
        </w:rPr>
      </w:pPr>
      <w:r>
        <w:rPr>
          <w:rFonts w:hint="eastAsia" w:ascii="黑体" w:hAnsi="宋体" w:eastAsia="黑体"/>
          <w:b/>
          <w:sz w:val="28"/>
          <w:szCs w:val="28"/>
        </w:rPr>
        <w:t>　项目概况及其它要求</w:t>
      </w:r>
    </w:p>
    <w:p>
      <w:pPr>
        <w:spacing w:line="460" w:lineRule="exact"/>
        <w:ind w:firstLine="482" w:firstLineChars="200"/>
        <w:rPr>
          <w:rFonts w:ascii="宋体" w:hAnsi="宋体"/>
          <w:b/>
          <w:bCs/>
          <w:sz w:val="24"/>
        </w:rPr>
      </w:pPr>
      <w:r>
        <w:rPr>
          <w:rFonts w:hint="eastAsia" w:ascii="宋体" w:hAnsi="宋体"/>
          <w:b/>
          <w:bCs/>
          <w:sz w:val="24"/>
        </w:rPr>
        <w:t>一、工程概况</w:t>
      </w:r>
    </w:p>
    <w:p>
      <w:pPr>
        <w:spacing w:line="460" w:lineRule="exact"/>
        <w:ind w:firstLine="480" w:firstLineChars="200"/>
        <w:rPr>
          <w:rFonts w:ascii="宋体" w:hAnsi="宋体"/>
          <w:bCs/>
          <w:sz w:val="24"/>
        </w:rPr>
      </w:pPr>
      <w:r>
        <w:rPr>
          <w:rFonts w:hint="eastAsia" w:ascii="宋体" w:hAnsi="宋体"/>
          <w:bCs/>
          <w:sz w:val="24"/>
        </w:rPr>
        <w:t>许昌市建安区陈曹乡许东村环境整治项目，许昌市建安区陈曹乡许东村，本项目施工范围为胸径或干径：8-10CM垂柳478株、胸径或干径：8-10CM核桃树478株、绿地起坡造型615m3</w:t>
      </w:r>
    </w:p>
    <w:p>
      <w:pPr>
        <w:spacing w:line="460" w:lineRule="exact"/>
        <w:ind w:firstLine="482" w:firstLineChars="200"/>
        <w:rPr>
          <w:rFonts w:ascii="宋体" w:hAnsi="宋体"/>
          <w:b/>
          <w:bCs/>
          <w:sz w:val="24"/>
        </w:rPr>
      </w:pPr>
      <w:r>
        <w:rPr>
          <w:rFonts w:hint="eastAsia" w:ascii="宋体" w:hAnsi="宋体"/>
          <w:b/>
          <w:bCs/>
          <w:sz w:val="24"/>
        </w:rPr>
        <w:t>二、招标范围</w:t>
      </w:r>
    </w:p>
    <w:p>
      <w:pPr>
        <w:spacing w:line="460" w:lineRule="exact"/>
        <w:ind w:firstLine="480" w:firstLineChars="200"/>
        <w:rPr>
          <w:rFonts w:ascii="宋体" w:hAnsi="宋体"/>
          <w:bCs/>
          <w:sz w:val="24"/>
        </w:rPr>
      </w:pPr>
      <w:r>
        <w:rPr>
          <w:rFonts w:hint="eastAsia" w:ascii="宋体" w:hAnsi="宋体"/>
          <w:bCs/>
          <w:sz w:val="24"/>
        </w:rPr>
        <w:t>招标文件、工程量清单、答疑纪要和补充文件（如有）范围内的所有建设内容。</w:t>
      </w:r>
    </w:p>
    <w:p>
      <w:pPr>
        <w:spacing w:line="460" w:lineRule="exact"/>
        <w:ind w:firstLine="482" w:firstLineChars="200"/>
        <w:rPr>
          <w:rFonts w:ascii="宋体" w:hAnsi="宋体"/>
          <w:b/>
          <w:bCs/>
          <w:sz w:val="24"/>
        </w:rPr>
      </w:pPr>
      <w:r>
        <w:rPr>
          <w:rFonts w:hint="eastAsia" w:ascii="宋体" w:hAnsi="宋体"/>
          <w:b/>
          <w:bCs/>
          <w:sz w:val="24"/>
        </w:rPr>
        <w:t>三、资格要求</w:t>
      </w:r>
    </w:p>
    <w:p>
      <w:pPr>
        <w:spacing w:line="460" w:lineRule="exact"/>
        <w:ind w:firstLine="482" w:firstLineChars="200"/>
        <w:rPr>
          <w:rFonts w:ascii="宋体" w:hAnsi="宋体"/>
          <w:bCs/>
          <w:sz w:val="24"/>
        </w:rPr>
      </w:pPr>
      <w:r>
        <w:rPr>
          <w:rFonts w:ascii="宋体" w:hAnsi="宋体"/>
          <w:b/>
          <w:bCs/>
          <w:sz w:val="24"/>
        </w:rPr>
        <w:t>1</w:t>
      </w:r>
      <w:r>
        <w:rPr>
          <w:rFonts w:hint="eastAsia" w:ascii="宋体" w:hAnsi="宋体"/>
          <w:b/>
          <w:bCs/>
          <w:sz w:val="24"/>
        </w:rPr>
        <w:t>、</w:t>
      </w:r>
      <w:r>
        <w:rPr>
          <w:rFonts w:hint="eastAsia" w:ascii="宋体" w:hAnsi="宋体"/>
          <w:bCs/>
          <w:sz w:val="24"/>
        </w:rPr>
        <w:t>具备《中华人民共和国政府采购法》第二十二条规定；</w:t>
      </w:r>
    </w:p>
    <w:p>
      <w:pPr>
        <w:spacing w:line="460" w:lineRule="exact"/>
        <w:ind w:firstLine="482" w:firstLineChars="200"/>
        <w:rPr>
          <w:rFonts w:ascii="宋体" w:hAnsi="宋体"/>
          <w:bCs/>
          <w:sz w:val="24"/>
        </w:rPr>
      </w:pPr>
      <w:r>
        <w:rPr>
          <w:rFonts w:ascii="宋体" w:hAnsi="宋体"/>
          <w:b/>
          <w:bCs/>
          <w:sz w:val="24"/>
        </w:rPr>
        <w:t>2</w:t>
      </w:r>
      <w:r>
        <w:rPr>
          <w:rFonts w:hint="eastAsia" w:ascii="宋体" w:hAnsi="宋体"/>
          <w:b/>
          <w:bCs/>
          <w:sz w:val="24"/>
        </w:rPr>
        <w:t>、</w:t>
      </w:r>
      <w:r>
        <w:rPr>
          <w:rFonts w:hint="eastAsia" w:ascii="宋体" w:hAnsi="宋体"/>
          <w:bCs/>
          <w:sz w:val="24"/>
        </w:rPr>
        <w:t>具备</w:t>
      </w:r>
      <w:r>
        <w:rPr>
          <w:rFonts w:ascii="宋体" w:hAnsi="宋体"/>
          <w:bCs/>
          <w:sz w:val="24"/>
        </w:rPr>
        <w:t>市政公用工程施工总承包</w:t>
      </w:r>
      <w:r>
        <w:rPr>
          <w:rFonts w:hint="eastAsia" w:ascii="宋体" w:hAnsi="宋体"/>
          <w:bCs/>
          <w:sz w:val="24"/>
        </w:rPr>
        <w:t>三级及以上资质，具备有效的安全生产许可证；</w:t>
      </w:r>
    </w:p>
    <w:p>
      <w:pPr>
        <w:spacing w:line="460" w:lineRule="exact"/>
        <w:ind w:firstLine="482" w:firstLineChars="200"/>
        <w:rPr>
          <w:rFonts w:ascii="宋体" w:hAnsi="宋体"/>
          <w:bCs/>
          <w:sz w:val="24"/>
        </w:rPr>
      </w:pPr>
      <w:r>
        <w:rPr>
          <w:rFonts w:hint="eastAsia" w:ascii="宋体" w:hAnsi="宋体"/>
          <w:b/>
          <w:bCs/>
          <w:sz w:val="24"/>
        </w:rPr>
        <w:t>3、</w:t>
      </w:r>
      <w:r>
        <w:rPr>
          <w:rFonts w:hint="eastAsia" w:ascii="宋体" w:hAnsi="宋体"/>
          <w:bCs/>
          <w:sz w:val="24"/>
        </w:rPr>
        <w:t>拟派项目经理必须具备市政公用工程专业贰级及以上注册建造师资格并具备有效的安全生产考核证书同时具有中级及以上职称，且未担任其他在施建设工程项目。</w:t>
      </w:r>
    </w:p>
    <w:p>
      <w:pPr>
        <w:spacing w:line="460" w:lineRule="exact"/>
        <w:ind w:firstLine="482" w:firstLineChars="200"/>
        <w:rPr>
          <w:rFonts w:ascii="宋体" w:hAnsi="宋体"/>
          <w:bCs/>
          <w:sz w:val="24"/>
        </w:rPr>
      </w:pPr>
      <w:r>
        <w:rPr>
          <w:rFonts w:hint="eastAsia" w:ascii="宋体" w:hAnsi="宋体"/>
          <w:b/>
          <w:bCs/>
          <w:sz w:val="24"/>
        </w:rPr>
        <w:t>4、</w:t>
      </w:r>
      <w:r>
        <w:rPr>
          <w:rFonts w:hint="eastAsia" w:ascii="宋体" w:hAnsi="宋体"/>
          <w:bCs/>
          <w:sz w:val="24"/>
        </w:rPr>
        <w:t>供应商及其主要工作人员自2015年以来在经营活动中没有重大违法记录（以检察机关出具的查询行贿犯罪档案结果告知函为准）。</w:t>
      </w:r>
    </w:p>
    <w:p>
      <w:pPr>
        <w:spacing w:line="460" w:lineRule="exact"/>
        <w:ind w:firstLine="482" w:firstLineChars="200"/>
        <w:rPr>
          <w:rFonts w:ascii="宋体" w:hAnsi="宋体"/>
          <w:bCs/>
          <w:sz w:val="24"/>
        </w:rPr>
      </w:pPr>
      <w:r>
        <w:rPr>
          <w:rFonts w:hint="eastAsia" w:ascii="宋体" w:hAnsi="宋体"/>
          <w:b/>
          <w:bCs/>
          <w:sz w:val="24"/>
        </w:rPr>
        <w:t>5、</w:t>
      </w:r>
      <w:r>
        <w:rPr>
          <w:rFonts w:hint="eastAsia" w:ascii="宋体" w:hAnsi="宋体"/>
          <w:bCs/>
          <w:sz w:val="24"/>
        </w:rPr>
        <w:t>不接受联合体投标。</w:t>
      </w:r>
    </w:p>
    <w:p>
      <w:pPr>
        <w:spacing w:line="460" w:lineRule="exact"/>
        <w:ind w:firstLine="482" w:firstLineChars="200"/>
        <w:rPr>
          <w:rFonts w:ascii="宋体" w:hAnsi="宋体"/>
          <w:bCs/>
          <w:sz w:val="24"/>
        </w:rPr>
      </w:pPr>
      <w:r>
        <w:rPr>
          <w:rFonts w:hint="eastAsia" w:ascii="宋体" w:hAnsi="宋体"/>
          <w:b/>
          <w:bCs/>
          <w:sz w:val="24"/>
        </w:rPr>
        <w:t>6、</w:t>
      </w:r>
      <w:r>
        <w:rPr>
          <w:rFonts w:hint="eastAsia" w:ascii="宋体" w:hAnsi="宋体"/>
          <w:bCs/>
          <w:sz w:val="24"/>
        </w:rPr>
        <w:t>未被列入失信被执行人、政府采购严重违法失信行为记录名单及其他不符合《中华人民共和国政府采购法》第二十二条规定条件的供应商。</w:t>
      </w:r>
    </w:p>
    <w:p>
      <w:pPr>
        <w:spacing w:line="460" w:lineRule="exact"/>
        <w:ind w:firstLine="482" w:firstLineChars="200"/>
        <w:rPr>
          <w:rFonts w:ascii="宋体" w:hAnsi="宋体"/>
          <w:b/>
          <w:bCs/>
          <w:sz w:val="24"/>
        </w:rPr>
      </w:pPr>
      <w:r>
        <w:rPr>
          <w:rFonts w:hint="eastAsia" w:ascii="宋体" w:hAnsi="宋体"/>
          <w:b/>
          <w:bCs/>
          <w:sz w:val="24"/>
        </w:rPr>
        <w:t>四、采购预算</w:t>
      </w:r>
    </w:p>
    <w:p>
      <w:pPr>
        <w:spacing w:line="460" w:lineRule="exact"/>
        <w:ind w:firstLine="480" w:firstLineChars="200"/>
        <w:rPr>
          <w:rFonts w:ascii="宋体" w:hAnsi="宋体"/>
          <w:bCs/>
          <w:sz w:val="24"/>
        </w:rPr>
      </w:pPr>
      <w:r>
        <w:rPr>
          <w:rFonts w:hint="eastAsia" w:ascii="宋体" w:hAnsi="宋体"/>
          <w:bCs/>
          <w:sz w:val="24"/>
        </w:rPr>
        <w:t>339247.26元（财政拨款）</w:t>
      </w:r>
    </w:p>
    <w:p>
      <w:pPr>
        <w:spacing w:line="460" w:lineRule="exact"/>
        <w:ind w:firstLine="482" w:firstLineChars="200"/>
        <w:rPr>
          <w:rFonts w:ascii="宋体" w:hAnsi="宋体"/>
          <w:b/>
          <w:bCs/>
          <w:sz w:val="24"/>
        </w:rPr>
      </w:pPr>
      <w:r>
        <w:rPr>
          <w:rFonts w:hint="eastAsia" w:ascii="宋体" w:hAnsi="宋体"/>
          <w:b/>
          <w:bCs/>
          <w:sz w:val="24"/>
        </w:rPr>
        <w:t>五、目标工期</w:t>
      </w:r>
    </w:p>
    <w:p>
      <w:pPr>
        <w:spacing w:line="460" w:lineRule="exact"/>
        <w:ind w:firstLine="480" w:firstLineChars="200"/>
        <w:rPr>
          <w:rFonts w:ascii="宋体" w:hAnsi="宋体"/>
          <w:bCs/>
          <w:sz w:val="24"/>
        </w:rPr>
      </w:pPr>
      <w:r>
        <w:rPr>
          <w:rFonts w:hint="eastAsia" w:ascii="宋体" w:hAnsi="宋体"/>
          <w:bCs/>
          <w:sz w:val="24"/>
        </w:rPr>
        <w:t>30日历天</w:t>
      </w:r>
    </w:p>
    <w:p>
      <w:pPr>
        <w:spacing w:line="460" w:lineRule="exact"/>
        <w:ind w:firstLine="482" w:firstLineChars="200"/>
        <w:rPr>
          <w:rFonts w:ascii="宋体" w:hAnsi="宋体"/>
          <w:b/>
          <w:bCs/>
          <w:sz w:val="24"/>
        </w:rPr>
      </w:pPr>
      <w:r>
        <w:rPr>
          <w:rFonts w:hint="eastAsia" w:ascii="宋体" w:hAnsi="宋体"/>
          <w:b/>
          <w:bCs/>
          <w:sz w:val="24"/>
        </w:rPr>
        <w:t>六、质量要求</w:t>
      </w:r>
    </w:p>
    <w:p>
      <w:pPr>
        <w:spacing w:line="460" w:lineRule="exact"/>
        <w:ind w:firstLine="480" w:firstLineChars="200"/>
        <w:rPr>
          <w:rFonts w:ascii="宋体" w:hAnsi="宋体"/>
          <w:bCs/>
          <w:sz w:val="24"/>
        </w:rPr>
      </w:pPr>
      <w:r>
        <w:rPr>
          <w:rFonts w:hint="eastAsia" w:ascii="宋体" w:hAnsi="宋体"/>
          <w:bCs/>
          <w:sz w:val="24"/>
        </w:rPr>
        <w:t>达到国家建设工程质量验收的规范和标准（合格）。</w:t>
      </w:r>
    </w:p>
    <w:p>
      <w:pPr>
        <w:spacing w:line="460" w:lineRule="exact"/>
        <w:rPr>
          <w:rFonts w:ascii="黑体" w:hAnsi="黑体" w:eastAsia="黑体"/>
          <w:b/>
          <w:sz w:val="28"/>
        </w:rPr>
      </w:pPr>
    </w:p>
    <w:p>
      <w:pPr>
        <w:spacing w:line="460" w:lineRule="exact"/>
        <w:rPr>
          <w:rFonts w:ascii="黑体" w:hAnsi="黑体" w:eastAsia="黑体"/>
          <w:b/>
          <w:sz w:val="28"/>
        </w:rPr>
      </w:pPr>
    </w:p>
    <w:p>
      <w:pPr>
        <w:spacing w:line="460" w:lineRule="exact"/>
        <w:rPr>
          <w:rFonts w:ascii="黑体" w:hAnsi="黑体" w:eastAsia="黑体"/>
          <w:b/>
          <w:sz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D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2018-04-27T07:05:15Z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