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420" w:leftChars="0" w:hanging="420" w:firstLineChars="0"/>
        <w:rPr>
          <w:lang w:val="zh-CN"/>
        </w:rPr>
      </w:pPr>
      <w:bookmarkStart w:id="0" w:name="_Toc27511"/>
      <w:r>
        <w:rPr>
          <w:rFonts w:hint="eastAsia"/>
          <w:lang w:val="zh-CN"/>
        </w:rPr>
        <w:t>开标一览表</w:t>
      </w:r>
      <w:bookmarkEnd w:id="0"/>
    </w:p>
    <w:p>
      <w:pPr>
        <w:autoSpaceDE w:val="0"/>
        <w:autoSpaceDN w:val="0"/>
        <w:adjustRightInd w:val="0"/>
        <w:spacing w:line="140" w:lineRule="exact"/>
        <w:rPr>
          <w:rFonts w:ascii="宋体" w:cs="宋体"/>
          <w:b/>
          <w:bCs/>
          <w:sz w:val="24"/>
          <w:lang w:val="zh-CN"/>
        </w:rPr>
      </w:pPr>
    </w:p>
    <w:tbl>
      <w:tblPr>
        <w:tblStyle w:val="5"/>
        <w:tblW w:w="8580" w:type="dxa"/>
        <w:tblInd w:w="0" w:type="dxa"/>
        <w:tblLayout w:type="fixed"/>
        <w:tblCellMar>
          <w:top w:w="0" w:type="dxa"/>
          <w:left w:w="108" w:type="dxa"/>
          <w:bottom w:w="0" w:type="dxa"/>
          <w:right w:w="108" w:type="dxa"/>
        </w:tblCellMar>
      </w:tblPr>
      <w:tblGrid>
        <w:gridCol w:w="739"/>
        <w:gridCol w:w="1650"/>
        <w:gridCol w:w="2802"/>
        <w:gridCol w:w="2235"/>
        <w:gridCol w:w="1154"/>
      </w:tblGrid>
      <w:tr>
        <w:tblPrEx>
          <w:tblLayout w:type="fixed"/>
          <w:tblCellMar>
            <w:top w:w="0" w:type="dxa"/>
            <w:left w:w="108" w:type="dxa"/>
            <w:bottom w:w="0" w:type="dxa"/>
            <w:right w:w="108" w:type="dxa"/>
          </w:tblCellMar>
        </w:tblPrEx>
        <w:trPr>
          <w:trHeight w:val="466" w:hRule="atLeast"/>
        </w:trPr>
        <w:tc>
          <w:tcPr>
            <w:tcW w:w="7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标段</w:t>
            </w: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2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工期</w:t>
            </w:r>
          </w:p>
        </w:tc>
        <w:tc>
          <w:tcPr>
            <w:tcW w:w="11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Layout w:type="fixed"/>
          <w:tblCellMar>
            <w:top w:w="0" w:type="dxa"/>
            <w:left w:w="108" w:type="dxa"/>
            <w:bottom w:w="0" w:type="dxa"/>
            <w:right w:w="108" w:type="dxa"/>
          </w:tblCellMar>
        </w:tblPrEx>
        <w:trPr>
          <w:trHeight w:val="444" w:hRule="atLeast"/>
        </w:trPr>
        <w:tc>
          <w:tcPr>
            <w:tcW w:w="7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食品药品监管信息化平台（一期）项目</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zh-CN"/>
              </w:rPr>
              <w:t>大写：</w:t>
            </w:r>
            <w:r>
              <w:rPr>
                <w:rFonts w:hint="eastAsia" w:ascii="宋体" w:hAnsi="宋体" w:cs="宋体"/>
                <w:sz w:val="24"/>
                <w:szCs w:val="24"/>
                <w:lang w:val="en-US" w:eastAsia="zh-CN"/>
              </w:rPr>
              <w:t>叁佰万元整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小写：</w:t>
            </w:r>
            <w:r>
              <w:rPr>
                <w:rFonts w:hint="eastAsia" w:ascii="宋体" w:hAnsi="宋体" w:cs="宋体"/>
                <w:sz w:val="24"/>
                <w:szCs w:val="24"/>
                <w:lang w:val="en-US" w:eastAsia="zh-CN"/>
              </w:rPr>
              <w:t>3，000，000.00元</w:t>
            </w:r>
          </w:p>
        </w:tc>
        <w:tc>
          <w:tcPr>
            <w:tcW w:w="2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val="en-US" w:eastAsia="zh-CN"/>
              </w:rPr>
              <w:t>硬件部分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自签订合同之日起20个自然日内将硬件设备所有物品送达甲方指定地点。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cs="宋体"/>
                <w:color w:val="000000"/>
                <w:sz w:val="24"/>
                <w:szCs w:val="24"/>
                <w:lang w:val="en-US" w:eastAsia="zh-CN"/>
              </w:rPr>
              <w:t>软件部分：</w:t>
            </w:r>
            <w:r>
              <w:rPr>
                <w:rFonts w:hint="eastAsia" w:ascii="宋体" w:hAnsi="宋体" w:eastAsia="宋体" w:cs="宋体"/>
                <w:sz w:val="24"/>
                <w:szCs w:val="24"/>
              </w:rPr>
              <w:t>自签订合同之日起8周内完成软件的交付使用。</w:t>
            </w:r>
          </w:p>
        </w:tc>
        <w:tc>
          <w:tcPr>
            <w:tcW w:w="11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cs="宋体"/>
          <w:sz w:val="24"/>
          <w:lang w:val="zh-CN"/>
        </w:rPr>
      </w:pPr>
      <w:r>
        <w:rPr>
          <w:rFonts w:hint="eastAsia" w:ascii="宋体" w:cs="宋体"/>
          <w:sz w:val="24"/>
          <w:lang w:val="zh-CN"/>
        </w:rPr>
        <w:t>投标人（公章）：</w:t>
      </w:r>
      <w:r>
        <w:rPr>
          <w:rFonts w:hint="eastAsia" w:ascii="宋体" w:cs="宋体"/>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cs="宋体"/>
          <w:sz w:val="24"/>
          <w:lang w:val="zh-CN"/>
        </w:rPr>
      </w:pPr>
      <w:r>
        <w:rPr>
          <w:rFonts w:hint="eastAsia" w:ascii="宋体" w:cs="宋体"/>
          <w:sz w:val="24"/>
          <w:lang w:val="en-US" w:eastAsia="zh-CN"/>
        </w:rPr>
        <w:t>航天信息股份有限公司           河南继元智能科技股份有限公司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cs="宋体"/>
          <w:sz w:val="24"/>
          <w:lang w:val="zh-CN"/>
        </w:rPr>
      </w:pPr>
      <w:r>
        <w:rPr>
          <w:rFonts w:hint="eastAsia" w:ascii="宋体" w:cs="宋体"/>
          <w:sz w:val="24"/>
          <w:lang w:val="zh-CN"/>
        </w:rPr>
        <w:t>投标人法定代表人（或代理人）签字：</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cs="宋体"/>
          <w:sz w:val="24"/>
          <w:lang w:val="zh-CN"/>
        </w:rPr>
      </w:pPr>
      <w:r>
        <w:rPr>
          <w:rFonts w:hint="eastAsia" w:ascii="宋体" w:cs="宋体"/>
          <w:sz w:val="24"/>
          <w:lang w:val="zh-CN"/>
        </w:rPr>
        <w:t>日期：2018年4月24日</w:t>
      </w:r>
    </w:p>
    <w:p>
      <w:pPr>
        <w:ind w:left="0" w:leftChars="0" w:firstLine="0" w:firstLineChars="0"/>
        <w:rPr>
          <w:rFonts w:hint="eastAsia" w:ascii="宋体" w:cs="宋体"/>
          <w:sz w:val="24"/>
          <w:lang w:val="zh-CN"/>
        </w:rPr>
      </w:pPr>
      <w:r>
        <w:rPr>
          <w:rFonts w:hint="eastAsia" w:ascii="宋体" w:cs="宋体"/>
          <w:sz w:val="24"/>
          <w:lang w:val="zh-CN"/>
        </w:rPr>
        <w:t>注：</w:t>
      </w:r>
      <w:r>
        <w:rPr>
          <w:rFonts w:hint="eastAsia" w:ascii="宋体" w:hAnsi="Calibri" w:cs="宋体"/>
          <w:sz w:val="24"/>
          <w:lang w:val="zh-CN"/>
        </w:rPr>
        <w:t>工期指完成该项目的最终时间（日历天）</w:t>
      </w:r>
      <w:r>
        <w:rPr>
          <w:rFonts w:hint="eastAsia" w:ascii="宋体" w:cs="宋体"/>
          <w:sz w:val="24"/>
          <w:lang w:val="zh-CN"/>
        </w:rPr>
        <w:t>。</w:t>
      </w:r>
    </w:p>
    <w:p>
      <w:pPr>
        <w:pStyle w:val="3"/>
        <w:ind w:left="420" w:leftChars="0" w:hanging="420" w:firstLineChars="0"/>
        <w:rPr>
          <w:lang w:val="zh-CN"/>
        </w:rPr>
      </w:pPr>
      <w:r>
        <w:rPr>
          <w:rFonts w:hint="eastAsia"/>
          <w:lang w:val="en-US" w:eastAsia="zh-CN"/>
        </w:rPr>
        <w:br w:type="page"/>
      </w:r>
      <w:bookmarkStart w:id="1" w:name="_Toc16434"/>
      <w:bookmarkStart w:id="2" w:name="_Toc113"/>
      <w:bookmarkStart w:id="3" w:name="_Toc28566"/>
      <w:r>
        <w:rPr>
          <w:rFonts w:hint="eastAsia"/>
          <w:lang w:val="zh-CN"/>
        </w:rPr>
        <w:t>投标分项报价</w:t>
      </w:r>
      <w:r>
        <w:rPr>
          <w:rFonts w:hint="eastAsia"/>
        </w:rPr>
        <w:t>一</w:t>
      </w:r>
      <w:r>
        <w:rPr>
          <w:rFonts w:hint="eastAsia"/>
          <w:lang w:val="zh-CN"/>
        </w:rPr>
        <w:t>览表</w:t>
      </w:r>
      <w:bookmarkEnd w:id="1"/>
      <w:bookmarkEnd w:id="2"/>
      <w:bookmarkEnd w:id="3"/>
    </w:p>
    <w:p>
      <w:pPr>
        <w:autoSpaceDE w:val="0"/>
        <w:autoSpaceDN w:val="0"/>
        <w:adjustRightInd w:val="0"/>
        <w:spacing w:line="140" w:lineRule="exact"/>
        <w:rPr>
          <w:rFonts w:ascii="宋体" w:cs="宋体"/>
          <w:b/>
          <w:bCs/>
          <w:sz w:val="24"/>
          <w:lang w:val="zh-CN"/>
        </w:rPr>
      </w:pPr>
    </w:p>
    <w:tbl>
      <w:tblPr>
        <w:tblStyle w:val="5"/>
        <w:tblW w:w="8600" w:type="dxa"/>
        <w:jc w:val="center"/>
        <w:tblInd w:w="0" w:type="dxa"/>
        <w:tblLayout w:type="fixed"/>
        <w:tblCellMar>
          <w:top w:w="0" w:type="dxa"/>
          <w:left w:w="108" w:type="dxa"/>
          <w:bottom w:w="0" w:type="dxa"/>
          <w:right w:w="108" w:type="dxa"/>
        </w:tblCellMar>
      </w:tblPr>
      <w:tblGrid>
        <w:gridCol w:w="715"/>
        <w:gridCol w:w="780"/>
        <w:gridCol w:w="701"/>
        <w:gridCol w:w="702"/>
        <w:gridCol w:w="1657"/>
        <w:gridCol w:w="465"/>
        <w:gridCol w:w="510"/>
        <w:gridCol w:w="991"/>
        <w:gridCol w:w="988"/>
        <w:gridCol w:w="1091"/>
      </w:tblGrid>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序号</w:t>
            </w:r>
          </w:p>
        </w:tc>
        <w:tc>
          <w:tcPr>
            <w:tcW w:w="7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名 称</w:t>
            </w:r>
          </w:p>
        </w:tc>
        <w:tc>
          <w:tcPr>
            <w:tcW w:w="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品牌</w:t>
            </w:r>
          </w:p>
        </w:tc>
        <w:tc>
          <w:tcPr>
            <w:tcW w:w="7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型号</w:t>
            </w:r>
          </w:p>
        </w:tc>
        <w:tc>
          <w:tcPr>
            <w:tcW w:w="16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技术参数</w:t>
            </w:r>
          </w:p>
        </w:tc>
        <w:tc>
          <w:tcPr>
            <w:tcW w:w="4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单 位</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数 量</w:t>
            </w:r>
          </w:p>
        </w:tc>
        <w:tc>
          <w:tcPr>
            <w:tcW w:w="9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单 价（</w:t>
            </w:r>
            <w:r>
              <w:rPr>
                <w:rFonts w:hint="eastAsia" w:ascii="宋体" w:hAnsi="宋体" w:eastAsia="宋体" w:cs="宋体"/>
                <w:b/>
                <w:bCs/>
                <w:sz w:val="21"/>
                <w:szCs w:val="21"/>
                <w:lang w:val="en-US" w:eastAsia="zh-CN"/>
              </w:rPr>
              <w:t>元</w:t>
            </w:r>
            <w:r>
              <w:rPr>
                <w:rFonts w:hint="eastAsia" w:ascii="宋体" w:hAnsi="宋体" w:eastAsia="宋体" w:cs="宋体"/>
                <w:b/>
                <w:bCs/>
                <w:sz w:val="21"/>
                <w:szCs w:val="21"/>
                <w:lang w:val="zh-CN"/>
              </w:rPr>
              <w:t>）</w:t>
            </w:r>
          </w:p>
        </w:tc>
        <w:tc>
          <w:tcPr>
            <w:tcW w:w="9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总价（</w:t>
            </w:r>
            <w:r>
              <w:rPr>
                <w:rFonts w:hint="eastAsia" w:ascii="宋体" w:hAnsi="宋体" w:eastAsia="宋体" w:cs="宋体"/>
                <w:b/>
                <w:bCs/>
                <w:sz w:val="21"/>
                <w:szCs w:val="21"/>
                <w:lang w:val="en-US" w:eastAsia="zh-CN"/>
              </w:rPr>
              <w:t>元</w:t>
            </w:r>
            <w:r>
              <w:rPr>
                <w:rFonts w:hint="eastAsia" w:ascii="宋体" w:hAnsi="宋体" w:eastAsia="宋体" w:cs="宋体"/>
                <w:b/>
                <w:bCs/>
                <w:sz w:val="21"/>
                <w:szCs w:val="21"/>
                <w:lang w:val="zh-CN"/>
              </w:rPr>
              <w:t>）</w:t>
            </w: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产地及</w:t>
            </w:r>
          </w:p>
          <w:p>
            <w:pPr>
              <w:keepNext w:val="0"/>
              <w:keepLines w:val="0"/>
              <w:pageBreakBefore w:val="0"/>
              <w:widowControl w:val="0"/>
              <w:kinsoku/>
              <w:wordWrap/>
              <w:overflowPunct/>
              <w:topLinePunct w:val="0"/>
              <w:autoSpaceDE w:val="0"/>
              <w:autoSpaceDN w:val="0"/>
              <w:bidi w:val="0"/>
              <w:adjustRightInd w:val="0"/>
              <w:snapToGrid/>
              <w:spacing w:line="240" w:lineRule="auto"/>
              <w:ind w:left="120" w:right="0" w:rightChars="0" w:firstLine="0" w:firstLineChars="0"/>
              <w:jc w:val="center"/>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厂家</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c>
          <w:tcPr>
            <w:tcW w:w="7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移动执法管理系统</w:t>
            </w:r>
          </w:p>
        </w:tc>
        <w:tc>
          <w:tcPr>
            <w:tcW w:w="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Aisino</w:t>
            </w:r>
          </w:p>
        </w:tc>
        <w:tc>
          <w:tcPr>
            <w:tcW w:w="7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16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⑴移动执法管理系统需求：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执法管理系统利用移动通信网络，帮助食品药品安全监管执法人员实现执法现场情况的快速准确描述，实现食品药品安全监管各业务系统的实时数据交互，基于移动执法支撑服务系统实现在监管现场进行信息查询、许可核查、巡查监管、信息反馈、调度管理、绩效考核等。</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⑵部署架构需求：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移动执法设备基于互联网实现接入，通过访问移动执法应用服务器获取需要的服务，保证移动设备访问请求的及时响应，保证服务的不间断持续运行。</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⑶移动执法设备需求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①移动手持终端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支持3G/4G(全网通)的无线智能手持终端；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支持集群对讲、语音调度、视频调度、GPS定位、数据采集。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②移动手持集群调度终端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支持3G/4G无线网络制式；</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集图像回传、视频回传、集群对讲、数据作业、GPS定位于一体；</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支持硬件视频编解码技术、多点触控技术。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③终端采购需求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移动手持终端100个；</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移动手持集群调度终端20个；</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移动执法支撑服务系统用户授权不少于120用户。</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⑴移动执法管理系统需求：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执法管理系统利用移动通信网络，帮助食品药品安全监管执法人员实现执法现场情况的快速准确描述，实现食品药品安全监管各业务系统的实时数据交互，基于移动执法支撑服务系统实现在监管现场进行信息查询、许可核查、巡查监管、信息反馈、调度管理、绩效考核等。</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⑵部署架构需求：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移动执法设备基于互联网实现接入，通过访问移动执法应用服务器获取需要的服务，保证移动设备访问请求的及时响应，保证服务的不间断持续运行。</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⑶移动执法设备需求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①移动手持终端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支持3G/4G(全网通)的无线智能手持终端；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支持集群对讲、语音调度、视频调度、GPS定位、数据采集。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②移动手持集群调度终端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支持3G/4G无线网络制式；</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集图像回传、视频回传、集群对讲、数据作业、GPS定位于一体；</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支持硬件视频编解码技术、多点触控技术。</w:t>
            </w:r>
          </w:p>
        </w:tc>
        <w:tc>
          <w:tcPr>
            <w:tcW w:w="4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35</w:t>
            </w:r>
            <w:r>
              <w:rPr>
                <w:rFonts w:hint="eastAsia" w:ascii="宋体" w:hAnsi="宋体" w:eastAsia="宋体" w:cs="宋体"/>
                <w:sz w:val="21"/>
                <w:szCs w:val="21"/>
                <w:lang w:val="en-US" w:eastAsia="zh-CN"/>
              </w:rPr>
              <w:t>0000</w:t>
            </w:r>
          </w:p>
        </w:tc>
        <w:tc>
          <w:tcPr>
            <w:tcW w:w="9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35</w:t>
            </w:r>
            <w:r>
              <w:rPr>
                <w:rFonts w:hint="eastAsia" w:ascii="宋体" w:hAnsi="宋体" w:eastAsia="宋体" w:cs="宋体"/>
                <w:sz w:val="21"/>
                <w:szCs w:val="21"/>
                <w:lang w:val="en-US" w:eastAsia="zh-CN"/>
              </w:rPr>
              <w:t>0000</w:t>
            </w: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 航天信息股份有限公司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p>
        </w:tc>
        <w:tc>
          <w:tcPr>
            <w:tcW w:w="7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舆情监测系统</w:t>
            </w:r>
          </w:p>
        </w:tc>
        <w:tc>
          <w:tcPr>
            <w:tcW w:w="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Aisino</w:t>
            </w:r>
          </w:p>
        </w:tc>
        <w:tc>
          <w:tcPr>
            <w:tcW w:w="7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16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center"/>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系统功能需求：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⑴舆情信息采集子系统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实现主要知名网络以及对食品药品安全舆论传播有着影响力的新闻站点的监测，自动采集舆情信息，包括信息源定制、信息检索、实时监测、热点信息提取、智能过滤、自动去重、智能存储、趋势分析、RSS 解析等功能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⑵舆情监测管理子系统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通过舆情管理工具，确保舆情监测的内容、方向、形式、范围等内容符合食品药品安全监管要求，实现食品药品安全舆情</w:t>
            </w:r>
            <w:bookmarkStart w:id="4" w:name="_GoBack"/>
            <w:bookmarkEnd w:id="4"/>
            <w:r>
              <w:rPr>
                <w:rFonts w:hint="eastAsia" w:ascii="宋体" w:hAnsi="宋体" w:eastAsia="宋体" w:cs="宋体"/>
                <w:i w:val="0"/>
                <w:color w:val="000000"/>
                <w:kern w:val="0"/>
                <w:sz w:val="21"/>
                <w:szCs w:val="21"/>
                <w:u w:val="none"/>
                <w:lang w:val="en-US" w:eastAsia="zh-CN" w:bidi="ar"/>
              </w:rPr>
              <w:t>监测的广泛性，满足监测内容的精确性。包括配置管理、浏览展示、敏感词库、信息检索等功能。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⑶舆情分析与处理子系统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自动摘要提取、自动敏感词提取、自动分类、自动聚类、主题检测、相关推荐、自动排重、自动过滤等智能分析处理功能。实现热点舆情分析、识别等主要手段，帮助监管人员正确、及时掌握互联网热点信息和突发事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⑷决策支持子系统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实现最近24小时内的舆情监测信息。将采集入库的数据经分析处理后展示在应用界面，重要敏感信息实时推送预警。实现专题追踪、研判预警、舆情报告等业务功能。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⑸信息存储子系统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建立舆情管理的临时信息存储机制和集中存储机制。实现舆情信息的临时存储便于系统进一步实现智能分析；建立信息集中存储实现所存储的数字内容的动态增值。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⑹系统管理子系统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实现包括用户权限管理、关键词维护、模块维护、监测配置管理、日志管理在内的系统管理功能。</w:t>
            </w:r>
          </w:p>
        </w:tc>
        <w:tc>
          <w:tcPr>
            <w:tcW w:w="4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35</w:t>
            </w:r>
            <w:r>
              <w:rPr>
                <w:rFonts w:hint="eastAsia" w:ascii="宋体" w:hAnsi="宋体" w:eastAsia="宋体" w:cs="宋体"/>
                <w:sz w:val="21"/>
                <w:szCs w:val="21"/>
                <w:lang w:val="en-US" w:eastAsia="zh-CN"/>
              </w:rPr>
              <w:t>0000</w:t>
            </w:r>
          </w:p>
        </w:tc>
        <w:tc>
          <w:tcPr>
            <w:tcW w:w="9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35</w:t>
            </w:r>
            <w:r>
              <w:rPr>
                <w:rFonts w:hint="eastAsia" w:ascii="宋体" w:hAnsi="宋体" w:eastAsia="宋体" w:cs="宋体"/>
                <w:sz w:val="21"/>
                <w:szCs w:val="21"/>
                <w:lang w:val="en-US" w:eastAsia="zh-CN"/>
              </w:rPr>
              <w:t>0000</w:t>
            </w: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 航天信息股份有限公司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7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协同办公系统</w:t>
            </w:r>
          </w:p>
        </w:tc>
        <w:tc>
          <w:tcPr>
            <w:tcW w:w="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Aisino</w:t>
            </w:r>
          </w:p>
        </w:tc>
        <w:tc>
          <w:tcPr>
            <w:tcW w:w="7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16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⑴个人事务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①内部邮箱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实现WebMail操作模式的邮件处理将内、外收发邮件的操作浑然一体实现内部邮件与外部邮件系统的集成，统一入口，内部、外部邮件实现共享。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②工作办理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工作办理让用户集中或分类处理需要办理的工作流任务，当接收到一个新任务或尚未办理完成时，都会自动显示在待办列表中。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③信息资讯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信息资讯列出了自己可有权看到的各种分类共项信息，实现栏目管理、信息发布审批、安全及权限、信息查看、内容管理等。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④报表中心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基于协同办公系统提供的报表工具，用户可自行定义各种形式报表，包括简单报表、二维统计分析表(图)、交叉报表等。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⑤日程计划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个人日程的安排与协同，可使日程安排协同到个人的邮件、工作办理、工作计划当中去。同时可实现领导日程安排功能。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⑥计划考核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计划是个人向上级领导汇报个人工作情况和部门向高层汇报部门工作情况的子系统。用户可以按日、周、月、季、年分别汇报个人或部门各阶段性工作的详细情况。实现图表分析工具，可对下属员工或部门上报的工作报告做统计分析，以更好地贯彻执行各项工作任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⑦单位通讯录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实现内部通讯录的管理功能。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⑧个人通讯录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实现个人通讯录管理功能。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⑨记事本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为用户提供私人网络记事本。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⑩即时通讯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即时通讯为用户搭建了一个快速、便捷的内外部沟通平台，实时提醒办公系统个人办公的在线或离线信息用户无论身处何地，随时随地登录，实现远程办公。即时通讯系统实现在线状态感知、即时消息收发、文件传输、消息提醒、部门和用户的操作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⑪电子论坛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实现内部交流的bbs论坛。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⑫个人帐户信息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实现个人账户管理功能。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⑵公文管理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协同办公系统实现自主按照行政公文的格式标准设计本单位的行文格式，并能够按照行政公文的处理要求严格设计和维护收发文流程，并可对表单数据操作权限进行严格的控制。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提供强大的流程监控工具，供办理者对收、发文等公文管理子模块流程的整个过程进行跟踪，对紧急公文进行催办、超时提醒、特殊处理，并可将流程按照业务类别授权给相关用户和领导，对整个流程进行监控、督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公文的格式可以通过模板随时进行设置调整，可以定义在指定节点范围内进行传阅。系统提供的功能模块包括：发文管理、收文管理。每个模块的具体流程可以根据规定而分别配置。版式文件管理根据国家规定使用国家标准OFD格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①发文管理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根据行政公文的办理要求，自定义发文格式以及拟稿、审核、签报、会签、签批、制发、承办、催办、归档、查询、打印、转发、传阅、销毁等标准发文功能，可指定或随机选取相关部门或个人会签，然后交由领导签发，办理完毕后手工或自动归入档案系统。功能包括：流程查看、发文拟稿、发文审批、收回功能、流程跳转、催办功能、查看意见、模版定制、自动留痕、流转日志、发文归档、发文查询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②收文管理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由经办人对文件进行分类、登记、录入，方便用户在办理业务时也能直观而快捷地对各项收文业务跟踪、查询、监控，办理办公后可自动或手工归档。包括查看流程、收文登记、收文办理、收回功能、文档重置、收文催办、查看意见、收文查询、流转日志、收文归档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③红头文件模板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根据用户起草的文种不同，套用相应的红头文件，并控制红头文件隐藏或显示。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⑶公共信息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实现内容主题和栏目的配置管理，对内容进行授权访问。包括通知公告、内部新闻、内部制度、机构建设、出勤考核、政策法规、服务信息、栏目与内容管理。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⑷档案管理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实现完整的档案管理，实现了移库、移卷等一系列操作，为管理者提供条件检索功能。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⑸资产管理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实现固定资产从采购申请到入库及资产的领用、调拨、退库、送修、归还、报废的过程操作。支持采购信息导入和资产信息导入，可快速批量导入用户已有的资产信息。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⑹车辆管理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实现用车申请、审批、队安排等一系列车辆管理功能操作。包括：用车申请、领导审批、车队安排、用车费用、事故处理、车辆查询、统计、车辆信息设置、车辆信息、司机信息等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⑺报销管理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实现经费申请、费用报销、统计报表等模块的建设，在开展日常采购、经费申请、费用报销时，通过相关模块将报销数据传递到财务部门并处理。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⑻电子印章系统实现个人和单位行政审批电子印章管理。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⑼系统管理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系统管理是系统运行的基础管理，是系统运行的前提。实现组织结构管理、权限策略管理、流程运行管理、门户管理、数据维护工具、应用部署维护等功能模块。</w:t>
            </w:r>
          </w:p>
        </w:tc>
        <w:tc>
          <w:tcPr>
            <w:tcW w:w="4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0000</w:t>
            </w:r>
          </w:p>
        </w:tc>
        <w:tc>
          <w:tcPr>
            <w:tcW w:w="9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0000</w:t>
            </w: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 航天信息股份有限公司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p>
        </w:tc>
        <w:tc>
          <w:tcPr>
            <w:tcW w:w="78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综合指挥中心系统</w:t>
            </w:r>
          </w:p>
        </w:tc>
        <w:tc>
          <w:tcPr>
            <w:tcW w:w="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Aisino</w:t>
            </w:r>
          </w:p>
        </w:tc>
        <w:tc>
          <w:tcPr>
            <w:tcW w:w="702"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165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综合指挥中心应采用视频监控、地理信息、GPS定位及数据智能分析等先进技术，实现视频、地图、专题分析等服务能力，为食品药品监管提供技术先进、业内领先的信息化管理工具，为领导决策提供有效的信息技术手段和数据支撑。建设内容应包括大屏幕显示系统、扩声系统、信号处理系统、集中控制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⑴大屏幕显示系统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显示系统DLP全高清背投产品，单屏显示面积为1550mmx872mm，分辨率为1920x1080，采用2行4列的排列模式，每列显示单元间以1°拼接，形成一个弧形凹面以贴合工位及平台的布置以取得最佳的全局视觉效果。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⑵扩声系统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合理优化调试，完成对整个会场的扩声建设，保证满足指挥中心在不同场景应用下，扩声系统都能满足需求，保证在每个场景下的效果都是最佳的，通过专有的声场制造软件合理布置音响的位置，达到使用的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⑶信号处理系统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主要是采用数字混合矩阵来满足在音视频方面的传输，保证在输出端信号的完整性与信号的输出完美，不衰减。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⑷集中控制系统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通过RS232或者RJ45信号控制所有接入到中控上的设备，达到集中管理的目的，不</w:t>
            </w:r>
          </w:p>
        </w:tc>
        <w:tc>
          <w:tcPr>
            <w:tcW w:w="465"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1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9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250000</w:t>
            </w:r>
          </w:p>
        </w:tc>
        <w:tc>
          <w:tcPr>
            <w:tcW w:w="988"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250000</w:t>
            </w:r>
          </w:p>
        </w:tc>
        <w:tc>
          <w:tcPr>
            <w:tcW w:w="109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 航天信息股份有限公司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b/>
                <w:i w:val="0"/>
                <w:color w:val="000000"/>
                <w:kern w:val="0"/>
                <w:sz w:val="21"/>
                <w:szCs w:val="21"/>
                <w:u w:val="none"/>
                <w:lang w:val="en-US" w:eastAsia="zh-CN" w:bidi="ar"/>
              </w:rPr>
              <w:t>1、显示系统</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70英寸DLP背投拼接显示单元</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中达电通</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DVS-70-HD FO</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具有多点温度检测系统，在内部温度过高时，可以在大屏幕上以图像的方式警示，并在用户事先设置好的时间内自动关机;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自动校准功能可保证60000小时拼接规模内各个显示单元亮度及白平衡一致性；单屏显示面积为1550mmx872mm;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单屏物理分辨率：1920×1080；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投影光源：LED光源；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投影光机：采用12度偏转角0.95" DMD（数字微镜装置）LVDS，核心DMD，镜头需采用大尺寸广角镜头，镜头尺寸87 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光源寿命≥60000小时；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对比度2500：1；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亮度均匀性98%；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相邻显示单元物理拼接缝隙0.04mm；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DLP显示单元屏前的噪声24.4db；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DLP显示单元通过IP5X、光机通过IP6X防尘测试；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平均无故障时间MTPF184465小时，MTTR平均修复时间14分钟，可用度99.99988%；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DLP显示单元1路DVI信号输入并具备1路网络端口（达到信号无损传输），分辨率1920*1080；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标书中已提供大屏显示单元和处理器的相关资质（3C）。</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108000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864000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江苏;中达电通股份有限公司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液晶拼接显示墙底座</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中达电通</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DZ-70</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屏幕拼接配套设备:显示单元 底座</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5000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江苏;中达电通股份有限公司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专用线缆</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中达电通</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屏幕拼接配套线缆，信号线缆</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1280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10240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江苏;中达电通股份有限公司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工位电脑</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神舟</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HFMPBK41</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台式机i5-7400 4G 500G  2G独显 DVD刻录（带HDMI、DVI口） DDR5</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3560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14240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深圳;深圳市神舟电脑股份有限公司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显示器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联想</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X24A</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23英寸IPS硬屏窄边广色域LED背光液晶显示器，最佳分辨率1920x1080。</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710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2840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北京;联想(北京)有限公司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2、信号处理系统</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图像拼接处理器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中达电通</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VisionCON2000</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系统平台：纯硬件结构、无操作系统；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启动时间：小于5秒；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处理方式：超高带宽总线背板传输架构,多总线并行处理,每卡10G独立带宽,每显示通道显存512M；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输入信号源种类： RGB/VGA、CVBS、S-Video 、YPbPr、DVI、HDMI、SDI(SD/HD)；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计算机输入信号：4路DVI信号输入；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输入信号分辨率： VGA,SVGA,XGA,SXGA,WXGA,SXGA+,UXGA,WSXGA+,WUXGA,720P,1080P/I, 刷新频率为60Hz；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计算机输出信号：8路DVI信号;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输出信号分辨率：VGA,SVGA,XGA,SXGA,WXGA,WXGA+,SXGA+,UXGA,WSXGA+,WUXGA,720P,1080P/I,（用户可自行调整分辨率）, 刷新频率为60Hz;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控制：10/100 Base-T 以太网;RS-232，RJ45；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工作环境：温度0～70摄氏度; 湿度 10～90％, 无凝露；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电源：220VAC±10%  50Hz。</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51600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51600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江苏;中达电通股份有限公司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视频解码器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大华</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dh-nvd0405dh-4k</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4路视频解码器，支持1080P</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10250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20500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杭州;浙江大华技术股份有限公司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b/>
                <w:i w:val="0"/>
                <w:color w:val="000000"/>
                <w:kern w:val="0"/>
                <w:sz w:val="21"/>
                <w:szCs w:val="21"/>
                <w:u w:val="none"/>
                <w:lang w:val="en-US" w:eastAsia="zh-CN" w:bidi="ar"/>
              </w:rPr>
              <w:t>3、音响扩声系统</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主扩音箱</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LAX</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Live one </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1)3"(20 只)宽射程单元、阻抗8Ω                                        2)节目功率1600W/峰值功率3200W                                          3)最大声压级 126dB（连续）  132dB(峰值)                                                       4)频率响应80Hz~20kHz(±3dB)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65Hz~20kHz(-10dB)                                               5)与有源低音箱配合使用                                                6)黑色涂层                                                          7)高≥166cm、宽≥12cm、深≥16cm </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只</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3100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6200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广州;广州市锐丰音响科技股份有限公司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吸顶音箱</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LAX</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C6</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无源吸顶音箱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1)6"聚丙烯纸盆同轴单元和19mmPIE球顶高音                                  2)节目功率120W/峰值功率 240(阻抗8欧)                                       3)32W(定压70.7V)                                                       4)灵敏度（1W/1m) 90±2dB                                                   5)频率响应（±7db)63Hz-20KHz                                                  6)扩散角 110˚                                                                  7)直径≥310mm、高度194mm、开孔直径220mm                                          8)符合UL1480安全标准</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只</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710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2130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广州;广州市锐丰音响科技股份有限公司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调音台</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罗兰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M-300</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支持32个混音通道，支持LCR、AUX输出、Maitrx输出，支持DCA编组，支持静音编组；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2）主机具有12路输入；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3）具备10路可分配的输出；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4）内置USB录放端口；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5）支持混音系统及多通道现场录音/回放的集成。</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16277</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16277</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上海;逻兰（上海）电子有限公司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功率放大器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LAX</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Q9</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1)功率:8Ω900Wx2,4Ω1250Wx2,2Ω1600Wx2,8Ω桥接2500W,4Ω桥接3200W                                                                                                    2)频率响应： 20Hz - 20kHz，+/-0.5dB                                                            3)总谐波失真： ≤ 0.05%                                                        4)输入灵敏度： 32dB/1V/0.775V                                                5)信噪比： 100dB                                                        6)电压增益： 36dB                                                             7)阻尼系数： &gt; 500                                                                 8)转换速率： 35V/us                                                                      9)采用ClassD功放模块和高效可靠的R-SMPS稳压电源供电系统                                         10)集成有源功率因数校正电路(PFC)，使功率放大器更效率和可控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11)XLR输入插座与链接插座                                                 12)SpeakON Nl4输出插座                                                              13)后板有输入灵敏度选择（32dB/1V/0.775V）                                          14)三种连接模式可设置（立体声/并接/桥接）                                           15)具有CCC认证</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5600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5600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广州;广州市锐丰音响科技股份有限公司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反馈抑制器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百灵达</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FBQ2496</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16个立体声动态数字滤波器,4个用户预设场景；频率响应20Hz-20kHz(+/-0.5dB，1kHz)；输入阻抗40kΩ,输出阻抗120kΩ；总谐波失真0.005%@1kHz。</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2100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2100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广东;中山欧科电子有限公司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多功能无线麦可风</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JDS</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MX-540</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4路无线麦克风，2个手持，2个鹅颈；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工作频率：500-980MHz；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采用微电脑CPU控制；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PLL锁相环频率合成技术；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200频道自由选择；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多功能LCD,特有音频声压显示,发射器电池电压显示；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红外线对频；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S/N信噪比:&gt;105dB；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T.H.D失真:&lt;0.5%；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频率响应:40Hz-18KHz。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直流输入电压：DC12.8V 1500mA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消耗功率：13W</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3560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7120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广州;广州声之天电子有限公司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b/>
                <w:i w:val="0"/>
                <w:color w:val="000000"/>
                <w:kern w:val="0"/>
                <w:sz w:val="21"/>
                <w:szCs w:val="21"/>
                <w:u w:val="none"/>
                <w:lang w:val="en-US" w:eastAsia="zh-CN" w:bidi="ar"/>
              </w:rPr>
              <w:t>4、智能中控系统</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屏幕控制软件</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中达电通</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Vision DWCS</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全中文界面，支持窗口菜单、子窗口、树型目录等界面以及拖拽、双击、右键菜单选择等操作，界面简洁，操作方便；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可实现对多个拼接墙进行管理，使得即使当前或者未来用户的多个拼墙，可通过一套大屏幕控制管理系统即可进行集中的管理；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可实现对拼接墙的部分或者全部的投影机进行开、关操作，以及设置各信号的颜色和亮度等等操作；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提供模式和预案的管理。操作员可对各种信号窗口的显示方式和布局保存成模式，或者根据时序定制为预案，在需要的时候进行调用，可实现自动化管理以及辅助客户演示过程的功能。</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35600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35600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江苏;中达电通股份有限公司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智能网络中央控制器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艾维创</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AVSC3   </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包含中控主机，pad控制设备，无线设备，中控软件</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35600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35600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武汉;武汉华瑾科技有限公司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电源时序器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声准</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1018B</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8口电源时序器，每路电流最大负载30A，工作电压:110V～240V。</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1520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1520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佛山;佛山市南海蜚声演出器材制造有限公司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路由器</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TP-LINK</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TL-WVR450G</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450M无线企业级VPN路由器；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传输频段：2.4GHz频段；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传输速率：450M；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Wan口数量（千兆）1个10/100/1000M RJ45 WAN端口；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Lan口数量（千兆）7个10/100/1000M RJ45 LAN端口；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无线桥接：支持；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天线增益：5dBi；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传输标准：IEEE 802.11n；IEEE 802.11g；IEEE 802.11b；IEEE 802.3；IEEE 802.3u；IEEE 802.3ab；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安全标准：支持WPA/WPA2-PSK加密、防暴力破解算法、访客Wi-Fi隔离、MAC地址过滤、防可疑包攻击、防Flood攻击等网络安全防护；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支持：IPSec VPN、PPTP VPN、L2TP VPN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上网行为管理（应用限制、网站过滤、URL过滤、网页安全、访问控制列表）；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防火墙功能（ARP防护、攻击防护等），智能带宽控制及连接数限制。</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1850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1850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深圳;普联技术有限公司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16路继电器箱</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聚英</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DAM1600（远程智能控制器）</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通讯接口支持RS485、RS232；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通信协议：支持标准modbus RTU协议；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十六路继电器控制；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支持电脑软件手动控制；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支持顺序启动模式；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支持流水循环模式；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支持跑马循环模式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触点容量 10A/30VDC  10A/250VAC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耐久性 10万次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数据接口 RS485、RS232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额定电压 DC 7-30V</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2848</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2848</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北京;北京聚英翱翔电子有限责任公司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b/>
                <w:i w:val="0"/>
                <w:color w:val="000000"/>
                <w:kern w:val="0"/>
                <w:sz w:val="21"/>
                <w:szCs w:val="21"/>
                <w:u w:val="none"/>
                <w:lang w:val="en-US" w:eastAsia="zh-CN" w:bidi="ar"/>
              </w:rPr>
              <w:t>5、其他设备</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设备机柜</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图腾</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G36042</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标准机柜，42U 600*1000*2000mm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材质：SPCC优质冷压板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厚度：方孔条2.0mm,安装梁1.5mm,其余1.2mm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表面处理：静电喷塑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承重;800KG</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面</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2700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2700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上海;上海图腾信息科技有限公司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5.2</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交换机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华为</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S5720-28TP-LI-AC</w:t>
            </w:r>
          </w:p>
        </w:tc>
        <w:tc>
          <w:tcPr>
            <w:tcW w:w="16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24口以太网交换机主机(24GE+2SFP Combo)，交流供电：支持RPS冗余电源。</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2130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4260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深圳;华为技术有限公司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高清DVD</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杰科</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BDP-G4308</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端口：HDMI,同轴，光纤，USB；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读取光盘格式:支持BD-ROM、BD-R/RE、DVD-Video、DVD+R/+RW(+VR)、Video CD、DVD-R/-RW(VR/Video)、SVCD、CD、CD-DTS、HDCD、CD-R/RW(CD-DA/Data)；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支持视频格式：MPGE-1,MPGE-2,MPEG4，VC1，H.264，VOB,AVCHD,MKV,AVI,RMVB, WMV,TS；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支持音频格式： ape、flac、MP3、wma；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支持图片格式：jpg、gif、png、bmp。</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1700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1700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深圳;深圳市杰科电子商务有限公司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线缆及辅材</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继元</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项</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4055</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4055</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许昌;河南继元智能科技股份有限公司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b/>
                <w:i w:val="0"/>
                <w:color w:val="000000"/>
                <w:kern w:val="0"/>
                <w:sz w:val="21"/>
                <w:szCs w:val="21"/>
                <w:u w:val="none"/>
                <w:lang w:val="en-US" w:eastAsia="zh-CN" w:bidi="ar"/>
              </w:rPr>
              <w:t>6、安全设备</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6.1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防火墙</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深信服</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NGAF/V6.0(千兆）</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标准2U机架设备,冗余电源；标配10个千兆电口,4个千兆光口；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整机吞吐量10Gbps，应用层吞吐量2Gbps，并发连接数2,200,000，每秒新建连接数13万；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支持路由，网桥，单臂，旁路，虚拟网线以及混合部署方式；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支持静态路由，ECMP等价路由；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支持RIPv1/v2， BGP等动态路由协议。</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102700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102700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深圳;深圳市深信服电子科技有限公司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6.2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VPN网关</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深信服</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EMM</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产品支持Local DB 、短信认证、硬件特征码、动态令牌、数字证书认证、LDAP、RADIUS、等认证方式；可针对用户/用户组设置认证方式的与、或组合，可进行用户名/密码、LDAP、USB KEY、硬件特征码、短信认证或动态令牌的五因素捆绑认证（标书中已提供界面配置截图）；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支持随机验证码短信认证，可自定义所发送短信信息格式，支持用户端短信重发功能；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支持三大运营商移动、联通、电信运营商的标准的外置短信设备或API接口；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支持GSM、CDMA制式短信猫；支持webservice方式短信认证；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设备内部支持自建CA中心，便于数字证书认证平台搭建；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支持与基于PKI体系的第三方CA进行结合认证 ，可根据CA某字段将通过CA认证的用户自动映射到指定用户组，方便进行权限授权配置；支持CRL证书撤销列表。</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71200</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71200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深圳;深圳市深信服电子科技有限公司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7、移动执法终端</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i w:val="0"/>
                <w:color w:val="000000"/>
                <w:kern w:val="0"/>
                <w:sz w:val="21"/>
                <w:szCs w:val="21"/>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right="0" w:rightChars="0" w:firstLine="0" w:firstLineChars="0"/>
              <w:jc w:val="left"/>
              <w:outlineLvl w:val="9"/>
              <w:rPr>
                <w:rFonts w:hint="eastAsia" w:ascii="宋体" w:hAnsi="宋体" w:eastAsia="宋体" w:cs="宋体"/>
                <w:sz w:val="21"/>
                <w:szCs w:val="21"/>
                <w:lang w:val="en-US" w:eastAsia="zh-CN"/>
              </w:rPr>
            </w:pP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移动手持终端</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AGM</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AGM X2</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1、屏幕尺寸：5.5英寸,康宁玻璃；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2、分辨率：1920*1080 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3、RAM：6GB（含）;R0M：不低于 64GB（含）；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4、具备前、后摄像头：后置摄像头 1200万像素（彩色）+黑白双摄，前置摄像头1600万像素；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5、操作系统安卓 7.1.1，支持蓝牙、支持 GPS/AGPS；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6、3G/4G(全网通)无线网络制式；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7、电池容量6000mAh（含）。</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3026</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302600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深圳;深圳市艾捷莫科技有限公司</w:t>
            </w:r>
          </w:p>
        </w:tc>
      </w:tr>
      <w:tr>
        <w:tblPrEx>
          <w:tblLayout w:type="fixed"/>
          <w:tblCellMar>
            <w:top w:w="0" w:type="dxa"/>
            <w:left w:w="108" w:type="dxa"/>
            <w:bottom w:w="0" w:type="dxa"/>
            <w:right w:w="108" w:type="dxa"/>
          </w:tblCellMar>
        </w:tblPrEx>
        <w:trPr>
          <w:trHeight w:val="65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移动手持集群调度终端</w:t>
            </w:r>
          </w:p>
        </w:tc>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AGM</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AGM X2</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1、屏幕尺寸：5.5英寸,康宁玻璃；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2、分辨率：1920*1080 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3、RAM：6GB（含）;R0M：不低于 64GB（含）；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4、具备1600万像素前置摄像头；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5、具备后置摄像头 1200万像素（彩色）+黑白双摄，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6、操作系统安卓 7.1.1，支持蓝牙、支持 GPS/AGPS；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7、3G/4G(全网通)无线网络制式；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8、电池容量6000mAh（含）。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9、支持防水防尘防跌落。</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w:t>
            </w:r>
          </w:p>
        </w:tc>
        <w:tc>
          <w:tcPr>
            <w:tcW w:w="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3026</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60520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深圳;深圳市艾捷莫科技有限公司</w:t>
            </w:r>
          </w:p>
        </w:tc>
      </w:tr>
      <w:tr>
        <w:tblPrEx>
          <w:tblLayout w:type="fixed"/>
          <w:tblCellMar>
            <w:top w:w="0" w:type="dxa"/>
            <w:left w:w="108" w:type="dxa"/>
            <w:bottom w:w="0" w:type="dxa"/>
            <w:right w:w="108" w:type="dxa"/>
          </w:tblCellMar>
        </w:tblPrEx>
        <w:trPr>
          <w:trHeight w:val="656"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总价</w:t>
            </w:r>
          </w:p>
        </w:tc>
        <w:tc>
          <w:tcPr>
            <w:tcW w:w="710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auto"/>
              <w:ind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大写：叁佰万元整；        小写：3，000，000.00元</w:t>
            </w:r>
          </w:p>
        </w:tc>
      </w:tr>
    </w:tbl>
    <w:p>
      <w:pPr>
        <w:autoSpaceDE w:val="0"/>
        <w:autoSpaceDN w:val="0"/>
        <w:adjustRightInd w:val="0"/>
        <w:spacing w:line="360" w:lineRule="auto"/>
        <w:ind w:left="0" w:leftChars="0" w:firstLine="0" w:firstLineChars="0"/>
        <w:rPr>
          <w:rFonts w:hint="eastAsia"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cs="宋体"/>
          <w:sz w:val="24"/>
          <w:lang w:val="zh-CN"/>
        </w:rPr>
      </w:pPr>
      <w:r>
        <w:rPr>
          <w:rFonts w:hint="eastAsia" w:ascii="宋体" w:cs="宋体"/>
          <w:sz w:val="24"/>
          <w:lang w:val="zh-CN"/>
        </w:rPr>
        <w:t>投标人（公章）：</w:t>
      </w:r>
      <w:r>
        <w:rPr>
          <w:rFonts w:hint="eastAsia" w:ascii="宋体" w:cs="宋体"/>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cs="宋体"/>
          <w:sz w:val="24"/>
          <w:lang w:val="zh-CN"/>
        </w:rPr>
      </w:pPr>
      <w:r>
        <w:rPr>
          <w:rFonts w:hint="eastAsia" w:ascii="宋体" w:cs="宋体"/>
          <w:sz w:val="24"/>
          <w:lang w:val="en-US" w:eastAsia="zh-CN"/>
        </w:rPr>
        <w:t>航天信息股份有限公司           河南继元智能科技股份有限公司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cs="宋体"/>
          <w:sz w:val="24"/>
          <w:lang w:val="zh-CN"/>
        </w:rPr>
      </w:pPr>
      <w:r>
        <w:rPr>
          <w:rFonts w:hint="eastAsia" w:ascii="宋体" w:cs="宋体"/>
          <w:sz w:val="24"/>
          <w:lang w:val="zh-CN"/>
        </w:rPr>
        <w:t>投标人法定代表人（或代理人）签字：</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cs="宋体"/>
          <w:sz w:val="24"/>
          <w:lang w:val="zh-CN"/>
        </w:rPr>
      </w:pPr>
      <w:r>
        <w:rPr>
          <w:rFonts w:hint="eastAsia" w:ascii="宋体" w:cs="宋体"/>
          <w:sz w:val="24"/>
          <w:lang w:val="zh-CN"/>
        </w:rPr>
        <w:t>日期：2018年4月24日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B37C5"/>
    <w:multiLevelType w:val="multilevel"/>
    <w:tmpl w:val="5A5B37C5"/>
    <w:lvl w:ilvl="0" w:tentative="0">
      <w:start w:val="1"/>
      <w:numFmt w:val="chineseCounting"/>
      <w:pStyle w:val="3"/>
      <w:suff w:val="space"/>
      <w:lvlText w:val="%1 "/>
      <w:lvlJc w:val="left"/>
      <w:pPr>
        <w:tabs>
          <w:tab w:val="left" w:pos="0"/>
        </w:tabs>
        <w:ind w:left="420" w:hanging="420"/>
      </w:pPr>
      <w:rPr>
        <w:rFonts w:hint="eastAsia" w:ascii="宋体" w:hAnsi="宋体" w:eastAsia="宋体" w:cs="Times New Roman"/>
        <w:b/>
        <w:sz w:val="36"/>
      </w:rPr>
    </w:lvl>
    <w:lvl w:ilvl="1" w:tentative="0">
      <w:start w:val="1"/>
      <w:numFmt w:val="decimal"/>
      <w:suff w:val="space"/>
      <w:lvlText w:val="%2 "/>
      <w:lvlJc w:val="left"/>
      <w:pPr>
        <w:tabs>
          <w:tab w:val="left" w:pos="420"/>
        </w:tabs>
        <w:ind w:left="360" w:hanging="360"/>
      </w:pPr>
      <w:rPr>
        <w:rFonts w:hint="eastAsia" w:ascii="宋体" w:hAnsi="宋体" w:eastAsia="宋体" w:cs="Times New Roman"/>
        <w:b/>
        <w:sz w:val="32"/>
      </w:rPr>
    </w:lvl>
    <w:lvl w:ilvl="2" w:tentative="0">
      <w:start w:val="1"/>
      <w:numFmt w:val="decimal"/>
      <w:isLgl/>
      <w:suff w:val="space"/>
      <w:lvlText w:val="%2.%3 "/>
      <w:lvlJc w:val="left"/>
      <w:pPr>
        <w:tabs>
          <w:tab w:val="left" w:pos="420"/>
        </w:tabs>
        <w:ind w:left="720" w:hanging="720"/>
      </w:pPr>
      <w:rPr>
        <w:rFonts w:hint="eastAsia" w:ascii="宋体" w:hAnsi="宋体" w:eastAsia="宋体" w:cs="Times New Roman"/>
        <w:b/>
        <w:sz w:val="30"/>
      </w:rPr>
    </w:lvl>
    <w:lvl w:ilvl="3" w:tentative="0">
      <w:start w:val="1"/>
      <w:numFmt w:val="decimal"/>
      <w:isLgl/>
      <w:suff w:val="space"/>
      <w:lvlText w:val="%2.%3.%4 "/>
      <w:lvlJc w:val="left"/>
      <w:pPr>
        <w:tabs>
          <w:tab w:val="left" w:pos="0"/>
        </w:tabs>
        <w:ind w:left="0" w:firstLine="0"/>
      </w:pPr>
      <w:rPr>
        <w:rFonts w:hint="eastAsia" w:ascii="宋体" w:hAnsi="宋体" w:eastAsia="宋体" w:cs="Times New Roman"/>
        <w:b/>
        <w:sz w:val="28"/>
      </w:rPr>
    </w:lvl>
    <w:lvl w:ilvl="4" w:tentative="0">
      <w:start w:val="1"/>
      <w:numFmt w:val="decimal"/>
      <w:isLgl/>
      <w:suff w:val="space"/>
      <w:lvlText w:val="%2.%3.%4.%5 "/>
      <w:lvlJc w:val="left"/>
      <w:pPr>
        <w:tabs>
          <w:tab w:val="left" w:pos="420"/>
        </w:tabs>
        <w:ind w:left="1080" w:hanging="1080"/>
      </w:pPr>
      <w:rPr>
        <w:rFonts w:hint="eastAsia" w:ascii="宋体" w:hAnsi="宋体" w:eastAsia="宋体" w:cs="Times New Roman"/>
        <w:b/>
        <w:sz w:val="22"/>
      </w:rPr>
    </w:lvl>
    <w:lvl w:ilvl="5" w:tentative="0">
      <w:start w:val="1"/>
      <w:numFmt w:val="decimal"/>
      <w:isLgl/>
      <w:lvlText w:val="%2.%3.%4.%5.%6"/>
      <w:lvlJc w:val="left"/>
      <w:pPr>
        <w:tabs>
          <w:tab w:val="left" w:pos="420"/>
        </w:tabs>
        <w:ind w:left="1440" w:hanging="1440"/>
      </w:pPr>
      <w:rPr>
        <w:rFonts w:hint="eastAsia" w:ascii="宋体" w:hAnsi="宋体" w:eastAsia="宋体" w:cs="宋体"/>
        <w:b/>
      </w:rPr>
    </w:lvl>
    <w:lvl w:ilvl="6" w:tentative="0">
      <w:start w:val="1"/>
      <w:numFmt w:val="decimal"/>
      <w:isLgl/>
      <w:lvlText w:val="%1.%2.%3.%4.%5.%6.%7"/>
      <w:lvlJc w:val="left"/>
      <w:pPr>
        <w:ind w:left="1440" w:hanging="1440"/>
      </w:pPr>
      <w:rPr>
        <w:rFonts w:hint="eastAsia"/>
      </w:rPr>
    </w:lvl>
    <w:lvl w:ilvl="7" w:tentative="0">
      <w:start w:val="1"/>
      <w:numFmt w:val="decimal"/>
      <w:isLgl/>
      <w:lvlText w:val="%1.%2.%3.%4.%5.%6.%7.%8"/>
      <w:lvlJc w:val="left"/>
      <w:pPr>
        <w:ind w:left="1800" w:hanging="1800"/>
      </w:pPr>
      <w:rPr>
        <w:rFonts w:hint="eastAsia"/>
      </w:rPr>
    </w:lvl>
    <w:lvl w:ilvl="8" w:tentative="0">
      <w:start w:val="1"/>
      <w:numFmt w:val="decimal"/>
      <w:isLgl/>
      <w:lvlText w:val="%1.%2.%3.%4.%5.%6.%7.%8.%9"/>
      <w:lvlJc w:val="left"/>
      <w:pPr>
        <w:ind w:left="180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32753"/>
    <w:rsid w:val="2AE3275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Calibri" w:hAnsi="Calibri" w:eastAsia="宋体"/>
      <w:kern w:val="2"/>
      <w:sz w:val="24"/>
      <w:szCs w:val="22"/>
      <w:lang w:val="en-US" w:eastAsia="zh-CN" w:bidi="ar-SA"/>
    </w:rPr>
  </w:style>
  <w:style w:type="paragraph" w:styleId="3">
    <w:name w:val="heading 1"/>
    <w:basedOn w:val="1"/>
    <w:next w:val="1"/>
    <w:qFormat/>
    <w:uiPriority w:val="0"/>
    <w:pPr>
      <w:keepNext/>
      <w:keepLines/>
      <w:numPr>
        <w:ilvl w:val="0"/>
        <w:numId w:val="1"/>
      </w:numPr>
      <w:spacing w:before="160" w:beforeLines="0" w:beforeAutospacing="0" w:afterLines="0" w:afterAutospacing="0" w:line="408" w:lineRule="auto"/>
      <w:ind w:hanging="420" w:firstLineChars="0"/>
      <w:jc w:val="center"/>
      <w:outlineLvl w:val="0"/>
    </w:pPr>
    <w:rPr>
      <w:b/>
      <w:kern w:val="44"/>
      <w:sz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ma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29</Pages>
  <Words>7302</Words>
  <Characters>9211</Characters>
  <Lines>0</Lines>
  <Paragraphs>0</Paragraphs>
  <ScaleCrop>false</ScaleCrop>
  <LinksUpToDate>false</LinksUpToDate>
  <CharactersWithSpaces>10791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2018-04-26T06:30:00Z</dcterms:created>
  <dc:creator>猫猫切切</dc:creator>
  <cp:lastModifiedBy>猫猫切切</cp:lastModifiedBy>
  <dcterms:modified xsi:type="dcterms:W3CDTF">2018-04-26T06:33:59Z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