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line="240" w:lineRule="auto"/>
        <w:ind w:left="420" w:leftChars="0"/>
        <w:jc w:val="center"/>
        <w:rPr>
          <w:rFonts w:hint="eastAsia" w:asciiTheme="minorEastAsia" w:hAnsiTheme="minorEastAsia" w:eastAsiaTheme="minorEastAsia" w:cstheme="minorEastAsia"/>
        </w:rPr>
      </w:pPr>
      <w:bookmarkStart w:id="0" w:name="_Toc21770"/>
      <w:r>
        <w:rPr>
          <w:rFonts w:hint="eastAsia" w:asciiTheme="minorEastAsia" w:hAnsiTheme="minorEastAsia" w:eastAsiaTheme="minorEastAsia" w:cstheme="minorEastAsia"/>
        </w:rPr>
        <w:t>开标一览表</w:t>
      </w:r>
      <w:bookmarkEnd w:id="0"/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招标编号：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JZFCG-D2018009号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货币单位：元（人民币）</w:t>
      </w:r>
    </w:p>
    <w:tbl>
      <w:tblPr>
        <w:tblStyle w:val="6"/>
        <w:tblW w:w="10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项目名称</w:t>
            </w:r>
          </w:p>
        </w:tc>
        <w:tc>
          <w:tcPr>
            <w:tcW w:w="7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空气质量加密监测及技术服务项目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投标报价</w:t>
            </w:r>
          </w:p>
        </w:tc>
        <w:tc>
          <w:tcPr>
            <w:tcW w:w="7267" w:type="dxa"/>
            <w:vAlign w:val="center"/>
          </w:tcPr>
          <w:p>
            <w:pPr>
              <w:spacing w:line="560" w:lineRule="exact"/>
              <w:ind w:firstLine="555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大写：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捌拾肆万玖仟元整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ind w:firstLine="555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小写：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¥849,000.00元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交付时间</w:t>
            </w:r>
          </w:p>
        </w:tc>
        <w:tc>
          <w:tcPr>
            <w:tcW w:w="7267" w:type="dxa"/>
            <w:vAlign w:val="center"/>
          </w:tcPr>
          <w:p>
            <w:pPr>
              <w:spacing w:line="560" w:lineRule="exact"/>
              <w:ind w:firstLine="555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服务期限：自签订合同之日起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8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备注：（付款方式响应承诺）</w:t>
            </w:r>
          </w:p>
        </w:tc>
        <w:tc>
          <w:tcPr>
            <w:tcW w:w="726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合同签订后两周内支付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70%，半年后支付24%。剩余6%为质量保证金，1年到期后无问题5个工作日内一次付清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注：投标报价包含技术服务一年，其中包含人工、所供设备耗材、数据分析一年。</w:t>
      </w: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投标人名称：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eastAsia="zh-CN"/>
        </w:rPr>
        <w:t>河南省鑫属实业有限公司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（加盖公章）        </w:t>
      </w: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被授权委托人签字：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</w:t>
      </w: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日期：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年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月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日</w:t>
      </w:r>
    </w:p>
    <w:p>
      <w:pPr>
        <w:spacing w:line="560" w:lineRule="exact"/>
        <w:jc w:val="left"/>
        <w:rPr>
          <w:rFonts w:hint="eastAsia" w:ascii="新宋体" w:hAnsi="新宋体" w:eastAsia="新宋体"/>
          <w:b/>
          <w:szCs w:val="21"/>
        </w:rPr>
      </w:pPr>
    </w:p>
    <w:p>
      <w:pPr>
        <w:spacing w:line="560" w:lineRule="exact"/>
        <w:jc w:val="left"/>
        <w:rPr>
          <w:rFonts w:hint="eastAsia" w:ascii="新宋体" w:hAnsi="新宋体" w:eastAsia="新宋体"/>
          <w:b/>
          <w:szCs w:val="21"/>
        </w:rPr>
      </w:pPr>
    </w:p>
    <w:p>
      <w:pPr>
        <w:spacing w:line="560" w:lineRule="exact"/>
        <w:jc w:val="left"/>
        <w:rPr>
          <w:rFonts w:hint="eastAsia" w:ascii="新宋体" w:hAnsi="新宋体" w:eastAsia="新宋体"/>
          <w:b/>
          <w:szCs w:val="21"/>
        </w:rPr>
      </w:pPr>
    </w:p>
    <w:p>
      <w:pPr>
        <w:spacing w:line="560" w:lineRule="exact"/>
        <w:jc w:val="left"/>
        <w:rPr>
          <w:rFonts w:hint="eastAsia" w:ascii="新宋体" w:hAnsi="新宋体" w:eastAsia="新宋体"/>
          <w:b/>
          <w:szCs w:val="21"/>
        </w:rPr>
      </w:pPr>
    </w:p>
    <w:p>
      <w:pPr>
        <w:spacing w:line="560" w:lineRule="exact"/>
        <w:jc w:val="left"/>
        <w:rPr>
          <w:rFonts w:hint="eastAsia" w:ascii="新宋体" w:hAnsi="新宋体" w:eastAsia="新宋体"/>
          <w:b/>
          <w:szCs w:val="21"/>
        </w:rPr>
      </w:pPr>
    </w:p>
    <w:p>
      <w:pPr>
        <w:spacing w:line="560" w:lineRule="exact"/>
        <w:jc w:val="left"/>
        <w:rPr>
          <w:rFonts w:hint="eastAsia" w:ascii="新宋体" w:hAnsi="新宋体" w:eastAsia="新宋体"/>
          <w:b/>
          <w:szCs w:val="21"/>
        </w:rPr>
      </w:pPr>
    </w:p>
    <w:p>
      <w:pPr>
        <w:spacing w:line="560" w:lineRule="exact"/>
        <w:jc w:val="left"/>
        <w:rPr>
          <w:rFonts w:hint="eastAsia" w:ascii="新宋体" w:hAnsi="新宋体" w:eastAsia="新宋体"/>
          <w:b/>
          <w:szCs w:val="21"/>
        </w:rPr>
      </w:pPr>
    </w:p>
    <w:p>
      <w:pPr>
        <w:spacing w:line="560" w:lineRule="exact"/>
        <w:jc w:val="left"/>
        <w:rPr>
          <w:rFonts w:hint="eastAsia" w:ascii="新宋体" w:hAnsi="新宋体" w:eastAsia="新宋体"/>
          <w:b/>
          <w:szCs w:val="21"/>
        </w:rPr>
      </w:pPr>
    </w:p>
    <w:p>
      <w:pPr>
        <w:pStyle w:val="3"/>
        <w:numPr>
          <w:ilvl w:val="0"/>
          <w:numId w:val="0"/>
        </w:numPr>
        <w:ind w:left="420" w:leftChars="0"/>
        <w:jc w:val="center"/>
        <w:rPr>
          <w:rFonts w:hint="eastAsia"/>
        </w:rPr>
      </w:pPr>
      <w:bookmarkStart w:id="1" w:name="_Toc30753"/>
      <w:r>
        <w:rPr>
          <w:rFonts w:hint="eastAsia" w:asciiTheme="minorEastAsia" w:hAnsiTheme="minorEastAsia" w:eastAsiaTheme="minorEastAsia" w:cstheme="minorEastAsia"/>
        </w:rPr>
        <w:t>投标分项报价—览表</w:t>
      </w:r>
      <w:bookmarkEnd w:id="1"/>
    </w:p>
    <w:tbl>
      <w:tblPr>
        <w:tblStyle w:val="6"/>
        <w:tblW w:w="10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742"/>
        <w:gridCol w:w="4950"/>
        <w:gridCol w:w="480"/>
        <w:gridCol w:w="510"/>
        <w:gridCol w:w="148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68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  <w:t>序号</w:t>
            </w:r>
          </w:p>
        </w:tc>
        <w:tc>
          <w:tcPr>
            <w:tcW w:w="74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  <w:t>名称</w:t>
            </w:r>
          </w:p>
        </w:tc>
        <w:tc>
          <w:tcPr>
            <w:tcW w:w="495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  <w:lang w:eastAsia="zh-CN"/>
              </w:rPr>
              <w:t>技术参数</w:t>
            </w:r>
          </w:p>
        </w:tc>
        <w:tc>
          <w:tcPr>
            <w:tcW w:w="48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  <w:t>单位</w:t>
            </w:r>
          </w:p>
        </w:tc>
        <w:tc>
          <w:tcPr>
            <w:tcW w:w="51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  <w:t>数量</w:t>
            </w:r>
          </w:p>
        </w:tc>
        <w:tc>
          <w:tcPr>
            <w:tcW w:w="148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  <w:t>单价（元）</w:t>
            </w:r>
          </w:p>
        </w:tc>
        <w:tc>
          <w:tcPr>
            <w:tcW w:w="174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36363D"/>
                <w:sz w:val="24"/>
                <w:szCs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exact"/>
          <w:jc w:val="center"/>
        </w:trPr>
        <w:tc>
          <w:tcPr>
            <w:tcW w:w="68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</w:pPr>
            <w:bookmarkStart w:id="2" w:name="_Toc16951"/>
            <w:r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  <w:t>1</w:t>
            </w:r>
            <w:bookmarkEnd w:id="2"/>
          </w:p>
        </w:tc>
        <w:tc>
          <w:tcPr>
            <w:tcW w:w="7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便携式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PM1-10颗粒物分析仪（购买）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可调换的旋风式切割器提供更加精确</w:t>
            </w:r>
            <w:r>
              <w:rPr>
                <w:rFonts w:hint="eastAsia" w:ascii="宋体" w:hAnsi="宋体" w:cs="Arial"/>
                <w:kern w:val="0"/>
                <w:szCs w:val="21"/>
              </w:rPr>
              <w:t>的粒径切割点，可分别测量PM10、PM4、PM2.5及PM1等。</w:t>
            </w:r>
            <w:r>
              <w:rPr>
                <w:rFonts w:hint="eastAsia" w:ascii="宋体" w:hAnsi="宋体" w:cs="Arial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Cs w:val="21"/>
              </w:rPr>
              <w:t>台式设备性能的个人颗粒物监测设备</w:t>
            </w:r>
            <w:r>
              <w:rPr>
                <w:rFonts w:hint="eastAsia" w:ascii="宋体" w:hAnsi="宋体" w:cs="Arial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kern w:val="0"/>
                <w:szCs w:val="21"/>
              </w:rPr>
              <w:t>适用于NIOSH的0500和0600t的方法带WIFE功能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自动量程：0.001-400 mg/m3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散射系数：1.5*10-6 – 0.6 m-1@ λ=880nm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重现性：±2％读数或±0.005 mg/m3取大者（1s平均），±0.5％读数或±0.0015 mg/m3取大者（10s平均）, ±0.2％读数或±0.0005 mg/m3取大者（60s平均）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准确度：±5％ 读数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分辨率：0.1％读数或0.001 mg/m3取大者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流量范围：1.0-3.5L/min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最大响应粒径：0.1-10μm 显示更新频率：1秒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存储数据范围：平均浓度，温度，相对湿度，大气压，数据点总数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 数据存储&gt;500,000</w:t>
            </w: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￥85,000.00 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￥170,000.00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8" w:hRule="exact"/>
          <w:jc w:val="center"/>
        </w:trPr>
        <w:tc>
          <w:tcPr>
            <w:tcW w:w="68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</w:pPr>
            <w:bookmarkStart w:id="3" w:name="_Toc25418"/>
            <w:r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  <w:t>2</w:t>
            </w:r>
            <w:bookmarkEnd w:id="3"/>
          </w:p>
        </w:tc>
        <w:tc>
          <w:tcPr>
            <w:tcW w:w="7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小型化空气站（租用）</w:t>
            </w:r>
          </w:p>
        </w:tc>
        <w:tc>
          <w:tcPr>
            <w:tcW w:w="4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放射源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碳－14，＜3.7MBq（100μCi）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测量范围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0~0.1,1.0,2.0,3.0,5.0,10.0mg/m³；0~100,1000,2000,3000，5000,10000μg/m³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最低检出线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＜4μg/m³（1小时）@2σ；＜1μg/m³（24小时）@2σ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分辨率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0.1μg/m³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精度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±3.0μg/m³＜80μg/m³；4－5μg/m³＞80μg/m³（24小时）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RMS精度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PM2.5＜5%，PM10＜5%（24小时）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准确度</w:t>
            </w:r>
            <w:r>
              <w:rPr>
                <w:rFonts w:hint="eastAsia" w:ascii="宋体" w:hAnsi="宋体" w:cs="Arial"/>
                <w:kern w:val="0"/>
                <w:szCs w:val="21"/>
              </w:rPr>
              <w:t>（对于质量流量）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±5%，使用NIST可溯源标准膜片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采样流量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1m³/h（16.67L/min）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采样流量精度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测量值的±2%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采样流量准确度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小于测量值的5%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长期质量浓度平均时间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60～3,600秒和24小时，时时采样，可出具分钟值数据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数据输出频率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1秒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工作温度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环境温度﹣30～50℃之间变化，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输出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可选电压，RS232/RS485，TCP/IP，10个继电器输出和断电指示（标准），0-20或4-20mA隔离电流输出（选配）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输入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16位数字输入（标准），8路0～10 VDC模拟输入（选配）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电源要求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110～120 VAC，220～240 VAC，50/60 Hz，最大功率700 Watts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泵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220 VAC 50/60 Hz，2.0 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重量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220 VAC：不大于30 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通讯协议</w:t>
            </w:r>
            <w:r>
              <w:rPr>
                <w:rFonts w:hint="eastAsia" w:ascii="宋体" w:hAnsi="宋体" w:cs="Arial"/>
                <w:kern w:val="0"/>
                <w:szCs w:val="21"/>
              </w:rPr>
              <w:tab/>
            </w:r>
            <w:r>
              <w:rPr>
                <w:rFonts w:hint="eastAsia" w:ascii="宋体" w:hAnsi="宋体" w:cs="Arial"/>
                <w:kern w:val="0"/>
                <w:szCs w:val="21"/>
              </w:rPr>
              <w:t>C-Link，MODBUS，Gesytec（Bayern-Hessen）,ESM协议，数据流和NTP协议（Network Time Protocol）,通过以太网可从不同地方同时连接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CN"/>
              </w:rPr>
              <w:t>台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￥120,000.00 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￥240,000.00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  <w:jc w:val="center"/>
        </w:trPr>
        <w:tc>
          <w:tcPr>
            <w:tcW w:w="68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bookmarkStart w:id="4" w:name="_Toc23421"/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  <w:t>3</w:t>
            </w:r>
            <w:bookmarkEnd w:id="4"/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人员服务及专题会议研判</w:t>
            </w:r>
          </w:p>
        </w:tc>
        <w:tc>
          <w:tcPr>
            <w:tcW w:w="49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 w:eastAsia="zh-CN"/>
              </w:rPr>
              <w:t>年</w:t>
            </w:r>
          </w:p>
        </w:tc>
        <w:tc>
          <w:tcPr>
            <w:tcW w:w="51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￥439,000.00 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￥439,000.00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68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  <w:t>总计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  <w:t>大写：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eastAsia="zh-CN"/>
              </w:rPr>
              <w:t>捌拾肆万玖仟</w:t>
            </w:r>
            <w:r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  <w:u w:val="single"/>
              </w:rPr>
              <w:t>元</w:t>
            </w:r>
            <w:r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  <w:t xml:space="preserve"> 小写：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>¥849,000.00</w:t>
            </w:r>
            <w:r>
              <w:rPr>
                <w:rFonts w:hint="eastAsia" w:asciiTheme="minorEastAsia" w:hAnsiTheme="minorEastAsia" w:eastAsiaTheme="minorEastAsia" w:cstheme="minorEastAsia"/>
                <w:color w:val="36363D"/>
                <w:sz w:val="24"/>
                <w:szCs w:val="24"/>
              </w:rPr>
              <w:t>元</w:t>
            </w:r>
          </w:p>
        </w:tc>
      </w:tr>
    </w:tbl>
    <w:p>
      <w:pPr>
        <w:spacing w:before="48" w:beforeLines="20" w:after="48" w:afterLines="20"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投标人名称：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eastAsia="zh-CN"/>
        </w:rPr>
        <w:t>河南省鑫属实业有限公司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（加盖公章）        </w:t>
      </w: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投标人法定代表人（或被授权委托人）签字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：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</w:t>
      </w:r>
    </w:p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日期：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年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月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日</w:t>
      </w: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pPr>
        <w:pStyle w:val="4"/>
        <w:rPr>
          <w:rFonts w:hint="eastAsia" w:ascii="宋体" w:hAnsi="宋体" w:eastAsia="宋体" w:cs="Times New Roman"/>
          <w:b/>
          <w:bCs/>
          <w:kern w:val="2"/>
          <w:sz w:val="24"/>
          <w:szCs w:val="24"/>
          <w:lang w:val="zh-CN" w:eastAsia="zh-CN" w:bidi="ar-SA"/>
        </w:rPr>
      </w:pPr>
    </w:p>
    <w:p>
      <w:bookmarkStart w:id="5" w:name="_GoBack"/>
      <w:bookmarkEnd w:id="5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A421F"/>
    <w:rsid w:val="653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2018-04-11T07:54:17Z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