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bookmarkStart w:id="9" w:name="_GoBack"/>
    </w:p>
    <w:p>
      <w:pPr>
        <w:ind w:left="3095" w:leftChars="212" w:hanging="2650" w:hangingChars="600"/>
        <w:jc w:val="both"/>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禹州市公安局执法音视频综合管理平台项目</w:t>
      </w: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ascii="仿宋" w:hAnsi="仿宋" w:eastAsia="仿宋"/>
          <w:sz w:val="32"/>
          <w:lang w:val="en-US"/>
        </w:rPr>
      </w:pPr>
      <w:r>
        <w:rPr>
          <w:rFonts w:hint="eastAsia" w:ascii="仿宋" w:hAnsi="仿宋" w:eastAsia="仿宋"/>
          <w:sz w:val="32"/>
        </w:rPr>
        <w:t>采购单位：</w:t>
      </w:r>
      <w:r>
        <w:rPr>
          <w:rFonts w:hint="eastAsia" w:ascii="仿宋" w:hAnsi="仿宋" w:eastAsia="仿宋" w:cs="仿宋"/>
          <w:sz w:val="32"/>
          <w:szCs w:val="32"/>
        </w:rPr>
        <w:t>禹州</w:t>
      </w:r>
      <w:r>
        <w:rPr>
          <w:rFonts w:hint="eastAsia" w:ascii="仿宋" w:hAnsi="仿宋" w:eastAsia="仿宋" w:cs="仿宋"/>
          <w:sz w:val="32"/>
          <w:szCs w:val="32"/>
          <w:lang w:eastAsia="zh-CN"/>
        </w:rPr>
        <w:t>公安局</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项目名称：禹州市公安局执法音视频综合管理平台项目</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lang w:eastAsia="zh-CN"/>
        </w:rPr>
        <w:t>采购编号：</w:t>
      </w:r>
      <w:r>
        <w:rPr>
          <w:rFonts w:hint="eastAsia" w:ascii="仿宋" w:hAnsi="仿宋" w:eastAsia="仿宋"/>
          <w:sz w:val="32"/>
        </w:rPr>
        <w:t>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8063</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三</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ind w:left="2123" w:leftChars="877" w:hanging="281" w:hangingChars="100"/>
        <w:jc w:val="both"/>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禹州市公安局执法音视频综合管理平台项目</w:t>
      </w:r>
    </w:p>
    <w:p>
      <w:pPr>
        <w:ind w:left="3079" w:leftChars="1466" w:firstLine="562" w:firstLineChars="200"/>
        <w:jc w:val="both"/>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招　标邀</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函</w:t>
      </w:r>
    </w:p>
    <w:p>
      <w:pPr>
        <w:jc w:val="both"/>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w:t>
      </w:r>
      <w:r>
        <w:rPr>
          <w:rFonts w:hint="eastAsia" w:ascii="仿宋" w:hAnsi="仿宋" w:eastAsia="仿宋" w:cs="仿宋"/>
          <w:sz w:val="24"/>
          <w:szCs w:val="24"/>
          <w:lang w:eastAsia="zh-CN"/>
        </w:rPr>
        <w:t>公安局</w:t>
      </w:r>
      <w:r>
        <w:rPr>
          <w:rFonts w:hint="eastAsia" w:ascii="仿宋" w:hAnsi="仿宋" w:eastAsia="仿宋" w:cs="仿宋"/>
          <w:sz w:val="24"/>
          <w:szCs w:val="24"/>
        </w:rPr>
        <w:t>的委托，就“</w:t>
      </w:r>
      <w:r>
        <w:rPr>
          <w:rFonts w:hint="eastAsia" w:ascii="仿宋" w:hAnsi="仿宋" w:eastAsia="仿宋" w:cs="仿宋"/>
          <w:sz w:val="24"/>
          <w:szCs w:val="24"/>
          <w:lang w:eastAsia="zh-CN"/>
        </w:rPr>
        <w:t>禹州市公安局执法音视频综合管理平台项目</w:t>
      </w:r>
      <w:r>
        <w:rPr>
          <w:rFonts w:hint="eastAsia" w:ascii="仿宋" w:hAnsi="仿宋" w:eastAsia="仿宋" w:cs="仿宋"/>
          <w:sz w:val="24"/>
          <w:szCs w:val="24"/>
        </w:rPr>
        <w:t>”进行公开招标，欢迎合格的投标人前来投标。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w:t>
      </w:r>
      <w:r>
        <w:rPr>
          <w:rFonts w:hint="eastAsia" w:ascii="仿宋" w:hAnsi="仿宋" w:eastAsia="仿宋" w:cs="仿宋"/>
          <w:sz w:val="24"/>
          <w:szCs w:val="24"/>
          <w:lang w:eastAsia="zh-CN"/>
        </w:rPr>
        <w:t>公安局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2、项目名称：禹州市公安局执法音视频综合管理平台项目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8063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4、项目需求：执法音视频综合管理平台</w:t>
      </w:r>
      <w:r>
        <w:rPr>
          <w:rFonts w:hint="eastAsia" w:ascii="仿宋" w:hAnsi="仿宋" w:eastAsia="仿宋" w:cs="仿宋"/>
          <w:sz w:val="24"/>
          <w:szCs w:val="24"/>
          <w:lang w:eastAsia="zh-CN"/>
        </w:rPr>
        <w:t>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166</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6、最高限价：</w:t>
      </w:r>
      <w:r>
        <w:rPr>
          <w:rFonts w:hint="eastAsia" w:ascii="仿宋" w:hAnsi="仿宋" w:eastAsia="仿宋" w:cs="仿宋"/>
          <w:sz w:val="24"/>
          <w:szCs w:val="24"/>
          <w:lang w:val="en-US" w:eastAsia="zh-CN"/>
        </w:rPr>
        <w:t>107.35</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1、符合《政府采购法》第二十二条之规定，具有独立法人资格且具有相应的经营范围（以营业执照为准）；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8</w:t>
      </w:r>
      <w:r>
        <w:rPr>
          <w:rFonts w:hint="eastAsia" w:ascii="仿宋" w:hAnsi="仿宋" w:eastAsia="仿宋" w:cs="仿宋"/>
          <w:sz w:val="24"/>
          <w:szCs w:val="24"/>
        </w:rPr>
        <w:t>日</w:t>
      </w:r>
      <w:r>
        <w:rPr>
          <w:rFonts w:hint="eastAsia" w:ascii="仿宋" w:hAnsi="仿宋" w:eastAsia="仿宋" w:cs="仿宋"/>
          <w:sz w:val="24"/>
          <w:szCs w:val="24"/>
          <w:lang w:val="en-US" w:eastAsia="zh-CN"/>
        </w:rPr>
        <w:t>10：00</w:t>
      </w:r>
      <w:r>
        <w:rPr>
          <w:rFonts w:hint="eastAsia" w:ascii="仿宋" w:hAnsi="仿宋" w:eastAsia="仿宋" w:cs="仿宋"/>
          <w:sz w:val="24"/>
          <w:szCs w:val="24"/>
        </w:rPr>
        <w:t>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禹州市公安局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华夏大道</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董先生</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18839900682</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80" w:firstLineChars="2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p>
    <w:p>
      <w:pPr>
        <w:spacing w:line="360" w:lineRule="auto"/>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w:t>
            </w:r>
            <w:r>
              <w:rPr>
                <w:rFonts w:hint="eastAsia" w:ascii="仿宋" w:hAnsi="仿宋" w:eastAsia="仿宋"/>
                <w:sz w:val="24"/>
                <w:szCs w:val="24"/>
                <w:lang w:val="en-US" w:eastAsia="zh-CN"/>
              </w:rPr>
              <w:t>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cs="仿宋"/>
                <w:sz w:val="24"/>
                <w:szCs w:val="24"/>
              </w:rPr>
              <w:t>禹州市公安局执法音视频综合管理平台项目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壹万</w:t>
            </w:r>
            <w:r>
              <w:rPr>
                <w:rFonts w:hint="eastAsia" w:ascii="仿宋" w:hAnsi="仿宋" w:eastAsia="仿宋"/>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4</w:t>
            </w:r>
            <w:r>
              <w:rPr>
                <w:rFonts w:hint="eastAsia" w:ascii="仿宋" w:hAnsi="仿宋" w:eastAsia="仿宋"/>
                <w:sz w:val="24"/>
                <w:szCs w:val="24"/>
              </w:rPr>
              <w:t>月</w:t>
            </w:r>
            <w:r>
              <w:rPr>
                <w:rFonts w:hint="eastAsia" w:ascii="仿宋" w:hAnsi="仿宋" w:eastAsia="仿宋"/>
                <w:sz w:val="24"/>
                <w:szCs w:val="24"/>
                <w:lang w:val="en-US" w:eastAsia="zh-CN"/>
              </w:rPr>
              <w:t>8</w:t>
            </w:r>
            <w:r>
              <w:rPr>
                <w:rFonts w:hint="eastAsia" w:ascii="仿宋" w:hAnsi="仿宋" w:eastAsia="仿宋"/>
                <w:sz w:val="24"/>
                <w:szCs w:val="24"/>
              </w:rPr>
              <w:t>日</w:t>
            </w:r>
            <w:r>
              <w:rPr>
                <w:rFonts w:hint="eastAsia" w:ascii="仿宋" w:hAnsi="仿宋" w:eastAsia="仿宋"/>
                <w:sz w:val="24"/>
                <w:szCs w:val="24"/>
                <w:lang w:val="en-US" w:eastAsia="zh-CN"/>
              </w:rPr>
              <w:t>10</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w:t>
            </w:r>
            <w:r>
              <w:rPr>
                <w:rFonts w:hint="eastAsia" w:ascii="仿宋" w:hAnsi="仿宋" w:eastAsia="仿宋"/>
                <w:color w:val="FF0000"/>
                <w:kern w:val="0"/>
                <w:sz w:val="24"/>
                <w:szCs w:val="24"/>
                <w:lang w:eastAsia="zh-CN"/>
              </w:rPr>
              <w:t>单独</w:t>
            </w:r>
            <w:r>
              <w:rPr>
                <w:rFonts w:hint="eastAsia" w:ascii="仿宋" w:hAnsi="仿宋" w:eastAsia="仿宋"/>
                <w:color w:val="FF0000"/>
                <w:kern w:val="0"/>
                <w:sz w:val="24"/>
                <w:szCs w:val="24"/>
              </w:rPr>
              <w:t>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0"/>
              </w:numPr>
              <w:spacing w:line="440" w:lineRule="exact"/>
              <w:ind w:left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10</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10</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本项目最高限价为：</w:t>
            </w:r>
            <w:r>
              <w:rPr>
                <w:rFonts w:hint="eastAsia" w:ascii="仿宋" w:hAnsi="仿宋" w:eastAsia="仿宋"/>
                <w:b/>
                <w:bCs/>
                <w:sz w:val="24"/>
                <w:szCs w:val="24"/>
                <w:lang w:val="en-US" w:eastAsia="zh-CN"/>
              </w:rPr>
              <w:t>107.35</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6"/>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numPr>
          <w:ilvl w:val="0"/>
          <w:numId w:val="0"/>
        </w:numPr>
        <w:spacing w:line="440" w:lineRule="exact"/>
        <w:rPr>
          <w:rFonts w:hint="eastAsia" w:ascii="仿宋" w:hAnsi="仿宋" w:eastAsia="仿宋"/>
          <w:b/>
          <w:sz w:val="44"/>
          <w:lang w:val="en-US" w:eastAsia="zh-CN"/>
        </w:rPr>
      </w:pPr>
    </w:p>
    <w:p>
      <w:pPr>
        <w:spacing w:line="360" w:lineRule="auto"/>
        <w:jc w:val="left"/>
        <w:rPr>
          <w:rFonts w:hint="eastAsia" w:ascii="仿宋" w:hAnsi="仿宋" w:eastAsia="仿宋" w:cs="Arial Unicode MS"/>
          <w:position w:val="-4"/>
          <w:sz w:val="24"/>
          <w:lang w:val="en-US" w:eastAsia="zh-CN"/>
        </w:rPr>
      </w:pPr>
      <w:r>
        <w:rPr>
          <w:rFonts w:hint="eastAsia" w:ascii="仿宋" w:hAnsi="仿宋" w:eastAsia="仿宋" w:cs="Arial Unicode MS"/>
          <w:position w:val="-4"/>
          <w:sz w:val="24"/>
          <w:lang w:val="en-US" w:eastAsia="zh-CN"/>
        </w:rPr>
        <w:t>一、采购设备内容：</w:t>
      </w:r>
    </w:p>
    <w:tbl>
      <w:tblPr>
        <w:tblStyle w:val="36"/>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4"/>
        <w:gridCol w:w="5670"/>
        <w:gridCol w:w="61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1" w:type="dxa"/>
            <w:vAlign w:val="top"/>
          </w:tcPr>
          <w:p>
            <w:pPr>
              <w:spacing w:line="360" w:lineRule="auto"/>
              <w:jc w:val="center"/>
              <w:rPr>
                <w:rFonts w:ascii="仿宋" w:hAnsi="仿宋" w:eastAsia="仿宋" w:cs="Arial Unicode MS"/>
                <w:b/>
                <w:bCs/>
                <w:position w:val="-4"/>
                <w:sz w:val="24"/>
              </w:rPr>
            </w:pPr>
            <w:r>
              <w:rPr>
                <w:rFonts w:hint="eastAsia" w:ascii="仿宋" w:hAnsi="仿宋" w:eastAsia="仿宋" w:cs="Arial Unicode MS"/>
                <w:b/>
                <w:bCs/>
                <w:position w:val="-4"/>
                <w:sz w:val="24"/>
              </w:rPr>
              <w:t>序号</w:t>
            </w:r>
          </w:p>
        </w:tc>
        <w:tc>
          <w:tcPr>
            <w:tcW w:w="1254" w:type="dxa"/>
            <w:vAlign w:val="top"/>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产品类别</w:t>
            </w:r>
          </w:p>
        </w:tc>
        <w:tc>
          <w:tcPr>
            <w:tcW w:w="5670" w:type="dxa"/>
            <w:vAlign w:val="top"/>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技术规格</w:t>
            </w:r>
          </w:p>
        </w:tc>
        <w:tc>
          <w:tcPr>
            <w:tcW w:w="614" w:type="dxa"/>
            <w:vAlign w:val="top"/>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单位</w:t>
            </w:r>
          </w:p>
        </w:tc>
        <w:tc>
          <w:tcPr>
            <w:tcW w:w="797" w:type="dxa"/>
            <w:vAlign w:val="top"/>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731"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1</w:t>
            </w:r>
          </w:p>
        </w:tc>
        <w:tc>
          <w:tcPr>
            <w:tcW w:w="125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磁盘阵列</w:t>
            </w:r>
          </w:p>
        </w:tc>
        <w:tc>
          <w:tcPr>
            <w:tcW w:w="5670"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单设备应配置≥64位多核处理器，≥4GB内存，内存支持扩展到≥32GB，需配置冗余金牌电源，支持双系统</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★单设备应标配≥2个千兆网口，可增扩8个千兆网口或增扩≥4个万兆口或≥8个光纤接口或增配≥4个HDMI接口或≥2个SAS3.0接口</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可接入2T/3T/4T/6T/8T/10TSATA磁盘，支持磁盘交错启动和漫游，并支持在线热插拔；</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★可接入硬盘≥48块，支持SATA和SAS混插，并支持≥12级扩展柜级联扩展；</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应能提供RAID0、1、3、5、6、10、50，60、JBOD、RAIDErasingCode、Raid5EE模式，支持全局、局部等多种热备选择，支持坏盘自动重构；</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★设备可对视音频、图片、智能数据（智能行为分析录像）流进行混合直存，无须存储服务器和图片服务器的参与，平台服务器宕机时，存储业务正常</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应能接入并存储1880Mbps视频图像，同时转发1880Mbps的视频图像；同时回放512Mbps的视频图像；</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★支持不低于512MBps图片并发输入，同时不低于512MBps图片并发输出</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★设备在不增加任何外围服务器硬件的情况下可由存储设备直接进行虚拟化系统部署</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★设备应能预录报警触发前1-40分钟的视频录像。</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★可接入MPEG4、H.264、H.265、Smart265、SVAC、4K编码格式的前端设备并存储录像文件,可将大华、宇视、海康等厂商SDK封装格式的视频流转成标准（MPEG4、H.264、H.265、SVAC、4K等编码格式）PS流（ProgramStream）输出。</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以上带★的须在公安部检验报告中体现</w:t>
            </w:r>
          </w:p>
        </w:tc>
        <w:tc>
          <w:tcPr>
            <w:tcW w:w="61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797"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1"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2</w:t>
            </w:r>
          </w:p>
        </w:tc>
        <w:tc>
          <w:tcPr>
            <w:tcW w:w="125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监控级硬盘</w:t>
            </w:r>
          </w:p>
        </w:tc>
        <w:tc>
          <w:tcPr>
            <w:tcW w:w="5670"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6T,7200RPM,256MB,SATA 6Gb/s</w:t>
            </w:r>
          </w:p>
        </w:tc>
        <w:tc>
          <w:tcPr>
            <w:tcW w:w="61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个</w:t>
            </w:r>
          </w:p>
        </w:tc>
        <w:tc>
          <w:tcPr>
            <w:tcW w:w="797"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31"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3</w:t>
            </w:r>
          </w:p>
        </w:tc>
        <w:tc>
          <w:tcPr>
            <w:tcW w:w="125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存储管理服务系统</w:t>
            </w:r>
          </w:p>
        </w:tc>
        <w:tc>
          <w:tcPr>
            <w:tcW w:w="5670"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E5-2620V2x2/8GB DDR3 ECCx3/480G SSD x2/热插拔/以太网口1Gx2/冗余电源/2U</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操作系统：CentOS7 64位</w:t>
            </w:r>
          </w:p>
        </w:tc>
        <w:tc>
          <w:tcPr>
            <w:tcW w:w="614" w:type="dxa"/>
            <w:vAlign w:val="top"/>
          </w:tcPr>
          <w:p>
            <w:pPr>
              <w:spacing w:line="360" w:lineRule="auto"/>
              <w:jc w:val="left"/>
              <w:rPr>
                <w:rFonts w:hint="eastAsia" w:ascii="仿宋" w:hAnsi="仿宋" w:eastAsia="仿宋" w:cs="Arial Unicode MS"/>
                <w:position w:val="-4"/>
                <w:sz w:val="24"/>
                <w:lang w:eastAsia="zh-CN"/>
              </w:rPr>
            </w:pPr>
            <w:r>
              <w:rPr>
                <w:rFonts w:hint="eastAsia" w:ascii="仿宋" w:hAnsi="仿宋" w:eastAsia="仿宋" w:cs="Arial Unicode MS"/>
                <w:position w:val="-4"/>
                <w:sz w:val="24"/>
                <w:lang w:eastAsia="zh-CN"/>
              </w:rPr>
              <w:t>套</w:t>
            </w:r>
          </w:p>
        </w:tc>
        <w:tc>
          <w:tcPr>
            <w:tcW w:w="797"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trPr>
        <w:tc>
          <w:tcPr>
            <w:tcW w:w="731"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4</w:t>
            </w:r>
          </w:p>
        </w:tc>
        <w:tc>
          <w:tcPr>
            <w:tcW w:w="125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存储管理软件</w:t>
            </w:r>
          </w:p>
        </w:tc>
        <w:tc>
          <w:tcPr>
            <w:tcW w:w="5670"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集成容量虚拟化管理功能、集群化管理功能；负责视频录像资源分配、计划管理、索引管理，负载均衡调度；提供数据查询、回放、下载、锁定等功能。支持录像计划从前端取流直存到虚拟化容量空间，提供视频、图片的统一存储。</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模块列表：</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1)视频录像基础模块；</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2)图片存储基础模块</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3）国标模块；</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4）抽帧转存模块；</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5）Smart前端支持；</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★存储空间利用率可以达到90%以上。</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★支持分布式对称架构与非对称架构自由切换，对称架构可升级为非对称架构。</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★支持前端设备和存储设备之间直接存储，采用块级存储，不生成文件（即不使用文件系统），无碎片。</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支持主子码流直写存储到磁盘阵列，可提供回放、下载服务。</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★支持将指定的设备创建为指定的存储空间。</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★支持系统内多存储节点故障后，只要系统内的正常存储节点不少于1台，仍可进行正常的录像写入，仍具备磁盘间容错能力。</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兼容标准的IP-SAN/FC-SAN第三方存储设备</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支持数据分散存储到存储节点上，数据呈离散式分布。</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以上带★的须在公安部检验报告中体现</w:t>
            </w:r>
          </w:p>
        </w:tc>
        <w:tc>
          <w:tcPr>
            <w:tcW w:w="61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套</w:t>
            </w:r>
          </w:p>
        </w:tc>
        <w:tc>
          <w:tcPr>
            <w:tcW w:w="797"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31"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5</w:t>
            </w:r>
          </w:p>
        </w:tc>
        <w:tc>
          <w:tcPr>
            <w:tcW w:w="125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视图库系统</w:t>
            </w:r>
          </w:p>
        </w:tc>
        <w:tc>
          <w:tcPr>
            <w:tcW w:w="5670"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对音视频、图片进行结构化处理，含服务器，配置：E5-2620V2x2/8GB DDR3 ECCx3/480G SSD x2/热插拔/以太网口1Gx2/冗余电源/2U，操作系统：CentOS7 64位</w:t>
            </w:r>
          </w:p>
        </w:tc>
        <w:tc>
          <w:tcPr>
            <w:tcW w:w="61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套</w:t>
            </w:r>
          </w:p>
        </w:tc>
        <w:tc>
          <w:tcPr>
            <w:tcW w:w="797"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31"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6</w:t>
            </w:r>
          </w:p>
        </w:tc>
        <w:tc>
          <w:tcPr>
            <w:tcW w:w="125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千兆交换机</w:t>
            </w:r>
          </w:p>
        </w:tc>
        <w:tc>
          <w:tcPr>
            <w:tcW w:w="5670"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24口千兆全网管二层交换机，机架式，24个千兆电口,4个千兆光口,支持通过console口管理。交换容量256Gbps,包转发率42Mpps</w:t>
            </w:r>
          </w:p>
        </w:tc>
        <w:tc>
          <w:tcPr>
            <w:tcW w:w="614"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797" w:type="dxa"/>
            <w:vAlign w:val="top"/>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1</w:t>
            </w:r>
          </w:p>
        </w:tc>
      </w:tr>
    </w:tbl>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lang w:eastAsia="zh-CN"/>
        </w:rPr>
        <w:t>二</w:t>
      </w:r>
      <w:r>
        <w:rPr>
          <w:rFonts w:hint="eastAsia" w:ascii="仿宋" w:hAnsi="仿宋" w:eastAsia="仿宋" w:cs="仿宋"/>
          <w:b/>
          <w:sz w:val="24"/>
          <w:szCs w:val="24"/>
        </w:rPr>
        <w:t>、其它要求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w:t>
      </w:r>
      <w:r>
        <w:rPr>
          <w:rFonts w:hint="eastAsia" w:ascii="仿宋" w:hAnsi="仿宋" w:eastAsia="仿宋" w:cs="仿宋"/>
          <w:sz w:val="24"/>
          <w:szCs w:val="24"/>
          <w:lang w:eastAsia="zh-CN"/>
        </w:rPr>
        <w:t>供货时须</w:t>
      </w:r>
      <w:r>
        <w:rPr>
          <w:rFonts w:hint="eastAsia" w:ascii="仿宋" w:hAnsi="仿宋" w:eastAsia="仿宋" w:cs="仿宋"/>
          <w:sz w:val="24"/>
          <w:szCs w:val="24"/>
        </w:rPr>
        <w:t>提供随货物《产品合格证》</w:t>
      </w:r>
      <w:r>
        <w:rPr>
          <w:rFonts w:hint="eastAsia" w:ascii="仿宋" w:hAnsi="仿宋" w:eastAsia="仿宋" w:cs="仿宋"/>
          <w:sz w:val="24"/>
          <w:szCs w:val="24"/>
          <w:lang w:val="en-US"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12、付款方式：以签订合同为准。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、银行开户许可证、无行贿记录告知函、</w:t>
      </w:r>
      <w:r>
        <w:rPr>
          <w:rFonts w:hint="eastAsia" w:ascii="仿宋" w:hAnsi="仿宋" w:eastAsia="仿宋" w:cs="仿宋"/>
          <w:sz w:val="24"/>
          <w:szCs w:val="24"/>
          <w:lang w:eastAsia="zh-CN"/>
        </w:rPr>
        <w:t>法定代表人授权代表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3.5评分标准</w:t>
      </w:r>
    </w:p>
    <w:tbl>
      <w:tblPr>
        <w:tblStyle w:val="36"/>
        <w:tblW w:w="9573"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00"/>
        <w:gridCol w:w="1019"/>
        <w:gridCol w:w="155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6" w:hRule="atLeast"/>
        </w:trPr>
        <w:tc>
          <w:tcPr>
            <w:tcW w:w="900" w:type="dxa"/>
            <w:vAlign w:val="center"/>
          </w:tcPr>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2578"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lang w:eastAsia="zh-CN"/>
              </w:rPr>
              <w:t>评审</w:t>
            </w:r>
            <w:r>
              <w:rPr>
                <w:rFonts w:hint="eastAsia" w:ascii="仿宋" w:hAnsi="仿宋" w:eastAsia="仿宋" w:cs="仿宋"/>
                <w:b/>
                <w:sz w:val="24"/>
                <w:szCs w:val="24"/>
              </w:rPr>
              <w:t>内容</w:t>
            </w:r>
          </w:p>
        </w:tc>
        <w:tc>
          <w:tcPr>
            <w:tcW w:w="6095"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b/>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58"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.1</w:t>
            </w:r>
          </w:p>
        </w:tc>
        <w:tc>
          <w:tcPr>
            <w:tcW w:w="2578" w:type="dxa"/>
            <w:gridSpan w:val="2"/>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分值组成</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（总分100分）</w:t>
            </w:r>
          </w:p>
        </w:tc>
        <w:tc>
          <w:tcPr>
            <w:tcW w:w="6095" w:type="dxa"/>
            <w:vAlign w:val="bottom"/>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报价得分</w:t>
            </w:r>
            <w:r>
              <w:rPr>
                <w:rFonts w:hint="eastAsia" w:ascii="仿宋" w:hAnsi="仿宋" w:eastAsia="仿宋" w:cs="仿宋"/>
                <w:sz w:val="24"/>
                <w:szCs w:val="24"/>
              </w:rPr>
              <w:t>：</w:t>
            </w:r>
            <w:r>
              <w:rPr>
                <w:rFonts w:hint="eastAsia" w:ascii="仿宋" w:hAnsi="仿宋" w:eastAsia="仿宋" w:cs="仿宋"/>
                <w:sz w:val="24"/>
                <w:szCs w:val="24"/>
                <w:lang w:val="en-US" w:eastAsia="zh-CN"/>
              </w:rPr>
              <w:t>50</w:t>
            </w:r>
            <w:r>
              <w:rPr>
                <w:rFonts w:hint="eastAsia" w:ascii="仿宋" w:hAnsi="仿宋" w:eastAsia="仿宋" w:cs="仿宋"/>
                <w:sz w:val="24"/>
                <w:szCs w:val="24"/>
              </w:rPr>
              <w:t>分</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商务</w:t>
            </w:r>
            <w:r>
              <w:rPr>
                <w:rFonts w:hint="eastAsia" w:ascii="仿宋" w:hAnsi="仿宋" w:eastAsia="仿宋" w:cs="仿宋"/>
                <w:sz w:val="24"/>
                <w:szCs w:val="24"/>
              </w:rPr>
              <w:t>技术</w:t>
            </w:r>
            <w:r>
              <w:rPr>
                <w:rFonts w:hint="eastAsia" w:ascii="仿宋" w:hAnsi="仿宋" w:eastAsia="仿宋" w:cs="仿宋"/>
                <w:sz w:val="24"/>
                <w:szCs w:val="24"/>
                <w:lang w:eastAsia="zh-CN"/>
              </w:rPr>
              <w:t>评分</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43"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.2</w:t>
            </w:r>
          </w:p>
        </w:tc>
        <w:tc>
          <w:tcPr>
            <w:tcW w:w="2578" w:type="dxa"/>
            <w:gridSpan w:val="2"/>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评标基准价</w:t>
            </w:r>
          </w:p>
        </w:tc>
        <w:tc>
          <w:tcPr>
            <w:tcW w:w="6095" w:type="dxa"/>
            <w:vAlign w:val="center"/>
          </w:tcPr>
          <w:p>
            <w:pPr>
              <w:spacing w:line="360" w:lineRule="auto"/>
              <w:ind w:firstLine="72" w:firstLineChars="30"/>
              <w:jc w:val="left"/>
              <w:rPr>
                <w:rFonts w:hint="eastAsia" w:ascii="仿宋" w:hAnsi="仿宋" w:eastAsia="仿宋" w:cs="仿宋"/>
                <w:color w:val="FF0000"/>
                <w:sz w:val="24"/>
                <w:szCs w:val="24"/>
              </w:rPr>
            </w:pPr>
            <w:r>
              <w:rPr>
                <w:rFonts w:hint="eastAsia" w:ascii="仿宋" w:hAnsi="仿宋" w:eastAsia="仿宋" w:cs="仿宋"/>
                <w:sz w:val="24"/>
                <w:szCs w:val="24"/>
              </w:rPr>
              <w:t>评标基准价指满足招标文件要求且投标价格最低的投标报价为评标基准价</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412"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.3</w:t>
            </w:r>
          </w:p>
        </w:tc>
        <w:tc>
          <w:tcPr>
            <w:tcW w:w="2578" w:type="dxa"/>
            <w:gridSpan w:val="2"/>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投标报价得分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0分）</w:t>
            </w:r>
          </w:p>
        </w:tc>
        <w:tc>
          <w:tcPr>
            <w:tcW w:w="6095" w:type="dxa"/>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价格得分=（评标基准价/投标报价）×50</w:t>
            </w:r>
          </w:p>
          <w:p>
            <w:pPr>
              <w:spacing w:line="360" w:lineRule="auto"/>
              <w:ind w:firstLine="480" w:firstLineChars="200"/>
              <w:rPr>
                <w:rFonts w:hint="eastAsia" w:ascii="仿宋" w:hAnsi="仿宋" w:eastAsia="仿宋" w:cs="仿宋"/>
                <w:color w:val="FF0000"/>
                <w:sz w:val="24"/>
                <w:szCs w:val="24"/>
              </w:rPr>
            </w:pPr>
            <w:r>
              <w:rPr>
                <w:rFonts w:hint="eastAsia" w:ascii="仿宋" w:hAnsi="仿宋" w:eastAsia="仿宋" w:cs="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仿宋" w:hAnsi="仿宋" w:eastAsia="仿宋" w:cs="仿宋"/>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64" w:hRule="atLeast"/>
        </w:trPr>
        <w:tc>
          <w:tcPr>
            <w:tcW w:w="900" w:type="dxa"/>
            <w:vMerge w:val="restart"/>
            <w:tcBorders>
              <w:right w:val="single" w:color="auto" w:sz="4" w:space="0"/>
            </w:tcBorders>
            <w:vAlign w:val="center"/>
          </w:tcPr>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3.5.4</w:t>
            </w:r>
          </w:p>
        </w:tc>
        <w:tc>
          <w:tcPr>
            <w:tcW w:w="1019" w:type="dxa"/>
            <w:vMerge w:val="restart"/>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商</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务</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部</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（30分）</w:t>
            </w:r>
          </w:p>
        </w:tc>
        <w:tc>
          <w:tcPr>
            <w:tcW w:w="1559" w:type="dxa"/>
            <w:tcBorders>
              <w:left w:val="single" w:color="auto" w:sz="4" w:space="0"/>
              <w:right w:val="single" w:color="auto" w:sz="4" w:space="0"/>
            </w:tcBorders>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企业综合实力</w:t>
            </w:r>
          </w:p>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color w:val="000000"/>
                <w:sz w:val="24"/>
                <w:szCs w:val="24"/>
              </w:rPr>
              <w:t>及项目班子配备</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（0-</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w:t>
            </w:r>
          </w:p>
        </w:tc>
        <w:tc>
          <w:tcPr>
            <w:tcW w:w="6095" w:type="dxa"/>
            <w:tcBorders>
              <w:left w:val="single" w:color="auto" w:sz="4" w:space="0"/>
            </w:tcBorders>
            <w:vAlign w:val="center"/>
          </w:tcPr>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1、投标人须提供工商企业信用信息公示报告【国家企业信用信息公示系统http://www.gsxt.gov.cn包括基础信息、行政许可信息、行政处罚信息、列入经营异常名录信息、列入严重违法失信企业名单（黑名单）信息】（加盖投标人公章），提供完整且无不良信息者得1分；提供企业所在地税务主管部门出具的纳税情况证明等信用情况（加盖企业所在地税务主管部门公章）的得1分，该项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322"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主要设备、材料的质量和性能</w:t>
            </w:r>
            <w:r>
              <w:rPr>
                <w:rFonts w:hint="eastAsia" w:ascii="仿宋" w:hAnsi="仿宋" w:eastAsia="仿宋" w:cs="仿宋"/>
                <w:sz w:val="24"/>
                <w:szCs w:val="24"/>
              </w:rPr>
              <w:t>（</w:t>
            </w:r>
            <w:r>
              <w:rPr>
                <w:rFonts w:hint="eastAsia" w:ascii="仿宋" w:hAnsi="仿宋" w:eastAsia="仿宋" w:cs="仿宋"/>
                <w:sz w:val="24"/>
                <w:szCs w:val="24"/>
                <w:lang w:val="en-US" w:eastAsia="zh-CN"/>
              </w:rPr>
              <w:t>0-22</w:t>
            </w:r>
            <w:r>
              <w:rPr>
                <w:rFonts w:hint="eastAsia" w:ascii="仿宋" w:hAnsi="仿宋" w:eastAsia="仿宋" w:cs="仿宋"/>
                <w:sz w:val="24"/>
                <w:szCs w:val="24"/>
              </w:rPr>
              <w:t>分）</w:t>
            </w:r>
          </w:p>
        </w:tc>
        <w:tc>
          <w:tcPr>
            <w:tcW w:w="6095" w:type="dxa"/>
            <w:tcBorders>
              <w:left w:val="single" w:color="auto" w:sz="4" w:space="0"/>
            </w:tcBorders>
            <w:vAlign w:val="center"/>
          </w:tcPr>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、所投云存储磁盘阵列产品的制造商获得中华人民共和国工商行政管理总局颁发的工商企业信用 “守合同重信用单位”</w:t>
            </w:r>
            <w:r>
              <w:rPr>
                <w:rFonts w:hint="eastAsia" w:ascii="仿宋" w:hAnsi="仿宋" w:eastAsia="仿宋" w:cs="仿宋"/>
                <w:kern w:val="0"/>
                <w:sz w:val="24"/>
                <w:szCs w:val="24"/>
                <w:lang w:eastAsia="zh-CN"/>
              </w:rPr>
              <w:t>荣誉</w:t>
            </w:r>
            <w:r>
              <w:rPr>
                <w:rFonts w:hint="eastAsia" w:ascii="仿宋" w:hAnsi="仿宋" w:eastAsia="仿宋" w:cs="仿宋"/>
                <w:kern w:val="0"/>
                <w:sz w:val="24"/>
                <w:szCs w:val="24"/>
              </w:rPr>
              <w:t>的得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获得</w:t>
            </w:r>
            <w:r>
              <w:rPr>
                <w:rFonts w:hint="eastAsia" w:ascii="仿宋" w:hAnsi="仿宋" w:eastAsia="仿宋" w:cs="仿宋"/>
                <w:kern w:val="0"/>
                <w:sz w:val="24"/>
                <w:szCs w:val="24"/>
                <w:lang w:eastAsia="zh-CN"/>
              </w:rPr>
              <w:t>省级</w:t>
            </w:r>
            <w:r>
              <w:rPr>
                <w:rFonts w:hint="eastAsia" w:ascii="仿宋" w:hAnsi="仿宋" w:eastAsia="仿宋" w:cs="仿宋"/>
                <w:kern w:val="0"/>
                <w:sz w:val="24"/>
                <w:szCs w:val="24"/>
              </w:rPr>
              <w:t xml:space="preserve"> “守合同重信用单位”</w:t>
            </w:r>
            <w:r>
              <w:rPr>
                <w:rFonts w:hint="eastAsia" w:ascii="仿宋" w:hAnsi="仿宋" w:eastAsia="仿宋" w:cs="仿宋"/>
                <w:kern w:val="0"/>
                <w:sz w:val="24"/>
                <w:szCs w:val="24"/>
                <w:lang w:eastAsia="zh-CN"/>
              </w:rPr>
              <w:t>荣誉</w:t>
            </w:r>
            <w:r>
              <w:rPr>
                <w:rFonts w:hint="eastAsia" w:ascii="仿宋" w:hAnsi="仿宋" w:eastAsia="仿宋" w:cs="仿宋"/>
                <w:kern w:val="0"/>
                <w:sz w:val="24"/>
                <w:szCs w:val="24"/>
              </w:rPr>
              <w:t xml:space="preserve"> 的得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分；所投千兆交换机产品的制造商获得中华人民共和国工商行政管理总局颁发的工商企业信用 “守合同重信用单位” 的得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获得</w:t>
            </w:r>
            <w:r>
              <w:rPr>
                <w:rFonts w:hint="eastAsia" w:ascii="仿宋" w:hAnsi="仿宋" w:eastAsia="仿宋" w:cs="仿宋"/>
                <w:kern w:val="0"/>
                <w:sz w:val="24"/>
                <w:szCs w:val="24"/>
                <w:lang w:eastAsia="zh-CN"/>
              </w:rPr>
              <w:t>省级</w:t>
            </w:r>
            <w:r>
              <w:rPr>
                <w:rFonts w:hint="eastAsia" w:ascii="仿宋" w:hAnsi="仿宋" w:eastAsia="仿宋" w:cs="仿宋"/>
                <w:kern w:val="0"/>
                <w:sz w:val="24"/>
                <w:szCs w:val="24"/>
              </w:rPr>
              <w:t xml:space="preserve"> “守合同重信用单位”</w:t>
            </w:r>
            <w:r>
              <w:rPr>
                <w:rFonts w:hint="eastAsia" w:ascii="仿宋" w:hAnsi="仿宋" w:eastAsia="仿宋" w:cs="仿宋"/>
                <w:kern w:val="0"/>
                <w:sz w:val="24"/>
                <w:szCs w:val="24"/>
                <w:lang w:eastAsia="zh-CN"/>
              </w:rPr>
              <w:t>荣誉</w:t>
            </w:r>
            <w:r>
              <w:rPr>
                <w:rFonts w:hint="eastAsia" w:ascii="仿宋" w:hAnsi="仿宋" w:eastAsia="仿宋" w:cs="仿宋"/>
                <w:kern w:val="0"/>
                <w:sz w:val="24"/>
                <w:szCs w:val="24"/>
              </w:rPr>
              <w:t xml:space="preserve"> 的得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 xml:space="preserve">分。（投标时提供有效证明材料复印件并加盖原厂商公章）； </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、投标人所投云存储磁盘阵列产品的制造商获得国家级科技类奖的得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获得</w:t>
            </w:r>
            <w:r>
              <w:rPr>
                <w:rFonts w:hint="eastAsia" w:ascii="仿宋" w:hAnsi="仿宋" w:eastAsia="仿宋" w:cs="仿宋"/>
                <w:kern w:val="0"/>
                <w:sz w:val="24"/>
                <w:szCs w:val="24"/>
                <w:lang w:eastAsia="zh-CN"/>
              </w:rPr>
              <w:t>省</w:t>
            </w:r>
            <w:r>
              <w:rPr>
                <w:rFonts w:hint="eastAsia" w:ascii="仿宋" w:hAnsi="仿宋" w:eastAsia="仿宋" w:cs="仿宋"/>
                <w:kern w:val="0"/>
                <w:sz w:val="24"/>
                <w:szCs w:val="24"/>
              </w:rPr>
              <w:t>级科技类奖的得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分；所投千兆交换机产品的制造商获得国家级科技类奖的得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获得</w:t>
            </w:r>
            <w:r>
              <w:rPr>
                <w:rFonts w:hint="eastAsia" w:ascii="仿宋" w:hAnsi="仿宋" w:eastAsia="仿宋" w:cs="仿宋"/>
                <w:kern w:val="0"/>
                <w:sz w:val="24"/>
                <w:szCs w:val="24"/>
                <w:lang w:eastAsia="zh-CN"/>
              </w:rPr>
              <w:t>省</w:t>
            </w:r>
            <w:r>
              <w:rPr>
                <w:rFonts w:hint="eastAsia" w:ascii="仿宋" w:hAnsi="仿宋" w:eastAsia="仿宋" w:cs="仿宋"/>
                <w:kern w:val="0"/>
                <w:sz w:val="24"/>
                <w:szCs w:val="24"/>
              </w:rPr>
              <w:t>级科技类奖的得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分。（投标时提供有效证明材料复印件并加盖原厂商公章）；</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w:t>
            </w:r>
            <w:r>
              <w:rPr>
                <w:rFonts w:hint="eastAsia" w:ascii="仿宋" w:hAnsi="仿宋" w:eastAsia="仿宋" w:cs="仿宋"/>
                <w:color w:val="000000"/>
                <w:kern w:val="0"/>
                <w:sz w:val="24"/>
                <w:szCs w:val="24"/>
              </w:rPr>
              <w:t>所投云存储磁盘阵列产品的制造商具有安全生产标准化二级及以上证书的得</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分；所投千兆交换机产品的制造商具有安全生产标准化二级及以上证书的得</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分。（投标时提供有效证明材料复印件并加盖原厂商公章）；</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、设备技术参数（</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p>
            <w:pPr>
              <w:spacing w:line="360" w:lineRule="auto"/>
              <w:rPr>
                <w:rFonts w:hint="eastAsia" w:ascii="仿宋" w:hAnsi="仿宋" w:eastAsia="仿宋" w:cs="仿宋"/>
                <w:sz w:val="24"/>
                <w:szCs w:val="24"/>
              </w:rPr>
            </w:pPr>
            <w:r>
              <w:rPr>
                <w:rFonts w:hint="eastAsia" w:ascii="仿宋" w:hAnsi="仿宋" w:eastAsia="仿宋" w:cs="仿宋"/>
                <w:sz w:val="24"/>
                <w:szCs w:val="24"/>
              </w:rPr>
              <w:t>投标人所提供货物必须为“无偏离或正偏离”，评委根据正楄离情况在</w:t>
            </w:r>
            <w:r>
              <w:rPr>
                <w:rFonts w:hint="eastAsia" w:ascii="仿宋" w:hAnsi="仿宋" w:eastAsia="仿宋" w:cs="仿宋"/>
                <w:sz w:val="24"/>
                <w:szCs w:val="24"/>
                <w:lang w:val="en-US" w:eastAsia="zh-CN"/>
              </w:rPr>
              <w:t>0-6</w:t>
            </w:r>
            <w:r>
              <w:rPr>
                <w:rFonts w:hint="eastAsia" w:ascii="仿宋" w:hAnsi="仿宋" w:eastAsia="仿宋" w:cs="仿宋"/>
                <w:sz w:val="24"/>
                <w:szCs w:val="24"/>
              </w:rPr>
              <w:t>分内加分（最多加</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854"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sz w:val="24"/>
                <w:szCs w:val="24"/>
              </w:rPr>
              <w:t>售后服务</w:t>
            </w:r>
          </w:p>
          <w:p>
            <w:pPr>
              <w:spacing w:line="360" w:lineRule="exact"/>
              <w:jc w:val="center"/>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c>
          <w:tcPr>
            <w:tcW w:w="6095" w:type="dxa"/>
            <w:tcBorders>
              <w:left w:val="single" w:color="auto" w:sz="4" w:space="0"/>
            </w:tcBorders>
            <w:vAlign w:val="center"/>
          </w:tcPr>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1、售后服务（</w:t>
            </w:r>
            <w:r>
              <w:rPr>
                <w:rFonts w:hint="eastAsia" w:ascii="仿宋" w:hAnsi="仿宋" w:eastAsia="仿宋" w:cs="仿宋"/>
                <w:sz w:val="24"/>
                <w:szCs w:val="24"/>
                <w:lang w:val="en-US" w:eastAsia="zh-CN"/>
              </w:rPr>
              <w:t>0</w:t>
            </w:r>
            <w:r>
              <w:rPr>
                <w:rFonts w:hint="eastAsia" w:ascii="仿宋" w:hAnsi="仿宋" w:eastAsia="仿宋" w:cs="仿宋"/>
                <w:sz w:val="24"/>
                <w:szCs w:val="24"/>
              </w:rPr>
              <w:t xml:space="preserve">-2分） </w:t>
            </w:r>
          </w:p>
          <w:p>
            <w:pPr>
              <w:autoSpaceDE w:val="0"/>
              <w:autoSpaceDN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根据技术培训内容、形式、时间安排的合理性以及投标人在方案中阐述的售后服务情况，在1-2分范围内酌情打分。</w:t>
            </w:r>
          </w:p>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2、售后响应时间（</w:t>
            </w:r>
            <w:r>
              <w:rPr>
                <w:rFonts w:hint="eastAsia" w:ascii="仿宋" w:hAnsi="仿宋" w:eastAsia="仿宋" w:cs="仿宋"/>
                <w:sz w:val="24"/>
                <w:szCs w:val="24"/>
                <w:lang w:val="en-US" w:eastAsia="zh-CN"/>
              </w:rPr>
              <w:t>0-2</w:t>
            </w:r>
            <w:r>
              <w:rPr>
                <w:rFonts w:hint="eastAsia" w:ascii="仿宋" w:hAnsi="仿宋" w:eastAsia="仿宋" w:cs="仿宋"/>
                <w:sz w:val="24"/>
                <w:szCs w:val="24"/>
              </w:rPr>
              <w:t>分）</w:t>
            </w:r>
          </w:p>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售后服务上门响应时间以小时为单位，以6小时为起点，基本分0.5分，每减少1小时，加0.5分，</w:t>
            </w:r>
            <w:r>
              <w:rPr>
                <w:rFonts w:hint="eastAsia" w:ascii="仿宋" w:hAnsi="仿宋" w:eastAsia="仿宋" w:cs="仿宋"/>
                <w:sz w:val="24"/>
                <w:szCs w:val="24"/>
                <w:lang w:eastAsia="zh-CN"/>
              </w:rPr>
              <w:t>最多加</w:t>
            </w:r>
            <w:r>
              <w:rPr>
                <w:rFonts w:hint="eastAsia" w:ascii="仿宋" w:hAnsi="仿宋" w:eastAsia="仿宋" w:cs="仿宋"/>
                <w:sz w:val="24"/>
                <w:szCs w:val="24"/>
                <w:lang w:val="en-US" w:eastAsia="zh-CN"/>
              </w:rPr>
              <w:t>2</w:t>
            </w:r>
            <w:r>
              <w:rPr>
                <w:rFonts w:hint="eastAsia" w:ascii="仿宋" w:hAnsi="仿宋" w:eastAsia="仿宋" w:cs="仿宋"/>
                <w:sz w:val="24"/>
                <w:szCs w:val="24"/>
              </w:rPr>
              <w:t>分，6小时以上的不得分。</w:t>
            </w:r>
          </w:p>
          <w:p>
            <w:pPr>
              <w:autoSpaceDE w:val="0"/>
              <w:autoSpaceDN w:val="0"/>
              <w:spacing w:line="360" w:lineRule="auto"/>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sz w:val="24"/>
                <w:szCs w:val="24"/>
              </w:rPr>
              <w:t>服务承诺（</w:t>
            </w:r>
            <w:r>
              <w:rPr>
                <w:rFonts w:hint="eastAsia" w:ascii="仿宋" w:hAnsi="仿宋" w:eastAsia="仿宋" w:cs="仿宋"/>
                <w:color w:val="000000"/>
                <w:sz w:val="24"/>
                <w:szCs w:val="24"/>
                <w:lang w:val="en-US" w:eastAsia="zh-CN"/>
              </w:rPr>
              <w:t>0-2</w:t>
            </w:r>
            <w:r>
              <w:rPr>
                <w:rFonts w:hint="eastAsia" w:ascii="仿宋" w:hAnsi="仿宋" w:eastAsia="仿宋" w:cs="仿宋"/>
                <w:color w:val="000000"/>
                <w:sz w:val="24"/>
                <w:szCs w:val="24"/>
              </w:rPr>
              <w:t>分）</w:t>
            </w:r>
          </w:p>
          <w:p>
            <w:pPr>
              <w:spacing w:line="360" w:lineRule="auto"/>
              <w:rPr>
                <w:rFonts w:hint="eastAsia" w:ascii="仿宋" w:hAnsi="仿宋" w:eastAsia="仿宋" w:cs="仿宋"/>
                <w:sz w:val="24"/>
                <w:szCs w:val="24"/>
              </w:rPr>
            </w:pPr>
            <w:r>
              <w:rPr>
                <w:rFonts w:hint="eastAsia" w:ascii="仿宋" w:hAnsi="仿宋" w:eastAsia="仿宋" w:cs="仿宋"/>
                <w:sz w:val="24"/>
                <w:szCs w:val="24"/>
              </w:rPr>
              <w:t>评标委员会根据响应情况进行横向比较得分。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restart"/>
            <w:vAlign w:val="center"/>
          </w:tcPr>
          <w:p>
            <w:pPr>
              <w:pStyle w:val="19"/>
              <w:spacing w:line="360" w:lineRule="auto"/>
              <w:ind w:firstLine="45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5</w:t>
            </w:r>
          </w:p>
          <w:p>
            <w:pPr>
              <w:pStyle w:val="19"/>
              <w:spacing w:line="360" w:lineRule="auto"/>
              <w:rPr>
                <w:rFonts w:hint="eastAsia" w:ascii="仿宋" w:hAnsi="仿宋" w:eastAsia="仿宋" w:cs="仿宋"/>
                <w:sz w:val="24"/>
                <w:szCs w:val="24"/>
              </w:rPr>
            </w:pPr>
          </w:p>
        </w:tc>
        <w:tc>
          <w:tcPr>
            <w:tcW w:w="1019" w:type="dxa"/>
            <w:vMerge w:val="restart"/>
            <w:vAlign w:val="center"/>
          </w:tcPr>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技</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术</w:t>
            </w:r>
          </w:p>
          <w:p>
            <w:pPr>
              <w:pStyle w:val="19"/>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分</w:t>
            </w:r>
          </w:p>
          <w:p>
            <w:pPr>
              <w:autoSpaceDE w:val="0"/>
              <w:autoSpaceDN w:val="0"/>
              <w:adjustRightInd w:val="0"/>
              <w:spacing w:line="360" w:lineRule="auto"/>
              <w:jc w:val="center"/>
              <w:rPr>
                <w:rFonts w:hint="eastAsia" w:ascii="仿宋" w:hAnsi="仿宋" w:eastAsia="仿宋" w:cs="仿宋"/>
                <w:kern w:val="0"/>
                <w:sz w:val="24"/>
                <w:szCs w:val="24"/>
              </w:rPr>
            </w:pPr>
            <w:r>
              <w:rPr>
                <w:rFonts w:hint="eastAsia" w:ascii="仿宋" w:hAnsi="仿宋" w:eastAsia="仿宋" w:cs="仿宋"/>
                <w:sz w:val="24"/>
                <w:szCs w:val="24"/>
              </w:rPr>
              <w:t>（20分）</w:t>
            </w:r>
          </w:p>
        </w:tc>
        <w:tc>
          <w:tcPr>
            <w:tcW w:w="1559" w:type="dxa"/>
            <w:vAlign w:val="center"/>
          </w:tcPr>
          <w:p>
            <w:pPr>
              <w:autoSpaceDE w:val="0"/>
              <w:autoSpaceDN w:val="0"/>
              <w:adjustRightInd w:val="0"/>
              <w:spacing w:line="360" w:lineRule="auto"/>
              <w:jc w:val="center"/>
              <w:rPr>
                <w:rFonts w:hint="eastAsia" w:ascii="仿宋" w:hAnsi="仿宋" w:eastAsia="仿宋" w:cs="仿宋"/>
                <w:kern w:val="0"/>
                <w:sz w:val="24"/>
                <w:szCs w:val="24"/>
              </w:rPr>
            </w:pPr>
            <w:bookmarkStart w:id="0" w:name="OLE_LINK5"/>
            <w:r>
              <w:rPr>
                <w:rFonts w:hint="eastAsia" w:ascii="仿宋" w:hAnsi="仿宋" w:eastAsia="仿宋" w:cs="仿宋"/>
                <w:kern w:val="0"/>
                <w:sz w:val="24"/>
                <w:szCs w:val="24"/>
              </w:rPr>
              <w:t>项目实施方案</w:t>
            </w:r>
            <w:bookmarkEnd w:id="0"/>
          </w:p>
          <w:p>
            <w:pPr>
              <w:autoSpaceDE w:val="0"/>
              <w:autoSpaceDN w:val="0"/>
              <w:adjustRightIn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6095" w:type="dxa"/>
            <w:vAlign w:val="center"/>
          </w:tcPr>
          <w:p>
            <w:pPr>
              <w:widowControl/>
              <w:adjustRightInd w:val="0"/>
              <w:spacing w:line="360" w:lineRule="auto"/>
              <w:jc w:val="left"/>
              <w:rPr>
                <w:rFonts w:hint="eastAsia" w:ascii="仿宋" w:hAnsi="仿宋" w:eastAsia="仿宋" w:cs="仿宋"/>
                <w:sz w:val="24"/>
                <w:szCs w:val="24"/>
              </w:rPr>
            </w:pPr>
            <w:bookmarkStart w:id="1" w:name="OLE_LINK9"/>
            <w:r>
              <w:rPr>
                <w:rFonts w:hint="eastAsia" w:ascii="仿宋" w:hAnsi="仿宋" w:eastAsia="仿宋" w:cs="仿宋"/>
                <w:sz w:val="24"/>
                <w:szCs w:val="24"/>
              </w:rPr>
              <w:t>（1）</w:t>
            </w:r>
            <w:bookmarkStart w:id="2" w:name="OLE_LINK28"/>
            <w:bookmarkStart w:id="3" w:name="OLE_LINK7"/>
            <w:r>
              <w:rPr>
                <w:rFonts w:hint="eastAsia" w:ascii="仿宋" w:hAnsi="仿宋" w:eastAsia="仿宋" w:cs="仿宋"/>
                <w:sz w:val="24"/>
                <w:szCs w:val="24"/>
              </w:rPr>
              <w:t>设备供货、安装、调试方案</w:t>
            </w:r>
            <w:bookmarkEnd w:id="2"/>
            <w:bookmarkStart w:id="4" w:name="OLE_LINK6"/>
            <w:r>
              <w:rPr>
                <w:rFonts w:hint="eastAsia" w:ascii="仿宋" w:hAnsi="仿宋" w:eastAsia="仿宋" w:cs="仿宋"/>
                <w:sz w:val="24"/>
                <w:szCs w:val="24"/>
              </w:rPr>
              <w:t>（1-2分）</w:t>
            </w:r>
            <w:bookmarkEnd w:id="4"/>
          </w:p>
          <w:bookmarkEnd w:id="3"/>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（2）</w:t>
            </w:r>
            <w:bookmarkStart w:id="5" w:name="OLE_LINK29"/>
            <w:r>
              <w:rPr>
                <w:rFonts w:hint="eastAsia" w:ascii="仿宋" w:hAnsi="仿宋" w:eastAsia="仿宋" w:cs="仿宋"/>
                <w:sz w:val="24"/>
                <w:szCs w:val="24"/>
              </w:rPr>
              <w:t>伴随服务</w:t>
            </w:r>
            <w:bookmarkEnd w:id="5"/>
            <w:bookmarkStart w:id="6" w:name="OLE_LINK8"/>
            <w:r>
              <w:rPr>
                <w:rFonts w:hint="eastAsia" w:ascii="仿宋" w:hAnsi="仿宋" w:eastAsia="仿宋" w:cs="仿宋"/>
                <w:sz w:val="24"/>
                <w:szCs w:val="24"/>
              </w:rPr>
              <w:t>（1-2分）</w:t>
            </w:r>
            <w:bookmarkEnd w:id="6"/>
          </w:p>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（3）</w:t>
            </w:r>
            <w:bookmarkStart w:id="7" w:name="OLE_LINK31"/>
            <w:r>
              <w:rPr>
                <w:rFonts w:hint="eastAsia" w:ascii="仿宋" w:hAnsi="仿宋" w:eastAsia="仿宋" w:cs="仿宋"/>
                <w:sz w:val="24"/>
                <w:szCs w:val="24"/>
              </w:rPr>
              <w:t>成品保护措施</w:t>
            </w:r>
            <w:bookmarkEnd w:id="7"/>
            <w:r>
              <w:rPr>
                <w:rFonts w:hint="eastAsia" w:ascii="仿宋" w:hAnsi="仿宋" w:eastAsia="仿宋" w:cs="仿宋"/>
                <w:sz w:val="24"/>
                <w:szCs w:val="24"/>
              </w:rPr>
              <w:t>（1-2分）</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1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供货安装质量保证措施</w:t>
            </w:r>
            <w:r>
              <w:rPr>
                <w:rFonts w:hint="eastAsia" w:ascii="仿宋" w:hAnsi="仿宋" w:eastAsia="仿宋" w:cs="仿宋"/>
                <w:kern w:val="0"/>
                <w:sz w:val="24"/>
                <w:szCs w:val="24"/>
              </w:rPr>
              <w:t>（3分）</w:t>
            </w:r>
          </w:p>
        </w:tc>
        <w:tc>
          <w:tcPr>
            <w:tcW w:w="6095"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供货及安装质量保证措施可行的得1-3分，没有的不得分。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供货及安装进度保证措施</w:t>
            </w:r>
            <w:r>
              <w:rPr>
                <w:rFonts w:hint="eastAsia" w:ascii="仿宋" w:hAnsi="仿宋" w:eastAsia="仿宋" w:cs="仿宋"/>
                <w:kern w:val="0"/>
                <w:sz w:val="24"/>
                <w:szCs w:val="24"/>
              </w:rPr>
              <w:t>（3分）</w:t>
            </w:r>
          </w:p>
        </w:tc>
        <w:tc>
          <w:tcPr>
            <w:tcW w:w="6095"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供货及安装进度保证措施可行的得1-3分，没有的不得分。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后续服务的安排及保证措施</w:t>
            </w:r>
            <w:r>
              <w:rPr>
                <w:rFonts w:hint="eastAsia" w:ascii="仿宋" w:hAnsi="仿宋" w:eastAsia="仿宋" w:cs="仿宋"/>
                <w:kern w:val="0"/>
                <w:sz w:val="24"/>
                <w:szCs w:val="24"/>
              </w:rPr>
              <w:t>（5分）</w:t>
            </w:r>
          </w:p>
        </w:tc>
        <w:tc>
          <w:tcPr>
            <w:tcW w:w="6095"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有后续服务的安排及保证措施得在1-5分范围内酌情打分，没有的不得分。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技术培训计划</w:t>
            </w:r>
            <w:r>
              <w:rPr>
                <w:rFonts w:hint="eastAsia" w:ascii="仿宋" w:hAnsi="仿宋" w:eastAsia="仿宋" w:cs="仿宋"/>
                <w:kern w:val="0"/>
                <w:sz w:val="24"/>
                <w:szCs w:val="24"/>
              </w:rPr>
              <w:t>（3分）</w:t>
            </w:r>
          </w:p>
        </w:tc>
        <w:tc>
          <w:tcPr>
            <w:tcW w:w="6095"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根据技术培训内容、形式、时间安排的合理性在1-3分范围内酌情打分，没有的不得分</w:t>
            </w:r>
          </w:p>
        </w:tc>
      </w:tr>
    </w:tbl>
    <w:p>
      <w:pPr>
        <w:pStyle w:val="125"/>
        <w:spacing w:before="120" w:after="120"/>
        <w:ind w:left="0" w:leftChars="0" w:firstLine="0" w:firstLineChars="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8" w:name="_Toc606"/>
          </w:p>
        </w:tc>
      </w:tr>
      <w:bookmarkEnd w:id="8"/>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7"/>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7"/>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7"/>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7"/>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7"/>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7"/>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8"/>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8"/>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8"/>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8"/>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8"/>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numPr>
          <w:ilvl w:val="0"/>
          <w:numId w:val="9"/>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（1）2016年度经审计的财务报告，包括“三表一注”，即资产负债表、利润表、现金流量表及其附注，或基本开户银行出具的资信证明。（法人投标提供）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服务周期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hint="eastAsia" w:ascii="仿宋" w:hAnsi="仿宋" w:eastAsia="仿宋" w:cs="宋体"/>
          <w:b/>
          <w:bCs/>
          <w:sz w:val="24"/>
          <w:szCs w:val="24"/>
          <w:lang w:val="en-US" w:eastAsia="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4                        </w:t>
      </w:r>
      <w:r>
        <w:rPr>
          <w:rFonts w:hint="eastAsia" w:ascii="仿宋" w:hAnsi="仿宋" w:eastAsia="仿宋" w:cs="宋体"/>
          <w:b/>
          <w:bCs/>
          <w:sz w:val="24"/>
          <w:szCs w:val="24"/>
          <w:lang w:val="en-US" w:eastAsia="zh-CN"/>
        </w:rPr>
        <w:t xml:space="preserve"> </w:t>
      </w:r>
    </w:p>
    <w:p>
      <w:pPr>
        <w:autoSpaceDE w:val="0"/>
        <w:autoSpaceDN w:val="0"/>
        <w:adjustRightInd w:val="0"/>
        <w:spacing w:line="360" w:lineRule="auto"/>
        <w:ind w:firstLine="4096" w:firstLineChars="1700"/>
        <w:rPr>
          <w:rFonts w:ascii="仿宋" w:hAnsi="仿宋" w:eastAsia="仿宋" w:cs="宋体"/>
          <w:b/>
          <w:bCs/>
          <w:sz w:val="24"/>
          <w:szCs w:val="24"/>
          <w:lang w:val="zh-CN"/>
        </w:rPr>
      </w:pPr>
      <w:r>
        <w:rPr>
          <w:rFonts w:hint="eastAsia" w:ascii="仿宋" w:hAnsi="仿宋" w:eastAsia="仿宋" w:cs="宋体"/>
          <w:b/>
          <w:bCs/>
          <w:sz w:val="24"/>
          <w:szCs w:val="24"/>
          <w:lang w:val="en-US" w:eastAsia="zh-CN"/>
        </w:rPr>
        <w:t>工作方案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w:t>
      </w:r>
      <w:r>
        <w:rPr>
          <w:rFonts w:hint="eastAsia" w:ascii="仿宋" w:hAnsi="仿宋" w:eastAsia="仿宋" w:cs="仿宋_GB2312"/>
          <w:sz w:val="24"/>
          <w:szCs w:val="24"/>
          <w:lang w:val="en-US" w:eastAsia="zh-CN"/>
        </w:rPr>
        <w:t>6</w:t>
      </w:r>
      <w:r>
        <w:rPr>
          <w:rFonts w:hint="eastAsia" w:ascii="仿宋" w:hAnsi="仿宋" w:eastAsia="仿宋" w:cs="仿宋_GB2312"/>
          <w:sz w:val="24"/>
          <w:szCs w:val="24"/>
        </w:rPr>
        <w:t xml:space="preserve">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sz w:val="24"/>
          <w:szCs w:val="24"/>
        </w:rPr>
      </w:pPr>
      <w:r>
        <w:rPr>
          <w:rFonts w:hint="eastAsia" w:ascii="仿宋" w:hAnsi="仿宋" w:eastAsia="仿宋" w:cs="仿宋_GB2312"/>
          <w:b/>
          <w:bCs/>
          <w:sz w:val="24"/>
          <w:szCs w:val="24"/>
        </w:rPr>
        <w:t>（技术参数要求中相关证明材料）</w:t>
      </w:r>
    </w:p>
    <w:bookmarkEnd w:id="9"/>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2">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8A4CB1C"/>
    <w:multiLevelType w:val="singleLevel"/>
    <w:tmpl w:val="28A4CB1C"/>
    <w:lvl w:ilvl="0" w:tentative="0">
      <w:start w:val="19"/>
      <w:numFmt w:val="decimal"/>
      <w:suff w:val="nothing"/>
      <w:lvlText w:val="%1、"/>
      <w:lvlJc w:val="left"/>
    </w:lvl>
  </w:abstractNum>
  <w:abstractNum w:abstractNumId="4">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E374A4"/>
    <w:multiLevelType w:val="singleLevel"/>
    <w:tmpl w:val="56E374A4"/>
    <w:lvl w:ilvl="0" w:tentative="0">
      <w:start w:val="9"/>
      <w:numFmt w:val="decimal"/>
      <w:pStyle w:val="119"/>
      <w:suff w:val="nothing"/>
      <w:lvlText w:val="%1、"/>
      <w:lvlJc w:val="left"/>
    </w:lvl>
  </w:abstractNum>
  <w:abstractNum w:abstractNumId="6">
    <w:nsid w:val="5A0532E2"/>
    <w:multiLevelType w:val="singleLevel"/>
    <w:tmpl w:val="5A0532E2"/>
    <w:lvl w:ilvl="0" w:tentative="0">
      <w:start w:val="4"/>
      <w:numFmt w:val="chineseCounting"/>
      <w:suff w:val="nothing"/>
      <w:lvlText w:val="第%1部"/>
      <w:lvlJc w:val="left"/>
    </w:lvl>
  </w:abstractNum>
  <w:abstractNum w:abstractNumId="7">
    <w:nsid w:val="5A27AEF7"/>
    <w:multiLevelType w:val="singleLevel"/>
    <w:tmpl w:val="5A27AEF7"/>
    <w:lvl w:ilvl="0" w:tentative="0">
      <w:start w:val="2"/>
      <w:numFmt w:val="chineseCounting"/>
      <w:suff w:val="nothing"/>
      <w:lvlText w:val="（%1）"/>
      <w:lvlJc w:val="left"/>
    </w:lvl>
  </w:abstractNum>
  <w:abstractNum w:abstractNumId="8">
    <w:nsid w:val="5A30CB82"/>
    <w:multiLevelType w:val="singleLevel"/>
    <w:tmpl w:val="5A30CB82"/>
    <w:lvl w:ilvl="0" w:tentative="0">
      <w:start w:val="1"/>
      <w:numFmt w:val="chineseCounting"/>
      <w:suff w:val="space"/>
      <w:lvlText w:val="第%1部分"/>
      <w:lvlJc w:val="left"/>
    </w:lvl>
  </w:abstractNum>
  <w:num w:numId="1">
    <w:abstractNumId w:val="5"/>
  </w:num>
  <w:num w:numId="2">
    <w:abstractNumId w:val="8"/>
  </w:num>
  <w:num w:numId="3">
    <w:abstractNumId w:val="7"/>
  </w:num>
  <w:num w:numId="4">
    <w:abstractNumId w:val="4"/>
  </w:num>
  <w:num w:numId="5">
    <w:abstractNumId w:val="3"/>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4E5185D"/>
    <w:rsid w:val="04F1400C"/>
    <w:rsid w:val="054A14EB"/>
    <w:rsid w:val="055236E0"/>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F0D73B6"/>
    <w:rsid w:val="0F2C7289"/>
    <w:rsid w:val="0FBA420F"/>
    <w:rsid w:val="10240870"/>
    <w:rsid w:val="105F0CCD"/>
    <w:rsid w:val="10A25988"/>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705BCF"/>
    <w:rsid w:val="146639B0"/>
    <w:rsid w:val="14810804"/>
    <w:rsid w:val="14C32394"/>
    <w:rsid w:val="14E7756C"/>
    <w:rsid w:val="15555471"/>
    <w:rsid w:val="15D15729"/>
    <w:rsid w:val="162949D9"/>
    <w:rsid w:val="166F3B31"/>
    <w:rsid w:val="16BB3F9C"/>
    <w:rsid w:val="17093EDF"/>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FB31C4"/>
    <w:rsid w:val="1CAE5C61"/>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093329"/>
    <w:rsid w:val="212773A1"/>
    <w:rsid w:val="214A163F"/>
    <w:rsid w:val="21D44845"/>
    <w:rsid w:val="221572B4"/>
    <w:rsid w:val="22311600"/>
    <w:rsid w:val="226550CC"/>
    <w:rsid w:val="23523DCA"/>
    <w:rsid w:val="23794CD9"/>
    <w:rsid w:val="24BF19AA"/>
    <w:rsid w:val="24CA4202"/>
    <w:rsid w:val="24D66891"/>
    <w:rsid w:val="25302039"/>
    <w:rsid w:val="256C7451"/>
    <w:rsid w:val="25AD30A0"/>
    <w:rsid w:val="2667745A"/>
    <w:rsid w:val="26E95B4E"/>
    <w:rsid w:val="276906C7"/>
    <w:rsid w:val="278238A3"/>
    <w:rsid w:val="28742078"/>
    <w:rsid w:val="288E3F7A"/>
    <w:rsid w:val="288F49C5"/>
    <w:rsid w:val="28BF1B33"/>
    <w:rsid w:val="28BF2210"/>
    <w:rsid w:val="28CE556E"/>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F845CD"/>
    <w:rsid w:val="2D562101"/>
    <w:rsid w:val="2D873A70"/>
    <w:rsid w:val="2DB610BD"/>
    <w:rsid w:val="2DFB43CE"/>
    <w:rsid w:val="2E3D7FDF"/>
    <w:rsid w:val="2E5606EB"/>
    <w:rsid w:val="2E9D5FE0"/>
    <w:rsid w:val="2F232D02"/>
    <w:rsid w:val="2F2A34A3"/>
    <w:rsid w:val="2F38041E"/>
    <w:rsid w:val="2F433D86"/>
    <w:rsid w:val="2F9A5364"/>
    <w:rsid w:val="2F9D183B"/>
    <w:rsid w:val="2FEB36BE"/>
    <w:rsid w:val="30006487"/>
    <w:rsid w:val="30842425"/>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CE04B2"/>
    <w:rsid w:val="34F94C42"/>
    <w:rsid w:val="35020BCE"/>
    <w:rsid w:val="354E2015"/>
    <w:rsid w:val="35636C46"/>
    <w:rsid w:val="35736992"/>
    <w:rsid w:val="37692631"/>
    <w:rsid w:val="37B10108"/>
    <w:rsid w:val="389F7F0D"/>
    <w:rsid w:val="38B66F17"/>
    <w:rsid w:val="39264E83"/>
    <w:rsid w:val="397D15ED"/>
    <w:rsid w:val="39A31772"/>
    <w:rsid w:val="3A0511AE"/>
    <w:rsid w:val="3A252A28"/>
    <w:rsid w:val="3A361775"/>
    <w:rsid w:val="3A5B0DB6"/>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F23AFC"/>
    <w:rsid w:val="3F4E5E4B"/>
    <w:rsid w:val="3F544F16"/>
    <w:rsid w:val="3FD1121A"/>
    <w:rsid w:val="3FDF074D"/>
    <w:rsid w:val="409A7D1F"/>
    <w:rsid w:val="40DD14B7"/>
    <w:rsid w:val="41595C3E"/>
    <w:rsid w:val="42031639"/>
    <w:rsid w:val="420D6E21"/>
    <w:rsid w:val="42551AC7"/>
    <w:rsid w:val="426D69CE"/>
    <w:rsid w:val="43306F54"/>
    <w:rsid w:val="439D162E"/>
    <w:rsid w:val="43AF4EB6"/>
    <w:rsid w:val="43DA0DF8"/>
    <w:rsid w:val="43F21A5E"/>
    <w:rsid w:val="449D0BDB"/>
    <w:rsid w:val="44A75B9D"/>
    <w:rsid w:val="44CC251D"/>
    <w:rsid w:val="44ED61E4"/>
    <w:rsid w:val="44F765DB"/>
    <w:rsid w:val="452D2CD2"/>
    <w:rsid w:val="454E1873"/>
    <w:rsid w:val="45570A50"/>
    <w:rsid w:val="46FF7143"/>
    <w:rsid w:val="476E4F77"/>
    <w:rsid w:val="479A1D63"/>
    <w:rsid w:val="479E2BBB"/>
    <w:rsid w:val="48164989"/>
    <w:rsid w:val="485B029F"/>
    <w:rsid w:val="48AF4A09"/>
    <w:rsid w:val="49B4550E"/>
    <w:rsid w:val="49F50EB5"/>
    <w:rsid w:val="4AB76254"/>
    <w:rsid w:val="4AF72F43"/>
    <w:rsid w:val="4AFC078A"/>
    <w:rsid w:val="4AFE130C"/>
    <w:rsid w:val="4B06415A"/>
    <w:rsid w:val="4B2C4572"/>
    <w:rsid w:val="4B307A80"/>
    <w:rsid w:val="4BBD5B2C"/>
    <w:rsid w:val="4BF36702"/>
    <w:rsid w:val="4C0E0B24"/>
    <w:rsid w:val="4F071606"/>
    <w:rsid w:val="4F403B1D"/>
    <w:rsid w:val="4F7F31B2"/>
    <w:rsid w:val="4F827ABA"/>
    <w:rsid w:val="4FA93F1C"/>
    <w:rsid w:val="4FCB730B"/>
    <w:rsid w:val="504A74E2"/>
    <w:rsid w:val="50D62ACD"/>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DE1B94"/>
    <w:rsid w:val="5D2B1C2D"/>
    <w:rsid w:val="5DAD4A6A"/>
    <w:rsid w:val="5DD07849"/>
    <w:rsid w:val="5E6E4ACB"/>
    <w:rsid w:val="5EEA3B04"/>
    <w:rsid w:val="5F092277"/>
    <w:rsid w:val="5F4B6391"/>
    <w:rsid w:val="5F50568C"/>
    <w:rsid w:val="5F8471B4"/>
    <w:rsid w:val="5FCE7ED4"/>
    <w:rsid w:val="5FEB58A2"/>
    <w:rsid w:val="601B36B0"/>
    <w:rsid w:val="605A5E28"/>
    <w:rsid w:val="60A449E5"/>
    <w:rsid w:val="612A61E3"/>
    <w:rsid w:val="61B82A98"/>
    <w:rsid w:val="61F84732"/>
    <w:rsid w:val="62352BFE"/>
    <w:rsid w:val="62530EF5"/>
    <w:rsid w:val="63097C59"/>
    <w:rsid w:val="633D6D93"/>
    <w:rsid w:val="634F7C15"/>
    <w:rsid w:val="63736A17"/>
    <w:rsid w:val="63937116"/>
    <w:rsid w:val="63C05B9E"/>
    <w:rsid w:val="642F4F3E"/>
    <w:rsid w:val="651A4BCA"/>
    <w:rsid w:val="659F5C58"/>
    <w:rsid w:val="65D24C12"/>
    <w:rsid w:val="65F1505D"/>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F8956C3"/>
    <w:rsid w:val="6FB90394"/>
    <w:rsid w:val="6FC41E1E"/>
    <w:rsid w:val="6FE86904"/>
    <w:rsid w:val="70241AB8"/>
    <w:rsid w:val="706476AA"/>
    <w:rsid w:val="7105714A"/>
    <w:rsid w:val="710F25A0"/>
    <w:rsid w:val="714177A5"/>
    <w:rsid w:val="7255719B"/>
    <w:rsid w:val="744C618D"/>
    <w:rsid w:val="74920FD0"/>
    <w:rsid w:val="74924B26"/>
    <w:rsid w:val="74B50A85"/>
    <w:rsid w:val="74DF7784"/>
    <w:rsid w:val="75125292"/>
    <w:rsid w:val="758826A4"/>
    <w:rsid w:val="75B01AA9"/>
    <w:rsid w:val="76140509"/>
    <w:rsid w:val="763C41F4"/>
    <w:rsid w:val="768649B8"/>
    <w:rsid w:val="76EF0C8A"/>
    <w:rsid w:val="76F83624"/>
    <w:rsid w:val="773F1990"/>
    <w:rsid w:val="776A79F9"/>
    <w:rsid w:val="777A7DC6"/>
    <w:rsid w:val="78640367"/>
    <w:rsid w:val="78C403B7"/>
    <w:rsid w:val="79640B02"/>
    <w:rsid w:val="796E4180"/>
    <w:rsid w:val="79874C47"/>
    <w:rsid w:val="79D2695D"/>
    <w:rsid w:val="7A731DE7"/>
    <w:rsid w:val="7ABE7E81"/>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widowControl w:val="0"/>
      <w:spacing w:after="70" w:afterLines="70" w:line="360" w:lineRule="auto"/>
      <w:ind w:firstLine="200" w:firstLineChars="200"/>
      <w:jc w:val="both"/>
    </w:pPr>
    <w:rPr>
      <w:rFonts w:ascii="宋体" w:hAnsi="宋体" w:eastAsia="宋体" w:cs="Times New Roman"/>
      <w:kern w:val="2"/>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ScaleCrop>false</ScaleCrop>
  <LinksUpToDate>false</LinksUpToDate>
  <CharactersWithSpaces>53671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Administrator</cp:lastModifiedBy>
  <cp:lastPrinted>2017-10-17T02:26:00Z</cp:lastPrinted>
  <dcterms:modified xsi:type="dcterms:W3CDTF">2018-03-16T03:20:04Z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