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240" w:lineRule="auto"/>
        <w:ind w:left="420" w:leftChars="0"/>
        <w:jc w:val="center"/>
        <w:rPr>
          <w:rFonts w:hint="eastAsia" w:asciiTheme="minorEastAsia" w:hAnsiTheme="minorEastAsia" w:eastAsiaTheme="minorEastAsia" w:cstheme="minorEastAsia"/>
        </w:rPr>
      </w:pPr>
      <w:bookmarkStart w:id="0" w:name="_Toc21770"/>
      <w:r>
        <w:rPr>
          <w:rFonts w:hint="eastAsia" w:asciiTheme="minorEastAsia" w:hAnsiTheme="minorEastAsia" w:eastAsiaTheme="minorEastAsia" w:cstheme="minorEastAsia"/>
        </w:rPr>
        <w:t>开标一览表</w:t>
      </w:r>
      <w:bookmarkEnd w:id="0"/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JZFCG-D2018009号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货币单位：元（人民币）</w:t>
      </w:r>
    </w:p>
    <w:tbl>
      <w:tblPr>
        <w:tblStyle w:val="8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空气质量加密监测及技术服务项目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投标报价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ind w:firstLine="555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捌拾肆万玖仟元整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ind w:firstLine="555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¥849,000.00元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交付时间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ind w:firstLine="555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服务期限：自签订合同之日起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备注：（付款方式响应承诺）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合同签订后两周内支付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70%，半年后支付24%。剩余6%为质量保证金，1年到期后无问题5个工作日内一次付清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注：投标报价包含技术服务一年，其中包含人工、所供设备耗材、数据分析一年。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河南省鑫属实业有限公司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（加盖公章）       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被授权委托人签字：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孙艳艳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日</w:t>
      </w: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  <w:bookmarkStart w:id="2" w:name="_GoBack"/>
      <w:bookmarkEnd w:id="2"/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pStyle w:val="4"/>
        <w:spacing w:line="240" w:lineRule="auto"/>
        <w:jc w:val="center"/>
        <w:rPr>
          <w:rFonts w:hint="eastAsia"/>
          <w:lang w:eastAsia="zh-CN"/>
        </w:rPr>
        <w:sectPr>
          <w:pgSz w:w="11906" w:h="16838"/>
          <w:pgMar w:top="1100" w:right="1179" w:bottom="1100" w:left="1179" w:header="851" w:footer="992" w:gutter="0"/>
          <w:cols w:space="0" w:num="1"/>
          <w:rtlGutter w:val="0"/>
          <w:docGrid w:type="lines" w:linePitch="312" w:charSpace="0"/>
        </w:sectPr>
      </w:pPr>
      <w:bookmarkStart w:id="1" w:name="_Toc4709"/>
    </w:p>
    <w:p>
      <w:pPr>
        <w:pStyle w:val="4"/>
        <w:spacing w:line="24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技术偏离表</w:t>
      </w:r>
      <w:bookmarkEnd w:id="1"/>
    </w:p>
    <w:tbl>
      <w:tblPr>
        <w:tblStyle w:val="8"/>
        <w:tblW w:w="15478" w:type="dxa"/>
        <w:tblInd w:w="-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056"/>
        <w:gridCol w:w="6600"/>
        <w:gridCol w:w="6354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采购要求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投标响应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便携式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PM1-10颗粒物分析仪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（购买2台）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1、设备用途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1、设备用途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采用光散射方法分析颗粒物浓度，方便携带、使用灵活，用于局部污染趋势调查、在线颗粒物比对等用途。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采用光散射方法分析颗粒物浓度，方便携带、使用灵活，用于局部污染趋势调查、在线颗粒物比对等用途。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2、技术要求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2、技术要求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（1）便携式颗粒物监测仪采用浊度测定法、实时体积流量控制技术和相对湿度补偿功能，能够实时准确测定颗粒物浓度。集成化的样品过滤器便于用秤重法进行数据验证。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（2）套有可溯源到ACGIH的旋风切割器，设置不同的流量可以测量PM1、PM2.5、PM4和PM10等多种粒径的颗粒物浓度。螺旋形的样品入口在没有旋风式切割器的情况下，也能保证颗粒物的吸入和样品代表性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（1）便携式颗粒物监测仪采用浊度测定法、实时体积流量控制技术和相对湿度补偿功能，能够实时准确测定颗粒物浓度。集成化的样品过滤器便于用秤重法进行数据验证。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（2）套有可溯源到ACGIH的旋风切割器，设置不同的流量可以测量PM1、PM2.5、PM4和PM10等多种粒径的颗粒物浓度。螺旋形的样品入口在没有旋风式切割器的情况下，也能保证颗粒物的吸入和样品代表性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 xml:space="preserve">）真实体积流量控制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）可调换的旋风式切割器提供更加精确的粒径切割点，可分别测量PM10、PM4、PM2.5及PM1等。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）台式设备性能的个人颗粒物监测设备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）适用于NIOSH的0500和0600t的方法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 xml:space="preserve">）真实体积流量控制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）可调换的旋风式切割器提供更加精确的粒径切割点，可分别测量PM10、PM4、PM2.5及PM1等。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）台式设备性能的个人颗粒物监测设备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）适用于NIOSH的0500和0600t的方法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）带WIFE功能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）带WIFE功能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）自动量程：0.001-400 mg/m3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）自动量程：0.001-400 mg/m3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）散射系数：1.5*10-6 – 0.6 m-1@ λ=880nm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）散射系数：1.5*10-6 – 0.6 m-1@ λ=880nm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重现性：±2％读数或±0.005 mg/m3取大者（1s平均），±0.5％读数或±0.0015 mg/m3取大者（10s平均）, ±0.2％读数或±0.0005 mg/m3取大者（60s平均）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重现性：±2％读数或±0.005 mg/m3取大者（1s平均），±0.5％读数或±0.0015 mg/m3取大者（10s平均）, ±0.2％读数或±0.0005 mg/m3取大者（60s平均）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）准确度：±5％ 读数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）准确度：±5％ 读数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）分辨率：0.1％读数或0.001 mg/m3取大者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）分辨率：0.1％读数或0.001 mg/m3取大者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）流量范围：1.0-3.5L/min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）流量范围：1.0-3.5L/min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 最大响应粒径：0.1-10μm 显示更新频率：1秒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 最大响应粒径：0.1-10μm 显示更新频率：1秒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 存储数据范围：平均浓度，温度，相对湿度，大气压，数据点总数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 存储数据范围：平均浓度，温度，相对湿度，大气压，数据点总数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 数据存储&gt;500,000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） 数据存储&gt;500,000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小型空气站（租用2台）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放射源​碳－14，＜3.7MBq（100μCi）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放射源​碳－14，＜3.7MBq（100μCi）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测量范围​0~0.1,1.0,2.0,3.0,5.0,10.0mg/m³；0~100,1000,2000,3000，5000,10000μg/m³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测量范围​0~0.1,1.0,2.0,3.0,5.0,10.0mg/m³；0~100,1000,2000,3000，5000,10000μg/m³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最低检出线​＜4μg/m³（1小时）@2σ；＜1μg/m³（24小时）@2σ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最低检出线​＜4μg/m³（1小时）@2σ；＜1μg/m³（24小时）@2σ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分辨率​0.1μg/m³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分辨率​0.1μg/m³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精度​±3.0μg/m³＜80μg/m³；4－5μg/m³＞80μg/m³（24小时）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精度​±3.0μg/m³＜80μg/m³；4－5μg/m³＞80μg/m³（24小时）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RMS精度​PM2.5＜5%，PM10＜5%（24小时）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RMS精度​PM2.5＜5%，PM10＜5%（24小时）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准确度（对于质量流量）​±5%，使用NIST可溯源标准膜片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准确度（对于质量流量）​±5%，使用NIST可溯源标准膜片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采样流量​1m³/h（16.67L/min）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采样流量​1m³/h（16.67L/min）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采样流量精度​测量值的±2%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采样流量精度​测量值的±2%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采样流量准确度​小于测量值的5%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采样流量准确度​小于测量值的5%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★长期质量浓度平均时间​60～3,600秒和24小时，时时采样，可出具分钟值数据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★长期质量浓度平均时间​60～3,600秒和24小时，时时采样，可出具分钟值数据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数据输出频率​1秒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数据输出频率​1秒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工作温度​环境温度﹣30～50℃之间变化，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工作温度​环境温度﹣30～50℃之间变化，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输出​可选电压，RS232/RS485，TCP/IP，10个继电器输出和断电指示（标准），0-20或4-20mA隔离电流输出（选配）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输出​可选电压，RS232/RS485，TCP/IP，10个继电器输出和断电指示（标准），0-20或4-20mA隔离电流输出（选配）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输入​16位数字输入（标准），8路0～10 VDC模拟输入（选配）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输入​16位数字输入（标准），8路0～10 VDC模拟输入（选配）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电源要求​110～120 VAC，220～240 VAC，50/60 Hz，最大功率700 Watts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电源要求​110～120 VAC，220～240 VAC，50/60 Hz，最大功率700 Watts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泵​220 VAC 50/60 Hz，2.0 A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泵​220 VAC 50/60 Hz，2.0 A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重量​220 VAC：不大于30 kg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重量​220 VAC：不大于30 kg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通讯协议​C-Link，MODBUS，Gesytec（Bayern-Hessen）,ESM协议，数据流和NTP协议（Network Time Protocol）,通过以太网可从不同地方同时连接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cs="宋体"/>
                <w:color w:val="36363D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通讯协议​C-Link，MODBUS，Gesytec（Bayern-Hessen）,ESM协议，数据流和NTP协议（Network Time Protocol）,通过以太网可从不同地方同时连接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（一）、提供及时有效的大气污染数据监控报告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（一）、提供及时有效的大气污染数据监控报告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 xml:space="preserve">    利用大气监测数据发现污染来源，对现场及周边情况核查、使用小型站、微型站设备排查，协助管理部门进行大气环境巡查，对于发现的问题提供污染事件报告。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 xml:space="preserve">    利用大气监测数据发现污染来源，对现场及周边情况核查、使用小型站、微型站设备排查，协助管理部门进行大气环境巡查，对于发现的问题提供污染事件报告。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（二）、提供准确可靠的大气污染数据研判报告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（二）、提供准确可靠的大气污染数据研判报告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 xml:space="preserve">    对监控数据分析，提交研判方案；每月分析示范区在许昌的排名及考核目标综合分析，对下月进行预测，并提出合理化建议。 每半年提交半年分析，年终提交总报告。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 xml:space="preserve">    对监控数据分析，提交研判方案；每月分析示范区在许昌的排名及考核目标综合分析，对下月进行预测，并提出合理化建议。 每半年提交半年分析，年终提交总报告。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（三）、重点时段应急管控服务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（三）、重点时段应急管控服务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根据重污染天气演变情况和气象条件，结合预警预报信息，利用多站点数据进行重点监控，协助进行重污染天气应急管控。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根据重污染天气演变情况和气象条件，结合预警预报信息，利用多站点数据进行重点监控，协助进行重污染天气应急管控。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（四）、仪器运行维护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（四）、仪器运行维护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对小型站、微型站设备定期开展校准、进行手工维护，确保数据客观真实。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对小型站、微型站设备定期开展校准、进行手工维护，确保数据客观真实。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（五）、技术团队服务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（五）、技术团队服务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定期组织环境、气象等领域专家与许昌示范区政府进行沟通，召开专题培训或讲座，提供咨询服务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定期组织环境、气象等领域专家与许昌示范区政府进行沟通，召开专题培训或讲座，提供咨询服务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无偏差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sectPr>
      <w:pgSz w:w="16838" w:h="11906" w:orient="landscape"/>
      <w:pgMar w:top="1179" w:right="1100" w:bottom="1179" w:left="11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C2F93"/>
    <w:rsid w:val="44083643"/>
    <w:rsid w:val="5889543F"/>
    <w:rsid w:val="6D535020"/>
    <w:rsid w:val="701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71227JK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肥肥</dc:creator>
  <cp:lastModifiedBy>Administrator</cp:lastModifiedBy>
  <dcterms:modified xsi:type="dcterms:W3CDTF">2018-04-03T05:16:02Z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