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黑体" w:hAnsi="黑体" w:eastAsia="黑体"/>
          <w:b/>
          <w:bCs/>
          <w:spacing w:val="-20"/>
          <w:sz w:val="44"/>
          <w:szCs w:val="44"/>
        </w:rPr>
      </w:pPr>
      <w:r>
        <w:rPr>
          <w:rFonts w:hint="eastAsia" w:ascii="仿宋" w:hAnsi="仿宋" w:eastAsia="仿宋" w:cs="仿宋"/>
          <w:b/>
          <w:bCs/>
          <w:sz w:val="44"/>
          <w:szCs w:val="44"/>
          <w:lang w:eastAsia="zh-CN"/>
        </w:rPr>
        <w:t>禹州市看守所视频监控系统升级改造项目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lang w:val="en-US"/>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公安局</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项目名称：禹州市看守所视频监控系统升级改造项目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8066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三</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ind w:left="2607" w:leftChars="725" w:hanging="1084" w:hangingChars="300"/>
        <w:jc w:val="both"/>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禹州市看守所视频监控系统升级改造项目</w:t>
      </w:r>
    </w:p>
    <w:p>
      <w:pPr>
        <w:ind w:firstLine="3975" w:firstLineChars="1100"/>
        <w:jc w:val="both"/>
        <w:rPr>
          <w:rFonts w:hint="eastAsia" w:ascii="仿宋" w:hAnsi="仿宋" w:eastAsia="仿宋" w:cs="仿宋"/>
          <w:sz w:val="36"/>
          <w:szCs w:val="36"/>
        </w:rPr>
      </w:pPr>
      <w:r>
        <w:rPr>
          <w:rFonts w:hint="eastAsia" w:ascii="仿宋" w:hAnsi="仿宋" w:eastAsia="仿宋" w:cs="仿宋"/>
          <w:b/>
          <w:bCs/>
          <w:sz w:val="36"/>
          <w:szCs w:val="36"/>
          <w:lang w:eastAsia="zh-CN"/>
        </w:rPr>
        <w:t>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w:t>
      </w:r>
      <w:r>
        <w:rPr>
          <w:rFonts w:hint="eastAsia" w:ascii="仿宋" w:hAnsi="仿宋" w:eastAsia="仿宋" w:cs="仿宋"/>
          <w:sz w:val="24"/>
          <w:szCs w:val="24"/>
          <w:lang w:eastAsia="zh-CN"/>
        </w:rPr>
        <w:t>公安局</w:t>
      </w:r>
      <w:r>
        <w:rPr>
          <w:rFonts w:hint="eastAsia" w:ascii="仿宋" w:hAnsi="仿宋" w:eastAsia="仿宋" w:cs="仿宋"/>
          <w:sz w:val="24"/>
          <w:szCs w:val="24"/>
        </w:rPr>
        <w:t>的委托，就“禹州市看守所视频监控系统升级改造项目”进行公开招标，欢迎合格的投标人前来投标。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公安局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2、项目名称：禹州市看守所视频监控系统升级改造项目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8066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4、项目需求：看守所视频监控系统升级改造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5、采购预算：126万元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、最高限价：</w:t>
      </w:r>
      <w:r>
        <w:rPr>
          <w:rFonts w:hint="eastAsia" w:ascii="仿宋" w:hAnsi="仿宋" w:eastAsia="仿宋" w:cs="仿宋"/>
          <w:sz w:val="24"/>
          <w:szCs w:val="24"/>
          <w:lang w:val="en-US" w:eastAsia="zh-CN"/>
        </w:rPr>
        <w:t>116.187872</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1、符合《政府采购法》第二十二条之规定，具有独立法人资格且具有相应的经营范围（以营业执照为准）；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华夏大道</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董先生</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18839900682</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320" w:firstLineChars="18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p>
    <w:p>
      <w:pPr>
        <w:spacing w:line="360" w:lineRule="auto"/>
        <w:ind w:firstLine="3534" w:firstLineChars="800"/>
        <w:rPr>
          <w:rFonts w:hint="eastAsia" w:ascii="仿宋" w:hAnsi="仿宋" w:eastAsia="仿宋" w:cs="仿宋"/>
          <w:b/>
          <w:sz w:val="44"/>
          <w:szCs w:val="44"/>
        </w:rPr>
      </w:pP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3"/>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2"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2"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2"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2" w:type="dxa"/>
            <w:tcMar>
              <w:top w:w="0" w:type="dxa"/>
              <w:left w:w="0" w:type="dxa"/>
              <w:bottom w:w="0" w:type="dxa"/>
              <w:right w:w="0" w:type="dxa"/>
            </w:tcMar>
            <w:vAlign w:val="center"/>
          </w:tcPr>
          <w:p>
            <w:pPr>
              <w:jc w:val="both"/>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禹州市看守所视频监控系统升级改造项目</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2"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2"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合同签订</w:t>
            </w:r>
            <w:r>
              <w:rPr>
                <w:rFonts w:hint="eastAsia" w:ascii="仿宋" w:hAnsi="仿宋" w:eastAsia="仿宋"/>
                <w:sz w:val="24"/>
                <w:szCs w:val="24"/>
                <w:lang w:eastAsia="zh-CN"/>
              </w:rPr>
              <w:t>后</w:t>
            </w:r>
            <w:r>
              <w:rPr>
                <w:rFonts w:hint="eastAsia" w:ascii="仿宋" w:hAnsi="仿宋" w:eastAsia="仿宋"/>
                <w:sz w:val="24"/>
                <w:szCs w:val="24"/>
                <w:lang w:val="en-US"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壹万</w:t>
            </w:r>
            <w:r>
              <w:rPr>
                <w:rFonts w:hint="eastAsia" w:ascii="仿宋" w:hAnsi="仿宋" w:eastAsia="仿宋"/>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4</w:t>
            </w:r>
            <w:r>
              <w:rPr>
                <w:rFonts w:hint="eastAsia" w:ascii="仿宋" w:hAnsi="仿宋" w:eastAsia="仿宋"/>
                <w:sz w:val="24"/>
                <w:szCs w:val="24"/>
              </w:rPr>
              <w:t>月</w:t>
            </w:r>
            <w:r>
              <w:rPr>
                <w:rFonts w:hint="eastAsia" w:ascii="仿宋" w:hAnsi="仿宋" w:eastAsia="仿宋"/>
                <w:sz w:val="24"/>
                <w:szCs w:val="24"/>
                <w:lang w:val="en-US" w:eastAsia="zh-CN"/>
              </w:rPr>
              <w:t>16</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2"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4</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16</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3"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2"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cs="仿宋"/>
                <w:sz w:val="24"/>
                <w:szCs w:val="24"/>
                <w:lang w:val="en-US" w:eastAsia="zh-CN"/>
              </w:rPr>
              <w:t>116.187872</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6"/>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numPr>
          <w:ilvl w:val="0"/>
          <w:numId w:val="0"/>
        </w:numPr>
        <w:spacing w:line="440" w:lineRule="exact"/>
        <w:rPr>
          <w:rFonts w:hint="eastAsia" w:ascii="仿宋" w:hAnsi="仿宋" w:eastAsia="仿宋"/>
          <w:b/>
          <w:sz w:val="44"/>
          <w:lang w:val="en-US" w:eastAsia="zh-CN"/>
        </w:rPr>
      </w:pPr>
    </w:p>
    <w:p>
      <w:pPr>
        <w:spacing w:before="471" w:after="312" w:line="360" w:lineRule="auto"/>
        <w:outlineLvl w:val="0"/>
        <w:rPr>
          <w:rFonts w:hint="eastAsia" w:ascii="仿宋" w:hAnsi="仿宋" w:eastAsia="仿宋" w:cs="仿宋"/>
          <w:sz w:val="24"/>
          <w:szCs w:val="24"/>
        </w:rPr>
      </w:pPr>
      <w:r>
        <w:rPr>
          <w:rFonts w:hint="eastAsia" w:ascii="宋体" w:hAnsi="宋体" w:cs="宋体"/>
          <w:b/>
          <w:bCs/>
          <w:kern w:val="44"/>
          <w:sz w:val="32"/>
          <w:szCs w:val="32"/>
          <w:lang w:eastAsia="zh-CN"/>
        </w:rPr>
        <w:t>一</w:t>
      </w:r>
      <w:r>
        <w:rPr>
          <w:rFonts w:hint="eastAsia" w:ascii="仿宋" w:hAnsi="仿宋" w:eastAsia="仿宋" w:cs="仿宋"/>
          <w:b/>
          <w:bCs/>
          <w:kern w:val="44"/>
          <w:sz w:val="24"/>
          <w:szCs w:val="24"/>
        </w:rPr>
        <w:t>、</w:t>
      </w:r>
      <w:r>
        <w:rPr>
          <w:rFonts w:hint="eastAsia" w:ascii="仿宋" w:hAnsi="仿宋" w:eastAsia="仿宋" w:cs="仿宋"/>
          <w:b/>
          <w:sz w:val="24"/>
          <w:szCs w:val="24"/>
        </w:rPr>
        <w:t>项目概述</w:t>
      </w:r>
    </w:p>
    <w:tbl>
      <w:tblPr>
        <w:tblStyle w:val="36"/>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6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49"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项目名称</w:t>
            </w:r>
          </w:p>
        </w:tc>
        <w:tc>
          <w:tcPr>
            <w:tcW w:w="6696" w:type="dxa"/>
            <w:vAlign w:val="center"/>
          </w:tcPr>
          <w:p>
            <w:pPr>
              <w:snapToGrid w:val="0"/>
              <w:outlineLvl w:val="0"/>
              <w:rPr>
                <w:rFonts w:hint="eastAsia" w:ascii="仿宋" w:hAnsi="仿宋" w:eastAsia="仿宋" w:cs="仿宋"/>
                <w:sz w:val="24"/>
                <w:szCs w:val="24"/>
              </w:rPr>
            </w:pPr>
            <w:r>
              <w:rPr>
                <w:rFonts w:hint="eastAsia" w:ascii="仿宋" w:hAnsi="仿宋" w:eastAsia="仿宋" w:cs="仿宋"/>
                <w:sz w:val="24"/>
                <w:szCs w:val="24"/>
              </w:rPr>
              <w:t>禹州市看守所视频改造项目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4"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采购内容</w:t>
            </w:r>
          </w:p>
        </w:tc>
        <w:tc>
          <w:tcPr>
            <w:tcW w:w="669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本项目的采购内容为禹州市看守所视频改造项目采购及安装、调试、验收、培训、质保服务、运输和保险以及与货物有关的其他伴随服务。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30"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主要技术规格</w:t>
            </w:r>
          </w:p>
        </w:tc>
        <w:tc>
          <w:tcPr>
            <w:tcW w:w="6696"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详见设备清单技术参数</w:t>
            </w:r>
          </w:p>
        </w:tc>
      </w:tr>
    </w:tbl>
    <w:p>
      <w:pPr>
        <w:pStyle w:val="19"/>
        <w:snapToGrid w:val="0"/>
        <w:spacing w:after="156" w:afterLines="50"/>
        <w:outlineLvl w:val="0"/>
        <w:rPr>
          <w:rFonts w:hint="eastAsia" w:ascii="仿宋" w:hAnsi="仿宋" w:eastAsia="仿宋" w:cs="仿宋"/>
          <w:b/>
          <w:sz w:val="24"/>
          <w:szCs w:val="24"/>
        </w:rPr>
      </w:pPr>
    </w:p>
    <w:p>
      <w:pPr>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二、项目需求及要求</w:t>
      </w:r>
    </w:p>
    <w:p>
      <w:pPr>
        <w:widowControl/>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1、招标内容及基本要求</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须保证系统达到用户的功能要求，保证系统正常、稳定运行。本需求方案的功能要求及需求清单所列设备仅是基本需求，投标人须根据本项目的总体安排，并结合实际情况、项目资金预算等对所有的设备、器件、软件、附件进行完善、补充，使技术方案更全面、功能更完善，并在投标文件内列明设备清单、报价（包含所有安装调试和人工等一切费用）。</w:t>
      </w:r>
    </w:p>
    <w:p>
      <w:pPr>
        <w:pStyle w:val="19"/>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三、说明</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1．1本章所述技术规格及要求是招标人提供的最低限度的技术要求，投标人应保证提供符合本技术规格及要求和有关工业标准的优质产品。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1．2本技术规格及要求所使用的标准和规范如与投标人所执行的标准发生矛盾时，按较高标准执行。</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1．3招标人保留在对本技术规格及要求补充和修改的权利，投标人应承诺予以配合，如提出修改，具体事件由中标人与招标人另行商定。</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1．4投标人所提供的货物，如若发生侵犯知识产权的行为时，其侵权责任与招标人无关，应由投标人承担相应的责任，并不得损害招标人的利益。</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2、所遵循的标准和质量保证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2．1投标人提供的所有货物，其制造商应有完善的质量检测手段和质量保证体系，产品符合国家标准和行业标准。</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2投标人所提供货物的设计、制造、产品性能、材料的选择和材料的检验及产品的测试等，都应按国内外通行的现行标准和相应的技术规范执行。而这些标准和技术规范应为合同签字日为止最新发布发行的标准和技术规范。</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3、设计依据</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主要依据《安全防范视频监控联网系统信息传输、交换、控制技术要求》（GB/T 28181-2011）、《看守所技术建设规范》（JJ001-2002）、《看守所监控系统建设规范》（公监管[2009]189号）、《周界防范高压电网装置》（GB25287-2010）、现行国家、行业和地方的标准规范、政府和管理部门的法律和管理条例进行设计。</w:t>
      </w:r>
    </w:p>
    <w:p>
      <w:pPr>
        <w:spacing w:line="360" w:lineRule="auto"/>
        <w:ind w:left="566" w:leftChars="135" w:right="315" w:rightChars="150" w:hanging="283"/>
        <w:rPr>
          <w:rFonts w:hint="eastAsia" w:ascii="仿宋" w:hAnsi="仿宋" w:eastAsia="仿宋" w:cs="仿宋"/>
          <w:sz w:val="24"/>
          <w:szCs w:val="24"/>
        </w:rPr>
      </w:pPr>
      <w:r>
        <w:rPr>
          <w:rFonts w:hint="eastAsia" w:ascii="仿宋" w:hAnsi="仿宋" w:eastAsia="仿宋" w:cs="仿宋"/>
          <w:sz w:val="24"/>
          <w:szCs w:val="24"/>
        </w:rPr>
        <w:t>《安全防范视频监控联网系统信息传输、交换、控制技术要求》（GB/T 28181-2011）</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《看守所技术建设规范》（JJ001-2002）</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《看守所监控系统建设规范》(公监管[2009]189号)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《看守所装备配备标准》(PB003-2001)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《周界防范高压电网装置》(GB25287-2010)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《智能建筑设计标准》(GB/T50314-2006)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《智能建筑工程质量验收规范》(GB 50339-2013)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《电子计算机机房设计规范》(GB 50174—2008)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《电子信息系统机房施工及验收规范》(GB50462-2008)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《系统接地的形式及安全技术要求》(GB14050-2008)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《低压配电设计规范》(GB50054-2011)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《民用建设电气设计规范》(JGJ_16-2008)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《建筑防雷接地设计规范》(GB50057-2010)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《建筑电气工程施工质量验收规范》(GB50303-2011)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《民用闭路监视电视系统工程技术规范》(GB50198-2011)</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《工业电视系统工程设计规范》(GB 50115-2009) </w:t>
      </w:r>
    </w:p>
    <w:p>
      <w:pPr>
        <w:spacing w:line="360" w:lineRule="auto"/>
        <w:ind w:firstLine="284"/>
        <w:rPr>
          <w:rFonts w:hint="eastAsia" w:ascii="仿宋" w:hAnsi="仿宋" w:eastAsia="仿宋" w:cs="仿宋"/>
          <w:sz w:val="24"/>
          <w:szCs w:val="24"/>
        </w:rPr>
      </w:pPr>
      <w:r>
        <w:rPr>
          <w:rFonts w:hint="eastAsia" w:ascii="仿宋" w:hAnsi="仿宋" w:eastAsia="仿宋" w:cs="仿宋"/>
          <w:sz w:val="24"/>
          <w:szCs w:val="24"/>
        </w:rPr>
        <w:t xml:space="preserve">《彩色电视图像质量主观评价方法》(GB/T 7401-1987)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《有线电视系统工程技术规范》(GB50200-94)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《安全防范验收规划》(GA /308—2001)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《安全防范工程技术规范》(GB/50348—2004)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《防盗报警中心控制台》(GB/T16572-1996)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《安全防范系统通用图形符号》(GA/T 74-2000)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《安全防范工程费用概预算编制办法》(GA/T 70-2004)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《安全防范系统验收规划》(GA 308—2007)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《安全防范工程技术规范》(GB 50348—2004)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《安全防范系统雷电浪涌防护技术要求》(GA/T 670-2006)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《安全防范报警设备安全要求和实验方法》(GB 16796-1997)  </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 xml:space="preserve">《出入口控制系统工程设计规范》(GB50396-2007) </w:t>
      </w:r>
    </w:p>
    <w:p>
      <w:pPr>
        <w:pStyle w:val="19"/>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四、安装及验收</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1、总体要求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1.1供应商严格按照国家及有关部门规定的程序和安全规范进行安装；</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1.2货物设备的安装调试由成交供应商负责，其费用包含在投标报价中。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2、设备的检验与调试</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招标人要求对整机的性能进行调试、试验、检测。检测结果必须符台国家制造与安装安全规范以及中标人提供的制造、安装标准和技术规范要求。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3、人员培训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中标人应选派有资格的工程技术人员对招标人有关人员进行免费培训。培训内容为投备的基本原理、操作使用、维修保养等。</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4、售后服务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4．1提供设备使用和维护技术方面的信息和技术资料；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 2投标人应对售后服务作出承诺。</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5、质量保证期</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质量保证期为不低于</w:t>
      </w:r>
      <w:r>
        <w:rPr>
          <w:rFonts w:hint="eastAsia" w:ascii="仿宋" w:hAnsi="仿宋" w:eastAsia="仿宋" w:cs="仿宋"/>
          <w:sz w:val="24"/>
          <w:szCs w:val="24"/>
          <w:lang w:eastAsia="zh-CN"/>
        </w:rPr>
        <w:t>三</w:t>
      </w:r>
      <w:r>
        <w:rPr>
          <w:rFonts w:hint="eastAsia" w:ascii="仿宋" w:hAnsi="仿宋" w:eastAsia="仿宋" w:cs="仿宋"/>
          <w:sz w:val="24"/>
          <w:szCs w:val="24"/>
        </w:rPr>
        <w:t>年。在此期间，设备因制造、安装而发生损坏或不能正常工作时，中标人应负责免费维修或更换零部件。</w:t>
      </w:r>
    </w:p>
    <w:p>
      <w:pPr>
        <w:spacing w:line="360" w:lineRule="auto"/>
        <w:jc w:val="center"/>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position w:val="-4"/>
          <w:sz w:val="24"/>
          <w:szCs w:val="24"/>
        </w:rPr>
      </w:pPr>
    </w:p>
    <w:p>
      <w:pPr>
        <w:spacing w:line="360" w:lineRule="auto"/>
        <w:jc w:val="both"/>
        <w:rPr>
          <w:rFonts w:hint="eastAsia" w:ascii="仿宋" w:hAnsi="仿宋" w:eastAsia="仿宋" w:cs="仿宋"/>
          <w:position w:val="-4"/>
          <w:sz w:val="24"/>
          <w:szCs w:val="24"/>
        </w:rPr>
      </w:pPr>
    </w:p>
    <w:p>
      <w:pPr>
        <w:spacing w:line="360" w:lineRule="auto"/>
        <w:jc w:val="center"/>
        <w:rPr>
          <w:rFonts w:hint="eastAsia" w:ascii="仿宋" w:hAnsi="仿宋" w:eastAsia="仿宋" w:cs="仿宋"/>
          <w:position w:val="-4"/>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eastAsia="zh-CN"/>
        </w:rPr>
        <w:t>五</w:t>
      </w:r>
      <w:r>
        <w:rPr>
          <w:rFonts w:hint="eastAsia" w:ascii="仿宋" w:hAnsi="仿宋" w:eastAsia="仿宋" w:cs="仿宋"/>
          <w:b/>
          <w:sz w:val="24"/>
          <w:szCs w:val="24"/>
        </w:rPr>
        <w:t>、设备采购清单</w:t>
      </w:r>
    </w:p>
    <w:tbl>
      <w:tblPr>
        <w:tblStyle w:val="36"/>
        <w:tblW w:w="10348" w:type="dxa"/>
        <w:tblInd w:w="-601" w:type="dxa"/>
        <w:tblLayout w:type="fixed"/>
        <w:tblCellMar>
          <w:top w:w="0" w:type="dxa"/>
          <w:left w:w="108" w:type="dxa"/>
          <w:bottom w:w="0" w:type="dxa"/>
          <w:right w:w="108" w:type="dxa"/>
        </w:tblCellMar>
      </w:tblPr>
      <w:tblGrid>
        <w:gridCol w:w="709"/>
        <w:gridCol w:w="851"/>
        <w:gridCol w:w="6804"/>
        <w:gridCol w:w="567"/>
        <w:gridCol w:w="567"/>
        <w:gridCol w:w="850"/>
      </w:tblGrid>
      <w:tr>
        <w:tblPrEx>
          <w:tblLayout w:type="fixed"/>
          <w:tblCellMar>
            <w:top w:w="0" w:type="dxa"/>
            <w:left w:w="108" w:type="dxa"/>
            <w:bottom w:w="0" w:type="dxa"/>
            <w:right w:w="108" w:type="dxa"/>
          </w:tblCellMar>
        </w:tblPrEx>
        <w:trPr>
          <w:trHeight w:val="90" w:hRule="atLeast"/>
        </w:trPr>
        <w:tc>
          <w:tcPr>
            <w:tcW w:w="10348" w:type="dxa"/>
            <w:gridSpan w:val="6"/>
            <w:tcBorders>
              <w:top w:val="nil"/>
              <w:left w:val="nil"/>
              <w:bottom w:val="single" w:color="auto" w:sz="4" w:space="0"/>
              <w:right w:val="nil"/>
            </w:tcBorders>
            <w:vAlign w:val="center"/>
          </w:tcPr>
          <w:p>
            <w:pPr>
              <w:widowControl/>
              <w:jc w:val="both"/>
              <w:rPr>
                <w:rFonts w:hint="eastAsia" w:ascii="仿宋" w:hAnsi="仿宋" w:eastAsia="仿宋" w:cs="仿宋"/>
                <w:b/>
                <w:bCs/>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709" w:type="dxa"/>
            <w:tcBorders>
              <w:top w:val="nil"/>
              <w:left w:val="single" w:color="auto" w:sz="4" w:space="0"/>
              <w:bottom w:val="single" w:color="auto" w:sz="4" w:space="0"/>
              <w:right w:val="single" w:color="auto" w:sz="4" w:space="0"/>
            </w:tcBorders>
            <w:shd w:val="clear" w:color="000000" w:fill="8DB4E2"/>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851" w:type="dxa"/>
            <w:tcBorders>
              <w:top w:val="nil"/>
              <w:left w:val="nil"/>
              <w:bottom w:val="single" w:color="auto" w:sz="4" w:space="0"/>
              <w:right w:val="single" w:color="auto" w:sz="4" w:space="0"/>
            </w:tcBorders>
            <w:shd w:val="clear" w:color="000000" w:fill="8DB4E2"/>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设备</w:t>
            </w:r>
            <w:r>
              <w:rPr>
                <w:rFonts w:hint="eastAsia" w:ascii="仿宋" w:hAnsi="仿宋" w:eastAsia="仿宋" w:cs="仿宋"/>
                <w:b/>
                <w:bCs/>
                <w:color w:val="000000"/>
                <w:kern w:val="0"/>
                <w:sz w:val="24"/>
                <w:szCs w:val="24"/>
              </w:rPr>
              <w:t>名称</w:t>
            </w:r>
          </w:p>
        </w:tc>
        <w:tc>
          <w:tcPr>
            <w:tcW w:w="6804" w:type="dxa"/>
            <w:tcBorders>
              <w:top w:val="nil"/>
              <w:left w:val="nil"/>
              <w:bottom w:val="single" w:color="auto" w:sz="4" w:space="0"/>
              <w:right w:val="single" w:color="auto" w:sz="4" w:space="0"/>
            </w:tcBorders>
            <w:shd w:val="clear" w:color="000000" w:fill="8DB4E2"/>
            <w:vAlign w:val="top"/>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技术参数及要求</w:t>
            </w:r>
          </w:p>
        </w:tc>
        <w:tc>
          <w:tcPr>
            <w:tcW w:w="567" w:type="dxa"/>
            <w:tcBorders>
              <w:top w:val="nil"/>
              <w:left w:val="nil"/>
              <w:bottom w:val="single" w:color="auto" w:sz="4" w:space="0"/>
              <w:right w:val="single" w:color="auto" w:sz="4" w:space="0"/>
            </w:tcBorders>
            <w:shd w:val="clear" w:color="000000" w:fill="8DB4E2"/>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c>
          <w:tcPr>
            <w:tcW w:w="567" w:type="dxa"/>
            <w:tcBorders>
              <w:top w:val="nil"/>
              <w:left w:val="nil"/>
              <w:bottom w:val="single" w:color="auto" w:sz="4" w:space="0"/>
              <w:right w:val="single" w:color="auto" w:sz="4" w:space="0"/>
            </w:tcBorders>
            <w:shd w:val="clear" w:color="000000" w:fill="8DB4E2"/>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850" w:type="dxa"/>
            <w:tcBorders>
              <w:top w:val="nil"/>
              <w:left w:val="nil"/>
              <w:bottom w:val="single" w:color="auto" w:sz="4" w:space="0"/>
              <w:right w:val="single" w:color="auto" w:sz="4" w:space="0"/>
            </w:tcBorders>
            <w:shd w:val="clear" w:color="000000" w:fill="8DB4E2"/>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备注</w:t>
            </w:r>
          </w:p>
        </w:tc>
      </w:tr>
      <w:tr>
        <w:tblPrEx>
          <w:tblLayout w:type="fixed"/>
          <w:tblCellMar>
            <w:top w:w="0" w:type="dxa"/>
            <w:left w:w="108" w:type="dxa"/>
            <w:bottom w:w="0" w:type="dxa"/>
            <w:right w:w="108" w:type="dxa"/>
          </w:tblCellMar>
        </w:tblPrEx>
        <w:trPr>
          <w:trHeight w:val="3945" w:hRule="atLeast"/>
        </w:trPr>
        <w:tc>
          <w:tcPr>
            <w:tcW w:w="709"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1</w:t>
            </w:r>
          </w:p>
        </w:tc>
        <w:tc>
          <w:tcPr>
            <w:tcW w:w="851"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300万全景摄像机</w:t>
            </w:r>
          </w:p>
        </w:tc>
        <w:tc>
          <w:tcPr>
            <w:tcW w:w="6804" w:type="dxa"/>
            <w:tcBorders>
              <w:top w:val="nil"/>
              <w:left w:val="nil"/>
              <w:bottom w:val="nil"/>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300万半球，水平135°垂直98°超广视场角，覆盖无死角</w:t>
            </w:r>
            <w:r>
              <w:rPr>
                <w:rFonts w:hint="eastAsia" w:ascii="仿宋" w:hAnsi="仿宋" w:eastAsia="仿宋" w:cs="仿宋"/>
                <w:kern w:val="0"/>
                <w:sz w:val="24"/>
                <w:szCs w:val="24"/>
              </w:rPr>
              <w:br w:type="textWrapping"/>
            </w:r>
            <w:r>
              <w:rPr>
                <w:rFonts w:hint="eastAsia" w:ascii="仿宋" w:hAnsi="仿宋" w:eastAsia="仿宋" w:cs="仿宋"/>
                <w:kern w:val="0"/>
                <w:sz w:val="24"/>
                <w:szCs w:val="24"/>
              </w:rPr>
              <w:t>H.265编码，节省网络带宽、存储空间50%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前端畸变矫正，保障最佳视觉体验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SMART智能分析，异常事件监测报警（起身检测、攀高检测、音频侦测、人脸检测）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内置拾音器，音视频采集合二为一</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120dB宽动态，适应背光场景采用高性能三百万像素1/2.8英寸CMOS图像传感器，低照度效果好，图像清晰度高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可输出300万(2048×1536)@25fps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支持H.265编码，压缩比高，超低码流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支持走廊模式，宽动态，3D降噪，强光抑制，背光补偿，数字水印，适用不同监控环境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支持ROI，SVC，SMART H.264/H.265，灵活编码，适用不同带宽和存储环境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支持场景变更，徘徊检测，人员聚集，快速移动，音频异常侦测；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支持报警2进1出，音频1进1出，128G SD卡，内置MIC</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支持AC24V/DC12V/POE供电方式，方便工程安装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支持IP67，IK10防护等级</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提</w:t>
            </w:r>
            <w:r>
              <w:rPr>
                <w:rFonts w:hint="eastAsia" w:ascii="仿宋" w:hAnsi="仿宋" w:eastAsia="仿宋" w:cs="仿宋"/>
                <w:kern w:val="0"/>
                <w:sz w:val="24"/>
                <w:szCs w:val="24"/>
              </w:rPr>
              <w:t>供公安部权威检测机构出具的检验报告</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46个监室单目全景摄像机,可配合拾音器进行打假斗殴事件预警</w:t>
            </w:r>
          </w:p>
        </w:tc>
      </w:tr>
      <w:tr>
        <w:tblPrEx>
          <w:tblLayout w:type="fixed"/>
          <w:tblCellMar>
            <w:top w:w="0" w:type="dxa"/>
            <w:left w:w="108" w:type="dxa"/>
            <w:bottom w:w="0" w:type="dxa"/>
            <w:right w:w="108" w:type="dxa"/>
          </w:tblCellMar>
        </w:tblPrEx>
        <w:trPr>
          <w:trHeight w:val="456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2</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400万H.265 POE半球</w:t>
            </w:r>
          </w:p>
        </w:tc>
        <w:tc>
          <w:tcPr>
            <w:tcW w:w="6804" w:type="dxa"/>
            <w:tcBorders>
              <w:top w:val="single" w:color="auto" w:sz="4" w:space="0"/>
              <w:left w:val="nil"/>
              <w:bottom w:val="nil"/>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具有400W像素 CMOS传感器。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最大分辨率2688x1520。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在2688x1520 @30fps下，码率设定为2Mbps，RJ45输出，清晰度不小于1600TVL。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最低照度彩色：0.001 lx，黑白：0.0001 lx。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支持H.265、H.264、MJPEG视频编码格式，其中H.264支持Baseline/Main/High Profile。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支持三码流技术，主码流最高2688x1520@30fps，第三码流最大1920x1080@ 30fps，子码流704x480@30fps。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支持帧率动态控制功能，当触发报警时，视频录像帧率应自动调整至设定值。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图像传输延时≤90ms。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灰度等级不小于11级。</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信噪比不小于58dB。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需具不小于105dB宽动态。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红外补光距离不小于50米。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支持最多同时开启20个视频窗口进行画面浏览。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在IE浏览器下，具有亮度，对比度，饱和度，锐度，gamma设置选项</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支持10行字符叠加，叠加位置可设，具有图片叠加到视频画面功能。支持区域遮盖功能，并能支持4块区域。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支持通过IE浏览器设置录像时段和存储路径，并能通过客户端和IE浏览器对录像文件进行回放。</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支持IP地址获取、IP地址搜索功能。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具有黑白名单功能,支持MAC地址过滤功能。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具备移动侦测、区域入侵、越界入侵、物体遗留、徘徊、停车、快速移动、人员聚集等智能行为分析功能。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具备人脸抓拍、人脸增强、视频遮挡报警、场景变更侦测、故障报警、报警联动等功能。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支持客流统计、客流信息查询功能。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支持热度图功能。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具有感兴趣区域、SVC可伸缩编码、自动增益、背光补偿、数字降噪、强光抑制、断电保护、智能红外、用户管理、用户登录锁定、日志检索、配置保存等功能。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摄像机能够在-40~70摄氏度，湿度小于93%环境下稳定工作。</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支持IP67,IK10防护等级。</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具有1个RJ-45 网络接口、1路报警输入接口、1路报警输出接口、1路音频输入接口、1路音频输出接口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支持128G SD卡。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支持DC12V/POE供电，电源电压在DC12V±30%范围内变化时设备可以正常工作。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设备工作状态时，支持空气放电8kV，接触放电6kV，电源输入端和网络接口端均支持6kV峰值电压。 </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eastAsia="zh-CN"/>
              </w:rPr>
              <w:t>提</w:t>
            </w:r>
            <w:r>
              <w:rPr>
                <w:rFonts w:hint="eastAsia" w:ascii="仿宋" w:hAnsi="仿宋" w:eastAsia="仿宋" w:cs="仿宋"/>
                <w:kern w:val="0"/>
                <w:sz w:val="24"/>
                <w:szCs w:val="24"/>
              </w:rPr>
              <w:t>供公安部权威检测机构出具的检验报告</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143</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内置拾音功能，对每个风场各两台防暴半球、审讯室、医疗室等室内场所进行监控</w:t>
            </w:r>
          </w:p>
        </w:tc>
      </w:tr>
      <w:tr>
        <w:tblPrEx>
          <w:tblLayout w:type="fixed"/>
          <w:tblCellMar>
            <w:top w:w="0" w:type="dxa"/>
            <w:left w:w="108" w:type="dxa"/>
            <w:bottom w:w="0" w:type="dxa"/>
            <w:right w:w="108" w:type="dxa"/>
          </w:tblCellMar>
        </w:tblPrEx>
        <w:trPr>
          <w:trHeight w:val="1685"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3</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400万枪机</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具有400W像素 CMOS传感器。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最大分辨率2592x1520。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在2592x1520 @ 20fps下，码率设定为2Mbps，RJ45输出，清晰度不小于1500TVL。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最低照度彩色：0.001 lx，黑白：0.0001 lx。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支持H.265、H.264、MJPEG视频编码格式，其中H.265和H.264都支持Baseline/Main/High Profile。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支持三码流技术，主码流最高2592x1520@20fps，第三码流最大1280x720 @25fps。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支持帧率动态控制功能，当触发报警时，视频录像帧率应自动调整至设定值。图像传输延时≤130ms。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灰度等级不小于11级。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信噪比不小于60dB。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需具不小于105dB宽动态且宽动态能力综合评价得分应不小于120分。</w:t>
            </w:r>
          </w:p>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红外补光距离不小于150米。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支持最多同时开启22个视频窗口进行画面浏览。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在IE浏览器下，具有亮度，对比度，饱和度，锐度，gamma设置选项</w:t>
            </w:r>
          </w:p>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支持12行字符叠加，字体对齐方式和叠加位置可设，具有图片叠加到视频画面功能。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支持IP地址获取、IP地址搜索功能。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"具有黑白名单功能，最多可添加50个IP地址，支持MAC地址过滤功能。"</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支持匿名访问功能，用户无需输入用户名和密码即能浏览视频图像。</w:t>
            </w:r>
          </w:p>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具备移动侦测、区域入侵、拌线入侵、物体遗留/消失、徘徊、停车、快速移动、人员聚集等智能行为分析功能。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具备人脸侦测、人脸增强、场景变更侦测、虚焦侦测、音频异常侦测、遮挡报警等功能。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支持客流统计、客流信息查询功能。</w:t>
            </w:r>
          </w:p>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支持热度图功能。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具有感兴趣区域、SVC可伸缩编码、智能红外、自动增益、背光补偿、数字降噪、强光抑制、场景自适应、断电保护、用户管理、用户登录锁定、配置保存等功能。</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摄像机能够在-45~70摄氏度，湿度小于93%环境下稳定工作。</w:t>
            </w:r>
          </w:p>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 xml:space="preserve">支持IP67防护等级。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具有1个RJ-45网络接口、2路报警输入、1路报警输出、1个SD卡槽、1个RESET按钮。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支持DC12V/POE供电，电源电压在DC12V±30%范围内变化时设备可以正常工作。  </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 xml:space="preserve">设备工作状态时，支持空气放电8kV，接触放电6kV，电源输入端和网络接口端均支持6kV峰值电压。   </w:t>
            </w:r>
          </w:p>
          <w:p>
            <w:pPr>
              <w:widowControl/>
              <w:jc w:val="left"/>
              <w:rPr>
                <w:rFonts w:hint="eastAsia" w:ascii="仿宋" w:hAnsi="仿宋" w:eastAsia="仿宋" w:cs="仿宋"/>
                <w:color w:val="auto"/>
                <w:kern w:val="0"/>
                <w:sz w:val="24"/>
                <w:szCs w:val="24"/>
                <w:shd w:val="clear" w:color="auto" w:fill="auto"/>
                <w:lang w:eastAsia="zh-CN"/>
              </w:rPr>
            </w:pPr>
            <w:r>
              <w:rPr>
                <w:rFonts w:hint="eastAsia" w:ascii="仿宋" w:hAnsi="仿宋" w:eastAsia="仿宋" w:cs="仿宋"/>
                <w:color w:val="auto"/>
                <w:kern w:val="0"/>
                <w:sz w:val="24"/>
                <w:szCs w:val="24"/>
                <w:shd w:val="clear" w:color="auto" w:fill="auto"/>
                <w:lang w:eastAsia="zh-CN"/>
              </w:rPr>
              <w:t>提</w:t>
            </w:r>
            <w:r>
              <w:rPr>
                <w:rFonts w:hint="eastAsia" w:ascii="仿宋" w:hAnsi="仿宋" w:eastAsia="仿宋" w:cs="仿宋"/>
                <w:color w:val="auto"/>
                <w:kern w:val="0"/>
                <w:sz w:val="24"/>
                <w:szCs w:val="24"/>
                <w:shd w:val="clear" w:color="auto" w:fill="auto"/>
              </w:rPr>
              <w:t>供公安部权威检测机构出具的检验报告</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内置拾音功能，对上巡视道、下巡视道、监区通道、审讯走道等进行监控</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4</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摄像机电源</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桌面式电源适配器-AC100V~240V-12V1A</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74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5</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枪机支架</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尺寸为190.5*88.0*58.0mm</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采用铝合金材质，不易生锈</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白色</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重量为0.38kg</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支持最大承重1.0kg</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支持壁装安装方式</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支持水平：0~360°,竖直：-60°~0°旋转角度范围</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140</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465"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6</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拾音器</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color w:val="auto"/>
                <w:kern w:val="0"/>
                <w:sz w:val="24"/>
                <w:szCs w:val="24"/>
                <w:shd w:val="clear" w:color="auto" w:fill="auto"/>
              </w:rPr>
            </w:pPr>
            <w:r>
              <w:rPr>
                <w:rFonts w:hint="eastAsia" w:ascii="仿宋" w:hAnsi="仿宋" w:eastAsia="仿宋" w:cs="仿宋"/>
                <w:color w:val="auto"/>
                <w:kern w:val="0"/>
                <w:sz w:val="24"/>
                <w:szCs w:val="24"/>
                <w:shd w:val="clear" w:color="auto" w:fill="auto"/>
              </w:rPr>
              <w:t>国际标准86开关面板设计，可用侧墙开关盒填墙安装或者明装</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全金属材质，安全,防暴,可靠；</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采用高灵敏度全指向性电容咪头，全向拾音、声音清晰自然；</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内置高速DSP数字信号处理器，实时实现自适应动态降噪处理和混响抑制功能</w:t>
            </w:r>
            <w:r>
              <w:rPr>
                <w:rFonts w:hint="eastAsia" w:ascii="仿宋" w:hAnsi="仿宋" w:eastAsia="仿宋" w:cs="仿宋"/>
                <w:color w:val="auto"/>
                <w:kern w:val="0"/>
                <w:sz w:val="24"/>
                <w:szCs w:val="24"/>
                <w:shd w:val="clear" w:color="auto" w:fill="auto"/>
              </w:rPr>
              <w:br w:type="textWrapping"/>
            </w:r>
            <w:r>
              <w:rPr>
                <w:rFonts w:hint="eastAsia" w:ascii="仿宋" w:hAnsi="仿宋" w:eastAsia="仿宋" w:cs="仿宋"/>
                <w:color w:val="auto"/>
                <w:kern w:val="0"/>
                <w:sz w:val="24"/>
                <w:szCs w:val="24"/>
                <w:shd w:val="clear" w:color="auto" w:fill="auto"/>
              </w:rPr>
              <w:t>最高检同步录音录像系统建设规范；看守所专用防暴拾音器；</w:t>
            </w:r>
          </w:p>
          <w:p>
            <w:pPr>
              <w:widowControl/>
              <w:jc w:val="left"/>
              <w:rPr>
                <w:rFonts w:hint="eastAsia" w:ascii="仿宋" w:hAnsi="仿宋" w:eastAsia="仿宋" w:cs="仿宋"/>
                <w:color w:val="auto"/>
                <w:kern w:val="0"/>
                <w:sz w:val="24"/>
                <w:szCs w:val="24"/>
                <w:shd w:val="clear" w:color="auto" w:fill="auto"/>
              </w:rPr>
            </w:pPr>
          </w:p>
          <w:p>
            <w:pPr>
              <w:widowControl/>
              <w:jc w:val="left"/>
              <w:rPr>
                <w:rFonts w:hint="eastAsia" w:ascii="仿宋" w:hAnsi="仿宋" w:eastAsia="仿宋" w:cs="仿宋"/>
                <w:color w:val="auto"/>
                <w:kern w:val="0"/>
                <w:sz w:val="24"/>
                <w:szCs w:val="24"/>
                <w:shd w:val="clear" w:color="auto" w:fill="auto"/>
              </w:rPr>
            </w:pPr>
          </w:p>
          <w:p>
            <w:pPr>
              <w:widowControl/>
              <w:jc w:val="left"/>
              <w:rPr>
                <w:rFonts w:hint="eastAsia" w:ascii="仿宋" w:hAnsi="仿宋" w:eastAsia="仿宋" w:cs="仿宋"/>
                <w:color w:val="auto"/>
                <w:kern w:val="0"/>
                <w:sz w:val="24"/>
                <w:szCs w:val="24"/>
                <w:shd w:val="clear" w:color="auto" w:fill="auto"/>
              </w:rPr>
            </w:pPr>
          </w:p>
          <w:p>
            <w:pPr>
              <w:widowControl/>
              <w:jc w:val="left"/>
              <w:rPr>
                <w:rFonts w:hint="eastAsia" w:ascii="仿宋" w:hAnsi="仿宋" w:eastAsia="仿宋" w:cs="仿宋"/>
                <w:color w:val="auto"/>
                <w:kern w:val="0"/>
                <w:sz w:val="24"/>
                <w:szCs w:val="24"/>
                <w:shd w:val="clear" w:color="auto" w:fill="auto"/>
              </w:rPr>
            </w:pPr>
          </w:p>
          <w:p>
            <w:pPr>
              <w:widowControl/>
              <w:jc w:val="left"/>
              <w:rPr>
                <w:rFonts w:hint="eastAsia" w:ascii="仿宋" w:hAnsi="仿宋" w:eastAsia="仿宋" w:cs="仿宋"/>
                <w:color w:val="auto"/>
                <w:kern w:val="0"/>
                <w:sz w:val="24"/>
                <w:szCs w:val="24"/>
                <w:shd w:val="clear" w:color="auto" w:fill="auto"/>
              </w:rPr>
            </w:pPr>
          </w:p>
          <w:p>
            <w:pPr>
              <w:widowControl/>
              <w:jc w:val="left"/>
              <w:rPr>
                <w:rFonts w:hint="eastAsia" w:ascii="仿宋" w:hAnsi="仿宋" w:eastAsia="仿宋" w:cs="仿宋"/>
                <w:color w:val="auto"/>
                <w:kern w:val="0"/>
                <w:sz w:val="24"/>
                <w:szCs w:val="24"/>
                <w:shd w:val="clear" w:color="auto" w:fill="auto"/>
              </w:rPr>
            </w:pP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c>
          <w:tcPr>
            <w:tcW w:w="850"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律师会见室专用拾音器</w:t>
            </w:r>
          </w:p>
        </w:tc>
      </w:tr>
      <w:tr>
        <w:tblPrEx>
          <w:tblLayout w:type="fixed"/>
          <w:tblCellMar>
            <w:top w:w="0" w:type="dxa"/>
            <w:left w:w="108" w:type="dxa"/>
            <w:bottom w:w="0" w:type="dxa"/>
            <w:right w:w="108" w:type="dxa"/>
          </w:tblCellMar>
        </w:tblPrEx>
        <w:trPr>
          <w:trHeight w:val="410" w:hRule="atLeast"/>
        </w:trPr>
        <w:tc>
          <w:tcPr>
            <w:tcW w:w="709"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1</w:t>
            </w:r>
          </w:p>
        </w:tc>
        <w:tc>
          <w:tcPr>
            <w:tcW w:w="851"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看守所智能综合管控平台</w:t>
            </w:r>
          </w:p>
        </w:tc>
        <w:tc>
          <w:tcPr>
            <w:tcW w:w="6804"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rPr>
              <w:t>要求支持不少于16块企业级SATA盘，包括2TB、3TB、4TB等，支持SSD；</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要求支持不低于7寸交互式彩色液晶前面板，支持系统显示和操作配置；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要求系统为嵌入式一体化设备，系统运行于Linux操作系统之上；支持风扇、存储盘的热插拔；</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自带8GB双通道内存，可扩展至16GB；要求支持从磁盘阵列RAID0、RAID1、RAID5，支持全局热备；支持1/4/6/8/9/13/16/20/25/36多分屏画面显示；支持画面比例八档调整：满屏、1:1、16:9、4:3、5:4、4:5、3:4、9:16；支持监视画面的亮度，对比度等参数调整；支持客户端抓图及连续抓图、支持客户端本地录像；支持从设备树上拖动摄像头到视频窗口直接打开画面、支持拖动/双击设备或组织节点打开其所属的所有通道；支持云台控制，云台控制锁定，支持告警用户直接抢夺低级用户的云台控制权；支持三维定位功能、支持云台八方向控制功能；支持步长选择；支持变倍、聚焦、光圈调整；支持预置点的添加、修改、删除、定位；支持巡航线路的添加、修改、删除、启用与停止；支持录像回放，支持多路回放，最大可以同时三十六路回放、支持时间条上双击回放；支持录像播放控制，暂停、播放、停止、2/4/8倍速快放、1/2，1/4,1/8倍速慢放、播放过程中抓图、帧进播放、多通道按时间同步播放；支持前移时间、后移时间、时间轴放大、缩小功能；支持录像类型选择显示；支持报警配置，支持预案信息配置、支持不低于10条不同时间段的设置；支持报警源配置、联动信息配置；支持报警管理；支持多级地图的配置、地图信息的缩小、放大、地图界面的移动浏览；支持双击/右键图标摄像头节点打开视频、地图界面图标框选、圈选并打开视频；支持视频通道的查询、清屏操作；支持即时模式视频上墙；支持本地配置、轮巡任务；支持根据设定规则，对视频内容进行起身检测、攀高检测、打架斗殴等智能报警；支持在智能检索画面中显示智能规则县；支持录像打标、连续打标、录像标签的播放、修改、删除；支持时间/标签名查询录像标签；支持批量删除录像标签；支持按时间查询图片、录像资源；支持双击录像资源播放录像；支持电网接入、报警主机、门禁、IP对讲；支持添加、修改、删除域/域服务、支持按照关键字、服务类型查询域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应符合GA/T 669.7-2008 城市监控报警联网系统技术标准，提供公安部权威检测机构出具的检验报告；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内置软件应符合GB/T28181-2011协议标准，可与符合GB/T28181-2011协议标准的设备无缝对接</w:t>
            </w:r>
            <w:r>
              <w:rPr>
                <w:rFonts w:hint="eastAsia" w:ascii="仿宋" w:hAnsi="仿宋" w:eastAsia="仿宋" w:cs="仿宋"/>
                <w:kern w:val="0"/>
                <w:sz w:val="24"/>
                <w:szCs w:val="24"/>
                <w:lang w:eastAsia="zh-CN"/>
              </w:rPr>
              <w:t>，</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提</w:t>
            </w:r>
            <w:r>
              <w:rPr>
                <w:rFonts w:hint="eastAsia" w:ascii="仿宋" w:hAnsi="仿宋" w:eastAsia="仿宋" w:cs="仿宋"/>
                <w:kern w:val="0"/>
                <w:sz w:val="24"/>
                <w:szCs w:val="24"/>
              </w:rPr>
              <w:t>供公安部权威检测机构出具的检验报告；</w:t>
            </w:r>
          </w:p>
          <w:p>
            <w:pPr>
              <w:widowControl/>
              <w:jc w:val="left"/>
              <w:rPr>
                <w:rFonts w:hint="eastAsia" w:ascii="仿宋" w:hAnsi="仿宋" w:eastAsia="仿宋" w:cs="仿宋"/>
                <w:kern w:val="0"/>
                <w:sz w:val="24"/>
                <w:szCs w:val="24"/>
              </w:rPr>
            </w:pP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551"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2</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网络存储服务器</w:t>
            </w:r>
          </w:p>
        </w:tc>
        <w:tc>
          <w:tcPr>
            <w:tcW w:w="6804" w:type="dxa"/>
            <w:tcBorders>
              <w:top w:val="single" w:color="auto" w:sz="4" w:space="0"/>
              <w:left w:val="nil"/>
              <w:bottom w:val="nil"/>
              <w:right w:val="single" w:color="auto" w:sz="4" w:space="0"/>
            </w:tcBorders>
            <w:vAlign w:val="top"/>
          </w:tcPr>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采用4U 24盘位专业存储设备；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采用linux操作系统，64位四核处理器, 8G内存，可扩展至16G；</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设备具有2个电源模块、2个风扇模块，1个控制器模块，所有模块均支持热插拔，可不打开样机的外壳进行控制单元的插拔或更换；</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支持接入6T、8T、10T硬盘 ，可混合支持SATA磁盘、SAS磁盘、SSD磁盘；在工作状态下，支持硬盘热插拔；（提供公安部检测报告）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具有5个千兆RJ45网络接口，支持扩展4个千兆RJ45网络接口，或支持扩展2个万兆光口；可分别设置不同的IP地址，并具有负载均衡、容错模式、链路聚合功能模式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支持Raid5、Raid5EE、Raid6，支持全局热备和局部热备；支持Raid即建即用；支持逻辑卷的动态在线扩展；支持监控级和企业级硬盘创建RAID；</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当RAID组内2块及2块以上硬盘发生故障或者出现硬盘丢失时，原RAID组内磁盘中的数据可正常读出，且新数据可正常写入；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支持RAID误操作恢复功能，当RAID组中某块功能正常的磁盘被误拔掉之后1min内再插上，该磁盘能恢复到原RAID中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支持智能数据存储功能，交通卡口的图片及数据（包括车标、车道、车速范围、车牌），行为分析的图片及数据（包括警戒线、警戒区、物品遗留、人脸检测）能 直接存入存储服务器，并能通过客户端进行检索、查看、下载图片及对应录像；</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支持同时进行2048Mbps视（音）频码流存储，2048Mbps视（音）频码流转发、384Mbps视（音）频码流回放；在转发模式下，可支持4096Mbps视（音）频码流转发；IPSAN工作模式下，存储带宽不小于8Gbps；</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可支持不低于500MBps的图片并发输入，同时不低于250MBps图片并发输出；</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支持母盘子盘数据复制功能，可将母盘中的数据完整复制到选定的子盘中，在复制过程中，对母盘的操作不受影响；</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支持快照功能，可通过浏览器设置母盘，并创建对应的子盘，数据可同时在母盘和子盘中存储；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支持N+M集群功能：当发生故障时可在WEB日志和客户端报警提醒，当故障恢复后，可由备份服务器实现高速、中速、低速进行回传（1&lt;M&lt;N）；</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集群功能，配置对外统一访问集群IP，通过该IP完成远程设备管理等业务配置，在集群内部按业务均衡的原则自动分配到各设备节点。当有设备节点发生故障时，该节点接入的前端自动均分到其他设备节点，继续录像。待故障节点恢复工作后，集群的业务再重新分配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在不增加任何外外围服务器硬件的情况上,可由存储设备直接进行虚拟化云系统部署</w:t>
            </w:r>
          </w:p>
          <w:p>
            <w:pPr>
              <w:widowControl/>
              <w:spacing w:after="240"/>
              <w:jc w:val="left"/>
              <w:rPr>
                <w:rFonts w:hint="eastAsia" w:ascii="仿宋" w:hAnsi="仿宋" w:eastAsia="仿宋" w:cs="仿宋"/>
                <w:kern w:val="0"/>
                <w:sz w:val="24"/>
                <w:szCs w:val="24"/>
              </w:rPr>
            </w:pPr>
            <w:r>
              <w:rPr>
                <w:rFonts w:hint="eastAsia" w:ascii="仿宋" w:hAnsi="仿宋" w:eastAsia="仿宋" w:cs="仿宋"/>
                <w:kern w:val="0"/>
                <w:sz w:val="24"/>
                <w:szCs w:val="24"/>
              </w:rPr>
              <w:t>可在Normal和Rescue两个系统模式之间进行切换，当任何一个模式无法正常启动时，另外一个模式能正常工作；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RAID出现损坏、降级时，支持日志和客户端报警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要求提供公安部权威检测机构出具的检验报告，</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3</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硬盘</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企业级4</w:t>
            </w:r>
            <w:r>
              <w:rPr>
                <w:rFonts w:hint="eastAsia" w:ascii="仿宋" w:hAnsi="仿宋" w:eastAsia="仿宋" w:cs="仿宋"/>
                <w:color w:val="000000"/>
                <w:kern w:val="0"/>
                <w:sz w:val="24"/>
                <w:szCs w:val="24"/>
              </w:rPr>
              <w:t>T硬盘</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存储20天</w:t>
            </w:r>
          </w:p>
        </w:tc>
      </w:tr>
      <w:tr>
        <w:tblPrEx>
          <w:tblLayout w:type="fixed"/>
          <w:tblCellMar>
            <w:top w:w="0" w:type="dxa"/>
            <w:left w:w="108" w:type="dxa"/>
            <w:bottom w:w="0" w:type="dxa"/>
            <w:right w:w="108" w:type="dxa"/>
          </w:tblCellMar>
        </w:tblPrEx>
        <w:trPr>
          <w:trHeight w:val="111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4</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55寸拼接单元</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55寸LED， A+屏；拼缝3.5mm;分辨率1920*1080；屏幕宽高比16：9；亮度700CD/㎡；对比度4500：1；可视角度178°；响应时间8ms；色彩16.7M（8bit）;AV2路BNC，1路VGA,1路DVI，1路HDMI输入；1路BNC输出；工作温度0℃-50℃；工作湿度20%-80%；寿命6万小时；供电电源AC100-240V；工作功耗200W；单元尺寸1215*686*96.2mm；净重30Kg</w:t>
            </w:r>
          </w:p>
          <w:p>
            <w:pPr>
              <w:widowControl/>
              <w:jc w:val="left"/>
              <w:rPr>
                <w:rFonts w:hint="eastAsia" w:ascii="仿宋" w:hAnsi="仿宋" w:eastAsia="仿宋" w:cs="仿宋"/>
                <w:kern w:val="0"/>
                <w:sz w:val="24"/>
                <w:szCs w:val="24"/>
              </w:rPr>
            </w:pP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551"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5</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拼接处理器</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要求采用标准19”机架式，不低于4U机箱高度，不少于12个板卡槽位，嵌入式系统，模块化设计，支持双电源冗余，具有不少于2组风扇，每组不少于6个风扇（支持热插拔、冗余；支持吹和抽两种模式同时工作；</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支持刀片式音视频图像处理板，可根据需要配置不同数量的输入板和输出板，最大可以配置不少于1块主控板，不少于1块控制板，不少于10块业务板。输出板卡支持热插拔功能；（提供公安部有效检测报告要求主控板至少具有1个VGA输出，不少于2个千兆网口、3个USB接口（提供公安部权威检测机构出具的检测报告原件或复印件，并加盖原厂商公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支持100路视频（1920×1080、25fps、8Mbps）同时进行接收和转发。（提供公安部权威检测机构出具的检测报告原件或复印件，并加盖原厂商公章。）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支持1、4、6、8、9、16、25、36等分割显示，支持视频切换流畅无黑屏现象，视频断开后保留最后一帧图像；视频上墙延时小于92ms；</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要求设备支持虚拟LED显示功能，即在单屏/拼接屏上显示文字，文字字体、颜色、字符间距、背景色和速度可调节；</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具备底图功能，支持BMP、JPEG图片格式，支持底图更换、轮巡，最大支持分辨率15765X8868的底图；</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支持电视墙的拼接功能，单块输出板卡最多可支持6个屏幕拼接，支持多块输出板卡进行拼接；</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设备支持通过PC软件客户端、WEB浏览器客户端、本地界面、平台客户端、IPAD移动终端进行配置管理；</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提供中国国家强制性产品认证证书（中国质量认证中心出具3C证明复印件）；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控制设备符合GB/T24021-2001 idt ISO14021：1999 《环境管理 环境标志与申明 自我环境声明（II型环境标志）》的要求；提供CEC出具的认证证书；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考虑系统兼容稳定性，拼接处理器必须与拼接单元、控制软件采用同一厂家产品；（提供设备3C证明及软件著作权证明）</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上述证明材料，复印件加盖厂家公章；本次系统配置不低于20路DVI信号输出，不少于4路VGA信号输入；</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415"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2.6</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4路嵌入式4K超高清解码器</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支持4路VGA,HDMI和BNC同源同时输出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支持1个HDMI信号采集，采集分辨率最高支持3840x2160@30fps，并通过输出接口输出显示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支持4路BNC音频输出；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支持MPEG4/H.264/H.265/MJPEG标准网络视频流解码，支持各种码流混合解码显示支持PCM/G711音频标准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最大支持 64 个 D1 图像解码输出，64个960H图像解码输出，36个720P 图像解码输出，16个1080P@30fps图像解码输出，4个800w@30fps图像解码输出，且H264和H265的解码性能一样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支持1/4/9/16画面分割切换</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支持1x2,2x1,2x2拼接模式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HDMI接口支持3840x2160@30fps及以下显示分辨率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VGA接口支持1920x1080@60fps及以下显示分辨率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支持Onvif、General协议、GB28181接入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支持解码轮巡功能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支持主动解码和被动解码两种解码模式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支持远程录像文件的解码输出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支持10M/100M/1000M自适应以太网接口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WEB GUI管理界面，可通过WEB页面轻松完成设置和控制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标准1U机箱，美观大方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投标时需提供公安部提供的检测报告，GB28181，3C；</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提审室及律师会见室监控画面</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2.7</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落地支架</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采用1.2-1.5冷轧钢板焊接喷塑而成</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2.8</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大屏配套线缆</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DVI、VGA等线缆，可根据现场实际情况确定；</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979"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2.9</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防静电地板</w:t>
            </w:r>
          </w:p>
        </w:tc>
        <w:tc>
          <w:tcPr>
            <w:tcW w:w="6804" w:type="dxa"/>
            <w:tcBorders>
              <w:top w:val="single" w:color="auto" w:sz="4" w:space="0"/>
              <w:left w:val="nil"/>
              <w:bottom w:val="nil"/>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12m*5.4m,60mm*60mm</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75</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平方米</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用于二楼监控室以及一楼机房静电地面铺设</w:t>
            </w:r>
          </w:p>
        </w:tc>
      </w:tr>
      <w:tr>
        <w:tblPrEx>
          <w:tblLayout w:type="fixed"/>
          <w:tblCellMar>
            <w:top w:w="0" w:type="dxa"/>
            <w:left w:w="108" w:type="dxa"/>
            <w:bottom w:w="0" w:type="dxa"/>
            <w:right w:w="108" w:type="dxa"/>
          </w:tblCellMar>
        </w:tblPrEx>
        <w:trPr>
          <w:trHeight w:val="714"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2.10</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监控室操作台</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4.2m*1.2m</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543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2.11</w:t>
            </w:r>
          </w:p>
        </w:tc>
        <w:tc>
          <w:tcPr>
            <w:tcW w:w="851" w:type="dxa"/>
            <w:tcBorders>
              <w:top w:val="single" w:color="auto" w:sz="4" w:space="0"/>
              <w:left w:val="nil"/>
              <w:bottom w:val="nil"/>
              <w:right w:val="nil"/>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24路智能网络视频分析服务器</w:t>
            </w:r>
          </w:p>
        </w:tc>
        <w:tc>
          <w:tcPr>
            <w:tcW w:w="6804" w:type="dxa"/>
            <w:tcBorders>
              <w:top w:val="single" w:color="auto" w:sz="4" w:space="0"/>
              <w:left w:val="nil"/>
              <w:bottom w:val="nil"/>
              <w:right w:val="nil"/>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最大支持24路1080P视频接入，每路通道支持10条规则。支持穿越警戒线、进入/离开警戒区、在警戒区内、穿越围栏、徘徊检测、遗留检测、搬移检测、物品保护、等监室外异常行为分析；支持起身检测、离岗检测、攀高检测、剧烈运动检测、徘徊检测、区域入侵检测、声音异常检测等监室内异常行为分析；支持视频丢失、条纹检测、亮度过亮、亮度过暗、噪声干扰、偏色检测、清晰度异常检测、视频遮挡、场景变化等视频异常检测。</w:t>
            </w: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p>
            <w:pPr>
              <w:widowControl/>
              <w:jc w:val="left"/>
              <w:rPr>
                <w:rFonts w:hint="eastAsia" w:ascii="仿宋" w:hAnsi="仿宋" w:eastAsia="仿宋" w:cs="仿宋"/>
                <w:kern w:val="0"/>
                <w:sz w:val="24"/>
                <w:szCs w:val="24"/>
              </w:rPr>
            </w:pPr>
          </w:p>
        </w:tc>
        <w:tc>
          <w:tcPr>
            <w:tcW w:w="567"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single" w:color="auto" w:sz="4" w:space="0"/>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配合前端摄像机以及拾音器，对48个监舍打架斗殴、攀高事件进行预警</w:t>
            </w:r>
          </w:p>
        </w:tc>
      </w:tr>
      <w:tr>
        <w:tblPrEx>
          <w:tblLayout w:type="fixed"/>
          <w:tblCellMar>
            <w:top w:w="0" w:type="dxa"/>
            <w:left w:w="108" w:type="dxa"/>
            <w:bottom w:w="0" w:type="dxa"/>
            <w:right w:w="108" w:type="dxa"/>
          </w:tblCellMar>
        </w:tblPrEx>
        <w:trPr>
          <w:trHeight w:val="2265" w:hRule="atLeast"/>
        </w:trPr>
        <w:tc>
          <w:tcPr>
            <w:tcW w:w="709"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1</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高清播放机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(多媒体信息发布终端)</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CPU:高性能ARM Cotex-A9双核，1GHz;</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GPU:四核ARM Mali-400 MP GPU;</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RAM:1GB，DDR3;</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FLASH：4GB eMMC Flash；</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内含多媒体播放器软件及杜比音效Dolby Digital AC-3，数字影院系统DTS等专利正版使用License；内含嵌入式播放器软件，含终端软件使用许可，杜比音效Dolby Digital AC-3，数字影院系统DTS等专利正版使用License。</w:t>
            </w:r>
          </w:p>
        </w:tc>
        <w:tc>
          <w:tcPr>
            <w:tcW w:w="567"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nil"/>
              <w:left w:val="single" w:color="auto" w:sz="4" w:space="0"/>
              <w:bottom w:val="single" w:color="auto" w:sz="4" w:space="0"/>
              <w:right w:val="nil"/>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850"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2</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服务器</w:t>
            </w:r>
          </w:p>
        </w:tc>
        <w:tc>
          <w:tcPr>
            <w:tcW w:w="680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至强四核E3-1226v3（3.30GHz）/8G/500G/无dvd/3年</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3</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单路直播编码器</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输入：1路HDMI输入；视频编码方式：MPEG-4 AVC/H.264；音频编码方式：MPEG-1 Layer 2, HE-AAC (V2), LC-AAC。</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72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4</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信号处理器（工业级专用）</w:t>
            </w:r>
          </w:p>
        </w:tc>
        <w:tc>
          <w:tcPr>
            <w:tcW w:w="6804" w:type="dxa"/>
            <w:tcBorders>
              <w:top w:val="nil"/>
              <w:left w:val="nil"/>
              <w:bottom w:val="nil"/>
              <w:right w:val="nil"/>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将HDMI信号转为STMB信号</w:t>
            </w:r>
          </w:p>
        </w:tc>
        <w:tc>
          <w:tcPr>
            <w:tcW w:w="567"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72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5</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智能信息发布系统核心软件V2.0</w:t>
            </w:r>
          </w:p>
        </w:tc>
        <w:tc>
          <w:tcPr>
            <w:tcW w:w="680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CLEAR IMS admin 2.0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CLEAR IMS main server 2.0</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CLEAR IMS log server 2.0</w:t>
            </w:r>
          </w:p>
        </w:tc>
        <w:tc>
          <w:tcPr>
            <w:tcW w:w="567"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1</w:t>
            </w:r>
          </w:p>
        </w:tc>
        <w:tc>
          <w:tcPr>
            <w:tcW w:w="851"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CD播放器</w:t>
            </w:r>
          </w:p>
        </w:tc>
        <w:tc>
          <w:tcPr>
            <w:tcW w:w="6804"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自动播放控制，全数码伺服；系统+ESS解码方案，超强纠错功能</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72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2</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数字调谐器</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调频、调幅两波段，分别有可存储电台达100个</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有自动调谐、记忆功能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遥控器控制操作简单</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32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3</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前置放大器</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12个输入通道，包括5路话筒、3路线路口、4个紧急接口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第5个话筒具有最高优先、强行切入优先功能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每个通道均可独立调校音量，统一音量控制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4个紧急输入具有二级优先，强行切入优先功能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12 input channels including 5 channels of MIC input, 3 Line-In, 4 </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43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4</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桌面</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话筒</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1.专业控制台设计，可桌面放置、壁挂安装和嵌入式安装；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2.具有10.1寸数字真彩显示屏，电容式触摸屏，分辨率达1280*800；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3.内置500万像素高清数字摄像头(具有硬件遮挡功能，保护隐私)，采用H.264编码；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4.内置3W扬声器和话筒咪头，用于免提通话、接收广播和监听(数字降噪)；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5.可对全区、分区、个别终端进行喊话广播；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6.文件广播和预录音广播功能，可将本地音频文件或录音广播给指定终端；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7.具有红色紧急按键，支持一键广播到预设分区；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8.支持来/去电显示功能，来电语音播报；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9.仿调音台操作界面，音源控制直观便捷；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10.支持无服务器情况下的脱机广播；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11.可查看其他终端的工作状态(登录状态、对讲状态、任务状态)；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12.可拆卸话筒杆，支持3种方式通话：免提(内置咪)、免提(话筒杆)和听筒；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13.具有HDMI接口，可外接显示器；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14.支持POE供电，符合IEEE802.3af标准；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15. 标准RJ45接口，有以太网口的地方即可接入，支持跨网段和跨路由；</w:t>
            </w:r>
            <w:r>
              <w:rPr>
                <w:rFonts w:hint="eastAsia" w:ascii="仿宋" w:hAnsi="仿宋" w:eastAsia="仿宋" w:cs="仿宋"/>
                <w:kern w:val="0"/>
                <w:sz w:val="24"/>
                <w:szCs w:val="24"/>
              </w:rPr>
              <w:br w:type="textWrapping"/>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电源、功耗    DC 12V或POE IEEE802.3af,  ≤20W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网络通讯协议  TCP、UDP、ARP、ICMP、IGMP、SIP、HTTP、FTP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网络芯片速率  10/100Mbps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音频编码      MP2/MP3/PCM/ADPCM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音频采样、位率 8kHz～44.1kHz, 16bit, 8kbps-320kbps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视频传输位率   96Kbps-2048Kbps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摄像头         CMOS 500W像素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内置功放功率   3W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信噪比, 频响   &gt; 90dB、20 Hz～20K 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网络声音延迟 对讲延迟≤30ms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显示屏         TFT 10.1"LCD 1280x800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显示语言       中文、英语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接口           1个RJ45网口, 1路报警输入, 1路报警输出, 1路线路输出,1路线路输入，1路HDMI接口,2个USB接口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工作温度、湿度  -10℃～55℃,  ≤90%RH（无结露）</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产品尺寸、重量  336x210x32.5mm ,1.65kg</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6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5</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监所专用网络广播功放-120W</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1.机架式设计(1U)，超薄型的网络定压功放, 启动时间≤1秒;</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2.内置D类数字功放，120W定压100V输出，发热小功效更高；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3.设有5个输入通道，每一通道均可独立调节音量，统一音调控制；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4.可以自由设置5个输入通道的优先级 (前面板话筒口默认最高优先)；</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5.提供音频线路输出，接外部功放扩音(带功放电源控制)；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6.有以太网口地方即可接入，支持跨网段和跨路由；</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6</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监所专用室内音箱</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材料:木制；额定功率：5W；最大功率：10W；频率响应：180-20KHz；定压；尺寸：248x156x146</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414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7</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监所专用网络对讲广播控制中心</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1.专业机架式工控机箱体设计，采用钢结构，有较高防磁、防尘、防冲击能力；</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2.采用15英寸工业级加固触摸屏，简单易用的触摸屏操控；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3.内置大容量硬盘，具有抗震动、抗摔、读写速度快、功耗低等特点；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4.工业级专用主板设计，处理速度更快，运作性能更强，适用于长时间运行；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5.安装广播系统服务器软件后，构成IP广播系统的管理控制中心，对广播系统各路音源信号控制，广播区域分配，终端信息的配置；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6.可根据服务软件形成的电子地图，查看各路广播终端实时情况，尽在掌控；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7.标准RJ45网络接口，有以太网口的地方即可接入，支持跨网段和跨路由。</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电源、功耗 AC100-240V；≤300W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显示屏幕 15寸电阻式(四线)触控屏，TFT32位真彩色, 1024*768分辨率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光驱 DVD-ROM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CPU:  i3-4150（因配置不断升级，以合同为准）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主板：华硕 P8H61-MPLUSV3(英特尔  H61 芯片组)</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内存：金士顿（Kingston）DDR3 1600 2GB</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硬盘：SATA 1TB（因配置不断升级，以合同为准）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显卡：英特尔 HD  Graphics Family(1GB/华硕)</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显示器：乐华 R0W0001 Grystal  View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光驱：华硕 DVD-E818A9T b DVD 光驱</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声卡： 瑞昱ALC887@英特尔6Series  Chipset 高保真音频</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网卡： 瑞昱RTL8168E PCI-E Gigabit Etherner NIC/华硕</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分辨率：1024×768 32位真彩色（刷新率：60HZ）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网络通讯协议 TCP、UDP、ARP、ICMP、IGMP</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网络芯片速率 10/100Mbps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音频编码 MP2/MP3/PCM/ADPCM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音频采样 8kHz～44.1kHz, 16位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传输位率 16kbps-192kbps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信噪比/频响 LINE: ≥70dB; MIC: ≥70dB; 20Hz-20KHz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网络声音延迟 广播延迟≤100ms, 对讲延迟≤30ms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音频接口 1路线路输入、1路线路输出、1路话筒输入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其他接口 1个 RJ45网口，4个 USB口</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1680" w:hRule="atLeast"/>
        </w:trPr>
        <w:tc>
          <w:tcPr>
            <w:tcW w:w="709" w:type="dxa"/>
            <w:tcBorders>
              <w:top w:val="nil"/>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1</w:t>
            </w:r>
          </w:p>
        </w:tc>
        <w:tc>
          <w:tcPr>
            <w:tcW w:w="851" w:type="dxa"/>
            <w:tcBorders>
              <w:top w:val="nil"/>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接入交换机</w:t>
            </w:r>
          </w:p>
        </w:tc>
        <w:tc>
          <w:tcPr>
            <w:tcW w:w="6804" w:type="dxa"/>
            <w:tcBorders>
              <w:top w:val="nil"/>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产品类型：智能交换机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应用层级：二层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背板带宽：16Gbps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包转发率：6.5Mbps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端口结构：非模块化</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电源电压：AC 100-240V，50-60Hz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端口描述：24个以太网10/100Mbps 支持PoE</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single" w:color="auto" w:sz="4" w:space="0"/>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96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2</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核心交换机</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产品类型：核心交换机；应用层级：三层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最低背板带宽：3.84Tbps/5.12Tbps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最小包转发率：1152Mpps/2880Mpps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端口结构：模块化 </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single" w:color="auto" w:sz="4" w:space="0"/>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3</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机柜</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2米标准机柜</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c>
          <w:tcPr>
            <w:tcW w:w="85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4</w:t>
            </w:r>
          </w:p>
        </w:tc>
        <w:tc>
          <w:tcPr>
            <w:tcW w:w="851" w:type="dxa"/>
            <w:tcBorders>
              <w:top w:val="single" w:color="auto" w:sz="4" w:space="0"/>
              <w:left w:val="nil"/>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光纤</w:t>
            </w:r>
          </w:p>
        </w:tc>
        <w:tc>
          <w:tcPr>
            <w:tcW w:w="6804" w:type="dxa"/>
            <w:tcBorders>
              <w:top w:val="single" w:color="auto" w:sz="4" w:space="0"/>
              <w:left w:val="nil"/>
              <w:bottom w:val="nil"/>
              <w:right w:val="single" w:color="auto" w:sz="4" w:space="0"/>
            </w:tcBorders>
            <w:vAlign w:val="top"/>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12芯光纤</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1500</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米</w:t>
            </w:r>
          </w:p>
        </w:tc>
        <w:tc>
          <w:tcPr>
            <w:tcW w:w="85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光纤收发器</w:t>
            </w:r>
          </w:p>
        </w:tc>
        <w:tc>
          <w:tcPr>
            <w:tcW w:w="6804"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DC10-58V工作温度-40-85存储温度-40-85传输距离0-60KM（可选）</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6</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光纤附件</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国标</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7</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网线</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室外防水4*0.5</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箱</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8</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电源线</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国标RVV2*2.0</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3000</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米</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480" w:hRule="atLeast"/>
        </w:trPr>
        <w:tc>
          <w:tcPr>
            <w:tcW w:w="709" w:type="dxa"/>
            <w:tcBorders>
              <w:top w:val="single" w:color="auto" w:sz="4" w:space="0"/>
              <w:left w:val="single" w:color="auto" w:sz="4" w:space="0"/>
              <w:bottom w:val="nil"/>
              <w:right w:val="single" w:color="auto"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9</w:t>
            </w:r>
          </w:p>
        </w:tc>
        <w:tc>
          <w:tcPr>
            <w:tcW w:w="851"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工程附件</w:t>
            </w:r>
          </w:p>
        </w:tc>
        <w:tc>
          <w:tcPr>
            <w:tcW w:w="680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排插、软管、缠绕管、防水胶带等</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56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r>
    </w:tbl>
    <w:p>
      <w:pPr>
        <w:spacing w:line="360" w:lineRule="auto"/>
        <w:jc w:val="center"/>
        <w:outlineLvl w:val="0"/>
        <w:rPr>
          <w:rFonts w:hint="eastAsia" w:ascii="仿宋" w:hAnsi="仿宋" w:eastAsia="仿宋" w:cs="仿宋"/>
          <w:b/>
          <w:bCs/>
          <w:kern w:val="44"/>
          <w:sz w:val="24"/>
          <w:szCs w:val="24"/>
        </w:rPr>
      </w:pPr>
      <w:r>
        <w:rPr>
          <w:rFonts w:hint="eastAsia" w:ascii="仿宋" w:hAnsi="仿宋" w:eastAsia="仿宋" w:cs="仿宋"/>
          <w:b/>
          <w:bCs/>
          <w:kern w:val="44"/>
          <w:sz w:val="24"/>
          <w:szCs w:val="24"/>
        </w:rPr>
        <w:t>监控安装位置汇总表</w:t>
      </w:r>
    </w:p>
    <w:tbl>
      <w:tblPr>
        <w:tblStyle w:val="36"/>
        <w:tblW w:w="8931" w:type="dxa"/>
        <w:tblInd w:w="108" w:type="dxa"/>
        <w:tblLayout w:type="fixed"/>
        <w:tblCellMar>
          <w:top w:w="0" w:type="dxa"/>
          <w:left w:w="108" w:type="dxa"/>
          <w:bottom w:w="0" w:type="dxa"/>
          <w:right w:w="108" w:type="dxa"/>
        </w:tblCellMar>
      </w:tblPr>
      <w:tblGrid>
        <w:gridCol w:w="1560"/>
        <w:gridCol w:w="2551"/>
        <w:gridCol w:w="992"/>
        <w:gridCol w:w="3828"/>
      </w:tblGrid>
      <w:tr>
        <w:tblPrEx>
          <w:tblLayout w:type="fixed"/>
          <w:tblCellMar>
            <w:top w:w="0" w:type="dxa"/>
            <w:left w:w="108" w:type="dxa"/>
            <w:bottom w:w="0" w:type="dxa"/>
            <w:right w:w="108" w:type="dxa"/>
          </w:tblCellMar>
        </w:tblPrEx>
        <w:trPr>
          <w:trHeight w:val="270"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摄像机类型</w:t>
            </w:r>
          </w:p>
        </w:tc>
        <w:tc>
          <w:tcPr>
            <w:tcW w:w="2551"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安装位置</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数量</w:t>
            </w:r>
          </w:p>
        </w:tc>
        <w:tc>
          <w:tcPr>
            <w:tcW w:w="3828"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r>
      <w:tr>
        <w:tblPrEx>
          <w:tblLayout w:type="fixed"/>
          <w:tblCellMar>
            <w:top w:w="0" w:type="dxa"/>
            <w:left w:w="108" w:type="dxa"/>
            <w:bottom w:w="0" w:type="dxa"/>
            <w:right w:w="108" w:type="dxa"/>
          </w:tblCellMar>
        </w:tblPrEx>
        <w:trPr>
          <w:trHeight w:val="270"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300万全景摄像机</w:t>
            </w: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内置拾音，每个监室一台</w:t>
            </w:r>
          </w:p>
        </w:tc>
      </w:tr>
      <w:tr>
        <w:tblPrEx>
          <w:tblLayout w:type="fixed"/>
          <w:tblCellMar>
            <w:top w:w="0" w:type="dxa"/>
            <w:left w:w="108" w:type="dxa"/>
            <w:bottom w:w="0" w:type="dxa"/>
            <w:right w:w="108" w:type="dxa"/>
          </w:tblCellMar>
        </w:tblPrEx>
        <w:trPr>
          <w:trHeight w:val="270" w:hRule="atLeast"/>
        </w:trPr>
        <w:tc>
          <w:tcPr>
            <w:tcW w:w="15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400万像素H.265 POE半球</w:t>
            </w: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风场</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94</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禁闭室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内置拾音，三个禁闭室加禁闭室走廊</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管教室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心理咨询室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家属会见</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律师会见</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外置拾音，安装高保真拾音器</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监控室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收押大厅</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便民服务大厅</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提审室</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监区电动大门</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内置拾音</w:t>
            </w:r>
          </w:p>
        </w:tc>
      </w:tr>
      <w:tr>
        <w:tblPrEx>
          <w:tblLayout w:type="fixed"/>
          <w:tblCellMar>
            <w:top w:w="0" w:type="dxa"/>
            <w:left w:w="108" w:type="dxa"/>
            <w:bottom w:w="0" w:type="dxa"/>
            <w:right w:w="108" w:type="dxa"/>
          </w:tblCellMar>
        </w:tblPrEx>
        <w:trPr>
          <w:trHeight w:val="270" w:hRule="atLeast"/>
        </w:trPr>
        <w:tc>
          <w:tcPr>
            <w:tcW w:w="15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400万像素枪机</w:t>
            </w: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车行通道B门+提审室门</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车行通道A门到北二层楼南头</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医疗会见室门</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上巡视道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下巡视道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下巡视道走道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上巡视道走道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监控室上下走道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监区院子</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铁丝网旁走道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提审走道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医疗走道</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收押大厅及电动A门</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律师会见及家属会见门口</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存包室门口与东大门内</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便民服务门口与大门</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存包室外门与东大门外</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p>
        </w:tc>
        <w:tc>
          <w:tcPr>
            <w:tcW w:w="2551"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看守所大门口</w:t>
            </w:r>
          </w:p>
        </w:tc>
        <w:tc>
          <w:tcPr>
            <w:tcW w:w="992"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828"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红外80米</w:t>
            </w:r>
          </w:p>
        </w:tc>
      </w:tr>
      <w:tr>
        <w:tblPrEx>
          <w:tblLayout w:type="fixed"/>
          <w:tblCellMar>
            <w:top w:w="0" w:type="dxa"/>
            <w:left w:w="108" w:type="dxa"/>
            <w:bottom w:w="0" w:type="dxa"/>
            <w:right w:w="108" w:type="dxa"/>
          </w:tblCellMar>
        </w:tblPrEx>
        <w:trPr>
          <w:trHeight w:val="270"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合计：310</w:t>
            </w:r>
          </w:p>
        </w:tc>
      </w:tr>
    </w:tbl>
    <w:p>
      <w:pPr>
        <w:numPr>
          <w:ilvl w:val="0"/>
          <w:numId w:val="0"/>
        </w:numPr>
        <w:spacing w:line="440" w:lineRule="exact"/>
        <w:rPr>
          <w:rFonts w:hint="eastAsia" w:ascii="仿宋" w:hAnsi="仿宋" w:eastAsia="仿宋" w:cs="仿宋"/>
          <w:b w:val="0"/>
          <w:bCs/>
          <w:sz w:val="24"/>
          <w:szCs w:val="24"/>
          <w:lang w:eastAsia="zh-CN"/>
        </w:rPr>
      </w:pPr>
    </w:p>
    <w:p>
      <w:pPr>
        <w:numPr>
          <w:ilvl w:val="0"/>
          <w:numId w:val="0"/>
        </w:numPr>
        <w:spacing w:line="440" w:lineRule="exac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注：</w:t>
      </w:r>
      <w:r>
        <w:rPr>
          <w:rFonts w:hint="eastAsia" w:ascii="仿宋" w:hAnsi="仿宋" w:eastAsia="仿宋" w:cs="仿宋"/>
          <w:b w:val="0"/>
          <w:bCs/>
          <w:sz w:val="24"/>
          <w:szCs w:val="24"/>
          <w:lang w:val="en-US" w:eastAsia="zh-CN"/>
        </w:rPr>
        <w:t>1</w:t>
      </w:r>
      <w:r>
        <w:rPr>
          <w:rFonts w:hint="eastAsia" w:ascii="仿宋" w:hAnsi="仿宋" w:eastAsia="仿宋" w:cs="仿宋"/>
          <w:b w:val="0"/>
          <w:bCs/>
          <w:sz w:val="24"/>
          <w:szCs w:val="24"/>
          <w:lang w:eastAsia="zh-CN"/>
        </w:rPr>
        <w:t>、投标商应确保系统与上级公安机关监管部门视频监控平台无缝对接，如不能完成无缝对接，视为验收不合格；</w:t>
      </w:r>
    </w:p>
    <w:p>
      <w:pPr>
        <w:numPr>
          <w:ilvl w:val="0"/>
          <w:numId w:val="0"/>
        </w:numPr>
        <w:spacing w:line="440" w:lineRule="exact"/>
        <w:ind w:leftChars="200"/>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本采购</w:t>
      </w:r>
      <w:r>
        <w:rPr>
          <w:rFonts w:hint="eastAsia" w:ascii="仿宋" w:hAnsi="仿宋" w:eastAsia="仿宋" w:cs="仿宋"/>
          <w:b w:val="0"/>
          <w:bCs/>
          <w:sz w:val="24"/>
          <w:szCs w:val="24"/>
          <w:lang w:eastAsia="zh-CN"/>
        </w:rPr>
        <w:t>项目</w:t>
      </w:r>
      <w:r>
        <w:rPr>
          <w:rFonts w:hint="eastAsia" w:ascii="仿宋" w:hAnsi="仿宋" w:eastAsia="仿宋" w:cs="仿宋"/>
          <w:b w:val="0"/>
          <w:bCs/>
          <w:sz w:val="24"/>
          <w:szCs w:val="24"/>
        </w:rPr>
        <w:t>为交钥匙项目，未尽事宜由投标人负责完善方案，不追加费用</w:t>
      </w:r>
      <w:r>
        <w:rPr>
          <w:rFonts w:hint="eastAsia" w:ascii="仿宋" w:hAnsi="仿宋" w:eastAsia="仿宋" w:cs="仿宋"/>
          <w:b w:val="0"/>
          <w:bCs/>
          <w:sz w:val="24"/>
          <w:szCs w:val="24"/>
          <w:lang w:eastAsia="zh-CN"/>
        </w:rPr>
        <w:t>；</w:t>
      </w:r>
    </w:p>
    <w:p>
      <w:pPr>
        <w:widowControl w:val="0"/>
        <w:numPr>
          <w:ilvl w:val="0"/>
          <w:numId w:val="0"/>
        </w:numPr>
        <w:spacing w:line="440" w:lineRule="exact"/>
        <w:ind w:leftChars="20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本采购</w:t>
      </w:r>
      <w:r>
        <w:rPr>
          <w:rFonts w:hint="eastAsia" w:ascii="仿宋" w:hAnsi="仿宋" w:eastAsia="仿宋" w:cs="仿宋"/>
          <w:b w:val="0"/>
          <w:bCs/>
          <w:sz w:val="24"/>
          <w:szCs w:val="24"/>
          <w:lang w:eastAsia="zh-CN"/>
        </w:rPr>
        <w:t>项目工期</w:t>
      </w:r>
      <w:r>
        <w:rPr>
          <w:rFonts w:hint="eastAsia" w:ascii="仿宋" w:hAnsi="仿宋" w:eastAsia="仿宋" w:cs="仿宋"/>
          <w:b w:val="0"/>
          <w:bCs/>
          <w:sz w:val="24"/>
          <w:szCs w:val="24"/>
          <w:lang w:val="en-US" w:eastAsia="zh-CN"/>
        </w:rPr>
        <w:t>60日，自签订施工合同之日起60日内完成施工，每超期1日扣除合同金额的1%；</w:t>
      </w:r>
    </w:p>
    <w:p>
      <w:pPr>
        <w:widowControl w:val="0"/>
        <w:numPr>
          <w:ilvl w:val="0"/>
          <w:numId w:val="0"/>
        </w:numPr>
        <w:spacing w:line="440" w:lineRule="exact"/>
        <w:ind w:leftChars="20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本采购</w:t>
      </w:r>
      <w:r>
        <w:rPr>
          <w:rFonts w:hint="eastAsia" w:ascii="仿宋" w:hAnsi="仿宋" w:eastAsia="仿宋" w:cs="仿宋"/>
          <w:b w:val="0"/>
          <w:bCs/>
          <w:sz w:val="24"/>
          <w:szCs w:val="24"/>
          <w:lang w:eastAsia="zh-CN"/>
        </w:rPr>
        <w:t>项目质保期为</w:t>
      </w:r>
      <w:r>
        <w:rPr>
          <w:rFonts w:hint="eastAsia" w:ascii="仿宋" w:hAnsi="仿宋" w:eastAsia="仿宋" w:cs="仿宋"/>
          <w:b w:val="0"/>
          <w:bCs/>
          <w:sz w:val="24"/>
          <w:szCs w:val="24"/>
          <w:lang w:val="en-US" w:eastAsia="zh-CN"/>
        </w:rPr>
        <w:t>3年，质保期内，投标商应确保系统正常运行，系统正常运行维护费用由中标供应商负担，监控前端运行完好率要达到95%以上，</w:t>
      </w:r>
      <w:r>
        <w:rPr>
          <w:rFonts w:hint="eastAsia" w:ascii="仿宋" w:hAnsi="仿宋" w:eastAsia="仿宋" w:cs="仿宋"/>
          <w:kern w:val="0"/>
          <w:sz w:val="24"/>
          <w:szCs w:val="24"/>
        </w:rPr>
        <w:t>前后端设备、线路传输、电源等一概故障均要在24小时内处理完毕</w:t>
      </w:r>
      <w:r>
        <w:rPr>
          <w:rFonts w:hint="eastAsia" w:ascii="仿宋" w:hAnsi="仿宋" w:eastAsia="仿宋" w:cs="仿宋"/>
          <w:kern w:val="0"/>
          <w:sz w:val="24"/>
          <w:szCs w:val="24"/>
          <w:lang w:eastAsia="zh-CN"/>
        </w:rPr>
        <w:t>，质保期内</w:t>
      </w:r>
      <w:r>
        <w:rPr>
          <w:rFonts w:hint="eastAsia" w:ascii="仿宋" w:hAnsi="仿宋" w:eastAsia="仿宋" w:cs="仿宋"/>
          <w:b w:val="0"/>
          <w:bCs/>
          <w:sz w:val="24"/>
          <w:szCs w:val="24"/>
          <w:lang w:val="en-US" w:eastAsia="zh-CN"/>
        </w:rPr>
        <w:t>免费系统升级；</w:t>
      </w:r>
    </w:p>
    <w:p>
      <w:pPr>
        <w:widowControl w:val="0"/>
        <w:numPr>
          <w:ilvl w:val="0"/>
          <w:numId w:val="0"/>
        </w:numPr>
        <w:spacing w:line="440" w:lineRule="exact"/>
        <w:ind w:leftChars="200"/>
        <w:jc w:val="both"/>
        <w:rPr>
          <w:rFonts w:hint="eastAsia" w:ascii="仿宋" w:hAnsi="仿宋" w:eastAsia="仿宋" w:cs="Arial Unicode MS"/>
          <w:position w:val="-4"/>
          <w:sz w:val="24"/>
          <w:lang w:val="en-US" w:eastAsia="zh-CN"/>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供应商应确保视频图像监控正常运行和信息安全，同时不得以任何理由和方式将视频图像监控的有关图像、资料和信息向第三方公开，不得将视频图像传输网络（线路）以任何理由和方式接入其他网络。由于维保服务责任单位和相关人员原因发生失密泄密的，公安机关保留追究维保责任单位和个人法律责任的权利。</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lang w:eastAsia="zh-CN"/>
        </w:rPr>
        <w:t>六</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w:t>
      </w:r>
      <w:r>
        <w:rPr>
          <w:rFonts w:hint="eastAsia" w:ascii="仿宋" w:hAnsi="仿宋" w:eastAsia="仿宋" w:cs="仿宋"/>
          <w:sz w:val="24"/>
          <w:szCs w:val="24"/>
          <w:lang w:eastAsia="zh-CN"/>
        </w:rPr>
        <w:t>供货时须</w:t>
      </w:r>
      <w:r>
        <w:rPr>
          <w:rFonts w:hint="eastAsia" w:ascii="仿宋" w:hAnsi="仿宋" w:eastAsia="仿宋" w:cs="仿宋"/>
          <w:sz w:val="24"/>
          <w:szCs w:val="24"/>
        </w:rPr>
        <w:t>提供随货物《产品合格证》</w:t>
      </w:r>
      <w:r>
        <w:rPr>
          <w:rFonts w:hint="eastAsia" w:ascii="仿宋" w:hAnsi="仿宋" w:eastAsia="仿宋" w:cs="仿宋"/>
          <w:sz w:val="24"/>
          <w:szCs w:val="24"/>
          <w:lang w:val="en-US"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b/>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widowControl w:val="0"/>
        <w:numPr>
          <w:ilvl w:val="0"/>
          <w:numId w:val="0"/>
        </w:numPr>
        <w:spacing w:line="440" w:lineRule="exact"/>
        <w:ind w:firstLine="480" w:firstLineChars="200"/>
        <w:jc w:val="both"/>
        <w:rPr>
          <w:rFonts w:hint="eastAsia" w:ascii="仿宋" w:hAnsi="仿宋" w:eastAsia="仿宋" w:cs="Arial Unicode MS"/>
          <w:position w:val="-4"/>
          <w:sz w:val="24"/>
          <w:lang w:val="en-US" w:eastAsia="zh-CN"/>
        </w:rPr>
      </w:pPr>
      <w:r>
        <w:rPr>
          <w:rFonts w:hint="eastAsia" w:ascii="仿宋" w:hAnsi="仿宋" w:eastAsia="仿宋" w:cs="仿宋"/>
          <w:b w:val="0"/>
          <w:bCs/>
          <w:sz w:val="24"/>
          <w:szCs w:val="24"/>
          <w:lang w:val="en-US" w:eastAsia="zh-CN"/>
        </w:rPr>
        <w:t>12、付款方式：系统建设建设完成经验收合格后付90%，剩余10%质保期满后一次性支付。</w:t>
      </w:r>
    </w:p>
    <w:p>
      <w:pPr>
        <w:spacing w:line="520" w:lineRule="exact"/>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tbl>
      <w:tblPr>
        <w:tblStyle w:val="36"/>
        <w:tblW w:w="9573"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0"/>
        <w:gridCol w:w="1019"/>
        <w:gridCol w:w="155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00" w:type="dxa"/>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2578"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lang w:eastAsia="zh-CN"/>
              </w:rPr>
              <w:t>评审</w:t>
            </w:r>
            <w:r>
              <w:rPr>
                <w:rFonts w:hint="eastAsia" w:ascii="仿宋" w:hAnsi="仿宋" w:eastAsia="仿宋" w:cs="仿宋"/>
                <w:b/>
                <w:sz w:val="24"/>
                <w:szCs w:val="24"/>
              </w:rPr>
              <w:t>内容</w:t>
            </w:r>
          </w:p>
        </w:tc>
        <w:tc>
          <w:tcPr>
            <w:tcW w:w="6095" w:type="dxa"/>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b/>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.1</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分值组成</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（总分100分）</w:t>
            </w:r>
          </w:p>
        </w:tc>
        <w:tc>
          <w:tcPr>
            <w:tcW w:w="6095" w:type="dxa"/>
            <w:vAlign w:val="bottom"/>
          </w:tcPr>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报价得分</w:t>
            </w:r>
            <w:r>
              <w:rPr>
                <w:rFonts w:hint="eastAsia" w:ascii="仿宋" w:hAnsi="仿宋" w:eastAsia="仿宋" w:cs="仿宋"/>
                <w:sz w:val="24"/>
                <w:szCs w:val="24"/>
              </w:rPr>
              <w:t>：</w:t>
            </w:r>
            <w:r>
              <w:rPr>
                <w:rFonts w:hint="eastAsia" w:ascii="仿宋" w:hAnsi="仿宋" w:eastAsia="仿宋" w:cs="仿宋"/>
                <w:sz w:val="24"/>
                <w:szCs w:val="24"/>
                <w:lang w:val="en-US" w:eastAsia="zh-CN"/>
              </w:rPr>
              <w:t>50</w:t>
            </w:r>
            <w:r>
              <w:rPr>
                <w:rFonts w:hint="eastAsia" w:ascii="仿宋" w:hAnsi="仿宋" w:eastAsia="仿宋" w:cs="仿宋"/>
                <w:sz w:val="24"/>
                <w:szCs w:val="24"/>
              </w:rPr>
              <w:t>分</w:t>
            </w: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商务</w:t>
            </w:r>
            <w:r>
              <w:rPr>
                <w:rFonts w:hint="eastAsia" w:ascii="仿宋" w:hAnsi="仿宋" w:eastAsia="仿宋" w:cs="仿宋"/>
                <w:sz w:val="24"/>
                <w:szCs w:val="24"/>
              </w:rPr>
              <w:t>技术</w:t>
            </w:r>
            <w:r>
              <w:rPr>
                <w:rFonts w:hint="eastAsia" w:ascii="仿宋" w:hAnsi="仿宋" w:eastAsia="仿宋" w:cs="仿宋"/>
                <w:sz w:val="24"/>
                <w:szCs w:val="24"/>
                <w:lang w:eastAsia="zh-CN"/>
              </w:rPr>
              <w:t>评分</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.2</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评标基准价</w:t>
            </w:r>
          </w:p>
        </w:tc>
        <w:tc>
          <w:tcPr>
            <w:tcW w:w="6095" w:type="dxa"/>
            <w:vAlign w:val="center"/>
          </w:tcPr>
          <w:p>
            <w:pPr>
              <w:spacing w:line="360" w:lineRule="auto"/>
              <w:ind w:firstLine="72" w:firstLineChars="30"/>
              <w:jc w:val="left"/>
              <w:rPr>
                <w:rFonts w:hint="eastAsia" w:ascii="仿宋" w:hAnsi="仿宋" w:eastAsia="仿宋" w:cs="仿宋"/>
                <w:color w:val="FF0000"/>
                <w:sz w:val="24"/>
                <w:szCs w:val="24"/>
              </w:rPr>
            </w:pPr>
            <w:r>
              <w:rPr>
                <w:rFonts w:hint="eastAsia" w:ascii="仿宋" w:hAnsi="仿宋" w:eastAsia="仿宋" w:cs="仿宋"/>
                <w:sz w:val="24"/>
                <w:szCs w:val="24"/>
              </w:rPr>
              <w:t>评标基准价指满足招标文件要求且投标价格最低的投标报价为评标基准价</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.3</w:t>
            </w:r>
          </w:p>
        </w:tc>
        <w:tc>
          <w:tcPr>
            <w:tcW w:w="2578" w:type="dxa"/>
            <w:gridSpan w:val="2"/>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投标报价得分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0分）</w:t>
            </w:r>
          </w:p>
        </w:tc>
        <w:tc>
          <w:tcPr>
            <w:tcW w:w="6095"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价格得分=（评标基准价/投标报价）×50</w:t>
            </w:r>
          </w:p>
          <w:p>
            <w:pPr>
              <w:spacing w:line="360" w:lineRule="auto"/>
              <w:ind w:firstLine="480" w:firstLineChars="200"/>
              <w:rPr>
                <w:rFonts w:hint="eastAsia" w:ascii="仿宋" w:hAnsi="仿宋" w:eastAsia="仿宋" w:cs="仿宋"/>
                <w:color w:val="FF0000"/>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64" w:hRule="atLeast"/>
        </w:trPr>
        <w:tc>
          <w:tcPr>
            <w:tcW w:w="900" w:type="dxa"/>
            <w:vMerge w:val="restart"/>
            <w:tcBorders>
              <w:right w:val="single" w:color="auto" w:sz="4" w:space="0"/>
            </w:tcBorders>
            <w:vAlign w:val="center"/>
          </w:tcPr>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3.5.4</w:t>
            </w:r>
          </w:p>
        </w:tc>
        <w:tc>
          <w:tcPr>
            <w:tcW w:w="1019" w:type="dxa"/>
            <w:vMerge w:val="restart"/>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务</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部</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w:t>
            </w:r>
          </w:p>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（30分）</w:t>
            </w: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企业综合实力</w:t>
            </w:r>
          </w:p>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color w:val="000000"/>
                <w:sz w:val="24"/>
                <w:szCs w:val="24"/>
              </w:rPr>
              <w:t>及项目班子配备</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分）</w:t>
            </w:r>
          </w:p>
        </w:tc>
        <w:tc>
          <w:tcPr>
            <w:tcW w:w="6095" w:type="dxa"/>
            <w:tcBorders>
              <w:left w:val="single" w:color="auto" w:sz="4" w:space="0"/>
            </w:tcBorders>
            <w:vAlign w:val="center"/>
          </w:tcPr>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2、投标人具有质量管理体系、信息安全管理体系、</w:t>
            </w:r>
            <w:r>
              <w:rPr>
                <w:rFonts w:hint="eastAsia" w:ascii="仿宋" w:hAnsi="仿宋" w:eastAsia="仿宋" w:cs="仿宋"/>
                <w:kern w:val="0"/>
                <w:sz w:val="24"/>
                <w:szCs w:val="24"/>
                <w:lang w:eastAsia="zh-CN"/>
              </w:rPr>
              <w:t>信息技术</w:t>
            </w:r>
            <w:r>
              <w:rPr>
                <w:rFonts w:hint="eastAsia" w:ascii="仿宋" w:hAnsi="仿宋" w:eastAsia="仿宋" w:cs="仿宋"/>
                <w:kern w:val="0"/>
                <w:sz w:val="24"/>
                <w:szCs w:val="24"/>
              </w:rPr>
              <w:t>服务管理体系证书，有一项得</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分，该项最多得</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xml:space="preserve">分； </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3、投标人</w:t>
            </w:r>
            <w:r>
              <w:rPr>
                <w:rFonts w:hint="eastAsia" w:ascii="仿宋" w:hAnsi="仿宋" w:eastAsia="仿宋" w:cs="仿宋"/>
                <w:kern w:val="0"/>
                <w:sz w:val="24"/>
                <w:szCs w:val="24"/>
                <w:lang w:eastAsia="zh-CN"/>
              </w:rPr>
              <w:t>具有中国信息安全认证中心颁发的信息安全服务资质认证证书三级及以上资质</w:t>
            </w:r>
            <w:r>
              <w:rPr>
                <w:rFonts w:hint="eastAsia" w:ascii="仿宋" w:hAnsi="仿宋" w:eastAsia="仿宋" w:cs="仿宋"/>
                <w:kern w:val="0"/>
                <w:sz w:val="24"/>
                <w:szCs w:val="24"/>
              </w:rPr>
              <w:t>的得2分</w:t>
            </w:r>
            <w:r>
              <w:rPr>
                <w:rFonts w:hint="eastAsia" w:ascii="仿宋" w:hAnsi="仿宋" w:eastAsia="仿宋" w:cs="仿宋"/>
                <w:kern w:val="0"/>
                <w:sz w:val="24"/>
                <w:szCs w:val="24"/>
                <w:lang w:eastAsia="zh-CN"/>
              </w:rPr>
              <w:t>；</w:t>
            </w:r>
          </w:p>
          <w:p>
            <w:pPr>
              <w:spacing w:line="360" w:lineRule="auto"/>
              <w:ind w:firstLine="72" w:firstLineChars="3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4、</w:t>
            </w:r>
            <w:r>
              <w:rPr>
                <w:rFonts w:hint="eastAsia" w:ascii="仿宋" w:hAnsi="仿宋" w:eastAsia="仿宋" w:cs="仿宋"/>
                <w:color w:val="000000"/>
                <w:kern w:val="0"/>
                <w:sz w:val="24"/>
                <w:szCs w:val="24"/>
              </w:rPr>
              <w:t>投标人</w:t>
            </w:r>
            <w:r>
              <w:rPr>
                <w:rFonts w:hint="eastAsia" w:ascii="仿宋" w:hAnsi="仿宋" w:eastAsia="仿宋" w:cs="仿宋"/>
                <w:color w:val="000000"/>
                <w:kern w:val="0"/>
                <w:sz w:val="24"/>
                <w:szCs w:val="24"/>
                <w:lang w:eastAsia="zh-CN"/>
              </w:rPr>
              <w:t>具有国家保密部门颁发的涉密信息系统集成乙级及以上资质得</w:t>
            </w:r>
            <w:r>
              <w:rPr>
                <w:rFonts w:hint="eastAsia" w:ascii="仿宋" w:hAnsi="仿宋" w:eastAsia="仿宋" w:cs="仿宋"/>
                <w:color w:val="000000"/>
                <w:kern w:val="0"/>
                <w:sz w:val="24"/>
                <w:szCs w:val="24"/>
                <w:lang w:val="en-US" w:eastAsia="zh-CN"/>
              </w:rPr>
              <w:t>2分</w:t>
            </w:r>
            <w:r>
              <w:rPr>
                <w:rFonts w:hint="eastAsia" w:ascii="仿宋" w:hAnsi="仿宋" w:eastAsia="仿宋" w:cs="仿宋"/>
                <w:kern w:val="0"/>
                <w:sz w:val="24"/>
                <w:szCs w:val="24"/>
                <w:lang w:val="en-US" w:eastAsia="zh-CN"/>
              </w:rPr>
              <w:t>（得分以原件为准，投标文件中附复印件，否则不得分）；</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5、投标人具备高新技术企业认证证书及软件企业认定证书的一项得1分，该项最多得</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322"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主要设备、材料的质量和性能</w:t>
            </w:r>
            <w:r>
              <w:rPr>
                <w:rFonts w:hint="eastAsia" w:ascii="仿宋" w:hAnsi="仿宋" w:eastAsia="仿宋" w:cs="仿宋"/>
                <w:sz w:val="24"/>
                <w:szCs w:val="24"/>
              </w:rPr>
              <w:t>（</w:t>
            </w:r>
            <w:r>
              <w:rPr>
                <w:rFonts w:hint="eastAsia" w:ascii="仿宋" w:hAnsi="仿宋" w:eastAsia="仿宋" w:cs="仿宋"/>
                <w:sz w:val="24"/>
                <w:szCs w:val="24"/>
                <w:lang w:val="en-US" w:eastAsia="zh-CN"/>
              </w:rPr>
              <w:t>19</w:t>
            </w:r>
            <w:r>
              <w:rPr>
                <w:rFonts w:hint="eastAsia" w:ascii="仿宋" w:hAnsi="仿宋" w:eastAsia="仿宋" w:cs="仿宋"/>
                <w:sz w:val="24"/>
                <w:szCs w:val="24"/>
              </w:rPr>
              <w:t>分）</w:t>
            </w:r>
          </w:p>
        </w:tc>
        <w:tc>
          <w:tcPr>
            <w:tcW w:w="6095" w:type="dxa"/>
            <w:tcBorders>
              <w:left w:val="single" w:color="auto" w:sz="4" w:space="0"/>
            </w:tcBorders>
            <w:vAlign w:val="center"/>
          </w:tcPr>
          <w:p>
            <w:p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1、主要设备同一品牌</w:t>
            </w:r>
            <w:r>
              <w:rPr>
                <w:rFonts w:hint="eastAsia" w:ascii="仿宋" w:hAnsi="仿宋" w:eastAsia="仿宋" w:cs="仿宋"/>
                <w:color w:val="auto"/>
                <w:sz w:val="24"/>
                <w:szCs w:val="24"/>
                <w:shd w:val="clear" w:color="auto" w:fill="auto"/>
                <w:lang w:eastAsia="zh-CN"/>
              </w:rPr>
              <w:t>，</w:t>
            </w:r>
            <w:r>
              <w:rPr>
                <w:rFonts w:hint="eastAsia" w:ascii="仿宋" w:hAnsi="仿宋" w:eastAsia="仿宋" w:cs="仿宋"/>
                <w:color w:val="auto"/>
                <w:sz w:val="24"/>
                <w:szCs w:val="24"/>
                <w:shd w:val="clear" w:color="auto" w:fill="auto"/>
              </w:rPr>
              <w:t>含摄像机、</w:t>
            </w:r>
            <w:r>
              <w:rPr>
                <w:rFonts w:hint="eastAsia" w:ascii="仿宋" w:hAnsi="仿宋" w:eastAsia="仿宋" w:cs="仿宋"/>
                <w:color w:val="auto"/>
                <w:sz w:val="24"/>
                <w:szCs w:val="24"/>
                <w:shd w:val="clear" w:color="auto" w:fill="auto"/>
                <w:lang w:eastAsia="zh-CN"/>
              </w:rPr>
              <w:t>编</w:t>
            </w:r>
            <w:r>
              <w:rPr>
                <w:rFonts w:hint="eastAsia" w:ascii="仿宋" w:hAnsi="仿宋" w:eastAsia="仿宋" w:cs="仿宋"/>
                <w:color w:val="auto"/>
                <w:sz w:val="24"/>
                <w:szCs w:val="24"/>
                <w:shd w:val="clear" w:color="auto" w:fill="auto"/>
              </w:rPr>
              <w:t>解码设备、服务器、监控平台</w:t>
            </w:r>
            <w:r>
              <w:rPr>
                <w:rFonts w:hint="eastAsia" w:ascii="仿宋" w:hAnsi="仿宋" w:eastAsia="仿宋" w:cs="仿宋"/>
                <w:color w:val="auto"/>
                <w:sz w:val="24"/>
                <w:szCs w:val="24"/>
                <w:shd w:val="clear" w:color="auto" w:fill="auto"/>
                <w:lang w:eastAsia="zh-CN"/>
              </w:rPr>
              <w:t>、</w:t>
            </w:r>
            <w:r>
              <w:rPr>
                <w:rFonts w:hint="eastAsia" w:ascii="仿宋" w:hAnsi="仿宋" w:eastAsia="仿宋" w:cs="仿宋"/>
                <w:color w:val="auto"/>
                <w:sz w:val="24"/>
                <w:szCs w:val="24"/>
                <w:shd w:val="clear" w:color="auto" w:fill="auto"/>
              </w:rPr>
              <w:t>存储设备为同一品牌，得2分，否则不得分。</w:t>
            </w:r>
          </w:p>
          <w:p>
            <w:pPr>
              <w:numPr>
                <w:ilvl w:val="0"/>
                <w:numId w:val="7"/>
              </w:num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rPr>
              <w:t>主要产品设备制造商应通过ISO9001质量管理体系认证、ISO14001环境管理体系认证、ISO27001信息安全管理体系认证，提供有效的证书复印件并加盖产品制造商公章，全部提供得3分，</w:t>
            </w:r>
            <w:r>
              <w:rPr>
                <w:rFonts w:hint="eastAsia" w:ascii="仿宋" w:hAnsi="仿宋" w:eastAsia="仿宋" w:cs="仿宋"/>
                <w:color w:val="auto"/>
                <w:sz w:val="24"/>
                <w:szCs w:val="24"/>
                <w:shd w:val="clear" w:color="auto" w:fill="auto"/>
                <w:lang w:eastAsia="zh-CN"/>
              </w:rPr>
              <w:t>否则</w:t>
            </w:r>
            <w:r>
              <w:rPr>
                <w:rFonts w:hint="eastAsia" w:ascii="仿宋" w:hAnsi="仿宋" w:eastAsia="仿宋" w:cs="仿宋"/>
                <w:color w:val="auto"/>
                <w:sz w:val="24"/>
                <w:szCs w:val="24"/>
                <w:shd w:val="clear" w:color="auto" w:fill="auto"/>
              </w:rPr>
              <w:t>不得分；</w:t>
            </w:r>
          </w:p>
          <w:p>
            <w:p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lang w:val="en-US" w:eastAsia="zh-CN"/>
              </w:rPr>
              <w:t>3、</w:t>
            </w:r>
            <w:r>
              <w:rPr>
                <w:rFonts w:hint="eastAsia" w:ascii="仿宋" w:hAnsi="仿宋" w:eastAsia="仿宋" w:cs="仿宋"/>
                <w:color w:val="auto"/>
                <w:sz w:val="24"/>
                <w:szCs w:val="24"/>
                <w:shd w:val="clear" w:color="auto" w:fill="auto"/>
              </w:rPr>
              <w:t>所投主要产品设备制造商应具备产品及平台开发体系CMMI五级或以上认证证书，提供有效的证书复印件加盖产品制造商公章，提供5级得</w:t>
            </w:r>
            <w:r>
              <w:rPr>
                <w:rFonts w:hint="eastAsia" w:ascii="仿宋" w:hAnsi="仿宋" w:eastAsia="仿宋" w:cs="仿宋"/>
                <w:color w:val="auto"/>
                <w:sz w:val="24"/>
                <w:szCs w:val="24"/>
                <w:shd w:val="clear" w:color="auto" w:fill="auto"/>
                <w:lang w:val="en-US" w:eastAsia="zh-CN"/>
              </w:rPr>
              <w:t>4</w:t>
            </w:r>
            <w:r>
              <w:rPr>
                <w:rFonts w:hint="eastAsia" w:ascii="仿宋" w:hAnsi="仿宋" w:eastAsia="仿宋" w:cs="仿宋"/>
                <w:color w:val="auto"/>
                <w:sz w:val="24"/>
                <w:szCs w:val="24"/>
                <w:shd w:val="clear" w:color="auto" w:fill="auto"/>
              </w:rPr>
              <w:t>分，4级得</w:t>
            </w:r>
            <w:r>
              <w:rPr>
                <w:rFonts w:hint="eastAsia" w:ascii="仿宋" w:hAnsi="仿宋" w:eastAsia="仿宋" w:cs="仿宋"/>
                <w:color w:val="auto"/>
                <w:sz w:val="24"/>
                <w:szCs w:val="24"/>
                <w:shd w:val="clear" w:color="auto" w:fill="auto"/>
                <w:lang w:val="en-US" w:eastAsia="zh-CN"/>
              </w:rPr>
              <w:t>2</w:t>
            </w:r>
            <w:r>
              <w:rPr>
                <w:rFonts w:hint="eastAsia" w:ascii="仿宋" w:hAnsi="仿宋" w:eastAsia="仿宋" w:cs="仿宋"/>
                <w:color w:val="auto"/>
                <w:sz w:val="24"/>
                <w:szCs w:val="24"/>
                <w:shd w:val="clear" w:color="auto" w:fill="auto"/>
              </w:rPr>
              <w:t>分，低于4级不得分；</w:t>
            </w:r>
          </w:p>
          <w:p>
            <w:p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lang w:val="en-US" w:eastAsia="zh-CN"/>
              </w:rPr>
              <w:t>4、</w:t>
            </w:r>
            <w:r>
              <w:rPr>
                <w:rFonts w:hint="eastAsia" w:ascii="仿宋" w:hAnsi="仿宋" w:eastAsia="仿宋" w:cs="仿宋"/>
                <w:color w:val="auto"/>
                <w:sz w:val="24"/>
                <w:szCs w:val="24"/>
                <w:shd w:val="clear" w:color="auto" w:fill="auto"/>
              </w:rPr>
              <w:t>所投主要产品设备制造商应获得由工商行政管理局颁发的工商企业信用AAA级“守合同重信用”单位证书复印件加盖产品制造商公章，得</w:t>
            </w:r>
            <w:r>
              <w:rPr>
                <w:rFonts w:hint="eastAsia" w:ascii="仿宋" w:hAnsi="仿宋" w:eastAsia="仿宋" w:cs="仿宋"/>
                <w:color w:val="auto"/>
                <w:sz w:val="24"/>
                <w:szCs w:val="24"/>
                <w:shd w:val="clear" w:color="auto" w:fill="auto"/>
                <w:lang w:val="en-US" w:eastAsia="zh-CN"/>
              </w:rPr>
              <w:t>2</w:t>
            </w:r>
            <w:r>
              <w:rPr>
                <w:rFonts w:hint="eastAsia" w:ascii="仿宋" w:hAnsi="仿宋" w:eastAsia="仿宋" w:cs="仿宋"/>
                <w:color w:val="auto"/>
                <w:sz w:val="24"/>
                <w:szCs w:val="24"/>
                <w:shd w:val="clear" w:color="auto" w:fill="auto"/>
              </w:rPr>
              <w:t>分；</w:t>
            </w:r>
          </w:p>
          <w:p>
            <w:p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lang w:val="en-US" w:eastAsia="zh-CN"/>
              </w:rPr>
              <w:t>5、</w:t>
            </w:r>
            <w:r>
              <w:rPr>
                <w:rFonts w:hint="eastAsia" w:ascii="仿宋" w:hAnsi="仿宋" w:eastAsia="仿宋" w:cs="仿宋"/>
                <w:color w:val="auto"/>
                <w:sz w:val="24"/>
                <w:szCs w:val="24"/>
                <w:shd w:val="clear" w:color="auto" w:fill="auto"/>
              </w:rPr>
              <w:t>所投主要产品设备制造商获得国家知识产权局颁发的国家知识产权优势企业和中国专利优秀奖</w:t>
            </w:r>
            <w:r>
              <w:rPr>
                <w:rFonts w:hint="eastAsia" w:ascii="仿宋" w:hAnsi="仿宋" w:eastAsia="仿宋" w:cs="仿宋"/>
                <w:color w:val="auto"/>
                <w:sz w:val="24"/>
                <w:szCs w:val="24"/>
                <w:shd w:val="clear" w:color="auto" w:fill="auto"/>
                <w:lang w:eastAsia="zh-CN"/>
              </w:rPr>
              <w:t>，提供</w:t>
            </w:r>
            <w:r>
              <w:rPr>
                <w:rFonts w:hint="eastAsia" w:ascii="仿宋" w:hAnsi="仿宋" w:eastAsia="仿宋" w:cs="仿宋"/>
                <w:color w:val="auto"/>
                <w:sz w:val="24"/>
                <w:szCs w:val="24"/>
                <w:shd w:val="clear" w:color="auto" w:fill="auto"/>
              </w:rPr>
              <w:t>证书复印件加盖产品制造商公章，</w:t>
            </w:r>
            <w:r>
              <w:rPr>
                <w:rFonts w:hint="eastAsia" w:ascii="仿宋" w:hAnsi="仿宋" w:eastAsia="仿宋" w:cs="仿宋"/>
                <w:color w:val="auto"/>
                <w:sz w:val="24"/>
                <w:szCs w:val="24"/>
                <w:shd w:val="clear" w:color="auto" w:fill="auto"/>
                <w:lang w:eastAsia="zh-CN"/>
              </w:rPr>
              <w:t>每项</w:t>
            </w:r>
            <w:r>
              <w:rPr>
                <w:rFonts w:hint="eastAsia" w:ascii="仿宋" w:hAnsi="仿宋" w:eastAsia="仿宋" w:cs="仿宋"/>
                <w:color w:val="auto"/>
                <w:sz w:val="24"/>
                <w:szCs w:val="24"/>
                <w:shd w:val="clear" w:color="auto" w:fill="auto"/>
                <w:lang w:val="en-US" w:eastAsia="zh-CN"/>
              </w:rPr>
              <w:t>1</w:t>
            </w:r>
            <w:r>
              <w:rPr>
                <w:rFonts w:hint="eastAsia" w:ascii="仿宋" w:hAnsi="仿宋" w:eastAsia="仿宋" w:cs="仿宋"/>
                <w:color w:val="auto"/>
                <w:sz w:val="24"/>
                <w:szCs w:val="24"/>
                <w:shd w:val="clear" w:color="auto" w:fill="auto"/>
              </w:rPr>
              <w:t>分</w:t>
            </w:r>
            <w:r>
              <w:rPr>
                <w:rFonts w:hint="eastAsia" w:ascii="仿宋" w:hAnsi="仿宋" w:eastAsia="仿宋" w:cs="仿宋"/>
                <w:color w:val="auto"/>
                <w:sz w:val="24"/>
                <w:szCs w:val="24"/>
                <w:shd w:val="clear" w:color="auto" w:fill="auto"/>
                <w:lang w:eastAsia="zh-CN"/>
              </w:rPr>
              <w:t>最多得</w:t>
            </w:r>
            <w:r>
              <w:rPr>
                <w:rFonts w:hint="eastAsia" w:ascii="仿宋" w:hAnsi="仿宋" w:eastAsia="仿宋" w:cs="仿宋"/>
                <w:color w:val="auto"/>
                <w:sz w:val="24"/>
                <w:szCs w:val="24"/>
                <w:shd w:val="clear" w:color="auto" w:fill="auto"/>
                <w:lang w:val="en-US" w:eastAsia="zh-CN"/>
              </w:rPr>
              <w:t>2分</w:t>
            </w:r>
            <w:r>
              <w:rPr>
                <w:rFonts w:hint="eastAsia" w:ascii="仿宋" w:hAnsi="仿宋" w:eastAsia="仿宋" w:cs="仿宋"/>
                <w:color w:val="auto"/>
                <w:sz w:val="24"/>
                <w:szCs w:val="24"/>
                <w:shd w:val="clear" w:color="auto" w:fill="auto"/>
              </w:rPr>
              <w:t xml:space="preserve">； </w:t>
            </w:r>
          </w:p>
          <w:p>
            <w:pPr>
              <w:spacing w:line="360" w:lineRule="auto"/>
              <w:rPr>
                <w:rFonts w:hint="eastAsia" w:ascii="仿宋" w:hAnsi="仿宋" w:eastAsia="仿宋" w:cs="仿宋"/>
                <w:color w:val="auto"/>
                <w:sz w:val="24"/>
                <w:szCs w:val="24"/>
                <w:shd w:val="clear" w:color="auto" w:fill="auto"/>
              </w:rPr>
            </w:pPr>
            <w:r>
              <w:rPr>
                <w:rFonts w:hint="eastAsia" w:ascii="仿宋" w:hAnsi="仿宋" w:eastAsia="仿宋" w:cs="仿宋"/>
                <w:color w:val="auto"/>
                <w:sz w:val="24"/>
                <w:szCs w:val="24"/>
                <w:shd w:val="clear" w:color="auto" w:fill="auto"/>
                <w:lang w:val="en-US" w:eastAsia="zh-CN"/>
              </w:rPr>
              <w:t>6、</w:t>
            </w:r>
            <w:r>
              <w:rPr>
                <w:rFonts w:hint="eastAsia" w:ascii="仿宋" w:hAnsi="仿宋" w:eastAsia="仿宋" w:cs="仿宋"/>
                <w:color w:val="auto"/>
                <w:sz w:val="24"/>
                <w:szCs w:val="24"/>
                <w:shd w:val="clear" w:color="auto" w:fill="auto"/>
              </w:rPr>
              <w:t>、设备技术参数（</w:t>
            </w:r>
            <w:r>
              <w:rPr>
                <w:rFonts w:hint="eastAsia" w:ascii="仿宋" w:hAnsi="仿宋" w:eastAsia="仿宋" w:cs="仿宋"/>
                <w:color w:val="auto"/>
                <w:sz w:val="24"/>
                <w:szCs w:val="24"/>
                <w:shd w:val="clear" w:color="auto" w:fill="auto"/>
                <w:lang w:val="en-US" w:eastAsia="zh-CN"/>
              </w:rPr>
              <w:t>6</w:t>
            </w:r>
            <w:r>
              <w:rPr>
                <w:rFonts w:hint="eastAsia" w:ascii="仿宋" w:hAnsi="仿宋" w:eastAsia="仿宋" w:cs="仿宋"/>
                <w:color w:val="auto"/>
                <w:sz w:val="24"/>
                <w:szCs w:val="24"/>
                <w:shd w:val="clear" w:color="auto" w:fill="auto"/>
              </w:rPr>
              <w:t>分）</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color w:val="auto"/>
                <w:sz w:val="24"/>
                <w:szCs w:val="24"/>
                <w:shd w:val="clear" w:color="auto" w:fill="auto"/>
              </w:rPr>
              <w:t>投标人所提供货物必须为“无偏离或正偏离”，评委根据正楄离情况在</w:t>
            </w:r>
            <w:r>
              <w:rPr>
                <w:rFonts w:hint="eastAsia" w:ascii="仿宋" w:hAnsi="仿宋" w:eastAsia="仿宋" w:cs="仿宋"/>
                <w:color w:val="auto"/>
                <w:sz w:val="24"/>
                <w:szCs w:val="24"/>
                <w:shd w:val="clear" w:color="auto" w:fill="auto"/>
                <w:lang w:val="en-US" w:eastAsia="zh-CN"/>
              </w:rPr>
              <w:t>0-6</w:t>
            </w:r>
            <w:r>
              <w:rPr>
                <w:rFonts w:hint="eastAsia" w:ascii="仿宋" w:hAnsi="仿宋" w:eastAsia="仿宋" w:cs="仿宋"/>
                <w:color w:val="auto"/>
                <w:sz w:val="24"/>
                <w:szCs w:val="24"/>
                <w:shd w:val="clear" w:color="auto" w:fill="auto"/>
              </w:rPr>
              <w:t>内加分（最多加</w:t>
            </w:r>
            <w:r>
              <w:rPr>
                <w:rFonts w:hint="eastAsia" w:ascii="仿宋" w:hAnsi="仿宋" w:eastAsia="仿宋" w:cs="仿宋"/>
                <w:color w:val="auto"/>
                <w:sz w:val="24"/>
                <w:szCs w:val="24"/>
                <w:shd w:val="clear" w:color="auto" w:fill="auto"/>
                <w:lang w:val="en-US" w:eastAsia="zh-CN"/>
              </w:rPr>
              <w:t>6</w:t>
            </w:r>
            <w:r>
              <w:rPr>
                <w:rFonts w:hint="eastAsia" w:ascii="仿宋" w:hAnsi="仿宋" w:eastAsia="仿宋" w:cs="仿宋"/>
                <w:color w:val="auto"/>
                <w:sz w:val="24"/>
                <w:szCs w:val="24"/>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54"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360" w:lineRule="exact"/>
              <w:jc w:val="center"/>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6095" w:type="dxa"/>
            <w:tcBorders>
              <w:left w:val="single" w:color="auto" w:sz="4" w:space="0"/>
            </w:tcBorders>
            <w:vAlign w:val="center"/>
          </w:tcPr>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1、售后服务（</w:t>
            </w:r>
            <w:r>
              <w:rPr>
                <w:rFonts w:hint="eastAsia" w:ascii="仿宋" w:hAnsi="仿宋" w:eastAsia="仿宋" w:cs="仿宋"/>
                <w:sz w:val="24"/>
                <w:szCs w:val="24"/>
                <w:lang w:val="en-US" w:eastAsia="zh-CN"/>
              </w:rPr>
              <w:t>0</w:t>
            </w:r>
            <w:r>
              <w:rPr>
                <w:rFonts w:hint="eastAsia" w:ascii="仿宋" w:hAnsi="仿宋" w:eastAsia="仿宋" w:cs="仿宋"/>
                <w:sz w:val="24"/>
                <w:szCs w:val="24"/>
              </w:rPr>
              <w:t xml:space="preserve">-2分） </w:t>
            </w:r>
          </w:p>
          <w:p>
            <w:pPr>
              <w:autoSpaceDE w:val="0"/>
              <w:autoSpaceDN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根据技术培训内容、形式、时间安排的合理性以及投标人在方案中阐述的售后服务情况，在1-2分范围内酌情打分。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2、售后响应时间（</w:t>
            </w:r>
            <w:r>
              <w:rPr>
                <w:rFonts w:hint="eastAsia" w:ascii="仿宋" w:hAnsi="仿宋" w:eastAsia="仿宋" w:cs="仿宋"/>
                <w:sz w:val="24"/>
                <w:szCs w:val="24"/>
                <w:lang w:val="en-US" w:eastAsia="zh-CN"/>
              </w:rPr>
              <w:t>0-2</w:t>
            </w:r>
            <w:r>
              <w:rPr>
                <w:rFonts w:hint="eastAsia" w:ascii="仿宋" w:hAnsi="仿宋" w:eastAsia="仿宋" w:cs="仿宋"/>
                <w:sz w:val="24"/>
                <w:szCs w:val="24"/>
              </w:rPr>
              <w:t>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售后服务上门响应时间以小时为单位，以6小时为起点，基本分0.5分，每减少1小时，加0.5分，</w:t>
            </w:r>
            <w:r>
              <w:rPr>
                <w:rFonts w:hint="eastAsia" w:ascii="仿宋" w:hAnsi="仿宋" w:eastAsia="仿宋" w:cs="仿宋"/>
                <w:sz w:val="24"/>
                <w:szCs w:val="24"/>
                <w:lang w:eastAsia="zh-CN"/>
              </w:rPr>
              <w:t>最多加</w:t>
            </w:r>
            <w:r>
              <w:rPr>
                <w:rFonts w:hint="eastAsia" w:ascii="仿宋" w:hAnsi="仿宋" w:eastAsia="仿宋" w:cs="仿宋"/>
                <w:sz w:val="24"/>
                <w:szCs w:val="24"/>
                <w:lang w:val="en-US" w:eastAsia="zh-CN"/>
              </w:rPr>
              <w:t>2</w:t>
            </w:r>
            <w:r>
              <w:rPr>
                <w:rFonts w:hint="eastAsia" w:ascii="仿宋" w:hAnsi="仿宋" w:eastAsia="仿宋" w:cs="仿宋"/>
                <w:sz w:val="24"/>
                <w:szCs w:val="24"/>
              </w:rPr>
              <w:t>分，6小时以上的不得分。</w:t>
            </w:r>
          </w:p>
          <w:p>
            <w:pPr>
              <w:autoSpaceDE w:val="0"/>
              <w:autoSpaceDN w:val="0"/>
              <w:spacing w:line="360" w:lineRule="auto"/>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sz w:val="24"/>
                <w:szCs w:val="24"/>
              </w:rPr>
              <w:t>服务承诺（</w:t>
            </w:r>
            <w:r>
              <w:rPr>
                <w:rFonts w:hint="eastAsia" w:ascii="仿宋" w:hAnsi="仿宋" w:eastAsia="仿宋" w:cs="仿宋"/>
                <w:color w:val="000000"/>
                <w:sz w:val="24"/>
                <w:szCs w:val="24"/>
                <w:lang w:val="en-US" w:eastAsia="zh-CN"/>
              </w:rPr>
              <w:t>0-1</w:t>
            </w:r>
            <w:r>
              <w:rPr>
                <w:rFonts w:hint="eastAsia" w:ascii="仿宋" w:hAnsi="仿宋" w:eastAsia="仿宋" w:cs="仿宋"/>
                <w:color w:val="000000"/>
                <w:sz w:val="24"/>
                <w:szCs w:val="24"/>
              </w:rPr>
              <w:t>分）</w:t>
            </w:r>
          </w:p>
          <w:p>
            <w:pPr>
              <w:spacing w:line="360" w:lineRule="auto"/>
              <w:rPr>
                <w:rFonts w:hint="eastAsia" w:ascii="仿宋" w:hAnsi="仿宋" w:eastAsia="仿宋" w:cs="仿宋"/>
                <w:sz w:val="24"/>
                <w:szCs w:val="24"/>
              </w:rPr>
            </w:pPr>
            <w:r>
              <w:rPr>
                <w:rFonts w:hint="eastAsia" w:ascii="仿宋" w:hAnsi="仿宋" w:eastAsia="仿宋" w:cs="仿宋"/>
                <w:sz w:val="24"/>
                <w:szCs w:val="24"/>
              </w:rPr>
              <w:t>评标委员会根据响应情况进行横向比较得分。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restart"/>
            <w:vAlign w:val="center"/>
          </w:tcPr>
          <w:p>
            <w:pPr>
              <w:pStyle w:val="19"/>
              <w:spacing w:line="360" w:lineRule="auto"/>
              <w:ind w:firstLine="45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5</w:t>
            </w:r>
          </w:p>
          <w:p>
            <w:pPr>
              <w:pStyle w:val="19"/>
              <w:spacing w:line="360" w:lineRule="auto"/>
              <w:rPr>
                <w:rFonts w:hint="eastAsia" w:ascii="仿宋" w:hAnsi="仿宋" w:eastAsia="仿宋" w:cs="仿宋"/>
                <w:sz w:val="24"/>
                <w:szCs w:val="24"/>
              </w:rPr>
            </w:pPr>
          </w:p>
        </w:tc>
        <w:tc>
          <w:tcPr>
            <w:tcW w:w="1019" w:type="dxa"/>
            <w:vMerge w:val="restart"/>
            <w:vAlign w:val="center"/>
          </w:tcPr>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技</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术</w:t>
            </w:r>
          </w:p>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lang w:eastAsia="zh-CN"/>
              </w:rPr>
              <w:t>分</w:t>
            </w:r>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rPr>
              <w:t>（20分）</w:t>
            </w:r>
          </w:p>
        </w:tc>
        <w:tc>
          <w:tcPr>
            <w:tcW w:w="1559" w:type="dxa"/>
            <w:vAlign w:val="center"/>
          </w:tcPr>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项目实施方案</w:t>
            </w:r>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tc>
        <w:tc>
          <w:tcPr>
            <w:tcW w:w="6095" w:type="dxa"/>
            <w:vAlign w:val="center"/>
          </w:tcPr>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（1）设备供货、安装、调试方案（</w:t>
            </w:r>
            <w:r>
              <w:rPr>
                <w:rFonts w:hint="eastAsia" w:ascii="仿宋" w:hAnsi="仿宋" w:eastAsia="仿宋" w:cs="仿宋"/>
                <w:sz w:val="24"/>
                <w:szCs w:val="24"/>
                <w:lang w:val="en-US" w:eastAsia="zh-CN"/>
              </w:rPr>
              <w:t>0-2</w:t>
            </w:r>
            <w:r>
              <w:rPr>
                <w:rFonts w:hint="eastAsia" w:ascii="仿宋" w:hAnsi="仿宋" w:eastAsia="仿宋" w:cs="仿宋"/>
                <w:sz w:val="24"/>
                <w:szCs w:val="24"/>
              </w:rPr>
              <w:t>分）</w:t>
            </w:r>
          </w:p>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（2）伴随服务（</w:t>
            </w:r>
            <w:r>
              <w:rPr>
                <w:rFonts w:hint="eastAsia" w:ascii="仿宋" w:hAnsi="仿宋" w:eastAsia="仿宋" w:cs="仿宋"/>
                <w:sz w:val="24"/>
                <w:szCs w:val="24"/>
                <w:lang w:val="en-US" w:eastAsia="zh-CN"/>
              </w:rPr>
              <w:t>0-1</w:t>
            </w:r>
            <w:r>
              <w:rPr>
                <w:rFonts w:hint="eastAsia" w:ascii="仿宋" w:hAnsi="仿宋" w:eastAsia="仿宋" w:cs="仿宋"/>
                <w:sz w:val="24"/>
                <w:szCs w:val="24"/>
              </w:rPr>
              <w:t>分）</w:t>
            </w:r>
          </w:p>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（3）成品保护措施（</w:t>
            </w:r>
            <w:r>
              <w:rPr>
                <w:rFonts w:hint="eastAsia" w:ascii="仿宋" w:hAnsi="仿宋" w:eastAsia="仿宋" w:cs="仿宋"/>
                <w:sz w:val="24"/>
                <w:szCs w:val="24"/>
                <w:lang w:val="en-US" w:eastAsia="zh-CN"/>
              </w:rPr>
              <w:t>0-1</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1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供货安装质量保证措施</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供货及安装质量保证措施可行的得</w:t>
            </w:r>
            <w:r>
              <w:rPr>
                <w:rFonts w:hint="eastAsia" w:ascii="仿宋" w:hAnsi="仿宋" w:eastAsia="仿宋" w:cs="仿宋"/>
                <w:sz w:val="24"/>
                <w:szCs w:val="24"/>
                <w:lang w:val="en-US" w:eastAsia="zh-CN"/>
              </w:rPr>
              <w:t>0-2</w:t>
            </w:r>
            <w:r>
              <w:rPr>
                <w:rFonts w:hint="eastAsia" w:ascii="仿宋" w:hAnsi="仿宋" w:eastAsia="仿宋" w:cs="仿宋"/>
                <w:sz w:val="24"/>
                <w:szCs w:val="24"/>
              </w:rPr>
              <w:t>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供货及安装进度保证措施</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分）</w:t>
            </w:r>
          </w:p>
        </w:tc>
        <w:tc>
          <w:tcPr>
            <w:tcW w:w="6095"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主要设备15日内全部</w:t>
            </w:r>
            <w:r>
              <w:rPr>
                <w:rFonts w:hint="eastAsia" w:ascii="仿宋" w:hAnsi="仿宋" w:eastAsia="仿宋" w:cs="仿宋"/>
                <w:sz w:val="24"/>
                <w:szCs w:val="24"/>
                <w:lang w:eastAsia="zh-CN"/>
              </w:rPr>
              <w:t>到位</w:t>
            </w:r>
            <w:r>
              <w:rPr>
                <w:rFonts w:hint="eastAsia" w:ascii="仿宋" w:hAnsi="仿宋" w:eastAsia="仿宋" w:cs="仿宋"/>
                <w:sz w:val="24"/>
                <w:szCs w:val="24"/>
              </w:rPr>
              <w:t>得</w:t>
            </w:r>
            <w:r>
              <w:rPr>
                <w:rFonts w:hint="eastAsia" w:ascii="仿宋" w:hAnsi="仿宋" w:eastAsia="仿宋" w:cs="仿宋"/>
                <w:sz w:val="24"/>
                <w:szCs w:val="24"/>
                <w:lang w:val="en-US" w:eastAsia="zh-CN"/>
              </w:rPr>
              <w:t>4</w:t>
            </w:r>
            <w:r>
              <w:rPr>
                <w:rFonts w:hint="eastAsia" w:ascii="仿宋" w:hAnsi="仿宋" w:eastAsia="仿宋" w:cs="仿宋"/>
                <w:sz w:val="24"/>
                <w:szCs w:val="24"/>
              </w:rPr>
              <w:t>分，30日内</w:t>
            </w:r>
            <w:r>
              <w:rPr>
                <w:rFonts w:hint="eastAsia" w:ascii="仿宋" w:hAnsi="仿宋" w:eastAsia="仿宋" w:cs="仿宋"/>
                <w:sz w:val="24"/>
                <w:szCs w:val="24"/>
                <w:lang w:eastAsia="zh-CN"/>
              </w:rPr>
              <w:t>到位</w:t>
            </w:r>
            <w:r>
              <w:rPr>
                <w:rFonts w:hint="eastAsia" w:ascii="仿宋" w:hAnsi="仿宋" w:eastAsia="仿宋" w:cs="仿宋"/>
                <w:sz w:val="24"/>
                <w:szCs w:val="24"/>
              </w:rPr>
              <w:t>得</w:t>
            </w:r>
            <w:r>
              <w:rPr>
                <w:rFonts w:hint="eastAsia" w:ascii="仿宋" w:hAnsi="仿宋" w:eastAsia="仿宋" w:cs="仿宋"/>
                <w:sz w:val="24"/>
                <w:szCs w:val="24"/>
                <w:lang w:val="en-US" w:eastAsia="zh-CN"/>
              </w:rPr>
              <w:t>2</w:t>
            </w:r>
            <w:r>
              <w:rPr>
                <w:rFonts w:hint="eastAsia" w:ascii="仿宋" w:hAnsi="仿宋" w:eastAsia="仿宋" w:cs="仿宋"/>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后续服务的安排及保证措施（3分）</w:t>
            </w:r>
          </w:p>
        </w:tc>
        <w:tc>
          <w:tcPr>
            <w:tcW w:w="6095" w:type="dxa"/>
            <w:vAlign w:val="center"/>
          </w:tcPr>
          <w:p>
            <w:pPr>
              <w:pStyle w:val="19"/>
              <w:spacing w:line="360" w:lineRule="auto"/>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有后续服务的安排及保证措施得在0-3分范围内酌情打分，没有的不得分。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技术培训计划（2分）</w:t>
            </w:r>
          </w:p>
        </w:tc>
        <w:tc>
          <w:tcPr>
            <w:tcW w:w="6095" w:type="dxa"/>
            <w:vAlign w:val="center"/>
          </w:tcPr>
          <w:p>
            <w:pPr>
              <w:pStyle w:val="19"/>
              <w:spacing w:line="360" w:lineRule="auto"/>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根据技术培训内容、形式、时间安排的合理性在0-2分范围内酌情打分，没有的不得分。</w:t>
            </w:r>
          </w:p>
        </w:tc>
      </w:tr>
    </w:tbl>
    <w:p>
      <w:pPr>
        <w:pStyle w:val="125"/>
        <w:spacing w:before="120" w:after="120"/>
        <w:ind w:left="0" w:leftChars="0" w:firstLine="0" w:firstLineChars="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8"/>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9"/>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9"/>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10"/>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（1）2016年度经审计的财务报告，包括“三表一注”，即资产负债表、利润表、现金流量表及其附注，或基本开户银行出具的资信证明。（法人投标提供）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十、其他有关资料、证明文件原件或复印件（如果本招标文件要求的话）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hint="eastAsia"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62"/>
        <w:gridCol w:w="1348"/>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w:t>
            </w:r>
          </w:p>
        </w:tc>
        <w:tc>
          <w:tcPr>
            <w:tcW w:w="116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3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62"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p>
      <w:pPr>
        <w:autoSpaceDE w:val="0"/>
        <w:autoSpaceDN w:val="0"/>
        <w:adjustRightInd w:val="0"/>
        <w:spacing w:line="360" w:lineRule="auto"/>
        <w:rPr>
          <w:rFonts w:hint="eastAsia"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hint="eastAsia" w:ascii="仿宋" w:hAnsi="仿宋" w:eastAsia="仿宋" w:cs="宋体"/>
          <w:b/>
          <w:bCs/>
          <w:sz w:val="24"/>
          <w:szCs w:val="24"/>
          <w:lang w:val="en-US" w:eastAsia="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 xml:space="preserve">8                        </w:t>
      </w:r>
      <w:r>
        <w:rPr>
          <w:rFonts w:hint="eastAsia" w:ascii="仿宋" w:hAnsi="仿宋" w:eastAsia="仿宋" w:cs="宋体"/>
          <w:b/>
          <w:bCs/>
          <w:sz w:val="24"/>
          <w:szCs w:val="24"/>
          <w:lang w:val="en-US" w:eastAsia="zh-CN"/>
        </w:rPr>
        <w:t xml:space="preserve"> </w:t>
      </w:r>
    </w:p>
    <w:p>
      <w:pPr>
        <w:autoSpaceDE w:val="0"/>
        <w:autoSpaceDN w:val="0"/>
        <w:adjustRightInd w:val="0"/>
        <w:spacing w:line="360" w:lineRule="auto"/>
        <w:ind w:firstLine="4096" w:firstLineChars="1700"/>
        <w:rPr>
          <w:rFonts w:ascii="仿宋" w:hAnsi="仿宋" w:eastAsia="仿宋" w:cs="宋体"/>
          <w:b/>
          <w:bCs/>
          <w:sz w:val="24"/>
          <w:szCs w:val="24"/>
          <w:lang w:val="zh-CN"/>
        </w:rPr>
      </w:pPr>
      <w:r>
        <w:rPr>
          <w:rFonts w:hint="eastAsia" w:ascii="仿宋" w:hAnsi="仿宋" w:eastAsia="仿宋" w:cs="宋体"/>
          <w:b/>
          <w:bCs/>
          <w:sz w:val="24"/>
          <w:szCs w:val="24"/>
          <w:lang w:val="en-US" w:eastAsia="zh-CN"/>
        </w:rPr>
        <w:t>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9</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w:t>
      </w:r>
      <w:r>
        <w:rPr>
          <w:rFonts w:hint="eastAsia" w:ascii="仿宋" w:hAnsi="仿宋" w:eastAsia="仿宋" w:cs="仿宋_GB2312"/>
          <w:sz w:val="24"/>
          <w:szCs w:val="24"/>
          <w:lang w:val="en-US" w:eastAsia="zh-CN"/>
        </w:rPr>
        <w:t>10</w:t>
      </w:r>
      <w:r>
        <w:rPr>
          <w:rFonts w:hint="eastAsia" w:ascii="仿宋" w:hAnsi="仿宋" w:eastAsia="仿宋" w:cs="仿宋_GB2312"/>
          <w:sz w:val="24"/>
          <w:szCs w:val="24"/>
        </w:rPr>
        <w:t xml:space="preserve">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sz w:val="24"/>
          <w:szCs w:val="24"/>
        </w:rPr>
      </w:pPr>
      <w:r>
        <w:rPr>
          <w:rFonts w:hint="eastAsia" w:ascii="仿宋" w:hAnsi="仿宋" w:eastAsia="仿宋" w:cs="仿宋_GB2312"/>
          <w:b/>
          <w:bCs/>
          <w:sz w:val="24"/>
          <w:szCs w:val="24"/>
        </w:rPr>
        <w:t>（技术参数要求中相关证明材料）</w:t>
      </w: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2">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8A4CB1C"/>
    <w:multiLevelType w:val="singleLevel"/>
    <w:tmpl w:val="28A4CB1C"/>
    <w:lvl w:ilvl="0" w:tentative="0">
      <w:start w:val="19"/>
      <w:numFmt w:val="decimal"/>
      <w:suff w:val="nothing"/>
      <w:lvlText w:val="%1、"/>
      <w:lvlJc w:val="left"/>
    </w:lvl>
  </w:abstractNum>
  <w:abstractNum w:abstractNumId="4">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E374A4"/>
    <w:multiLevelType w:val="singleLevel"/>
    <w:tmpl w:val="56E374A4"/>
    <w:lvl w:ilvl="0" w:tentative="0">
      <w:start w:val="9"/>
      <w:numFmt w:val="decimal"/>
      <w:pStyle w:val="119"/>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27AEF7"/>
    <w:multiLevelType w:val="singleLevel"/>
    <w:tmpl w:val="5A27AEF7"/>
    <w:lvl w:ilvl="0" w:tentative="0">
      <w:start w:val="2"/>
      <w:numFmt w:val="chineseCounting"/>
      <w:suff w:val="nothing"/>
      <w:lvlText w:val="（%1）"/>
      <w:lvlJc w:val="left"/>
    </w:lvl>
  </w:abstractNum>
  <w:abstractNum w:abstractNumId="8">
    <w:nsid w:val="5A30CB82"/>
    <w:multiLevelType w:val="singleLevel"/>
    <w:tmpl w:val="5A30CB82"/>
    <w:lvl w:ilvl="0" w:tentative="0">
      <w:start w:val="1"/>
      <w:numFmt w:val="chineseCounting"/>
      <w:suff w:val="space"/>
      <w:lvlText w:val="第%1部分"/>
      <w:lvlJc w:val="left"/>
    </w:lvl>
  </w:abstractNum>
  <w:abstractNum w:abstractNumId="9">
    <w:nsid w:val="5A4D7AC3"/>
    <w:multiLevelType w:val="singleLevel"/>
    <w:tmpl w:val="5A4D7AC3"/>
    <w:lvl w:ilvl="0" w:tentative="0">
      <w:start w:val="2"/>
      <w:numFmt w:val="decimal"/>
      <w:suff w:val="nothing"/>
      <w:lvlText w:val="%1、"/>
      <w:lvlJc w:val="left"/>
    </w:lvl>
  </w:abstractNum>
  <w:num w:numId="1">
    <w:abstractNumId w:val="5"/>
  </w:num>
  <w:num w:numId="2">
    <w:abstractNumId w:val="8"/>
  </w:num>
  <w:num w:numId="3">
    <w:abstractNumId w:val="7"/>
  </w:num>
  <w:num w:numId="4">
    <w:abstractNumId w:val="4"/>
  </w:num>
  <w:num w:numId="5">
    <w:abstractNumId w:val="3"/>
  </w:num>
  <w:num w:numId="6">
    <w:abstractNumId w:val="6"/>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4F1400C"/>
    <w:rsid w:val="054A14EB"/>
    <w:rsid w:val="055236E0"/>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BC25BE0"/>
    <w:rsid w:val="0BE45DA3"/>
    <w:rsid w:val="0C00330B"/>
    <w:rsid w:val="0C053D42"/>
    <w:rsid w:val="0C232636"/>
    <w:rsid w:val="0C3957DB"/>
    <w:rsid w:val="0C3C6A01"/>
    <w:rsid w:val="0C662DD8"/>
    <w:rsid w:val="0CBA4EC9"/>
    <w:rsid w:val="0CBE01FC"/>
    <w:rsid w:val="0CE25187"/>
    <w:rsid w:val="0D2824A3"/>
    <w:rsid w:val="0D62434A"/>
    <w:rsid w:val="0D832C84"/>
    <w:rsid w:val="0DD45553"/>
    <w:rsid w:val="0DFD39BC"/>
    <w:rsid w:val="0E1F7A52"/>
    <w:rsid w:val="0F0D73B6"/>
    <w:rsid w:val="0F263449"/>
    <w:rsid w:val="0F2C7289"/>
    <w:rsid w:val="0FBA420F"/>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DD2E04"/>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4429A8"/>
    <w:rsid w:val="256C7451"/>
    <w:rsid w:val="25AD30A0"/>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2E6982"/>
    <w:rsid w:val="405158C9"/>
    <w:rsid w:val="409A7D1F"/>
    <w:rsid w:val="40DD14B7"/>
    <w:rsid w:val="41595C3E"/>
    <w:rsid w:val="42031639"/>
    <w:rsid w:val="420D6E21"/>
    <w:rsid w:val="42551AC7"/>
    <w:rsid w:val="426D69CE"/>
    <w:rsid w:val="43306F54"/>
    <w:rsid w:val="439D162E"/>
    <w:rsid w:val="43AF4EB6"/>
    <w:rsid w:val="43DA0DF8"/>
    <w:rsid w:val="43F21A5E"/>
    <w:rsid w:val="449D0BDB"/>
    <w:rsid w:val="44A75B9D"/>
    <w:rsid w:val="44CC251D"/>
    <w:rsid w:val="44ED61E4"/>
    <w:rsid w:val="44F765DB"/>
    <w:rsid w:val="452D2CD2"/>
    <w:rsid w:val="454E1873"/>
    <w:rsid w:val="45570A50"/>
    <w:rsid w:val="46FF7143"/>
    <w:rsid w:val="476E4F77"/>
    <w:rsid w:val="479A1D63"/>
    <w:rsid w:val="479E2BBB"/>
    <w:rsid w:val="47D76C48"/>
    <w:rsid w:val="48164989"/>
    <w:rsid w:val="485B029F"/>
    <w:rsid w:val="48AF4A09"/>
    <w:rsid w:val="48FD39E6"/>
    <w:rsid w:val="49B4550E"/>
    <w:rsid w:val="49F50EB5"/>
    <w:rsid w:val="4AB76254"/>
    <w:rsid w:val="4AF72F43"/>
    <w:rsid w:val="4AFC078A"/>
    <w:rsid w:val="4AFE130C"/>
    <w:rsid w:val="4B06415A"/>
    <w:rsid w:val="4B2C4572"/>
    <w:rsid w:val="4B307A80"/>
    <w:rsid w:val="4BBD5B2C"/>
    <w:rsid w:val="4BF36702"/>
    <w:rsid w:val="4C0E0B24"/>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AF228EA"/>
    <w:rsid w:val="5B176006"/>
    <w:rsid w:val="5B8B5722"/>
    <w:rsid w:val="5C1D3EC2"/>
    <w:rsid w:val="5C29274B"/>
    <w:rsid w:val="5C2A1394"/>
    <w:rsid w:val="5C6F34F3"/>
    <w:rsid w:val="5CDE1B94"/>
    <w:rsid w:val="5D2B1C2D"/>
    <w:rsid w:val="5DAD4A6A"/>
    <w:rsid w:val="5DD07849"/>
    <w:rsid w:val="5DF40C4F"/>
    <w:rsid w:val="5E6E4ACB"/>
    <w:rsid w:val="5EEA3B04"/>
    <w:rsid w:val="5F092277"/>
    <w:rsid w:val="5F4B6391"/>
    <w:rsid w:val="5F50568C"/>
    <w:rsid w:val="5F8471B4"/>
    <w:rsid w:val="5FB2630F"/>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51A4BCA"/>
    <w:rsid w:val="659F5C58"/>
    <w:rsid w:val="65D24C12"/>
    <w:rsid w:val="65F1505D"/>
    <w:rsid w:val="660A512C"/>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9D2695D"/>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2018-03-23T05:49:06Z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