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pStyle w:val="13"/>
        <w:jc w:val="center"/>
        <w:rPr>
          <w:rFonts w:asciiTheme="majorEastAsia" w:hAnsiTheme="majorEastAsia" w:eastAsiaTheme="majorEastAsia" w:cstheme="majorEastAsia"/>
          <w:b/>
          <w:bCs/>
          <w:color w:val="000000"/>
          <w:sz w:val="44"/>
          <w:szCs w:val="44"/>
          <w:highlight w:val="none"/>
        </w:rPr>
      </w:pPr>
      <w:r>
        <w:rPr>
          <w:rFonts w:hint="eastAsia" w:ascii="Times New Roman" w:hAnsi="Times New Roman" w:eastAsia="隶书"/>
          <w:b/>
          <w:bCs/>
          <w:sz w:val="52"/>
          <w:szCs w:val="52"/>
          <w:highlight w:val="none"/>
          <w:lang w:val="en-US" w:eastAsia="zh-CN"/>
        </w:rPr>
        <w:t>许昌市东城区市政管理中心“许昌市东城区鹿鸣湖景观灯采购项目</w:t>
      </w:r>
      <w:r>
        <w:rPr>
          <w:rFonts w:hint="eastAsia" w:asciiTheme="majorEastAsia" w:hAnsiTheme="majorEastAsia" w:eastAsiaTheme="majorEastAsia" w:cstheme="majorEastAsia"/>
          <w:b/>
          <w:bCs/>
          <w:color w:val="000000"/>
          <w:sz w:val="52"/>
          <w:szCs w:val="52"/>
          <w:highlight w:val="none"/>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highlight w:val="none"/>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highlight w:val="none"/>
        </w:rPr>
        <w:t>项目编号：JZFCG-G201</w:t>
      </w:r>
      <w:r>
        <w:rPr>
          <w:rFonts w:hint="eastAsia" w:asciiTheme="majorEastAsia" w:hAnsiTheme="majorEastAsia" w:eastAsiaTheme="majorEastAsia" w:cstheme="majorEastAsia"/>
          <w:b/>
          <w:bCs/>
          <w:color w:val="000000"/>
          <w:sz w:val="36"/>
          <w:szCs w:val="36"/>
          <w:highlight w:val="none"/>
          <w:lang w:val="en-US" w:eastAsia="zh-CN"/>
        </w:rPr>
        <w:t>8016</w:t>
      </w:r>
    </w:p>
    <w:p>
      <w:pPr>
        <w:ind w:firstLine="1084" w:firstLineChars="300"/>
        <w:rPr>
          <w:rFonts w:hint="eastAsia" w:asciiTheme="majorEastAsia" w:hAnsiTheme="majorEastAsia" w:eastAsiaTheme="majorEastAsia" w:cstheme="majorEastAsia"/>
          <w:b/>
          <w:bCs/>
          <w:color w:val="000000"/>
          <w:sz w:val="36"/>
          <w:szCs w:val="36"/>
          <w:highlight w:val="none"/>
        </w:rPr>
      </w:pPr>
      <w:r>
        <w:rPr>
          <w:rFonts w:hint="eastAsia" w:asciiTheme="majorEastAsia" w:hAnsiTheme="majorEastAsia" w:eastAsiaTheme="majorEastAsia" w:cstheme="majorEastAsia"/>
          <w:b/>
          <w:bCs/>
          <w:color w:val="000000"/>
          <w:sz w:val="36"/>
          <w:szCs w:val="36"/>
          <w:highlight w:val="none"/>
        </w:rPr>
        <w:t>采</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rPr>
        <w:t>购</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lang w:eastAsia="zh-CN"/>
        </w:rPr>
        <w:t>人</w:t>
      </w:r>
      <w:r>
        <w:rPr>
          <w:rFonts w:hint="eastAsia" w:asciiTheme="majorEastAsia" w:hAnsiTheme="majorEastAsia" w:eastAsiaTheme="majorEastAsia" w:cstheme="majorEastAsia"/>
          <w:b/>
          <w:bCs/>
          <w:color w:val="000000"/>
          <w:sz w:val="36"/>
          <w:szCs w:val="36"/>
          <w:highlight w:val="none"/>
        </w:rPr>
        <w:t>：</w:t>
      </w:r>
      <w:r>
        <w:rPr>
          <w:rFonts w:hint="eastAsia" w:asciiTheme="majorEastAsia" w:hAnsiTheme="majorEastAsia" w:eastAsiaTheme="majorEastAsia" w:cstheme="majorEastAsia"/>
          <w:b/>
          <w:bCs/>
          <w:color w:val="000000"/>
          <w:sz w:val="36"/>
          <w:szCs w:val="36"/>
          <w:highlight w:val="none"/>
          <w:lang w:val="en-US" w:eastAsia="zh-CN"/>
        </w:rPr>
        <w:t>许昌市东城区市政管理中心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highlight w:val="none"/>
        </w:rPr>
        <w:t>代理机构：</w:t>
      </w:r>
      <w:r>
        <w:rPr>
          <w:rFonts w:hint="eastAsia" w:asciiTheme="majorEastAsia" w:hAnsiTheme="majorEastAsia" w:eastAsiaTheme="majorEastAsia" w:cstheme="majorEastAsia"/>
          <w:b/>
          <w:bCs/>
          <w:color w:val="000000"/>
          <w:sz w:val="36"/>
          <w:szCs w:val="36"/>
          <w:highlight w:val="none"/>
          <w:lang w:val="en-US" w:eastAsia="zh-CN"/>
        </w:rPr>
        <w:t>山东天马招标代理有限公司</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三月二十一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outlineLvl w:val="9"/>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val="en-US" w:eastAsia="zh-CN"/>
        </w:rPr>
        <w:t>许昌市东城区鹿鸣湖景观灯采购项目</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016</w:t>
      </w:r>
      <w:r>
        <w:rPr>
          <w:rFonts w:hint="eastAsia" w:cs="仿宋_GB2312" w:asciiTheme="minorEastAsia" w:hAnsiTheme="minorEastAsia" w:eastAsiaTheme="minorEastAsia"/>
          <w:color w:val="000000"/>
          <w:shd w:val="clear" w:color="auto" w:fill="FFFFFF"/>
        </w:rPr>
        <w:t xml:space="preserve">号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val="en-US" w:eastAsia="zh-CN"/>
        </w:rPr>
        <w:t>公开招标</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230个庭院灯。</w:t>
      </w:r>
      <w:r>
        <w:rPr>
          <w:rFonts w:hint="eastAsia" w:cs="仿宋_GB2312" w:asciiTheme="minorEastAsia" w:hAnsiTheme="minorEastAsia" w:eastAsiaTheme="minorEastAsia"/>
          <w:color w:val="000000"/>
          <w:shd w:val="clear" w:color="auto" w:fill="FFFFFF"/>
        </w:rPr>
        <w:t>（详见附件参数要求）</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shd w:val="clear" w:color="auto" w:fill="FFFFFF"/>
          <w:lang w:val="en-US" w:eastAsia="zh-CN"/>
        </w:rPr>
        <w:t>735998.89</w:t>
      </w:r>
      <w:r>
        <w:rPr>
          <w:rFonts w:hint="eastAsia" w:cs="仿宋_GB2312" w:asciiTheme="minorEastAsia" w:hAnsiTheme="minorEastAsia" w:eastAsiaTheme="minorEastAsia"/>
          <w:color w:val="000000"/>
          <w:shd w:val="clear" w:color="auto" w:fill="FFFFFF"/>
        </w:rPr>
        <w:t>元</w:t>
      </w:r>
      <w:r>
        <w:rPr>
          <w:rFonts w:hint="eastAsia" w:cs="仿宋_GB2312" w:asciiTheme="minorEastAsia" w:hAnsiTheme="minorEastAsia" w:eastAsiaTheme="minorEastAsia"/>
          <w:color w:val="000000"/>
          <w:shd w:val="clear" w:color="auto" w:fill="FFFFFF"/>
          <w:lang w:eastAsia="zh-CN"/>
        </w:rPr>
        <w:t>。最高限价：</w:t>
      </w:r>
      <w:r>
        <w:rPr>
          <w:rFonts w:hint="eastAsia" w:cs="仿宋_GB2312" w:asciiTheme="minorEastAsia" w:hAnsiTheme="minorEastAsia" w:eastAsiaTheme="minorEastAsia"/>
          <w:color w:val="000000"/>
          <w:shd w:val="clear" w:color="auto" w:fill="FFFFFF"/>
          <w:lang w:val="en-US" w:eastAsia="zh-CN"/>
        </w:rPr>
        <w:t>735998.89</w:t>
      </w:r>
      <w:r>
        <w:rPr>
          <w:rFonts w:hint="eastAsia" w:cs="仿宋_GB2312" w:asciiTheme="minorEastAsia" w:hAnsiTheme="minorEastAsia" w:eastAsiaTheme="minorEastAsia"/>
          <w:color w:val="000000"/>
          <w:shd w:val="clear" w:color="auto" w:fill="FFFFFF"/>
        </w:rPr>
        <w:t>元</w:t>
      </w:r>
      <w:r>
        <w:rPr>
          <w:rFonts w:hint="eastAsia" w:cs="仿宋_GB2312" w:asciiTheme="minorEastAsia" w:hAnsiTheme="minorEastAsia" w:eastAsiaTheme="minorEastAsia"/>
          <w:color w:val="000000"/>
          <w:shd w:val="clear" w:color="auto" w:fill="FFFFFF"/>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（六）交付（完工）时间 ：合同签订后</w:t>
      </w:r>
      <w:r>
        <w:rPr>
          <w:rFonts w:hint="eastAsia" w:cs="仿宋_GB2312" w:asciiTheme="minorEastAsia" w:hAnsiTheme="minorEastAsia" w:eastAsiaTheme="minorEastAsia"/>
          <w:color w:val="000000"/>
          <w:shd w:val="clear" w:color="auto" w:fill="FFFFFF"/>
          <w:lang w:val="en-US" w:eastAsia="zh-CN"/>
        </w:rPr>
        <w:t>7</w:t>
      </w:r>
      <w:r>
        <w:rPr>
          <w:rFonts w:hint="eastAsia" w:cs="仿宋_GB2312" w:asciiTheme="minorEastAsia" w:hAnsiTheme="minorEastAsia" w:eastAsiaTheme="minorEastAsia"/>
          <w:color w:val="000000"/>
          <w:shd w:val="clear" w:color="auto" w:fill="FFFFFF"/>
        </w:rPr>
        <w:t>天</w:t>
      </w:r>
      <w:r>
        <w:rPr>
          <w:rFonts w:hint="eastAsia" w:cs="仿宋_GB2312" w:asciiTheme="minorEastAsia" w:hAnsiTheme="minorEastAsia" w:eastAsiaTheme="minorEastAsia"/>
          <w:color w:val="000000"/>
          <w:shd w:val="clear" w:color="auto" w:fill="FFFFFF"/>
          <w:lang w:eastAsia="zh-CN"/>
        </w:rPr>
        <w:t>内</w:t>
      </w:r>
      <w:r>
        <w:rPr>
          <w:rFonts w:hint="eastAsia" w:cs="仿宋_GB2312" w:asciiTheme="minorEastAsia" w:hAnsiTheme="minorEastAsia" w:eastAsiaTheme="minorEastAsia"/>
          <w:color w:val="000000"/>
          <w:shd w:val="clear" w:color="auto" w:fill="FFFFFF"/>
        </w:rPr>
        <w:t>完成安装调试并具备验收条件</w:t>
      </w:r>
      <w:r>
        <w:rPr>
          <w:rFonts w:hint="eastAsia" w:cs="仿宋_GB2312" w:asciiTheme="minorEastAsia" w:hAnsiTheme="minorEastAsia" w:eastAsiaTheme="minorEastAsia"/>
          <w:color w:val="000000"/>
          <w:shd w:val="clear" w:color="auto" w:fill="FFFFFF"/>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color w:val="000000"/>
          <w:shd w:val="clear" w:color="auto" w:fill="FFFFFF"/>
          <w:lang w:val="en-US" w:eastAsia="zh-CN"/>
        </w:rPr>
        <w:t>许昌市学院北路与陈庄街路口鹿鸣湖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本项目落实节能环保、中小微型企业、监狱企业、残疾人福利性单位扶持等相关政府采购政策。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三</w:t>
      </w:r>
      <w:r>
        <w:rPr>
          <w:rFonts w:hint="eastAsia" w:cs="仿宋_GB2312" w:asciiTheme="minorEastAsia" w:hAnsiTheme="minorEastAsia" w:eastAsiaTheme="minorEastAsia"/>
          <w:color w:val="000000"/>
          <w:shd w:val="clear" w:color="auto" w:fill="FFFFFF"/>
        </w:rPr>
        <w:t>）本次招标不接受联合体投标。</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（一）投标截止及开标时间：2018年 </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 xml:space="preserve"> 月 </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 xml:space="preserve">09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 xml:space="preserve"> 分（北京时间），逾期提交或不符合规定的投标文件不予接受。</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（二）开标地点：许昌市公共资源交易中心（龙兴路与竹林路交汇处公共资源大厦）三楼开标 </w:t>
      </w:r>
      <w:r>
        <w:rPr>
          <w:rFonts w:hint="eastAsia" w:cs="仿宋_GB2312" w:asciiTheme="minorEastAsia" w:hAnsiTheme="minorEastAsia" w:eastAsiaTheme="minorEastAsia"/>
          <w:color w:val="000000"/>
          <w:lang w:eastAsia="zh-CN"/>
        </w:rPr>
        <w:t>二</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室。</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采</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购</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人：</w:t>
      </w:r>
      <w:r>
        <w:rPr>
          <w:rFonts w:hint="eastAsia" w:cs="仿宋_GB2312" w:asciiTheme="minorEastAsia" w:hAnsiTheme="minorEastAsia" w:eastAsiaTheme="minorEastAsia"/>
          <w:color w:val="000000"/>
          <w:shd w:val="clear" w:color="auto" w:fill="FFFFFF"/>
          <w:lang w:val="en-US" w:eastAsia="zh-CN"/>
        </w:rPr>
        <w:t>许昌市东城区市政管理中心</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址：</w:t>
      </w:r>
      <w:r>
        <w:rPr>
          <w:rFonts w:hint="eastAsia" w:cs="仿宋_GB2312" w:asciiTheme="minorEastAsia" w:hAnsiTheme="minorEastAsia" w:eastAsiaTheme="minorEastAsia"/>
          <w:color w:val="000000"/>
          <w:shd w:val="clear" w:color="auto" w:fill="FFFFFF"/>
          <w:lang w:val="en-US" w:eastAsia="zh-CN"/>
        </w:rPr>
        <w:t>许昌市东城区新兴路东段</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系</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人：</w:t>
      </w:r>
      <w:r>
        <w:rPr>
          <w:rFonts w:hint="eastAsia" w:cs="仿宋_GB2312" w:asciiTheme="minorEastAsia" w:hAnsiTheme="minorEastAsia" w:eastAsiaTheme="minorEastAsia"/>
          <w:color w:val="000000"/>
          <w:shd w:val="clear" w:color="auto" w:fill="FFFFFF"/>
          <w:lang w:val="en-US" w:eastAsia="zh-CN"/>
        </w:rPr>
        <w:t>靳兆阳</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联系电话：</w:t>
      </w:r>
      <w:r>
        <w:rPr>
          <w:rFonts w:hint="eastAsia" w:cs="仿宋_GB2312" w:asciiTheme="minorEastAsia" w:hAnsiTheme="minorEastAsia" w:eastAsiaTheme="minorEastAsia"/>
          <w:color w:val="000000"/>
          <w:shd w:val="clear" w:color="auto" w:fill="FFFFFF"/>
          <w:lang w:val="en-US" w:eastAsia="zh-CN"/>
        </w:rPr>
        <w:t>13897487618</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代理机构：</w:t>
      </w:r>
      <w:r>
        <w:rPr>
          <w:rFonts w:hint="eastAsia" w:cs="仿宋_GB2312" w:asciiTheme="minorEastAsia" w:hAnsiTheme="minorEastAsia" w:eastAsiaTheme="minorEastAsia"/>
          <w:color w:val="000000"/>
          <w:shd w:val="clear" w:color="auto" w:fill="FFFFFF"/>
          <w:lang w:val="en-US" w:eastAsia="zh-CN"/>
        </w:rPr>
        <w:t>山东天马招标代理有限公司</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址：</w:t>
      </w:r>
      <w:r>
        <w:rPr>
          <w:rFonts w:hint="eastAsia" w:cs="仿宋_GB2312" w:asciiTheme="minorEastAsia" w:hAnsiTheme="minorEastAsia" w:eastAsiaTheme="minorEastAsia"/>
          <w:color w:val="000000"/>
          <w:shd w:val="clear" w:color="auto" w:fill="FFFFFF"/>
          <w:lang w:val="en-US" w:eastAsia="zh-CN"/>
        </w:rPr>
        <w:t>许昌市创业服务中心D座709室</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联系人：</w:t>
      </w:r>
      <w:r>
        <w:rPr>
          <w:rFonts w:hint="eastAsia" w:cs="仿宋_GB2312" w:asciiTheme="minorEastAsia" w:hAnsiTheme="minorEastAsia" w:eastAsiaTheme="minorEastAsia"/>
          <w:color w:val="000000"/>
          <w:shd w:val="clear" w:color="auto" w:fill="FFFFFF"/>
          <w:lang w:val="en-US" w:eastAsia="zh-CN"/>
        </w:rPr>
        <w:t>赵颖颖</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kern w:val="2"/>
          <w:sz w:val="24"/>
          <w:szCs w:val="24"/>
          <w:shd w:val="clear" w:color="auto" w:fill="FFFFFF"/>
          <w:lang w:val="zh-CN" w:eastAsia="zh-CN" w:bidi="ar-SA"/>
        </w:rPr>
      </w:pPr>
      <w:r>
        <w:rPr>
          <w:rFonts w:hint="eastAsia" w:cs="仿宋_GB2312" w:asciiTheme="minorEastAsia" w:hAnsiTheme="minorEastAsia" w:eastAsiaTheme="minorEastAsia"/>
          <w:color w:val="000000"/>
          <w:shd w:val="clear" w:color="auto" w:fill="FFFFFF"/>
        </w:rPr>
        <w:t>联系电话：</w:t>
      </w:r>
      <w:r>
        <w:rPr>
          <w:rFonts w:hint="eastAsia" w:cs="仿宋_GB2312" w:asciiTheme="minorEastAsia" w:hAnsiTheme="minorEastAsia" w:eastAsiaTheme="minorEastAsia"/>
          <w:color w:val="000000"/>
          <w:shd w:val="clear" w:color="auto" w:fill="FFFFFF"/>
          <w:lang w:val="en-US" w:eastAsia="zh-CN"/>
        </w:rPr>
        <w:t>18768805725</w:t>
      </w: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cs="仿宋_GB2312" w:asciiTheme="minorEastAsia" w:hAnsiTheme="minorEastAsia" w:eastAsiaTheme="minorEastAsia"/>
          <w:color w:val="000000"/>
          <w:kern w:val="2"/>
          <w:sz w:val="24"/>
          <w:szCs w:val="24"/>
          <w:shd w:val="clear" w:color="auto" w:fill="FFFFFF"/>
          <w:lang w:val="zh-CN" w:eastAsia="zh-CN" w:bidi="ar-SA"/>
        </w:rPr>
        <w:t xml:space="preserve">   </w:t>
      </w:r>
      <w:bookmarkStart w:id="13" w:name="_GoBack"/>
      <w:bookmarkEnd w:id="13"/>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kern w:val="2"/>
          <w:sz w:val="24"/>
          <w:szCs w:val="24"/>
          <w:shd w:val="clear" w:color="auto" w:fill="FFFFFF"/>
          <w:lang w:val="zh-CN" w:eastAsia="zh-CN" w:bidi="ar-SA"/>
        </w:rPr>
      </w:pP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right"/>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zh-CN" w:eastAsia="zh-CN" w:bidi="ar-SA"/>
        </w:rPr>
        <w:t xml:space="preserve"> </w:t>
      </w: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许昌市东城区市政管理中心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right"/>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二〇一八年三月二十二日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rPr>
          <w:rFonts w:hint="eastAsia" w:hAnsi="宋体"/>
          <w:color w:val="000000" w:themeColor="text1"/>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23"/>
          <w:rFonts w:hAnsi="宋体"/>
          <w:color w:val="000000" w:themeColor="text1"/>
          <w:sz w:val="24"/>
          <w:szCs w:val="24"/>
          <w14:textFill>
            <w14:solidFill>
              <w14:schemeClr w14:val="tx1"/>
            </w14:solidFill>
          </w14:textFill>
        </w:rPr>
        <w:t>http://221.14.6.70:8088/ggzy/</w:t>
      </w:r>
      <w:r>
        <w:rPr>
          <w:rStyle w:val="23"/>
          <w:rFonts w:hAnsi="宋体"/>
          <w:color w:val="000000" w:themeColor="text1"/>
          <w:sz w:val="24"/>
          <w:szCs w:val="24"/>
          <w14:textFill>
            <w14:solidFill>
              <w14:schemeClr w14:val="tx1"/>
            </w14:solidFill>
          </w14:textFill>
        </w:rPr>
        <w:fldChar w:fldCharType="end"/>
      </w:r>
      <w:r>
        <w:rPr>
          <w:rFonts w:hint="eastAsia" w:hAnsi="宋体"/>
          <w:color w:val="000000" w:themeColor="text1"/>
          <w:sz w:val="24"/>
          <w:szCs w:val="24"/>
          <w14:textFill>
            <w14:solidFill>
              <w14:schemeClr w14:val="tx1"/>
            </w14:solidFill>
          </w14:textFill>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pacing w:line="360" w:lineRule="auto"/>
        <w:ind w:firstLine="720" w:firstLineChars="300"/>
        <w:contextualSpacing/>
        <w:jc w:val="both"/>
        <w:rPr>
          <w:rFonts w:hint="eastAsia" w:cs="Times New Roman" w:asciiTheme="minorEastAsia" w:hAnsiTheme="minorEastAsia"/>
          <w:color w:val="000000"/>
          <w:kern w:val="0"/>
          <w:sz w:val="24"/>
          <w:szCs w:val="24"/>
          <w:lang w:val="zh-CN"/>
        </w:rPr>
      </w:pPr>
      <w:r>
        <w:rPr>
          <w:rFonts w:hint="eastAsia" w:cs="Times New Roman" w:asciiTheme="minorEastAsia" w:hAnsiTheme="minorEastAsia"/>
          <w:color w:val="000000"/>
          <w:kern w:val="0"/>
          <w:sz w:val="24"/>
          <w:szCs w:val="24"/>
          <w:lang w:val="en-US" w:eastAsia="zh-CN"/>
        </w:rPr>
        <w:t>在许昌市学院北路与陈庄街路口鹿鸣湖安装庭院灯230个。</w:t>
      </w:r>
    </w:p>
    <w:p>
      <w:pPr>
        <w:widowControl/>
        <w:shd w:val="clear" w:color="auto" w:fill="FFFFFF"/>
        <w:spacing w:line="360" w:lineRule="auto"/>
        <w:ind w:firstLine="241" w:firstLineChars="1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tbl>
      <w:tblPr>
        <w:tblStyle w:val="24"/>
        <w:tblpPr w:leftFromText="180" w:rightFromText="180" w:vertAnchor="page" w:horzAnchor="page" w:tblpX="1028" w:tblpY="4921"/>
        <w:tblW w:w="10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321"/>
        <w:gridCol w:w="2516"/>
        <w:gridCol w:w="167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61" w:type="dxa"/>
            <w:shd w:val="clear" w:color="auto" w:fill="A6A6A6"/>
            <w:vAlign w:val="top"/>
          </w:tcPr>
          <w:p>
            <w:pPr>
              <w:jc w:val="center"/>
              <w:rPr>
                <w:rFonts w:ascii="宋体" w:hAnsi="宋体" w:eastAsia="宋体"/>
                <w:b/>
                <w:sz w:val="21"/>
                <w:szCs w:val="21"/>
              </w:rPr>
            </w:pPr>
            <w:r>
              <w:rPr>
                <w:rFonts w:hint="eastAsia" w:ascii="宋体" w:hAnsi="宋体" w:eastAsia="宋体"/>
                <w:b/>
                <w:sz w:val="21"/>
                <w:szCs w:val="21"/>
              </w:rPr>
              <w:t>灯具编号</w:t>
            </w:r>
          </w:p>
        </w:tc>
        <w:tc>
          <w:tcPr>
            <w:tcW w:w="2321" w:type="dxa"/>
            <w:shd w:val="clear" w:color="auto" w:fill="B6DDE8"/>
            <w:vAlign w:val="top"/>
          </w:tcPr>
          <w:p>
            <w:pPr>
              <w:rPr>
                <w:rFonts w:hint="eastAsia" w:ascii="宋体" w:hAnsi="宋体" w:eastAsia="宋体"/>
                <w:b/>
                <w:sz w:val="21"/>
                <w:szCs w:val="21"/>
                <w:lang w:eastAsia="zh-CN"/>
              </w:rPr>
            </w:pPr>
            <w:r>
              <w:rPr>
                <w:rFonts w:hint="eastAsia" w:ascii="宋体" w:hAnsi="宋体" w:eastAsia="宋体"/>
                <w:b/>
                <w:sz w:val="21"/>
                <w:szCs w:val="21"/>
                <w:lang w:eastAsia="zh-CN"/>
              </w:rPr>
              <w:t>R1</w:t>
            </w:r>
          </w:p>
        </w:tc>
        <w:tc>
          <w:tcPr>
            <w:tcW w:w="2516" w:type="dxa"/>
            <w:shd w:val="clear" w:color="auto" w:fill="A6A6A6"/>
            <w:vAlign w:val="top"/>
          </w:tcPr>
          <w:p>
            <w:pPr>
              <w:rPr>
                <w:rFonts w:ascii="宋体" w:hAnsi="宋体" w:eastAsia="宋体"/>
                <w:b/>
                <w:sz w:val="21"/>
                <w:szCs w:val="21"/>
                <w:lang w:eastAsia="zh-CN"/>
              </w:rPr>
            </w:pPr>
          </w:p>
        </w:tc>
        <w:tc>
          <w:tcPr>
            <w:tcW w:w="3809" w:type="dxa"/>
            <w:gridSpan w:val="2"/>
            <w:shd w:val="clear" w:color="auto" w:fill="B6DDE8"/>
            <w:vAlign w:val="top"/>
          </w:tcPr>
          <w:p>
            <w:pPr>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61" w:type="dxa"/>
            <w:vMerge w:val="restart"/>
            <w:shd w:val="clear" w:color="auto" w:fill="D6E3BC"/>
            <w:vAlign w:val="top"/>
          </w:tcPr>
          <w:p>
            <w:pPr>
              <w:rPr>
                <w:rFonts w:ascii="宋体" w:hAnsi="宋体" w:eastAsia="宋体"/>
                <w:sz w:val="21"/>
                <w:szCs w:val="21"/>
              </w:rPr>
            </w:pPr>
          </w:p>
        </w:tc>
        <w:tc>
          <w:tcPr>
            <w:tcW w:w="4837" w:type="dxa"/>
            <w:gridSpan w:val="2"/>
            <w:vMerge w:val="restart"/>
            <w:vAlign w:val="top"/>
          </w:tcPr>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rPr>
              <w:drawing>
                <wp:inline distT="0" distB="0" distL="114300" distR="114300">
                  <wp:extent cx="1061085" cy="2032000"/>
                  <wp:effectExtent l="0" t="0" r="5715" b="635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5"/>
                          <a:stretch>
                            <a:fillRect/>
                          </a:stretch>
                        </pic:blipFill>
                        <pic:spPr>
                          <a:xfrm>
                            <a:off x="0" y="0"/>
                            <a:ext cx="1061085" cy="2032000"/>
                          </a:xfrm>
                          <a:prstGeom prst="rect">
                            <a:avLst/>
                          </a:prstGeom>
                          <a:noFill/>
                          <a:ln w="9525">
                            <a:noFill/>
                          </a:ln>
                        </pic:spPr>
                      </pic:pic>
                    </a:graphicData>
                  </a:graphic>
                </wp:inline>
              </w:drawing>
            </w:r>
            <w:r>
              <w:rPr>
                <w:rFonts w:hint="eastAsia" w:ascii="宋体" w:hAnsi="宋体" w:eastAsia="宋体" w:cs="宋体"/>
                <w:lang w:val="en-US" w:eastAsia="zh-CN"/>
              </w:rPr>
              <w:t xml:space="preserve"> </w:t>
            </w:r>
            <w:r>
              <w:rPr>
                <w:rFonts w:hint="eastAsia" w:ascii="宋体" w:hAnsi="宋体"/>
                <w:sz w:val="20"/>
              </w:rPr>
              <w:drawing>
                <wp:inline distT="0" distB="0" distL="114300" distR="114300">
                  <wp:extent cx="1751965" cy="1991995"/>
                  <wp:effectExtent l="0" t="0" r="635" b="825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a:stretch>
                            <a:fillRect/>
                          </a:stretch>
                        </pic:blipFill>
                        <pic:spPr>
                          <a:xfrm>
                            <a:off x="0" y="0"/>
                            <a:ext cx="1751965" cy="1991995"/>
                          </a:xfrm>
                          <a:prstGeom prst="rect">
                            <a:avLst/>
                          </a:prstGeom>
                          <a:noFill/>
                          <a:ln w="9525">
                            <a:noFill/>
                          </a:ln>
                        </pic:spPr>
                      </pic:pic>
                    </a:graphicData>
                  </a:graphic>
                </wp:inline>
              </w:drawing>
            </w:r>
          </w:p>
        </w:tc>
        <w:tc>
          <w:tcPr>
            <w:tcW w:w="1679" w:type="dxa"/>
            <w:vAlign w:val="top"/>
          </w:tcPr>
          <w:p>
            <w:pPr>
              <w:rPr>
                <w:rFonts w:ascii="宋体" w:hAnsi="宋体" w:eastAsia="宋体"/>
                <w:sz w:val="21"/>
                <w:szCs w:val="21"/>
              </w:rPr>
            </w:pPr>
            <w:r>
              <w:rPr>
                <w:rFonts w:hint="eastAsia" w:ascii="宋体" w:hAnsi="宋体" w:eastAsia="宋体"/>
                <w:sz w:val="21"/>
                <w:szCs w:val="21"/>
              </w:rPr>
              <w:t>产品类型：</w:t>
            </w:r>
          </w:p>
        </w:tc>
        <w:tc>
          <w:tcPr>
            <w:tcW w:w="2130" w:type="dxa"/>
            <w:vAlign w:val="top"/>
          </w:tcPr>
          <w:p>
            <w:pPr>
              <w:jc w:val="center"/>
              <w:rPr>
                <w:rFonts w:hint="eastAsia" w:ascii="宋体" w:hAnsi="宋体" w:eastAsia="宋体"/>
                <w:sz w:val="21"/>
                <w:szCs w:val="21"/>
                <w:lang w:eastAsia="zh-CN"/>
              </w:rPr>
            </w:pPr>
            <w:r>
              <w:rPr>
                <w:rFonts w:hint="eastAsia" w:ascii="宋体" w:hAnsi="宋体" w:eastAsia="宋体"/>
                <w:sz w:val="21"/>
                <w:szCs w:val="21"/>
                <w:lang w:eastAsia="zh-CN"/>
              </w:rPr>
              <w:t>庭院灯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rPr>
                <w:rFonts w:ascii="宋体" w:hAnsi="宋体" w:eastAsia="宋体"/>
                <w:sz w:val="21"/>
                <w:szCs w:val="21"/>
              </w:rPr>
            </w:pPr>
            <w:r>
              <w:rPr>
                <w:rFonts w:hint="eastAsia" w:ascii="宋体" w:hAnsi="宋体" w:eastAsia="宋体"/>
                <w:sz w:val="21"/>
                <w:szCs w:val="21"/>
              </w:rPr>
              <w:t>产品型号：</w:t>
            </w:r>
          </w:p>
        </w:tc>
        <w:tc>
          <w:tcPr>
            <w:tcW w:w="2130" w:type="dxa"/>
            <w:vAlign w:val="top"/>
          </w:tcPr>
          <w:p>
            <w:pPr>
              <w:jc w:val="center"/>
              <w:rPr>
                <w:rFonts w:hint="eastAsia" w:ascii="宋体" w:hAnsi="宋体" w:eastAsia="宋体"/>
                <w:sz w:val="21"/>
                <w:szCs w:val="21"/>
                <w:lang w:eastAsia="zh-CN"/>
              </w:rPr>
            </w:pPr>
            <w:r>
              <w:rPr>
                <w:rFonts w:hint="eastAsia" w:ascii="宋体" w:hAnsi="宋体" w:eastAsia="宋体"/>
                <w:sz w:val="21"/>
                <w:szCs w:val="21"/>
                <w:lang w:eastAsia="zh-CN"/>
              </w:rPr>
              <w:t>0.0089.T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3809" w:type="dxa"/>
            <w:gridSpan w:val="2"/>
            <w:vAlign w:val="top"/>
          </w:tcPr>
          <w:p>
            <w:pPr>
              <w:rPr>
                <w:rFonts w:hint="eastAsia" w:ascii="宋体" w:hAnsi="宋体" w:eastAsia="宋体"/>
                <w:sz w:val="21"/>
                <w:szCs w:val="21"/>
                <w:lang w:eastAsia="zh-CN"/>
              </w:rPr>
            </w:pPr>
            <w:r>
              <w:rPr>
                <w:rFonts w:hint="eastAsia" w:ascii="宋体" w:hAnsi="宋体" w:eastAsia="宋体"/>
                <w:sz w:val="21"/>
                <w:szCs w:val="21"/>
              </w:rPr>
              <w:t>产品特点：</w:t>
            </w:r>
          </w:p>
          <w:p>
            <w:pPr>
              <w:numPr>
                <w:ilvl w:val="0"/>
                <w:numId w:val="6"/>
              </w:numPr>
              <w:rPr>
                <w:rFonts w:hint="eastAsia" w:ascii="宋体" w:hAnsi="宋体" w:eastAsia="宋体"/>
                <w:sz w:val="21"/>
                <w:szCs w:val="21"/>
                <w:lang w:eastAsia="zh-CN"/>
              </w:rPr>
            </w:pPr>
            <w:r>
              <w:rPr>
                <w:rFonts w:hint="eastAsia" w:ascii="宋体" w:hAnsi="宋体" w:eastAsia="宋体"/>
                <w:sz w:val="21"/>
                <w:szCs w:val="21"/>
                <w:lang w:eastAsia="zh-CN"/>
              </w:rPr>
              <w:t>灯具结构说明见附图</w:t>
            </w:r>
          </w:p>
          <w:p>
            <w:pPr>
              <w:numPr>
                <w:ilvl w:val="0"/>
                <w:numId w:val="6"/>
              </w:numPr>
              <w:rPr>
                <w:rFonts w:hint="eastAsia" w:ascii="宋体" w:hAnsi="宋体" w:eastAsia="宋体"/>
                <w:sz w:val="21"/>
                <w:szCs w:val="21"/>
                <w:lang w:eastAsia="zh-CN"/>
              </w:rPr>
            </w:pPr>
            <w:r>
              <w:rPr>
                <w:rFonts w:hint="eastAsia" w:ascii="宋体" w:hAnsi="宋体" w:eastAsia="宋体"/>
                <w:sz w:val="21"/>
                <w:szCs w:val="21"/>
                <w:lang w:eastAsia="zh-CN"/>
              </w:rPr>
              <w:t>灯体材质：压铸铝和挤压铝合金灯体；表面处理：静电喷涂防腐处理</w:t>
            </w:r>
            <w:r>
              <w:rPr>
                <w:rFonts w:ascii="宋体" w:hAnsi="宋体" w:eastAsia="宋体"/>
                <w:sz w:val="21"/>
                <w:szCs w:val="21"/>
                <w:lang w:eastAsia="zh-CN"/>
              </w:rPr>
              <w:t>,</w:t>
            </w:r>
            <w:r>
              <w:rPr>
                <w:rFonts w:hint="eastAsia" w:ascii="宋体" w:hAnsi="宋体" w:eastAsia="宋体"/>
                <w:sz w:val="21"/>
                <w:szCs w:val="21"/>
                <w:lang w:eastAsia="zh-CN"/>
              </w:rPr>
              <w:t>颜色</w:t>
            </w:r>
            <w:r>
              <w:rPr>
                <w:rFonts w:ascii="宋体" w:hAnsi="宋体" w:eastAsia="宋体"/>
                <w:sz w:val="21"/>
                <w:szCs w:val="21"/>
                <w:lang w:eastAsia="zh-CN"/>
              </w:rPr>
              <w:t>DB703</w:t>
            </w:r>
            <w:r>
              <w:rPr>
                <w:rFonts w:hint="eastAsia" w:ascii="宋体" w:hAnsi="宋体" w:eastAsia="宋体"/>
                <w:sz w:val="21"/>
                <w:szCs w:val="21"/>
                <w:lang w:eastAsia="zh-CN"/>
              </w:rPr>
              <w:t>（灰砂纹）；透光罩：进口高透光</w:t>
            </w:r>
            <w:r>
              <w:rPr>
                <w:rFonts w:ascii="宋体" w:hAnsi="宋体" w:eastAsia="宋体"/>
                <w:sz w:val="21"/>
                <w:szCs w:val="21"/>
                <w:lang w:eastAsia="zh-CN"/>
              </w:rPr>
              <w:t>PMMA</w:t>
            </w:r>
            <w:r>
              <w:rPr>
                <w:rFonts w:hint="eastAsia" w:ascii="宋体" w:hAnsi="宋体" w:eastAsia="宋体"/>
                <w:sz w:val="21"/>
                <w:szCs w:val="21"/>
                <w:lang w:eastAsia="zh-CN"/>
              </w:rPr>
              <w:t>罩；配光与透镜：采用欧洲进口专利</w:t>
            </w:r>
            <w:r>
              <w:rPr>
                <w:rFonts w:ascii="宋体" w:hAnsi="宋体" w:eastAsia="宋体"/>
                <w:sz w:val="21"/>
                <w:szCs w:val="21"/>
                <w:lang w:eastAsia="zh-CN"/>
              </w:rPr>
              <w:t>LED</w:t>
            </w:r>
            <w:r>
              <w:rPr>
                <w:rFonts w:hint="eastAsia" w:ascii="宋体" w:hAnsi="宋体" w:eastAsia="宋体"/>
                <w:sz w:val="21"/>
                <w:szCs w:val="21"/>
                <w:lang w:eastAsia="zh-CN"/>
              </w:rPr>
              <w:t>高透光透镜，透镜由一体化多角度配光棱镜组成，不同定点配光得到蝙蝠翼道路配光，完全满足道路照明配光要求。透镜外观及配光参见透镜图片及配光曲线。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防护等级：</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rPr>
              <w:t>IP</w:t>
            </w:r>
            <w:r>
              <w:rPr>
                <w:rFonts w:hint="eastAsia" w:ascii="宋体" w:hAnsi="宋体" w:eastAsia="宋体"/>
                <w:sz w:val="21"/>
                <w:szCs w:val="21"/>
                <w:lang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可调角度：</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灯体颜色：</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灰色</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tbl>
      <w:tblPr>
        <w:tblStyle w:val="24"/>
        <w:tblpPr w:leftFromText="180" w:rightFromText="180" w:vertAnchor="page" w:horzAnchor="margin" w:tblpXSpec="center" w:tblpY="2526"/>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105"/>
        <w:gridCol w:w="2480"/>
        <w:gridCol w:w="160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385" w:type="dxa"/>
            <w:vMerge w:val="restart"/>
            <w:shd w:val="clear" w:color="auto" w:fill="D6E3BC"/>
            <w:vAlign w:val="center"/>
          </w:tcPr>
          <w:p>
            <w:pPr>
              <w:jc w:val="center"/>
              <w:rPr>
                <w:rFonts w:ascii="宋体" w:hAnsi="宋体" w:eastAsia="宋体"/>
                <w:sz w:val="21"/>
                <w:szCs w:val="21"/>
              </w:rPr>
            </w:pPr>
            <w:r>
              <w:rPr>
                <w:rFonts w:hint="eastAsia" w:ascii="宋体" w:hAnsi="宋体" w:eastAsia="宋体"/>
                <w:sz w:val="21"/>
                <w:szCs w:val="21"/>
              </w:rPr>
              <w:t>配光曲线</w:t>
            </w:r>
          </w:p>
        </w:tc>
        <w:tc>
          <w:tcPr>
            <w:tcW w:w="4585" w:type="dxa"/>
            <w:gridSpan w:val="2"/>
            <w:vMerge w:val="restart"/>
            <w:shd w:val="clear" w:color="auto" w:fill="auto"/>
            <w:vAlign w:val="top"/>
          </w:tcPr>
          <w:p>
            <w:pPr>
              <w:rPr>
                <w:rFonts w:ascii="宋体" w:hAnsi="宋体" w:eastAsia="宋体" w:cs="宋体"/>
                <w:lang w:val="en-US" w:eastAsia="zh-CN"/>
              </w:rPr>
            </w:pPr>
          </w:p>
          <w:p>
            <w:pPr>
              <w:rPr>
                <w:rFonts w:hint="eastAsia" w:ascii="宋体" w:hAnsi="宋体" w:eastAsia="宋体" w:cs="宋体"/>
                <w:sz w:val="21"/>
                <w:szCs w:val="21"/>
              </w:rPr>
            </w:pPr>
            <w:r>
              <w:rPr>
                <w:lang w:val="en-US" w:eastAsia="zh-CN"/>
              </w:rPr>
              <w:drawing>
                <wp:inline distT="0" distB="0" distL="114300" distR="114300">
                  <wp:extent cx="1730375" cy="966470"/>
                  <wp:effectExtent l="0" t="0" r="3175" b="508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7"/>
                          <a:stretch>
                            <a:fillRect/>
                          </a:stretch>
                        </pic:blipFill>
                        <pic:spPr>
                          <a:xfrm>
                            <a:off x="0" y="0"/>
                            <a:ext cx="1730375" cy="966470"/>
                          </a:xfrm>
                          <a:prstGeom prst="rect">
                            <a:avLst/>
                          </a:prstGeom>
                          <a:noFill/>
                          <a:ln w="9525">
                            <a:noFill/>
                          </a:ln>
                        </pic:spPr>
                      </pic:pic>
                    </a:graphicData>
                  </a:graphic>
                </wp:inline>
              </w:drawing>
            </w:r>
            <w:r>
              <w:rPr>
                <w:rFonts w:hint="eastAsia" w:eastAsia="宋体"/>
                <w:lang w:val="en-US" w:eastAsia="zh-CN"/>
              </w:rPr>
              <w:t xml:space="preserve">     </w:t>
            </w:r>
            <w:r>
              <w:rPr>
                <w:lang w:val="en-US" w:eastAsia="zh-CN"/>
              </w:rPr>
              <w:drawing>
                <wp:inline distT="0" distB="0" distL="114300" distR="114300">
                  <wp:extent cx="1008380" cy="926465"/>
                  <wp:effectExtent l="0" t="0" r="1270" b="698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8"/>
                          <a:stretch>
                            <a:fillRect/>
                          </a:stretch>
                        </pic:blipFill>
                        <pic:spPr>
                          <a:xfrm>
                            <a:off x="0" y="0"/>
                            <a:ext cx="1008380" cy="926465"/>
                          </a:xfrm>
                          <a:prstGeom prst="rect">
                            <a:avLst/>
                          </a:prstGeom>
                          <a:noFill/>
                          <a:ln w="9525">
                            <a:noFill/>
                          </a:ln>
                        </pic:spPr>
                      </pic:pic>
                    </a:graphicData>
                  </a:graphic>
                </wp:inline>
              </w:drawing>
            </w:r>
          </w:p>
        </w:tc>
        <w:tc>
          <w:tcPr>
            <w:tcW w:w="3610" w:type="dxa"/>
            <w:gridSpan w:val="2"/>
            <w:shd w:val="clear" w:color="auto" w:fill="A6A6A6"/>
            <w:vAlign w:val="top"/>
          </w:tcPr>
          <w:p>
            <w:pPr>
              <w:rPr>
                <w:rFonts w:ascii="宋体" w:hAnsi="宋体" w:eastAsia="宋体"/>
                <w:sz w:val="21"/>
                <w:szCs w:val="21"/>
              </w:rPr>
            </w:pPr>
            <w:r>
              <w:rPr>
                <w:rFonts w:hint="eastAsia" w:ascii="宋体" w:hAnsi="宋体" w:eastAsia="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色温：</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4000K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显色指数：</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光束角：</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光源寿命：</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50000H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光通量：</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3200LM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jc w:val="center"/>
              <w:rPr>
                <w:rFonts w:ascii="宋体" w:hAnsi="宋体" w:eastAsia="宋体"/>
                <w:sz w:val="21"/>
                <w:szCs w:val="21"/>
              </w:rPr>
            </w:pPr>
            <w:r>
              <w:rPr>
                <w:rFonts w:hint="eastAsia" w:ascii="宋体" w:hAnsi="宋体" w:eastAsia="宋体"/>
                <w:sz w:val="21"/>
                <w:szCs w:val="21"/>
                <w:lang w:eastAsia="zh-CN"/>
              </w:rPr>
              <w:t>灯具高度</w:t>
            </w:r>
            <w:r>
              <w:rPr>
                <w:rFonts w:hint="eastAsia" w:ascii="宋体" w:hAnsi="宋体" w:eastAsia="宋体"/>
                <w:sz w:val="21"/>
                <w:szCs w:val="21"/>
              </w:rPr>
              <w:t>：</w:t>
            </w:r>
          </w:p>
        </w:tc>
        <w:tc>
          <w:tcPr>
            <w:tcW w:w="2006"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H=3.5M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385" w:type="dxa"/>
            <w:vMerge w:val="restart"/>
            <w:shd w:val="clear" w:color="auto" w:fill="D6E3BC"/>
            <w:vAlign w:val="center"/>
          </w:tcPr>
          <w:p>
            <w:pPr>
              <w:jc w:val="center"/>
              <w:rPr>
                <w:rFonts w:ascii="宋体" w:hAnsi="宋体" w:eastAsia="宋体"/>
                <w:sz w:val="21"/>
                <w:szCs w:val="21"/>
              </w:rPr>
            </w:pPr>
            <w:r>
              <w:rPr>
                <w:rFonts w:hint="eastAsia" w:ascii="宋体" w:hAnsi="宋体" w:eastAsia="宋体"/>
                <w:sz w:val="21"/>
                <w:szCs w:val="21"/>
              </w:rPr>
              <w:t>电气参数</w:t>
            </w:r>
          </w:p>
        </w:tc>
        <w:tc>
          <w:tcPr>
            <w:tcW w:w="8195" w:type="dxa"/>
            <w:gridSpan w:val="4"/>
            <w:shd w:val="clear" w:color="auto" w:fill="A6A6A6"/>
            <w:vAlign w:val="top"/>
          </w:tcPr>
          <w:p>
            <w:pPr>
              <w:rPr>
                <w:rFonts w:ascii="宋体" w:hAnsi="宋体" w:eastAsia="宋体"/>
                <w:sz w:val="21"/>
                <w:szCs w:val="21"/>
              </w:rPr>
            </w:pPr>
            <w:r>
              <w:rPr>
                <w:rFonts w:hint="eastAsia" w:ascii="宋体" w:hAnsi="宋体" w:eastAsia="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电压：</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AC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频率：</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功率：</w:t>
            </w:r>
          </w:p>
        </w:tc>
        <w:tc>
          <w:tcPr>
            <w:tcW w:w="6090" w:type="dxa"/>
            <w:gridSpan w:val="3"/>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30</w:t>
            </w:r>
            <w:r>
              <w:rPr>
                <w:rFonts w:hint="eastAsia" w:ascii="宋体" w:hAnsi="宋体" w:eastAsia="宋体"/>
                <w:sz w:val="21"/>
                <w:szCs w:val="21"/>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功率因素：</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控制方式：</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center"/>
          </w:tcPr>
          <w:p>
            <w:pPr>
              <w:jc w:val="center"/>
              <w:rPr>
                <w:rFonts w:ascii="宋体" w:hAnsi="宋体" w:eastAsia="宋体"/>
                <w:sz w:val="21"/>
                <w:szCs w:val="21"/>
              </w:rPr>
            </w:pPr>
            <w:r>
              <w:rPr>
                <w:rFonts w:hint="eastAsia" w:ascii="宋体" w:hAnsi="宋体" w:eastAsia="宋体"/>
                <w:sz w:val="21"/>
                <w:szCs w:val="21"/>
              </w:rPr>
              <w:t>其他：</w:t>
            </w:r>
          </w:p>
        </w:tc>
        <w:tc>
          <w:tcPr>
            <w:tcW w:w="6090" w:type="dxa"/>
            <w:gridSpan w:val="3"/>
            <w:vAlign w:val="center"/>
          </w:tcPr>
          <w:p>
            <w:pPr>
              <w:rPr>
                <w:rFonts w:hint="eastAsia" w:ascii="宋体" w:hAnsi="宋体" w:eastAsia="宋体"/>
                <w:sz w:val="21"/>
                <w:szCs w:val="21"/>
              </w:rPr>
            </w:pPr>
            <w:r>
              <w:rPr>
                <w:rFonts w:hint="eastAsia" w:ascii="宋体" w:hAnsi="宋体" w:eastAsia="宋体"/>
                <w:sz w:val="21"/>
                <w:szCs w:val="21"/>
              </w:rPr>
              <w:t>制造标准：铝表面静电粉末喷涂防腐处理，喷涂厚度大于</w:t>
            </w:r>
            <w:r>
              <w:rPr>
                <w:rFonts w:ascii="宋体" w:hAnsi="宋体" w:eastAsia="宋体"/>
                <w:sz w:val="21"/>
                <w:szCs w:val="21"/>
              </w:rPr>
              <w:t>100μ m</w:t>
            </w:r>
            <w:r>
              <w:rPr>
                <w:rFonts w:hint="eastAsia" w:ascii="宋体" w:hAnsi="宋体" w:eastAsia="宋体"/>
                <w:sz w:val="21"/>
                <w:szCs w:val="21"/>
              </w:rPr>
              <w:t>，支持灯头</w:t>
            </w:r>
            <w:r>
              <w:rPr>
                <w:rFonts w:ascii="宋体" w:hAnsi="宋体" w:eastAsia="宋体"/>
                <w:sz w:val="21"/>
                <w:szCs w:val="21"/>
              </w:rPr>
              <w:t>360°</w:t>
            </w:r>
            <w:r>
              <w:rPr>
                <w:rFonts w:hint="eastAsia" w:ascii="宋体" w:hAnsi="宋体" w:eastAsia="宋体"/>
                <w:sz w:val="21"/>
                <w:szCs w:val="21"/>
              </w:rPr>
              <w:t>水平旋转，内置电器控制组件，</w:t>
            </w:r>
            <w:r>
              <w:rPr>
                <w:rFonts w:ascii="宋体" w:hAnsi="宋体" w:eastAsia="宋体"/>
                <w:sz w:val="21"/>
                <w:szCs w:val="21"/>
              </w:rPr>
              <w:t>OSRAM</w:t>
            </w:r>
            <w:r>
              <w:rPr>
                <w:rFonts w:hint="eastAsia" w:ascii="宋体" w:hAnsi="宋体" w:eastAsia="宋体"/>
                <w:sz w:val="21"/>
                <w:szCs w:val="21"/>
              </w:rPr>
              <w:t>、</w:t>
            </w:r>
            <w:r>
              <w:rPr>
                <w:rFonts w:ascii="宋体" w:hAnsi="宋体" w:eastAsia="宋体"/>
                <w:sz w:val="21"/>
                <w:szCs w:val="21"/>
              </w:rPr>
              <w:t>Philips</w:t>
            </w:r>
            <w:r>
              <w:rPr>
                <w:rFonts w:hint="eastAsia" w:ascii="宋体" w:hAnsi="宋体" w:eastAsia="宋体"/>
                <w:sz w:val="21"/>
                <w:szCs w:val="21"/>
                <w:lang w:eastAsia="zh-CN"/>
              </w:rPr>
              <w:t>、</w:t>
            </w:r>
            <w:r>
              <w:rPr>
                <w:rFonts w:hint="eastAsia" w:ascii="宋体" w:hAnsi="宋体" w:eastAsia="宋体"/>
                <w:sz w:val="21"/>
                <w:szCs w:val="21"/>
              </w:rPr>
              <w:t xml:space="preserve"> REGGIANI驱动电源。灯杆内分别预留</w:t>
            </w:r>
            <w:r>
              <w:rPr>
                <w:rFonts w:ascii="宋体" w:hAnsi="宋体" w:eastAsia="宋体"/>
                <w:sz w:val="21"/>
                <w:szCs w:val="21"/>
              </w:rPr>
              <w:t>3</w:t>
            </w:r>
            <w:r>
              <w:rPr>
                <w:rFonts w:hint="eastAsia" w:ascii="宋体" w:hAnsi="宋体" w:eastAsia="宋体"/>
                <w:sz w:val="21"/>
                <w:szCs w:val="21"/>
              </w:rPr>
              <w:t>米电源电缆。绝缘等级</w:t>
            </w:r>
            <w:r>
              <w:rPr>
                <w:rFonts w:ascii="宋体" w:hAnsi="宋体" w:eastAsia="宋体"/>
                <w:sz w:val="21"/>
                <w:szCs w:val="21"/>
              </w:rPr>
              <w:t>I</w:t>
            </w:r>
            <w:r>
              <w:rPr>
                <w:rFonts w:hint="eastAsia" w:ascii="宋体" w:hAnsi="宋体" w:eastAsia="宋体"/>
                <w:sz w:val="21"/>
                <w:szCs w:val="21"/>
              </w:rPr>
              <w:t>级，抗风等级</w:t>
            </w:r>
            <w:r>
              <w:rPr>
                <w:rFonts w:ascii="宋体" w:hAnsi="宋体" w:eastAsia="宋体"/>
                <w:sz w:val="21"/>
                <w:szCs w:val="21"/>
              </w:rPr>
              <w:t>12</w:t>
            </w:r>
            <w:r>
              <w:rPr>
                <w:rFonts w:hint="eastAsia" w:ascii="宋体" w:hAnsi="宋体" w:eastAsia="宋体"/>
                <w:sz w:val="21"/>
                <w:szCs w:val="21"/>
              </w:rPr>
              <w:t>级。</w:t>
            </w:r>
          </w:p>
        </w:tc>
      </w:tr>
    </w:tbl>
    <w:p>
      <w:pPr>
        <w:wordWrap w:val="0"/>
        <w:spacing w:line="360" w:lineRule="auto"/>
        <w:ind w:firstLine="482" w:firstLineChars="200"/>
        <w:contextualSpacing/>
        <w:rPr>
          <w:rFonts w:cs="宋体" w:asciiTheme="minorEastAsia" w:hAnsiTheme="minorEastAsia"/>
          <w:kern w:val="0"/>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三</w:t>
      </w: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强制性产品认证</w:t>
      </w:r>
    </w:p>
    <w:p>
      <w:pPr>
        <w:spacing w:line="360" w:lineRule="auto"/>
        <w:ind w:firstLine="480" w:firstLineChars="200"/>
        <w:contextualSpacing/>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并须在投标文件中提供：“所投产品符合国家强制性要求承诺函”并加盖投标人公章的原件扫描件（或</w:t>
      </w:r>
      <w:r>
        <w:rPr>
          <w:rFonts w:hint="eastAsia" w:cs="宋体" w:asciiTheme="minorEastAsia" w:hAnsiTheme="minorEastAsia"/>
          <w:color w:val="000000" w:themeColor="text1"/>
          <w:kern w:val="0"/>
          <w:sz w:val="24"/>
          <w:szCs w:val="24"/>
          <w14:textFill>
            <w14:solidFill>
              <w14:schemeClr w14:val="tx1"/>
            </w14:solidFill>
          </w14:textFill>
        </w:rPr>
        <w:t>图片）。</w:t>
      </w:r>
    </w:p>
    <w:p>
      <w:pPr>
        <w:spacing w:line="360" w:lineRule="auto"/>
        <w:ind w:firstLine="480" w:firstLineChars="200"/>
        <w:contextualSpacing/>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信息安全产品强制性</w:t>
      </w:r>
      <w:r>
        <w:rPr>
          <w:rFonts w:hint="eastAsia" w:cs="宋体" w:asciiTheme="minorEastAsia" w:hAnsiTheme="minorEastAsia"/>
          <w:color w:val="000000" w:themeColor="text1"/>
          <w:kern w:val="0"/>
          <w:sz w:val="24"/>
          <w:szCs w:val="24"/>
          <w14:textFill>
            <w14:solidFill>
              <w14:schemeClr w14:val="tx1"/>
            </w14:solidFill>
          </w14:textFill>
        </w:rPr>
        <w:t>认证</w:t>
      </w:r>
    </w:p>
    <w:p>
      <w:pPr>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“采购清单”中产品被列入</w:t>
      </w:r>
      <w:r>
        <w:rPr>
          <w:rFonts w:cs="宋体" w:asciiTheme="minorEastAsia" w:hAnsiTheme="minorEastAsia"/>
          <w:color w:val="000000" w:themeColor="text1"/>
          <w:kern w:val="0"/>
          <w:sz w:val="24"/>
          <w:szCs w:val="24"/>
          <w14:textFill>
            <w14:solidFill>
              <w14:schemeClr w14:val="tx1"/>
            </w14:solidFill>
          </w14:textFill>
        </w:rPr>
        <w:t>《信息安全产品强制性认证目录》，</w:t>
      </w:r>
      <w:r>
        <w:rPr>
          <w:rFonts w:hint="eastAsia" w:cs="宋体" w:asciiTheme="minorEastAsia" w:hAnsiTheme="minorEastAsia"/>
          <w:color w:val="000000" w:themeColor="text1"/>
          <w:kern w:val="0"/>
          <w:sz w:val="24"/>
          <w:szCs w:val="24"/>
          <w14:textFill>
            <w14:solidFill>
              <w14:schemeClr w14:val="tx1"/>
            </w14:solidFill>
          </w14:textFill>
        </w:rPr>
        <w:t>投标人</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并须在投标文件中提供：中国信息安全认证中心官网（</w:t>
      </w:r>
      <w:r>
        <w:rPr>
          <w:rFonts w:cs="宋体" w:asciiTheme="minorEastAsia" w:hAnsiTheme="minorEastAsia"/>
          <w:color w:val="000000" w:themeColor="text1"/>
          <w:kern w:val="0"/>
          <w:sz w:val="24"/>
          <w:szCs w:val="24"/>
          <w14:textFill>
            <w14:solidFill>
              <w14:schemeClr w14:val="tx1"/>
            </w14:solidFill>
          </w14:textFill>
        </w:rPr>
        <w:t>http://www.isccc.gov.cn/index.shtml</w:t>
      </w:r>
      <w:r>
        <w:rPr>
          <w:rFonts w:hint="eastAsia" w:cs="宋体" w:asciiTheme="minorEastAsia" w:hAnsiTheme="minorEastAsia"/>
          <w:color w:val="000000" w:themeColor="text1"/>
          <w:kern w:val="0"/>
          <w:sz w:val="24"/>
          <w:szCs w:val="24"/>
          <w14:textFill>
            <w14:solidFill>
              <w14:schemeClr w14:val="tx1"/>
            </w14:solidFill>
          </w14:textFill>
        </w:rPr>
        <w:t>）产品查询结果截图并加盖投标人公章的原件扫描件（或图片）</w:t>
      </w:r>
      <w:r>
        <w:rPr>
          <w:rFonts w:hint="eastAsia" w:cs="宋体" w:asciiTheme="minorEastAsia" w:hAnsiTheme="minorEastAsia"/>
          <w:b/>
          <w:color w:val="000000" w:themeColor="text1"/>
          <w:kern w:val="0"/>
          <w:sz w:val="24"/>
          <w:szCs w:val="24"/>
          <w14:textFill>
            <w14:solidFill>
              <w14:schemeClr w14:val="tx1"/>
            </w14:solidFill>
          </w14:textFill>
        </w:rPr>
        <w:t>或</w:t>
      </w:r>
      <w:r>
        <w:rPr>
          <w:rFonts w:hint="eastAsia" w:cs="宋体" w:asciiTheme="minorEastAsia" w:hAnsiTheme="minorEastAsia"/>
          <w:color w:val="000000" w:themeColor="text1"/>
          <w:kern w:val="0"/>
          <w:sz w:val="24"/>
          <w:szCs w:val="24"/>
          <w14:textFill>
            <w14:solidFill>
              <w14:schemeClr w14:val="tx1"/>
            </w14:solidFill>
          </w14:textFill>
        </w:rPr>
        <w:t>中国信息安全认证中心颁发的</w:t>
      </w:r>
      <w:r>
        <w:rPr>
          <w:rFonts w:cs="宋体" w:asciiTheme="minorEastAsia" w:hAnsiTheme="minorEastAsia"/>
          <w:color w:val="000000" w:themeColor="text1"/>
          <w:kern w:val="0"/>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"http://www.cnca.gov.cn/cnca/zwxx/ggxx/images/2010/07/19/A6C32D2A507AC2A38326896013A67542.doc" \t "_blank"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 w:val="24"/>
          <w:szCs w:val="24"/>
          <w14:textFill>
            <w14:solidFill>
              <w14:schemeClr w14:val="tx1"/>
            </w14:solidFill>
          </w14:textFill>
        </w:rPr>
        <w:t>中国国家信息安全产品认证证书</w:t>
      </w:r>
      <w:r>
        <w:rPr>
          <w:rFonts w:hint="eastAsia" w:cs="宋体" w:asciiTheme="minorEastAsia" w:hAnsiTheme="minorEastAsia"/>
          <w:color w:val="000000" w:themeColor="text1"/>
          <w:kern w:val="0"/>
          <w:sz w:val="24"/>
          <w:szCs w:val="24"/>
          <w14:textFill>
            <w14:solidFill>
              <w14:schemeClr w14:val="tx1"/>
            </w14:solidFill>
          </w14:textFill>
        </w:rPr>
        <w:fldChar w:fldCharType="end"/>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并加盖投标人公章的原件扫描件（或图片）。</w:t>
      </w:r>
    </w:p>
    <w:p>
      <w:pPr>
        <w:wordWrap w:val="0"/>
        <w:spacing w:line="360" w:lineRule="auto"/>
        <w:ind w:firstLine="482" w:firstLineChars="200"/>
        <w:contextualSpacing/>
        <w:rPr>
          <w:rFonts w:hint="eastAsia"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注：如采购人对采购清单中某货物要求提供强制性产品认证CCC或者信息安全产品强制性认证，则产品应被列入《中华人民共和国实施强制性产品认证的产品目录》、《信息安全产品强制性认证目录》并明确标明。若未在本章具体货物未标明，则投标人仅根据投标文件格式附件中“所投产品符合国家强制性要求承诺函”提供即可。</w:t>
      </w:r>
    </w:p>
    <w:p>
      <w:pPr>
        <w:widowControl/>
        <w:shd w:val="clear" w:color="auto" w:fill="FFFFFF"/>
        <w:spacing w:line="360" w:lineRule="auto"/>
        <w:contextualSpacing/>
        <w:jc w:val="left"/>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五、采购标的的其他技术、服务等要求</w:t>
      </w:r>
    </w:p>
    <w:p>
      <w:pPr>
        <w:spacing w:line="440" w:lineRule="exact"/>
        <w:ind w:firstLine="241" w:firstLineChars="100"/>
        <w:outlineLvl w:val="9"/>
        <w:rPr>
          <w:rFonts w:hint="eastAsia" w:ascii="宋体" w:cs="宋体"/>
          <w:color w:val="auto"/>
          <w:sz w:val="24"/>
          <w:szCs w:val="24"/>
          <w:lang w:val="zh-CN"/>
        </w:rPr>
      </w:pPr>
      <w:r>
        <w:rPr>
          <w:rFonts w:hint="eastAsia" w:ascii="宋体" w:cs="宋体"/>
          <w:b/>
          <w:bCs/>
          <w:color w:val="auto"/>
          <w:sz w:val="24"/>
          <w:szCs w:val="24"/>
          <w:lang w:val="en-US" w:eastAsia="zh-CN"/>
        </w:rPr>
        <w:t>1、无效投标情况：</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rPr>
      </w:pPr>
      <w:r>
        <w:rPr>
          <w:rFonts w:hint="eastAsia" w:hAnsi="宋体" w:cs="仿宋_GB2312"/>
          <w:sz w:val="24"/>
          <w:highlight w:val="none"/>
          <w:lang w:val="zh-CN"/>
        </w:rPr>
        <w:t>1</w:t>
      </w:r>
      <w:r>
        <w:rPr>
          <w:rFonts w:hint="eastAsia" w:hAnsi="宋体" w:cs="仿宋_GB2312"/>
          <w:sz w:val="24"/>
          <w:highlight w:val="none"/>
          <w:lang w:val="en-US" w:eastAsia="zh-CN"/>
        </w:rPr>
        <w:t xml:space="preserve">.1 </w:t>
      </w:r>
      <w:r>
        <w:rPr>
          <w:rFonts w:hint="eastAsia" w:hAnsi="宋体" w:cs="仿宋_GB2312"/>
          <w:sz w:val="24"/>
          <w:highlight w:val="none"/>
          <w:lang w:val="zh-CN"/>
        </w:rPr>
        <w:t>投标文件中须承诺送货到指定地点，并</w:t>
      </w:r>
      <w:r>
        <w:rPr>
          <w:rFonts w:hint="eastAsia" w:hAnsi="宋体" w:cs="仿宋_GB2312"/>
          <w:sz w:val="24"/>
          <w:highlight w:val="none"/>
          <w:lang w:val="en-US" w:eastAsia="zh-CN"/>
        </w:rPr>
        <w:t>指导</w:t>
      </w:r>
      <w:r>
        <w:rPr>
          <w:rFonts w:hint="eastAsia" w:hAnsi="宋体" w:cs="仿宋_GB2312"/>
          <w:sz w:val="24"/>
          <w:highlight w:val="none"/>
          <w:lang w:val="zh-CN"/>
        </w:rPr>
        <w:t>安装调试，</w:t>
      </w:r>
      <w:r>
        <w:rPr>
          <w:rFonts w:hint="eastAsia" w:hAnsi="宋体" w:cs="仿宋_GB2312"/>
          <w:sz w:val="24"/>
          <w:highlight w:val="none"/>
        </w:rPr>
        <w:t>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rPr>
      </w:pPr>
      <w:r>
        <w:rPr>
          <w:rFonts w:hint="eastAsia" w:hAnsi="宋体" w:cs="仿宋_GB2312"/>
          <w:sz w:val="24"/>
          <w:highlight w:val="none"/>
          <w:lang w:val="en-US" w:eastAsia="zh-CN"/>
        </w:rPr>
        <w:t xml:space="preserve">1.2 </w:t>
      </w:r>
      <w:r>
        <w:rPr>
          <w:rFonts w:hint="eastAsia" w:hAnsi="宋体" w:cs="仿宋_GB2312"/>
          <w:sz w:val="24"/>
          <w:highlight w:val="none"/>
          <w:lang w:val="zh-CN"/>
        </w:rPr>
        <w:t>投标人须明确投标产品的详细参数，</w:t>
      </w:r>
      <w:r>
        <w:rPr>
          <w:rFonts w:hint="eastAsia" w:hAnsi="宋体" w:cs="仿宋_GB2312"/>
          <w:sz w:val="24"/>
          <w:highlight w:val="none"/>
        </w:rPr>
        <w:t>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rPr>
      </w:pPr>
      <w:r>
        <w:rPr>
          <w:rFonts w:hint="eastAsia" w:hAnsi="宋体" w:cs="仿宋_GB2312"/>
          <w:sz w:val="24"/>
          <w:highlight w:val="none"/>
          <w:lang w:val="en-US" w:eastAsia="zh-CN"/>
        </w:rPr>
        <w:t xml:space="preserve">1.3 </w:t>
      </w:r>
      <w:r>
        <w:rPr>
          <w:rFonts w:hint="eastAsia" w:hAnsi="宋体" w:cs="仿宋_GB2312"/>
          <w:sz w:val="24"/>
          <w:highlight w:val="none"/>
          <w:lang w:val="zh-CN"/>
        </w:rPr>
        <w:t>投标人应就该项目完整投标，否则为无效投标。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rPr>
      </w:pPr>
      <w:r>
        <w:rPr>
          <w:rFonts w:hint="eastAsia" w:hAnsi="宋体" w:cs="仿宋_GB2312"/>
          <w:sz w:val="24"/>
          <w:highlight w:val="none"/>
          <w:lang w:val="en-US" w:eastAsia="zh-CN"/>
        </w:rPr>
        <w:t xml:space="preserve">1.4 </w:t>
      </w:r>
      <w:r>
        <w:rPr>
          <w:rFonts w:hint="eastAsia" w:hAnsi="宋体" w:cs="仿宋_GB2312"/>
          <w:sz w:val="24"/>
          <w:highlight w:val="none"/>
          <w:lang w:val="zh-CN"/>
        </w:rPr>
        <w:t>本招标文件所列需求为最低要求，投标产品不得低于最低要求，否则为无效投标。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eastAsia="zh-CN"/>
        </w:rPr>
      </w:pPr>
      <w:r>
        <w:rPr>
          <w:rFonts w:hint="eastAsia" w:hAnsi="宋体" w:cs="仿宋_GB2312"/>
          <w:sz w:val="24"/>
          <w:highlight w:val="none"/>
          <w:lang w:val="en-US" w:eastAsia="zh-CN"/>
        </w:rPr>
        <w:t>1.5</w:t>
      </w:r>
      <w:r>
        <w:rPr>
          <w:rFonts w:hint="eastAsia" w:hAnsi="宋体" w:cs="仿宋_GB2312"/>
          <w:sz w:val="24"/>
          <w:highlight w:val="none"/>
          <w:lang w:val="zh-CN" w:eastAsia="zh-CN"/>
        </w:rPr>
        <w:t>付款方式：经验收合格后无质量问题一次付清。不响应者为无效投标。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en-US" w:eastAsia="zh-CN"/>
        </w:rPr>
      </w:pPr>
      <w:r>
        <w:rPr>
          <w:rFonts w:hint="eastAsia" w:hAnsi="宋体" w:cs="仿宋_GB2312"/>
          <w:sz w:val="24"/>
          <w:highlight w:val="none"/>
          <w:lang w:val="en-US" w:eastAsia="zh-CN"/>
        </w:rPr>
        <w:t>1.6核心产品：庭院灯。</w:t>
      </w:r>
    </w:p>
    <w:p>
      <w:pPr>
        <w:ind w:firstLine="281" w:firstLineChars="100"/>
        <w:outlineLvl w:val="9"/>
        <w:rPr>
          <w:rFonts w:hint="eastAsia"/>
          <w:color w:val="auto"/>
          <w:lang w:val="zh-CN"/>
        </w:rPr>
      </w:pPr>
      <w:r>
        <w:rPr>
          <w:rFonts w:hint="eastAsia"/>
          <w:b/>
          <w:bCs/>
          <w:color w:val="auto"/>
          <w:sz w:val="28"/>
          <w:szCs w:val="28"/>
          <w:lang w:val="en-US" w:eastAsia="zh-CN"/>
        </w:rPr>
        <w:t>2、售后服务：</w:t>
      </w:r>
    </w:p>
    <w:p>
      <w:pPr>
        <w:spacing w:line="360" w:lineRule="auto"/>
        <w:ind w:firstLine="480" w:firstLineChars="200"/>
        <w:contextualSpacing/>
        <w:outlineLvl w:val="9"/>
        <w:rPr>
          <w:rFonts w:hint="eastAsia" w:ascii="宋体" w:cs="宋体"/>
          <w:color w:val="auto"/>
          <w:sz w:val="24"/>
          <w:lang w:val="zh-CN"/>
        </w:rPr>
      </w:pPr>
      <w:r>
        <w:rPr>
          <w:rFonts w:hint="eastAsia" w:ascii="宋体" w:cs="宋体"/>
          <w:color w:val="auto"/>
          <w:sz w:val="24"/>
          <w:lang w:val="en-US" w:eastAsia="zh-CN"/>
        </w:rPr>
        <w:t>2.1</w:t>
      </w:r>
      <w:r>
        <w:rPr>
          <w:rFonts w:hint="eastAsia" w:ascii="宋体" w:cs="宋体"/>
          <w:color w:val="auto"/>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outlineLvl w:val="9"/>
        <w:rPr>
          <w:rFonts w:hint="eastAsia" w:cs="微软雅黑" w:asciiTheme="minorEastAsia" w:hAnsiTheme="minorEastAsia"/>
          <w:b/>
          <w:color w:val="FF0000"/>
          <w:sz w:val="24"/>
          <w:szCs w:val="24"/>
        </w:rPr>
      </w:pPr>
      <w:r>
        <w:rPr>
          <w:rFonts w:hint="eastAsia" w:ascii="宋体" w:cs="宋体"/>
          <w:color w:val="auto"/>
          <w:sz w:val="24"/>
          <w:lang w:val="en-US" w:eastAsia="zh-CN"/>
        </w:rPr>
        <w:t>2.2</w:t>
      </w:r>
      <w:r>
        <w:rPr>
          <w:rFonts w:hint="eastAsia" w:ascii="宋体" w:cs="宋体"/>
          <w:color w:val="auto"/>
          <w:sz w:val="24"/>
          <w:lang w:val="zh-CN"/>
        </w:rPr>
        <w:t>投标人必须须明确维修点地址、负责人、联系人和联系电话，维修点具备什么样的维修能力等详细资料。</w:t>
      </w:r>
    </w:p>
    <w:p>
      <w:pPr>
        <w:widowControl/>
        <w:shd w:val="clear" w:color="auto" w:fill="FFFFFF"/>
        <w:spacing w:line="360" w:lineRule="auto"/>
        <w:contextualSpacing/>
        <w:jc w:val="left"/>
        <w:rPr>
          <w:rFonts w:ascii="楷体" w:hAnsi="楷体" w:eastAsia="楷体" w:cs="宋体"/>
          <w:color w:val="000000" w:themeColor="text1"/>
          <w:kern w:val="0"/>
          <w:sz w:val="28"/>
          <w:szCs w:val="28"/>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本项目为交钥匙工程（包括制作、运输、验收等产生的所有费用）。</w:t>
      </w:r>
    </w:p>
    <w:p>
      <w:pPr>
        <w:pStyle w:val="19"/>
        <w:widowControl/>
        <w:shd w:val="clear" w:color="auto" w:fill="FFFFFF"/>
        <w:spacing w:line="360" w:lineRule="auto"/>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14:textFill>
            <w14:solidFill>
              <w14:schemeClr w14:val="tx1"/>
            </w14:solidFill>
          </w14:textFill>
        </w:rPr>
        <w:t>★</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七、本项目预算金额</w:t>
      </w:r>
      <w:r>
        <w:rPr>
          <w:rFonts w:hint="eastAsia" w:ascii="仿宋" w:hAnsi="仿宋" w:eastAsia="仿宋" w:cs="仿宋"/>
          <w:b w:val="0"/>
          <w:bCs/>
          <w:color w:val="000000" w:themeColor="text1"/>
          <w:kern w:val="0"/>
          <w:sz w:val="28"/>
          <w:szCs w:val="28"/>
          <w:highlight w:val="none"/>
          <w14:textFill>
            <w14:solidFill>
              <w14:schemeClr w14:val="tx1"/>
            </w14:solidFill>
          </w14:textFill>
        </w:rPr>
        <w:t>：</w:t>
      </w:r>
      <w:r>
        <w:rPr>
          <w:rFonts w:hint="eastAsia" w:cs="黑体" w:asciiTheme="minorEastAsia" w:hAnsiTheme="minorEastAsia" w:eastAsiaTheme="minorEastAsia"/>
          <w:b/>
          <w:bCs/>
          <w:color w:val="000000" w:themeColor="text1"/>
          <w:shd w:val="clear" w:color="auto" w:fill="FFFFFF"/>
          <w:lang w:val="en-US" w:eastAsia="zh-CN"/>
          <w14:textFill>
            <w14:solidFill>
              <w14:schemeClr w14:val="tx1"/>
            </w14:solidFill>
          </w14:textFill>
        </w:rPr>
        <w:t>735998.89</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元。最高限价 ：</w:t>
      </w:r>
      <w:r>
        <w:rPr>
          <w:rFonts w:hint="eastAsia" w:cs="黑体" w:asciiTheme="minorEastAsia" w:hAnsiTheme="minorEastAsia" w:eastAsiaTheme="minorEastAsia"/>
          <w:b/>
          <w:bCs/>
          <w:color w:val="000000" w:themeColor="text1"/>
          <w:shd w:val="clear" w:color="auto" w:fill="FFFFFF"/>
          <w:lang w:val="en-US" w:eastAsia="zh-CN"/>
          <w14:textFill>
            <w14:solidFill>
              <w14:schemeClr w14:val="tx1"/>
            </w14:solidFill>
          </w14:textFill>
        </w:rPr>
        <w:t>735998.89</w:t>
      </w:r>
      <w:r>
        <w:rPr>
          <w:rFonts w:hint="eastAsia" w:cs="黑体" w:asciiTheme="minorEastAsia" w:hAnsiTheme="minorEastAsia" w:eastAsiaTheme="minorEastAsia"/>
          <w:b/>
          <w:bCs/>
          <w:color w:val="000000" w:themeColor="text1"/>
          <w:shd w:val="clear" w:color="auto" w:fill="FFFFFF"/>
          <w:lang w:val="zh-CN"/>
          <w14:textFill>
            <w14:solidFill>
              <w14:schemeClr w14:val="tx1"/>
            </w14:solidFill>
          </w14:textFill>
        </w:rPr>
        <w:t>元。超出最高</w:t>
      </w:r>
      <w:r>
        <w:rPr>
          <w:rFonts w:hint="eastAsia" w:cs="宋体" w:asciiTheme="minorEastAsia" w:hAnsiTheme="minorEastAsia" w:eastAsiaTheme="minorEastAsia"/>
          <w:b/>
          <w:color w:val="000000" w:themeColor="text1"/>
          <w:kern w:val="0"/>
          <w:lang w:val="zh-CN"/>
          <w14:textFill>
            <w14:solidFill>
              <w14:schemeClr w14:val="tx1"/>
            </w14:solidFill>
          </w14:textFill>
        </w:rPr>
        <w:t>限价的投标无效。</w:t>
      </w:r>
    </w:p>
    <w:p>
      <w:pPr>
        <w:widowControl/>
        <w:shd w:val="clear" w:color="auto" w:fill="FFFFFF"/>
        <w:spacing w:line="360" w:lineRule="auto"/>
        <w:contextualSpacing/>
        <w:jc w:val="left"/>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八、资金支付</w:t>
      </w:r>
    </w:p>
    <w:p>
      <w:pPr>
        <w:widowControl/>
        <w:tabs>
          <w:tab w:val="left" w:pos="636"/>
        </w:tabs>
        <w:snapToGrid w:val="0"/>
        <w:spacing w:line="460" w:lineRule="exact"/>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kern w:val="0"/>
          <w:sz w:val="24"/>
          <w:szCs w:val="24"/>
          <w:highlight w:val="none"/>
        </w:rPr>
        <w:t>一次性以银行划账、电汇、汇票或支票的形式支付。</w:t>
      </w:r>
    </w:p>
    <w:p>
      <w:pPr>
        <w:spacing w:line="360" w:lineRule="auto"/>
        <w:ind w:firstLine="420" w:firstLineChars="0"/>
        <w:contextualSpacing/>
        <w:outlineLvl w:val="9"/>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cs="宋体"/>
          <w:b w:val="0"/>
          <w:bCs w:val="0"/>
          <w:color w:val="auto"/>
          <w:sz w:val="24"/>
          <w:szCs w:val="24"/>
          <w:lang w:val="zh-CN" w:eastAsia="zh-CN"/>
        </w:rPr>
        <w:t>经验收合格后无质量问题一次付清。不响应者为无效投标。</w:t>
      </w:r>
    </w:p>
    <w:p>
      <w:pPr>
        <w:widowControl/>
        <w:shd w:val="clear" w:color="auto" w:fill="FFFFFF"/>
        <w:spacing w:line="360" w:lineRule="auto"/>
        <w:ind w:firstLine="480" w:firstLineChars="200"/>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vAlign w:val="top"/>
          </w:tcPr>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项目名称：许昌市东城区鹿鸣湖景观灯采购项目</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项目编号：JZFCG-G2018016号</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采购方式：公开招标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项目内容：采购景观灯230个</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项目地址：许昌市学院北路与陈庄街路口鹿鸣湖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名称：许昌市东城区市政管理中心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地址：许昌市东城区新兴路东段</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联系人：靳兆阳        电话：13897487618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名称：山东天马招标代理有限公司</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地址：许昌市创业服务中心D座709室</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联系人：赵颖颖        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bCs/>
                <w:color w:val="000000" w:themeColor="text1"/>
                <w:sz w:val="24"/>
                <w:szCs w:val="24"/>
                <w:lang w:val="zh-CN"/>
                <w14:textFill>
                  <w14:solidFill>
                    <w14:schemeClr w14:val="tx1"/>
                  </w14:solidFill>
                </w14:textFill>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bCs/>
                <w:color w:val="000000" w:themeColor="text1"/>
                <w:sz w:val="24"/>
                <w:szCs w:val="24"/>
                <w:lang w:val="zh-CN"/>
                <w14:textFill>
                  <w14:solidFill>
                    <w14:schemeClr w14:val="tx1"/>
                  </w14:solidFill>
                </w14:textFill>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eastAsia="zh-CN"/>
              </w:rPr>
              <w:t>七</w:t>
            </w:r>
            <w:r>
              <w:rPr>
                <w:rFonts w:hint="eastAsia" w:cs="宋体" w:asciiTheme="minorEastAsia" w:hAnsiTheme="minorEastAsia"/>
                <w:b/>
                <w:bCs/>
                <w:sz w:val="24"/>
                <w:szCs w:val="24"/>
                <w:lang w:val="zh-CN"/>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联合体</w:t>
            </w:r>
            <w:r>
              <w:rPr>
                <w:rFonts w:hint="eastAsia" w:cs="宋体" w:asciiTheme="minorEastAsia" w:hAnsiTheme="minorEastAsia"/>
                <w:bCs/>
                <w:sz w:val="24"/>
                <w:szCs w:val="24"/>
                <w:lang w:val="zh-CN"/>
              </w:rPr>
              <w:t>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val="0"/>
                <w:sz w:val="24"/>
                <w:szCs w:val="24"/>
                <w:lang w:val="zh-CN"/>
              </w:rPr>
            </w:pPr>
            <w:r>
              <w:rPr>
                <w:rFonts w:hint="eastAsia" w:cs="宋体" w:asciiTheme="minorEastAsia" w:hAnsiTheme="minorEastAsia"/>
                <w:bCs/>
                <w:sz w:val="24"/>
                <w:szCs w:val="24"/>
                <w:lang w:val="en-US" w:eastAsia="zh-CN"/>
              </w:rPr>
              <w:t>735998.89</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投标有效</w:t>
            </w:r>
            <w:r>
              <w:rPr>
                <w:rFonts w:hint="eastAsia" w:cs="仿宋_GB2312" w:asciiTheme="minorEastAsia" w:hAnsiTheme="minorEastAsia"/>
                <w:sz w:val="24"/>
                <w:szCs w:val="24"/>
              </w:rPr>
              <w:t>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 xml:space="preserve"> 月 </w:t>
            </w:r>
            <w:r>
              <w:rPr>
                <w:rFonts w:hint="eastAsia" w:cs="宋体" w:asciiTheme="minorEastAsia" w:hAnsiTheme="minorEastAsia"/>
                <w:bCs/>
                <w:sz w:val="24"/>
                <w:szCs w:val="24"/>
                <w:lang w:val="en-US" w:eastAsia="zh-CN"/>
              </w:rPr>
              <w:t>16</w:t>
            </w:r>
            <w:r>
              <w:rPr>
                <w:rFonts w:hint="eastAsia" w:cs="宋体" w:asciiTheme="minorEastAsia" w:hAnsiTheme="minorEastAsia"/>
                <w:bCs/>
                <w:sz w:val="24"/>
                <w:szCs w:val="24"/>
                <w:lang w:val="zh-CN"/>
              </w:rPr>
              <w:t xml:space="preserve"> 日 </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 xml:space="preserve"> 时 </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u w:val="single"/>
                <w:lang w:val="en-US" w:eastAsia="zh-CN"/>
              </w:rPr>
              <w:t xml:space="preserve">二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spacing w:line="360" w:lineRule="auto"/>
              <w:contextualSpacing/>
              <w:rPr>
                <w:rFonts w:hint="eastAsia"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en-US" w:eastAsia="zh-CN"/>
                <w14:textFill>
                  <w14:solidFill>
                    <w14:schemeClr w14:val="tx1"/>
                  </w14:solidFill>
                </w14:textFill>
              </w:rPr>
              <w:t>金额：</w:t>
            </w:r>
            <w:r>
              <w:rPr>
                <w:rFonts w:hint="eastAsia" w:ascii="宋体" w:cs="宋体"/>
                <w:bCs/>
                <w:color w:val="000000" w:themeColor="text1"/>
                <w:sz w:val="24"/>
                <w:highlight w:val="none"/>
                <w:lang w:val="zh-CN"/>
                <w14:textFill>
                  <w14:solidFill>
                    <w14:schemeClr w14:val="tx1"/>
                  </w14:solidFill>
                </w14:textFill>
              </w:rPr>
              <w:t>壹万肆仟元整（</w:t>
            </w:r>
            <w:r>
              <w:rPr>
                <w:rFonts w:hint="eastAsia" w:cs="宋体" w:asciiTheme="minorEastAsia" w:hAnsiTheme="minorEastAsia"/>
                <w:bCs/>
                <w:color w:val="000000" w:themeColor="text1"/>
                <w:sz w:val="24"/>
                <w:highlight w:val="none"/>
                <w:lang w:val="zh-CN"/>
                <w14:textFill>
                  <w14:solidFill>
                    <w14:schemeClr w14:val="tx1"/>
                  </w14:solidFill>
                </w14:textFill>
              </w:rPr>
              <w:t xml:space="preserve">¥ </w:t>
            </w:r>
            <w:r>
              <w:rPr>
                <w:rFonts w:hint="eastAsia" w:cs="宋体" w:asciiTheme="minorEastAsia" w:hAnsiTheme="minorEastAsia"/>
                <w:bCs/>
                <w:color w:val="000000" w:themeColor="text1"/>
                <w:sz w:val="24"/>
                <w:highlight w:val="none"/>
                <w:lang w:val="en-US" w:eastAsia="zh-CN"/>
                <w14:textFill>
                  <w14:solidFill>
                    <w14:schemeClr w14:val="tx1"/>
                  </w14:solidFill>
                </w14:textFill>
              </w:rPr>
              <w:t>14000.00元</w:t>
            </w:r>
            <w:r>
              <w:rPr>
                <w:rFonts w:hint="eastAsia" w:ascii="宋体" w:cs="宋体"/>
                <w:bCs/>
                <w:color w:val="000000" w:themeColor="text1"/>
                <w:sz w:val="24"/>
                <w:highlight w:val="none"/>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hint="eastAsia"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1363125290@qq.com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14:textFill>
                  <w14:solidFill>
                    <w14:schemeClr w14:val="tx1"/>
                  </w14:solidFill>
                </w14:textFill>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14:textFill>
                  <w14:solidFill>
                    <w14:schemeClr w14:val="tx1"/>
                  </w14:solidFill>
                </w14:textFill>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7"/>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szCs w:val="24"/>
          <w:lang w:val="zh-CN"/>
        </w:rPr>
      </w:pPr>
      <w:r>
        <w:rPr>
          <w:rFonts w:hint="eastAsia" w:cs="仿宋_GB2312" w:asciiTheme="minorEastAsia" w:hAnsiTheme="minorEastAsia" w:eastAsiaTheme="minorEastAsia"/>
          <w:b/>
          <w:szCs w:val="24"/>
          <w:lang w:val="en-US" w:eastAsia="zh-CN"/>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jc w:val="left"/>
        <w:rPr>
          <w:rFonts w:hint="eastAsia" w:cs="仿宋_GB2312" w:asciiTheme="minorEastAsia" w:hAnsiTheme="minorEastAsia"/>
          <w:szCs w:val="24"/>
          <w:lang w:val="zh-CN"/>
        </w:rPr>
      </w:pPr>
      <w:r>
        <w:rPr>
          <w:rFonts w:hint="eastAsia" w:cs="仿宋_GB2312" w:asciiTheme="minorEastAsia" w:hAnsiTheme="minorEastAsia"/>
          <w:b/>
          <w:bCs/>
          <w:szCs w:val="24"/>
          <w:lang w:val="zh-CN"/>
        </w:rPr>
        <w:t>注：</w:t>
      </w:r>
      <w:r>
        <w:rPr>
          <w:rFonts w:hint="eastAsia" w:cs="仿宋_GB2312" w:asciiTheme="minorEastAsia" w:hAnsiTheme="minorEastAsia" w:eastAsiaTheme="minorEastAsia"/>
          <w:b/>
          <w:bCs/>
          <w:szCs w:val="24"/>
          <w:lang w:val="zh-CN"/>
        </w:rPr>
        <w:t>评标标准中所涉及</w:t>
      </w:r>
      <w:r>
        <w:rPr>
          <w:rFonts w:hint="eastAsia" w:cs="仿宋_GB2312" w:asciiTheme="minorEastAsia" w:hAnsiTheme="minorEastAsia"/>
          <w:b/>
          <w:bCs/>
          <w:szCs w:val="24"/>
          <w:lang w:val="zh-CN"/>
        </w:rPr>
        <w:t>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1）投标人所投产品如被列入</w:t>
      </w:r>
      <w:r>
        <w:rPr>
          <w:rFonts w:cs="仿宋_GB2312" w:asciiTheme="minorEastAsia" w:hAnsiTheme="minorEastAsia" w:eastAsiaTheme="minorEastAsia"/>
          <w:kern w:val="2"/>
          <w:sz w:val="24"/>
          <w:szCs w:val="24"/>
          <w:lang w:val="zh-CN" w:eastAsia="zh-CN" w:bidi="ar-SA"/>
        </w:rPr>
        <w:t>《中华人民共和国实施强制性产品认证的产品目录》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a.中国国家认证认可监督管理委员会官网（</w:t>
      </w:r>
      <w:r>
        <w:rPr>
          <w:rFonts w:cs="仿宋_GB2312" w:asciiTheme="minorEastAsia" w:hAnsiTheme="minorEastAsia" w:eastAsiaTheme="minorEastAsia"/>
          <w:kern w:val="2"/>
          <w:sz w:val="24"/>
          <w:szCs w:val="24"/>
          <w:lang w:val="zh-CN" w:eastAsia="zh-CN" w:bidi="ar-SA"/>
        </w:rPr>
        <w:fldChar w:fldCharType="begin"/>
      </w:r>
      <w:r>
        <w:rPr>
          <w:rFonts w:cs="仿宋_GB2312" w:asciiTheme="minorEastAsia" w:hAnsiTheme="minorEastAsia" w:eastAsiaTheme="minorEastAsia"/>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kern w:val="2"/>
          <w:sz w:val="24"/>
          <w:szCs w:val="24"/>
          <w:lang w:val="zh-CN" w:eastAsia="zh-CN" w:bidi="ar-SA"/>
        </w:rPr>
        <w:fldChar w:fldCharType="separate"/>
      </w:r>
      <w:r>
        <w:rPr>
          <w:rFonts w:hint="eastAsia" w:cs="仿宋_GB2312" w:asciiTheme="minorEastAsia" w:hAnsiTheme="minorEastAsia" w:eastAsiaTheme="minorEastAsia"/>
          <w:kern w:val="2"/>
          <w:sz w:val="24"/>
          <w:szCs w:val="24"/>
          <w:lang w:val="zh-CN" w:eastAsia="zh-CN" w:bidi="ar-SA"/>
        </w:rPr>
        <w:t>http://cx.cnca.cn/rjwcx/web/cert/index.do</w:t>
      </w:r>
      <w:r>
        <w:rPr>
          <w:rFonts w:hint="eastAsia" w:cs="仿宋_GB2312" w:asciiTheme="minorEastAsia" w:hAnsiTheme="minorEastAsia" w:eastAsiaTheme="minorEastAsia"/>
          <w:kern w:val="2"/>
          <w:sz w:val="24"/>
          <w:szCs w:val="24"/>
          <w:lang w:val="zh-CN" w:eastAsia="zh-CN" w:bidi="ar-SA"/>
        </w:rPr>
        <w:fldChar w:fldCharType="end"/>
      </w:r>
      <w:r>
        <w:rPr>
          <w:rFonts w:hint="eastAsia" w:cs="仿宋_GB2312" w:asciiTheme="minorEastAsia" w:hAnsiTheme="minorEastAsia" w:eastAsiaTheme="minorEastAsia"/>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2)投标人所投产品如被列入</w:t>
      </w:r>
      <w:r>
        <w:rPr>
          <w:rFonts w:cs="仿宋_GB2312" w:asciiTheme="minorEastAsia" w:hAnsiTheme="minorEastAsia" w:eastAsiaTheme="minorEastAsia"/>
          <w:kern w:val="2"/>
          <w:sz w:val="24"/>
          <w:szCs w:val="24"/>
          <w:lang w:val="zh-CN" w:eastAsia="zh-CN" w:bidi="ar-SA"/>
        </w:rPr>
        <w:t>《信息安全产品强制性认证目录》，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 中国信息安全认证中心官网（</w:t>
      </w:r>
      <w:r>
        <w:rPr>
          <w:rFonts w:cs="仿宋_GB2312" w:asciiTheme="minorEastAsia" w:hAnsiTheme="minorEastAsia" w:eastAsiaTheme="minorEastAsia"/>
          <w:kern w:val="2"/>
          <w:sz w:val="24"/>
          <w:szCs w:val="24"/>
          <w:lang w:val="zh-CN" w:eastAsia="zh-CN" w:bidi="ar-SA"/>
        </w:rPr>
        <w:t>http://www.isccc.gov.cn/index.shtml</w:t>
      </w:r>
      <w:r>
        <w:rPr>
          <w:rFonts w:hint="eastAsia" w:cs="仿宋_GB2312" w:asciiTheme="minorEastAsia" w:hAnsiTheme="minorEastAsia" w:eastAsiaTheme="minorEastAsia"/>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价格分值：</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30</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商务部分：</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23</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技术部分：</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47</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价格部分（满分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30</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投标报价</w:t>
            </w:r>
          </w:p>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评分标准</w:t>
            </w:r>
          </w:p>
        </w:tc>
        <w:tc>
          <w:tcPr>
            <w:tcW w:w="6237" w:type="dxa"/>
            <w:tcBorders>
              <w:top w:val="single" w:color="auto" w:sz="4" w:space="0"/>
            </w:tcBorders>
            <w:vAlign w:val="center"/>
          </w:tcPr>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评标基准价：满足招标文件要求的有效投标报价中，最低的投标报价为评标基准价。</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投标报价得分=（评标基准价/投标报价）×</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30</w:t>
            </w:r>
            <w:r>
              <w:rPr>
                <w:rFonts w:hint="eastAsia" w:asciiTheme="minorEastAsia" w:hAnsiTheme="minorEastAsia"/>
                <w:color w:val="000000" w:themeColor="text1"/>
                <w:sz w:val="24"/>
                <w:szCs w:val="24"/>
                <w:u w:val="single"/>
                <w14:textFill>
                  <w14:solidFill>
                    <w14:schemeClr w14:val="tx1"/>
                  </w14:solidFill>
                </w14:textFill>
              </w:rPr>
              <w:t xml:space="preserve"> </w:t>
            </w:r>
          </w:p>
        </w:tc>
        <w:tc>
          <w:tcPr>
            <w:tcW w:w="967" w:type="dxa"/>
            <w:tcBorders>
              <w:top w:val="single" w:color="auto" w:sz="4" w:space="0"/>
            </w:tcBorders>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30</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14:textFill>
                  <w14:solidFill>
                    <w14:schemeClr w14:val="tx1"/>
                  </w14:solidFill>
                </w14:textFill>
              </w:rPr>
              <w:t>商务部分（满分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23</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23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hint="eastAsia" w:asciiTheme="minorEastAsia" w:hAnsiTheme="minorEastAsia"/>
                <w:sz w:val="24"/>
                <w:szCs w:val="24"/>
                <w:lang w:val="en-US" w:eastAsia="zh-CN"/>
              </w:rPr>
              <w:t>1</w:t>
            </w:r>
            <w:r>
              <w:rPr>
                <w:rFonts w:hint="eastAsia" w:asciiTheme="minorEastAsia" w:hAnsiTheme="minorEastAsia"/>
                <w:sz w:val="24"/>
                <w:szCs w:val="24"/>
              </w:rPr>
              <w:t>分。</w:t>
            </w:r>
          </w:p>
          <w:p>
            <w:pPr>
              <w:spacing w:line="360" w:lineRule="auto"/>
              <w:rPr>
                <w:rFonts w:cs="Times New Roman" w:asciiTheme="minorEastAsia" w:hAnsiTheme="minorEastAsia"/>
                <w:b/>
                <w:i/>
                <w:color w:val="558ED5" w:themeColor="text2" w:themeTint="99"/>
                <w:kern w:val="0"/>
                <w:sz w:val="24"/>
                <w:szCs w:val="24"/>
                <w14:textFill>
                  <w14:solidFill>
                    <w14:schemeClr w14:val="tx2">
                      <w14:lumMod w14:val="60000"/>
                      <w14:lumOff w14:val="40000"/>
                    </w14:schemeClr>
                  </w14:solidFill>
                </w14:textFill>
              </w:rPr>
            </w:pPr>
            <w:r>
              <w:rPr>
                <w:rFonts w:hint="eastAsia" w:asciiTheme="minorEastAsia" w:hAnsiTheme="minorEastAsia"/>
                <w:sz w:val="24"/>
                <w:szCs w:val="24"/>
              </w:rPr>
              <w:t>2、投标人提供企业所在地税务主管部门出具的纳税情况证明等信用情况（加盖企业所在地税务主管部门公章），无不良信息者每项</w:t>
            </w:r>
            <w:r>
              <w:rPr>
                <w:rFonts w:hint="eastAsia" w:asciiTheme="minorEastAsia" w:hAnsiTheme="minorEastAsia"/>
                <w:sz w:val="24"/>
                <w:szCs w:val="24"/>
                <w:lang w:val="en-US" w:eastAsia="zh-CN"/>
              </w:rPr>
              <w:t>1</w:t>
            </w:r>
            <w:r>
              <w:rPr>
                <w:rFonts w:hint="eastAsia" w:asciiTheme="minorEastAsia" w:hAnsiTheme="minorEastAsia"/>
                <w:sz w:val="24"/>
                <w:szCs w:val="24"/>
              </w:rPr>
              <w:t>分，未提供或有不良信息者不得分，满分1分。</w:t>
            </w:r>
          </w:p>
        </w:tc>
        <w:tc>
          <w:tcPr>
            <w:tcW w:w="967" w:type="dxa"/>
            <w:vAlign w:val="center"/>
          </w:tcPr>
          <w:p>
            <w:pPr>
              <w:jc w:val="center"/>
              <w:rPr>
                <w:rFonts w:ascii="仿宋" w:hAnsi="仿宋" w:eastAsia="仿宋"/>
                <w:sz w:val="28"/>
                <w:szCs w:val="28"/>
              </w:rPr>
            </w:pPr>
            <w:r>
              <w:rPr>
                <w:rFonts w:hint="eastAsia" w:asciiTheme="minorEastAsia" w:hAnsiTheme="minorEastAsia"/>
                <w:sz w:val="24"/>
                <w:szCs w:val="24"/>
                <w:lang w:val="en-US" w:eastAsia="zh-CN"/>
              </w:rPr>
              <w:t>2</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Theme="minorEastAsia" w:hAnsiTheme="minorEastAsia"/>
                <w:sz w:val="24"/>
                <w:szCs w:val="24"/>
              </w:rPr>
            </w:pPr>
          </w:p>
          <w:p>
            <w:pPr>
              <w:spacing w:line="360" w:lineRule="exact"/>
              <w:jc w:val="center"/>
              <w:rPr>
                <w:rFonts w:hint="eastAsia" w:asciiTheme="minorEastAsia" w:hAnsiTheme="minorEastAsia"/>
                <w:sz w:val="24"/>
                <w:szCs w:val="24"/>
              </w:rPr>
            </w:pPr>
          </w:p>
          <w:p>
            <w:pPr>
              <w:spacing w:line="360" w:lineRule="exact"/>
              <w:jc w:val="center"/>
              <w:rPr>
                <w:rFonts w:hint="eastAsia" w:asciiTheme="minorEastAsia" w:hAnsiTheme="minorEastAsia"/>
                <w:sz w:val="24"/>
                <w:szCs w:val="24"/>
              </w:rPr>
            </w:pPr>
          </w:p>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cs="仿宋_GB2312" w:asciiTheme="minorEastAsia" w:hAnsiTheme="minorEastAsia"/>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ascii="宋体" w:hAnsi="宋体"/>
                <w:color w:val="000000"/>
                <w:sz w:val="24"/>
                <w:szCs w:val="24"/>
                <w:lang w:val="en-GB"/>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lang w:val="en-US" w:eastAsia="zh-CN"/>
              </w:rPr>
              <w:t>1</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信誉</w:t>
            </w:r>
          </w:p>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3</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p>
            <w:pPr>
              <w:spacing w:line="360" w:lineRule="auto"/>
              <w:jc w:val="center"/>
              <w:rPr>
                <w:rFonts w:ascii="仿宋" w:hAnsi="仿宋" w:eastAsia="仿宋"/>
                <w:sz w:val="28"/>
                <w:szCs w:val="28"/>
              </w:rPr>
            </w:pP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ascii="仿宋" w:hAnsi="仿宋" w:eastAsia="仿宋"/>
                <w:b/>
                <w:color w:val="000000" w:themeColor="text1"/>
                <w:sz w:val="24"/>
                <w:szCs w:val="24"/>
                <w14:textFill>
                  <w14:solidFill>
                    <w14:schemeClr w14:val="tx1"/>
                  </w14:solidFill>
                </w14:textFill>
              </w:rPr>
            </w:pPr>
            <w:r>
              <w:rPr>
                <w:rFonts w:hint="eastAsia" w:ascii="宋体" w:cs="宋体"/>
                <w:color w:val="000000" w:themeColor="text1"/>
                <w:sz w:val="24"/>
                <w14:textFill>
                  <w14:solidFill>
                    <w14:schemeClr w14:val="tx1"/>
                  </w14:solidFill>
                </w14:textFill>
              </w:rPr>
              <w:t>投标人具有</w:t>
            </w:r>
            <w:r>
              <w:rPr>
                <w:rFonts w:ascii="宋体" w:cs="宋体"/>
                <w:color w:val="000000" w:themeColor="text1"/>
                <w:sz w:val="24"/>
                <w14:textFill>
                  <w14:solidFill>
                    <w14:schemeClr w14:val="tx1"/>
                  </w14:solidFill>
                </w14:textFill>
              </w:rPr>
              <w:t>ISO9001</w:t>
            </w:r>
            <w:r>
              <w:rPr>
                <w:rFonts w:hint="eastAsia" w:ascii="宋体" w:cs="宋体"/>
                <w:color w:val="000000" w:themeColor="text1"/>
                <w:sz w:val="24"/>
                <w14:textFill>
                  <w14:solidFill>
                    <w14:schemeClr w14:val="tx1"/>
                  </w14:solidFill>
                </w14:textFill>
              </w:rPr>
              <w:t>质量管理体系认证</w:t>
            </w:r>
            <w:r>
              <w:rPr>
                <w:rFonts w:hint="eastAsia" w:ascii="宋体" w:cs="宋体"/>
                <w:color w:val="000000" w:themeColor="text1"/>
                <w:sz w:val="24"/>
                <w:lang w:eastAsia="zh-CN"/>
                <w14:textFill>
                  <w14:solidFill>
                    <w14:schemeClr w14:val="tx1"/>
                  </w14:solidFill>
                </w14:textFill>
              </w:rPr>
              <w:t>、</w:t>
            </w:r>
            <w:r>
              <w:rPr>
                <w:rFonts w:ascii="宋体" w:cs="宋体"/>
                <w:color w:val="000000" w:themeColor="text1"/>
                <w:sz w:val="24"/>
                <w14:textFill>
                  <w14:solidFill>
                    <w14:schemeClr w14:val="tx1"/>
                  </w14:solidFill>
                </w14:textFill>
              </w:rPr>
              <w:t>ISO14001</w:t>
            </w:r>
            <w:r>
              <w:rPr>
                <w:rFonts w:hint="eastAsia" w:ascii="宋体" w:cs="宋体"/>
                <w:color w:val="000000" w:themeColor="text1"/>
                <w:sz w:val="24"/>
                <w14:textFill>
                  <w14:solidFill>
                    <w14:schemeClr w14:val="tx1"/>
                  </w14:solidFill>
                </w14:textFill>
              </w:rPr>
              <w:t>环境管理体系认证</w:t>
            </w:r>
            <w:r>
              <w:rPr>
                <w:rFonts w:hint="eastAsia" w:ascii="宋体" w:cs="宋体"/>
                <w:color w:val="000000" w:themeColor="text1"/>
                <w:sz w:val="24"/>
                <w:lang w:eastAsia="zh-CN"/>
                <w14:textFill>
                  <w14:solidFill>
                    <w14:schemeClr w14:val="tx1"/>
                  </w14:solidFill>
                </w14:textFill>
              </w:rPr>
              <w:t>、</w:t>
            </w:r>
            <w:r>
              <w:rPr>
                <w:rFonts w:ascii="宋体" w:cs="宋体"/>
                <w:color w:val="000000" w:themeColor="text1"/>
                <w:sz w:val="24"/>
                <w14:textFill>
                  <w14:solidFill>
                    <w14:schemeClr w14:val="tx1"/>
                  </w14:solidFill>
                </w14:textFill>
              </w:rPr>
              <w:t>OHSAS18001</w:t>
            </w:r>
            <w:r>
              <w:rPr>
                <w:rFonts w:hint="eastAsia" w:ascii="宋体" w:cs="宋体"/>
                <w:color w:val="000000" w:themeColor="text1"/>
                <w:sz w:val="24"/>
                <w14:textFill>
                  <w14:solidFill>
                    <w14:schemeClr w14:val="tx1"/>
                  </w14:solidFill>
                </w14:textFill>
              </w:rPr>
              <w:t>职业健康安全管理体系认证</w:t>
            </w:r>
            <w:r>
              <w:rPr>
                <w:rFonts w:hint="eastAsia" w:ascii="宋体" w:cs="宋体"/>
                <w:color w:val="000000" w:themeColor="text1"/>
                <w:sz w:val="24"/>
                <w:lang w:eastAsia="zh-CN"/>
                <w14:textFill>
                  <w14:solidFill>
                    <w14:schemeClr w14:val="tx1"/>
                  </w14:solidFill>
                </w14:textFill>
              </w:rPr>
              <w:t>者，每个得</w:t>
            </w:r>
            <w:r>
              <w:rPr>
                <w:rFonts w:hint="eastAsia" w:ascii="宋体" w:cs="宋体"/>
                <w:color w:val="000000" w:themeColor="text1"/>
                <w:sz w:val="24"/>
                <w:lang w:val="en-US" w:eastAsia="zh-CN"/>
                <w14:textFill>
                  <w14:solidFill>
                    <w14:schemeClr w14:val="tx1"/>
                  </w14:solidFill>
                </w14:textFill>
              </w:rPr>
              <w:t>1分，本项最高得3分。</w:t>
            </w:r>
            <w:r>
              <w:rPr>
                <w:rFonts w:hint="eastAsia" w:ascii="宋体" w:cs="宋体"/>
                <w:color w:val="000000" w:themeColor="text1"/>
                <w:sz w:val="24"/>
                <w14:textFill>
                  <w14:solidFill>
                    <w14:schemeClr w14:val="tx1"/>
                  </w14:solidFill>
                </w14:textFill>
              </w:rPr>
              <w:t>（查询地址：http//cx.cnca.cn）。</w:t>
            </w:r>
          </w:p>
        </w:tc>
        <w:tc>
          <w:tcPr>
            <w:tcW w:w="967"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业绩</w:t>
            </w:r>
          </w:p>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ascii="仿宋" w:hAnsi="仿宋" w:eastAsia="仿宋"/>
                <w:sz w:val="28"/>
                <w:szCs w:val="28"/>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9</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ascii="宋体" w:hAnsi="宋体" w:cs="宋体"/>
                <w:bCs/>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投标人</w:t>
            </w:r>
            <w:r>
              <w:rPr>
                <w:rFonts w:ascii="宋体" w:cs="宋体"/>
                <w:color w:val="000000" w:themeColor="text1"/>
                <w:sz w:val="24"/>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14:textFill>
                  <w14:solidFill>
                    <w14:schemeClr w14:val="tx1"/>
                  </w14:solidFill>
                </w14:textFill>
              </w:rPr>
              <w:t>年以来具有类似项目业绩：单项合同金额在</w:t>
            </w:r>
            <w:r>
              <w:rPr>
                <w:rFonts w:hint="eastAsia" w:ascii="宋体" w:cs="宋体"/>
                <w:color w:val="000000" w:themeColor="text1"/>
                <w:sz w:val="24"/>
                <w:lang w:val="en-US" w:eastAsia="zh-CN"/>
                <w14:textFill>
                  <w14:solidFill>
                    <w14:schemeClr w14:val="tx1"/>
                  </w14:solidFill>
                </w14:textFill>
              </w:rPr>
              <w:t>70</w:t>
            </w:r>
            <w:r>
              <w:rPr>
                <w:rFonts w:hint="eastAsia" w:ascii="宋体" w:cs="宋体"/>
                <w:color w:val="000000" w:themeColor="text1"/>
                <w:sz w:val="24"/>
                <w14:textFill>
                  <w14:solidFill>
                    <w14:schemeClr w14:val="tx1"/>
                  </w14:solidFill>
                </w14:textFill>
              </w:rPr>
              <w:t>万元（含）以上者，</w:t>
            </w:r>
            <w:r>
              <w:rPr>
                <w:rFonts w:hint="eastAsia" w:ascii="宋体" w:cs="宋体"/>
                <w:color w:val="000000" w:themeColor="text1"/>
                <w:sz w:val="24"/>
                <w:lang w:eastAsia="zh-CN"/>
                <w14:textFill>
                  <w14:solidFill>
                    <w14:schemeClr w14:val="tx1"/>
                  </w14:solidFill>
                </w14:textFill>
              </w:rPr>
              <w:t>每个合同得</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14:textFill>
                  <w14:solidFill>
                    <w14:schemeClr w14:val="tx1"/>
                  </w14:solidFill>
                </w14:textFill>
              </w:rPr>
              <w:t>分。满分为</w:t>
            </w:r>
            <w:r>
              <w:rPr>
                <w:rFonts w:hint="eastAsia" w:ascii="宋体" w:cs="宋体"/>
                <w:color w:val="000000" w:themeColor="text1"/>
                <w:sz w:val="24"/>
                <w:lang w:val="en-US" w:eastAsia="zh-CN"/>
                <w14:textFill>
                  <w14:solidFill>
                    <w14:schemeClr w14:val="tx1"/>
                  </w14:solidFill>
                </w14:textFill>
              </w:rPr>
              <w:t>9</w:t>
            </w:r>
            <w:r>
              <w:rPr>
                <w:rFonts w:hint="eastAsia" w:ascii="宋体" w:cs="宋体"/>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sz w:val="24"/>
                <w:szCs w:val="24"/>
              </w:rPr>
            </w:pPr>
            <w:r>
              <w:rPr>
                <w:rFonts w:hint="eastAsia" w:asciiTheme="minorEastAsia" w:hAnsiTheme="minorEastAsia"/>
                <w:sz w:val="24"/>
                <w:szCs w:val="24"/>
              </w:rPr>
              <w:t>售后服务</w:t>
            </w:r>
          </w:p>
          <w:p>
            <w:pPr>
              <w:spacing w:line="400" w:lineRule="exact"/>
              <w:jc w:val="center"/>
              <w:rPr>
                <w:rFonts w:hint="eastAsia" w:asciiTheme="minorEastAsia" w:hAnsiTheme="minorEastAsia"/>
                <w:sz w:val="24"/>
                <w:szCs w:val="24"/>
              </w:rPr>
            </w:pPr>
            <w:r>
              <w:rPr>
                <w:rFonts w:hint="eastAsia" w:asciiTheme="minorEastAsia" w:hAnsiTheme="minorEastAsia"/>
                <w:sz w:val="24"/>
                <w:szCs w:val="24"/>
              </w:rPr>
              <w:t>及培训</w:t>
            </w:r>
          </w:p>
          <w:p>
            <w:pPr>
              <w:spacing w:line="400" w:lineRule="exact"/>
              <w:jc w:val="center"/>
              <w:rPr>
                <w:rFonts w:hint="eastAsia" w:asciiTheme="minorEastAsia" w:hAnsiTheme="minorEastAsia"/>
                <w:sz w:val="24"/>
                <w:szCs w:val="24"/>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spacing w:line="360" w:lineRule="auto"/>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1、提供免费质量保障，投标人满足3年免费质保后每延长1年加1分，共3分。</w:t>
            </w:r>
          </w:p>
          <w:p>
            <w:pPr>
              <w:spacing w:line="360" w:lineRule="auto"/>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2、技术支持、售后服务程序合理，人员配备技术力量强，故障响应时间小于2小时，上门时间小于8小时，维修和更换时间小于24小时，得2分，不满足不得分。</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宋体" w:hAnsi="宋体"/>
                <w:color w:val="000000" w:themeColor="text1"/>
                <w:sz w:val="24"/>
                <w:szCs w:val="24"/>
                <w:lang w:val="en-GB"/>
                <w14:textFill>
                  <w14:solidFill>
                    <w14:schemeClr w14:val="tx1"/>
                  </w14:solidFill>
                </w14:textFill>
              </w:rPr>
              <w:t>具有明确的培训内容、计划合理、全面且原厂认证工程师培训不少于5人10课时得1分，投标人提供培训机构合作证明文件及讲师资格得2分，共3分，不满足不得分。</w:t>
            </w:r>
          </w:p>
        </w:tc>
        <w:tc>
          <w:tcPr>
            <w:tcW w:w="967"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8</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14:textFill>
                  <w14:solidFill>
                    <w14:schemeClr w14:val="tx1"/>
                  </w14:solidFill>
                </w14:textFill>
              </w:rPr>
              <w:t>技术部分（满分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47</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sz w:val="24"/>
                <w:szCs w:val="24"/>
              </w:rPr>
            </w:pPr>
            <w:r>
              <w:rPr>
                <w:rFonts w:hint="eastAsia" w:asciiTheme="minorEastAsia" w:hAnsiTheme="minorEastAsia"/>
                <w:color w:val="000000" w:themeColor="text1"/>
                <w:sz w:val="24"/>
                <w:szCs w:val="24"/>
                <w14:textFill>
                  <w14:solidFill>
                    <w14:schemeClr w14:val="tx1"/>
                  </w14:solidFill>
                </w14:textFill>
              </w:rPr>
              <w:t>投标文件的规范程度</w:t>
            </w:r>
          </w:p>
        </w:tc>
        <w:tc>
          <w:tcPr>
            <w:tcW w:w="6237" w:type="dxa"/>
            <w:vAlign w:val="center"/>
          </w:tcPr>
          <w:p>
            <w:pPr>
              <w:widowControl/>
              <w:jc w:val="left"/>
              <w:rPr>
                <w:rFonts w:hint="eastAsia"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1、投标文件的编制符合招标文件的规定，装订整齐规范的，得</w:t>
            </w: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FF0000"/>
                <w:sz w:val="24"/>
                <w:szCs w:val="24"/>
                <w:u w:val="single"/>
              </w:rPr>
            </w:pPr>
            <w:r>
              <w:rPr>
                <w:rFonts w:hint="eastAsia" w:asciiTheme="minorEastAsia" w:hAnsi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 w:val="24"/>
                <w:szCs w:val="24"/>
              </w:rPr>
            </w:pPr>
          </w:p>
        </w:tc>
        <w:tc>
          <w:tcPr>
            <w:tcW w:w="6237" w:type="dxa"/>
            <w:vAlign w:val="center"/>
          </w:tcPr>
          <w:p>
            <w:pPr>
              <w:spacing w:line="360" w:lineRule="exact"/>
              <w:rPr>
                <w:rFonts w:hint="eastAsia"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2、投标人编制投标文件逻辑严紧、描述规范、无文字错误的，得</w:t>
            </w: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FF0000"/>
                <w:sz w:val="24"/>
                <w:szCs w:val="24"/>
                <w:u w:val="single"/>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仿宋" w:hAnsi="仿宋" w:eastAsia="仿宋"/>
                <w:sz w:val="28"/>
                <w:szCs w:val="28"/>
              </w:rPr>
            </w:pPr>
            <w:r>
              <w:rPr>
                <w:rFonts w:hint="eastAsia" w:asciiTheme="minorEastAsia" w:hAnsiTheme="minorEastAsia"/>
                <w:color w:val="000000" w:themeColor="text1"/>
                <w:sz w:val="24"/>
                <w:szCs w:val="24"/>
                <w14:textFill>
                  <w14:solidFill>
                    <w14:schemeClr w14:val="tx1"/>
                  </w14:solidFill>
                </w14:textFill>
              </w:rPr>
              <w:t>对招标文件的响应程度</w:t>
            </w:r>
          </w:p>
        </w:tc>
        <w:tc>
          <w:tcPr>
            <w:tcW w:w="7204" w:type="dxa"/>
            <w:gridSpan w:val="2"/>
            <w:vAlign w:val="center"/>
          </w:tcPr>
          <w:p>
            <w:pPr>
              <w:jc w:val="center"/>
              <w:rPr>
                <w:rFonts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1.（1）</w:t>
            </w:r>
            <w:r>
              <w:rPr>
                <w:rFonts w:hint="eastAsia" w:ascii="宋体" w:hAnsi="宋体" w:cs="Courier New"/>
                <w:bCs/>
                <w:color w:val="000000" w:themeColor="text1"/>
                <w:sz w:val="24"/>
                <w14:textFill>
                  <w14:solidFill>
                    <w14:schemeClr w14:val="tx1"/>
                  </w14:solidFill>
                </w14:textFill>
              </w:rPr>
              <w:t>管理思路</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清晰</w:t>
            </w:r>
            <w:r>
              <w:rPr>
                <w:rFonts w:hint="eastAsia" w:ascii="宋体" w:hAnsi="宋体" w:cs="Courier New"/>
                <w:bCs/>
                <w:color w:val="000000" w:themeColor="text1"/>
                <w:sz w:val="24"/>
                <w:lang w:val="en-US" w:eastAsia="zh-CN"/>
                <w14:textFill>
                  <w14:solidFill>
                    <w14:schemeClr w14:val="tx1"/>
                  </w14:solidFill>
                </w14:textFill>
              </w:rPr>
              <w:t>的得3分，有的得1分，没有的不得分。（2）</w:t>
            </w:r>
            <w:r>
              <w:rPr>
                <w:rFonts w:hint="eastAsia" w:ascii="宋体" w:hAnsi="宋体" w:cs="Courier New"/>
                <w:bCs/>
                <w:color w:val="000000" w:themeColor="text1"/>
                <w:sz w:val="24"/>
                <w14:textFill>
                  <w14:solidFill>
                    <w14:schemeClr w14:val="tx1"/>
                  </w14:solidFill>
                </w14:textFill>
              </w:rPr>
              <w:t>服务理念</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鲜明</w:t>
            </w:r>
            <w:r>
              <w:rPr>
                <w:rFonts w:hint="eastAsia" w:ascii="宋体" w:hAnsi="宋体" w:cs="Courier New"/>
                <w:bCs/>
                <w:color w:val="000000" w:themeColor="text1"/>
                <w:sz w:val="24"/>
                <w:lang w:val="en-US" w:eastAsia="zh-CN"/>
                <w14:textFill>
                  <w14:solidFill>
                    <w14:schemeClr w14:val="tx1"/>
                  </w14:solidFill>
                </w14:textFill>
              </w:rPr>
              <w:t>的得3分</w:t>
            </w:r>
            <w:r>
              <w:rPr>
                <w:rFonts w:hint="eastAsia" w:ascii="宋体" w:hAnsi="宋体" w:cs="Courier New"/>
                <w:bCs/>
                <w:color w:val="000000" w:themeColor="text1"/>
                <w:sz w:val="24"/>
                <w14:textFill>
                  <w14:solidFill>
                    <w14:schemeClr w14:val="tx1"/>
                  </w14:solidFill>
                </w14:textFill>
              </w:rPr>
              <w:t>，</w:t>
            </w:r>
            <w:r>
              <w:rPr>
                <w:rFonts w:hint="eastAsia" w:ascii="宋体" w:hAnsi="宋体" w:cs="Courier New"/>
                <w:bCs/>
                <w:color w:val="000000" w:themeColor="text1"/>
                <w:sz w:val="24"/>
                <w:lang w:val="en-US" w:eastAsia="zh-CN"/>
                <w14:textFill>
                  <w14:solidFill>
                    <w14:schemeClr w14:val="tx1"/>
                  </w14:solidFill>
                </w14:textFill>
              </w:rPr>
              <w:t>有的得1分，没有的不得分。（3）</w:t>
            </w:r>
            <w:r>
              <w:rPr>
                <w:rFonts w:hint="eastAsia" w:ascii="宋体" w:hAnsi="宋体" w:cs="Courier New"/>
                <w:bCs/>
                <w:color w:val="000000" w:themeColor="text1"/>
                <w:sz w:val="24"/>
                <w14:textFill>
                  <w14:solidFill>
                    <w14:schemeClr w14:val="tx1"/>
                  </w14:solidFill>
                </w14:textFill>
              </w:rPr>
              <w:t>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科学合理可行</w:t>
            </w:r>
            <w:r>
              <w:rPr>
                <w:rFonts w:hint="eastAsia" w:ascii="宋体" w:hAnsi="宋体" w:cs="Courier New"/>
                <w:bCs/>
                <w:color w:val="000000" w:themeColor="text1"/>
                <w:sz w:val="24"/>
                <w:lang w:val="en-US" w:eastAsia="zh-CN"/>
                <w14:textFill>
                  <w14:solidFill>
                    <w14:schemeClr w14:val="tx1"/>
                  </w14:solidFill>
                </w14:textFill>
              </w:rPr>
              <w:t>的得3分，有的得1分，没有的不得分。（4）</w:t>
            </w:r>
            <w:r>
              <w:rPr>
                <w:rFonts w:hint="eastAsia" w:ascii="宋体" w:hAnsi="宋体" w:cs="Courier New"/>
                <w:bCs/>
                <w:color w:val="000000" w:themeColor="text1"/>
                <w:sz w:val="24"/>
                <w14:textFill>
                  <w14:solidFill>
                    <w14:schemeClr w14:val="tx1"/>
                  </w14:solidFill>
                </w14:textFill>
              </w:rPr>
              <w:t>符合项目特色</w:t>
            </w:r>
            <w:r>
              <w:rPr>
                <w:rFonts w:hint="eastAsia" w:ascii="宋体" w:hAnsi="宋体" w:cs="Courier New"/>
                <w:bCs/>
                <w:color w:val="000000" w:themeColor="text1"/>
                <w:sz w:val="24"/>
                <w:lang w:val="en-US" w:eastAsia="zh-CN"/>
                <w14:textFill>
                  <w14:solidFill>
                    <w14:schemeClr w14:val="tx1"/>
                  </w14:solidFill>
                </w14:textFill>
              </w:rPr>
              <w:t>的得3分，不符合的得0分；</w:t>
            </w:r>
            <w:r>
              <w:rPr>
                <w:rFonts w:hint="eastAsia" w:ascii="宋体" w:hAnsi="宋体" w:cs="Courier New"/>
                <w:b/>
                <w:bCs w:val="0"/>
                <w:color w:val="000000" w:themeColor="text1"/>
                <w:sz w:val="24"/>
                <w:lang w:val="en-US" w:eastAsia="zh-CN"/>
                <w14:textFill>
                  <w14:solidFill>
                    <w14:schemeClr w14:val="tx1"/>
                  </w14:solidFill>
                </w14:textFill>
              </w:rPr>
              <w:t>本项最高得12分。</w:t>
            </w:r>
          </w:p>
        </w:tc>
        <w:tc>
          <w:tcPr>
            <w:tcW w:w="967" w:type="dxa"/>
            <w:vAlign w:val="center"/>
          </w:tcPr>
          <w:p>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宋体"/>
                <w:bCs/>
                <w:color w:val="000000" w:themeColor="text1"/>
                <w:sz w:val="24"/>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2.企业</w:t>
            </w:r>
            <w:r>
              <w:rPr>
                <w:rFonts w:hint="eastAsia" w:ascii="宋体" w:hAnsi="宋体" w:cs="Courier New"/>
                <w:bCs/>
                <w:color w:val="000000" w:themeColor="text1"/>
                <w:sz w:val="24"/>
                <w14:textFill>
                  <w14:solidFill>
                    <w14:schemeClr w14:val="tx1"/>
                  </w14:solidFill>
                </w14:textFill>
              </w:rPr>
              <w:t>规章制度健全</w:t>
            </w:r>
            <w:r>
              <w:rPr>
                <w:rFonts w:hint="eastAsia" w:ascii="宋体" w:hAnsi="宋体" w:cs="Courier New"/>
                <w:bCs/>
                <w:color w:val="000000" w:themeColor="text1"/>
                <w:sz w:val="24"/>
                <w:lang w:val="en-US" w:eastAsia="zh-CN"/>
                <w14:textFill>
                  <w14:solidFill>
                    <w14:schemeClr w14:val="tx1"/>
                  </w14:solidFill>
                </w14:textFill>
              </w:rPr>
              <w:t>的得3分，完善的得2分，</w:t>
            </w:r>
            <w:r>
              <w:rPr>
                <w:rFonts w:hint="eastAsia" w:ascii="宋体" w:hAnsi="宋体" w:cs="Courier New"/>
                <w:bCs/>
                <w:color w:val="000000" w:themeColor="text1"/>
                <w:sz w:val="24"/>
                <w14:textFill>
                  <w14:solidFill>
                    <w14:schemeClr w14:val="tx1"/>
                  </w14:solidFill>
                </w14:textFill>
              </w:rPr>
              <w:t>具有可操作性</w:t>
            </w:r>
            <w:r>
              <w:rPr>
                <w:rFonts w:hint="eastAsia" w:ascii="宋体" w:hAnsi="宋体" w:cs="Courier New"/>
                <w:bCs/>
                <w:color w:val="000000" w:themeColor="text1"/>
                <w:sz w:val="24"/>
                <w:lang w:val="en-US" w:eastAsia="zh-CN"/>
                <w14:textFill>
                  <w14:solidFill>
                    <w14:schemeClr w14:val="tx1"/>
                  </w14:solidFill>
                </w14:textFill>
              </w:rPr>
              <w:t>的得2分，</w:t>
            </w:r>
            <w:r>
              <w:rPr>
                <w:rFonts w:hint="eastAsia" w:ascii="宋体" w:hAnsi="宋体" w:cs="Courier New"/>
                <w:b/>
                <w:bCs w:val="0"/>
                <w:color w:val="000000" w:themeColor="text1"/>
                <w:sz w:val="24"/>
                <w:lang w:val="en-US" w:eastAsia="zh-CN"/>
                <w14:textFill>
                  <w14:solidFill>
                    <w14:schemeClr w14:val="tx1"/>
                  </w14:solidFill>
                </w14:textFill>
              </w:rPr>
              <w:t>本项最高得7分。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宋体"/>
                <w:bCs/>
                <w:color w:val="000000" w:themeColor="text1"/>
                <w:sz w:val="24"/>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3.</w:t>
            </w:r>
            <w:r>
              <w:rPr>
                <w:rFonts w:hint="eastAsia" w:ascii="宋体" w:hAnsi="宋体" w:cs="Courier New"/>
                <w:bCs/>
                <w:color w:val="000000" w:themeColor="text1"/>
                <w:sz w:val="24"/>
                <w14:textFill>
                  <w14:solidFill>
                    <w14:schemeClr w14:val="tx1"/>
                  </w14:solidFill>
                </w14:textFill>
              </w:rPr>
              <w:t>工作流程、作业程序全面、规范</w:t>
            </w:r>
            <w:r>
              <w:rPr>
                <w:rFonts w:hint="eastAsia" w:ascii="宋体" w:hAnsi="宋体" w:cs="Courier New"/>
                <w:bCs/>
                <w:color w:val="000000" w:themeColor="text1"/>
                <w:sz w:val="24"/>
                <w:lang w:val="en-US" w:eastAsia="zh-CN"/>
                <w14:textFill>
                  <w14:solidFill>
                    <w14:schemeClr w14:val="tx1"/>
                  </w14:solidFill>
                </w14:textFill>
              </w:rPr>
              <w:t>得6分，有的得1分，没有的不得分。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4.</w:t>
            </w:r>
            <w:r>
              <w:rPr>
                <w:rFonts w:hint="eastAsia" w:ascii="宋体" w:hAnsi="宋体" w:cs="Courier New"/>
                <w:bCs/>
                <w:color w:val="000000" w:themeColor="text1"/>
                <w:sz w:val="24"/>
                <w14:textFill>
                  <w14:solidFill>
                    <w14:schemeClr w14:val="tx1"/>
                  </w14:solidFill>
                </w14:textFill>
              </w:rPr>
              <w:t>应急情况处理方案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全面、有效的</w:t>
            </w:r>
            <w:r>
              <w:rPr>
                <w:rFonts w:hint="eastAsia" w:ascii="宋体" w:hAnsi="宋体" w:cs="Courier New"/>
                <w:bCs/>
                <w:color w:val="000000" w:themeColor="text1"/>
                <w:sz w:val="24"/>
                <w:lang w:val="en-US" w:eastAsia="zh-CN"/>
                <w14:textFill>
                  <w14:solidFill>
                    <w14:schemeClr w14:val="tx1"/>
                  </w14:solidFill>
                </w14:textFill>
              </w:rPr>
              <w:t>得6分，有的得2分，没有的不得分。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5.</w:t>
            </w:r>
            <w:r>
              <w:rPr>
                <w:rFonts w:hint="eastAsia" w:ascii="宋体" w:hAnsi="宋体" w:cs="Courier New"/>
                <w:bCs/>
                <w:color w:val="000000" w:themeColor="text1"/>
                <w:sz w:val="24"/>
                <w14:textFill>
                  <w14:solidFill>
                    <w14:schemeClr w14:val="tx1"/>
                  </w14:solidFill>
                </w14:textFill>
              </w:rPr>
              <w:t>未实质响应招标文件的要求为无效投标</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完全响应招标文件技术要求没有负偏离者</w:t>
            </w:r>
            <w:r>
              <w:rPr>
                <w:rFonts w:hint="eastAsia" w:ascii="宋体" w:hAnsi="宋体" w:cs="Courier New"/>
                <w:bCs/>
                <w:color w:val="000000" w:themeColor="text1"/>
                <w:sz w:val="24"/>
                <w:lang w:val="en-US" w:eastAsia="zh-CN"/>
                <w14:textFill>
                  <w14:solidFill>
                    <w14:schemeClr w14:val="tx1"/>
                  </w14:solidFill>
                </w14:textFill>
              </w:rPr>
              <w:t>5</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rPr>
                <w:rFonts w:hint="eastAsia" w:ascii="宋体" w:hAnsi="宋体" w:cs="Courier New"/>
                <w:bCs/>
                <w:color w:val="000000" w:themeColor="text1"/>
                <w:sz w:val="24"/>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6.</w:t>
            </w:r>
            <w:r>
              <w:rPr>
                <w:rFonts w:hint="eastAsia" w:ascii="宋体" w:hAnsi="宋体" w:cs="Courier New"/>
                <w:bCs/>
                <w:color w:val="000000" w:themeColor="text1"/>
                <w:sz w:val="24"/>
                <w14:textFill>
                  <w14:solidFill>
                    <w14:schemeClr w14:val="tx1"/>
                  </w14:solidFill>
                </w14:textFill>
              </w:rPr>
              <w:t>员工培训计划方案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lang w:val="en-US" w:eastAsia="zh-CN"/>
                <w14:textFill>
                  <w14:solidFill>
                    <w14:schemeClr w14:val="tx1"/>
                  </w14:solidFill>
                </w14:textFill>
              </w:rPr>
              <w:t>可行的得3分，有的得2分，没有的不得分。（2）</w:t>
            </w:r>
            <w:r>
              <w:rPr>
                <w:rFonts w:hint="eastAsia" w:ascii="宋体" w:hAnsi="宋体" w:cs="Courier New"/>
                <w:bCs/>
                <w:color w:val="000000" w:themeColor="text1"/>
                <w:sz w:val="24"/>
                <w14:textFill>
                  <w14:solidFill>
                    <w14:schemeClr w14:val="tx1"/>
                  </w14:solidFill>
                </w14:textFill>
              </w:rPr>
              <w:t>管理全面</w:t>
            </w:r>
            <w:r>
              <w:rPr>
                <w:rFonts w:hint="eastAsia" w:ascii="宋体" w:hAnsi="宋体" w:cs="Courier New"/>
                <w:bCs/>
                <w:color w:val="000000" w:themeColor="text1"/>
                <w:sz w:val="24"/>
                <w:lang w:val="en-US" w:eastAsia="zh-CN"/>
                <w14:textFill>
                  <w14:solidFill>
                    <w14:schemeClr w14:val="tx1"/>
                  </w14:solidFill>
                </w14:textFill>
              </w:rPr>
              <w:t>的得3分，有的得2分，没有的不得分。（3）</w:t>
            </w:r>
            <w:r>
              <w:rPr>
                <w:rFonts w:hint="eastAsia" w:ascii="宋体" w:hAnsi="宋体" w:cs="Courier New"/>
                <w:bCs/>
                <w:color w:val="000000" w:themeColor="text1"/>
                <w:sz w:val="24"/>
                <w14:textFill>
                  <w14:solidFill>
                    <w14:schemeClr w14:val="tx1"/>
                  </w14:solidFill>
                </w14:textFill>
              </w:rPr>
              <w:t>管理有效</w:t>
            </w:r>
            <w:r>
              <w:rPr>
                <w:rFonts w:hint="eastAsia" w:ascii="宋体" w:hAnsi="宋体" w:cs="Courier New"/>
                <w:bCs/>
                <w:color w:val="000000" w:themeColor="text1"/>
                <w:sz w:val="24"/>
                <w:lang w:val="en-US" w:eastAsia="zh-CN"/>
                <w14:textFill>
                  <w14:solidFill>
                    <w14:schemeClr w14:val="tx1"/>
                  </w14:solidFill>
                </w14:textFill>
              </w:rPr>
              <w:t>的得3分，有的得2分，没有的不得分。</w:t>
            </w:r>
            <w:r>
              <w:rPr>
                <w:rFonts w:hint="eastAsia" w:ascii="宋体" w:hAnsi="宋体" w:cs="Courier New"/>
                <w:b/>
                <w:bCs w:val="0"/>
                <w:color w:val="000000" w:themeColor="text1"/>
                <w:sz w:val="24"/>
                <w:lang w:val="en-US" w:eastAsia="zh-CN"/>
                <w14:textFill>
                  <w14:solidFill>
                    <w14:schemeClr w14:val="tx1"/>
                  </w14:solidFill>
                </w14:textFill>
              </w:rPr>
              <w:t>本项最高得9分</w:t>
            </w:r>
            <w:r>
              <w:rPr>
                <w:rFonts w:hint="eastAsia" w:ascii="宋体" w:hAnsi="宋体" w:cs="Courier New"/>
                <w:b/>
                <w:bCs w:val="0"/>
                <w:color w:val="000000" w:themeColor="text1"/>
                <w:sz w:val="24"/>
                <w14:textFill>
                  <w14:solidFill>
                    <w14:schemeClr w14:val="tx1"/>
                  </w14:solidFill>
                </w14:textFill>
              </w:rPr>
              <w:t>。</w:t>
            </w:r>
          </w:p>
        </w:tc>
        <w:tc>
          <w:tcPr>
            <w:tcW w:w="967" w:type="dxa"/>
            <w:vAlign w:val="center"/>
          </w:tcPr>
          <w:p>
            <w:pPr>
              <w:spacing w:line="360" w:lineRule="exact"/>
              <w:jc w:val="center"/>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9</w:t>
            </w:r>
          </w:p>
        </w:tc>
      </w:tr>
    </w:tbl>
    <w:p>
      <w:pPr>
        <w:spacing w:line="360" w:lineRule="auto"/>
        <w:ind w:firstLine="482" w:firstLineChars="200"/>
        <w:rPr>
          <w:rFonts w:hint="eastAsia"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jc w:val="left"/>
        <w:rPr>
          <w:rStyle w:val="26"/>
          <w:rFonts w:hint="eastAsia" w:ascii="宋体" w:hAnsi="宋体" w:eastAsia="宋体"/>
        </w:rPr>
      </w:pPr>
      <w:r>
        <w:rPr>
          <w:rStyle w:val="26"/>
          <w:rFonts w:hint="eastAsia" w:ascii="宋体" w:hAnsi="宋体" w:eastAsia="宋体"/>
        </w:rPr>
        <w:t>投标文件封皮格式</w:t>
      </w:r>
      <w:bookmarkStart w:id="1" w:name="_Toc12595"/>
      <w:bookmarkStart w:id="2" w:name="_Toc16238"/>
      <w:bookmarkStart w:id="3" w:name="_Toc5131"/>
      <w:bookmarkStart w:id="4" w:name="_Toc14398"/>
    </w:p>
    <w:p>
      <w:pPr>
        <w:pStyle w:val="6"/>
      </w:pPr>
    </w:p>
    <w:p>
      <w:pPr>
        <w:jc w:val="right"/>
        <w:rPr>
          <w:rStyle w:val="26"/>
          <w:rFonts w:ascii="宋体" w:hAnsi="宋体" w:eastAsia="宋体"/>
        </w:rPr>
      </w:pPr>
      <w:r>
        <w:rPr>
          <w:rStyle w:val="26"/>
          <w:rFonts w:hint="eastAsia" w:ascii="宋体" w:hAnsi="宋体" w:eastAsia="宋体"/>
        </w:rPr>
        <w:t>正本/副本</w:t>
      </w:r>
    </w:p>
    <w:bookmarkEnd w:id="1"/>
    <w:bookmarkEnd w:id="2"/>
    <w:bookmarkEnd w:id="3"/>
    <w:bookmarkEnd w:id="4"/>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6"/>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 xml:space="preserve">年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月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日</w:t>
      </w:r>
    </w:p>
    <w:p>
      <w:pPr>
        <w:autoSpaceDE w:val="0"/>
        <w:autoSpaceDN w:val="0"/>
        <w:adjustRightInd w:val="0"/>
        <w:spacing w:line="700" w:lineRule="exact"/>
        <w:jc w:val="both"/>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所投产品符合国家强制性要求承诺函（如3C、信息安全产品）</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交付日期</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r>
        <w:rPr>
          <w:rFonts w:hint="eastAsia" w:asciiTheme="majorEastAsia" w:hAnsiTheme="majorEastAsia" w:eastAsiaTheme="majorEastAsia"/>
          <w:b/>
          <w:snapToGrid w:val="0"/>
          <w:kern w:val="0"/>
          <w:sz w:val="36"/>
          <w:szCs w:val="36"/>
          <w:lang w:val="en-US" w:eastAsia="zh-CN"/>
        </w:rPr>
        <w:t xml:space="preserve"> </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hint="eastAsia"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both"/>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olor w:val="00000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autoSpaceDE w:val="0"/>
        <w:autoSpaceDN w:val="0"/>
        <w:adjustRightInd w:val="0"/>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hint="eastAsia"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BB73B4"/>
    <w:multiLevelType w:val="multilevel"/>
    <w:tmpl w:val="14BB73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7"/>
      <w:suff w:val="nothing"/>
      <w:lvlText w:val="%1、"/>
      <w:lvlJc w:val="left"/>
    </w:lvl>
  </w:abstractNum>
  <w:abstractNum w:abstractNumId="6">
    <w:nsid w:val="5AA77FB2"/>
    <w:multiLevelType w:val="singleLevel"/>
    <w:tmpl w:val="5AA77FB2"/>
    <w:lvl w:ilvl="0" w:tentative="0">
      <w:start w:val="3"/>
      <w:numFmt w:val="decimal"/>
      <w:suff w:val="nothing"/>
      <w:lvlText w:val="%1、"/>
      <w:lvlJc w:val="left"/>
    </w:lvl>
  </w:abstractNum>
  <w:abstractNum w:abstractNumId="7">
    <w:nsid w:val="6F3BF31F"/>
    <w:multiLevelType w:val="singleLevel"/>
    <w:tmpl w:val="6F3BF31F"/>
    <w:lvl w:ilvl="0" w:tentative="0">
      <w:start w:val="1"/>
      <w:numFmt w:val="chineseCounting"/>
      <w:suff w:val="nothing"/>
      <w:lvlText w:val="%1、"/>
      <w:lvlJc w:val="left"/>
      <w:rPr>
        <w:rFonts w:hint="eastAsia"/>
      </w:r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B0290E"/>
    <w:rsid w:val="062062C8"/>
    <w:rsid w:val="06EC6A79"/>
    <w:rsid w:val="08453321"/>
    <w:rsid w:val="08831ADF"/>
    <w:rsid w:val="0B7C7CF7"/>
    <w:rsid w:val="0B93630B"/>
    <w:rsid w:val="0CD10185"/>
    <w:rsid w:val="0D106E9F"/>
    <w:rsid w:val="0E1961FC"/>
    <w:rsid w:val="0F345F20"/>
    <w:rsid w:val="0F901851"/>
    <w:rsid w:val="12C6144F"/>
    <w:rsid w:val="150E2ADE"/>
    <w:rsid w:val="15520656"/>
    <w:rsid w:val="16E81B00"/>
    <w:rsid w:val="17267C13"/>
    <w:rsid w:val="1969017A"/>
    <w:rsid w:val="1ED30635"/>
    <w:rsid w:val="23454469"/>
    <w:rsid w:val="23BE407C"/>
    <w:rsid w:val="25B34DC6"/>
    <w:rsid w:val="27A718C8"/>
    <w:rsid w:val="2ED53833"/>
    <w:rsid w:val="335D147F"/>
    <w:rsid w:val="34493FE0"/>
    <w:rsid w:val="34697279"/>
    <w:rsid w:val="3A4F6E08"/>
    <w:rsid w:val="3B324EF2"/>
    <w:rsid w:val="4255615F"/>
    <w:rsid w:val="447338E3"/>
    <w:rsid w:val="47B5437A"/>
    <w:rsid w:val="48BC7D50"/>
    <w:rsid w:val="48F540E5"/>
    <w:rsid w:val="4AB07B53"/>
    <w:rsid w:val="4B3E5045"/>
    <w:rsid w:val="4D5C11E7"/>
    <w:rsid w:val="50B74ADF"/>
    <w:rsid w:val="51572838"/>
    <w:rsid w:val="55D22941"/>
    <w:rsid w:val="5B5C66C7"/>
    <w:rsid w:val="5D69733E"/>
    <w:rsid w:val="5DD6403C"/>
    <w:rsid w:val="5F761955"/>
    <w:rsid w:val="622C70F9"/>
    <w:rsid w:val="62F80E92"/>
    <w:rsid w:val="65D16EB9"/>
    <w:rsid w:val="66AE11A6"/>
    <w:rsid w:val="673818DB"/>
    <w:rsid w:val="69463492"/>
    <w:rsid w:val="69790B72"/>
    <w:rsid w:val="6D180B3A"/>
    <w:rsid w:val="6F4057ED"/>
    <w:rsid w:val="6F9E7362"/>
    <w:rsid w:val="74B170C6"/>
    <w:rsid w:val="75B025B4"/>
    <w:rsid w:val="76431568"/>
    <w:rsid w:val="780B3515"/>
    <w:rsid w:val="7897196E"/>
    <w:rsid w:val="791843DC"/>
    <w:rsid w:val="79B5135F"/>
    <w:rsid w:val="7AB672CC"/>
    <w:rsid w:val="7B73277A"/>
    <w:rsid w:val="7C6D7516"/>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14:textFill>
        <w14:solidFill>
          <w14:schemeClr w14:val="folHlink"/>
        </w14:solidFill>
      </w14:textFill>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冰封的爱</cp:lastModifiedBy>
  <dcterms:modified xsi:type="dcterms:W3CDTF">2018-03-22T06:35:33Z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