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69" w:rsidRDefault="00180A59">
      <w:pPr>
        <w:pStyle w:val="1"/>
        <w:spacing w:before="200" w:after="200" w:line="480" w:lineRule="auto"/>
        <w:jc w:val="center"/>
        <w:rPr>
          <w:rFonts w:hAnsi="宋体" w:cs="仿宋_GB2312"/>
          <w:kern w:val="0"/>
          <w:sz w:val="28"/>
          <w:szCs w:val="28"/>
        </w:rPr>
      </w:pPr>
      <w:bookmarkStart w:id="0" w:name="_Toc397605795"/>
      <w:r>
        <w:rPr>
          <w:rFonts w:ascii="宋体" w:hAnsi="宋体" w:cs="Times New Roman" w:hint="eastAsia"/>
          <w:kern w:val="0"/>
        </w:rPr>
        <w:t>长交建【2017】GZ 130号长葛市民生种植专业合作社年产100万株蔬菜育苗建设项目招标公告（二次）招标公告</w:t>
      </w:r>
      <w:bookmarkStart w:id="1" w:name="_GoBack"/>
      <w:bookmarkEnd w:id="1"/>
    </w:p>
    <w:p w:rsidR="00823C69" w:rsidRDefault="00180A59">
      <w:pPr>
        <w:pStyle w:val="p0"/>
        <w:shd w:val="clear" w:color="auto" w:fill="FFFFFF"/>
        <w:spacing w:line="500" w:lineRule="exact"/>
        <w:ind w:left="0"/>
        <w:rPr>
          <w:rFonts w:ascii="黑体" w:eastAsia="黑体" w:hAnsi="黑体"/>
          <w:bCs/>
          <w:color w:val="333333"/>
          <w:sz w:val="32"/>
          <w:szCs w:val="32"/>
        </w:rPr>
      </w:pPr>
      <w:r>
        <w:rPr>
          <w:rFonts w:ascii="黑体" w:eastAsia="黑体" w:hAnsi="黑体" w:hint="eastAsia"/>
          <w:bCs/>
          <w:color w:val="333333"/>
          <w:sz w:val="32"/>
          <w:szCs w:val="32"/>
        </w:rPr>
        <w:t>一、招标条件</w:t>
      </w:r>
    </w:p>
    <w:p w:rsidR="00823C69" w:rsidRDefault="00180A59">
      <w:pPr>
        <w:spacing w:line="500" w:lineRule="exact"/>
        <w:ind w:firstLineChars="200" w:firstLine="640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本招标项目长葛市民生种植专业合作社年产100万株蔬菜育苗建设项目（二次）已由相关部门以豫财农（2016）103号、豫财农（2013）233号号文件批准建设，建设资金来源为财政资金和企业自筹资金。招标人为长葛市农业技术推广中心，招标代理机构为河南天一工程管理有限公司。本项目已具备招标条件，现对该项目施工进行国内公开招标。</w:t>
      </w:r>
    </w:p>
    <w:p w:rsidR="00823C69" w:rsidRDefault="00180A59">
      <w:pPr>
        <w:pStyle w:val="p0"/>
        <w:shd w:val="clear" w:color="auto" w:fill="FFFFFF"/>
        <w:spacing w:line="500" w:lineRule="exact"/>
        <w:ind w:left="0"/>
        <w:rPr>
          <w:rFonts w:ascii="黑体" w:eastAsia="黑体" w:hAnsi="黑体"/>
          <w:bCs/>
          <w:color w:val="333333"/>
          <w:sz w:val="32"/>
          <w:szCs w:val="32"/>
        </w:rPr>
      </w:pPr>
      <w:r>
        <w:rPr>
          <w:rFonts w:ascii="黑体" w:eastAsia="黑体" w:hAnsi="黑体" w:hint="eastAsia"/>
          <w:bCs/>
          <w:color w:val="333333"/>
          <w:sz w:val="32"/>
          <w:szCs w:val="32"/>
        </w:rPr>
        <w:t>二、项目概况及招标范围</w:t>
      </w:r>
    </w:p>
    <w:p w:rsidR="00823C69" w:rsidRDefault="00180A59">
      <w:pPr>
        <w:spacing w:line="500" w:lineRule="exac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2.1招标编号：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长交建【2017】GZ 130号</w:t>
      </w:r>
    </w:p>
    <w:p w:rsidR="00823C69" w:rsidRDefault="00180A59">
      <w:pPr>
        <w:spacing w:line="500" w:lineRule="exac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2.2项目名称：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长葛市民生种植专业合作社年产100万株蔬菜育苗建设项目（二次）；</w:t>
      </w:r>
    </w:p>
    <w:p w:rsidR="00823C69" w:rsidRDefault="00180A59">
      <w:pPr>
        <w:spacing w:line="500" w:lineRule="exac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2.3建设地点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：长葛市；</w:t>
      </w:r>
    </w:p>
    <w:p w:rsidR="00823C69" w:rsidRDefault="00180A59">
      <w:pPr>
        <w:spacing w:line="500" w:lineRule="exac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2.4项目建设性质：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新建；</w:t>
      </w:r>
    </w:p>
    <w:p w:rsidR="00823C69" w:rsidRDefault="00180A59">
      <w:pPr>
        <w:spacing w:line="500" w:lineRule="exac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2.5项目建设内容: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长葛市民生种植专业合作社年产100万株蔬菜育苗建设项目主要包括：钢结构、门窗、湿帘、遮阳、水喷雾系统、配电系统等。</w:t>
      </w:r>
    </w:p>
    <w:p w:rsidR="00823C69" w:rsidRDefault="00180A59">
      <w:pPr>
        <w:spacing w:line="500" w:lineRule="exac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2.6标段划分：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本项目共划分为一个标段;</w:t>
      </w:r>
    </w:p>
    <w:p w:rsidR="00823C69" w:rsidRDefault="00180A59">
      <w:pPr>
        <w:spacing w:line="500" w:lineRule="exact"/>
        <w:rPr>
          <w:rFonts w:ascii="楷体" w:eastAsia="楷体" w:hAnsi="楷体" w:cs="宋体"/>
          <w:b/>
          <w:color w:val="333333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2.7招标控制价：</w:t>
      </w:r>
    </w:p>
    <w:p w:rsidR="00823C69" w:rsidRDefault="00180A59">
      <w:pPr>
        <w:spacing w:line="500" w:lineRule="exact"/>
        <w:ind w:firstLine="641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招标控制价：990574.09元（含规费、税金、安全文明措施费）；</w:t>
      </w:r>
    </w:p>
    <w:p w:rsidR="00823C69" w:rsidRDefault="00180A59">
      <w:pPr>
        <w:spacing w:line="500" w:lineRule="exac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2.8计划工期：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60日历天。</w:t>
      </w:r>
    </w:p>
    <w:p w:rsidR="00823C69" w:rsidRDefault="00180A59">
      <w:pPr>
        <w:spacing w:line="500" w:lineRule="exac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2.9招标范围：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本工程招标文件、工程量清单、施工图纸、补充文件（如有）、答疑纪要等列明的所有建设内容；</w:t>
      </w:r>
    </w:p>
    <w:p w:rsidR="00823C69" w:rsidRDefault="00180A59">
      <w:pPr>
        <w:spacing w:line="500" w:lineRule="exac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2.10质量要求：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合格（符合国家现行的验收规范和标准）。</w:t>
      </w:r>
    </w:p>
    <w:p w:rsidR="00823C69" w:rsidRDefault="00180A59">
      <w:pPr>
        <w:spacing w:line="500" w:lineRule="exact"/>
        <w:rPr>
          <w:rFonts w:ascii="黑体" w:eastAsia="黑体" w:hAnsi="黑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color w:val="333333"/>
          <w:kern w:val="0"/>
          <w:sz w:val="32"/>
          <w:szCs w:val="32"/>
        </w:rPr>
        <w:lastRenderedPageBreak/>
        <w:t>三、投标人资格要求</w:t>
      </w:r>
    </w:p>
    <w:p w:rsidR="00823C69" w:rsidRDefault="00180A59">
      <w:pPr>
        <w:spacing w:line="500" w:lineRule="exac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3.1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本项目投标人须具有建筑工程施工总承包或钢结构专业总承包叁级（含）以上资质，并且具有有效的安全产许可证，具备独立法人资格，有良好的财务状况，良好的社会信誉及同类项目业绩，并在人员、设备、资金等方面具备相应的施工能力；拟任项目经理应具有建筑工程专业贰级及以上注册建造师资格（不含临时），取得有效的安全产考核合格证，且未担任其他在施建设工程的项目经理。</w:t>
      </w:r>
    </w:p>
    <w:p w:rsidR="00823C69" w:rsidRDefault="00180A59">
      <w:pPr>
        <w:spacing w:line="500" w:lineRule="exac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3.2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本次招标不接受联合体投标，不得转包、挂靠及违法分包；</w:t>
      </w:r>
    </w:p>
    <w:p w:rsidR="00823C69" w:rsidRDefault="00180A59">
      <w:pPr>
        <w:spacing w:line="500" w:lineRule="exac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3.3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与招标人存在利害关系可能影响招标公正性的法人、其他组织或者个人，不得参加投标；单位负责人为同一人或者存在控股、管理关系的不同单位，不得参加同一标段投标或者未划分标段的同一招标项目投标。</w:t>
      </w:r>
    </w:p>
    <w:p w:rsidR="00823C69" w:rsidRDefault="00180A59">
      <w:pPr>
        <w:spacing w:line="500" w:lineRule="exac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3.4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未被列入“信用中国”（www.creditchina.gov.cn）、中国政府采购网（www.ccgp.gov.cn）渠道信用记录失信被执行人（执行期内）、重大税收违法案件当事人名单、政府采购严重违法失信行为记录名单的投标人。</w:t>
      </w:r>
    </w:p>
    <w:p w:rsidR="00823C69" w:rsidRDefault="00180A59">
      <w:pPr>
        <w:pStyle w:val="p0"/>
        <w:shd w:val="clear" w:color="auto" w:fill="FFFFFF"/>
        <w:spacing w:line="500" w:lineRule="exact"/>
        <w:ind w:left="0"/>
        <w:rPr>
          <w:rFonts w:ascii="黑体" w:eastAsia="黑体" w:hAnsi="黑体"/>
          <w:bCs/>
          <w:color w:val="333333"/>
          <w:sz w:val="32"/>
          <w:szCs w:val="32"/>
        </w:rPr>
      </w:pPr>
      <w:r>
        <w:rPr>
          <w:rFonts w:ascii="黑体" w:eastAsia="黑体" w:hAnsi="黑体" w:hint="eastAsia"/>
          <w:bCs/>
          <w:color w:val="333333"/>
          <w:sz w:val="32"/>
          <w:szCs w:val="32"/>
        </w:rPr>
        <w:t>四、投标报名</w:t>
      </w:r>
    </w:p>
    <w:p w:rsidR="00823C69" w:rsidRDefault="00180A59">
      <w:pPr>
        <w:spacing w:line="500" w:lineRule="exac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4.1报名时间：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2018年3月</w:t>
      </w:r>
      <w:r w:rsidR="001957EE">
        <w:rPr>
          <w:rFonts w:ascii="仿宋" w:eastAsia="仿宋" w:hAnsi="仿宋" w:hint="eastAsia"/>
          <w:bCs/>
          <w:kern w:val="0"/>
          <w:sz w:val="32"/>
          <w:szCs w:val="32"/>
        </w:rPr>
        <w:t>7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日至2018年3月1</w:t>
      </w:r>
      <w:r w:rsidR="001957EE">
        <w:rPr>
          <w:rFonts w:ascii="仿宋" w:eastAsia="仿宋" w:hAnsi="仿宋" w:hint="eastAsia"/>
          <w:bCs/>
          <w:kern w:val="0"/>
          <w:sz w:val="32"/>
          <w:szCs w:val="32"/>
        </w:rPr>
        <w:t>3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日内进行报名。</w:t>
      </w:r>
    </w:p>
    <w:p w:rsidR="00823C69" w:rsidRDefault="00180A59">
      <w:pPr>
        <w:spacing w:line="500" w:lineRule="exac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4.2报名方式：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网上报名。</w:t>
      </w:r>
    </w:p>
    <w:p w:rsidR="00823C69" w:rsidRDefault="00180A59">
      <w:pPr>
        <w:spacing w:line="500" w:lineRule="exact"/>
        <w:ind w:firstLine="641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（1）注册：持CA数字认证证书，登录【全国公共资源交易平台（河南省·许昌市）】“系统用户注册”入口</w:t>
      </w:r>
    </w:p>
    <w:p w:rsidR="00823C69" w:rsidRDefault="00180A59">
      <w:pPr>
        <w:spacing w:line="500" w:lineRule="exact"/>
        <w:ind w:firstLine="641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（http://221.14.6.70:8088/ggzy/eps/public/RegistAllJcxx.html）进行免费注册登记（详见“常见问题解答-诚信库网上注册相关资料下载”）；</w:t>
      </w:r>
    </w:p>
    <w:p w:rsidR="00823C69" w:rsidRDefault="00180A59">
      <w:pPr>
        <w:spacing w:line="500" w:lineRule="exac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（2）报名：登录【全国公共资源交易平台（河南省·许昌市）】“投标人/供应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商登录”入口（http://221.14.6.70:8088/ggzy/）,在报名期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限内。（详见“常见问题解答-交易系统操作手册”）。</w:t>
      </w:r>
    </w:p>
    <w:p w:rsidR="00823C69" w:rsidRDefault="00180A59">
      <w:pPr>
        <w:pStyle w:val="p0"/>
        <w:shd w:val="clear" w:color="auto" w:fill="FFFFFF"/>
        <w:spacing w:line="500" w:lineRule="exact"/>
        <w:ind w:left="0"/>
        <w:rPr>
          <w:rFonts w:ascii="黑体" w:eastAsia="黑体" w:hAnsi="黑体"/>
          <w:bCs/>
          <w:color w:val="333333"/>
          <w:sz w:val="32"/>
          <w:szCs w:val="32"/>
        </w:rPr>
      </w:pPr>
      <w:r>
        <w:rPr>
          <w:rFonts w:ascii="黑体" w:eastAsia="黑体" w:hAnsi="黑体" w:hint="eastAsia"/>
          <w:bCs/>
          <w:color w:val="333333"/>
          <w:sz w:val="32"/>
          <w:szCs w:val="32"/>
        </w:rPr>
        <w:lastRenderedPageBreak/>
        <w:t>五、招标文件和施工图纸的获取</w:t>
      </w:r>
    </w:p>
    <w:p w:rsidR="00823C69" w:rsidRDefault="00180A59">
      <w:pPr>
        <w:spacing w:line="500" w:lineRule="exac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5.1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招标文件和工程量清单的获取：报名期限内，投标人登录《全国公共资源交易平台（河南省·许昌市）》自行下载本项目招标文件、工程量清单。</w:t>
      </w:r>
    </w:p>
    <w:p w:rsidR="00823C69" w:rsidRDefault="00180A59">
      <w:pPr>
        <w:spacing w:line="500" w:lineRule="exac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5.2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施工图纸下载：按照招标文件中第二章投标人须知前附表所给的网址自行下载。</w:t>
      </w:r>
    </w:p>
    <w:p w:rsidR="00823C69" w:rsidRDefault="00180A59">
      <w:pPr>
        <w:spacing w:line="500" w:lineRule="exac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5.3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招标文件费用：投标人在递交纸制投标文件时向代理公司缴纳招标文件费用，本项目招标文件费用为400元/套，售后不退。</w:t>
      </w:r>
    </w:p>
    <w:p w:rsidR="00823C69" w:rsidRDefault="00180A59">
      <w:pPr>
        <w:spacing w:line="500" w:lineRule="exac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5.4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本项目实行资格后审，资格后审所需资料详见招标文件。</w:t>
      </w:r>
    </w:p>
    <w:p w:rsidR="00823C69" w:rsidRDefault="00180A59">
      <w:pPr>
        <w:pStyle w:val="p0"/>
        <w:shd w:val="clear" w:color="auto" w:fill="FFFFFF"/>
        <w:spacing w:line="500" w:lineRule="exact"/>
        <w:ind w:left="0"/>
        <w:rPr>
          <w:rFonts w:ascii="黑体" w:eastAsia="黑体" w:hAnsi="黑体"/>
          <w:bCs/>
          <w:color w:val="333333"/>
          <w:sz w:val="32"/>
          <w:szCs w:val="32"/>
        </w:rPr>
      </w:pPr>
      <w:r>
        <w:rPr>
          <w:rFonts w:ascii="黑体" w:eastAsia="黑体" w:hAnsi="黑体" w:hint="eastAsia"/>
          <w:bCs/>
          <w:color w:val="333333"/>
          <w:sz w:val="32"/>
          <w:szCs w:val="32"/>
        </w:rPr>
        <w:t>六、投标文件的递交</w:t>
      </w:r>
    </w:p>
    <w:p w:rsidR="00823C69" w:rsidRDefault="00180A59">
      <w:pPr>
        <w:spacing w:line="500" w:lineRule="exac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6.1投标文件递交截止时间：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2018年4月 10日 9 时 30 分（北京时间）。</w:t>
      </w:r>
    </w:p>
    <w:p w:rsidR="00823C69" w:rsidRDefault="00180A59">
      <w:pPr>
        <w:spacing w:line="500" w:lineRule="exac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6.2开标地点：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长葛市公共资源交易中心（长葛市葛天大道东段商务区6#楼</w:t>
      </w:r>
      <w:r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四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楼409开标二室）。</w:t>
      </w:r>
    </w:p>
    <w:p w:rsidR="00823C69" w:rsidRDefault="00180A59">
      <w:pPr>
        <w:spacing w:line="500" w:lineRule="exac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 xml:space="preserve">6.3 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逾期送达的或者未按照招标文件要求密封的投标文件，招标人不予受理。</w:t>
      </w:r>
    </w:p>
    <w:p w:rsidR="00823C69" w:rsidRDefault="00180A59">
      <w:pPr>
        <w:spacing w:line="500" w:lineRule="exac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6.4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未通过全国公共资源交易平台（河南·许昌）下载招标文件的投标人，其投标文件不予受理。</w:t>
      </w:r>
    </w:p>
    <w:p w:rsidR="00823C69" w:rsidRDefault="00180A59">
      <w:pPr>
        <w:pStyle w:val="p0"/>
        <w:shd w:val="clear" w:color="auto" w:fill="FFFFFF"/>
        <w:spacing w:line="500" w:lineRule="exact"/>
        <w:ind w:left="0"/>
        <w:rPr>
          <w:rFonts w:ascii="黑体" w:eastAsia="黑体" w:hAnsi="黑体"/>
          <w:bCs/>
          <w:color w:val="333333"/>
          <w:sz w:val="32"/>
          <w:szCs w:val="32"/>
        </w:rPr>
      </w:pPr>
      <w:r>
        <w:rPr>
          <w:rFonts w:ascii="黑体" w:eastAsia="黑体" w:hAnsi="黑体" w:hint="eastAsia"/>
          <w:bCs/>
          <w:color w:val="333333"/>
          <w:sz w:val="32"/>
          <w:szCs w:val="32"/>
        </w:rPr>
        <w:t>七、发布公告的媒介</w:t>
      </w:r>
    </w:p>
    <w:p w:rsidR="00823C69" w:rsidRDefault="00180A59">
      <w:pPr>
        <w:spacing w:line="360" w:lineRule="auto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 xml:space="preserve"> 本次招标公告同时在</w:t>
      </w:r>
      <w:r w:rsidR="0010383E" w:rsidRPr="0010383E">
        <w:rPr>
          <w:rFonts w:ascii="仿宋" w:eastAsia="仿宋" w:hAnsi="仿宋" w:hint="eastAsia"/>
          <w:bCs/>
          <w:kern w:val="0"/>
          <w:sz w:val="32"/>
          <w:szCs w:val="32"/>
        </w:rPr>
        <w:t>“河南省电子招标投标公共服务平台”、“河南省政府采购网”、“全国公共资源交易平台（河南</w:t>
      </w:r>
      <w:r w:rsidR="0010383E" w:rsidRPr="0010383E">
        <w:rPr>
          <w:rFonts w:ascii="宋体" w:eastAsia="宋体" w:hAnsi="宋体" w:cs="宋体" w:hint="eastAsia"/>
          <w:bCs/>
          <w:kern w:val="0"/>
          <w:sz w:val="32"/>
          <w:szCs w:val="32"/>
        </w:rPr>
        <w:t>•</w:t>
      </w:r>
      <w:r w:rsidR="0010383E" w:rsidRPr="0010383E">
        <w:rPr>
          <w:rFonts w:ascii="仿宋" w:eastAsia="仿宋" w:hAnsi="仿宋" w:hint="eastAsia"/>
          <w:bCs/>
          <w:kern w:val="0"/>
          <w:sz w:val="32"/>
          <w:szCs w:val="32"/>
        </w:rPr>
        <w:t>许昌）”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上发布。</w:t>
      </w:r>
    </w:p>
    <w:p w:rsidR="00823C69" w:rsidRDefault="00180A59">
      <w:pPr>
        <w:pStyle w:val="p0"/>
        <w:shd w:val="clear" w:color="auto" w:fill="FFFFFF"/>
        <w:spacing w:line="500" w:lineRule="exact"/>
        <w:ind w:left="0"/>
        <w:rPr>
          <w:rFonts w:ascii="黑体" w:eastAsia="黑体" w:hAnsi="黑体"/>
          <w:bCs/>
          <w:color w:val="333333"/>
          <w:sz w:val="32"/>
          <w:szCs w:val="32"/>
        </w:rPr>
      </w:pPr>
      <w:r>
        <w:rPr>
          <w:rFonts w:ascii="黑体" w:eastAsia="黑体" w:hAnsi="黑体" w:hint="eastAsia"/>
          <w:bCs/>
          <w:color w:val="333333"/>
          <w:sz w:val="32"/>
          <w:szCs w:val="32"/>
        </w:rPr>
        <w:t>八、招标人及代理机构</w:t>
      </w:r>
    </w:p>
    <w:p w:rsidR="00823C69" w:rsidRDefault="00180A59">
      <w:pPr>
        <w:spacing w:line="360" w:lineRule="auto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招标人：长葛市农业技术推广中心</w:t>
      </w:r>
    </w:p>
    <w:p w:rsidR="00823C69" w:rsidRDefault="00180A59">
      <w:pPr>
        <w:spacing w:line="360" w:lineRule="auto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 xml:space="preserve">联  系  人：朱主任        13837432000         </w:t>
      </w:r>
    </w:p>
    <w:p w:rsidR="00823C69" w:rsidRDefault="00180A59">
      <w:pPr>
        <w:spacing w:line="360" w:lineRule="auto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招标代理机构：河南天一工程管理有限公司</w:t>
      </w:r>
    </w:p>
    <w:p w:rsidR="00D77575" w:rsidRDefault="00D77575">
      <w:pPr>
        <w:spacing w:line="360" w:lineRule="auto"/>
        <w:rPr>
          <w:rFonts w:ascii="仿宋" w:eastAsia="仿宋" w:hAnsi="仿宋"/>
          <w:bCs/>
          <w:kern w:val="0"/>
          <w:sz w:val="32"/>
          <w:szCs w:val="32"/>
        </w:rPr>
      </w:pPr>
    </w:p>
    <w:p w:rsidR="00823C69" w:rsidRDefault="00180A59">
      <w:pPr>
        <w:spacing w:line="360" w:lineRule="auto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lastRenderedPageBreak/>
        <w:t>联  系  人：李先生    0374-6235699</w:t>
      </w:r>
    </w:p>
    <w:p w:rsidR="00823C69" w:rsidRDefault="00180A59">
      <w:pPr>
        <w:spacing w:line="360" w:lineRule="auto"/>
        <w:rPr>
          <w:rFonts w:ascii="黑体" w:eastAsia="黑体" w:hAnsi="黑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color w:val="333333"/>
          <w:kern w:val="0"/>
          <w:sz w:val="32"/>
          <w:szCs w:val="32"/>
        </w:rPr>
        <w:t>九、特别提示：</w:t>
      </w:r>
    </w:p>
    <w:p w:rsidR="00823C69" w:rsidRDefault="00180A59">
      <w:pPr>
        <w:spacing w:line="360" w:lineRule="auto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所有投标单位请时刻关注《全国公共资源交易平台（河南·许昌）》，澄清、答疑、变更均在《全国公共资源交易平台（河南·许昌）》发布，不再另行通知。如未及时查看影响其投标，后果自负。</w:t>
      </w:r>
      <w:bookmarkEnd w:id="0"/>
    </w:p>
    <w:p w:rsidR="00823C69" w:rsidRDefault="00823C69" w:rsidP="001957EE">
      <w:pPr>
        <w:autoSpaceDE w:val="0"/>
        <w:autoSpaceDN w:val="0"/>
        <w:adjustRightInd w:val="0"/>
        <w:spacing w:afterLines="50"/>
        <w:jc w:val="center"/>
        <w:outlineLvl w:val="0"/>
        <w:rPr>
          <w:b/>
          <w:bCs/>
          <w:kern w:val="0"/>
          <w:sz w:val="36"/>
          <w:szCs w:val="36"/>
        </w:rPr>
      </w:pPr>
    </w:p>
    <w:p w:rsidR="00823C69" w:rsidRDefault="00823C69">
      <w:pPr>
        <w:spacing w:line="360" w:lineRule="auto"/>
        <w:rPr>
          <w:b/>
          <w:bCs/>
          <w:kern w:val="0"/>
          <w:sz w:val="36"/>
          <w:szCs w:val="36"/>
        </w:rPr>
      </w:pPr>
    </w:p>
    <w:p w:rsidR="00823C69" w:rsidRDefault="00823C69">
      <w:pPr>
        <w:spacing w:line="360" w:lineRule="auto"/>
        <w:rPr>
          <w:b/>
          <w:bCs/>
          <w:kern w:val="0"/>
          <w:sz w:val="36"/>
          <w:szCs w:val="36"/>
        </w:rPr>
      </w:pPr>
    </w:p>
    <w:p w:rsidR="00823C69" w:rsidRDefault="00823C69">
      <w:pPr>
        <w:pStyle w:val="a3"/>
        <w:ind w:firstLine="361"/>
        <w:rPr>
          <w:b/>
          <w:bCs/>
          <w:kern w:val="0"/>
          <w:sz w:val="36"/>
          <w:szCs w:val="36"/>
        </w:rPr>
      </w:pPr>
    </w:p>
    <w:p w:rsidR="00823C69" w:rsidRDefault="00823C69">
      <w:pPr>
        <w:pStyle w:val="a3"/>
        <w:ind w:firstLine="361"/>
        <w:rPr>
          <w:b/>
          <w:bCs/>
          <w:kern w:val="0"/>
          <w:sz w:val="36"/>
          <w:szCs w:val="36"/>
        </w:rPr>
      </w:pPr>
    </w:p>
    <w:p w:rsidR="00823C69" w:rsidRDefault="00823C69">
      <w:pPr>
        <w:pStyle w:val="a3"/>
        <w:ind w:firstLine="361"/>
        <w:rPr>
          <w:b/>
          <w:bCs/>
          <w:kern w:val="0"/>
          <w:sz w:val="36"/>
          <w:szCs w:val="36"/>
        </w:rPr>
      </w:pPr>
    </w:p>
    <w:p w:rsidR="00823C69" w:rsidRDefault="00823C69">
      <w:pPr>
        <w:pStyle w:val="a3"/>
        <w:ind w:firstLine="361"/>
        <w:rPr>
          <w:b/>
          <w:bCs/>
          <w:kern w:val="0"/>
          <w:sz w:val="36"/>
          <w:szCs w:val="36"/>
        </w:rPr>
      </w:pPr>
    </w:p>
    <w:p w:rsidR="00823C69" w:rsidRDefault="00823C69">
      <w:pPr>
        <w:pStyle w:val="a3"/>
        <w:ind w:firstLine="361"/>
        <w:rPr>
          <w:b/>
          <w:bCs/>
          <w:kern w:val="0"/>
          <w:sz w:val="36"/>
          <w:szCs w:val="36"/>
        </w:rPr>
      </w:pPr>
    </w:p>
    <w:p w:rsidR="00823C69" w:rsidRDefault="00823C69">
      <w:pPr>
        <w:pStyle w:val="a3"/>
        <w:ind w:firstLine="361"/>
        <w:rPr>
          <w:b/>
          <w:bCs/>
          <w:kern w:val="0"/>
          <w:sz w:val="36"/>
          <w:szCs w:val="36"/>
        </w:rPr>
      </w:pPr>
    </w:p>
    <w:p w:rsidR="00823C69" w:rsidRDefault="00823C69">
      <w:pPr>
        <w:rPr>
          <w:rFonts w:eastAsia="宋体"/>
        </w:rPr>
      </w:pPr>
    </w:p>
    <w:sectPr w:rsidR="00823C69" w:rsidSect="00823C6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221" w:rsidRPr="00321100" w:rsidRDefault="00E51221" w:rsidP="0010383E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endnote>
  <w:endnote w:type="continuationSeparator" w:id="1">
    <w:p w:rsidR="00E51221" w:rsidRPr="00321100" w:rsidRDefault="00E51221" w:rsidP="0010383E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221" w:rsidRPr="00321100" w:rsidRDefault="00E51221" w:rsidP="0010383E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footnote>
  <w:footnote w:type="continuationSeparator" w:id="1">
    <w:p w:rsidR="00E51221" w:rsidRPr="00321100" w:rsidRDefault="00E51221" w:rsidP="0010383E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5A02EDB"/>
    <w:rsid w:val="0010383E"/>
    <w:rsid w:val="00180A59"/>
    <w:rsid w:val="001957EE"/>
    <w:rsid w:val="00366613"/>
    <w:rsid w:val="00823C69"/>
    <w:rsid w:val="00BB6514"/>
    <w:rsid w:val="00D77575"/>
    <w:rsid w:val="00E51221"/>
    <w:rsid w:val="00EE4F43"/>
    <w:rsid w:val="35A02EDB"/>
    <w:rsid w:val="3D8B1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823C6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23C69"/>
    <w:pPr>
      <w:keepNext/>
      <w:keepLines/>
      <w:spacing w:line="578" w:lineRule="auto"/>
      <w:outlineLvl w:val="0"/>
    </w:pPr>
    <w:rPr>
      <w:rFonts w:ascii="仿宋_GB2312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rsid w:val="00823C69"/>
    <w:pPr>
      <w:ind w:firstLineChars="100" w:firstLine="420"/>
    </w:pPr>
  </w:style>
  <w:style w:type="paragraph" w:styleId="a4">
    <w:name w:val="Body Text"/>
    <w:basedOn w:val="a"/>
    <w:rsid w:val="00823C69"/>
  </w:style>
  <w:style w:type="paragraph" w:styleId="a5">
    <w:name w:val="Plain Text"/>
    <w:basedOn w:val="a"/>
    <w:rsid w:val="00823C69"/>
    <w:rPr>
      <w:rFonts w:ascii="宋体" w:hAnsi="Courier New" w:cs="Courier New"/>
      <w:b/>
      <w:szCs w:val="21"/>
    </w:rPr>
  </w:style>
  <w:style w:type="paragraph" w:styleId="a6">
    <w:name w:val="Normal (Web)"/>
    <w:basedOn w:val="a"/>
    <w:rsid w:val="00823C6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823C69"/>
    <w:pPr>
      <w:widowControl/>
      <w:spacing w:line="408" w:lineRule="auto"/>
      <w:ind w:left="1"/>
      <w:textAlignment w:val="bottom"/>
    </w:pPr>
    <w:rPr>
      <w:color w:val="000000"/>
      <w:kern w:val="0"/>
      <w:szCs w:val="20"/>
    </w:rPr>
  </w:style>
  <w:style w:type="paragraph" w:styleId="a7">
    <w:name w:val="header"/>
    <w:basedOn w:val="a"/>
    <w:link w:val="Char"/>
    <w:rsid w:val="00103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0383E"/>
    <w:rPr>
      <w:kern w:val="2"/>
      <w:sz w:val="18"/>
      <w:szCs w:val="18"/>
    </w:rPr>
  </w:style>
  <w:style w:type="paragraph" w:styleId="a8">
    <w:name w:val="footer"/>
    <w:basedOn w:val="a"/>
    <w:link w:val="Char0"/>
    <w:rsid w:val="00103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10383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1686</Characters>
  <Application>Microsoft Office Word</Application>
  <DocSecurity>0</DocSecurity>
  <Lines>14</Lines>
  <Paragraphs>3</Paragraphs>
  <ScaleCrop>false</ScaleCrop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河南天一工程管理有限公司:刘春永</cp:lastModifiedBy>
  <cp:revision>5</cp:revision>
  <cp:lastPrinted>2018-03-06T02:53:00Z</cp:lastPrinted>
  <dcterms:created xsi:type="dcterms:W3CDTF">2018-03-05T03:51:00Z</dcterms:created>
  <dcterms:modified xsi:type="dcterms:W3CDTF">2018-03-06T03:29:00Z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