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ind w:firstLine="883" w:firstLineChars="200"/>
        <w:jc w:val="both"/>
        <w:rPr>
          <w:rFonts w:hint="eastAsia" w:ascii="仿宋" w:hAnsi="仿宋" w:eastAsia="仿宋" w:cs="仿宋"/>
          <w:b/>
          <w:bCs/>
          <w:sz w:val="44"/>
          <w:szCs w:val="44"/>
        </w:rPr>
      </w:pPr>
      <w:bookmarkStart w:id="1" w:name="_GoBack"/>
      <w:bookmarkEnd w:id="1"/>
      <w:r>
        <w:rPr>
          <w:rFonts w:hint="eastAsia" w:ascii="仿宋" w:hAnsi="仿宋" w:eastAsia="仿宋" w:cs="仿宋"/>
          <w:b/>
          <w:bCs/>
          <w:sz w:val="44"/>
          <w:szCs w:val="44"/>
        </w:rPr>
        <w:t>禹州市公共文化设施布局规划项目</w:t>
      </w:r>
      <w:r>
        <w:rPr>
          <w:rFonts w:hint="eastAsia" w:ascii="仿宋" w:hAnsi="仿宋" w:eastAsia="仿宋" w:cs="仿宋"/>
          <w:b/>
          <w:bCs/>
          <w:sz w:val="44"/>
          <w:szCs w:val="44"/>
          <w:lang w:val="en-US" w:eastAsia="zh-CN"/>
        </w:rPr>
        <w:t>(二次)</w:t>
      </w:r>
    </w:p>
    <w:p>
      <w:pPr>
        <w:jc w:val="center"/>
        <w:rPr>
          <w:rFonts w:hint="eastAsia" w:ascii="仿宋" w:hAnsi="仿宋" w:eastAsia="仿宋" w:cs="仿宋"/>
          <w:b/>
          <w:bCs/>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ascii="仿宋" w:hAnsi="仿宋" w:eastAsia="仿宋"/>
          <w:sz w:val="32"/>
        </w:rPr>
      </w:pPr>
      <w:r>
        <w:rPr>
          <w:rFonts w:hint="eastAsia" w:ascii="仿宋" w:hAnsi="仿宋" w:eastAsia="仿宋"/>
          <w:sz w:val="32"/>
        </w:rPr>
        <w:t>采购单位：</w:t>
      </w:r>
      <w:r>
        <w:rPr>
          <w:rFonts w:hint="eastAsia" w:ascii="仿宋" w:hAnsi="仿宋" w:eastAsia="仿宋" w:cs="仿宋"/>
          <w:sz w:val="32"/>
          <w:szCs w:val="32"/>
        </w:rPr>
        <w:t>禹州市城乡规划局</w:t>
      </w:r>
    </w:p>
    <w:p>
      <w:pPr>
        <w:autoSpaceDE w:val="0"/>
        <w:autoSpaceDN w:val="0"/>
        <w:spacing w:line="360" w:lineRule="auto"/>
        <w:ind w:right="-20" w:firstLine="320" w:firstLineChars="100"/>
        <w:outlineLvl w:val="0"/>
        <w:rPr>
          <w:rFonts w:hint="eastAsia" w:ascii="仿宋" w:hAnsi="仿宋" w:eastAsia="仿宋"/>
          <w:sz w:val="32"/>
        </w:rPr>
      </w:pPr>
      <w:r>
        <w:rPr>
          <w:rFonts w:hint="eastAsia" w:ascii="仿宋" w:hAnsi="仿宋" w:eastAsia="仿宋"/>
          <w:sz w:val="32"/>
        </w:rPr>
        <w:t>项目名称：禹州市公共文化设施布局规划项目</w:t>
      </w:r>
      <w:r>
        <w:rPr>
          <w:rFonts w:hint="eastAsia" w:ascii="仿宋" w:hAnsi="仿宋" w:eastAsia="仿宋"/>
          <w:sz w:val="32"/>
          <w:lang w:val="en-US" w:eastAsia="zh-CN"/>
        </w:rPr>
        <w:t>(二次)</w:t>
      </w:r>
    </w:p>
    <w:p>
      <w:pPr>
        <w:autoSpaceDE w:val="0"/>
        <w:autoSpaceDN w:val="0"/>
        <w:spacing w:line="360" w:lineRule="auto"/>
        <w:ind w:right="-20" w:firstLine="320" w:firstLineChars="100"/>
        <w:outlineLvl w:val="0"/>
        <w:rPr>
          <w:rFonts w:ascii="仿宋" w:hAnsi="仿宋" w:eastAsia="仿宋"/>
          <w:sz w:val="32"/>
          <w:lang w:val="en-US"/>
        </w:rPr>
      </w:pPr>
      <w:r>
        <w:rPr>
          <w:rFonts w:hint="eastAsia" w:ascii="仿宋" w:hAnsi="仿宋" w:eastAsia="仿宋"/>
          <w:sz w:val="32"/>
        </w:rPr>
        <w:t>项目编号：YZCG—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8012-1</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二</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keepNext w:val="0"/>
        <w:keepLines w:val="0"/>
        <w:pageBreakBefore w:val="0"/>
        <w:kinsoku/>
        <w:overflowPunct/>
        <w:bidi w:val="0"/>
        <w:spacing w:line="520" w:lineRule="exact"/>
        <w:ind w:right="0" w:rightChars="0" w:firstLine="542" w:firstLineChars="150"/>
        <w:jc w:val="center"/>
        <w:textAlignment w:val="auto"/>
        <w:outlineLvl w:val="9"/>
        <w:rPr>
          <w:rFonts w:ascii="仿宋" w:hAnsi="仿宋" w:eastAsia="仿宋" w:cs="仿宋"/>
          <w:b/>
          <w:bCs/>
          <w:sz w:val="36"/>
          <w:szCs w:val="36"/>
          <w:lang w:val="en-US"/>
        </w:rPr>
      </w:pPr>
      <w:r>
        <w:rPr>
          <w:rFonts w:hint="eastAsia" w:ascii="仿宋" w:hAnsi="仿宋" w:eastAsia="仿宋" w:cs="仿宋"/>
          <w:b/>
          <w:bCs/>
          <w:sz w:val="36"/>
          <w:szCs w:val="36"/>
        </w:rPr>
        <w:t>禹州市</w:t>
      </w:r>
      <w:r>
        <w:rPr>
          <w:rFonts w:hint="eastAsia" w:ascii="仿宋" w:hAnsi="仿宋" w:eastAsia="仿宋" w:cs="仿宋"/>
          <w:b/>
          <w:bCs/>
          <w:sz w:val="36"/>
          <w:szCs w:val="36"/>
          <w:lang w:eastAsia="zh-CN"/>
        </w:rPr>
        <w:t>公共文化设施布局规划项目（二次）</w:t>
      </w:r>
    </w:p>
    <w:p>
      <w:pPr>
        <w:keepNext w:val="0"/>
        <w:keepLines w:val="0"/>
        <w:pageBreakBefore w:val="0"/>
        <w:kinsoku/>
        <w:overflowPunct/>
        <w:bidi w:val="0"/>
        <w:spacing w:line="520" w:lineRule="exact"/>
        <w:ind w:right="0" w:rightChars="0"/>
        <w:jc w:val="center"/>
        <w:textAlignment w:val="auto"/>
        <w:outlineLvl w:val="9"/>
        <w:rPr>
          <w:rFonts w:hint="eastAsia" w:eastAsiaTheme="minorEastAsia"/>
          <w:b/>
          <w:bCs/>
          <w:sz w:val="44"/>
          <w:szCs w:val="44"/>
          <w:lang w:eastAsia="zh-CN"/>
        </w:rPr>
      </w:pP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keepNext w:val="0"/>
        <w:keepLines w:val="0"/>
        <w:pageBreakBefore w:val="0"/>
        <w:kinsoku/>
        <w:overflowPunct/>
        <w:bidi w:val="0"/>
        <w:spacing w:line="520" w:lineRule="exact"/>
        <w:ind w:right="0" w:rightChars="0" w:firstLine="360" w:firstLineChars="150"/>
        <w:textAlignment w:val="auto"/>
        <w:outlineLvl w:val="9"/>
        <w:rPr>
          <w:rFonts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城乡规划局</w:t>
      </w:r>
      <w:r>
        <w:rPr>
          <w:rFonts w:hint="eastAsia" w:ascii="仿宋" w:hAnsi="仿宋" w:eastAsia="仿宋" w:cs="仿宋"/>
          <w:sz w:val="24"/>
          <w:szCs w:val="24"/>
        </w:rPr>
        <w:t>的委托，就“ 禹州市公共文化设施布局规划项目</w:t>
      </w:r>
      <w:r>
        <w:rPr>
          <w:rFonts w:hint="eastAsia" w:ascii="仿宋" w:hAnsi="仿宋" w:eastAsia="仿宋" w:cs="仿宋"/>
          <w:sz w:val="24"/>
          <w:szCs w:val="24"/>
          <w:lang w:eastAsia="zh-CN"/>
        </w:rPr>
        <w:t>（二次）</w:t>
      </w:r>
      <w:r>
        <w:rPr>
          <w:rFonts w:hint="eastAsia" w:ascii="仿宋" w:hAnsi="仿宋" w:eastAsia="仿宋" w:cs="仿宋"/>
          <w:sz w:val="24"/>
          <w:szCs w:val="24"/>
        </w:rPr>
        <w:t>”进行公开招标，欢迎合格的投标人前来投标。</w:t>
      </w:r>
    </w:p>
    <w:p>
      <w:pPr>
        <w:keepNext w:val="0"/>
        <w:keepLines w:val="0"/>
        <w:pageBreakBefore w:val="0"/>
        <w:widowControl/>
        <w:numPr>
          <w:ilvl w:val="0"/>
          <w:numId w:val="3"/>
        </w:numPr>
        <w:shd w:val="clear" w:color="auto" w:fill="FFFFFF"/>
        <w:kinsoku/>
        <w:overflowPunct/>
        <w:bidi w:val="0"/>
        <w:spacing w:line="520" w:lineRule="exact"/>
        <w:ind w:right="0" w:rightChars="0" w:firstLine="482"/>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　　1、</w:t>
      </w:r>
      <w:r>
        <w:rPr>
          <w:rFonts w:hint="eastAsia" w:ascii="仿宋" w:hAnsi="仿宋" w:eastAsia="仿宋" w:cs="仿宋"/>
          <w:sz w:val="24"/>
          <w:szCs w:val="24"/>
        </w:rPr>
        <w:t>采购人：禹州市城乡规划局</w:t>
      </w:r>
    </w:p>
    <w:p>
      <w:pPr>
        <w:pStyle w:val="41"/>
        <w:keepNext w:val="0"/>
        <w:keepLines w:val="0"/>
        <w:pageBreakBefore w:val="0"/>
        <w:numPr>
          <w:ilvl w:val="0"/>
          <w:numId w:val="0"/>
        </w:numPr>
        <w:kinsoku/>
        <w:overflowPunct/>
        <w:bidi w:val="0"/>
        <w:spacing w:line="520" w:lineRule="exact"/>
        <w:ind w:left="630" w:leftChars="0" w:right="0" w:rightChars="0"/>
        <w:textAlignment w:val="auto"/>
        <w:outlineLvl w:val="9"/>
        <w:rPr>
          <w:rFonts w:ascii="仿宋" w:hAnsi="仿宋" w:eastAsia="仿宋" w:cs="仿宋"/>
          <w:sz w:val="24"/>
          <w:szCs w:val="24"/>
          <w:lang w:val="en-US"/>
        </w:rPr>
      </w:pPr>
      <w:r>
        <w:rPr>
          <w:rFonts w:hint="eastAsia" w:ascii="仿宋" w:hAnsi="仿宋" w:eastAsia="仿宋" w:cs="仿宋"/>
          <w:sz w:val="24"/>
          <w:szCs w:val="24"/>
          <w:lang w:val="en-US" w:eastAsia="zh-CN"/>
        </w:rPr>
        <w:t>2、</w:t>
      </w:r>
      <w:r>
        <w:rPr>
          <w:rFonts w:hint="eastAsia" w:ascii="仿宋" w:hAnsi="仿宋" w:eastAsia="仿宋" w:cs="仿宋"/>
          <w:sz w:val="24"/>
          <w:szCs w:val="24"/>
        </w:rPr>
        <w:t>采购编号：YZCG-G201</w:t>
      </w:r>
      <w:r>
        <w:rPr>
          <w:rFonts w:hint="eastAsia" w:ascii="仿宋" w:hAnsi="仿宋" w:eastAsia="仿宋" w:cs="仿宋"/>
          <w:sz w:val="24"/>
          <w:szCs w:val="24"/>
          <w:lang w:val="en-US" w:eastAsia="zh-CN"/>
        </w:rPr>
        <w:t>8012-1</w:t>
      </w:r>
    </w:p>
    <w:p>
      <w:pPr>
        <w:pStyle w:val="121"/>
        <w:keepNext w:val="0"/>
        <w:keepLines w:val="0"/>
        <w:pageBreakBefore w:val="0"/>
        <w:numPr>
          <w:ilvl w:val="0"/>
          <w:numId w:val="0"/>
        </w:numPr>
        <w:kinsoku/>
        <w:overflowPunct/>
        <w:bidi w:val="0"/>
        <w:spacing w:line="520" w:lineRule="exact"/>
        <w:ind w:left="630" w:leftChars="0" w:right="0" w:right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项目需求：</w:t>
      </w:r>
      <w:r>
        <w:rPr>
          <w:rFonts w:hint="eastAsia" w:ascii="仿宋" w:hAnsi="仿宋" w:eastAsia="仿宋" w:cs="仿宋"/>
          <w:sz w:val="24"/>
          <w:szCs w:val="24"/>
          <w:lang w:eastAsia="zh-CN"/>
        </w:rPr>
        <w:t>公共文化设施布局规划</w:t>
      </w:r>
      <w:r>
        <w:rPr>
          <w:rFonts w:hint="eastAsia" w:ascii="仿宋" w:hAnsi="仿宋" w:eastAsia="仿宋" w:cs="仿宋"/>
          <w:sz w:val="24"/>
          <w:szCs w:val="24"/>
        </w:rPr>
        <w:t>（详见招标文件）</w:t>
      </w:r>
    </w:p>
    <w:p>
      <w:pPr>
        <w:pStyle w:val="121"/>
        <w:keepNext w:val="0"/>
        <w:keepLines w:val="0"/>
        <w:pageBreakBefore w:val="0"/>
        <w:numPr>
          <w:ilvl w:val="0"/>
          <w:numId w:val="0"/>
        </w:numPr>
        <w:kinsoku/>
        <w:overflowPunct/>
        <w:bidi w:val="0"/>
        <w:spacing w:line="520" w:lineRule="exact"/>
        <w:ind w:leftChars="200" w:right="0" w:righ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4、采购预算：33.26万元</w:t>
      </w:r>
    </w:p>
    <w:p>
      <w:pPr>
        <w:pStyle w:val="121"/>
        <w:keepNext w:val="0"/>
        <w:keepLines w:val="0"/>
        <w:pageBreakBefore w:val="0"/>
        <w:numPr>
          <w:ilvl w:val="0"/>
          <w:numId w:val="0"/>
        </w:numPr>
        <w:kinsoku/>
        <w:overflowPunct/>
        <w:bidi w:val="0"/>
        <w:spacing w:line="520" w:lineRule="exact"/>
        <w:ind w:leftChars="200" w:right="0" w:rightChars="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5、最高限价：33.26万元</w:t>
      </w:r>
    </w:p>
    <w:p>
      <w:pPr>
        <w:keepNext w:val="0"/>
        <w:keepLines w:val="0"/>
        <w:pageBreakBefore w:val="0"/>
        <w:widowControl/>
        <w:shd w:val="clear" w:color="auto" w:fill="FFFFFF"/>
        <w:kinsoku/>
        <w:overflowPunct/>
        <w:bidi w:val="0"/>
        <w:spacing w:line="520" w:lineRule="exact"/>
        <w:ind w:right="0" w:rightChars="0" w:firstLine="354" w:firstLineChars="147"/>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numPr>
          <w:ilvl w:val="0"/>
          <w:numId w:val="4"/>
        </w:numPr>
        <w:shd w:val="clear" w:color="auto" w:fill="FFFFFF"/>
        <w:kinsoku/>
        <w:overflowPunct/>
        <w:bidi w:val="0"/>
        <w:spacing w:line="520" w:lineRule="exact"/>
        <w:ind w:right="0" w:rightChars="0" w:firstLine="361" w:firstLineChars="150"/>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供应商资格要求</w:t>
      </w:r>
    </w:p>
    <w:p>
      <w:pPr>
        <w:keepNext w:val="0"/>
        <w:keepLines w:val="0"/>
        <w:pageBreakBefore w:val="0"/>
        <w:numPr>
          <w:ilvl w:val="0"/>
          <w:numId w:val="5"/>
        </w:numPr>
        <w:shd w:val="clear" w:color="auto" w:fill="FFFFFF"/>
        <w:kinsoku/>
        <w:overflowPunct/>
        <w:bidi w:val="0"/>
        <w:spacing w:line="52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符合《中华人民共和国政府采购法》第二十二条之规定</w:t>
      </w:r>
      <w:r>
        <w:rPr>
          <w:rFonts w:hint="eastAsia" w:ascii="仿宋" w:hAnsi="仿宋" w:eastAsia="仿宋" w:cs="仿宋"/>
          <w:color w:val="000000"/>
          <w:kern w:val="0"/>
          <w:sz w:val="24"/>
          <w:szCs w:val="24"/>
          <w:lang w:eastAsia="zh-CN"/>
        </w:rPr>
        <w:t>；</w:t>
      </w:r>
    </w:p>
    <w:p>
      <w:pPr>
        <w:keepNext w:val="0"/>
        <w:keepLines w:val="0"/>
        <w:pageBreakBefore w:val="0"/>
        <w:numPr>
          <w:ilvl w:val="0"/>
          <w:numId w:val="5"/>
        </w:numPr>
        <w:shd w:val="clear" w:color="auto" w:fill="FFFFFF"/>
        <w:kinsoku/>
        <w:overflowPunct/>
        <w:bidi w:val="0"/>
        <w:spacing w:line="52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投标商须具有独立法人资格及相应经营范围（以营业执照为准）；</w:t>
      </w:r>
    </w:p>
    <w:p>
      <w:pPr>
        <w:keepNext w:val="0"/>
        <w:keepLines w:val="0"/>
        <w:pageBreakBefore w:val="0"/>
        <w:numPr>
          <w:ilvl w:val="0"/>
          <w:numId w:val="0"/>
        </w:numPr>
        <w:shd w:val="clear" w:color="auto" w:fill="FFFFFF"/>
        <w:kinsoku/>
        <w:overflowPunct/>
        <w:bidi w:val="0"/>
        <w:spacing w:line="520" w:lineRule="exact"/>
        <w:ind w:right="0" w:rightChars="0"/>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 xml:space="preserve">    3、投标商须具有行政主管部门颁发的规划编制乙级及以上资质；</w:t>
      </w:r>
    </w:p>
    <w:p>
      <w:pPr>
        <w:keepNext w:val="0"/>
        <w:keepLines w:val="0"/>
        <w:pageBreakBefore w:val="0"/>
        <w:numPr>
          <w:ilvl w:val="0"/>
          <w:numId w:val="0"/>
        </w:numPr>
        <w:shd w:val="clear" w:color="auto" w:fill="FFFFFF"/>
        <w:kinsoku/>
        <w:overflowPunct/>
        <w:bidi w:val="0"/>
        <w:spacing w:line="520" w:lineRule="exact"/>
        <w:ind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投标商应开具由项目所在地或企业营业执照注册所在地人民检察院出具的无行贿犯罪档案告知函；</w:t>
      </w:r>
    </w:p>
    <w:p>
      <w:pPr>
        <w:keepNext w:val="0"/>
        <w:keepLines w:val="0"/>
        <w:pageBreakBefore w:val="0"/>
        <w:numPr>
          <w:ilvl w:val="0"/>
          <w:numId w:val="0"/>
        </w:numPr>
        <w:shd w:val="clear" w:color="auto" w:fill="FFFFFF"/>
        <w:kinsoku/>
        <w:overflowPunct/>
        <w:bidi w:val="0"/>
        <w:spacing w:line="520" w:lineRule="exact"/>
        <w:ind w:right="0" w:rightChars="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　　</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法定代表人授权代表</w:t>
      </w:r>
      <w:r>
        <w:rPr>
          <w:rFonts w:hint="eastAsia" w:ascii="仿宋" w:hAnsi="仿宋" w:eastAsia="仿宋" w:cs="仿宋"/>
          <w:color w:val="000000"/>
          <w:kern w:val="0"/>
          <w:sz w:val="24"/>
          <w:szCs w:val="24"/>
        </w:rPr>
        <w:t>须是本单位职工，提供本公司为本人缴纳社会保险证明；</w:t>
      </w:r>
    </w:p>
    <w:p>
      <w:pPr>
        <w:keepNext w:val="0"/>
        <w:keepLines w:val="0"/>
        <w:pageBreakBefore w:val="0"/>
        <w:shd w:val="clear" w:color="auto" w:fill="FFFFFF"/>
        <w:kinsoku/>
        <w:overflowPunct/>
        <w:bidi w:val="0"/>
        <w:spacing w:line="520" w:lineRule="exact"/>
        <w:ind w:right="0" w:rightChars="0"/>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　　</w:t>
      </w:r>
      <w:r>
        <w:rPr>
          <w:rFonts w:hint="eastAsia" w:ascii="仿宋" w:hAnsi="仿宋" w:eastAsia="仿宋" w:cs="仿宋"/>
          <w:color w:val="000000"/>
          <w:kern w:val="0"/>
          <w:sz w:val="24"/>
          <w:szCs w:val="24"/>
          <w:lang w:val="en-US" w:eastAsia="zh-CN"/>
        </w:rPr>
        <w:t>6.</w:t>
      </w:r>
      <w:r>
        <w:rPr>
          <w:rFonts w:ascii="仿宋" w:hAnsi="仿宋" w:eastAsia="仿宋" w:cs="仿宋"/>
          <w:color w:val="000000"/>
          <w:kern w:val="0"/>
          <w:sz w:val="24"/>
          <w:szCs w:val="24"/>
        </w:rPr>
        <w:t>本次招标不接受联合体招标。</w:t>
      </w:r>
    </w:p>
    <w:p>
      <w:pPr>
        <w:keepNext w:val="0"/>
        <w:keepLines w:val="0"/>
        <w:pageBreakBefore w:val="0"/>
        <w:widowControl/>
        <w:shd w:val="clear" w:color="auto" w:fill="FFFFFF"/>
        <w:kinsoku/>
        <w:overflowPunct/>
        <w:bidi w:val="0"/>
        <w:spacing w:line="520" w:lineRule="exact"/>
        <w:ind w:left="0" w:leftChars="0" w:right="0" w:rightChars="0" w:firstLine="482"/>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rPr>
        <w:t>四、获取招标文件的方式、时间、地点</w:t>
      </w:r>
      <w:r>
        <w:rPr>
          <w:rFonts w:hint="eastAsia" w:ascii="仿宋" w:hAnsi="仿宋" w:eastAsia="仿宋" w:cs="仿宋"/>
          <w:b/>
          <w:color w:val="000000"/>
          <w:kern w:val="0"/>
          <w:sz w:val="24"/>
          <w:szCs w:val="24"/>
          <w:lang w:eastAsia="zh-CN"/>
        </w:rPr>
        <w:t>：</w:t>
      </w:r>
    </w:p>
    <w:p>
      <w:pPr>
        <w:keepNext w:val="0"/>
        <w:keepLines w:val="0"/>
        <w:pageBreakBefore w:val="0"/>
        <w:widowControl w:val="0"/>
        <w:kinsoku/>
        <w:wordWrap w:val="0"/>
        <w:overflowPunct/>
        <w:topLinePunct/>
        <w:bidi w:val="0"/>
        <w:snapToGrid w:val="0"/>
        <w:spacing w:line="520" w:lineRule="exact"/>
        <w:ind w:left="0" w:leftChars="0" w:right="0" w:rightChars="0" w:firstLine="480" w:firstLineChars="200"/>
        <w:jc w:val="both"/>
        <w:textAlignment w:val="auto"/>
        <w:outlineLvl w:val="9"/>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"http://221.14.6.70:8088/ggzy/eps/public/RegistAllJcxx.html"</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http://221.14.6.70:8088/ggzy/eps/public/RegistAllJcxx.html</w:t>
      </w:r>
      <w:r>
        <w:rPr>
          <w:rFonts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楷体" w:hAnsi="楷体" w:eastAsia="楷体" w:cs="宋体"/>
          <w:sz w:val="24"/>
          <w:szCs w:val="24"/>
          <w:lang w:val="zh-CN"/>
        </w:rPr>
      </w:pPr>
      <w:r>
        <w:rPr>
          <w:rFonts w:hint="eastAsia" w:ascii="仿宋" w:hAnsi="仿宋" w:eastAsia="仿宋" w:cs="宋体"/>
          <w:sz w:val="24"/>
          <w:szCs w:val="24"/>
          <w:lang w:val="zh-CN"/>
        </w:rPr>
        <w:t>　2、在投标截止时间前登录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w:t>
      </w:r>
      <w:r>
        <w:rPr>
          <w:rFonts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overflowPunct/>
        <w:bidi w:val="0"/>
        <w:spacing w:line="520" w:lineRule="exact"/>
        <w:ind w:left="0" w:leftChars="0" w:right="0" w:rightChars="0" w:firstLine="640"/>
        <w:jc w:val="both"/>
        <w:textAlignment w:val="auto"/>
        <w:outlineLvl w:val="9"/>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shd w:val="clear" w:color="auto" w:fill="FFFFFF"/>
        <w:kinsoku/>
        <w:overflowPunct/>
        <w:bidi w:val="0"/>
        <w:spacing w:line="520" w:lineRule="exact"/>
        <w:ind w:right="0" w:rightChars="0" w:firstLine="482"/>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五、开标截止时间、开标时间及地点：</w:t>
      </w:r>
    </w:p>
    <w:p>
      <w:pPr>
        <w:keepNext w:val="0"/>
        <w:keepLines w:val="0"/>
        <w:pageBreakBefore w:val="0"/>
        <w:widowControl/>
        <w:shd w:val="clear" w:color="auto" w:fill="FFFFFF"/>
        <w:kinsoku/>
        <w:overflowPunct/>
        <w:bidi w:val="0"/>
        <w:spacing w:line="520" w:lineRule="exact"/>
        <w:ind w:right="0" w:rightChars="0" w:firstLine="480" w:firstLineChars="2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1、开标截止及开标时间：201</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 xml:space="preserve"> 22</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 xml:space="preserve"> 9：00</w:t>
      </w:r>
      <w:r>
        <w:rPr>
          <w:rFonts w:hint="eastAsia" w:ascii="仿宋" w:hAnsi="仿宋" w:eastAsia="仿宋" w:cs="仿宋"/>
          <w:color w:val="000000"/>
          <w:kern w:val="0"/>
          <w:sz w:val="24"/>
          <w:szCs w:val="24"/>
        </w:rPr>
        <w:t xml:space="preserve"> （北京时间），逾期送达或不符合规定的投标文件不予接受。</w:t>
      </w:r>
    </w:p>
    <w:p>
      <w:pPr>
        <w:keepNext w:val="0"/>
        <w:keepLines w:val="0"/>
        <w:pageBreakBefore w:val="0"/>
        <w:kinsoku/>
        <w:overflowPunct/>
        <w:bidi w:val="0"/>
        <w:spacing w:line="520" w:lineRule="exact"/>
        <w:ind w:right="0" w:rightChars="0" w:firstLine="480" w:firstLineChars="200"/>
        <w:textAlignment w:val="auto"/>
        <w:outlineLvl w:val="9"/>
        <w:rPr>
          <w:rFonts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widowControl/>
        <w:shd w:val="clear" w:color="auto" w:fill="FFFFFF"/>
        <w:kinsoku/>
        <w:overflowPunct/>
        <w:bidi w:val="0"/>
        <w:spacing w:line="520" w:lineRule="exact"/>
        <w:ind w:right="0" w:rightChars="0" w:firstLine="482"/>
        <w:jc w:val="left"/>
        <w:textAlignment w:val="auto"/>
        <w:outlineLvl w:val="9"/>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六、代理机构及采购单位地址、联系人、联系电话</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keepNext w:val="0"/>
        <w:keepLines w:val="0"/>
        <w:pageBreakBefore w:val="0"/>
        <w:widowControl/>
        <w:shd w:val="clear" w:color="auto" w:fill="FFFFFF"/>
        <w:kinsoku/>
        <w:overflowPunct/>
        <w:bidi w:val="0"/>
        <w:spacing w:line="520" w:lineRule="exact"/>
        <w:ind w:right="0" w:rightChars="0" w:firstLine="480" w:firstLineChars="2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w:t>
      </w:r>
      <w:r>
        <w:rPr>
          <w:rFonts w:hint="eastAsia" w:ascii="仿宋" w:hAnsi="仿宋" w:eastAsia="仿宋" w:cs="仿宋"/>
          <w:sz w:val="24"/>
          <w:szCs w:val="24"/>
          <w:lang w:eastAsia="zh-CN"/>
        </w:rPr>
        <w:t>城乡规划局</w:t>
      </w:r>
    </w:p>
    <w:p>
      <w:pPr>
        <w:keepNext w:val="0"/>
        <w:keepLines w:val="0"/>
        <w:pageBreakBefore w:val="0"/>
        <w:widowControl/>
        <w:shd w:val="clear" w:color="auto" w:fill="FFFFFF"/>
        <w:kinsoku/>
        <w:overflowPunct/>
        <w:bidi w:val="0"/>
        <w:spacing w:line="520" w:lineRule="exact"/>
        <w:ind w:right="0" w:rightChars="0" w:firstLine="720" w:firstLineChars="300"/>
        <w:jc w:val="left"/>
        <w:textAlignment w:val="auto"/>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禹王大道</w:t>
      </w:r>
    </w:p>
    <w:p>
      <w:pPr>
        <w:keepNext w:val="0"/>
        <w:keepLines w:val="0"/>
        <w:pageBreakBefore w:val="0"/>
        <w:widowControl/>
        <w:shd w:val="clear" w:color="auto" w:fill="FFFFFF"/>
        <w:kinsoku/>
        <w:overflowPunct/>
        <w:bidi w:val="0"/>
        <w:spacing w:line="520" w:lineRule="exact"/>
        <w:ind w:right="0" w:rightChars="0" w:firstLine="641"/>
        <w:jc w:val="left"/>
        <w:textAlignment w:val="auto"/>
        <w:outlineLvl w:val="9"/>
        <w:rPr>
          <w:rFonts w:ascii="仿宋" w:hAnsi="仿宋" w:eastAsia="仿宋" w:cs="仿宋"/>
          <w:color w:val="000000"/>
          <w:kern w:val="0"/>
          <w:sz w:val="24"/>
          <w:szCs w:val="24"/>
          <w:lang w:val="en-US"/>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李女士</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13569903269</w:t>
      </w:r>
    </w:p>
    <w:p>
      <w:pPr>
        <w:keepNext w:val="0"/>
        <w:keepLines w:val="0"/>
        <w:pageBreakBefore w:val="0"/>
        <w:kinsoku/>
        <w:overflowPunct/>
        <w:bidi w:val="0"/>
        <w:spacing w:line="520" w:lineRule="exact"/>
        <w:ind w:right="0" w:rightChars="0" w:firstLine="4080" w:firstLineChars="17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kinsoku/>
        <w:overflowPunct/>
        <w:bidi w:val="0"/>
        <w:spacing w:line="520" w:lineRule="exact"/>
        <w:ind w:right="0" w:rightChars="0" w:firstLine="4080" w:firstLineChars="1700"/>
        <w:textAlignment w:val="auto"/>
        <w:outlineLvl w:val="9"/>
        <w:rPr>
          <w:rFonts w:hint="eastAsia" w:ascii="仿宋" w:hAnsi="仿宋" w:eastAsia="仿宋" w:cs="仿宋"/>
          <w:sz w:val="24"/>
          <w:szCs w:val="24"/>
          <w:lang w:val="en-US" w:eastAsia="zh-CN"/>
        </w:rPr>
      </w:pPr>
    </w:p>
    <w:p>
      <w:pPr>
        <w:keepNext w:val="0"/>
        <w:keepLines w:val="0"/>
        <w:pageBreakBefore w:val="0"/>
        <w:kinsoku/>
        <w:overflowPunct/>
        <w:bidi w:val="0"/>
        <w:spacing w:line="520" w:lineRule="exact"/>
        <w:ind w:right="0" w:rightChars="0" w:firstLine="5760" w:firstLineChars="2400"/>
        <w:textAlignment w:val="auto"/>
        <w:outlineLvl w:val="9"/>
        <w:rPr>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28</w:t>
      </w:r>
      <w:r>
        <w:rPr>
          <w:rFonts w:hint="eastAsia" w:ascii="仿宋" w:hAnsi="仿宋" w:eastAsia="仿宋" w:cs="仿宋"/>
          <w:sz w:val="24"/>
          <w:szCs w:val="24"/>
        </w:rPr>
        <w:t>日</w:t>
      </w:r>
    </w:p>
    <w:p>
      <w:pPr>
        <w:spacing w:line="360" w:lineRule="auto"/>
        <w:ind w:firstLine="1928" w:firstLineChars="800"/>
        <w:rPr>
          <w:rFonts w:ascii="仿宋" w:hAnsi="仿宋" w:eastAsia="仿宋" w:cs="仿宋"/>
          <w:b/>
          <w:sz w:val="24"/>
          <w:szCs w:val="24"/>
        </w:rPr>
      </w:pPr>
    </w:p>
    <w:p>
      <w:pPr>
        <w:spacing w:line="360" w:lineRule="auto"/>
        <w:ind w:firstLine="1928" w:firstLineChars="800"/>
        <w:rPr>
          <w:rFonts w:ascii="仿宋" w:hAnsi="仿宋" w:eastAsia="仿宋" w:cs="仿宋"/>
          <w:b/>
          <w:sz w:val="24"/>
          <w:szCs w:val="24"/>
        </w:rPr>
      </w:pPr>
    </w:p>
    <w:p>
      <w:pPr>
        <w:spacing w:line="360" w:lineRule="auto"/>
        <w:ind w:firstLine="3534" w:firstLineChars="800"/>
        <w:rPr>
          <w:rFonts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w:t>
            </w:r>
            <w:r>
              <w:rPr>
                <w:rFonts w:hint="eastAsia" w:ascii="仿宋" w:hAnsi="仿宋" w:eastAsia="仿宋"/>
                <w:sz w:val="24"/>
                <w:szCs w:val="24"/>
                <w:lang w:val="en-US" w:eastAsia="zh-CN"/>
              </w:rPr>
              <w:t>8012-1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keepNext w:val="0"/>
              <w:keepLines w:val="0"/>
              <w:pageBreakBefore w:val="0"/>
              <w:numPr>
                <w:ilvl w:val="0"/>
                <w:numId w:val="0"/>
              </w:numPr>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禹州市城乡规划局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kinsoku/>
              <w:overflowPunct/>
              <w:bidi w:val="0"/>
              <w:spacing w:line="520" w:lineRule="exact"/>
              <w:ind w:right="0" w:rightChars="0"/>
              <w:textAlignment w:val="auto"/>
              <w:outlineLvl w:val="9"/>
              <w:rPr>
                <w:rFonts w:ascii="仿宋" w:hAnsi="仿宋" w:eastAsia="仿宋"/>
                <w:color w:val="000000"/>
                <w:kern w:val="0"/>
                <w:sz w:val="24"/>
                <w:szCs w:val="24"/>
              </w:rPr>
            </w:pPr>
            <w:r>
              <w:rPr>
                <w:rFonts w:hint="eastAsia" w:ascii="仿宋" w:hAnsi="仿宋" w:eastAsia="仿宋" w:cstheme="minorBidi"/>
                <w:color w:val="000000"/>
                <w:kern w:val="0"/>
                <w:sz w:val="24"/>
                <w:szCs w:val="24"/>
                <w:lang w:val="en-US" w:eastAsia="zh-CN" w:bidi="ar-SA"/>
              </w:rPr>
              <w:t>禹州市公共文化设施布局规划项目（二次）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伍</w:t>
            </w:r>
            <w:r>
              <w:rPr>
                <w:rFonts w:hint="eastAsia" w:ascii="仿宋" w:hAnsi="仿宋" w:eastAsia="仿宋"/>
                <w:sz w:val="24"/>
                <w:szCs w:val="24"/>
                <w:lang w:eastAsia="zh-CN"/>
              </w:rPr>
              <w:t>仟</w:t>
            </w:r>
            <w:r>
              <w:rPr>
                <w:rFonts w:hint="eastAsia" w:ascii="仿宋" w:hAnsi="仿宋" w:eastAsia="仿宋"/>
                <w:sz w:val="24"/>
                <w:szCs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3</w:t>
            </w:r>
            <w:r>
              <w:rPr>
                <w:rFonts w:hint="eastAsia" w:ascii="仿宋" w:hAnsi="仿宋" w:eastAsia="仿宋"/>
                <w:sz w:val="24"/>
                <w:szCs w:val="24"/>
              </w:rPr>
              <w:t>月</w:t>
            </w:r>
            <w:r>
              <w:rPr>
                <w:rFonts w:hint="eastAsia" w:ascii="仿宋" w:hAnsi="仿宋" w:eastAsia="仿宋"/>
                <w:sz w:val="24"/>
                <w:szCs w:val="24"/>
                <w:lang w:val="en-US" w:eastAsia="zh-CN"/>
              </w:rPr>
              <w:t>22</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注：投标人须提供电子版投标文件一份，随投标文件密封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22</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22</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法定代表人（持身份证原件）或授权委托人（持身份证原件或法人代表授权委托书）现场签到，否则拒绝接收其投标文件。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pStyle w:val="121"/>
              <w:spacing w:line="480" w:lineRule="exact"/>
              <w:ind w:firstLine="0" w:firstLineChars="0"/>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33.26</w:t>
            </w:r>
            <w:r>
              <w:rPr>
                <w:rFonts w:hint="eastAsia" w:ascii="仿宋" w:hAnsi="仿宋" w:eastAsia="仿宋"/>
                <w:b/>
                <w:bCs/>
                <w:sz w:val="24"/>
                <w:szCs w:val="24"/>
              </w:rPr>
              <w:t>万元，</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7"/>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8"/>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spacing w:line="440" w:lineRule="exact"/>
        <w:rPr>
          <w:rFonts w:ascii="仿宋" w:hAnsi="仿宋" w:eastAsia="仿宋"/>
          <w:b/>
          <w:sz w:val="44"/>
        </w:rPr>
      </w:pPr>
    </w:p>
    <w:p>
      <w:pPr>
        <w:numPr>
          <w:ilvl w:val="0"/>
          <w:numId w:val="9"/>
        </w:numPr>
        <w:spacing w:line="500" w:lineRule="exact"/>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项目背景：</w:t>
      </w:r>
    </w:p>
    <w:p>
      <w:pPr>
        <w:spacing w:line="5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为了满足人民群众基本文化需要、方便群众参与公共文化活动，根据市委市政府工作安排以及《河南省百城建设提质工程工作领导小组办公室关于做好市政基础设施和公共服务设施专项规划编制审查有关工作的通知》（豫百城提质办[2017]48号文）要求，现需编制《禹州市公共文化设施布局规划》。</w:t>
      </w:r>
    </w:p>
    <w:p>
      <w:pPr>
        <w:spacing w:line="50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二、规划范围及内容：</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规划范围为禹州市行政辖区范围，总面积1461平方公里（包括各乡镇），核心是中心城区73.6平方公里，兼顾市域。主要内容为对禹州市城市公共文化设施现状进行梳理，对不同类型、不同层级的公共文化设施布局提出分类指导，注重规划的合理性和可实施性，形成科学合理的公共文化设施体系。</w:t>
      </w:r>
    </w:p>
    <w:p>
      <w:pPr>
        <w:numPr>
          <w:ilvl w:val="0"/>
          <w:numId w:val="10"/>
        </w:numPr>
        <w:spacing w:line="50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成果要求：</w:t>
      </w:r>
    </w:p>
    <w:p>
      <w:pPr>
        <w:numPr>
          <w:ilvl w:val="0"/>
          <w:numId w:val="11"/>
        </w:num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规划成果包括文字材料（文本及相关说明），图纸及相应的电子文件。</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2、成果形式</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1）、包含文字材料及图纸的最终成果缩印本15套，规格统一为A3（420mm*297mm）。</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2）、包含文字材料及图纸的电子文件1套，文本为 DOC格式文件，图纸为DWG格式文件</w:t>
      </w:r>
      <w:r>
        <w:rPr>
          <w:rFonts w:hint="eastAsia" w:ascii="仿宋" w:hAnsi="仿宋" w:eastAsia="仿宋" w:cs="仿宋"/>
          <w:sz w:val="24"/>
          <w:szCs w:val="24"/>
          <w:highlight w:val="none"/>
          <w:lang w:eastAsia="zh-CN"/>
        </w:rPr>
        <w:t>和</w:t>
      </w:r>
      <w:r>
        <w:rPr>
          <w:rFonts w:hint="eastAsia" w:ascii="仿宋" w:hAnsi="仿宋" w:eastAsia="仿宋" w:cs="仿宋"/>
          <w:sz w:val="24"/>
          <w:szCs w:val="24"/>
          <w:highlight w:val="none"/>
        </w:rPr>
        <w:t>JPG格式文件。</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3）、汇报展示用的ppt文件一份。</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4）、其它阶段性成果汇报按需提供。</w:t>
      </w:r>
    </w:p>
    <w:p>
      <w:pPr>
        <w:numPr>
          <w:ilvl w:val="0"/>
          <w:numId w:val="11"/>
        </w:num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具体内容：</w:t>
      </w:r>
    </w:p>
    <w:p>
      <w:pPr>
        <w:spacing w:line="500" w:lineRule="exact"/>
        <w:ind w:firstLine="640"/>
        <w:rPr>
          <w:rFonts w:hint="eastAsia" w:ascii="仿宋" w:hAnsi="仿宋" w:eastAsia="仿宋" w:cs="仿宋"/>
          <w:color w:val="000000"/>
          <w:sz w:val="24"/>
          <w:szCs w:val="24"/>
          <w:highlight w:val="none"/>
          <w:lang w:eastAsia="zh-CN"/>
        </w:rPr>
      </w:pPr>
      <w:r>
        <w:rPr>
          <w:rFonts w:hint="eastAsia" w:ascii="仿宋" w:hAnsi="仿宋" w:eastAsia="仿宋" w:cs="仿宋"/>
          <w:color w:val="FF0000"/>
          <w:sz w:val="24"/>
          <w:szCs w:val="24"/>
          <w:highlight w:val="none"/>
          <w:lang w:eastAsia="zh-CN"/>
        </w:rPr>
        <w:t>主要图纸：①文化设施总体空间布局结构图②群众活动类文化设施布局规划图③图书阅览类文化设施布局规划图④展览类文化设施布局规划图⑤艺术表演场所类文化设施布局规划图⑥文化娱乐与产业类文化设施布局图⑦公共文化设施近期规划图⑧重点片区公共文化设施规划图</w:t>
      </w:r>
    </w:p>
    <w:p>
      <w:pPr>
        <w:widowControl/>
        <w:spacing w:line="440" w:lineRule="exact"/>
        <w:rPr>
          <w:rFonts w:ascii="仿宋" w:hAnsi="仿宋" w:eastAsia="仿宋" w:cs="仿宋"/>
          <w:b/>
          <w:sz w:val="24"/>
          <w:szCs w:val="24"/>
        </w:rPr>
      </w:pPr>
      <w:r>
        <w:rPr>
          <w:rFonts w:hint="eastAsia" w:ascii="仿宋" w:hAnsi="仿宋" w:eastAsia="仿宋" w:cs="仿宋"/>
          <w:b/>
          <w:bCs/>
          <w:sz w:val="24"/>
          <w:szCs w:val="24"/>
        </w:rPr>
        <w:br w:type="page"/>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lang w:eastAsia="zh-CN"/>
        </w:rPr>
        <w:t>四</w:t>
      </w:r>
      <w:r>
        <w:rPr>
          <w:rFonts w:hint="eastAsia" w:ascii="仿宋" w:hAnsi="仿宋" w:eastAsia="仿宋" w:cs="仿宋"/>
          <w:b/>
          <w:sz w:val="24"/>
          <w:szCs w:val="24"/>
        </w:rPr>
        <w:t>、其它要求：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以上要求为最低要求</w:t>
      </w:r>
      <w:r>
        <w:rPr>
          <w:rFonts w:hint="eastAsia" w:ascii="仿宋" w:hAnsi="仿宋" w:eastAsia="仿宋" w:cs="仿宋"/>
          <w:sz w:val="24"/>
          <w:szCs w:val="24"/>
        </w:rPr>
        <w:t>，</w:t>
      </w:r>
      <w:r>
        <w:rPr>
          <w:rFonts w:hint="eastAsia" w:ascii="仿宋" w:hAnsi="仿宋" w:eastAsia="仿宋" w:cs="仿宋"/>
          <w:sz w:val="24"/>
          <w:szCs w:val="24"/>
          <w:lang w:eastAsia="zh-CN"/>
        </w:rPr>
        <w:t>投标商应等于或优于此要求，</w:t>
      </w:r>
      <w:r>
        <w:rPr>
          <w:rFonts w:hint="eastAsia" w:ascii="仿宋" w:hAnsi="仿宋" w:eastAsia="仿宋" w:cs="仿宋"/>
          <w:sz w:val="24"/>
          <w:szCs w:val="24"/>
        </w:rPr>
        <w:t>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、投标人应就该项目完整投标，</w:t>
      </w:r>
      <w:r>
        <w:rPr>
          <w:rFonts w:hint="eastAsia" w:ascii="仿宋" w:hAnsi="仿宋" w:eastAsia="仿宋" w:cs="仿宋"/>
          <w:sz w:val="24"/>
          <w:szCs w:val="24"/>
          <w:lang w:eastAsia="zh-CN"/>
        </w:rPr>
        <w:t>须合理的工作方案，</w:t>
      </w:r>
      <w:r>
        <w:rPr>
          <w:rFonts w:hint="eastAsia" w:ascii="仿宋" w:hAnsi="仿宋" w:eastAsia="仿宋" w:cs="仿宋"/>
          <w:sz w:val="24"/>
          <w:szCs w:val="24"/>
        </w:rPr>
        <w:t>否则为无效投标。</w:t>
      </w:r>
    </w:p>
    <w:p>
      <w:pPr>
        <w:tabs>
          <w:tab w:val="left" w:pos="5963"/>
        </w:tabs>
        <w:spacing w:line="420" w:lineRule="exact"/>
        <w:ind w:firstLine="480" w:firstLineChars="200"/>
        <w:rPr>
          <w:rFonts w:ascii="仿宋" w:hAnsi="仿宋" w:eastAsia="仿宋" w:cs="仿宋_GB2312"/>
          <w:b/>
          <w:sz w:val="44"/>
        </w:rPr>
      </w:pPr>
      <w:r>
        <w:rPr>
          <w:rFonts w:hint="eastAsia" w:ascii="仿宋" w:hAnsi="仿宋" w:eastAsia="仿宋" w:cs="仿宋"/>
          <w:sz w:val="24"/>
          <w:szCs w:val="24"/>
          <w:lang w:val="en-US" w:eastAsia="zh-CN"/>
        </w:rPr>
        <w:t>3</w:t>
      </w:r>
      <w:r>
        <w:rPr>
          <w:rFonts w:hint="eastAsia" w:ascii="仿宋" w:hAnsi="仿宋" w:eastAsia="仿宋" w:cs="仿宋"/>
          <w:sz w:val="24"/>
          <w:szCs w:val="24"/>
        </w:rPr>
        <w:t>、付款方式：以签订合同为准。</w:t>
      </w:r>
    </w:p>
    <w:p>
      <w:pPr>
        <w:spacing w:line="520" w:lineRule="exact"/>
        <w:ind w:firstLine="2209" w:firstLineChars="500"/>
        <w:rPr>
          <w:rFonts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w:t>
      </w:r>
      <w:r>
        <w:rPr>
          <w:rFonts w:hint="eastAsia" w:ascii="仿宋" w:hAnsi="仿宋" w:eastAsia="仿宋" w:cs="仿宋"/>
          <w:sz w:val="24"/>
          <w:szCs w:val="24"/>
          <w:lang w:eastAsia="zh-CN"/>
        </w:rPr>
        <w:t>资质证书、法定代表人授权代表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（3）投标保证金缴纳情况；</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p>
    <w:tbl>
      <w:tblPr>
        <w:tblStyle w:val="36"/>
        <w:tblW w:w="9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701"/>
        <w:gridCol w:w="5095"/>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2326" w:hRule="atLeast"/>
          <w:jc w:val="center"/>
        </w:trPr>
        <w:tc>
          <w:tcPr>
            <w:tcW w:w="4409" w:type="dxa"/>
            <w:gridSpan w:val="2"/>
            <w:vAlign w:val="center"/>
          </w:tcPr>
          <w:p>
            <w:pPr>
              <w:spacing w:line="400" w:lineRule="exact"/>
              <w:rPr>
                <w:rFonts w:ascii="仿宋" w:hAnsi="仿宋" w:eastAsia="仿宋" w:cs="仿宋_GB2312"/>
                <w:sz w:val="24"/>
              </w:rPr>
            </w:pPr>
            <w:r>
              <w:rPr>
                <w:rFonts w:hint="eastAsia" w:ascii="仿宋" w:hAnsi="仿宋" w:eastAsia="仿宋" w:cs="仿宋_GB2312"/>
                <w:sz w:val="24"/>
              </w:rPr>
              <w:t xml:space="preserve">       </w:t>
            </w:r>
            <w:r>
              <w:rPr>
                <w:rFonts w:ascii="仿宋" w:hAnsi="仿宋" w:eastAsia="仿宋" w:cs="仿宋_GB2312"/>
                <w:sz w:val="24"/>
              </w:rPr>
              <w:t>投标报价得分（</w:t>
            </w:r>
            <w:r>
              <w:rPr>
                <w:rFonts w:hint="eastAsia" w:ascii="仿宋" w:hAnsi="仿宋" w:eastAsia="仿宋" w:cs="仿宋_GB2312"/>
                <w:sz w:val="24"/>
                <w:lang w:val="en-US" w:eastAsia="zh-CN"/>
              </w:rPr>
              <w:t>30</w:t>
            </w:r>
            <w:r>
              <w:rPr>
                <w:rFonts w:ascii="仿宋" w:hAnsi="仿宋" w:eastAsia="仿宋" w:cs="仿宋_GB2312"/>
                <w:sz w:val="24"/>
              </w:rPr>
              <w:t>分）</w:t>
            </w:r>
          </w:p>
        </w:tc>
        <w:tc>
          <w:tcPr>
            <w:tcW w:w="5095" w:type="dxa"/>
            <w:vAlign w:val="center"/>
          </w:tcPr>
          <w:p>
            <w:pPr>
              <w:spacing w:line="360" w:lineRule="auto"/>
              <w:textAlignment w:val="baseline"/>
              <w:rPr>
                <w:rFonts w:ascii="仿宋" w:hAnsi="仿宋" w:eastAsia="仿宋" w:cs="仿宋_GB2312"/>
                <w:sz w:val="24"/>
              </w:rPr>
            </w:pPr>
            <w:r>
              <w:rPr>
                <w:rFonts w:hint="eastAsia" w:ascii="仿宋" w:hAnsi="仿宋" w:eastAsia="仿宋" w:cs="仿宋_GB2312"/>
                <w:sz w:val="24"/>
              </w:rPr>
              <w:t>报价得分</w:t>
            </w:r>
            <w:r>
              <w:rPr>
                <w:rFonts w:ascii="仿宋" w:hAnsi="仿宋" w:eastAsia="仿宋" w:cs="仿宋_GB2312"/>
                <w:sz w:val="24"/>
              </w:rPr>
              <w:t>=</w:t>
            </w:r>
            <w:r>
              <w:rPr>
                <w:rFonts w:hint="eastAsia" w:ascii="仿宋" w:hAnsi="仿宋" w:eastAsia="仿宋" w:cs="仿宋_GB2312"/>
                <w:sz w:val="24"/>
                <w:lang w:eastAsia="zh-CN"/>
              </w:rPr>
              <w:t>评标基准价</w:t>
            </w:r>
            <w:r>
              <w:rPr>
                <w:rFonts w:ascii="仿宋" w:hAnsi="仿宋" w:eastAsia="仿宋" w:cs="仿宋_GB2312"/>
                <w:sz w:val="24"/>
              </w:rPr>
              <w:t>/</w:t>
            </w:r>
            <w:r>
              <w:rPr>
                <w:rFonts w:hint="eastAsia" w:ascii="仿宋" w:hAnsi="仿宋" w:eastAsia="仿宋" w:cs="仿宋_GB2312"/>
                <w:sz w:val="24"/>
              </w:rPr>
              <w:t>有效投标报价×</w:t>
            </w:r>
            <w:r>
              <w:rPr>
                <w:rFonts w:hint="eastAsia" w:ascii="仿宋" w:hAnsi="仿宋" w:eastAsia="仿宋" w:cs="仿宋_GB2312"/>
                <w:sz w:val="24"/>
                <w:lang w:val="en-US" w:eastAsia="zh-CN"/>
              </w:rPr>
              <w:t>30</w:t>
            </w:r>
          </w:p>
          <w:p>
            <w:pPr>
              <w:spacing w:line="360" w:lineRule="auto"/>
              <w:textAlignment w:val="baseline"/>
              <w:rPr>
                <w:rFonts w:asciiTheme="majorEastAsia" w:hAnsiTheme="majorEastAsia" w:eastAsiaTheme="majorEastAsia" w:cstheme="majorEastAsia"/>
                <w:color w:val="0000FF"/>
                <w:sz w:val="24"/>
              </w:rPr>
            </w:pPr>
            <w:r>
              <w:rPr>
                <w:rFonts w:hint="eastAsia" w:ascii="仿宋" w:hAnsi="仿宋" w:eastAsia="仿宋" w:cs="仿宋_GB2312"/>
                <w:sz w:val="24"/>
              </w:rPr>
              <w:t>（满足招标文件要求且报价最低的报价为</w:t>
            </w:r>
            <w:r>
              <w:rPr>
                <w:rFonts w:hint="eastAsia" w:ascii="仿宋" w:hAnsi="仿宋" w:eastAsia="仿宋" w:cs="仿宋_GB2312"/>
                <w:sz w:val="24"/>
                <w:lang w:eastAsia="zh-CN"/>
              </w:rPr>
              <w:t>评标基准价</w:t>
            </w:r>
            <w:r>
              <w:rPr>
                <w:rFonts w:hint="eastAsia" w:ascii="仿宋" w:hAnsi="仿宋" w:eastAsia="仿宋" w:cs="仿宋_GB2312"/>
                <w:sz w:val="24"/>
              </w:rPr>
              <w:t>，其价格分为满分，其他</w:t>
            </w:r>
            <w:r>
              <w:rPr>
                <w:rFonts w:hint="eastAsia" w:ascii="仿宋" w:hAnsi="仿宋" w:eastAsia="仿宋" w:cs="仿宋_GB2312"/>
                <w:sz w:val="24"/>
                <w:lang w:eastAsia="zh-CN"/>
              </w:rPr>
              <w:t>投标</w:t>
            </w:r>
            <w:r>
              <w:rPr>
                <w:rFonts w:hint="eastAsia" w:ascii="仿宋" w:hAnsi="仿宋" w:eastAsia="仿宋" w:cs="仿宋_GB2312"/>
                <w:sz w:val="24"/>
              </w:rPr>
              <w:t>商的价格分按照公式计算）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34" w:type="dxa"/>
          <w:cantSplit/>
          <w:trHeight w:val="90" w:hRule="atLeast"/>
          <w:jc w:val="center"/>
        </w:trPr>
        <w:tc>
          <w:tcPr>
            <w:tcW w:w="4409" w:type="dxa"/>
            <w:gridSpan w:val="2"/>
            <w:tcBorders>
              <w:left w:val="single" w:color="auto" w:sz="4" w:space="0"/>
              <w:right w:val="single" w:color="auto" w:sz="4" w:space="0"/>
            </w:tcBorders>
            <w:vAlign w:val="center"/>
          </w:tcPr>
          <w:p>
            <w:pPr>
              <w:spacing w:line="360" w:lineRule="auto"/>
              <w:ind w:firstLine="960" w:firstLineChars="400"/>
              <w:textAlignment w:val="baseline"/>
              <w:rPr>
                <w:rFonts w:hint="eastAsia" w:ascii="仿宋" w:hAnsi="仿宋" w:eastAsia="仿宋" w:cs="仿宋_GB2312"/>
                <w:sz w:val="24"/>
                <w:lang w:val="en-US" w:eastAsia="zh-CN"/>
              </w:rPr>
            </w:pPr>
          </w:p>
          <w:p>
            <w:pPr>
              <w:spacing w:line="360" w:lineRule="auto"/>
              <w:ind w:firstLine="960" w:firstLineChars="400"/>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投标文件规范程度（3分）</w:t>
            </w:r>
          </w:p>
          <w:p>
            <w:pPr>
              <w:spacing w:line="360" w:lineRule="auto"/>
              <w:textAlignment w:val="baseline"/>
              <w:rPr>
                <w:rFonts w:hint="eastAsia" w:ascii="仿宋" w:hAnsi="仿宋" w:eastAsia="仿宋" w:cs="仿宋_GB2312"/>
                <w:sz w:val="24"/>
              </w:rPr>
            </w:pPr>
          </w:p>
        </w:tc>
        <w:tc>
          <w:tcPr>
            <w:tcW w:w="509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rPr>
            </w:pPr>
            <w:r>
              <w:rPr>
                <w:rFonts w:hint="eastAsia" w:ascii="仿宋" w:hAnsi="仿宋" w:eastAsia="仿宋" w:cs="仿宋_GB2312"/>
                <w:sz w:val="24"/>
              </w:rPr>
              <w:t>装订规范、文字清晰、无差错得</w:t>
            </w:r>
            <w:r>
              <w:rPr>
                <w:rFonts w:hint="eastAsia" w:ascii="仿宋" w:hAnsi="仿宋" w:eastAsia="仿宋" w:cs="仿宋_GB2312"/>
                <w:sz w:val="24"/>
                <w:lang w:val="en-US" w:eastAsia="zh-CN"/>
              </w:rPr>
              <w:t>2</w:t>
            </w:r>
            <w:r>
              <w:rPr>
                <w:rFonts w:hint="eastAsia" w:ascii="仿宋" w:hAnsi="仿宋" w:eastAsia="仿宋" w:cs="仿宋_GB2312"/>
                <w:sz w:val="24"/>
              </w:rPr>
              <w:t>分，所提供资料准确完整得1分。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34" w:type="dxa"/>
          <w:cantSplit/>
          <w:trHeight w:val="90" w:hRule="atLeast"/>
          <w:jc w:val="center"/>
        </w:trPr>
        <w:tc>
          <w:tcPr>
            <w:tcW w:w="4409" w:type="dxa"/>
            <w:gridSpan w:val="2"/>
            <w:vMerge w:val="restart"/>
            <w:tcBorders>
              <w:left w:val="single" w:color="auto" w:sz="4" w:space="0"/>
              <w:right w:val="single" w:color="auto" w:sz="4" w:space="0"/>
            </w:tcBorders>
            <w:vAlign w:val="center"/>
          </w:tcPr>
          <w:p>
            <w:pPr>
              <w:spacing w:line="400" w:lineRule="exact"/>
              <w:rPr>
                <w:color w:val="000000"/>
              </w:rPr>
            </w:pPr>
          </w:p>
          <w:p>
            <w:pPr>
              <w:spacing w:line="360" w:lineRule="auto"/>
              <w:textAlignment w:val="baseline"/>
              <w:rPr>
                <w:rFonts w:hint="eastAsia" w:ascii="仿宋" w:hAnsi="仿宋" w:eastAsia="仿宋" w:cs="仿宋_GB2312"/>
                <w:sz w:val="24"/>
              </w:rPr>
            </w:pPr>
            <w:r>
              <w:rPr>
                <w:rFonts w:hint="eastAsia" w:ascii="仿宋" w:hAnsi="仿宋" w:eastAsia="仿宋" w:cs="仿宋_GB2312"/>
                <w:sz w:val="24"/>
              </w:rPr>
              <w:t xml:space="preserve">  </w:t>
            </w:r>
            <w:r>
              <w:rPr>
                <w:rFonts w:hint="eastAsia" w:ascii="仿宋" w:hAnsi="仿宋" w:eastAsia="仿宋" w:cs="仿宋_GB2312"/>
                <w:sz w:val="24"/>
                <w:lang w:val="en-US" w:eastAsia="zh-CN"/>
              </w:rPr>
              <w:t xml:space="preserve">      </w:t>
            </w:r>
            <w:r>
              <w:rPr>
                <w:rFonts w:hint="eastAsia" w:ascii="仿宋" w:hAnsi="仿宋" w:eastAsia="仿宋" w:cs="仿宋_GB2312"/>
                <w:sz w:val="24"/>
              </w:rPr>
              <w:t>企业业绩及信誉</w:t>
            </w:r>
          </w:p>
          <w:p>
            <w:pPr>
              <w:spacing w:line="360" w:lineRule="auto"/>
              <w:textAlignment w:val="baseline"/>
              <w:rPr>
                <w:rFonts w:hint="eastAsia" w:ascii="仿宋" w:hAnsi="仿宋" w:eastAsia="仿宋" w:cs="仿宋_GB2312"/>
                <w:sz w:val="24"/>
              </w:rPr>
            </w:pPr>
            <w:r>
              <w:rPr>
                <w:rFonts w:hint="eastAsia" w:ascii="仿宋" w:hAnsi="仿宋" w:eastAsia="仿宋" w:cs="仿宋_GB2312"/>
                <w:sz w:val="24"/>
              </w:rPr>
              <w:t xml:space="preserve">    </w:t>
            </w:r>
            <w:r>
              <w:rPr>
                <w:rFonts w:hint="eastAsia" w:ascii="仿宋" w:hAnsi="仿宋" w:eastAsia="仿宋" w:cs="仿宋_GB2312"/>
                <w:sz w:val="24"/>
                <w:lang w:val="en-US" w:eastAsia="zh-CN"/>
              </w:rPr>
              <w:t xml:space="preserve">      </w:t>
            </w:r>
            <w:r>
              <w:rPr>
                <w:rFonts w:hint="eastAsia" w:ascii="仿宋" w:hAnsi="仿宋" w:eastAsia="仿宋" w:cs="仿宋_GB2312"/>
                <w:sz w:val="24"/>
              </w:rPr>
              <w:t>（</w:t>
            </w:r>
            <w:r>
              <w:rPr>
                <w:rFonts w:hint="eastAsia" w:ascii="仿宋" w:hAnsi="仿宋" w:eastAsia="仿宋" w:cs="仿宋_GB2312"/>
                <w:sz w:val="24"/>
                <w:lang w:val="en-US" w:eastAsia="zh-CN"/>
              </w:rPr>
              <w:t>29</w:t>
            </w:r>
            <w:r>
              <w:rPr>
                <w:rFonts w:hint="eastAsia" w:ascii="仿宋" w:hAnsi="仿宋" w:eastAsia="仿宋" w:cs="仿宋_GB2312"/>
                <w:sz w:val="24"/>
              </w:rPr>
              <w:t>分）</w:t>
            </w:r>
          </w:p>
        </w:tc>
        <w:tc>
          <w:tcPr>
            <w:tcW w:w="509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rPr>
            </w:pPr>
            <w:r>
              <w:rPr>
                <w:rFonts w:hint="eastAsia" w:ascii="仿宋" w:hAnsi="仿宋" w:eastAsia="仿宋" w:cs="仿宋_GB2312"/>
                <w:sz w:val="24"/>
              </w:rPr>
              <w:t>1.企业获得ISO9001质量管理体系认证单位的得</w:t>
            </w:r>
            <w:r>
              <w:rPr>
                <w:rFonts w:hint="eastAsia" w:ascii="仿宋" w:hAnsi="仿宋" w:eastAsia="仿宋" w:cs="仿宋_GB2312"/>
                <w:sz w:val="24"/>
                <w:lang w:val="en-US" w:eastAsia="zh-CN"/>
              </w:rPr>
              <w:t>3</w:t>
            </w:r>
            <w:r>
              <w:rPr>
                <w:rFonts w:hint="eastAsia" w:ascii="仿宋" w:hAnsi="仿宋" w:eastAsia="仿宋" w:cs="仿宋_GB2312"/>
                <w:sz w:val="24"/>
              </w:rPr>
              <w:t>分，（须提供证书原件）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34" w:type="dxa"/>
          <w:cantSplit/>
          <w:trHeight w:val="1196" w:hRule="atLeast"/>
          <w:jc w:val="center"/>
        </w:trPr>
        <w:tc>
          <w:tcPr>
            <w:tcW w:w="4409" w:type="dxa"/>
            <w:gridSpan w:val="2"/>
            <w:vMerge w:val="continue"/>
            <w:tcBorders>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rPr>
            </w:pPr>
          </w:p>
        </w:tc>
        <w:tc>
          <w:tcPr>
            <w:tcW w:w="509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rPr>
            </w:pPr>
            <w:r>
              <w:rPr>
                <w:rFonts w:hint="eastAsia" w:ascii="仿宋" w:hAnsi="仿宋" w:eastAsia="仿宋" w:cs="仿宋_GB2312"/>
                <w:sz w:val="24"/>
              </w:rPr>
              <w:t>2.投标人2014年1月1日以来有类似项目业绩，每有一项得2分，最高得1</w:t>
            </w:r>
            <w:r>
              <w:rPr>
                <w:rFonts w:hint="eastAsia" w:ascii="仿宋" w:hAnsi="仿宋" w:eastAsia="仿宋" w:cs="仿宋_GB2312"/>
                <w:sz w:val="24"/>
                <w:lang w:val="en-US" w:eastAsia="zh-CN"/>
              </w:rPr>
              <w:t>4</w:t>
            </w:r>
            <w:r>
              <w:rPr>
                <w:rFonts w:hint="eastAsia" w:ascii="仿宋" w:hAnsi="仿宋" w:eastAsia="仿宋" w:cs="仿宋_GB2312"/>
                <w:sz w:val="24"/>
              </w:rPr>
              <w:t>分（开标时需提供合同原件</w:t>
            </w:r>
            <w:r>
              <w:rPr>
                <w:rFonts w:hint="eastAsia" w:ascii="仿宋" w:hAnsi="仿宋" w:eastAsia="仿宋" w:cs="仿宋_GB2312"/>
                <w:sz w:val="24"/>
                <w:lang w:eastAsia="zh-CN"/>
              </w:rPr>
              <w:t>，否则不得分</w:t>
            </w:r>
            <w:r>
              <w:rPr>
                <w:rFonts w:hint="eastAsia" w:ascii="仿宋" w:hAnsi="仿宋" w:eastAsia="仿宋"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34" w:type="dxa"/>
          <w:cantSplit/>
          <w:trHeight w:val="1196" w:hRule="atLeast"/>
          <w:jc w:val="center"/>
        </w:trPr>
        <w:tc>
          <w:tcPr>
            <w:tcW w:w="4409" w:type="dxa"/>
            <w:gridSpan w:val="2"/>
            <w:vMerge w:val="continue"/>
            <w:tcBorders>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rPr>
            </w:pPr>
          </w:p>
        </w:tc>
        <w:tc>
          <w:tcPr>
            <w:tcW w:w="5095" w:type="dxa"/>
            <w:tcBorders>
              <w:top w:val="single" w:color="auto" w:sz="4" w:space="0"/>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rPr>
            </w:pPr>
            <w:r>
              <w:rPr>
                <w:rFonts w:hint="eastAsia" w:ascii="仿宋" w:hAnsi="仿宋" w:eastAsia="仿宋" w:cs="仿宋"/>
                <w:sz w:val="30"/>
                <w:szCs w:val="30"/>
                <w:highlight w:val="none"/>
                <w:lang w:eastAsia="zh-CN"/>
              </w:rPr>
              <w:t>（</w:t>
            </w:r>
            <w:r>
              <w:rPr>
                <w:rFonts w:hint="eastAsia" w:ascii="仿宋" w:hAnsi="仿宋" w:eastAsia="仿宋" w:cs="仿宋_GB2312"/>
                <w:sz w:val="24"/>
                <w:lang w:val="en-US" w:eastAsia="zh-CN"/>
              </w:rPr>
              <w:t>3</w:t>
            </w:r>
            <w:r>
              <w:rPr>
                <w:rFonts w:hint="eastAsia" w:ascii="仿宋" w:hAnsi="仿宋" w:eastAsia="仿宋" w:cs="仿宋_GB2312"/>
                <w:sz w:val="24"/>
                <w:lang w:eastAsia="zh-CN"/>
              </w:rPr>
              <w:t>）</w:t>
            </w:r>
            <w:r>
              <w:rPr>
                <w:rFonts w:hint="eastAsia" w:ascii="仿宋" w:hAnsi="仿宋" w:eastAsia="仿宋" w:cs="仿宋_GB2312"/>
                <w:sz w:val="24"/>
              </w:rPr>
              <w:t>投标人2014年1月1日以来获得过国家级相关部门及行业协会荣誉的每提供一项得2分，省级（含直辖市）相关部门及行业协会荣誉的每提供一项得1分，市级相关部门及行业协会荣誉的每提供一项得0.5分，满分</w:t>
            </w:r>
            <w:r>
              <w:rPr>
                <w:rFonts w:hint="eastAsia" w:ascii="仿宋" w:hAnsi="仿宋" w:eastAsia="仿宋" w:cs="仿宋_GB2312"/>
                <w:sz w:val="24"/>
                <w:lang w:val="en-US" w:eastAsia="zh-CN"/>
              </w:rPr>
              <w:t>12</w:t>
            </w:r>
            <w:r>
              <w:rPr>
                <w:rFonts w:hint="eastAsia" w:ascii="仿宋" w:hAnsi="仿宋" w:eastAsia="仿宋" w:cs="仿宋_GB2312"/>
                <w:sz w:val="24"/>
              </w:rPr>
              <w:t>分。（开标时需提供</w:t>
            </w:r>
            <w:r>
              <w:rPr>
                <w:rFonts w:hint="eastAsia" w:ascii="仿宋" w:hAnsi="仿宋" w:eastAsia="仿宋" w:cs="仿宋_GB2312"/>
                <w:sz w:val="24"/>
                <w:lang w:eastAsia="zh-CN"/>
              </w:rPr>
              <w:t>相关证书原件，否则不得分。</w:t>
            </w:r>
            <w:r>
              <w:rPr>
                <w:rFonts w:hint="eastAsia" w:ascii="仿宋" w:hAnsi="仿宋" w:eastAsia="仿宋"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58" w:hRule="atLeast"/>
          <w:jc w:val="center"/>
        </w:trPr>
        <w:tc>
          <w:tcPr>
            <w:tcW w:w="1708" w:type="dxa"/>
            <w:vMerge w:val="restart"/>
            <w:tcBorders>
              <w:left w:val="single" w:color="auto" w:sz="4" w:space="0"/>
              <w:right w:val="single" w:color="auto" w:sz="4" w:space="0"/>
            </w:tcBorders>
            <w:vAlign w:val="center"/>
          </w:tcPr>
          <w:p>
            <w:pPr>
              <w:spacing w:line="400" w:lineRule="exact"/>
              <w:jc w:val="center"/>
              <w:rPr>
                <w:rFonts w:ascii="仿宋" w:hAnsi="仿宋" w:eastAsia="仿宋"/>
                <w:color w:val="000000"/>
              </w:rPr>
            </w:pPr>
            <w:r>
              <w:rPr>
                <w:rFonts w:hint="eastAsia" w:ascii="仿宋" w:hAnsi="仿宋" w:eastAsia="仿宋"/>
                <w:color w:val="000000"/>
              </w:rPr>
              <w:t>工作规划</w:t>
            </w:r>
          </w:p>
          <w:p>
            <w:pPr>
              <w:spacing w:line="400" w:lineRule="exact"/>
              <w:jc w:val="center"/>
              <w:rPr>
                <w:rFonts w:ascii="仿宋" w:hAnsi="仿宋" w:eastAsia="仿宋"/>
                <w:color w:val="000000"/>
              </w:rPr>
            </w:pPr>
            <w:r>
              <w:rPr>
                <w:rFonts w:hint="eastAsia" w:ascii="仿宋" w:hAnsi="仿宋" w:eastAsia="仿宋"/>
                <w:color w:val="000000"/>
              </w:rPr>
              <w:t>编制思路</w:t>
            </w:r>
            <w:r>
              <w:rPr>
                <w:rFonts w:hint="eastAsia" w:ascii="仿宋" w:hAnsi="仿宋" w:eastAsia="仿宋"/>
                <w:color w:val="000000"/>
                <w:lang w:eastAsia="zh-CN"/>
              </w:rPr>
              <w:t>（</w:t>
            </w:r>
            <w:r>
              <w:rPr>
                <w:rFonts w:hint="eastAsia" w:ascii="仿宋" w:hAnsi="仿宋" w:eastAsia="仿宋"/>
                <w:color w:val="000000"/>
                <w:lang w:val="en-US" w:eastAsia="zh-CN"/>
              </w:rPr>
              <w:t>33分</w:t>
            </w:r>
            <w:r>
              <w:rPr>
                <w:rFonts w:hint="eastAsia" w:ascii="仿宋" w:hAnsi="仿宋" w:eastAsia="仿宋"/>
                <w:color w:val="000000"/>
                <w:lang w:eastAsia="zh-CN"/>
              </w:rPr>
              <w:t>）</w:t>
            </w:r>
          </w:p>
        </w:tc>
        <w:tc>
          <w:tcPr>
            <w:tcW w:w="7830" w:type="dxa"/>
            <w:gridSpan w:val="3"/>
            <w:tcBorders>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rPr>
            </w:pPr>
            <w:r>
              <w:rPr>
                <w:rFonts w:hint="eastAsia" w:ascii="仿宋" w:hAnsi="仿宋" w:eastAsia="仿宋" w:cs="仿宋_GB2312"/>
                <w:sz w:val="24"/>
                <w:lang w:val="en-US" w:eastAsia="zh-CN"/>
              </w:rPr>
              <w:t>1.</w:t>
            </w:r>
            <w:r>
              <w:rPr>
                <w:rFonts w:hint="eastAsia" w:ascii="仿宋" w:hAnsi="仿宋" w:eastAsia="仿宋" w:cs="仿宋_GB2312"/>
                <w:sz w:val="24"/>
              </w:rPr>
              <w:t xml:space="preserve">项目现状理解是否透彻，规划目标是否清晰，项目重点是否明确优 </w:t>
            </w:r>
            <w:r>
              <w:rPr>
                <w:rFonts w:hint="eastAsia" w:ascii="仿宋" w:hAnsi="仿宋" w:eastAsia="仿宋" w:cs="仿宋_GB2312"/>
                <w:sz w:val="24"/>
                <w:lang w:eastAsia="zh-CN"/>
              </w:rPr>
              <w:t>。</w:t>
            </w:r>
            <w:r>
              <w:rPr>
                <w:rFonts w:hint="eastAsia" w:ascii="仿宋" w:hAnsi="仿宋" w:eastAsia="仿宋" w:cs="仿宋_GB2312"/>
                <w:sz w:val="24"/>
                <w:lang w:val="en-US" w:eastAsia="zh-CN"/>
              </w:rPr>
              <w:t>优5</w:t>
            </w:r>
            <w:r>
              <w:rPr>
                <w:rFonts w:hint="eastAsia" w:ascii="仿宋" w:hAnsi="仿宋" w:eastAsia="仿宋" w:cs="仿宋_GB2312"/>
                <w:sz w:val="24"/>
              </w:rPr>
              <w:t>-</w:t>
            </w:r>
            <w:r>
              <w:rPr>
                <w:rFonts w:hint="eastAsia" w:ascii="仿宋" w:hAnsi="仿宋" w:eastAsia="仿宋" w:cs="仿宋_GB2312"/>
                <w:sz w:val="24"/>
                <w:lang w:val="en-US" w:eastAsia="zh-CN"/>
              </w:rPr>
              <w:t>7</w:t>
            </w:r>
            <w:r>
              <w:rPr>
                <w:rFonts w:hint="eastAsia" w:ascii="仿宋" w:hAnsi="仿宋" w:eastAsia="仿宋" w:cs="仿宋_GB2312"/>
                <w:sz w:val="24"/>
              </w:rPr>
              <w:t>分，良</w:t>
            </w:r>
            <w:r>
              <w:rPr>
                <w:rFonts w:hint="eastAsia" w:ascii="仿宋" w:hAnsi="仿宋" w:eastAsia="仿宋" w:cs="仿宋_GB2312"/>
                <w:sz w:val="24"/>
                <w:lang w:val="en-US" w:eastAsia="zh-CN"/>
              </w:rPr>
              <w:t>3</w:t>
            </w:r>
            <w:r>
              <w:rPr>
                <w:rFonts w:hint="eastAsia" w:ascii="仿宋" w:hAnsi="仿宋" w:eastAsia="仿宋" w:cs="仿宋_GB2312"/>
                <w:sz w:val="24"/>
              </w:rPr>
              <w:t>-</w:t>
            </w:r>
            <w:r>
              <w:rPr>
                <w:rFonts w:hint="eastAsia" w:ascii="仿宋" w:hAnsi="仿宋" w:eastAsia="仿宋" w:cs="仿宋_GB2312"/>
                <w:sz w:val="24"/>
                <w:lang w:val="en-US" w:eastAsia="zh-CN"/>
              </w:rPr>
              <w:t>4</w:t>
            </w:r>
            <w:r>
              <w:rPr>
                <w:rFonts w:hint="eastAsia" w:ascii="仿宋" w:hAnsi="仿宋" w:eastAsia="仿宋" w:cs="仿宋_GB2312"/>
                <w:sz w:val="24"/>
              </w:rPr>
              <w:t>分，差0-2分。</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2、</w:t>
            </w:r>
            <w:r>
              <w:rPr>
                <w:rFonts w:hint="eastAsia" w:ascii="仿宋" w:hAnsi="仿宋" w:eastAsia="仿宋" w:cs="仿宋_GB2312"/>
                <w:sz w:val="24"/>
              </w:rPr>
              <w:t>规划理念是否新颖，研究方向是否符合政策导向，规划是否具有较高的可行性</w:t>
            </w:r>
            <w:r>
              <w:rPr>
                <w:rFonts w:hint="eastAsia" w:ascii="仿宋" w:hAnsi="仿宋" w:eastAsia="仿宋" w:cs="仿宋_GB2312"/>
                <w:sz w:val="24"/>
                <w:lang w:eastAsia="zh-CN"/>
              </w:rPr>
              <w:t>。</w:t>
            </w:r>
            <w:r>
              <w:rPr>
                <w:rFonts w:hint="eastAsia" w:ascii="仿宋" w:hAnsi="仿宋" w:eastAsia="仿宋" w:cs="仿宋_GB2312"/>
                <w:sz w:val="24"/>
              </w:rPr>
              <w:t>优 5-</w:t>
            </w:r>
            <w:r>
              <w:rPr>
                <w:rFonts w:hint="eastAsia" w:ascii="仿宋" w:hAnsi="仿宋" w:eastAsia="仿宋" w:cs="仿宋_GB2312"/>
                <w:sz w:val="24"/>
                <w:lang w:val="en-US" w:eastAsia="zh-CN"/>
              </w:rPr>
              <w:t>7</w:t>
            </w:r>
            <w:r>
              <w:rPr>
                <w:rFonts w:hint="eastAsia" w:ascii="仿宋" w:hAnsi="仿宋" w:eastAsia="仿宋" w:cs="仿宋_GB2312"/>
                <w:sz w:val="24"/>
              </w:rPr>
              <w:t>分，良3-4分，差0-2分</w:t>
            </w:r>
            <w:r>
              <w:rPr>
                <w:rFonts w:hint="eastAsia" w:ascii="仿宋" w:hAnsi="仿宋" w:eastAsia="仿宋" w:cs="仿宋_GB2312"/>
                <w:sz w:val="24"/>
                <w:lang w:eastAsia="zh-CN"/>
              </w:rPr>
              <w:t>。</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3.</w:t>
            </w:r>
            <w:r>
              <w:rPr>
                <w:rFonts w:hint="eastAsia" w:ascii="仿宋" w:hAnsi="仿宋" w:eastAsia="仿宋" w:cs="仿宋_GB2312"/>
                <w:sz w:val="24"/>
              </w:rPr>
              <w:t>对城市重要区段、节点是否考虑全面</w:t>
            </w:r>
            <w:r>
              <w:rPr>
                <w:rFonts w:hint="eastAsia" w:ascii="仿宋" w:hAnsi="仿宋" w:eastAsia="仿宋" w:cs="仿宋_GB2312"/>
                <w:sz w:val="24"/>
                <w:lang w:eastAsia="zh-CN"/>
              </w:rPr>
              <w:t>。</w:t>
            </w:r>
            <w:r>
              <w:rPr>
                <w:rFonts w:hint="eastAsia" w:ascii="仿宋" w:hAnsi="仿宋" w:eastAsia="仿宋" w:cs="仿宋_GB2312"/>
                <w:sz w:val="24"/>
              </w:rPr>
              <w:t>优 5-6分，良3-4分，差0-2分</w:t>
            </w:r>
            <w:r>
              <w:rPr>
                <w:rFonts w:hint="eastAsia" w:ascii="仿宋" w:hAnsi="仿宋" w:eastAsia="仿宋" w:cs="仿宋_GB2312"/>
                <w:sz w:val="24"/>
                <w:lang w:eastAsia="zh-CN"/>
              </w:rPr>
              <w:t>。</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rPr>
              <w:t>编制内容是否充分考虑地方特点与实际，策略及措施是否得当</w:t>
            </w:r>
            <w:r>
              <w:rPr>
                <w:rFonts w:hint="eastAsia" w:ascii="仿宋" w:hAnsi="仿宋" w:eastAsia="仿宋" w:cs="仿宋_GB2312"/>
                <w:sz w:val="24"/>
                <w:lang w:eastAsia="zh-CN"/>
              </w:rPr>
              <w:t>。</w:t>
            </w:r>
            <w:r>
              <w:rPr>
                <w:rFonts w:hint="eastAsia" w:ascii="仿宋" w:hAnsi="仿宋" w:eastAsia="仿宋" w:cs="仿宋_GB2312"/>
                <w:sz w:val="24"/>
              </w:rPr>
              <w:t>优 5-</w:t>
            </w:r>
            <w:r>
              <w:rPr>
                <w:rFonts w:hint="eastAsia" w:ascii="仿宋" w:hAnsi="仿宋" w:eastAsia="仿宋" w:cs="仿宋_GB2312"/>
                <w:sz w:val="24"/>
                <w:lang w:val="en-US" w:eastAsia="zh-CN"/>
              </w:rPr>
              <w:t>7</w:t>
            </w:r>
            <w:r>
              <w:rPr>
                <w:rFonts w:hint="eastAsia" w:ascii="仿宋" w:hAnsi="仿宋" w:eastAsia="仿宋" w:cs="仿宋_GB2312"/>
                <w:sz w:val="24"/>
              </w:rPr>
              <w:t>分，良3-4分，差0-2分</w:t>
            </w:r>
            <w:r>
              <w:rPr>
                <w:rFonts w:hint="eastAsia" w:ascii="仿宋" w:hAnsi="仿宋" w:eastAsia="仿宋" w:cs="仿宋_GB2312"/>
                <w:sz w:val="24"/>
                <w:lang w:eastAsia="zh-CN"/>
              </w:rPr>
              <w:t>。</w:t>
            </w:r>
          </w:p>
          <w:p>
            <w:pPr>
              <w:spacing w:line="360" w:lineRule="auto"/>
              <w:textAlignment w:val="baseline"/>
              <w:rPr>
                <w:rFonts w:ascii="仿宋" w:hAnsi="仿宋" w:eastAsia="仿宋" w:cs="仿宋_GB2312"/>
                <w:sz w:val="24"/>
              </w:rPr>
            </w:pPr>
            <w:r>
              <w:rPr>
                <w:rFonts w:hint="eastAsia" w:ascii="仿宋" w:hAnsi="仿宋" w:eastAsia="仿宋" w:cs="仿宋_GB2312"/>
                <w:sz w:val="24"/>
                <w:lang w:val="en-US" w:eastAsia="zh-CN"/>
              </w:rPr>
              <w:t>4.</w:t>
            </w:r>
            <w:r>
              <w:rPr>
                <w:rFonts w:hint="eastAsia" w:ascii="仿宋" w:hAnsi="仿宋" w:eastAsia="仿宋" w:cs="仿宋_GB2312"/>
                <w:sz w:val="24"/>
              </w:rPr>
              <w:t>服务承诺及合理化建议</w:t>
            </w:r>
            <w:r>
              <w:rPr>
                <w:rFonts w:hint="eastAsia" w:ascii="仿宋" w:hAnsi="仿宋" w:eastAsia="仿宋" w:cs="仿宋_GB2312"/>
                <w:sz w:val="24"/>
                <w:lang w:val="en-US" w:eastAsia="zh-CN"/>
              </w:rPr>
              <w:t>。</w:t>
            </w:r>
            <w:r>
              <w:rPr>
                <w:rFonts w:hint="eastAsia" w:ascii="仿宋" w:hAnsi="仿宋" w:eastAsia="仿宋" w:cs="仿宋_GB2312"/>
                <w:sz w:val="24"/>
              </w:rPr>
              <w:t xml:space="preserve">优 </w:t>
            </w:r>
            <w:r>
              <w:rPr>
                <w:rFonts w:hint="eastAsia" w:ascii="仿宋" w:hAnsi="仿宋" w:eastAsia="仿宋" w:cs="仿宋_GB2312"/>
                <w:sz w:val="24"/>
                <w:lang w:val="en-US" w:eastAsia="zh-CN"/>
              </w:rPr>
              <w:t>4</w:t>
            </w:r>
            <w:r>
              <w:rPr>
                <w:rFonts w:hint="eastAsia" w:ascii="仿宋" w:hAnsi="仿宋" w:eastAsia="仿宋" w:cs="仿宋_GB2312"/>
                <w:sz w:val="24"/>
              </w:rPr>
              <w:t>-</w:t>
            </w:r>
            <w:r>
              <w:rPr>
                <w:rFonts w:hint="eastAsia" w:ascii="仿宋" w:hAnsi="仿宋" w:eastAsia="仿宋" w:cs="仿宋_GB2312"/>
                <w:sz w:val="24"/>
                <w:lang w:val="en-US" w:eastAsia="zh-CN"/>
              </w:rPr>
              <w:t>6</w:t>
            </w:r>
            <w:r>
              <w:rPr>
                <w:rFonts w:hint="eastAsia" w:ascii="仿宋" w:hAnsi="仿宋" w:eastAsia="仿宋" w:cs="仿宋_GB2312"/>
                <w:sz w:val="24"/>
              </w:rPr>
              <w:t>分，良</w:t>
            </w:r>
            <w:r>
              <w:rPr>
                <w:rFonts w:hint="eastAsia" w:ascii="仿宋" w:hAnsi="仿宋" w:eastAsia="仿宋" w:cs="仿宋_GB2312"/>
                <w:sz w:val="24"/>
                <w:lang w:val="en-US" w:eastAsia="zh-CN"/>
              </w:rPr>
              <w:t>2</w:t>
            </w:r>
            <w:r>
              <w:rPr>
                <w:rFonts w:hint="eastAsia" w:ascii="仿宋" w:hAnsi="仿宋" w:eastAsia="仿宋" w:cs="仿宋_GB2312"/>
                <w:sz w:val="24"/>
              </w:rPr>
              <w:t>-</w:t>
            </w:r>
            <w:r>
              <w:rPr>
                <w:rFonts w:hint="eastAsia" w:ascii="仿宋" w:hAnsi="仿宋" w:eastAsia="仿宋" w:cs="仿宋_GB2312"/>
                <w:sz w:val="24"/>
                <w:lang w:val="en-US" w:eastAsia="zh-CN"/>
              </w:rPr>
              <w:t>3</w:t>
            </w:r>
            <w:r>
              <w:rPr>
                <w:rFonts w:hint="eastAsia" w:ascii="仿宋" w:hAnsi="仿宋" w:eastAsia="仿宋" w:cs="仿宋_GB2312"/>
                <w:sz w:val="24"/>
              </w:rPr>
              <w:t>分，差0-</w:t>
            </w:r>
            <w:r>
              <w:rPr>
                <w:rFonts w:hint="eastAsia" w:ascii="仿宋" w:hAnsi="仿宋" w:eastAsia="仿宋" w:cs="仿宋_GB2312"/>
                <w:sz w:val="24"/>
                <w:lang w:val="en-US" w:eastAsia="zh-CN"/>
              </w:rPr>
              <w:t>1</w:t>
            </w:r>
            <w:r>
              <w:rPr>
                <w:rFonts w:hint="eastAsia" w:ascii="仿宋" w:hAnsi="仿宋" w:eastAsia="仿宋" w:cs="仿宋_GB2312"/>
                <w:sz w:val="24"/>
              </w:rPr>
              <w:t>分</w:t>
            </w:r>
            <w:r>
              <w:rPr>
                <w:rFonts w:hint="eastAsia" w:ascii="仿宋" w:hAnsi="仿宋" w:eastAsia="仿宋"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1708" w:type="dxa"/>
            <w:vMerge w:val="continue"/>
            <w:tcBorders>
              <w:left w:val="single" w:color="auto" w:sz="4" w:space="0"/>
              <w:right w:val="single" w:color="auto" w:sz="4" w:space="0"/>
            </w:tcBorders>
            <w:vAlign w:val="center"/>
          </w:tcPr>
          <w:p>
            <w:pPr>
              <w:spacing w:line="400" w:lineRule="exact"/>
              <w:rPr>
                <w:color w:val="000000"/>
              </w:rPr>
            </w:pPr>
          </w:p>
        </w:tc>
        <w:tc>
          <w:tcPr>
            <w:tcW w:w="7830" w:type="dxa"/>
            <w:gridSpan w:val="3"/>
            <w:tcBorders>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注：</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1.以上各档次的标准设定如下：</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优：内容详实，方案科学、合理、安全，考虑周全，措施到位，针对性强。</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良：内容完整，方案基本科学、合理、安全，基本考虑周全，措施基本到位，针对性较强，但有个别细节需要进一步完善或提高。</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差：内容基本完整，方案在科学、合理、安全性方面一般，基本考虑不周，措施不够到位，针对性不强，但有很多方面需要进一步完善甚至重新考虑。</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不满足招标文件技术指标要求和商务款规定的视为无效投标。</w:t>
            </w:r>
          </w:p>
          <w:p>
            <w:pPr>
              <w:spacing w:line="360" w:lineRule="auto"/>
              <w:textAlignment w:val="baseline"/>
              <w:rPr>
                <w:rFonts w:ascii="仿宋" w:hAnsi="仿宋" w:eastAsia="仿宋" w:cs="仿宋_GB2312"/>
                <w:sz w:val="24"/>
              </w:rPr>
            </w:pPr>
            <w:r>
              <w:rPr>
                <w:rFonts w:hint="eastAsia" w:ascii="仿宋" w:hAnsi="仿宋" w:eastAsia="仿宋" w:cs="仿宋_GB2312"/>
                <w:sz w:val="24"/>
                <w:lang w:val="en-US" w:eastAsia="zh-CN"/>
              </w:rPr>
              <w:t>2.上述各项投标人缺项时该项不得分。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atLeast"/>
          <w:jc w:val="center"/>
        </w:trPr>
        <w:tc>
          <w:tcPr>
            <w:tcW w:w="1708" w:type="dxa"/>
            <w:tcBorders>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信誉（5分）</w:t>
            </w:r>
          </w:p>
        </w:tc>
        <w:tc>
          <w:tcPr>
            <w:tcW w:w="7830" w:type="dxa"/>
            <w:gridSpan w:val="3"/>
            <w:tcBorders>
              <w:left w:val="single" w:color="auto" w:sz="4" w:space="0"/>
              <w:right w:val="single" w:color="auto" w:sz="4" w:space="0"/>
            </w:tcBorders>
            <w:vAlign w:val="center"/>
          </w:tcPr>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1、信誉（5分）</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（1）根据投标人在本项目以前社会对其认可度以及行政主管部门、工商、银行、行业部门颁发的荣誉证书等情况评定，基本分1分，每提供一份证书加1分，满分3分。</w:t>
            </w:r>
          </w:p>
          <w:p>
            <w:pPr>
              <w:spacing w:line="360" w:lineRule="auto"/>
              <w:textAlignment w:val="baseline"/>
              <w:rPr>
                <w:rFonts w:hint="eastAsia" w:ascii="仿宋" w:hAnsi="仿宋" w:eastAsia="仿宋" w:cs="仿宋_GB2312"/>
                <w:sz w:val="24"/>
                <w:lang w:val="en-US" w:eastAsia="zh-CN"/>
              </w:rPr>
            </w:pPr>
            <w:r>
              <w:rPr>
                <w:rFonts w:hint="eastAsia" w:ascii="仿宋" w:hAnsi="仿宋" w:eastAsia="仿宋" w:cs="仿宋_GB2312"/>
                <w:sz w:val="24"/>
                <w:lang w:val="en-US" w:eastAsia="zh-CN"/>
              </w:rPr>
              <w:t>（2）投标人须提供工商企业信用信息公示报告【国家企业信用信息公示系统http//www.gsxt.gov.cn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满分2分。</w:t>
            </w:r>
          </w:p>
        </w:tc>
      </w:tr>
    </w:tbl>
    <w:p>
      <w:pPr>
        <w:spacing w:line="360" w:lineRule="auto"/>
        <w:ind w:firstLine="480"/>
        <w:textAlignment w:val="baseline"/>
        <w:rPr>
          <w:rFonts w:hint="eastAsia" w:ascii="仿宋" w:hAnsi="仿宋" w:eastAsia="仿宋" w:cs="仿宋"/>
          <w:sz w:val="24"/>
          <w:szCs w:val="24"/>
          <w:lang w:val="en-US" w:eastAsia="zh-CN"/>
        </w:rPr>
      </w:pPr>
    </w:p>
    <w:p>
      <w:pPr>
        <w:pStyle w:val="125"/>
        <w:spacing w:before="120" w:after="120"/>
        <w:ind w:firstLine="480"/>
        <w:rPr>
          <w:rFonts w:ascii="仿宋" w:hAnsi="仿宋" w:eastAsia="仿宋"/>
        </w:rPr>
      </w:pPr>
      <w:r>
        <w:rPr>
          <w:rFonts w:hint="eastAsia" w:ascii="仿宋" w:hAnsi="仿宋" w:eastAsia="仿宋"/>
        </w:rPr>
        <w:t>（特别提示：以上评分表中所涉及到的证件投标人在开标时候均须携带原件，未提供原件者不得分）</w:t>
      </w:r>
    </w:p>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0" w:name="_Toc606"/>
          </w:p>
        </w:tc>
      </w:tr>
      <w:bookmarkEnd w:id="0"/>
    </w:tbl>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7、付款方式:以签订合同准。</w:t>
      </w:r>
    </w:p>
    <w:p>
      <w:pPr>
        <w:spacing w:line="600" w:lineRule="exact"/>
        <w:ind w:firstLine="3975" w:firstLineChars="900"/>
        <w:rPr>
          <w:rFonts w:ascii="仿宋" w:hAnsi="仿宋" w:eastAsia="仿宋" w:cs="仿宋_GB2312"/>
          <w:b/>
          <w:sz w:val="44"/>
        </w:rPr>
      </w:pPr>
    </w:p>
    <w:p>
      <w:pPr>
        <w:spacing w:line="600" w:lineRule="exact"/>
        <w:ind w:firstLine="3975" w:firstLineChars="900"/>
        <w:rPr>
          <w:rFonts w:ascii="仿宋" w:hAnsi="仿宋" w:eastAsia="仿宋" w:cs="仿宋_GB2312"/>
          <w:b/>
          <w:sz w:val="44"/>
        </w:rPr>
      </w:pPr>
    </w:p>
    <w:p>
      <w:pPr>
        <w:wordWrap w:val="0"/>
        <w:topLinePunct/>
        <w:autoSpaceDE w:val="0"/>
        <w:autoSpaceDN w:val="0"/>
        <w:adjustRightInd w:val="0"/>
        <w:snapToGrid w:val="0"/>
        <w:spacing w:line="360" w:lineRule="auto"/>
        <w:jc w:val="both"/>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十二、合同生效及其它：本合同经双方法定代表人或其授权代表签字并加盖公章后生效。本合同一式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授权代代表：</w:t>
      </w:r>
      <w:r>
        <w:rPr>
          <w:rFonts w:ascii="仿宋" w:hAnsi="仿宋" w:eastAsia="仿宋" w:cs="宋体"/>
          <w:sz w:val="24"/>
          <w:szCs w:val="24"/>
          <w:lang w:val="zh-CN"/>
        </w:rPr>
        <w:t xml:space="preserve">                        </w:t>
      </w:r>
      <w:r>
        <w:rPr>
          <w:rFonts w:hint="eastAsia" w:ascii="仿宋" w:hAnsi="仿宋" w:eastAsia="仿宋" w:cs="宋体"/>
          <w:sz w:val="24"/>
          <w:szCs w:val="24"/>
          <w:lang w:val="zh-CN"/>
        </w:rPr>
        <w:t>授权代表：</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ascii="仿宋" w:hAnsi="仿宋" w:eastAsia="仿宋" w:cs="黑体"/>
          <w:b/>
          <w:bCs/>
          <w:sz w:val="24"/>
          <w:szCs w:val="24"/>
          <w:lang w:val="zh-CN"/>
        </w:rPr>
        <w:br w:type="page"/>
      </w:r>
      <w:r>
        <w:rPr>
          <w:rFonts w:hint="eastAsia" w:ascii="仿宋" w:hAnsi="仿宋" w:eastAsia="仿宋" w:cs="黑体"/>
          <w:b/>
          <w:bCs/>
          <w:sz w:val="24"/>
          <w:szCs w:val="24"/>
          <w:lang w:val="zh-CN"/>
        </w:rPr>
        <w:t>第九部分　投标文件内容及组成</w:t>
      </w:r>
      <w:r>
        <w:rPr>
          <w:rFonts w:hint="eastAsia" w:ascii="仿宋" w:hAnsi="仿宋" w:eastAsia="仿宋" w:cs="黑体"/>
          <w:b/>
          <w:bCs/>
          <w:sz w:val="24"/>
          <w:szCs w:val="24"/>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Cs/>
          <w:color w:val="FF0000"/>
          <w:sz w:val="24"/>
          <w:szCs w:val="24"/>
          <w:lang w:val="zh-CN"/>
        </w:rPr>
        <w:t>设备购置发票或办公场所租赁协议（或房屋产权证明）、办公场所图片、技术人员证书复印件及劳动用工合同复印件。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签字人姓名、职务（印刷体）：</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1、如果我们的投标文件被接受，我们将履行招标文件中规定的每一项要求，按期、按质、按量履行合同。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3、投标人已详细审查全部招标文件，包括修改文件以及全部参考资料和有关附件。我们完全理解并同意放弃对这方面有不明及误解的权力。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4、本投标自开标日起有效期为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                         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w:t>
      </w:r>
      <w:r>
        <w:rPr>
          <w:rFonts w:hint="eastAsia" w:ascii="仿宋" w:hAnsi="仿宋" w:eastAsia="仿宋" w:cs="仿宋_GB2312"/>
          <w:sz w:val="24"/>
          <w:szCs w:val="24"/>
          <w:lang w:val="en-US" w:eastAsia="zh-CN"/>
        </w:rPr>
        <w:t>6</w:t>
      </w:r>
      <w:r>
        <w:rPr>
          <w:rFonts w:hint="eastAsia" w:ascii="仿宋" w:hAnsi="仿宋" w:eastAsia="仿宋" w:cs="仿宋_GB2312"/>
          <w:sz w:val="24"/>
          <w:szCs w:val="24"/>
        </w:rPr>
        <w:t xml:space="preserve">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0E482"/>
    <w:multiLevelType w:val="singleLevel"/>
    <w:tmpl w:val="8860E482"/>
    <w:lvl w:ilvl="0" w:tentative="0">
      <w:start w:val="1"/>
      <w:numFmt w:val="decimal"/>
      <w:suff w:val="nothing"/>
      <w:lvlText w:val="%1、"/>
      <w:lvlJc w:val="left"/>
    </w:lvl>
  </w:abstractNum>
  <w:abstractNum w:abstractNumId="1">
    <w:nsid w:val="28A4CB1C"/>
    <w:multiLevelType w:val="singleLevel"/>
    <w:tmpl w:val="28A4CB1C"/>
    <w:lvl w:ilvl="0" w:tentative="0">
      <w:start w:val="19"/>
      <w:numFmt w:val="decimal"/>
      <w:suff w:val="nothing"/>
      <w:lvlText w:val="%1、"/>
      <w:lvlJc w:val="left"/>
    </w:lvl>
  </w:abstractNum>
  <w:abstractNum w:abstractNumId="2">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E374A4"/>
    <w:multiLevelType w:val="singleLevel"/>
    <w:tmpl w:val="56E374A4"/>
    <w:lvl w:ilvl="0" w:tentative="0">
      <w:start w:val="9"/>
      <w:numFmt w:val="decimal"/>
      <w:pStyle w:val="119"/>
      <w:suff w:val="nothing"/>
      <w:lvlText w:val="%1、"/>
      <w:lvlJc w:val="left"/>
    </w:lvl>
  </w:abstractNum>
  <w:abstractNum w:abstractNumId="4">
    <w:nsid w:val="596DB0B6"/>
    <w:multiLevelType w:val="singleLevel"/>
    <w:tmpl w:val="596DB0B6"/>
    <w:lvl w:ilvl="0" w:tentative="0">
      <w:start w:val="1"/>
      <w:numFmt w:val="chineseCounting"/>
      <w:suff w:val="nothing"/>
      <w:lvlText w:val="%1、"/>
      <w:lvlJc w:val="left"/>
    </w:lvl>
  </w:abstractNum>
  <w:abstractNum w:abstractNumId="5">
    <w:nsid w:val="596DB14D"/>
    <w:multiLevelType w:val="singleLevel"/>
    <w:tmpl w:val="596DB14D"/>
    <w:lvl w:ilvl="0" w:tentative="0">
      <w:start w:val="3"/>
      <w:numFmt w:val="chineseCounting"/>
      <w:suff w:val="nothing"/>
      <w:lvlText w:val="%1、"/>
      <w:lvlJc w:val="left"/>
    </w:lvl>
  </w:abstractNum>
  <w:abstractNum w:abstractNumId="6">
    <w:nsid w:val="5A051E9E"/>
    <w:multiLevelType w:val="singleLevel"/>
    <w:tmpl w:val="5A051E9E"/>
    <w:lvl w:ilvl="0" w:tentative="0">
      <w:start w:val="1"/>
      <w:numFmt w:val="chineseCounting"/>
      <w:suff w:val="nothing"/>
      <w:lvlText w:val="%1、"/>
      <w:lvlJc w:val="left"/>
    </w:lvl>
  </w:abstractNum>
  <w:abstractNum w:abstractNumId="7">
    <w:nsid w:val="5A0532E2"/>
    <w:multiLevelType w:val="singleLevel"/>
    <w:tmpl w:val="5A0532E2"/>
    <w:lvl w:ilvl="0" w:tentative="0">
      <w:start w:val="4"/>
      <w:numFmt w:val="chineseCounting"/>
      <w:suff w:val="nothing"/>
      <w:lvlText w:val="第%1部"/>
      <w:lvlJc w:val="left"/>
    </w:lvl>
  </w:abstractNum>
  <w:abstractNum w:abstractNumId="8">
    <w:nsid w:val="5A162732"/>
    <w:multiLevelType w:val="singleLevel"/>
    <w:tmpl w:val="5A162732"/>
    <w:lvl w:ilvl="0" w:tentative="0">
      <w:start w:val="3"/>
      <w:numFmt w:val="chineseCounting"/>
      <w:suff w:val="nothing"/>
      <w:lvlText w:val="%1、"/>
      <w:lvlJc w:val="left"/>
    </w:lvl>
  </w:abstractNum>
  <w:abstractNum w:abstractNumId="9">
    <w:nsid w:val="5A30CB82"/>
    <w:multiLevelType w:val="singleLevel"/>
    <w:tmpl w:val="5A30CB82"/>
    <w:lvl w:ilvl="0" w:tentative="0">
      <w:start w:val="1"/>
      <w:numFmt w:val="chineseCounting"/>
      <w:suff w:val="space"/>
      <w:lvlText w:val="第%1部分"/>
      <w:lvlJc w:val="left"/>
    </w:lvl>
  </w:abstractNum>
  <w:abstractNum w:abstractNumId="10">
    <w:nsid w:val="5A3C5FC9"/>
    <w:multiLevelType w:val="singleLevel"/>
    <w:tmpl w:val="5A3C5FC9"/>
    <w:lvl w:ilvl="0" w:tentative="0">
      <w:start w:val="1"/>
      <w:numFmt w:val="decimal"/>
      <w:suff w:val="space"/>
      <w:lvlText w:val="%1."/>
      <w:lvlJc w:val="left"/>
    </w:lvl>
  </w:abstractNum>
  <w:num w:numId="1">
    <w:abstractNumId w:val="3"/>
  </w:num>
  <w:num w:numId="2">
    <w:abstractNumId w:val="9"/>
  </w:num>
  <w:num w:numId="3">
    <w:abstractNumId w:val="6"/>
  </w:num>
  <w:num w:numId="4">
    <w:abstractNumId w:val="8"/>
  </w:num>
  <w:num w:numId="5">
    <w:abstractNumId w:val="10"/>
  </w:num>
  <w:num w:numId="6">
    <w:abstractNumId w:val="2"/>
  </w:num>
  <w:num w:numId="7">
    <w:abstractNumId w:val="1"/>
  </w:num>
  <w:num w:numId="8">
    <w:abstractNumId w:val="7"/>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4E5185D"/>
    <w:rsid w:val="054A14EB"/>
    <w:rsid w:val="055236E0"/>
    <w:rsid w:val="05D7384A"/>
    <w:rsid w:val="05F47DA2"/>
    <w:rsid w:val="05F65379"/>
    <w:rsid w:val="05FF5666"/>
    <w:rsid w:val="0603119A"/>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8F0D95"/>
    <w:rsid w:val="0C053D42"/>
    <w:rsid w:val="0C232636"/>
    <w:rsid w:val="0C3957DB"/>
    <w:rsid w:val="0C3C6A01"/>
    <w:rsid w:val="0CBA4EC9"/>
    <w:rsid w:val="0CBE01FC"/>
    <w:rsid w:val="0CE25187"/>
    <w:rsid w:val="0D2824A3"/>
    <w:rsid w:val="0D62434A"/>
    <w:rsid w:val="0D832C84"/>
    <w:rsid w:val="0DD45553"/>
    <w:rsid w:val="0E1F7A52"/>
    <w:rsid w:val="0F0D73B6"/>
    <w:rsid w:val="0F2C7289"/>
    <w:rsid w:val="0FBA420F"/>
    <w:rsid w:val="10240870"/>
    <w:rsid w:val="105F0CCD"/>
    <w:rsid w:val="10A25988"/>
    <w:rsid w:val="11472FC4"/>
    <w:rsid w:val="11662A8F"/>
    <w:rsid w:val="1171773E"/>
    <w:rsid w:val="12362245"/>
    <w:rsid w:val="127D4879"/>
    <w:rsid w:val="129F4391"/>
    <w:rsid w:val="12F46B93"/>
    <w:rsid w:val="12FB62CF"/>
    <w:rsid w:val="130F3467"/>
    <w:rsid w:val="131F25B3"/>
    <w:rsid w:val="132168C4"/>
    <w:rsid w:val="133638CF"/>
    <w:rsid w:val="134B3E21"/>
    <w:rsid w:val="135C1261"/>
    <w:rsid w:val="13705BCF"/>
    <w:rsid w:val="146639B0"/>
    <w:rsid w:val="14810804"/>
    <w:rsid w:val="14C32394"/>
    <w:rsid w:val="14E7756C"/>
    <w:rsid w:val="15555471"/>
    <w:rsid w:val="15D15729"/>
    <w:rsid w:val="162949D9"/>
    <w:rsid w:val="166F3B31"/>
    <w:rsid w:val="16BB3F9C"/>
    <w:rsid w:val="17093EDF"/>
    <w:rsid w:val="17411E12"/>
    <w:rsid w:val="175B5BC6"/>
    <w:rsid w:val="17D43D54"/>
    <w:rsid w:val="17E545EE"/>
    <w:rsid w:val="183733AB"/>
    <w:rsid w:val="183D0ACD"/>
    <w:rsid w:val="186A4EF9"/>
    <w:rsid w:val="18AD21CB"/>
    <w:rsid w:val="19491C75"/>
    <w:rsid w:val="19786E3B"/>
    <w:rsid w:val="1A107C46"/>
    <w:rsid w:val="1A4540A3"/>
    <w:rsid w:val="1A717838"/>
    <w:rsid w:val="1A8E3CC9"/>
    <w:rsid w:val="1B1630FE"/>
    <w:rsid w:val="1BFB31C4"/>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2773A1"/>
    <w:rsid w:val="214A163F"/>
    <w:rsid w:val="21D44845"/>
    <w:rsid w:val="221572B4"/>
    <w:rsid w:val="22311600"/>
    <w:rsid w:val="226550CC"/>
    <w:rsid w:val="23523DCA"/>
    <w:rsid w:val="23794CD9"/>
    <w:rsid w:val="24BF19AA"/>
    <w:rsid w:val="24CA4202"/>
    <w:rsid w:val="24D66891"/>
    <w:rsid w:val="25302039"/>
    <w:rsid w:val="256C7451"/>
    <w:rsid w:val="25AD30A0"/>
    <w:rsid w:val="2667745A"/>
    <w:rsid w:val="26E95B4E"/>
    <w:rsid w:val="276906C7"/>
    <w:rsid w:val="278238A3"/>
    <w:rsid w:val="28742078"/>
    <w:rsid w:val="288E3F7A"/>
    <w:rsid w:val="288F49C5"/>
    <w:rsid w:val="28BF1B33"/>
    <w:rsid w:val="28BF2210"/>
    <w:rsid w:val="299315DB"/>
    <w:rsid w:val="29C152D2"/>
    <w:rsid w:val="2A292F06"/>
    <w:rsid w:val="2A29332E"/>
    <w:rsid w:val="2A666F4C"/>
    <w:rsid w:val="2A6671E5"/>
    <w:rsid w:val="2A8574C7"/>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F232D02"/>
    <w:rsid w:val="2F2A34A3"/>
    <w:rsid w:val="2F38041E"/>
    <w:rsid w:val="2F433D86"/>
    <w:rsid w:val="2F9A5364"/>
    <w:rsid w:val="2FEB36BE"/>
    <w:rsid w:val="30006487"/>
    <w:rsid w:val="314C2E93"/>
    <w:rsid w:val="316C02DE"/>
    <w:rsid w:val="31754AAE"/>
    <w:rsid w:val="317F2E7E"/>
    <w:rsid w:val="31804229"/>
    <w:rsid w:val="319970FC"/>
    <w:rsid w:val="31BA74D8"/>
    <w:rsid w:val="31C57F0B"/>
    <w:rsid w:val="321A4FF8"/>
    <w:rsid w:val="328D4D46"/>
    <w:rsid w:val="333C55A2"/>
    <w:rsid w:val="335D45FD"/>
    <w:rsid w:val="33656785"/>
    <w:rsid w:val="33EF6302"/>
    <w:rsid w:val="345D6725"/>
    <w:rsid w:val="34876DB2"/>
    <w:rsid w:val="34B022E5"/>
    <w:rsid w:val="34CE04B2"/>
    <w:rsid w:val="34F94C42"/>
    <w:rsid w:val="35020BCE"/>
    <w:rsid w:val="354E2015"/>
    <w:rsid w:val="35636C46"/>
    <w:rsid w:val="35736992"/>
    <w:rsid w:val="37692631"/>
    <w:rsid w:val="37B10108"/>
    <w:rsid w:val="38B66F17"/>
    <w:rsid w:val="397D15ED"/>
    <w:rsid w:val="39A31772"/>
    <w:rsid w:val="3A0511AE"/>
    <w:rsid w:val="3A252A28"/>
    <w:rsid w:val="3A361775"/>
    <w:rsid w:val="3A5B0DB6"/>
    <w:rsid w:val="3B1A3171"/>
    <w:rsid w:val="3B8A1786"/>
    <w:rsid w:val="3BF37AE3"/>
    <w:rsid w:val="3C5A516A"/>
    <w:rsid w:val="3D574C5D"/>
    <w:rsid w:val="3D8F46AB"/>
    <w:rsid w:val="3DB32B5C"/>
    <w:rsid w:val="3DE17511"/>
    <w:rsid w:val="3E0165CC"/>
    <w:rsid w:val="3E5F6553"/>
    <w:rsid w:val="3E85714B"/>
    <w:rsid w:val="3EB83441"/>
    <w:rsid w:val="3ED405D8"/>
    <w:rsid w:val="3EF23AFC"/>
    <w:rsid w:val="3F4E5E4B"/>
    <w:rsid w:val="3F544F16"/>
    <w:rsid w:val="3FD1121A"/>
    <w:rsid w:val="3FDF074D"/>
    <w:rsid w:val="409A7D1F"/>
    <w:rsid w:val="40DD14B7"/>
    <w:rsid w:val="41595C3E"/>
    <w:rsid w:val="42031639"/>
    <w:rsid w:val="420D6E21"/>
    <w:rsid w:val="426D69CE"/>
    <w:rsid w:val="43306F54"/>
    <w:rsid w:val="439D162E"/>
    <w:rsid w:val="43AF4EB6"/>
    <w:rsid w:val="43DA0DF8"/>
    <w:rsid w:val="43F21A5E"/>
    <w:rsid w:val="449D0BDB"/>
    <w:rsid w:val="44A75B9D"/>
    <w:rsid w:val="44CC251D"/>
    <w:rsid w:val="44ED61E4"/>
    <w:rsid w:val="44F765DB"/>
    <w:rsid w:val="452D2CD2"/>
    <w:rsid w:val="45570A50"/>
    <w:rsid w:val="46FF7143"/>
    <w:rsid w:val="479A1D63"/>
    <w:rsid w:val="479E2BBB"/>
    <w:rsid w:val="485B029F"/>
    <w:rsid w:val="48AF4A09"/>
    <w:rsid w:val="49B4550E"/>
    <w:rsid w:val="49F50EB5"/>
    <w:rsid w:val="4AB76254"/>
    <w:rsid w:val="4AF72F43"/>
    <w:rsid w:val="4AFC078A"/>
    <w:rsid w:val="4AFE130C"/>
    <w:rsid w:val="4B06415A"/>
    <w:rsid w:val="4B2C4572"/>
    <w:rsid w:val="4B307A80"/>
    <w:rsid w:val="4BBD5B2C"/>
    <w:rsid w:val="4BF36702"/>
    <w:rsid w:val="4F071606"/>
    <w:rsid w:val="4F403B1D"/>
    <w:rsid w:val="4F7F31B2"/>
    <w:rsid w:val="4F827ABA"/>
    <w:rsid w:val="4FA93F1C"/>
    <w:rsid w:val="4FCB730B"/>
    <w:rsid w:val="504A74E2"/>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8266B57"/>
    <w:rsid w:val="588A5505"/>
    <w:rsid w:val="58CE0AFE"/>
    <w:rsid w:val="58E11F40"/>
    <w:rsid w:val="58EA7FCE"/>
    <w:rsid w:val="593B360F"/>
    <w:rsid w:val="597E7640"/>
    <w:rsid w:val="5A8975CA"/>
    <w:rsid w:val="5A8D6038"/>
    <w:rsid w:val="5B176006"/>
    <w:rsid w:val="5B8B5722"/>
    <w:rsid w:val="5C1D3EC2"/>
    <w:rsid w:val="5C2A1394"/>
    <w:rsid w:val="5C6F34F3"/>
    <w:rsid w:val="5CDE1B94"/>
    <w:rsid w:val="5D2B1C2D"/>
    <w:rsid w:val="5DAD4A6A"/>
    <w:rsid w:val="5DD07849"/>
    <w:rsid w:val="5E6E4ACB"/>
    <w:rsid w:val="5EEA3B04"/>
    <w:rsid w:val="5F092277"/>
    <w:rsid w:val="5F4B6391"/>
    <w:rsid w:val="5F8471B4"/>
    <w:rsid w:val="5FCE7ED4"/>
    <w:rsid w:val="5FEB58A2"/>
    <w:rsid w:val="601B36B0"/>
    <w:rsid w:val="60A449E5"/>
    <w:rsid w:val="612A61E3"/>
    <w:rsid w:val="61B82A98"/>
    <w:rsid w:val="61F84732"/>
    <w:rsid w:val="62352BFE"/>
    <w:rsid w:val="62530EF5"/>
    <w:rsid w:val="63097C59"/>
    <w:rsid w:val="633D6D93"/>
    <w:rsid w:val="634F7C15"/>
    <w:rsid w:val="63736A17"/>
    <w:rsid w:val="63937116"/>
    <w:rsid w:val="63C05B9E"/>
    <w:rsid w:val="651A4BCA"/>
    <w:rsid w:val="659F5C58"/>
    <w:rsid w:val="65D24C12"/>
    <w:rsid w:val="65F1505D"/>
    <w:rsid w:val="668F2678"/>
    <w:rsid w:val="66BA2132"/>
    <w:rsid w:val="6701680A"/>
    <w:rsid w:val="67547205"/>
    <w:rsid w:val="676E5060"/>
    <w:rsid w:val="67FC0C69"/>
    <w:rsid w:val="698529F7"/>
    <w:rsid w:val="69981330"/>
    <w:rsid w:val="69D62811"/>
    <w:rsid w:val="6A690960"/>
    <w:rsid w:val="6AB109E9"/>
    <w:rsid w:val="6AF86FE1"/>
    <w:rsid w:val="6AFE3DEE"/>
    <w:rsid w:val="6B5A4DFF"/>
    <w:rsid w:val="6BE93902"/>
    <w:rsid w:val="6C25354C"/>
    <w:rsid w:val="6C68412B"/>
    <w:rsid w:val="6C981ABC"/>
    <w:rsid w:val="6CE52F07"/>
    <w:rsid w:val="6CF54B5F"/>
    <w:rsid w:val="6D0D0A4F"/>
    <w:rsid w:val="6D234DD5"/>
    <w:rsid w:val="6D355556"/>
    <w:rsid w:val="6D377DF7"/>
    <w:rsid w:val="6D945BC5"/>
    <w:rsid w:val="6DD96194"/>
    <w:rsid w:val="6DFC67F6"/>
    <w:rsid w:val="6E196A24"/>
    <w:rsid w:val="6E1D6E30"/>
    <w:rsid w:val="6E66357B"/>
    <w:rsid w:val="6EB95270"/>
    <w:rsid w:val="6F8956C3"/>
    <w:rsid w:val="6FB90394"/>
    <w:rsid w:val="6FC41E1E"/>
    <w:rsid w:val="70241AB8"/>
    <w:rsid w:val="706476AA"/>
    <w:rsid w:val="7105714A"/>
    <w:rsid w:val="710F25A0"/>
    <w:rsid w:val="7255719B"/>
    <w:rsid w:val="744C618D"/>
    <w:rsid w:val="74920FD0"/>
    <w:rsid w:val="74924B26"/>
    <w:rsid w:val="74B50A85"/>
    <w:rsid w:val="75125292"/>
    <w:rsid w:val="758826A4"/>
    <w:rsid w:val="75B01AA9"/>
    <w:rsid w:val="76140509"/>
    <w:rsid w:val="763C41F4"/>
    <w:rsid w:val="768649B8"/>
    <w:rsid w:val="76EF0C8A"/>
    <w:rsid w:val="76F83624"/>
    <w:rsid w:val="773F1990"/>
    <w:rsid w:val="776A79F9"/>
    <w:rsid w:val="777A7DC6"/>
    <w:rsid w:val="78640367"/>
    <w:rsid w:val="78C403B7"/>
    <w:rsid w:val="79640B02"/>
    <w:rsid w:val="796E4180"/>
    <w:rsid w:val="79874C47"/>
    <w:rsid w:val="7A731DE7"/>
    <w:rsid w:val="7ABE7E81"/>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EB23D15"/>
    <w:rsid w:val="7F0F3D7E"/>
    <w:rsid w:val="7F17791C"/>
    <w:rsid w:val="7F3B2004"/>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2"/>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ScaleCrop>false</ScaleCrop>
  <LinksUpToDate>false</LinksUpToDate>
  <CharactersWithSpaces>53671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Administrator</cp:lastModifiedBy>
  <cp:lastPrinted>2017-10-17T02:26:00Z</cp:lastPrinted>
  <dcterms:modified xsi:type="dcterms:W3CDTF">2018-02-28T09:12:41Z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