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建安建工公字〔2017〕194号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许昌市建安区新元街道办事处周庄水乡周边水系绿化工程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一、基本情况和数据表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) </w:t>
      </w:r>
      <w:r>
        <w:rPr>
          <w:rFonts w:hint="eastAsia" w:ascii="仿宋_GB2312" w:eastAsia="仿宋_GB2312"/>
          <w:sz w:val="28"/>
          <w:szCs w:val="28"/>
        </w:rPr>
        <w:t>项目概况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、建设地点：</w:t>
      </w:r>
      <w:r>
        <w:rPr>
          <w:rFonts w:hint="eastAsia" w:ascii="仿宋_GB2312" w:eastAsia="仿宋_GB2312"/>
          <w:sz w:val="28"/>
          <w:szCs w:val="28"/>
          <w:lang w:eastAsia="zh-CN"/>
        </w:rPr>
        <w:t>许昌市建安区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2</w:t>
      </w:r>
      <w:r>
        <w:rPr>
          <w:rFonts w:hint="eastAsia" w:ascii="仿宋_GB2312" w:eastAsia="仿宋_GB2312"/>
          <w:sz w:val="28"/>
          <w:szCs w:val="28"/>
        </w:rPr>
        <w:t>、建设规模：1996315.85元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、招标控制价：1996315.85元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4</w:t>
      </w:r>
      <w:r>
        <w:rPr>
          <w:rFonts w:hint="eastAsia" w:ascii="仿宋_GB2312" w:eastAsia="仿宋_GB2312"/>
          <w:sz w:val="28"/>
          <w:szCs w:val="28"/>
        </w:rPr>
        <w:t>、质量要求：合格</w:t>
      </w:r>
    </w:p>
    <w:p>
      <w:pPr>
        <w:tabs>
          <w:tab w:val="center" w:pos="4706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5</w:t>
      </w:r>
      <w:r>
        <w:rPr>
          <w:rFonts w:hint="eastAsia" w:ascii="仿宋_GB2312" w:eastAsia="仿宋_GB2312"/>
          <w:sz w:val="28"/>
          <w:szCs w:val="28"/>
        </w:rPr>
        <w:t>、计划工期：30日历天</w:t>
      </w:r>
      <w:r>
        <w:rPr>
          <w:rFonts w:ascii="仿宋_GB2312" w:eastAsia="仿宋_GB2312"/>
          <w:sz w:val="28"/>
          <w:szCs w:val="28"/>
        </w:rPr>
        <w:tab/>
      </w:r>
    </w:p>
    <w:p>
      <w:pPr>
        <w:ind w:firstLine="397" w:firstLineChars="14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6</w:t>
      </w:r>
      <w:r>
        <w:rPr>
          <w:rFonts w:hint="eastAsia" w:ascii="仿宋_GB2312" w:eastAsia="仿宋_GB2312"/>
          <w:sz w:val="28"/>
          <w:szCs w:val="28"/>
        </w:rPr>
        <w:t>、评标办法：综合评分法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、资格审查方式：</w:t>
      </w:r>
      <w:r>
        <w:rPr>
          <w:rFonts w:hint="eastAsia" w:ascii="仿宋_GB2312" w:eastAsia="仿宋_GB2312"/>
          <w:sz w:val="28"/>
          <w:szCs w:val="28"/>
          <w:lang w:eastAsia="zh-CN"/>
        </w:rPr>
        <w:t>资格后审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2018</w:t>
      </w:r>
      <w:r>
        <w:rPr>
          <w:rFonts w:ascii="仿宋_GB2312" w:eastAsia="仿宋_GB2312"/>
          <w:sz w:val="28"/>
          <w:szCs w:val="28"/>
          <w:u w:val="single"/>
        </w:rPr>
        <w:t xml:space="preserve">  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01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11 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</w:rPr>
        <w:t>日至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17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日在《中国采购与招标网》、《河南招标采购综合网》和《全国公共资源交易平台（河南·许昌）》上公开发布招标信息，于投标截止时间递交投标文件及投标保证金的投标单位有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河南金利达工程管理有限公司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建安建工公字〔2017〕194号许昌市建安区新元街道办事处周庄水乡周边水系绿化工程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2018年01月31日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9:30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许昌市建安区新元大道兴业大厦4楼4167室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2018年01月31日 11:30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许昌市建安区新元大道兴业大厦4楼4112室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tbl>
      <w:tblPr>
        <w:tblStyle w:val="12"/>
        <w:tblW w:w="10081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54"/>
        <w:gridCol w:w="1085"/>
        <w:gridCol w:w="422"/>
        <w:gridCol w:w="1239"/>
        <w:gridCol w:w="1442"/>
        <w:gridCol w:w="820"/>
        <w:gridCol w:w="738"/>
        <w:gridCol w:w="1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投标单位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投标报价（元）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（日历天）</w:t>
            </w:r>
          </w:p>
        </w:tc>
        <w:tc>
          <w:tcPr>
            <w:tcW w:w="1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项目</w:t>
            </w: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（含证书编号）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（姓名及职称）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要求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密封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情况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河南大富建筑工程有限公司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1967027.48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30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刘伟C16096100900074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河南同泰建设工程有限公司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1986201.37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30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朱丽A08131000000000535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河南鸿森园林工程有限公司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1983502.85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30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赵计云C05911140900039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招标控制价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1996315.85元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抽取的权重系数K值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合格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质量要求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/>
                <w:spacing w:val="-6"/>
              </w:rPr>
              <w:t>投标报价修正情况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无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三、评审情况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（一）清标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河南大富建筑工程有限公司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河南同泰建设工程有限公司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河南鸿森园林工程有限公司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（二）初步评审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河南大富建筑工程有限公司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河南同泰建设工程有限公司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河南鸿森园林工程有限公司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四、根据招标文件的规定，评标委员会将经评审的投标人按综合得分由高到低排序如下：</w:t>
      </w:r>
    </w:p>
    <w:tbl>
      <w:tblPr>
        <w:tblStyle w:val="12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1904"/>
        <w:gridCol w:w="1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投标人名称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最终得分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投标人排序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河南大富建筑工程有限公司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59.02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河南同泰建设工程有限公司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54.86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河南鸿森园林工程有限公司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52.38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五、推荐的中标候选人详细评审得分</w:t>
      </w:r>
    </w:p>
    <w:tbl>
      <w:tblPr>
        <w:tblStyle w:val="12"/>
        <w:tblW w:w="942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3"/>
        <w:gridCol w:w="2587"/>
        <w:gridCol w:w="1326"/>
        <w:gridCol w:w="1155"/>
        <w:gridCol w:w="1260"/>
        <w:gridCol w:w="1245"/>
        <w:gridCol w:w="1200"/>
      </w:tblGrid>
      <w:tr>
        <w:tblPrEx>
          <w:tblLayout w:type="fixed"/>
        </w:tblPrEx>
        <w:trPr>
          <w:trHeight w:val="780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第一中标候选人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河南大富建筑工程有限公司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内容完整性和编制水平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施工方案和技术措施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质量管理体系与措施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安全管理体制与措施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环境保护管理体系与措施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工程进度计划与措施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拟投入资源配备计划…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施工进度表或施工网络图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施工总平面布置图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15.1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17.6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15.1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技术标平均得分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报价得分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21.14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21.14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21.14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21.14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分部分项综合单价得分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措施项目得分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主材单价得分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商务标得分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合（信用）标</w:t>
            </w: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项目班子配备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企业综合信用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2.3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2.3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2.3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2.3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项目经理业绩及信用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服务承诺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16.3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综合（信用）标平均得分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最终得分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第二中标候选人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河南同泰建设工程有限公司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内容完整性和编制水平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施工方案和技术措施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质量管理体系与措施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安全管理体制与措施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环境保护管理体系与措施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工程进度计划与措施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拟投入资源配备计划…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施工进度表或施工网络图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施工总平面布置图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14.6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技术标平均得分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报价得分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20.04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20.04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20.04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20.04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分部分项综合单价得分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措施项目得分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主材单价得分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商务标得分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合（信用）标</w:t>
            </w: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项目班子配备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企业综合信用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项目经理业绩及信用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服务承诺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综合（信用）标平均得分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最终得分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第三中标候选人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30"/>
                <w:szCs w:val="30"/>
                <w:lang w:val="zh-CN"/>
              </w:rPr>
              <w:t>河南鸿森园林工程有限公司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内容完整性和编制水平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施工方案和技术措施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质量管理体系与措施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安全管理体制与措施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5.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环境保护管理体系与措施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工程进度计划与措施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拟投入资源配备计划…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施工进度表或施工网络图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9.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施工总平面布置图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10.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14.8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16.2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14.8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技术标平均得分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报价得分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分部分项综合单价得分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措施项目得分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3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主材单价得分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leftChars="0" w:hanging="21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商务标得分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23.4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合（信用）标</w:t>
            </w: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项目班子配备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企业综合信用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项目经理业绩及信用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仿宋_GB2312" w:eastAsia="仿宋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4.</w:t>
            </w: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服务承诺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小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计</w:t>
            </w:r>
          </w:p>
        </w:tc>
        <w:tc>
          <w:tcPr>
            <w:tcW w:w="1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综合（信用）标平均得分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zh-CN"/>
              </w:rPr>
              <w:t>最终得分</w:t>
            </w:r>
          </w:p>
        </w:tc>
        <w:tc>
          <w:tcPr>
            <w:tcW w:w="618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zh-CN"/>
              </w:rPr>
              <w:t>52.38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六、推荐的中标候选人情况与签订合同前要处理的事宜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（一）推荐的中标候选人名单：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第一中标候选人：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河南大富建筑工程有限公司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投标报价：1967027.48元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大写：壹佰玖拾陆万柒仟零贰拾柒元肆角捌分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工期：30日历天      </w:t>
      </w:r>
      <w:r>
        <w:rPr>
          <w:rFonts w:ascii="仿宋_GB2312" w:eastAsia="仿宋_GB2312"/>
          <w:sz w:val="28"/>
          <w:szCs w:val="28"/>
        </w:rPr>
        <w:t xml:space="preserve">     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：刘伟              证书编号</w:t>
      </w:r>
      <w:r>
        <w:rPr>
          <w:rFonts w:hint="eastAsia" w:ascii="仿宋_GB2312" w:eastAsia="仿宋_GB2312"/>
          <w:sz w:val="28"/>
          <w:szCs w:val="28"/>
        </w:rPr>
        <w:t>：C16096100900074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业绩名称：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投标文件中填报的单位项目业绩名称：兰考县高铁站广场项目三标段 开竣工日期:2015.7.10—2016.1.10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第二中标候选人：河南同泰建设工程有限公司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投标报价：1986201.37元</w:t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大写：壹佰玖拾捌万陆仟贰佰零壹元叁角柒分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工期：30日历天      </w:t>
      </w:r>
      <w:r>
        <w:rPr>
          <w:rFonts w:ascii="仿宋_GB2312" w:eastAsia="仿宋_GB2312"/>
          <w:sz w:val="28"/>
          <w:szCs w:val="28"/>
        </w:rPr>
        <w:t xml:space="preserve">     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：朱丽              证书编号：A08131000000000535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业绩名称：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投标文件中填报的单位项目业绩名称：淮滨县十号城市公园(锦复园)建设项目 开竣工日期:2016.10.10—2017.1.8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第三中标候选人：河南鸿森园林工程有限公司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投标报价：1983502.85元</w:t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大写：壹佰玖拾捌万叁仟伍佰零贰元捌角伍分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工期：30日历天      </w:t>
      </w:r>
      <w:r>
        <w:rPr>
          <w:rFonts w:ascii="仿宋_GB2312" w:eastAsia="仿宋_GB2312"/>
          <w:sz w:val="28"/>
          <w:szCs w:val="28"/>
        </w:rPr>
        <w:t xml:space="preserve">           </w:t>
      </w:r>
      <w:r>
        <w:rPr>
          <w:rFonts w:hint="eastAsia" w:ascii="仿宋_GB2312" w:eastAsia="仿宋_GB2312"/>
          <w:sz w:val="28"/>
          <w:szCs w:val="28"/>
        </w:rPr>
        <w:t>质量标准：合格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：赵计云              证书编号：C05911140900039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投标文件中填报的项目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业绩名称：</w:t>
      </w:r>
      <w:r>
        <w:rPr>
          <w:rFonts w:hint="eastAsia" w:ascii="仿宋_GB2312" w:eastAsia="仿宋_GB2312"/>
          <w:sz w:val="28"/>
          <w:szCs w:val="28"/>
          <w:lang w:eastAsia="zh-CN"/>
        </w:rPr>
        <w:t>无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投标文件中填报的单位项目业绩名称：长垣县赵堤镇南大门出入口绿化  开竣工日期:2017.6—2017.7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签订合同前要处理的事宜：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七、公示期：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02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01</w:t>
      </w:r>
      <w:r>
        <w:rPr>
          <w:rFonts w:hint="eastAsia" w:eastAsia="仿宋_GB2312"/>
          <w:sz w:val="28"/>
          <w:szCs w:val="28"/>
        </w:rPr>
        <w:t>日至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02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05</w:t>
      </w:r>
      <w:r>
        <w:rPr>
          <w:rFonts w:hint="eastAsia" w:eastAsia="仿宋_GB2312"/>
          <w:sz w:val="28"/>
          <w:szCs w:val="28"/>
        </w:rPr>
        <w:t>日，若公示期无异议，期满将向第一中标候选人签发中标通知书。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八、公示地点：</w:t>
      </w:r>
      <w:r>
        <w:rPr>
          <w:rFonts w:hint="eastAsia" w:eastAsia="仿宋_GB2312"/>
          <w:sz w:val="28"/>
          <w:szCs w:val="28"/>
        </w:rPr>
        <w:t>《全国公共资源交易平台（河南省·许昌市）》、《河南省电子招标投标公共服务平台》</w:t>
      </w:r>
      <w:r>
        <w:rPr>
          <w:rFonts w:eastAsia="仿宋_GB2312"/>
          <w:sz w:val="28"/>
          <w:szCs w:val="28"/>
        </w:rPr>
        <w:t xml:space="preserve"> </w:t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联系方式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招标人：许昌市建安区新元街道办事处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联系人</w:t>
      </w:r>
      <w:r>
        <w:rPr>
          <w:rFonts w:hint="eastAsia" w:eastAsia="仿宋_GB2312"/>
          <w:sz w:val="28"/>
          <w:szCs w:val="28"/>
        </w:rPr>
        <w:t>：岳巍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  话：17698010987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招标代理机构：河南金利达工程管理有限公司 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联系人</w:t>
      </w:r>
      <w:r>
        <w:rPr>
          <w:rFonts w:hint="eastAsia" w:eastAsia="仿宋_GB2312"/>
          <w:sz w:val="28"/>
          <w:szCs w:val="28"/>
        </w:rPr>
        <w:t>：史帅帅</w:t>
      </w:r>
    </w:p>
    <w:p>
      <w:pPr>
        <w:widowControl/>
        <w:ind w:left="56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  话：0371-60933926  13525556852</w:t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</w:t>
      </w:r>
    </w:p>
    <w:p>
      <w:pPr>
        <w:widowControl/>
        <w:ind w:left="141" w:leftChars="67" w:firstLine="560" w:firstLineChars="200"/>
        <w:jc w:val="left"/>
        <w:rPr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（加盖公章）及本人身份证原件及复印件（加盖公章）一并提交，逾期将不再受理。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AE"/>
    <w:multiLevelType w:val="singleLevel"/>
    <w:tmpl w:val="59C346AE"/>
    <w:lvl w:ilvl="0" w:tentative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7FDA3501"/>
    <w:multiLevelType w:val="multilevel"/>
    <w:tmpl w:val="7FDA3501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C97"/>
    <w:rsid w:val="000C4766"/>
    <w:rsid w:val="00152C97"/>
    <w:rsid w:val="00161E9C"/>
    <w:rsid w:val="00232E10"/>
    <w:rsid w:val="003C1138"/>
    <w:rsid w:val="003D411F"/>
    <w:rsid w:val="004331F2"/>
    <w:rsid w:val="00472D12"/>
    <w:rsid w:val="004A2235"/>
    <w:rsid w:val="004D7FF4"/>
    <w:rsid w:val="004E4D84"/>
    <w:rsid w:val="00522A46"/>
    <w:rsid w:val="00565DDC"/>
    <w:rsid w:val="005956A5"/>
    <w:rsid w:val="005A66AD"/>
    <w:rsid w:val="006F193B"/>
    <w:rsid w:val="00706B7B"/>
    <w:rsid w:val="00742C2A"/>
    <w:rsid w:val="00885DC3"/>
    <w:rsid w:val="008E4FBD"/>
    <w:rsid w:val="008E5938"/>
    <w:rsid w:val="00945658"/>
    <w:rsid w:val="009761CA"/>
    <w:rsid w:val="0099577B"/>
    <w:rsid w:val="009D2418"/>
    <w:rsid w:val="009F6A2B"/>
    <w:rsid w:val="00B74ED7"/>
    <w:rsid w:val="00B76D8E"/>
    <w:rsid w:val="00C465F7"/>
    <w:rsid w:val="00CA4A28"/>
    <w:rsid w:val="00D023AC"/>
    <w:rsid w:val="00D20654"/>
    <w:rsid w:val="00D52FDA"/>
    <w:rsid w:val="00EA5DBD"/>
    <w:rsid w:val="00EE7FCF"/>
    <w:rsid w:val="00F71E7F"/>
    <w:rsid w:val="00F96C5B"/>
    <w:rsid w:val="00FA1268"/>
    <w:rsid w:val="00FC52DB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C4D4CEF"/>
    <w:rsid w:val="1C7D4DA7"/>
    <w:rsid w:val="1CE72264"/>
    <w:rsid w:val="1F6142FD"/>
    <w:rsid w:val="1FF55C13"/>
    <w:rsid w:val="202644D3"/>
    <w:rsid w:val="237B53B7"/>
    <w:rsid w:val="23E02B5C"/>
    <w:rsid w:val="2A3607AC"/>
    <w:rsid w:val="2C2519A1"/>
    <w:rsid w:val="2C303F84"/>
    <w:rsid w:val="2DBE1488"/>
    <w:rsid w:val="2E8E0666"/>
    <w:rsid w:val="2F8261B0"/>
    <w:rsid w:val="31217EAF"/>
    <w:rsid w:val="32CB438B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62911FA"/>
    <w:rsid w:val="490C0FCE"/>
    <w:rsid w:val="496A35C1"/>
    <w:rsid w:val="49CB4193"/>
    <w:rsid w:val="5256457B"/>
    <w:rsid w:val="589D41B4"/>
    <w:rsid w:val="58B36CD7"/>
    <w:rsid w:val="5B5862D4"/>
    <w:rsid w:val="5D910B55"/>
    <w:rsid w:val="61060549"/>
    <w:rsid w:val="62BE3E00"/>
    <w:rsid w:val="63231DCC"/>
    <w:rsid w:val="63F22D40"/>
    <w:rsid w:val="64964BE8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uiPriority w:val="99"/>
    <w:pPr>
      <w:ind w:firstLine="420" w:firstLineChars="100"/>
    </w:pPr>
  </w:style>
  <w:style w:type="paragraph" w:styleId="3">
    <w:name w:val="Body Text"/>
    <w:basedOn w:val="1"/>
    <w:link w:val="13"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4"/>
    <w:uiPriority w:val="99"/>
    <w:rPr>
      <w:rFonts w:ascii="宋体" w:hAnsi="Courier New"/>
      <w:szCs w:val="20"/>
    </w:r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00"/>
      <w:u w:val="none"/>
    </w:rPr>
  </w:style>
  <w:style w:type="character" w:customStyle="1" w:styleId="13">
    <w:name w:val="正文文本 Char"/>
    <w:basedOn w:val="8"/>
    <w:link w:val="3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正文首行缩进 Char"/>
    <w:basedOn w:val="13"/>
    <w:link w:val="2"/>
    <w:semiHidden/>
    <w:locked/>
    <w:uiPriority w:val="99"/>
  </w:style>
  <w:style w:type="character" w:customStyle="1" w:styleId="15">
    <w:name w:val="red"/>
    <w:basedOn w:val="8"/>
    <w:uiPriority w:val="99"/>
    <w:rPr>
      <w:rFonts w:cs="Times New Roman"/>
      <w:color w:val="FF0000"/>
      <w:sz w:val="18"/>
      <w:szCs w:val="18"/>
    </w:rPr>
  </w:style>
  <w:style w:type="character" w:customStyle="1" w:styleId="16">
    <w:name w:val="red1"/>
    <w:basedOn w:val="8"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hover24"/>
    <w:basedOn w:val="8"/>
    <w:uiPriority w:val="99"/>
    <w:rPr>
      <w:rFonts w:cs="Times New Roman"/>
    </w:rPr>
  </w:style>
  <w:style w:type="character" w:customStyle="1" w:styleId="18">
    <w:name w:val="gb-jt"/>
    <w:basedOn w:val="8"/>
    <w:qFormat/>
    <w:uiPriority w:val="99"/>
    <w:rPr>
      <w:rFonts w:cs="Times New Roman"/>
    </w:rPr>
  </w:style>
  <w:style w:type="character" w:customStyle="1" w:styleId="19">
    <w:name w:val="green"/>
    <w:basedOn w:val="8"/>
    <w:uiPriority w:val="99"/>
    <w:rPr>
      <w:rFonts w:cs="Times New Roman"/>
      <w:color w:val="66AE00"/>
      <w:sz w:val="18"/>
      <w:szCs w:val="18"/>
    </w:rPr>
  </w:style>
  <w:style w:type="character" w:customStyle="1" w:styleId="20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blue"/>
    <w:basedOn w:val="8"/>
    <w:uiPriority w:val="99"/>
    <w:rPr>
      <w:rFonts w:cs="Times New Roman"/>
      <w:color w:val="0371C6"/>
      <w:sz w:val="21"/>
      <w:szCs w:val="21"/>
    </w:rPr>
  </w:style>
  <w:style w:type="character" w:customStyle="1" w:styleId="22">
    <w:name w:val="right"/>
    <w:basedOn w:val="8"/>
    <w:uiPriority w:val="99"/>
    <w:rPr>
      <w:rFonts w:cs="Times New Roman"/>
      <w:color w:val="999999"/>
      <w:sz w:val="18"/>
      <w:szCs w:val="18"/>
    </w:rPr>
  </w:style>
  <w:style w:type="character" w:customStyle="1" w:styleId="23">
    <w:name w:val="Plain Text Char1"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4">
    <w:name w:val="纯文本 Char"/>
    <w:basedOn w:val="8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页眉 Char"/>
    <w:basedOn w:val="8"/>
    <w:link w:val="6"/>
    <w:semiHidden/>
    <w:uiPriority w:val="99"/>
    <w:rPr>
      <w:rFonts w:ascii="Calibri" w:hAnsi="Calibri"/>
      <w:sz w:val="18"/>
      <w:szCs w:val="18"/>
    </w:rPr>
  </w:style>
  <w:style w:type="character" w:customStyle="1" w:styleId="26">
    <w:name w:val="页脚 Char"/>
    <w:basedOn w:val="8"/>
    <w:link w:val="5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380</Words>
  <Characters>2169</Characters>
  <Lines>18</Lines>
  <Paragraphs>5</Paragraphs>
  <TotalTime>0</TotalTime>
  <ScaleCrop>false</ScaleCrop>
  <LinksUpToDate>false</LinksUpToDate>
  <CharactersWithSpaces>2544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PC</cp:lastModifiedBy>
  <cp:lastPrinted>2017-09-21T04:52:00Z</cp:lastPrinted>
  <dcterms:modified xsi:type="dcterms:W3CDTF">2018-01-31T06:45:17Z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