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80" w:lineRule="exact"/>
        <w:ind w:leftChars="0"/>
        <w:jc w:val="center"/>
        <w:textAlignment w:val="baseline"/>
        <w:outlineLvl w:val="0"/>
        <w:rPr>
          <w:rFonts w:hint="eastAsia" w:ascii="仿宋" w:hAnsi="仿宋" w:eastAsia="仿宋" w:cs="仿宋_GB2312"/>
          <w:b/>
          <w:bCs/>
          <w:sz w:val="30"/>
          <w:szCs w:val="30"/>
        </w:rPr>
      </w:pPr>
      <w:bookmarkStart w:id="0" w:name="_Toc5122"/>
      <w:r>
        <w:rPr>
          <w:rFonts w:hint="eastAsia" w:ascii="仿宋" w:hAnsi="仿宋" w:eastAsia="仿宋" w:cs="仿宋_GB2312"/>
          <w:b/>
          <w:bCs/>
          <w:sz w:val="30"/>
          <w:szCs w:val="30"/>
          <w:lang w:eastAsia="zh-CN"/>
        </w:rPr>
        <w:t>禹州市人力资源和社会保障局春节看望老干部物品</w:t>
      </w:r>
      <w:r>
        <w:rPr>
          <w:rFonts w:hint="eastAsia" w:ascii="仿宋" w:hAnsi="仿宋" w:eastAsia="仿宋" w:cs="仿宋_GB2312"/>
          <w:b/>
          <w:bCs/>
          <w:sz w:val="30"/>
          <w:szCs w:val="30"/>
        </w:rPr>
        <w:t>项目</w:t>
      </w:r>
    </w:p>
    <w:p>
      <w:pPr>
        <w:numPr>
          <w:ilvl w:val="0"/>
          <w:numId w:val="0"/>
        </w:numPr>
        <w:spacing w:line="480" w:lineRule="exact"/>
        <w:ind w:leftChars="0"/>
        <w:jc w:val="center"/>
        <w:textAlignment w:val="baseline"/>
        <w:outlineLvl w:val="0"/>
        <w:rPr>
          <w:rFonts w:hint="eastAsia" w:ascii="仿宋" w:hAnsi="仿宋" w:eastAsia="仿宋" w:cs="仿宋_GB2312"/>
          <w:b/>
          <w:bCs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询价分项报价一览表</w:t>
      </w:r>
      <w:bookmarkEnd w:id="0"/>
    </w:p>
    <w:p>
      <w:pPr>
        <w:spacing w:line="360" w:lineRule="exac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           </w:t>
      </w:r>
    </w:p>
    <w:p>
      <w:pPr>
        <w:spacing w:line="360" w:lineRule="exact"/>
        <w:ind w:left="465"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       单位：元（人民币）</w:t>
      </w:r>
    </w:p>
    <w:tbl>
      <w:tblPr>
        <w:tblStyle w:val="3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"/>
        <w:gridCol w:w="3503"/>
        <w:gridCol w:w="1470"/>
        <w:gridCol w:w="1381"/>
        <w:gridCol w:w="800"/>
        <w:gridCol w:w="1227"/>
        <w:gridCol w:w="1188"/>
        <w:gridCol w:w="999"/>
        <w:gridCol w:w="1305"/>
        <w:gridCol w:w="1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货物单价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税费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其它费用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一级大豆油（非转基因）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爱厨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原阳米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宴宾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银梅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饺子粉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禹雪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新疆红枣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好利来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农家粗粮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农夫粗粮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5.5KG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9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合计金额（大写）：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  <w:lang w:eastAsia="zh-CN"/>
              </w:rPr>
              <w:t>贰拾叁万贰仟柒佰圆整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 xml:space="preserve">                小写：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232700元</w:t>
            </w:r>
          </w:p>
        </w:tc>
      </w:tr>
    </w:tbl>
    <w:p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</w:p>
    <w:p>
      <w:bookmarkStart w:id="1" w:name="_GoBack"/>
      <w:bookmarkEnd w:id="1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细黑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ms Rmn">
    <w:altName w:val="Times New Roman"/>
    <w:panose1 w:val="02020603040505020304"/>
    <w:charset w:val="00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c-modal-icon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uturaLtBT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E Inspira Pitch">
    <w:altName w:val="Trebuchet MS"/>
    <w:panose1 w:val="020F0603030400020203"/>
    <w:charset w:val="00"/>
    <w:family w:val="roman"/>
    <w:pitch w:val="default"/>
    <w:sig w:usb0="00000000" w:usb1="00000000" w:usb2="00000000" w:usb3="00000000" w:csb0="000000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????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仿宋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 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仿宋-GB2312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  <w:font w:name="Monotype Sorts">
    <w:altName w:val="Webdings"/>
    <w:panose1 w:val="01010601010101010101"/>
    <w:charset w:val="02"/>
    <w:family w:val="auto"/>
    <w:pitch w:val="default"/>
    <w:sig w:usb0="00000000" w:usb1="00000000" w:usb2="00000000" w:usb3="00000000" w:csb0="80000000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 BERKLEY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AdobeSongStd-Light-Acr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★懐風体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b-toolbar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lroute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F0649"/>
    <w:rsid w:val="28E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2018-01-29T01:39:00Z</dcterms:created>
  <dc:creator>YUAN1411184286</dc:creator>
  <cp:lastModifiedBy>YUAN1411184286</cp:lastModifiedBy>
  <dcterms:modified xsi:type="dcterms:W3CDTF">2018-01-29T01:39:39Z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