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仿宋" w:hAnsi="仿宋" w:eastAsia="仿宋"/>
          <w:b/>
          <w:bCs/>
          <w:sz w:val="52"/>
          <w:szCs w:val="52"/>
        </w:rPr>
      </w:pPr>
      <w:r>
        <w:rPr>
          <w:rFonts w:hint="eastAsia" w:ascii="仿宋" w:hAnsi="仿宋" w:eastAsia="仿宋"/>
          <w:b/>
          <w:bCs/>
          <w:sz w:val="52"/>
          <w:szCs w:val="52"/>
        </w:rPr>
        <w:t>许昌市东城区管理委员会“菅庄二期”棚户区改造项目</w:t>
      </w:r>
    </w:p>
    <w:p>
      <w:pPr>
        <w:jc w:val="center"/>
        <w:rPr>
          <w:rFonts w:hint="eastAsia"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项目编号：JZFCG－D201</w:t>
      </w:r>
      <w:r>
        <w:rPr>
          <w:rFonts w:hint="eastAsia" w:ascii="宋体" w:hAnsi="宋体"/>
          <w:b/>
          <w:bCs/>
          <w:sz w:val="36"/>
          <w:szCs w:val="36"/>
          <w:lang w:val="en-US" w:eastAsia="zh-CN"/>
        </w:rPr>
        <w:t>8002</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4" w:leftChars="456" w:hanging="1606" w:hangingChars="500"/>
        <w:rPr>
          <w:rFonts w:hint="eastAsia" w:ascii="宋体" w:hAnsi="宋体"/>
          <w:b/>
          <w:bCs/>
          <w:sz w:val="32"/>
          <w:szCs w:val="32"/>
        </w:rPr>
      </w:pPr>
      <w:r>
        <w:rPr>
          <w:rFonts w:hint="eastAsia" w:ascii="宋体" w:hAnsi="宋体"/>
          <w:b/>
          <w:bCs/>
          <w:sz w:val="32"/>
          <w:szCs w:val="32"/>
        </w:rPr>
        <w:t>项目名称：许昌市东城区管理委员会“菅庄二期”棚户区改造项目</w:t>
      </w:r>
    </w:p>
    <w:p>
      <w:pPr>
        <w:snapToGrid w:val="0"/>
        <w:spacing w:line="360" w:lineRule="auto"/>
        <w:ind w:firstLine="964" w:firstLineChars="300"/>
        <w:rPr>
          <w:rFonts w:hint="eastAsia" w:ascii="宋体" w:hAnsi="宋体"/>
          <w:b/>
          <w:bCs/>
          <w:sz w:val="32"/>
          <w:szCs w:val="32"/>
        </w:rPr>
      </w:pPr>
      <w:r>
        <w:rPr>
          <w:rFonts w:hint="eastAsia" w:ascii="宋体" w:hAnsi="宋体"/>
          <w:b/>
          <w:bCs/>
          <w:sz w:val="32"/>
          <w:szCs w:val="32"/>
        </w:rPr>
        <w:t>采 购 人：许昌市东城区管理委员会</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代理机构：北京华采招标代理有限公司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val="en-US" w:eastAsia="zh-CN"/>
        </w:rPr>
        <w:t>八</w:t>
      </w:r>
      <w:r>
        <w:rPr>
          <w:rFonts w:hint="eastAsia" w:ascii="宋体" w:hAnsi="宋体"/>
          <w:b/>
          <w:bCs/>
          <w:sz w:val="32"/>
          <w:szCs w:val="32"/>
        </w:rPr>
        <w:t>年</w:t>
      </w:r>
      <w:r>
        <w:rPr>
          <w:rFonts w:hint="eastAsia" w:ascii="宋体" w:hAnsi="宋体"/>
          <w:b/>
          <w:bCs/>
          <w:sz w:val="32"/>
          <w:szCs w:val="32"/>
          <w:lang w:val="en-US" w:eastAsia="zh-CN"/>
        </w:rPr>
        <w:t>一</w:t>
      </w:r>
      <w:r>
        <w:rPr>
          <w:rFonts w:hint="eastAsia" w:ascii="宋体" w:hAnsi="宋体"/>
          <w:b/>
          <w:bCs/>
          <w:sz w:val="32"/>
          <w:szCs w:val="32"/>
        </w:rPr>
        <w:t>月</w:t>
      </w:r>
    </w:p>
    <w:p>
      <w:pPr>
        <w:rPr>
          <w:rFonts w:asciiTheme="majorEastAsia" w:hAnsiTheme="majorEastAsia" w:eastAsiaTheme="majorEastAsia" w:cstheme="majorEastAsia"/>
          <w:b/>
          <w:bCs/>
          <w:color w:val="000000"/>
          <w:sz w:val="36"/>
          <w:szCs w:val="36"/>
        </w:rPr>
      </w:pPr>
    </w:p>
    <w:p>
      <w:pPr>
        <w:pStyle w:val="16"/>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6"/>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采购文件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pStyle w:val="34"/>
        <w:numPr>
          <w:ilvl w:val="0"/>
          <w:numId w:val="0"/>
        </w:numPr>
        <w:tabs>
          <w:tab w:val="clear" w:pos="709"/>
        </w:tabs>
        <w:spacing w:line="408" w:lineRule="auto"/>
        <w:ind w:leftChars="200"/>
      </w:pPr>
    </w:p>
    <w:p>
      <w:pPr>
        <w:pStyle w:val="34"/>
        <w:numPr>
          <w:ilvl w:val="0"/>
          <w:numId w:val="0"/>
        </w:numPr>
        <w:tabs>
          <w:tab w:val="clear" w:pos="709"/>
        </w:tabs>
        <w:spacing w:line="408" w:lineRule="auto"/>
        <w:ind w:leftChars="200"/>
      </w:pPr>
    </w:p>
    <w:p>
      <w:pPr>
        <w:pStyle w:val="34"/>
        <w:numPr>
          <w:ilvl w:val="0"/>
          <w:numId w:val="0"/>
        </w:numPr>
        <w:tabs>
          <w:tab w:val="clear" w:pos="709"/>
        </w:tabs>
        <w:spacing w:line="408" w:lineRule="auto"/>
        <w:ind w:leftChars="200"/>
      </w:pPr>
    </w:p>
    <w:p>
      <w:pPr>
        <w:pStyle w:val="34"/>
        <w:numPr>
          <w:ilvl w:val="0"/>
          <w:numId w:val="0"/>
        </w:numPr>
        <w:tabs>
          <w:tab w:val="clear" w:pos="709"/>
        </w:tabs>
        <w:spacing w:line="408" w:lineRule="auto"/>
        <w:ind w:leftChars="0"/>
      </w:pPr>
    </w:p>
    <w:p>
      <w:pPr>
        <w:pStyle w:val="34"/>
        <w:numPr>
          <w:ilvl w:val="0"/>
          <w:numId w:val="0"/>
        </w:numPr>
        <w:tabs>
          <w:tab w:val="clear" w:pos="709"/>
        </w:tabs>
        <w:spacing w:line="408" w:lineRule="auto"/>
        <w:ind w:leftChars="0"/>
      </w:pPr>
    </w:p>
    <w:p>
      <w:pPr>
        <w:pStyle w:val="34"/>
        <w:numPr>
          <w:ilvl w:val="0"/>
          <w:numId w:val="0"/>
        </w:numPr>
        <w:tabs>
          <w:tab w:val="clear" w:pos="709"/>
        </w:tabs>
        <w:spacing w:line="408" w:lineRule="auto"/>
        <w:ind w:leftChars="0"/>
        <w:rPr>
          <w:rFonts w:hint="eastAsia"/>
        </w:rPr>
      </w:pPr>
    </w:p>
    <w:p>
      <w:pPr>
        <w:pStyle w:val="34"/>
        <w:numPr>
          <w:ilvl w:val="0"/>
          <w:numId w:val="0"/>
        </w:numPr>
        <w:tabs>
          <w:tab w:val="clear" w:pos="709"/>
        </w:tabs>
        <w:spacing w:line="408" w:lineRule="auto"/>
        <w:ind w:leftChars="0"/>
        <w:jc w:val="center"/>
        <w:rPr>
          <w:rFonts w:hint="eastAsia"/>
          <w:b/>
          <w:bCs/>
          <w:sz w:val="32"/>
          <w:szCs w:val="32"/>
        </w:rPr>
      </w:pPr>
    </w:p>
    <w:p>
      <w:pPr>
        <w:pStyle w:val="34"/>
        <w:numPr>
          <w:ilvl w:val="0"/>
          <w:numId w:val="0"/>
        </w:numPr>
        <w:tabs>
          <w:tab w:val="clear" w:pos="709"/>
        </w:tabs>
        <w:spacing w:line="408" w:lineRule="auto"/>
        <w:ind w:leftChars="0"/>
        <w:jc w:val="center"/>
        <w:rPr>
          <w:rFonts w:ascii="宋体" w:cs="宋体"/>
          <w:b/>
          <w:bCs/>
          <w:sz w:val="44"/>
          <w:szCs w:val="32"/>
        </w:rPr>
      </w:pPr>
      <w:r>
        <w:rPr>
          <w:rFonts w:hint="eastAsia"/>
          <w:b/>
          <w:bCs/>
          <w:sz w:val="32"/>
          <w:szCs w:val="32"/>
        </w:rPr>
        <w:t>第一章</w:t>
      </w:r>
      <w:r>
        <w:rPr>
          <w:rFonts w:hint="eastAsia"/>
          <w:b/>
          <w:bCs/>
          <w:sz w:val="32"/>
          <w:szCs w:val="32"/>
          <w:lang w:val="en-US"/>
        </w:rPr>
        <w:t xml:space="preserve">  </w:t>
      </w:r>
      <w:r>
        <w:rPr>
          <w:rFonts w:hint="eastAsia"/>
          <w:b/>
          <w:bCs/>
          <w:sz w:val="32"/>
          <w:szCs w:val="32"/>
        </w:rPr>
        <w:t>单一来源邀请函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2" w:firstLineChars="200"/>
        <w:jc w:val="both"/>
        <w:textAlignment w:val="auto"/>
        <w:outlineLvl w:val="9"/>
        <w:rPr>
          <w:rFonts w:hint="eastAsia" w:ascii="宋体" w:cs="宋体"/>
          <w:b/>
          <w:bCs/>
          <w:sz w:val="28"/>
          <w:szCs w:val="28"/>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受许昌市东城区管理委员会的委托，北京华采招标代理有限公司就许昌市东城区管理委员会“菅庄二期”棚户区改造项目进行单一来源采购，现邀请贵公司前来谈判。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hint="eastAsia"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（一）项目名称：许昌市东城区管理委员会“菅庄二期”棚户区改造项目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（二）项目编号：JZFCG-D201</w:t>
      </w:r>
      <w:r>
        <w:rPr>
          <w:rFonts w:hint="eastAsia" w:ascii="宋体" w:cs="宋体"/>
          <w:sz w:val="24"/>
          <w:lang w:val="en-US" w:eastAsia="zh-CN"/>
        </w:rPr>
        <w:t>8002</w:t>
      </w:r>
      <w:r>
        <w:rPr>
          <w:rFonts w:hint="eastAsia" w:ascii="宋体" w:cs="宋体"/>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eastAsia="zh-CN"/>
        </w:rPr>
      </w:pPr>
      <w:r>
        <w:rPr>
          <w:rFonts w:hint="eastAsia" w:ascii="宋体" w:cs="宋体"/>
          <w:sz w:val="24"/>
          <w:lang w:val="zh-CN" w:eastAsia="zh-CN"/>
        </w:rPr>
        <w:t>（三）项目需求：本城中村改造项目村庄总占地面积327.46亩，项目安置类型为就地安置，规划用地面积191.85亩，共节约土地135.61亩。通过与周边地块的整合，使可开发的土地面积达到433.96亩，并通过土地市场进行出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eastAsia="zh-CN"/>
        </w:rPr>
      </w:pPr>
      <w:r>
        <w:rPr>
          <w:rFonts w:hint="eastAsia" w:ascii="宋体" w:cs="宋体"/>
          <w:sz w:val="24"/>
          <w:lang w:val="zh-CN" w:eastAsia="zh-CN"/>
        </w:rPr>
        <w:t>（四）项目内容：项目拟征收东城区菅庄B10-2号</w:t>
      </w:r>
      <w:r>
        <w:rPr>
          <w:rFonts w:hint="eastAsia" w:ascii="宋体" w:cs="宋体"/>
          <w:sz w:val="24"/>
          <w:lang w:val="zh-CN"/>
        </w:rPr>
        <w:t>地127903㎡（合191.85亩），作为项目回迁安置</w:t>
      </w:r>
      <w:r>
        <w:rPr>
          <w:rFonts w:hint="eastAsia" w:ascii="宋体" w:cs="宋体"/>
          <w:sz w:val="24"/>
          <w:lang w:val="zh-CN" w:eastAsia="zh-CN"/>
        </w:rPr>
        <w:t>用地。涉及村民2010户，其中本地户为1340户，特殊户为670户。拆迁居民住宅总建筑面积为286146㎡。</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（五）预算金额：</w:t>
      </w:r>
      <w:r>
        <w:rPr>
          <w:rFonts w:hint="eastAsia" w:ascii="宋体" w:cs="宋体"/>
          <w:color w:val="000000" w:themeColor="text1"/>
          <w:sz w:val="24"/>
        </w:rPr>
        <w:t>0元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（一）符合《中华人民共和国政府采购法》第二十二条之规定；</w:t>
      </w:r>
    </w:p>
    <w:p>
      <w:pPr>
        <w:pStyle w:val="16"/>
        <w:widowControl/>
        <w:shd w:val="clear" w:color="auto" w:fill="FFFFFF"/>
        <w:spacing w:line="360" w:lineRule="auto"/>
        <w:ind w:firstLine="480" w:firstLineChars="200"/>
        <w:contextualSpacing/>
        <w:jc w:val="left"/>
        <w:rPr>
          <w:rFonts w:hint="eastAsia" w:ascii="宋体" w:cs="宋体"/>
          <w:color w:val="000000" w:themeColor="text1"/>
          <w:sz w:val="24"/>
          <w:lang w:val="zh-CN"/>
        </w:rPr>
      </w:pPr>
      <w:r>
        <w:rPr>
          <w:rFonts w:hint="eastAsia" w:ascii="宋体" w:cs="宋体"/>
          <w:color w:val="000000" w:themeColor="text1"/>
          <w:sz w:val="24"/>
          <w:lang w:val="zh-CN"/>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ascii="宋体" w:cs="宋体"/>
          <w:color w:val="000000" w:themeColor="text1"/>
          <w:sz w:val="24"/>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（二）未通过【全国公共资源交易平台（河南省·许昌市）】下载招标文件的投标人,拒收其递交的投标文件。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b/>
          <w:bCs/>
          <w:sz w:val="24"/>
          <w:lang w:val="zh-CN"/>
        </w:rPr>
      </w:pPr>
      <w:r>
        <w:rPr>
          <w:rFonts w:hint="eastAsia" w:ascii="宋体" w:cs="宋体"/>
          <w:sz w:val="24"/>
          <w:lang w:val="zh-CN"/>
        </w:rPr>
        <w:t>（三）招标文件每套售价300元，供应商在递交投标文件时向采购代理机构缴纳采购文件费用，售后不退。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四、投标截止时间、开标时间及地点：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color w:val="000000" w:themeColor="text1"/>
          <w:sz w:val="24"/>
          <w:lang w:val="zh-CN"/>
        </w:rPr>
      </w:pPr>
      <w:r>
        <w:rPr>
          <w:rFonts w:hint="eastAsia" w:ascii="宋体" w:cs="宋体"/>
          <w:sz w:val="24"/>
          <w:lang w:val="zh-CN"/>
        </w:rPr>
        <w:t>（一）投标截止及开标时间：</w:t>
      </w:r>
      <w:r>
        <w:rPr>
          <w:rFonts w:hint="eastAsia" w:ascii="宋体" w:cs="宋体"/>
          <w:color w:val="000000" w:themeColor="text1"/>
          <w:sz w:val="24"/>
          <w:lang w:val="zh-CN"/>
        </w:rPr>
        <w:t>201</w:t>
      </w:r>
      <w:r>
        <w:rPr>
          <w:rFonts w:hint="eastAsia" w:ascii="宋体" w:cs="宋体"/>
          <w:color w:val="000000" w:themeColor="text1"/>
          <w:sz w:val="24"/>
          <w:lang w:val="en-US" w:eastAsia="zh-CN"/>
        </w:rPr>
        <w:t>8</w:t>
      </w:r>
      <w:r>
        <w:rPr>
          <w:rFonts w:hint="eastAsia" w:ascii="宋体" w:cs="宋体"/>
          <w:color w:val="000000" w:themeColor="text1"/>
          <w:sz w:val="24"/>
          <w:lang w:val="zh-CN"/>
        </w:rPr>
        <w:t>年</w:t>
      </w:r>
      <w:r>
        <w:rPr>
          <w:rFonts w:hint="eastAsia" w:ascii="宋体" w:cs="宋体"/>
          <w:color w:val="000000" w:themeColor="text1"/>
          <w:sz w:val="24"/>
          <w:lang w:val="en-US" w:eastAsia="zh-CN"/>
        </w:rPr>
        <w:t>1</w:t>
      </w:r>
      <w:r>
        <w:rPr>
          <w:rFonts w:hint="eastAsia" w:ascii="宋体" w:cs="宋体"/>
          <w:color w:val="000000" w:themeColor="text1"/>
          <w:sz w:val="24"/>
          <w:lang w:val="zh-CN"/>
        </w:rPr>
        <w:t>月</w:t>
      </w:r>
      <w:r>
        <w:rPr>
          <w:rFonts w:hint="eastAsia" w:ascii="宋体" w:cs="宋体"/>
          <w:color w:val="000000" w:themeColor="text1"/>
          <w:sz w:val="24"/>
          <w:lang w:val="en-US" w:eastAsia="zh-CN"/>
        </w:rPr>
        <w:t>22</w:t>
      </w:r>
      <w:r>
        <w:rPr>
          <w:rFonts w:hint="eastAsia" w:ascii="宋体" w:cs="宋体"/>
          <w:color w:val="000000" w:themeColor="text1"/>
          <w:sz w:val="24"/>
          <w:lang w:val="zh-CN"/>
        </w:rPr>
        <w:t>日</w:t>
      </w:r>
      <w:r>
        <w:rPr>
          <w:rFonts w:hint="eastAsia" w:ascii="宋体" w:cs="宋体"/>
          <w:color w:val="000000" w:themeColor="text1"/>
          <w:sz w:val="24"/>
          <w:lang w:val="en-US" w:eastAsia="zh-CN"/>
        </w:rPr>
        <w:t>14</w:t>
      </w:r>
      <w:r>
        <w:rPr>
          <w:rFonts w:hint="eastAsia" w:ascii="宋体" w:cs="宋体"/>
          <w:color w:val="000000" w:themeColor="text1"/>
          <w:sz w:val="24"/>
          <w:lang w:val="zh-CN"/>
        </w:rPr>
        <w:t>时</w:t>
      </w:r>
      <w:r>
        <w:rPr>
          <w:rFonts w:hint="eastAsia" w:ascii="宋体" w:cs="宋体"/>
          <w:color w:val="000000" w:themeColor="text1"/>
          <w:sz w:val="24"/>
          <w:lang w:val="en-US" w:eastAsia="zh-CN"/>
        </w:rPr>
        <w:t>00</w:t>
      </w:r>
      <w:r>
        <w:rPr>
          <w:rFonts w:hint="eastAsia" w:ascii="宋体" w:cs="宋体"/>
          <w:color w:val="000000" w:themeColor="text1"/>
          <w:sz w:val="24"/>
          <w:lang w:val="zh-CN"/>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eastAsia="zh-CN"/>
        </w:rPr>
        <w:t>二</w:t>
      </w:r>
      <w:r>
        <w:rPr>
          <w:rFonts w:hint="eastAsia" w:ascii="宋体" w:cs="宋体"/>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人：许昌市东城区管理委员会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人：孔怀德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代理机构：北京华采招标代理有限公司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 xml:space="preserve">地 </w:t>
      </w:r>
      <w:r>
        <w:rPr>
          <w:rFonts w:hint="eastAsia" w:ascii="宋体" w:cs="宋体"/>
          <w:sz w:val="24"/>
        </w:rPr>
        <w:t xml:space="preserve">   </w:t>
      </w:r>
      <w:r>
        <w:rPr>
          <w:rFonts w:hint="eastAsia" w:ascii="宋体" w:cs="宋体"/>
          <w:sz w:val="24"/>
          <w:lang w:val="zh-CN"/>
        </w:rPr>
        <w:t>址：许昌市新许路建行三楼（许昌分公司）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人：周伟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联系电话：13903749798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宋体" w:cs="宋体"/>
          <w:sz w:val="24"/>
          <w:lang w:val="zh-CN"/>
        </w:rPr>
      </w:pPr>
      <w:r>
        <w:rPr>
          <w:rFonts w:hint="eastAsia" w:ascii="宋体" w:cs="宋体"/>
          <w:sz w:val="24"/>
          <w:lang w:val="zh-CN"/>
        </w:rPr>
        <w:t>许昌市东城区管理委员会</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pPr>
      <w:r>
        <w:rPr>
          <w:rFonts w:hint="eastAsia" w:ascii="宋体" w:cs="宋体"/>
          <w:sz w:val="24"/>
          <w:lang w:val="zh-CN"/>
        </w:rPr>
        <w:t>二〇一八年一月</w:t>
      </w: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pStyle w:val="34"/>
        <w:numPr>
          <w:ilvl w:val="0"/>
          <w:numId w:val="0"/>
        </w:numPr>
        <w:tabs>
          <w:tab w:val="clear" w:pos="709"/>
        </w:tabs>
        <w:spacing w:line="408" w:lineRule="auto"/>
        <w:ind w:leftChars="0"/>
        <w:jc w:val="center"/>
        <w:rPr>
          <w:rFonts w:hint="eastAsia" w:cs="Times New Roman"/>
          <w:b/>
          <w:bCs/>
          <w:sz w:val="32"/>
          <w:szCs w:val="32"/>
        </w:rPr>
      </w:pPr>
    </w:p>
    <w:p>
      <w:pPr>
        <w:pStyle w:val="34"/>
        <w:numPr>
          <w:ilvl w:val="0"/>
          <w:numId w:val="0"/>
        </w:numPr>
        <w:tabs>
          <w:tab w:val="clear" w:pos="709"/>
        </w:tabs>
        <w:spacing w:line="408" w:lineRule="auto"/>
        <w:ind w:leftChars="0"/>
        <w:jc w:val="center"/>
        <w:rPr>
          <w:rFonts w:hint="eastAsia" w:cs="Times New Roman"/>
          <w:b/>
          <w:bCs/>
          <w:sz w:val="32"/>
          <w:szCs w:val="32"/>
        </w:rPr>
      </w:pPr>
      <w:r>
        <w:rPr>
          <w:rFonts w:hint="eastAsia" w:cs="Times New Roman"/>
          <w:b/>
          <w:bCs/>
          <w:sz w:val="32"/>
          <w:szCs w:val="32"/>
        </w:rPr>
        <w:t>第二章　项目需求及其它要求</w:t>
      </w:r>
    </w:p>
    <w:p>
      <w:pPr>
        <w:spacing w:line="360" w:lineRule="auto"/>
        <w:ind w:left="472"/>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一、项目需求</w:t>
      </w:r>
    </w:p>
    <w:p>
      <w:pPr>
        <w:pStyle w:val="36"/>
        <w:ind w:firstLine="560"/>
        <w:rPr>
          <w:rFonts w:hint="eastAsia"/>
        </w:rPr>
      </w:pPr>
      <w:r>
        <w:rPr>
          <w:rFonts w:hint="eastAsia"/>
        </w:rPr>
        <w:t>项目拟</w:t>
      </w:r>
      <w:r>
        <w:t>征</w:t>
      </w:r>
      <w:r>
        <w:rPr>
          <w:rFonts w:hint="eastAsia"/>
        </w:rPr>
        <w:t>收东城区菅庄B10-2号地127903㎡（合191.85亩），作为项目回迁安置用地。涉及村民2010户，其中本地户为1340户，特殊户为670户。拆迁居民住宅总建筑面积为286146㎡。</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1.项目背景</w:t>
      </w:r>
    </w:p>
    <w:p>
      <w:pPr>
        <w:spacing w:line="360" w:lineRule="auto"/>
        <w:ind w:firstLine="560" w:firstLineChars="200"/>
        <w:outlineLvl w:val="0"/>
        <w:rPr>
          <w:rFonts w:asciiTheme="minorEastAsia" w:hAnsiTheme="minorEastAsia" w:cstheme="minorEastAsia"/>
          <w:sz w:val="28"/>
          <w:szCs w:val="28"/>
        </w:rPr>
      </w:pPr>
      <w:r>
        <w:rPr>
          <w:rFonts w:hint="eastAsia" w:asciiTheme="minorEastAsia" w:hAnsiTheme="minorEastAsia" w:cstheme="minorEastAsia"/>
          <w:sz w:val="28"/>
          <w:szCs w:val="28"/>
        </w:rPr>
        <w:t>1.1项目概况：</w:t>
      </w:r>
      <w:bookmarkStart w:id="0" w:name="_Toc491044774"/>
    </w:p>
    <w:bookmarkEnd w:id="0"/>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（1）项目拆迁范围</w:t>
      </w:r>
    </w:p>
    <w:p>
      <w:pPr>
        <w:pStyle w:val="36"/>
        <w:ind w:firstLine="560"/>
        <w:rPr>
          <w:rFonts w:hint="eastAsia"/>
        </w:rPr>
      </w:pPr>
      <w:r>
        <w:rPr>
          <w:rFonts w:hint="eastAsia"/>
        </w:rPr>
        <w:t>本城中村改造项目位于许昌市东城区菅庄。现状村庄占地面积为327.46亩，共有村民2010户。</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（2）安置房选取</w:t>
      </w:r>
    </w:p>
    <w:p>
      <w:pPr>
        <w:pStyle w:val="36"/>
        <w:ind w:firstLine="560"/>
        <w:rPr>
          <w:rFonts w:hint="eastAsia"/>
        </w:rPr>
      </w:pPr>
      <w:r>
        <w:rPr>
          <w:rFonts w:hint="eastAsia"/>
        </w:rPr>
        <w:t>本城中村改造项目村庄总占地面积327.46亩，项目安置类型为就地安置，规划用地面积191.85亩，共节约土地135.61亩。通过与周边地块的整合，使可开发的土地面积达到433.96亩，并通过土地市场进行出让。</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lang w:val="zh-CN"/>
        </w:rPr>
        <w:t>.项目实施方案</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lang w:val="zh-CN"/>
        </w:rPr>
        <w:t>许昌市东城区管委会作为</w:t>
      </w:r>
      <w:r>
        <w:rPr>
          <w:rFonts w:hint="eastAsia" w:ascii="宋体" w:hAnsi="宋体" w:eastAsia="宋体" w:cs="宋体"/>
          <w:color w:val="auto"/>
          <w:sz w:val="28"/>
          <w:szCs w:val="28"/>
          <w:lang w:val="zh-CN"/>
        </w:rPr>
        <w:t>菅庄</w:t>
      </w:r>
      <w:r>
        <w:rPr>
          <w:rFonts w:hint="eastAsia" w:asciiTheme="minorEastAsia" w:hAnsiTheme="minorEastAsia" w:cstheme="minorEastAsia"/>
          <w:color w:val="auto"/>
          <w:sz w:val="28"/>
          <w:szCs w:val="28"/>
          <w:lang w:val="zh-CN"/>
        </w:rPr>
        <w:t>社区棚户区改造项目政府购买服务的购买主体，代表政府实施本次购买行为，与承接主体签署购买服务合同，履行相关权利义务。</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许昌市东城区管委会与承接主体签署的政府购买棚改服务资金逐年列入财政预算，按合同约定及时向项目实施主体支付。</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.融资方案：</w:t>
      </w:r>
    </w:p>
    <w:p>
      <w:pPr>
        <w:pStyle w:val="36"/>
        <w:ind w:firstLine="560"/>
      </w:pPr>
      <w:r>
        <w:t>本项目总投资</w:t>
      </w:r>
      <w:r>
        <w:rPr>
          <w:rFonts w:hint="eastAsia"/>
        </w:rPr>
        <w:t>223765.2</w:t>
      </w:r>
      <w:r>
        <w:t>万元。根据项目建设规模和承办单位意见，拟通过债务性融资解决1</w:t>
      </w:r>
      <w:r>
        <w:rPr>
          <w:rFonts w:hint="eastAsia"/>
        </w:rPr>
        <w:t>5</w:t>
      </w:r>
      <w:r>
        <w:t>0,000万元，占总投资的</w:t>
      </w:r>
      <w:r>
        <w:rPr>
          <w:rFonts w:hint="eastAsia"/>
        </w:rPr>
        <w:t>67.03</w:t>
      </w:r>
      <w:r>
        <w:t>%，项目参建单位自筹</w:t>
      </w:r>
      <w:r>
        <w:rPr>
          <w:rFonts w:hint="eastAsia"/>
        </w:rPr>
        <w:t>73765.2</w:t>
      </w:r>
      <w:r>
        <w:t>万元，占总投资的</w:t>
      </w:r>
      <w:r>
        <w:rPr>
          <w:rFonts w:hint="eastAsia"/>
        </w:rPr>
        <w:t>32.97</w:t>
      </w:r>
      <w:r>
        <w:t>%。</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4</w:t>
      </w:r>
      <w:r>
        <w:rPr>
          <w:rFonts w:hint="eastAsia" w:asciiTheme="minorEastAsia" w:hAnsiTheme="minorEastAsia" w:cstheme="minorEastAsia"/>
          <w:color w:val="000000" w:themeColor="text1"/>
          <w:sz w:val="28"/>
          <w:szCs w:val="28"/>
          <w:lang w:val="zh-CN"/>
        </w:rPr>
        <w:t>. 服务要求</w:t>
      </w:r>
    </w:p>
    <w:p>
      <w:pPr>
        <w:spacing w:line="360" w:lineRule="auto"/>
        <w:ind w:firstLine="560" w:firstLineChars="2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zh-CN"/>
        </w:rPr>
        <w:t>有利于促进房地产市场平稳健康发展；有利于改善城市面貌和城市环境，而且有利于促进社会稳定，是一项一举多得的重大民生工程。本项目的实施，将提高城市土地节约集约利用水平，提升许昌市东城区的城市形象，对建设和谐社会、促进经济社会协调发展具有十分重要的意义。</w:t>
      </w:r>
    </w:p>
    <w:p>
      <w:pPr>
        <w:autoSpaceDE w:val="0"/>
        <w:autoSpaceDN w:val="0"/>
        <w:adjustRightInd w:val="0"/>
        <w:snapToGrid w:val="0"/>
        <w:spacing w:line="360" w:lineRule="auto"/>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二、其它要求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1、投标人应就该项目完整投标</w:t>
      </w:r>
      <w:r>
        <w:rPr>
          <w:rFonts w:hint="eastAsia" w:asciiTheme="minorEastAsia" w:hAnsiTheme="minorEastAsia" w:cstheme="minorEastAsia"/>
          <w:b/>
          <w:sz w:val="28"/>
          <w:szCs w:val="28"/>
          <w:lang w:val="zh-CN"/>
        </w:rPr>
        <w:t>（不响应者为无效投标）</w:t>
      </w:r>
      <w:r>
        <w:rPr>
          <w:rFonts w:hint="eastAsia" w:asciiTheme="minorEastAsia" w:hAnsiTheme="minorEastAsia" w:cstheme="minorEastAsia"/>
          <w:sz w:val="28"/>
          <w:szCs w:val="28"/>
        </w:rPr>
        <w:t>。</w:t>
      </w:r>
    </w:p>
    <w:p>
      <w:pPr>
        <w:pStyle w:val="3"/>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bCs/>
          <w:sz w:val="28"/>
          <w:szCs w:val="28"/>
        </w:rPr>
        <w:t>2、投标人应实质响应招标文件项目需求。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w:t>
      </w:r>
      <w:r>
        <w:rPr>
          <w:rFonts w:hint="eastAsia" w:asciiTheme="minorEastAsia" w:hAnsiTheme="minorEastAsia" w:cstheme="minorEastAsia"/>
          <w:sz w:val="28"/>
          <w:szCs w:val="28"/>
          <w:lang w:val="zh-CN"/>
        </w:rPr>
        <w:t>现场勘查：</w:t>
      </w:r>
      <w:r>
        <w:rPr>
          <w:rFonts w:hint="eastAsia" w:asciiTheme="minorEastAsia" w:hAnsiTheme="minorEastAsia" w:cstheme="minorEastAsia"/>
          <w:color w:val="000000"/>
          <w:sz w:val="28"/>
          <w:szCs w:val="28"/>
        </w:rPr>
        <w:t>供应商根据自己的实际需要，自行进行现场勘察。</w:t>
      </w:r>
    </w:p>
    <w:p>
      <w:pPr>
        <w:autoSpaceDE w:val="0"/>
        <w:autoSpaceDN w:val="0"/>
        <w:adjustRightInd w:val="0"/>
        <w:snapToGrid w:val="0"/>
        <w:spacing w:line="360" w:lineRule="auto"/>
        <w:ind w:firstLine="560" w:firstLineChars="200"/>
        <w:rPr>
          <w:rFonts w:ascii="宋体" w:hAnsi="宋体"/>
          <w:color w:val="auto"/>
          <w:sz w:val="28"/>
          <w:szCs w:val="28"/>
        </w:rPr>
      </w:pPr>
      <w:r>
        <w:rPr>
          <w:rFonts w:hint="eastAsia" w:ascii="宋体" w:hAnsi="宋体"/>
          <w:sz w:val="28"/>
          <w:szCs w:val="28"/>
        </w:rPr>
        <w:t>4、</w:t>
      </w:r>
      <w:r>
        <w:rPr>
          <w:rFonts w:hint="eastAsia" w:ascii="宋体" w:hAnsi="宋体"/>
          <w:sz w:val="28"/>
          <w:szCs w:val="28"/>
          <w:lang w:val="zh-CN"/>
        </w:rPr>
        <w:t>付款方式：</w:t>
      </w:r>
      <w:r>
        <w:rPr>
          <w:rFonts w:hint="eastAsia" w:ascii="宋体" w:hAnsi="宋体"/>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auto"/>
          <w:sz w:val="28"/>
          <w:szCs w:val="28"/>
          <w:lang w:val="zh-CN"/>
        </w:rPr>
        <w:t>许昌市东城区管委会</w:t>
      </w:r>
      <w:r>
        <w:rPr>
          <w:rFonts w:hint="eastAsia" w:ascii="宋体" w:hAnsi="宋体"/>
          <w:color w:val="auto"/>
          <w:sz w:val="28"/>
          <w:szCs w:val="28"/>
        </w:rPr>
        <w:t>应严格如约支付政府采购款，不受项目建设及运营情况影响</w:t>
      </w:r>
      <w:r>
        <w:rPr>
          <w:rFonts w:hint="eastAsia" w:ascii="宋体" w:hAnsi="宋体"/>
          <w:b/>
          <w:bCs/>
          <w:color w:val="auto"/>
          <w:sz w:val="28"/>
          <w:szCs w:val="28"/>
          <w:lang w:val="zh-CN"/>
        </w:rPr>
        <w:t>（不响应者为无效投标）</w:t>
      </w:r>
      <w:r>
        <w:rPr>
          <w:rFonts w:hint="eastAsia" w:ascii="宋体" w:hAnsi="宋体"/>
          <w:color w:val="auto"/>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6.验收标准：</w:t>
      </w:r>
    </w:p>
    <w:p>
      <w:pPr>
        <w:autoSpaceDE w:val="0"/>
        <w:autoSpaceDN w:val="0"/>
        <w:adjustRightInd w:val="0"/>
        <w:snapToGri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2、按照招标文件要求、投标文件响应和承诺验收；</w:t>
      </w:r>
    </w:p>
    <w:p>
      <w:pPr>
        <w:autoSpaceDE w:val="0"/>
        <w:autoSpaceDN w:val="0"/>
        <w:adjustRightInd w:val="0"/>
        <w:snapToGrid w:val="0"/>
        <w:spacing w:line="360" w:lineRule="auto"/>
        <w:ind w:firstLine="560" w:firstLineChars="200"/>
        <w:rPr>
          <w:rFonts w:ascii="宋体" w:hAnsi="宋体"/>
          <w:sz w:val="28"/>
          <w:szCs w:val="28"/>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24"/>
          <w:szCs w:val="24"/>
        </w:rPr>
      </w:pPr>
    </w:p>
    <w:p>
      <w:pPr>
        <w:rPr>
          <w:rFonts w:cs="宋体" w:asciiTheme="majorEastAsia" w:hAnsiTheme="majorEastAsia" w:eastAsiaTheme="majorEastAsia"/>
          <w:b/>
          <w:kern w:val="0"/>
          <w:sz w:val="24"/>
          <w:szCs w:val="24"/>
        </w:rPr>
      </w:pPr>
    </w:p>
    <w:p>
      <w:pPr>
        <w:rPr>
          <w:rFonts w:cs="宋体" w:asciiTheme="majorEastAsia" w:hAnsiTheme="majorEastAsia" w:eastAsiaTheme="majorEastAsia"/>
          <w:b/>
          <w:kern w:val="0"/>
          <w:sz w:val="24"/>
          <w:szCs w:val="24"/>
        </w:rPr>
      </w:pPr>
    </w:p>
    <w:p>
      <w:pPr>
        <w:rPr>
          <w:rFonts w:cs="宋体" w:asciiTheme="majorEastAsia" w:hAnsiTheme="majorEastAsia" w:eastAsiaTheme="majorEastAsia"/>
          <w:b/>
          <w:kern w:val="0"/>
          <w:sz w:val="24"/>
          <w:szCs w:val="24"/>
        </w:rPr>
      </w:pPr>
    </w:p>
    <w:p>
      <w:pPr>
        <w:rPr>
          <w:rFonts w:cs="宋体" w:asciiTheme="majorEastAsia" w:hAnsiTheme="majorEastAsia" w:eastAsiaTheme="majorEastAsia"/>
          <w:b/>
          <w:kern w:val="0"/>
          <w:sz w:val="24"/>
          <w:szCs w:val="24"/>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jc w:val="center"/>
        <w:rPr>
          <w:rFonts w:cs="宋体" w:asciiTheme="minorEastAsia" w:hAnsiTheme="minorEastAsia"/>
          <w:b/>
          <w:kern w:val="0"/>
          <w:sz w:val="28"/>
          <w:szCs w:val="28"/>
        </w:rPr>
      </w:pPr>
      <w:r>
        <w:rPr>
          <w:rFonts w:hint="eastAsia" w:cs="宋体" w:asciiTheme="minorEastAsia" w:hAnsiTheme="minorEastAsia"/>
          <w:b/>
          <w:kern w:val="0"/>
          <w:sz w:val="28"/>
          <w:szCs w:val="28"/>
        </w:rPr>
        <w:t>一、投标人须知前附表</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360" w:lineRule="auto"/>
              <w:jc w:val="center"/>
              <w:rPr>
                <w:rFonts w:hint="eastAsia" w:ascii="宋体" w:cs="宋体"/>
                <w:sz w:val="24"/>
                <w:lang w:val="zh-CN" w:eastAsia="zh-CN"/>
              </w:rPr>
            </w:pPr>
            <w:r>
              <w:rPr>
                <w:rFonts w:hint="eastAsia" w:ascii="宋体" w:cs="宋体"/>
                <w:sz w:val="24"/>
                <w:lang w:val="zh-CN" w:eastAsia="zh-CN"/>
              </w:rPr>
              <w:t>采购项目</w:t>
            </w:r>
          </w:p>
        </w:tc>
        <w:tc>
          <w:tcPr>
            <w:tcW w:w="6813" w:type="dxa"/>
          </w:tcPr>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项目名称：许昌市东城区管理委员会“菅庄二期”棚户区改造项目</w:t>
            </w:r>
          </w:p>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项目编号：JZFCG－D201</w:t>
            </w:r>
            <w:r>
              <w:rPr>
                <w:rFonts w:hint="eastAsia" w:ascii="宋体" w:cs="宋体"/>
                <w:sz w:val="24"/>
                <w:lang w:val="en-US" w:eastAsia="zh-CN"/>
              </w:rPr>
              <w:t>8002</w:t>
            </w:r>
            <w:r>
              <w:rPr>
                <w:rFonts w:hint="eastAsia" w:ascii="宋体" w:cs="宋体"/>
                <w:sz w:val="24"/>
                <w:lang w:val="zh-CN" w:eastAsia="zh-CN"/>
              </w:rPr>
              <w:t>号</w:t>
            </w:r>
          </w:p>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项目需求：本城中村改造项目村庄总占地面积327.46亩，项目安置类型为就地安置，规划用地面积191.85亩，共节约土地135.61亩。通过与周边地块的整合，使可开发的土地面积达到433.96亩，并通过土地市场进行出让。</w:t>
            </w:r>
          </w:p>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项目地址：东城区菅庄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名称：许昌市东城区管理委员会</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w:t>
            </w:r>
            <w:r>
              <w:rPr>
                <w:rFonts w:hint="eastAsia" w:ascii="宋体" w:cs="宋体"/>
                <w:sz w:val="24"/>
                <w:lang w:val="zh-CN"/>
              </w:rPr>
              <w:t>孔怀德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代理机构：北京华采招标代理有限公司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 系 人：周</w:t>
            </w:r>
            <w:r>
              <w:rPr>
                <w:rFonts w:hint="eastAsia" w:hAnsi="宋体" w:cs="仿宋_GB2312"/>
                <w:sz w:val="24"/>
                <w:lang w:eastAsia="zh-CN"/>
              </w:rPr>
              <w:t>伟</w:t>
            </w:r>
            <w:bookmarkStart w:id="8" w:name="_GoBack"/>
            <w:bookmarkEnd w:id="8"/>
            <w:r>
              <w:rPr>
                <w:rFonts w:hint="eastAsia" w:hAnsi="宋体" w:cs="仿宋_GB2312"/>
                <w:sz w:val="24"/>
              </w:rPr>
              <w:t xml:space="preserve">          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合格的投标人</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1、企业法人营业执照或营业执照复印件。（企业投标提供）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2、事业单位法人证书复印件。（事业单位投标提供）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3、执业许可证复印件。（非专业服务机构投标提供）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4、个体工商户营业执照复印件。（个体工商户投标提供）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5、自然人身份证明复印件。（自然人投标提供）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2016年度经审计的财务报告复印件，包括资产负债表、利润表、现金流量表、所有者权益变动表及其附注；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相关设备的购置发票复印件、专业技术人员职称证书复印件、用工合同复印件等或者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函”。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kern w:val="0"/>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wordWrap w:val="0"/>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cs="仿宋_GB2312"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本项目</w:t>
            </w: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276" w:lineRule="auto"/>
              <w:ind w:firstLine="120" w:firstLineChars="50"/>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ind w:firstLine="120" w:firstLineChars="50"/>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276"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13</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地点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许昌市公共资源交易中心四楼谈判</w:t>
            </w:r>
            <w:r>
              <w:rPr>
                <w:rFonts w:hint="eastAsia" w:cs="宋体" w:asciiTheme="minorEastAsia" w:hAnsiTheme="minorEastAsia"/>
                <w:bCs/>
                <w:sz w:val="24"/>
                <w:szCs w:val="24"/>
                <w:u w:val="single"/>
                <w:lang w:val="zh-CN"/>
              </w:rPr>
              <w:t>二</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金额：伍拾万元整（¥ </w:t>
            </w:r>
            <w:r>
              <w:rPr>
                <w:rFonts w:hint="eastAsia" w:cs="仿宋_GB2312" w:asciiTheme="minorEastAsia" w:hAnsiTheme="minorEastAsia"/>
                <w:sz w:val="24"/>
                <w:szCs w:val="24"/>
                <w:lang w:val="en-US" w:eastAsia="zh-CN"/>
              </w:rPr>
              <w:t>500000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5、汇款凭证无须备注项目编号和项目名称。</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18</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lang w:eastAsia="zh-CN"/>
              </w:rPr>
              <w:t>三</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20</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收取标准:成交单位向代理机构一次性支付9500元的招标代理服务费。一次性以银行划账、电汇、汇票或支票的形式支付。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23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成交人需提交</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cs="宋体"/>
                <w:bCs/>
                <w:sz w:val="24"/>
                <w:lang w:val="zh-CN"/>
              </w:rPr>
              <w:t>成交人在接到成交通知时，须向代理机构发送</w:t>
            </w:r>
            <w:r>
              <w:rPr>
                <w:rFonts w:hint="eastAsia" w:cs="仿宋_GB2312" w:asciiTheme="minorEastAsia" w:hAnsiTheme="minorEastAsia"/>
                <w:sz w:val="24"/>
                <w:lang w:val="zh-CN"/>
              </w:rPr>
              <w:t>开标一览表（服务承诺表）电子文档，并同时通知代理机构联</w:t>
            </w:r>
            <w:r>
              <w:rPr>
                <w:rFonts w:hint="eastAsia" w:ascii="宋体" w:cs="宋体"/>
                <w:bCs/>
                <w:sz w:val="24"/>
                <w:lang w:val="zh-CN"/>
              </w:rPr>
              <w:t>系人。邮箱：</w:t>
            </w:r>
            <w:r>
              <w:rPr>
                <w:rFonts w:hint="eastAsia" w:ascii="宋体" w:cs="宋体"/>
                <w:bCs/>
                <w:sz w:val="24"/>
              </w:rPr>
              <w:t>614955098@qq.com</w:t>
            </w:r>
            <w:r>
              <w:rPr>
                <w:rFonts w:hint="eastAsia" w:ascii="宋体" w:cs="宋体"/>
                <w:bCs/>
                <w:sz w:val="24"/>
                <w:lang w:val="zh-CN"/>
              </w:rPr>
              <w:t>。</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eastAsia="zh-CN"/>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）谈判和评标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pStyle w:val="28"/>
        <w:numPr>
          <w:ilvl w:val="0"/>
          <w:numId w:val="2"/>
        </w:numPr>
        <w:tabs>
          <w:tab w:val="left" w:pos="312"/>
        </w:tabs>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16.1.5.5 </w:t>
      </w:r>
      <w:r>
        <w:rPr>
          <w:rFonts w:hint="eastAsia" w:cs="仿宋_GB2312" w:asciiTheme="minorEastAsia" w:hAnsiTheme="minorEastAsia"/>
          <w:sz w:val="24"/>
          <w:szCs w:val="24"/>
          <w:lang w:val="zh-CN"/>
        </w:rPr>
        <w:t>汇款凭证无须备注项目编号和项目名称。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8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cs="宋体" w:asciiTheme="minorEastAsia" w:hAnsiTheme="minorEastAsia"/>
          <w:b/>
          <w:kern w:val="0"/>
          <w:sz w:val="28"/>
          <w:szCs w:val="28"/>
        </w:rPr>
        <w:t>六、</w:t>
      </w:r>
      <w:r>
        <w:rPr>
          <w:rFonts w:hint="eastAsia" w:ascii="楷体" w:hAnsi="楷体" w:eastAsia="楷体" w:cs="宋体"/>
          <w:b/>
          <w:kern w:val="0"/>
          <w:sz w:val="30"/>
          <w:szCs w:val="30"/>
        </w:rPr>
        <w:t>谈判和评标</w:t>
      </w:r>
    </w:p>
    <w:p>
      <w:pPr>
        <w:spacing w:line="360" w:lineRule="auto"/>
        <w:ind w:firstLine="482" w:firstLineChars="200"/>
        <w:rPr>
          <w:rFonts w:ascii="宋体" w:hAnsi="宋体"/>
          <w:b/>
          <w:sz w:val="24"/>
        </w:rPr>
      </w:pPr>
      <w:r>
        <w:rPr>
          <w:rFonts w:hint="eastAsia" w:cs="仿宋_GB2312" w:asciiTheme="minorEastAsia" w:hAnsiTheme="minorEastAsia"/>
          <w:b/>
          <w:sz w:val="24"/>
        </w:rPr>
        <w:t>19</w:t>
      </w:r>
      <w:r>
        <w:rPr>
          <w:rFonts w:hint="eastAsia" w:cs="仿宋_GB2312" w:asciiTheme="minorEastAsia" w:hAnsiTheme="minorEastAsia"/>
          <w:b/>
          <w:sz w:val="24"/>
          <w:lang w:val="zh-CN"/>
        </w:rPr>
        <w:t xml:space="preserve">. </w:t>
      </w:r>
      <w:r>
        <w:rPr>
          <w:rFonts w:hint="eastAsia" w:ascii="宋体" w:hAnsi="宋体"/>
          <w:b/>
          <w:sz w:val="24"/>
        </w:rPr>
        <w:t>评</w:t>
      </w:r>
      <w:r>
        <w:rPr>
          <w:rFonts w:ascii="宋体" w:hAnsi="宋体"/>
          <w:b/>
          <w:sz w:val="24"/>
        </w:rPr>
        <w:t>审原则</w:t>
      </w:r>
    </w:p>
    <w:p>
      <w:pPr>
        <w:spacing w:line="360" w:lineRule="auto"/>
        <w:ind w:firstLine="480" w:firstLineChars="200"/>
        <w:rPr>
          <w:rFonts w:hint="eastAsia" w:ascii="宋体" w:hAnsi="宋体"/>
          <w:b/>
          <w:sz w:val="24"/>
        </w:rPr>
      </w:pPr>
      <w:r>
        <w:rPr>
          <w:rFonts w:hint="eastAsia" w:ascii="宋体" w:hAnsi="宋体"/>
          <w:bCs/>
          <w:sz w:val="24"/>
        </w:rPr>
        <w:t>投标人在邀请函规定的时间和地点，由法定代表人或其委托代理人参加谈判协商。</w:t>
      </w:r>
    </w:p>
    <w:p>
      <w:pPr>
        <w:spacing w:line="360" w:lineRule="auto"/>
        <w:ind w:firstLine="482" w:firstLineChars="200"/>
        <w:rPr>
          <w:rFonts w:hint="eastAsia" w:ascii="宋体" w:hAnsi="宋体"/>
          <w:b/>
          <w:sz w:val="24"/>
        </w:rPr>
      </w:pPr>
      <w:r>
        <w:rPr>
          <w:rFonts w:hint="eastAsia" w:ascii="宋体" w:hAnsi="宋体"/>
          <w:b/>
          <w:sz w:val="24"/>
        </w:rPr>
        <w:t>2</w:t>
      </w:r>
      <w:r>
        <w:rPr>
          <w:rFonts w:hint="eastAsia" w:ascii="宋体" w:hAnsi="宋体"/>
          <w:b/>
          <w:sz w:val="24"/>
          <w:lang w:val="en-US" w:eastAsia="zh-CN"/>
        </w:rPr>
        <w:t>0</w:t>
      </w:r>
      <w:r>
        <w:rPr>
          <w:rFonts w:hint="eastAsia" w:ascii="宋体" w:hAnsi="宋体"/>
          <w:b/>
          <w:sz w:val="24"/>
        </w:rPr>
        <w:t>、资格审查</w:t>
      </w:r>
    </w:p>
    <w:p>
      <w:pPr>
        <w:spacing w:line="360" w:lineRule="auto"/>
        <w:ind w:firstLine="480" w:firstLineChars="200"/>
        <w:rPr>
          <w:rFonts w:hint="eastAsia" w:ascii="宋体" w:hAnsi="宋体"/>
          <w:b/>
          <w:sz w:val="24"/>
        </w:rPr>
      </w:pPr>
      <w:r>
        <w:rPr>
          <w:rFonts w:hint="eastAsia" w:asciiTheme="minorEastAsia" w:hAnsiTheme="minorEastAsia"/>
          <w:bCs/>
          <w:sz w:val="24"/>
          <w:szCs w:val="24"/>
          <w:lang w:eastAsia="zh-CN"/>
        </w:rPr>
        <w:t>在谈判协商小组进行谈判协商前由</w:t>
      </w:r>
      <w:r>
        <w:rPr>
          <w:rFonts w:hint="eastAsia" w:asciiTheme="minorEastAsia" w:hAnsiTheme="minorEastAsia"/>
          <w:bCs/>
          <w:sz w:val="24"/>
          <w:szCs w:val="24"/>
        </w:rPr>
        <w:t>采购人</w:t>
      </w:r>
      <w:r>
        <w:rPr>
          <w:rFonts w:hint="eastAsia" w:asciiTheme="minorEastAsia" w:hAnsiTheme="minorEastAsia"/>
          <w:bCs/>
          <w:sz w:val="24"/>
          <w:szCs w:val="24"/>
          <w:lang w:eastAsia="zh-CN"/>
        </w:rPr>
        <w:t>代表</w:t>
      </w:r>
      <w:r>
        <w:rPr>
          <w:rFonts w:hint="eastAsia" w:asciiTheme="minorEastAsia" w:hAnsiTheme="minorEastAsia"/>
          <w:bCs/>
          <w:sz w:val="24"/>
          <w:szCs w:val="24"/>
        </w:rPr>
        <w:t>依法对投标人的资格进行审查</w:t>
      </w:r>
    </w:p>
    <w:p>
      <w:pPr>
        <w:spacing w:line="360" w:lineRule="auto"/>
        <w:ind w:firstLine="482" w:firstLineChars="200"/>
        <w:rPr>
          <w:rFonts w:ascii="宋体" w:hAnsi="宋体"/>
          <w:b/>
          <w:sz w:val="24"/>
        </w:rPr>
      </w:pPr>
      <w:r>
        <w:rPr>
          <w:rFonts w:hint="eastAsia" w:ascii="宋体" w:hAnsi="宋体"/>
          <w:b/>
          <w:sz w:val="24"/>
        </w:rPr>
        <w:t>2</w:t>
      </w:r>
      <w:r>
        <w:rPr>
          <w:rFonts w:hint="eastAsia" w:ascii="宋体" w:hAnsi="宋体"/>
          <w:b/>
          <w:sz w:val="24"/>
          <w:lang w:val="en-US" w:eastAsia="zh-CN"/>
        </w:rPr>
        <w:t>1</w:t>
      </w:r>
      <w:r>
        <w:rPr>
          <w:rFonts w:hint="eastAsia" w:ascii="宋体" w:hAnsi="宋体"/>
          <w:b/>
          <w:sz w:val="24"/>
        </w:rPr>
        <w:t>、谈判协商小组</w:t>
      </w:r>
      <w:r>
        <w:rPr>
          <w:rFonts w:hint="eastAsia" w:ascii="宋体" w:hAnsi="宋体"/>
          <w:b/>
          <w:sz w:val="24"/>
          <w:lang w:eastAsia="zh-CN"/>
        </w:rPr>
        <w:t>的组成</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w:t>
      </w:r>
      <w:r>
        <w:rPr>
          <w:rFonts w:hint="eastAsia" w:ascii="宋体" w:hAnsi="宋体"/>
          <w:bCs/>
          <w:color w:val="000000" w:themeColor="text1"/>
          <w:sz w:val="24"/>
          <w:lang w:val="en-US" w:eastAsia="zh-CN"/>
        </w:rPr>
        <w:t>1</w:t>
      </w:r>
      <w:r>
        <w:rPr>
          <w:rFonts w:hint="eastAsia" w:ascii="宋体" w:hAnsi="宋体"/>
          <w:bCs/>
          <w:color w:val="000000" w:themeColor="text1"/>
          <w:sz w:val="24"/>
        </w:rPr>
        <w:t>.1</w:t>
      </w:r>
      <w:r>
        <w:rPr>
          <w:rFonts w:hint="eastAsia" w:ascii="宋体" w:hAnsi="宋体"/>
          <w:sz w:val="24"/>
        </w:rPr>
        <w:t>采购人将根据招标项目的特点组建谈判协商小组，其成员由经济、技术、商务等方面的专家组成。</w:t>
      </w:r>
      <w:r>
        <w:rPr>
          <w:rFonts w:hint="eastAsia" w:ascii="宋体" w:hAnsi="宋体"/>
          <w:bCs/>
          <w:color w:val="000000" w:themeColor="text1"/>
          <w:sz w:val="24"/>
        </w:rPr>
        <w:t>(其中。谈判协商小组对响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hint="eastAsia" w:ascii="宋体" w:hAnsi="宋体"/>
          <w:b/>
          <w:sz w:val="24"/>
        </w:rPr>
      </w:pPr>
      <w:r>
        <w:rPr>
          <w:rFonts w:hint="eastAsia" w:ascii="宋体" w:hAnsi="宋体"/>
          <w:bCs/>
          <w:sz w:val="24"/>
        </w:rPr>
        <w:t>2</w:t>
      </w:r>
      <w:r>
        <w:rPr>
          <w:rFonts w:hint="eastAsia" w:ascii="宋体" w:hAnsi="宋体"/>
          <w:bCs/>
          <w:sz w:val="24"/>
          <w:lang w:val="en-US" w:eastAsia="zh-CN"/>
        </w:rPr>
        <w:t>1</w:t>
      </w:r>
      <w:r>
        <w:rPr>
          <w:rFonts w:hint="eastAsia" w:ascii="宋体" w:hAnsi="宋体"/>
          <w:bCs/>
          <w:sz w:val="24"/>
        </w:rPr>
        <w:t>.2谈判协商期间，投标人法定代表人或其委托代理人必须等候,与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w:t>
      </w:r>
    </w:p>
    <w:p>
      <w:pPr>
        <w:spacing w:line="360" w:lineRule="auto"/>
        <w:ind w:firstLine="482" w:firstLineChars="200"/>
        <w:rPr>
          <w:rFonts w:hint="eastAsia" w:ascii="宋体" w:hAnsi="宋体"/>
          <w:b/>
          <w:sz w:val="24"/>
          <w:lang w:val="zh-CN"/>
        </w:rPr>
      </w:pPr>
      <w:r>
        <w:rPr>
          <w:rFonts w:hint="eastAsia" w:ascii="宋体" w:hAnsi="宋体"/>
          <w:b/>
          <w:sz w:val="24"/>
        </w:rPr>
        <w:t>2</w:t>
      </w:r>
      <w:r>
        <w:rPr>
          <w:rFonts w:hint="eastAsia" w:ascii="宋体" w:hAnsi="宋体"/>
          <w:b/>
          <w:sz w:val="24"/>
          <w:lang w:val="en-US" w:eastAsia="zh-CN"/>
        </w:rPr>
        <w:t>2</w:t>
      </w:r>
      <w:r>
        <w:rPr>
          <w:rFonts w:hint="eastAsia" w:ascii="宋体" w:hAnsi="宋体"/>
          <w:b/>
          <w:sz w:val="24"/>
        </w:rPr>
        <w:t>、</w:t>
      </w:r>
      <w:r>
        <w:rPr>
          <w:rFonts w:hint="eastAsia" w:ascii="宋体" w:hAnsi="宋体"/>
          <w:b/>
          <w:sz w:val="24"/>
          <w:lang w:val="zh-CN"/>
        </w:rPr>
        <w:t xml:space="preserve"> 符合性审查</w:t>
      </w:r>
    </w:p>
    <w:p>
      <w:pPr>
        <w:spacing w:line="360" w:lineRule="auto"/>
        <w:ind w:firstLine="480" w:firstLineChars="200"/>
        <w:rPr>
          <w:rFonts w:hint="eastAsia" w:ascii="宋体" w:hAnsi="宋体"/>
          <w:bCs/>
          <w:color w:val="000000" w:themeColor="text1"/>
          <w:sz w:val="24"/>
          <w:lang w:val="zh-CN"/>
        </w:rPr>
      </w:pPr>
      <w:r>
        <w:rPr>
          <w:rFonts w:hint="eastAsia" w:ascii="宋体" w:hAnsi="宋体"/>
          <w:bCs/>
          <w:color w:val="000000" w:themeColor="text1"/>
          <w:sz w:val="24"/>
          <w:lang w:val="en-US" w:eastAsia="zh-CN"/>
        </w:rPr>
        <w:t>22</w:t>
      </w:r>
      <w:r>
        <w:rPr>
          <w:rFonts w:hint="eastAsia" w:ascii="宋体" w:hAnsi="宋体"/>
          <w:bCs/>
          <w:color w:val="000000" w:themeColor="text1"/>
          <w:sz w:val="24"/>
          <w:lang w:val="zh-CN"/>
        </w:rPr>
        <w:t>.1 评标委员会依据有关法律法规和招标文件的规定，对符合资格的投标人的投标文件进行符合性审查，以确定其是否满足招标文件的实质性要求。</w:t>
      </w:r>
    </w:p>
    <w:p>
      <w:pPr>
        <w:spacing w:line="360" w:lineRule="auto"/>
        <w:ind w:firstLine="480" w:firstLineChars="200"/>
        <w:rPr>
          <w:rFonts w:hint="eastAsia" w:ascii="宋体" w:hAnsi="宋体"/>
          <w:bCs/>
          <w:color w:val="000000" w:themeColor="text1"/>
          <w:sz w:val="24"/>
          <w:lang w:val="zh-CN"/>
        </w:rPr>
      </w:pPr>
      <w:r>
        <w:rPr>
          <w:rFonts w:hint="eastAsia" w:ascii="宋体" w:hAnsi="宋体"/>
          <w:bCs/>
          <w:color w:val="000000" w:themeColor="text1"/>
          <w:sz w:val="24"/>
          <w:lang w:val="en-US" w:eastAsia="zh-CN"/>
        </w:rPr>
        <w:t>22</w:t>
      </w:r>
      <w:r>
        <w:rPr>
          <w:rFonts w:hint="eastAsia" w:ascii="宋体" w:hAnsi="宋体"/>
          <w:bCs/>
          <w:color w:val="000000" w:themeColor="text1"/>
          <w:sz w:val="24"/>
          <w:lang w:val="zh-CN"/>
        </w:rPr>
        <w:t>.2 审查、评价投标文件是否符合招标文件的商务、技术等实质性要求。</w:t>
      </w:r>
    </w:p>
    <w:p>
      <w:pPr>
        <w:spacing w:line="360" w:lineRule="auto"/>
        <w:ind w:firstLine="480" w:firstLineChars="200"/>
        <w:rPr>
          <w:rFonts w:hint="eastAsia" w:ascii="宋体" w:hAnsi="宋体"/>
          <w:bCs/>
          <w:color w:val="000000" w:themeColor="text1"/>
          <w:sz w:val="24"/>
        </w:rPr>
      </w:pPr>
      <w:r>
        <w:rPr>
          <w:rFonts w:hint="eastAsia" w:ascii="宋体" w:hAnsi="宋体"/>
          <w:bCs/>
          <w:color w:val="000000" w:themeColor="text1"/>
          <w:sz w:val="24"/>
          <w:lang w:val="zh-CN"/>
        </w:rPr>
        <w:t>2</w:t>
      </w:r>
      <w:r>
        <w:rPr>
          <w:rFonts w:hint="eastAsia" w:ascii="宋体" w:hAnsi="宋体"/>
          <w:bCs/>
          <w:color w:val="000000" w:themeColor="text1"/>
          <w:sz w:val="24"/>
          <w:lang w:val="en-US" w:eastAsia="zh-CN"/>
        </w:rPr>
        <w:t>2</w:t>
      </w:r>
      <w:r>
        <w:rPr>
          <w:rFonts w:hint="eastAsia" w:ascii="宋体" w:hAnsi="宋体"/>
          <w:bCs/>
          <w:color w:val="000000" w:themeColor="text1"/>
          <w:sz w:val="24"/>
          <w:lang w:val="zh-CN"/>
        </w:rPr>
        <w:t>.3 可要求投标人对投标文件有关事项作出澄清或者说明。</w:t>
      </w:r>
    </w:p>
    <w:p>
      <w:pPr>
        <w:spacing w:line="360" w:lineRule="auto"/>
        <w:ind w:firstLine="482" w:firstLineChars="200"/>
        <w:rPr>
          <w:rFonts w:ascii="宋体" w:hAnsi="宋体"/>
          <w:b/>
          <w:sz w:val="24"/>
        </w:rPr>
      </w:pPr>
      <w:r>
        <w:rPr>
          <w:rFonts w:hint="eastAsia" w:ascii="宋体" w:hAnsi="宋体"/>
          <w:b/>
          <w:sz w:val="24"/>
        </w:rPr>
        <w:t>2</w:t>
      </w:r>
      <w:r>
        <w:rPr>
          <w:rFonts w:hint="eastAsia" w:ascii="宋体" w:hAnsi="宋体"/>
          <w:b/>
          <w:sz w:val="24"/>
          <w:lang w:val="en-US" w:eastAsia="zh-CN"/>
        </w:rPr>
        <w:t>3</w:t>
      </w:r>
      <w:r>
        <w:rPr>
          <w:rFonts w:hint="eastAsia" w:ascii="宋体" w:hAnsi="宋体"/>
          <w:b/>
          <w:sz w:val="24"/>
        </w:rPr>
        <w:t>、响应文件的澄清</w:t>
      </w:r>
    </w:p>
    <w:p>
      <w:pPr>
        <w:spacing w:line="360" w:lineRule="auto"/>
        <w:ind w:firstLine="480" w:firstLineChars="200"/>
        <w:rPr>
          <w:rFonts w:hint="eastAsia" w:ascii="宋体" w:hAnsi="宋体"/>
          <w:bCs/>
          <w:color w:val="000000" w:themeColor="text1"/>
          <w:sz w:val="24"/>
          <w:lang w:val="zh-CN" w:eastAsia="zh-CN"/>
        </w:rPr>
      </w:pPr>
      <w:r>
        <w:rPr>
          <w:rFonts w:hint="eastAsia" w:ascii="宋体" w:hAnsi="宋体"/>
          <w:bCs/>
          <w:color w:val="000000" w:themeColor="text1"/>
          <w:sz w:val="24"/>
          <w:lang w:val="en-US" w:eastAsia="zh-CN"/>
        </w:rPr>
        <w:t>23</w:t>
      </w:r>
      <w:r>
        <w:rPr>
          <w:rFonts w:hint="eastAsia" w:ascii="宋体" w:hAnsi="宋体"/>
          <w:bCs/>
          <w:color w:val="000000" w:themeColor="text1"/>
          <w:sz w:val="24"/>
          <w:lang w:val="zh-CN" w:eastAsia="zh-CN"/>
        </w:rPr>
        <w:t>.1 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hint="eastAsia" w:ascii="宋体" w:hAnsi="宋体"/>
          <w:bCs/>
          <w:color w:val="000000" w:themeColor="text1"/>
          <w:sz w:val="24"/>
          <w:lang w:val="zh-CN" w:eastAsia="zh-CN"/>
        </w:rPr>
      </w:pPr>
      <w:r>
        <w:rPr>
          <w:rFonts w:hint="eastAsia" w:ascii="宋体" w:hAnsi="宋体"/>
          <w:bCs/>
          <w:color w:val="000000" w:themeColor="text1"/>
          <w:sz w:val="24"/>
          <w:lang w:val="zh-CN" w:eastAsia="zh-CN"/>
        </w:rPr>
        <w:t>2</w:t>
      </w:r>
      <w:r>
        <w:rPr>
          <w:rFonts w:hint="eastAsia" w:ascii="宋体" w:hAnsi="宋体"/>
          <w:bCs/>
          <w:color w:val="000000" w:themeColor="text1"/>
          <w:sz w:val="24"/>
          <w:lang w:val="en-US" w:eastAsia="zh-CN"/>
        </w:rPr>
        <w:t>3</w:t>
      </w:r>
      <w:r>
        <w:rPr>
          <w:rFonts w:hint="eastAsia" w:ascii="宋体" w:hAnsi="宋体"/>
          <w:bCs/>
          <w:color w:val="000000" w:themeColor="text1"/>
          <w:sz w:val="24"/>
          <w:lang w:val="zh-CN" w:eastAsia="zh-CN"/>
        </w:rPr>
        <w:t>.2 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hint="eastAsia" w:ascii="宋体" w:hAnsi="宋体"/>
          <w:bCs/>
          <w:color w:val="000000" w:themeColor="text1"/>
          <w:sz w:val="24"/>
          <w:lang w:val="en-US" w:eastAsia="zh-CN"/>
        </w:rPr>
      </w:pPr>
      <w:r>
        <w:rPr>
          <w:rFonts w:hint="eastAsia" w:ascii="宋体" w:hAnsi="宋体"/>
          <w:bCs/>
          <w:color w:val="000000" w:themeColor="text1"/>
          <w:sz w:val="24"/>
          <w:lang w:val="en-US" w:eastAsia="zh-CN"/>
        </w:rPr>
        <w:t>23.3  协商谈判记录和投标人补正、澄清的内容和谈判记录是响文件的组成部分。</w:t>
      </w:r>
    </w:p>
    <w:p>
      <w:pPr>
        <w:spacing w:line="360" w:lineRule="auto"/>
        <w:ind w:firstLine="482" w:firstLineChars="200"/>
        <w:rPr>
          <w:rFonts w:ascii="宋体" w:hAnsi="宋体"/>
          <w:b/>
          <w:sz w:val="24"/>
        </w:rPr>
      </w:pPr>
      <w:r>
        <w:rPr>
          <w:rFonts w:hint="eastAsia" w:ascii="宋体" w:hAnsi="宋体"/>
          <w:b/>
          <w:sz w:val="24"/>
        </w:rPr>
        <w:t>2</w:t>
      </w:r>
      <w:r>
        <w:rPr>
          <w:rFonts w:hint="eastAsia" w:ascii="宋体" w:hAnsi="宋体"/>
          <w:b/>
          <w:sz w:val="24"/>
          <w:lang w:val="en-US" w:eastAsia="zh-CN"/>
        </w:rPr>
        <w:t>4</w:t>
      </w:r>
      <w:r>
        <w:rPr>
          <w:rFonts w:hint="eastAsia" w:ascii="宋体" w:hAnsi="宋体"/>
          <w:b/>
          <w:sz w:val="24"/>
        </w:rPr>
        <w:t>、成交原则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rPr>
        <w:t>2</w:t>
      </w:r>
      <w:r>
        <w:rPr>
          <w:rFonts w:hint="eastAsia" w:ascii="宋体" w:hAnsi="宋体"/>
          <w:bCs/>
          <w:color w:val="000000" w:themeColor="text1"/>
          <w:sz w:val="24"/>
          <w:lang w:val="en-US" w:eastAsia="zh-CN"/>
        </w:rPr>
        <w:t>4</w:t>
      </w:r>
      <w:r>
        <w:rPr>
          <w:rFonts w:hint="eastAsia" w:ascii="宋体" w:hAnsi="宋体"/>
          <w:bCs/>
          <w:color w:val="000000" w:themeColor="text1"/>
          <w:sz w:val="24"/>
        </w:rPr>
        <w:t>.</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w:t>
      </w:r>
      <w:r>
        <w:rPr>
          <w:rFonts w:hint="eastAsia" w:ascii="宋体" w:hAnsi="宋体"/>
          <w:bCs/>
          <w:color w:val="000000" w:themeColor="text1"/>
          <w:sz w:val="24"/>
          <w:lang w:val="en-US" w:eastAsia="zh-CN"/>
        </w:rPr>
        <w:t>4</w:t>
      </w:r>
      <w:r>
        <w:rPr>
          <w:rFonts w:hint="eastAsia" w:ascii="宋体" w:hAnsi="宋体"/>
          <w:bCs/>
          <w:color w:val="000000" w:themeColor="text1"/>
          <w:sz w:val="24"/>
        </w:rPr>
        <w:t>.2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rPr>
        <w:t>时</w:t>
      </w:r>
      <w:r>
        <w:rPr>
          <w:rFonts w:hint="eastAsia" w:ascii="宋体" w:hAnsi="宋体"/>
          <w:bCs/>
          <w:sz w:val="24"/>
        </w:rPr>
        <w:t>投标人</w:t>
      </w:r>
      <w:r>
        <w:rPr>
          <w:rFonts w:hint="eastAsia" w:ascii="宋体" w:hAnsi="宋体"/>
          <w:bCs/>
          <w:color w:val="000000" w:themeColor="text1"/>
          <w:sz w:val="24"/>
        </w:rPr>
        <w:t>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w:t>
      </w:r>
      <w:r>
        <w:rPr>
          <w:rFonts w:hint="eastAsia" w:ascii="宋体" w:hAnsi="宋体"/>
          <w:bCs/>
          <w:sz w:val="24"/>
        </w:rPr>
        <w:t>投标人</w:t>
      </w:r>
      <w:r>
        <w:rPr>
          <w:rFonts w:hint="eastAsia" w:ascii="宋体" w:hAnsi="宋体"/>
          <w:bCs/>
          <w:color w:val="000000" w:themeColor="text1"/>
          <w:sz w:val="24"/>
        </w:rPr>
        <w:t>在规定的时间内报出不再更改的服务承诺。</w:t>
      </w:r>
    </w:p>
    <w:p>
      <w:pPr>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2</w:t>
      </w:r>
      <w:r>
        <w:rPr>
          <w:rFonts w:hint="eastAsia" w:ascii="宋体" w:hAnsi="宋体"/>
          <w:bCs/>
          <w:color w:val="000000" w:themeColor="text1"/>
          <w:sz w:val="24"/>
          <w:lang w:val="en-US" w:eastAsia="zh-CN"/>
        </w:rPr>
        <w:t>4</w:t>
      </w:r>
      <w:r>
        <w:rPr>
          <w:rFonts w:hint="eastAsia" w:ascii="宋体" w:hAnsi="宋体"/>
          <w:bCs/>
          <w:color w:val="000000" w:themeColor="text1"/>
          <w:sz w:val="24"/>
        </w:rPr>
        <w:t>.3采购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rPr>
        <w:t>投标人</w:t>
      </w:r>
      <w:r>
        <w:rPr>
          <w:rFonts w:ascii="宋体" w:hAnsi="宋体"/>
          <w:bCs/>
          <w:color w:val="000000" w:themeColor="text1"/>
          <w:sz w:val="24"/>
        </w:rPr>
        <w:t>商定合理的</w:t>
      </w:r>
      <w:r>
        <w:rPr>
          <w:rFonts w:hint="eastAsia" w:ascii="宋体" w:hAnsi="宋体"/>
          <w:bCs/>
          <w:color w:val="000000" w:themeColor="text1"/>
          <w:sz w:val="24"/>
        </w:rPr>
        <w:t>服务承诺。能够最大限度的满足招标文件要求。</w:t>
      </w:r>
    </w:p>
    <w:p>
      <w:pPr>
        <w:spacing w:line="360" w:lineRule="auto"/>
        <w:ind w:firstLine="482" w:firstLineChars="200"/>
        <w:rPr>
          <w:rFonts w:ascii="宋体" w:hAnsi="宋体"/>
          <w:b/>
          <w:sz w:val="24"/>
        </w:rPr>
      </w:pPr>
      <w:r>
        <w:rPr>
          <w:rFonts w:hint="eastAsia" w:ascii="宋体" w:hAnsi="宋体"/>
          <w:b/>
          <w:sz w:val="24"/>
        </w:rPr>
        <w:t>2</w:t>
      </w:r>
      <w:r>
        <w:rPr>
          <w:rFonts w:hint="eastAsia" w:ascii="宋体" w:hAnsi="宋体"/>
          <w:b/>
          <w:sz w:val="24"/>
          <w:lang w:val="en-US" w:eastAsia="zh-CN"/>
        </w:rPr>
        <w:t>5</w:t>
      </w:r>
      <w:r>
        <w:rPr>
          <w:rFonts w:hint="eastAsia" w:ascii="宋体" w:hAnsi="宋体"/>
          <w:b/>
          <w:sz w:val="24"/>
        </w:rPr>
        <w:t>、成交通知</w:t>
      </w:r>
    </w:p>
    <w:p>
      <w:pPr>
        <w:spacing w:line="360" w:lineRule="auto"/>
        <w:rPr>
          <w:rFonts w:ascii="宋体" w:hAnsi="宋体"/>
          <w:sz w:val="24"/>
        </w:rPr>
      </w:pPr>
      <w:r>
        <w:rPr>
          <w:rFonts w:hint="eastAsia" w:ascii="宋体" w:hAnsi="宋体"/>
          <w:sz w:val="24"/>
        </w:rPr>
        <w:t xml:space="preserve">  </w:t>
      </w:r>
      <w:r>
        <w:rPr>
          <w:rFonts w:hint="eastAsia" w:ascii="宋体" w:hAnsi="宋体"/>
          <w:color w:val="000000" w:themeColor="text1"/>
          <w:sz w:val="24"/>
        </w:rPr>
        <w:t xml:space="preserve">  谈判成功，确定本项目的成交人，按照《政府采购法》在规定时间内由</w:t>
      </w:r>
      <w:r>
        <w:rPr>
          <w:rFonts w:hint="eastAsia" w:ascii="宋体" w:hAnsi="宋体"/>
          <w:color w:val="000000" w:themeColor="text1"/>
          <w:sz w:val="24"/>
          <w:lang w:eastAsia="zh-CN"/>
        </w:rPr>
        <w:t>招标代理公司</w:t>
      </w:r>
      <w:r>
        <w:rPr>
          <w:rFonts w:hint="eastAsia" w:ascii="宋体" w:hAnsi="宋体"/>
          <w:color w:val="000000" w:themeColor="text1"/>
          <w:sz w:val="24"/>
        </w:rPr>
        <w:t>向成交人签发成交通</w:t>
      </w:r>
      <w:r>
        <w:rPr>
          <w:rFonts w:hint="eastAsia" w:ascii="宋体" w:hAnsi="宋体"/>
          <w:sz w:val="24"/>
        </w:rPr>
        <w:t>知书。</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 xml:space="preserve">  </w:t>
      </w:r>
      <w:r>
        <w:rPr>
          <w:rFonts w:hint="eastAsia" w:ascii="宋体" w:hAnsi="宋体"/>
          <w:b/>
          <w:sz w:val="24"/>
          <w:lang w:val="en-US" w:eastAsia="zh-CN"/>
        </w:rPr>
        <w:t>26</w:t>
      </w:r>
      <w:r>
        <w:rPr>
          <w:rFonts w:hint="eastAsia" w:ascii="宋体" w:hAnsi="宋体"/>
          <w:b/>
          <w:sz w:val="24"/>
        </w:rPr>
        <w:t>、授予合同时变更数量的权力</w:t>
      </w:r>
    </w:p>
    <w:p>
      <w:pPr>
        <w:spacing w:line="360" w:lineRule="auto"/>
        <w:rPr>
          <w:rFonts w:ascii="宋体" w:hAnsi="宋体"/>
          <w:sz w:val="24"/>
        </w:rPr>
      </w:pPr>
      <w:r>
        <w:rPr>
          <w:rFonts w:hint="eastAsia" w:ascii="宋体" w:hAnsi="宋体"/>
          <w:sz w:val="24"/>
        </w:rPr>
        <w:t xml:space="preserve">    采购人在授予成交人合同时，成交人不得在此情况下对投标文件作出修改，如最终价格、服务期限、服务承诺等。</w:t>
      </w:r>
    </w:p>
    <w:p>
      <w:pPr>
        <w:spacing w:line="360" w:lineRule="auto"/>
        <w:ind w:firstLine="482" w:firstLineChars="200"/>
        <w:rPr>
          <w:rFonts w:ascii="宋体" w:hAnsi="宋体"/>
          <w:b/>
          <w:sz w:val="24"/>
        </w:rPr>
      </w:pPr>
      <w:r>
        <w:rPr>
          <w:rFonts w:hint="eastAsia" w:ascii="宋体" w:hAnsi="宋体"/>
          <w:b/>
          <w:sz w:val="24"/>
        </w:rPr>
        <w:t>2</w:t>
      </w:r>
      <w:r>
        <w:rPr>
          <w:rFonts w:hint="eastAsia" w:ascii="宋体" w:hAnsi="宋体"/>
          <w:b/>
          <w:sz w:val="24"/>
          <w:lang w:val="en-US" w:eastAsia="zh-CN"/>
        </w:rPr>
        <w:t>7</w:t>
      </w:r>
      <w:r>
        <w:rPr>
          <w:rFonts w:hint="eastAsia" w:ascii="宋体" w:hAnsi="宋体"/>
          <w:b/>
          <w:sz w:val="24"/>
        </w:rPr>
        <w:t>、签定合同</w:t>
      </w:r>
    </w:p>
    <w:p>
      <w:pPr>
        <w:spacing w:line="360" w:lineRule="auto"/>
        <w:rPr>
          <w:rFonts w:ascii="宋体" w:hAnsi="宋体"/>
          <w:sz w:val="24"/>
        </w:rPr>
      </w:pPr>
      <w:r>
        <w:rPr>
          <w:rFonts w:hint="eastAsia" w:ascii="宋体" w:hAnsi="宋体"/>
          <w:sz w:val="24"/>
        </w:rPr>
        <w:t xml:space="preserve">    2</w:t>
      </w:r>
      <w:r>
        <w:rPr>
          <w:rFonts w:hint="eastAsia" w:ascii="宋体" w:hAnsi="宋体"/>
          <w:sz w:val="24"/>
          <w:lang w:val="en-US" w:eastAsia="zh-CN"/>
        </w:rPr>
        <w:t>7</w:t>
      </w:r>
      <w:r>
        <w:rPr>
          <w:rFonts w:hint="eastAsia" w:ascii="宋体" w:hAnsi="宋体"/>
          <w:sz w:val="24"/>
        </w:rPr>
        <w:t>.1 成交人接到成交通知书后，按指定地点与采购人签订合同。</w:t>
      </w:r>
    </w:p>
    <w:p>
      <w:pPr>
        <w:spacing w:line="360" w:lineRule="auto"/>
        <w:rPr>
          <w:rFonts w:cs="仿宋_GB2312" w:asciiTheme="minorEastAsia" w:hAnsiTheme="minorEastAsia"/>
          <w:sz w:val="24"/>
          <w:szCs w:val="24"/>
          <w:lang w:val="zh-CN"/>
        </w:rPr>
      </w:pPr>
      <w:r>
        <w:rPr>
          <w:rFonts w:hint="eastAsia" w:ascii="宋体" w:hAnsi="宋体"/>
          <w:sz w:val="24"/>
        </w:rPr>
        <w:t xml:space="preserve">    2</w:t>
      </w:r>
      <w:r>
        <w:rPr>
          <w:rFonts w:hint="eastAsia" w:ascii="宋体" w:hAnsi="宋体"/>
          <w:sz w:val="24"/>
          <w:lang w:val="en-US" w:eastAsia="zh-CN"/>
        </w:rPr>
        <w:t>7</w:t>
      </w:r>
      <w:r>
        <w:rPr>
          <w:rFonts w:hint="eastAsia" w:ascii="宋体" w:hAnsi="宋体"/>
          <w:sz w:val="24"/>
        </w:rPr>
        <w:t>.2 成交通知书、招标文件、投标文件及其澄清文件等，均为签定合同的依据。</w:t>
      </w:r>
    </w:p>
    <w:p>
      <w:pPr>
        <w:spacing w:line="360" w:lineRule="auto"/>
        <w:ind w:firstLine="482" w:firstLineChars="200"/>
        <w:rPr>
          <w:rFonts w:hint="eastAsia" w:ascii="宋体" w:hAnsi="宋体"/>
          <w:b/>
          <w:sz w:val="24"/>
          <w:lang w:val="zh-CN"/>
        </w:rPr>
      </w:pPr>
      <w:r>
        <w:rPr>
          <w:rFonts w:hint="eastAsia" w:ascii="宋体" w:hAnsi="宋体"/>
          <w:b/>
          <w:sz w:val="24"/>
          <w:lang w:val="en-US" w:eastAsia="zh-CN"/>
        </w:rPr>
        <w:t>28</w:t>
      </w:r>
      <w:r>
        <w:rPr>
          <w:rFonts w:hint="eastAsia" w:ascii="宋体" w:hAnsi="宋体"/>
          <w:b/>
          <w:sz w:val="24"/>
          <w:lang w:val="zh-CN"/>
        </w:rPr>
        <w:t>.投标无效情形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w:t>
      </w:r>
      <w:r>
        <w:rPr>
          <w:rFonts w:hint="eastAsia" w:ascii="宋体" w:hAnsi="宋体"/>
          <w:sz w:val="24"/>
        </w:rPr>
        <w:t>8</w:t>
      </w:r>
      <w:r>
        <w:rPr>
          <w:rFonts w:hint="eastAsia" w:ascii="宋体" w:hAnsi="宋体"/>
          <w:sz w:val="24"/>
          <w:lang w:val="zh-CN"/>
        </w:rPr>
        <w:t>.1 投标文件属下列情况之一的，按照无效投标处理：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w:t>
      </w:r>
      <w:r>
        <w:rPr>
          <w:rFonts w:hint="eastAsia" w:ascii="宋体" w:hAnsi="宋体"/>
          <w:sz w:val="24"/>
        </w:rPr>
        <w:t>8</w:t>
      </w:r>
      <w:r>
        <w:rPr>
          <w:rFonts w:hint="eastAsia" w:ascii="宋体" w:hAnsi="宋体"/>
          <w:sz w:val="24"/>
          <w:lang w:val="zh-CN"/>
        </w:rPr>
        <w:t xml:space="preserve">.1.1 未按照招标文件的规定提交投标保证金的；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w:t>
      </w:r>
      <w:r>
        <w:rPr>
          <w:rFonts w:hint="eastAsia" w:ascii="宋体" w:hAnsi="宋体"/>
          <w:sz w:val="24"/>
        </w:rPr>
        <w:t>8</w:t>
      </w:r>
      <w:r>
        <w:rPr>
          <w:rFonts w:hint="eastAsia" w:ascii="宋体" w:hAnsi="宋体"/>
          <w:sz w:val="24"/>
          <w:lang w:val="zh-CN"/>
        </w:rPr>
        <w:t>.1.2 投标文件未按招标文件要求签署、盖章的；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28.1.3 不具备招标文件中规定的资格要求的；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28.1.</w:t>
      </w:r>
      <w:r>
        <w:rPr>
          <w:rFonts w:hint="eastAsia" w:ascii="宋体" w:hAnsi="宋体"/>
          <w:sz w:val="24"/>
          <w:lang w:val="en-US" w:eastAsia="zh-CN"/>
        </w:rPr>
        <w:t>4</w:t>
      </w:r>
      <w:r>
        <w:rPr>
          <w:rFonts w:hint="eastAsia" w:ascii="宋体" w:hAnsi="宋体"/>
          <w:sz w:val="24"/>
          <w:lang w:val="zh-CN"/>
        </w:rPr>
        <w:t xml:space="preserve"> 投标文件含有采购人不能接受的附加条件的；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28.1.</w:t>
      </w:r>
      <w:r>
        <w:rPr>
          <w:rFonts w:hint="eastAsia" w:ascii="宋体" w:hAnsi="宋体"/>
          <w:sz w:val="24"/>
          <w:lang w:val="en-US" w:eastAsia="zh-CN"/>
        </w:rPr>
        <w:t>5</w:t>
      </w:r>
      <w:r>
        <w:rPr>
          <w:rFonts w:hint="eastAsia" w:ascii="宋体" w:hAnsi="宋体"/>
          <w:sz w:val="24"/>
          <w:lang w:val="zh-CN"/>
        </w:rPr>
        <w:t xml:space="preserve"> 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28.2 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28.2.1 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28.2.2 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28.2.3 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28.2.4 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28.2.5 不同投标人的投标文件相互混装；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28.2.6 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r>
        <w:rPr>
          <w:rFonts w:hint="eastAsia" w:ascii="宋体" w:hAnsi="宋体"/>
          <w:sz w:val="24"/>
          <w:lang w:val="zh-CN"/>
        </w:rPr>
        <w:t>28.3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zh-CN"/>
        </w:rPr>
      </w:pPr>
    </w:p>
    <w:p>
      <w:pPr>
        <w:pStyle w:val="9"/>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9"/>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9"/>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9"/>
        <w:spacing w:line="360" w:lineRule="auto"/>
        <w:contextualSpacing/>
        <w:jc w:val="both"/>
        <w:rPr>
          <w:rFonts w:hint="eastAsia" w:cs="宋体" w:asciiTheme="majorEastAsia" w:hAnsiTheme="majorEastAsia" w:eastAsiaTheme="majorEastAsia"/>
          <w:b/>
          <w:kern w:val="0"/>
          <w:sz w:val="36"/>
          <w:szCs w:val="36"/>
        </w:rPr>
      </w:pPr>
    </w:p>
    <w:p>
      <w:pPr>
        <w:pStyle w:val="9"/>
        <w:spacing w:line="360" w:lineRule="auto"/>
        <w:contextualSpacing/>
        <w:jc w:val="center"/>
        <w:rPr>
          <w:rFonts w:hint="eastAsia"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w:t>
      </w:r>
    </w:p>
    <w:p>
      <w:pPr>
        <w:pStyle w:val="9"/>
        <w:spacing w:line="360" w:lineRule="auto"/>
        <w:contextualSpacing/>
        <w:rPr>
          <w:rFonts w:cs="仿宋_GB2312" w:asciiTheme="minorEastAsia" w:hAnsiTheme="minorEastAsia"/>
          <w:lang w:val="zh-CN"/>
        </w:rPr>
      </w:pP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（三）资格审查中所涉及到的证书及材料，均需在投标文件中提供原件或与原件一致的完整的复印件，否则为无效投标。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1、法人或者其他组织的营业执照等证明文件，自然人的身份证明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（1）企业法人营业执照或营业执照复印件。（企业投标提供）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（2）事业单位法人证书复印件。（事业单位投标提供）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（3）执业许可证复印件。（非专业服务机构投标提供）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（4）个体工商户营业执照复印件。（个体工商户投标提供）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（1）2016年度经审计的财务报告复印件，包括资产负债表、利润表、现金流量表、所有者权益变动表及其附注；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5、履行合同所必须的设备和专业技术能力的证明材料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相关设备的购置发票复印件、专业技术人员职称证书复印件、用工合同复印件等或者附投标人相关承诺函或声明。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9、按投标人须知前附表规定交纳投标保证金。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10、法定代表人身份证明或提供法定代表人授权委托书及被授权人身份证复印件。</w:t>
            </w:r>
          </w:p>
        </w:tc>
      </w:tr>
    </w:tbl>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二、符合性审查</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9"/>
        <w:spacing w:line="360" w:lineRule="auto"/>
        <w:contextualSpacing/>
        <w:jc w:val="both"/>
        <w:rPr>
          <w:rFonts w:hint="eastAsia"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9"/>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autoSpaceDE w:val="0"/>
        <w:autoSpaceDN w:val="0"/>
        <w:adjustRightInd w:val="0"/>
        <w:spacing w:line="360" w:lineRule="auto"/>
        <w:jc w:val="center"/>
        <w:outlineLvl w:val="0"/>
        <w:rPr>
          <w:rStyle w:val="35"/>
          <w:rFonts w:hint="eastAsia"/>
        </w:rPr>
      </w:pPr>
      <w:bookmarkStart w:id="1" w:name="_Toc30341"/>
      <w:r>
        <w:rPr>
          <w:rStyle w:val="35"/>
          <w:rFonts w:hint="eastAsia"/>
        </w:rPr>
        <w:t>第</w:t>
      </w:r>
      <w:r>
        <w:rPr>
          <w:rStyle w:val="35"/>
          <w:rFonts w:hint="eastAsia" w:eastAsia="黑体"/>
          <w:lang w:eastAsia="zh-CN"/>
        </w:rPr>
        <w:t>七</w:t>
      </w:r>
      <w:r>
        <w:rPr>
          <w:rStyle w:val="35"/>
          <w:rFonts w:hint="eastAsia"/>
        </w:rPr>
        <w:t xml:space="preserve">章 </w:t>
      </w:r>
      <w:r>
        <w:rPr>
          <w:rStyle w:val="35"/>
          <w:rFonts w:hint="eastAsia"/>
          <w:lang w:val="en-US"/>
        </w:rPr>
        <w:t xml:space="preserve">  </w:t>
      </w:r>
      <w:r>
        <w:rPr>
          <w:rStyle w:val="35"/>
          <w:rFonts w:hint="eastAsia"/>
        </w:rPr>
        <w:t>合同特殊条款</w:t>
      </w:r>
      <w:bookmarkEnd w:id="1"/>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9"/>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35"/>
          <w:rFonts w:hint="eastAsia"/>
        </w:rPr>
      </w:pPr>
      <w:bookmarkStart w:id="2" w:name="_Toc2524"/>
      <w:r>
        <w:rPr>
          <w:rStyle w:val="35"/>
          <w:rFonts w:hint="eastAsia"/>
        </w:rPr>
        <w:t xml:space="preserve">     </w:t>
      </w:r>
    </w:p>
    <w:p>
      <w:pPr>
        <w:autoSpaceDE w:val="0"/>
        <w:autoSpaceDN w:val="0"/>
        <w:adjustRightInd w:val="0"/>
        <w:spacing w:line="360" w:lineRule="auto"/>
        <w:jc w:val="center"/>
        <w:outlineLvl w:val="0"/>
        <w:rPr>
          <w:rStyle w:val="35"/>
          <w:rFonts w:hint="eastAsia"/>
        </w:rPr>
      </w:pPr>
    </w:p>
    <w:p>
      <w:pPr>
        <w:autoSpaceDE w:val="0"/>
        <w:autoSpaceDN w:val="0"/>
        <w:adjustRightInd w:val="0"/>
        <w:spacing w:line="360" w:lineRule="auto"/>
        <w:jc w:val="center"/>
        <w:outlineLvl w:val="0"/>
        <w:rPr>
          <w:rStyle w:val="35"/>
          <w:lang w:val="zh-CN"/>
        </w:rPr>
      </w:pPr>
      <w:r>
        <w:rPr>
          <w:rStyle w:val="35"/>
          <w:rFonts w:hint="eastAsia" w:eastAsia="黑体"/>
          <w:lang w:val="en-US" w:eastAsia="zh-CN"/>
        </w:rPr>
        <w:t xml:space="preserve"> </w:t>
      </w:r>
      <w:r>
        <w:rPr>
          <w:rStyle w:val="35"/>
          <w:rFonts w:hint="eastAsia"/>
        </w:rPr>
        <w:t xml:space="preserve"> </w:t>
      </w:r>
      <w:r>
        <w:rPr>
          <w:rStyle w:val="35"/>
          <w:rFonts w:hint="eastAsia"/>
          <w:lang w:val="zh-CN"/>
        </w:rPr>
        <w:t>第八章</w:t>
      </w:r>
      <w:r>
        <w:rPr>
          <w:rStyle w:val="35"/>
          <w:lang w:val="zh-CN"/>
        </w:rPr>
        <w:t xml:space="preserve"> </w:t>
      </w:r>
      <w:r>
        <w:rPr>
          <w:rStyle w:val="35"/>
          <w:rFonts w:hint="eastAsia"/>
        </w:rPr>
        <w:t xml:space="preserve">  </w:t>
      </w:r>
      <w:r>
        <w:rPr>
          <w:rStyle w:val="35"/>
          <w:rFonts w:hint="eastAsia"/>
          <w:lang w:val="zh-CN"/>
        </w:rPr>
        <w:t>合同书</w:t>
      </w:r>
      <w:r>
        <w:rPr>
          <w:rStyle w:val="35"/>
          <w:lang w:val="zh-CN"/>
        </w:rPr>
        <w:t xml:space="preserve"> </w:t>
      </w:r>
      <w:r>
        <w:rPr>
          <w:rStyle w:val="35"/>
          <w:rFonts w:hint="eastAsia"/>
          <w:lang w:val="zh-CN"/>
        </w:rPr>
        <w:t>（参考样本）</w:t>
      </w:r>
      <w:bookmarkEnd w:id="2"/>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28"/>
        <w:numPr>
          <w:ilvl w:val="0"/>
          <w:numId w:val="3"/>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28"/>
        <w:numPr>
          <w:ilvl w:val="0"/>
          <w:numId w:val="3"/>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28"/>
        <w:numPr>
          <w:ilvl w:val="0"/>
          <w:numId w:val="3"/>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28"/>
        <w:numPr>
          <w:ilvl w:val="0"/>
          <w:numId w:val="3"/>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28"/>
        <w:numPr>
          <w:ilvl w:val="0"/>
          <w:numId w:val="3"/>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28"/>
        <w:numPr>
          <w:ilvl w:val="0"/>
          <w:numId w:val="3"/>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28"/>
        <w:numPr>
          <w:ilvl w:val="0"/>
          <w:numId w:val="3"/>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28"/>
        <w:numPr>
          <w:ilvl w:val="0"/>
          <w:numId w:val="3"/>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28"/>
        <w:numPr>
          <w:ilvl w:val="0"/>
          <w:numId w:val="3"/>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28"/>
        <w:numPr>
          <w:ilvl w:val="0"/>
          <w:numId w:val="3"/>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28"/>
        <w:numPr>
          <w:ilvl w:val="0"/>
          <w:numId w:val="3"/>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28"/>
        <w:numPr>
          <w:ilvl w:val="0"/>
          <w:numId w:val="3"/>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28"/>
        <w:numPr>
          <w:ilvl w:val="0"/>
          <w:numId w:val="3"/>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28"/>
        <w:numPr>
          <w:ilvl w:val="0"/>
          <w:numId w:val="3"/>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28"/>
        <w:numPr>
          <w:ilvl w:val="0"/>
          <w:numId w:val="3"/>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28"/>
        <w:numPr>
          <w:ilvl w:val="0"/>
          <w:numId w:val="3"/>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28"/>
        <w:numPr>
          <w:ilvl w:val="0"/>
          <w:numId w:val="3"/>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28"/>
        <w:numPr>
          <w:ilvl w:val="0"/>
          <w:numId w:val="3"/>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28"/>
        <w:numPr>
          <w:ilvl w:val="0"/>
          <w:numId w:val="3"/>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28"/>
        <w:numPr>
          <w:ilvl w:val="0"/>
          <w:numId w:val="3"/>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28"/>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许昌市东城区管理委员会“菅庄二期”棚户区改造项目</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关于许昌市东城区管理委员会“菅庄二期”棚户区改造项目采用</w:t>
      </w:r>
      <w:r>
        <w:rPr>
          <w:rFonts w:hint="eastAsia" w:ascii="宋体" w:hAnsi="宋体"/>
          <w:sz w:val="28"/>
          <w:szCs w:val="28"/>
        </w:rPr>
        <w:t>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许昌市东城区管理委员会“菅庄二期”棚户区改造项目</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许昌市东城区管理委员会“菅庄二期”棚户区改造项目的承接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许昌市东城区管理委员会“菅庄二期”棚户区改造项目</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u w:val="none"/>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w:t>
      </w:r>
      <w:r>
        <w:rPr>
          <w:rFonts w:hint="eastAsia" w:ascii="宋体" w:hAnsi="宋体"/>
          <w:sz w:val="28"/>
          <w:szCs w:val="28"/>
          <w:u w:val="none"/>
          <w:lang w:val="en-US" w:eastAsia="zh-CN"/>
        </w:rPr>
        <w:t>许昌市东城区管理委员会“菅庄二期”棚户区改造项目建</w:t>
      </w:r>
      <w:r>
        <w:rPr>
          <w:rFonts w:hint="eastAsia" w:ascii="宋体" w:hAnsi="宋体"/>
          <w:sz w:val="28"/>
          <w:szCs w:val="28"/>
          <w:u w:val="none"/>
        </w:rPr>
        <w:t>设。</w:t>
      </w:r>
      <w:r>
        <w:rPr>
          <w:rFonts w:ascii="宋体" w:hAnsi="宋体"/>
          <w:sz w:val="28"/>
          <w:szCs w:val="28"/>
          <w:u w:val="none"/>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u w:val="none"/>
          <w:lang w:val="en-US" w:eastAsia="zh-CN"/>
        </w:rPr>
        <w:t>许昌市东城区管理委员会“菅庄二期”棚户区改造项目</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3" w:name="OLE_LINK1"/>
      <w:bookmarkStart w:id="4" w:name="OLE_LINK2"/>
      <w:r>
        <w:rPr>
          <w:rFonts w:hint="eastAsia" w:ascii="宋体" w:hAnsi="宋体"/>
          <w:sz w:val="28"/>
          <w:szCs w:val="28"/>
          <w:u w:val="single"/>
          <w:lang w:val="en-US" w:eastAsia="zh-CN"/>
        </w:rPr>
        <w:t xml:space="preserve">      </w:t>
      </w:r>
      <w:r>
        <w:rPr>
          <w:rFonts w:hint="eastAsia" w:ascii="宋体" w:hAnsi="宋体"/>
          <w:sz w:val="28"/>
          <w:szCs w:val="28"/>
        </w:rPr>
        <w:t>万元</w:t>
      </w:r>
      <w:bookmarkEnd w:id="3"/>
      <w:bookmarkEnd w:id="4"/>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20"/>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。如项目超投资由许昌市魏都区财政性资金补足；甲方应严格如约支付政府采购款，不受项目建设及运营情况影响。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1、乙方未能履行本协议约定的金钱支付义务，其中包括但不限于交付履约保函，交付投资或垫资款等；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rPr>
        <w:t>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spacing w:line="600" w:lineRule="exact"/>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jc w:val="left"/>
        <w:rPr>
          <w:rFonts w:hint="eastAsia" w:ascii="宋体" w:hAnsi="宋体"/>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w:t>
      </w:r>
    </w:p>
    <w:p>
      <w:pPr>
        <w:jc w:val="left"/>
        <w:rPr>
          <w:rFonts w:hint="eastAsia" w:ascii="宋体" w:hAnsi="宋体"/>
          <w:b/>
          <w:sz w:val="28"/>
          <w:szCs w:val="28"/>
        </w:rPr>
      </w:pPr>
    </w:p>
    <w:p>
      <w:pPr>
        <w:jc w:val="left"/>
        <w:rPr>
          <w:rFonts w:hint="eastAsia" w:ascii="宋体" w:hAnsi="宋体"/>
          <w:b/>
          <w:sz w:val="28"/>
          <w:szCs w:val="28"/>
        </w:rPr>
      </w:pP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ascii="宋体" w:hAnsi="宋体"/>
          <w:b/>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both"/>
        <w:rPr>
          <w:rFonts w:hint="eastAsia" w:cs="宋体" w:asciiTheme="majorEastAsia" w:hAnsiTheme="majorEastAsia" w:eastAsiaTheme="majorEastAsia"/>
          <w:b/>
          <w:kern w:val="0"/>
          <w:sz w:val="36"/>
          <w:szCs w:val="36"/>
        </w:rPr>
      </w:pPr>
    </w:p>
    <w:p>
      <w:pPr>
        <w:pStyle w:val="9"/>
        <w:spacing w:line="360" w:lineRule="auto"/>
        <w:contextualSpacing/>
        <w:jc w:val="center"/>
        <w:rPr>
          <w:rFonts w:hint="eastAsia"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第七章 投标文件有关格式</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20"/>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满足招标文件项目需求及招标文件其他要求。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3"/>
        <w:ind w:firstLine="240"/>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rPr>
          <w:rFonts w:ascii="宋体" w:hAnsi="宋体"/>
          <w:b/>
          <w:bCs/>
          <w:sz w:val="24"/>
          <w:szCs w:val="24"/>
        </w:rPr>
      </w:pPr>
      <w:r>
        <w:rPr>
          <w:rFonts w:hint="eastAsia" w:ascii="宋体" w:hAnsi="宋体"/>
          <w:b/>
          <w:bCs/>
          <w:sz w:val="24"/>
          <w:szCs w:val="24"/>
        </w:rPr>
        <w:t>附件2</w:t>
      </w:r>
    </w:p>
    <w:p>
      <w:pPr>
        <w:pStyle w:val="3"/>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（十）、法定代表人授权书及被授权人身份证明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lang w:val="zh-CN"/>
        </w:rPr>
      </w:pPr>
      <w:r>
        <w:rPr>
          <w:rFonts w:hint="eastAsia" w:cs="仿宋_GB2312" w:asciiTheme="minorEastAsia" w:hAnsiTheme="minorEastAsia"/>
          <w:b/>
          <w:bCs/>
          <w:color w:val="000000" w:themeColor="text1"/>
          <w:sz w:val="24"/>
          <w:lang w:val="zh-CN"/>
        </w:rPr>
        <w:t>资格审查中所涉及到的证书及材料，除需在投标文件中附完整的复印件外，评标现场还须提供与复印件一致的原件，否则为无效投标。</w:t>
      </w:r>
    </w:p>
    <w:p>
      <w:pPr>
        <w:pStyle w:val="3"/>
        <w:ind w:firstLine="0" w:firstLineChars="0"/>
        <w:rPr>
          <w:rFonts w:ascii="宋体" w:cs="宋体"/>
          <w:sz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北京华采招标代理有限公司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2、</w:t>
      </w:r>
      <w:r>
        <w:rPr>
          <w:rFonts w:hint="eastAsia" w:ascii="宋体" w:cs="宋体"/>
          <w:sz w:val="24"/>
          <w:lang w:val="zh-CN"/>
        </w:rPr>
        <w:t>税务登记证副本（或三证合一）</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3、</w:t>
      </w:r>
      <w:r>
        <w:rPr>
          <w:rFonts w:hint="eastAsia" w:hAnsi="宋体" w:eastAsia="宋体"/>
          <w:snapToGrid w:val="0"/>
          <w:kern w:val="0"/>
          <w:sz w:val="24"/>
          <w:szCs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4</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5</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6</w:t>
      </w:r>
      <w:r>
        <w:rPr>
          <w:rFonts w:hint="eastAsia" w:ascii="宋体" w:cs="宋体"/>
          <w:sz w:val="24"/>
          <w:lang w:val="zh-CN"/>
        </w:rPr>
        <w:t>、</w:t>
      </w:r>
      <w:r>
        <w:rPr>
          <w:rFonts w:hint="eastAsia" w:hAnsi="宋体" w:eastAsia="宋体"/>
          <w:snapToGrid w:val="0"/>
          <w:kern w:val="0"/>
          <w:sz w:val="24"/>
          <w:szCs w:val="24"/>
          <w:lang w:val="zh-CN"/>
        </w:rPr>
        <w:t>履行合同所必须的设备和专业技术能力的证明材料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7</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rPr>
        <w:t>8</w:t>
      </w:r>
      <w:r>
        <w:rPr>
          <w:rFonts w:hint="eastAsia" w:ascii="宋体" w:cs="宋体"/>
          <w:sz w:val="24"/>
          <w:lang w:val="zh-CN"/>
        </w:rPr>
        <w:t>、招标文件要求的其他有关承诺、资料、证明文件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9"/>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9"/>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9"/>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w:t>
      </w:r>
      <w:r>
        <w:rPr>
          <w:rFonts w:hint="eastAsia" w:ascii="宋体" w:hAnsi="宋体"/>
          <w:snapToGrid w:val="0"/>
          <w:kern w:val="0"/>
          <w:sz w:val="24"/>
          <w:lang w:eastAsia="zh-CN"/>
        </w:rPr>
        <w:t>三</w:t>
      </w:r>
      <w:r>
        <w:rPr>
          <w:rFonts w:hint="eastAsia" w:ascii="宋体" w:hAnsi="宋体"/>
          <w:snapToGrid w:val="0"/>
          <w:kern w:val="0"/>
          <w:sz w:val="24"/>
        </w:rPr>
        <w:t>份。</w:t>
      </w:r>
    </w:p>
    <w:p>
      <w:pPr>
        <w:pStyle w:val="16"/>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6"/>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6"/>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6"/>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6"/>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6"/>
        <w:adjustRightInd w:val="0"/>
        <w:spacing w:line="360" w:lineRule="auto"/>
        <w:ind w:firstLine="420"/>
        <w:contextualSpacing/>
        <w:rPr>
          <w:rFonts w:cs="Courier New"/>
        </w:rPr>
      </w:pPr>
      <w:r>
        <w:rPr>
          <w:rFonts w:hint="eastAsia" w:cs="Courier New"/>
        </w:rPr>
        <w:t>（五）我方理解贵方不一定接受所做出的服务承诺或任何贵方可能收到的投标。</w:t>
      </w:r>
    </w:p>
    <w:p>
      <w:pPr>
        <w:pStyle w:val="16"/>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6"/>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（八）我方具备《政府采购法》第二十二条规定的条件；承诺如下：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9"/>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9"/>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9"/>
        <w:adjustRightInd w:val="0"/>
        <w:snapToGrid w:val="0"/>
        <w:spacing w:line="360" w:lineRule="auto"/>
        <w:rPr>
          <w:szCs w:val="24"/>
        </w:rPr>
      </w:pPr>
    </w:p>
    <w:p>
      <w:pPr>
        <w:pStyle w:val="9"/>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0"/>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30"/>
        <w:spacing w:line="480" w:lineRule="auto"/>
        <w:ind w:firstLine="540" w:firstLineChars="225"/>
        <w:jc w:val="left"/>
        <w:rPr>
          <w:rFonts w:hAnsi="宋体"/>
          <w:color w:val="000000"/>
          <w:szCs w:val="24"/>
        </w:rPr>
      </w:pPr>
      <w:r>
        <w:rPr>
          <w:rFonts w:hint="eastAsia" w:hAnsi="宋体"/>
          <w:color w:val="000000"/>
          <w:szCs w:val="24"/>
        </w:rPr>
        <w:t>地址：</w:t>
      </w:r>
    </w:p>
    <w:p>
      <w:pPr>
        <w:pStyle w:val="30"/>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30"/>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30"/>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30"/>
        <w:spacing w:line="480" w:lineRule="auto"/>
        <w:ind w:firstLine="540" w:firstLineChars="225"/>
        <w:jc w:val="left"/>
        <w:rPr>
          <w:rFonts w:hAnsi="宋体"/>
          <w:color w:val="000000"/>
          <w:szCs w:val="24"/>
        </w:rPr>
      </w:pPr>
    </w:p>
    <w:p>
      <w:pPr>
        <w:pStyle w:val="30"/>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3"/>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32"/>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2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5" w:name="_资格证明文件"/>
            <w:bookmarkEnd w:id="5"/>
            <w:bookmarkStart w:id="6" w:name="_Toc364329026"/>
            <w:r>
              <w:rPr>
                <w:rFonts w:hint="eastAsia"/>
              </w:rPr>
              <w:t>法定代表人授权代表身份证（正面）</w:t>
            </w:r>
            <w:bookmarkEnd w:id="6"/>
          </w:p>
        </w:tc>
        <w:tc>
          <w:tcPr>
            <w:tcW w:w="4492" w:type="dxa"/>
            <w:vAlign w:val="center"/>
          </w:tcPr>
          <w:p>
            <w:pPr>
              <w:jc w:val="center"/>
            </w:pPr>
            <w:bookmarkStart w:id="7" w:name="_Toc364329027"/>
            <w:r>
              <w:rPr>
                <w:rFonts w:hint="eastAsia"/>
              </w:rPr>
              <w:t>法定代表人授权代表身份证（反面）</w:t>
            </w:r>
            <w:bookmarkEnd w:id="7"/>
          </w:p>
        </w:tc>
      </w:tr>
    </w:tbl>
    <w:p>
      <w:pPr>
        <w:spacing w:line="320" w:lineRule="exact"/>
        <w:ind w:left="2" w:firstLine="312" w:firstLineChars="149"/>
        <w:rPr>
          <w:rFonts w:ascii="宋体" w:hAnsi="宋体" w:cs="Courier New"/>
          <w:szCs w:val="21"/>
        </w:rPr>
      </w:pPr>
    </w:p>
    <w:p>
      <w:pPr>
        <w:rPr>
          <w:rFonts w:ascii="宋体" w:hAnsi="宋体"/>
          <w:b/>
          <w:bCs/>
          <w:sz w:val="24"/>
          <w:szCs w:val="24"/>
        </w:rPr>
      </w:pPr>
      <w:r>
        <w:rPr>
          <w:rFonts w:hint="eastAsia" w:ascii="宋体" w:hAnsi="宋体"/>
          <w:b/>
          <w:bCs/>
          <w:sz w:val="24"/>
          <w:szCs w:val="24"/>
        </w:rPr>
        <w:t>附件8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附件9</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20"/>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r>
        <w:rPr>
          <w:rFonts w:hint="eastAsia" w:ascii="宋体" w:hAnsi="宋体"/>
          <w:b/>
          <w:bCs/>
          <w:sz w:val="24"/>
          <w:szCs w:val="24"/>
        </w:rPr>
        <w:t>附件14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color w:val="0000FF"/>
          <w:spacing w:val="6"/>
          <w:sz w:val="24"/>
          <w:szCs w:val="24"/>
        </w:rPr>
      </w:pP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spacing w:line="360" w:lineRule="auto"/>
        <w:rPr>
          <w:rFonts w:ascii="宋体" w:hAnsi="宋体"/>
          <w:sz w:val="24"/>
        </w:rPr>
      </w:pPr>
      <w:r>
        <w:rPr>
          <w:rFonts w:hint="eastAsia" w:ascii="宋体" w:hAnsi="宋体"/>
          <w:b/>
          <w:bCs/>
          <w:sz w:val="24"/>
          <w:szCs w:val="24"/>
        </w:rPr>
        <w:t>附件15</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附件16</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cs="宋体"/>
          <w:sz w:val="24"/>
          <w:lang w:val="zh-CN"/>
        </w:rPr>
        <w:t>北京华采招标代理有限公司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附件17</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3"/>
        <w:ind w:firstLine="630" w:firstLineChars="300"/>
        <w:jc w:val="center"/>
        <w:rPr>
          <w:rFonts w:ascii="宋体" w:hAnsi="宋体" w:cs="宋体"/>
        </w:rPr>
      </w:pPr>
    </w:p>
    <w:p>
      <w:pPr>
        <w:pStyle w:val="3"/>
        <w:ind w:firstLine="723" w:firstLineChars="300"/>
        <w:jc w:val="center"/>
        <w:rPr>
          <w:rFonts w:ascii="宋体" w:hAnsi="宋体" w:cs="宋体"/>
          <w:b/>
          <w:sz w:val="24"/>
        </w:rPr>
      </w:pPr>
      <w:r>
        <w:rPr>
          <w:rFonts w:hint="eastAsia" w:ascii="宋体" w:hAnsi="宋体" w:cs="宋体"/>
          <w:b/>
          <w:sz w:val="24"/>
        </w:rPr>
        <w:t>招标文件所要求的其他证明资料（格式自拟）。</w:t>
      </w:r>
    </w:p>
    <w:p>
      <w:pPr>
        <w:pStyle w:val="3"/>
        <w:ind w:firstLine="361"/>
        <w:jc w:val="center"/>
        <w:rPr>
          <w:rFonts w:ascii="宋体" w:hAnsi="宋体"/>
          <w:b/>
          <w:bCs/>
          <w:color w:val="000000"/>
          <w:sz w:val="36"/>
          <w:szCs w:val="36"/>
        </w:rPr>
      </w:pPr>
    </w:p>
    <w:p/>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隶书">
    <w:altName w:val="微软雅黑"/>
    <w:panose1 w:val="02010800040101010101"/>
    <w:charset w:val="86"/>
    <w:family w:val="auto"/>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inheri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hakuyoxingshu7000">
    <w:altName w:val="宋体"/>
    <w:panose1 w:val="02000600000000000000"/>
    <w:charset w:val="86"/>
    <w:family w:val="auto"/>
    <w:pitch w:val="default"/>
    <w:sig w:usb0="00000000" w:usb1="00000000" w:usb2="0000003F" w:usb3="00000000" w:csb0="603F00FF" w:csb1="FFFF0000"/>
  </w:font>
  <w:font w:name="ArialMT">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宋体..">
    <w:altName w:val="宋体"/>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CG Times">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Helvetica">
    <w:panose1 w:val="020B0604020202020204"/>
    <w:charset w:val="00"/>
    <w:family w:val="swiss"/>
    <w:pitch w:val="default"/>
    <w:sig w:usb0="00000000" w:usb1="00000000" w:usb2="00000000" w:usb3="00000000" w:csb0="00000000" w:csb1="00000000"/>
  </w:font>
  <w:font w:name="arial ! important">
    <w:altName w:val="Courier New"/>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楷体">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t>23</w:t>
                </w:r>
                <w:r>
                  <w:fldChar w:fldCharType="end"/>
                </w:r>
              </w:p>
            </w:txbxContent>
          </v:textbox>
        </v:shape>
      </w:pic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7578408D"/>
    <w:multiLevelType w:val="multilevel"/>
    <w:tmpl w:val="7578408D"/>
    <w:lvl w:ilvl="0" w:tentative="0">
      <w:start w:val="16"/>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13A1"/>
    <w:rsid w:val="00047160"/>
    <w:rsid w:val="000664D0"/>
    <w:rsid w:val="00095FB6"/>
    <w:rsid w:val="000D1DAA"/>
    <w:rsid w:val="0010779E"/>
    <w:rsid w:val="00170934"/>
    <w:rsid w:val="00191475"/>
    <w:rsid w:val="001F4E0E"/>
    <w:rsid w:val="002242B1"/>
    <w:rsid w:val="002366A4"/>
    <w:rsid w:val="0026380C"/>
    <w:rsid w:val="002B1515"/>
    <w:rsid w:val="002E0FDB"/>
    <w:rsid w:val="003A72CA"/>
    <w:rsid w:val="003C46F4"/>
    <w:rsid w:val="004C0081"/>
    <w:rsid w:val="004C4AC5"/>
    <w:rsid w:val="004F338C"/>
    <w:rsid w:val="006000FE"/>
    <w:rsid w:val="00611CB8"/>
    <w:rsid w:val="00636AAD"/>
    <w:rsid w:val="006613A1"/>
    <w:rsid w:val="00693591"/>
    <w:rsid w:val="006B68C4"/>
    <w:rsid w:val="007012F6"/>
    <w:rsid w:val="00706EC2"/>
    <w:rsid w:val="00707C3B"/>
    <w:rsid w:val="007B7D78"/>
    <w:rsid w:val="007D310A"/>
    <w:rsid w:val="0081577C"/>
    <w:rsid w:val="0088630B"/>
    <w:rsid w:val="008B2508"/>
    <w:rsid w:val="009360C5"/>
    <w:rsid w:val="00976C7A"/>
    <w:rsid w:val="009C12AB"/>
    <w:rsid w:val="00A03088"/>
    <w:rsid w:val="00A07D6D"/>
    <w:rsid w:val="00A27DB8"/>
    <w:rsid w:val="00A71B13"/>
    <w:rsid w:val="00AD01A4"/>
    <w:rsid w:val="00AD17A7"/>
    <w:rsid w:val="00B01935"/>
    <w:rsid w:val="00BA1795"/>
    <w:rsid w:val="00BF37C9"/>
    <w:rsid w:val="00C2411D"/>
    <w:rsid w:val="00C27D47"/>
    <w:rsid w:val="00C42B82"/>
    <w:rsid w:val="00CC2D7F"/>
    <w:rsid w:val="00CC430C"/>
    <w:rsid w:val="00D07698"/>
    <w:rsid w:val="00D12378"/>
    <w:rsid w:val="00D14051"/>
    <w:rsid w:val="00D35B0E"/>
    <w:rsid w:val="00D406CF"/>
    <w:rsid w:val="00D636DB"/>
    <w:rsid w:val="00DE5870"/>
    <w:rsid w:val="00E24054"/>
    <w:rsid w:val="00E630C6"/>
    <w:rsid w:val="00E87469"/>
    <w:rsid w:val="00EC2BEC"/>
    <w:rsid w:val="00F36448"/>
    <w:rsid w:val="00FF0761"/>
    <w:rsid w:val="00FF59CC"/>
    <w:rsid w:val="00FF6226"/>
    <w:rsid w:val="010D076B"/>
    <w:rsid w:val="01A4443C"/>
    <w:rsid w:val="01A60611"/>
    <w:rsid w:val="01EB0DE6"/>
    <w:rsid w:val="02613D88"/>
    <w:rsid w:val="02EA4459"/>
    <w:rsid w:val="031B5D72"/>
    <w:rsid w:val="038A5AF8"/>
    <w:rsid w:val="03D3772B"/>
    <w:rsid w:val="042B30CA"/>
    <w:rsid w:val="05C323D2"/>
    <w:rsid w:val="05E25E6D"/>
    <w:rsid w:val="064B334A"/>
    <w:rsid w:val="06822330"/>
    <w:rsid w:val="068C31C3"/>
    <w:rsid w:val="07917A18"/>
    <w:rsid w:val="07B30928"/>
    <w:rsid w:val="089009DD"/>
    <w:rsid w:val="092E5FC3"/>
    <w:rsid w:val="09470758"/>
    <w:rsid w:val="096306F1"/>
    <w:rsid w:val="0B0B56D6"/>
    <w:rsid w:val="0B3C4204"/>
    <w:rsid w:val="0B570759"/>
    <w:rsid w:val="0D085B1E"/>
    <w:rsid w:val="0D610643"/>
    <w:rsid w:val="0E266FAA"/>
    <w:rsid w:val="0E2F6528"/>
    <w:rsid w:val="0E515DD4"/>
    <w:rsid w:val="0E52374B"/>
    <w:rsid w:val="0F220EB0"/>
    <w:rsid w:val="0FB854F4"/>
    <w:rsid w:val="111A3FF6"/>
    <w:rsid w:val="11EE331C"/>
    <w:rsid w:val="12B94117"/>
    <w:rsid w:val="12E10F6E"/>
    <w:rsid w:val="13C518FC"/>
    <w:rsid w:val="14A81BCD"/>
    <w:rsid w:val="160D51C2"/>
    <w:rsid w:val="168169B6"/>
    <w:rsid w:val="16891054"/>
    <w:rsid w:val="16A31383"/>
    <w:rsid w:val="16B95D3D"/>
    <w:rsid w:val="16E46C50"/>
    <w:rsid w:val="17253F40"/>
    <w:rsid w:val="17F66AA6"/>
    <w:rsid w:val="18130ADA"/>
    <w:rsid w:val="18660056"/>
    <w:rsid w:val="18B0067C"/>
    <w:rsid w:val="1AF43FFE"/>
    <w:rsid w:val="1B0169FB"/>
    <w:rsid w:val="1BE31B45"/>
    <w:rsid w:val="1C4702ED"/>
    <w:rsid w:val="1C583683"/>
    <w:rsid w:val="1CD37584"/>
    <w:rsid w:val="1D0A4714"/>
    <w:rsid w:val="1D477DC3"/>
    <w:rsid w:val="1D5861C9"/>
    <w:rsid w:val="1D88042F"/>
    <w:rsid w:val="1D8D70A0"/>
    <w:rsid w:val="1E6B7046"/>
    <w:rsid w:val="1E7955EB"/>
    <w:rsid w:val="1EB63492"/>
    <w:rsid w:val="1EC85E0E"/>
    <w:rsid w:val="1F3238A1"/>
    <w:rsid w:val="20500A70"/>
    <w:rsid w:val="20B103C2"/>
    <w:rsid w:val="20D56C87"/>
    <w:rsid w:val="20F352C6"/>
    <w:rsid w:val="214A4450"/>
    <w:rsid w:val="21AE76E6"/>
    <w:rsid w:val="23532D16"/>
    <w:rsid w:val="23B326BC"/>
    <w:rsid w:val="23E25136"/>
    <w:rsid w:val="241133A5"/>
    <w:rsid w:val="24B7434B"/>
    <w:rsid w:val="24C4688C"/>
    <w:rsid w:val="24C57543"/>
    <w:rsid w:val="24CB4621"/>
    <w:rsid w:val="26233918"/>
    <w:rsid w:val="27DB0A31"/>
    <w:rsid w:val="28457DCD"/>
    <w:rsid w:val="286F7ED1"/>
    <w:rsid w:val="292B15AD"/>
    <w:rsid w:val="295E3422"/>
    <w:rsid w:val="2B095026"/>
    <w:rsid w:val="2B2C5184"/>
    <w:rsid w:val="2BAA0AD9"/>
    <w:rsid w:val="2C9C4C80"/>
    <w:rsid w:val="2D114195"/>
    <w:rsid w:val="2D7B79B0"/>
    <w:rsid w:val="2E7C5DAB"/>
    <w:rsid w:val="2ECF2146"/>
    <w:rsid w:val="2EF17AFE"/>
    <w:rsid w:val="2F531F65"/>
    <w:rsid w:val="2F685093"/>
    <w:rsid w:val="302F40A9"/>
    <w:rsid w:val="304C6801"/>
    <w:rsid w:val="30502C51"/>
    <w:rsid w:val="30CC6CD5"/>
    <w:rsid w:val="31542730"/>
    <w:rsid w:val="31817E64"/>
    <w:rsid w:val="32BB6567"/>
    <w:rsid w:val="33EB0897"/>
    <w:rsid w:val="340805BC"/>
    <w:rsid w:val="349439C9"/>
    <w:rsid w:val="352E51AC"/>
    <w:rsid w:val="356E477D"/>
    <w:rsid w:val="36574F38"/>
    <w:rsid w:val="36E15472"/>
    <w:rsid w:val="37153981"/>
    <w:rsid w:val="37546170"/>
    <w:rsid w:val="378F32B0"/>
    <w:rsid w:val="37B77CDD"/>
    <w:rsid w:val="37C510E3"/>
    <w:rsid w:val="38E00B1F"/>
    <w:rsid w:val="39996A2D"/>
    <w:rsid w:val="39F30D32"/>
    <w:rsid w:val="3A491EAD"/>
    <w:rsid w:val="3A5940A1"/>
    <w:rsid w:val="3AC07C58"/>
    <w:rsid w:val="3C5D3B73"/>
    <w:rsid w:val="3C8D3D7A"/>
    <w:rsid w:val="3CA43C3A"/>
    <w:rsid w:val="3CB869E6"/>
    <w:rsid w:val="3CC13301"/>
    <w:rsid w:val="3DB32948"/>
    <w:rsid w:val="3E3D40CA"/>
    <w:rsid w:val="3E89673F"/>
    <w:rsid w:val="3EF3524D"/>
    <w:rsid w:val="3F481F37"/>
    <w:rsid w:val="401E3DFA"/>
    <w:rsid w:val="40332691"/>
    <w:rsid w:val="4081000B"/>
    <w:rsid w:val="40F02BA5"/>
    <w:rsid w:val="425D671E"/>
    <w:rsid w:val="42A33771"/>
    <w:rsid w:val="42E77B13"/>
    <w:rsid w:val="43470C05"/>
    <w:rsid w:val="43DB2F74"/>
    <w:rsid w:val="44AF678A"/>
    <w:rsid w:val="44BB2EC9"/>
    <w:rsid w:val="45064256"/>
    <w:rsid w:val="45474946"/>
    <w:rsid w:val="4559782A"/>
    <w:rsid w:val="460B194B"/>
    <w:rsid w:val="466416B9"/>
    <w:rsid w:val="46A62871"/>
    <w:rsid w:val="46DF7D3C"/>
    <w:rsid w:val="46E942B3"/>
    <w:rsid w:val="479A6355"/>
    <w:rsid w:val="483A57D8"/>
    <w:rsid w:val="48912166"/>
    <w:rsid w:val="48B86280"/>
    <w:rsid w:val="48FA3516"/>
    <w:rsid w:val="494A5383"/>
    <w:rsid w:val="496070E7"/>
    <w:rsid w:val="49D839C1"/>
    <w:rsid w:val="4A341E75"/>
    <w:rsid w:val="4B2065DA"/>
    <w:rsid w:val="4D5D550E"/>
    <w:rsid w:val="4E0815FD"/>
    <w:rsid w:val="4E6B71EE"/>
    <w:rsid w:val="4E82757F"/>
    <w:rsid w:val="4F213A45"/>
    <w:rsid w:val="4FFC37CB"/>
    <w:rsid w:val="502527F7"/>
    <w:rsid w:val="50B52079"/>
    <w:rsid w:val="50C223CF"/>
    <w:rsid w:val="51241C60"/>
    <w:rsid w:val="520526C1"/>
    <w:rsid w:val="526349AF"/>
    <w:rsid w:val="529E73FB"/>
    <w:rsid w:val="52F16A56"/>
    <w:rsid w:val="53BD0EE7"/>
    <w:rsid w:val="53DD77FD"/>
    <w:rsid w:val="540F5612"/>
    <w:rsid w:val="56000D61"/>
    <w:rsid w:val="565B2DF9"/>
    <w:rsid w:val="56665335"/>
    <w:rsid w:val="567654C9"/>
    <w:rsid w:val="571C719E"/>
    <w:rsid w:val="585278B7"/>
    <w:rsid w:val="58E22986"/>
    <w:rsid w:val="59033CBE"/>
    <w:rsid w:val="5970608C"/>
    <w:rsid w:val="59D74F0D"/>
    <w:rsid w:val="59E073D6"/>
    <w:rsid w:val="59F31223"/>
    <w:rsid w:val="5A090094"/>
    <w:rsid w:val="5B51283A"/>
    <w:rsid w:val="5B744CE0"/>
    <w:rsid w:val="5BE033F6"/>
    <w:rsid w:val="5BFB7B25"/>
    <w:rsid w:val="5C6A4432"/>
    <w:rsid w:val="5CB7728F"/>
    <w:rsid w:val="5D5C58BD"/>
    <w:rsid w:val="5D8C4122"/>
    <w:rsid w:val="5E1536EB"/>
    <w:rsid w:val="5F31449E"/>
    <w:rsid w:val="60895781"/>
    <w:rsid w:val="60A84311"/>
    <w:rsid w:val="60B2174A"/>
    <w:rsid w:val="61593AE2"/>
    <w:rsid w:val="61A976E2"/>
    <w:rsid w:val="61E51956"/>
    <w:rsid w:val="620A2FD4"/>
    <w:rsid w:val="626B0706"/>
    <w:rsid w:val="62AB0E1D"/>
    <w:rsid w:val="635910A1"/>
    <w:rsid w:val="63691CA9"/>
    <w:rsid w:val="636D522D"/>
    <w:rsid w:val="63A06B51"/>
    <w:rsid w:val="641A4941"/>
    <w:rsid w:val="641B40C5"/>
    <w:rsid w:val="647A70A2"/>
    <w:rsid w:val="64D47150"/>
    <w:rsid w:val="652D22F3"/>
    <w:rsid w:val="65952DCB"/>
    <w:rsid w:val="665C5FA3"/>
    <w:rsid w:val="66F440F5"/>
    <w:rsid w:val="67567A2C"/>
    <w:rsid w:val="68BC175B"/>
    <w:rsid w:val="69B936BB"/>
    <w:rsid w:val="69C02A26"/>
    <w:rsid w:val="69CA4E9E"/>
    <w:rsid w:val="6A082784"/>
    <w:rsid w:val="6A460F81"/>
    <w:rsid w:val="6A6261CC"/>
    <w:rsid w:val="6BDC31A0"/>
    <w:rsid w:val="6BFC1D6F"/>
    <w:rsid w:val="6D1806A6"/>
    <w:rsid w:val="6D5100C3"/>
    <w:rsid w:val="6D9D1011"/>
    <w:rsid w:val="6E333640"/>
    <w:rsid w:val="6E480DEC"/>
    <w:rsid w:val="6E8C3096"/>
    <w:rsid w:val="6EDF12BC"/>
    <w:rsid w:val="6F2E1963"/>
    <w:rsid w:val="6F2F7045"/>
    <w:rsid w:val="6F453819"/>
    <w:rsid w:val="6FA24687"/>
    <w:rsid w:val="6FDE6ED2"/>
    <w:rsid w:val="70156BA7"/>
    <w:rsid w:val="707E1FFC"/>
    <w:rsid w:val="70843F42"/>
    <w:rsid w:val="70A16757"/>
    <w:rsid w:val="7237535A"/>
    <w:rsid w:val="72536E02"/>
    <w:rsid w:val="72E620F7"/>
    <w:rsid w:val="73075FED"/>
    <w:rsid w:val="74176435"/>
    <w:rsid w:val="74FB0C6F"/>
    <w:rsid w:val="75111EE8"/>
    <w:rsid w:val="752E7C5D"/>
    <w:rsid w:val="75A32BDF"/>
    <w:rsid w:val="75A46D06"/>
    <w:rsid w:val="760160A5"/>
    <w:rsid w:val="768B649B"/>
    <w:rsid w:val="76D16AC5"/>
    <w:rsid w:val="772C6510"/>
    <w:rsid w:val="778F07AA"/>
    <w:rsid w:val="77AE50C9"/>
    <w:rsid w:val="785C4626"/>
    <w:rsid w:val="798C7765"/>
    <w:rsid w:val="79917F31"/>
    <w:rsid w:val="79BE73AE"/>
    <w:rsid w:val="79CD1594"/>
    <w:rsid w:val="79F70164"/>
    <w:rsid w:val="7AA845F0"/>
    <w:rsid w:val="7B3E0FD7"/>
    <w:rsid w:val="7B47540B"/>
    <w:rsid w:val="7B4E16E9"/>
    <w:rsid w:val="7C1F7D59"/>
    <w:rsid w:val="7CAD08D1"/>
    <w:rsid w:val="7CD958AA"/>
    <w:rsid w:val="7D2B291D"/>
    <w:rsid w:val="7E8F6545"/>
    <w:rsid w:val="7EB172B6"/>
    <w:rsid w:val="7EDD4026"/>
    <w:rsid w:val="7F033E09"/>
    <w:rsid w:val="7FA3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5"/>
    <w:semiHidden/>
    <w:unhideWhenUsed/>
    <w:qFormat/>
    <w:uiPriority w:val="9"/>
    <w:pPr>
      <w:keepNext/>
      <w:keepLines/>
      <w:spacing w:line="416" w:lineRule="auto"/>
      <w:jc w:val="center"/>
      <w:outlineLvl w:val="1"/>
    </w:pPr>
    <w:rPr>
      <w:rFonts w:ascii="Arial" w:hAnsi="Arial" w:eastAsia="黑体"/>
      <w:b/>
      <w:bCs/>
      <w:sz w:val="32"/>
      <w:szCs w:val="32"/>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semiHidden/>
    <w:unhideWhenUsed/>
    <w:qFormat/>
    <w:uiPriority w:val="99"/>
    <w:pPr>
      <w:spacing w:after="0"/>
      <w:ind w:firstLine="420" w:firstLineChars="100"/>
    </w:pPr>
  </w:style>
  <w:style w:type="paragraph" w:styleId="4">
    <w:name w:val="Body Text"/>
    <w:basedOn w:val="1"/>
    <w:semiHidden/>
    <w:unhideWhenUsed/>
    <w:qFormat/>
    <w:uiPriority w:val="99"/>
    <w:pPr>
      <w:spacing w:after="12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9">
    <w:name w:val="Plain Text"/>
    <w:basedOn w:val="1"/>
    <w:link w:val="21"/>
    <w:qFormat/>
    <w:uiPriority w:val="0"/>
    <w:rPr>
      <w:rFonts w:eastAsia="宋体"/>
      <w:sz w:val="24"/>
    </w:rPr>
  </w:style>
  <w:style w:type="paragraph" w:styleId="10">
    <w:name w:val="Date"/>
    <w:basedOn w:val="1"/>
    <w:next w:val="1"/>
    <w:link w:val="22"/>
    <w:unhideWhenUsed/>
    <w:qFormat/>
    <w:uiPriority w:val="99"/>
    <w:pPr>
      <w:ind w:left="100" w:leftChars="2500"/>
    </w:pPr>
  </w:style>
  <w:style w:type="paragraph" w:styleId="11">
    <w:name w:val="Body Text Indent 2"/>
    <w:basedOn w:val="1"/>
    <w:semiHidden/>
    <w:unhideWhenUsed/>
    <w:qFormat/>
    <w:uiPriority w:val="99"/>
    <w:pPr>
      <w:ind w:firstLine="630"/>
    </w:pPr>
    <w:rPr>
      <w:rFonts w:ascii="仿宋_GB2312" w:eastAsia="仿宋_GB2312"/>
      <w:sz w:val="32"/>
      <w:szCs w:val="20"/>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5">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qFormat/>
    <w:uiPriority w:val="99"/>
    <w:rPr>
      <w:rFonts w:ascii="Calibri" w:hAnsi="Calibri" w:eastAsia="宋体" w:cs="Times New Roman"/>
      <w:sz w:val="24"/>
      <w:szCs w:val="24"/>
    </w:r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customStyle="1" w:styleId="21">
    <w:name w:val="纯文本 Char"/>
    <w:basedOn w:val="17"/>
    <w:link w:val="9"/>
    <w:qFormat/>
    <w:uiPriority w:val="0"/>
    <w:rPr>
      <w:rFonts w:eastAsia="宋体"/>
      <w:sz w:val="24"/>
    </w:rPr>
  </w:style>
  <w:style w:type="character" w:customStyle="1" w:styleId="22">
    <w:name w:val="日期 Char"/>
    <w:basedOn w:val="17"/>
    <w:link w:val="10"/>
    <w:qFormat/>
    <w:uiPriority w:val="99"/>
  </w:style>
  <w:style w:type="character" w:customStyle="1" w:styleId="23">
    <w:name w:val="页脚 Char"/>
    <w:basedOn w:val="17"/>
    <w:link w:val="12"/>
    <w:qFormat/>
    <w:uiPriority w:val="99"/>
    <w:rPr>
      <w:sz w:val="18"/>
      <w:szCs w:val="18"/>
    </w:rPr>
  </w:style>
  <w:style w:type="character" w:customStyle="1" w:styleId="24">
    <w:name w:val="页眉 Char"/>
    <w:basedOn w:val="17"/>
    <w:link w:val="13"/>
    <w:qFormat/>
    <w:uiPriority w:val="99"/>
    <w:rPr>
      <w:sz w:val="18"/>
      <w:szCs w:val="18"/>
    </w:rPr>
  </w:style>
  <w:style w:type="character" w:customStyle="1" w:styleId="25">
    <w:name w:val="纯文本 Char1"/>
    <w:qFormat/>
    <w:uiPriority w:val="0"/>
    <w:rPr>
      <w:rFonts w:eastAsia="宋体"/>
      <w:sz w:val="24"/>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27">
    <w:name w:val="列出段落1"/>
    <w:basedOn w:val="1"/>
    <w:qFormat/>
    <w:uiPriority w:val="34"/>
    <w:pPr>
      <w:ind w:firstLine="420" w:firstLineChars="200"/>
    </w:pPr>
  </w:style>
  <w:style w:type="paragraph" w:styleId="28">
    <w:name w:val="List Paragraph"/>
    <w:basedOn w:val="1"/>
    <w:unhideWhenUsed/>
    <w:uiPriority w:val="99"/>
    <w:pPr>
      <w:ind w:firstLine="420" w:firstLineChars="200"/>
    </w:pPr>
  </w:style>
  <w:style w:type="character" w:customStyle="1" w:styleId="29">
    <w:name w:val="正文文本缩进 Char Char"/>
    <w:link w:val="30"/>
    <w:qFormat/>
    <w:uiPriority w:val="0"/>
    <w:rPr>
      <w:rFonts w:ascii="宋体"/>
      <w:sz w:val="24"/>
    </w:rPr>
  </w:style>
  <w:style w:type="paragraph" w:customStyle="1" w:styleId="30">
    <w:name w:val="正文文本缩进1"/>
    <w:basedOn w:val="1"/>
    <w:link w:val="29"/>
    <w:qFormat/>
    <w:uiPriority w:val="0"/>
    <w:pPr>
      <w:spacing w:line="360" w:lineRule="auto"/>
      <w:ind w:firstLine="480" w:firstLineChars="200"/>
    </w:pPr>
    <w:rPr>
      <w:rFonts w:ascii="宋体"/>
      <w:sz w:val="24"/>
    </w:rPr>
  </w:style>
  <w:style w:type="character" w:customStyle="1" w:styleId="31">
    <w:name w:val="日期 Char Char"/>
    <w:link w:val="32"/>
    <w:qFormat/>
    <w:uiPriority w:val="0"/>
    <w:rPr>
      <w:sz w:val="24"/>
    </w:rPr>
  </w:style>
  <w:style w:type="paragraph" w:customStyle="1" w:styleId="32">
    <w:name w:val="日期1"/>
    <w:basedOn w:val="1"/>
    <w:next w:val="1"/>
    <w:link w:val="31"/>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35">
    <w:name w:val="标题 2 Char"/>
    <w:basedOn w:val="17"/>
    <w:link w:val="2"/>
    <w:qFormat/>
    <w:uiPriority w:val="9"/>
    <w:rPr>
      <w:rFonts w:ascii="Arial" w:hAnsi="Arial" w:eastAsia="黑体"/>
      <w:b/>
      <w:bCs/>
      <w:sz w:val="32"/>
      <w:szCs w:val="32"/>
    </w:rPr>
  </w:style>
  <w:style w:type="paragraph" w:customStyle="1" w:styleId="36">
    <w:name w:val="正文一"/>
    <w:basedOn w:val="28"/>
    <w:qFormat/>
    <w:uiPriority w:val="0"/>
    <w:pPr>
      <w:spacing w:line="600" w:lineRule="exact"/>
      <w:ind w:firstLine="200"/>
    </w:pPr>
    <w:rPr>
      <w:rFonts w:ascii="Times New Roman" w:hAnsi="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1151C-074B-4E7E-8397-587414AD4F5E}">
  <ds:schemaRefs/>
</ds:datastoreItem>
</file>

<file path=docProps/app.xml><?xml version="1.0" encoding="utf-8"?>
<Properties xmlns="http://schemas.openxmlformats.org/officeDocument/2006/extended-properties" xmlns:vt="http://schemas.openxmlformats.org/officeDocument/2006/docPropsVTypes">
  <Template>Normal</Template>
  <Pages>46</Pages>
  <Words>3842</Words>
  <Characters>21902</Characters>
  <Lines>182</Lines>
  <Paragraphs>51</Paragraphs>
  <ScaleCrop>false</ScaleCrop>
  <LinksUpToDate>false</LinksUpToDate>
  <CharactersWithSpaces>25693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北京华采招标代理有限公司:北京华采招标代理有限公司</cp:lastModifiedBy>
  <cp:lastPrinted>2018-01-09T09:13:00Z</cp:lastPrinted>
  <dcterms:modified xsi:type="dcterms:W3CDTF">2018-01-19T07:06:32Z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