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仿宋"/>
          <w:b/>
          <w:bCs/>
          <w:sz w:val="44"/>
          <w:szCs w:val="44"/>
        </w:rPr>
      </w:pPr>
    </w:p>
    <w:p>
      <w:pPr>
        <w:ind w:firstLine="883" w:firstLineChars="200"/>
        <w:rPr>
          <w:rFonts w:hint="eastAsia" w:ascii="仿宋" w:hAnsi="仿宋" w:eastAsia="仿宋"/>
          <w:b/>
          <w:w w:val="90"/>
          <w:sz w:val="84"/>
        </w:rPr>
      </w:pPr>
      <w:r>
        <w:rPr>
          <w:rFonts w:hint="eastAsia"/>
          <w:b/>
          <w:bCs/>
          <w:sz w:val="44"/>
          <w:szCs w:val="44"/>
        </w:rPr>
        <w:t>禹州市城市道路系统专项规划编制项目</w:t>
      </w:r>
    </w:p>
    <w:p>
      <w:pPr>
        <w:ind w:firstLine="3037" w:firstLineChars="400"/>
        <w:rPr>
          <w:rFonts w:hint="eastAsia" w:ascii="仿宋" w:hAnsi="仿宋" w:eastAsia="仿宋"/>
          <w:b/>
          <w:w w:val="90"/>
          <w:sz w:val="84"/>
        </w:rPr>
      </w:pPr>
    </w:p>
    <w:p>
      <w:pPr>
        <w:ind w:firstLine="3037" w:firstLineChars="400"/>
        <w:rPr>
          <w:rFonts w:hint="eastAsia" w:ascii="仿宋" w:hAnsi="仿宋" w:eastAsia="仿宋"/>
          <w:b/>
          <w:w w:val="90"/>
          <w:sz w:val="84"/>
        </w:rPr>
      </w:pPr>
    </w:p>
    <w:p>
      <w:pPr>
        <w:ind w:firstLine="3037" w:firstLineChars="40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采购单位：禹州市城乡规划局</w:t>
      </w:r>
    </w:p>
    <w:p>
      <w:pPr>
        <w:autoSpaceDE w:val="0"/>
        <w:autoSpaceDN w:val="0"/>
        <w:spacing w:line="360" w:lineRule="auto"/>
        <w:ind w:right="-20" w:firstLine="320" w:firstLineChars="100"/>
        <w:outlineLvl w:val="0"/>
        <w:rPr>
          <w:rFonts w:hint="eastAsia" w:ascii="仿宋" w:hAnsi="仿宋" w:eastAsia="仿宋"/>
          <w:b/>
          <w:bCs/>
          <w:sz w:val="32"/>
        </w:rPr>
      </w:pPr>
      <w:r>
        <w:rPr>
          <w:rFonts w:hint="eastAsia" w:ascii="仿宋" w:hAnsi="仿宋" w:eastAsia="仿宋"/>
          <w:sz w:val="32"/>
        </w:rPr>
        <w:t>项目名称：禹州市城市道路系统专项规划编制项目</w:t>
      </w:r>
    </w:p>
    <w:p>
      <w:pPr>
        <w:adjustRightInd w:val="0"/>
        <w:spacing w:line="600" w:lineRule="exact"/>
        <w:ind w:right="-691" w:rightChars="-329" w:firstLine="320" w:firstLineChars="100"/>
        <w:rPr>
          <w:rFonts w:hint="eastAsia" w:ascii="仿宋" w:hAnsi="仿宋" w:eastAsia="仿宋"/>
          <w:sz w:val="32"/>
          <w:lang w:val="en-US" w:eastAsia="zh-CN"/>
        </w:rPr>
      </w:pPr>
      <w:r>
        <w:rPr>
          <w:rFonts w:hint="eastAsia" w:ascii="仿宋" w:hAnsi="仿宋" w:eastAsia="仿宋"/>
          <w:sz w:val="32"/>
        </w:rPr>
        <w:t>项目编号：YZCG-G2017</w:t>
      </w:r>
      <w:r>
        <w:rPr>
          <w:rFonts w:hint="eastAsia" w:ascii="仿宋" w:hAnsi="仿宋" w:eastAsia="仿宋"/>
          <w:sz w:val="32"/>
          <w:lang w:val="en-US" w:eastAsia="zh-CN"/>
        </w:rPr>
        <w:t>456</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hint="eastAsia" w:ascii="仿宋" w:hAnsi="仿宋" w:eastAsia="仿宋"/>
          <w:bCs/>
          <w:sz w:val="32"/>
        </w:rPr>
      </w:pPr>
    </w:p>
    <w:p>
      <w:pPr>
        <w:ind w:firstLine="3040" w:firstLineChars="950"/>
        <w:rPr>
          <w:rFonts w:ascii="仿宋" w:hAnsi="仿宋" w:eastAsia="仿宋"/>
          <w:bCs/>
          <w:sz w:val="32"/>
        </w:rPr>
      </w:pPr>
      <w:r>
        <w:rPr>
          <w:rFonts w:hint="eastAsia" w:ascii="仿宋" w:hAnsi="仿宋" w:eastAsia="仿宋"/>
          <w:bCs/>
          <w:sz w:val="32"/>
        </w:rPr>
        <w:t>二〇一七年十</w:t>
      </w:r>
      <w:r>
        <w:rPr>
          <w:rFonts w:hint="eastAsia" w:ascii="仿宋" w:hAnsi="仿宋" w:eastAsia="仿宋"/>
          <w:bCs/>
          <w:sz w:val="32"/>
          <w:lang w:eastAsia="zh-CN"/>
        </w:rPr>
        <w:t>二</w:t>
      </w:r>
      <w:r>
        <w:rPr>
          <w:rFonts w:hint="eastAsia" w:ascii="仿宋" w:hAnsi="仿宋" w:eastAsia="仿宋"/>
          <w:bCs/>
          <w:sz w:val="32"/>
        </w:rPr>
        <w:t>月</w:t>
      </w: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w:t>
      </w:r>
      <w:r>
        <w:rPr>
          <w:rFonts w:hint="eastAsia" w:ascii="黑体" w:eastAsia="黑体" w:cs="黑体"/>
          <w:b/>
          <w:bCs/>
          <w:sz w:val="28"/>
          <w:szCs w:val="28"/>
          <w:lang w:val="zh-CN" w:eastAsia="zh-CN"/>
        </w:rPr>
        <w:t>及组成</w:t>
      </w:r>
      <w:r>
        <w:rPr>
          <w:rFonts w:hint="eastAsia" w:ascii="黑体" w:eastAsia="黑体" w:cs="黑体"/>
          <w:b/>
          <w:bCs/>
          <w:sz w:val="28"/>
          <w:szCs w:val="28"/>
          <w:lang w:val="zh-CN"/>
        </w:rPr>
        <w:t>——投标文件（一）和投标文件（二）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spacing w:line="520" w:lineRule="exact"/>
        <w:textAlignment w:val="baseline"/>
        <w:rPr>
          <w:rFonts w:ascii="仿宋" w:hAnsi="仿宋" w:eastAsia="仿宋"/>
          <w:b/>
          <w:sz w:val="44"/>
          <w:szCs w:val="44"/>
        </w:rPr>
      </w:pPr>
    </w:p>
    <w:p>
      <w:pPr>
        <w:spacing w:line="520" w:lineRule="exact"/>
        <w:ind w:firstLine="1966" w:firstLineChars="445"/>
        <w:textAlignment w:val="baseline"/>
        <w:rPr>
          <w:rFonts w:hint="eastAsia" w:ascii="仿宋" w:hAnsi="仿宋" w:eastAsia="仿宋" w:cs="仿宋_GB2312"/>
          <w:sz w:val="32"/>
          <w:szCs w:val="32"/>
        </w:rPr>
      </w:pPr>
      <w:r>
        <w:rPr>
          <w:rFonts w:hint="eastAsia" w:ascii="仿宋" w:hAnsi="仿宋" w:eastAsia="仿宋"/>
          <w:b/>
          <w:sz w:val="44"/>
          <w:szCs w:val="44"/>
        </w:rPr>
        <w:t>第一部分  投标邀请函</w:t>
      </w:r>
    </w:p>
    <w:p>
      <w:pPr>
        <w:spacing w:line="480" w:lineRule="exact"/>
        <w:ind w:firstLine="5440" w:firstLineChars="1700"/>
        <w:rPr>
          <w:rFonts w:hint="eastAsia" w:ascii="仿宋" w:hAnsi="仿宋" w:eastAsia="仿宋" w:cs="仿宋_GB2312"/>
          <w:sz w:val="32"/>
          <w:szCs w:val="32"/>
        </w:rPr>
      </w:pPr>
    </w:p>
    <w:p>
      <w:pPr>
        <w:spacing w:line="600" w:lineRule="exact"/>
        <w:jc w:val="center"/>
        <w:rPr>
          <w:rFonts w:hint="eastAsia"/>
          <w:b/>
          <w:bCs/>
          <w:sz w:val="44"/>
          <w:szCs w:val="44"/>
          <w:lang w:eastAsia="zh-CN"/>
        </w:rPr>
      </w:pPr>
      <w:r>
        <w:rPr>
          <w:rFonts w:hint="eastAsia"/>
          <w:b/>
          <w:bCs/>
          <w:sz w:val="44"/>
          <w:szCs w:val="44"/>
          <w:lang w:eastAsia="zh-CN"/>
        </w:rPr>
        <w:t>禹州市城市道路系统专项规划编制项目</w:t>
      </w:r>
    </w:p>
    <w:p>
      <w:pPr>
        <w:spacing w:line="600" w:lineRule="exact"/>
        <w:jc w:val="center"/>
        <w:rPr>
          <w:b/>
          <w:bCs/>
          <w:sz w:val="44"/>
          <w:szCs w:val="44"/>
        </w:rPr>
      </w:pPr>
      <w:r>
        <w:rPr>
          <w:rFonts w:hint="eastAsia"/>
          <w:b/>
          <w:bCs/>
          <w:sz w:val="44"/>
          <w:szCs w:val="44"/>
        </w:rPr>
        <w:t>招标公告</w:t>
      </w:r>
    </w:p>
    <w:p>
      <w:pPr>
        <w:spacing w:line="600" w:lineRule="exact"/>
        <w:jc w:val="center"/>
        <w:rPr>
          <w:b/>
          <w:bCs/>
          <w:sz w:val="44"/>
          <w:szCs w:val="44"/>
        </w:rPr>
      </w:pP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b/>
          <w:bCs/>
          <w:sz w:val="32"/>
          <w:szCs w:val="32"/>
        </w:rPr>
      </w:pPr>
      <w:r>
        <w:rPr>
          <w:rFonts w:hint="eastAsia" w:ascii="仿宋" w:hAnsi="仿宋" w:eastAsia="仿宋" w:cs="仿宋_GB2312"/>
          <w:sz w:val="32"/>
          <w:szCs w:val="32"/>
        </w:rPr>
        <w:t>禹州市政府采购中心受禹州市</w:t>
      </w:r>
      <w:r>
        <w:rPr>
          <w:rFonts w:hint="eastAsia" w:ascii="仿宋" w:hAnsi="仿宋" w:eastAsia="仿宋" w:cs="仿宋_GB2312"/>
          <w:sz w:val="32"/>
          <w:szCs w:val="32"/>
          <w:lang w:eastAsia="zh-CN"/>
        </w:rPr>
        <w:t>城乡规划局</w:t>
      </w:r>
      <w:r>
        <w:rPr>
          <w:rFonts w:hint="eastAsia" w:ascii="仿宋" w:hAnsi="仿宋" w:eastAsia="仿宋" w:cs="仿宋_GB2312"/>
          <w:sz w:val="32"/>
          <w:szCs w:val="32"/>
        </w:rPr>
        <w:t>的委托，就“禹州市城市道路系统专项规划</w:t>
      </w:r>
      <w:r>
        <w:rPr>
          <w:rFonts w:hint="eastAsia" w:ascii="仿宋" w:hAnsi="仿宋" w:eastAsia="仿宋" w:cs="仿宋_GB2312"/>
          <w:sz w:val="32"/>
          <w:szCs w:val="32"/>
          <w:lang w:eastAsia="zh-CN"/>
        </w:rPr>
        <w:t>编制</w:t>
      </w:r>
      <w:r>
        <w:rPr>
          <w:rFonts w:hint="eastAsia" w:ascii="仿宋" w:hAnsi="仿宋" w:eastAsia="仿宋" w:cs="仿宋_GB2312"/>
          <w:sz w:val="32"/>
          <w:szCs w:val="32"/>
        </w:rPr>
        <w:t>项目”进行公开招标，欢迎合格的投标人前来投标。</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Arial"/>
          <w:color w:val="000000"/>
          <w:kern w:val="0"/>
          <w:sz w:val="32"/>
          <w:szCs w:val="32"/>
          <w:lang w:val="en-US" w:eastAsia="zh-CN"/>
        </w:rPr>
      </w:pPr>
      <w:r>
        <w:rPr>
          <w:rFonts w:hint="eastAsia" w:ascii="黑体" w:hAnsi="黑体" w:eastAsia="黑体" w:cs="Arial"/>
          <w:b/>
          <w:color w:val="000000"/>
          <w:kern w:val="0"/>
          <w:sz w:val="32"/>
          <w:szCs w:val="32"/>
          <w:lang w:val="en-US" w:eastAsia="zh-CN"/>
        </w:rPr>
        <w:t xml:space="preserve">   </w:t>
      </w:r>
      <w:r>
        <w:rPr>
          <w:rFonts w:hint="eastAsia" w:ascii="仿宋" w:hAnsi="仿宋" w:eastAsia="仿宋" w:cs="Arial"/>
          <w:color w:val="000000"/>
          <w:kern w:val="0"/>
          <w:sz w:val="32"/>
          <w:szCs w:val="32"/>
          <w:lang w:val="en-US" w:eastAsia="zh-CN"/>
        </w:rPr>
        <w:t>1、采购人：禹州市城乡规划局</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项目名称：</w:t>
      </w:r>
      <w:r>
        <w:rPr>
          <w:rFonts w:hint="eastAsia" w:ascii="仿宋" w:hAnsi="仿宋" w:eastAsia="仿宋" w:cs="仿宋_GB2312"/>
          <w:sz w:val="32"/>
          <w:szCs w:val="32"/>
        </w:rPr>
        <w:t>禹州市城市道路系统专项项目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lang w:val="en-US" w:eastAsia="zh-CN"/>
        </w:rPr>
        <w:t>3</w:t>
      </w:r>
      <w:r>
        <w:rPr>
          <w:rFonts w:hint="eastAsia" w:ascii="仿宋" w:hAnsi="仿宋" w:eastAsia="仿宋" w:cs="Arial"/>
          <w:color w:val="000000"/>
          <w:kern w:val="0"/>
          <w:sz w:val="32"/>
          <w:szCs w:val="32"/>
        </w:rPr>
        <w:t>、采购</w:t>
      </w:r>
      <w:r>
        <w:rPr>
          <w:rFonts w:ascii="仿宋" w:hAnsi="仿宋" w:eastAsia="仿宋" w:cs="Arial"/>
          <w:color w:val="000000"/>
          <w:kern w:val="0"/>
          <w:sz w:val="32"/>
          <w:szCs w:val="32"/>
        </w:rPr>
        <w:t>编号：</w:t>
      </w:r>
      <w:r>
        <w:rPr>
          <w:rFonts w:hint="eastAsia" w:ascii="仿宋" w:hAnsi="仿宋" w:eastAsia="仿宋" w:cs="仿宋_GB2312"/>
          <w:sz w:val="32"/>
          <w:szCs w:val="32"/>
        </w:rPr>
        <w:t>YZCG-G2017</w:t>
      </w:r>
      <w:r>
        <w:rPr>
          <w:rFonts w:hint="eastAsia" w:ascii="仿宋" w:hAnsi="仿宋" w:eastAsia="仿宋" w:cs="仿宋_GB2312"/>
          <w:sz w:val="32"/>
          <w:szCs w:val="32"/>
          <w:lang w:val="en-US" w:eastAsia="zh-CN"/>
        </w:rPr>
        <w:t>456</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lang w:val="en-US" w:eastAsia="zh-CN"/>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rPr>
        <w:t>禹州市城市道路系统专项</w:t>
      </w:r>
      <w:r>
        <w:rPr>
          <w:rFonts w:hint="eastAsia" w:ascii="仿宋" w:hAnsi="仿宋" w:eastAsia="仿宋" w:cs="Arial"/>
          <w:color w:val="000000"/>
          <w:kern w:val="0"/>
          <w:sz w:val="32"/>
          <w:szCs w:val="32"/>
          <w:lang w:eastAsia="zh-CN"/>
        </w:rPr>
        <w:t>规划编制</w:t>
      </w:r>
      <w:r>
        <w:rPr>
          <w:rFonts w:hint="eastAsia" w:ascii="仿宋" w:hAnsi="仿宋" w:eastAsia="仿宋" w:cs="仿宋_GB2312"/>
          <w:sz w:val="32"/>
          <w:szCs w:val="32"/>
        </w:rPr>
        <w:t>（详见招标文件）</w:t>
      </w:r>
    </w:p>
    <w:p>
      <w:pPr>
        <w:pStyle w:val="121"/>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Arial"/>
          <w:color w:val="000000"/>
          <w:kern w:val="0"/>
          <w:sz w:val="32"/>
          <w:szCs w:val="32"/>
          <w:lang w:val="en-US" w:eastAsia="zh-CN"/>
        </w:rPr>
        <w:t>5、</w:t>
      </w:r>
      <w:r>
        <w:rPr>
          <w:rFonts w:ascii="仿宋" w:hAnsi="仿宋" w:eastAsia="仿宋" w:cs="Arial"/>
          <w:color w:val="000000"/>
          <w:kern w:val="0"/>
          <w:sz w:val="32"/>
          <w:szCs w:val="32"/>
        </w:rPr>
        <w:t>采购预算</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38.64</w:t>
      </w:r>
      <w:r>
        <w:rPr>
          <w:rFonts w:hint="eastAsia" w:ascii="仿宋" w:hAnsi="仿宋" w:eastAsia="仿宋" w:cs="仿宋_GB2312"/>
          <w:sz w:val="32"/>
          <w:szCs w:val="32"/>
        </w:rPr>
        <w:t>万元</w:t>
      </w:r>
    </w:p>
    <w:p>
      <w:pPr>
        <w:pStyle w:val="121"/>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最高限价：</w:t>
      </w:r>
      <w:r>
        <w:rPr>
          <w:rFonts w:hint="eastAsia" w:ascii="仿宋" w:hAnsi="仿宋" w:eastAsia="仿宋" w:cs="仿宋_GB2312"/>
          <w:sz w:val="32"/>
          <w:szCs w:val="32"/>
          <w:lang w:val="en-US" w:eastAsia="zh-CN"/>
        </w:rPr>
        <w:t>38.64</w:t>
      </w:r>
      <w:r>
        <w:rPr>
          <w:rFonts w:hint="eastAsia" w:ascii="仿宋" w:hAnsi="仿宋" w:eastAsia="仿宋" w:cs="仿宋_GB2312"/>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72" w:firstLineChars="147"/>
        <w:jc w:val="left"/>
        <w:textAlignment w:val="auto"/>
        <w:outlineLvl w:val="9"/>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招标</w:t>
      </w:r>
      <w:r>
        <w:rPr>
          <w:rFonts w:ascii="仿宋" w:hAnsi="仿宋" w:eastAsia="仿宋" w:cs="Arial"/>
          <w:color w:val="000000"/>
          <w:kern w:val="0"/>
          <w:sz w:val="32"/>
          <w:szCs w:val="32"/>
        </w:rPr>
        <w:t>文件）</w:t>
      </w:r>
      <w:r>
        <w:rPr>
          <w:rFonts w:hint="eastAsia" w:ascii="仿宋" w:hAnsi="仿宋" w:eastAsia="仿宋" w:cs="Arial"/>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三、</w:t>
      </w:r>
      <w:r>
        <w:rPr>
          <w:rFonts w:ascii="黑体" w:hAnsi="黑体" w:eastAsia="黑体" w:cs="Arial"/>
          <w:b/>
          <w:color w:val="000000"/>
          <w:kern w:val="0"/>
          <w:sz w:val="32"/>
          <w:szCs w:val="32"/>
        </w:rPr>
        <w:t>供应商资格要求</w:t>
      </w:r>
    </w:p>
    <w:p>
      <w:pPr>
        <w:pStyle w:val="29"/>
        <w:keepNext w:val="0"/>
        <w:keepLines w:val="0"/>
        <w:pageBreakBefore w:val="0"/>
        <w:widowControl/>
        <w:kinsoku/>
        <w:wordWrap/>
        <w:overflowPunct/>
        <w:topLinePunct w:val="0"/>
        <w:autoSpaceDE/>
        <w:autoSpaceDN/>
        <w:bidi w:val="0"/>
        <w:adjustRightInd/>
        <w:snapToGrid/>
        <w:spacing w:line="440" w:lineRule="exact"/>
        <w:ind w:left="150" w:right="150" w:firstLine="645"/>
        <w:textAlignment w:val="auto"/>
        <w:outlineLvl w:val="9"/>
        <w:rPr>
          <w:rFonts w:ascii="仿宋" w:hAnsi="仿宋" w:eastAsia="仿宋" w:cs="仿宋_GB2312"/>
          <w:kern w:val="2"/>
          <w:sz w:val="32"/>
          <w:szCs w:val="32"/>
        </w:rPr>
      </w:pPr>
      <w:r>
        <w:rPr>
          <w:rFonts w:hint="eastAsia" w:ascii="仿宋" w:hAnsi="仿宋" w:eastAsia="仿宋" w:cs="仿宋_GB2312"/>
          <w:kern w:val="2"/>
          <w:sz w:val="32"/>
          <w:szCs w:val="32"/>
        </w:rPr>
        <w:t>1、符合《政府采购法》第二十二条之规定，具有独立法人资格且具有相应的经营范围（以营业执照为准）；</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ascii="仿宋" w:hAnsi="仿宋" w:eastAsia="仿宋" w:cs="仿宋"/>
          <w:sz w:val="31"/>
          <w:szCs w:val="31"/>
          <w:shd w:val="clear" w:color="auto" w:fill="FFFFFF"/>
        </w:rPr>
      </w:pPr>
      <w:r>
        <w:rPr>
          <w:rFonts w:hint="eastAsia" w:ascii="仿宋_GB2312" w:eastAsia="仿宋_GB2312" w:cs="仿宋_GB2312"/>
          <w:sz w:val="31"/>
          <w:szCs w:val="31"/>
          <w:shd w:val="clear" w:color="auto" w:fill="FFFFFF"/>
          <w:lang w:val="en-US" w:eastAsia="zh-CN"/>
        </w:rPr>
        <w:t>2</w:t>
      </w:r>
      <w:r>
        <w:rPr>
          <w:rFonts w:hint="eastAsia" w:ascii="仿宋_GB2312" w:eastAsia="仿宋_GB2312" w:cs="仿宋_GB2312"/>
          <w:sz w:val="31"/>
          <w:szCs w:val="31"/>
          <w:shd w:val="clear" w:color="auto" w:fill="FFFFFF"/>
        </w:rPr>
        <w:t>、投标商</w:t>
      </w:r>
      <w:r>
        <w:rPr>
          <w:rFonts w:ascii="仿宋" w:hAnsi="仿宋" w:eastAsia="仿宋" w:cs="仿宋"/>
          <w:sz w:val="31"/>
          <w:szCs w:val="31"/>
          <w:shd w:val="clear" w:color="auto" w:fill="FFFFFF"/>
        </w:rPr>
        <w:t>应开具由项目所在地或企业营业执照注册所在地人民检察院出具的无行贿犯罪档案告知函；</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hint="eastAsia" w:ascii="仿宋" w:hAnsi="仿宋" w:eastAsia="仿宋" w:cs="仿宋"/>
          <w:sz w:val="31"/>
          <w:szCs w:val="31"/>
          <w:shd w:val="clear" w:color="auto" w:fill="FFFFFF"/>
          <w:lang w:val="en-US" w:eastAsia="zh-CN"/>
        </w:rPr>
      </w:pPr>
      <w:r>
        <w:rPr>
          <w:rFonts w:hint="eastAsia" w:ascii="仿宋" w:hAnsi="仿宋" w:eastAsia="仿宋" w:cs="仿宋"/>
          <w:sz w:val="31"/>
          <w:szCs w:val="31"/>
          <w:shd w:val="clear" w:color="auto" w:fill="FFFFFF"/>
          <w:lang w:val="en-US" w:eastAsia="zh-CN"/>
        </w:rPr>
        <w:t>3、投标商须具有城乡规划编制甲级资质；被委托人必须为本单位员工，须提供本单位为其缴纳社保的证明；</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150" w:firstLine="620" w:firstLineChars="200"/>
        <w:textAlignment w:val="auto"/>
        <w:outlineLvl w:val="9"/>
        <w:rPr>
          <w:rFonts w:ascii="仿宋" w:hAnsi="仿宋" w:eastAsia="仿宋" w:cs="仿宋"/>
          <w:sz w:val="31"/>
          <w:szCs w:val="31"/>
          <w:shd w:val="clear" w:color="auto" w:fill="FFFFFF"/>
        </w:rPr>
      </w:pPr>
      <w:r>
        <w:rPr>
          <w:rFonts w:hint="eastAsia" w:ascii="仿宋" w:hAnsi="仿宋" w:eastAsia="仿宋" w:cs="仿宋"/>
          <w:sz w:val="31"/>
          <w:szCs w:val="31"/>
          <w:shd w:val="clear" w:color="auto" w:fill="FFFFFF"/>
          <w:lang w:val="en-US" w:eastAsia="zh-CN"/>
        </w:rPr>
        <w:t>4</w:t>
      </w:r>
      <w:r>
        <w:rPr>
          <w:rFonts w:hint="eastAsia" w:ascii="仿宋" w:hAnsi="仿宋" w:eastAsia="仿宋" w:cs="仿宋"/>
          <w:sz w:val="31"/>
          <w:szCs w:val="31"/>
          <w:shd w:val="clear" w:color="auto" w:fill="FFFFFF"/>
        </w:rPr>
        <w:t>、本项目不接受联合体投标。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招标</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r>
        <w:rPr>
          <w:rFonts w:hint="eastAsia" w:ascii="黑体" w:hAnsi="黑体" w:eastAsia="黑体" w:cs="Arial"/>
          <w:b/>
          <w:color w:val="000000"/>
          <w:kern w:val="0"/>
          <w:sz w:val="32"/>
          <w:szCs w:val="32"/>
        </w:rPr>
        <w:t>及文件费用</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outlineLvl w:val="9"/>
        <w:rPr>
          <w:rFonts w:ascii="仿宋" w:hAnsi="仿宋" w:eastAsia="仿宋" w:cs="仿宋_GB2312"/>
          <w:sz w:val="32"/>
          <w:szCs w:val="32"/>
        </w:rPr>
      </w:pPr>
      <w:r>
        <w:rPr>
          <w:rFonts w:hint="eastAsia" w:ascii="仿宋" w:hAnsi="仿宋" w:eastAsia="仿宋" w:cs="仿宋_GB2312"/>
          <w:sz w:val="32"/>
          <w:szCs w:val="32"/>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仿宋" w:hAnsi="仿宋" w:eastAsia="仿宋" w:cs="仿宋_GB2312"/>
          <w:sz w:val="32"/>
          <w:szCs w:val="32"/>
        </w:rPr>
      </w:pPr>
      <w:r>
        <w:rPr>
          <w:rFonts w:hint="eastAsia" w:ascii="仿宋" w:hAnsi="仿宋" w:eastAsia="仿宋" w:cs="仿宋_GB2312"/>
          <w:sz w:val="32"/>
          <w:szCs w:val="32"/>
        </w:rPr>
        <w:t xml:space="preserve">    2、网上下载招标文件时间：自招标文件在网上发出之日起至提交投标文件前一个小时均可进行投标报名、下载招标文件。</w:t>
      </w:r>
    </w:p>
    <w:p>
      <w:pPr>
        <w:keepNext w:val="0"/>
        <w:keepLines w:val="0"/>
        <w:pageBreakBefore w:val="0"/>
        <w:kinsoku/>
        <w:wordWrap/>
        <w:overflowPunct/>
        <w:topLinePunct w:val="0"/>
        <w:autoSpaceDE/>
        <w:autoSpaceDN/>
        <w:bidi w:val="0"/>
        <w:adjustRightInd/>
        <w:snapToGrid/>
        <w:spacing w:line="440" w:lineRule="exact"/>
        <w:ind w:firstLine="640"/>
        <w:textAlignment w:val="auto"/>
        <w:outlineLvl w:val="9"/>
        <w:rPr>
          <w:rFonts w:ascii="仿宋" w:hAnsi="仿宋" w:eastAsia="仿宋" w:cs="仿宋_GB2312"/>
          <w:sz w:val="32"/>
          <w:szCs w:val="32"/>
        </w:rPr>
      </w:pPr>
      <w:r>
        <w:rPr>
          <w:rFonts w:hint="eastAsia" w:ascii="仿宋" w:hAnsi="仿宋" w:eastAsia="仿宋" w:cs="仿宋_GB2312"/>
          <w:sz w:val="32"/>
          <w:szCs w:val="32"/>
        </w:rPr>
        <w:t>3、未通过全国公共资源交易平台（河南省·许昌市）下载招标文件的投标企业，拒收其递交的投标文件</w:t>
      </w:r>
    </w:p>
    <w:p>
      <w:pPr>
        <w:keepNext w:val="0"/>
        <w:keepLines w:val="0"/>
        <w:pageBreakBefore w:val="0"/>
        <w:kinsoku/>
        <w:wordWrap/>
        <w:overflowPunct/>
        <w:topLinePunct w:val="0"/>
        <w:autoSpaceDE/>
        <w:autoSpaceDN/>
        <w:bidi w:val="0"/>
        <w:adjustRightInd/>
        <w:snapToGrid/>
        <w:spacing w:line="440" w:lineRule="exact"/>
        <w:ind w:firstLine="640"/>
        <w:textAlignment w:val="auto"/>
        <w:outlineLvl w:val="9"/>
        <w:rPr>
          <w:rFonts w:ascii="仿宋" w:hAnsi="仿宋" w:eastAsia="仿宋" w:cs="仿宋_GB2312"/>
          <w:sz w:val="32"/>
          <w:szCs w:val="32"/>
        </w:rPr>
      </w:pPr>
      <w:r>
        <w:rPr>
          <w:rFonts w:hint="eastAsia" w:ascii="仿宋" w:hAnsi="仿宋" w:eastAsia="仿宋" w:cs="仿宋_GB2312"/>
          <w:sz w:val="32"/>
          <w:szCs w:val="32"/>
        </w:rPr>
        <w:t>4、招标文件每份售价人民币300元，于递交投标文件时缴纳给采购代理机构，售后不退。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投标</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开标</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rPr>
        <w:t>1、投标</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开标</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1</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12</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9:00</w:t>
      </w:r>
      <w:r>
        <w:rPr>
          <w:rFonts w:ascii="仿宋" w:hAnsi="仿宋" w:eastAsia="仿宋" w:cs="Arial"/>
          <w:color w:val="000000"/>
          <w:kern w:val="0"/>
          <w:sz w:val="32"/>
          <w:szCs w:val="32"/>
        </w:rPr>
        <w:t>（北京时间），逾期送达或不符合规定的投标文件不予接受。</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2、开标</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禹州市公共资源交易中心第二开标室（禹州市行政服务中心楼9楼）</w:t>
      </w:r>
      <w:r>
        <w:rPr>
          <w:rFonts w:ascii="仿宋" w:hAnsi="仿宋" w:eastAsia="仿宋" w:cs="Arial"/>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150"/>
        <w:textAlignment w:val="auto"/>
        <w:outlineLvl w:val="9"/>
        <w:rPr>
          <w:rFonts w:ascii="仿宋" w:hAnsi="仿宋" w:eastAsia="仿宋" w:cs="仿宋_GB2312"/>
          <w:sz w:val="32"/>
          <w:szCs w:val="32"/>
        </w:rPr>
      </w:pPr>
      <w:r>
        <w:rPr>
          <w:rFonts w:hint="eastAsia" w:ascii="黑体" w:hAnsi="黑体" w:eastAsia="黑体" w:cs="Arial"/>
          <w:color w:val="000000"/>
          <w:sz w:val="32"/>
          <w:szCs w:val="32"/>
        </w:rPr>
        <w:t>六</w:t>
      </w:r>
      <w:r>
        <w:rPr>
          <w:rFonts w:ascii="黑体" w:hAnsi="黑体" w:eastAsia="黑体" w:cs="Arial"/>
          <w:color w:val="000000"/>
          <w:sz w:val="32"/>
          <w:szCs w:val="32"/>
        </w:rPr>
        <w:t>、公告期限：自本公告发布之日起</w:t>
      </w:r>
      <w:r>
        <w:rPr>
          <w:rFonts w:hint="eastAsia" w:ascii="黑体" w:hAnsi="黑体" w:eastAsia="黑体" w:cs="Arial"/>
          <w:color w:val="000000"/>
          <w:sz w:val="32"/>
          <w:szCs w:val="32"/>
        </w:rPr>
        <w:t>5</w:t>
      </w:r>
      <w:r>
        <w:rPr>
          <w:rFonts w:ascii="黑体" w:hAnsi="黑体" w:eastAsia="黑体" w:cs="Arial"/>
          <w:color w:val="000000"/>
          <w:sz w:val="32"/>
          <w:szCs w:val="32"/>
        </w:rPr>
        <w:t>个工作日。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七</w:t>
      </w:r>
      <w:r>
        <w:rPr>
          <w:rFonts w:ascii="黑体" w:hAnsi="黑体" w:eastAsia="黑体" w:cs="Arial"/>
          <w:color w:val="000000"/>
          <w:kern w:val="0"/>
          <w:sz w:val="32"/>
          <w:szCs w:val="32"/>
        </w:rPr>
        <w:t>、代理机构及采购单位地址、联系人、联系电话</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（一）代理机构：</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仿宋_GB2312"/>
          <w:sz w:val="32"/>
          <w:szCs w:val="32"/>
        </w:rPr>
        <w:t>禹州市行政服务中心楼917房间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艾先生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Times New Roman"/>
          <w:color w:val="000000"/>
          <w:kern w:val="0"/>
          <w:sz w:val="32"/>
          <w:szCs w:val="32"/>
        </w:rPr>
        <w:t>0374-2077111</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hint="eastAsia" w:ascii="仿宋" w:hAnsi="仿宋" w:eastAsia="仿宋" w:cs="Arial"/>
          <w:color w:val="000000"/>
          <w:kern w:val="0"/>
          <w:sz w:val="32"/>
          <w:szCs w:val="32"/>
          <w:lang w:eastAsia="zh-CN"/>
        </w:rPr>
      </w:pPr>
      <w:r>
        <w:rPr>
          <w:rFonts w:ascii="仿宋" w:hAnsi="仿宋" w:eastAsia="仿宋" w:cs="Arial"/>
          <w:color w:val="000000"/>
          <w:kern w:val="0"/>
          <w:sz w:val="32"/>
          <w:szCs w:val="32"/>
        </w:rPr>
        <w:t>采购单位：</w:t>
      </w:r>
      <w:r>
        <w:rPr>
          <w:rFonts w:hint="eastAsia" w:ascii="仿宋" w:hAnsi="仿宋" w:eastAsia="仿宋" w:cs="Arial"/>
          <w:color w:val="000000"/>
          <w:kern w:val="0"/>
          <w:sz w:val="32"/>
          <w:szCs w:val="32"/>
        </w:rPr>
        <w:t>禹州市</w:t>
      </w:r>
      <w:r>
        <w:rPr>
          <w:rFonts w:hint="eastAsia" w:ascii="仿宋" w:hAnsi="仿宋" w:eastAsia="仿宋" w:cs="Arial"/>
          <w:color w:val="000000"/>
          <w:kern w:val="0"/>
          <w:sz w:val="32"/>
          <w:szCs w:val="32"/>
          <w:lang w:eastAsia="zh-CN"/>
        </w:rPr>
        <w:t>城乡规划局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w:t>
      </w:r>
      <w:r>
        <w:rPr>
          <w:rFonts w:hint="eastAsia" w:ascii="仿宋" w:hAnsi="仿宋" w:eastAsia="仿宋" w:cs="Arial"/>
          <w:color w:val="000000"/>
          <w:kern w:val="0"/>
          <w:sz w:val="32"/>
          <w:szCs w:val="32"/>
          <w:lang w:eastAsia="zh-CN"/>
        </w:rPr>
        <w:t>行政南路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lang w:val="en-US"/>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：张</w:t>
      </w:r>
      <w:r>
        <w:rPr>
          <w:rFonts w:ascii="仿宋" w:hAnsi="仿宋" w:eastAsia="仿宋" w:cs="Arial"/>
          <w:color w:val="000000"/>
          <w:kern w:val="0"/>
          <w:sz w:val="32"/>
          <w:szCs w:val="32"/>
        </w:rPr>
        <w:t>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Arial"/>
          <w:color w:val="000000"/>
          <w:kern w:val="0"/>
          <w:sz w:val="32"/>
          <w:szCs w:val="32"/>
          <w:lang w:val="en-US" w:eastAsia="zh-CN"/>
        </w:rPr>
        <w:t>13782296660</w:t>
      </w: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r>
        <w:rPr>
          <w:rFonts w:hint="eastAsia" w:ascii="仿宋" w:hAnsi="仿宋" w:eastAsia="仿宋" w:cs="仿宋_GB2312"/>
          <w:sz w:val="32"/>
          <w:szCs w:val="32"/>
        </w:rPr>
        <w:t xml:space="preserve"> </w:t>
      </w: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r>
        <w:rPr>
          <w:rFonts w:hint="eastAsia" w:ascii="仿宋" w:hAnsi="仿宋" w:eastAsia="仿宋" w:cs="仿宋_GB2312"/>
          <w:sz w:val="32"/>
          <w:szCs w:val="32"/>
        </w:rPr>
        <w:t>2017年</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日</w:t>
      </w: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hint="eastAsia"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hint="eastAsia"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hint="eastAsia" w:ascii="仿宋" w:hAnsi="仿宋" w:eastAsia="仿宋" w:cs="仿宋_GB2312"/>
          <w:sz w:val="32"/>
          <w:szCs w:val="32"/>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YZCG-G2017</w:t>
            </w:r>
            <w:r>
              <w:rPr>
                <w:rFonts w:hint="eastAsia" w:ascii="仿宋" w:hAnsi="仿宋" w:eastAsia="仿宋"/>
                <w:color w:val="000000"/>
                <w:kern w:val="0"/>
                <w:sz w:val="24"/>
                <w:szCs w:val="24"/>
                <w:lang w:val="en-US" w:eastAsia="zh-CN"/>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禹州市城乡规划局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禹州市城市道路系统专项规划编制项目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伍仟元整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w:t>
            </w:r>
            <w:r>
              <w:rPr>
                <w:rFonts w:hint="eastAsia" w:ascii="仿宋" w:hAnsi="仿宋" w:eastAsia="仿宋"/>
                <w:sz w:val="24"/>
                <w:szCs w:val="24"/>
                <w:lang w:val="en-US" w:eastAsia="zh-CN"/>
              </w:rPr>
              <w:t>8</w:t>
            </w:r>
            <w:r>
              <w:rPr>
                <w:rFonts w:hint="eastAsia" w:ascii="仿宋" w:hAnsi="仿宋" w:eastAsia="仿宋"/>
                <w:sz w:val="24"/>
                <w:szCs w:val="24"/>
              </w:rPr>
              <w:t>年</w:t>
            </w:r>
            <w:r>
              <w:rPr>
                <w:rFonts w:hint="eastAsia" w:ascii="仿宋" w:hAnsi="仿宋" w:eastAsia="仿宋"/>
                <w:sz w:val="24"/>
                <w:szCs w:val="24"/>
                <w:lang w:val="en-US" w:eastAsia="zh-CN"/>
              </w:rPr>
              <w:t>1月12</w:t>
            </w:r>
            <w:r>
              <w:rPr>
                <w:rFonts w:hint="eastAsia" w:ascii="仿宋" w:hAnsi="仿宋" w:eastAsia="仿宋"/>
                <w:sz w:val="24"/>
                <w:szCs w:val="24"/>
              </w:rPr>
              <w:t>日</w:t>
            </w:r>
            <w:r>
              <w:rPr>
                <w:rFonts w:hint="eastAsia" w:ascii="仿宋" w:hAnsi="仿宋" w:eastAsia="仿宋"/>
                <w:sz w:val="24"/>
                <w:szCs w:val="24"/>
                <w:lang w:val="en-US" w:eastAsia="zh-CN"/>
              </w:rPr>
              <w:t xml:space="preserve">  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w:t>
            </w:r>
            <w:r>
              <w:rPr>
                <w:rFonts w:hint="eastAsia" w:ascii="仿宋" w:hAnsi="仿宋" w:eastAsia="仿宋"/>
                <w:color w:val="000000"/>
                <w:kern w:val="0"/>
                <w:sz w:val="24"/>
                <w:szCs w:val="24"/>
                <w:lang w:val="en-US" w:eastAsia="zh-CN"/>
              </w:rPr>
              <w:t>2</w:t>
            </w:r>
            <w:r>
              <w:rPr>
                <w:rFonts w:hint="eastAsia" w:ascii="仿宋" w:hAnsi="仿宋" w:eastAsia="仿宋"/>
                <w:color w:val="000000"/>
                <w:kern w:val="0"/>
                <w:sz w:val="24"/>
                <w:szCs w:val="24"/>
              </w:rPr>
              <w:t>份。</w:t>
            </w:r>
          </w:p>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FF0000"/>
                <w:kern w:val="0"/>
                <w:sz w:val="24"/>
                <w:szCs w:val="24"/>
                <w:lang w:val="en-US" w:eastAsia="zh-CN"/>
              </w:rPr>
              <w:t>注：投标人须提供电子版投标文件一份，随投标文件密封</w:t>
            </w:r>
            <w:r>
              <w:rPr>
                <w:rFonts w:hint="eastAsia" w:ascii="仿宋" w:hAnsi="仿宋" w:eastAsia="仿宋"/>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rPr>
              <w:t>201</w:t>
            </w:r>
            <w:r>
              <w:rPr>
                <w:rFonts w:hint="eastAsia" w:ascii="仿宋" w:hAnsi="仿宋" w:eastAsia="仿宋"/>
                <w:sz w:val="24"/>
                <w:szCs w:val="24"/>
                <w:lang w:val="en-US" w:eastAsia="zh-CN"/>
              </w:rPr>
              <w:t>8</w:t>
            </w:r>
            <w:r>
              <w:rPr>
                <w:rFonts w:hint="eastAsia" w:ascii="仿宋" w:hAnsi="仿宋" w:eastAsia="仿宋"/>
                <w:sz w:val="24"/>
                <w:szCs w:val="24"/>
              </w:rPr>
              <w:t>年</w:t>
            </w:r>
            <w:r>
              <w:rPr>
                <w:rFonts w:hint="eastAsia" w:ascii="仿宋" w:hAnsi="仿宋" w:eastAsia="仿宋"/>
                <w:sz w:val="24"/>
                <w:szCs w:val="24"/>
                <w:lang w:val="en-US" w:eastAsia="zh-CN"/>
              </w:rPr>
              <w:t>1月12</w:t>
            </w:r>
            <w:r>
              <w:rPr>
                <w:rFonts w:hint="eastAsia" w:ascii="仿宋" w:hAnsi="仿宋" w:eastAsia="仿宋"/>
                <w:sz w:val="24"/>
                <w:szCs w:val="24"/>
              </w:rPr>
              <w:t>日</w:t>
            </w:r>
            <w:r>
              <w:rPr>
                <w:rFonts w:hint="eastAsia" w:ascii="仿宋" w:hAnsi="仿宋" w:eastAsia="仿宋"/>
                <w:sz w:val="24"/>
                <w:szCs w:val="24"/>
                <w:lang w:val="en-US" w:eastAsia="zh-CN"/>
              </w:rPr>
              <w:t xml:space="preserve">  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rPr>
              <w:t>201</w:t>
            </w:r>
            <w:r>
              <w:rPr>
                <w:rFonts w:hint="eastAsia" w:ascii="仿宋" w:hAnsi="仿宋" w:eastAsia="仿宋"/>
                <w:sz w:val="24"/>
                <w:szCs w:val="24"/>
                <w:lang w:val="en-US" w:eastAsia="zh-CN"/>
              </w:rPr>
              <w:t>8</w:t>
            </w:r>
            <w:r>
              <w:rPr>
                <w:rFonts w:hint="eastAsia" w:ascii="仿宋" w:hAnsi="仿宋" w:eastAsia="仿宋"/>
                <w:sz w:val="24"/>
                <w:szCs w:val="24"/>
              </w:rPr>
              <w:t>年</w:t>
            </w:r>
            <w:r>
              <w:rPr>
                <w:rFonts w:hint="eastAsia" w:ascii="仿宋" w:hAnsi="仿宋" w:eastAsia="仿宋"/>
                <w:sz w:val="24"/>
                <w:szCs w:val="24"/>
                <w:lang w:val="en-US" w:eastAsia="zh-CN"/>
              </w:rPr>
              <w:t>1月12</w:t>
            </w:r>
            <w:r>
              <w:rPr>
                <w:rFonts w:hint="eastAsia" w:ascii="仿宋" w:hAnsi="仿宋" w:eastAsia="仿宋"/>
                <w:sz w:val="24"/>
                <w:szCs w:val="24"/>
              </w:rPr>
              <w:t>日</w:t>
            </w:r>
            <w:r>
              <w:rPr>
                <w:rFonts w:hint="eastAsia" w:ascii="仿宋" w:hAnsi="仿宋" w:eastAsia="仿宋"/>
                <w:sz w:val="24"/>
                <w:szCs w:val="24"/>
                <w:lang w:val="en-US" w:eastAsia="zh-CN"/>
              </w:rPr>
              <w:t xml:space="preserve">  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38.64</w:t>
            </w:r>
            <w:r>
              <w:rPr>
                <w:rFonts w:hint="eastAsia" w:ascii="仿宋" w:hAnsi="仿宋" w:eastAsia="仿宋"/>
                <w:b/>
                <w:bCs/>
                <w:sz w:val="24"/>
                <w:szCs w:val="24"/>
                <w:lang w:val="zh-CN"/>
              </w:rPr>
              <w:t>万元，投标商投标总报价不能超过项目预算金额及最最高限价，否则为无效投标。</w:t>
            </w:r>
          </w:p>
        </w:tc>
      </w:tr>
    </w:tbl>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　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lang w:val="en-US" w:eastAsia="zh-CN"/>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lang w:val="en-US" w:eastAsia="zh-CN"/>
        </w:rPr>
        <w:t>9</w:t>
      </w:r>
      <w:r>
        <w:rPr>
          <w:rFonts w:hint="eastAsia" w:ascii="仿宋" w:hAnsi="仿宋" w:eastAsia="仿宋" w:cs="宋体"/>
          <w:bCs/>
          <w:sz w:val="24"/>
          <w:lang w:val="zh-CN"/>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w:t>
      </w:r>
      <w:r>
        <w:rPr>
          <w:rFonts w:hint="eastAsia" w:ascii="仿宋" w:hAnsi="仿宋" w:eastAsia="仿宋"/>
          <w:sz w:val="24"/>
          <w:lang w:val="en-US" w:eastAsia="zh-CN"/>
        </w:rPr>
        <w:t>3</w:t>
      </w:r>
      <w:r>
        <w:rPr>
          <w:rFonts w:hint="eastAsia" w:ascii="仿宋" w:hAnsi="仿宋" w:eastAsia="仿宋"/>
          <w:sz w:val="24"/>
        </w:rPr>
        <w:t>、</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5</w:t>
      </w:r>
      <w:r>
        <w:rPr>
          <w:rFonts w:hint="eastAsia" w:ascii="仿宋" w:hAnsi="仿宋" w:eastAsia="仿宋" w:cs="宋体"/>
          <w:sz w:val="24"/>
          <w:lang w:val="zh-CN"/>
        </w:rPr>
        <w:t>、招标文件技术参数（需求）中所称的“大于等于”、“小于等于”，“等于”为最低要求。</w:t>
      </w:r>
    </w:p>
    <w:p>
      <w:pPr>
        <w:wordWrap w:val="0"/>
        <w:topLinePunct/>
        <w:autoSpaceDE w:val="0"/>
        <w:autoSpaceDN w:val="0"/>
        <w:adjustRightInd w:val="0"/>
        <w:snapToGrid w:val="0"/>
        <w:spacing w:line="360" w:lineRule="auto"/>
        <w:ind w:firstLine="480"/>
        <w:rPr>
          <w:rFonts w:hint="eastAsia"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6</w:t>
      </w:r>
      <w:r>
        <w:rPr>
          <w:rFonts w:hint="eastAsia" w:ascii="仿宋" w:hAnsi="仿宋" w:eastAsia="仿宋" w:cs="宋体"/>
          <w:sz w:val="24"/>
          <w:lang w:val="zh-CN"/>
        </w:rPr>
        <w:t>、投标文件（一）和投标文件（二）均为投标文件组成部分，应按照本招标文件要求分别提交。</w:t>
      </w:r>
    </w:p>
    <w:p>
      <w:pPr>
        <w:wordWrap w:val="0"/>
        <w:topLinePunct/>
        <w:autoSpaceDE w:val="0"/>
        <w:autoSpaceDN w:val="0"/>
        <w:adjustRightInd w:val="0"/>
        <w:snapToGrid w:val="0"/>
        <w:spacing w:line="360" w:lineRule="auto"/>
        <w:ind w:firstLine="480"/>
        <w:rPr>
          <w:rFonts w:hint="eastAsia"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7</w:t>
      </w:r>
      <w:r>
        <w:rPr>
          <w:rFonts w:hint="eastAsia" w:ascii="仿宋" w:hAnsi="仿宋" w:eastAsia="仿宋" w:cs="宋体"/>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209" w:firstLineChars="500"/>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5.1.1投标邀请函</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5.1.2 特别提示</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5.1.3投标人须知</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5.1.4采购内容及其它要求</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5.1.5开标和评标</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5.1.6 合同一般条款</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5.1.7合同特殊条款</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5.1.8合同样本</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5.1.9投标文件</w:t>
      </w:r>
      <w:r>
        <w:rPr>
          <w:rFonts w:hint="eastAsia" w:ascii="仿宋" w:hAnsi="仿宋" w:eastAsia="仿宋" w:cs="仿宋_GB2312"/>
          <w:color w:val="000000"/>
          <w:sz w:val="24"/>
          <w:szCs w:val="24"/>
          <w:lang w:eastAsia="zh-CN"/>
        </w:rPr>
        <w:t>内容及组成—</w:t>
      </w:r>
      <w:r>
        <w:rPr>
          <w:rFonts w:hint="eastAsia" w:ascii="仿宋" w:hAnsi="仿宋" w:eastAsia="仿宋" w:cs="仿宋_GB2312"/>
          <w:color w:val="000000"/>
          <w:sz w:val="24"/>
          <w:szCs w:val="24"/>
        </w:rPr>
        <w:t>投标文件</w:t>
      </w:r>
      <w:r>
        <w:rPr>
          <w:rFonts w:hint="eastAsia" w:ascii="仿宋" w:hAnsi="仿宋" w:eastAsia="仿宋" w:cs="仿宋_GB2312"/>
          <w:color w:val="000000"/>
          <w:sz w:val="24"/>
          <w:szCs w:val="24"/>
          <w:lang w:eastAsia="zh-CN"/>
        </w:rPr>
        <w:t>（一）和投标文件</w:t>
      </w:r>
      <w:r>
        <w:rPr>
          <w:rFonts w:hint="eastAsia" w:ascii="仿宋" w:hAnsi="仿宋" w:eastAsia="仿宋" w:cs="仿宋_GB2312"/>
          <w:color w:val="000000"/>
          <w:sz w:val="24"/>
          <w:szCs w:val="24"/>
        </w:rPr>
        <w:t>（二）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0" w:firstLineChars="200"/>
        <w:jc w:val="left"/>
        <w:rPr>
          <w:rFonts w:hint="eastAsia" w:ascii="仿宋" w:hAnsi="仿宋" w:eastAsia="仿宋" w:cs="仿宋_GB2312"/>
          <w:sz w:val="24"/>
          <w:szCs w:val="24"/>
          <w:lang w:val="zh-CN"/>
        </w:rPr>
      </w:pPr>
      <w:r>
        <w:rPr>
          <w:rFonts w:hint="eastAsia" w:ascii="仿宋" w:hAnsi="仿宋" w:eastAsia="仿宋" w:cs="仿宋_GB2312"/>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idowControl/>
        <w:tabs>
          <w:tab w:val="left" w:pos="6110"/>
        </w:tabs>
        <w:spacing w:line="440" w:lineRule="exact"/>
        <w:ind w:firstLine="472" w:firstLineChars="196"/>
        <w:jc w:val="left"/>
        <w:rPr>
          <w:rFonts w:ascii="仿宋" w:hAnsi="仿宋" w:eastAsia="仿宋" w:cs="仿宋_GB2312"/>
          <w:b/>
          <w:sz w:val="24"/>
          <w:szCs w:val="24"/>
          <w:shd w:val="clear" w:color="auto" w:fill="FFFFFF"/>
        </w:rPr>
      </w:pPr>
      <w:r>
        <w:rPr>
          <w:rFonts w:hint="eastAsia" w:ascii="仿宋" w:hAnsi="仿宋" w:eastAsia="仿宋" w:cs="仿宋_GB2312"/>
          <w:b/>
          <w:sz w:val="24"/>
          <w:szCs w:val="24"/>
        </w:rPr>
        <w:t>11 .</w:t>
      </w:r>
      <w:r>
        <w:rPr>
          <w:rFonts w:hint="eastAsia" w:ascii="仿宋" w:hAnsi="仿宋" w:eastAsia="仿宋" w:cs="仿宋_GB2312"/>
          <w:b/>
          <w:sz w:val="24"/>
          <w:szCs w:val="24"/>
          <w:shd w:val="clear" w:color="auto" w:fill="FFFFFF"/>
        </w:rPr>
        <w:t>投标保证金</w:t>
      </w:r>
      <w:r>
        <w:rPr>
          <w:rFonts w:hint="eastAsia" w:ascii="仿宋" w:hAnsi="仿宋" w:eastAsia="仿宋" w:cs="仿宋_GB2312"/>
          <w:b/>
          <w:sz w:val="24"/>
          <w:szCs w:val="24"/>
          <w:shd w:val="clear" w:color="auto" w:fill="FFFFFF"/>
        </w:rPr>
        <w:tab/>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_GB2312"/>
          <w:sz w:val="24"/>
          <w:szCs w:val="24"/>
        </w:rPr>
        <w:t xml:space="preserve"> </w:t>
      </w: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.1投标保证金为投标文件的组成部分之一。</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.2投标人按要求提交</w:t>
      </w:r>
      <w:r>
        <w:rPr>
          <w:rFonts w:hint="eastAsia" w:ascii="仿宋" w:hAnsi="仿宋" w:eastAsia="仿宋" w:cs="仿宋"/>
          <w:color w:val="FF0000"/>
          <w:sz w:val="24"/>
          <w:lang w:eastAsia="zh-CN"/>
        </w:rPr>
        <w:t>伍仟元整</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.3投标保证金用于保护本次招标人免受投标人的行为而引起的风险。</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 提交投标保证金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禹州市</w:t>
      </w:r>
      <w:r>
        <w:rPr>
          <w:rFonts w:hint="eastAsia" w:ascii="仿宋" w:hAnsi="仿宋" w:eastAsia="仿宋" w:cs="仿宋"/>
          <w:sz w:val="24"/>
          <w:lang w:val="zh-CN"/>
        </w:rPr>
        <w:t>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 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.7.4 供应商与采购人、其他供应商或者采购代理机构恶意串通的；</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textAlignment w:val="auto"/>
        <w:outlineLvl w:val="9"/>
        <w:rPr>
          <w:rFonts w:ascii="仿宋" w:hAnsi="仿宋" w:eastAsia="仿宋" w:cs="仿宋_GB2312"/>
          <w:sz w:val="24"/>
          <w:szCs w:val="24"/>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.7.5 法律法规及招标文件规定的其他情形。</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12.1投标人必须在投标截止时间之前将投标文件送至开标地点。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80" w:firstLineChars="200"/>
        <w:jc w:val="left"/>
        <w:rPr>
          <w:rFonts w:hint="eastAsia" w:ascii="仿宋" w:hAnsi="仿宋" w:eastAsia="仿宋" w:cs="仿宋_GB2312"/>
          <w:sz w:val="24"/>
          <w:szCs w:val="24"/>
        </w:rPr>
      </w:pPr>
      <w:r>
        <w:rPr>
          <w:rFonts w:hint="eastAsia" w:ascii="仿宋" w:hAnsi="仿宋" w:eastAsia="仿宋" w:cs="仿宋_GB2312"/>
          <w:sz w:val="24"/>
          <w:szCs w:val="24"/>
          <w:lang w:val="en-US" w:eastAsia="zh-CN"/>
        </w:rPr>
        <w:t>15.</w:t>
      </w:r>
      <w:r>
        <w:rPr>
          <w:rFonts w:hint="eastAsia" w:ascii="仿宋" w:hAnsi="仿宋" w:eastAsia="仿宋" w:cs="仿宋_GB2312"/>
          <w:sz w:val="24"/>
          <w:szCs w:val="24"/>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en-US" w:eastAsia="zh-CN"/>
        </w:rPr>
        <w:t>16</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1325" w:firstLineChars="300"/>
        <w:rPr>
          <w:rFonts w:ascii="仿宋" w:hAnsi="仿宋" w:eastAsia="仿宋"/>
          <w:b/>
          <w:sz w:val="44"/>
        </w:rPr>
      </w:pPr>
      <w:bookmarkStart w:id="2" w:name="_GoBack"/>
      <w:bookmarkEnd w:id="2"/>
      <w:r>
        <w:rPr>
          <w:rFonts w:hint="eastAsia" w:ascii="仿宋" w:hAnsi="仿宋" w:eastAsia="仿宋"/>
          <w:b/>
          <w:sz w:val="44"/>
        </w:rPr>
        <w:t>第四部分 采购内容及其他要求</w:t>
      </w:r>
    </w:p>
    <w:p>
      <w:pPr>
        <w:widowControl/>
        <w:spacing w:line="460" w:lineRule="exact"/>
        <w:ind w:firstLine="480" w:firstLineChars="200"/>
        <w:rPr>
          <w:rFonts w:hint="eastAsia" w:ascii="仿宋" w:hAnsi="仿宋" w:eastAsia="仿宋" w:cs="仿宋_GB2312"/>
          <w:b/>
          <w:sz w:val="24"/>
          <w:szCs w:val="24"/>
        </w:rPr>
      </w:pPr>
      <w:r>
        <w:rPr>
          <w:rFonts w:ascii="仿宋" w:hAnsi="仿宋" w:eastAsia="仿宋" w:cs="仿宋_GB2312"/>
          <w:sz w:val="24"/>
          <w:szCs w:val="24"/>
        </w:rPr>
        <w:tab/>
      </w:r>
      <w:r>
        <w:rPr>
          <w:rFonts w:hint="eastAsia" w:ascii="仿宋" w:hAnsi="仿宋" w:eastAsia="仿宋" w:cs="仿宋_GB2312"/>
          <w:b/>
          <w:sz w:val="24"/>
          <w:szCs w:val="24"/>
        </w:rPr>
        <w:t xml:space="preserve"> </w:t>
      </w:r>
    </w:p>
    <w:p>
      <w:pPr>
        <w:numPr>
          <w:ilvl w:val="0"/>
          <w:numId w:val="6"/>
        </w:numPr>
        <w:spacing w:line="500" w:lineRule="exact"/>
        <w:ind w:firstLine="602" w:firstLineChars="200"/>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项目背景：</w:t>
      </w:r>
    </w:p>
    <w:p>
      <w:pPr>
        <w:spacing w:line="5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为贯彻落实</w:t>
      </w:r>
      <w:r>
        <w:rPr>
          <w:rFonts w:hint="eastAsia" w:ascii="仿宋" w:hAnsi="仿宋" w:eastAsia="仿宋" w:cs="仿宋"/>
          <w:color w:val="auto"/>
          <w:sz w:val="30"/>
          <w:szCs w:val="30"/>
          <w:highlight w:val="none"/>
          <w:lang w:val="zh-CN"/>
        </w:rPr>
        <w:t>河南省委、省人民政府推进百城建设提质工程的重大举措，提高城市基础设施的支撑能力，</w:t>
      </w:r>
      <w:r>
        <w:rPr>
          <w:rFonts w:hint="eastAsia" w:ascii="仿宋" w:hAnsi="仿宋" w:eastAsia="仿宋" w:cs="仿宋"/>
          <w:color w:val="auto"/>
          <w:sz w:val="30"/>
          <w:szCs w:val="30"/>
          <w:highlight w:val="none"/>
          <w:lang w:val="zh-CN" w:eastAsia="zh-CN"/>
        </w:rPr>
        <w:t>加强和完善城市道路系统网络空间结构布局。构筑“对外交通系统发达、内外衔接系统紧密、城市道路系统完善、公共交通系统便捷、城市慢行系统连续、城市停车系统灵活”的可持续、协调、一体化发展的城市道路系统，促进城市经济社会快速、全面发展。</w:t>
      </w:r>
    </w:p>
    <w:p>
      <w:pPr>
        <w:spacing w:line="500" w:lineRule="exact"/>
        <w:ind w:firstLine="602" w:firstLineChars="200"/>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二、规划范围及内容：</w:t>
      </w:r>
    </w:p>
    <w:p>
      <w:pPr>
        <w:spacing w:line="500" w:lineRule="exact"/>
        <w:ind w:firstLine="602" w:firstLineChars="200"/>
        <w:rPr>
          <w:rFonts w:hint="eastAsia" w:ascii="仿宋" w:hAnsi="仿宋" w:eastAsia="仿宋" w:cs="仿宋"/>
          <w:color w:val="auto"/>
          <w:sz w:val="30"/>
          <w:szCs w:val="30"/>
          <w:highlight w:val="none"/>
          <w:lang w:eastAsia="zh-CN"/>
        </w:rPr>
      </w:pPr>
      <w:r>
        <w:rPr>
          <w:rFonts w:hint="eastAsia" w:ascii="仿宋" w:hAnsi="仿宋" w:eastAsia="仿宋" w:cs="仿宋"/>
          <w:b/>
          <w:bCs/>
          <w:color w:val="auto"/>
          <w:sz w:val="30"/>
          <w:szCs w:val="30"/>
          <w:highlight w:val="none"/>
          <w:lang w:eastAsia="zh-CN"/>
        </w:rPr>
        <w:t>本次规划范围：</w:t>
      </w:r>
      <w:r>
        <w:rPr>
          <w:rFonts w:hint="eastAsia" w:ascii="仿宋" w:hAnsi="仿宋" w:eastAsia="仿宋" w:cs="仿宋"/>
          <w:color w:val="auto"/>
          <w:sz w:val="30"/>
          <w:szCs w:val="30"/>
          <w:highlight w:val="none"/>
          <w:lang w:eastAsia="zh-CN"/>
        </w:rPr>
        <w:t>禹州市中心城区范围，</w:t>
      </w:r>
      <w:r>
        <w:rPr>
          <w:rFonts w:hint="eastAsia" w:ascii="仿宋" w:hAnsi="仿宋" w:eastAsia="仿宋" w:cs="仿宋"/>
          <w:color w:val="auto"/>
          <w:sz w:val="30"/>
          <w:szCs w:val="30"/>
          <w:highlight w:val="none"/>
          <w:lang w:val="zh-CN" w:eastAsia="zh-CN"/>
        </w:rPr>
        <w:t>面积73.6平方公里。</w:t>
      </w:r>
      <w:r>
        <w:rPr>
          <w:rFonts w:hint="eastAsia" w:ascii="仿宋" w:hAnsi="仿宋" w:eastAsia="仿宋" w:cs="仿宋"/>
          <w:color w:val="auto"/>
          <w:sz w:val="30"/>
          <w:szCs w:val="30"/>
          <w:highlight w:val="none"/>
          <w:lang w:eastAsia="zh-CN"/>
        </w:rPr>
        <w:t>规划期限为201</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lang w:eastAsia="zh-CN"/>
        </w:rPr>
        <w:t>—2030年。</w:t>
      </w:r>
      <w:r>
        <w:rPr>
          <w:rFonts w:hint="eastAsia" w:ascii="仿宋" w:hAnsi="仿宋" w:eastAsia="仿宋" w:cs="仿宋"/>
          <w:b/>
          <w:bCs/>
          <w:color w:val="auto"/>
          <w:sz w:val="30"/>
          <w:szCs w:val="30"/>
          <w:highlight w:val="none"/>
          <w:lang w:eastAsia="zh-CN"/>
        </w:rPr>
        <w:t>本次规划目的：</w:t>
      </w:r>
      <w:r>
        <w:rPr>
          <w:rFonts w:hint="eastAsia" w:ascii="仿宋" w:hAnsi="仿宋" w:eastAsia="仿宋" w:cs="仿宋"/>
          <w:color w:val="auto"/>
          <w:sz w:val="30"/>
          <w:szCs w:val="30"/>
          <w:highlight w:val="none"/>
          <w:lang w:eastAsia="zh-CN"/>
        </w:rPr>
        <w:t>响应河南省“百城提质”的工作要求，</w:t>
      </w:r>
      <w:r>
        <w:rPr>
          <w:rFonts w:hint="eastAsia" w:ascii="仿宋" w:hAnsi="仿宋" w:eastAsia="仿宋" w:cs="仿宋"/>
          <w:color w:val="auto"/>
          <w:sz w:val="30"/>
          <w:szCs w:val="30"/>
          <w:highlight w:val="none"/>
          <w:lang w:val="zh-CN" w:eastAsia="zh-CN"/>
        </w:rPr>
        <w:t>在现状城市道路系统调查基础上，分析诊断当前城市道路系统存在的问题，提出科学、合理、有效的解决途径和方法，制定城市道路系统专项规划的工作目标及工作要求，合理安排城市道路系统关系，形成内外交通一体化、可持续发展的道路系统结构体系。</w:t>
      </w:r>
      <w:r>
        <w:rPr>
          <w:rFonts w:hint="eastAsia" w:ascii="仿宋" w:hAnsi="仿宋" w:eastAsia="仿宋" w:cs="仿宋"/>
          <w:b/>
          <w:bCs/>
          <w:color w:val="auto"/>
          <w:sz w:val="30"/>
          <w:szCs w:val="30"/>
          <w:highlight w:val="none"/>
          <w:lang w:eastAsia="zh-CN"/>
        </w:rPr>
        <w:t>主要规划内容：</w:t>
      </w:r>
      <w:r>
        <w:rPr>
          <w:rFonts w:hint="eastAsia" w:ascii="仿宋" w:hAnsi="仿宋" w:eastAsia="仿宋" w:cs="仿宋"/>
          <w:color w:val="auto"/>
          <w:sz w:val="30"/>
          <w:szCs w:val="30"/>
          <w:highlight w:val="none"/>
          <w:lang w:eastAsia="zh-CN"/>
        </w:rPr>
        <w:t>对禹州市城市道路现状进行分析，预测城市交通需求，明确主要道路系统及城市交通问题，以城市道路网系统、对外衔接道路、城市骨干道路系统、道路网规划指标、道路红线与断面、城市慢行交通系统、道路交叉口处理和道路竖向控制为重点，制定实施保障措施和近期建设计划，对禹州市城市道路系统进行合理规划布局。</w:t>
      </w:r>
    </w:p>
    <w:p>
      <w:pPr>
        <w:numPr>
          <w:ilvl w:val="0"/>
          <w:numId w:val="7"/>
        </w:numPr>
        <w:spacing w:line="500" w:lineRule="exact"/>
        <w:ind w:firstLine="602" w:firstLineChars="200"/>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成果要求：</w:t>
      </w:r>
    </w:p>
    <w:p>
      <w:pPr>
        <w:spacing w:line="500" w:lineRule="exact"/>
        <w:ind w:firstLine="600" w:firstLineChars="200"/>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立足推动禹州走新型城镇化、信息化、农业现代化和绿色化协调发展道路，以禹州市道路系统框架为基础、因地制宜可持续发展为导向，制定《禹州市城市道路系统专项规划》（以下简称《专项规划》），谋划建设任务，</w:t>
      </w:r>
      <w:r>
        <w:rPr>
          <w:rFonts w:hint="eastAsia" w:ascii="仿宋" w:hAnsi="仿宋" w:eastAsia="仿宋" w:cs="仿宋"/>
          <w:color w:val="auto"/>
          <w:sz w:val="30"/>
          <w:szCs w:val="30"/>
          <w:highlight w:val="none"/>
          <w:lang w:val="zh-CN" w:eastAsia="zh-CN"/>
        </w:rPr>
        <w:t>科学配置道路资源，发展绿色、便捷道路交通体系。</w:t>
      </w:r>
      <w:r>
        <w:rPr>
          <w:rFonts w:hint="eastAsia" w:ascii="仿宋" w:hAnsi="仿宋" w:eastAsia="仿宋" w:cs="仿宋"/>
          <w:color w:val="auto"/>
          <w:sz w:val="30"/>
          <w:szCs w:val="30"/>
          <w:highlight w:val="none"/>
          <w:lang w:eastAsia="zh-CN"/>
        </w:rPr>
        <w:t>本次《专项规划》具体成果包括：(1)A3规格的设计成果</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lang w:eastAsia="zh-CN"/>
        </w:rPr>
        <w:t>套。（2）PPT格式的汇报系统文件。（3）全部成果的电子文件光盘2套（</w:t>
      </w:r>
      <w:r>
        <w:rPr>
          <w:rFonts w:hint="eastAsia" w:ascii="仿宋" w:hAnsi="仿宋" w:eastAsia="仿宋" w:cs="仿宋"/>
          <w:color w:val="auto"/>
          <w:sz w:val="30"/>
          <w:szCs w:val="30"/>
          <w:highlight w:val="none"/>
          <w:lang w:val="en-US" w:eastAsia="zh-CN"/>
        </w:rPr>
        <w:t>包括CAD格式及WPS格式</w:t>
      </w:r>
      <w:r>
        <w:rPr>
          <w:rFonts w:hint="eastAsia" w:ascii="仿宋" w:hAnsi="仿宋" w:eastAsia="仿宋" w:cs="仿宋"/>
          <w:color w:val="auto"/>
          <w:sz w:val="30"/>
          <w:szCs w:val="30"/>
          <w:highlight w:val="none"/>
          <w:lang w:eastAsia="zh-CN"/>
        </w:rPr>
        <w:t>）。</w:t>
      </w:r>
    </w:p>
    <w:p>
      <w:pPr>
        <w:spacing w:line="500" w:lineRule="exact"/>
        <w:ind w:firstLine="64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具体内容</w:t>
      </w:r>
      <w:r>
        <w:rPr>
          <w:rFonts w:hint="eastAsia" w:ascii="仿宋" w:hAnsi="仿宋" w:eastAsia="仿宋" w:cs="仿宋"/>
          <w:color w:val="auto"/>
          <w:sz w:val="30"/>
          <w:szCs w:val="30"/>
          <w:highlight w:val="none"/>
          <w:lang w:eastAsia="zh-CN"/>
        </w:rPr>
        <w:t>以《</w:t>
      </w:r>
      <w:r>
        <w:rPr>
          <w:rFonts w:hint="eastAsia" w:ascii="仿宋" w:hAnsi="仿宋" w:eastAsia="仿宋" w:cs="仿宋"/>
          <w:color w:val="auto"/>
          <w:sz w:val="30"/>
          <w:szCs w:val="30"/>
          <w:highlight w:val="none"/>
        </w:rPr>
        <w:t>河南省城市道路系统专项规划编制纲要（试行）</w:t>
      </w:r>
      <w:r>
        <w:rPr>
          <w:rFonts w:hint="eastAsia" w:ascii="仿宋" w:hAnsi="仿宋" w:eastAsia="仿宋" w:cs="仿宋"/>
          <w:color w:val="auto"/>
          <w:sz w:val="30"/>
          <w:szCs w:val="30"/>
          <w:highlight w:val="none"/>
          <w:lang w:eastAsia="zh-CN"/>
        </w:rPr>
        <w:t>》要求为准</w:t>
      </w:r>
      <w:r>
        <w:rPr>
          <w:rFonts w:hint="eastAsia" w:ascii="仿宋" w:hAnsi="仿宋" w:eastAsia="仿宋" w:cs="仿宋"/>
          <w:color w:val="auto"/>
          <w:sz w:val="30"/>
          <w:szCs w:val="30"/>
          <w:highlight w:val="none"/>
        </w:rPr>
        <w:t>：</w:t>
      </w:r>
    </w:p>
    <w:p>
      <w:pPr>
        <w:spacing w:line="500" w:lineRule="exact"/>
        <w:ind w:firstLine="64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1、规划文本：</w:t>
      </w:r>
      <w:r>
        <w:rPr>
          <w:rFonts w:hint="eastAsia" w:ascii="仿宋" w:hAnsi="仿宋" w:eastAsia="仿宋" w:cs="仿宋"/>
          <w:color w:val="auto"/>
          <w:sz w:val="30"/>
          <w:szCs w:val="30"/>
          <w:highlight w:val="none"/>
          <w:lang w:eastAsia="zh-CN"/>
        </w:rPr>
        <w:t>道路系统</w:t>
      </w:r>
      <w:r>
        <w:rPr>
          <w:rFonts w:hint="eastAsia" w:ascii="仿宋" w:hAnsi="仿宋" w:eastAsia="仿宋" w:cs="仿宋"/>
          <w:color w:val="auto"/>
          <w:sz w:val="30"/>
          <w:szCs w:val="30"/>
          <w:highlight w:val="none"/>
        </w:rPr>
        <w:t>专项规划指引，包括现状问题</w:t>
      </w:r>
      <w:r>
        <w:rPr>
          <w:rFonts w:hint="eastAsia" w:ascii="仿宋" w:hAnsi="仿宋" w:eastAsia="仿宋" w:cs="仿宋"/>
          <w:color w:val="auto"/>
          <w:sz w:val="30"/>
          <w:szCs w:val="30"/>
          <w:highlight w:val="none"/>
          <w:lang w:eastAsia="zh-CN"/>
        </w:rPr>
        <w:t>分析</w:t>
      </w:r>
      <w:r>
        <w:rPr>
          <w:rFonts w:hint="eastAsia" w:ascii="仿宋" w:hAnsi="仿宋" w:eastAsia="仿宋" w:cs="仿宋"/>
          <w:color w:val="auto"/>
          <w:sz w:val="30"/>
          <w:szCs w:val="30"/>
          <w:highlight w:val="none"/>
        </w:rPr>
        <w:t>、规划目标和定位，</w:t>
      </w:r>
      <w:r>
        <w:rPr>
          <w:rFonts w:hint="eastAsia" w:ascii="仿宋" w:hAnsi="仿宋" w:eastAsia="仿宋" w:cs="仿宋"/>
          <w:color w:val="auto"/>
          <w:sz w:val="30"/>
          <w:szCs w:val="30"/>
          <w:highlight w:val="none"/>
          <w:lang w:eastAsia="zh-CN"/>
        </w:rPr>
        <w:t>发展战略、道路系统规划、道路断面规划、道路竖向规划、近期建设</w:t>
      </w:r>
      <w:r>
        <w:rPr>
          <w:rFonts w:hint="eastAsia" w:ascii="仿宋" w:hAnsi="仿宋" w:eastAsia="仿宋" w:cs="仿宋"/>
          <w:color w:val="auto"/>
          <w:sz w:val="30"/>
          <w:szCs w:val="30"/>
          <w:highlight w:val="none"/>
        </w:rPr>
        <w:t>和重点任务等内容。</w:t>
      </w:r>
    </w:p>
    <w:p>
      <w:pPr>
        <w:spacing w:line="500" w:lineRule="exact"/>
        <w:ind w:firstLine="64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2、主要技术图纸：区位</w:t>
      </w:r>
      <w:r>
        <w:rPr>
          <w:rFonts w:hint="eastAsia" w:ascii="仿宋" w:hAnsi="仿宋" w:eastAsia="仿宋" w:cs="仿宋"/>
          <w:color w:val="auto"/>
          <w:sz w:val="30"/>
          <w:szCs w:val="30"/>
          <w:highlight w:val="none"/>
          <w:lang w:eastAsia="zh-CN"/>
        </w:rPr>
        <w:t>分析</w:t>
      </w:r>
      <w:r>
        <w:rPr>
          <w:rFonts w:hint="eastAsia" w:ascii="仿宋" w:hAnsi="仿宋" w:eastAsia="仿宋" w:cs="仿宋"/>
          <w:color w:val="auto"/>
          <w:sz w:val="30"/>
          <w:szCs w:val="30"/>
          <w:highlight w:val="none"/>
        </w:rPr>
        <w:t>图</w:t>
      </w:r>
      <w:r>
        <w:rPr>
          <w:rFonts w:hint="eastAsia" w:ascii="仿宋" w:hAnsi="仿宋" w:eastAsia="仿宋" w:cs="仿宋"/>
          <w:color w:val="auto"/>
          <w:sz w:val="30"/>
          <w:szCs w:val="30"/>
          <w:highlight w:val="none"/>
          <w:lang w:eastAsia="zh-CN"/>
        </w:rPr>
        <w:t>、城市用地现状图、</w:t>
      </w:r>
      <w:r>
        <w:rPr>
          <w:rFonts w:hint="eastAsia" w:ascii="仿宋" w:hAnsi="仿宋" w:eastAsia="仿宋" w:cs="仿宋"/>
          <w:color w:val="auto"/>
          <w:sz w:val="30"/>
          <w:szCs w:val="30"/>
          <w:highlight w:val="none"/>
        </w:rPr>
        <w:t>道路现状图</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城区用地规划图</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道路网系统规划图</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对外交通道路规划图</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道路网平面规划分区图</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城市道路横断面规划图</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城市交叉口规划图、城市道路网竖向规划图、城市步行系统规划图、城市非机动车系统规划图、近期建设规划图等。道路横断面规划图比例采用1:200~1:1000；平面交叉口规划图比例采用1:500~1:2000；区位关系图宜缩小（1:10000~1:50000）；其他图纸与城市总体规划图基本一致，一般采用1:5000~1:25000；并标明风玫瑰。</w:t>
      </w:r>
    </w:p>
    <w:p>
      <w:pPr>
        <w:spacing w:line="500" w:lineRule="exact"/>
        <w:ind w:firstLine="640"/>
        <w:rPr>
          <w:rFonts w:hint="eastAsia" w:ascii="仿宋" w:hAnsi="仿宋" w:eastAsia="仿宋" w:cs="仿宋_GB2312"/>
          <w:b/>
          <w:sz w:val="24"/>
          <w:szCs w:val="24"/>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规划附件</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说明书等对规划文本及图纸解释说明文件</w:t>
      </w:r>
      <w:r>
        <w:rPr>
          <w:rFonts w:hint="eastAsia" w:ascii="仿宋" w:hAnsi="仿宋" w:eastAsia="仿宋" w:cs="仿宋"/>
          <w:color w:val="auto"/>
          <w:sz w:val="30"/>
          <w:szCs w:val="30"/>
          <w:highlight w:val="none"/>
        </w:rPr>
        <w:t>。</w:t>
      </w:r>
    </w:p>
    <w:p>
      <w:pPr>
        <w:spacing w:line="500" w:lineRule="exact"/>
        <w:ind w:firstLine="482" w:firstLineChars="200"/>
        <w:rPr>
          <w:rFonts w:ascii="仿宋" w:hAnsi="仿宋" w:eastAsia="仿宋" w:cs="仿宋_GB2312"/>
          <w:b/>
          <w:sz w:val="24"/>
          <w:szCs w:val="24"/>
        </w:rPr>
      </w:pPr>
      <w:r>
        <w:rPr>
          <w:rFonts w:hint="eastAsia" w:ascii="仿宋" w:hAnsi="仿宋" w:eastAsia="仿宋" w:cs="仿宋_GB2312"/>
          <w:b/>
          <w:sz w:val="24"/>
          <w:szCs w:val="24"/>
        </w:rPr>
        <w:t>四、 其他要求：</w:t>
      </w:r>
    </w:p>
    <w:p>
      <w:pPr>
        <w:spacing w:line="460" w:lineRule="exact"/>
        <w:ind w:firstLine="472" w:firstLineChars="196"/>
        <w:rPr>
          <w:rFonts w:ascii="仿宋" w:hAnsi="仿宋" w:eastAsia="仿宋" w:cs="仿宋_GB2312"/>
          <w:b/>
          <w:sz w:val="24"/>
          <w:szCs w:val="24"/>
        </w:rPr>
      </w:pPr>
      <w:r>
        <w:rPr>
          <w:rFonts w:hint="eastAsia" w:ascii="仿宋" w:hAnsi="仿宋" w:eastAsia="仿宋" w:cs="仿宋_GB2312"/>
          <w:b/>
          <w:sz w:val="24"/>
          <w:szCs w:val="24"/>
        </w:rPr>
        <w:t>1、以上技术要求投标供应商应等于或优于以上要求，不得低于此要求，否则为无效投标。</w:t>
      </w:r>
    </w:p>
    <w:p>
      <w:pPr>
        <w:widowControl/>
        <w:spacing w:line="46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2、投标商须有合理的工作</w:t>
      </w:r>
      <w:r>
        <w:rPr>
          <w:rFonts w:hint="eastAsia" w:ascii="仿宋" w:hAnsi="仿宋" w:eastAsia="仿宋" w:cs="仿宋_GB2312"/>
          <w:b/>
          <w:sz w:val="24"/>
          <w:szCs w:val="24"/>
          <w:lang w:eastAsia="zh-CN"/>
        </w:rPr>
        <w:t>方案</w:t>
      </w:r>
      <w:r>
        <w:rPr>
          <w:rFonts w:hint="eastAsia" w:ascii="仿宋" w:hAnsi="仿宋" w:eastAsia="仿宋" w:cs="仿宋_GB2312"/>
          <w:b/>
          <w:sz w:val="24"/>
          <w:szCs w:val="24"/>
        </w:rPr>
        <w:t>，否则为无效投标。</w:t>
      </w:r>
    </w:p>
    <w:p>
      <w:pPr>
        <w:snapToGrid w:val="0"/>
        <w:spacing w:line="460" w:lineRule="exact"/>
        <w:ind w:firstLine="482" w:firstLineChars="200"/>
        <w:rPr>
          <w:rFonts w:ascii="仿宋" w:hAnsi="仿宋" w:eastAsia="仿宋" w:cs="仿宋_GB2312"/>
          <w:b/>
          <w:sz w:val="24"/>
          <w:szCs w:val="24"/>
        </w:rPr>
      </w:pPr>
      <w:r>
        <w:rPr>
          <w:rFonts w:hint="eastAsia" w:ascii="仿宋" w:hAnsi="仿宋" w:eastAsia="仿宋" w:cs="仿宋_GB2312"/>
          <w:b/>
          <w:sz w:val="24"/>
          <w:szCs w:val="24"/>
        </w:rPr>
        <w:t>3、投标人应就该项目完整投标（报价税费等综合费用），否则为无效投标。</w:t>
      </w:r>
    </w:p>
    <w:p>
      <w:pPr>
        <w:spacing w:line="4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4、投标商必须由法定代表人或委托代理人参加开标会议，随时接受评标委员会询问，并予作出书面解答。</w:t>
      </w:r>
    </w:p>
    <w:p>
      <w:pPr>
        <w:widowControl/>
        <w:spacing w:line="460" w:lineRule="exact"/>
        <w:ind w:firstLine="480" w:firstLineChars="200"/>
        <w:rPr>
          <w:rFonts w:hint="eastAsia" w:ascii="仿宋" w:hAnsi="仿宋" w:eastAsia="仿宋" w:cs="仿宋_GB2312"/>
          <w:b/>
          <w:sz w:val="24"/>
          <w:szCs w:val="24"/>
        </w:rPr>
        <w:sectPr>
          <w:headerReference r:id="rId3" w:type="default"/>
          <w:footerReference r:id="rId4" w:type="default"/>
          <w:pgSz w:w="11907" w:h="16840"/>
          <w:pgMar w:top="1440" w:right="1474" w:bottom="1440" w:left="1474" w:header="851" w:footer="992" w:gutter="0"/>
          <w:cols w:space="425" w:num="1"/>
          <w:docGrid w:linePitch="312" w:charSpace="0"/>
        </w:sectPr>
      </w:pPr>
      <w:r>
        <w:rPr>
          <w:rFonts w:hint="eastAsia" w:ascii="仿宋" w:hAnsi="仿宋" w:eastAsia="仿宋" w:cs="仿宋_GB2312"/>
          <w:sz w:val="24"/>
          <w:szCs w:val="24"/>
        </w:rPr>
        <w:t>5、本次招标不支持联合体投标。</w:t>
      </w:r>
      <w:r>
        <w:rPr>
          <w:rFonts w:ascii="仿宋" w:hAnsi="仿宋" w:eastAsia="仿宋" w:cs="仿宋_GB2312"/>
          <w:sz w:val="24"/>
          <w:szCs w:val="24"/>
        </w:rPr>
        <w:tab/>
      </w:r>
      <w:r>
        <w:rPr>
          <w:rFonts w:hint="eastAsia" w:ascii="仿宋" w:hAnsi="仿宋" w:eastAsia="仿宋" w:cs="仿宋_GB2312"/>
          <w:b/>
          <w:sz w:val="24"/>
          <w:szCs w:val="24"/>
        </w:rPr>
        <w:t xml:space="preserve"> </w:t>
      </w:r>
    </w:p>
    <w:p>
      <w:pPr>
        <w:spacing w:line="520" w:lineRule="exact"/>
        <w:ind w:firstLine="2200" w:firstLineChars="500"/>
        <w:rPr>
          <w:rFonts w:hint="eastAsia"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hint="eastAsia" w:ascii="仿宋" w:hAnsi="仿宋" w:eastAsia="仿宋" w:cs="仿宋"/>
          <w:b/>
          <w:sz w:val="24"/>
          <w:szCs w:val="24"/>
        </w:rPr>
      </w:pP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hint="eastAsia"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hint="eastAsia"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需出具本单位授权委托书，资格审查小组成员不得做为业主代表参进入评标委员会参与评标），对投标人的资格要求进行审查，在资格性审查期间，所有投标人应当回避</w:t>
      </w:r>
      <w:r>
        <w:rPr>
          <w:rFonts w:hint="eastAsia" w:ascii="仿宋" w:hAnsi="仿宋" w:eastAsia="仿宋" w:cs="仿宋"/>
          <w:sz w:val="24"/>
          <w:szCs w:val="24"/>
          <w:lang w:eastAsia="zh-CN"/>
        </w:rPr>
        <w:t>。</w:t>
      </w:r>
      <w:r>
        <w:rPr>
          <w:rFonts w:hint="eastAsia" w:ascii="仿宋" w:hAnsi="仿宋" w:eastAsia="仿宋" w:cs="仿宋"/>
          <w:sz w:val="24"/>
          <w:szCs w:val="24"/>
        </w:rPr>
        <w:t>合格投标人不足3家的，不得评标。</w:t>
      </w:r>
    </w:p>
    <w:p>
      <w:pPr>
        <w:spacing w:line="520" w:lineRule="exact"/>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（1）投标人须符合《政府采购法》二十二条规定；（审查内容详见投标文件一）</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）营业执照</w:t>
      </w:r>
      <w:r>
        <w:rPr>
          <w:rFonts w:hint="eastAsia" w:ascii="仿宋" w:hAnsi="仿宋" w:eastAsia="仿宋" w:cs="仿宋"/>
          <w:sz w:val="24"/>
          <w:szCs w:val="24"/>
        </w:rPr>
        <w:t>、银行开户许可证、无行贿记录告知函、法人代表授权委托书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城乡规划编制甲级资质</w:t>
      </w:r>
      <w:r>
        <w:rPr>
          <w:rFonts w:hint="eastAsia" w:ascii="仿宋" w:hAnsi="仿宋" w:eastAsia="仿宋" w:cs="仿宋"/>
          <w:sz w:val="24"/>
          <w:szCs w:val="24"/>
          <w:lang w:eastAsia="zh-CN"/>
        </w:rPr>
        <w:t>（</w:t>
      </w:r>
      <w:r>
        <w:rPr>
          <w:rFonts w:hint="eastAsia" w:ascii="仿宋" w:hAnsi="仿宋" w:eastAsia="仿宋" w:cs="仿宋"/>
          <w:b/>
          <w:bCs/>
          <w:sz w:val="24"/>
          <w:szCs w:val="24"/>
          <w:lang w:eastAsia="zh-CN"/>
        </w:rPr>
        <w:t>以上证书须提供原件</w:t>
      </w:r>
      <w:r>
        <w:rPr>
          <w:rFonts w:hint="eastAsia" w:ascii="仿宋" w:hAnsi="仿宋" w:eastAsia="仿宋" w:cs="仿宋"/>
          <w:sz w:val="24"/>
          <w:szCs w:val="24"/>
          <w:lang w:eastAsia="zh-CN"/>
        </w:rPr>
        <w:t>）</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）投标保证金缴纳情况；</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lang w:eastAsia="zh-CN"/>
        </w:rPr>
        <w:t>由资格审查小组现场查询</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bCs/>
          <w:sz w:val="24"/>
          <w:szCs w:val="24"/>
        </w:rPr>
      </w:pPr>
      <w:r>
        <w:rPr>
          <w:rFonts w:hint="eastAsia" w:ascii="仿宋" w:hAnsi="仿宋" w:eastAsia="仿宋" w:cs="仿宋"/>
          <w:bCs/>
          <w:sz w:val="24"/>
          <w:szCs w:val="24"/>
        </w:rPr>
        <w:t>3、评标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3.1 评标委员会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（1）招标人和投标人的主要负责人的近亲属；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3.2 评标原则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3.3 评标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958" w:leftChars="228" w:right="0" w:rightChars="0" w:hanging="480" w:hangingChars="200"/>
        <w:jc w:val="both"/>
        <w:outlineLvl w:val="9"/>
        <w:rPr>
          <w:rFonts w:hint="eastAsia" w:ascii="仿宋" w:hAnsi="仿宋" w:eastAsia="仿宋" w:cs="仿宋"/>
          <w:sz w:val="24"/>
          <w:szCs w:val="24"/>
        </w:rPr>
      </w:pPr>
      <w:r>
        <w:rPr>
          <w:rFonts w:hint="eastAsia" w:ascii="仿宋" w:hAnsi="仿宋" w:eastAsia="仿宋" w:cs="仿宋"/>
          <w:sz w:val="24"/>
          <w:szCs w:val="24"/>
        </w:rPr>
        <w:t>3.4评标办法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both"/>
        <w:outlineLvl w:val="9"/>
        <w:rPr>
          <w:rFonts w:hint="eastAsia" w:ascii="仿宋" w:hAnsi="仿宋" w:eastAsia="仿宋" w:cs="仿宋"/>
          <w:sz w:val="24"/>
          <w:szCs w:val="24"/>
        </w:rPr>
      </w:pPr>
      <w:r>
        <w:rPr>
          <w:rFonts w:hint="eastAsia" w:ascii="仿宋" w:hAnsi="仿宋" w:eastAsia="仿宋" w:cs="仿宋"/>
          <w:b/>
          <w:color w:val="FF0000"/>
          <w:sz w:val="24"/>
          <w:szCs w:val="24"/>
        </w:rPr>
        <w:t>本项目采用</w:t>
      </w:r>
      <w:r>
        <w:rPr>
          <w:rFonts w:hint="eastAsia" w:ascii="仿宋" w:hAnsi="仿宋" w:eastAsia="仿宋" w:cs="仿宋"/>
          <w:b/>
          <w:color w:val="FF0000"/>
          <w:sz w:val="24"/>
          <w:szCs w:val="24"/>
          <w:lang w:eastAsia="zh-CN"/>
        </w:rPr>
        <w:t>综合评分法</w:t>
      </w:r>
      <w:r>
        <w:rPr>
          <w:rFonts w:hint="eastAsia" w:ascii="仿宋" w:hAnsi="仿宋" w:eastAsia="仿宋" w:cs="仿宋"/>
          <w:b/>
          <w:color w:val="FF0000"/>
          <w:sz w:val="24"/>
          <w:szCs w:val="24"/>
        </w:rPr>
        <w:t>。</w:t>
      </w:r>
      <w:r>
        <w:rPr>
          <w:rFonts w:hint="eastAsia" w:ascii="仿宋" w:hAnsi="仿宋" w:eastAsia="仿宋" w:cs="仿宋"/>
          <w:sz w:val="24"/>
          <w:szCs w:val="24"/>
        </w:rPr>
        <w:t>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200" w:firstLineChars="1400"/>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评分标准：</w:t>
      </w:r>
    </w:p>
    <w:p>
      <w:pPr>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highlight w:val="none"/>
          <w:lang w:val="en-US" w:eastAsia="zh-CN"/>
        </w:rPr>
        <w:t>信誉（5分）</w:t>
      </w:r>
    </w:p>
    <w:p>
      <w:pPr>
        <w:spacing w:line="400" w:lineRule="exact"/>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（1）根据投标人在本项目以前社会对其认可度以及行政主管部门、工商、银行、行业部门颁发的荣誉证书等情况评定，基本分1分，每提供一份证书加1分，满分3分。</w:t>
      </w:r>
    </w:p>
    <w:p>
      <w:pPr>
        <w:spacing w:line="400" w:lineRule="exact"/>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投标人须提供工商企业信用信息公示报告【国家企业信用信息公示系统http//www.gsxt.gov.cn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满分2分。</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投标报价得分（</w:t>
      </w:r>
      <w:r>
        <w:rPr>
          <w:rFonts w:hint="eastAsia" w:ascii="仿宋" w:hAnsi="仿宋" w:eastAsia="仿宋" w:cs="仿宋"/>
          <w:color w:val="auto"/>
          <w:sz w:val="30"/>
          <w:szCs w:val="30"/>
          <w:highlight w:val="none"/>
          <w:lang w:val="en-US" w:eastAsia="zh-CN"/>
        </w:rPr>
        <w:t>30</w:t>
      </w:r>
      <w:r>
        <w:rPr>
          <w:rFonts w:hint="eastAsia" w:ascii="仿宋" w:hAnsi="仿宋" w:eastAsia="仿宋" w:cs="仿宋"/>
          <w:color w:val="auto"/>
          <w:sz w:val="30"/>
          <w:szCs w:val="30"/>
          <w:highlight w:val="none"/>
        </w:rPr>
        <w:t>分）</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（1）报价得分=最低有效投标报价/有效投标报价×30</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val="zh-CN"/>
        </w:rPr>
        <w:t>）各投标人的最终得分：评标委员会成员对上述各项分别打分、汇总后的算术平均值，采用四舍五入法，保留小数点后二位</w:t>
      </w:r>
      <w:r>
        <w:rPr>
          <w:rFonts w:hint="eastAsia" w:ascii="仿宋" w:hAnsi="仿宋" w:eastAsia="仿宋" w:cs="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企业业绩及</w:t>
      </w:r>
      <w:r>
        <w:rPr>
          <w:rFonts w:hint="eastAsia" w:ascii="仿宋" w:hAnsi="仿宋" w:eastAsia="仿宋" w:cs="仿宋"/>
          <w:color w:val="auto"/>
          <w:sz w:val="30"/>
          <w:szCs w:val="30"/>
          <w:highlight w:val="none"/>
          <w:lang w:val="en-US" w:eastAsia="zh-CN"/>
        </w:rPr>
        <w:t>荣誉</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25</w:t>
      </w:r>
      <w:r>
        <w:rPr>
          <w:rFonts w:hint="eastAsia" w:ascii="仿宋" w:hAnsi="仿宋" w:eastAsia="仿宋" w:cs="仿宋"/>
          <w:color w:val="auto"/>
          <w:sz w:val="30"/>
          <w:szCs w:val="30"/>
          <w:highlight w:val="none"/>
        </w:rPr>
        <w:t>分）</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企业获得ISO9001质量管理体系认证单位的得3分（须提供证书原件）。</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投标人2014年1月1日以来有类似项目业绩，每有一项得2分，最高得12分（开标时需提供合同原件）。</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投标人2014年1月1日以来获得过国家级相关部门及行业协会荣誉的每提供一项得2分，省级（含直辖市）相关部门及行业协会荣誉的每提供一项得1分，市级相关部门及行业协会荣誉的每提供一项得0.5分，满分</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分。（开标时需提供证明材料）</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jc w:val="left"/>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4、投标文件规范程度（2分）</w:t>
      </w:r>
    </w:p>
    <w:p>
      <w:pPr>
        <w:keepNext w:val="0"/>
        <w:keepLines w:val="0"/>
        <w:pageBreakBefore w:val="0"/>
        <w:widowControl w:val="0"/>
        <w:kinsoku/>
        <w:wordWrap/>
        <w:overflowPunct/>
        <w:topLinePunct w:val="0"/>
        <w:autoSpaceDE/>
        <w:autoSpaceDN/>
        <w:bidi w:val="0"/>
        <w:adjustRightInd/>
        <w:snapToGrid w:val="0"/>
        <w:spacing w:line="40" w:lineRule="atLeast"/>
        <w:ind w:left="0" w:leftChars="0" w:right="0" w:rightChars="0" w:firstLine="600" w:firstLineChars="200"/>
        <w:jc w:val="left"/>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装订规范、文字清晰、无差错得1分，所提供资料准确完整得1分</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对招标文件的响应程度</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38</w:t>
      </w:r>
      <w:r>
        <w:rPr>
          <w:rFonts w:hint="eastAsia" w:ascii="仿宋" w:hAnsi="仿宋" w:eastAsia="仿宋" w:cs="仿宋"/>
          <w:color w:val="auto"/>
          <w:sz w:val="30"/>
          <w:szCs w:val="30"/>
          <w:highlight w:val="none"/>
        </w:rPr>
        <w:t>分）</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项目现状理解是否透彻，规划目标是否清晰，项目重点是否明确优 </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优5</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分，良</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分，差0-2分。</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规划理念是否新颖，研究方向是否符合政策导向，规划是否具有较高的可行性</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优 5-</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分，良3-4分，差0-2分</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对城市重要区段、节点是否考虑全面</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优 5-6分，良3-4分，差0-2分</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编制内容是否充分考虑地方特点与实际，策略及措施是否得当</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优 5-</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分，良3-4分，差0-2分</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拟派项目组成专业人员配备合理，技术人员配备齐全。</w:t>
      </w:r>
      <w:r>
        <w:rPr>
          <w:rFonts w:hint="eastAsia" w:ascii="仿宋" w:hAnsi="仿宋" w:eastAsia="仿宋" w:cs="仿宋"/>
          <w:color w:val="auto"/>
          <w:sz w:val="30"/>
          <w:szCs w:val="30"/>
          <w:highlight w:val="none"/>
        </w:rPr>
        <w:t>优 5-</w:t>
      </w:r>
      <w:r>
        <w:rPr>
          <w:rFonts w:hint="eastAsia" w:ascii="仿宋" w:hAnsi="仿宋" w:eastAsia="仿宋" w:cs="仿宋"/>
          <w:color w:val="auto"/>
          <w:sz w:val="30"/>
          <w:szCs w:val="30"/>
          <w:highlight w:val="none"/>
          <w:lang w:val="en-US" w:eastAsia="zh-CN"/>
        </w:rPr>
        <w:t>6</w:t>
      </w:r>
      <w:r>
        <w:rPr>
          <w:rFonts w:hint="eastAsia" w:ascii="仿宋" w:hAnsi="仿宋" w:eastAsia="仿宋" w:cs="仿宋"/>
          <w:color w:val="auto"/>
          <w:sz w:val="30"/>
          <w:szCs w:val="30"/>
          <w:highlight w:val="none"/>
        </w:rPr>
        <w:t>分，良3-4分，差0-2分</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 w:hAnsi="仿宋" w:eastAsia="仿宋" w:cs="仿宋"/>
          <w:b/>
          <w:color w:val="auto"/>
          <w:sz w:val="30"/>
          <w:szCs w:val="30"/>
          <w:highlight w:val="none"/>
        </w:rPr>
      </w:pPr>
      <w:r>
        <w:rPr>
          <w:rFonts w:hint="eastAsia" w:ascii="仿宋" w:hAnsi="仿宋" w:eastAsia="仿宋" w:cs="仿宋"/>
          <w:color w:val="auto"/>
          <w:sz w:val="30"/>
          <w:szCs w:val="30"/>
          <w:highlight w:val="none"/>
        </w:rPr>
        <w:t>服务承诺及合理化建议</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sz w:val="30"/>
          <w:szCs w:val="30"/>
          <w:highlight w:val="none"/>
        </w:rPr>
        <w:t xml:space="preserve">优 </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分，良</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分，差0-</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rPr>
        <w:t>分</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仿宋" w:hAnsi="仿宋" w:eastAsia="仿宋" w:cs="仿宋"/>
          <w:color w:val="auto"/>
          <w:sz w:val="30"/>
          <w:szCs w:val="30"/>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注：</w:t>
      </w:r>
    </w:p>
    <w:p>
      <w:pPr>
        <w:keepNext w:val="0"/>
        <w:keepLines w:val="0"/>
        <w:pageBreakBefore w:val="0"/>
        <w:widowControl w:val="0"/>
        <w:numPr>
          <w:ilvl w:val="0"/>
          <w:numId w:val="10"/>
        </w:numPr>
        <w:kinsoku/>
        <w:wordWrap/>
        <w:overflowPunct/>
        <w:topLinePunct w:val="0"/>
        <w:autoSpaceDE/>
        <w:autoSpaceDN/>
        <w:bidi w:val="0"/>
        <w:adjustRightInd/>
        <w:snapToGrid w:val="0"/>
        <w:spacing w:line="240" w:lineRule="auto"/>
        <w:ind w:right="0" w:rightChars="0" w:firstLine="300" w:firstLineChars="100"/>
        <w:jc w:val="left"/>
        <w:textAlignment w:val="auto"/>
        <w:outlineLvl w:val="9"/>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以上各档次的标准设定如下：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优：内容详实，方案科学、合理、安全，考虑周全，措施到位，针对性强。</w:t>
      </w:r>
    </w:p>
    <w:p>
      <w:pPr>
        <w:pageBreakBefore w:val="0"/>
        <w:widowControl w:val="0"/>
        <w:kinsoku/>
        <w:wordWrap/>
        <w:overflowPunct/>
        <w:topLinePunct w:val="0"/>
        <w:autoSpaceDE w:val="0"/>
        <w:autoSpaceDN w:val="0"/>
        <w:bidi w:val="0"/>
        <w:adjustRightInd w:val="0"/>
        <w:snapToGrid w:val="0"/>
        <w:spacing w:line="240" w:lineRule="auto"/>
        <w:ind w:right="102" w:rightChars="49"/>
        <w:jc w:val="left"/>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良：内容完整，方案基本科学、合理、安全，基本考虑周全，措施基本到位，针对性较强，但有个别细节需要进一步完善或提高。</w:t>
      </w:r>
    </w:p>
    <w:p>
      <w:pPr>
        <w:pageBreakBefore w:val="0"/>
        <w:widowControl w:val="0"/>
        <w:numPr>
          <w:ilvl w:val="0"/>
          <w:numId w:val="0"/>
        </w:numPr>
        <w:kinsoku/>
        <w:wordWrap/>
        <w:overflowPunct/>
        <w:topLinePunct w:val="0"/>
        <w:bidi w:val="0"/>
        <w:snapToGrid w:val="0"/>
        <w:spacing w:line="240" w:lineRule="auto"/>
        <w:ind w:right="105" w:rightChars="50"/>
        <w:jc w:val="left"/>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差：内容基本完整，方案在科学、合理、安全性方面一般，基本考虑不周，措施不够到位，针对性不强，但有很多方面需要进一步完善甚至重新考虑。</w:t>
      </w:r>
    </w:p>
    <w:p>
      <w:pPr>
        <w:pageBreakBefore w:val="0"/>
        <w:widowControl w:val="0"/>
        <w:numPr>
          <w:ilvl w:val="0"/>
          <w:numId w:val="0"/>
        </w:numPr>
        <w:kinsoku/>
        <w:wordWrap/>
        <w:overflowPunct/>
        <w:topLinePunct w:val="0"/>
        <w:bidi w:val="0"/>
        <w:snapToGrid w:val="0"/>
        <w:spacing w:line="240" w:lineRule="auto"/>
        <w:ind w:right="105" w:rightChars="50"/>
        <w:jc w:val="left"/>
        <w:textAlignment w:val="auto"/>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2.不满足招标文件技术指标要求和商务款规定的视为无效投标。</w:t>
      </w:r>
    </w:p>
    <w:p>
      <w:pPr>
        <w:pageBreakBefore w:val="0"/>
        <w:widowControl w:val="0"/>
        <w:numPr>
          <w:ilvl w:val="0"/>
          <w:numId w:val="0"/>
        </w:numPr>
        <w:kinsoku/>
        <w:wordWrap/>
        <w:overflowPunct/>
        <w:topLinePunct w:val="0"/>
        <w:bidi w:val="0"/>
        <w:snapToGrid w:val="0"/>
        <w:spacing w:line="240" w:lineRule="auto"/>
        <w:ind w:firstLine="300" w:firstLineChars="100"/>
        <w:jc w:val="left"/>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上述各项投标人缺项时该项不得分。</w:t>
      </w:r>
    </w:p>
    <w:p>
      <w:pPr>
        <w:pStyle w:val="3"/>
        <w:pageBreakBefore w:val="0"/>
        <w:widowControl w:val="0"/>
        <w:kinsoku/>
        <w:wordWrap/>
        <w:overflowPunct/>
        <w:topLinePunct w:val="0"/>
        <w:bidi w:val="0"/>
        <w:snapToGrid w:val="0"/>
        <w:spacing w:line="240" w:lineRule="auto"/>
        <w:jc w:val="left"/>
        <w:textAlignment w:val="auto"/>
        <w:rPr>
          <w:rFonts w:hint="eastAsia" w:ascii="仿宋" w:hAnsi="仿宋" w:eastAsia="仿宋" w:cs="仿宋"/>
          <w:b/>
          <w:bCs/>
          <w:sz w:val="24"/>
          <w:szCs w:val="24"/>
        </w:rPr>
      </w:pPr>
      <w:bookmarkStart w:id="0" w:name="_Toc606"/>
      <w:r>
        <w:rPr>
          <w:rFonts w:hint="eastAsia" w:ascii="仿宋" w:hAnsi="仿宋" w:eastAsia="仿宋" w:cs="仿宋"/>
          <w:bCs w:val="0"/>
          <w:color w:val="auto"/>
          <w:kern w:val="0"/>
          <w:sz w:val="30"/>
          <w:szCs w:val="30"/>
        </w:rPr>
        <w:t>特别提示：以上评分表中所涉及到的证件投标人在开标时候均须携带原件，未提供原件者不得分</w:t>
      </w:r>
      <w:bookmarkEnd w:id="0"/>
    </w:p>
    <w:p>
      <w:pPr>
        <w:spacing w:line="500" w:lineRule="exact"/>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0" w:firstLineChars="300"/>
        <w:rPr>
          <w:rFonts w:hint="eastAsia" w:ascii="仿宋" w:hAnsi="仿宋" w:eastAsia="仿宋" w:cs="仿宋"/>
          <w:b/>
          <w:sz w:val="24"/>
          <w:szCs w:val="24"/>
        </w:rPr>
      </w:pPr>
      <w:r>
        <w:rPr>
          <w:rFonts w:hint="eastAsia" w:ascii="仿宋" w:hAnsi="仿宋" w:eastAsia="仿宋" w:cs="仿宋"/>
          <w:b/>
          <w:sz w:val="24"/>
          <w:szCs w:val="24"/>
          <w:lang w:val="en-US" w:eastAsia="zh-CN"/>
        </w:rPr>
        <w:t>2.4.3</w:t>
      </w:r>
      <w:r>
        <w:rPr>
          <w:rFonts w:hint="eastAsia" w:ascii="仿宋" w:hAnsi="仿宋" w:eastAsia="仿宋" w:cs="仿宋"/>
          <w:b/>
          <w:sz w:val="24"/>
          <w:szCs w:val="24"/>
        </w:rPr>
        <w:t>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0" w:firstLineChars="100"/>
        <w:rPr>
          <w:rFonts w:hint="eastAsia" w:ascii="仿宋" w:hAnsi="仿宋" w:eastAsia="仿宋" w:cs="仿宋"/>
          <w:b/>
          <w:bCs/>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2.4.4</w:t>
      </w:r>
      <w:r>
        <w:rPr>
          <w:rFonts w:hint="eastAsia" w:ascii="仿宋" w:hAnsi="仿宋" w:eastAsia="仿宋" w:cs="仿宋"/>
          <w:b/>
          <w:sz w:val="24"/>
          <w:szCs w:val="24"/>
        </w:rPr>
        <w:t>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ascii="黑体" w:eastAsia="黑体" w:cs="黑体"/>
          <w:b/>
          <w:bCs/>
          <w:sz w:val="28"/>
          <w:szCs w:val="28"/>
          <w:lang w:val="zh-CN"/>
        </w:rPr>
      </w:pPr>
      <w:r>
        <w:rPr>
          <w:rFonts w:hint="eastAsia" w:ascii="仿宋" w:hAnsi="仿宋" w:eastAsia="仿宋" w:cs="仿宋"/>
          <w:sz w:val="24"/>
          <w:szCs w:val="24"/>
          <w:shd w:val="clear" w:color="auto" w:fill="FFFFFF"/>
        </w:rPr>
        <w:t>6、付款方式:以签订合同准。</w:t>
      </w: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hint="eastAsia"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w:t>
      </w:r>
      <w:r>
        <w:rPr>
          <w:rFonts w:hint="eastAsia" w:ascii="仿宋" w:hAnsi="仿宋" w:eastAsia="仿宋" w:cs="黑体"/>
          <w:b/>
          <w:bCs/>
          <w:sz w:val="36"/>
          <w:szCs w:val="36"/>
          <w:lang w:val="zh-CN" w:eastAsia="zh-CN"/>
        </w:rPr>
        <w:t>及组成</w:t>
      </w:r>
      <w:r>
        <w:rPr>
          <w:rFonts w:hint="eastAsia" w:ascii="仿宋" w:hAnsi="仿宋" w:eastAsia="仿宋" w:cs="黑体"/>
          <w:b/>
          <w:bCs/>
          <w:sz w:val="36"/>
          <w:szCs w:val="36"/>
          <w:lang w:val="en-US" w:eastAsia="zh-CN"/>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en-US" w:eastAsia="zh-CN"/>
        </w:rPr>
        <w:t xml:space="preserve"> </w:t>
      </w:r>
      <w:r>
        <w:rPr>
          <w:rFonts w:hint="eastAsia" w:ascii="仿宋" w:hAnsi="仿宋" w:eastAsia="仿宋" w:cs="黑体"/>
          <w:b/>
          <w:bCs/>
          <w:sz w:val="24"/>
          <w:szCs w:val="24"/>
          <w:lang w:val="zh-CN"/>
        </w:rPr>
        <w:t>投标文件（一）</w:t>
      </w:r>
    </w:p>
    <w:p>
      <w:pPr>
        <w:spacing w:line="360" w:lineRule="auto"/>
        <w:jc w:val="center"/>
        <w:rPr>
          <w:rFonts w:ascii="仿宋" w:hAnsi="仿宋" w:eastAsia="仿宋" w:cs="宋体"/>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技术人员的职称证书复印件、用工合同复印件等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w:t>
      </w:r>
      <w:r>
        <w:rPr>
          <w:rFonts w:hint="eastAsia" w:ascii="仿宋" w:hAnsi="仿宋" w:eastAsia="仿宋" w:cs="仿宋"/>
          <w:color w:val="FF0000"/>
          <w:sz w:val="24"/>
          <w:szCs w:val="24"/>
        </w:rPr>
        <w:t>投标人工商企业信用信息公示报告【国家企业信用信息公示系统</w:t>
      </w:r>
      <w:r>
        <w:rPr>
          <w:rFonts w:hint="eastAsia" w:ascii="仿宋" w:hAnsi="仿宋" w:eastAsia="仿宋" w:cs="仿宋"/>
          <w:color w:val="FF0000"/>
          <w:sz w:val="24"/>
          <w:szCs w:val="24"/>
        </w:rPr>
        <w:fldChar w:fldCharType="begin"/>
      </w:r>
      <w:r>
        <w:rPr>
          <w:rFonts w:hint="eastAsia" w:ascii="仿宋" w:hAnsi="仿宋" w:eastAsia="仿宋" w:cs="仿宋"/>
          <w:color w:val="FF0000"/>
          <w:sz w:val="24"/>
          <w:szCs w:val="24"/>
        </w:rPr>
        <w:instrText xml:space="preserve">HYPERLINK "http://www.gsxt.gov.cn/"</w:instrText>
      </w:r>
      <w:r>
        <w:rPr>
          <w:rFonts w:hint="eastAsia" w:ascii="仿宋" w:hAnsi="仿宋" w:eastAsia="仿宋" w:cs="仿宋"/>
          <w:color w:val="FF0000"/>
          <w:sz w:val="24"/>
          <w:szCs w:val="24"/>
        </w:rP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r>
        <w:rPr>
          <w:rFonts w:hint="eastAsia" w:ascii="仿宋" w:hAnsi="仿宋" w:eastAsia="仿宋" w:cs="黑体"/>
          <w:b/>
          <w:bCs/>
          <w:sz w:val="24"/>
          <w:szCs w:val="24"/>
          <w:lang w:val="en-US" w:eastAsia="zh-CN"/>
        </w:rPr>
        <w:t xml:space="preserve"> </w:t>
      </w: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w:t>
      </w:r>
      <w:r>
        <w:rPr>
          <w:rFonts w:hint="eastAsia" w:ascii="仿宋" w:hAnsi="仿宋" w:eastAsia="仿宋" w:cs="仿宋_GB2312"/>
          <w:sz w:val="24"/>
          <w:szCs w:val="24"/>
          <w:lang w:eastAsia="zh-CN"/>
        </w:rPr>
        <w:t>盖章</w:t>
      </w:r>
      <w:r>
        <w:rPr>
          <w:rFonts w:hint="eastAsia" w:ascii="仿宋" w:hAnsi="仿宋" w:eastAsia="仿宋" w:cs="仿宋_GB2312"/>
          <w:sz w:val="24"/>
          <w:szCs w:val="24"/>
        </w:rPr>
        <w:t>）：</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2</w:t>
      </w:r>
    </w:p>
    <w:p>
      <w:pPr>
        <w:autoSpaceDE w:val="0"/>
        <w:autoSpaceDN w:val="0"/>
        <w:adjustRightInd w:val="0"/>
        <w:spacing w:line="360" w:lineRule="auto"/>
        <w:ind w:firstLine="3960" w:firstLineChars="1650"/>
        <w:outlineLvl w:val="0"/>
        <w:rPr>
          <w:rFonts w:hint="eastAsia"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60" w:firstLineChars="1650"/>
        <w:outlineLvl w:val="0"/>
        <w:rPr>
          <w:rFonts w:hint="eastAsia"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hint="eastAsia"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5</w:t>
      </w:r>
      <w:r>
        <w:rPr>
          <w:rFonts w:hint="eastAsia" w:ascii="仿宋" w:hAnsi="仿宋" w:eastAsia="仿宋" w:cs="宋体"/>
          <w:sz w:val="24"/>
          <w:szCs w:val="24"/>
          <w:lang w:val="zh-CN"/>
        </w:rPr>
        <w:t>）工作方案计划</w:t>
      </w:r>
    </w:p>
    <w:p>
      <w:pPr>
        <w:autoSpaceDE w:val="0"/>
        <w:autoSpaceDN w:val="0"/>
        <w:adjustRightInd w:val="0"/>
        <w:spacing w:line="360" w:lineRule="auto"/>
        <w:ind w:firstLine="48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（6）项目管理机构配备情况</w:t>
      </w:r>
    </w:p>
    <w:p>
      <w:pPr>
        <w:autoSpaceDE w:val="0"/>
        <w:autoSpaceDN w:val="0"/>
        <w:adjustRightInd w:val="0"/>
        <w:spacing w:line="360" w:lineRule="auto"/>
        <w:ind w:firstLine="48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（7）投标单位基本信息表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8</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9</w:t>
      </w:r>
      <w:r>
        <w:rPr>
          <w:rFonts w:hint="eastAsia" w:ascii="仿宋" w:hAnsi="仿宋" w:eastAsia="仿宋" w:cs="宋体"/>
          <w:sz w:val="24"/>
          <w:szCs w:val="24"/>
          <w:lang w:val="zh-CN"/>
        </w:rPr>
        <w:t>）其它（要求中需提供的相关材料）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hint="eastAsia"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p>
      <w:pPr>
        <w:autoSpaceDE w:val="0"/>
        <w:autoSpaceDN w:val="0"/>
        <w:adjustRightInd w:val="0"/>
        <w:spacing w:line="360" w:lineRule="auto"/>
        <w:rPr>
          <w:rFonts w:hint="eastAsia" w:ascii="仿宋" w:hAnsi="仿宋" w:eastAsia="仿宋" w:cs="宋体"/>
          <w:sz w:val="24"/>
          <w:szCs w:val="24"/>
          <w:lang w:val="zh-CN"/>
        </w:rPr>
      </w:pPr>
    </w:p>
    <w:p>
      <w:pPr>
        <w:autoSpaceDE w:val="0"/>
        <w:autoSpaceDN w:val="0"/>
        <w:adjustRightInd w:val="0"/>
        <w:spacing w:line="360" w:lineRule="auto"/>
        <w:rPr>
          <w:rFonts w:hint="eastAsia" w:ascii="仿宋" w:hAnsi="仿宋" w:eastAsia="仿宋" w:cs="宋体"/>
          <w:sz w:val="24"/>
          <w:szCs w:val="24"/>
          <w:lang w:val="zh-CN"/>
        </w:rPr>
      </w:pPr>
    </w:p>
    <w:p>
      <w:pPr>
        <w:autoSpaceDE w:val="0"/>
        <w:autoSpaceDN w:val="0"/>
        <w:adjustRightInd w:val="0"/>
        <w:spacing w:line="360" w:lineRule="auto"/>
        <w:ind w:firstLine="6000" w:firstLineChars="2500"/>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ind w:firstLine="4800" w:firstLineChars="2000"/>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5                             </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工作方案计划</w:t>
      </w: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w:t>
      </w:r>
      <w:r>
        <w:rPr>
          <w:rFonts w:hint="eastAsia" w:ascii="仿宋" w:hAnsi="仿宋" w:eastAsia="仿宋" w:cs="仿宋"/>
          <w:b/>
          <w:sz w:val="24"/>
          <w:szCs w:val="24"/>
          <w:lang w:eastAsia="zh-CN"/>
        </w:rPr>
        <w:t>要求</w:t>
      </w:r>
      <w:r>
        <w:rPr>
          <w:rFonts w:hint="eastAsia" w:ascii="仿宋" w:hAnsi="仿宋" w:eastAsia="仿宋" w:cs="仿宋"/>
          <w:b/>
          <w:sz w:val="24"/>
          <w:szCs w:val="24"/>
        </w:rPr>
        <w:t>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ind w:right="215"/>
        <w:outlineLvl w:val="1"/>
        <w:rPr>
          <w:rFonts w:hint="eastAsia" w:ascii="仿宋_GB2312" w:hAnsi="宋体" w:eastAsia="仿宋_GB2312"/>
          <w:b/>
          <w:sz w:val="24"/>
          <w:szCs w:val="24"/>
        </w:rPr>
      </w:pPr>
      <w:r>
        <w:rPr>
          <w:rFonts w:hint="eastAsia" w:ascii="仿宋_GB2312" w:hAnsi="宋体" w:eastAsia="仿宋_GB2312"/>
          <w:sz w:val="24"/>
          <w:szCs w:val="24"/>
        </w:rPr>
        <w:t>附件5</w:t>
      </w:r>
      <w:r>
        <w:rPr>
          <w:rFonts w:hint="eastAsia" w:ascii="仿宋_GB2312" w:hAnsi="宋体" w:eastAsia="仿宋_GB2312"/>
          <w:sz w:val="32"/>
        </w:rPr>
        <w:t xml:space="preserve">  </w:t>
      </w:r>
      <w:r>
        <w:rPr>
          <w:rFonts w:hint="eastAsia" w:ascii="仿宋_GB2312" w:hAnsi="宋体" w:eastAsia="仿宋_GB2312"/>
          <w:b/>
          <w:sz w:val="32"/>
        </w:rPr>
        <w:t xml:space="preserve">            </w:t>
      </w:r>
      <w:r>
        <w:rPr>
          <w:rFonts w:hint="eastAsia" w:ascii="仿宋_GB2312" w:hAnsi="宋体" w:eastAsia="仿宋_GB2312"/>
          <w:b/>
          <w:sz w:val="24"/>
          <w:szCs w:val="24"/>
        </w:rPr>
        <w:t xml:space="preserve">   </w:t>
      </w:r>
    </w:p>
    <w:p>
      <w:pPr>
        <w:autoSpaceDE w:val="0"/>
        <w:autoSpaceDN w:val="0"/>
        <w:adjustRightInd w:val="0"/>
        <w:spacing w:line="360" w:lineRule="auto"/>
        <w:ind w:right="215"/>
        <w:outlineLvl w:val="1"/>
        <w:rPr>
          <w:rFonts w:hint="eastAsia" w:ascii="仿宋_GB2312" w:hAnsi="宋体" w:eastAsia="仿宋_GB2312"/>
          <w:b/>
          <w:sz w:val="24"/>
          <w:szCs w:val="24"/>
        </w:rPr>
      </w:pPr>
    </w:p>
    <w:p>
      <w:pPr>
        <w:autoSpaceDE w:val="0"/>
        <w:autoSpaceDN w:val="0"/>
        <w:adjustRightInd w:val="0"/>
        <w:spacing w:line="360" w:lineRule="auto"/>
        <w:ind w:right="215"/>
        <w:outlineLvl w:val="1"/>
        <w:rPr>
          <w:rFonts w:hint="eastAsia" w:ascii="仿宋_GB2312" w:hAnsi="宋体" w:eastAsia="仿宋_GB2312"/>
          <w:b/>
          <w:sz w:val="24"/>
          <w:szCs w:val="24"/>
        </w:rPr>
      </w:pPr>
    </w:p>
    <w:p>
      <w:pPr>
        <w:autoSpaceDE w:val="0"/>
        <w:autoSpaceDN w:val="0"/>
        <w:adjustRightInd w:val="0"/>
        <w:spacing w:line="360" w:lineRule="auto"/>
        <w:ind w:right="215" w:firstLine="3720" w:firstLineChars="1550"/>
        <w:outlineLvl w:val="1"/>
        <w:rPr>
          <w:rFonts w:hint="eastAsia" w:ascii="仿宋" w:hAnsi="仿宋" w:eastAsia="仿宋"/>
          <w:b/>
          <w:sz w:val="24"/>
          <w:szCs w:val="24"/>
        </w:rPr>
      </w:pPr>
      <w:r>
        <w:rPr>
          <w:rFonts w:hint="eastAsia" w:ascii="仿宋" w:hAnsi="仿宋" w:eastAsia="仿宋"/>
          <w:b/>
          <w:sz w:val="24"/>
          <w:szCs w:val="24"/>
        </w:rPr>
        <w:t>项目管理机构配备情况</w:t>
      </w:r>
    </w:p>
    <w:tbl>
      <w:tblPr>
        <w:tblStyle w:val="36"/>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238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职务</w:t>
            </w:r>
          </w:p>
        </w:tc>
        <w:tc>
          <w:tcPr>
            <w:tcW w:w="960"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960"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职称</w:t>
            </w:r>
          </w:p>
        </w:tc>
        <w:tc>
          <w:tcPr>
            <w:tcW w:w="5729"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执业或职业资格证明</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428"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证书名称</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级别</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证号</w:t>
            </w:r>
          </w:p>
        </w:tc>
        <w:tc>
          <w:tcPr>
            <w:tcW w:w="2381"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专业</w:t>
            </w:r>
          </w:p>
        </w:tc>
        <w:tc>
          <w:tcPr>
            <w:tcW w:w="960" w:type="dxa"/>
            <w:vAlign w:val="center"/>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r>
              <w:rPr>
                <w:rFonts w:hint="eastAsia" w:ascii="仿宋" w:hAnsi="仿宋" w:eastAsia="仿宋"/>
                <w:sz w:val="24"/>
                <w:szCs w:val="24"/>
              </w:rPr>
              <w:t>……</w:t>
            </w: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bl>
    <w:p>
      <w:pPr>
        <w:spacing w:before="156" w:beforeLines="50" w:after="312" w:afterLines="100" w:line="420" w:lineRule="exact"/>
        <w:rPr>
          <w:rFonts w:ascii="仿宋" w:hAnsi="仿宋" w:eastAsia="仿宋"/>
          <w:b/>
          <w:sz w:val="24"/>
          <w:szCs w:val="24"/>
        </w:rPr>
        <w:sectPr>
          <w:footerReference r:id="rId6" w:type="first"/>
          <w:footerReference r:id="rId5" w:type="default"/>
          <w:pgSz w:w="11906" w:h="16838"/>
          <w:pgMar w:top="1304" w:right="1134" w:bottom="1304" w:left="1134" w:header="851" w:footer="992" w:gutter="0"/>
          <w:cols w:space="720" w:num="1"/>
          <w:titlePg/>
          <w:docGrid w:type="linesAndChars" w:linePitch="312" w:charSpace="0"/>
        </w:sectPr>
      </w:pPr>
    </w:p>
    <w:p>
      <w:pPr>
        <w:autoSpaceDE w:val="0"/>
        <w:autoSpaceDN w:val="0"/>
        <w:adjustRightInd w:val="0"/>
        <w:spacing w:line="360" w:lineRule="auto"/>
        <w:ind w:right="215" w:firstLine="420"/>
        <w:jc w:val="center"/>
        <w:rPr>
          <w:rFonts w:hint="eastAsia" w:ascii="仿宋" w:hAnsi="仿宋" w:eastAsia="仿宋"/>
          <w:b/>
          <w:sz w:val="24"/>
          <w:szCs w:val="24"/>
        </w:rPr>
      </w:pPr>
    </w:p>
    <w:p>
      <w:pPr>
        <w:autoSpaceDE w:val="0"/>
        <w:autoSpaceDN w:val="0"/>
        <w:adjustRightInd w:val="0"/>
        <w:spacing w:line="360" w:lineRule="auto"/>
        <w:ind w:right="215" w:firstLine="420"/>
        <w:outlineLvl w:val="1"/>
        <w:rPr>
          <w:rFonts w:hint="eastAsia" w:ascii="仿宋" w:hAnsi="仿宋" w:eastAsia="仿宋"/>
          <w:b/>
          <w:sz w:val="24"/>
          <w:szCs w:val="24"/>
        </w:rPr>
      </w:pPr>
      <w:bookmarkStart w:id="1" w:name="_Toc458517974"/>
      <w:r>
        <w:rPr>
          <w:rFonts w:hint="eastAsia" w:ascii="仿宋" w:hAnsi="仿宋" w:eastAsia="仿宋"/>
          <w:sz w:val="24"/>
          <w:szCs w:val="24"/>
        </w:rPr>
        <w:t xml:space="preserve">附件6  </w:t>
      </w:r>
      <w:r>
        <w:rPr>
          <w:rFonts w:hint="eastAsia" w:ascii="仿宋" w:hAnsi="仿宋" w:eastAsia="仿宋"/>
          <w:b/>
          <w:sz w:val="24"/>
          <w:szCs w:val="24"/>
        </w:rPr>
        <w:t xml:space="preserve">               </w:t>
      </w:r>
    </w:p>
    <w:p>
      <w:pPr>
        <w:autoSpaceDE w:val="0"/>
        <w:autoSpaceDN w:val="0"/>
        <w:adjustRightInd w:val="0"/>
        <w:spacing w:line="360" w:lineRule="auto"/>
        <w:ind w:right="215" w:firstLine="3494" w:firstLineChars="1450"/>
        <w:outlineLvl w:val="1"/>
        <w:rPr>
          <w:rFonts w:hint="eastAsia" w:ascii="仿宋" w:hAnsi="仿宋" w:eastAsia="仿宋"/>
          <w:sz w:val="24"/>
          <w:szCs w:val="24"/>
        </w:rPr>
      </w:pPr>
      <w:r>
        <w:rPr>
          <w:rFonts w:hint="eastAsia" w:ascii="仿宋" w:hAnsi="仿宋" w:eastAsia="仿宋"/>
          <w:b/>
          <w:sz w:val="24"/>
          <w:szCs w:val="24"/>
        </w:rPr>
        <w:t>投标单位基本信息表</w:t>
      </w:r>
      <w:bookmarkEnd w:id="1"/>
    </w:p>
    <w:p>
      <w:pPr>
        <w:autoSpaceDE w:val="0"/>
        <w:autoSpaceDN w:val="0"/>
        <w:adjustRightInd w:val="0"/>
        <w:spacing w:line="360" w:lineRule="auto"/>
        <w:ind w:right="215" w:firstLine="420"/>
        <w:jc w:val="center"/>
        <w:rPr>
          <w:rFonts w:hint="eastAsia" w:ascii="仿宋" w:hAnsi="仿宋" w:eastAsia="仿宋"/>
          <w:b/>
          <w:sz w:val="24"/>
          <w:szCs w:val="24"/>
        </w:rPr>
      </w:pPr>
    </w:p>
    <w:tbl>
      <w:tblPr>
        <w:tblStyle w:val="3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注册地址</w:t>
            </w:r>
          </w:p>
        </w:tc>
        <w:tc>
          <w:tcPr>
            <w:tcW w:w="4802" w:type="dxa"/>
            <w:gridSpan w:val="5"/>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邮政编码</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联系方式</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联系人</w:t>
            </w:r>
          </w:p>
        </w:tc>
        <w:tc>
          <w:tcPr>
            <w:tcW w:w="3553"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传真</w:t>
            </w:r>
          </w:p>
        </w:tc>
        <w:tc>
          <w:tcPr>
            <w:tcW w:w="3553"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网址</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组织结构</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法定代表人</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技术负责人</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成立时间</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5209" w:type="dxa"/>
            <w:gridSpan w:val="6"/>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pacing w:val="-20"/>
                <w:sz w:val="24"/>
                <w:szCs w:val="24"/>
              </w:rPr>
            </w:pPr>
            <w:r>
              <w:rPr>
                <w:rFonts w:hint="eastAsia" w:ascii="仿宋" w:hAnsi="仿宋" w:eastAsia="仿宋"/>
                <w:spacing w:val="-20"/>
                <w:sz w:val="24"/>
                <w:szCs w:val="24"/>
              </w:rPr>
              <w:t>企业资质等级</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其中</w:t>
            </w: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项目经理</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营业执照号</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高级职称人员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注册资金</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中级职称人员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开户银行</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初级职称人员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账号</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技工</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经营范围</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备注</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tc>
      </w:tr>
    </w:tbl>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6  </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hint="eastAsia" w:ascii="仿宋" w:hAnsi="仿宋" w:eastAsia="仿宋" w:cs="仿宋_GB2312"/>
          <w:sz w:val="24"/>
          <w:szCs w:val="24"/>
          <w:lang w:val="en-US" w:eastAsia="zh-CN"/>
        </w:rPr>
      </w:pPr>
      <w:r>
        <w:rPr>
          <w:rFonts w:hint="eastAsia" w:ascii="仿宋" w:hAnsi="仿宋" w:eastAsia="仿宋" w:cs="仿宋_GB2312"/>
          <w:sz w:val="24"/>
          <w:szCs w:val="24"/>
          <w:lang w:eastAsia="zh-CN"/>
        </w:rPr>
        <w:t>附件</w:t>
      </w:r>
      <w:r>
        <w:rPr>
          <w:rFonts w:hint="eastAsia" w:ascii="仿宋" w:hAnsi="仿宋" w:eastAsia="仿宋" w:cs="仿宋_GB2312"/>
          <w:sz w:val="24"/>
          <w:szCs w:val="24"/>
          <w:lang w:val="en-US" w:eastAsia="zh-CN"/>
        </w:rPr>
        <w:t xml:space="preserve">7             </w:t>
      </w:r>
    </w:p>
    <w:p>
      <w:pPr>
        <w:spacing w:line="360" w:lineRule="exact"/>
        <w:ind w:firstLine="4578" w:firstLineChars="1900"/>
        <w:jc w:val="left"/>
        <w:rPr>
          <w:rFonts w:hint="eastAsia" w:ascii="仿宋" w:hAnsi="仿宋" w:eastAsia="仿宋" w:cs="仿宋_GB2312"/>
          <w:b/>
          <w:bCs/>
          <w:sz w:val="24"/>
          <w:szCs w:val="24"/>
          <w:lang w:val="en-US" w:eastAsia="zh-CN"/>
        </w:rPr>
      </w:pPr>
      <w:r>
        <w:rPr>
          <w:rFonts w:hint="eastAsia" w:ascii="仿宋" w:hAnsi="仿宋" w:eastAsia="仿宋" w:cs="仿宋_GB2312"/>
          <w:b/>
          <w:bCs/>
          <w:sz w:val="24"/>
          <w:szCs w:val="24"/>
          <w:lang w:val="en-US" w:eastAsia="zh-CN"/>
        </w:rPr>
        <w:t>其它</w:t>
      </w:r>
    </w:p>
    <w:p>
      <w:pPr>
        <w:spacing w:line="360" w:lineRule="exact"/>
        <w:ind w:firstLine="3373" w:firstLineChars="1400"/>
        <w:jc w:val="left"/>
        <w:rPr>
          <w:rFonts w:hint="eastAsia" w:ascii="仿宋" w:hAnsi="仿宋" w:eastAsia="仿宋" w:cs="仿宋_GB2312"/>
          <w:b/>
          <w:bCs/>
          <w:sz w:val="24"/>
          <w:szCs w:val="24"/>
          <w:lang w:eastAsia="zh-CN"/>
        </w:rPr>
      </w:pPr>
      <w:r>
        <w:rPr>
          <w:rFonts w:hint="eastAsia" w:ascii="仿宋" w:hAnsi="仿宋" w:eastAsia="仿宋" w:cs="仿宋_GB2312"/>
          <w:b/>
          <w:bCs/>
          <w:sz w:val="24"/>
          <w:szCs w:val="24"/>
          <w:lang w:val="en-US" w:eastAsia="zh-CN"/>
        </w:rPr>
        <w:t>（要求中相关证明材料）</w:t>
      </w:r>
    </w:p>
    <w:p>
      <w:pPr>
        <w:spacing w:line="360" w:lineRule="exact"/>
        <w:jc w:val="left"/>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 xml:space="preserve"> </w:t>
      </w: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altName w:val="Times New Roman"/>
    <w:panose1 w:val="00000000000000000000"/>
    <w:charset w:val="00"/>
    <w:family w:val="swiss"/>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00"/>
    <w:family w:val="decorative"/>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vc-modal-iconfont">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隶书">
    <w:altName w:val="微软雅黑"/>
    <w:panose1 w:val="02010509060101010101"/>
    <w:charset w:val="86"/>
    <w:family w:val="auto"/>
    <w:pitch w:val="default"/>
    <w:sig w:usb0="00000000" w:usb1="00000000" w:usb2="00000000" w:usb3="00000000" w:csb0="00040000"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3000509000000000000"/>
    <w:charset w:val="86"/>
    <w:family w:val="script"/>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_5b8b_4f53">
    <w:altName w:val="Latha"/>
    <w:panose1 w:val="00000000000000000000"/>
    <w:charset w:val="00"/>
    <w:family w:val="auto"/>
    <w:pitch w:val="default"/>
    <w:sig w:usb0="00000000" w:usb1="00000000" w:usb2="00000000" w:usb3="00000000" w:csb0="00040001" w:csb1="00000000"/>
  </w:font>
  <w:font w:name="黑体">
    <w:panose1 w:val="02010609060101010101"/>
    <w:charset w:val="88"/>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方正姚体简体">
    <w:altName w:val="宋体"/>
    <w:panose1 w:val="03000509000000000000"/>
    <w:charset w:val="86"/>
    <w:family w:val="auto"/>
    <w:pitch w:val="default"/>
    <w:sig w:usb0="00000000" w:usb1="0000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Ari">
    <w:altName w:val="Arial"/>
    <w:panose1 w:val="00000000000000000000"/>
    <w:charset w:val="00"/>
    <w:family w:val="auto"/>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8</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31</w: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rPr>
      <w:t>70</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E374A4"/>
    <w:multiLevelType w:val="singleLevel"/>
    <w:tmpl w:val="56E374A4"/>
    <w:lvl w:ilvl="0" w:tentative="0">
      <w:start w:val="9"/>
      <w:numFmt w:val="decimal"/>
      <w:pStyle w:val="119"/>
      <w:suff w:val="nothing"/>
      <w:lvlText w:val="%1、"/>
      <w:lvlJc w:val="left"/>
    </w:lvl>
  </w:abstractNum>
  <w:abstractNum w:abstractNumId="2">
    <w:nsid w:val="596DB0B6"/>
    <w:multiLevelType w:val="singleLevel"/>
    <w:tmpl w:val="596DB0B6"/>
    <w:lvl w:ilvl="0" w:tentative="0">
      <w:start w:val="1"/>
      <w:numFmt w:val="chineseCounting"/>
      <w:suff w:val="nothing"/>
      <w:lvlText w:val="%1、"/>
      <w:lvlJc w:val="left"/>
    </w:lvl>
  </w:abstractNum>
  <w:abstractNum w:abstractNumId="3">
    <w:nsid w:val="596DB14D"/>
    <w:multiLevelType w:val="singleLevel"/>
    <w:tmpl w:val="596DB14D"/>
    <w:lvl w:ilvl="0" w:tentative="0">
      <w:start w:val="3"/>
      <w:numFmt w:val="chineseCounting"/>
      <w:suff w:val="nothing"/>
      <w:lvlText w:val="%1、"/>
      <w:lvlJc w:val="left"/>
    </w:lvl>
  </w:abstractNum>
  <w:abstractNum w:abstractNumId="4">
    <w:nsid w:val="59EFF661"/>
    <w:multiLevelType w:val="singleLevel"/>
    <w:tmpl w:val="59EFF661"/>
    <w:lvl w:ilvl="0" w:tentative="0">
      <w:start w:val="1"/>
      <w:numFmt w:val="chineseCounting"/>
      <w:suff w:val="nothing"/>
      <w:lvlText w:val="%1、"/>
      <w:lvlJc w:val="left"/>
    </w:lvl>
  </w:abstractNum>
  <w:abstractNum w:abstractNumId="5">
    <w:nsid w:val="59EFF6A4"/>
    <w:multiLevelType w:val="singleLevel"/>
    <w:tmpl w:val="59EFF6A4"/>
    <w:lvl w:ilvl="0" w:tentative="0">
      <w:start w:val="2"/>
      <w:numFmt w:val="chineseCounting"/>
      <w:suff w:val="nothing"/>
      <w:lvlText w:val="（%1）"/>
      <w:lvlJc w:val="left"/>
    </w:lvl>
  </w:abstractNum>
  <w:abstractNum w:abstractNumId="6">
    <w:nsid w:val="5A28AA5E"/>
    <w:multiLevelType w:val="singleLevel"/>
    <w:tmpl w:val="5A28AA5E"/>
    <w:lvl w:ilvl="0" w:tentative="0">
      <w:start w:val="2"/>
      <w:numFmt w:val="decimal"/>
      <w:suff w:val="nothing"/>
      <w:lvlText w:val="%1、"/>
      <w:lvlJc w:val="left"/>
    </w:lvl>
  </w:abstractNum>
  <w:abstractNum w:abstractNumId="7">
    <w:nsid w:val="5A28AD88"/>
    <w:multiLevelType w:val="singleLevel"/>
    <w:tmpl w:val="5A28AD88"/>
    <w:lvl w:ilvl="0" w:tentative="0">
      <w:start w:val="5"/>
      <w:numFmt w:val="decimal"/>
      <w:suff w:val="nothing"/>
      <w:lvlText w:val="%1、"/>
      <w:lvlJc w:val="left"/>
    </w:lvl>
  </w:abstractNum>
  <w:abstractNum w:abstractNumId="8">
    <w:nsid w:val="5A28ADA2"/>
    <w:multiLevelType w:val="singleLevel"/>
    <w:tmpl w:val="5A28ADA2"/>
    <w:lvl w:ilvl="0" w:tentative="0">
      <w:start w:val="1"/>
      <w:numFmt w:val="decimal"/>
      <w:suff w:val="space"/>
      <w:lvlText w:val="（%1）"/>
      <w:lvlJc w:val="left"/>
    </w:lvl>
  </w:abstractNum>
  <w:abstractNum w:abstractNumId="9">
    <w:nsid w:val="5A28DF6B"/>
    <w:multiLevelType w:val="singleLevel"/>
    <w:tmpl w:val="5A28DF6B"/>
    <w:lvl w:ilvl="0" w:tentative="0">
      <w:start w:val="1"/>
      <w:numFmt w:val="decimal"/>
      <w:lvlText w:val="%1."/>
      <w:lvlJc w:val="left"/>
      <w:pPr>
        <w:tabs>
          <w:tab w:val="left" w:pos="312"/>
        </w:tabs>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A76A5"/>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23283"/>
    <w:rsid w:val="008360BC"/>
    <w:rsid w:val="0083738D"/>
    <w:rsid w:val="0084214F"/>
    <w:rsid w:val="008522A8"/>
    <w:rsid w:val="00852D27"/>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D1957"/>
    <w:rsid w:val="009D3146"/>
    <w:rsid w:val="009D4FA5"/>
    <w:rsid w:val="009E09DB"/>
    <w:rsid w:val="009E1FB6"/>
    <w:rsid w:val="009E2EBB"/>
    <w:rsid w:val="009E6E3C"/>
    <w:rsid w:val="009F28A4"/>
    <w:rsid w:val="00A00552"/>
    <w:rsid w:val="00A02FBB"/>
    <w:rsid w:val="00A1068A"/>
    <w:rsid w:val="00A12D56"/>
    <w:rsid w:val="00A20320"/>
    <w:rsid w:val="00A32183"/>
    <w:rsid w:val="00A4579E"/>
    <w:rsid w:val="00A475BA"/>
    <w:rsid w:val="00A52ED4"/>
    <w:rsid w:val="00A535FA"/>
    <w:rsid w:val="00A564A6"/>
    <w:rsid w:val="00A5710E"/>
    <w:rsid w:val="00A65ADC"/>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F62"/>
    <w:rsid w:val="00D76FBA"/>
    <w:rsid w:val="00D77906"/>
    <w:rsid w:val="00D82171"/>
    <w:rsid w:val="00D82808"/>
    <w:rsid w:val="00D8780B"/>
    <w:rsid w:val="00D90599"/>
    <w:rsid w:val="00D92AD3"/>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1C9393A"/>
    <w:rsid w:val="03921E0B"/>
    <w:rsid w:val="03CB53C9"/>
    <w:rsid w:val="03D744EF"/>
    <w:rsid w:val="04252D6C"/>
    <w:rsid w:val="044C06F1"/>
    <w:rsid w:val="04524D74"/>
    <w:rsid w:val="048C72C6"/>
    <w:rsid w:val="04B15A3A"/>
    <w:rsid w:val="055236E0"/>
    <w:rsid w:val="055C08C9"/>
    <w:rsid w:val="05D7384A"/>
    <w:rsid w:val="05F65379"/>
    <w:rsid w:val="0603119A"/>
    <w:rsid w:val="060F2791"/>
    <w:rsid w:val="067E4800"/>
    <w:rsid w:val="06902805"/>
    <w:rsid w:val="06B75E86"/>
    <w:rsid w:val="071151B2"/>
    <w:rsid w:val="07170F40"/>
    <w:rsid w:val="072B3854"/>
    <w:rsid w:val="073F7793"/>
    <w:rsid w:val="08436502"/>
    <w:rsid w:val="0859217C"/>
    <w:rsid w:val="09102145"/>
    <w:rsid w:val="09473057"/>
    <w:rsid w:val="09685EF4"/>
    <w:rsid w:val="09891681"/>
    <w:rsid w:val="09C60246"/>
    <w:rsid w:val="09CE2BB7"/>
    <w:rsid w:val="09D62157"/>
    <w:rsid w:val="09E57E48"/>
    <w:rsid w:val="0A2B0E2A"/>
    <w:rsid w:val="0A9C1759"/>
    <w:rsid w:val="0AB05B6D"/>
    <w:rsid w:val="0B047399"/>
    <w:rsid w:val="0B115DEB"/>
    <w:rsid w:val="0B477BF6"/>
    <w:rsid w:val="0B8F0D95"/>
    <w:rsid w:val="0C053D42"/>
    <w:rsid w:val="0C232636"/>
    <w:rsid w:val="0C3957DB"/>
    <w:rsid w:val="0CBA4EC9"/>
    <w:rsid w:val="0CE25187"/>
    <w:rsid w:val="0D2824A3"/>
    <w:rsid w:val="0DD45553"/>
    <w:rsid w:val="0E0A40D8"/>
    <w:rsid w:val="0E1F7A52"/>
    <w:rsid w:val="0E41203E"/>
    <w:rsid w:val="0F1A22C3"/>
    <w:rsid w:val="0F2C7289"/>
    <w:rsid w:val="10240870"/>
    <w:rsid w:val="105F0CCD"/>
    <w:rsid w:val="11231218"/>
    <w:rsid w:val="11472FC4"/>
    <w:rsid w:val="11662A8F"/>
    <w:rsid w:val="1231453E"/>
    <w:rsid w:val="12F46B93"/>
    <w:rsid w:val="130F3467"/>
    <w:rsid w:val="133638CF"/>
    <w:rsid w:val="134B3E21"/>
    <w:rsid w:val="13BA11BA"/>
    <w:rsid w:val="146639B0"/>
    <w:rsid w:val="14C32394"/>
    <w:rsid w:val="14E7756C"/>
    <w:rsid w:val="15555471"/>
    <w:rsid w:val="162949D9"/>
    <w:rsid w:val="16BB3F9C"/>
    <w:rsid w:val="16D67A4A"/>
    <w:rsid w:val="17093EDF"/>
    <w:rsid w:val="17411E12"/>
    <w:rsid w:val="17D43D54"/>
    <w:rsid w:val="17E545EE"/>
    <w:rsid w:val="18252D8D"/>
    <w:rsid w:val="183733AB"/>
    <w:rsid w:val="186A4EF9"/>
    <w:rsid w:val="18AD21CB"/>
    <w:rsid w:val="193D5BE8"/>
    <w:rsid w:val="19456C00"/>
    <w:rsid w:val="19491C75"/>
    <w:rsid w:val="19786E3B"/>
    <w:rsid w:val="1A107C46"/>
    <w:rsid w:val="1A4540A3"/>
    <w:rsid w:val="1A876BDC"/>
    <w:rsid w:val="1C7B6A1E"/>
    <w:rsid w:val="1CC57EEC"/>
    <w:rsid w:val="1D160C0B"/>
    <w:rsid w:val="1D1E07AB"/>
    <w:rsid w:val="1D285414"/>
    <w:rsid w:val="1D5D79CE"/>
    <w:rsid w:val="1D846EFB"/>
    <w:rsid w:val="1E1761B2"/>
    <w:rsid w:val="1E855E4F"/>
    <w:rsid w:val="1EC42C17"/>
    <w:rsid w:val="1F070B6D"/>
    <w:rsid w:val="1F971FCE"/>
    <w:rsid w:val="1FA015A1"/>
    <w:rsid w:val="1FD141B8"/>
    <w:rsid w:val="20852B17"/>
    <w:rsid w:val="208F4659"/>
    <w:rsid w:val="20C91244"/>
    <w:rsid w:val="20CB6D0B"/>
    <w:rsid w:val="210445D3"/>
    <w:rsid w:val="212773A1"/>
    <w:rsid w:val="217423B2"/>
    <w:rsid w:val="21AD5432"/>
    <w:rsid w:val="21D44845"/>
    <w:rsid w:val="221572B4"/>
    <w:rsid w:val="22632CA5"/>
    <w:rsid w:val="226550CC"/>
    <w:rsid w:val="23523DCA"/>
    <w:rsid w:val="24CA4202"/>
    <w:rsid w:val="25372108"/>
    <w:rsid w:val="256C7451"/>
    <w:rsid w:val="25AD30A0"/>
    <w:rsid w:val="2667745A"/>
    <w:rsid w:val="27171D2F"/>
    <w:rsid w:val="278238A3"/>
    <w:rsid w:val="28742078"/>
    <w:rsid w:val="28CC325A"/>
    <w:rsid w:val="299315DB"/>
    <w:rsid w:val="29C152D2"/>
    <w:rsid w:val="2A292F06"/>
    <w:rsid w:val="2A6671E5"/>
    <w:rsid w:val="2B222956"/>
    <w:rsid w:val="2B2700A6"/>
    <w:rsid w:val="2B5A4161"/>
    <w:rsid w:val="2B9F495B"/>
    <w:rsid w:val="2BBD2870"/>
    <w:rsid w:val="2C01063D"/>
    <w:rsid w:val="2C172826"/>
    <w:rsid w:val="2C4F5A48"/>
    <w:rsid w:val="2C824188"/>
    <w:rsid w:val="2C8C63A5"/>
    <w:rsid w:val="2D3169D6"/>
    <w:rsid w:val="2D562101"/>
    <w:rsid w:val="2D873A70"/>
    <w:rsid w:val="2D9C469F"/>
    <w:rsid w:val="2DB610BD"/>
    <w:rsid w:val="2DFB43CE"/>
    <w:rsid w:val="2E471382"/>
    <w:rsid w:val="2E5606EB"/>
    <w:rsid w:val="2E68665A"/>
    <w:rsid w:val="2E9D5FE0"/>
    <w:rsid w:val="2EB76E2C"/>
    <w:rsid w:val="2EC70369"/>
    <w:rsid w:val="2F232D02"/>
    <w:rsid w:val="2F38041E"/>
    <w:rsid w:val="2F433D86"/>
    <w:rsid w:val="30006487"/>
    <w:rsid w:val="305A06ED"/>
    <w:rsid w:val="317F2E7E"/>
    <w:rsid w:val="31A1154F"/>
    <w:rsid w:val="31BA74D8"/>
    <w:rsid w:val="31C57F0B"/>
    <w:rsid w:val="31D6297D"/>
    <w:rsid w:val="322367A2"/>
    <w:rsid w:val="328D4D46"/>
    <w:rsid w:val="330F0CEB"/>
    <w:rsid w:val="333C55A2"/>
    <w:rsid w:val="33DF6EC4"/>
    <w:rsid w:val="33EF6302"/>
    <w:rsid w:val="341568F0"/>
    <w:rsid w:val="34B022E5"/>
    <w:rsid w:val="34CE04B2"/>
    <w:rsid w:val="34E90CF4"/>
    <w:rsid w:val="34F94C42"/>
    <w:rsid w:val="35020BCE"/>
    <w:rsid w:val="350214E2"/>
    <w:rsid w:val="35736992"/>
    <w:rsid w:val="35E947E8"/>
    <w:rsid w:val="36162167"/>
    <w:rsid w:val="3634197C"/>
    <w:rsid w:val="37081B17"/>
    <w:rsid w:val="37692631"/>
    <w:rsid w:val="37B10108"/>
    <w:rsid w:val="39A31772"/>
    <w:rsid w:val="3A252A28"/>
    <w:rsid w:val="3A361775"/>
    <w:rsid w:val="3A5B0DB6"/>
    <w:rsid w:val="3A6551A1"/>
    <w:rsid w:val="3BF37AE3"/>
    <w:rsid w:val="3C5A516A"/>
    <w:rsid w:val="3C622747"/>
    <w:rsid w:val="3D574C5D"/>
    <w:rsid w:val="3D8F46AB"/>
    <w:rsid w:val="3DB32B5C"/>
    <w:rsid w:val="3DE17511"/>
    <w:rsid w:val="3E5F6553"/>
    <w:rsid w:val="3EB83441"/>
    <w:rsid w:val="3EF23AFC"/>
    <w:rsid w:val="3F4E5E4B"/>
    <w:rsid w:val="3F544F16"/>
    <w:rsid w:val="3FDF074D"/>
    <w:rsid w:val="409745CD"/>
    <w:rsid w:val="409A7D1F"/>
    <w:rsid w:val="40DD14B7"/>
    <w:rsid w:val="422C2C0E"/>
    <w:rsid w:val="43306F54"/>
    <w:rsid w:val="43AF4EB6"/>
    <w:rsid w:val="43DA0DF8"/>
    <w:rsid w:val="43F21A5E"/>
    <w:rsid w:val="44351579"/>
    <w:rsid w:val="44A75B9D"/>
    <w:rsid w:val="44ED61E4"/>
    <w:rsid w:val="44F765DB"/>
    <w:rsid w:val="4520633F"/>
    <w:rsid w:val="452D2CD2"/>
    <w:rsid w:val="45570A50"/>
    <w:rsid w:val="466A7D8C"/>
    <w:rsid w:val="46FD29E8"/>
    <w:rsid w:val="46FF7143"/>
    <w:rsid w:val="479A1D63"/>
    <w:rsid w:val="479E2BBB"/>
    <w:rsid w:val="485B029F"/>
    <w:rsid w:val="486477BC"/>
    <w:rsid w:val="48AF4A09"/>
    <w:rsid w:val="49386839"/>
    <w:rsid w:val="49B4550E"/>
    <w:rsid w:val="49F50EB5"/>
    <w:rsid w:val="4A001998"/>
    <w:rsid w:val="4AB76254"/>
    <w:rsid w:val="4ACB2DE7"/>
    <w:rsid w:val="4AF72F43"/>
    <w:rsid w:val="4AFC078A"/>
    <w:rsid w:val="4AFE130C"/>
    <w:rsid w:val="4B06415A"/>
    <w:rsid w:val="4B1001B1"/>
    <w:rsid w:val="4B307A80"/>
    <w:rsid w:val="4B951FC0"/>
    <w:rsid w:val="4BBD5B2C"/>
    <w:rsid w:val="4C035B49"/>
    <w:rsid w:val="4CC619D6"/>
    <w:rsid w:val="4E2E1973"/>
    <w:rsid w:val="4F827ABA"/>
    <w:rsid w:val="4FCB730B"/>
    <w:rsid w:val="4FE6145B"/>
    <w:rsid w:val="50034938"/>
    <w:rsid w:val="50110807"/>
    <w:rsid w:val="50663671"/>
    <w:rsid w:val="5108607F"/>
    <w:rsid w:val="514F2157"/>
    <w:rsid w:val="52907908"/>
    <w:rsid w:val="536A53D4"/>
    <w:rsid w:val="53857B5E"/>
    <w:rsid w:val="53AE58C6"/>
    <w:rsid w:val="54094D4C"/>
    <w:rsid w:val="54C67D23"/>
    <w:rsid w:val="54D06F21"/>
    <w:rsid w:val="55DE4946"/>
    <w:rsid w:val="55EA1952"/>
    <w:rsid w:val="55FD0CFB"/>
    <w:rsid w:val="561945F1"/>
    <w:rsid w:val="563239F6"/>
    <w:rsid w:val="579E0E14"/>
    <w:rsid w:val="57DC1467"/>
    <w:rsid w:val="57F421EB"/>
    <w:rsid w:val="58266B57"/>
    <w:rsid w:val="588A5505"/>
    <w:rsid w:val="589B1883"/>
    <w:rsid w:val="58A91E96"/>
    <w:rsid w:val="58CE0AFE"/>
    <w:rsid w:val="58E11F40"/>
    <w:rsid w:val="58E24253"/>
    <w:rsid w:val="590B2E29"/>
    <w:rsid w:val="593B360F"/>
    <w:rsid w:val="597E7640"/>
    <w:rsid w:val="5A3D1C00"/>
    <w:rsid w:val="5A8D6038"/>
    <w:rsid w:val="5AED2390"/>
    <w:rsid w:val="5B176006"/>
    <w:rsid w:val="5B8B5722"/>
    <w:rsid w:val="5B8F766E"/>
    <w:rsid w:val="5BB83723"/>
    <w:rsid w:val="5CDE1B94"/>
    <w:rsid w:val="5D2B1C2D"/>
    <w:rsid w:val="5D7E6424"/>
    <w:rsid w:val="5DD00A7A"/>
    <w:rsid w:val="5F092277"/>
    <w:rsid w:val="5F1C66AC"/>
    <w:rsid w:val="5F4B6391"/>
    <w:rsid w:val="5F8471B4"/>
    <w:rsid w:val="5F8C732F"/>
    <w:rsid w:val="5FDC146E"/>
    <w:rsid w:val="5FEB58A2"/>
    <w:rsid w:val="60DE37C3"/>
    <w:rsid w:val="612A61E3"/>
    <w:rsid w:val="61B82A98"/>
    <w:rsid w:val="61F84732"/>
    <w:rsid w:val="62530EF5"/>
    <w:rsid w:val="62666C82"/>
    <w:rsid w:val="626F6106"/>
    <w:rsid w:val="63097C59"/>
    <w:rsid w:val="634F7C15"/>
    <w:rsid w:val="63736A17"/>
    <w:rsid w:val="63C05B9E"/>
    <w:rsid w:val="65131E51"/>
    <w:rsid w:val="651A4BCA"/>
    <w:rsid w:val="65D24C12"/>
    <w:rsid w:val="65F1505D"/>
    <w:rsid w:val="6683099E"/>
    <w:rsid w:val="6701680A"/>
    <w:rsid w:val="67113F10"/>
    <w:rsid w:val="676E5060"/>
    <w:rsid w:val="67711462"/>
    <w:rsid w:val="67DB29EB"/>
    <w:rsid w:val="67FC0C69"/>
    <w:rsid w:val="69D62811"/>
    <w:rsid w:val="6A244E13"/>
    <w:rsid w:val="6A92011C"/>
    <w:rsid w:val="6AC31427"/>
    <w:rsid w:val="6AE4288E"/>
    <w:rsid w:val="6AFE3DEE"/>
    <w:rsid w:val="6C25354C"/>
    <w:rsid w:val="6C981ABC"/>
    <w:rsid w:val="6CE3250C"/>
    <w:rsid w:val="6D0D0A4F"/>
    <w:rsid w:val="6D234DD5"/>
    <w:rsid w:val="6D377DF7"/>
    <w:rsid w:val="6DB95249"/>
    <w:rsid w:val="6DD96194"/>
    <w:rsid w:val="6DFC67F6"/>
    <w:rsid w:val="6E196A24"/>
    <w:rsid w:val="6E1D6E30"/>
    <w:rsid w:val="6E66357B"/>
    <w:rsid w:val="6EB95270"/>
    <w:rsid w:val="6F8956C3"/>
    <w:rsid w:val="6FB90394"/>
    <w:rsid w:val="6FC13AB9"/>
    <w:rsid w:val="70241AB8"/>
    <w:rsid w:val="706476AA"/>
    <w:rsid w:val="70930061"/>
    <w:rsid w:val="70B0239B"/>
    <w:rsid w:val="710F25A0"/>
    <w:rsid w:val="71D02752"/>
    <w:rsid w:val="72E958AD"/>
    <w:rsid w:val="73234D93"/>
    <w:rsid w:val="74451DA5"/>
    <w:rsid w:val="74920FD0"/>
    <w:rsid w:val="74924B26"/>
    <w:rsid w:val="74B50A85"/>
    <w:rsid w:val="75125292"/>
    <w:rsid w:val="753B5CE3"/>
    <w:rsid w:val="758826A4"/>
    <w:rsid w:val="76140509"/>
    <w:rsid w:val="768649B8"/>
    <w:rsid w:val="773F1990"/>
    <w:rsid w:val="776A79F9"/>
    <w:rsid w:val="78456CFE"/>
    <w:rsid w:val="796E4180"/>
    <w:rsid w:val="79874C47"/>
    <w:rsid w:val="7A731DE7"/>
    <w:rsid w:val="7AA104C5"/>
    <w:rsid w:val="7AB16D54"/>
    <w:rsid w:val="7B1234F7"/>
    <w:rsid w:val="7B1F4AA9"/>
    <w:rsid w:val="7B2A128E"/>
    <w:rsid w:val="7B2A324E"/>
    <w:rsid w:val="7B5007DD"/>
    <w:rsid w:val="7B591A3D"/>
    <w:rsid w:val="7B672490"/>
    <w:rsid w:val="7BD60299"/>
    <w:rsid w:val="7BE5680C"/>
    <w:rsid w:val="7BEC4CD4"/>
    <w:rsid w:val="7C09693B"/>
    <w:rsid w:val="7C504BF4"/>
    <w:rsid w:val="7C6B7787"/>
    <w:rsid w:val="7C9A0769"/>
    <w:rsid w:val="7CCC29A0"/>
    <w:rsid w:val="7CF42D7A"/>
    <w:rsid w:val="7D171AFF"/>
    <w:rsid w:val="7D431C92"/>
    <w:rsid w:val="7D4359D2"/>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List Paragraph"/>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2EDDD-6597-4926-BF8D-9BE950D7BB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2991</Words>
  <Characters>17055</Characters>
  <Lines>142</Lines>
  <Paragraphs>40</Paragraphs>
  <ScaleCrop>false</ScaleCrop>
  <LinksUpToDate>false</LinksUpToDate>
  <CharactersWithSpaces>20006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2016-01-31T09:29:00Z</dcterms:created>
  <dc:creator>Administrator</dc:creator>
  <cp:lastModifiedBy>Administrator</cp:lastModifiedBy>
  <cp:lastPrinted>2017-10-17T02:26:00Z</cp:lastPrinted>
  <dcterms:modified xsi:type="dcterms:W3CDTF">2017-12-22T06:21:17Z</dcterms:modified>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