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pStyle w:val="2"/>
        <w:ind w:firstLine="210"/>
      </w:pPr>
    </w:p>
    <w:p>
      <w:pPr>
        <w:jc w:val="center"/>
        <w:rPr>
          <w:rFonts w:ascii="宋体" w:hAnsi="宋体" w:eastAsia="宋体" w:cs="宋体"/>
          <w:b/>
          <w:bCs/>
          <w:sz w:val="38"/>
          <w:szCs w:val="38"/>
        </w:rPr>
      </w:pPr>
      <w:r>
        <w:rPr>
          <w:rFonts w:hint="eastAsia" w:ascii="宋体" w:hAnsi="宋体" w:eastAsia="宋体" w:cs="宋体"/>
          <w:b/>
          <w:bCs/>
          <w:sz w:val="38"/>
          <w:szCs w:val="38"/>
        </w:rPr>
        <w:t>JZFCG-G2017066-1许昌市东城区市政管理中心“东城区市政道路路灯设施维修养护工作第二标段”</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hAnsi="宋体" w:eastAsia="宋体" w:cs="宋体"/>
          <w:b/>
          <w:color w:val="000000"/>
          <w:w w:val="90"/>
          <w:sz w:val="120"/>
          <w:szCs w:val="120"/>
        </w:rPr>
      </w:pPr>
      <w:r>
        <w:rPr>
          <w:rFonts w:hint="eastAsia" w:ascii="宋体" w:hAnsi="宋体" w:eastAsia="宋体" w:cs="宋体"/>
          <w:b/>
          <w:color w:val="000000"/>
          <w:spacing w:val="62"/>
          <w:w w:val="90"/>
          <w:sz w:val="80"/>
          <w:szCs w:val="80"/>
        </w:rPr>
        <w:t>招标文件</w:t>
      </w:r>
    </w:p>
    <w:p>
      <w:pPr>
        <w:rPr>
          <w:rFonts w:ascii="微软简隶书" w:eastAsia="微软简隶书"/>
          <w:color w:val="000000"/>
        </w:rPr>
      </w:pPr>
    </w:p>
    <w:p>
      <w:pPr>
        <w:rPr>
          <w:rFonts w:ascii="微软简隶书" w:eastAsia="微软简隶书"/>
          <w:color w:val="000000"/>
        </w:rPr>
      </w:pPr>
      <w:bookmarkStart w:id="5" w:name="_GoBack"/>
      <w:bookmarkEnd w:id="5"/>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484" w:firstLineChars="528"/>
        <w:jc w:val="left"/>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招标编号：JZFCG-G2017066-1号</w:t>
      </w:r>
    </w:p>
    <w:p>
      <w:pPr>
        <w:ind w:firstLine="1484" w:firstLineChars="528"/>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采购单位：许昌市东城区市政管理中心</w:t>
      </w:r>
    </w:p>
    <w:p>
      <w:pPr>
        <w:ind w:firstLine="1484" w:firstLineChars="528"/>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代理机构：郑州浩然工程造价咨询有限公司</w:t>
      </w:r>
    </w:p>
    <w:p>
      <w:pPr>
        <w:ind w:firstLine="2783" w:firstLineChars="990"/>
        <w:rPr>
          <w:rFonts w:asciiTheme="majorEastAsia" w:hAnsiTheme="majorEastAsia" w:eastAsiaTheme="majorEastAsia" w:cstheme="majorEastAsia"/>
          <w:b/>
          <w:bCs/>
          <w:color w:val="000000"/>
          <w:sz w:val="28"/>
          <w:szCs w:val="28"/>
        </w:rPr>
      </w:pPr>
      <w:r>
        <w:rPr>
          <w:rFonts w:hint="eastAsia" w:asciiTheme="majorEastAsia" w:hAnsiTheme="majorEastAsia" w:eastAsiaTheme="majorEastAsia" w:cstheme="majorEastAsia"/>
          <w:b/>
          <w:bCs/>
          <w:color w:val="000000"/>
          <w:sz w:val="28"/>
          <w:szCs w:val="28"/>
        </w:rPr>
        <w:t>二〇一七年十二月</w:t>
      </w:r>
    </w:p>
    <w:p>
      <w:r>
        <w:br w:type="page"/>
      </w:r>
    </w:p>
    <w:p>
      <w:pPr>
        <w:pStyle w:val="9"/>
        <w:widowControl/>
        <w:shd w:val="clear" w:color="auto" w:fill="FFFFFF"/>
        <w:spacing w:line="315" w:lineRule="atLeast"/>
        <w:jc w:val="center"/>
        <w:rPr>
          <w:rFonts w:asciiTheme="majorEastAsia" w:hAnsiTheme="majorEastAsia" w:eastAsiaTheme="majorEastAsia" w:cstheme="majorEastAsia"/>
          <w:b/>
          <w:bCs/>
          <w:color w:val="000000"/>
          <w:sz w:val="36"/>
          <w:szCs w:val="36"/>
        </w:rPr>
      </w:pPr>
    </w:p>
    <w:p>
      <w:pPr>
        <w:pStyle w:val="9"/>
        <w:widowControl/>
        <w:shd w:val="clear" w:color="auto" w:fill="FFFFFF"/>
        <w:spacing w:line="315" w:lineRule="atLeast"/>
        <w:jc w:val="center"/>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br w:type="page"/>
      </w:r>
    </w:p>
    <w:p>
      <w:pPr>
        <w:pStyle w:val="9"/>
        <w:widowControl/>
        <w:shd w:val="clear" w:color="auto" w:fill="FFFFFF"/>
        <w:spacing w:line="315" w:lineRule="atLeast"/>
        <w:jc w:val="center"/>
        <w:rPr>
          <w:rFonts w:asciiTheme="majorEastAsia" w:hAnsiTheme="majorEastAsia" w:eastAsiaTheme="majorEastAsia" w:cstheme="majorEastAsia"/>
          <w:b/>
          <w:color w:val="000000"/>
          <w:sz w:val="44"/>
          <w:szCs w:val="44"/>
          <w:shd w:val="clear" w:color="auto" w:fill="FFFFFF"/>
        </w:rPr>
      </w:pPr>
      <w:r>
        <w:rPr>
          <w:rFonts w:hint="eastAsia" w:asciiTheme="majorEastAsia" w:hAnsiTheme="majorEastAsia" w:eastAsiaTheme="majorEastAsia" w:cstheme="majorEastAsia"/>
          <w:b/>
          <w:bCs/>
          <w:sz w:val="44"/>
          <w:szCs w:val="44"/>
          <w:lang w:val="zh-CN"/>
        </w:rPr>
        <w:t>招标文件</w:t>
      </w:r>
      <w:r>
        <w:rPr>
          <w:rFonts w:hint="eastAsia" w:asciiTheme="majorEastAsia" w:hAnsiTheme="majorEastAsia" w:eastAsiaTheme="majorEastAsia" w:cstheme="majorEastAsia"/>
          <w:b/>
          <w:color w:val="000000"/>
          <w:sz w:val="44"/>
          <w:szCs w:val="44"/>
          <w:shd w:val="clear" w:color="auto" w:fill="FFFFFF"/>
        </w:rPr>
        <w:t>目录</w:t>
      </w:r>
    </w:p>
    <w:p>
      <w:pPr>
        <w:autoSpaceDE w:val="0"/>
        <w:autoSpaceDN w:val="0"/>
        <w:adjustRightInd w:val="0"/>
        <w:spacing w:line="700" w:lineRule="exact"/>
        <w:ind w:firstLine="551"/>
        <w:rPr>
          <w:rFonts w:ascii="黑体" w:eastAsia="黑体" w:cs="黑体"/>
          <w:b/>
          <w:bCs/>
          <w:sz w:val="28"/>
          <w:szCs w:val="28"/>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pStyle w:val="9"/>
        <w:widowControl/>
        <w:shd w:val="clear" w:color="auto" w:fill="FFFFFF"/>
        <w:spacing w:line="315" w:lineRule="atLeast"/>
        <w:jc w:val="center"/>
        <w:rPr>
          <w:rFonts w:ascii="宋体" w:hAnsi="宋体" w:cs="宋体"/>
          <w:b/>
          <w:color w:val="000000"/>
          <w:sz w:val="36"/>
          <w:szCs w:val="36"/>
          <w:shd w:val="clear" w:color="auto" w:fill="FFFFFF"/>
        </w:rPr>
      </w:pPr>
    </w:p>
    <w:p>
      <w:pPr>
        <w:pStyle w:val="9"/>
        <w:widowControl/>
        <w:shd w:val="clear" w:color="auto" w:fill="FFFFFF"/>
        <w:spacing w:line="315" w:lineRule="atLeast"/>
        <w:jc w:val="center"/>
        <w:rPr>
          <w:rFonts w:ascii="宋体" w:hAnsi="宋体" w:cs="宋体"/>
          <w:b/>
          <w:color w:val="000000"/>
          <w:sz w:val="36"/>
          <w:szCs w:val="36"/>
          <w:shd w:val="clear" w:color="auto" w:fill="FFFFFF"/>
        </w:rPr>
      </w:pPr>
    </w:p>
    <w:p>
      <w:pPr>
        <w:pStyle w:val="9"/>
        <w:widowControl/>
        <w:shd w:val="clear" w:color="auto" w:fill="FFFFFF"/>
        <w:spacing w:line="315" w:lineRule="atLeast"/>
        <w:jc w:val="center"/>
        <w:rPr>
          <w:rFonts w:ascii="宋体" w:hAnsi="宋体" w:cs="宋体"/>
          <w:b/>
          <w:color w:val="000000"/>
          <w:sz w:val="36"/>
          <w:szCs w:val="36"/>
          <w:shd w:val="clear" w:color="auto" w:fill="FFFFFF"/>
        </w:rPr>
      </w:pPr>
    </w:p>
    <w:p>
      <w:pPr>
        <w:pStyle w:val="9"/>
        <w:widowControl/>
        <w:shd w:val="clear" w:color="auto" w:fill="FFFFFF"/>
        <w:spacing w:line="315" w:lineRule="atLeast"/>
        <w:jc w:val="center"/>
        <w:rPr>
          <w:rFonts w:ascii="宋体" w:hAnsi="宋体" w:cs="宋体"/>
          <w:b/>
          <w:color w:val="000000"/>
          <w:sz w:val="36"/>
          <w:szCs w:val="36"/>
          <w:shd w:val="clear" w:color="auto" w:fill="FFFFFF"/>
        </w:rPr>
      </w:pPr>
    </w:p>
    <w:p>
      <w:pPr>
        <w:pStyle w:val="9"/>
        <w:widowControl/>
        <w:shd w:val="clear" w:color="auto" w:fill="FFFFFF"/>
        <w:spacing w:line="315" w:lineRule="atLeast"/>
        <w:jc w:val="center"/>
        <w:rPr>
          <w:rFonts w:ascii="宋体" w:hAnsi="宋体" w:cs="宋体"/>
          <w:b/>
          <w:color w:val="000000"/>
          <w:sz w:val="36"/>
          <w:szCs w:val="36"/>
          <w:shd w:val="clear" w:color="auto" w:fill="FFFFFF"/>
        </w:rPr>
      </w:pPr>
    </w:p>
    <w:p>
      <w:pPr>
        <w:pStyle w:val="9"/>
        <w:widowControl/>
        <w:shd w:val="clear" w:color="auto" w:fill="FFFFFF"/>
        <w:spacing w:line="315" w:lineRule="atLeast"/>
        <w:jc w:val="center"/>
        <w:rPr>
          <w:rFonts w:ascii="宋体" w:hAnsi="宋体" w:cs="宋体"/>
          <w:b/>
          <w:color w:val="000000"/>
          <w:sz w:val="36"/>
          <w:szCs w:val="36"/>
          <w:shd w:val="clear" w:color="auto" w:fill="FFFFFF"/>
        </w:rPr>
        <w:sectPr>
          <w:pgSz w:w="11906" w:h="16838"/>
          <w:pgMar w:top="1440" w:right="1800" w:bottom="1440" w:left="1600" w:header="851" w:footer="992" w:gutter="0"/>
          <w:cols w:space="425" w:num="1"/>
          <w:docGrid w:type="lines" w:linePitch="312" w:charSpace="0"/>
        </w:sectPr>
      </w:pPr>
    </w:p>
    <w:p>
      <w:pPr>
        <w:pStyle w:val="9"/>
        <w:widowControl/>
        <w:shd w:val="clear" w:color="auto" w:fill="FFFFFF"/>
        <w:spacing w:line="315" w:lineRule="atLeast"/>
        <w:jc w:val="center"/>
        <w:rPr>
          <w:rFonts w:ascii="宋体" w:hAnsi="宋体" w:cs="宋体"/>
          <w:b/>
          <w:color w:val="000000"/>
          <w:sz w:val="36"/>
          <w:szCs w:val="36"/>
        </w:rPr>
      </w:pPr>
      <w:r>
        <w:rPr>
          <w:rFonts w:hint="eastAsia" w:ascii="宋体" w:hAnsi="宋体" w:cs="宋体"/>
          <w:b/>
          <w:color w:val="000000"/>
          <w:sz w:val="36"/>
          <w:szCs w:val="36"/>
          <w:shd w:val="clear" w:color="auto" w:fill="FFFFFF"/>
        </w:rPr>
        <w:t>第一章 投标邀请</w:t>
      </w:r>
    </w:p>
    <w:p>
      <w:pPr>
        <w:pStyle w:val="9"/>
        <w:widowControl/>
        <w:shd w:val="clear" w:color="auto" w:fill="FFFFFF"/>
        <w:jc w:val="left"/>
        <w:rPr>
          <w:rFonts w:ascii="宋体" w:hAnsi="宋体" w:cs="宋体"/>
          <w:b/>
          <w:color w:val="000000"/>
          <w:sz w:val="28"/>
          <w:szCs w:val="28"/>
        </w:rPr>
      </w:pPr>
      <w:r>
        <w:rPr>
          <w:rFonts w:hint="eastAsia" w:ascii="宋体" w:hAnsi="宋体" w:cs="宋体"/>
          <w:b/>
          <w:color w:val="000000"/>
          <w:sz w:val="28"/>
          <w:szCs w:val="28"/>
          <w:shd w:val="clear" w:color="auto" w:fill="FFFFFF"/>
        </w:rPr>
        <w:t>一、项目基本情况</w:t>
      </w:r>
    </w:p>
    <w:p>
      <w:pPr>
        <w:pStyle w:val="9"/>
        <w:widowControl/>
        <w:shd w:val="clear" w:color="auto" w:fill="FFFFFF"/>
        <w:ind w:firstLine="640"/>
        <w:rPr>
          <w:rFonts w:ascii="宋体" w:hAnsi="宋体" w:cs="宋体"/>
          <w:color w:val="000000"/>
          <w:sz w:val="28"/>
          <w:szCs w:val="28"/>
          <w:shd w:val="clear" w:color="auto" w:fill="FFFFFF"/>
          <w:lang w:val="zh-CN"/>
        </w:rPr>
      </w:pPr>
      <w:r>
        <w:rPr>
          <w:rFonts w:hint="eastAsia" w:ascii="宋体" w:hAnsi="宋体" w:cs="宋体"/>
          <w:color w:val="000000"/>
          <w:sz w:val="28"/>
          <w:szCs w:val="28"/>
          <w:shd w:val="clear" w:color="auto" w:fill="FFFFFF"/>
        </w:rPr>
        <w:t>（一）项目名称：东城区市政道路路灯设施维修养护工作第二标段</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（二）项目编号：JZFCG-G2017066-1号</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项目主要内容、数量及要求：许昌市东城区市政道路路灯设施维修养护工作。主要包含以下设施、设备的日常维修、养护工作：1、箱式变电站43座；2、高8-13m功能照明灯18116盏；3、14-20m中杆灯176盏；4、25m以上高杆灯6基；5、亮化灯30400盏；6、电缆231.8km。本项目以学院路为界，分为东、西两个标段，各占工程量的约50%，本次招标范围为学院路以东。</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（四）预算金额：360万元（120万/年，服务期三年）；最高限价：360万元（120万/年，服务期三年）。</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（五）服务期限：自合同签订之日起三年。</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（六）服务地点：许昌市东城区。</w:t>
      </w:r>
    </w:p>
    <w:p>
      <w:pPr>
        <w:pStyle w:val="9"/>
        <w:widowControl/>
        <w:shd w:val="clear" w:color="auto" w:fill="FFFFFF"/>
        <w:jc w:val="left"/>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二、需要落实的政府采购政策</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本项目落实节能环保、中小微型企业、残疾人福利性单位扶持等相关政府采购政策。</w:t>
      </w:r>
    </w:p>
    <w:p>
      <w:pPr>
        <w:pStyle w:val="9"/>
        <w:widowControl/>
        <w:shd w:val="clear" w:color="auto" w:fill="FFFFFF"/>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三、合格投标人必须符合下列条件</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（一）符合《中华人民共和国政府采购法》第二十二条之规定。</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须具有城市及道路照明工程专业承包三级（或以上）资质，具有有效的安全生产许可证。拟派项目负责人须在本单位注册，具备市政公用工程或机电工程专业二级（或以上）注册建造师资格（不含临时），且具有有效的安全生产考核合格证。</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（三）未被列入“信用中国”网站(www.creditchina.gov.cn)、中国政府采购网(www.ccgp.gov.cn)渠道信用记录失信被执行人、重大税收违法案件当事人名单、政府采购严重违法失信行为记录名单的投标人。</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（四）本次招标不接受联合体投标。</w:t>
      </w:r>
    </w:p>
    <w:p>
      <w:pPr>
        <w:pStyle w:val="2"/>
        <w:spacing w:before="0" w:beforeAutospacing="0" w:after="0"/>
        <w:ind w:firstLine="0" w:firstLineChars="0"/>
        <w:rPr>
          <w:rFonts w:ascii="宋体" w:hAnsi="宋体" w:eastAsia="宋体"/>
          <w:b/>
          <w:bCs/>
          <w:color w:val="000000"/>
          <w:sz w:val="28"/>
          <w:szCs w:val="28"/>
          <w:shd w:val="clear" w:color="auto" w:fill="FFFFFF"/>
        </w:rPr>
      </w:pPr>
      <w:r>
        <w:rPr>
          <w:rFonts w:hint="eastAsia" w:ascii="宋体" w:hAnsi="宋体" w:eastAsia="宋体"/>
          <w:b/>
          <w:bCs/>
          <w:color w:val="000000"/>
          <w:sz w:val="28"/>
          <w:szCs w:val="28"/>
          <w:shd w:val="clear" w:color="auto" w:fill="FFFFFF"/>
        </w:rPr>
        <w:t>四、招标文件的获取</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（一）网上下载招标文件</w:t>
      </w:r>
    </w:p>
    <w:p>
      <w:pPr>
        <w:pStyle w:val="9"/>
        <w:widowControl/>
        <w:shd w:val="clear" w:color="auto" w:fill="FFFFFF"/>
        <w:ind w:firstLine="64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9"/>
        <w:widowControl/>
        <w:shd w:val="clear" w:color="auto" w:fill="FFFFFF"/>
        <w:ind w:firstLine="640"/>
        <w:jc w:val="lef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（二）未通过《全国公共资源交易平台（河南省·许昌市）》下载招标文件的投标人,拒收其递交的投标文件。</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（三）招标文件售价300元/套，投标人在递交投标文件时向采购代理机构交纳采购文件费用，售后不退。</w:t>
      </w:r>
    </w:p>
    <w:p>
      <w:pPr>
        <w:pStyle w:val="2"/>
        <w:spacing w:before="0" w:beforeAutospacing="0" w:after="0"/>
        <w:ind w:firstLine="0" w:firstLineChars="0"/>
        <w:jc w:val="left"/>
        <w:rPr>
          <w:rFonts w:ascii="宋体" w:hAnsi="宋体" w:eastAsia="宋体"/>
          <w:b/>
          <w:bCs/>
          <w:color w:val="000000"/>
          <w:sz w:val="28"/>
          <w:szCs w:val="28"/>
          <w:shd w:val="clear" w:color="auto" w:fill="FFFFFF"/>
        </w:rPr>
      </w:pPr>
      <w:r>
        <w:rPr>
          <w:rFonts w:hint="eastAsia" w:ascii="宋体" w:hAnsi="宋体" w:eastAsia="宋体"/>
          <w:b/>
          <w:bCs/>
          <w:color w:val="000000"/>
          <w:sz w:val="28"/>
          <w:szCs w:val="28"/>
          <w:shd w:val="clear" w:color="auto" w:fill="FFFFFF"/>
        </w:rPr>
        <w:t>五、投标截止时间、开标时间及地点：</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（一）投标截止及开标时间：2018年1月5日9时30分（北京时间），逾期送达或不符合规定的投标文件不予接受。</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（二）开标地点：许昌市公共资源交易中心（龙兴路与竹林路交汇处公共资源大厦）三楼开标一室。</w:t>
      </w:r>
    </w:p>
    <w:p>
      <w:pPr>
        <w:pStyle w:val="9"/>
        <w:widowControl/>
        <w:shd w:val="clear" w:color="auto" w:fill="FFFFFF"/>
        <w:ind w:firstLine="640"/>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 xml:space="preserve"> 六、本次招标公告同时在《中国政府采购网》、《河南省政府采购网》、《许昌市政府采购网》、《全国公共资源交易平台（河南省·许昌市）》发布。</w:t>
      </w:r>
    </w:p>
    <w:p>
      <w:pPr>
        <w:pStyle w:val="9"/>
        <w:widowControl/>
        <w:shd w:val="clear" w:color="auto" w:fill="FFFFFF"/>
        <w:ind w:firstLine="640"/>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七、公告期限</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本招标公告自发布之日起公告期限为5个工作日。</w:t>
      </w:r>
    </w:p>
    <w:p>
      <w:pPr>
        <w:pStyle w:val="9"/>
        <w:widowControl/>
        <w:shd w:val="clear" w:color="auto" w:fill="FFFFFF"/>
        <w:ind w:firstLine="640"/>
        <w:rPr>
          <w:rFonts w:ascii="宋体" w:hAnsi="宋体" w:cs="宋体"/>
          <w:b/>
          <w:bCs/>
          <w:color w:val="000000"/>
          <w:sz w:val="28"/>
          <w:szCs w:val="28"/>
          <w:shd w:val="clear" w:color="auto" w:fill="FFFFFF"/>
        </w:rPr>
      </w:pPr>
      <w:r>
        <w:rPr>
          <w:rFonts w:hint="eastAsia" w:ascii="宋体" w:hAnsi="宋体" w:cs="宋体"/>
          <w:b/>
          <w:bCs/>
          <w:color w:val="000000"/>
          <w:sz w:val="28"/>
          <w:szCs w:val="28"/>
          <w:shd w:val="clear" w:color="auto" w:fill="FFFFFF"/>
        </w:rPr>
        <w:t>八、联系方式</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采购单位：许昌市东城区市政管理中心</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地    址：许昌市新兴路东段</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联 系 人：李文睿     联系电话：18639728212</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代理机构：郑州浩然工程造价咨询有限公司</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地    址：郑州市农业路政七街省汇中心B座10层</w:t>
      </w:r>
    </w:p>
    <w:p>
      <w:pPr>
        <w:pStyle w:val="9"/>
        <w:widowControl/>
        <w:shd w:val="clear" w:color="auto" w:fill="FFFFFF"/>
        <w:ind w:firstLine="64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联 系 人：郑晓峰     联系电话：15936301855</w:t>
      </w:r>
    </w:p>
    <w:p>
      <w:pPr>
        <w:pStyle w:val="9"/>
        <w:widowControl/>
        <w:shd w:val="clear" w:color="auto" w:fill="FFFFFF"/>
        <w:ind w:firstLine="640"/>
        <w:rPr>
          <w:rFonts w:ascii="宋体" w:hAnsi="宋体" w:cs="宋体"/>
          <w:color w:val="000000"/>
          <w:sz w:val="28"/>
          <w:szCs w:val="28"/>
          <w:shd w:val="clear" w:color="auto" w:fill="FFFFFF"/>
        </w:rPr>
      </w:pPr>
    </w:p>
    <w:p>
      <w:pPr>
        <w:pStyle w:val="9"/>
        <w:widowControl/>
        <w:shd w:val="clear" w:color="auto" w:fill="FFFFFF"/>
        <w:ind w:firstLine="640"/>
        <w:rPr>
          <w:rFonts w:ascii="宋体" w:hAnsi="宋体" w:cs="宋体"/>
          <w:color w:val="000000"/>
          <w:sz w:val="28"/>
          <w:szCs w:val="28"/>
          <w:shd w:val="clear" w:color="auto" w:fill="FFFFFF"/>
        </w:rPr>
      </w:pPr>
    </w:p>
    <w:p>
      <w:pPr>
        <w:pStyle w:val="9"/>
        <w:widowControl/>
        <w:shd w:val="clear" w:color="auto" w:fill="FFFFFF"/>
        <w:ind w:firstLine="42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许昌市东城区市政管理中心</w:t>
      </w:r>
    </w:p>
    <w:p>
      <w:pPr>
        <w:pStyle w:val="9"/>
        <w:widowControl/>
        <w:shd w:val="clear" w:color="auto" w:fill="FFFFFF"/>
        <w:ind w:firstLine="4760" w:firstLineChars="17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2017年12月11日</w:t>
      </w:r>
    </w:p>
    <w:p>
      <w:pPr>
        <w:pStyle w:val="9"/>
        <w:widowControl/>
        <w:shd w:val="clear" w:color="auto" w:fill="FFFFFF"/>
        <w:ind w:firstLine="4760" w:firstLineChars="1700"/>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br w:type="page"/>
      </w:r>
    </w:p>
    <w:p>
      <w:pPr>
        <w:pStyle w:val="9"/>
        <w:widowControl/>
        <w:shd w:val="clear" w:color="auto" w:fill="FFFFFF"/>
        <w:jc w:val="center"/>
        <w:rPr>
          <w:rFonts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第一章 项目需求</w:t>
      </w:r>
    </w:p>
    <w:p>
      <w:pPr>
        <w:pStyle w:val="9"/>
        <w:widowControl/>
        <w:shd w:val="clear" w:color="auto" w:fill="FFFFFF"/>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一、项目概况</w:t>
      </w:r>
    </w:p>
    <w:p>
      <w:pPr>
        <w:spacing w:line="360" w:lineRule="auto"/>
        <w:ind w:firstLine="480" w:firstLineChars="200"/>
        <w:rPr>
          <w:rFonts w:ascii="宋体" w:hAnsi="宋体"/>
          <w:bCs/>
          <w:sz w:val="24"/>
        </w:rPr>
      </w:pPr>
      <w:r>
        <w:rPr>
          <w:rFonts w:hint="eastAsia" w:ascii="宋体" w:hAnsi="宋体"/>
          <w:bCs/>
          <w:sz w:val="24"/>
        </w:rPr>
        <w:t>1、本项目为许昌市东城区市政道路路灯设施维修养护服务项目，为确保许昌市东城区市政道路路灯设施范围内道路服务性能、保障行车安全和交通畅通，维护道路、交通设施正常使用功能，而安排的经常性保养、设施巡视、检查及其修补其损坏、被盗部分的作业。包括本合同范围内的照明、供电系统及附属设施的日常维修养护及保护。主要包含以下设施、设备的日常维修、养护工作：</w:t>
      </w:r>
    </w:p>
    <w:p>
      <w:pPr>
        <w:spacing w:line="360" w:lineRule="auto"/>
        <w:ind w:firstLine="480" w:firstLineChars="200"/>
        <w:rPr>
          <w:rFonts w:ascii="宋体" w:hAnsi="宋体"/>
          <w:bCs/>
          <w:sz w:val="24"/>
        </w:rPr>
      </w:pPr>
      <w:r>
        <w:rPr>
          <w:rFonts w:hint="eastAsia" w:ascii="宋体" w:hAnsi="宋体"/>
          <w:bCs/>
          <w:sz w:val="24"/>
        </w:rPr>
        <w:t>（1）箱式变电站43座；</w:t>
      </w:r>
    </w:p>
    <w:p>
      <w:pPr>
        <w:spacing w:line="360" w:lineRule="auto"/>
        <w:ind w:firstLine="480" w:firstLineChars="200"/>
        <w:rPr>
          <w:rFonts w:ascii="宋体" w:hAnsi="宋体"/>
          <w:bCs/>
          <w:sz w:val="24"/>
        </w:rPr>
      </w:pPr>
      <w:r>
        <w:rPr>
          <w:rFonts w:hint="eastAsia" w:ascii="宋体" w:hAnsi="宋体"/>
          <w:bCs/>
          <w:sz w:val="24"/>
        </w:rPr>
        <w:t>（2）高8-13m功能照明灯18116盏；</w:t>
      </w:r>
    </w:p>
    <w:p>
      <w:pPr>
        <w:spacing w:line="360" w:lineRule="auto"/>
        <w:ind w:firstLine="480" w:firstLineChars="200"/>
        <w:rPr>
          <w:rFonts w:ascii="宋体" w:hAnsi="宋体"/>
          <w:bCs/>
          <w:sz w:val="24"/>
        </w:rPr>
      </w:pPr>
      <w:r>
        <w:rPr>
          <w:rFonts w:hint="eastAsia" w:ascii="宋体" w:hAnsi="宋体"/>
          <w:bCs/>
          <w:sz w:val="24"/>
        </w:rPr>
        <w:t>（3）14-20m中杆灯176盏；</w:t>
      </w:r>
    </w:p>
    <w:p>
      <w:pPr>
        <w:spacing w:line="360" w:lineRule="auto"/>
        <w:ind w:firstLine="480" w:firstLineChars="200"/>
        <w:rPr>
          <w:rFonts w:ascii="宋体" w:hAnsi="宋体"/>
          <w:bCs/>
          <w:sz w:val="24"/>
        </w:rPr>
      </w:pPr>
      <w:r>
        <w:rPr>
          <w:rFonts w:hint="eastAsia" w:ascii="宋体" w:hAnsi="宋体"/>
          <w:bCs/>
          <w:sz w:val="24"/>
        </w:rPr>
        <w:t>（4）25m以上高杆灯6基；</w:t>
      </w:r>
    </w:p>
    <w:p>
      <w:pPr>
        <w:spacing w:line="360" w:lineRule="auto"/>
        <w:ind w:firstLine="480" w:firstLineChars="200"/>
        <w:rPr>
          <w:rFonts w:ascii="宋体" w:hAnsi="宋体"/>
          <w:bCs/>
          <w:sz w:val="24"/>
        </w:rPr>
      </w:pPr>
      <w:r>
        <w:rPr>
          <w:rFonts w:hint="eastAsia" w:ascii="宋体" w:hAnsi="宋体"/>
          <w:bCs/>
          <w:sz w:val="24"/>
        </w:rPr>
        <w:t>（5）亮化灯30400盏；</w:t>
      </w:r>
    </w:p>
    <w:p>
      <w:pPr>
        <w:spacing w:line="360" w:lineRule="auto"/>
        <w:ind w:firstLine="480" w:firstLineChars="200"/>
        <w:rPr>
          <w:rFonts w:ascii="宋体" w:hAnsi="宋体"/>
          <w:bCs/>
          <w:sz w:val="24"/>
        </w:rPr>
      </w:pPr>
      <w:r>
        <w:rPr>
          <w:rFonts w:hint="eastAsia" w:ascii="宋体" w:hAnsi="宋体"/>
          <w:bCs/>
          <w:sz w:val="24"/>
        </w:rPr>
        <w:t>（6）电缆231.8km。</w:t>
      </w:r>
    </w:p>
    <w:p>
      <w:pPr>
        <w:spacing w:line="360" w:lineRule="auto"/>
        <w:ind w:firstLine="480" w:firstLineChars="200"/>
        <w:rPr>
          <w:rFonts w:ascii="宋体" w:hAnsi="宋体"/>
          <w:bCs/>
          <w:sz w:val="24"/>
        </w:rPr>
      </w:pPr>
      <w:r>
        <w:rPr>
          <w:rFonts w:hint="eastAsia" w:ascii="宋体" w:hAnsi="宋体"/>
          <w:bCs/>
          <w:sz w:val="24"/>
        </w:rPr>
        <w:t>2、本项目以学院路为界，分为东、西两个标段，各占工程量的约50%，本次招标范围为学院路以东。</w:t>
      </w:r>
    </w:p>
    <w:p>
      <w:pPr>
        <w:pStyle w:val="9"/>
        <w:widowControl/>
        <w:shd w:val="clear" w:color="auto" w:fill="FFFFFF"/>
        <w:rPr>
          <w:rFonts w:ascii="宋体" w:hAnsi="宋体" w:cs="宋体"/>
          <w:b/>
          <w:color w:val="000000"/>
          <w:sz w:val="28"/>
          <w:szCs w:val="28"/>
          <w:shd w:val="clear" w:color="auto" w:fill="FFFFFF"/>
        </w:rPr>
      </w:pPr>
      <w:r>
        <w:rPr>
          <w:rFonts w:hint="eastAsia" w:ascii="宋体" w:hAnsi="宋体" w:cs="宋体"/>
          <w:b/>
          <w:color w:val="000000"/>
          <w:sz w:val="28"/>
          <w:szCs w:val="28"/>
          <w:shd w:val="clear" w:color="auto" w:fill="FFFFFF"/>
        </w:rPr>
        <w:t>二、采购需求</w:t>
      </w:r>
    </w:p>
    <w:p>
      <w:pPr>
        <w:pStyle w:val="2"/>
        <w:spacing w:before="0" w:beforeAutospacing="0" w:after="0"/>
        <w:ind w:firstLine="281"/>
        <w:rPr>
          <w:rFonts w:ascii="宋体" w:hAnsi="宋体" w:eastAsia="宋体"/>
          <w:b/>
          <w:bCs/>
          <w:sz w:val="28"/>
          <w:szCs w:val="28"/>
        </w:rPr>
      </w:pPr>
      <w:r>
        <w:rPr>
          <w:rFonts w:hint="eastAsia" w:ascii="宋体" w:hAnsi="宋体" w:eastAsia="宋体"/>
          <w:b/>
          <w:bCs/>
          <w:sz w:val="28"/>
          <w:szCs w:val="28"/>
        </w:rPr>
        <w:t>（一）采购标的需实现的功能或者目标。</w:t>
      </w:r>
    </w:p>
    <w:p>
      <w:pPr>
        <w:spacing w:line="360" w:lineRule="auto"/>
        <w:ind w:firstLine="480" w:firstLineChars="200"/>
        <w:rPr>
          <w:rFonts w:ascii="宋体" w:hAnsi="宋体"/>
          <w:bCs/>
          <w:sz w:val="24"/>
        </w:rPr>
      </w:pPr>
      <w:r>
        <w:rPr>
          <w:rFonts w:hint="eastAsia" w:ascii="宋体" w:hAnsi="宋体"/>
          <w:bCs/>
          <w:sz w:val="24"/>
        </w:rPr>
        <w:t>1、</w:t>
      </w:r>
      <w:r>
        <w:rPr>
          <w:rFonts w:ascii="宋体" w:hAnsi="宋体"/>
          <w:bCs/>
          <w:sz w:val="24"/>
        </w:rPr>
        <w:t>路灯</w:t>
      </w:r>
      <w:r>
        <w:rPr>
          <w:rFonts w:hint="eastAsia" w:ascii="宋体" w:hAnsi="宋体"/>
          <w:bCs/>
          <w:sz w:val="24"/>
        </w:rPr>
        <w:t>光源及电器</w:t>
      </w:r>
      <w:r>
        <w:rPr>
          <w:rFonts w:ascii="宋体" w:hAnsi="宋体"/>
          <w:bCs/>
          <w:sz w:val="24"/>
        </w:rPr>
        <w:t>维护</w:t>
      </w:r>
    </w:p>
    <w:p>
      <w:pPr>
        <w:spacing w:line="360" w:lineRule="auto"/>
        <w:ind w:firstLine="480" w:firstLineChars="200"/>
        <w:rPr>
          <w:rFonts w:ascii="宋体" w:hAnsi="宋体"/>
          <w:bCs/>
          <w:sz w:val="24"/>
        </w:rPr>
      </w:pPr>
      <w:r>
        <w:rPr>
          <w:rFonts w:hint="eastAsia" w:ascii="宋体" w:hAnsi="宋体"/>
          <w:bCs/>
          <w:sz w:val="24"/>
        </w:rPr>
        <w:t>A、</w:t>
      </w:r>
      <w:r>
        <w:rPr>
          <w:rFonts w:ascii="宋体" w:hAnsi="宋体"/>
          <w:bCs/>
          <w:sz w:val="24"/>
        </w:rPr>
        <w:t>光源的维护，型号、规格必须与设计保持一致，严禁任意更换。</w:t>
      </w:r>
    </w:p>
    <w:p>
      <w:pPr>
        <w:spacing w:line="360" w:lineRule="auto"/>
        <w:ind w:firstLine="480" w:firstLineChars="200"/>
        <w:rPr>
          <w:rFonts w:ascii="宋体" w:hAnsi="宋体"/>
          <w:bCs/>
          <w:sz w:val="24"/>
        </w:rPr>
      </w:pPr>
      <w:r>
        <w:rPr>
          <w:rFonts w:hint="eastAsia" w:ascii="宋体" w:hAnsi="宋体"/>
          <w:bCs/>
          <w:sz w:val="24"/>
        </w:rPr>
        <w:t>B、</w:t>
      </w:r>
      <w:r>
        <w:rPr>
          <w:rFonts w:ascii="宋体" w:hAnsi="宋体"/>
          <w:bCs/>
          <w:sz w:val="24"/>
        </w:rPr>
        <w:t>严禁使用外壳破损的光源。</w:t>
      </w:r>
    </w:p>
    <w:p>
      <w:pPr>
        <w:spacing w:line="360" w:lineRule="auto"/>
        <w:ind w:firstLine="480" w:firstLineChars="200"/>
        <w:rPr>
          <w:rFonts w:ascii="宋体" w:hAnsi="宋体"/>
          <w:bCs/>
          <w:sz w:val="24"/>
        </w:rPr>
      </w:pPr>
      <w:r>
        <w:rPr>
          <w:rFonts w:hint="eastAsia" w:ascii="宋体" w:hAnsi="宋体"/>
          <w:bCs/>
          <w:sz w:val="24"/>
        </w:rPr>
        <w:t>C、</w:t>
      </w:r>
      <w:r>
        <w:rPr>
          <w:rFonts w:ascii="宋体" w:hAnsi="宋体"/>
          <w:bCs/>
          <w:sz w:val="24"/>
        </w:rPr>
        <w:t>各类照明器的配件应完好。</w:t>
      </w:r>
    </w:p>
    <w:p>
      <w:pPr>
        <w:spacing w:line="360" w:lineRule="auto"/>
        <w:ind w:firstLine="480" w:firstLineChars="200"/>
        <w:rPr>
          <w:rFonts w:ascii="宋体" w:hAnsi="宋体"/>
          <w:bCs/>
          <w:sz w:val="24"/>
        </w:rPr>
      </w:pPr>
      <w:r>
        <w:rPr>
          <w:rFonts w:hint="eastAsia" w:ascii="宋体" w:hAnsi="宋体"/>
          <w:bCs/>
          <w:sz w:val="24"/>
        </w:rPr>
        <w:t>D、</w:t>
      </w:r>
      <w:r>
        <w:rPr>
          <w:rFonts w:ascii="宋体" w:hAnsi="宋体"/>
          <w:bCs/>
          <w:sz w:val="24"/>
        </w:rPr>
        <w:t>照明器中的各种电器，在更换维修时，应与原规格、型号一致。安装方式和位置应保持原状，并紧固。严禁用扎线或其它方式捆绑。</w:t>
      </w:r>
    </w:p>
    <w:p>
      <w:pPr>
        <w:spacing w:line="360" w:lineRule="auto"/>
        <w:ind w:firstLine="480" w:firstLineChars="200"/>
        <w:rPr>
          <w:rFonts w:ascii="宋体" w:hAnsi="宋体"/>
          <w:bCs/>
          <w:sz w:val="24"/>
        </w:rPr>
      </w:pPr>
      <w:r>
        <w:rPr>
          <w:rFonts w:hint="eastAsia" w:ascii="宋体" w:hAnsi="宋体"/>
          <w:bCs/>
          <w:sz w:val="24"/>
        </w:rPr>
        <w:t>E、</w:t>
      </w:r>
      <w:r>
        <w:rPr>
          <w:rFonts w:ascii="宋体" w:hAnsi="宋体"/>
          <w:bCs/>
          <w:sz w:val="24"/>
        </w:rPr>
        <w:t>更换各类电器时，对电器上的所有紧固件必须行检查，无异常状况后才能安装投入使用。</w:t>
      </w:r>
    </w:p>
    <w:p>
      <w:pPr>
        <w:spacing w:line="360" w:lineRule="auto"/>
        <w:ind w:firstLine="480" w:firstLineChars="200"/>
        <w:rPr>
          <w:rFonts w:ascii="宋体" w:hAnsi="宋体"/>
          <w:bCs/>
          <w:sz w:val="24"/>
        </w:rPr>
      </w:pPr>
      <w:r>
        <w:rPr>
          <w:rFonts w:hint="eastAsia" w:ascii="宋体" w:hAnsi="宋体"/>
          <w:bCs/>
          <w:sz w:val="24"/>
        </w:rPr>
        <w:t>F、</w:t>
      </w:r>
      <w:r>
        <w:rPr>
          <w:rFonts w:ascii="宋体" w:hAnsi="宋体"/>
          <w:bCs/>
          <w:sz w:val="24"/>
        </w:rPr>
        <w:t>灯引下线若是穿管敷设，应采用护套电线或电缆。明敷时可用绝缘导线。</w:t>
      </w:r>
    </w:p>
    <w:p>
      <w:pPr>
        <w:spacing w:line="360" w:lineRule="auto"/>
        <w:ind w:firstLine="480" w:firstLineChars="200"/>
        <w:rPr>
          <w:rFonts w:ascii="宋体" w:hAnsi="宋体"/>
          <w:bCs/>
          <w:sz w:val="24"/>
        </w:rPr>
      </w:pPr>
      <w:r>
        <w:rPr>
          <w:rFonts w:hint="eastAsia" w:ascii="宋体" w:hAnsi="宋体"/>
          <w:bCs/>
          <w:sz w:val="24"/>
        </w:rPr>
        <w:t>G、</w:t>
      </w:r>
      <w:r>
        <w:rPr>
          <w:rFonts w:ascii="宋体" w:hAnsi="宋体"/>
          <w:bCs/>
          <w:sz w:val="24"/>
        </w:rPr>
        <w:t>灯头的接线必须相线接在中心触点端子上，零线接在螺纹口端子上。</w:t>
      </w:r>
    </w:p>
    <w:p>
      <w:pPr>
        <w:spacing w:line="360" w:lineRule="auto"/>
        <w:ind w:firstLine="480" w:firstLineChars="200"/>
        <w:rPr>
          <w:rFonts w:ascii="宋体" w:hAnsi="宋体"/>
          <w:bCs/>
          <w:sz w:val="24"/>
        </w:rPr>
      </w:pPr>
      <w:r>
        <w:rPr>
          <w:rFonts w:hint="eastAsia" w:ascii="宋体" w:hAnsi="宋体"/>
          <w:bCs/>
          <w:sz w:val="24"/>
        </w:rPr>
        <w:t>H、在灯臂、灯杆、灯盘内穿线不得有接头</w:t>
      </w:r>
      <w:r>
        <w:rPr>
          <w:rFonts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I、</w:t>
      </w:r>
      <w:r>
        <w:rPr>
          <w:rFonts w:ascii="宋体" w:hAnsi="宋体"/>
          <w:bCs/>
          <w:sz w:val="24"/>
        </w:rPr>
        <w:t>照明器的清洁在检修、维护时应同时进行。</w:t>
      </w:r>
    </w:p>
    <w:p>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灯杆和金具维护 </w:t>
      </w:r>
    </w:p>
    <w:p>
      <w:pPr>
        <w:spacing w:line="360" w:lineRule="auto"/>
        <w:ind w:firstLine="480" w:firstLineChars="200"/>
        <w:rPr>
          <w:rFonts w:ascii="宋体" w:hAnsi="宋体"/>
          <w:bCs/>
          <w:sz w:val="24"/>
        </w:rPr>
      </w:pPr>
      <w:r>
        <w:rPr>
          <w:rFonts w:hint="eastAsia" w:ascii="宋体" w:hAnsi="宋体"/>
          <w:bCs/>
          <w:sz w:val="24"/>
        </w:rPr>
        <w:t>A、</w:t>
      </w:r>
      <w:r>
        <w:rPr>
          <w:rFonts w:ascii="宋体" w:hAnsi="宋体"/>
          <w:bCs/>
          <w:sz w:val="24"/>
        </w:rPr>
        <w:t>灯杆表面不应有其它影响美观的物体和图像</w:t>
      </w:r>
    </w:p>
    <w:p>
      <w:pPr>
        <w:spacing w:line="360" w:lineRule="auto"/>
        <w:ind w:firstLine="480" w:firstLineChars="200"/>
        <w:rPr>
          <w:rFonts w:ascii="宋体" w:hAnsi="宋体"/>
          <w:bCs/>
          <w:sz w:val="24"/>
        </w:rPr>
      </w:pPr>
      <w:r>
        <w:rPr>
          <w:rFonts w:hint="eastAsia" w:ascii="宋体" w:hAnsi="宋体"/>
          <w:bCs/>
          <w:sz w:val="24"/>
        </w:rPr>
        <w:t>B、</w:t>
      </w:r>
      <w:r>
        <w:rPr>
          <w:rFonts w:ascii="宋体" w:hAnsi="宋体"/>
          <w:bCs/>
          <w:sz w:val="24"/>
        </w:rPr>
        <w:t>金具的维护严禁使用规范以外的扎线或其它方式捆绑固定。</w:t>
      </w:r>
    </w:p>
    <w:p>
      <w:pPr>
        <w:spacing w:line="360" w:lineRule="auto"/>
        <w:ind w:firstLine="480" w:firstLineChars="200"/>
        <w:rPr>
          <w:rFonts w:ascii="宋体" w:hAnsi="宋体"/>
          <w:bCs/>
          <w:sz w:val="24"/>
        </w:rPr>
      </w:pPr>
      <w:r>
        <w:rPr>
          <w:rFonts w:hint="eastAsia" w:ascii="宋体" w:hAnsi="宋体"/>
          <w:bCs/>
          <w:sz w:val="24"/>
        </w:rPr>
        <w:t>C、</w:t>
      </w:r>
      <w:r>
        <w:rPr>
          <w:rFonts w:ascii="宋体" w:hAnsi="宋体"/>
          <w:bCs/>
          <w:sz w:val="24"/>
        </w:rPr>
        <w:t>金属灯杆应完整、灯杆编号清晰。</w:t>
      </w:r>
    </w:p>
    <w:p>
      <w:pPr>
        <w:spacing w:line="360" w:lineRule="auto"/>
        <w:ind w:firstLine="480" w:firstLineChars="200"/>
        <w:rPr>
          <w:rFonts w:ascii="宋体" w:hAnsi="宋体"/>
          <w:bCs/>
          <w:sz w:val="24"/>
        </w:rPr>
      </w:pPr>
      <w:r>
        <w:rPr>
          <w:rFonts w:hint="eastAsia" w:ascii="宋体" w:hAnsi="宋体"/>
          <w:bCs/>
          <w:sz w:val="24"/>
        </w:rPr>
        <w:t>D、</w:t>
      </w:r>
      <w:r>
        <w:rPr>
          <w:rFonts w:ascii="宋体" w:hAnsi="宋体"/>
          <w:bCs/>
          <w:sz w:val="24"/>
        </w:rPr>
        <w:t>金</w:t>
      </w:r>
      <w:r>
        <w:rPr>
          <w:rFonts w:hint="eastAsia" w:ascii="宋体" w:hAnsi="宋体"/>
          <w:bCs/>
          <w:sz w:val="24"/>
        </w:rPr>
        <w:t>属</w:t>
      </w:r>
      <w:r>
        <w:rPr>
          <w:rFonts w:ascii="宋体" w:hAnsi="宋体"/>
          <w:bCs/>
          <w:sz w:val="24"/>
        </w:rPr>
        <w:t>灯具锈蚀1/2以上时，必须全面更换。</w:t>
      </w:r>
    </w:p>
    <w:p>
      <w:pPr>
        <w:spacing w:line="360" w:lineRule="auto"/>
        <w:ind w:firstLine="480" w:firstLineChars="200"/>
        <w:rPr>
          <w:rFonts w:ascii="宋体" w:hAnsi="宋体"/>
          <w:bCs/>
          <w:sz w:val="24"/>
        </w:rPr>
      </w:pPr>
      <w:r>
        <w:rPr>
          <w:rFonts w:hint="eastAsia" w:ascii="宋体" w:hAnsi="宋体"/>
          <w:bCs/>
          <w:sz w:val="24"/>
        </w:rPr>
        <w:t>E、</w:t>
      </w:r>
      <w:r>
        <w:rPr>
          <w:rFonts w:ascii="宋体" w:hAnsi="宋体"/>
          <w:bCs/>
          <w:sz w:val="24"/>
        </w:rPr>
        <w:t>基础螺栓和灯杆下发兰盘应进行保护或防腐。</w:t>
      </w:r>
    </w:p>
    <w:p>
      <w:pPr>
        <w:spacing w:line="360" w:lineRule="auto"/>
        <w:ind w:firstLine="480" w:firstLineChars="200"/>
        <w:rPr>
          <w:rFonts w:ascii="宋体" w:hAnsi="宋体"/>
          <w:bCs/>
          <w:sz w:val="24"/>
        </w:rPr>
      </w:pPr>
      <w:r>
        <w:rPr>
          <w:rFonts w:hint="eastAsia" w:ascii="宋体" w:hAnsi="宋体"/>
          <w:bCs/>
          <w:sz w:val="24"/>
        </w:rPr>
        <w:t>F、</w:t>
      </w:r>
      <w:r>
        <w:rPr>
          <w:rFonts w:ascii="宋体" w:hAnsi="宋体"/>
          <w:bCs/>
          <w:sz w:val="24"/>
        </w:rPr>
        <w:t>灯臂、照明器应保持平整，不能有肉眼能看到的偏斜。更换电器光源时须一人操作、一人监护，防止其光源电器及金具的脱落。</w:t>
      </w:r>
    </w:p>
    <w:p>
      <w:pPr>
        <w:spacing w:line="360" w:lineRule="auto"/>
        <w:ind w:firstLine="480" w:firstLineChars="200"/>
        <w:rPr>
          <w:rFonts w:ascii="宋体" w:hAnsi="宋体"/>
          <w:bCs/>
          <w:sz w:val="24"/>
        </w:rPr>
      </w:pPr>
      <w:r>
        <w:rPr>
          <w:rFonts w:hint="eastAsia" w:ascii="宋体" w:hAnsi="宋体"/>
          <w:bCs/>
          <w:sz w:val="24"/>
        </w:rPr>
        <w:t>G、</w:t>
      </w:r>
      <w:r>
        <w:rPr>
          <w:rFonts w:ascii="宋体" w:hAnsi="宋体"/>
          <w:bCs/>
          <w:sz w:val="24"/>
        </w:rPr>
        <w:t>每年应对金属灯杆的接地或接零设施进行一次测试，其数值应符合现行国家标准。</w:t>
      </w:r>
    </w:p>
    <w:p>
      <w:pPr>
        <w:spacing w:line="360" w:lineRule="auto"/>
        <w:ind w:firstLine="480" w:firstLineChars="200"/>
        <w:rPr>
          <w:rFonts w:ascii="宋体" w:hAnsi="宋体"/>
          <w:bCs/>
          <w:sz w:val="24"/>
        </w:rPr>
      </w:pPr>
      <w:r>
        <w:rPr>
          <w:rFonts w:hint="eastAsia" w:ascii="宋体" w:hAnsi="宋体"/>
          <w:bCs/>
          <w:sz w:val="24"/>
        </w:rPr>
        <w:t>3、</w:t>
      </w:r>
      <w:r>
        <w:rPr>
          <w:rFonts w:ascii="宋体" w:hAnsi="宋体"/>
          <w:bCs/>
          <w:sz w:val="24"/>
        </w:rPr>
        <w:t>电线、电缆维护</w:t>
      </w:r>
    </w:p>
    <w:p>
      <w:pPr>
        <w:spacing w:line="360" w:lineRule="auto"/>
        <w:ind w:firstLine="480" w:firstLineChars="200"/>
        <w:rPr>
          <w:rFonts w:ascii="宋体" w:hAnsi="宋体"/>
          <w:bCs/>
          <w:sz w:val="24"/>
        </w:rPr>
      </w:pPr>
      <w:r>
        <w:rPr>
          <w:rFonts w:hint="eastAsia" w:ascii="宋体" w:hAnsi="宋体"/>
          <w:bCs/>
          <w:sz w:val="24"/>
        </w:rPr>
        <w:t>A、</w:t>
      </w:r>
      <w:r>
        <w:rPr>
          <w:rFonts w:ascii="宋体" w:hAnsi="宋体"/>
          <w:bCs/>
          <w:sz w:val="24"/>
        </w:rPr>
        <w:t>架空导线截面的选取必须符合现行国家有关规定，并与原线路一致。</w:t>
      </w:r>
    </w:p>
    <w:p>
      <w:pPr>
        <w:spacing w:line="360" w:lineRule="auto"/>
        <w:ind w:firstLine="480" w:firstLineChars="200"/>
        <w:rPr>
          <w:rFonts w:ascii="宋体" w:hAnsi="宋体"/>
          <w:bCs/>
          <w:sz w:val="24"/>
        </w:rPr>
      </w:pPr>
      <w:r>
        <w:rPr>
          <w:rFonts w:hint="eastAsia" w:ascii="宋体" w:hAnsi="宋体"/>
          <w:bCs/>
          <w:sz w:val="24"/>
        </w:rPr>
        <w:t>B、</w:t>
      </w:r>
      <w:r>
        <w:rPr>
          <w:rFonts w:ascii="宋体" w:hAnsi="宋体"/>
          <w:bCs/>
          <w:sz w:val="24"/>
        </w:rPr>
        <w:t>不宜采用裸导线。</w:t>
      </w:r>
    </w:p>
    <w:p>
      <w:pPr>
        <w:spacing w:line="360" w:lineRule="auto"/>
        <w:ind w:firstLine="480" w:firstLineChars="200"/>
        <w:rPr>
          <w:rFonts w:ascii="宋体" w:hAnsi="宋体"/>
          <w:bCs/>
          <w:sz w:val="24"/>
        </w:rPr>
      </w:pPr>
      <w:r>
        <w:rPr>
          <w:rFonts w:hint="eastAsia" w:ascii="宋体" w:hAnsi="宋体"/>
          <w:bCs/>
          <w:sz w:val="24"/>
        </w:rPr>
        <w:t>C、</w:t>
      </w:r>
      <w:r>
        <w:rPr>
          <w:rFonts w:ascii="宋体" w:hAnsi="宋体"/>
          <w:bCs/>
          <w:sz w:val="24"/>
        </w:rPr>
        <w:t>架空线路应经常巡查，对不符合城市道路照明工程施工及验收规程的缺陷，立即改进。</w:t>
      </w:r>
    </w:p>
    <w:p>
      <w:pPr>
        <w:spacing w:line="360" w:lineRule="auto"/>
        <w:ind w:firstLine="480" w:firstLineChars="200"/>
        <w:rPr>
          <w:rFonts w:ascii="宋体" w:hAnsi="宋体"/>
          <w:bCs/>
          <w:sz w:val="24"/>
        </w:rPr>
      </w:pPr>
      <w:r>
        <w:rPr>
          <w:rFonts w:hint="eastAsia" w:ascii="宋体" w:hAnsi="宋体"/>
          <w:bCs/>
          <w:sz w:val="24"/>
        </w:rPr>
        <w:t>D、</w:t>
      </w:r>
      <w:r>
        <w:rPr>
          <w:rFonts w:ascii="宋体" w:hAnsi="宋体"/>
          <w:bCs/>
          <w:sz w:val="24"/>
        </w:rPr>
        <w:t>引下线应紧固规则。</w:t>
      </w:r>
    </w:p>
    <w:p>
      <w:pPr>
        <w:spacing w:line="360" w:lineRule="auto"/>
        <w:ind w:firstLine="480" w:firstLineChars="200"/>
        <w:rPr>
          <w:rFonts w:ascii="宋体" w:hAnsi="宋体"/>
          <w:bCs/>
          <w:sz w:val="24"/>
        </w:rPr>
      </w:pPr>
      <w:r>
        <w:rPr>
          <w:rFonts w:hint="eastAsia" w:ascii="宋体" w:hAnsi="宋体"/>
          <w:bCs/>
          <w:sz w:val="24"/>
        </w:rPr>
        <w:t>E、</w:t>
      </w:r>
      <w:r>
        <w:rPr>
          <w:rFonts w:ascii="宋体" w:hAnsi="宋体"/>
          <w:bCs/>
          <w:sz w:val="24"/>
        </w:rPr>
        <w:t>电缆线路的绝缘处理严禁使用普通绝缘黑胶布包扎处理。处理时先用黄腊绸带进行包扎，再用防水绝缘胶带包扎。</w:t>
      </w:r>
    </w:p>
    <w:p>
      <w:pPr>
        <w:spacing w:line="360" w:lineRule="auto"/>
        <w:ind w:firstLine="480" w:firstLineChars="200"/>
        <w:rPr>
          <w:rFonts w:ascii="宋体" w:hAnsi="宋体"/>
          <w:bCs/>
          <w:sz w:val="24"/>
        </w:rPr>
      </w:pPr>
      <w:r>
        <w:rPr>
          <w:rFonts w:hint="eastAsia" w:ascii="宋体" w:hAnsi="宋体"/>
          <w:bCs/>
          <w:sz w:val="24"/>
        </w:rPr>
        <w:t>F、</w:t>
      </w:r>
      <w:r>
        <w:rPr>
          <w:rFonts w:ascii="宋体" w:hAnsi="宋体"/>
          <w:bCs/>
          <w:sz w:val="24"/>
        </w:rPr>
        <w:t>电缆线路应经常进行地面检查，应无绿化、修路以及地面堆物下沉等各种异常现象。</w:t>
      </w:r>
    </w:p>
    <w:p>
      <w:pPr>
        <w:spacing w:line="360" w:lineRule="auto"/>
        <w:ind w:firstLine="480" w:firstLineChars="200"/>
        <w:rPr>
          <w:rFonts w:ascii="宋体" w:hAnsi="宋体"/>
          <w:bCs/>
          <w:sz w:val="24"/>
        </w:rPr>
      </w:pPr>
      <w:r>
        <w:rPr>
          <w:rFonts w:hint="eastAsia" w:ascii="宋体" w:hAnsi="宋体"/>
          <w:bCs/>
          <w:sz w:val="24"/>
        </w:rPr>
        <w:t>G、</w:t>
      </w:r>
      <w:r>
        <w:rPr>
          <w:rFonts w:ascii="宋体" w:hAnsi="宋体"/>
          <w:bCs/>
          <w:sz w:val="24"/>
        </w:rPr>
        <w:t>暴雨后应立即对低洼地带的窨井进行检查。</w:t>
      </w:r>
    </w:p>
    <w:p>
      <w:pPr>
        <w:spacing w:line="360" w:lineRule="auto"/>
        <w:ind w:firstLine="480" w:firstLineChars="200"/>
        <w:rPr>
          <w:rFonts w:ascii="宋体" w:hAnsi="宋体"/>
          <w:bCs/>
          <w:sz w:val="24"/>
        </w:rPr>
      </w:pPr>
      <w:r>
        <w:rPr>
          <w:rFonts w:hint="eastAsia" w:ascii="宋体" w:hAnsi="宋体"/>
          <w:bCs/>
          <w:sz w:val="24"/>
        </w:rPr>
        <w:t>H、</w:t>
      </w:r>
      <w:r>
        <w:rPr>
          <w:rFonts w:ascii="宋体" w:hAnsi="宋体"/>
          <w:bCs/>
          <w:sz w:val="24"/>
        </w:rPr>
        <w:t>线路故障后，严禁回路合并超负荷运行。</w:t>
      </w:r>
    </w:p>
    <w:p>
      <w:pPr>
        <w:spacing w:line="360" w:lineRule="auto"/>
        <w:ind w:firstLine="480" w:firstLineChars="200"/>
        <w:rPr>
          <w:rFonts w:ascii="宋体" w:hAnsi="宋体"/>
          <w:bCs/>
          <w:sz w:val="24"/>
        </w:rPr>
      </w:pPr>
      <w:r>
        <w:rPr>
          <w:rFonts w:hint="eastAsia" w:ascii="宋体" w:hAnsi="宋体"/>
          <w:bCs/>
          <w:sz w:val="24"/>
        </w:rPr>
        <w:t>4、</w:t>
      </w:r>
      <w:r>
        <w:rPr>
          <w:rFonts w:ascii="宋体" w:hAnsi="宋体"/>
          <w:bCs/>
          <w:sz w:val="24"/>
        </w:rPr>
        <w:t>配电及运行控制维护 </w:t>
      </w:r>
    </w:p>
    <w:p>
      <w:pPr>
        <w:spacing w:line="360" w:lineRule="auto"/>
        <w:ind w:firstLine="480" w:firstLineChars="200"/>
        <w:rPr>
          <w:rFonts w:ascii="宋体" w:hAnsi="宋体"/>
          <w:bCs/>
          <w:sz w:val="24"/>
        </w:rPr>
      </w:pPr>
      <w:r>
        <w:rPr>
          <w:rFonts w:hint="eastAsia" w:ascii="宋体" w:hAnsi="宋体"/>
          <w:bCs/>
          <w:sz w:val="24"/>
        </w:rPr>
        <w:t>A、</w:t>
      </w:r>
      <w:r>
        <w:rPr>
          <w:rFonts w:ascii="宋体" w:hAnsi="宋体"/>
          <w:bCs/>
          <w:sz w:val="24"/>
        </w:rPr>
        <w:t>控制线上严禁接搭路灯或其它负荷。</w:t>
      </w:r>
    </w:p>
    <w:p>
      <w:pPr>
        <w:spacing w:line="360" w:lineRule="auto"/>
        <w:ind w:firstLine="480" w:firstLineChars="200"/>
        <w:rPr>
          <w:rFonts w:ascii="宋体" w:hAnsi="宋体"/>
          <w:bCs/>
          <w:sz w:val="24"/>
        </w:rPr>
      </w:pPr>
      <w:r>
        <w:rPr>
          <w:rFonts w:hint="eastAsia" w:ascii="宋体" w:hAnsi="宋体"/>
          <w:bCs/>
          <w:sz w:val="24"/>
        </w:rPr>
        <w:t>B、</w:t>
      </w:r>
      <w:r>
        <w:rPr>
          <w:rFonts w:ascii="宋体" w:hAnsi="宋体"/>
          <w:bCs/>
          <w:sz w:val="24"/>
        </w:rPr>
        <w:t>配电设施应经常测试线路负荷以及电压三相平衡。</w:t>
      </w:r>
    </w:p>
    <w:p>
      <w:pPr>
        <w:spacing w:line="360" w:lineRule="auto"/>
        <w:ind w:firstLine="480" w:firstLineChars="200"/>
        <w:rPr>
          <w:rFonts w:ascii="宋体" w:hAnsi="宋体"/>
          <w:bCs/>
          <w:sz w:val="24"/>
        </w:rPr>
      </w:pPr>
      <w:r>
        <w:rPr>
          <w:rFonts w:hint="eastAsia" w:ascii="宋体" w:hAnsi="宋体"/>
          <w:bCs/>
          <w:sz w:val="24"/>
        </w:rPr>
        <w:t>C、</w:t>
      </w:r>
      <w:r>
        <w:rPr>
          <w:rFonts w:ascii="宋体" w:hAnsi="宋体"/>
          <w:bCs/>
          <w:sz w:val="24"/>
        </w:rPr>
        <w:t>维修更换配电设施时，不准任何更换规格。</w:t>
      </w:r>
    </w:p>
    <w:p>
      <w:pPr>
        <w:spacing w:line="360" w:lineRule="auto"/>
        <w:ind w:firstLine="480" w:firstLineChars="200"/>
        <w:rPr>
          <w:rFonts w:ascii="宋体" w:hAnsi="宋体"/>
          <w:bCs/>
          <w:sz w:val="24"/>
        </w:rPr>
      </w:pPr>
      <w:r>
        <w:rPr>
          <w:rFonts w:hint="eastAsia" w:ascii="宋体" w:hAnsi="宋体"/>
          <w:bCs/>
          <w:sz w:val="24"/>
        </w:rPr>
        <w:t>D、</w:t>
      </w:r>
      <w:r>
        <w:rPr>
          <w:rFonts w:ascii="宋体" w:hAnsi="宋体"/>
          <w:bCs/>
          <w:sz w:val="24"/>
        </w:rPr>
        <w:t>开关设备应保持配件的完好。</w:t>
      </w:r>
    </w:p>
    <w:p>
      <w:pPr>
        <w:spacing w:line="360" w:lineRule="auto"/>
        <w:ind w:firstLine="480" w:firstLineChars="200"/>
        <w:rPr>
          <w:rFonts w:ascii="宋体" w:hAnsi="宋体"/>
          <w:bCs/>
          <w:sz w:val="24"/>
        </w:rPr>
      </w:pPr>
      <w:r>
        <w:rPr>
          <w:rFonts w:hint="eastAsia" w:ascii="宋体" w:hAnsi="宋体"/>
          <w:bCs/>
          <w:sz w:val="24"/>
        </w:rPr>
        <w:t>5、变压器运行维护</w:t>
      </w:r>
    </w:p>
    <w:p>
      <w:pPr>
        <w:spacing w:line="360" w:lineRule="auto"/>
        <w:ind w:firstLine="480" w:firstLineChars="200"/>
        <w:rPr>
          <w:rFonts w:ascii="宋体" w:hAnsi="宋体"/>
          <w:bCs/>
          <w:sz w:val="24"/>
        </w:rPr>
      </w:pPr>
      <w:r>
        <w:rPr>
          <w:rFonts w:hint="eastAsia" w:ascii="宋体" w:hAnsi="宋体"/>
          <w:bCs/>
          <w:sz w:val="24"/>
        </w:rPr>
        <w:t>A、出力能达到铭牌要求。</w:t>
      </w:r>
    </w:p>
    <w:p>
      <w:pPr>
        <w:spacing w:line="360" w:lineRule="auto"/>
        <w:ind w:firstLine="480" w:firstLineChars="200"/>
        <w:rPr>
          <w:rFonts w:ascii="宋体" w:hAnsi="宋体"/>
          <w:bCs/>
          <w:sz w:val="24"/>
        </w:rPr>
      </w:pPr>
      <w:r>
        <w:rPr>
          <w:rFonts w:hint="eastAsia" w:ascii="宋体" w:hAnsi="宋体"/>
          <w:bCs/>
          <w:sz w:val="24"/>
        </w:rPr>
        <w:t>B、上层油温不超过85℃，油位在规定监视线内。</w:t>
      </w:r>
    </w:p>
    <w:p>
      <w:pPr>
        <w:spacing w:line="360" w:lineRule="auto"/>
        <w:ind w:firstLine="480" w:firstLineChars="200"/>
        <w:rPr>
          <w:rFonts w:ascii="宋体" w:hAnsi="宋体"/>
          <w:bCs/>
          <w:sz w:val="24"/>
        </w:rPr>
      </w:pPr>
      <w:r>
        <w:rPr>
          <w:rFonts w:hint="eastAsia" w:ascii="宋体" w:hAnsi="宋体"/>
          <w:bCs/>
          <w:sz w:val="24"/>
        </w:rPr>
        <w:t>C、声音正常。</w:t>
      </w:r>
    </w:p>
    <w:p>
      <w:pPr>
        <w:spacing w:line="360" w:lineRule="auto"/>
        <w:ind w:firstLine="480" w:firstLineChars="200"/>
        <w:rPr>
          <w:rFonts w:ascii="宋体" w:hAnsi="宋体"/>
          <w:bCs/>
          <w:sz w:val="24"/>
        </w:rPr>
      </w:pPr>
      <w:r>
        <w:rPr>
          <w:rFonts w:hint="eastAsia" w:ascii="宋体" w:hAnsi="宋体"/>
          <w:bCs/>
          <w:sz w:val="24"/>
        </w:rPr>
        <w:t>D、一、二次引出线及其结点符合标准，温度不超过70℃。</w:t>
      </w:r>
    </w:p>
    <w:p>
      <w:pPr>
        <w:spacing w:line="360" w:lineRule="auto"/>
        <w:ind w:firstLine="480" w:firstLineChars="200"/>
        <w:rPr>
          <w:rFonts w:ascii="宋体" w:hAnsi="宋体"/>
          <w:bCs/>
          <w:sz w:val="24"/>
        </w:rPr>
      </w:pPr>
      <w:r>
        <w:rPr>
          <w:rFonts w:hint="eastAsia" w:ascii="宋体" w:hAnsi="宋体"/>
          <w:bCs/>
          <w:sz w:val="24"/>
        </w:rPr>
        <w:t>E、线圈、瓷套管及分接开关经预防性试验，各项指标合格。</w:t>
      </w:r>
    </w:p>
    <w:p>
      <w:pPr>
        <w:spacing w:line="360" w:lineRule="auto"/>
        <w:ind w:firstLine="480" w:firstLineChars="200"/>
        <w:rPr>
          <w:rFonts w:ascii="宋体" w:hAnsi="宋体"/>
          <w:bCs/>
          <w:sz w:val="24"/>
        </w:rPr>
      </w:pPr>
      <w:r>
        <w:rPr>
          <w:rFonts w:hint="eastAsia" w:ascii="宋体" w:hAnsi="宋体"/>
          <w:bCs/>
          <w:sz w:val="24"/>
        </w:rPr>
        <w:t>F、变压器油各项指标符合要求。</w:t>
      </w:r>
    </w:p>
    <w:p>
      <w:pPr>
        <w:spacing w:line="360" w:lineRule="auto"/>
        <w:ind w:firstLine="480" w:firstLineChars="200"/>
        <w:rPr>
          <w:rFonts w:ascii="宋体" w:hAnsi="宋体"/>
          <w:bCs/>
          <w:sz w:val="24"/>
        </w:rPr>
      </w:pPr>
      <w:r>
        <w:rPr>
          <w:rFonts w:hint="eastAsia" w:ascii="宋体" w:hAnsi="宋体"/>
          <w:bCs/>
          <w:sz w:val="24"/>
        </w:rPr>
        <w:t>G、外壳上有额定铭牌。</w:t>
      </w:r>
    </w:p>
    <w:p>
      <w:pPr>
        <w:spacing w:line="360" w:lineRule="auto"/>
        <w:ind w:firstLine="480" w:firstLineChars="200"/>
        <w:rPr>
          <w:rFonts w:ascii="宋体" w:hAnsi="宋体"/>
          <w:bCs/>
          <w:sz w:val="24"/>
        </w:rPr>
      </w:pPr>
      <w:r>
        <w:rPr>
          <w:rFonts w:hint="eastAsia" w:ascii="宋体" w:hAnsi="宋体"/>
          <w:bCs/>
          <w:sz w:val="24"/>
        </w:rPr>
        <w:t>H、应具有设备履历表、运行记录、检修试验记录，并准确齐全。</w:t>
      </w:r>
    </w:p>
    <w:p>
      <w:pPr>
        <w:spacing w:line="360" w:lineRule="auto"/>
        <w:ind w:firstLine="480" w:firstLineChars="200"/>
        <w:rPr>
          <w:rFonts w:ascii="宋体" w:hAnsi="宋体"/>
          <w:bCs/>
          <w:sz w:val="24"/>
        </w:rPr>
      </w:pPr>
      <w:r>
        <w:rPr>
          <w:rFonts w:hint="eastAsia" w:ascii="宋体" w:hAnsi="宋体"/>
          <w:bCs/>
          <w:sz w:val="24"/>
        </w:rPr>
        <w:t>I、安全警示标牌必须完好。</w:t>
      </w:r>
    </w:p>
    <w:p>
      <w:pPr>
        <w:spacing w:line="360" w:lineRule="auto"/>
        <w:ind w:firstLine="480" w:firstLineChars="200"/>
        <w:rPr>
          <w:rFonts w:ascii="宋体" w:hAnsi="宋体"/>
          <w:bCs/>
          <w:sz w:val="24"/>
        </w:rPr>
      </w:pPr>
      <w:r>
        <w:rPr>
          <w:rFonts w:hint="eastAsia" w:ascii="宋体" w:hAnsi="宋体"/>
          <w:bCs/>
          <w:sz w:val="24"/>
        </w:rPr>
        <w:t>J、仪表监视，电压表、电流表、功率表、功率因数表等必须经常监察。</w:t>
      </w:r>
    </w:p>
    <w:p>
      <w:pPr>
        <w:spacing w:line="360" w:lineRule="auto"/>
        <w:ind w:firstLine="480" w:firstLineChars="200"/>
        <w:rPr>
          <w:rFonts w:ascii="宋体" w:hAnsi="宋体"/>
          <w:bCs/>
          <w:sz w:val="24"/>
        </w:rPr>
      </w:pPr>
      <w:r>
        <w:rPr>
          <w:rFonts w:hint="eastAsia" w:ascii="宋体" w:hAnsi="宋体"/>
          <w:bCs/>
          <w:sz w:val="24"/>
        </w:rPr>
        <w:t>K、不解体小修每年应进行一次。</w:t>
      </w:r>
    </w:p>
    <w:p>
      <w:pPr>
        <w:spacing w:line="360" w:lineRule="auto"/>
        <w:ind w:firstLine="480" w:firstLineChars="200"/>
        <w:rPr>
          <w:rFonts w:ascii="宋体" w:hAnsi="宋体"/>
          <w:bCs/>
          <w:sz w:val="24"/>
        </w:rPr>
      </w:pPr>
      <w:r>
        <w:rPr>
          <w:rFonts w:hint="eastAsia" w:ascii="宋体" w:hAnsi="宋体"/>
          <w:bCs/>
          <w:sz w:val="24"/>
        </w:rPr>
        <w:t>L、不同型号的变压器油不应混合使用。</w:t>
      </w:r>
    </w:p>
    <w:p>
      <w:pPr>
        <w:spacing w:line="360" w:lineRule="auto"/>
        <w:ind w:firstLine="480" w:firstLineChars="200"/>
        <w:rPr>
          <w:rFonts w:ascii="宋体" w:hAnsi="宋体"/>
          <w:bCs/>
          <w:sz w:val="24"/>
        </w:rPr>
      </w:pPr>
      <w:r>
        <w:rPr>
          <w:rFonts w:hint="eastAsia" w:ascii="宋体" w:hAnsi="宋体"/>
          <w:bCs/>
          <w:sz w:val="24"/>
        </w:rPr>
        <w:t>6、资料管理</w:t>
      </w:r>
    </w:p>
    <w:p>
      <w:pPr>
        <w:spacing w:line="360" w:lineRule="auto"/>
        <w:ind w:firstLine="480" w:firstLineChars="200"/>
        <w:rPr>
          <w:rFonts w:ascii="宋体" w:hAnsi="宋体"/>
          <w:bCs/>
          <w:sz w:val="24"/>
        </w:rPr>
      </w:pPr>
      <w:r>
        <w:rPr>
          <w:rFonts w:hint="eastAsia" w:ascii="宋体" w:hAnsi="宋体"/>
          <w:bCs/>
          <w:sz w:val="24"/>
        </w:rPr>
        <w:t>A、各种路灯设备、设施必须建立台帐，并且帐卡物相符。</w:t>
      </w:r>
    </w:p>
    <w:p>
      <w:pPr>
        <w:spacing w:line="360" w:lineRule="auto"/>
        <w:ind w:firstLine="480" w:firstLineChars="200"/>
        <w:rPr>
          <w:rFonts w:ascii="宋体" w:hAnsi="宋体"/>
          <w:bCs/>
          <w:sz w:val="24"/>
        </w:rPr>
      </w:pPr>
      <w:r>
        <w:rPr>
          <w:rFonts w:hint="eastAsia" w:ascii="宋体" w:hAnsi="宋体"/>
          <w:bCs/>
          <w:sz w:val="24"/>
        </w:rPr>
        <w:t>B、随着设备、设备的检修更换，完工后一星期内应更换（改）有关台帐记录。</w:t>
      </w:r>
    </w:p>
    <w:p>
      <w:pPr>
        <w:spacing w:line="360" w:lineRule="auto"/>
        <w:ind w:firstLine="480" w:firstLineChars="200"/>
        <w:rPr>
          <w:rFonts w:ascii="宋体" w:hAnsi="宋体"/>
          <w:bCs/>
          <w:sz w:val="24"/>
        </w:rPr>
      </w:pPr>
      <w:r>
        <w:rPr>
          <w:rFonts w:hint="eastAsia" w:ascii="宋体" w:hAnsi="宋体"/>
          <w:bCs/>
          <w:sz w:val="24"/>
        </w:rPr>
        <w:t>C、配电箱、屏、柜，以及变压器均应建立独立档案。</w:t>
      </w:r>
    </w:p>
    <w:p>
      <w:pPr>
        <w:spacing w:line="360" w:lineRule="auto"/>
        <w:ind w:firstLine="480" w:firstLineChars="200"/>
        <w:rPr>
          <w:rFonts w:ascii="宋体" w:hAnsi="宋体"/>
          <w:bCs/>
          <w:sz w:val="24"/>
        </w:rPr>
      </w:pPr>
      <w:r>
        <w:rPr>
          <w:rFonts w:hint="eastAsia" w:ascii="宋体" w:hAnsi="宋体"/>
          <w:bCs/>
          <w:sz w:val="24"/>
        </w:rPr>
        <w:t>D、各类路灯设施、设备检查后，必须进行记录归档。</w:t>
      </w:r>
    </w:p>
    <w:p>
      <w:pPr>
        <w:spacing w:line="360" w:lineRule="auto"/>
        <w:ind w:firstLine="480" w:firstLineChars="200"/>
        <w:rPr>
          <w:rFonts w:ascii="宋体" w:hAnsi="宋体"/>
          <w:bCs/>
          <w:sz w:val="24"/>
        </w:rPr>
      </w:pPr>
      <w:r>
        <w:rPr>
          <w:rFonts w:hint="eastAsia" w:ascii="宋体" w:hAnsi="宋体"/>
          <w:bCs/>
          <w:sz w:val="24"/>
        </w:rPr>
        <w:t>7、维护记录</w:t>
      </w:r>
    </w:p>
    <w:p>
      <w:pPr>
        <w:spacing w:line="360" w:lineRule="auto"/>
        <w:ind w:firstLine="480" w:firstLineChars="200"/>
        <w:rPr>
          <w:rFonts w:ascii="宋体" w:hAnsi="宋体"/>
          <w:bCs/>
          <w:sz w:val="24"/>
        </w:rPr>
      </w:pPr>
      <w:r>
        <w:rPr>
          <w:rFonts w:hint="eastAsia" w:ascii="宋体" w:hAnsi="宋体"/>
          <w:bCs/>
          <w:sz w:val="24"/>
        </w:rPr>
        <w:t>运行值班日志记录、检修工作记录、事故记录、报修电话记录、设备（施）检查记录。</w:t>
      </w:r>
    </w:p>
    <w:p>
      <w:pPr>
        <w:pStyle w:val="2"/>
        <w:spacing w:before="0" w:beforeAutospacing="0" w:after="0"/>
        <w:ind w:firstLine="562" w:firstLineChars="200"/>
        <w:rPr>
          <w:rFonts w:ascii="宋体" w:hAnsi="宋体" w:eastAsia="宋体"/>
          <w:b/>
          <w:bCs/>
          <w:sz w:val="28"/>
          <w:szCs w:val="28"/>
        </w:rPr>
      </w:pPr>
      <w:r>
        <w:rPr>
          <w:rFonts w:hint="eastAsia" w:ascii="宋体" w:hAnsi="宋体" w:eastAsia="宋体"/>
          <w:b/>
          <w:bCs/>
          <w:sz w:val="28"/>
          <w:szCs w:val="28"/>
        </w:rPr>
        <w:t>（二）采购标的需执行的国家相关标准、行业标准、地方标准或者其他标准、规范。</w:t>
      </w:r>
    </w:p>
    <w:p>
      <w:pPr>
        <w:spacing w:line="360" w:lineRule="auto"/>
        <w:ind w:firstLine="480" w:firstLineChars="200"/>
        <w:rPr>
          <w:rFonts w:ascii="宋体" w:hAnsi="宋体"/>
          <w:bCs/>
          <w:sz w:val="24"/>
        </w:rPr>
      </w:pPr>
      <w:r>
        <w:rPr>
          <w:rFonts w:hint="eastAsia" w:ascii="宋体" w:hAnsi="宋体"/>
          <w:bCs/>
          <w:sz w:val="24"/>
        </w:rPr>
        <w:t>在路灯设施养护维修工作中，应严格遵守以下法律、法规、技术规范及标准：</w:t>
      </w:r>
    </w:p>
    <w:p>
      <w:pPr>
        <w:spacing w:line="360" w:lineRule="auto"/>
        <w:ind w:firstLine="480" w:firstLineChars="200"/>
        <w:rPr>
          <w:rFonts w:ascii="宋体" w:hAnsi="宋体"/>
          <w:bCs/>
          <w:sz w:val="24"/>
        </w:rPr>
      </w:pPr>
      <w:r>
        <w:rPr>
          <w:rFonts w:hint="eastAsia" w:ascii="宋体" w:hAnsi="宋体"/>
          <w:bCs/>
          <w:sz w:val="24"/>
        </w:rPr>
        <w:t>1、标段内路灯照明设施在建设阶段的有关设计、竣工验收文件；</w:t>
      </w:r>
    </w:p>
    <w:p>
      <w:pPr>
        <w:spacing w:line="360" w:lineRule="auto"/>
        <w:ind w:firstLine="480" w:firstLineChars="200"/>
        <w:rPr>
          <w:rFonts w:ascii="宋体" w:hAnsi="宋体"/>
          <w:bCs/>
          <w:sz w:val="24"/>
        </w:rPr>
      </w:pPr>
      <w:r>
        <w:rPr>
          <w:rFonts w:hint="eastAsia" w:ascii="宋体" w:hAnsi="宋体"/>
          <w:bCs/>
          <w:sz w:val="24"/>
        </w:rPr>
        <w:t>2、中华人民共和国建筑法；</w:t>
      </w:r>
    </w:p>
    <w:p>
      <w:pPr>
        <w:spacing w:line="360" w:lineRule="auto"/>
        <w:ind w:firstLine="480" w:firstLineChars="200"/>
        <w:rPr>
          <w:rFonts w:ascii="宋体" w:hAnsi="宋体"/>
          <w:bCs/>
          <w:sz w:val="24"/>
        </w:rPr>
      </w:pPr>
      <w:r>
        <w:rPr>
          <w:rFonts w:hint="eastAsia" w:ascii="宋体" w:hAnsi="宋体"/>
          <w:bCs/>
          <w:sz w:val="24"/>
        </w:rPr>
        <w:t>3、河南省城市照明管理实施细则；</w:t>
      </w:r>
    </w:p>
    <w:p>
      <w:pPr>
        <w:spacing w:line="360" w:lineRule="auto"/>
        <w:ind w:firstLine="480" w:firstLineChars="200"/>
        <w:rPr>
          <w:rFonts w:ascii="宋体" w:hAnsi="宋体"/>
          <w:bCs/>
          <w:sz w:val="24"/>
        </w:rPr>
      </w:pPr>
      <w:r>
        <w:rPr>
          <w:rFonts w:hint="eastAsia" w:ascii="宋体" w:hAnsi="宋体"/>
          <w:bCs/>
          <w:sz w:val="24"/>
        </w:rPr>
        <w:t>4、许昌市住房和城乡建设局关于进一步加强市政基础设施工程建设管理的通知（许建发〔2017〕66号）；</w:t>
      </w:r>
    </w:p>
    <w:p>
      <w:pPr>
        <w:spacing w:line="360" w:lineRule="auto"/>
        <w:ind w:firstLine="480" w:firstLineChars="200"/>
        <w:rPr>
          <w:rFonts w:ascii="宋体" w:hAnsi="宋体"/>
          <w:bCs/>
          <w:sz w:val="24"/>
        </w:rPr>
      </w:pPr>
      <w:r>
        <w:rPr>
          <w:rFonts w:hint="eastAsia" w:ascii="宋体" w:hAnsi="宋体"/>
          <w:bCs/>
          <w:sz w:val="24"/>
        </w:rPr>
        <w:t>5、城市道路城市照明工程施工及验收规程（CJJ89-2001）（CJJ89-2012）；</w:t>
      </w:r>
    </w:p>
    <w:p>
      <w:pPr>
        <w:spacing w:line="360" w:lineRule="auto"/>
        <w:ind w:firstLine="480" w:firstLineChars="200"/>
        <w:rPr>
          <w:rFonts w:ascii="宋体" w:hAnsi="宋体"/>
          <w:bCs/>
          <w:sz w:val="24"/>
        </w:rPr>
      </w:pPr>
      <w:r>
        <w:rPr>
          <w:rFonts w:hint="eastAsia" w:ascii="宋体" w:hAnsi="宋体"/>
          <w:bCs/>
          <w:sz w:val="24"/>
        </w:rPr>
        <w:t>6、城市道路城市照明设施管理有关规定（建设部令第 104 号）；</w:t>
      </w:r>
    </w:p>
    <w:p>
      <w:pPr>
        <w:spacing w:line="360" w:lineRule="auto"/>
        <w:ind w:firstLine="480" w:firstLineChars="200"/>
        <w:rPr>
          <w:rFonts w:ascii="宋体" w:hAnsi="宋体"/>
          <w:bCs/>
          <w:sz w:val="24"/>
        </w:rPr>
      </w:pPr>
      <w:r>
        <w:rPr>
          <w:rFonts w:hint="eastAsia" w:ascii="宋体" w:hAnsi="宋体"/>
          <w:bCs/>
          <w:sz w:val="24"/>
        </w:rPr>
        <w:t>7、建筑安装工程质量检验评定统一标准（GB300-88）；</w:t>
      </w:r>
    </w:p>
    <w:p>
      <w:pPr>
        <w:spacing w:line="360" w:lineRule="auto"/>
        <w:ind w:firstLine="480" w:firstLineChars="200"/>
        <w:rPr>
          <w:rFonts w:ascii="宋体" w:hAnsi="宋体"/>
          <w:bCs/>
          <w:sz w:val="24"/>
        </w:rPr>
      </w:pPr>
      <w:r>
        <w:rPr>
          <w:rFonts w:hint="eastAsia" w:ascii="宋体" w:hAnsi="宋体"/>
          <w:bCs/>
          <w:sz w:val="24"/>
        </w:rPr>
        <w:t>8、建筑电气安装工程质量检验评定标准（GBJ303-88）；</w:t>
      </w:r>
    </w:p>
    <w:p>
      <w:pPr>
        <w:spacing w:line="360" w:lineRule="auto"/>
        <w:ind w:firstLine="480" w:firstLineChars="200"/>
        <w:rPr>
          <w:rFonts w:ascii="宋体" w:hAnsi="宋体"/>
          <w:bCs/>
          <w:sz w:val="24"/>
        </w:rPr>
      </w:pPr>
      <w:r>
        <w:rPr>
          <w:rFonts w:hint="eastAsia" w:ascii="宋体" w:hAnsi="宋体"/>
          <w:bCs/>
          <w:sz w:val="24"/>
        </w:rPr>
        <w:t>9、电气装置安装工程低压电器施工及验收规范（GB50254-96）；</w:t>
      </w:r>
    </w:p>
    <w:p>
      <w:pPr>
        <w:spacing w:line="360" w:lineRule="auto"/>
        <w:ind w:firstLine="480" w:firstLineChars="200"/>
        <w:rPr>
          <w:rFonts w:ascii="宋体" w:hAnsi="宋体"/>
          <w:bCs/>
          <w:sz w:val="24"/>
        </w:rPr>
      </w:pPr>
      <w:r>
        <w:rPr>
          <w:rFonts w:hint="eastAsia" w:ascii="宋体" w:hAnsi="宋体"/>
          <w:bCs/>
          <w:sz w:val="24"/>
        </w:rPr>
        <w:t>10、电气装置安装工程电缆线路施工及验收规范（GB50168-2006）；</w:t>
      </w:r>
    </w:p>
    <w:p>
      <w:pPr>
        <w:spacing w:line="360" w:lineRule="auto"/>
        <w:ind w:firstLine="480" w:firstLineChars="200"/>
        <w:rPr>
          <w:rFonts w:ascii="宋体" w:hAnsi="宋体"/>
          <w:bCs/>
          <w:sz w:val="24"/>
        </w:rPr>
      </w:pPr>
      <w:r>
        <w:rPr>
          <w:rFonts w:hint="eastAsia" w:ascii="宋体" w:hAnsi="宋体"/>
          <w:bCs/>
          <w:sz w:val="24"/>
        </w:rPr>
        <w:t>11、电气装置安装工程接地装置施工及验收规范（GB50169-2006）；</w:t>
      </w:r>
    </w:p>
    <w:p>
      <w:pPr>
        <w:spacing w:line="360" w:lineRule="auto"/>
        <w:ind w:firstLine="480" w:firstLineChars="200"/>
        <w:rPr>
          <w:rFonts w:ascii="宋体" w:hAnsi="宋体"/>
          <w:bCs/>
          <w:sz w:val="24"/>
        </w:rPr>
      </w:pPr>
      <w:r>
        <w:rPr>
          <w:rFonts w:hint="eastAsia" w:ascii="宋体" w:hAnsi="宋体"/>
          <w:bCs/>
          <w:sz w:val="24"/>
        </w:rPr>
        <w:t>12、施工现场临时用电安全技术规范（JGJ46-2005）；</w:t>
      </w:r>
    </w:p>
    <w:p>
      <w:pPr>
        <w:spacing w:line="360" w:lineRule="auto"/>
        <w:ind w:firstLine="480" w:firstLineChars="200"/>
        <w:rPr>
          <w:rFonts w:ascii="宋体" w:hAnsi="宋体"/>
          <w:bCs/>
          <w:sz w:val="24"/>
        </w:rPr>
      </w:pPr>
      <w:r>
        <w:rPr>
          <w:rFonts w:hint="eastAsia" w:ascii="宋体" w:hAnsi="宋体"/>
          <w:bCs/>
          <w:sz w:val="24"/>
        </w:rPr>
        <w:t>13、建设工程施工现场供用电安全规范（GB50194-93）；</w:t>
      </w:r>
    </w:p>
    <w:p>
      <w:pPr>
        <w:spacing w:line="360" w:lineRule="auto"/>
        <w:ind w:firstLine="480" w:firstLineChars="200"/>
        <w:rPr>
          <w:rFonts w:ascii="宋体" w:hAnsi="宋体"/>
          <w:bCs/>
          <w:sz w:val="24"/>
        </w:rPr>
      </w:pPr>
      <w:r>
        <w:rPr>
          <w:rFonts w:hint="eastAsia" w:ascii="宋体" w:hAnsi="宋体"/>
          <w:bCs/>
          <w:sz w:val="24"/>
        </w:rPr>
        <w:t>14、混凝土结构工程施工质量验收规范 (2011 年版)；</w:t>
      </w:r>
    </w:p>
    <w:p>
      <w:pPr>
        <w:spacing w:line="360" w:lineRule="auto"/>
        <w:ind w:firstLine="480" w:firstLineChars="200"/>
        <w:rPr>
          <w:rFonts w:ascii="宋体" w:hAnsi="宋体"/>
          <w:bCs/>
          <w:sz w:val="24"/>
        </w:rPr>
      </w:pPr>
      <w:r>
        <w:rPr>
          <w:rFonts w:hint="eastAsia" w:ascii="宋体" w:hAnsi="宋体"/>
          <w:bCs/>
          <w:sz w:val="24"/>
        </w:rPr>
        <w:t>15、城市道路城市照明设计标准（</w:t>
      </w:r>
      <w:r>
        <w:rPr>
          <w:rFonts w:ascii="宋体" w:hAnsi="宋体"/>
          <w:bCs/>
          <w:sz w:val="24"/>
        </w:rPr>
        <w:t>CJJ45-2006</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16、建筑机械使用安全技术规程</w:t>
      </w:r>
      <w:r>
        <w:rPr>
          <w:rFonts w:ascii="宋体" w:hAnsi="宋体"/>
          <w:bCs/>
          <w:sz w:val="24"/>
        </w:rPr>
        <w:t xml:space="preserve"> (JGJ33-2012)</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17、电气装置安装工程35KV及以下架空电力线路施工及验收规范（GB50173-92）；</w:t>
      </w:r>
    </w:p>
    <w:p>
      <w:pPr>
        <w:spacing w:line="360" w:lineRule="auto"/>
        <w:ind w:firstLine="480" w:firstLineChars="200"/>
        <w:rPr>
          <w:rFonts w:ascii="宋体" w:hAnsi="宋体"/>
          <w:bCs/>
          <w:sz w:val="24"/>
        </w:rPr>
      </w:pPr>
      <w:r>
        <w:rPr>
          <w:rFonts w:hint="eastAsia" w:ascii="宋体" w:hAnsi="宋体"/>
          <w:bCs/>
          <w:sz w:val="24"/>
        </w:rPr>
        <w:t>18、电气装置安装工程高压电器施工及验收规范 (</w:t>
      </w:r>
      <w:r>
        <w:rPr>
          <w:rFonts w:ascii="宋体" w:hAnsi="宋体"/>
          <w:bCs/>
          <w:sz w:val="24"/>
        </w:rPr>
        <w:t>GB50147-2010</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19、电气安装工程电力变压器、油浸电热器、互感器施工及验收规范</w:t>
      </w:r>
      <w:r>
        <w:rPr>
          <w:rFonts w:ascii="宋体" w:hAnsi="宋体"/>
          <w:bCs/>
          <w:sz w:val="24"/>
        </w:rPr>
        <w:t xml:space="preserve"> (GB 50148-2010)</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20、电气装置安装工程电气设备交接试验标准（GB50150-2006）；</w:t>
      </w:r>
    </w:p>
    <w:p>
      <w:pPr>
        <w:spacing w:line="360" w:lineRule="auto"/>
        <w:ind w:firstLine="480" w:firstLineChars="200"/>
        <w:rPr>
          <w:rFonts w:ascii="宋体" w:hAnsi="宋体"/>
          <w:bCs/>
          <w:sz w:val="24"/>
        </w:rPr>
      </w:pPr>
      <w:r>
        <w:rPr>
          <w:rFonts w:hint="eastAsia" w:ascii="宋体" w:hAnsi="宋体"/>
          <w:bCs/>
          <w:sz w:val="24"/>
        </w:rPr>
        <w:t>21、变压器油（GB2536），设备中变压器油指标（GB7595）；</w:t>
      </w:r>
    </w:p>
    <w:p>
      <w:pPr>
        <w:spacing w:line="360" w:lineRule="auto"/>
        <w:ind w:firstLine="480" w:firstLineChars="200"/>
        <w:rPr>
          <w:rFonts w:ascii="宋体" w:hAnsi="宋体"/>
          <w:bCs/>
          <w:sz w:val="24"/>
        </w:rPr>
      </w:pPr>
      <w:r>
        <w:rPr>
          <w:rFonts w:hint="eastAsia" w:ascii="宋体" w:hAnsi="宋体"/>
          <w:bCs/>
          <w:sz w:val="24"/>
        </w:rPr>
        <w:t>22、建设工程质量管理条例；</w:t>
      </w:r>
    </w:p>
    <w:p>
      <w:pPr>
        <w:spacing w:line="360" w:lineRule="auto"/>
        <w:ind w:firstLine="480" w:firstLineChars="200"/>
        <w:rPr>
          <w:rFonts w:ascii="宋体" w:hAnsi="宋体"/>
          <w:bCs/>
          <w:sz w:val="24"/>
        </w:rPr>
      </w:pPr>
      <w:r>
        <w:rPr>
          <w:rFonts w:hint="eastAsia" w:ascii="宋体" w:hAnsi="宋体"/>
          <w:bCs/>
          <w:sz w:val="24"/>
        </w:rPr>
        <w:t>23、工程测量规范（GBJ50026-2007）；</w:t>
      </w:r>
    </w:p>
    <w:p>
      <w:pPr>
        <w:spacing w:line="360" w:lineRule="auto"/>
        <w:ind w:firstLine="480" w:firstLineChars="200"/>
        <w:rPr>
          <w:rFonts w:ascii="宋体" w:hAnsi="宋体"/>
          <w:bCs/>
          <w:sz w:val="24"/>
        </w:rPr>
      </w:pPr>
      <w:r>
        <w:rPr>
          <w:rFonts w:hint="eastAsia" w:ascii="宋体" w:hAnsi="宋体"/>
          <w:bCs/>
          <w:sz w:val="24"/>
        </w:rPr>
        <w:t>以上未尽之处，在管理过程中依照国家和地方最新颁布的法律、法规以及规范、标准执行。</w:t>
      </w:r>
    </w:p>
    <w:p>
      <w:pPr>
        <w:pStyle w:val="2"/>
        <w:spacing w:before="0" w:beforeAutospacing="0" w:after="0"/>
        <w:ind w:firstLine="0" w:firstLineChars="0"/>
        <w:rPr>
          <w:rFonts w:ascii="宋体" w:hAnsi="宋体" w:eastAsia="宋体"/>
          <w:b/>
          <w:bCs/>
          <w:sz w:val="28"/>
          <w:szCs w:val="28"/>
        </w:rPr>
      </w:pPr>
      <w:r>
        <w:rPr>
          <w:rFonts w:hint="eastAsia" w:ascii="宋体" w:hAnsi="宋体" w:eastAsia="宋体"/>
          <w:b/>
          <w:bCs/>
          <w:sz w:val="28"/>
          <w:szCs w:val="28"/>
        </w:rPr>
        <w:t>（三）采购标的需满足的质量、安全、技术规格、物理特性等要求。</w:t>
      </w:r>
    </w:p>
    <w:p>
      <w:pPr>
        <w:spacing w:line="360" w:lineRule="auto"/>
        <w:ind w:firstLine="480" w:firstLineChars="200"/>
        <w:rPr>
          <w:rFonts w:ascii="宋体" w:hAnsi="宋体"/>
          <w:bCs/>
          <w:sz w:val="24"/>
        </w:rPr>
      </w:pPr>
      <w:r>
        <w:rPr>
          <w:rFonts w:hint="eastAsia" w:ascii="宋体" w:hAnsi="宋体"/>
          <w:bCs/>
          <w:sz w:val="24"/>
        </w:rPr>
        <w:t>1、质量要求</w:t>
      </w:r>
    </w:p>
    <w:p>
      <w:pPr>
        <w:spacing w:line="360" w:lineRule="auto"/>
        <w:ind w:firstLine="480" w:firstLineChars="200"/>
        <w:rPr>
          <w:rFonts w:ascii="宋体" w:hAnsi="宋体"/>
          <w:bCs/>
          <w:sz w:val="24"/>
        </w:rPr>
      </w:pPr>
      <w:r>
        <w:rPr>
          <w:rFonts w:hint="eastAsia" w:ascii="宋体" w:hAnsi="宋体"/>
          <w:bCs/>
          <w:sz w:val="24"/>
        </w:rPr>
        <w:t>（1）自觉接受业主及有关部门的监督管理，每逢法定节日或庆典、重大活动中。必须无条件服从业主组织的突击性任务及迎检活动，按时、按标准、按要求完成业主所分配的工作。</w:t>
      </w:r>
    </w:p>
    <w:p>
      <w:pPr>
        <w:spacing w:line="360" w:lineRule="auto"/>
        <w:ind w:firstLine="480" w:firstLineChars="200"/>
        <w:rPr>
          <w:rFonts w:ascii="宋体" w:hAnsi="宋体"/>
          <w:bCs/>
          <w:sz w:val="24"/>
        </w:rPr>
      </w:pPr>
      <w:r>
        <w:rPr>
          <w:rFonts w:hint="eastAsia" w:ascii="宋体" w:hAnsi="宋体"/>
          <w:bCs/>
          <w:sz w:val="24"/>
        </w:rPr>
        <w:t>（2）在维护期间要确保养护范围内的路灯设施达到98%的完好率及98%以上的亮灯率。</w:t>
      </w:r>
    </w:p>
    <w:p>
      <w:pPr>
        <w:spacing w:line="360" w:lineRule="auto"/>
        <w:ind w:firstLine="480" w:firstLineChars="200"/>
        <w:rPr>
          <w:rFonts w:ascii="宋体" w:hAnsi="宋体"/>
          <w:bCs/>
          <w:sz w:val="24"/>
        </w:rPr>
      </w:pPr>
      <w:r>
        <w:rPr>
          <w:rFonts w:hint="eastAsia" w:ascii="宋体" w:hAnsi="宋体"/>
          <w:bCs/>
          <w:sz w:val="24"/>
        </w:rPr>
        <w:t>（3）中标后应在项目区所在地设置固定办公场所，并配置专业人员及相关维修设备，24小时待命，及时处理路灯故障。如接投诉通知24小时内未完成修复，无条件接受甲方的罚款处理。并每天派专人，对养护范围内的设施实行安全巡视，对灯具、电器、接线盒进行检查。</w:t>
      </w:r>
    </w:p>
    <w:p>
      <w:pPr>
        <w:spacing w:line="360" w:lineRule="auto"/>
        <w:ind w:firstLine="480" w:firstLineChars="200"/>
        <w:rPr>
          <w:rFonts w:ascii="宋体" w:hAnsi="宋体"/>
          <w:bCs/>
          <w:sz w:val="24"/>
        </w:rPr>
      </w:pPr>
      <w:r>
        <w:rPr>
          <w:rFonts w:hint="eastAsia" w:ascii="宋体" w:hAnsi="宋体"/>
          <w:bCs/>
          <w:sz w:val="24"/>
        </w:rPr>
        <w:t>（4）</w:t>
      </w:r>
      <w:r>
        <w:rPr>
          <w:rFonts w:ascii="宋体" w:hAnsi="宋体"/>
          <w:bCs/>
          <w:sz w:val="24"/>
        </w:rPr>
        <w:t>用于维护的各种电气、机械材料必须是合格品，具有正规的合格证明书</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（5）现场开关灯时间不得早于和迟于发包人规定的开关灯时间5分钟。</w:t>
      </w:r>
    </w:p>
    <w:p>
      <w:pPr>
        <w:spacing w:line="360" w:lineRule="auto"/>
        <w:ind w:firstLine="480" w:firstLineChars="200"/>
        <w:rPr>
          <w:rFonts w:ascii="宋体" w:hAnsi="宋体"/>
          <w:bCs/>
          <w:sz w:val="24"/>
        </w:rPr>
      </w:pPr>
      <w:r>
        <w:rPr>
          <w:rFonts w:hint="eastAsia" w:ascii="宋体" w:hAnsi="宋体"/>
          <w:bCs/>
          <w:sz w:val="24"/>
        </w:rPr>
        <w:t>（6）灯杆、灯具的外罩和灯光小品每半年至少清洗保洁一次。</w:t>
      </w:r>
    </w:p>
    <w:p>
      <w:pPr>
        <w:spacing w:line="360" w:lineRule="auto"/>
        <w:ind w:firstLine="480" w:firstLineChars="200"/>
        <w:rPr>
          <w:rFonts w:ascii="宋体" w:hAnsi="宋体"/>
          <w:bCs/>
          <w:sz w:val="24"/>
        </w:rPr>
      </w:pPr>
      <w:r>
        <w:rPr>
          <w:rFonts w:hint="eastAsia" w:ascii="宋体" w:hAnsi="宋体"/>
          <w:bCs/>
          <w:sz w:val="24"/>
        </w:rPr>
        <w:t>（7）按照有关规范要求，每月对配电箱及内部电器、所有接头进行一次整理、检修和清理。</w:t>
      </w:r>
    </w:p>
    <w:p>
      <w:pPr>
        <w:spacing w:line="360" w:lineRule="auto"/>
        <w:ind w:firstLine="480" w:firstLineChars="200"/>
        <w:rPr>
          <w:rFonts w:ascii="宋体" w:hAnsi="宋体"/>
          <w:bCs/>
          <w:sz w:val="24"/>
        </w:rPr>
      </w:pPr>
      <w:r>
        <w:rPr>
          <w:rFonts w:hint="eastAsia" w:ascii="宋体" w:hAnsi="宋体"/>
          <w:bCs/>
          <w:sz w:val="24"/>
        </w:rPr>
        <w:t>（8）灯具内部不得进水，每月进行一次检查，以保持其内部的干燥。</w:t>
      </w:r>
    </w:p>
    <w:p>
      <w:pPr>
        <w:spacing w:line="360" w:lineRule="auto"/>
        <w:ind w:firstLine="480" w:firstLineChars="200"/>
        <w:rPr>
          <w:rFonts w:ascii="宋体" w:hAnsi="宋体"/>
          <w:bCs/>
          <w:sz w:val="24"/>
        </w:rPr>
      </w:pPr>
      <w:r>
        <w:rPr>
          <w:rFonts w:hint="eastAsia" w:ascii="宋体" w:hAnsi="宋体"/>
          <w:bCs/>
          <w:sz w:val="24"/>
        </w:rPr>
        <w:t>（9）遇台风及暴雨预警时，应做到事前检查维修，以保持灯具和电器设施处于不漏电、不短路的正常状态，灯具内部和接线盒内不积水，接线处无渗水，并保证路灯的正常运行，无安全隐患。</w:t>
      </w:r>
    </w:p>
    <w:p>
      <w:pPr>
        <w:spacing w:line="360" w:lineRule="auto"/>
        <w:ind w:firstLine="480" w:firstLineChars="200"/>
        <w:rPr>
          <w:rFonts w:ascii="宋体" w:hAnsi="宋体"/>
          <w:bCs/>
          <w:sz w:val="24"/>
        </w:rPr>
      </w:pPr>
      <w:r>
        <w:rPr>
          <w:rFonts w:hint="eastAsia" w:ascii="宋体" w:hAnsi="宋体"/>
          <w:bCs/>
          <w:sz w:val="24"/>
        </w:rPr>
        <w:t>（10）每天对配电箱和控制系统进行检查，做好防盗电工作，保持控制系统处于正常状态。</w:t>
      </w:r>
    </w:p>
    <w:p>
      <w:pPr>
        <w:spacing w:line="360" w:lineRule="auto"/>
        <w:ind w:firstLine="480" w:firstLineChars="200"/>
        <w:rPr>
          <w:rFonts w:ascii="宋体" w:hAnsi="宋体"/>
          <w:bCs/>
          <w:sz w:val="24"/>
        </w:rPr>
      </w:pPr>
      <w:r>
        <w:rPr>
          <w:rFonts w:hint="eastAsia" w:ascii="宋体" w:hAnsi="宋体"/>
          <w:bCs/>
          <w:sz w:val="24"/>
        </w:rPr>
        <w:t>（11）在亮灯期间，若发生突发性灯具损坏，应立即进行抢修，并及时通知发包人，做好记录。</w:t>
      </w:r>
    </w:p>
    <w:p>
      <w:pPr>
        <w:spacing w:line="360" w:lineRule="auto"/>
        <w:ind w:firstLine="480" w:firstLineChars="200"/>
        <w:rPr>
          <w:rFonts w:ascii="宋体" w:hAnsi="宋体"/>
          <w:bCs/>
          <w:sz w:val="24"/>
        </w:rPr>
      </w:pPr>
      <w:r>
        <w:rPr>
          <w:rFonts w:hint="eastAsia" w:ascii="宋体" w:hAnsi="宋体"/>
          <w:bCs/>
          <w:sz w:val="24"/>
        </w:rPr>
        <w:t>（12）按时上报维护保养季度和年度报表，并制定安全巡视值班表和维护制度。</w:t>
      </w:r>
    </w:p>
    <w:p>
      <w:pPr>
        <w:spacing w:line="360" w:lineRule="auto"/>
        <w:ind w:firstLine="480" w:firstLineChars="200"/>
        <w:rPr>
          <w:rFonts w:ascii="宋体" w:hAnsi="宋体"/>
          <w:bCs/>
          <w:sz w:val="24"/>
        </w:rPr>
      </w:pPr>
      <w:r>
        <w:rPr>
          <w:rFonts w:hint="eastAsia" w:ascii="宋体" w:hAnsi="宋体"/>
          <w:bCs/>
          <w:sz w:val="24"/>
        </w:rPr>
        <w:t>（13）在合同内，因各种原因，造成第三方的损失，独自承担其法律和经济责任，与业主方无关。</w:t>
      </w:r>
    </w:p>
    <w:p>
      <w:pPr>
        <w:spacing w:line="360" w:lineRule="auto"/>
        <w:ind w:firstLine="480" w:firstLineChars="200"/>
        <w:rPr>
          <w:rFonts w:ascii="宋体" w:hAnsi="宋体"/>
          <w:bCs/>
          <w:sz w:val="24"/>
        </w:rPr>
      </w:pPr>
      <w:r>
        <w:rPr>
          <w:rFonts w:hint="eastAsia" w:ascii="宋体" w:hAnsi="宋体"/>
          <w:bCs/>
          <w:sz w:val="24"/>
        </w:rPr>
        <w:t>（14）无故停止工作，招标人有权按损失程度扣减维护费，并扣除合同总额10%的违约金。若因故停工累计达7天的，招标人有权终止合同。</w:t>
      </w:r>
    </w:p>
    <w:p>
      <w:pPr>
        <w:spacing w:line="360" w:lineRule="auto"/>
        <w:ind w:firstLine="480" w:firstLineChars="200"/>
        <w:rPr>
          <w:rFonts w:ascii="宋体" w:hAnsi="宋体"/>
          <w:bCs/>
          <w:sz w:val="24"/>
        </w:rPr>
      </w:pPr>
      <w:r>
        <w:rPr>
          <w:rFonts w:hint="eastAsia" w:ascii="宋体" w:hAnsi="宋体"/>
          <w:bCs/>
          <w:sz w:val="24"/>
        </w:rPr>
        <w:t>（15）实施过程中中标人必须根据承包合同中的各项条款，履行各项职责。如发现中标人组织措施不力、计划不落实、管理不严、实施方案中所列人员、机械设备（工具）与现场实际不符，导致维护质量达不到标准，多次考评档次为差，情况严重，招标人有权终止合同。</w:t>
      </w:r>
    </w:p>
    <w:p>
      <w:pPr>
        <w:spacing w:line="360" w:lineRule="auto"/>
        <w:ind w:firstLine="480" w:firstLineChars="200"/>
        <w:rPr>
          <w:rFonts w:ascii="宋体" w:hAnsi="宋体"/>
          <w:bCs/>
          <w:sz w:val="24"/>
        </w:rPr>
      </w:pPr>
      <w:r>
        <w:rPr>
          <w:rFonts w:hint="eastAsia" w:ascii="宋体" w:hAnsi="宋体"/>
          <w:bCs/>
          <w:sz w:val="24"/>
        </w:rPr>
        <w:t>2、文明安全养护要求</w:t>
      </w:r>
    </w:p>
    <w:p>
      <w:pPr>
        <w:spacing w:line="360" w:lineRule="auto"/>
        <w:ind w:firstLine="480" w:firstLineChars="200"/>
        <w:rPr>
          <w:rFonts w:ascii="宋体" w:hAnsi="宋体"/>
          <w:bCs/>
          <w:sz w:val="24"/>
        </w:rPr>
      </w:pPr>
      <w:r>
        <w:rPr>
          <w:rFonts w:hint="eastAsia" w:ascii="宋体" w:hAnsi="宋体"/>
          <w:bCs/>
          <w:sz w:val="24"/>
        </w:rPr>
        <w:t>（1）按照国家、地方有关安全条例的规定建立安全保障措施，对作业人员进行专门的安全教育和作业规程训练，确保人员、机具、设施的安全，任何由中标人原因引起的纠纷或损毁事故均由中标方承担相应的民事或法律责任，发生事故的一切责任及造成的损失由中标方承担。</w:t>
      </w:r>
    </w:p>
    <w:p>
      <w:pPr>
        <w:spacing w:line="360" w:lineRule="auto"/>
        <w:ind w:firstLine="480" w:firstLineChars="200"/>
        <w:rPr>
          <w:rFonts w:ascii="宋体" w:hAnsi="宋体"/>
          <w:bCs/>
          <w:sz w:val="24"/>
        </w:rPr>
      </w:pPr>
      <w:r>
        <w:rPr>
          <w:rFonts w:hint="eastAsia" w:ascii="宋体" w:hAnsi="宋体"/>
          <w:bCs/>
          <w:sz w:val="24"/>
        </w:rPr>
        <w:t>（2）投标人中标后所安排的工作人员应是经国家认可的相关部门专业技术培训合格，并持证上岗。</w:t>
      </w:r>
    </w:p>
    <w:p>
      <w:pPr>
        <w:spacing w:line="360" w:lineRule="auto"/>
        <w:ind w:firstLine="480" w:firstLineChars="200"/>
        <w:rPr>
          <w:rFonts w:ascii="宋体" w:hAnsi="宋体"/>
          <w:bCs/>
          <w:sz w:val="24"/>
        </w:rPr>
      </w:pPr>
      <w:r>
        <w:rPr>
          <w:rFonts w:hint="eastAsia" w:ascii="宋体" w:hAnsi="宋体"/>
          <w:bCs/>
          <w:sz w:val="24"/>
        </w:rPr>
        <w:t>（3）养护设备、工具需定期标定，合格后方可投入使用。</w:t>
      </w:r>
    </w:p>
    <w:p>
      <w:pPr>
        <w:spacing w:line="360" w:lineRule="auto"/>
        <w:ind w:firstLine="480" w:firstLineChars="200"/>
        <w:rPr>
          <w:rFonts w:ascii="宋体" w:hAnsi="宋体"/>
          <w:bCs/>
          <w:sz w:val="24"/>
        </w:rPr>
      </w:pPr>
      <w:r>
        <w:rPr>
          <w:rFonts w:hint="eastAsia" w:ascii="宋体" w:hAnsi="宋体"/>
          <w:bCs/>
          <w:sz w:val="24"/>
        </w:rPr>
        <w:t>（4）投标人中标后应安排具备安全可靠的高空作业、绝缘设备和制定详尽的高空作业、电气设备安全操作规程，确保作业安全。采用高空升降车作业时，应严格按照安全操作规程操作，并设安全监护人；养护设备、工具需定期检测或标定，符合要求方可投入使用。进入维护现场的作业人员，必须穿戴安全工作服和安全帽，严禁带电操作，在断电后应使用接地装置将电缆各头相接地，确保连接电缆和设备中存留电荷泄放掉。</w:t>
      </w:r>
    </w:p>
    <w:p>
      <w:pPr>
        <w:spacing w:line="360" w:lineRule="auto"/>
        <w:ind w:firstLine="480" w:firstLineChars="200"/>
        <w:rPr>
          <w:rFonts w:ascii="宋体" w:hAnsi="宋体"/>
          <w:bCs/>
          <w:sz w:val="24"/>
        </w:rPr>
      </w:pPr>
      <w:r>
        <w:rPr>
          <w:rFonts w:hint="eastAsia" w:ascii="宋体" w:hAnsi="宋体"/>
          <w:bCs/>
          <w:sz w:val="24"/>
        </w:rPr>
        <w:t>（5）路灯照明设施维护现场，必须设置明显的安全警示标志，并采取围挡的安全防护措施。</w:t>
      </w:r>
    </w:p>
    <w:p>
      <w:pPr>
        <w:spacing w:line="360" w:lineRule="auto"/>
        <w:ind w:firstLine="480" w:firstLineChars="200"/>
        <w:rPr>
          <w:rFonts w:ascii="宋体" w:hAnsi="宋体"/>
          <w:bCs/>
          <w:sz w:val="24"/>
        </w:rPr>
      </w:pPr>
      <w:r>
        <w:rPr>
          <w:rFonts w:hint="eastAsia" w:ascii="宋体" w:hAnsi="宋体"/>
          <w:bCs/>
          <w:sz w:val="24"/>
        </w:rPr>
        <w:t>（6）养护维修过程中，如工作人员操作不慎引起其他设备损坏，由中标方负责，并无偿修复。</w:t>
      </w:r>
    </w:p>
    <w:p>
      <w:pPr>
        <w:spacing w:line="360" w:lineRule="auto"/>
        <w:ind w:firstLine="480" w:firstLineChars="200"/>
        <w:rPr>
          <w:rFonts w:ascii="宋体" w:hAnsi="宋体"/>
          <w:bCs/>
          <w:sz w:val="24"/>
        </w:rPr>
      </w:pPr>
      <w:r>
        <w:rPr>
          <w:rFonts w:hint="eastAsia" w:ascii="宋体" w:hAnsi="宋体"/>
          <w:bCs/>
          <w:sz w:val="24"/>
        </w:rPr>
        <w:t>（7）养护维修作业时，不影响其他相关公共设施的正常运行，并由专人负责监督，以做到文明安全养护。</w:t>
      </w:r>
    </w:p>
    <w:p>
      <w:pPr>
        <w:spacing w:line="360" w:lineRule="auto"/>
        <w:ind w:firstLine="480" w:firstLineChars="200"/>
        <w:rPr>
          <w:rFonts w:ascii="宋体" w:hAnsi="宋体"/>
          <w:bCs/>
          <w:sz w:val="24"/>
        </w:rPr>
      </w:pPr>
      <w:r>
        <w:rPr>
          <w:rFonts w:hint="eastAsia" w:ascii="宋体" w:hAnsi="宋体"/>
          <w:bCs/>
          <w:sz w:val="24"/>
        </w:rPr>
        <w:t>（8）养护工作应严格按照国家、省、市、行业等有关安全、消防规定执行。</w:t>
      </w:r>
    </w:p>
    <w:p>
      <w:pPr>
        <w:spacing w:line="360" w:lineRule="auto"/>
        <w:ind w:firstLine="480" w:firstLineChars="200"/>
        <w:rPr>
          <w:rFonts w:ascii="宋体" w:hAnsi="宋体"/>
          <w:bCs/>
          <w:sz w:val="24"/>
        </w:rPr>
      </w:pPr>
      <w:r>
        <w:rPr>
          <w:rFonts w:hint="eastAsia" w:ascii="宋体" w:hAnsi="宋体"/>
          <w:bCs/>
          <w:sz w:val="24"/>
        </w:rPr>
        <w:t>（9）做好与供电有关单位的协调工作，防范来信来电上访事宜。</w:t>
      </w:r>
    </w:p>
    <w:p>
      <w:pPr>
        <w:pStyle w:val="2"/>
        <w:spacing w:before="0" w:beforeAutospacing="0" w:after="0"/>
        <w:ind w:firstLine="0" w:firstLineChars="0"/>
        <w:rPr>
          <w:rFonts w:ascii="宋体" w:hAnsi="宋体" w:eastAsia="宋体"/>
          <w:b/>
          <w:bCs/>
          <w:sz w:val="28"/>
          <w:szCs w:val="28"/>
        </w:rPr>
      </w:pPr>
      <w:r>
        <w:rPr>
          <w:rFonts w:hint="eastAsia" w:ascii="宋体" w:hAnsi="宋体" w:eastAsia="宋体"/>
          <w:b/>
          <w:bCs/>
          <w:sz w:val="28"/>
          <w:szCs w:val="28"/>
        </w:rPr>
        <w:t>（四）采购标的需满足的服务标准、期限、效率等要求。</w:t>
      </w:r>
    </w:p>
    <w:p>
      <w:pPr>
        <w:spacing w:line="360" w:lineRule="auto"/>
        <w:ind w:firstLine="480" w:firstLineChars="200"/>
        <w:rPr>
          <w:rFonts w:ascii="宋体" w:hAnsi="宋体"/>
          <w:bCs/>
          <w:sz w:val="24"/>
        </w:rPr>
      </w:pPr>
      <w:r>
        <w:rPr>
          <w:rFonts w:hint="eastAsia" w:ascii="宋体" w:hAnsi="宋体"/>
          <w:bCs/>
          <w:sz w:val="24"/>
        </w:rPr>
        <w:t>1、日常保养要求</w:t>
      </w:r>
    </w:p>
    <w:p>
      <w:pPr>
        <w:spacing w:line="360" w:lineRule="auto"/>
        <w:ind w:firstLine="480" w:firstLineChars="200"/>
        <w:rPr>
          <w:rFonts w:ascii="宋体" w:hAnsi="宋体"/>
          <w:bCs/>
          <w:sz w:val="24"/>
        </w:rPr>
      </w:pPr>
      <w:r>
        <w:rPr>
          <w:rFonts w:hint="eastAsia" w:ascii="宋体" w:hAnsi="宋体"/>
          <w:bCs/>
          <w:sz w:val="24"/>
        </w:rPr>
        <w:t>（1）路灯照明设施需每日进行亮灯率检查，发现故障及损坏应在24小时内修复。</w:t>
      </w:r>
    </w:p>
    <w:p>
      <w:pPr>
        <w:spacing w:line="360" w:lineRule="auto"/>
        <w:ind w:firstLine="480" w:firstLineChars="200"/>
        <w:rPr>
          <w:rFonts w:ascii="宋体" w:hAnsi="宋体"/>
          <w:bCs/>
          <w:sz w:val="24"/>
        </w:rPr>
      </w:pPr>
      <w:r>
        <w:rPr>
          <w:rFonts w:hint="eastAsia" w:ascii="宋体" w:hAnsi="宋体"/>
          <w:bCs/>
          <w:sz w:val="24"/>
        </w:rPr>
        <w:t>（2）须投入本项目足够的、数量不低于投标时承诺投入的养护维修人员。</w:t>
      </w:r>
    </w:p>
    <w:p>
      <w:pPr>
        <w:spacing w:line="360" w:lineRule="auto"/>
        <w:ind w:firstLine="480" w:firstLineChars="200"/>
        <w:rPr>
          <w:rFonts w:ascii="宋体" w:hAnsi="宋体"/>
          <w:bCs/>
          <w:sz w:val="24"/>
        </w:rPr>
      </w:pPr>
      <w:r>
        <w:rPr>
          <w:rFonts w:hint="eastAsia" w:ascii="宋体" w:hAnsi="宋体"/>
          <w:bCs/>
          <w:sz w:val="24"/>
        </w:rPr>
        <w:t>（3）在除正常工作开展外，发生紧急状况时，接到通知后立即派专业人员2小时内赶到现场迅速进行检修工作。</w:t>
      </w:r>
    </w:p>
    <w:p>
      <w:pPr>
        <w:spacing w:line="360" w:lineRule="auto"/>
        <w:ind w:firstLine="480" w:firstLineChars="200"/>
        <w:rPr>
          <w:rFonts w:ascii="宋体" w:hAnsi="宋体"/>
          <w:bCs/>
          <w:sz w:val="24"/>
        </w:rPr>
      </w:pPr>
      <w:r>
        <w:rPr>
          <w:rFonts w:hint="eastAsia" w:ascii="宋体" w:hAnsi="宋体"/>
          <w:bCs/>
          <w:sz w:val="24"/>
        </w:rPr>
        <w:t>（4）国家法定节假日期间养护维修工作按常态化进行，重大节假日前三天提交保亮灯方案报发包人备案。</w:t>
      </w:r>
    </w:p>
    <w:p>
      <w:pPr>
        <w:spacing w:line="360" w:lineRule="auto"/>
        <w:ind w:firstLine="480" w:firstLineChars="200"/>
        <w:rPr>
          <w:rFonts w:ascii="宋体" w:hAnsi="宋体"/>
          <w:bCs/>
          <w:sz w:val="24"/>
        </w:rPr>
      </w:pPr>
      <w:r>
        <w:rPr>
          <w:rFonts w:hint="eastAsia" w:ascii="宋体" w:hAnsi="宋体"/>
          <w:bCs/>
          <w:sz w:val="24"/>
        </w:rPr>
        <w:t>（5）养护维修过程中，如工作人员操作不慎引起其他设备损坏，由养护维修单位负责，并无偿修复。</w:t>
      </w:r>
    </w:p>
    <w:p>
      <w:pPr>
        <w:spacing w:line="360" w:lineRule="auto"/>
        <w:ind w:firstLine="480" w:firstLineChars="200"/>
        <w:rPr>
          <w:rFonts w:ascii="宋体" w:hAnsi="宋体"/>
          <w:bCs/>
          <w:sz w:val="24"/>
        </w:rPr>
      </w:pPr>
      <w:r>
        <w:rPr>
          <w:rFonts w:hint="eastAsia" w:ascii="宋体" w:hAnsi="宋体"/>
          <w:bCs/>
          <w:sz w:val="24"/>
        </w:rPr>
        <w:t>（6）养护维修工作的技术质量标准严格按国家、省、市及行业的规范标准执行。</w:t>
      </w:r>
    </w:p>
    <w:p>
      <w:pPr>
        <w:pStyle w:val="2"/>
        <w:ind w:firstLine="480" w:firstLineChars="200"/>
      </w:pPr>
      <w:r>
        <w:rPr>
          <w:rFonts w:hint="eastAsia" w:ascii="宋体" w:hAnsi="宋体"/>
          <w:bCs/>
          <w:sz w:val="24"/>
        </w:rPr>
        <w:t>2、</w:t>
      </w:r>
      <w:r>
        <w:rPr>
          <w:rFonts w:hint="eastAsia"/>
          <w:sz w:val="24"/>
          <w:szCs w:val="24"/>
        </w:rPr>
        <w:t>服务期限：</w:t>
      </w:r>
      <w:r>
        <w:rPr>
          <w:rFonts w:hint="eastAsia" w:asciiTheme="minorEastAsia" w:hAnsiTheme="minorEastAsia" w:cstheme="minorEastAsia"/>
          <w:color w:val="000000"/>
          <w:sz w:val="24"/>
          <w:szCs w:val="24"/>
          <w:shd w:val="clear" w:color="auto" w:fill="FFFFFF"/>
        </w:rPr>
        <w:t>自合同签订之日起三年。</w:t>
      </w:r>
    </w:p>
    <w:p>
      <w:pPr>
        <w:pStyle w:val="2"/>
        <w:spacing w:before="0" w:beforeAutospacing="0" w:after="0"/>
        <w:ind w:firstLine="0" w:firstLineChars="0"/>
        <w:rPr>
          <w:rFonts w:ascii="宋体" w:hAnsi="宋体" w:eastAsia="宋体"/>
          <w:b/>
          <w:bCs/>
          <w:sz w:val="28"/>
          <w:szCs w:val="28"/>
        </w:rPr>
      </w:pPr>
      <w:r>
        <w:rPr>
          <w:rFonts w:hint="eastAsia" w:ascii="宋体" w:hAnsi="宋体" w:eastAsia="宋体"/>
          <w:b/>
          <w:bCs/>
          <w:sz w:val="28"/>
          <w:szCs w:val="28"/>
        </w:rPr>
        <w:t>（五）采购标的的验收标准。</w:t>
      </w:r>
    </w:p>
    <w:p>
      <w:pPr>
        <w:spacing w:line="360" w:lineRule="auto"/>
        <w:ind w:firstLine="480" w:firstLineChars="200"/>
        <w:rPr>
          <w:rFonts w:ascii="宋体" w:hAnsi="宋体"/>
          <w:sz w:val="24"/>
        </w:rPr>
      </w:pPr>
      <w:r>
        <w:rPr>
          <w:rFonts w:hint="eastAsia" w:ascii="宋体" w:hAnsi="宋体"/>
          <w:sz w:val="24"/>
        </w:rPr>
        <w:t>1、中标后应给出项目日常设备维护的验收方案，包括验收项目、验收标准，验收实施办法等；</w:t>
      </w:r>
    </w:p>
    <w:p>
      <w:pPr>
        <w:spacing w:line="360" w:lineRule="auto"/>
        <w:ind w:firstLine="480" w:firstLineChars="200"/>
        <w:rPr>
          <w:rFonts w:ascii="宋体" w:hAnsi="宋体"/>
          <w:sz w:val="24"/>
        </w:rPr>
      </w:pPr>
      <w:r>
        <w:rPr>
          <w:rFonts w:hint="eastAsia" w:ascii="宋体" w:hAnsi="宋体"/>
          <w:sz w:val="24"/>
        </w:rPr>
        <w:t>2、路灯照明设备维护修复后的验收工作由采购人、中标人及相关单位人员依国家有关标准、合同及有关附件要求进行。</w:t>
      </w:r>
    </w:p>
    <w:p>
      <w:pPr>
        <w:pStyle w:val="2"/>
        <w:spacing w:before="0" w:beforeAutospacing="0" w:after="0"/>
        <w:ind w:firstLine="0" w:firstLineChars="0"/>
        <w:rPr>
          <w:rFonts w:ascii="宋体" w:hAnsi="宋体" w:eastAsia="宋体"/>
          <w:b/>
          <w:bCs/>
          <w:sz w:val="28"/>
          <w:szCs w:val="28"/>
        </w:rPr>
      </w:pPr>
      <w:r>
        <w:rPr>
          <w:rFonts w:hint="eastAsia" w:ascii="宋体" w:hAnsi="宋体" w:eastAsia="宋体"/>
          <w:b/>
          <w:bCs/>
          <w:sz w:val="28"/>
          <w:szCs w:val="28"/>
        </w:rPr>
        <w:t>（六）采购标的的其他技术、服务等要求。</w:t>
      </w:r>
    </w:p>
    <w:p>
      <w:pPr>
        <w:spacing w:line="360" w:lineRule="auto"/>
        <w:ind w:firstLine="480" w:firstLineChars="200"/>
        <w:rPr>
          <w:rFonts w:ascii="宋体" w:hAnsi="宋体"/>
          <w:bCs/>
          <w:sz w:val="24"/>
        </w:rPr>
      </w:pPr>
      <w:r>
        <w:rPr>
          <w:rFonts w:hint="eastAsia" w:ascii="宋体" w:hAnsi="宋体"/>
          <w:bCs/>
          <w:sz w:val="24"/>
        </w:rPr>
        <w:t>1、维修养护机械和设备配置要求</w:t>
      </w:r>
    </w:p>
    <w:p>
      <w:pPr>
        <w:spacing w:line="360" w:lineRule="auto"/>
        <w:ind w:firstLine="480" w:firstLineChars="200"/>
        <w:rPr>
          <w:rFonts w:ascii="宋体" w:hAnsi="宋体"/>
          <w:bCs/>
          <w:sz w:val="24"/>
        </w:rPr>
      </w:pPr>
      <w:r>
        <w:rPr>
          <w:rFonts w:hint="eastAsia" w:ascii="宋体" w:hAnsi="宋体"/>
          <w:bCs/>
          <w:sz w:val="24"/>
        </w:rPr>
        <w:t>为确保养护维修工作的服务质量，除特种大型机械（大型吊车、高空作业设备）可临时向社会租赁外，养护维修须投入与之匹配的相关机械（具体配置数量以满足维修养护工作需要为准），并保证服务期间能正常使用。</w:t>
      </w:r>
    </w:p>
    <w:p>
      <w:pPr>
        <w:spacing w:line="360" w:lineRule="auto"/>
        <w:ind w:firstLine="480" w:firstLineChars="200"/>
        <w:rPr>
          <w:rFonts w:ascii="宋体" w:hAnsi="宋体"/>
          <w:bCs/>
          <w:sz w:val="24"/>
        </w:rPr>
      </w:pPr>
      <w:r>
        <w:rPr>
          <w:rFonts w:hint="eastAsia" w:ascii="宋体" w:hAnsi="宋体"/>
          <w:bCs/>
          <w:sz w:val="24"/>
        </w:rPr>
        <w:t>根据行业技术发展和养护维修工作过程中需要提供所投标段承诺的未涉及到的机械、设备，须无条件添加以满足维修养护工作需要。</w:t>
      </w:r>
    </w:p>
    <w:p>
      <w:pPr>
        <w:spacing w:line="360" w:lineRule="auto"/>
        <w:ind w:firstLine="480" w:firstLineChars="200"/>
        <w:rPr>
          <w:rFonts w:ascii="宋体" w:hAnsi="宋体"/>
          <w:sz w:val="24"/>
        </w:rPr>
      </w:pPr>
      <w:r>
        <w:rPr>
          <w:rFonts w:hint="eastAsia" w:ascii="宋体" w:hAnsi="宋体"/>
          <w:sz w:val="24"/>
        </w:rPr>
        <w:t>2、投标人投入设备中须至少一台 18 米或以上高空作业车【须附提供车辆的车辆行驶证，车辆权属登记证或租赁合同（若为租赁车辆）。投标文件里附复印件，开标时提供原件备查】。</w:t>
      </w:r>
    </w:p>
    <w:p>
      <w:pPr>
        <w:spacing w:line="360" w:lineRule="auto"/>
        <w:ind w:firstLine="480" w:firstLineChars="200"/>
        <w:rPr>
          <w:rFonts w:ascii="宋体" w:hAnsi="宋体"/>
          <w:sz w:val="24"/>
        </w:rPr>
      </w:pPr>
      <w:r>
        <w:rPr>
          <w:rFonts w:hint="eastAsia" w:ascii="宋体" w:hAnsi="宋体"/>
          <w:sz w:val="24"/>
        </w:rPr>
        <w:t>3、本项目为交钥匙工程（包括设备、材料、元件等的购置、安装调试、验收、与其它施工单位协作等为完成本项目所产生的费用）。</w:t>
      </w:r>
    </w:p>
    <w:p>
      <w:pPr>
        <w:spacing w:line="360" w:lineRule="auto"/>
        <w:ind w:firstLine="480" w:firstLineChars="200"/>
        <w:rPr>
          <w:rFonts w:ascii="宋体" w:hAnsi="宋体"/>
          <w:sz w:val="24"/>
        </w:rPr>
      </w:pPr>
      <w:r>
        <w:rPr>
          <w:rFonts w:hint="eastAsia" w:ascii="宋体" w:hAnsi="宋体"/>
          <w:sz w:val="24"/>
        </w:rPr>
        <w:t>4、本项目报价为综合报价，中标单位根据采购方要求进行管护。采购方定期对中标单位进行考评验收，并根据考评结果对中标单位做出奖罚。</w:t>
      </w:r>
    </w:p>
    <w:p>
      <w:pPr>
        <w:spacing w:line="360" w:lineRule="auto"/>
        <w:ind w:firstLine="480" w:firstLineChars="200"/>
        <w:rPr>
          <w:rFonts w:ascii="宋体" w:hAnsi="宋体"/>
          <w:sz w:val="24"/>
        </w:rPr>
      </w:pPr>
      <w:r>
        <w:rPr>
          <w:rFonts w:hint="eastAsia" w:ascii="宋体" w:hAnsi="宋体"/>
          <w:sz w:val="24"/>
        </w:rPr>
        <w:t>5、付款方式：招标人按照中标价每6个月支付一次服务费用。</w:t>
      </w:r>
    </w:p>
    <w:p>
      <w:pPr>
        <w:spacing w:line="360" w:lineRule="auto"/>
        <w:ind w:firstLine="480" w:firstLineChars="200"/>
        <w:rPr>
          <w:rFonts w:hint="eastAsia" w:ascii="宋体" w:hAnsi="宋体"/>
          <w:sz w:val="24"/>
        </w:rPr>
      </w:pPr>
      <w:r>
        <w:rPr>
          <w:rFonts w:hint="eastAsia" w:ascii="宋体" w:hAnsi="宋体"/>
          <w:sz w:val="24"/>
        </w:rPr>
        <w:t>6、“二、采购需求”中所列需求为最低要求，不得低于最低要求，否则为无效投标。</w:t>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br w:type="page"/>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rPr>
          <w:rFonts w:ascii="宋体" w:cs="宋体"/>
          <w:b/>
          <w:sz w:val="28"/>
          <w:szCs w:val="28"/>
          <w:lang w:val="zh-CN"/>
        </w:rPr>
      </w:pPr>
      <w:r>
        <w:rPr>
          <w:rFonts w:hint="eastAsia" w:ascii="宋体" w:cs="宋体"/>
          <w:b/>
          <w:sz w:val="28"/>
          <w:szCs w:val="28"/>
          <w:lang w:val="zh-CN"/>
        </w:rPr>
        <w:t>投标人须知前附表</w:t>
      </w:r>
    </w:p>
    <w:tbl>
      <w:tblPr>
        <w:tblStyle w:val="1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序号</w:t>
            </w:r>
          </w:p>
        </w:tc>
        <w:tc>
          <w:tcPr>
            <w:tcW w:w="2268"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条款名称</w:t>
            </w:r>
          </w:p>
        </w:tc>
        <w:tc>
          <w:tcPr>
            <w:tcW w:w="6813" w:type="dxa"/>
            <w:vAlign w:val="center"/>
          </w:tcPr>
          <w:p>
            <w:pPr>
              <w:autoSpaceDE w:val="0"/>
              <w:autoSpaceDN w:val="0"/>
              <w:adjustRightInd w:val="0"/>
              <w:spacing w:line="276" w:lineRule="auto"/>
              <w:jc w:val="center"/>
              <w:rPr>
                <w:rFonts w:hAnsi="宋体" w:cs="仿宋_GB2312"/>
                <w:b/>
                <w:sz w:val="24"/>
              </w:rPr>
            </w:pPr>
            <w:r>
              <w:rPr>
                <w:rFonts w:hint="eastAsia"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采购项目</w:t>
            </w:r>
          </w:p>
        </w:tc>
        <w:tc>
          <w:tcPr>
            <w:tcW w:w="6813" w:type="dxa"/>
          </w:tcPr>
          <w:p>
            <w:pPr>
              <w:autoSpaceDE w:val="0"/>
              <w:autoSpaceDN w:val="0"/>
              <w:adjustRightInd w:val="0"/>
              <w:spacing w:line="360" w:lineRule="auto"/>
              <w:jc w:val="left"/>
              <w:rPr>
                <w:rFonts w:hAnsi="宋体" w:cs="仿宋_GB2312"/>
                <w:sz w:val="24"/>
              </w:rPr>
            </w:pPr>
            <w:r>
              <w:rPr>
                <w:rFonts w:hint="eastAsia" w:hAnsi="宋体" w:cs="仿宋_GB2312"/>
                <w:sz w:val="24"/>
              </w:rPr>
              <w:t>项目名称：</w:t>
            </w:r>
            <w:r>
              <w:rPr>
                <w:rFonts w:hint="eastAsia" w:ascii="宋体" w:hAnsi="宋体" w:eastAsia="宋体" w:cs="Arial"/>
                <w:sz w:val="24"/>
                <w:szCs w:val="24"/>
              </w:rPr>
              <w:t>东城区市政道路路灯设施维修养护工作第二标段</w:t>
            </w:r>
          </w:p>
          <w:p>
            <w:pPr>
              <w:autoSpaceDE w:val="0"/>
              <w:autoSpaceDN w:val="0"/>
              <w:adjustRightInd w:val="0"/>
              <w:spacing w:line="360" w:lineRule="auto"/>
              <w:jc w:val="left"/>
              <w:rPr>
                <w:rFonts w:hAnsi="宋体" w:cs="仿宋_GB2312"/>
                <w:sz w:val="24"/>
              </w:rPr>
            </w:pPr>
            <w:r>
              <w:rPr>
                <w:rFonts w:hint="eastAsia" w:hAnsi="宋体" w:cs="仿宋_GB2312"/>
                <w:sz w:val="24"/>
              </w:rPr>
              <w:t>项目编号：</w:t>
            </w:r>
            <w:r>
              <w:rPr>
                <w:rFonts w:hint="eastAsia" w:ascii="宋体" w:hAnsi="宋体" w:eastAsia="宋体" w:cs="宋体"/>
                <w:sz w:val="24"/>
                <w:shd w:val="clear" w:color="auto" w:fill="FFFFFF"/>
              </w:rPr>
              <w:t>JZFCG-G2017066-1号</w:t>
            </w:r>
          </w:p>
          <w:p>
            <w:pPr>
              <w:autoSpaceDE w:val="0"/>
              <w:autoSpaceDN w:val="0"/>
              <w:adjustRightInd w:val="0"/>
              <w:spacing w:line="360" w:lineRule="auto"/>
              <w:jc w:val="left"/>
              <w:rPr>
                <w:rFonts w:hAnsi="宋体" w:cs="仿宋_GB2312"/>
                <w:sz w:val="24"/>
              </w:rPr>
            </w:pPr>
            <w:r>
              <w:rPr>
                <w:rFonts w:hint="eastAsia" w:hAnsi="宋体" w:cs="仿宋_GB2312"/>
                <w:sz w:val="24"/>
              </w:rPr>
              <w:t>项目内容：许昌市东城区市政道路路灯设施维修养护工作第二标段的道路路灯设施维修养护（详见招标文件项目需求）</w:t>
            </w:r>
          </w:p>
          <w:p>
            <w:pPr>
              <w:autoSpaceDE w:val="0"/>
              <w:autoSpaceDN w:val="0"/>
              <w:adjustRightInd w:val="0"/>
              <w:spacing w:line="360" w:lineRule="auto"/>
              <w:jc w:val="left"/>
              <w:rPr>
                <w:rFonts w:hAnsi="宋体" w:cs="仿宋_GB2312"/>
                <w:sz w:val="24"/>
              </w:rPr>
            </w:pPr>
            <w:r>
              <w:rPr>
                <w:rFonts w:hint="eastAsia" w:hAnsi="宋体" w:cs="仿宋_GB2312"/>
                <w:sz w:val="24"/>
              </w:rPr>
              <w:t>项目地址：</w:t>
            </w:r>
            <w:r>
              <w:rPr>
                <w:rFonts w:hint="eastAsia" w:ascii="宋体" w:hAnsi="宋体" w:eastAsia="宋体" w:cs="Arial"/>
                <w:sz w:val="24"/>
                <w:szCs w:val="24"/>
              </w:rPr>
              <w:t>许昌市东城区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2</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采购人</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w:t>
            </w:r>
            <w:r>
              <w:rPr>
                <w:rFonts w:hint="eastAsia" w:ascii="宋体" w:hAnsi="宋体" w:eastAsia="宋体" w:cs="Arial"/>
                <w:sz w:val="24"/>
                <w:szCs w:val="24"/>
              </w:rPr>
              <w:t>许昌市东城区市政管理中心</w:t>
            </w:r>
          </w:p>
          <w:p>
            <w:pPr>
              <w:autoSpaceDE w:val="0"/>
              <w:autoSpaceDN w:val="0"/>
              <w:adjustRightInd w:val="0"/>
              <w:spacing w:line="360" w:lineRule="auto"/>
              <w:jc w:val="left"/>
              <w:rPr>
                <w:rFonts w:hAnsi="宋体" w:cs="仿宋_GB2312"/>
                <w:sz w:val="24"/>
              </w:rPr>
            </w:pPr>
            <w:r>
              <w:rPr>
                <w:rFonts w:hint="eastAsia" w:hAnsi="宋体" w:cs="仿宋_GB2312"/>
                <w:sz w:val="24"/>
              </w:rPr>
              <w:t>地址：</w:t>
            </w:r>
            <w:r>
              <w:rPr>
                <w:rFonts w:hint="eastAsia" w:ascii="宋体" w:hAnsi="宋体" w:eastAsia="宋体" w:cs="Arial"/>
                <w:sz w:val="24"/>
                <w:szCs w:val="24"/>
              </w:rPr>
              <w:t>许昌市新兴路东段</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hAnsi="宋体" w:eastAsia="宋体" w:cs="Arial"/>
                <w:sz w:val="24"/>
                <w:szCs w:val="24"/>
              </w:rPr>
              <w:t>李文睿</w:t>
            </w:r>
            <w:r>
              <w:rPr>
                <w:rFonts w:hint="eastAsia" w:hAnsi="宋体" w:cs="仿宋_GB2312"/>
                <w:sz w:val="24"/>
              </w:rPr>
              <w:t xml:space="preserve">                    电话：</w:t>
            </w:r>
            <w:r>
              <w:rPr>
                <w:rFonts w:hint="eastAsia" w:ascii="宋体" w:hAnsi="宋体" w:eastAsia="宋体" w:cs="Arial"/>
                <w:sz w:val="24"/>
                <w:szCs w:val="24"/>
              </w:rPr>
              <w:t>18639728212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3</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代理机构</w:t>
            </w:r>
          </w:p>
        </w:tc>
        <w:tc>
          <w:tcPr>
            <w:tcW w:w="6813" w:type="dxa"/>
            <w:vAlign w:val="center"/>
          </w:tcPr>
          <w:p>
            <w:pPr>
              <w:autoSpaceDE w:val="0"/>
              <w:autoSpaceDN w:val="0"/>
              <w:adjustRightInd w:val="0"/>
              <w:spacing w:line="360" w:lineRule="auto"/>
              <w:jc w:val="left"/>
              <w:rPr>
                <w:rFonts w:hAnsi="宋体" w:cs="仿宋_GB2312"/>
                <w:sz w:val="24"/>
              </w:rPr>
            </w:pPr>
            <w:r>
              <w:rPr>
                <w:rFonts w:hint="eastAsia" w:hAnsi="宋体" w:cs="仿宋_GB2312"/>
                <w:sz w:val="24"/>
              </w:rPr>
              <w:t>名称：郑州浩然工程造价咨询有限公司</w:t>
            </w:r>
          </w:p>
          <w:p>
            <w:pPr>
              <w:autoSpaceDE w:val="0"/>
              <w:autoSpaceDN w:val="0"/>
              <w:adjustRightInd w:val="0"/>
              <w:spacing w:line="360" w:lineRule="auto"/>
              <w:jc w:val="left"/>
              <w:rPr>
                <w:rFonts w:hAnsi="宋体" w:cs="仿宋_GB2312"/>
                <w:sz w:val="24"/>
              </w:rPr>
            </w:pPr>
            <w:r>
              <w:rPr>
                <w:rFonts w:hint="eastAsia" w:hAnsi="宋体" w:cs="仿宋_GB2312"/>
                <w:sz w:val="24"/>
              </w:rPr>
              <w:t>地址：郑州市农业路政七街省汇中心B座10层</w:t>
            </w:r>
          </w:p>
          <w:p>
            <w:pPr>
              <w:autoSpaceDE w:val="0"/>
              <w:autoSpaceDN w:val="0"/>
              <w:adjustRightInd w:val="0"/>
              <w:spacing w:line="360" w:lineRule="auto"/>
              <w:jc w:val="left"/>
              <w:rPr>
                <w:rFonts w:hAnsi="宋体" w:cs="仿宋_GB2312"/>
                <w:sz w:val="24"/>
              </w:rPr>
            </w:pPr>
            <w:r>
              <w:rPr>
                <w:rFonts w:hint="eastAsia" w:hAnsi="宋体" w:cs="仿宋_GB2312"/>
                <w:sz w:val="24"/>
              </w:rPr>
              <w:t>联系人：</w:t>
            </w:r>
            <w:r>
              <w:rPr>
                <w:rFonts w:hint="eastAsia" w:ascii="宋体" w:hAnsi="宋体" w:eastAsia="宋体" w:cs="Arial"/>
                <w:sz w:val="24"/>
                <w:szCs w:val="24"/>
              </w:rPr>
              <w:t>郑晓峰</w:t>
            </w:r>
            <w:r>
              <w:rPr>
                <w:rFonts w:hint="eastAsia" w:hAnsi="宋体" w:cs="仿宋_GB2312"/>
                <w:sz w:val="24"/>
              </w:rPr>
              <w:t xml:space="preserve">                    电话：15936301855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合格的投标人</w:t>
            </w:r>
          </w:p>
        </w:tc>
        <w:tc>
          <w:tcPr>
            <w:tcW w:w="6813"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hAnsi="宋体" w:cs="仿宋_GB2312"/>
                <w:sz w:val="24"/>
              </w:rPr>
            </w:pPr>
            <w:r>
              <w:rPr>
                <w:rFonts w:hint="eastAsia" w:ascii="宋体" w:cs="宋体"/>
                <w:bCs/>
                <w:sz w:val="24"/>
                <w:lang w:val="zh-CN"/>
              </w:rPr>
              <w:t>5、自然人身份证明。（自然人投标提供）</w:t>
            </w:r>
          </w:p>
          <w:p>
            <w:pPr>
              <w:autoSpaceDE w:val="0"/>
              <w:autoSpaceDN w:val="0"/>
              <w:adjustRightInd w:val="0"/>
              <w:spacing w:line="360" w:lineRule="auto"/>
              <w:jc w:val="left"/>
              <w:rPr>
                <w:rFonts w:ascii="宋体" w:hAnsi="宋体"/>
                <w:b/>
                <w:color w:val="000000"/>
                <w:sz w:val="24"/>
              </w:rPr>
            </w:pPr>
            <w:r>
              <w:rPr>
                <w:rFonts w:hint="eastAsia" w:ascii="宋体" w:hAnsi="宋体"/>
                <w:b/>
                <w:color w:val="000000"/>
                <w:sz w:val="24"/>
              </w:rPr>
              <w:t>二、须具有城市及道路照明工程专业承包三级（或以上）资质，具有有效的安全生产许可证。拟派项目负责人须在本单位注册，具备市政公用工程或机电工程专业二级（或以上）注册建造师资格（不含临时），且具有有效的安全生产考核合格证。</w:t>
            </w:r>
          </w:p>
          <w:p>
            <w:pPr>
              <w:autoSpaceDE w:val="0"/>
              <w:autoSpaceDN w:val="0"/>
              <w:adjustRightInd w:val="0"/>
              <w:spacing w:line="360" w:lineRule="auto"/>
              <w:jc w:val="left"/>
              <w:rPr>
                <w:rFonts w:hAnsi="宋体" w:cs="仿宋_GB2312"/>
                <w:b/>
                <w:sz w:val="24"/>
              </w:rPr>
            </w:pPr>
            <w:r>
              <w:rPr>
                <w:rFonts w:hint="eastAsia" w:hAnsi="宋体" w:cs="仿宋_GB2312"/>
                <w:b/>
                <w:sz w:val="24"/>
              </w:rPr>
              <w:t>三、财务状况报告相关材料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cs="宋体"/>
                <w:bCs/>
                <w:sz w:val="24"/>
                <w:lang w:val="zh-CN"/>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hAnsi="宋体" w:cs="仿宋_GB2312"/>
                <w:b/>
                <w:sz w:val="24"/>
              </w:rPr>
            </w:pPr>
            <w:r>
              <w:rPr>
                <w:rFonts w:hint="eastAsia" w:hAnsi="宋体" w:cs="仿宋_GB2312"/>
                <w:b/>
                <w:sz w:val="24"/>
              </w:rPr>
              <w:t>四、依法缴纳税收相关材料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投标截止时间前三个月内任意一个月缴纳税收凭据复印件。（依法免税的投标人，应提供相应文件证明依法免税）</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五、依法缴纳社会保障资金的证明材料</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六、履行合同所必须的设备和专业技术能力的证明材料</w:t>
            </w:r>
          </w:p>
          <w:p>
            <w:pPr>
              <w:autoSpaceDE w:val="0"/>
              <w:autoSpaceDN w:val="0"/>
              <w:adjustRightInd w:val="0"/>
              <w:spacing w:line="360" w:lineRule="auto"/>
              <w:jc w:val="left"/>
              <w:rPr>
                <w:rFonts w:ascii="宋体" w:eastAsia="宋体" w:cs="宋体"/>
                <w:kern w:val="0"/>
                <w:sz w:val="24"/>
                <w:szCs w:val="24"/>
              </w:rPr>
            </w:pPr>
            <w:r>
              <w:rPr>
                <w:rFonts w:hint="eastAsia" w:ascii="宋体" w:cs="宋体"/>
                <w:bCs/>
                <w:sz w:val="24"/>
                <w:lang w:val="zh-CN"/>
              </w:rPr>
              <w:t>相关设备的购置发票（或权属证明）、专业技术人员职称证书或执业资格证书、用工合同等或者</w:t>
            </w:r>
            <w:r>
              <w:rPr>
                <w:rFonts w:hint="eastAsia" w:ascii="宋体" w:eastAsia="宋体" w:cs="宋体"/>
                <w:kern w:val="0"/>
                <w:sz w:val="24"/>
                <w:szCs w:val="24"/>
              </w:rPr>
              <w:t>附投标人相关承诺函或声明。</w:t>
            </w:r>
          </w:p>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七、</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cs="宋体"/>
                <w:bCs/>
                <w:sz w:val="24"/>
                <w:lang w:val="zh-CN"/>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p>
            <w:pPr>
              <w:autoSpaceDE w:val="0"/>
              <w:autoSpaceDN w:val="0"/>
              <w:spacing w:line="360" w:lineRule="auto"/>
              <w:contextualSpacing/>
              <w:jc w:val="left"/>
              <w:rPr>
                <w:rFonts w:cs="宋体" w:asciiTheme="minorEastAsia" w:hAnsiTheme="minorEastAsia"/>
                <w:kern w:val="0"/>
                <w:sz w:val="24"/>
                <w:szCs w:val="24"/>
              </w:rPr>
            </w:pPr>
            <w:r>
              <w:rPr>
                <w:rFonts w:hint="eastAsia" w:ascii="宋体" w:cs="宋体"/>
                <w:b/>
                <w:bCs/>
                <w:sz w:val="24"/>
                <w:lang w:val="zh-CN"/>
              </w:rPr>
              <w:t>八、未被列入“信用中国”网站(www.creditchina.gov.cn)、中国政府采购网(www.ccgp.gov.cn)渠道信用记录失信被执行人、重大税收违法案件当事人名单、政府采购严重违法失信行为记录名单的投标人。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jc w:val="left"/>
              <w:rPr>
                <w:rFonts w:hAnsi="宋体" w:cs="仿宋_GB2312"/>
                <w:sz w:val="24"/>
              </w:rPr>
            </w:pPr>
            <w:r>
              <w:rPr>
                <w:rFonts w:hint="eastAsia" w:ascii="宋体" w:cs="宋体"/>
                <w:b/>
                <w:bCs/>
                <w:sz w:val="24"/>
                <w:lang w:val="zh-CN"/>
              </w:rPr>
              <w:t>九、</w:t>
            </w:r>
            <w:r>
              <w:rPr>
                <w:rFonts w:hint="eastAsia" w:ascii="宋体" w:eastAsia="宋体" w:cs="宋体"/>
                <w:b/>
                <w:kern w:val="0"/>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5</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最高限价</w:t>
            </w:r>
          </w:p>
        </w:tc>
        <w:tc>
          <w:tcPr>
            <w:tcW w:w="6813" w:type="dxa"/>
            <w:vAlign w:val="center"/>
          </w:tcPr>
          <w:p>
            <w:pPr>
              <w:autoSpaceDE w:val="0"/>
              <w:autoSpaceDN w:val="0"/>
              <w:adjustRightInd w:val="0"/>
              <w:spacing w:line="276" w:lineRule="auto"/>
              <w:rPr>
                <w:rFonts w:ascii="宋体" w:cs="宋体"/>
                <w:bCs/>
                <w:sz w:val="24"/>
                <w:lang w:val="zh-CN"/>
              </w:rPr>
            </w:pPr>
            <w:r>
              <w:rPr>
                <w:rFonts w:hint="eastAsia"/>
                <w:sz w:val="24"/>
              </w:rPr>
              <w:t>第二标段：360万元（120万/年，服务期三年）。</w:t>
            </w:r>
            <w:r>
              <w:rPr>
                <w:rFonts w:hint="eastAsia" w:ascii="宋体" w:cs="宋体"/>
                <w:bCs/>
                <w:sz w:val="24"/>
                <w:lang w:val="zh-CN"/>
              </w:rPr>
              <w:t>超出最高限价的为无效投标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6</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7</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进口产品参与</w:t>
            </w:r>
          </w:p>
        </w:tc>
        <w:tc>
          <w:tcPr>
            <w:tcW w:w="6813" w:type="dxa"/>
            <w:vAlign w:val="center"/>
          </w:tcPr>
          <w:p>
            <w:pPr>
              <w:autoSpaceDE w:val="0"/>
              <w:autoSpaceDN w:val="0"/>
              <w:adjustRightInd w:val="0"/>
              <w:spacing w:line="276" w:lineRule="auto"/>
              <w:rPr>
                <w:rFonts w:hAnsi="宋体"/>
                <w:sz w:val="24"/>
              </w:rPr>
            </w:pPr>
            <w:r>
              <w:rPr>
                <w:rFonts w:hint="eastAsia" w:hAnsi="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9</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投标有效期</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60天（自</w:t>
            </w:r>
            <w:r>
              <w:rPr>
                <w:rFonts w:hint="eastAsia" w:cs="宋体" w:asciiTheme="minorEastAsia" w:hAnsiTheme="minorEastAsia"/>
                <w:kern w:val="0"/>
                <w:sz w:val="24"/>
                <w:szCs w:val="24"/>
              </w:rPr>
              <w:t>提交投标文件的截止之日起算</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10</w:t>
            </w:r>
          </w:p>
        </w:tc>
        <w:tc>
          <w:tcPr>
            <w:tcW w:w="2268" w:type="dxa"/>
            <w:vAlign w:val="center"/>
          </w:tcPr>
          <w:p>
            <w:pPr>
              <w:autoSpaceDE w:val="0"/>
              <w:autoSpaceDN w:val="0"/>
              <w:adjustRightInd w:val="0"/>
              <w:spacing w:line="276" w:lineRule="auto"/>
              <w:jc w:val="center"/>
              <w:rPr>
                <w:rFonts w:ascii="宋体" w:cs="宋体"/>
                <w:bCs/>
                <w:sz w:val="24"/>
                <w:lang w:val="zh-CN"/>
              </w:rPr>
            </w:pPr>
            <w:r>
              <w:rPr>
                <w:rFonts w:ascii="宋体" w:cs="宋体"/>
                <w:bCs/>
                <w:sz w:val="24"/>
                <w:lang w:val="zh-CN"/>
              </w:rPr>
              <w:t>中标人将本项目的非主体、非关键性</w:t>
            </w:r>
          </w:p>
          <w:p>
            <w:pPr>
              <w:autoSpaceDE w:val="0"/>
              <w:autoSpaceDN w:val="0"/>
              <w:adjustRightInd w:val="0"/>
              <w:spacing w:line="276" w:lineRule="auto"/>
              <w:jc w:val="center"/>
              <w:rPr>
                <w:rFonts w:hAnsi="宋体" w:cs="仿宋_GB2312"/>
                <w:sz w:val="24"/>
              </w:rPr>
            </w:pPr>
            <w:r>
              <w:rPr>
                <w:rFonts w:ascii="宋体" w:cs="宋体"/>
                <w:bCs/>
                <w:sz w:val="24"/>
                <w:lang w:val="zh-CN"/>
              </w:rPr>
              <w:t>工作分包</w:t>
            </w:r>
          </w:p>
        </w:tc>
        <w:tc>
          <w:tcPr>
            <w:tcW w:w="6813" w:type="dxa"/>
            <w:vAlign w:val="center"/>
          </w:tcPr>
          <w:p>
            <w:pPr>
              <w:autoSpaceDE w:val="0"/>
              <w:autoSpaceDN w:val="0"/>
              <w:adjustRightInd w:val="0"/>
              <w:spacing w:line="276" w:lineRule="auto"/>
              <w:ind w:firstLine="120" w:firstLineChars="5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投标截止及</w:t>
            </w:r>
          </w:p>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开标时间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rPr>
              <w:t>2018</w:t>
            </w:r>
            <w:r>
              <w:rPr>
                <w:rFonts w:hint="eastAsia" w:ascii="宋体" w:cs="宋体"/>
                <w:bCs/>
                <w:sz w:val="24"/>
                <w:lang w:val="zh-CN"/>
              </w:rPr>
              <w:t>年1月5日9时30分（北京时间）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12</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递交投标文件</w:t>
            </w:r>
          </w:p>
          <w:p>
            <w:pPr>
              <w:autoSpaceDE w:val="0"/>
              <w:autoSpaceDN w:val="0"/>
              <w:adjustRightInd w:val="0"/>
              <w:spacing w:line="276" w:lineRule="auto"/>
              <w:jc w:val="center"/>
              <w:rPr>
                <w:rFonts w:hAnsi="宋体" w:cs="黑体"/>
                <w:sz w:val="24"/>
              </w:rPr>
            </w:pPr>
            <w:r>
              <w:rPr>
                <w:rFonts w:hint="eastAsia" w:hAnsi="宋体" w:cs="黑体"/>
                <w:sz w:val="24"/>
              </w:rPr>
              <w:t>及开标地点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许昌市公共资源交易中心三楼开标一室（</w:t>
            </w:r>
            <w:r>
              <w:rPr>
                <w:rFonts w:ascii="宋体" w:cs="宋体"/>
                <w:bCs/>
                <w:sz w:val="24"/>
                <w:lang w:val="zh-CN"/>
              </w:rPr>
              <w:t>龙兴路与竹林路交汇处</w:t>
            </w:r>
            <w:r>
              <w:rPr>
                <w:rFonts w:hint="eastAsia" w:ascii="宋体" w:cs="宋体"/>
                <w:bCs/>
                <w:sz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13</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缴纳截止时间：同投标截止时间</w:t>
            </w:r>
          </w:p>
          <w:p>
            <w:pPr>
              <w:autoSpaceDE w:val="0"/>
              <w:autoSpaceDN w:val="0"/>
              <w:adjustRightInd w:val="0"/>
              <w:spacing w:line="276" w:lineRule="auto"/>
              <w:rPr>
                <w:rFonts w:ascii="宋体" w:cs="宋体"/>
                <w:bCs/>
                <w:sz w:val="24"/>
                <w:lang w:val="zh-CN"/>
              </w:rPr>
            </w:pPr>
            <w:r>
              <w:rPr>
                <w:rFonts w:hint="eastAsia" w:ascii="宋体" w:cs="宋体"/>
                <w:bCs/>
                <w:sz w:val="24"/>
                <w:lang w:val="zh-CN"/>
              </w:rPr>
              <w:t>金额：柒万贰仟元整（</w:t>
            </w:r>
            <w:r>
              <w:rPr>
                <w:rFonts w:hint="eastAsia" w:cs="宋体" w:asciiTheme="minorEastAsia" w:hAnsiTheme="minorEastAsia"/>
                <w:bCs/>
                <w:sz w:val="24"/>
                <w:lang w:val="zh-CN"/>
              </w:rPr>
              <w:t>小写：</w:t>
            </w:r>
            <w:r>
              <w:rPr>
                <w:rFonts w:hint="eastAsia" w:cs="宋体" w:asciiTheme="minorEastAsia" w:hAnsiTheme="minorEastAsia"/>
                <w:bCs/>
                <w:sz w:val="24"/>
              </w:rPr>
              <w:t>72000.00元</w:t>
            </w:r>
            <w:r>
              <w:rPr>
                <w:rFonts w:hint="eastAsia" w:ascii="宋体" w:cs="宋体"/>
                <w:bCs/>
                <w:sz w:val="24"/>
                <w:lang w:val="zh-CN"/>
              </w:rPr>
              <w:t>）</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三、投标保证金缴纳方式：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5、汇款凭证无须备注项目编号和项目名称。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7、投标人所提交的投标保证金仅限当次投标项目（标段）有效，不得重复替代使用。一个招标项目有多个标段或者有多个项目同时招标的，投标人必须按项目、标段分别提交投标保证金。</w:t>
            </w:r>
          </w:p>
          <w:p>
            <w:pPr>
              <w:autoSpaceDE w:val="0"/>
              <w:autoSpaceDN w:val="0"/>
              <w:adjustRightInd w:val="0"/>
              <w:spacing w:line="276" w:lineRule="auto"/>
              <w:rPr>
                <w:rFonts w:ascii="新宋体" w:hAnsi="新宋体" w:eastAsia="新宋体" w:cs="仿宋_GB2312"/>
                <w:sz w:val="24"/>
                <w:lang w:val="zh-CN"/>
              </w:rPr>
            </w:pPr>
            <w:r>
              <w:rPr>
                <w:rFonts w:hint="eastAsia" w:ascii="新宋体" w:hAnsi="新宋体" w:eastAsia="新宋体" w:cs="仿宋_GB2312"/>
                <w:sz w:val="24"/>
                <w:lang w:val="zh-CN"/>
              </w:rPr>
              <w:t>8、未按上述规定操作引起的无效投标，由投标人自行负责。</w:t>
            </w:r>
          </w:p>
          <w:p>
            <w:pPr>
              <w:autoSpaceDE w:val="0"/>
              <w:autoSpaceDN w:val="0"/>
              <w:adjustRightInd w:val="0"/>
              <w:spacing w:line="276" w:lineRule="auto"/>
              <w:rPr>
                <w:rFonts w:ascii="宋体" w:cs="宋体"/>
                <w:bCs/>
                <w:sz w:val="24"/>
                <w:lang w:val="zh-CN"/>
              </w:rPr>
            </w:pPr>
            <w:r>
              <w:rPr>
                <w:rFonts w:hint="eastAsia" w:ascii="新宋体" w:hAnsi="新宋体" w:eastAsia="新宋体" w:cs="仿宋_GB2312"/>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14</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仿宋_GB2312"/>
                <w:sz w:val="24"/>
              </w:rPr>
              <w:t>公告发布</w:t>
            </w:r>
          </w:p>
        </w:tc>
        <w:tc>
          <w:tcPr>
            <w:tcW w:w="6813" w:type="dxa"/>
            <w:tcBorders>
              <w:top w:val="single" w:color="auto" w:sz="4" w:space="0"/>
            </w:tcBorders>
            <w:vAlign w:val="center"/>
          </w:tcPr>
          <w:p>
            <w:pPr>
              <w:autoSpaceDE w:val="0"/>
              <w:autoSpaceDN w:val="0"/>
              <w:adjustRightInd w:val="0"/>
              <w:spacing w:line="276" w:lineRule="auto"/>
              <w:rPr>
                <w:rFonts w:asci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15</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仿宋_GB2312"/>
                <w:sz w:val="24"/>
              </w:rPr>
              <w:t>采购人澄清的时间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投标截止时间15日前（澄清内容可能影响投标文件编制的）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16</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投标人对采购文件质疑的截止时间</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17</w:t>
            </w:r>
          </w:p>
        </w:tc>
        <w:tc>
          <w:tcPr>
            <w:tcW w:w="2268" w:type="dxa"/>
            <w:vAlign w:val="center"/>
          </w:tcPr>
          <w:p>
            <w:pPr>
              <w:autoSpaceDE w:val="0"/>
              <w:autoSpaceDN w:val="0"/>
              <w:adjustRightInd w:val="0"/>
              <w:spacing w:line="276" w:lineRule="auto"/>
              <w:jc w:val="center"/>
              <w:rPr>
                <w:rFonts w:hAnsi="宋体" w:cs="黑体"/>
                <w:sz w:val="24"/>
              </w:rPr>
            </w:pPr>
            <w:r>
              <w:rPr>
                <w:rFonts w:hint="eastAsia" w:hAnsi="宋体" w:cs="黑体"/>
                <w:sz w:val="24"/>
              </w:rPr>
              <w:t>投标文件份数</w:t>
            </w:r>
          </w:p>
        </w:tc>
        <w:tc>
          <w:tcPr>
            <w:tcW w:w="6813" w:type="dxa"/>
            <w:vAlign w:val="center"/>
          </w:tcPr>
          <w:p>
            <w:pPr>
              <w:autoSpaceDE w:val="0"/>
              <w:autoSpaceDN w:val="0"/>
              <w:adjustRightInd w:val="0"/>
              <w:spacing w:line="276" w:lineRule="auto"/>
              <w:rPr>
                <w:rFonts w:ascii="宋体" w:cs="宋体"/>
                <w:bCs/>
                <w:sz w:val="24"/>
                <w:lang w:val="zh-CN"/>
              </w:rPr>
            </w:pPr>
            <w:r>
              <w:rPr>
                <w:rFonts w:hint="eastAsia" w:hAnsi="宋体" w:cs="仿宋_GB2312"/>
                <w:sz w:val="24"/>
              </w:rPr>
              <w:t>正本</w:t>
            </w:r>
            <w:r>
              <w:rPr>
                <w:rFonts w:hint="eastAsia" w:hAnsi="宋体" w:cs="仿宋_GB2312"/>
                <w:b/>
                <w:sz w:val="24"/>
              </w:rPr>
              <w:t>一</w:t>
            </w:r>
            <w:r>
              <w:rPr>
                <w:rFonts w:hint="eastAsia" w:hAnsi="宋体" w:cs="仿宋_GB2312"/>
                <w:sz w:val="24"/>
              </w:rPr>
              <w:t>份，副本四份，电子版U盘一份。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TimesNewRomanPSMT"/>
                <w:sz w:val="24"/>
              </w:rPr>
            </w:pPr>
            <w:r>
              <w:rPr>
                <w:rFonts w:hint="eastAsia" w:hAnsi="宋体" w:cs="TimesNewRomanPSMT"/>
                <w:sz w:val="24"/>
              </w:rPr>
              <w:t>18</w:t>
            </w:r>
          </w:p>
        </w:tc>
        <w:tc>
          <w:tcPr>
            <w:tcW w:w="2268" w:type="dxa"/>
            <w:vAlign w:val="center"/>
          </w:tcPr>
          <w:p>
            <w:pPr>
              <w:autoSpaceDE w:val="0"/>
              <w:autoSpaceDN w:val="0"/>
              <w:adjustRightInd w:val="0"/>
              <w:spacing w:line="276" w:lineRule="auto"/>
              <w:jc w:val="center"/>
              <w:rPr>
                <w:rFonts w:hAnsi="宋体" w:cs="仿宋_GB2312"/>
                <w:sz w:val="24"/>
              </w:rPr>
            </w:pPr>
            <w:r>
              <w:rPr>
                <w:rFonts w:hint="eastAsia" w:hAnsi="宋体" w:cs="黑体"/>
                <w:sz w:val="24"/>
              </w:rPr>
              <w:t>评标委员会的组建</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19</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hAnsi="宋体" w:cs="仿宋_GB2312"/>
                <w:sz w:val="24"/>
              </w:rPr>
              <w:t>评标方法</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20</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授权函</w:t>
            </w:r>
          </w:p>
        </w:tc>
        <w:tc>
          <w:tcPr>
            <w:tcW w:w="6813" w:type="dxa"/>
            <w:vAlign w:val="center"/>
          </w:tcPr>
          <w:p>
            <w:pPr>
              <w:autoSpaceDE w:val="0"/>
              <w:autoSpaceDN w:val="0"/>
              <w:adjustRightInd w:val="0"/>
              <w:spacing w:line="276" w:lineRule="auto"/>
              <w:rPr>
                <w:rFonts w:ascii="宋体" w:cs="宋体"/>
                <w:bCs/>
                <w:sz w:val="24"/>
                <w:lang w:val="zh-CN"/>
              </w:rPr>
            </w:pPr>
            <w:r>
              <w:rPr>
                <w:rFonts w:hint="eastAsia" w:cs="仿宋_GB2312" w:asciiTheme="minorEastAsia" w:hAnsiTheme="minorEastAsia"/>
                <w:sz w:val="24"/>
                <w:lang w:val="zh-CN"/>
              </w:rPr>
              <w:t>采购单位委派代表参加资格审查和评审委员会的，须向采购代理机构出具授权函。除授权代表外，采购单位委派纪检监察人员对开标、评标过程实施监督的须进入五楼电子监督室，须向采购代理机构出具证明文件，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21</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履约保证金</w:t>
            </w:r>
          </w:p>
        </w:tc>
        <w:tc>
          <w:tcPr>
            <w:tcW w:w="6813" w:type="dxa"/>
            <w:vAlign w:val="center"/>
          </w:tcPr>
          <w:p>
            <w:pPr>
              <w:autoSpaceDE w:val="0"/>
              <w:autoSpaceDN w:val="0"/>
              <w:adjustRightInd w:val="0"/>
              <w:spacing w:line="276" w:lineRule="auto"/>
              <w:rPr>
                <w:rFonts w:cs="仿宋_GB2312" w:asciiTheme="minorEastAsia" w:hAnsiTheme="minorEastAsia"/>
                <w:sz w:val="24"/>
                <w:lang w:val="zh-CN"/>
              </w:rPr>
            </w:pPr>
            <w:r>
              <w:rPr>
                <w:rFonts w:hint="eastAsia" w:ascii="宋体" w:cs="宋体"/>
                <w:bCs/>
                <w:sz w:val="24"/>
                <w:lang w:val="zh-CN"/>
              </w:rPr>
              <w:t>本项目无要求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Ansi="宋体" w:cs="黑体"/>
                <w:sz w:val="24"/>
              </w:rPr>
            </w:pPr>
            <w:r>
              <w:rPr>
                <w:rFonts w:hint="eastAsia" w:hAnsi="宋体" w:cs="黑体"/>
                <w:sz w:val="24"/>
              </w:rPr>
              <w:t>22</w:t>
            </w:r>
          </w:p>
        </w:tc>
        <w:tc>
          <w:tcPr>
            <w:tcW w:w="2268" w:type="dxa"/>
            <w:vAlign w:val="center"/>
          </w:tcPr>
          <w:p>
            <w:pPr>
              <w:autoSpaceDE w:val="0"/>
              <w:autoSpaceDN w:val="0"/>
              <w:adjustRightInd w:val="0"/>
              <w:spacing w:line="276" w:lineRule="auto"/>
              <w:jc w:val="center"/>
              <w:rPr>
                <w:rFonts w:ascii="宋体" w:cs="宋体"/>
                <w:bCs/>
                <w:sz w:val="24"/>
                <w:lang w:val="zh-CN"/>
              </w:rPr>
            </w:pPr>
            <w:r>
              <w:rPr>
                <w:rFonts w:hint="eastAsia" w:ascii="宋体" w:cs="宋体"/>
                <w:bCs/>
                <w:sz w:val="24"/>
                <w:lang w:val="zh-CN"/>
              </w:rPr>
              <w:t>代理服务费</w:t>
            </w:r>
          </w:p>
        </w:tc>
        <w:tc>
          <w:tcPr>
            <w:tcW w:w="6813" w:type="dxa"/>
            <w:vAlign w:val="center"/>
          </w:tcPr>
          <w:p>
            <w:pPr>
              <w:autoSpaceDE w:val="0"/>
              <w:autoSpaceDN w:val="0"/>
              <w:adjustRightInd w:val="0"/>
              <w:spacing w:line="276" w:lineRule="auto"/>
              <w:rPr>
                <w:rFonts w:ascii="宋体" w:cs="宋体"/>
                <w:bCs/>
                <w:sz w:val="24"/>
                <w:lang w:val="zh-CN"/>
              </w:rPr>
            </w:pPr>
            <w:r>
              <w:rPr>
                <w:rFonts w:hint="eastAsia" w:ascii="宋体" w:cs="宋体"/>
                <w:bCs/>
                <w:sz w:val="24"/>
                <w:lang w:val="zh-CN"/>
              </w:rPr>
              <w:t>收取</w:t>
            </w:r>
          </w:p>
        </w:tc>
      </w:tr>
    </w:tbl>
    <w:p>
      <w:pPr>
        <w:pStyle w:val="2"/>
        <w:ind w:firstLine="0" w:firstLineChars="0"/>
      </w:pPr>
      <w:r>
        <w:rPr>
          <w:rFonts w:hint="eastAsia"/>
        </w:rPr>
        <w:br w:type="page"/>
      </w: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一、说 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 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ascii="宋体" w:hAnsi="宋体" w:eastAsia="宋体" w:cs="宋体"/>
          <w:sz w:val="24"/>
          <w:szCs w:val="24"/>
        </w:rPr>
        <w:t>采购代理机构及其分支机构不得在所代理的采购项目中投标或者代理投标，不得为所代理的采购项目的投标人参加本项目提供投标咨询。</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2.5“投标人”：是指响应招标、参加投标竞争，从招标人处按规定获取招标文件，并按照招标文件要求向招标人提交投标文件的法人、其他组织或者自然人。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2.6“节能产品”或者“环保产品”：财政部发布的《节能产品政府采购清单》或者《环境标志产品政府采购清单》的产品。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2.7“进口产品”：是指通过中国海关报关验放进入中国境内且产自关境外的产品，包括已经进入中国境内的进口产品。详见《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kern w:val="0"/>
          <w:sz w:val="24"/>
          <w:szCs w:val="24"/>
        </w:rPr>
        <w:t>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2.7.1 </w:t>
      </w:r>
      <w:r>
        <w:rPr>
          <w:rFonts w:cs="宋体" w:asciiTheme="minorEastAsia" w:hAnsiTheme="minorEastAsia"/>
          <w:kern w:val="0"/>
          <w:sz w:val="24"/>
          <w:szCs w:val="24"/>
        </w:rPr>
        <w:t>招标文件列明不允许或未列明允许进口产品参加投标的，均视为拒绝进口产品参加投标。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 xml:space="preserve">2.7.2 </w:t>
      </w:r>
      <w:r>
        <w:rPr>
          <w:rFonts w:cs="宋体" w:asciiTheme="minorEastAsia" w:hAnsiTheme="minorEastAsia"/>
          <w:kern w:val="0"/>
          <w:sz w:val="24"/>
          <w:szCs w:val="24"/>
        </w:rPr>
        <w:t>如</w:t>
      </w:r>
      <w:r>
        <w:rPr>
          <w:rFonts w:hint="eastAsia" w:cs="宋体" w:asciiTheme="minorEastAsia" w:hAnsiTheme="minorEastAsia"/>
          <w:kern w:val="0"/>
          <w:sz w:val="24"/>
          <w:szCs w:val="24"/>
        </w:rPr>
        <w:t>招标</w:t>
      </w:r>
      <w:r>
        <w:rPr>
          <w:rFonts w:cs="宋体" w:asciiTheme="minorEastAsia" w:hAnsiTheme="minorEastAsia"/>
          <w:kern w:val="0"/>
          <w:sz w:val="24"/>
          <w:szCs w:val="24"/>
        </w:rPr>
        <w:t>文件中已说明，经财政部门审核同意，允许部分或全部产品采购进口产品，投标人既可提供本国产品，也可以提供进口产品。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 xml:space="preserve">3.1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3.5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4．合格的服务</w:t>
      </w:r>
    </w:p>
    <w:p>
      <w:pPr>
        <w:autoSpaceDE w:val="0"/>
        <w:autoSpaceDN w:val="0"/>
        <w:spacing w:line="360" w:lineRule="auto"/>
        <w:contextualSpacing/>
        <w:rPr>
          <w:rFonts w:cs="宋体" w:asciiTheme="minorEastAsia" w:hAnsiTheme="minorEastAsia"/>
          <w:b/>
          <w:bCs/>
          <w:kern w:val="0"/>
          <w:sz w:val="24"/>
          <w:szCs w:val="24"/>
        </w:rPr>
      </w:pPr>
      <w:r>
        <w:rPr>
          <w:rFonts w:hint="eastAsia" w:cs="宋体" w:asciiTheme="minorEastAsia" w:hAnsiTheme="minorEastAsia"/>
          <w:b/>
          <w:bCs/>
          <w:kern w:val="0"/>
          <w:sz w:val="24"/>
          <w:szCs w:val="24"/>
        </w:rPr>
        <w:t>符合采购需求的内容。</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color w:val="000000"/>
          <w:sz w:val="24"/>
        </w:rPr>
        <w:t>《中国政府采购网》、《河南省政府采购网》、《许昌市政府采购网》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收取标准：招标代理服务费按国家发展计划委员会计价格[2002]1980号文件规定的收费标准计取。</w:t>
      </w:r>
    </w:p>
    <w:p>
      <w:pPr>
        <w:widowControl/>
        <w:tabs>
          <w:tab w:val="left" w:pos="636"/>
        </w:tabs>
        <w:snapToGrid w:val="0"/>
        <w:spacing w:line="460" w:lineRule="exact"/>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w:t>
      </w:r>
      <w:r>
        <w:rPr>
          <w:rFonts w:hint="eastAsia" w:ascii="宋体" w:hAnsi="宋体"/>
          <w:bCs/>
          <w:sz w:val="24"/>
        </w:rPr>
        <w:t>中标人向招标代理机构支付</w:t>
      </w:r>
      <w:r>
        <w:rPr>
          <w:rFonts w:hint="eastAsia" w:cs="宋体" w:asciiTheme="minorEastAsia" w:hAnsiTheme="minorEastAsia"/>
          <w:kern w:val="0"/>
          <w:sz w:val="24"/>
          <w:szCs w:val="24"/>
        </w:rPr>
        <w:t>一次性以电汇、汇票、或者现金的形式支付。</w:t>
      </w:r>
    </w:p>
    <w:p>
      <w:pPr>
        <w:pStyle w:val="2"/>
        <w:ind w:firstLine="210"/>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二、招标文件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w:t>
      </w:r>
      <w:r>
        <w:rPr>
          <w:rFonts w:cs="宋体" w:asciiTheme="minorEastAsia" w:hAnsiTheme="minorEastAsia"/>
          <w:kern w:val="0"/>
          <w:sz w:val="24"/>
          <w:szCs w:val="24"/>
        </w:rPr>
        <w:t>.</w:t>
      </w:r>
      <w:r>
        <w:rPr>
          <w:rFonts w:hint="eastAsia" w:cs="宋体" w:asciiTheme="minorEastAsia" w:hAnsiTheme="minorEastAsia"/>
          <w:kern w:val="0"/>
          <w:sz w:val="24"/>
          <w:szCs w:val="24"/>
        </w:rPr>
        <w:t>2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三、投标文件的编制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11．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投标货币</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本次招标项目的投标均以</w:t>
      </w:r>
      <w:r>
        <w:rPr>
          <w:rFonts w:hint="eastAsia" w:cs="宋体" w:asciiTheme="minorEastAsia" w:hAnsiTheme="minorEastAsia"/>
          <w:bCs/>
          <w:kern w:val="0"/>
          <w:sz w:val="24"/>
          <w:szCs w:val="24"/>
        </w:rPr>
        <w:t>人民币</w:t>
      </w:r>
      <w:r>
        <w:rPr>
          <w:rFonts w:hint="eastAsia" w:cs="宋体" w:asciiTheme="minorEastAsia" w:hAnsiTheme="minorEastAsia"/>
          <w:kern w:val="0"/>
          <w:sz w:val="24"/>
          <w:szCs w:val="24"/>
        </w:rPr>
        <w:t>报价。</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投标有效期从提交投标文件的截止之日起算为</w:t>
      </w:r>
      <w:r>
        <w:rPr>
          <w:rFonts w:hint="eastAsia" w:cs="宋体" w:asciiTheme="minorEastAsia" w:hAnsiTheme="minorEastAsia"/>
          <w:b/>
          <w:kern w:val="0"/>
          <w:sz w:val="24"/>
          <w:szCs w:val="24"/>
        </w:rPr>
        <w:t>60天</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eastAsia="宋体" w:cs="宋体"/>
          <w:kern w:val="0"/>
          <w:sz w:val="24"/>
          <w:szCs w:val="24"/>
        </w:rPr>
        <w:t>继续有效。</w:t>
      </w:r>
      <w:r>
        <w:rPr>
          <w:rFonts w:hint="eastAsia" w:cs="宋体" w:asciiTheme="minorEastAsia" w:hAnsiTheme="minorEastAsia"/>
          <w:kern w:val="0"/>
          <w:sz w:val="24"/>
          <w:szCs w:val="24"/>
        </w:rPr>
        <w:t>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13．4 中标人的投标文件作为项目合同的附件，其有效期至中标人全部合同义务履行</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应参照招标文件第七部分（投标文件有关格式）的内容要求、编排顺序和格式要求，投标人应按照以上要求将投标文件编上唯一的连贯页码并以A4幅面装订成册，并在投标文件封面上注明：正本/副本、所投项目名称、招标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投标人应按招标文件提供的格式编写投标文件。招标文件未提供标准格式的投标人可自行拟定。</w:t>
      </w:r>
    </w:p>
    <w:p>
      <w:pPr>
        <w:numPr>
          <w:ilvl w:val="0"/>
          <w:numId w:val="1"/>
        </w:num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.1投标人应按《投标人须知前附表》规定时间及金额提交投标保证金，并作为其投标的一部分。未按要求提交投标保证金的投标文件为无效投标。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16.1.2 投标保证金用于避免和减少本次招标由于投标人的行为而给采购人带来的损失。</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 投标保证金缴纳方式：</w:t>
      </w:r>
    </w:p>
    <w:p>
      <w:pPr>
        <w:tabs>
          <w:tab w:val="left" w:pos="1260"/>
        </w:tabs>
        <w:autoSpaceDE w:val="0"/>
        <w:autoSpaceDN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5.1 投标人网上下载招标文件后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5.2 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3</w:t>
      </w:r>
      <w:r>
        <w:rPr>
          <w:rFonts w:hint="eastAsia" w:ascii="新宋体" w:hAnsi="新宋体" w:eastAsia="新宋体" w:cs="仿宋_GB2312"/>
          <w:sz w:val="24"/>
          <w:lang w:val="zh-CN"/>
        </w:rPr>
        <w:t xml:space="preserve"> 《保证金缴纳绑定操作指南》获取方法：登录许昌公共资源交易系统-组件下载-《保证金缴纳绑定操作指南》。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5.</w:t>
      </w:r>
      <w:r>
        <w:rPr>
          <w:rFonts w:hint="eastAsia" w:ascii="新宋体" w:hAnsi="新宋体" w:eastAsia="新宋体" w:cs="仿宋_GB2312"/>
          <w:sz w:val="24"/>
        </w:rPr>
        <w:t>4</w:t>
      </w:r>
      <w:r>
        <w:rPr>
          <w:rFonts w:hint="eastAsia" w:ascii="新宋体" w:hAnsi="新宋体" w:eastAsia="新宋体" w:cs="仿宋_GB2312"/>
          <w:sz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16.1.5.5 </w:t>
      </w:r>
      <w:r>
        <w:rPr>
          <w:rFonts w:hint="eastAsia" w:ascii="新宋体" w:hAnsi="新宋体" w:eastAsia="新宋体" w:cs="仿宋_GB2312"/>
          <w:sz w:val="24"/>
          <w:lang w:val="zh-CN"/>
        </w:rPr>
        <w:t>汇款凭证无须备注项目编号和项目名称。</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6 每个投标人每个项目每个标段只有唯一缴纳账号，切勿重复缴纳或错误缴纳。</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1.</w:t>
      </w:r>
      <w:r>
        <w:rPr>
          <w:rFonts w:hint="eastAsia" w:ascii="新宋体" w:hAnsi="新宋体" w:eastAsia="新宋体" w:cs="仿宋_GB2312"/>
          <w:sz w:val="24"/>
          <w:lang w:val="zh-CN"/>
        </w:rPr>
        <w:t>8 未按上述规定操作引起的无效投标，由投标人自行负责。</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cs="宋体" w:asciiTheme="minorEastAsia" w:hAnsiTheme="minorEastAsia"/>
          <w:b/>
          <w:kern w:val="0"/>
          <w:sz w:val="24"/>
          <w:szCs w:val="24"/>
        </w:rPr>
        <w:t>16.2 投标保证金的退还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2.1 </w:t>
      </w:r>
      <w:r>
        <w:rPr>
          <w:rFonts w:hint="eastAsia" w:ascii="新宋体" w:hAnsi="新宋体" w:eastAsia="新宋体" w:cs="仿宋_GB2312"/>
          <w:sz w:val="24"/>
          <w:lang w:val="zh-CN"/>
        </w:rPr>
        <w:t>退还投标保证金时，区别中标与否，按不同时序由银行按来款途径退还原账户。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2.1.1</w:t>
      </w:r>
      <w:r>
        <w:rPr>
          <w:rFonts w:hint="eastAsia" w:ascii="新宋体" w:hAnsi="新宋体" w:eastAsia="新宋体" w:cs="仿宋_GB2312"/>
          <w:sz w:val="24"/>
          <w:lang w:val="zh-CN"/>
        </w:rPr>
        <w:t xml:space="preserve"> 自中标通知书发出之日起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个工作日内退还未中标人的投标保证金。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2.1.2</w:t>
      </w:r>
      <w:r>
        <w:rPr>
          <w:rFonts w:hint="eastAsia" w:ascii="新宋体" w:hAnsi="新宋体" w:eastAsia="新宋体" w:cs="仿宋_GB2312"/>
          <w:sz w:val="24"/>
          <w:lang w:val="zh-CN"/>
        </w:rPr>
        <w:t xml:space="preserve"> 自采购合同签订之日起</w:t>
      </w:r>
      <w:r>
        <w:rPr>
          <w:rFonts w:ascii="新宋体" w:hAnsi="新宋体" w:eastAsia="新宋体" w:cs="仿宋_GB2312"/>
          <w:sz w:val="24"/>
          <w:lang w:val="zh-CN"/>
        </w:rPr>
        <w:t>5</w:t>
      </w:r>
      <w:r>
        <w:rPr>
          <w:rFonts w:hint="eastAsia" w:ascii="新宋体" w:hAnsi="新宋体" w:eastAsia="新宋体" w:cs="仿宋_GB2312"/>
          <w:sz w:val="24"/>
          <w:lang w:val="zh-CN"/>
        </w:rPr>
        <w:t>个工作日内退还中标人的投标保证金。</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16.2.1.4 因投标人自身原因无法及时退还投标保证金，滞留三年以上的，投标保证金上缴财政。</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w:t>
      </w:r>
      <w:r>
        <w:rPr>
          <w:rFonts w:hint="eastAsia" w:ascii="新宋体" w:hAnsi="新宋体" w:eastAsia="新宋体" w:cs="仿宋_GB2312"/>
          <w:sz w:val="24"/>
          <w:lang w:val="zh-CN"/>
        </w:rPr>
        <w:t xml:space="preserve"> 有下列情形之一的，投标保证金不予退还</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2.2.1 </w:t>
      </w:r>
      <w:r>
        <w:rPr>
          <w:rFonts w:hint="eastAsia" w:ascii="新宋体" w:hAnsi="新宋体" w:eastAsia="新宋体" w:cs="仿宋_GB2312"/>
          <w:sz w:val="24"/>
          <w:lang w:val="zh-CN"/>
        </w:rPr>
        <w:t>投标有效期内投标人撤销投标文件的；</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 xml:space="preserve">2.2.2 </w:t>
      </w:r>
      <w:r>
        <w:rPr>
          <w:rFonts w:hint="eastAsia" w:ascii="新宋体" w:hAnsi="新宋体" w:eastAsia="新宋体" w:cs="仿宋_GB2312"/>
          <w:sz w:val="24"/>
          <w:lang w:val="zh-CN"/>
        </w:rPr>
        <w:t>投标人在投标文件中提供虚假材料的；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lang w:val="zh-CN"/>
        </w:rPr>
        <w:t>1</w:t>
      </w:r>
      <w:r>
        <w:rPr>
          <w:rFonts w:hint="eastAsia" w:ascii="新宋体" w:hAnsi="新宋体" w:eastAsia="新宋体" w:cs="仿宋_GB2312"/>
          <w:sz w:val="24"/>
        </w:rPr>
        <w:t>6</w:t>
      </w:r>
      <w:r>
        <w:rPr>
          <w:rFonts w:hint="eastAsia" w:ascii="新宋体" w:hAnsi="新宋体" w:eastAsia="新宋体" w:cs="仿宋_GB2312"/>
          <w:sz w:val="24"/>
          <w:lang w:val="zh-CN"/>
        </w:rPr>
        <w:t>.</w:t>
      </w:r>
      <w:r>
        <w:rPr>
          <w:rFonts w:hint="eastAsia" w:ascii="新宋体" w:hAnsi="新宋体" w:eastAsia="新宋体" w:cs="仿宋_GB2312"/>
          <w:sz w:val="24"/>
        </w:rPr>
        <w:t>2.2.3 除因不可抗力或招标文件认可的情形以外，中标人不与采购人签订合同的；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16.2.2.4 投标人与采购人、其他投标人或者采购代理机构恶意串通的；</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16.2.2.5 法律法规及招标文件规定的其他情形。</w:t>
      </w:r>
    </w:p>
    <w:p>
      <w:pPr>
        <w:tabs>
          <w:tab w:val="left" w:pos="1260"/>
        </w:tabs>
        <w:autoSpaceDE w:val="0"/>
        <w:autoSpaceDN w:val="0"/>
        <w:adjustRightInd w:val="0"/>
        <w:spacing w:line="360" w:lineRule="auto"/>
        <w:contextualSpacing/>
        <w:rPr>
          <w:rFonts w:ascii="新宋体" w:hAnsi="新宋体" w:eastAsia="新宋体" w:cs="仿宋_GB2312"/>
          <w:sz w:val="24"/>
        </w:rPr>
      </w:pPr>
      <w:r>
        <w:rPr>
          <w:rFonts w:hint="eastAsia" w:ascii="新宋体" w:hAnsi="新宋体" w:eastAsia="新宋体" w:cs="仿宋_GB2312"/>
          <w:sz w:val="24"/>
        </w:rPr>
        <w:t xml:space="preserve">16.3 </w:t>
      </w:r>
      <w:r>
        <w:rPr>
          <w:rFonts w:hint="eastAsia" w:ascii="新宋体" w:hAnsi="新宋体" w:eastAsia="新宋体" w:cs="仿宋_GB2312"/>
          <w:sz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360" w:lineRule="auto"/>
        <w:contextualSpacing/>
        <w:rPr>
          <w:rFonts w:ascii="新宋体" w:hAnsi="新宋体" w:eastAsia="新宋体" w:cs="仿宋_GB2312"/>
          <w:b/>
          <w:bCs/>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 xml:space="preserve">.1 </w:t>
      </w:r>
      <w:r>
        <w:rPr>
          <w:rFonts w:hint="eastAsia" w:ascii="新宋体" w:hAnsi="新宋体" w:eastAsia="新宋体" w:cs="仿宋_GB2312"/>
          <w:b/>
          <w:bCs/>
          <w:sz w:val="24"/>
          <w:lang w:val="zh-CN"/>
        </w:rPr>
        <w:t>投标人应提交投标文件正本一份、副本四份以及电子版</w:t>
      </w:r>
      <w:r>
        <w:rPr>
          <w:rFonts w:hint="eastAsia" w:ascii="新宋体" w:hAnsi="新宋体" w:eastAsia="新宋体" w:cs="仿宋_GB2312"/>
          <w:b/>
          <w:bCs/>
          <w:sz w:val="24"/>
        </w:rPr>
        <w:t>U盘一份</w:t>
      </w:r>
      <w:r>
        <w:rPr>
          <w:rFonts w:hint="eastAsia" w:ascii="新宋体" w:hAnsi="新宋体" w:eastAsia="新宋体" w:cs="仿宋_GB2312"/>
          <w:b/>
          <w:bCs/>
          <w:sz w:val="24"/>
          <w:lang w:val="zh-CN"/>
        </w:rPr>
        <w:t>。在正、副本投标文件上要明确注明</w:t>
      </w:r>
      <w:r>
        <w:rPr>
          <w:rFonts w:ascii="新宋体" w:hAnsi="新宋体" w:eastAsia="新宋体" w:cs="仿宋_GB2312"/>
          <w:b/>
          <w:bCs/>
          <w:sz w:val="24"/>
          <w:lang w:val="zh-CN"/>
        </w:rPr>
        <w:t>“</w:t>
      </w:r>
      <w:r>
        <w:rPr>
          <w:rFonts w:hint="eastAsia" w:ascii="新宋体" w:hAnsi="新宋体" w:eastAsia="新宋体" w:cs="仿宋_GB2312"/>
          <w:b/>
          <w:bCs/>
          <w:sz w:val="24"/>
          <w:lang w:val="zh-CN"/>
        </w:rPr>
        <w:t>正本</w:t>
      </w:r>
      <w:r>
        <w:rPr>
          <w:rFonts w:ascii="新宋体" w:hAnsi="新宋体" w:eastAsia="新宋体" w:cs="仿宋_GB2312"/>
          <w:b/>
          <w:bCs/>
          <w:sz w:val="24"/>
          <w:lang w:val="zh-CN"/>
        </w:rPr>
        <w:t>”</w:t>
      </w:r>
      <w:r>
        <w:rPr>
          <w:rFonts w:hint="eastAsia" w:ascii="新宋体" w:hAnsi="新宋体" w:eastAsia="新宋体" w:cs="仿宋_GB2312"/>
          <w:b/>
          <w:bCs/>
          <w:sz w:val="24"/>
          <w:lang w:val="zh-CN"/>
        </w:rPr>
        <w:t>或</w:t>
      </w:r>
      <w:r>
        <w:rPr>
          <w:rFonts w:ascii="新宋体" w:hAnsi="新宋体" w:eastAsia="新宋体" w:cs="仿宋_GB2312"/>
          <w:b/>
          <w:bCs/>
          <w:sz w:val="24"/>
          <w:lang w:val="zh-CN"/>
        </w:rPr>
        <w:t>“</w:t>
      </w:r>
      <w:r>
        <w:rPr>
          <w:rFonts w:hint="eastAsia" w:ascii="新宋体" w:hAnsi="新宋体" w:eastAsia="新宋体" w:cs="仿宋_GB2312"/>
          <w:b/>
          <w:bCs/>
          <w:sz w:val="24"/>
          <w:lang w:val="zh-CN"/>
        </w:rPr>
        <w:t>副本</w:t>
      </w:r>
      <w:r>
        <w:rPr>
          <w:rFonts w:ascii="新宋体" w:hAnsi="新宋体" w:eastAsia="新宋体" w:cs="仿宋_GB2312"/>
          <w:b/>
          <w:bCs/>
          <w:sz w:val="24"/>
          <w:lang w:val="zh-CN"/>
        </w:rPr>
        <w:t>”</w:t>
      </w:r>
      <w:r>
        <w:rPr>
          <w:rFonts w:hint="eastAsia" w:ascii="新宋体" w:hAnsi="新宋体" w:eastAsia="新宋体" w:cs="仿宋_GB2312"/>
          <w:b/>
          <w:bCs/>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tabs>
          <w:tab w:val="left" w:pos="1260"/>
        </w:tabs>
        <w:autoSpaceDE w:val="0"/>
        <w:autoSpaceDN w:val="0"/>
        <w:adjustRightInd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四、投标文件的递交</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360" w:lineRule="auto"/>
        <w:contextualSpacing/>
        <w:rPr>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.1 投标人应将投标文件“正本”及“ 副本”密封包装在一个封套内，电子版</w:t>
      </w:r>
      <w:r>
        <w:rPr>
          <w:rFonts w:hint="eastAsia" w:ascii="新宋体" w:hAnsi="新宋体" w:eastAsia="新宋体" w:cs="仿宋_GB2312"/>
          <w:sz w:val="24"/>
        </w:rPr>
        <w:t>U盘单独进行密封包装，并加盖投标人公章。</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18</w:t>
      </w:r>
      <w:r>
        <w:rPr>
          <w:rFonts w:hint="eastAsia" w:ascii="新宋体" w:hAnsi="新宋体" w:eastAsia="新宋体" w:cs="仿宋_GB2312"/>
          <w:sz w:val="24"/>
          <w:lang w:val="zh-CN"/>
        </w:rPr>
        <w:t>.2投标文件及电子版的封套应写明内容：</w:t>
      </w:r>
    </w:p>
    <w:p>
      <w:pPr>
        <w:tabs>
          <w:tab w:val="left" w:pos="1260"/>
        </w:tabs>
        <w:autoSpaceDE w:val="0"/>
        <w:autoSpaceDN w:val="0"/>
        <w:adjustRightInd w:val="0"/>
        <w:spacing w:line="360" w:lineRule="auto"/>
        <w:contextualSpacing/>
        <w:rPr>
          <w:rFonts w:ascii="宋体" w:hAnsi="宋体" w:eastAsia="宋体" w:cs="宋体"/>
          <w:sz w:val="24"/>
          <w:lang w:val="zh-CN"/>
        </w:rPr>
      </w:pPr>
      <w:r>
        <w:rPr>
          <w:rFonts w:hint="eastAsia" w:ascii="宋体" w:hAnsi="宋体" w:eastAsia="宋体" w:cs="宋体"/>
          <w:sz w:val="24"/>
          <w:lang w:val="zh-CN"/>
        </w:rPr>
        <w:t>项目名称：</w:t>
      </w:r>
      <w:r>
        <w:rPr>
          <w:rFonts w:hint="eastAsia" w:ascii="宋体" w:hAnsi="宋体" w:eastAsia="宋体" w:cs="宋体"/>
          <w:sz w:val="24"/>
          <w:u w:val="single"/>
        </w:rPr>
        <w:t xml:space="preserve">               （名称、标段）</w:t>
      </w:r>
    </w:p>
    <w:p>
      <w:pPr>
        <w:pStyle w:val="2"/>
        <w:spacing w:before="0" w:beforeAutospacing="0" w:after="0" w:line="360" w:lineRule="auto"/>
        <w:ind w:firstLine="0" w:firstLineChars="0"/>
        <w:rPr>
          <w:rFonts w:ascii="宋体" w:hAnsi="宋体" w:eastAsia="宋体"/>
          <w:sz w:val="24"/>
          <w:u w:val="single"/>
        </w:rPr>
      </w:pPr>
      <w:r>
        <w:rPr>
          <w:rFonts w:hint="eastAsia" w:ascii="宋体" w:hAnsi="宋体" w:eastAsia="宋体"/>
          <w:sz w:val="24"/>
          <w:lang w:val="zh-CN"/>
        </w:rPr>
        <w:t>投标人名称：</w:t>
      </w:r>
      <w:r>
        <w:rPr>
          <w:rFonts w:hint="eastAsia" w:ascii="宋体" w:hAnsi="宋体" w:eastAsia="宋体"/>
          <w:sz w:val="24"/>
          <w:u w:val="single"/>
        </w:rPr>
        <w:t xml:space="preserve">              （加盖公章） </w:t>
      </w:r>
    </w:p>
    <w:p>
      <w:pPr>
        <w:pStyle w:val="2"/>
        <w:spacing w:before="0" w:beforeAutospacing="0" w:after="0" w:line="360" w:lineRule="auto"/>
        <w:ind w:firstLine="0" w:firstLineChars="0"/>
        <w:rPr>
          <w:rFonts w:ascii="宋体" w:hAnsi="宋体" w:eastAsia="宋体"/>
          <w:sz w:val="24"/>
          <w:u w:val="single"/>
        </w:rPr>
      </w:pPr>
      <w:r>
        <w:rPr>
          <w:rFonts w:hint="eastAsia" w:ascii="宋体" w:hAnsi="宋体" w:eastAsia="宋体"/>
          <w:sz w:val="24"/>
        </w:rPr>
        <w:t>投标人地址：</w:t>
      </w:r>
    </w:p>
    <w:p>
      <w:pPr>
        <w:pStyle w:val="2"/>
        <w:spacing w:before="0" w:beforeAutospacing="0" w:after="0" w:line="360" w:lineRule="auto"/>
        <w:ind w:firstLine="0" w:firstLineChars="0"/>
        <w:rPr>
          <w:rFonts w:ascii="宋体" w:hAnsi="宋体" w:eastAsia="宋体"/>
          <w:sz w:val="24"/>
          <w:u w:val="single"/>
        </w:rPr>
      </w:pPr>
      <w:r>
        <w:rPr>
          <w:rFonts w:hint="eastAsia" w:ascii="宋体" w:hAnsi="宋体" w:eastAsia="宋体"/>
          <w:sz w:val="24"/>
        </w:rPr>
        <w:t>联系人及联系人电话：</w:t>
      </w:r>
    </w:p>
    <w:p>
      <w:pPr>
        <w:pStyle w:val="2"/>
        <w:spacing w:before="0" w:beforeAutospacing="0" w:after="0" w:line="360" w:lineRule="auto"/>
        <w:ind w:firstLine="0" w:firstLineChars="0"/>
        <w:rPr>
          <w:rFonts w:ascii="宋体" w:hAnsi="宋体" w:eastAsia="宋体"/>
          <w:sz w:val="24"/>
          <w:u w:val="single"/>
          <w:lang w:val="zh-CN"/>
        </w:rPr>
      </w:pPr>
      <w:r>
        <w:rPr>
          <w:rFonts w:hint="eastAsia" w:ascii="宋体" w:hAnsi="宋体" w:eastAsia="宋体"/>
          <w:sz w:val="24"/>
        </w:rPr>
        <w:t>在年月日时分（北京时间）前不得开启</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rPr>
        <w:t xml:space="preserve">18.3 </w:t>
      </w:r>
      <w:r>
        <w:rPr>
          <w:rFonts w:hint="eastAsia" w:ascii="新宋体" w:hAnsi="新宋体" w:eastAsia="新宋体" w:cs="仿宋_GB2312"/>
          <w:sz w:val="24"/>
          <w:lang w:val="zh-CN"/>
        </w:rPr>
        <w:t>投标文件如果未按规定密封，招标人将拒绝接收。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cs="宋体" w:asciiTheme="minorEastAsia" w:hAnsiTheme="minorEastAsia"/>
          <w:kern w:val="0"/>
          <w:sz w:val="24"/>
          <w:szCs w:val="24"/>
        </w:rPr>
        <w:t>《投标邀请</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360" w:lineRule="auto"/>
        <w:contextualSpacing/>
        <w:rPr>
          <w:rFonts w:ascii="宋体" w:hAnsi="宋体"/>
          <w:bCs/>
          <w:sz w:val="24"/>
        </w:rPr>
      </w:pPr>
      <w:r>
        <w:rPr>
          <w:rFonts w:hint="eastAsia" w:ascii="宋体" w:hAnsi="宋体"/>
          <w:bCs/>
          <w:sz w:val="24"/>
        </w:rPr>
        <w:t>19.2 招标人收到投标文件后，应当如实记载投标文件的送达时间和密封情况，签收保存。任何单位和个人不得在开标前开启投标文件。</w:t>
      </w:r>
    </w:p>
    <w:p>
      <w:pPr>
        <w:autoSpaceDE w:val="0"/>
        <w:autoSpaceDN w:val="0"/>
        <w:adjustRightInd w:val="0"/>
        <w:spacing w:line="360" w:lineRule="auto"/>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五、开标和评标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2</w:t>
      </w:r>
      <w:r>
        <w:rPr>
          <w:rFonts w:hint="eastAsia" w:cs="仿宋_GB2312" w:asciiTheme="minorEastAsia" w:hAnsiTheme="minorEastAsia"/>
          <w:b/>
          <w:sz w:val="24"/>
          <w:lang w:val="zh-CN"/>
        </w:rPr>
        <w:t>. 开标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.2 招标人应当对开标、评标现场活动进行全程录音录像。录音录像应当清晰可辨，音像资料作为采购文件一并存档。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.4 投标人不足3家的，不得开标。</w:t>
      </w:r>
    </w:p>
    <w:p>
      <w:pPr>
        <w:tabs>
          <w:tab w:val="left" w:pos="1260"/>
        </w:tabs>
        <w:autoSpaceDE w:val="0"/>
        <w:autoSpaceDN w:val="0"/>
        <w:adjustRightInd w:val="0"/>
        <w:spacing w:line="360" w:lineRule="auto"/>
        <w:contextualSpacing/>
        <w:rPr>
          <w:rFonts w:asciiTheme="minorEastAsia" w:hAnsiTheme="minorEastAsia"/>
          <w:bCs/>
          <w:sz w:val="24"/>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w:t>
      </w:r>
      <w:r>
        <w:rPr>
          <w:rFonts w:hint="eastAsia" w:asciiTheme="minorEastAsia" w:hAnsiTheme="minorEastAsia"/>
          <w:bCs/>
          <w:sz w:val="24"/>
        </w:rPr>
        <w:t>5 开标过程由采购代理机构负责记录，由参加开标的各投标人代表和相关工作人员签字确认后随采购文件一并存档。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 xml:space="preserve">22.6 </w:t>
      </w:r>
      <w:r>
        <w:rPr>
          <w:rFonts w:hint="eastAsia" w:cs="仿宋_GB2312" w:asciiTheme="minorEastAsia" w:hAnsiTheme="minorEastAsia"/>
          <w:sz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2</w:t>
      </w:r>
      <w:r>
        <w:rPr>
          <w:rFonts w:hint="eastAsia" w:cs="仿宋_GB2312" w:asciiTheme="minorEastAsia" w:hAnsiTheme="minorEastAsia"/>
          <w:sz w:val="24"/>
          <w:lang w:val="zh-CN"/>
        </w:rPr>
        <w:t>.7 投标人未参加开标的，视同认可开标结果。</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3</w:t>
      </w:r>
      <w:r>
        <w:rPr>
          <w:rFonts w:hint="eastAsia" w:cs="仿宋_GB2312" w:asciiTheme="minorEastAsia" w:hAnsiTheme="minorEastAsia"/>
          <w:b/>
          <w:sz w:val="24"/>
          <w:lang w:val="zh-CN"/>
        </w:rPr>
        <w:t>. 资格审查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Theme="minorEastAsia" w:hAnsiTheme="minorEastAsia"/>
          <w:bCs/>
          <w:sz w:val="24"/>
        </w:rPr>
        <w:t>开标结束后，采购人依法对投标人的资格进行审查。</w:t>
      </w:r>
      <w:r>
        <w:rPr>
          <w:rFonts w:hint="eastAsia" w:cs="仿宋_GB2312" w:asciiTheme="minorEastAsia" w:hAnsiTheme="minorEastAsia"/>
          <w:sz w:val="24"/>
          <w:lang w:val="zh-CN"/>
        </w:rPr>
        <w:t>合格投标人不足3家的，不得评标。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4</w:t>
      </w:r>
      <w:r>
        <w:rPr>
          <w:rFonts w:hint="eastAsia" w:cs="仿宋_GB2312" w:asciiTheme="minorEastAsia" w:hAnsiTheme="minorEastAsia"/>
          <w:b/>
          <w:sz w:val="24"/>
          <w:lang w:val="zh-CN"/>
        </w:rPr>
        <w:t>.评标委员会的组成</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24.1.1 采购项目符合下列情形之一的，评标委员会成员人数应当为7人以上单数：</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（一）采购预算金额在1000万元以上；</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（二）技术复杂；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（三）社会影响较大。</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.3 评审专家与投标人存在下列利害关系之一的,应当回避: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(二)与供应商的法定代表人或者负责人有夫妻、直系血亲、三代以内旁系血亲或者近姻亲关系；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(三)与供应商有其他可能影响政府采购活动公平、公正进行的关系。</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.5 采购人不得担任评标小组长。</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4</w:t>
      </w:r>
      <w:r>
        <w:rPr>
          <w:rFonts w:hint="eastAsia" w:cs="仿宋_GB2312" w:asciiTheme="minorEastAsia" w:hAnsiTheme="minorEastAsia"/>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24.7 评标委员会成员名单在评标结果公告前应当保密。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5</w:t>
      </w:r>
      <w:r>
        <w:rPr>
          <w:rFonts w:hint="eastAsia" w:cs="仿宋_GB2312" w:asciiTheme="minorEastAsia" w:hAnsiTheme="minorEastAsia"/>
          <w:b/>
          <w:sz w:val="24"/>
          <w:lang w:val="zh-CN"/>
        </w:rPr>
        <w:t>. 符合性审查</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.2 审查、评价投标文件是否符合招标文件的商务、技术等实质性要求。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5</w:t>
      </w:r>
      <w:r>
        <w:rPr>
          <w:rFonts w:hint="eastAsia" w:cs="仿宋_GB2312" w:asciiTheme="minorEastAsia" w:hAnsiTheme="minorEastAsia"/>
          <w:sz w:val="24"/>
          <w:lang w:val="zh-CN"/>
        </w:rPr>
        <w:t>.3 可要求投标人对投标文件有关事项作出澄清或者说明。</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6</w:t>
      </w:r>
      <w:r>
        <w:rPr>
          <w:rFonts w:hint="eastAsia" w:cs="仿宋_GB2312" w:asciiTheme="minorEastAsia" w:hAnsiTheme="minorEastAsia"/>
          <w:b/>
          <w:sz w:val="24"/>
          <w:lang w:val="zh-CN"/>
        </w:rPr>
        <w:t>. 投标文件的澄清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6</w:t>
      </w:r>
      <w:r>
        <w:rPr>
          <w:rFonts w:hint="eastAsia" w:cs="仿宋_GB2312" w:asciiTheme="minorEastAsia" w:hAnsiTheme="minorEastAsia"/>
          <w:sz w:val="24"/>
          <w:lang w:val="zh-CN"/>
        </w:rPr>
        <w:t>.3 投标人的澄清文件是其投标文件的组成部分。</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7</w:t>
      </w:r>
      <w:r>
        <w:rPr>
          <w:rFonts w:hint="eastAsia" w:cs="仿宋_GB2312" w:asciiTheme="minorEastAsia" w:hAnsiTheme="minorEastAsia"/>
          <w:b/>
          <w:sz w:val="24"/>
          <w:lang w:val="zh-CN"/>
        </w:rPr>
        <w:t>. 投标文件报价出现前后不一致的修正</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.1 投标文件中开标一览表(报价表)内容与投标文件中相应内容不一致的，以开标一览表(报价表)为准；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.2 大写金额和小写金额不一致的，以大写金额为准；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.3 单价金额小数点或者百分比有明显错位的，以开标一览表的总价为准，并修改单价；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7</w:t>
      </w:r>
      <w:r>
        <w:rPr>
          <w:rFonts w:hint="eastAsia" w:cs="仿宋_GB2312" w:asciiTheme="minorEastAsia" w:hAnsiTheme="minorEastAsia"/>
          <w:sz w:val="24"/>
          <w:lang w:val="zh-CN"/>
        </w:rPr>
        <w:t>.4 总价金额与按单价汇总金额不一致的，以单价金额计算结果为准。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同时出现两种以上不一致的，按照前款规定的顺序修正。修正后的报价按照《投标人须知》2</w:t>
      </w:r>
      <w:r>
        <w:rPr>
          <w:rFonts w:hint="eastAsia" w:cs="仿宋_GB2312" w:asciiTheme="minorEastAsia" w:hAnsiTheme="minorEastAsia"/>
          <w:sz w:val="24"/>
        </w:rPr>
        <w:t>6</w:t>
      </w:r>
      <w:r>
        <w:rPr>
          <w:rFonts w:hint="eastAsia" w:cs="仿宋_GB2312" w:asciiTheme="minorEastAsia" w:hAnsiTheme="minorEastAsia"/>
          <w:sz w:val="24"/>
          <w:lang w:val="zh-CN"/>
        </w:rPr>
        <w:t>.2规定经投标人确认后产生约束力，投标人不确认的，其投标无效。</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2</w:t>
      </w:r>
      <w:r>
        <w:rPr>
          <w:rFonts w:hint="eastAsia" w:cs="仿宋_GB2312" w:asciiTheme="minorEastAsia" w:hAnsiTheme="minorEastAsia"/>
          <w:b/>
          <w:sz w:val="24"/>
        </w:rPr>
        <w:t>8</w:t>
      </w:r>
      <w:r>
        <w:rPr>
          <w:rFonts w:hint="eastAsia" w:cs="仿宋_GB2312" w:asciiTheme="minorEastAsia" w:hAnsiTheme="minorEastAsia"/>
          <w:b/>
          <w:sz w:val="24"/>
          <w:lang w:val="zh-CN"/>
        </w:rPr>
        <w:t>.投标无效情形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.1 投标文件属下列情况之一的，按照无效投标处理：</w:t>
      </w:r>
    </w:p>
    <w:p>
      <w:pPr>
        <w:tabs>
          <w:tab w:val="left" w:pos="1260"/>
        </w:tabs>
        <w:autoSpaceDE w:val="0"/>
        <w:autoSpaceDN w:val="0"/>
        <w:adjustRightInd w:val="0"/>
        <w:spacing w:line="360" w:lineRule="auto"/>
        <w:contextualSpacing/>
        <w:rPr>
          <w:rFonts w:cs="仿宋_GB2312" w:asciiTheme="minorEastAsia" w:hAnsiTheme="minorEastAsia"/>
          <w:b/>
          <w:bCs/>
          <w:sz w:val="24"/>
          <w:lang w:val="zh-CN"/>
        </w:rPr>
      </w:pPr>
      <w:r>
        <w:rPr>
          <w:rFonts w:hint="eastAsia" w:cs="仿宋_GB2312" w:asciiTheme="minorEastAsia" w:hAnsiTheme="minorEastAsia"/>
          <w:b/>
          <w:bCs/>
          <w:sz w:val="24"/>
          <w:lang w:val="zh-CN"/>
        </w:rPr>
        <w:t>2</w:t>
      </w:r>
      <w:r>
        <w:rPr>
          <w:rFonts w:hint="eastAsia" w:cs="仿宋_GB2312" w:asciiTheme="minorEastAsia" w:hAnsiTheme="minorEastAsia"/>
          <w:b/>
          <w:bCs/>
          <w:sz w:val="24"/>
        </w:rPr>
        <w:t>8</w:t>
      </w:r>
      <w:r>
        <w:rPr>
          <w:rFonts w:hint="eastAsia" w:cs="仿宋_GB2312" w:asciiTheme="minorEastAsia" w:hAnsiTheme="minorEastAsia"/>
          <w:b/>
          <w:bCs/>
          <w:sz w:val="24"/>
          <w:lang w:val="zh-CN"/>
        </w:rPr>
        <w:t>.1.1 未按照招标文件的规定提交投标保证金的；</w:t>
      </w:r>
    </w:p>
    <w:p>
      <w:pPr>
        <w:tabs>
          <w:tab w:val="left" w:pos="1260"/>
        </w:tabs>
        <w:autoSpaceDE w:val="0"/>
        <w:autoSpaceDN w:val="0"/>
        <w:adjustRightInd w:val="0"/>
        <w:spacing w:line="360" w:lineRule="auto"/>
        <w:contextualSpacing/>
        <w:rPr>
          <w:rFonts w:cs="仿宋_GB2312" w:asciiTheme="minorEastAsia" w:hAnsiTheme="minorEastAsia"/>
          <w:b/>
          <w:bCs/>
          <w:sz w:val="24"/>
          <w:lang w:val="zh-CN"/>
        </w:rPr>
      </w:pPr>
      <w:r>
        <w:rPr>
          <w:rFonts w:hint="eastAsia" w:cs="仿宋_GB2312" w:asciiTheme="minorEastAsia" w:hAnsiTheme="minorEastAsia"/>
          <w:b/>
          <w:bCs/>
          <w:sz w:val="24"/>
          <w:lang w:val="zh-CN"/>
        </w:rPr>
        <w:t>2</w:t>
      </w:r>
      <w:r>
        <w:rPr>
          <w:rFonts w:hint="eastAsia" w:cs="仿宋_GB2312" w:asciiTheme="minorEastAsia" w:hAnsiTheme="minorEastAsia"/>
          <w:b/>
          <w:bCs/>
          <w:sz w:val="24"/>
        </w:rPr>
        <w:t>8</w:t>
      </w:r>
      <w:r>
        <w:rPr>
          <w:rFonts w:hint="eastAsia" w:cs="仿宋_GB2312" w:asciiTheme="minorEastAsia" w:hAnsiTheme="minorEastAsia"/>
          <w:b/>
          <w:bCs/>
          <w:sz w:val="24"/>
          <w:lang w:val="zh-CN"/>
        </w:rPr>
        <w:t>.1.2 投标文件未按招标文件要求签署、盖章的；</w:t>
      </w:r>
    </w:p>
    <w:p>
      <w:pPr>
        <w:tabs>
          <w:tab w:val="left" w:pos="1260"/>
        </w:tabs>
        <w:autoSpaceDE w:val="0"/>
        <w:autoSpaceDN w:val="0"/>
        <w:adjustRightInd w:val="0"/>
        <w:spacing w:line="360" w:lineRule="auto"/>
        <w:contextualSpacing/>
        <w:rPr>
          <w:rFonts w:cs="仿宋_GB2312" w:asciiTheme="minorEastAsia" w:hAnsiTheme="minorEastAsia"/>
          <w:b/>
          <w:bCs/>
          <w:sz w:val="24"/>
          <w:lang w:val="zh-CN"/>
        </w:rPr>
      </w:pPr>
      <w:r>
        <w:rPr>
          <w:rFonts w:cs="仿宋_GB2312" w:asciiTheme="minorEastAsia" w:hAnsiTheme="minorEastAsia"/>
          <w:b/>
          <w:bCs/>
          <w:sz w:val="24"/>
          <w:lang w:val="zh-CN"/>
        </w:rPr>
        <w:t>2</w:t>
      </w:r>
      <w:r>
        <w:rPr>
          <w:rFonts w:hint="eastAsia" w:cs="仿宋_GB2312" w:asciiTheme="minorEastAsia" w:hAnsiTheme="minorEastAsia"/>
          <w:b/>
          <w:bCs/>
          <w:sz w:val="24"/>
        </w:rPr>
        <w:t>8</w:t>
      </w:r>
      <w:r>
        <w:rPr>
          <w:rFonts w:hint="eastAsia" w:cs="仿宋_GB2312" w:asciiTheme="minorEastAsia" w:hAnsiTheme="minorEastAsia"/>
          <w:b/>
          <w:bCs/>
          <w:sz w:val="24"/>
          <w:lang w:val="zh-CN"/>
        </w:rPr>
        <w:t>.1.3 不具备招标文件中规定的资格要求的；</w:t>
      </w:r>
    </w:p>
    <w:p>
      <w:pPr>
        <w:tabs>
          <w:tab w:val="left" w:pos="1260"/>
        </w:tabs>
        <w:autoSpaceDE w:val="0"/>
        <w:autoSpaceDN w:val="0"/>
        <w:adjustRightInd w:val="0"/>
        <w:spacing w:line="360" w:lineRule="auto"/>
        <w:contextualSpacing/>
        <w:rPr>
          <w:rFonts w:cs="仿宋_GB2312" w:asciiTheme="minorEastAsia" w:hAnsiTheme="minorEastAsia"/>
          <w:b/>
          <w:bCs/>
          <w:sz w:val="24"/>
          <w:lang w:val="zh-CN"/>
        </w:rPr>
      </w:pPr>
      <w:r>
        <w:rPr>
          <w:rFonts w:cs="仿宋_GB2312" w:asciiTheme="minorEastAsia" w:hAnsiTheme="minorEastAsia"/>
          <w:b/>
          <w:bCs/>
          <w:sz w:val="24"/>
          <w:lang w:val="zh-CN"/>
        </w:rPr>
        <w:t>2</w:t>
      </w:r>
      <w:r>
        <w:rPr>
          <w:rFonts w:hint="eastAsia" w:cs="仿宋_GB2312" w:asciiTheme="minorEastAsia" w:hAnsiTheme="minorEastAsia"/>
          <w:b/>
          <w:bCs/>
          <w:sz w:val="24"/>
        </w:rPr>
        <w:t>8</w:t>
      </w:r>
      <w:r>
        <w:rPr>
          <w:rFonts w:hint="eastAsia" w:cs="仿宋_GB2312" w:asciiTheme="minorEastAsia" w:hAnsiTheme="minorEastAsia"/>
          <w:b/>
          <w:bCs/>
          <w:sz w:val="24"/>
          <w:lang w:val="zh-CN"/>
        </w:rPr>
        <w:t>.1.4 报价超过招标文件中规定的预算金额或者最高限价的；</w:t>
      </w:r>
    </w:p>
    <w:p>
      <w:pPr>
        <w:tabs>
          <w:tab w:val="left" w:pos="1260"/>
        </w:tabs>
        <w:autoSpaceDE w:val="0"/>
        <w:autoSpaceDN w:val="0"/>
        <w:adjustRightInd w:val="0"/>
        <w:spacing w:line="360" w:lineRule="auto"/>
        <w:contextualSpacing/>
        <w:rPr>
          <w:rFonts w:cs="仿宋_GB2312" w:asciiTheme="minorEastAsia" w:hAnsiTheme="minorEastAsia"/>
          <w:b/>
          <w:bCs/>
          <w:sz w:val="24"/>
          <w:lang w:val="zh-CN"/>
        </w:rPr>
      </w:pPr>
      <w:r>
        <w:rPr>
          <w:rFonts w:cs="仿宋_GB2312" w:asciiTheme="minorEastAsia" w:hAnsiTheme="minorEastAsia"/>
          <w:b/>
          <w:bCs/>
          <w:sz w:val="24"/>
          <w:lang w:val="zh-CN"/>
        </w:rPr>
        <w:t>2</w:t>
      </w:r>
      <w:r>
        <w:rPr>
          <w:rFonts w:hint="eastAsia" w:cs="仿宋_GB2312" w:asciiTheme="minorEastAsia" w:hAnsiTheme="minorEastAsia"/>
          <w:b/>
          <w:bCs/>
          <w:sz w:val="24"/>
        </w:rPr>
        <w:t>8</w:t>
      </w:r>
      <w:r>
        <w:rPr>
          <w:rFonts w:hint="eastAsia" w:cs="仿宋_GB2312" w:asciiTheme="minorEastAsia" w:hAnsiTheme="minorEastAsia"/>
          <w:b/>
          <w:bCs/>
          <w:sz w:val="24"/>
          <w:lang w:val="zh-CN"/>
        </w:rPr>
        <w:t xml:space="preserve">.1.5 </w:t>
      </w:r>
      <w:r>
        <w:rPr>
          <w:rFonts w:cs="仿宋_GB2312" w:asciiTheme="minorEastAsia" w:hAnsiTheme="minorEastAsia"/>
          <w:b/>
          <w:bCs/>
          <w:sz w:val="24"/>
          <w:lang w:val="zh-CN"/>
        </w:rPr>
        <w:t>投标文件含有采购人不能接受的附加条件的</w:t>
      </w:r>
      <w:r>
        <w:rPr>
          <w:rFonts w:hint="eastAsia" w:cs="仿宋_GB2312" w:asciiTheme="minorEastAsia" w:hAnsiTheme="minorEastAsia"/>
          <w:b/>
          <w:bCs/>
          <w:sz w:val="24"/>
          <w:lang w:val="zh-CN"/>
        </w:rPr>
        <w:t>；</w:t>
      </w:r>
    </w:p>
    <w:p>
      <w:pPr>
        <w:tabs>
          <w:tab w:val="left" w:pos="1260"/>
        </w:tabs>
        <w:autoSpaceDE w:val="0"/>
        <w:autoSpaceDN w:val="0"/>
        <w:adjustRightInd w:val="0"/>
        <w:spacing w:line="360" w:lineRule="auto"/>
        <w:contextualSpacing/>
        <w:rPr>
          <w:rFonts w:cs="仿宋_GB2312" w:asciiTheme="minorEastAsia" w:hAnsiTheme="minorEastAsia"/>
          <w:b/>
          <w:bCs/>
          <w:sz w:val="24"/>
          <w:lang w:val="zh-CN"/>
        </w:rPr>
      </w:pPr>
      <w:r>
        <w:rPr>
          <w:rFonts w:cs="仿宋_GB2312" w:asciiTheme="minorEastAsia" w:hAnsiTheme="minorEastAsia"/>
          <w:b/>
          <w:bCs/>
          <w:sz w:val="24"/>
          <w:lang w:val="zh-CN"/>
        </w:rPr>
        <w:t>2</w:t>
      </w:r>
      <w:r>
        <w:rPr>
          <w:rFonts w:hint="eastAsia" w:cs="仿宋_GB2312" w:asciiTheme="minorEastAsia" w:hAnsiTheme="minorEastAsia"/>
          <w:b/>
          <w:bCs/>
          <w:sz w:val="24"/>
        </w:rPr>
        <w:t>8</w:t>
      </w:r>
      <w:r>
        <w:rPr>
          <w:rFonts w:hint="eastAsia" w:cs="仿宋_GB2312" w:asciiTheme="minorEastAsia" w:hAnsiTheme="minorEastAsia"/>
          <w:b/>
          <w:bCs/>
          <w:sz w:val="24"/>
          <w:lang w:val="zh-CN"/>
        </w:rPr>
        <w:t xml:space="preserve">.1.6 </w:t>
      </w:r>
      <w:r>
        <w:rPr>
          <w:rFonts w:cs="仿宋_GB2312" w:asciiTheme="minorEastAsia" w:hAnsiTheme="minorEastAsia"/>
          <w:b/>
          <w:bCs/>
          <w:sz w:val="24"/>
          <w:lang w:val="zh-CN"/>
        </w:rPr>
        <w:t>法律、法规和招标文件规定的其他无效情形。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 有下列情形之一的，视为投标人串通投标，其投标无效：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.2.1 不同投标人的投标文件由同一单位或者个人编制；</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.2.2 不同投标人委托同一单位或者个人办理投标事宜；</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.2.3 不同投标人的投标文件载明的项目管理成员或者联系人员为同一人；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.2.4 不同投标人的投标文件异常一致或者投标报价呈规律性差异；</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.2.5 不同投标人的投标文件相互混装；</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.2.6 不同投标人的投标保证金从同一单位或者个人的账户转出。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8</w:t>
      </w:r>
      <w:r>
        <w:rPr>
          <w:rFonts w:hint="eastAsia" w:cs="仿宋_GB2312" w:asciiTheme="minorEastAsia" w:hAnsiTheme="minorEastAsia"/>
          <w:sz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adjustRightInd w:val="0"/>
        <w:spacing w:line="360" w:lineRule="auto"/>
        <w:contextualSpacing/>
        <w:rPr>
          <w:rFonts w:ascii="宋体" w:hAnsi="宋体"/>
          <w:b/>
          <w:bCs/>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w:t>
      </w:r>
      <w:r>
        <w:rPr>
          <w:rFonts w:hint="eastAsia" w:ascii="宋体" w:hAnsi="宋体"/>
          <w:b/>
          <w:bCs/>
          <w:sz w:val="24"/>
          <w:lang w:val="zh-CN"/>
        </w:rPr>
        <w:t xml:space="preserve"> 相同品牌投标人的认定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2</w:t>
      </w:r>
      <w:r>
        <w:rPr>
          <w:rFonts w:hint="eastAsia" w:cs="仿宋_GB2312" w:asciiTheme="minorEastAsia" w:hAnsiTheme="minorEastAsia"/>
          <w:sz w:val="24"/>
        </w:rPr>
        <w:t>9</w:t>
      </w:r>
      <w:r>
        <w:rPr>
          <w:rFonts w:hint="eastAsia" w:cs="仿宋_GB2312" w:asciiTheme="minorEastAsia" w:hAnsiTheme="minorEastAsia"/>
          <w:sz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30</w:t>
      </w:r>
      <w:r>
        <w:rPr>
          <w:rFonts w:hint="eastAsia" w:cs="仿宋_GB2312" w:asciiTheme="minorEastAsia" w:hAnsiTheme="minorEastAsia"/>
          <w:b/>
          <w:sz w:val="24"/>
          <w:lang w:val="zh-CN"/>
        </w:rPr>
        <w:t>. 投标文件的比较与评价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评标委员会按照招标文件中规定的评标方法和标准，对符合性审查合格的投标文件进行商务和技术评估，综合比较与评价。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1</w:t>
      </w:r>
      <w:r>
        <w:rPr>
          <w:rFonts w:hint="eastAsia" w:cs="仿宋_GB2312" w:asciiTheme="minorEastAsia" w:hAnsiTheme="minorEastAsia"/>
          <w:b/>
          <w:sz w:val="24"/>
          <w:lang w:val="zh-CN"/>
        </w:rPr>
        <w:t>.评标方法、评标标准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 评标方法分为最低评标价法和综合评分法。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 最低评标价法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rPr>
        <w:t>31</w:t>
      </w:r>
      <w:r>
        <w:rPr>
          <w:rFonts w:hint="eastAsia" w:cs="仿宋_GB2312" w:asciiTheme="minorEastAsia" w:hAnsiTheme="minorEastAsia"/>
          <w:sz w:val="24"/>
          <w:lang w:val="zh-CN"/>
        </w:rPr>
        <w:t>.1.1.1 最低评标价法，是指投标文件满足招标文件全部实质性要求，且投标报价最低的投标人为中标候选人的评标方法。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 价格分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投标报价得分=(评标基准价/投标报价)×100</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评标总得分=F1×A1+F2×A2+……+Fn×An</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F1、F2……Fn分别为各项评审因素的得分;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A1、A2、……An 分别为各项评审因素所占的权重(A1+A2+……+An=1)。</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.2.2 评标过程中，不得去掉报价中的最高报价和最低报价。</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.2.3 因落实政府采购政策进行价格调整的，以调整后的价格计算评标基准价和投标报价。</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1</w:t>
      </w:r>
      <w:r>
        <w:rPr>
          <w:rFonts w:hint="eastAsia" w:cs="仿宋_GB2312" w:asciiTheme="minorEastAsia" w:hAnsiTheme="minorEastAsia"/>
          <w:sz w:val="24"/>
          <w:lang w:val="zh-CN"/>
        </w:rPr>
        <w:t>.3</w:t>
      </w:r>
      <w:r>
        <w:rPr>
          <w:rFonts w:hint="eastAsia" w:cs="仿宋_GB2312" w:asciiTheme="minorEastAsia" w:hAnsiTheme="minorEastAsia"/>
          <w:b/>
          <w:sz w:val="24"/>
          <w:lang w:val="zh-CN"/>
        </w:rPr>
        <w:t xml:space="preserve"> 本次评标具体评标方法、评标标准见（第五章 资格审查、</w:t>
      </w:r>
      <w:r>
        <w:rPr>
          <w:rFonts w:hint="eastAsia" w:cs="宋体" w:asciiTheme="minorEastAsia" w:hAnsiTheme="minorEastAsia"/>
          <w:b/>
          <w:kern w:val="0"/>
          <w:sz w:val="24"/>
          <w:szCs w:val="24"/>
        </w:rPr>
        <w:t>评标方法与评标标准</w:t>
      </w:r>
      <w:r>
        <w:rPr>
          <w:rFonts w:hint="eastAsia" w:cs="仿宋_GB2312" w:asciiTheme="minorEastAsia" w:hAnsiTheme="minorEastAsia"/>
          <w:b/>
          <w:sz w:val="24"/>
          <w:lang w:val="zh-CN"/>
        </w:rPr>
        <w:t>）。</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r>
        <w:rPr>
          <w:rFonts w:hint="eastAsia" w:ascii="宋体" w:hAnsi="宋体"/>
          <w:b/>
          <w:bCs/>
          <w:sz w:val="24"/>
          <w:lang w:val="zh-CN"/>
        </w:rPr>
        <w:t>3</w:t>
      </w:r>
      <w:r>
        <w:rPr>
          <w:rFonts w:hint="eastAsia" w:ascii="宋体" w:hAnsi="宋体"/>
          <w:b/>
          <w:bCs/>
          <w:sz w:val="24"/>
        </w:rPr>
        <w:t>2</w:t>
      </w:r>
      <w:r>
        <w:rPr>
          <w:rFonts w:hint="eastAsia" w:ascii="宋体" w:hAnsi="宋体"/>
          <w:b/>
          <w:bCs/>
          <w:sz w:val="24"/>
          <w:lang w:val="zh-CN"/>
        </w:rPr>
        <w:t>. 推荐中标候选人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2</w:t>
      </w:r>
      <w:r>
        <w:rPr>
          <w:rFonts w:hint="eastAsia" w:cs="仿宋_GB2312" w:asciiTheme="minorEastAsia" w:hAnsiTheme="minorEastAsia"/>
          <w:sz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3</w:t>
      </w:r>
      <w:r>
        <w:rPr>
          <w:rFonts w:hint="eastAsia" w:cs="仿宋_GB2312" w:asciiTheme="minorEastAsia" w:hAnsiTheme="minorEastAsia"/>
          <w:b/>
          <w:sz w:val="24"/>
          <w:lang w:val="zh-CN"/>
        </w:rPr>
        <w:t>.评审意见无效情形</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评标委员会及其成员有下列行为之一的，其评审意见无效：</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.1 确定参与评标至评标结束前私自接触投标人；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.2 接受投标人提出的与投标文件不一致的澄清或者说明，《投标人须知》2</w:t>
      </w:r>
      <w:r>
        <w:rPr>
          <w:rFonts w:hint="eastAsia" w:cs="仿宋_GB2312" w:asciiTheme="minorEastAsia" w:hAnsiTheme="minorEastAsia"/>
          <w:sz w:val="24"/>
        </w:rPr>
        <w:t>6</w:t>
      </w:r>
      <w:r>
        <w:rPr>
          <w:rFonts w:hint="eastAsia" w:cs="仿宋_GB2312" w:asciiTheme="minorEastAsia" w:hAnsiTheme="minorEastAsia"/>
          <w:sz w:val="24"/>
          <w:lang w:val="zh-CN"/>
        </w:rPr>
        <w:t>条规定的情形除外；</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.3 违反评标纪律发表倾向性意见或者征询采购人的倾向性意见；</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.4 对需要专业判断的主观评审因素协商评分；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32.5 在评标过程中擅离职守，影响评标程序正常进行的；</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.6 记录、复制或者带走任何评标资料；</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3</w:t>
      </w:r>
      <w:r>
        <w:rPr>
          <w:rFonts w:hint="eastAsia" w:cs="仿宋_GB2312" w:asciiTheme="minorEastAsia" w:hAnsiTheme="minorEastAsia"/>
          <w:sz w:val="24"/>
          <w:lang w:val="zh-CN"/>
        </w:rPr>
        <w:t>.7 其他不遵守评标纪律的行为。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4</w:t>
      </w:r>
      <w:r>
        <w:rPr>
          <w:rFonts w:hint="eastAsia" w:cs="仿宋_GB2312" w:asciiTheme="minorEastAsia" w:hAnsiTheme="minorEastAsia"/>
          <w:b/>
          <w:sz w:val="24"/>
          <w:lang w:val="zh-CN"/>
        </w:rPr>
        <w:t>. 保密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.1</w:t>
      </w:r>
      <w:r>
        <w:rPr>
          <w:rFonts w:hint="eastAsia" w:cs="仿宋_GB2312" w:asciiTheme="minorEastAsia" w:hAnsiTheme="minorEastAsia"/>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rPr>
        <w:t>4</w:t>
      </w:r>
      <w:r>
        <w:rPr>
          <w:rFonts w:hint="eastAsia" w:ascii="新宋体" w:hAnsi="新宋体" w:eastAsia="新宋体" w:cs="仿宋_GB2312"/>
          <w:sz w:val="24"/>
          <w:lang w:val="zh-CN"/>
        </w:rPr>
        <w:t>.2</w:t>
      </w:r>
      <w:r>
        <w:rPr>
          <w:rFonts w:hint="eastAsia" w:cs="仿宋_GB2312" w:asciiTheme="minorEastAsia" w:hAnsiTheme="minorEastAsia"/>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360" w:lineRule="auto"/>
        <w:contextualSpacing/>
        <w:rPr>
          <w:rFonts w:ascii="新宋体" w:hAnsi="新宋体" w:eastAsia="新宋体" w:cs="仿宋_GB2312"/>
          <w:sz w:val="24"/>
          <w:lang w:val="zh-CN"/>
        </w:rPr>
      </w:pPr>
    </w:p>
    <w:p>
      <w:pPr>
        <w:autoSpaceDE w:val="0"/>
        <w:autoSpaceDN w:val="0"/>
        <w:spacing w:line="360" w:lineRule="auto"/>
        <w:contextualSpacing/>
        <w:jc w:val="center"/>
        <w:rPr>
          <w:rFonts w:ascii="楷体" w:hAnsi="楷体" w:eastAsia="楷体" w:cs="宋体"/>
          <w:b/>
          <w:kern w:val="0"/>
          <w:sz w:val="30"/>
          <w:szCs w:val="30"/>
        </w:rPr>
      </w:pPr>
      <w:r>
        <w:rPr>
          <w:rFonts w:hint="eastAsia" w:ascii="楷体" w:hAnsi="楷体" w:eastAsia="楷体" w:cs="宋体"/>
          <w:b/>
          <w:kern w:val="0"/>
          <w:sz w:val="30"/>
          <w:szCs w:val="30"/>
        </w:rPr>
        <w:t>六、定标和授予合同</w:t>
      </w:r>
    </w:p>
    <w:p>
      <w:pPr>
        <w:tabs>
          <w:tab w:val="left" w:pos="1260"/>
        </w:tabs>
        <w:autoSpaceDE w:val="0"/>
        <w:autoSpaceDN w:val="0"/>
        <w:adjustRightInd w:val="0"/>
        <w:spacing w:line="360" w:lineRule="auto"/>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rPr>
        <w:t>5</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.1 采购人应当自收到评标报告之日起</w:t>
      </w:r>
      <w:r>
        <w:rPr>
          <w:rFonts w:hint="eastAsia" w:cs="仿宋_GB2312" w:asciiTheme="minorEastAsia" w:hAnsiTheme="minorEastAsia"/>
          <w:sz w:val="24"/>
        </w:rPr>
        <w:t>5</w:t>
      </w:r>
      <w:r>
        <w:rPr>
          <w:rFonts w:hint="eastAsia" w:cs="仿宋_GB2312" w:asciiTheme="minorEastAsia" w:hAnsiTheme="minorEastAsia"/>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5</w:t>
      </w:r>
      <w:r>
        <w:rPr>
          <w:rFonts w:hint="eastAsia" w:cs="仿宋_GB2312" w:asciiTheme="minorEastAsia" w:hAnsiTheme="minorEastAsia"/>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3</w:t>
      </w:r>
      <w:r>
        <w:rPr>
          <w:rFonts w:hint="eastAsia" w:cs="仿宋_GB2312" w:asciiTheme="minorEastAsia" w:hAnsiTheme="minorEastAsia"/>
          <w:b/>
          <w:sz w:val="24"/>
        </w:rPr>
        <w:t>6</w:t>
      </w:r>
      <w:r>
        <w:rPr>
          <w:rFonts w:hint="eastAsia" w:cs="仿宋_GB2312" w:asciiTheme="minorEastAsia" w:hAnsiTheme="minorEastAsia"/>
          <w:b/>
          <w:sz w:val="24"/>
          <w:lang w:val="zh-CN"/>
        </w:rPr>
        <w:t>. 中标公告、发出中标通知书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.1 采购人确认中标人后，招标人在公告中标结果的同时，向中标人发出中标通知书。</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3</w:t>
      </w:r>
      <w:r>
        <w:rPr>
          <w:rFonts w:hint="eastAsia" w:cs="仿宋_GB2312" w:asciiTheme="minorEastAsia" w:hAnsiTheme="minorEastAsia"/>
          <w:sz w:val="24"/>
        </w:rPr>
        <w:t>6</w:t>
      </w:r>
      <w:r>
        <w:rPr>
          <w:rFonts w:hint="eastAsia" w:cs="仿宋_GB2312" w:asciiTheme="minorEastAsia" w:hAnsiTheme="minorEastAsia"/>
          <w:sz w:val="24"/>
          <w:lang w:val="zh-CN"/>
        </w:rPr>
        <w:t>.2 中标通知书发出后，采购人不得违法改变中标结果，中标人无正当理由不得放弃中标。</w:t>
      </w:r>
    </w:p>
    <w:p>
      <w:pPr>
        <w:tabs>
          <w:tab w:val="left" w:pos="1260"/>
        </w:tabs>
        <w:autoSpaceDE w:val="0"/>
        <w:autoSpaceDN w:val="0"/>
        <w:adjustRightInd w:val="0"/>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rPr>
        <w:t>37.</w:t>
      </w:r>
      <w:r>
        <w:rPr>
          <w:rFonts w:hint="eastAsia" w:cs="仿宋_GB2312" w:asciiTheme="minorEastAsia" w:hAnsiTheme="minorEastAsia"/>
          <w:b/>
          <w:sz w:val="24"/>
          <w:lang w:val="zh-CN"/>
        </w:rPr>
        <w:t>质疑</w:t>
      </w:r>
    </w:p>
    <w:p>
      <w:pPr>
        <w:tabs>
          <w:tab w:val="left" w:pos="1260"/>
        </w:tabs>
        <w:autoSpaceDE w:val="0"/>
        <w:autoSpaceDN w:val="0"/>
        <w:adjustRightInd w:val="0"/>
        <w:spacing w:line="360" w:lineRule="auto"/>
        <w:contextualSpacing/>
        <w:rPr>
          <w:rFonts w:cs="仿宋_GB2312" w:asciiTheme="minorEastAsia" w:hAnsiTheme="minorEastAsia"/>
          <w:sz w:val="24"/>
        </w:rPr>
      </w:pPr>
      <w:r>
        <w:rPr>
          <w:rFonts w:hint="eastAsia" w:cs="仿宋_GB2312" w:asciiTheme="minorEastAsia" w:hAnsiTheme="minorEastAsia"/>
          <w:sz w:val="24"/>
        </w:rPr>
        <w:t>37.1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sz w:val="24"/>
        </w:rPr>
        <w:t>37.2 供应商应知其权益受到损害之日，是指：</w:t>
      </w:r>
      <w:r>
        <w:rPr>
          <w:rFonts w:hint="eastAsia" w:cs="仿宋_GB2312" w:asciiTheme="minorEastAsia" w:hAnsiTheme="minorEastAsia"/>
          <w:sz w:val="24"/>
        </w:rPr>
        <w:br w:type="textWrapping"/>
      </w:r>
      <w:r>
        <w:rPr>
          <w:rFonts w:hint="eastAsia" w:cs="仿宋_GB2312" w:asciiTheme="minorEastAsia" w:hAnsiTheme="minorEastAsia"/>
          <w:sz w:val="24"/>
        </w:rPr>
        <w:t>37.2.1 对可以质疑的采购文件提出质疑的，为收到采购文件之日或者采购文件公告期限届满之日；</w:t>
      </w:r>
      <w:r>
        <w:rPr>
          <w:rFonts w:hint="eastAsia" w:cs="仿宋_GB2312" w:asciiTheme="minorEastAsia" w:hAnsiTheme="minorEastAsia"/>
          <w:sz w:val="24"/>
        </w:rPr>
        <w:br w:type="textWrapping"/>
      </w:r>
      <w:r>
        <w:rPr>
          <w:rFonts w:hint="eastAsia" w:cs="仿宋_GB2312" w:asciiTheme="minorEastAsia" w:hAnsiTheme="minorEastAsia"/>
          <w:sz w:val="24"/>
        </w:rPr>
        <w:t>37.2.2 对采购过程提出质疑的，为各采购程序环节结束之日；</w:t>
      </w:r>
      <w:r>
        <w:rPr>
          <w:rFonts w:hint="eastAsia" w:cs="仿宋_GB2312" w:asciiTheme="minorEastAsia" w:hAnsiTheme="minorEastAsia"/>
          <w:sz w:val="24"/>
        </w:rPr>
        <w:br w:type="textWrapping"/>
      </w:r>
      <w:r>
        <w:rPr>
          <w:rFonts w:hint="eastAsia" w:cs="仿宋_GB2312" w:asciiTheme="minorEastAsia" w:hAnsiTheme="minorEastAsia"/>
          <w:sz w:val="24"/>
        </w:rPr>
        <w:t>37.2.3 对中标或者成交结果提出质疑的，为中标或者成交结果公告期限届满之日。</w:t>
      </w:r>
      <w:r>
        <w:rPr>
          <w:rFonts w:hint="eastAsia" w:cs="仿宋_GB2312" w:asciiTheme="minorEastAsia" w:hAnsiTheme="minorEastAsia"/>
          <w:sz w:val="24"/>
        </w:rPr>
        <w:br w:type="textWrapping"/>
      </w:r>
      <w:r>
        <w:rPr>
          <w:rFonts w:hint="eastAsia" w:cs="仿宋_GB2312" w:asciiTheme="minorEastAsia" w:hAnsiTheme="minorEastAsia"/>
          <w:b/>
          <w:sz w:val="24"/>
        </w:rPr>
        <w:t>38.</w:t>
      </w:r>
      <w:r>
        <w:rPr>
          <w:rFonts w:hint="eastAsia" w:cs="仿宋_GB2312" w:asciiTheme="minorEastAsia" w:hAnsiTheme="minorEastAsia"/>
          <w:b/>
          <w:sz w:val="24"/>
          <w:lang w:val="zh-CN"/>
        </w:rPr>
        <w:t>签订合同</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仿宋_GB2312" w:asciiTheme="minorEastAsia" w:hAnsiTheme="minor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360" w:lineRule="auto"/>
        <w:contextualSpacing/>
        <w:rPr>
          <w:rFonts w:cs="仿宋_GB2312" w:asciiTheme="minorEastAsia" w:hAnsiTheme="minorEastAsia"/>
          <w:b/>
          <w:sz w:val="24"/>
        </w:rPr>
      </w:pPr>
      <w:r>
        <w:rPr>
          <w:rFonts w:hint="eastAsia" w:cs="仿宋_GB2312" w:asciiTheme="minorEastAsia" w:hAnsiTheme="minorEastAsia"/>
          <w:b/>
          <w:sz w:val="24"/>
        </w:rPr>
        <w:t>39.履约保证金</w:t>
      </w:r>
    </w:p>
    <w:p>
      <w:pPr>
        <w:tabs>
          <w:tab w:val="left" w:pos="1260"/>
        </w:tabs>
        <w:autoSpaceDE w:val="0"/>
        <w:autoSpaceDN w:val="0"/>
        <w:adjustRightInd w:val="0"/>
        <w:spacing w:line="360" w:lineRule="auto"/>
        <w:contextualSpacing/>
        <w:rPr>
          <w:rFonts w:cs="仿宋_GB2312" w:asciiTheme="minorEastAsia" w:hAnsiTheme="minorEastAsia"/>
          <w:sz w:val="24"/>
          <w:lang w:val="zh-CN"/>
        </w:rPr>
      </w:pPr>
      <w:r>
        <w:rPr>
          <w:rFonts w:hint="eastAsia" w:cs="宋体" w:asciiTheme="minorEastAsia" w:hAnsiTheme="minorEastAsia"/>
          <w:kern w:val="0"/>
          <w:sz w:val="24"/>
          <w:szCs w:val="24"/>
        </w:rPr>
        <w:t>《投标人须知》前附表中规定</w:t>
      </w:r>
      <w:r>
        <w:rPr>
          <w:rFonts w:hint="eastAsia" w:ascii="宋体" w:hAnsi="宋体" w:eastAsia="宋体" w:cs="宋体"/>
          <w:color w:val="333333"/>
          <w:sz w:val="24"/>
          <w:szCs w:val="24"/>
        </w:rPr>
        <w:t>中标或者成交供应商提交履约保证金的，供应商应当以支票、汇票、本票或者金融机构、担保机构出具的保函等非现金形式向采购人提交。履约保证金的数额不得超过政府采购合同金额的10%。</w:t>
      </w:r>
    </w:p>
    <w:p>
      <w:pPr>
        <w:pStyle w:val="2"/>
        <w:ind w:firstLine="0" w:firstLineChars="0"/>
      </w:pPr>
      <w:r>
        <w:rPr>
          <w:rFonts w:hint="eastAsia"/>
        </w:rPr>
        <w:br w:type="page"/>
      </w:r>
    </w:p>
    <w:p>
      <w:pPr>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根据《中华人民共和国政府采购法》、《中华人民共和国政府采购法实施条例》、《政府采购货物和服务招标投标管理办法》等规定，本项目落实节约能源、保护环境、促进中小企业发展、促进残疾人就业等政府采购政策。</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一、节能能源、保护环境</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投标人所投其他产品若属于“节能产品政府采购清单”内产品，在同等条件下，优先采购清单中的产品。</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3、对于同时列入环保清单和节能产品政府采购清单的产品，应当优先于只列入其中一个清单的产品。</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4、上述“节能产品政府采购清单”、“环境标志产品政府采购清单”，在采购公告发布前已经过期的以及尚在公示期的均不得作为评标时的依据。</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二、促进中小企业发展</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1、按照财政部、工业和信息化部发布的《政府采购促进中小企业发展暂行办法》</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（财库[2011]181号）规定，本项目为非专门面向中小企业采购的项目，对小型和微型企业投标人产品的价格给予6%的扣除，用扣除后的价格参与评审。</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3、联合体各方均为小型或微型企业的，联合体视同为小型、微型企业。组成联合体的大中型企业或者其他自然人、法人或其他组织，与小型、微型企业之间不得存在投资关系。</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4、中小企业投标应提供《中小企业声明函》，如为联合投标的，联合体各方需分别填写《中小企业声明函》。</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5、中小企业投标应提供企业所在地的中小企业主管部门的中小企业认定证明。投标人提供其他中小企业制造的货物，应提供生产企业所在地的中小企业主管部门的中小企业认定证明。</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三、促进残疾人就业</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tabs>
          <w:tab w:val="left" w:pos="720"/>
        </w:tabs>
        <w:spacing w:line="440" w:lineRule="exact"/>
        <w:ind w:firstLine="420" w:firstLineChars="175"/>
        <w:jc w:val="left"/>
        <w:rPr>
          <w:rFonts w:cs="仿宋_GB2312" w:asciiTheme="minorEastAsia" w:hAnsiTheme="minorEastAsia"/>
          <w:sz w:val="24"/>
          <w:lang w:val="zh-CN"/>
        </w:rPr>
      </w:pPr>
      <w:r>
        <w:rPr>
          <w:rFonts w:hint="eastAsia" w:cs="仿宋_GB2312" w:asciiTheme="minorEastAsia" w:hAnsiTheme="minorEastAsia"/>
          <w:sz w:val="24"/>
          <w:lang w:val="zh-CN"/>
        </w:rPr>
        <w:t>3、中标人为残疾人福利性单位的，招标人应当随中标结果同时公告其《残疾人福利性单位声明函》，接受社会监督。</w:t>
      </w:r>
    </w:p>
    <w:p>
      <w:pPr>
        <w:tabs>
          <w:tab w:val="left" w:pos="720"/>
        </w:tabs>
        <w:spacing w:line="440" w:lineRule="exact"/>
        <w:ind w:firstLine="420" w:firstLineChars="175"/>
        <w:jc w:val="left"/>
        <w:rPr>
          <w:rFonts w:ascii="宋体"/>
          <w:sz w:val="24"/>
        </w:rPr>
      </w:pPr>
      <w:r>
        <w:rPr>
          <w:rFonts w:hint="eastAsia" w:ascii="宋体"/>
          <w:sz w:val="24"/>
        </w:rPr>
        <w:br w:type="page"/>
      </w: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资格审查与评标办法、评标标准</w:t>
      </w:r>
    </w:p>
    <w:p>
      <w:pPr>
        <w:pStyle w:val="5"/>
        <w:spacing w:line="360" w:lineRule="auto"/>
        <w:contextualSpacing/>
        <w:rPr>
          <w:rFonts w:cs="仿宋_GB2312" w:asciiTheme="minorEastAsia" w:hAnsiTheme="minorEastAsia"/>
          <w:lang w:val="zh-CN"/>
        </w:rPr>
      </w:pPr>
    </w:p>
    <w:p>
      <w:pPr>
        <w:pStyle w:val="5"/>
        <w:spacing w:line="360" w:lineRule="auto"/>
        <w:ind w:firstLine="482" w:firstLineChars="200"/>
        <w:contextualSpacing/>
        <w:rPr>
          <w:rFonts w:cs="仿宋_GB2312" w:asciiTheme="minorEastAsia" w:hAnsiTheme="minorEastAsia"/>
          <w:b/>
          <w:lang w:val="zh-CN"/>
        </w:rPr>
      </w:pPr>
      <w:r>
        <w:rPr>
          <w:rFonts w:cs="仿宋_GB2312" w:asciiTheme="minorEastAsia" w:hAnsiTheme="minorEastAsia"/>
          <w:b/>
          <w:lang w:val="zh-CN"/>
        </w:rPr>
        <w:t>一、资格审查</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1、</w:t>
      </w:r>
      <w:r>
        <w:rPr>
          <w:rFonts w:cs="仿宋_GB2312" w:asciiTheme="minorEastAsia" w:hAnsiTheme="minorEastAsia"/>
          <w:lang w:val="zh-CN"/>
        </w:rPr>
        <w:t>开标结束后，</w:t>
      </w:r>
      <w:r>
        <w:rPr>
          <w:rFonts w:hint="eastAsia" w:cs="仿宋_GB2312" w:asciiTheme="minorEastAsia" w:hAnsiTheme="minorEastAsia"/>
          <w:lang w:val="zh-CN"/>
        </w:rPr>
        <w:t>采购人（采购代理机构）依法对投标人资格进行审查</w:t>
      </w:r>
      <w:r>
        <w:rPr>
          <w:rFonts w:cs="仿宋_GB2312" w:asciiTheme="minorEastAsia" w:hAnsiTheme="minorEastAsia"/>
          <w:lang w:val="zh-CN"/>
        </w:rPr>
        <w:t>。</w:t>
      </w:r>
    </w:p>
    <w:p>
      <w:pPr>
        <w:spacing w:line="360" w:lineRule="auto"/>
        <w:ind w:right="420" w:rightChars="200" w:firstLine="480" w:firstLineChars="200"/>
        <w:contextualSpacing/>
        <w:rPr>
          <w:rFonts w:eastAsia="宋体" w:cs="仿宋_GB2312" w:asciiTheme="minorEastAsia" w:hAnsiTheme="minorEastAsia"/>
          <w:sz w:val="24"/>
          <w:lang w:val="zh-CN"/>
        </w:rPr>
      </w:pPr>
      <w:r>
        <w:rPr>
          <w:rFonts w:hint="eastAsia" w:eastAsia="宋体" w:cs="仿宋_GB2312" w:asciiTheme="minorEastAsia" w:hAnsiTheme="minorEastAsia"/>
          <w:sz w:val="24"/>
          <w:lang w:val="zh-CN"/>
        </w:rPr>
        <w:t>2、资格证明材料（本栏所列内容为本项目的资格审查条件，如有一项不符合要求，则不能进入下一步评审）。</w:t>
      </w:r>
    </w:p>
    <w:p>
      <w:pPr>
        <w:spacing w:line="360" w:lineRule="auto"/>
        <w:ind w:right="420" w:rightChars="200" w:firstLine="482" w:firstLineChars="200"/>
        <w:contextualSpacing/>
        <w:rPr>
          <w:rFonts w:cs="仿宋_GB2312" w:asciiTheme="minorEastAsia" w:hAnsiTheme="minorEastAsia"/>
          <w:sz w:val="24"/>
          <w:lang w:val="zh-CN"/>
        </w:rPr>
      </w:pPr>
      <w:r>
        <w:rPr>
          <w:rFonts w:hint="eastAsia" w:cs="仿宋_GB2312" w:asciiTheme="minorEastAsia" w:hAnsiTheme="minorEastAsia"/>
          <w:b/>
          <w:bCs/>
          <w:sz w:val="24"/>
          <w:lang w:val="zh-CN"/>
        </w:rPr>
        <w:t>3、资格审查中所涉及到的证书及材料，除需在投标文件中附完整的复印件外，评标现场还须提供与复印件一致的原件，否则为无效投标。</w:t>
      </w:r>
    </w:p>
    <w:tbl>
      <w:tblPr>
        <w:tblStyle w:val="11"/>
        <w:tblW w:w="9108" w:type="dxa"/>
        <w:jc w:val="center"/>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108" w:type="dxa"/>
            <w:vAlign w:val="center"/>
          </w:tcPr>
          <w:p>
            <w:pPr>
              <w:snapToGrid w:val="0"/>
              <w:jc w:val="center"/>
              <w:rPr>
                <w:rFonts w:ascii="宋体" w:hAnsi="宋体"/>
                <w:b/>
                <w:sz w:val="24"/>
                <w:szCs w:val="24"/>
              </w:rPr>
            </w:pPr>
            <w:r>
              <w:rPr>
                <w:rFonts w:hint="eastAsia" w:ascii="宋体" w:hAnsi="宋体"/>
                <w:b/>
                <w:sz w:val="24"/>
                <w:szCs w:val="24"/>
              </w:rPr>
              <w:t>资格审查</w:t>
            </w:r>
            <w:r>
              <w:rPr>
                <w:rFonts w:ascii="宋体" w:hAnsi="宋体"/>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jc w:val="center"/>
        </w:trPr>
        <w:tc>
          <w:tcPr>
            <w:tcW w:w="9108"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一、</w:t>
            </w:r>
            <w:r>
              <w:rPr>
                <w:rFonts w:ascii="宋体" w:cs="宋体"/>
                <w:b/>
                <w:bCs/>
                <w:sz w:val="24"/>
                <w:lang w:val="zh-CN"/>
              </w:rPr>
              <w:t>法人或者其他组织的营业执照等证明文件，自然人的身份证明</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1、企业法人营业执照或营业执照。（企业投标提供）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2、事业单位法人证书。（事业单位投标提供）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3、执业许可证。（非专业服务机构投标提供）</w:t>
            </w:r>
          </w:p>
          <w:p>
            <w:pPr>
              <w:autoSpaceDE w:val="0"/>
              <w:autoSpaceDN w:val="0"/>
              <w:adjustRightInd w:val="0"/>
              <w:spacing w:line="360" w:lineRule="auto"/>
              <w:ind w:right="-11"/>
              <w:rPr>
                <w:rFonts w:ascii="宋体" w:cs="宋体"/>
                <w:bCs/>
                <w:sz w:val="24"/>
                <w:lang w:val="zh-CN"/>
              </w:rPr>
            </w:pPr>
            <w:r>
              <w:rPr>
                <w:rFonts w:hint="eastAsia" w:ascii="宋体" w:cs="宋体"/>
                <w:bCs/>
                <w:sz w:val="24"/>
                <w:lang w:val="zh-CN"/>
              </w:rPr>
              <w:t>4、个体工商户营业执照。（个体工商户投标提供）</w:t>
            </w:r>
          </w:p>
          <w:p>
            <w:pPr>
              <w:autoSpaceDE w:val="0"/>
              <w:autoSpaceDN w:val="0"/>
              <w:adjustRightInd w:val="0"/>
              <w:spacing w:line="360" w:lineRule="auto"/>
              <w:jc w:val="left"/>
              <w:rPr>
                <w:rFonts w:ascii="宋体" w:hAnsi="宋体"/>
                <w:b/>
                <w:sz w:val="24"/>
                <w:szCs w:val="24"/>
              </w:rPr>
            </w:pPr>
            <w:r>
              <w:rPr>
                <w:rFonts w:hint="eastAsia" w:ascii="宋体" w:cs="宋体"/>
                <w:bCs/>
                <w:sz w:val="24"/>
                <w:lang w:val="zh-CN"/>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6" w:hRule="atLeast"/>
          <w:jc w:val="center"/>
        </w:trPr>
        <w:tc>
          <w:tcPr>
            <w:tcW w:w="9108" w:type="dxa"/>
            <w:vAlign w:val="center"/>
          </w:tcPr>
          <w:p>
            <w:pPr>
              <w:autoSpaceDE w:val="0"/>
              <w:autoSpaceDN w:val="0"/>
              <w:adjustRightInd w:val="0"/>
              <w:spacing w:line="360" w:lineRule="auto"/>
              <w:jc w:val="left"/>
              <w:rPr>
                <w:rFonts w:ascii="宋体" w:hAnsi="宋体"/>
                <w:bCs/>
                <w:sz w:val="24"/>
                <w:szCs w:val="24"/>
              </w:rPr>
            </w:pPr>
            <w:r>
              <w:rPr>
                <w:rFonts w:hint="eastAsia" w:ascii="宋体" w:hAnsi="宋体"/>
                <w:b/>
                <w:color w:val="000000"/>
                <w:sz w:val="24"/>
              </w:rPr>
              <w:t>二、</w:t>
            </w:r>
            <w:r>
              <w:rPr>
                <w:rFonts w:hint="eastAsia" w:ascii="宋体" w:hAnsi="宋体"/>
                <w:bCs/>
                <w:color w:val="000000"/>
                <w:sz w:val="24"/>
              </w:rPr>
              <w:t>须具有城市及道路照明工程专业承包三级（或以上）资质，具有有效的安全生产许可证。拟派项目负责人须在本单位注册，具备市政公用工程或机电工程专业二级（或以上）注册建造师资格（不含临时），且具有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1" w:hRule="atLeast"/>
          <w:jc w:val="center"/>
        </w:trPr>
        <w:tc>
          <w:tcPr>
            <w:tcW w:w="9108" w:type="dxa"/>
            <w:vAlign w:val="center"/>
          </w:tcPr>
          <w:p>
            <w:pPr>
              <w:autoSpaceDE w:val="0"/>
              <w:autoSpaceDN w:val="0"/>
              <w:adjustRightInd w:val="0"/>
              <w:spacing w:line="360" w:lineRule="auto"/>
              <w:jc w:val="left"/>
              <w:rPr>
                <w:rFonts w:hAnsi="宋体" w:cs="仿宋_GB2312"/>
                <w:b/>
                <w:sz w:val="24"/>
              </w:rPr>
            </w:pPr>
            <w:r>
              <w:rPr>
                <w:rFonts w:hint="eastAsia" w:hAnsi="宋体" w:cs="仿宋_GB2312"/>
                <w:b/>
                <w:sz w:val="24"/>
              </w:rPr>
              <w:t>三、财务状况报告相关材料</w:t>
            </w:r>
          </w:p>
          <w:p>
            <w:pPr>
              <w:autoSpaceDE w:val="0"/>
              <w:autoSpaceDN w:val="0"/>
              <w:adjustRightInd w:val="0"/>
              <w:spacing w:line="360" w:lineRule="auto"/>
              <w:ind w:right="-11"/>
              <w:rPr>
                <w:rFonts w:ascii="宋体" w:cs="宋体"/>
                <w:bCs/>
                <w:sz w:val="24"/>
                <w:lang w:val="zh-CN"/>
              </w:rPr>
            </w:pPr>
            <w:r>
              <w:rPr>
                <w:rFonts w:hint="eastAsia" w:hAnsi="宋体" w:cs="仿宋_GB2312"/>
                <w:sz w:val="24"/>
              </w:rPr>
              <w:t>1、</w:t>
            </w:r>
            <w:r>
              <w:rPr>
                <w:rFonts w:hint="eastAsia" w:ascii="宋体" w:cs="宋体"/>
                <w:bCs/>
                <w:sz w:val="24"/>
                <w:lang w:val="zh-CN"/>
              </w:rPr>
              <w:t>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b/>
                <w:sz w:val="24"/>
                <w:szCs w:val="24"/>
              </w:rPr>
            </w:pPr>
            <w:r>
              <w:rPr>
                <w:rFonts w:hint="eastAsia" w:hAnsi="宋体" w:cs="仿宋_GB2312"/>
                <w:sz w:val="24"/>
              </w:rPr>
              <w:t>2、</w:t>
            </w:r>
            <w:r>
              <w:rPr>
                <w:rFonts w:hint="eastAsia" w:ascii="宋体" w:cs="宋体"/>
                <w:bCs/>
                <w:sz w:val="24"/>
                <w:lang w:val="zh-CN"/>
              </w:rPr>
              <w:t>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jc w:val="center"/>
        </w:trPr>
        <w:tc>
          <w:tcPr>
            <w:tcW w:w="9108" w:type="dxa"/>
            <w:vAlign w:val="center"/>
          </w:tcPr>
          <w:p>
            <w:pPr>
              <w:autoSpaceDE w:val="0"/>
              <w:autoSpaceDN w:val="0"/>
              <w:adjustRightInd w:val="0"/>
              <w:spacing w:line="360" w:lineRule="auto"/>
              <w:ind w:right="-11"/>
              <w:rPr>
                <w:rFonts w:hAnsi="宋体" w:cs="仿宋_GB2312"/>
                <w:b/>
                <w:sz w:val="24"/>
              </w:rPr>
            </w:pPr>
            <w:r>
              <w:rPr>
                <w:rFonts w:hint="eastAsia" w:hAnsi="宋体" w:cs="仿宋_GB2312"/>
                <w:b/>
                <w:sz w:val="24"/>
              </w:rPr>
              <w:t>四、依法缴纳税收相关材料</w:t>
            </w:r>
          </w:p>
          <w:p>
            <w:pPr>
              <w:autoSpaceDE w:val="0"/>
              <w:autoSpaceDN w:val="0"/>
              <w:adjustRightInd w:val="0"/>
              <w:spacing w:line="360" w:lineRule="auto"/>
              <w:ind w:right="-11"/>
              <w:rPr>
                <w:rFonts w:ascii="宋体" w:hAnsi="宋体"/>
                <w:b/>
                <w:sz w:val="24"/>
                <w:szCs w:val="24"/>
              </w:rPr>
            </w:pPr>
            <w:r>
              <w:rPr>
                <w:rFonts w:hint="eastAsia" w:ascii="宋体" w:cs="宋体"/>
                <w:bCs/>
                <w:sz w:val="24"/>
                <w:lang w:val="zh-CN"/>
              </w:rPr>
              <w:t>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jc w:val="center"/>
        </w:trPr>
        <w:tc>
          <w:tcPr>
            <w:tcW w:w="9108"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五、依法缴纳社会保障资金的证明材料</w:t>
            </w:r>
          </w:p>
          <w:p>
            <w:pPr>
              <w:autoSpaceDE w:val="0"/>
              <w:autoSpaceDN w:val="0"/>
              <w:adjustRightInd w:val="0"/>
              <w:spacing w:line="360" w:lineRule="auto"/>
              <w:ind w:right="-11"/>
              <w:rPr>
                <w:rFonts w:ascii="宋体" w:hAnsi="宋体"/>
                <w:bCs/>
                <w:sz w:val="24"/>
                <w:szCs w:val="24"/>
              </w:rPr>
            </w:pPr>
            <w:r>
              <w:rPr>
                <w:rFonts w:hint="eastAsia" w:ascii="宋体" w:cs="宋体"/>
                <w:bCs/>
                <w:sz w:val="24"/>
                <w:lang w:val="zh-CN"/>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9108" w:type="dxa"/>
            <w:vAlign w:val="center"/>
          </w:tcPr>
          <w:p>
            <w:pPr>
              <w:autoSpaceDE w:val="0"/>
              <w:autoSpaceDN w:val="0"/>
              <w:adjustRightInd w:val="0"/>
              <w:spacing w:line="360" w:lineRule="auto"/>
              <w:ind w:right="-11"/>
              <w:rPr>
                <w:rFonts w:ascii="宋体" w:cs="宋体"/>
                <w:b/>
                <w:bCs/>
                <w:sz w:val="24"/>
                <w:lang w:val="zh-CN"/>
              </w:rPr>
            </w:pPr>
            <w:r>
              <w:rPr>
                <w:rFonts w:hint="eastAsia" w:ascii="宋体" w:cs="宋体"/>
                <w:b/>
                <w:bCs/>
                <w:sz w:val="24"/>
                <w:lang w:val="zh-CN"/>
              </w:rPr>
              <w:t>六、履行合同所必须的设备和专业技术能力的证明材料</w:t>
            </w:r>
          </w:p>
          <w:p>
            <w:pPr>
              <w:spacing w:line="360" w:lineRule="auto"/>
              <w:jc w:val="left"/>
              <w:rPr>
                <w:rFonts w:ascii="宋体" w:hAnsi="宋体"/>
                <w:b/>
                <w:sz w:val="24"/>
                <w:szCs w:val="24"/>
              </w:rPr>
            </w:pPr>
            <w:r>
              <w:rPr>
                <w:rFonts w:hint="eastAsia" w:ascii="宋体" w:cs="宋体"/>
                <w:bCs/>
                <w:sz w:val="24"/>
                <w:lang w:val="zh-CN"/>
              </w:rPr>
              <w:t>相关设备的购置发票（或权属证明）、专业技术人员职称证书或执业资格证书、用工合同等或者</w:t>
            </w:r>
            <w:r>
              <w:rPr>
                <w:rFonts w:hint="eastAsia" w:ascii="宋体" w:eastAsia="宋体" w:cs="宋体"/>
                <w:kern w:val="0"/>
                <w:sz w:val="24"/>
                <w:szCs w:val="24"/>
              </w:rPr>
              <w:t>附投标人相关承诺函或声明。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9108" w:type="dxa"/>
            <w:vAlign w:val="center"/>
          </w:tcPr>
          <w:p>
            <w:pPr>
              <w:autoSpaceDE w:val="0"/>
              <w:autoSpaceDN w:val="0"/>
              <w:adjustRightInd w:val="0"/>
              <w:spacing w:line="360" w:lineRule="auto"/>
              <w:ind w:right="-11"/>
              <w:rPr>
                <w:rFonts w:ascii="宋体" w:cs="宋体"/>
                <w:b/>
                <w:bCs/>
                <w:sz w:val="24"/>
                <w:lang w:val="zh-CN"/>
              </w:rPr>
            </w:pPr>
            <w:r>
              <w:rPr>
                <w:rFonts w:hint="eastAsia" w:ascii="宋体" w:eastAsia="宋体" w:cs="宋体"/>
                <w:b/>
                <w:kern w:val="0"/>
                <w:sz w:val="24"/>
                <w:szCs w:val="24"/>
              </w:rPr>
              <w:t>七、</w:t>
            </w:r>
            <w:r>
              <w:rPr>
                <w:rFonts w:ascii="宋体" w:cs="宋体"/>
                <w:b/>
                <w:bCs/>
                <w:sz w:val="24"/>
                <w:lang w:val="zh-CN"/>
              </w:rPr>
              <w:t>参加政府采购活动前3年内在经营活动中没有重大违法记录的书面声明</w:t>
            </w:r>
          </w:p>
          <w:p>
            <w:pPr>
              <w:autoSpaceDE w:val="0"/>
              <w:autoSpaceDN w:val="0"/>
              <w:spacing w:line="360" w:lineRule="auto"/>
              <w:contextualSpacing/>
              <w:jc w:val="left"/>
              <w:rPr>
                <w:rFonts w:ascii="宋体" w:hAnsi="宋体"/>
                <w:bCs/>
                <w:sz w:val="24"/>
                <w:szCs w:val="24"/>
              </w:rPr>
            </w:pPr>
            <w:r>
              <w:rPr>
                <w:rFonts w:hint="eastAsia" w:ascii="宋体" w:cs="宋体"/>
                <w:bCs/>
                <w:sz w:val="24"/>
                <w:lang w:val="zh-CN"/>
              </w:rPr>
              <w:t>投标人“</w:t>
            </w:r>
            <w:r>
              <w:rPr>
                <w:rFonts w:ascii="宋体" w:cs="宋体"/>
                <w:bCs/>
                <w:sz w:val="24"/>
                <w:lang w:val="zh-CN"/>
              </w:rPr>
              <w:t>参加政府采购活动前3年内在经营活动中没有重大违法记录的书面声明</w:t>
            </w:r>
            <w:r>
              <w:rPr>
                <w:rFonts w:hint="eastAsia" w:ascii="宋体" w:cs="宋体"/>
                <w:bCs/>
                <w:sz w:val="24"/>
                <w:lang w:val="zh-CN"/>
              </w:rPr>
              <w:t>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9108" w:type="dxa"/>
            <w:vAlign w:val="center"/>
          </w:tcPr>
          <w:p>
            <w:pPr>
              <w:autoSpaceDE w:val="0"/>
              <w:autoSpaceDN w:val="0"/>
              <w:spacing w:line="360" w:lineRule="auto"/>
              <w:contextualSpacing/>
              <w:jc w:val="left"/>
              <w:rPr>
                <w:rFonts w:cs="宋体" w:asciiTheme="minorEastAsia" w:hAnsiTheme="minorEastAsia"/>
                <w:kern w:val="0"/>
                <w:sz w:val="24"/>
                <w:szCs w:val="24"/>
              </w:rPr>
            </w:pPr>
            <w:r>
              <w:rPr>
                <w:rFonts w:hint="eastAsia" w:ascii="宋体" w:hAnsi="宋体"/>
                <w:b/>
                <w:bCs/>
                <w:sz w:val="24"/>
                <w:szCs w:val="24"/>
              </w:rPr>
              <w:t>八、</w:t>
            </w:r>
            <w:r>
              <w:rPr>
                <w:rFonts w:hint="eastAsia" w:ascii="宋体" w:cs="宋体"/>
                <w:b/>
                <w:bCs/>
                <w:sz w:val="24"/>
                <w:lang w:val="zh-CN"/>
              </w:rPr>
              <w:t>未被列入“信用中国”网站(www.creditchina.gov.cn)、中国政府采购网(www.ccgp.gov.cn)渠道信用记录失信被执行人、重大税收违法案件当事人名单、政府采购严重违法失信行为记录名单的投标人。</w:t>
            </w:r>
            <w:r>
              <w:rPr>
                <w:rFonts w:hint="eastAsia" w:cs="宋体" w:asciiTheme="minorEastAsia" w:hAnsiTheme="minorEastAsia"/>
                <w:kern w:val="0"/>
                <w:sz w:val="24"/>
                <w:szCs w:val="24"/>
              </w:rPr>
              <w:t>（联合体形式投标的，联合体成员存在不良信用记录，视同联合体存在不良信用记录）。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spacing w:line="360" w:lineRule="auto"/>
              <w:jc w:val="left"/>
              <w:rPr>
                <w:rFonts w:ascii="宋体" w:hAnsi="宋体"/>
                <w:bCs/>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108" w:type="dxa"/>
            <w:vAlign w:val="center"/>
          </w:tcPr>
          <w:p>
            <w:pPr>
              <w:spacing w:line="400" w:lineRule="exact"/>
              <w:jc w:val="left"/>
              <w:rPr>
                <w:rFonts w:ascii="宋体" w:hAnsi="宋体"/>
                <w:b/>
                <w:bCs/>
                <w:sz w:val="24"/>
                <w:szCs w:val="24"/>
              </w:rPr>
            </w:pPr>
            <w:r>
              <w:rPr>
                <w:rFonts w:hint="eastAsia" w:ascii="宋体" w:hAnsi="宋体"/>
                <w:b/>
                <w:bCs/>
                <w:sz w:val="24"/>
                <w:szCs w:val="24"/>
              </w:rPr>
              <w:t>九、本项目不接受联合体投标。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十、按投标人须知前附表规定交纳投标保证金。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9108" w:type="dxa"/>
            <w:vAlign w:val="center"/>
          </w:tcPr>
          <w:p>
            <w:pPr>
              <w:spacing w:line="360" w:lineRule="auto"/>
              <w:contextualSpacing/>
              <w:rPr>
                <w:rFonts w:ascii="宋体" w:hAnsi="宋体"/>
                <w:b/>
                <w:sz w:val="24"/>
                <w:szCs w:val="24"/>
              </w:rPr>
            </w:pPr>
            <w:r>
              <w:rPr>
                <w:rFonts w:hint="eastAsia" w:ascii="宋体" w:hAnsi="宋体"/>
                <w:b/>
                <w:sz w:val="24"/>
                <w:szCs w:val="24"/>
              </w:rPr>
              <w:t>十一、投标文件提供法定代表人身份证明或提供法定代表人授权委托书及被授权人身份证复印件。</w:t>
            </w:r>
          </w:p>
        </w:tc>
      </w:tr>
    </w:tbl>
    <w:p>
      <w:pPr>
        <w:pStyle w:val="5"/>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二、符合性审查</w:t>
      </w:r>
    </w:p>
    <w:p>
      <w:pPr>
        <w:pStyle w:val="5"/>
        <w:spacing w:line="360" w:lineRule="auto"/>
        <w:ind w:firstLine="480" w:firstLineChars="200"/>
        <w:contextualSpacing/>
        <w:rPr>
          <w:rFonts w:cs="仿宋_GB2312" w:asciiTheme="minorEastAsia" w:hAnsiTheme="minorEastAsia"/>
          <w:lang w:val="zh-CN"/>
        </w:rPr>
      </w:pPr>
      <w:r>
        <w:rPr>
          <w:rFonts w:hint="eastAsia" w:cs="仿宋_GB2312" w:asciiTheme="minorEastAsia" w:hAnsiTheme="minorEastAsia"/>
          <w:lang w:val="zh-CN"/>
        </w:rPr>
        <w:t>评标委员会对符合资格的投标人的投标文件进行符合性审查，以确定其是否满足招标文件的实质性要求。</w:t>
      </w:r>
    </w:p>
    <w:p>
      <w:pPr>
        <w:pStyle w:val="5"/>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b/>
          <w:bCs/>
          <w:lang w:val="zh-CN"/>
        </w:rPr>
        <w:t>三</w:t>
      </w:r>
      <w:r>
        <w:rPr>
          <w:rFonts w:hint="eastAsia" w:cs="仿宋_GB2312" w:asciiTheme="minorEastAsia" w:hAnsiTheme="minorEastAsia" w:eastAsiaTheme="minorEastAsia"/>
          <w:b/>
          <w:bCs/>
          <w:szCs w:val="24"/>
          <w:lang w:val="zh-CN"/>
        </w:rPr>
        <w:t>、评标委员会按照招标文件中规定的评标方法和标准，对符合性审查合格的投标文件进行商务和技术评估，综合比较与评价。</w:t>
      </w:r>
    </w:p>
    <w:p>
      <w:pPr>
        <w:pStyle w:val="5"/>
        <w:spacing w:line="360" w:lineRule="auto"/>
        <w:ind w:firstLine="482" w:firstLineChars="200"/>
        <w:contextualSpacing/>
        <w:rPr>
          <w:rFonts w:cs="仿宋_GB2312" w:asciiTheme="minorEastAsia" w:hAnsiTheme="minorEastAsia"/>
          <w:b/>
          <w:lang w:val="zh-CN"/>
        </w:rPr>
      </w:pPr>
      <w:r>
        <w:rPr>
          <w:rFonts w:hint="eastAsia" w:cs="仿宋_GB2312" w:asciiTheme="minorEastAsia" w:hAnsiTheme="minorEastAsia"/>
          <w:b/>
          <w:lang w:val="zh-CN"/>
        </w:rPr>
        <w:t>四、评分方法</w:t>
      </w:r>
    </w:p>
    <w:tbl>
      <w:tblPr>
        <w:tblStyle w:val="11"/>
        <w:tblW w:w="9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3"/>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9755" w:type="dxa"/>
            <w:gridSpan w:val="2"/>
            <w:vAlign w:val="center"/>
          </w:tcPr>
          <w:p>
            <w:pPr>
              <w:widowControl/>
              <w:spacing w:line="380" w:lineRule="exact"/>
              <w:jc w:val="center"/>
              <w:rPr>
                <w:rFonts w:ascii="宋体" w:hAnsi="宋体" w:cs="宋体"/>
                <w:szCs w:val="21"/>
              </w:rPr>
            </w:pPr>
            <w:r>
              <w:rPr>
                <w:rFonts w:hint="eastAsia" w:ascii="宋体" w:hAnsi="宋体" w:cs="宋体"/>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1743" w:type="dxa"/>
            <w:vAlign w:val="center"/>
          </w:tcPr>
          <w:p>
            <w:pPr>
              <w:widowControl/>
              <w:spacing w:line="380" w:lineRule="exact"/>
              <w:jc w:val="center"/>
              <w:rPr>
                <w:rFonts w:ascii="宋体" w:hAnsi="宋体" w:cs="宋体"/>
                <w:szCs w:val="21"/>
              </w:rPr>
            </w:pPr>
            <w:r>
              <w:rPr>
                <w:rFonts w:hint="eastAsia" w:ascii="宋体" w:hAnsi="宋体" w:cs="宋体"/>
                <w:szCs w:val="21"/>
              </w:rPr>
              <w:t>评标标准</w:t>
            </w:r>
          </w:p>
        </w:tc>
        <w:tc>
          <w:tcPr>
            <w:tcW w:w="8012" w:type="dxa"/>
            <w:vAlign w:val="center"/>
          </w:tcPr>
          <w:p>
            <w:pPr>
              <w:widowControl/>
              <w:spacing w:line="380" w:lineRule="exact"/>
              <w:jc w:val="center"/>
              <w:rPr>
                <w:rFonts w:ascii="宋体" w:hAnsi="宋体" w:cs="宋体"/>
                <w:szCs w:val="21"/>
              </w:rPr>
            </w:pPr>
            <w:r>
              <w:rPr>
                <w:rFonts w:hint="eastAsia" w:ascii="宋体" w:hAnsi="宋体" w:cs="宋体"/>
                <w:szCs w:val="21"/>
              </w:rPr>
              <w:t>采用综合评分法，满分100分。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1743" w:type="dxa"/>
            <w:vAlign w:val="center"/>
          </w:tcPr>
          <w:p>
            <w:pPr>
              <w:widowControl/>
              <w:spacing w:line="380" w:lineRule="exact"/>
              <w:jc w:val="center"/>
              <w:rPr>
                <w:rFonts w:ascii="宋体" w:hAnsi="宋体" w:cs="宋体"/>
                <w:kern w:val="0"/>
                <w:szCs w:val="21"/>
              </w:rPr>
            </w:pPr>
            <w:r>
              <w:rPr>
                <w:rFonts w:hint="eastAsia" w:ascii="宋体" w:hAnsi="宋体" w:cs="宋体"/>
                <w:kern w:val="0"/>
                <w:szCs w:val="21"/>
              </w:rPr>
              <w:t>投标报价</w:t>
            </w:r>
          </w:p>
          <w:p>
            <w:pPr>
              <w:widowControl/>
              <w:spacing w:line="380" w:lineRule="exact"/>
              <w:jc w:val="center"/>
              <w:rPr>
                <w:rFonts w:ascii="宋体" w:hAnsi="宋体" w:cs="宋体"/>
                <w:kern w:val="0"/>
                <w:szCs w:val="21"/>
              </w:rPr>
            </w:pPr>
            <w:r>
              <w:rPr>
                <w:rFonts w:hint="eastAsia" w:ascii="宋体" w:hAnsi="宋体" w:cs="宋体"/>
                <w:kern w:val="0"/>
                <w:szCs w:val="21"/>
              </w:rPr>
              <w:t>（20分）</w:t>
            </w:r>
          </w:p>
        </w:tc>
        <w:tc>
          <w:tcPr>
            <w:tcW w:w="8012" w:type="dxa"/>
            <w:vAlign w:val="center"/>
          </w:tcPr>
          <w:p>
            <w:pPr>
              <w:widowControl/>
              <w:spacing w:line="276" w:lineRule="auto"/>
              <w:jc w:val="left"/>
              <w:rPr>
                <w:rFonts w:ascii="宋体" w:hAnsi="宋体" w:cs="宋体"/>
                <w:kern w:val="0"/>
                <w:szCs w:val="21"/>
              </w:rPr>
            </w:pPr>
            <w:r>
              <w:rPr>
                <w:rFonts w:hint="eastAsia" w:ascii="宋体" w:hAnsi="宋体" w:cs="宋体"/>
                <w:kern w:val="0"/>
                <w:szCs w:val="21"/>
              </w:rPr>
              <w:t>价格分采用低价优先法计算，即满足招标文件要求且投标价格最低的投标报价为评标基准价，其他投标人的价格分统一按照下列公式计算：</w:t>
            </w:r>
          </w:p>
          <w:p>
            <w:pPr>
              <w:widowControl/>
              <w:spacing w:line="276" w:lineRule="auto"/>
              <w:jc w:val="left"/>
              <w:rPr>
                <w:rFonts w:ascii="宋体" w:hAnsi="宋体" w:cs="宋体"/>
                <w:b/>
                <w:bCs/>
                <w:kern w:val="0"/>
                <w:szCs w:val="21"/>
              </w:rPr>
            </w:pPr>
            <w:r>
              <w:rPr>
                <w:rFonts w:hint="eastAsia" w:ascii="宋体" w:hAnsi="宋体" w:cs="宋体"/>
                <w:b/>
                <w:bCs/>
                <w:kern w:val="0"/>
                <w:szCs w:val="21"/>
              </w:rPr>
              <w:t>报价得分=评标基准价／投标报价×20</w:t>
            </w:r>
          </w:p>
          <w:p>
            <w:pPr>
              <w:widowControl/>
              <w:spacing w:line="276" w:lineRule="auto"/>
              <w:jc w:val="left"/>
              <w:rPr>
                <w:rFonts w:ascii="宋体" w:hAnsi="宋体" w:cs="宋体"/>
                <w:kern w:val="0"/>
                <w:szCs w:val="21"/>
              </w:rPr>
            </w:pPr>
            <w:r>
              <w:rPr>
                <w:rFonts w:hint="eastAsia" w:ascii="宋体" w:hAnsi="宋体" w:cs="宋体"/>
                <w:kern w:val="0"/>
                <w:szCs w:val="21"/>
              </w:rPr>
              <w:t>注：计算结果保留小数点后两位。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743"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信誉</w:t>
            </w:r>
          </w:p>
          <w:p>
            <w:pPr>
              <w:widowControl/>
              <w:adjustRightInd w:val="0"/>
              <w:snapToGrid w:val="0"/>
              <w:jc w:val="center"/>
              <w:rPr>
                <w:rFonts w:ascii="宋体" w:hAnsi="宋体" w:cs="宋体"/>
                <w:kern w:val="0"/>
                <w:szCs w:val="21"/>
              </w:rPr>
            </w:pPr>
            <w:r>
              <w:rPr>
                <w:rFonts w:hint="eastAsia" w:ascii="宋体" w:hAnsi="宋体" w:cs="宋体"/>
                <w:kern w:val="0"/>
                <w:szCs w:val="21"/>
              </w:rPr>
              <w:t>（20分）</w:t>
            </w:r>
          </w:p>
        </w:tc>
        <w:tc>
          <w:tcPr>
            <w:tcW w:w="8012" w:type="dxa"/>
            <w:vAlign w:val="center"/>
          </w:tcPr>
          <w:p>
            <w:pPr>
              <w:snapToGrid w:val="0"/>
            </w:pPr>
            <w:r>
              <w:rPr>
                <w:rFonts w:hint="eastAsia"/>
              </w:rPr>
              <w:t>1、投标人获得省级及以上工商行政主管部门颁发的 “守合同重信用”荣誉的得4.5分；具有AAA级企业信用等级证书及企业信用报告者，得4.5分。满分9分（提供原件备查，否则不得分）。</w:t>
            </w:r>
          </w:p>
          <w:p>
            <w:pPr>
              <w:snapToGrid w:val="0"/>
            </w:pPr>
            <w:r>
              <w:rPr>
                <w:rFonts w:hint="eastAsia"/>
              </w:rPr>
              <w:t>2、2014年1月1日以来获得市级以上建设行政主管部门或行业协会颁发的优秀施工企业荣誉称号，每提供一项得3分，满分6分。（须提供证书原件及相应的红头文件原件备查，否则不得分）</w:t>
            </w:r>
          </w:p>
          <w:p>
            <w:pPr>
              <w:snapToGrid w:val="0"/>
              <w:rPr>
                <w:rFonts w:ascii="宋体" w:hAnsi="宋体" w:cs="宋体"/>
              </w:rPr>
            </w:pPr>
            <w:r>
              <w:rPr>
                <w:rFonts w:hint="eastAsia" w:ascii="宋体" w:hAnsi="宋体" w:cs="宋体"/>
              </w:rPr>
              <w:t>3、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p>
            <w:pPr>
              <w:snapToGrid w:val="0"/>
              <w:rPr>
                <w:rFonts w:ascii="宋体" w:hAnsi="宋体" w:cs="宋体"/>
              </w:rPr>
            </w:pPr>
            <w:r>
              <w:rPr>
                <w:rFonts w:hint="eastAsia"/>
              </w:rPr>
              <w:t>4、投标人提供国际质量管理体系认证证书、环境管理体系认证证书、职业健康安全管理体系认证证书的每有一项得1分，满分3分（提供原件备查，否则不得分）。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1743" w:type="dxa"/>
            <w:vAlign w:val="center"/>
          </w:tcPr>
          <w:p>
            <w:pPr>
              <w:widowControl/>
              <w:adjustRightInd w:val="0"/>
              <w:snapToGrid w:val="0"/>
              <w:jc w:val="center"/>
              <w:rPr>
                <w:rFonts w:ascii="宋体" w:hAnsi="宋体" w:cs="宋体"/>
                <w:kern w:val="0"/>
                <w:szCs w:val="21"/>
              </w:rPr>
            </w:pPr>
            <w:r>
              <w:rPr>
                <w:rFonts w:hint="eastAsia" w:ascii="宋体" w:hAnsi="宋体" w:cs="宋体"/>
                <w:bCs/>
                <w:kern w:val="0"/>
                <w:szCs w:val="21"/>
              </w:rPr>
              <w:t>人员配备情况（10分）</w:t>
            </w:r>
          </w:p>
        </w:tc>
        <w:tc>
          <w:tcPr>
            <w:tcW w:w="8012" w:type="dxa"/>
            <w:vAlign w:val="center"/>
          </w:tcPr>
          <w:p>
            <w:pPr>
              <w:snapToGrid w:val="0"/>
            </w:pPr>
            <w:r>
              <w:rPr>
                <w:rFonts w:hint="eastAsia"/>
              </w:rPr>
              <w:t>1、拟投入项目人员中有施工员、质量员、安全员、材料员、资料员，每提供1种得1分，满分5分。（提供岗位证书原件备查，否则不得分）</w:t>
            </w:r>
          </w:p>
          <w:p>
            <w:pPr>
              <w:snapToGrid w:val="0"/>
              <w:rPr>
                <w:rFonts w:ascii="宋体" w:hAnsi="宋体" w:cs="宋体"/>
              </w:rPr>
            </w:pPr>
            <w:r>
              <w:rPr>
                <w:rFonts w:hint="eastAsia"/>
              </w:rPr>
              <w:t>2、拟投入项目人员中有经考核合格或培训合格的高压电工、低压电工、维修电工、安装电工人员的，每提供1种得1分，人员配备工种齐全的得5分。满分5分。（提供证书原件备查，否则不得分）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743" w:type="dxa"/>
            <w:vAlign w:val="center"/>
          </w:tcPr>
          <w:p>
            <w:pPr>
              <w:jc w:val="center"/>
              <w:rPr>
                <w:rFonts w:ascii="宋体" w:hAnsi="宋体" w:cs="宋体"/>
                <w:kern w:val="0"/>
                <w:szCs w:val="21"/>
              </w:rPr>
            </w:pPr>
            <w:r>
              <w:rPr>
                <w:rFonts w:hint="eastAsia" w:ascii="宋体" w:hAnsi="宋体" w:cs="宋体"/>
                <w:kern w:val="0"/>
                <w:szCs w:val="21"/>
              </w:rPr>
              <w:t>业绩</w:t>
            </w:r>
          </w:p>
          <w:p>
            <w:pPr>
              <w:jc w:val="center"/>
              <w:rPr>
                <w:rFonts w:ascii="宋体" w:hAnsi="宋体" w:cs="宋体"/>
                <w:kern w:val="0"/>
                <w:szCs w:val="21"/>
              </w:rPr>
            </w:pPr>
            <w:r>
              <w:rPr>
                <w:rFonts w:hint="eastAsia" w:ascii="宋体" w:hAnsi="宋体" w:cs="宋体"/>
                <w:kern w:val="0"/>
                <w:szCs w:val="21"/>
              </w:rPr>
              <w:t>（10分）</w:t>
            </w:r>
          </w:p>
        </w:tc>
        <w:tc>
          <w:tcPr>
            <w:tcW w:w="8012" w:type="dxa"/>
            <w:vAlign w:val="center"/>
          </w:tcPr>
          <w:p>
            <w:pPr>
              <w:rPr>
                <w:rFonts w:ascii="宋体" w:hAnsi="宋体" w:cs="宋体"/>
                <w:szCs w:val="21"/>
              </w:rPr>
            </w:pPr>
            <w:r>
              <w:rPr>
                <w:rFonts w:hint="eastAsia"/>
              </w:rPr>
              <w:t>投标人提供有2014年1月1日以来单项合同金额120万元及以上类似项目业绩，每项5分，满分10分。（以合同签订日期为准，必须是以投标人名义签订的合同且项目真实，提供合同原件备查,否则不得分）。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1743" w:type="dxa"/>
            <w:vAlign w:val="center"/>
          </w:tcPr>
          <w:p>
            <w:pPr>
              <w:widowControl/>
              <w:jc w:val="center"/>
              <w:rPr>
                <w:rFonts w:ascii="宋体" w:hAnsi="宋体" w:cs="宋体"/>
                <w:kern w:val="0"/>
                <w:szCs w:val="21"/>
              </w:rPr>
            </w:pPr>
            <w:r>
              <w:rPr>
                <w:rFonts w:hint="eastAsia" w:ascii="宋体" w:hAnsi="宋体" w:cs="宋体"/>
                <w:kern w:val="0"/>
                <w:szCs w:val="21"/>
              </w:rPr>
              <w:t>维修养护方案及服务承诺（35分）</w:t>
            </w:r>
          </w:p>
        </w:tc>
        <w:tc>
          <w:tcPr>
            <w:tcW w:w="8012" w:type="dxa"/>
            <w:vAlign w:val="center"/>
          </w:tcPr>
          <w:p>
            <w:r>
              <w:rPr>
                <w:rFonts w:hint="eastAsia"/>
              </w:rPr>
              <w:t>1、对本项目详细的维修养护技术方案（好，5分；较好，3分；一般，1分；缺项不得分）。</w:t>
            </w:r>
          </w:p>
          <w:p>
            <w:r>
              <w:rPr>
                <w:rFonts w:hint="eastAsia"/>
              </w:rPr>
              <w:t>2、安全作业制度、安全保卫制度及公共秩序管理方案（好，5分；较好，3分；一般，1分；缺项不得分）。</w:t>
            </w:r>
          </w:p>
          <w:p>
            <w:r>
              <w:rPr>
                <w:rFonts w:hint="eastAsia"/>
              </w:rPr>
              <w:t>3、项目管理组织机构、人员配备、运作流程（好，5分；较好，3分；一般，1分；缺项不得分）。</w:t>
            </w:r>
          </w:p>
          <w:p>
            <w:r>
              <w:rPr>
                <w:rFonts w:hint="eastAsia"/>
              </w:rPr>
              <w:t>4、维修养护作业设备配备计划（好，5分；较好，3分；一般，1分；缺项不得分）。</w:t>
            </w:r>
          </w:p>
          <w:p>
            <w:r>
              <w:rPr>
                <w:rFonts w:hint="eastAsia"/>
              </w:rPr>
              <w:t>5、质量、安全、环境保护管理措施与计划（好，5分；较好，3分；一般，1分；缺项不得分）。</w:t>
            </w:r>
          </w:p>
          <w:p>
            <w:r>
              <w:rPr>
                <w:rFonts w:hint="eastAsia"/>
              </w:rPr>
              <w:t>6、提供维修养护服务期间照明效果、设备设施运行管理及承诺（好，5分；较好，3分；一般，1分；缺项不得分）。</w:t>
            </w:r>
          </w:p>
          <w:p>
            <w:r>
              <w:rPr>
                <w:rFonts w:hint="eastAsia"/>
              </w:rPr>
              <w:t>7、服务管理各项质量指标的承诺（好，5分；较好，3分；一般，1分；缺项不得分）。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743" w:type="dxa"/>
            <w:vAlign w:val="center"/>
          </w:tcPr>
          <w:p>
            <w:pPr>
              <w:widowControl/>
              <w:jc w:val="center"/>
              <w:textAlignment w:val="center"/>
              <w:rPr>
                <w:rFonts w:ascii="宋体" w:hAnsi="宋体" w:cs="宋体"/>
                <w:kern w:val="0"/>
              </w:rPr>
            </w:pPr>
            <w:r>
              <w:rPr>
                <w:rFonts w:hint="eastAsia" w:ascii="宋体" w:hAnsi="宋体" w:cs="宋体"/>
                <w:bCs/>
                <w:kern w:val="0"/>
                <w:szCs w:val="21"/>
              </w:rPr>
              <w:t>对招标文件的响应程度（5分）</w:t>
            </w:r>
          </w:p>
        </w:tc>
        <w:tc>
          <w:tcPr>
            <w:tcW w:w="8012" w:type="dxa"/>
            <w:vAlign w:val="center"/>
          </w:tcPr>
          <w:p>
            <w:pPr>
              <w:widowControl/>
              <w:jc w:val="left"/>
              <w:textAlignment w:val="center"/>
              <w:rPr>
                <w:rFonts w:ascii="宋体" w:hAnsi="宋体" w:cs="宋体"/>
                <w:bCs/>
                <w:kern w:val="0"/>
                <w:szCs w:val="21"/>
              </w:rPr>
            </w:pPr>
            <w:r>
              <w:rPr>
                <w:rFonts w:hint="eastAsia" w:ascii="宋体" w:hAnsi="宋体" w:cs="宋体"/>
                <w:bCs/>
                <w:kern w:val="0"/>
                <w:szCs w:val="21"/>
              </w:rPr>
              <w:t>投标人对项目需求的响应程度：</w:t>
            </w:r>
          </w:p>
          <w:p>
            <w:pPr>
              <w:widowControl/>
              <w:jc w:val="left"/>
              <w:textAlignment w:val="center"/>
              <w:rPr>
                <w:rFonts w:ascii="宋体" w:hAnsi="宋体" w:cs="宋体"/>
                <w:bCs/>
                <w:szCs w:val="21"/>
              </w:rPr>
            </w:pPr>
            <w:r>
              <w:rPr>
                <w:rFonts w:hint="eastAsia" w:ascii="宋体" w:hAnsi="宋体" w:cs="宋体"/>
                <w:bCs/>
                <w:kern w:val="0"/>
                <w:szCs w:val="21"/>
              </w:rPr>
              <w:t>有优于招标文件要求的得5分；符合招标文件要求的得1分。本项最高得5分。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9755" w:type="dxa"/>
            <w:gridSpan w:val="2"/>
            <w:vAlign w:val="center"/>
          </w:tcPr>
          <w:p>
            <w:pPr>
              <w:widowControl/>
              <w:ind w:firstLine="420" w:firstLineChars="200"/>
              <w:jc w:val="left"/>
              <w:textAlignment w:val="center"/>
              <w:rPr>
                <w:rFonts w:ascii="宋体" w:hAnsi="宋体" w:cs="宋体"/>
                <w:bCs/>
                <w:kern w:val="0"/>
                <w:szCs w:val="21"/>
              </w:rPr>
            </w:pPr>
            <w:r>
              <w:rPr>
                <w:rFonts w:hint="eastAsia" w:ascii="宋体" w:hAnsi="宋体" w:cs="宋体"/>
                <w:bCs/>
                <w:kern w:val="0"/>
                <w:szCs w:val="21"/>
              </w:rPr>
              <w:t>全体评标委员会成员对投标人评分的算术平均值即为该投标人的最终评标得分，评分和计算结果均保留小数点后2位（采用四舍五入法）。</w:t>
            </w:r>
          </w:p>
          <w:p>
            <w:pPr>
              <w:widowControl/>
              <w:ind w:firstLine="420" w:firstLineChars="200"/>
              <w:jc w:val="left"/>
              <w:textAlignment w:val="center"/>
              <w:rPr>
                <w:rFonts w:ascii="宋体" w:hAnsi="宋体" w:cs="宋体"/>
                <w:bCs/>
                <w:kern w:val="0"/>
                <w:szCs w:val="21"/>
              </w:rPr>
            </w:pPr>
            <w:r>
              <w:rPr>
                <w:rFonts w:hint="eastAsia" w:ascii="宋体" w:hAnsi="宋体" w:cs="宋体"/>
                <w:bCs/>
                <w:kern w:val="0"/>
                <w:szCs w:val="21"/>
              </w:rPr>
              <w:t>本评分标准中所要求提供的各种证明材料，投标文件中附复印件，且在评标时按要求提供与复印件一致的原件，否则不得分。</w:t>
            </w:r>
          </w:p>
          <w:p>
            <w:pPr>
              <w:widowControl/>
              <w:ind w:firstLine="420" w:firstLineChars="200"/>
              <w:jc w:val="left"/>
              <w:textAlignment w:val="center"/>
              <w:rPr>
                <w:rFonts w:ascii="宋体" w:hAnsi="宋体" w:cs="宋体"/>
                <w:bCs/>
                <w:kern w:val="0"/>
                <w:szCs w:val="21"/>
              </w:rPr>
            </w:pPr>
            <w:r>
              <w:rPr>
                <w:rFonts w:hint="eastAsia" w:ascii="宋体" w:hAnsi="宋体" w:cs="宋体"/>
                <w:bCs/>
                <w:kern w:val="0"/>
                <w:szCs w:val="21"/>
              </w:rPr>
              <w:t>上述原件需单独包装，外贴“投标人原件提交、领取一览表”【详见附件】。</w:t>
            </w:r>
          </w:p>
          <w:p>
            <w:pPr>
              <w:widowControl/>
              <w:ind w:firstLine="420" w:firstLineChars="200"/>
              <w:jc w:val="left"/>
              <w:textAlignment w:val="center"/>
              <w:rPr>
                <w:rFonts w:ascii="宋体" w:hAnsi="宋体" w:cs="宋体"/>
                <w:bCs/>
                <w:kern w:val="0"/>
                <w:szCs w:val="21"/>
              </w:rPr>
            </w:pPr>
            <w:r>
              <w:rPr>
                <w:rFonts w:hint="eastAsia" w:ascii="宋体" w:hAnsi="宋体" w:cs="宋体"/>
                <w:bCs/>
                <w:kern w:val="0"/>
                <w:szCs w:val="21"/>
              </w:rPr>
              <w:t>（上述原件属于投标文件的组成部分，在投标时应随投标文件同时递交，经评标委员会查验投标文件中的复印件与投标人所提供的原件进行比对，待评审结束后退还给投标人。）</w:t>
            </w:r>
          </w:p>
        </w:tc>
      </w:tr>
    </w:tbl>
    <w:p>
      <w:pPr>
        <w:pStyle w:val="2"/>
        <w:ind w:firstLine="0" w:firstLineChars="0"/>
      </w:pPr>
      <w:r>
        <w:rPr>
          <w:rFonts w:hint="eastAsia"/>
        </w:rPr>
        <w:br w:type="page"/>
      </w:r>
    </w:p>
    <w:p>
      <w:pPr>
        <w:spacing w:line="360" w:lineRule="auto"/>
        <w:rPr>
          <w:rFonts w:ascii="宋体" w:hAnsi="宋体" w:cs="宋体"/>
          <w:bCs/>
          <w:sz w:val="28"/>
          <w:szCs w:val="28"/>
        </w:rPr>
      </w:pPr>
      <w:r>
        <w:rPr>
          <w:rFonts w:hint="eastAsia" w:ascii="宋体" w:hAnsi="宋体" w:cs="宋体"/>
          <w:bCs/>
          <w:sz w:val="28"/>
          <w:szCs w:val="28"/>
        </w:rPr>
        <w:t>附件一：原件提交、领取一览表</w:t>
      </w:r>
    </w:p>
    <w:p>
      <w:pPr>
        <w:rPr>
          <w:rFonts w:ascii="宋体" w:hAnsi="宋体" w:cs="宋体"/>
          <w:sz w:val="28"/>
          <w:szCs w:val="28"/>
        </w:rPr>
      </w:pPr>
      <w:bookmarkStart w:id="0" w:name="_Toc29589"/>
      <w:r>
        <w:rPr>
          <w:rFonts w:hint="eastAsia" w:ascii="宋体" w:hAnsi="宋体" w:cs="宋体"/>
          <w:sz w:val="28"/>
          <w:szCs w:val="28"/>
        </w:rPr>
        <w:t>（项目名称、标段）</w:t>
      </w:r>
      <w:bookmarkEnd w:id="0"/>
    </w:p>
    <w:p>
      <w:pPr>
        <w:jc w:val="center"/>
        <w:rPr>
          <w:rFonts w:ascii="宋体" w:hAnsi="宋体" w:cs="宋体"/>
          <w:b/>
          <w:bCs/>
          <w:sz w:val="28"/>
          <w:szCs w:val="28"/>
        </w:rPr>
      </w:pPr>
      <w:bookmarkStart w:id="1" w:name="_Toc6119"/>
      <w:r>
        <w:rPr>
          <w:rFonts w:hint="eastAsia" w:ascii="宋体" w:hAnsi="宋体" w:cs="宋体"/>
          <w:b/>
          <w:bCs/>
          <w:sz w:val="28"/>
          <w:szCs w:val="28"/>
        </w:rPr>
        <w:t>投标人原件提交、领取一览表</w:t>
      </w:r>
      <w:bookmarkEnd w:id="1"/>
    </w:p>
    <w:tbl>
      <w:tblPr>
        <w:tblStyle w:val="11"/>
        <w:tblpPr w:leftFromText="180" w:rightFromText="180" w:vertAnchor="text" w:horzAnchor="page" w:tblpX="1511" w:tblpY="22"/>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89"/>
        <w:gridCol w:w="785"/>
        <w:gridCol w:w="1259"/>
        <w:gridCol w:w="900"/>
        <w:gridCol w:w="839"/>
        <w:gridCol w:w="712"/>
        <w:gridCol w:w="729"/>
        <w:gridCol w:w="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4299" w:type="dxa"/>
            <w:gridSpan w:val="4"/>
            <w:vAlign w:val="center"/>
          </w:tcPr>
          <w:p>
            <w:pPr>
              <w:ind w:firstLine="560"/>
              <w:jc w:val="center"/>
              <w:rPr>
                <w:rFonts w:ascii="宋体" w:hAnsi="宋体" w:cs="宋体"/>
                <w:sz w:val="24"/>
              </w:rPr>
            </w:pPr>
            <w:r>
              <w:rPr>
                <w:rFonts w:hint="eastAsia" w:ascii="宋体" w:hAnsi="宋体" w:cs="宋体"/>
                <w:sz w:val="24"/>
              </w:rPr>
              <w:t>投标人（盖章）</w:t>
            </w:r>
          </w:p>
        </w:tc>
        <w:tc>
          <w:tcPr>
            <w:tcW w:w="5045" w:type="dxa"/>
            <w:gridSpan w:val="6"/>
            <w:vAlign w:val="center"/>
          </w:tcPr>
          <w:p>
            <w:pPr>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66" w:type="dxa"/>
            <w:vAlign w:val="center"/>
          </w:tcPr>
          <w:p>
            <w:pPr>
              <w:jc w:val="center"/>
              <w:rPr>
                <w:rFonts w:ascii="宋体" w:hAnsi="宋体" w:cs="宋体"/>
                <w:sz w:val="24"/>
              </w:rPr>
            </w:pPr>
            <w:r>
              <w:rPr>
                <w:rFonts w:hint="eastAsia" w:ascii="宋体" w:hAnsi="宋体" w:cs="宋体"/>
                <w:sz w:val="24"/>
              </w:rPr>
              <w:t>序号</w:t>
            </w:r>
          </w:p>
        </w:tc>
        <w:tc>
          <w:tcPr>
            <w:tcW w:w="4672" w:type="dxa"/>
            <w:gridSpan w:val="5"/>
            <w:vAlign w:val="center"/>
          </w:tcPr>
          <w:p>
            <w:pPr>
              <w:ind w:firstLine="560"/>
              <w:jc w:val="center"/>
              <w:rPr>
                <w:rFonts w:ascii="宋体" w:hAnsi="宋体" w:cs="宋体"/>
                <w:sz w:val="24"/>
              </w:rPr>
            </w:pPr>
            <w:r>
              <w:rPr>
                <w:rFonts w:hint="eastAsia" w:ascii="宋体" w:hAnsi="宋体" w:cs="宋体"/>
                <w:sz w:val="24"/>
              </w:rPr>
              <w:t>证件名称</w:t>
            </w:r>
          </w:p>
        </w:tc>
        <w:tc>
          <w:tcPr>
            <w:tcW w:w="1441" w:type="dxa"/>
            <w:gridSpan w:val="2"/>
            <w:vAlign w:val="center"/>
          </w:tcPr>
          <w:p>
            <w:pPr>
              <w:jc w:val="center"/>
              <w:rPr>
                <w:rFonts w:ascii="宋体" w:hAnsi="宋体" w:cs="宋体"/>
                <w:sz w:val="24"/>
              </w:rPr>
            </w:pPr>
            <w:r>
              <w:rPr>
                <w:rFonts w:hint="eastAsia" w:ascii="宋体" w:hAnsi="宋体" w:cs="宋体"/>
                <w:sz w:val="24"/>
              </w:rPr>
              <w:t>份数</w:t>
            </w:r>
          </w:p>
        </w:tc>
        <w:tc>
          <w:tcPr>
            <w:tcW w:w="1865" w:type="dxa"/>
            <w:gridSpan w:val="2"/>
            <w:vAlign w:val="center"/>
          </w:tcPr>
          <w:p>
            <w:pPr>
              <w:ind w:firstLine="560"/>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66" w:type="dxa"/>
            <w:vAlign w:val="center"/>
          </w:tcPr>
          <w:p>
            <w:pPr>
              <w:jc w:val="center"/>
              <w:rPr>
                <w:rFonts w:ascii="宋体" w:hAnsi="宋体" w:cs="宋体"/>
                <w:sz w:val="24"/>
              </w:rPr>
            </w:pPr>
            <w:r>
              <w:rPr>
                <w:rFonts w:hint="eastAsia" w:ascii="宋体" w:hAnsi="宋体" w:cs="宋体"/>
                <w:sz w:val="24"/>
              </w:rPr>
              <w:t>1</w:t>
            </w:r>
          </w:p>
        </w:tc>
        <w:tc>
          <w:tcPr>
            <w:tcW w:w="4672" w:type="dxa"/>
            <w:gridSpan w:val="5"/>
            <w:vAlign w:val="center"/>
          </w:tcPr>
          <w:p>
            <w:pPr>
              <w:ind w:firstLine="560"/>
              <w:jc w:val="center"/>
              <w:rPr>
                <w:rFonts w:ascii="宋体" w:hAnsi="宋体" w:cs="宋体"/>
                <w:sz w:val="24"/>
              </w:rPr>
            </w:pPr>
          </w:p>
        </w:tc>
        <w:tc>
          <w:tcPr>
            <w:tcW w:w="1441" w:type="dxa"/>
            <w:gridSpan w:val="2"/>
            <w:vAlign w:val="center"/>
          </w:tcPr>
          <w:p>
            <w:pPr>
              <w:ind w:firstLine="560"/>
              <w:jc w:val="center"/>
              <w:rPr>
                <w:rFonts w:ascii="宋体" w:hAnsi="宋体" w:cs="宋体"/>
                <w:sz w:val="24"/>
              </w:rPr>
            </w:pPr>
          </w:p>
        </w:tc>
        <w:tc>
          <w:tcPr>
            <w:tcW w:w="1865" w:type="dxa"/>
            <w:gridSpan w:val="2"/>
            <w:vAlign w:val="center"/>
          </w:tcPr>
          <w:p>
            <w:pPr>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66" w:type="dxa"/>
            <w:vAlign w:val="center"/>
          </w:tcPr>
          <w:p>
            <w:pPr>
              <w:jc w:val="center"/>
              <w:rPr>
                <w:rFonts w:ascii="宋体" w:hAnsi="宋体" w:cs="宋体"/>
                <w:sz w:val="24"/>
              </w:rPr>
            </w:pPr>
            <w:r>
              <w:rPr>
                <w:rFonts w:hint="eastAsia" w:ascii="宋体" w:hAnsi="宋体" w:cs="宋体"/>
                <w:sz w:val="24"/>
              </w:rPr>
              <w:t>2</w:t>
            </w:r>
          </w:p>
        </w:tc>
        <w:tc>
          <w:tcPr>
            <w:tcW w:w="4672" w:type="dxa"/>
            <w:gridSpan w:val="5"/>
            <w:vAlign w:val="center"/>
          </w:tcPr>
          <w:p>
            <w:pPr>
              <w:ind w:firstLine="560"/>
              <w:jc w:val="center"/>
              <w:rPr>
                <w:rFonts w:ascii="宋体" w:hAnsi="宋体" w:cs="宋体"/>
                <w:sz w:val="24"/>
              </w:rPr>
            </w:pPr>
          </w:p>
        </w:tc>
        <w:tc>
          <w:tcPr>
            <w:tcW w:w="1441" w:type="dxa"/>
            <w:gridSpan w:val="2"/>
            <w:vAlign w:val="center"/>
          </w:tcPr>
          <w:p>
            <w:pPr>
              <w:ind w:firstLine="560"/>
              <w:jc w:val="center"/>
              <w:rPr>
                <w:rFonts w:ascii="宋体" w:hAnsi="宋体" w:cs="宋体"/>
                <w:sz w:val="24"/>
              </w:rPr>
            </w:pPr>
          </w:p>
        </w:tc>
        <w:tc>
          <w:tcPr>
            <w:tcW w:w="1865" w:type="dxa"/>
            <w:gridSpan w:val="2"/>
            <w:vAlign w:val="center"/>
          </w:tcPr>
          <w:p>
            <w:pPr>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66" w:type="dxa"/>
            <w:vAlign w:val="center"/>
          </w:tcPr>
          <w:p>
            <w:pPr>
              <w:jc w:val="center"/>
              <w:rPr>
                <w:rFonts w:ascii="宋体" w:hAnsi="宋体" w:cs="宋体"/>
                <w:sz w:val="24"/>
              </w:rPr>
            </w:pPr>
            <w:r>
              <w:rPr>
                <w:rFonts w:hint="eastAsia" w:ascii="宋体" w:hAnsi="宋体" w:cs="宋体"/>
                <w:sz w:val="24"/>
              </w:rPr>
              <w:t>3</w:t>
            </w:r>
          </w:p>
        </w:tc>
        <w:tc>
          <w:tcPr>
            <w:tcW w:w="4672" w:type="dxa"/>
            <w:gridSpan w:val="5"/>
            <w:vAlign w:val="center"/>
          </w:tcPr>
          <w:p>
            <w:pPr>
              <w:ind w:firstLine="560"/>
              <w:jc w:val="center"/>
              <w:rPr>
                <w:rFonts w:ascii="宋体" w:hAnsi="宋体" w:cs="宋体"/>
                <w:sz w:val="24"/>
              </w:rPr>
            </w:pPr>
          </w:p>
        </w:tc>
        <w:tc>
          <w:tcPr>
            <w:tcW w:w="1441" w:type="dxa"/>
            <w:gridSpan w:val="2"/>
            <w:vAlign w:val="center"/>
          </w:tcPr>
          <w:p>
            <w:pPr>
              <w:ind w:firstLine="560"/>
              <w:jc w:val="center"/>
              <w:rPr>
                <w:rFonts w:ascii="宋体" w:hAnsi="宋体" w:cs="宋体"/>
                <w:sz w:val="24"/>
              </w:rPr>
            </w:pPr>
          </w:p>
        </w:tc>
        <w:tc>
          <w:tcPr>
            <w:tcW w:w="1865" w:type="dxa"/>
            <w:gridSpan w:val="2"/>
            <w:vAlign w:val="center"/>
          </w:tcPr>
          <w:p>
            <w:pPr>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66" w:type="dxa"/>
            <w:vAlign w:val="center"/>
          </w:tcPr>
          <w:p>
            <w:pPr>
              <w:jc w:val="center"/>
              <w:rPr>
                <w:rFonts w:ascii="宋体" w:hAnsi="宋体" w:cs="宋体"/>
                <w:sz w:val="24"/>
              </w:rPr>
            </w:pPr>
            <w:r>
              <w:rPr>
                <w:rFonts w:hint="eastAsia" w:ascii="宋体" w:hAnsi="宋体" w:cs="宋体"/>
                <w:sz w:val="24"/>
              </w:rPr>
              <w:t>4</w:t>
            </w:r>
          </w:p>
        </w:tc>
        <w:tc>
          <w:tcPr>
            <w:tcW w:w="4672" w:type="dxa"/>
            <w:gridSpan w:val="5"/>
            <w:vAlign w:val="center"/>
          </w:tcPr>
          <w:p>
            <w:pPr>
              <w:ind w:firstLine="560"/>
              <w:jc w:val="center"/>
              <w:rPr>
                <w:rFonts w:ascii="宋体" w:hAnsi="宋体" w:cs="宋体"/>
                <w:sz w:val="24"/>
              </w:rPr>
            </w:pPr>
          </w:p>
        </w:tc>
        <w:tc>
          <w:tcPr>
            <w:tcW w:w="1441" w:type="dxa"/>
            <w:gridSpan w:val="2"/>
            <w:vAlign w:val="center"/>
          </w:tcPr>
          <w:p>
            <w:pPr>
              <w:ind w:firstLine="560"/>
              <w:jc w:val="center"/>
              <w:rPr>
                <w:rFonts w:ascii="宋体" w:hAnsi="宋体" w:cs="宋体"/>
                <w:sz w:val="24"/>
              </w:rPr>
            </w:pPr>
          </w:p>
        </w:tc>
        <w:tc>
          <w:tcPr>
            <w:tcW w:w="1865" w:type="dxa"/>
            <w:gridSpan w:val="2"/>
            <w:vAlign w:val="center"/>
          </w:tcPr>
          <w:p>
            <w:pPr>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66" w:type="dxa"/>
            <w:vAlign w:val="center"/>
          </w:tcPr>
          <w:p>
            <w:pPr>
              <w:jc w:val="center"/>
              <w:rPr>
                <w:rFonts w:ascii="宋体" w:hAnsi="宋体" w:cs="宋体"/>
                <w:sz w:val="24"/>
              </w:rPr>
            </w:pPr>
            <w:r>
              <w:rPr>
                <w:rFonts w:hint="eastAsia" w:ascii="宋体" w:hAnsi="宋体" w:cs="宋体"/>
                <w:sz w:val="24"/>
              </w:rPr>
              <w:t>5</w:t>
            </w:r>
          </w:p>
        </w:tc>
        <w:tc>
          <w:tcPr>
            <w:tcW w:w="4672" w:type="dxa"/>
            <w:gridSpan w:val="5"/>
            <w:vAlign w:val="center"/>
          </w:tcPr>
          <w:p>
            <w:pPr>
              <w:ind w:firstLine="560"/>
              <w:jc w:val="center"/>
              <w:rPr>
                <w:rFonts w:ascii="宋体" w:hAnsi="宋体" w:cs="宋体"/>
                <w:sz w:val="24"/>
              </w:rPr>
            </w:pPr>
          </w:p>
        </w:tc>
        <w:tc>
          <w:tcPr>
            <w:tcW w:w="1441" w:type="dxa"/>
            <w:gridSpan w:val="2"/>
            <w:vAlign w:val="center"/>
          </w:tcPr>
          <w:p>
            <w:pPr>
              <w:ind w:firstLine="560"/>
              <w:jc w:val="center"/>
              <w:rPr>
                <w:rFonts w:ascii="宋体" w:hAnsi="宋体" w:cs="宋体"/>
                <w:sz w:val="24"/>
              </w:rPr>
            </w:pPr>
          </w:p>
        </w:tc>
        <w:tc>
          <w:tcPr>
            <w:tcW w:w="1865" w:type="dxa"/>
            <w:gridSpan w:val="2"/>
            <w:vAlign w:val="center"/>
          </w:tcPr>
          <w:p>
            <w:pPr>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66" w:type="dxa"/>
            <w:vAlign w:val="center"/>
          </w:tcPr>
          <w:p>
            <w:pPr>
              <w:jc w:val="center"/>
              <w:rPr>
                <w:rFonts w:ascii="宋体" w:hAnsi="宋体" w:cs="宋体"/>
                <w:sz w:val="24"/>
              </w:rPr>
            </w:pPr>
            <w:r>
              <w:rPr>
                <w:rFonts w:hint="eastAsia" w:ascii="宋体" w:hAnsi="宋体" w:cs="宋体"/>
                <w:sz w:val="24"/>
              </w:rPr>
              <w:t>6</w:t>
            </w:r>
          </w:p>
        </w:tc>
        <w:tc>
          <w:tcPr>
            <w:tcW w:w="4672" w:type="dxa"/>
            <w:gridSpan w:val="5"/>
            <w:vAlign w:val="center"/>
          </w:tcPr>
          <w:p>
            <w:pPr>
              <w:ind w:firstLine="560"/>
              <w:jc w:val="center"/>
              <w:rPr>
                <w:rFonts w:ascii="宋体" w:hAnsi="宋体" w:cs="宋体"/>
                <w:sz w:val="24"/>
              </w:rPr>
            </w:pPr>
          </w:p>
        </w:tc>
        <w:tc>
          <w:tcPr>
            <w:tcW w:w="1441" w:type="dxa"/>
            <w:gridSpan w:val="2"/>
            <w:vAlign w:val="center"/>
          </w:tcPr>
          <w:p>
            <w:pPr>
              <w:ind w:firstLine="560"/>
              <w:jc w:val="center"/>
              <w:rPr>
                <w:rFonts w:ascii="宋体" w:hAnsi="宋体" w:cs="宋体"/>
                <w:sz w:val="24"/>
              </w:rPr>
            </w:pPr>
          </w:p>
        </w:tc>
        <w:tc>
          <w:tcPr>
            <w:tcW w:w="1865" w:type="dxa"/>
            <w:gridSpan w:val="2"/>
            <w:vAlign w:val="center"/>
          </w:tcPr>
          <w:p>
            <w:pPr>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66" w:type="dxa"/>
            <w:vAlign w:val="center"/>
          </w:tcPr>
          <w:p>
            <w:pPr>
              <w:jc w:val="center"/>
              <w:rPr>
                <w:rFonts w:ascii="宋体" w:hAnsi="宋体" w:cs="宋体"/>
                <w:sz w:val="24"/>
              </w:rPr>
            </w:pPr>
            <w:r>
              <w:rPr>
                <w:rFonts w:hint="eastAsia" w:ascii="宋体" w:hAnsi="宋体" w:cs="宋体"/>
                <w:sz w:val="24"/>
              </w:rPr>
              <w:t>7</w:t>
            </w:r>
          </w:p>
        </w:tc>
        <w:tc>
          <w:tcPr>
            <w:tcW w:w="4672" w:type="dxa"/>
            <w:gridSpan w:val="5"/>
            <w:vAlign w:val="center"/>
          </w:tcPr>
          <w:p>
            <w:pPr>
              <w:ind w:firstLine="560"/>
              <w:jc w:val="center"/>
              <w:rPr>
                <w:rFonts w:ascii="宋体" w:hAnsi="宋体" w:cs="宋体"/>
                <w:sz w:val="24"/>
              </w:rPr>
            </w:pPr>
          </w:p>
        </w:tc>
        <w:tc>
          <w:tcPr>
            <w:tcW w:w="1441" w:type="dxa"/>
            <w:gridSpan w:val="2"/>
            <w:vAlign w:val="center"/>
          </w:tcPr>
          <w:p>
            <w:pPr>
              <w:ind w:firstLine="560"/>
              <w:jc w:val="center"/>
              <w:rPr>
                <w:rFonts w:ascii="宋体" w:hAnsi="宋体" w:cs="宋体"/>
                <w:sz w:val="24"/>
              </w:rPr>
            </w:pPr>
          </w:p>
        </w:tc>
        <w:tc>
          <w:tcPr>
            <w:tcW w:w="1865" w:type="dxa"/>
            <w:gridSpan w:val="2"/>
            <w:vAlign w:val="center"/>
          </w:tcPr>
          <w:p>
            <w:pPr>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366" w:type="dxa"/>
            <w:vAlign w:val="center"/>
          </w:tcPr>
          <w:p>
            <w:pPr>
              <w:jc w:val="center"/>
              <w:rPr>
                <w:rFonts w:ascii="宋体" w:hAnsi="宋体" w:cs="宋体"/>
                <w:sz w:val="24"/>
              </w:rPr>
            </w:pPr>
            <w:r>
              <w:rPr>
                <w:rFonts w:hint="eastAsia" w:ascii="宋体" w:hAnsi="宋体" w:cs="宋体"/>
                <w:sz w:val="24"/>
              </w:rPr>
              <w:t>…</w:t>
            </w:r>
          </w:p>
        </w:tc>
        <w:tc>
          <w:tcPr>
            <w:tcW w:w="4672" w:type="dxa"/>
            <w:gridSpan w:val="5"/>
            <w:vAlign w:val="center"/>
          </w:tcPr>
          <w:p>
            <w:pPr>
              <w:ind w:firstLine="560"/>
              <w:jc w:val="center"/>
              <w:rPr>
                <w:rFonts w:ascii="宋体" w:hAnsi="宋体" w:cs="宋体"/>
                <w:sz w:val="24"/>
              </w:rPr>
            </w:pPr>
          </w:p>
        </w:tc>
        <w:tc>
          <w:tcPr>
            <w:tcW w:w="1441" w:type="dxa"/>
            <w:gridSpan w:val="2"/>
            <w:vAlign w:val="center"/>
          </w:tcPr>
          <w:p>
            <w:pPr>
              <w:ind w:firstLine="560"/>
              <w:jc w:val="center"/>
              <w:rPr>
                <w:rFonts w:ascii="宋体" w:hAnsi="宋体" w:cs="宋体"/>
                <w:sz w:val="24"/>
              </w:rPr>
            </w:pPr>
          </w:p>
        </w:tc>
        <w:tc>
          <w:tcPr>
            <w:tcW w:w="1865" w:type="dxa"/>
            <w:gridSpan w:val="2"/>
            <w:vAlign w:val="center"/>
          </w:tcPr>
          <w:p>
            <w:pPr>
              <w:ind w:firstLine="56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55" w:type="dxa"/>
            <w:gridSpan w:val="2"/>
          </w:tcPr>
          <w:p>
            <w:pPr>
              <w:ind w:firstLine="560"/>
              <w:rPr>
                <w:rFonts w:ascii="宋体" w:hAnsi="宋体" w:cs="宋体"/>
                <w:sz w:val="24"/>
              </w:rPr>
            </w:pPr>
            <w:r>
              <w:rPr>
                <w:rFonts w:hint="eastAsia" w:ascii="宋体" w:hAnsi="宋体" w:cs="宋体"/>
                <w:sz w:val="24"/>
              </w:rPr>
              <w:t>合计份数</w:t>
            </w:r>
          </w:p>
        </w:tc>
        <w:tc>
          <w:tcPr>
            <w:tcW w:w="2944" w:type="dxa"/>
            <w:gridSpan w:val="3"/>
          </w:tcPr>
          <w:p>
            <w:pPr>
              <w:rPr>
                <w:rFonts w:ascii="宋体" w:hAnsi="宋体" w:cs="宋体"/>
                <w:sz w:val="24"/>
              </w:rPr>
            </w:pPr>
          </w:p>
        </w:tc>
        <w:tc>
          <w:tcPr>
            <w:tcW w:w="4145" w:type="dxa"/>
            <w:gridSpan w:val="5"/>
          </w:tcPr>
          <w:p>
            <w:pPr>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55" w:type="dxa"/>
            <w:gridSpan w:val="2"/>
            <w:vAlign w:val="center"/>
          </w:tcPr>
          <w:p>
            <w:pPr>
              <w:rPr>
                <w:rFonts w:ascii="宋体" w:hAnsi="宋体" w:cs="宋体"/>
                <w:sz w:val="24"/>
              </w:rPr>
            </w:pPr>
            <w:r>
              <w:rPr>
                <w:rFonts w:hint="eastAsia" w:ascii="宋体" w:hAnsi="宋体" w:cs="宋体"/>
                <w:sz w:val="24"/>
              </w:rPr>
              <w:t>提交及归还时间</w:t>
            </w:r>
          </w:p>
        </w:tc>
        <w:tc>
          <w:tcPr>
            <w:tcW w:w="2944" w:type="dxa"/>
            <w:gridSpan w:val="3"/>
            <w:vAlign w:val="center"/>
          </w:tcPr>
          <w:p>
            <w:pPr>
              <w:rPr>
                <w:rFonts w:ascii="宋体" w:hAnsi="宋体" w:cs="宋体"/>
                <w:sz w:val="24"/>
              </w:rPr>
            </w:pPr>
            <w:r>
              <w:rPr>
                <w:rFonts w:hint="eastAsia" w:ascii="宋体" w:hAnsi="宋体" w:cs="宋体"/>
                <w:sz w:val="24"/>
              </w:rPr>
              <w:t>提交时间： 年  月  日</w:t>
            </w:r>
          </w:p>
        </w:tc>
        <w:tc>
          <w:tcPr>
            <w:tcW w:w="4145" w:type="dxa"/>
            <w:gridSpan w:val="5"/>
            <w:vAlign w:val="center"/>
          </w:tcPr>
          <w:p>
            <w:pPr>
              <w:ind w:firstLine="560"/>
              <w:rPr>
                <w:rFonts w:ascii="宋体" w:hAnsi="宋体" w:cs="宋体"/>
                <w:sz w:val="24"/>
              </w:rPr>
            </w:pPr>
            <w:r>
              <w:rPr>
                <w:rFonts w:hint="eastAsia" w:ascii="宋体" w:hAnsi="宋体" w:cs="宋体"/>
                <w:sz w:val="24"/>
              </w:rPr>
              <w:t>领取（归还）时间：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3040" w:type="dxa"/>
            <w:gridSpan w:val="3"/>
            <w:vAlign w:val="center"/>
          </w:tcPr>
          <w:p>
            <w:pPr>
              <w:rPr>
                <w:rFonts w:ascii="宋体" w:hAnsi="宋体" w:cs="宋体"/>
                <w:sz w:val="24"/>
              </w:rPr>
            </w:pPr>
            <w:r>
              <w:rPr>
                <w:rFonts w:hint="eastAsia" w:ascii="宋体" w:hAnsi="宋体" w:cs="宋体"/>
                <w:sz w:val="24"/>
              </w:rPr>
              <w:t>投标人</w:t>
            </w:r>
          </w:p>
        </w:tc>
        <w:tc>
          <w:tcPr>
            <w:tcW w:w="2159" w:type="dxa"/>
            <w:gridSpan w:val="2"/>
            <w:vAlign w:val="center"/>
          </w:tcPr>
          <w:p>
            <w:pPr>
              <w:rPr>
                <w:rFonts w:ascii="宋体" w:hAnsi="宋体" w:cs="宋体"/>
                <w:sz w:val="24"/>
              </w:rPr>
            </w:pPr>
            <w:r>
              <w:rPr>
                <w:rFonts w:hint="eastAsia" w:ascii="宋体" w:hAnsi="宋体" w:cs="宋体"/>
                <w:sz w:val="24"/>
              </w:rPr>
              <w:t>提交人签字：</w:t>
            </w:r>
          </w:p>
        </w:tc>
        <w:tc>
          <w:tcPr>
            <w:tcW w:w="1551" w:type="dxa"/>
            <w:gridSpan w:val="2"/>
            <w:vAlign w:val="center"/>
          </w:tcPr>
          <w:p>
            <w:pPr>
              <w:ind w:firstLine="560"/>
              <w:rPr>
                <w:rFonts w:ascii="宋体" w:hAnsi="宋体" w:cs="宋体"/>
                <w:sz w:val="24"/>
              </w:rPr>
            </w:pPr>
          </w:p>
        </w:tc>
        <w:tc>
          <w:tcPr>
            <w:tcW w:w="1596" w:type="dxa"/>
            <w:gridSpan w:val="2"/>
            <w:vAlign w:val="center"/>
          </w:tcPr>
          <w:p>
            <w:pPr>
              <w:rPr>
                <w:rFonts w:ascii="宋体" w:hAnsi="宋体" w:cs="宋体"/>
                <w:sz w:val="24"/>
              </w:rPr>
            </w:pPr>
            <w:r>
              <w:rPr>
                <w:rFonts w:hint="eastAsia" w:ascii="宋体" w:hAnsi="宋体" w:cs="宋体"/>
                <w:sz w:val="24"/>
              </w:rPr>
              <w:t>领取人签字：</w:t>
            </w:r>
          </w:p>
        </w:tc>
        <w:tc>
          <w:tcPr>
            <w:tcW w:w="998" w:type="dxa"/>
          </w:tcPr>
          <w:p>
            <w:pPr>
              <w:ind w:firstLine="56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3040" w:type="dxa"/>
            <w:gridSpan w:val="3"/>
            <w:vAlign w:val="center"/>
          </w:tcPr>
          <w:p>
            <w:pPr>
              <w:rPr>
                <w:rFonts w:ascii="宋体" w:hAnsi="宋体" w:cs="宋体"/>
                <w:sz w:val="24"/>
              </w:rPr>
            </w:pPr>
            <w:r>
              <w:rPr>
                <w:rFonts w:hint="eastAsia" w:ascii="宋体" w:hAnsi="宋体" w:cs="宋体"/>
                <w:sz w:val="24"/>
              </w:rPr>
              <w:t>联系方式</w:t>
            </w:r>
          </w:p>
        </w:tc>
        <w:tc>
          <w:tcPr>
            <w:tcW w:w="6304" w:type="dxa"/>
            <w:gridSpan w:val="7"/>
            <w:vAlign w:val="center"/>
          </w:tcPr>
          <w:p>
            <w:pPr>
              <w:ind w:firstLine="560"/>
              <w:rPr>
                <w:rFonts w:ascii="宋体" w:hAnsi="宋体" w:cs="宋体"/>
                <w:sz w:val="24"/>
              </w:rPr>
            </w:pPr>
          </w:p>
        </w:tc>
      </w:tr>
    </w:tbl>
    <w:p>
      <w:pPr>
        <w:rPr>
          <w:rFonts w:ascii="宋体" w:hAnsi="宋体" w:cs="宋体"/>
          <w:bCs/>
          <w:sz w:val="24"/>
        </w:rPr>
      </w:pPr>
    </w:p>
    <w:p>
      <w:pPr>
        <w:rPr>
          <w:rFonts w:ascii="宋体" w:hAnsi="宋体" w:cs="宋体"/>
          <w:b/>
          <w:bCs/>
          <w:sz w:val="24"/>
        </w:rPr>
      </w:pPr>
      <w:r>
        <w:rPr>
          <w:rFonts w:hint="eastAsia" w:ascii="宋体" w:hAnsi="宋体" w:cs="宋体"/>
          <w:b/>
          <w:bCs/>
          <w:sz w:val="24"/>
        </w:rPr>
        <w:t>注：</w:t>
      </w:r>
    </w:p>
    <w:p>
      <w:pPr>
        <w:numPr>
          <w:ilvl w:val="0"/>
          <w:numId w:val="2"/>
        </w:numPr>
        <w:rPr>
          <w:rFonts w:ascii="宋体" w:hAnsi="宋体" w:cs="宋体"/>
          <w:b/>
          <w:bCs/>
          <w:sz w:val="24"/>
        </w:rPr>
      </w:pPr>
      <w:r>
        <w:rPr>
          <w:rFonts w:hint="eastAsia" w:ascii="宋体" w:hAnsi="宋体" w:cs="宋体"/>
          <w:b/>
          <w:bCs/>
          <w:sz w:val="24"/>
        </w:rPr>
        <w:t>投标人向评标委员会提交的所有证书及相关材料应打印目录并加盖公章；</w:t>
      </w:r>
    </w:p>
    <w:p>
      <w:pPr>
        <w:rPr>
          <w:rFonts w:ascii="宋体" w:hAnsi="宋体" w:cs="宋体"/>
          <w:b/>
          <w:bCs/>
          <w:sz w:val="24"/>
        </w:rPr>
      </w:pPr>
      <w:r>
        <w:rPr>
          <w:rFonts w:hint="eastAsia" w:ascii="宋体" w:hAnsi="宋体" w:cs="宋体"/>
          <w:b/>
          <w:bCs/>
          <w:sz w:val="24"/>
        </w:rPr>
        <w:t>2、提交时按该目录对照检查，未打印到目录上的证件不予接受，目录上有而无证件原件的将被拒收；</w:t>
      </w:r>
    </w:p>
    <w:p>
      <w:pPr>
        <w:rPr>
          <w:rFonts w:ascii="宋体" w:hAnsi="宋体" w:cs="宋体"/>
          <w:b/>
          <w:bCs/>
          <w:sz w:val="24"/>
        </w:rPr>
      </w:pPr>
      <w:r>
        <w:rPr>
          <w:rFonts w:hint="eastAsia" w:ascii="宋体" w:hAnsi="宋体" w:cs="宋体"/>
          <w:b/>
          <w:bCs/>
          <w:sz w:val="24"/>
        </w:rPr>
        <w:t>3、评标委员会依法成立后，不再接收投标人任何材料。（问题的澄清、说明或补正除外）</w:t>
      </w:r>
    </w:p>
    <w:p>
      <w:pPr>
        <w:rPr>
          <w:rFonts w:ascii="宋体" w:hAnsi="宋体" w:cs="宋体"/>
          <w:b/>
          <w:bCs/>
          <w:sz w:val="24"/>
        </w:rPr>
      </w:pPr>
      <w:r>
        <w:rPr>
          <w:rFonts w:hint="eastAsia" w:ascii="宋体" w:hAnsi="宋体" w:cs="宋体"/>
          <w:b/>
          <w:bCs/>
          <w:sz w:val="24"/>
        </w:rPr>
        <w:t>4、</w:t>
      </w:r>
      <w:r>
        <w:rPr>
          <w:rFonts w:hint="eastAsia" w:ascii="宋体" w:hAnsi="宋体" w:cs="宋体"/>
          <w:b/>
          <w:sz w:val="24"/>
        </w:rPr>
        <w:t>请将此表粘贴于证明文件原件包外。</w:t>
      </w:r>
    </w:p>
    <w:p>
      <w:pPr>
        <w:pStyle w:val="2"/>
        <w:ind w:firstLine="0" w:firstLineChars="0"/>
      </w:pPr>
      <w:r>
        <w:rPr>
          <w:rFonts w:hint="eastAsia"/>
        </w:rPr>
        <w:br w:type="page"/>
      </w:r>
    </w:p>
    <w:p>
      <w:pPr>
        <w:pStyle w:val="5"/>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合同条款及格式</w:t>
      </w:r>
    </w:p>
    <w:p>
      <w:pPr>
        <w:autoSpaceDE w:val="0"/>
        <w:autoSpaceDN w:val="0"/>
        <w:adjustRightInd w:val="0"/>
        <w:spacing w:line="336" w:lineRule="auto"/>
        <w:ind w:firstLine="482" w:firstLineChars="200"/>
        <w:jc w:val="left"/>
        <w:outlineLvl w:val="0"/>
        <w:rPr>
          <w:rFonts w:ascii="宋体" w:hAnsi="宋体" w:cs="宋体"/>
          <w:b/>
          <w:bCs/>
          <w:sz w:val="24"/>
          <w:lang w:val="zh-CN"/>
        </w:rPr>
      </w:pPr>
      <w:r>
        <w:rPr>
          <w:rFonts w:hint="eastAsia" w:ascii="宋体" w:hAnsi="宋体" w:cs="宋体"/>
          <w:b/>
          <w:bCs/>
          <w:sz w:val="24"/>
          <w:lang w:val="zh-CN"/>
        </w:rPr>
        <w:t>一、合同一般条款</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 定义</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1.1</w:t>
      </w:r>
      <w:r>
        <w:rPr>
          <w:rFonts w:hint="eastAsia" w:ascii="宋体" w:hAnsi="宋体" w:cs="宋体"/>
          <w:sz w:val="24"/>
        </w:rPr>
        <w:t>“</w:t>
      </w:r>
      <w:r>
        <w:rPr>
          <w:rFonts w:hint="eastAsia" w:ascii="宋体" w:hAnsi="宋体" w:cs="宋体"/>
          <w:sz w:val="24"/>
          <w:lang w:val="zh-CN"/>
        </w:rPr>
        <w:t>合同</w:t>
      </w:r>
      <w:r>
        <w:rPr>
          <w:rFonts w:hint="eastAsia" w:ascii="宋体" w:hAnsi="宋体" w:cs="宋体"/>
          <w:sz w:val="24"/>
        </w:rPr>
        <w:t>”</w:t>
      </w:r>
      <w:r>
        <w:rPr>
          <w:rFonts w:hint="eastAsia" w:ascii="宋体" w:hAnsi="宋体" w:cs="宋体"/>
          <w:sz w:val="24"/>
          <w:lang w:val="zh-CN"/>
        </w:rPr>
        <w:t>系指甲方和乙方 （简称合同双方）已达成的协议，即由双方签订的合同格式中的文件，包括所有的附件和组成合同部分的所有其他文件。</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1.2</w:t>
      </w:r>
      <w:r>
        <w:rPr>
          <w:rFonts w:hint="eastAsia" w:ascii="宋体" w:hAnsi="宋体" w:cs="宋体"/>
          <w:sz w:val="24"/>
        </w:rPr>
        <w:t>“</w:t>
      </w:r>
      <w:r>
        <w:rPr>
          <w:rFonts w:hint="eastAsia" w:ascii="宋体" w:hAnsi="宋体" w:cs="宋体"/>
          <w:sz w:val="24"/>
          <w:lang w:val="zh-CN"/>
        </w:rPr>
        <w:t>合同价格</w:t>
      </w:r>
      <w:r>
        <w:rPr>
          <w:rFonts w:hint="eastAsia" w:ascii="宋体" w:hAnsi="宋体" w:cs="宋体"/>
          <w:sz w:val="24"/>
        </w:rPr>
        <w:t>”</w:t>
      </w:r>
      <w:r>
        <w:rPr>
          <w:rFonts w:hint="eastAsia" w:ascii="宋体" w:hAnsi="宋体" w:cs="宋体"/>
          <w:sz w:val="24"/>
          <w:lang w:val="zh-CN"/>
        </w:rPr>
        <w:t>系指根据合同规定，在乙方全面正确地履行合同义务时应支付给乙方的款项。</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1.3</w:t>
      </w:r>
      <w:r>
        <w:rPr>
          <w:rFonts w:hint="eastAsia" w:ascii="宋体" w:hAnsi="宋体" w:cs="宋体"/>
          <w:sz w:val="24"/>
        </w:rPr>
        <w:t>“</w:t>
      </w:r>
      <w:r>
        <w:rPr>
          <w:rFonts w:hint="eastAsia" w:ascii="宋体" w:hAnsi="宋体" w:cs="宋体"/>
          <w:sz w:val="24"/>
          <w:lang w:val="zh-CN"/>
        </w:rPr>
        <w:t>甲方</w:t>
      </w:r>
      <w:r>
        <w:rPr>
          <w:rFonts w:hint="eastAsia" w:ascii="宋体" w:hAnsi="宋体" w:cs="宋体"/>
          <w:sz w:val="24"/>
        </w:rPr>
        <w:t>”</w:t>
      </w:r>
      <w:r>
        <w:rPr>
          <w:rFonts w:hint="eastAsia" w:ascii="宋体" w:hAnsi="宋体" w:cs="宋体"/>
          <w:sz w:val="24"/>
          <w:lang w:val="zh-CN"/>
        </w:rPr>
        <w:t>系指通过招标方式，接受合同服务的采购人</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1.4</w:t>
      </w:r>
      <w:r>
        <w:rPr>
          <w:rFonts w:hint="eastAsia" w:ascii="宋体" w:hAnsi="宋体" w:cs="宋体"/>
          <w:sz w:val="24"/>
        </w:rPr>
        <w:t>“</w:t>
      </w:r>
      <w:r>
        <w:rPr>
          <w:rFonts w:hint="eastAsia" w:ascii="宋体" w:hAnsi="宋体" w:cs="宋体"/>
          <w:sz w:val="24"/>
          <w:lang w:val="zh-CN"/>
        </w:rPr>
        <w:t>乙方</w:t>
      </w:r>
      <w:r>
        <w:rPr>
          <w:rFonts w:hint="eastAsia" w:ascii="宋体" w:hAnsi="宋体" w:cs="宋体"/>
          <w:sz w:val="24"/>
        </w:rPr>
        <w:t>”</w:t>
      </w:r>
      <w:r>
        <w:rPr>
          <w:rFonts w:hint="eastAsia" w:ascii="宋体" w:hAnsi="宋体" w:cs="宋体"/>
          <w:sz w:val="24"/>
          <w:lang w:val="zh-CN"/>
        </w:rPr>
        <w:t>系指中标后提供合同服务的</w:t>
      </w:r>
      <w:r>
        <w:rPr>
          <w:rFonts w:hint="eastAsia" w:ascii="宋体" w:hAnsi="宋体" w:cs="宋体"/>
          <w:bCs/>
          <w:sz w:val="24"/>
          <w:lang w:val="zh-CN"/>
        </w:rPr>
        <w:t>中标方</w:t>
      </w:r>
      <w:r>
        <w:rPr>
          <w:rFonts w:hint="eastAsia" w:ascii="宋体" w:hAnsi="宋体" w:cs="宋体"/>
          <w:sz w:val="24"/>
          <w:lang w:val="zh-CN"/>
        </w:rPr>
        <w:t>或供应商。</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2.适用范围</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 xml:space="preserve"> 本合同条款仅适用于本次招标活动。</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3.技术规格和标准</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本合同项下所提供服务的技术规格标准应与本招标文件技术规格规定的标准相一致。</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4.合同期限</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即自</w:t>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lang w:val="zh-CN"/>
        </w:rPr>
        <w:t>年</w:t>
      </w:r>
      <w:r>
        <w:rPr>
          <w:rFonts w:hint="eastAsia" w:ascii="宋体" w:hAnsi="宋体" w:cs="宋体"/>
          <w:sz w:val="24"/>
          <w:u w:val="single"/>
          <w:lang w:val="zh-CN"/>
        </w:rPr>
        <w:tab/>
      </w:r>
      <w:r>
        <w:rPr>
          <w:rFonts w:hint="eastAsia" w:ascii="宋体" w:hAnsi="宋体" w:cs="宋体"/>
          <w:sz w:val="24"/>
          <w:lang w:val="zh-CN"/>
        </w:rPr>
        <w:t>月</w:t>
      </w:r>
      <w:r>
        <w:rPr>
          <w:rFonts w:hint="eastAsia" w:ascii="宋体" w:hAnsi="宋体" w:cs="宋体"/>
          <w:sz w:val="24"/>
          <w:u w:val="single"/>
          <w:lang w:val="zh-CN"/>
        </w:rPr>
        <w:tab/>
      </w:r>
      <w:r>
        <w:rPr>
          <w:rFonts w:hint="eastAsia" w:ascii="宋体" w:hAnsi="宋体" w:cs="宋体"/>
          <w:sz w:val="24"/>
          <w:lang w:val="zh-CN"/>
        </w:rPr>
        <w:t>日起至</w:t>
      </w:r>
      <w:r>
        <w:rPr>
          <w:rFonts w:hint="eastAsia" w:ascii="宋体" w:hAnsi="宋体" w:cs="宋体"/>
          <w:sz w:val="24"/>
          <w:u w:val="single"/>
          <w:lang w:val="zh-CN"/>
        </w:rPr>
        <w:tab/>
      </w:r>
      <w:r>
        <w:rPr>
          <w:rFonts w:hint="eastAsia" w:ascii="宋体" w:hAnsi="宋体" w:cs="宋体"/>
          <w:sz w:val="24"/>
          <w:u w:val="single"/>
          <w:lang w:val="zh-CN"/>
        </w:rPr>
        <w:tab/>
      </w:r>
      <w:r>
        <w:rPr>
          <w:rFonts w:hint="eastAsia" w:ascii="宋体" w:hAnsi="宋体" w:cs="宋体"/>
          <w:sz w:val="24"/>
          <w:lang w:val="zh-CN"/>
        </w:rPr>
        <w:t>年</w:t>
      </w:r>
      <w:r>
        <w:rPr>
          <w:rFonts w:hint="eastAsia" w:ascii="宋体" w:hAnsi="宋体" w:cs="宋体"/>
          <w:sz w:val="24"/>
          <w:u w:val="single"/>
          <w:lang w:val="zh-CN"/>
        </w:rPr>
        <w:tab/>
      </w:r>
      <w:r>
        <w:rPr>
          <w:rFonts w:hint="eastAsia" w:ascii="宋体" w:hAnsi="宋体" w:cs="宋体"/>
          <w:sz w:val="24"/>
          <w:lang w:val="zh-CN"/>
        </w:rPr>
        <w:t>月</w:t>
      </w:r>
      <w:r>
        <w:rPr>
          <w:rFonts w:hint="eastAsia" w:ascii="宋体" w:hAnsi="宋体" w:cs="宋体"/>
          <w:sz w:val="24"/>
          <w:u w:val="single"/>
          <w:lang w:val="zh-CN"/>
        </w:rPr>
        <w:tab/>
      </w:r>
      <w:r>
        <w:rPr>
          <w:rFonts w:hint="eastAsia" w:ascii="宋体" w:hAnsi="宋体" w:cs="宋体"/>
          <w:sz w:val="24"/>
          <w:lang w:val="zh-CN"/>
        </w:rPr>
        <w:t>日止。</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5.价格</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除非合同中另有规定，乙方为其所提供货物设备和服务而要求甲方支付的金额应与其投标报价一致。</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6.索赔</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6.1乙方对所提供货物设备和服务与合同要求不符负有责任，并且甲方已于合同规定的期限内提出索赔，乙方应按甲方同意的下述一种或多种方法解决索赔事宜。</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6.1.1乙方同意甲方取消其不符合要求的货物设备和服务项目，退还已经收取的该类货物设备的货款。</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6.1.2对于情节严重、造成甲方损失金额巨大的，同意甲方终止全部项目合同，并赔偿甲方因此造成的损失。</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7.不可抗力</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8.履约保证金（本项目不要求提交履约保证金）</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8.1履约保证金的有效期至供货完毕且验收合格。</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8.2乙方提供的履约保证金按规定格式转帐支票、电汇的形式提供，与此有关的费用由乙方负担。</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8.4如果乙方未能按合同规定履行其义务，甲方有权从履约保证金取得补偿。</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9.争议的解决</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9.1在执行合同中发生的与本合同有关的争端，双方应通过友好协商解决，经协商在 60天内不能达成协议时，应提交仲裁。</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9.2 提交正式仲裁的争端属涉外的，应在北京或中国国内其他地点，由指定的国际经济仲裁委员会根据该委员会的仲裁程序或规则予以最终裁决。</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9.3 合同双方均为国内法人的，其争端的仲裁应由合同发生地许昌市仲裁委员会根据其仲裁程序进行。</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9.4 仲裁裁决应为最终决定，并对双方具有约束力。</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9.5 除另有裁决外，仲裁费应由败诉方负担。</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9.6 在仲裁期间，除正在进行的仲裁部分外，合同其他部分继续执行。</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10.合同终止</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10.2 出现下列情况时合同自动终止：</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10.2.1发生不可抗力时。</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10.2.2一方不履行合同条款，造成另一方无法执行合同协议，协商又不能求得解决，合同终止，责任方赔偿损失。</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11.合同修改</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12.适用法律</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本合同应按中华人民共和国的法律解释。</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13.主导语言与计量单位</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13.1 合同书写应用中文书写。合同份，甲、乙双方各执份。</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13.2 除技术规格另有规定外，计量单位均使用中华人民共和国法定计量单位。</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14.合同生效</w:t>
      </w:r>
    </w:p>
    <w:p>
      <w:pPr>
        <w:autoSpaceDE w:val="0"/>
        <w:autoSpaceDN w:val="0"/>
        <w:adjustRightInd w:val="0"/>
        <w:spacing w:line="336" w:lineRule="auto"/>
        <w:ind w:firstLine="480"/>
        <w:rPr>
          <w:rFonts w:ascii="宋体" w:hAnsi="宋体" w:cs="宋体"/>
          <w:sz w:val="24"/>
          <w:lang w:val="zh-CN"/>
        </w:rPr>
      </w:pPr>
      <w:r>
        <w:rPr>
          <w:rFonts w:hint="eastAsia" w:ascii="宋体" w:hAnsi="宋体" w:cs="宋体"/>
          <w:sz w:val="24"/>
          <w:lang w:val="zh-CN"/>
        </w:rPr>
        <w:t>除非合同中另有说明，本合同经双方签字盖章，并在采购人收到乙方的履约保证金后，即开始生效。</w:t>
      </w:r>
    </w:p>
    <w:p>
      <w:pPr>
        <w:autoSpaceDE w:val="0"/>
        <w:autoSpaceDN w:val="0"/>
        <w:adjustRightInd w:val="0"/>
        <w:spacing w:line="336" w:lineRule="auto"/>
        <w:ind w:firstLine="482" w:firstLineChars="200"/>
        <w:outlineLvl w:val="0"/>
        <w:rPr>
          <w:rFonts w:ascii="宋体" w:hAnsi="宋体" w:cs="宋体"/>
          <w:b/>
          <w:sz w:val="24"/>
          <w:lang w:val="zh-CN"/>
        </w:rPr>
      </w:pPr>
      <w:r>
        <w:rPr>
          <w:rFonts w:hint="eastAsia" w:ascii="宋体" w:hAnsi="宋体" w:cs="宋体"/>
          <w:b/>
          <w:sz w:val="24"/>
        </w:rPr>
        <w:t>二、</w:t>
      </w:r>
      <w:r>
        <w:rPr>
          <w:rFonts w:hint="eastAsia" w:ascii="宋体" w:hAnsi="宋体" w:cs="宋体"/>
          <w:b/>
          <w:sz w:val="24"/>
          <w:lang w:val="zh-CN"/>
        </w:rPr>
        <w:t>合同特殊条款</w:t>
      </w:r>
    </w:p>
    <w:p>
      <w:pPr>
        <w:autoSpaceDE w:val="0"/>
        <w:autoSpaceDN w:val="0"/>
        <w:adjustRightInd w:val="0"/>
        <w:spacing w:line="360" w:lineRule="auto"/>
        <w:ind w:firstLine="480"/>
        <w:rPr>
          <w:rFonts w:ascii="宋体" w:hAnsi="宋体"/>
          <w:sz w:val="24"/>
        </w:rPr>
      </w:pPr>
      <w:r>
        <w:rPr>
          <w:rFonts w:hint="eastAsia" w:ascii="宋体" w:hAnsi="宋体"/>
          <w:sz w:val="24"/>
        </w:rPr>
        <w:t>（具体条款由甲乙双方根据该项目的特殊性协商约定）略。</w:t>
      </w:r>
    </w:p>
    <w:p>
      <w:pPr>
        <w:autoSpaceDE w:val="0"/>
        <w:autoSpaceDN w:val="0"/>
        <w:adjustRightInd w:val="0"/>
        <w:spacing w:line="360" w:lineRule="auto"/>
        <w:rPr>
          <w:rFonts w:ascii="宋体" w:hAnsi="宋体"/>
          <w:sz w:val="24"/>
        </w:rPr>
      </w:pPr>
      <w:r>
        <w:rPr>
          <w:rFonts w:hint="eastAsia" w:ascii="宋体" w:hAnsi="宋体"/>
          <w:sz w:val="24"/>
        </w:rPr>
        <w:t>合同特殊条款是合同一般条款的补充和修改。如果两者之间有抵触，应以特殊条款为准。</w:t>
      </w:r>
    </w:p>
    <w:p>
      <w:pPr>
        <w:autoSpaceDE w:val="0"/>
        <w:autoSpaceDN w:val="0"/>
        <w:adjustRightInd w:val="0"/>
        <w:spacing w:line="336" w:lineRule="auto"/>
        <w:ind w:firstLine="482" w:firstLineChars="200"/>
        <w:outlineLvl w:val="0"/>
        <w:rPr>
          <w:rFonts w:ascii="宋体" w:hAnsi="宋体" w:cs="宋体"/>
          <w:b/>
          <w:sz w:val="24"/>
        </w:rPr>
      </w:pPr>
      <w:r>
        <w:rPr>
          <w:rFonts w:hint="eastAsia" w:ascii="宋体" w:hAnsi="宋体" w:cs="宋体"/>
          <w:b/>
          <w:sz w:val="24"/>
        </w:rPr>
        <w:t>三、</w:t>
      </w:r>
      <w:r>
        <w:rPr>
          <w:rFonts w:hint="eastAsia" w:ascii="宋体" w:hAnsi="宋体" w:cs="宋体"/>
          <w:b/>
          <w:sz w:val="24"/>
          <w:lang w:val="zh-CN"/>
        </w:rPr>
        <w:t>合同文本</w:t>
      </w:r>
    </w:p>
    <w:p>
      <w:pPr>
        <w:tabs>
          <w:tab w:val="left" w:pos="720"/>
        </w:tabs>
        <w:spacing w:line="360" w:lineRule="auto"/>
        <w:jc w:val="center"/>
        <w:rPr>
          <w:b/>
          <w:sz w:val="40"/>
        </w:rPr>
      </w:pPr>
      <w:r>
        <w:rPr>
          <w:rFonts w:hint="eastAsia"/>
          <w:b/>
          <w:sz w:val="40"/>
        </w:rPr>
        <w:t>合同文本</w:t>
      </w:r>
    </w:p>
    <w:p>
      <w:pPr>
        <w:tabs>
          <w:tab w:val="left" w:pos="720"/>
        </w:tabs>
        <w:spacing w:line="360" w:lineRule="auto"/>
        <w:rPr>
          <w:rFonts w:ascii="宋体" w:hAnsi="宋体"/>
          <w:b/>
          <w:sz w:val="24"/>
        </w:rPr>
      </w:pPr>
      <w:r>
        <w:rPr>
          <w:rFonts w:hint="eastAsia" w:ascii="宋体" w:hAnsi="宋体"/>
          <w:b/>
          <w:sz w:val="24"/>
        </w:rPr>
        <w:t>甲    方：</w:t>
      </w:r>
    </w:p>
    <w:p>
      <w:pPr>
        <w:spacing w:line="360" w:lineRule="auto"/>
        <w:rPr>
          <w:rFonts w:ascii="宋体" w:hAnsi="宋体"/>
          <w:sz w:val="24"/>
        </w:rPr>
      </w:pPr>
      <w:r>
        <w:rPr>
          <w:rFonts w:hint="eastAsia" w:ascii="宋体" w:hAnsi="宋体"/>
          <w:sz w:val="24"/>
        </w:rPr>
        <w:t>电    话：           　   传  真：           地  址：</w:t>
      </w:r>
    </w:p>
    <w:p>
      <w:pPr>
        <w:spacing w:line="360" w:lineRule="auto"/>
        <w:rPr>
          <w:rFonts w:ascii="宋体" w:hAnsi="宋体"/>
          <w:sz w:val="24"/>
        </w:rPr>
      </w:pPr>
      <w:r>
        <w:rPr>
          <w:rFonts w:hint="eastAsia" w:ascii="宋体" w:hAnsi="宋体"/>
          <w:b/>
          <w:sz w:val="24"/>
        </w:rPr>
        <w:t>乙    方：</w:t>
      </w:r>
      <w:r>
        <w:rPr>
          <w:rFonts w:hint="eastAsia" w:ascii="宋体" w:hAnsi="宋体"/>
          <w:b/>
          <w:sz w:val="24"/>
        </w:rPr>
        <w:br w:type="textWrapping"/>
      </w:r>
      <w:r>
        <w:rPr>
          <w:rFonts w:hint="eastAsia" w:ascii="宋体" w:hAnsi="宋体"/>
          <w:sz w:val="24"/>
        </w:rPr>
        <w:t xml:space="preserve">电    话：                传  真：           地  址：   </w:t>
      </w:r>
    </w:p>
    <w:p>
      <w:pPr>
        <w:spacing w:line="360" w:lineRule="auto"/>
        <w:ind w:firstLine="480" w:firstLineChars="200"/>
        <w:rPr>
          <w:rFonts w:ascii="宋体" w:hAnsi="宋体"/>
          <w:sz w:val="24"/>
        </w:rPr>
      </w:pPr>
      <w:r>
        <w:rPr>
          <w:rFonts w:hint="eastAsia" w:ascii="宋体" w:hAnsi="宋体"/>
          <w:sz w:val="24"/>
        </w:rPr>
        <w:t>根据 的采购结果，按照《中华人民共和国政府采购法》、《中华人民共和国政府采购法实施条例》、《合同法》的规定，</w:t>
      </w:r>
      <w:r>
        <w:rPr>
          <w:rFonts w:hint="eastAsia" w:ascii="宋体" w:hAnsi="宋体"/>
          <w:kern w:val="28"/>
          <w:sz w:val="24"/>
        </w:rPr>
        <w:t>经双方协商，</w:t>
      </w:r>
      <w:r>
        <w:rPr>
          <w:rFonts w:hint="eastAsia" w:ascii="宋体" w:hAnsi="宋体"/>
          <w:sz w:val="24"/>
        </w:rPr>
        <w:t>本着平等互利和诚实信用的原则，</w:t>
      </w:r>
      <w:r>
        <w:rPr>
          <w:rFonts w:hint="eastAsia" w:ascii="宋体" w:hAnsi="宋体"/>
          <w:kern w:val="28"/>
          <w:sz w:val="24"/>
        </w:rPr>
        <w:t>一致同意签订本合同如下</w:t>
      </w:r>
      <w:r>
        <w:rPr>
          <w:rFonts w:hint="eastAsia" w:ascii="宋体" w:hAnsi="宋体"/>
          <w:sz w:val="24"/>
        </w:rPr>
        <w:t>。</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合同金额</w:t>
      </w:r>
    </w:p>
    <w:p>
      <w:pPr>
        <w:pStyle w:val="5"/>
        <w:ind w:firstLine="480" w:firstLineChars="200"/>
        <w:rPr>
          <w:rFonts w:hAnsi="宋体"/>
          <w:szCs w:val="24"/>
        </w:rPr>
      </w:pPr>
      <w:r>
        <w:rPr>
          <w:rFonts w:hint="eastAsia" w:hAnsi="宋体"/>
          <w:szCs w:val="24"/>
        </w:rPr>
        <w:t>合同金额为（大写）：_________________元（￥_______________元）人民币。</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服务范围</w:t>
      </w:r>
    </w:p>
    <w:p>
      <w:pPr>
        <w:spacing w:line="360" w:lineRule="auto"/>
        <w:ind w:firstLine="480"/>
        <w:rPr>
          <w:rFonts w:ascii="宋体" w:hAnsi="宋体"/>
          <w:sz w:val="24"/>
        </w:rPr>
      </w:pPr>
      <w:r>
        <w:rPr>
          <w:rFonts w:hint="eastAsia" w:ascii="宋体" w:hAnsi="宋体"/>
          <w:sz w:val="24"/>
        </w:rPr>
        <w:t>甲方聘请乙方提供以下服务：</w:t>
      </w:r>
    </w:p>
    <w:p>
      <w:pPr>
        <w:spacing w:line="360" w:lineRule="auto"/>
        <w:ind w:firstLine="480"/>
        <w:rPr>
          <w:rFonts w:ascii="宋体" w:hAnsi="宋体"/>
          <w:sz w:val="24"/>
          <w:lang w:val="hr-HR"/>
        </w:rPr>
      </w:pPr>
      <w:r>
        <w:rPr>
          <w:rFonts w:hint="eastAsia" w:ascii="宋体" w:hAnsi="宋体"/>
          <w:sz w:val="24"/>
          <w:lang w:val="hr-HR"/>
        </w:rPr>
        <w:t>对许昌市东城区市政道路路灯设施进行维修养护，养护期限三年。</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服务期间（项目完成期限）</w:t>
      </w:r>
    </w:p>
    <w:p>
      <w:pPr>
        <w:spacing w:line="360" w:lineRule="auto"/>
        <w:ind w:firstLine="435"/>
        <w:rPr>
          <w:rFonts w:ascii="宋体" w:hAnsi="宋体"/>
          <w:sz w:val="24"/>
        </w:rPr>
      </w:pPr>
      <w:r>
        <w:rPr>
          <w:rFonts w:hint="eastAsia" w:ascii="宋体" w:hAnsi="宋体"/>
          <w:sz w:val="24"/>
        </w:rPr>
        <w:t>委托服务期间自______年______月至______年______月止。</w:t>
      </w:r>
    </w:p>
    <w:p>
      <w:pPr>
        <w:numPr>
          <w:ilvl w:val="0"/>
          <w:numId w:val="3"/>
        </w:numPr>
        <w:tabs>
          <w:tab w:val="left" w:pos="630"/>
        </w:tabs>
        <w:spacing w:line="360" w:lineRule="auto"/>
        <w:ind w:left="0" w:firstLine="0"/>
        <w:rPr>
          <w:rFonts w:ascii="宋体" w:hAnsi="宋体"/>
          <w:sz w:val="24"/>
        </w:rPr>
      </w:pPr>
      <w:r>
        <w:rPr>
          <w:rFonts w:hint="eastAsia" w:ascii="宋体" w:hAnsi="宋体"/>
          <w:b/>
          <w:sz w:val="24"/>
        </w:rPr>
        <w:t>维修养护</w:t>
      </w:r>
      <w:r>
        <w:rPr>
          <w:rFonts w:ascii="宋体" w:hAnsi="宋体"/>
          <w:b/>
          <w:sz w:val="24"/>
        </w:rPr>
        <w:t>要求和惩处措施</w:t>
      </w:r>
    </w:p>
    <w:p>
      <w:pPr>
        <w:spacing w:line="360" w:lineRule="auto"/>
        <w:rPr>
          <w:rFonts w:ascii="宋体" w:hAnsi="宋体"/>
          <w:sz w:val="24"/>
        </w:rPr>
      </w:pPr>
      <w:r>
        <w:rPr>
          <w:rFonts w:hint="eastAsia" w:ascii="宋体" w:hAnsi="宋体"/>
          <w:sz w:val="24"/>
        </w:rPr>
        <w:t>（一）</w:t>
      </w:r>
      <w:r>
        <w:rPr>
          <w:rFonts w:hint="eastAsia" w:ascii="宋体" w:hAnsi="宋体"/>
          <w:b/>
          <w:sz w:val="24"/>
        </w:rPr>
        <w:t>维修养护</w:t>
      </w:r>
      <w:r>
        <w:rPr>
          <w:rFonts w:ascii="宋体" w:hAnsi="宋体"/>
          <w:b/>
          <w:sz w:val="24"/>
        </w:rPr>
        <w:t>要求</w:t>
      </w:r>
      <w:r>
        <w:rPr>
          <w:rFonts w:hint="eastAsia" w:ascii="宋体" w:hAnsi="宋体"/>
          <w:b/>
          <w:sz w:val="24"/>
        </w:rPr>
        <w:t>（</w:t>
      </w:r>
      <w:r>
        <w:rPr>
          <w:rFonts w:ascii="宋体" w:hAnsi="宋体"/>
          <w:sz w:val="24"/>
        </w:rPr>
        <w:t>质量要达到</w:t>
      </w:r>
      <w:r>
        <w:rPr>
          <w:rFonts w:hint="eastAsia" w:ascii="宋体" w:hAnsi="宋体"/>
          <w:sz w:val="24"/>
        </w:rPr>
        <w:t>国家相关规定）</w:t>
      </w:r>
    </w:p>
    <w:p>
      <w:pPr>
        <w:spacing w:line="360" w:lineRule="auto"/>
        <w:ind w:firstLine="480" w:firstLineChars="200"/>
        <w:jc w:val="left"/>
        <w:rPr>
          <w:rFonts w:ascii="宋体" w:hAnsi="宋体"/>
          <w:sz w:val="24"/>
          <w:lang w:val="hr-HR"/>
        </w:rPr>
      </w:pPr>
      <w:r>
        <w:rPr>
          <w:rFonts w:hint="eastAsia" w:ascii="宋体" w:hAnsi="宋体"/>
          <w:sz w:val="24"/>
        </w:rPr>
        <w:t>1、</w:t>
      </w:r>
      <w:r>
        <w:rPr>
          <w:rFonts w:hint="eastAsia" w:ascii="宋体" w:hAnsi="宋体"/>
          <w:sz w:val="24"/>
          <w:lang w:val="hr-HR"/>
        </w:rPr>
        <w:t>乙方在维护期间要确保路灯照明设施完好和达到路灯照明设施的设计要求。在规定的亮灯时间内，保证路灯照明设施的正常运行和亮灯率在98%以上，保证路灯功率正常。</w:t>
      </w:r>
    </w:p>
    <w:p>
      <w:pPr>
        <w:spacing w:line="360" w:lineRule="auto"/>
        <w:ind w:firstLine="480" w:firstLineChars="200"/>
        <w:jc w:val="left"/>
        <w:rPr>
          <w:rFonts w:ascii="宋体" w:hAnsi="宋体"/>
          <w:sz w:val="24"/>
          <w:lang w:val="hr-HR"/>
        </w:rPr>
      </w:pPr>
      <w:r>
        <w:rPr>
          <w:rFonts w:hint="eastAsia" w:ascii="宋体" w:hAnsi="宋体"/>
          <w:sz w:val="24"/>
          <w:lang w:val="hr-HR"/>
        </w:rPr>
        <w:t>2、自觉接受甲方及有关部门的监督管理，每逢法定节日或庆典、重大活动中，必须无条件服从甲方组织的突击性任务及迎检活动，按时、按标准、按要求完成甲方所分配的工作。</w:t>
      </w:r>
    </w:p>
    <w:p>
      <w:pPr>
        <w:spacing w:line="360" w:lineRule="auto"/>
        <w:ind w:firstLine="480" w:firstLineChars="200"/>
        <w:jc w:val="left"/>
        <w:rPr>
          <w:rFonts w:ascii="宋体" w:hAnsi="宋体"/>
          <w:sz w:val="24"/>
          <w:lang w:val="hr-HR"/>
        </w:rPr>
      </w:pPr>
      <w:r>
        <w:rPr>
          <w:rFonts w:hint="eastAsia" w:ascii="宋体" w:hAnsi="宋体"/>
          <w:sz w:val="24"/>
          <w:lang w:val="hr-HR"/>
        </w:rPr>
        <w:t>3、乙方应在项目所在地设置固定的办公场所，并配备专业人员及相关路灯维修设备，24小时候命，及时处理路灯故障；如接投拆通知24小时内未完成修复，接受甲方的罚款处理。并严格遵守市政、环卫、绿化、城管、治安、交通、水、电等部门的规定，办理相关的施工许可证件及承担责任和费用。</w:t>
      </w:r>
    </w:p>
    <w:p>
      <w:pPr>
        <w:spacing w:line="360" w:lineRule="auto"/>
        <w:ind w:firstLine="480" w:firstLineChars="200"/>
        <w:jc w:val="left"/>
        <w:rPr>
          <w:rFonts w:ascii="宋体" w:hAnsi="宋体"/>
          <w:sz w:val="24"/>
          <w:lang w:val="hr-HR"/>
        </w:rPr>
      </w:pPr>
      <w:r>
        <w:rPr>
          <w:rFonts w:hint="eastAsia" w:ascii="宋体" w:hAnsi="宋体"/>
          <w:sz w:val="24"/>
          <w:lang w:val="hr-HR"/>
        </w:rPr>
        <w:t>4、乙方必须落实安全生产措施，且应按甲方的要求，为上岗工人配置统一的工作服和反光衣，自行解决安全作业问题。在进行维护作业时必须认真负责，并注意安全操作，如发生任何意外，乙方负责事故处理及一切费用，概与甲方无关。维护设备在维护工程服务期限结束前的保险由乙方负责，乙方负责其派出的现场服务人员人身意外保险。</w:t>
      </w:r>
    </w:p>
    <w:p>
      <w:pPr>
        <w:spacing w:line="360" w:lineRule="auto"/>
        <w:ind w:firstLine="480" w:firstLineChars="200"/>
        <w:jc w:val="left"/>
        <w:rPr>
          <w:rFonts w:ascii="宋体" w:hAnsi="宋体"/>
          <w:sz w:val="24"/>
          <w:lang w:val="hr-HR"/>
        </w:rPr>
      </w:pPr>
      <w:r>
        <w:rPr>
          <w:rFonts w:ascii="宋体" w:hAnsi="宋体"/>
          <w:sz w:val="24"/>
          <w:lang w:val="hr-HR"/>
        </w:rPr>
        <w:t>5</w:t>
      </w:r>
      <w:r>
        <w:rPr>
          <w:rFonts w:hint="eastAsia" w:ascii="宋体" w:hAnsi="宋体"/>
          <w:sz w:val="24"/>
          <w:lang w:val="hr-HR"/>
        </w:rPr>
        <w:t>、在合同期内，乙方因各种原因，造成第三方的损失或经济损失，由乙方独自承担其法律和经济责任，与甲方无关。</w:t>
      </w:r>
    </w:p>
    <w:p>
      <w:pPr>
        <w:spacing w:line="360" w:lineRule="auto"/>
        <w:ind w:firstLine="480" w:firstLineChars="200"/>
        <w:jc w:val="left"/>
        <w:rPr>
          <w:rFonts w:ascii="宋体" w:hAnsi="宋体"/>
          <w:sz w:val="24"/>
          <w:lang w:val="hr-HR"/>
        </w:rPr>
      </w:pPr>
      <w:r>
        <w:rPr>
          <w:rFonts w:ascii="宋体" w:hAnsi="宋体"/>
          <w:sz w:val="24"/>
          <w:lang w:val="hr-HR"/>
        </w:rPr>
        <w:t>6</w:t>
      </w:r>
      <w:r>
        <w:rPr>
          <w:rFonts w:hint="eastAsia" w:ascii="宋体" w:hAnsi="宋体"/>
          <w:sz w:val="24"/>
          <w:lang w:val="hr-HR"/>
        </w:rPr>
        <w:t>、乙方无故停止工作,甲方有权按损失程度扣减维护费,并处以乙方合同总额10％的违约金给甲方。若无故停工累计达7天，甲方有权终止合同。</w:t>
      </w:r>
    </w:p>
    <w:p>
      <w:pPr>
        <w:spacing w:line="360" w:lineRule="auto"/>
        <w:ind w:firstLine="480" w:firstLineChars="200"/>
        <w:rPr>
          <w:rFonts w:ascii="宋体" w:hAnsi="宋体"/>
          <w:b/>
          <w:sz w:val="24"/>
        </w:rPr>
      </w:pPr>
      <w:r>
        <w:rPr>
          <w:rFonts w:ascii="宋体" w:hAnsi="宋体"/>
          <w:sz w:val="24"/>
          <w:lang w:val="hr-HR"/>
        </w:rPr>
        <w:t>7</w:t>
      </w:r>
      <w:r>
        <w:rPr>
          <w:rFonts w:hint="eastAsia" w:ascii="宋体" w:hAnsi="宋体"/>
          <w:sz w:val="24"/>
          <w:lang w:val="hr-HR"/>
        </w:rPr>
        <w:t>、实施过程中乙方必须根据承包合同中的各项条款，履行各项职责。如发现乙方组织措施不当、计划不落实、管理不严、实施方案中所列人员、机械设备（工具）与现场实际不符，导致维护质量达不到标准的，甲方多次考评档次为差，情况严重，甲方有权终止合同。</w:t>
      </w:r>
    </w:p>
    <w:p>
      <w:pPr>
        <w:numPr>
          <w:ilvl w:val="0"/>
          <w:numId w:val="3"/>
        </w:numPr>
        <w:tabs>
          <w:tab w:val="left" w:pos="630"/>
        </w:tabs>
        <w:spacing w:line="360" w:lineRule="auto"/>
        <w:ind w:left="0" w:firstLine="0"/>
        <w:rPr>
          <w:rFonts w:ascii="宋体" w:hAnsi="宋体"/>
          <w:b/>
          <w:sz w:val="24"/>
        </w:rPr>
      </w:pPr>
      <w:r>
        <w:rPr>
          <w:rFonts w:ascii="宋体" w:hAnsi="宋体"/>
          <w:b/>
          <w:sz w:val="24"/>
        </w:rPr>
        <w:t>其他要求</w:t>
      </w:r>
    </w:p>
    <w:p>
      <w:pPr>
        <w:widowControl/>
        <w:spacing w:line="360" w:lineRule="auto"/>
        <w:ind w:firstLine="360" w:firstLineChars="150"/>
        <w:jc w:val="left"/>
        <w:rPr>
          <w:rFonts w:ascii="宋体" w:hAnsi="宋体"/>
          <w:sz w:val="24"/>
        </w:rPr>
      </w:pPr>
      <w:r>
        <w:rPr>
          <w:rFonts w:hint="eastAsia" w:ascii="宋体" w:hAnsi="宋体"/>
          <w:sz w:val="24"/>
        </w:rPr>
        <w:t>1、</w:t>
      </w:r>
      <w:r>
        <w:rPr>
          <w:rFonts w:ascii="宋体" w:hAnsi="宋体"/>
          <w:sz w:val="24"/>
        </w:rPr>
        <w:t>非经甲方同意，乙方不得将承包工程的全部或任何部分分包和转包给他人。</w:t>
      </w:r>
    </w:p>
    <w:p>
      <w:pPr>
        <w:spacing w:line="360" w:lineRule="auto"/>
        <w:ind w:firstLine="360" w:firstLineChars="150"/>
        <w:rPr>
          <w:rFonts w:ascii="宋体" w:hAnsi="宋体"/>
          <w:sz w:val="24"/>
          <w:u w:val="single"/>
        </w:rPr>
      </w:pPr>
      <w:r>
        <w:rPr>
          <w:rFonts w:ascii="宋体" w:hAnsi="宋体"/>
          <w:sz w:val="24"/>
        </w:rPr>
        <w:t>2</w:t>
      </w:r>
      <w:r>
        <w:rPr>
          <w:rFonts w:hint="eastAsia" w:ascii="宋体" w:hAnsi="宋体"/>
          <w:sz w:val="24"/>
        </w:rPr>
        <w:t>、</w:t>
      </w:r>
      <w:r>
        <w:rPr>
          <w:rFonts w:ascii="宋体" w:hAnsi="宋体"/>
          <w:sz w:val="24"/>
        </w:rPr>
        <w:t>在划定的中标范围内新增的</w:t>
      </w:r>
      <w:r>
        <w:rPr>
          <w:rFonts w:hint="eastAsia" w:ascii="宋体" w:hAnsi="宋体"/>
          <w:sz w:val="24"/>
        </w:rPr>
        <w:t>部分</w:t>
      </w:r>
      <w:r>
        <w:rPr>
          <w:rFonts w:ascii="宋体" w:hAnsi="宋体"/>
          <w:sz w:val="24"/>
        </w:rPr>
        <w:t>，原则上可以由乙方按照其中标价进行</w:t>
      </w:r>
      <w:r>
        <w:rPr>
          <w:rFonts w:hint="eastAsia" w:ascii="宋体" w:hAnsi="宋体"/>
          <w:sz w:val="24"/>
        </w:rPr>
        <w:t>工程</w:t>
      </w:r>
      <w:r>
        <w:rPr>
          <w:rFonts w:ascii="宋体" w:hAnsi="宋体"/>
          <w:sz w:val="24"/>
        </w:rPr>
        <w:t>，但因其他原因需要甲方单独安排其他单位养护的，乙方不得反对。</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付款方式</w:t>
      </w:r>
    </w:p>
    <w:p>
      <w:pPr>
        <w:spacing w:line="360" w:lineRule="auto"/>
        <w:ind w:firstLine="480" w:firstLineChars="200"/>
        <w:rPr>
          <w:sz w:val="24"/>
        </w:rPr>
      </w:pPr>
      <w:r>
        <w:rPr>
          <w:rFonts w:hint="eastAsia"/>
          <w:sz w:val="24"/>
        </w:rPr>
        <w:t>每6个月支付一次养护费用。</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知识产权产权归属</w:t>
      </w:r>
    </w:p>
    <w:p>
      <w:pPr>
        <w:tabs>
          <w:tab w:val="left" w:pos="900"/>
        </w:tabs>
        <w:spacing w:line="360" w:lineRule="auto"/>
        <w:ind w:firstLine="480" w:firstLineChars="200"/>
        <w:rPr>
          <w:rFonts w:ascii="宋体" w:hAnsi="宋体"/>
          <w:b/>
          <w:sz w:val="24"/>
        </w:rPr>
      </w:pPr>
      <w:r>
        <w:rPr>
          <w:rFonts w:hint="eastAsia"/>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保密</w:t>
      </w:r>
    </w:p>
    <w:p>
      <w:pPr>
        <w:tabs>
          <w:tab w:val="left" w:pos="900"/>
        </w:tabs>
        <w:spacing w:line="360" w:lineRule="auto"/>
        <w:ind w:firstLine="480" w:firstLineChars="200"/>
        <w:rPr>
          <w:sz w:val="24"/>
        </w:rPr>
      </w:pPr>
      <w:r>
        <w:rPr>
          <w:rFonts w:hint="eastAsia"/>
          <w:sz w:val="24"/>
        </w:rPr>
        <w:t>项目实施过程中至乙方正式向甲方交付技术文档资料时止，乙方必须采取措施对本项目实施过程中的数据、技术文档等资料保密，否则，由于乙方过错导致的上述资料泄密的，乙方必须承担一切责任。项目完成后，甲、乙双方均有责任对本项目的技术保密承担责任。</w:t>
      </w:r>
    </w:p>
    <w:p>
      <w:pPr>
        <w:tabs>
          <w:tab w:val="left" w:pos="900"/>
        </w:tabs>
        <w:spacing w:line="360" w:lineRule="auto"/>
        <w:ind w:firstLine="480" w:firstLineChars="200"/>
        <w:rPr>
          <w:sz w:val="24"/>
        </w:rPr>
      </w:pPr>
      <w:r>
        <w:rPr>
          <w:rFonts w:hint="eastAsia"/>
          <w:sz w:val="24"/>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ind w:firstLine="480" w:firstLineChars="200"/>
        <w:rPr>
          <w:sz w:val="24"/>
        </w:rPr>
      </w:pPr>
      <w:r>
        <w:rPr>
          <w:rFonts w:hint="eastAsia"/>
          <w:sz w:val="24"/>
        </w:rPr>
        <w:t>除了合同本身之外，上款所列举的任何物件均是乙方的财产。如果乙方有要求，甲方在完成合同后应将这些物件及全部复制件还给乙方。</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违约责任与赔偿损失</w:t>
      </w:r>
    </w:p>
    <w:p>
      <w:pPr>
        <w:tabs>
          <w:tab w:val="left" w:pos="900"/>
        </w:tabs>
        <w:spacing w:line="360" w:lineRule="auto"/>
        <w:ind w:firstLine="480" w:firstLineChars="200"/>
        <w:rPr>
          <w:rFonts w:ascii="宋体" w:hAnsi="宋体"/>
          <w:sz w:val="24"/>
        </w:rPr>
      </w:pPr>
      <w:r>
        <w:rPr>
          <w:rFonts w:ascii="宋体" w:hAnsi="宋体"/>
          <w:sz w:val="24"/>
        </w:rPr>
        <w:t>1</w:t>
      </w:r>
      <w:r>
        <w:rPr>
          <w:rFonts w:hint="eastAsia" w:ascii="宋体" w:hAnsi="宋体"/>
          <w:sz w:val="24"/>
        </w:rPr>
        <w:t>、乙方提供的服务不符合采购文件、投标文件或本合同规定的，甲方有权拒收，并且乙方须向甲方方支付本合同总价5%的违约金。</w:t>
      </w:r>
    </w:p>
    <w:p>
      <w:pPr>
        <w:tabs>
          <w:tab w:val="left" w:pos="900"/>
        </w:tabs>
        <w:spacing w:line="360" w:lineRule="auto"/>
        <w:ind w:firstLine="480" w:firstLineChars="200"/>
        <w:rPr>
          <w:rFonts w:ascii="宋体" w:hAnsi="宋体"/>
          <w:sz w:val="24"/>
        </w:rPr>
      </w:pPr>
      <w:r>
        <w:rPr>
          <w:rFonts w:hint="eastAsia" w:ascii="宋体" w:hAnsi="宋体"/>
          <w:sz w:val="24"/>
        </w:rPr>
        <w:t>2、乙方未能按本合同规定的交货时间提供服务，从逾期之日起每日按本合同总价3‰的数额向甲方支付违约金；逾期半个月以上的，甲方有权终止合同，由此造成的甲方经济损失由乙方承担。</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、甲方无正当理由拒收接受服务，到期拒付服务款项的，甲方向乙方偿付本合同总的5%的违约金。甲方人逾期付款，则每日按本合同总价的3‰向乙方偿付违约金。</w:t>
      </w:r>
    </w:p>
    <w:p>
      <w:pPr>
        <w:spacing w:line="360" w:lineRule="auto"/>
        <w:ind w:firstLine="480" w:firstLineChars="200"/>
        <w:rPr>
          <w:rFonts w:ascii="宋体" w:hAnsi="宋体"/>
          <w:bCs/>
          <w:sz w:val="24"/>
        </w:rPr>
      </w:pPr>
      <w:r>
        <w:rPr>
          <w:rFonts w:ascii="宋体" w:hAnsi="宋体"/>
          <w:bCs/>
          <w:sz w:val="24"/>
        </w:rPr>
        <w:t>4</w:t>
      </w:r>
      <w:r>
        <w:rPr>
          <w:rFonts w:hint="eastAsia" w:ascii="宋体" w:hAnsi="宋体"/>
          <w:bCs/>
          <w:sz w:val="24"/>
        </w:rPr>
        <w:t>、其它违约责任按《中华人民共和国合同法》处理。</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争端的解决</w:t>
      </w:r>
    </w:p>
    <w:p>
      <w:pPr>
        <w:spacing w:line="360" w:lineRule="auto"/>
        <w:ind w:firstLine="480" w:firstLineChars="200"/>
        <w:rPr>
          <w:rFonts w:ascii="宋体" w:hAnsi="宋体"/>
          <w:sz w:val="24"/>
        </w:rPr>
      </w:pPr>
      <w:r>
        <w:rPr>
          <w:rFonts w:hint="eastAsia" w:ascii="宋体" w:hAnsi="宋体"/>
          <w:sz w:val="24"/>
        </w:rPr>
        <w:t>合同执行中发生的任何争议，如双方不能通过友好协商解决，则双方一致同意由甲方所在地法院管辖。</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不可抗力</w:t>
      </w:r>
    </w:p>
    <w:p>
      <w:pPr>
        <w:spacing w:line="360" w:lineRule="auto"/>
        <w:ind w:firstLine="470" w:firstLineChars="196"/>
        <w:rPr>
          <w:rFonts w:ascii="宋体" w:hAnsi="宋体"/>
          <w:sz w:val="24"/>
        </w:rPr>
      </w:pPr>
      <w:r>
        <w:rPr>
          <w:rFonts w:hint="eastAsia" w:ascii="宋体" w:hAnsi="宋体"/>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税费</w:t>
      </w:r>
    </w:p>
    <w:p>
      <w:pPr>
        <w:spacing w:line="360" w:lineRule="auto"/>
        <w:ind w:firstLine="470" w:firstLineChars="196"/>
        <w:rPr>
          <w:rFonts w:ascii="宋体" w:hAnsi="宋体"/>
          <w:sz w:val="24"/>
        </w:rPr>
      </w:pPr>
      <w:r>
        <w:rPr>
          <w:rFonts w:hint="eastAsia" w:ascii="宋体" w:hAnsi="宋体"/>
          <w:sz w:val="24"/>
        </w:rPr>
        <w:t>在中国境内、外发生的与本合同执行有关的一切税费均由乙方负担。</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其它</w:t>
      </w:r>
    </w:p>
    <w:p>
      <w:pPr>
        <w:spacing w:line="360" w:lineRule="auto"/>
        <w:ind w:firstLine="480" w:firstLineChars="200"/>
        <w:rPr>
          <w:rFonts w:ascii="宋体" w:hAnsi="宋体"/>
          <w:b/>
          <w:sz w:val="24"/>
        </w:rPr>
      </w:pPr>
      <w:r>
        <w:rPr>
          <w:rFonts w:ascii="宋体" w:hAnsi="宋体"/>
          <w:sz w:val="24"/>
        </w:rPr>
        <w:t>1</w:t>
      </w:r>
      <w:r>
        <w:rPr>
          <w:rFonts w:hint="eastAsia" w:ascii="宋体" w:hAnsi="宋体"/>
          <w:sz w:val="24"/>
        </w:rPr>
        <w:t>、本合同所有附件、采购文件、投标文件、中标通知书通知书均为合同的有效组成部分，与本合同具有同等法律效力。</w:t>
      </w:r>
    </w:p>
    <w:p>
      <w:pPr>
        <w:spacing w:line="360" w:lineRule="auto"/>
        <w:ind w:firstLine="480" w:firstLineChars="200"/>
        <w:rPr>
          <w:rFonts w:ascii="宋体" w:hAnsi="宋体"/>
          <w:sz w:val="24"/>
        </w:rPr>
      </w:pPr>
      <w:r>
        <w:rPr>
          <w:rFonts w:hint="eastAsia" w:ascii="宋体" w:hAnsi="宋体"/>
          <w:sz w:val="24"/>
        </w:rPr>
        <w:t>2、在执行本合同的过程中，所有经双方签署确认的文件（包括会议纪要、补充协议、往来信函）即成为本合同的有效组成部分。</w:t>
      </w:r>
    </w:p>
    <w:p>
      <w:pPr>
        <w:spacing w:line="360" w:lineRule="auto"/>
        <w:ind w:firstLine="480" w:firstLineChars="200"/>
        <w:rPr>
          <w:rFonts w:ascii="宋体" w:hAnsi="宋体"/>
          <w:sz w:val="24"/>
        </w:rPr>
      </w:pPr>
      <w:r>
        <w:rPr>
          <w:rFonts w:hint="eastAsia" w:ascii="宋体" w:hAnsi="宋体"/>
          <w:sz w:val="24"/>
        </w:rPr>
        <w:t xml:space="preserve">3、如一方地址、电话、传真号码有变更，应在变更当日内书面通知对方，否则，应承担相应责任。 </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、除甲方事先书面同意外，乙方不得部分或全部转让其应履行的合同项下的义务。</w:t>
      </w:r>
    </w:p>
    <w:p>
      <w:pPr>
        <w:numPr>
          <w:ilvl w:val="0"/>
          <w:numId w:val="3"/>
        </w:numPr>
        <w:tabs>
          <w:tab w:val="left" w:pos="630"/>
        </w:tabs>
        <w:spacing w:line="360" w:lineRule="auto"/>
        <w:ind w:left="0" w:firstLine="0"/>
        <w:rPr>
          <w:rFonts w:ascii="宋体" w:hAnsi="宋体"/>
          <w:b/>
          <w:sz w:val="24"/>
        </w:rPr>
      </w:pPr>
      <w:r>
        <w:rPr>
          <w:rFonts w:hint="eastAsia" w:ascii="宋体" w:hAnsi="宋体"/>
          <w:b/>
          <w:sz w:val="24"/>
        </w:rPr>
        <w:t>合同生效</w:t>
      </w:r>
    </w:p>
    <w:p>
      <w:pPr>
        <w:spacing w:line="360" w:lineRule="auto"/>
        <w:ind w:firstLine="480" w:firstLineChars="200"/>
        <w:rPr>
          <w:rFonts w:ascii="宋体" w:hAnsi="宋体"/>
          <w:sz w:val="24"/>
        </w:rPr>
      </w:pPr>
      <w:r>
        <w:rPr>
          <w:rFonts w:hint="eastAsia" w:ascii="宋体" w:hAnsi="宋体"/>
          <w:sz w:val="24"/>
        </w:rPr>
        <w:t>1、本合同在甲乙双方法人代表或其授权代表签字盖章后生效。</w:t>
      </w:r>
    </w:p>
    <w:p>
      <w:pPr>
        <w:spacing w:line="340" w:lineRule="exact"/>
        <w:ind w:firstLine="480" w:firstLineChars="200"/>
        <w:rPr>
          <w:rFonts w:ascii="宋体" w:hAnsi="宋体"/>
          <w:sz w:val="24"/>
        </w:rPr>
      </w:pPr>
      <w:r>
        <w:rPr>
          <w:rFonts w:ascii="宋体" w:hAnsi="宋体"/>
          <w:sz w:val="24"/>
        </w:rPr>
        <w:t>2</w:t>
      </w:r>
      <w:r>
        <w:rPr>
          <w:rFonts w:hint="eastAsia" w:ascii="宋体" w:hAnsi="宋体"/>
          <w:sz w:val="24"/>
        </w:rPr>
        <w:t>、合同一式份，其中甲方份，乙方份，采购代理机构</w:t>
      </w:r>
      <w:r>
        <w:rPr>
          <w:rFonts w:hint="eastAsia" w:ascii="宋体" w:hAnsi="宋体"/>
          <w:sz w:val="24"/>
          <w:u w:val="single"/>
        </w:rPr>
        <w:t>壹</w:t>
      </w:r>
      <w:r>
        <w:rPr>
          <w:rFonts w:hint="eastAsia" w:ascii="宋体" w:hAnsi="宋体"/>
          <w:sz w:val="24"/>
        </w:rPr>
        <w:t>份。</w:t>
      </w:r>
    </w:p>
    <w:p>
      <w:pPr>
        <w:spacing w:line="340" w:lineRule="exact"/>
        <w:rPr>
          <w:rFonts w:ascii="宋体" w:hAnsi="宋体"/>
          <w:b/>
          <w:sz w:val="24"/>
        </w:rPr>
      </w:pPr>
    </w:p>
    <w:p>
      <w:pPr>
        <w:spacing w:line="360" w:lineRule="auto"/>
        <w:rPr>
          <w:rFonts w:ascii="宋体" w:hAnsi="宋体"/>
          <w:sz w:val="24"/>
        </w:rPr>
      </w:pPr>
      <w:r>
        <w:rPr>
          <w:rFonts w:hint="eastAsia" w:ascii="宋体" w:hAnsi="宋体"/>
          <w:sz w:val="24"/>
        </w:rPr>
        <w:t>甲方（盖章）：                          乙方（盖章）：</w:t>
      </w:r>
    </w:p>
    <w:p>
      <w:pPr>
        <w:spacing w:line="360" w:lineRule="auto"/>
        <w:rPr>
          <w:rFonts w:ascii="宋体" w:hAnsi="宋体"/>
          <w:sz w:val="24"/>
        </w:rPr>
      </w:pPr>
      <w:r>
        <w:rPr>
          <w:rFonts w:hint="eastAsia" w:ascii="宋体" w:hAnsi="宋体"/>
          <w:sz w:val="24"/>
        </w:rPr>
        <w:t>法定代表/授权代表（签字）：             法定代表/授权代表（签字）：</w:t>
      </w:r>
    </w:p>
    <w:p>
      <w:pPr>
        <w:spacing w:line="360" w:lineRule="auto"/>
        <w:rPr>
          <w:rFonts w:ascii="宋体" w:hAnsi="宋体"/>
          <w:sz w:val="24"/>
        </w:rPr>
      </w:pPr>
      <w:r>
        <w:rPr>
          <w:rFonts w:hint="eastAsia" w:ascii="宋体" w:hAnsi="宋体"/>
          <w:sz w:val="24"/>
        </w:rPr>
        <w:t>日期：                                 日期：</w:t>
      </w:r>
    </w:p>
    <w:p>
      <w:pPr>
        <w:spacing w:line="360" w:lineRule="auto"/>
        <w:rPr>
          <w:rFonts w:ascii="宋体" w:hAnsi="宋体"/>
          <w:sz w:val="24"/>
        </w:rPr>
      </w:pPr>
      <w:r>
        <w:rPr>
          <w:rFonts w:hint="eastAsia" w:ascii="宋体" w:hAnsi="宋体"/>
          <w:sz w:val="24"/>
        </w:rPr>
        <w:t>邮政编码：                             邮政编码：</w:t>
      </w:r>
    </w:p>
    <w:p>
      <w:pPr>
        <w:spacing w:line="360" w:lineRule="auto"/>
        <w:rPr>
          <w:rFonts w:ascii="宋体" w:hAnsi="宋体"/>
          <w:sz w:val="24"/>
        </w:rPr>
      </w:pPr>
      <w:r>
        <w:rPr>
          <w:rFonts w:hint="eastAsia" w:ascii="宋体" w:hAnsi="宋体" w:cs="宋体"/>
          <w:sz w:val="24"/>
        </w:rPr>
        <w:t>开户名称：                             开户名称：</w:t>
      </w:r>
    </w:p>
    <w:p>
      <w:pPr>
        <w:spacing w:line="360" w:lineRule="auto"/>
        <w:rPr>
          <w:rFonts w:ascii="宋体" w:hAnsi="宋体"/>
          <w:sz w:val="24"/>
        </w:rPr>
      </w:pPr>
      <w:r>
        <w:rPr>
          <w:rFonts w:hint="eastAsia" w:ascii="宋体" w:hAnsi="宋体"/>
          <w:sz w:val="24"/>
        </w:rPr>
        <w:t>开户银行：                             开户银行：</w:t>
      </w:r>
    </w:p>
    <w:p>
      <w:pPr>
        <w:spacing w:line="360" w:lineRule="auto"/>
        <w:rPr>
          <w:rFonts w:ascii="宋体" w:hAnsi="宋体" w:cs="Tahoma"/>
          <w:sz w:val="24"/>
        </w:rPr>
      </w:pPr>
      <w:r>
        <w:rPr>
          <w:rFonts w:hint="eastAsia" w:ascii="宋体" w:hAnsi="宋体"/>
          <w:sz w:val="24"/>
        </w:rPr>
        <w:t>开户账号：                             开户账号:</w:t>
      </w: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p>
    <w:p>
      <w:pPr>
        <w:pStyle w:val="5"/>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pStyle w:val="2"/>
        <w:ind w:firstLine="0" w:firstLineChars="0"/>
      </w:pPr>
      <w:r>
        <w:rPr>
          <w:rFonts w:hint="eastAsia"/>
        </w:rPr>
        <w:br w:type="page"/>
      </w:r>
    </w:p>
    <w:p>
      <w:pPr>
        <w:widowControl/>
        <w:spacing w:line="360" w:lineRule="auto"/>
        <w:ind w:firstLine="803" w:firstLineChars="200"/>
        <w:jc w:val="right"/>
        <w:rPr>
          <w:rFonts w:ascii="宋体" w:hAnsi="宋体" w:cs="宋体"/>
          <w:b/>
          <w:kern w:val="0"/>
          <w:sz w:val="24"/>
        </w:rPr>
      </w:pPr>
      <w:r>
        <w:rPr>
          <w:rFonts w:hint="eastAsia" w:ascii="宋体" w:hAnsi="宋体"/>
          <w:b/>
          <w:bCs/>
          <w:sz w:val="40"/>
          <w:szCs w:val="40"/>
        </w:rPr>
        <w:t>正本（副本）</w:t>
      </w:r>
    </w:p>
    <w:p>
      <w:pPr>
        <w:widowControl/>
        <w:wordWrap w:val="0"/>
        <w:spacing w:line="360" w:lineRule="auto"/>
        <w:ind w:firstLine="482" w:firstLineChars="200"/>
        <w:jc w:val="left"/>
        <w:rPr>
          <w:rFonts w:ascii="宋体" w:hAnsi="宋体" w:cs="宋体"/>
          <w:b/>
          <w:kern w:val="0"/>
          <w:sz w:val="24"/>
        </w:rPr>
      </w:pPr>
    </w:p>
    <w:p>
      <w:pPr>
        <w:widowControl/>
        <w:wordWrap w:val="0"/>
        <w:spacing w:line="360" w:lineRule="auto"/>
        <w:ind w:firstLine="643" w:firstLineChars="200"/>
        <w:jc w:val="right"/>
        <w:rPr>
          <w:rFonts w:ascii="宋体" w:hAnsi="宋体" w:cs="宋体"/>
          <w:b/>
          <w:kern w:val="0"/>
          <w:sz w:val="32"/>
          <w:szCs w:val="32"/>
        </w:rPr>
      </w:pPr>
    </w:p>
    <w:p>
      <w:pPr>
        <w:spacing w:line="360" w:lineRule="auto"/>
        <w:jc w:val="center"/>
        <w:rPr>
          <w:rFonts w:ascii="宋体" w:hAnsi="宋体" w:cs="宋体"/>
          <w:bCs/>
          <w:sz w:val="36"/>
          <w:szCs w:val="36"/>
        </w:rPr>
      </w:pPr>
      <w:r>
        <w:rPr>
          <w:rFonts w:hint="eastAsia" w:ascii="宋体" w:hAnsi="宋体" w:cs="宋体"/>
          <w:bCs/>
          <w:sz w:val="36"/>
          <w:szCs w:val="36"/>
        </w:rPr>
        <w:t>（项目、标段名称）</w:t>
      </w:r>
    </w:p>
    <w:p>
      <w:pPr>
        <w:widowControl/>
        <w:tabs>
          <w:tab w:val="left" w:pos="1785"/>
        </w:tabs>
        <w:wordWrap w:val="0"/>
        <w:spacing w:line="360" w:lineRule="auto"/>
        <w:jc w:val="center"/>
        <w:rPr>
          <w:rFonts w:ascii="宋体" w:hAnsi="宋体" w:cs="宋体"/>
          <w:b/>
          <w:sz w:val="32"/>
          <w:szCs w:val="32"/>
        </w:rPr>
      </w:pPr>
    </w:p>
    <w:p>
      <w:pPr>
        <w:widowControl/>
        <w:tabs>
          <w:tab w:val="left" w:pos="1785"/>
        </w:tabs>
        <w:wordWrap w:val="0"/>
        <w:spacing w:line="360" w:lineRule="auto"/>
        <w:jc w:val="center"/>
        <w:rPr>
          <w:rFonts w:ascii="宋体" w:hAnsi="宋体" w:cs="宋体"/>
          <w:b/>
          <w:sz w:val="32"/>
          <w:szCs w:val="32"/>
        </w:rPr>
      </w:pPr>
    </w:p>
    <w:p>
      <w:pPr>
        <w:widowControl/>
        <w:tabs>
          <w:tab w:val="left" w:pos="1785"/>
        </w:tabs>
        <w:wordWrap w:val="0"/>
        <w:spacing w:line="360" w:lineRule="auto"/>
        <w:jc w:val="center"/>
        <w:rPr>
          <w:rFonts w:ascii="宋体" w:hAnsi="宋体" w:cs="宋体"/>
          <w:bCs/>
          <w:sz w:val="96"/>
          <w:szCs w:val="96"/>
        </w:rPr>
      </w:pPr>
      <w:r>
        <w:rPr>
          <w:rFonts w:hint="eastAsia" w:ascii="宋体" w:hAnsi="宋体" w:cs="宋体"/>
          <w:bCs/>
          <w:sz w:val="96"/>
          <w:szCs w:val="96"/>
        </w:rPr>
        <w:t>投标文件</w:t>
      </w:r>
    </w:p>
    <w:p>
      <w:pPr>
        <w:widowControl/>
        <w:tabs>
          <w:tab w:val="left" w:pos="2415"/>
        </w:tabs>
        <w:wordWrap w:val="0"/>
        <w:spacing w:line="360" w:lineRule="auto"/>
        <w:jc w:val="left"/>
        <w:rPr>
          <w:rFonts w:ascii="宋体" w:hAnsi="宋体" w:cs="宋体"/>
          <w:b/>
          <w:bCs/>
          <w:kern w:val="0"/>
          <w:sz w:val="24"/>
        </w:rPr>
      </w:pPr>
    </w:p>
    <w:p>
      <w:pPr>
        <w:widowControl/>
        <w:tabs>
          <w:tab w:val="left" w:pos="0"/>
        </w:tabs>
        <w:spacing w:line="360" w:lineRule="auto"/>
        <w:ind w:firstLine="472" w:firstLineChars="196"/>
        <w:jc w:val="left"/>
        <w:rPr>
          <w:rFonts w:ascii="宋体" w:hAnsi="宋体" w:cs="宋体"/>
          <w:b/>
          <w:bCs/>
          <w:kern w:val="0"/>
          <w:sz w:val="24"/>
        </w:rPr>
      </w:pPr>
    </w:p>
    <w:p>
      <w:pPr>
        <w:widowControl/>
        <w:tabs>
          <w:tab w:val="left" w:pos="0"/>
        </w:tabs>
        <w:spacing w:line="360" w:lineRule="auto"/>
        <w:ind w:firstLine="2249" w:firstLineChars="700"/>
        <w:rPr>
          <w:rFonts w:ascii="宋体" w:hAnsi="宋体" w:cs="宋体"/>
          <w:b/>
          <w:bCs/>
          <w:kern w:val="0"/>
          <w:sz w:val="32"/>
          <w:szCs w:val="32"/>
        </w:rPr>
      </w:pPr>
      <w:r>
        <w:rPr>
          <w:rFonts w:hint="eastAsia" w:ascii="宋体" w:hAnsi="宋体" w:cs="宋体"/>
          <w:b/>
          <w:bCs/>
          <w:kern w:val="0"/>
          <w:sz w:val="32"/>
          <w:szCs w:val="32"/>
        </w:rPr>
        <w:t>招标编号：</w:t>
      </w:r>
    </w:p>
    <w:p>
      <w:pPr>
        <w:widowControl/>
        <w:tabs>
          <w:tab w:val="center" w:pos="4153"/>
        </w:tabs>
        <w:wordWrap w:val="0"/>
        <w:spacing w:line="360" w:lineRule="auto"/>
        <w:rPr>
          <w:rFonts w:ascii="宋体" w:hAnsi="宋体" w:cs="宋体"/>
          <w:b/>
          <w:bCs/>
          <w:kern w:val="0"/>
          <w:sz w:val="24"/>
        </w:rPr>
      </w:pPr>
    </w:p>
    <w:p>
      <w:pPr>
        <w:widowControl/>
        <w:tabs>
          <w:tab w:val="center" w:pos="4153"/>
        </w:tabs>
        <w:wordWrap w:val="0"/>
        <w:spacing w:line="360" w:lineRule="auto"/>
        <w:rPr>
          <w:rFonts w:ascii="宋体" w:hAnsi="宋体" w:cs="宋体"/>
          <w:b/>
          <w:bCs/>
          <w:kern w:val="0"/>
          <w:sz w:val="24"/>
        </w:rPr>
      </w:pPr>
    </w:p>
    <w:p>
      <w:pPr>
        <w:widowControl/>
        <w:tabs>
          <w:tab w:val="center" w:pos="4153"/>
        </w:tabs>
        <w:wordWrap w:val="0"/>
        <w:spacing w:line="360" w:lineRule="auto"/>
        <w:rPr>
          <w:rFonts w:ascii="宋体" w:hAnsi="宋体" w:cs="宋体"/>
          <w:b/>
          <w:bCs/>
          <w:kern w:val="0"/>
          <w:sz w:val="24"/>
        </w:rPr>
      </w:pPr>
    </w:p>
    <w:p>
      <w:pPr>
        <w:widowControl/>
        <w:tabs>
          <w:tab w:val="center" w:pos="4153"/>
        </w:tabs>
        <w:wordWrap w:val="0"/>
        <w:spacing w:line="360" w:lineRule="auto"/>
        <w:rPr>
          <w:rFonts w:ascii="宋体" w:hAnsi="宋体" w:cs="宋体"/>
          <w:b/>
          <w:bCs/>
          <w:kern w:val="0"/>
          <w:sz w:val="24"/>
        </w:rPr>
      </w:pPr>
    </w:p>
    <w:p>
      <w:pPr>
        <w:widowControl/>
        <w:tabs>
          <w:tab w:val="center" w:pos="4153"/>
        </w:tabs>
        <w:wordWrap w:val="0"/>
        <w:spacing w:line="360" w:lineRule="auto"/>
        <w:rPr>
          <w:rFonts w:ascii="宋体" w:hAnsi="宋体" w:cs="宋体"/>
          <w:b/>
          <w:bCs/>
          <w:kern w:val="0"/>
          <w:sz w:val="24"/>
        </w:rPr>
      </w:pPr>
    </w:p>
    <w:p>
      <w:pPr>
        <w:widowControl/>
        <w:tabs>
          <w:tab w:val="left" w:pos="2415"/>
        </w:tabs>
        <w:wordWrap w:val="0"/>
        <w:spacing w:line="360" w:lineRule="auto"/>
        <w:jc w:val="left"/>
        <w:rPr>
          <w:rFonts w:ascii="宋体" w:hAnsi="宋体" w:cs="宋体"/>
          <w:b/>
          <w:bCs/>
          <w:kern w:val="0"/>
          <w:sz w:val="24"/>
        </w:rPr>
      </w:pPr>
    </w:p>
    <w:p>
      <w:pPr>
        <w:widowControl/>
        <w:tabs>
          <w:tab w:val="left" w:pos="0"/>
        </w:tabs>
        <w:spacing w:line="360" w:lineRule="auto"/>
        <w:ind w:firstLine="472" w:firstLineChars="196"/>
        <w:jc w:val="left"/>
        <w:rPr>
          <w:rFonts w:ascii="宋体" w:hAnsi="宋体" w:cs="宋体"/>
          <w:b/>
          <w:bCs/>
          <w:kern w:val="0"/>
          <w:sz w:val="24"/>
        </w:rPr>
      </w:pPr>
    </w:p>
    <w:p>
      <w:pPr>
        <w:widowControl/>
        <w:tabs>
          <w:tab w:val="left" w:pos="0"/>
        </w:tabs>
        <w:spacing w:line="360" w:lineRule="auto"/>
        <w:ind w:firstLine="1485" w:firstLineChars="493"/>
        <w:jc w:val="left"/>
        <w:rPr>
          <w:rFonts w:ascii="宋体" w:hAnsi="宋体" w:cs="宋体"/>
          <w:b/>
          <w:bCs/>
          <w:kern w:val="0"/>
          <w:sz w:val="30"/>
          <w:szCs w:val="30"/>
        </w:rPr>
      </w:pPr>
      <w:r>
        <w:rPr>
          <w:rFonts w:hint="eastAsia" w:ascii="宋体" w:hAnsi="宋体" w:cs="宋体"/>
          <w:b/>
          <w:bCs/>
          <w:kern w:val="0"/>
          <w:sz w:val="30"/>
          <w:szCs w:val="30"/>
        </w:rPr>
        <w:t>投标人：（盖章）</w:t>
      </w:r>
    </w:p>
    <w:p>
      <w:pPr>
        <w:widowControl/>
        <w:tabs>
          <w:tab w:val="left" w:pos="0"/>
        </w:tabs>
        <w:spacing w:line="360" w:lineRule="auto"/>
        <w:ind w:firstLine="1485" w:firstLineChars="493"/>
        <w:jc w:val="left"/>
        <w:rPr>
          <w:rFonts w:ascii="宋体" w:hAnsi="宋体" w:cs="宋体"/>
          <w:b/>
          <w:bCs/>
          <w:kern w:val="0"/>
          <w:sz w:val="30"/>
          <w:szCs w:val="30"/>
        </w:rPr>
      </w:pPr>
      <w:r>
        <w:rPr>
          <w:rFonts w:hint="eastAsia" w:ascii="宋体" w:hAnsi="宋体" w:cs="宋体"/>
          <w:b/>
          <w:bCs/>
          <w:kern w:val="0"/>
          <w:sz w:val="30"/>
          <w:szCs w:val="30"/>
        </w:rPr>
        <w:t>法定代表人或其委托代理人：（签字</w:t>
      </w:r>
      <w:r>
        <w:rPr>
          <w:rFonts w:hint="eastAsia" w:ascii="宋体" w:hAnsi="宋体" w:cs="宋体"/>
          <w:sz w:val="30"/>
          <w:szCs w:val="30"/>
        </w:rPr>
        <w:t>）</w:t>
      </w:r>
    </w:p>
    <w:p>
      <w:pPr>
        <w:widowControl/>
        <w:tabs>
          <w:tab w:val="left" w:pos="0"/>
        </w:tabs>
        <w:spacing w:line="360" w:lineRule="auto"/>
        <w:ind w:firstLine="1485" w:firstLineChars="493"/>
        <w:jc w:val="left"/>
        <w:rPr>
          <w:rFonts w:ascii="宋体" w:hAnsi="宋体" w:cs="宋体"/>
          <w:b/>
          <w:bCs/>
          <w:kern w:val="0"/>
          <w:sz w:val="30"/>
          <w:szCs w:val="30"/>
        </w:rPr>
      </w:pPr>
      <w:r>
        <w:rPr>
          <w:rFonts w:hint="eastAsia" w:ascii="宋体" w:hAnsi="宋体" w:cs="宋体"/>
          <w:b/>
          <w:bCs/>
          <w:kern w:val="0"/>
          <w:sz w:val="30"/>
          <w:szCs w:val="30"/>
        </w:rPr>
        <w:t>日期：年月日</w:t>
      </w:r>
    </w:p>
    <w:p>
      <w:pPr>
        <w:pStyle w:val="2"/>
        <w:ind w:firstLine="0" w:firstLineChars="0"/>
        <w:jc w:val="center"/>
        <w:rPr>
          <w:rFonts w:ascii="宋体" w:hAnsi="宋体"/>
          <w:b/>
          <w:sz w:val="36"/>
          <w:szCs w:val="28"/>
        </w:rPr>
      </w:pPr>
      <w:r>
        <w:rPr>
          <w:rFonts w:hint="eastAsia" w:ascii="宋体" w:hAnsi="宋体"/>
          <w:b/>
          <w:sz w:val="24"/>
        </w:rPr>
        <w:br w:type="page"/>
      </w:r>
      <w:r>
        <w:rPr>
          <w:rFonts w:hint="eastAsia" w:ascii="宋体" w:hAnsi="宋体"/>
          <w:b/>
          <w:sz w:val="36"/>
          <w:szCs w:val="28"/>
        </w:rPr>
        <w:t>目录</w:t>
      </w:r>
    </w:p>
    <w:p>
      <w:pPr>
        <w:pStyle w:val="2"/>
        <w:spacing w:before="0" w:beforeAutospacing="0" w:after="0"/>
        <w:ind w:firstLine="0" w:firstLineChars="0"/>
        <w:jc w:val="left"/>
        <w:rPr>
          <w:rFonts w:ascii="宋体" w:hAnsi="宋体"/>
          <w:sz w:val="24"/>
          <w:szCs w:val="24"/>
        </w:rPr>
      </w:pPr>
      <w:r>
        <w:rPr>
          <w:rFonts w:hint="eastAsia" w:ascii="宋体" w:hAnsi="宋体"/>
          <w:sz w:val="24"/>
          <w:szCs w:val="24"/>
        </w:rPr>
        <w:t>一、开标一览表</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二、资格证明资料</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cstheme="minorBidi"/>
          <w:snapToGrid w:val="0"/>
          <w:kern w:val="0"/>
          <w:sz w:val="24"/>
          <w:szCs w:val="24"/>
          <w:lang w:val="zh-CN"/>
        </w:rPr>
        <w:t>三、</w:t>
      </w:r>
      <w:r>
        <w:rPr>
          <w:rFonts w:hint="eastAsia" w:hAnsi="宋体" w:eastAsia="宋体" w:asciiTheme="minorHAnsi" w:cstheme="minorBidi"/>
          <w:snapToGrid w:val="0"/>
          <w:kern w:val="0"/>
          <w:sz w:val="24"/>
          <w:szCs w:val="24"/>
          <w:lang w:val="zh-CN"/>
        </w:rPr>
        <w:t>符合性审查资料</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（一）投标函</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（二）信誉资料</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（三）项目管理机构</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（四）拟投入本项目的主要设备情况</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（五）业绩情况表</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（六）服务承诺</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（七）项目实施方案</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（八）中小企业、监狱企业、残疾人福利性单位声明函</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t>（九）其他资料</w:t>
      </w: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p>
    <w:p>
      <w:pPr>
        <w:pStyle w:val="2"/>
        <w:spacing w:before="0" w:beforeAutospacing="0" w:after="0"/>
        <w:ind w:firstLine="0" w:firstLineChars="0"/>
        <w:jc w:val="left"/>
        <w:rPr>
          <w:rFonts w:hAnsi="宋体" w:eastAsia="宋体" w:asciiTheme="minorHAnsi" w:cstheme="minorBidi"/>
          <w:snapToGrid w:val="0"/>
          <w:kern w:val="0"/>
          <w:sz w:val="24"/>
          <w:szCs w:val="24"/>
          <w:lang w:val="zh-CN"/>
        </w:rPr>
      </w:pPr>
      <w:r>
        <w:rPr>
          <w:rFonts w:hint="eastAsia" w:hAnsi="宋体" w:eastAsia="宋体" w:asciiTheme="minorHAnsi" w:cstheme="minorBidi"/>
          <w:snapToGrid w:val="0"/>
          <w:kern w:val="0"/>
          <w:sz w:val="24"/>
          <w:szCs w:val="24"/>
          <w:lang w:val="zh-CN"/>
        </w:rPr>
        <w:br w:type="page"/>
      </w:r>
    </w:p>
    <w:p>
      <w:pPr>
        <w:pStyle w:val="2"/>
        <w:ind w:firstLine="0" w:firstLineChars="0"/>
        <w:jc w:val="center"/>
        <w:rPr>
          <w:rFonts w:ascii="宋体" w:hAnsi="宋体"/>
          <w:b/>
          <w:bCs/>
          <w:sz w:val="36"/>
          <w:szCs w:val="36"/>
        </w:rPr>
      </w:pPr>
      <w:r>
        <w:rPr>
          <w:rFonts w:hint="eastAsia" w:ascii="宋体" w:hAnsi="宋体"/>
          <w:b/>
          <w:bCs/>
          <w:sz w:val="36"/>
          <w:szCs w:val="36"/>
        </w:rPr>
        <w:t>一、开标一览表</w:t>
      </w:r>
    </w:p>
    <w:p>
      <w:pPr>
        <w:adjustRightInd w:val="0"/>
        <w:snapToGrid w:val="0"/>
        <w:spacing w:afterLines="50" w:line="320" w:lineRule="exact"/>
        <w:rPr>
          <w:rFonts w:ascii="宋体" w:hAnsi="宋体"/>
          <w:sz w:val="24"/>
        </w:rPr>
      </w:pPr>
    </w:p>
    <w:p>
      <w:pPr>
        <w:adjustRightInd w:val="0"/>
        <w:snapToGrid w:val="0"/>
        <w:spacing w:afterLines="50" w:line="320" w:lineRule="exact"/>
        <w:rPr>
          <w:rFonts w:ascii="宋体" w:hAnsi="宋体"/>
          <w:i/>
          <w:iCs/>
          <w:sz w:val="24"/>
          <w:u w:val="single"/>
        </w:rPr>
      </w:pPr>
      <w:r>
        <w:rPr>
          <w:rFonts w:hint="eastAsia" w:ascii="宋体" w:hAnsi="宋体"/>
          <w:sz w:val="24"/>
        </w:rPr>
        <w:t>招标编号：</w:t>
      </w:r>
    </w:p>
    <w:p>
      <w:pPr>
        <w:spacing w:afterLines="50" w:line="320" w:lineRule="exact"/>
        <w:rPr>
          <w:rFonts w:ascii="宋体" w:hAnsi="宋体"/>
          <w:sz w:val="24"/>
        </w:rPr>
      </w:pPr>
      <w:r>
        <w:rPr>
          <w:rFonts w:hint="eastAsia" w:ascii="宋体" w:hAnsi="宋体" w:cs="Arial"/>
          <w:sz w:val="24"/>
        </w:rPr>
        <w:t xml:space="preserve">                                            货币单位：元（人民币）</w:t>
      </w:r>
    </w:p>
    <w:p>
      <w:pPr>
        <w:autoSpaceDE w:val="0"/>
        <w:autoSpaceDN w:val="0"/>
        <w:adjustRightInd w:val="0"/>
        <w:spacing w:line="140" w:lineRule="exact"/>
        <w:rPr>
          <w:rFonts w:ascii="宋体" w:hAnsi="宋体"/>
          <w:b/>
          <w:bCs/>
          <w:sz w:val="24"/>
        </w:rPr>
      </w:pPr>
    </w:p>
    <w:tbl>
      <w:tblPr>
        <w:tblStyle w:val="11"/>
        <w:tblW w:w="8600" w:type="dxa"/>
        <w:tblInd w:w="0" w:type="dxa"/>
        <w:tblLayout w:type="fixed"/>
        <w:tblCellMar>
          <w:top w:w="0" w:type="dxa"/>
          <w:left w:w="108" w:type="dxa"/>
          <w:bottom w:w="0" w:type="dxa"/>
          <w:right w:w="108" w:type="dxa"/>
        </w:tblCellMar>
      </w:tblPr>
      <w:tblGrid>
        <w:gridCol w:w="2324"/>
        <w:gridCol w:w="2213"/>
        <w:gridCol w:w="1525"/>
        <w:gridCol w:w="2538"/>
      </w:tblGrid>
      <w:tr>
        <w:tblPrEx>
          <w:tblLayout w:type="fixed"/>
          <w:tblCellMar>
            <w:top w:w="0" w:type="dxa"/>
            <w:left w:w="108" w:type="dxa"/>
            <w:bottom w:w="0" w:type="dxa"/>
            <w:right w:w="108" w:type="dxa"/>
          </w:tblCellMar>
        </w:tblPrEx>
        <w:trPr>
          <w:trHeight w:val="499" w:hRule="atLeast"/>
        </w:trPr>
        <w:tc>
          <w:tcPr>
            <w:tcW w:w="23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项目名称</w:t>
            </w:r>
          </w:p>
        </w:tc>
        <w:tc>
          <w:tcPr>
            <w:tcW w:w="6276"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sz w:val="24"/>
              </w:rPr>
            </w:pPr>
          </w:p>
        </w:tc>
      </w:tr>
      <w:tr>
        <w:tblPrEx>
          <w:tblLayout w:type="fixed"/>
          <w:tblCellMar>
            <w:top w:w="0" w:type="dxa"/>
            <w:left w:w="108" w:type="dxa"/>
            <w:bottom w:w="0" w:type="dxa"/>
            <w:right w:w="108" w:type="dxa"/>
          </w:tblCellMar>
        </w:tblPrEx>
        <w:trPr>
          <w:trHeight w:val="493" w:hRule="atLeast"/>
        </w:trPr>
        <w:tc>
          <w:tcPr>
            <w:tcW w:w="23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rPr>
            </w:pPr>
            <w:r>
              <w:rPr>
                <w:rFonts w:hint="eastAsia"/>
                <w:sz w:val="24"/>
              </w:rPr>
              <w:t>标段</w:t>
            </w:r>
          </w:p>
        </w:tc>
        <w:tc>
          <w:tcPr>
            <w:tcW w:w="6276"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第二标段</w:t>
            </w:r>
          </w:p>
        </w:tc>
      </w:tr>
      <w:tr>
        <w:tblPrEx>
          <w:tblLayout w:type="fixed"/>
          <w:tblCellMar>
            <w:top w:w="0" w:type="dxa"/>
            <w:left w:w="108" w:type="dxa"/>
            <w:bottom w:w="0" w:type="dxa"/>
            <w:right w:w="108" w:type="dxa"/>
          </w:tblCellMar>
        </w:tblPrEx>
        <w:trPr>
          <w:trHeight w:val="493" w:hRule="atLeast"/>
        </w:trPr>
        <w:tc>
          <w:tcPr>
            <w:tcW w:w="23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rPr>
            </w:pPr>
            <w:r>
              <w:rPr>
                <w:rFonts w:hint="eastAsia"/>
                <w:sz w:val="24"/>
              </w:rPr>
              <w:t>投标单位名称</w:t>
            </w:r>
          </w:p>
        </w:tc>
        <w:tc>
          <w:tcPr>
            <w:tcW w:w="6276"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sz w:val="24"/>
              </w:rPr>
            </w:pPr>
          </w:p>
        </w:tc>
      </w:tr>
      <w:tr>
        <w:tblPrEx>
          <w:tblLayout w:type="fixed"/>
          <w:tblCellMar>
            <w:top w:w="0" w:type="dxa"/>
            <w:left w:w="108" w:type="dxa"/>
            <w:bottom w:w="0" w:type="dxa"/>
            <w:right w:w="108" w:type="dxa"/>
          </w:tblCellMar>
        </w:tblPrEx>
        <w:trPr>
          <w:trHeight w:val="493" w:hRule="atLeast"/>
        </w:trPr>
        <w:tc>
          <w:tcPr>
            <w:tcW w:w="23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sz w:val="24"/>
              </w:rPr>
            </w:pPr>
            <w:r>
              <w:rPr>
                <w:rFonts w:hint="eastAsia"/>
                <w:sz w:val="24"/>
              </w:rPr>
              <w:t>投标总报价</w:t>
            </w:r>
          </w:p>
        </w:tc>
        <w:tc>
          <w:tcPr>
            <w:tcW w:w="6276" w:type="dxa"/>
            <w:gridSpan w:val="3"/>
            <w:tcBorders>
              <w:top w:val="single" w:color="auto" w:sz="6" w:space="0"/>
              <w:left w:val="nil"/>
              <w:bottom w:val="single" w:color="auto" w:sz="6" w:space="0"/>
              <w:right w:val="single" w:color="auto" w:sz="6" w:space="0"/>
            </w:tcBorders>
            <w:vAlign w:val="center"/>
          </w:tcPr>
          <w:p>
            <w:pPr>
              <w:rPr>
                <w:sz w:val="24"/>
              </w:rPr>
            </w:pPr>
            <w:r>
              <w:rPr>
                <w:rFonts w:hint="eastAsia"/>
                <w:sz w:val="24"/>
              </w:rPr>
              <w:t>大写：</w:t>
            </w:r>
          </w:p>
          <w:p>
            <w:pPr>
              <w:rPr>
                <w:rFonts w:ascii="宋体" w:hAnsi="宋体"/>
                <w:sz w:val="24"/>
              </w:rPr>
            </w:pPr>
            <w:r>
              <w:rPr>
                <w:rFonts w:hint="eastAsia"/>
                <w:sz w:val="24"/>
              </w:rPr>
              <w:t>小写：</w:t>
            </w:r>
          </w:p>
        </w:tc>
      </w:tr>
      <w:tr>
        <w:tblPrEx>
          <w:tblLayout w:type="fixed"/>
          <w:tblCellMar>
            <w:top w:w="0" w:type="dxa"/>
            <w:left w:w="108" w:type="dxa"/>
            <w:bottom w:w="0" w:type="dxa"/>
            <w:right w:w="108" w:type="dxa"/>
          </w:tblCellMar>
        </w:tblPrEx>
        <w:trPr>
          <w:trHeight w:val="491" w:hRule="atLeast"/>
        </w:trPr>
        <w:tc>
          <w:tcPr>
            <w:tcW w:w="23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投标报价（元/年）</w:t>
            </w:r>
          </w:p>
        </w:tc>
        <w:tc>
          <w:tcPr>
            <w:tcW w:w="6276" w:type="dxa"/>
            <w:gridSpan w:val="3"/>
            <w:tcBorders>
              <w:top w:val="single" w:color="auto" w:sz="6" w:space="0"/>
              <w:left w:val="nil"/>
              <w:bottom w:val="single" w:color="auto" w:sz="6" w:space="0"/>
              <w:right w:val="single" w:color="auto" w:sz="6" w:space="0"/>
            </w:tcBorders>
            <w:vAlign w:val="center"/>
          </w:tcPr>
          <w:p>
            <w:pPr>
              <w:rPr>
                <w:sz w:val="24"/>
              </w:rPr>
            </w:pPr>
            <w:r>
              <w:rPr>
                <w:rFonts w:hint="eastAsia"/>
                <w:sz w:val="24"/>
              </w:rPr>
              <w:t>大写：</w:t>
            </w:r>
          </w:p>
          <w:p>
            <w:pPr>
              <w:rPr>
                <w:sz w:val="24"/>
              </w:rPr>
            </w:pPr>
            <w:r>
              <w:rPr>
                <w:rFonts w:hint="eastAsia"/>
                <w:sz w:val="24"/>
              </w:rPr>
              <w:t>小写：</w:t>
            </w:r>
          </w:p>
        </w:tc>
      </w:tr>
      <w:tr>
        <w:tblPrEx>
          <w:tblLayout w:type="fixed"/>
          <w:tblCellMar>
            <w:top w:w="0" w:type="dxa"/>
            <w:left w:w="108" w:type="dxa"/>
            <w:bottom w:w="0" w:type="dxa"/>
            <w:right w:w="108" w:type="dxa"/>
          </w:tblCellMar>
        </w:tblPrEx>
        <w:trPr>
          <w:trHeight w:val="491" w:hRule="atLeast"/>
        </w:trPr>
        <w:tc>
          <w:tcPr>
            <w:tcW w:w="23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服务期限</w:t>
            </w:r>
          </w:p>
        </w:tc>
        <w:tc>
          <w:tcPr>
            <w:tcW w:w="6276"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jc w:val="center"/>
              <w:rPr>
                <w:sz w:val="24"/>
              </w:rPr>
            </w:pPr>
            <w:r>
              <w:rPr>
                <w:rFonts w:hint="eastAsia"/>
                <w:sz w:val="24"/>
              </w:rPr>
              <w:t>自合同签订之日起三年</w:t>
            </w:r>
          </w:p>
        </w:tc>
      </w:tr>
      <w:tr>
        <w:tblPrEx>
          <w:tblLayout w:type="fixed"/>
          <w:tblCellMar>
            <w:top w:w="0" w:type="dxa"/>
            <w:left w:w="108" w:type="dxa"/>
            <w:bottom w:w="0" w:type="dxa"/>
            <w:right w:w="108" w:type="dxa"/>
          </w:tblCellMar>
        </w:tblPrEx>
        <w:trPr>
          <w:trHeight w:val="491" w:hRule="atLeast"/>
        </w:trPr>
        <w:tc>
          <w:tcPr>
            <w:tcW w:w="23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项目负责人</w:t>
            </w:r>
          </w:p>
        </w:tc>
        <w:tc>
          <w:tcPr>
            <w:tcW w:w="2213" w:type="dxa"/>
            <w:tcBorders>
              <w:top w:val="single" w:color="auto" w:sz="6" w:space="0"/>
              <w:left w:val="nil"/>
              <w:bottom w:val="single" w:color="auto" w:sz="6" w:space="0"/>
              <w:right w:val="single" w:color="auto" w:sz="6" w:space="0"/>
            </w:tcBorders>
            <w:vAlign w:val="center"/>
          </w:tcPr>
          <w:p>
            <w:pPr>
              <w:rPr>
                <w:sz w:val="24"/>
              </w:rPr>
            </w:pPr>
          </w:p>
        </w:tc>
        <w:tc>
          <w:tcPr>
            <w:tcW w:w="1525" w:type="dxa"/>
            <w:tcBorders>
              <w:top w:val="single" w:color="auto" w:sz="6" w:space="0"/>
              <w:left w:val="nil"/>
              <w:bottom w:val="single" w:color="auto" w:sz="6" w:space="0"/>
              <w:right w:val="single" w:color="auto" w:sz="6" w:space="0"/>
            </w:tcBorders>
            <w:vAlign w:val="center"/>
          </w:tcPr>
          <w:p>
            <w:pPr>
              <w:jc w:val="center"/>
              <w:rPr>
                <w:sz w:val="24"/>
              </w:rPr>
            </w:pPr>
            <w:r>
              <w:rPr>
                <w:rFonts w:hint="eastAsia"/>
                <w:sz w:val="24"/>
              </w:rPr>
              <w:t>证书及编号</w:t>
            </w:r>
          </w:p>
        </w:tc>
        <w:tc>
          <w:tcPr>
            <w:tcW w:w="2538" w:type="dxa"/>
            <w:tcBorders>
              <w:top w:val="single" w:color="auto" w:sz="6" w:space="0"/>
              <w:left w:val="nil"/>
              <w:bottom w:val="single" w:color="auto" w:sz="6" w:space="0"/>
              <w:right w:val="single" w:color="auto" w:sz="6" w:space="0"/>
            </w:tcBorders>
            <w:vAlign w:val="center"/>
          </w:tcPr>
          <w:p>
            <w:pPr>
              <w:rPr>
                <w:sz w:val="24"/>
              </w:rPr>
            </w:pPr>
          </w:p>
        </w:tc>
      </w:tr>
      <w:tr>
        <w:tblPrEx>
          <w:tblLayout w:type="fixed"/>
          <w:tblCellMar>
            <w:top w:w="0" w:type="dxa"/>
            <w:left w:w="108" w:type="dxa"/>
            <w:bottom w:w="0" w:type="dxa"/>
            <w:right w:w="108" w:type="dxa"/>
          </w:tblCellMar>
        </w:tblPrEx>
        <w:trPr>
          <w:trHeight w:val="493" w:hRule="atLeast"/>
        </w:trPr>
        <w:tc>
          <w:tcPr>
            <w:tcW w:w="23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投标有效期</w:t>
            </w:r>
          </w:p>
        </w:tc>
        <w:tc>
          <w:tcPr>
            <w:tcW w:w="6276" w:type="dxa"/>
            <w:gridSpan w:val="3"/>
            <w:tcBorders>
              <w:top w:val="single" w:color="auto" w:sz="6" w:space="0"/>
              <w:left w:val="nil"/>
              <w:bottom w:val="single" w:color="auto" w:sz="6" w:space="0"/>
              <w:right w:val="single" w:color="auto" w:sz="6" w:space="0"/>
            </w:tcBorders>
            <w:vAlign w:val="center"/>
          </w:tcPr>
          <w:p>
            <w:pPr>
              <w:autoSpaceDE w:val="0"/>
              <w:autoSpaceDN w:val="0"/>
              <w:adjustRightInd w:val="0"/>
              <w:jc w:val="center"/>
              <w:rPr>
                <w:rFonts w:ascii="宋体" w:hAnsi="宋体"/>
                <w:sz w:val="24"/>
              </w:rPr>
            </w:pPr>
            <w:r>
              <w:rPr>
                <w:rFonts w:hint="eastAsia" w:ascii="宋体" w:hAnsi="宋体"/>
                <w:sz w:val="24"/>
              </w:rPr>
              <w:t>日历天</w:t>
            </w:r>
          </w:p>
        </w:tc>
      </w:tr>
      <w:tr>
        <w:tblPrEx>
          <w:tblLayout w:type="fixed"/>
          <w:tblCellMar>
            <w:top w:w="0" w:type="dxa"/>
            <w:left w:w="108" w:type="dxa"/>
            <w:bottom w:w="0" w:type="dxa"/>
            <w:right w:w="108" w:type="dxa"/>
          </w:tblCellMar>
        </w:tblPrEx>
        <w:trPr>
          <w:trHeight w:val="493" w:hRule="atLeast"/>
        </w:trPr>
        <w:tc>
          <w:tcPr>
            <w:tcW w:w="8600" w:type="dxa"/>
            <w:gridSpan w:val="4"/>
            <w:tcBorders>
              <w:top w:val="single" w:color="auto" w:sz="6" w:space="0"/>
              <w:left w:val="single" w:color="auto" w:sz="6" w:space="0"/>
              <w:bottom w:val="single" w:color="auto" w:sz="6" w:space="0"/>
              <w:right w:val="single" w:color="auto" w:sz="6" w:space="0"/>
            </w:tcBorders>
            <w:vAlign w:val="center"/>
          </w:tcPr>
          <w:p>
            <w:pPr>
              <w:rPr>
                <w:sz w:val="24"/>
              </w:rPr>
            </w:pPr>
            <w:r>
              <w:rPr>
                <w:rFonts w:hint="eastAsia"/>
                <w:sz w:val="24"/>
              </w:rPr>
              <w:t>投标人承诺的服务内容及服务概况：</w:t>
            </w:r>
          </w:p>
          <w:p>
            <w:pPr>
              <w:rPr>
                <w:sz w:val="24"/>
              </w:rPr>
            </w:pPr>
          </w:p>
          <w:p>
            <w:pPr>
              <w:rPr>
                <w:sz w:val="24"/>
              </w:rPr>
            </w:pPr>
          </w:p>
          <w:p>
            <w:pPr>
              <w:rPr>
                <w:sz w:val="24"/>
              </w:rPr>
            </w:pPr>
          </w:p>
        </w:tc>
      </w:tr>
    </w:tbl>
    <w:p>
      <w:pPr>
        <w:autoSpaceDE w:val="0"/>
        <w:autoSpaceDN w:val="0"/>
        <w:adjustRightInd w:val="0"/>
        <w:spacing w:line="360" w:lineRule="auto"/>
        <w:rPr>
          <w:rFonts w:ascii="宋体" w:hAnsi="宋体"/>
          <w:sz w:val="24"/>
        </w:rPr>
      </w:pPr>
      <w:r>
        <w:rPr>
          <w:rFonts w:hint="eastAsia" w:ascii="宋体" w:hAnsi="宋体"/>
          <w:sz w:val="24"/>
        </w:rPr>
        <w:t>注：投标人承诺的服务内容及服务概况可以另附。</w:t>
      </w:r>
    </w:p>
    <w:p>
      <w:pPr>
        <w:autoSpaceDE w:val="0"/>
        <w:autoSpaceDN w:val="0"/>
        <w:adjustRightInd w:val="0"/>
        <w:spacing w:line="360" w:lineRule="auto"/>
        <w:rPr>
          <w:rFonts w:ascii="宋体" w:hAnsi="宋体"/>
          <w:sz w:val="24"/>
        </w:rPr>
      </w:pPr>
    </w:p>
    <w:p>
      <w:pPr>
        <w:autoSpaceDE w:val="0"/>
        <w:autoSpaceDN w:val="0"/>
        <w:adjustRightInd w:val="0"/>
        <w:spacing w:line="360" w:lineRule="auto"/>
        <w:rPr>
          <w:rFonts w:ascii="宋体" w:hAnsi="宋体"/>
          <w:sz w:val="24"/>
        </w:rPr>
      </w:pPr>
    </w:p>
    <w:p>
      <w:pPr>
        <w:autoSpaceDE w:val="0"/>
        <w:autoSpaceDN w:val="0"/>
        <w:adjustRightInd w:val="0"/>
        <w:spacing w:line="360" w:lineRule="auto"/>
        <w:rPr>
          <w:rFonts w:ascii="宋体" w:hAnsi="宋体"/>
          <w:sz w:val="24"/>
        </w:rPr>
      </w:pPr>
    </w:p>
    <w:p>
      <w:pPr>
        <w:autoSpaceDE w:val="0"/>
        <w:autoSpaceDN w:val="0"/>
        <w:adjustRightInd w:val="0"/>
        <w:spacing w:line="360" w:lineRule="auto"/>
        <w:ind w:firstLine="3780" w:firstLineChars="1575"/>
        <w:rPr>
          <w:rFonts w:ascii="宋体" w:hAnsi="宋体"/>
          <w:sz w:val="24"/>
        </w:rPr>
      </w:pPr>
      <w:r>
        <w:rPr>
          <w:rFonts w:hint="eastAsia" w:ascii="宋体" w:hAnsi="宋体"/>
          <w:sz w:val="24"/>
        </w:rPr>
        <w:t>投标人：（盖章）</w:t>
      </w:r>
    </w:p>
    <w:p>
      <w:pPr>
        <w:autoSpaceDE w:val="0"/>
        <w:autoSpaceDN w:val="0"/>
        <w:adjustRightInd w:val="0"/>
        <w:spacing w:line="360" w:lineRule="auto"/>
        <w:ind w:firstLine="3780" w:firstLineChars="1575"/>
        <w:rPr>
          <w:rFonts w:ascii="宋体" w:hAnsi="宋体"/>
          <w:sz w:val="24"/>
        </w:rPr>
      </w:pPr>
      <w:r>
        <w:rPr>
          <w:rFonts w:hint="eastAsia" w:ascii="宋体" w:hAnsi="宋体"/>
          <w:sz w:val="24"/>
        </w:rPr>
        <w:t>投标人地址：</w:t>
      </w:r>
    </w:p>
    <w:p>
      <w:pPr>
        <w:autoSpaceDE w:val="0"/>
        <w:autoSpaceDN w:val="0"/>
        <w:adjustRightInd w:val="0"/>
        <w:spacing w:line="360" w:lineRule="auto"/>
        <w:ind w:firstLine="3780" w:firstLineChars="1575"/>
        <w:rPr>
          <w:rFonts w:ascii="宋体" w:hAnsi="宋体"/>
          <w:sz w:val="24"/>
        </w:rPr>
      </w:pPr>
      <w:r>
        <w:rPr>
          <w:rFonts w:hint="eastAsia" w:ascii="宋体" w:hAnsi="宋体"/>
          <w:sz w:val="24"/>
        </w:rPr>
        <w:t>联系人：</w:t>
      </w:r>
    </w:p>
    <w:p>
      <w:pPr>
        <w:autoSpaceDE w:val="0"/>
        <w:autoSpaceDN w:val="0"/>
        <w:adjustRightInd w:val="0"/>
        <w:spacing w:line="360" w:lineRule="auto"/>
        <w:ind w:firstLine="3780" w:firstLineChars="1575"/>
        <w:rPr>
          <w:rFonts w:ascii="宋体" w:hAnsi="宋体"/>
          <w:sz w:val="24"/>
        </w:rPr>
      </w:pPr>
      <w:r>
        <w:rPr>
          <w:rFonts w:hint="eastAsia" w:ascii="宋体" w:hAnsi="宋体"/>
          <w:sz w:val="24"/>
        </w:rPr>
        <w:t>联系方式：</w:t>
      </w:r>
    </w:p>
    <w:p>
      <w:pPr>
        <w:autoSpaceDE w:val="0"/>
        <w:autoSpaceDN w:val="0"/>
        <w:adjustRightInd w:val="0"/>
        <w:spacing w:line="360" w:lineRule="auto"/>
        <w:ind w:firstLine="3780" w:firstLineChars="1575"/>
        <w:rPr>
          <w:rFonts w:ascii="宋体" w:hAnsi="宋体"/>
          <w:sz w:val="24"/>
        </w:rPr>
      </w:pPr>
      <w:r>
        <w:rPr>
          <w:rFonts w:hint="eastAsia" w:ascii="宋体" w:hAnsi="宋体"/>
          <w:sz w:val="24"/>
        </w:rPr>
        <w:t>法定代表人或其委托代理人：（签字）</w:t>
      </w:r>
    </w:p>
    <w:p>
      <w:pPr>
        <w:autoSpaceDE w:val="0"/>
        <w:autoSpaceDN w:val="0"/>
        <w:adjustRightInd w:val="0"/>
        <w:spacing w:line="360" w:lineRule="auto"/>
        <w:ind w:firstLine="5040" w:firstLineChars="2100"/>
        <w:rPr>
          <w:rFonts w:ascii="宋体" w:hAnsi="宋体"/>
          <w:sz w:val="24"/>
        </w:rPr>
      </w:pPr>
      <w:r>
        <w:rPr>
          <w:rFonts w:hint="eastAsia" w:ascii="宋体" w:hAnsi="宋体"/>
          <w:sz w:val="24"/>
        </w:rPr>
        <w:t>年月日</w:t>
      </w:r>
    </w:p>
    <w:p>
      <w:pPr>
        <w:pStyle w:val="2"/>
        <w:ind w:firstLine="0" w:firstLineChars="0"/>
      </w:pPr>
      <w:r>
        <w:rPr>
          <w:rFonts w:hint="eastAsia"/>
        </w:rPr>
        <w:br w:type="page"/>
      </w:r>
    </w:p>
    <w:p>
      <w:pPr>
        <w:pStyle w:val="2"/>
        <w:ind w:firstLine="0" w:firstLineChars="0"/>
        <w:jc w:val="center"/>
        <w:rPr>
          <w:rFonts w:ascii="宋体" w:hAnsi="宋体"/>
          <w:b/>
          <w:bCs/>
          <w:sz w:val="28"/>
          <w:szCs w:val="28"/>
          <w:lang w:val="zh-CN"/>
        </w:rPr>
      </w:pPr>
      <w:r>
        <w:rPr>
          <w:rFonts w:hint="eastAsia" w:hAnsi="宋体" w:eastAsia="宋体" w:asciiTheme="minorHAnsi" w:cstheme="minorBidi"/>
          <w:b/>
          <w:snapToGrid w:val="0"/>
          <w:kern w:val="0"/>
          <w:sz w:val="36"/>
          <w:szCs w:val="36"/>
          <w:lang w:val="zh-CN"/>
        </w:rPr>
        <w:t>二、资格证明资料</w:t>
      </w:r>
    </w:p>
    <w:p>
      <w:pPr>
        <w:autoSpaceDE w:val="0"/>
        <w:autoSpaceDN w:val="0"/>
        <w:adjustRightInd w:val="0"/>
        <w:spacing w:line="360" w:lineRule="auto"/>
        <w:ind w:right="-11"/>
        <w:jc w:val="left"/>
        <w:rPr>
          <w:rFonts w:hAnsi="宋体" w:eastAsia="宋体"/>
          <w:snapToGrid w:val="0"/>
          <w:kern w:val="0"/>
          <w:sz w:val="28"/>
          <w:szCs w:val="28"/>
          <w:lang w:val="zh-CN"/>
        </w:rPr>
      </w:pPr>
      <w:r>
        <w:rPr>
          <w:rFonts w:hint="eastAsia" w:hAnsi="宋体" w:eastAsia="宋体"/>
          <w:snapToGrid w:val="0"/>
          <w:kern w:val="0"/>
          <w:sz w:val="28"/>
          <w:szCs w:val="28"/>
          <w:lang w:val="zh-CN"/>
        </w:rPr>
        <w:t>（一）法人或者其他组织的营业执照、税务登记证等证明文件，自然人的身份证明</w:t>
      </w:r>
    </w:p>
    <w:p>
      <w:pPr>
        <w:autoSpaceDE w:val="0"/>
        <w:autoSpaceDN w:val="0"/>
        <w:adjustRightInd w:val="0"/>
        <w:spacing w:line="360" w:lineRule="auto"/>
        <w:ind w:right="-11"/>
        <w:jc w:val="left"/>
        <w:rPr>
          <w:rFonts w:hAnsi="宋体" w:eastAsia="宋体"/>
          <w:snapToGrid w:val="0"/>
          <w:kern w:val="0"/>
          <w:sz w:val="28"/>
          <w:szCs w:val="28"/>
          <w:lang w:val="zh-CN"/>
        </w:rPr>
      </w:pPr>
      <w:r>
        <w:rPr>
          <w:rFonts w:hint="eastAsia" w:hAnsi="宋体" w:eastAsia="宋体"/>
          <w:snapToGrid w:val="0"/>
          <w:kern w:val="0"/>
          <w:sz w:val="28"/>
          <w:szCs w:val="28"/>
          <w:lang w:val="zh-CN"/>
        </w:rPr>
        <w:t>（二）资质证、安全生产许可证、拟派项目负责人注册建造师资格证及安全生产考核合格证。</w:t>
      </w:r>
    </w:p>
    <w:p>
      <w:pPr>
        <w:autoSpaceDE w:val="0"/>
        <w:autoSpaceDN w:val="0"/>
        <w:adjustRightInd w:val="0"/>
        <w:spacing w:line="360" w:lineRule="auto"/>
        <w:rPr>
          <w:rFonts w:hAnsi="宋体" w:eastAsia="宋体"/>
          <w:snapToGrid w:val="0"/>
          <w:kern w:val="0"/>
          <w:sz w:val="28"/>
          <w:szCs w:val="28"/>
        </w:rPr>
      </w:pPr>
      <w:r>
        <w:rPr>
          <w:rFonts w:hint="eastAsia" w:hAnsi="宋体" w:eastAsia="宋体"/>
          <w:snapToGrid w:val="0"/>
          <w:kern w:val="0"/>
          <w:sz w:val="28"/>
          <w:szCs w:val="28"/>
        </w:rPr>
        <w:t>（三）财务状况报告相关证明材料</w:t>
      </w:r>
    </w:p>
    <w:p>
      <w:pPr>
        <w:autoSpaceDE w:val="0"/>
        <w:autoSpaceDN w:val="0"/>
        <w:adjustRightInd w:val="0"/>
        <w:spacing w:line="360" w:lineRule="auto"/>
        <w:ind w:right="-11"/>
        <w:rPr>
          <w:rFonts w:hAnsi="宋体" w:eastAsia="宋体"/>
          <w:snapToGrid w:val="0"/>
          <w:kern w:val="0"/>
          <w:sz w:val="28"/>
          <w:szCs w:val="28"/>
        </w:rPr>
      </w:pPr>
      <w:r>
        <w:rPr>
          <w:rFonts w:hint="eastAsia" w:hAnsi="宋体" w:eastAsia="宋体"/>
          <w:snapToGrid w:val="0"/>
          <w:kern w:val="0"/>
          <w:sz w:val="28"/>
          <w:szCs w:val="28"/>
        </w:rPr>
        <w:t>（四）依法缴纳税收相关证明材料</w:t>
      </w:r>
    </w:p>
    <w:p>
      <w:pPr>
        <w:autoSpaceDE w:val="0"/>
        <w:autoSpaceDN w:val="0"/>
        <w:adjustRightInd w:val="0"/>
        <w:spacing w:line="360" w:lineRule="auto"/>
        <w:ind w:right="-11"/>
        <w:rPr>
          <w:rFonts w:hAnsi="宋体" w:eastAsia="宋体"/>
          <w:snapToGrid w:val="0"/>
          <w:kern w:val="0"/>
          <w:sz w:val="28"/>
          <w:szCs w:val="28"/>
          <w:lang w:val="zh-CN"/>
        </w:rPr>
      </w:pPr>
      <w:r>
        <w:rPr>
          <w:rFonts w:hint="eastAsia" w:hAnsi="宋体" w:eastAsia="宋体"/>
          <w:snapToGrid w:val="0"/>
          <w:kern w:val="0"/>
          <w:sz w:val="28"/>
          <w:szCs w:val="28"/>
          <w:lang w:val="zh-CN"/>
        </w:rPr>
        <w:t>（五）依法缴纳社会保障资金的证明材料</w:t>
      </w:r>
    </w:p>
    <w:p>
      <w:pPr>
        <w:autoSpaceDE w:val="0"/>
        <w:autoSpaceDN w:val="0"/>
        <w:adjustRightInd w:val="0"/>
        <w:spacing w:line="360" w:lineRule="auto"/>
        <w:ind w:right="-11"/>
        <w:rPr>
          <w:rFonts w:hAnsi="宋体" w:eastAsia="宋体"/>
          <w:snapToGrid w:val="0"/>
          <w:kern w:val="0"/>
          <w:sz w:val="28"/>
          <w:szCs w:val="28"/>
          <w:lang w:val="zh-CN"/>
        </w:rPr>
      </w:pPr>
      <w:r>
        <w:rPr>
          <w:rFonts w:hint="eastAsia" w:hAnsi="宋体" w:eastAsia="宋体"/>
          <w:snapToGrid w:val="0"/>
          <w:kern w:val="0"/>
          <w:sz w:val="28"/>
          <w:szCs w:val="28"/>
          <w:lang w:val="zh-CN"/>
        </w:rPr>
        <w:t>（六）履行合同所必须的设备和专业技术能力的证明材料</w:t>
      </w:r>
    </w:p>
    <w:p>
      <w:pPr>
        <w:autoSpaceDE w:val="0"/>
        <w:autoSpaceDN w:val="0"/>
        <w:adjustRightInd w:val="0"/>
        <w:spacing w:line="360" w:lineRule="auto"/>
        <w:ind w:right="-11"/>
        <w:rPr>
          <w:rFonts w:hAnsi="宋体" w:eastAsia="宋体"/>
          <w:snapToGrid w:val="0"/>
          <w:kern w:val="0"/>
          <w:sz w:val="28"/>
          <w:szCs w:val="28"/>
          <w:lang w:val="zh-CN"/>
        </w:rPr>
      </w:pPr>
      <w:r>
        <w:rPr>
          <w:rFonts w:hint="eastAsia" w:hAnsi="宋体" w:eastAsia="宋体"/>
          <w:snapToGrid w:val="0"/>
          <w:kern w:val="0"/>
          <w:sz w:val="28"/>
          <w:szCs w:val="28"/>
        </w:rPr>
        <w:t>（七）</w:t>
      </w:r>
      <w:r>
        <w:rPr>
          <w:rFonts w:hint="eastAsia" w:hAnsi="宋体" w:eastAsia="宋体"/>
          <w:snapToGrid w:val="0"/>
          <w:kern w:val="0"/>
          <w:sz w:val="28"/>
          <w:szCs w:val="28"/>
          <w:lang w:val="zh-CN"/>
        </w:rPr>
        <w:t>参加政府采购活动前3年内在经营活动中没有重大违法记录的书面声明</w:t>
      </w:r>
    </w:p>
    <w:p>
      <w:pPr>
        <w:adjustRightInd w:val="0"/>
        <w:spacing w:line="360" w:lineRule="auto"/>
        <w:contextualSpacing/>
        <w:outlineLvl w:val="0"/>
        <w:rPr>
          <w:rFonts w:hAnsi="宋体" w:eastAsia="宋体"/>
          <w:snapToGrid w:val="0"/>
          <w:kern w:val="0"/>
          <w:sz w:val="28"/>
          <w:szCs w:val="28"/>
          <w:lang w:val="zh-CN"/>
        </w:rPr>
      </w:pPr>
      <w:r>
        <w:rPr>
          <w:rFonts w:hint="eastAsia" w:hAnsi="宋体" w:eastAsia="宋体"/>
          <w:snapToGrid w:val="0"/>
          <w:kern w:val="0"/>
          <w:sz w:val="28"/>
          <w:szCs w:val="28"/>
          <w:lang w:val="zh-CN"/>
        </w:rPr>
        <w:t>（八）未被列入“信用中国”网站(www.creditchina.gov.cn)、中国政府采购网(www.ccgp.gov.cn)渠道信用记录失信被执行人、重大税收违法案件当事人名单、政府采购严重违法失信行为记录名单的网页截图</w:t>
      </w:r>
    </w:p>
    <w:p>
      <w:pPr>
        <w:adjustRightInd w:val="0"/>
        <w:spacing w:line="360" w:lineRule="auto"/>
        <w:contextualSpacing/>
        <w:jc w:val="center"/>
        <w:outlineLvl w:val="0"/>
        <w:rPr>
          <w:rFonts w:hAnsi="宋体" w:eastAsia="宋体"/>
          <w:b/>
          <w:bCs/>
          <w:snapToGrid w:val="0"/>
          <w:kern w:val="0"/>
          <w:sz w:val="28"/>
          <w:szCs w:val="28"/>
        </w:rPr>
      </w:pPr>
      <w:r>
        <w:rPr>
          <w:rFonts w:hint="eastAsia" w:hAnsi="宋体" w:eastAsia="宋体"/>
          <w:b/>
          <w:bCs/>
          <w:snapToGrid w:val="0"/>
          <w:kern w:val="0"/>
          <w:sz w:val="28"/>
          <w:szCs w:val="28"/>
        </w:rPr>
        <w:br w:type="page"/>
      </w:r>
    </w:p>
    <w:p>
      <w:pPr>
        <w:adjustRightInd w:val="0"/>
        <w:spacing w:line="360" w:lineRule="auto"/>
        <w:contextualSpacing/>
        <w:jc w:val="center"/>
        <w:outlineLvl w:val="0"/>
        <w:rPr>
          <w:rFonts w:hAnsi="宋体" w:eastAsia="宋体"/>
          <w:b/>
          <w:bCs/>
          <w:snapToGrid w:val="0"/>
          <w:kern w:val="0"/>
          <w:sz w:val="32"/>
          <w:szCs w:val="32"/>
        </w:rPr>
      </w:pPr>
      <w:r>
        <w:rPr>
          <w:rFonts w:hint="eastAsia" w:hAnsi="宋体" w:eastAsia="宋体"/>
          <w:b/>
          <w:bCs/>
          <w:snapToGrid w:val="0"/>
          <w:kern w:val="0"/>
          <w:sz w:val="32"/>
          <w:szCs w:val="32"/>
        </w:rPr>
        <w:t>（九）投标保证金的缴纳情况证明</w:t>
      </w:r>
    </w:p>
    <w:p>
      <w:pPr>
        <w:autoSpaceDE w:val="0"/>
        <w:autoSpaceDN w:val="0"/>
        <w:adjustRightInd w:val="0"/>
        <w:spacing w:line="360" w:lineRule="auto"/>
        <w:ind w:firstLine="1920" w:firstLineChars="800"/>
        <w:rPr>
          <w:rFonts w:ascii="宋体" w:cs="宋体"/>
          <w:sz w:val="24"/>
          <w:lang w:val="zh-CN"/>
        </w:rPr>
      </w:pPr>
      <w:r>
        <w:rPr>
          <w:rFonts w:hint="eastAsia" w:ascii="宋体" w:cs="宋体"/>
          <w:sz w:val="24"/>
          <w:lang w:val="zh-CN"/>
        </w:rPr>
        <w:t>附：许昌公共资源交易中心保证金缴纳回执加盖公章</w:t>
      </w:r>
    </w:p>
    <w:p>
      <w:pPr>
        <w:pStyle w:val="2"/>
        <w:ind w:firstLine="210"/>
      </w:pPr>
    </w:p>
    <w:p>
      <w:pPr>
        <w:adjustRightInd w:val="0"/>
        <w:spacing w:line="360" w:lineRule="auto"/>
        <w:contextualSpacing/>
        <w:outlineLvl w:val="0"/>
        <w:rPr>
          <w:rFonts w:hAnsi="宋体" w:eastAsia="宋体"/>
          <w:snapToGrid w:val="0"/>
          <w:kern w:val="0"/>
          <w:sz w:val="24"/>
          <w:szCs w:val="24"/>
        </w:rPr>
      </w:pPr>
      <w:r>
        <w:rPr>
          <w:rFonts w:hint="eastAsia" w:hAnsi="宋体" w:eastAsia="宋体"/>
          <w:snapToGrid w:val="0"/>
          <w:kern w:val="0"/>
          <w:sz w:val="24"/>
          <w:szCs w:val="24"/>
        </w:rPr>
        <w:br w:type="page"/>
      </w:r>
    </w:p>
    <w:p>
      <w:pPr>
        <w:adjustRightInd w:val="0"/>
        <w:spacing w:line="360" w:lineRule="auto"/>
        <w:contextualSpacing/>
        <w:jc w:val="center"/>
        <w:outlineLvl w:val="0"/>
        <w:rPr>
          <w:rFonts w:hAnsi="宋体" w:eastAsia="宋体"/>
          <w:b/>
          <w:bCs/>
          <w:snapToGrid w:val="0"/>
          <w:kern w:val="0"/>
          <w:sz w:val="32"/>
          <w:szCs w:val="32"/>
        </w:rPr>
      </w:pPr>
      <w:r>
        <w:rPr>
          <w:rFonts w:hint="eastAsia" w:hAnsi="宋体" w:eastAsia="宋体"/>
          <w:b/>
          <w:bCs/>
          <w:snapToGrid w:val="0"/>
          <w:kern w:val="0"/>
          <w:sz w:val="32"/>
          <w:szCs w:val="32"/>
        </w:rPr>
        <w:t>（十）法定代表人资格证明书及</w:t>
      </w:r>
      <w:r>
        <w:rPr>
          <w:rFonts w:hint="eastAsia" w:asciiTheme="majorEastAsia" w:hAnsiTheme="majorEastAsia" w:eastAsiaTheme="majorEastAsia"/>
          <w:b/>
          <w:bCs/>
          <w:color w:val="000000"/>
          <w:sz w:val="32"/>
          <w:szCs w:val="32"/>
        </w:rPr>
        <w:t>法定代表人授权书</w:t>
      </w:r>
    </w:p>
    <w:p>
      <w:pPr>
        <w:spacing w:line="480" w:lineRule="exact"/>
        <w:jc w:val="center"/>
        <w:rPr>
          <w:rFonts w:asciiTheme="majorEastAsia" w:hAnsiTheme="majorEastAsia" w:eastAsiaTheme="majorEastAsia"/>
          <w:b/>
          <w:bCs/>
          <w:color w:val="000000"/>
          <w:sz w:val="32"/>
          <w:szCs w:val="32"/>
        </w:rPr>
      </w:pPr>
      <w:r>
        <w:rPr>
          <w:rFonts w:hint="eastAsia" w:asciiTheme="majorEastAsia" w:hAnsiTheme="majorEastAsia" w:eastAsiaTheme="majorEastAsia"/>
          <w:b/>
          <w:bCs/>
          <w:color w:val="000000"/>
          <w:sz w:val="32"/>
          <w:szCs w:val="32"/>
        </w:rPr>
        <w:t>1、法定代表人</w:t>
      </w:r>
      <w:r>
        <w:rPr>
          <w:rFonts w:asciiTheme="majorEastAsia" w:hAnsiTheme="majorEastAsia" w:eastAsiaTheme="majorEastAsia"/>
          <w:b/>
          <w:bCs/>
          <w:color w:val="000000"/>
          <w:sz w:val="32"/>
          <w:szCs w:val="32"/>
        </w:rPr>
        <w:t>资</w:t>
      </w:r>
      <w:r>
        <w:rPr>
          <w:rFonts w:hint="eastAsia" w:asciiTheme="majorEastAsia" w:hAnsiTheme="majorEastAsia" w:eastAsiaTheme="majorEastAsia"/>
          <w:b/>
          <w:bCs/>
          <w:color w:val="000000"/>
          <w:sz w:val="32"/>
          <w:szCs w:val="32"/>
        </w:rPr>
        <w:t>格</w:t>
      </w:r>
      <w:r>
        <w:rPr>
          <w:rFonts w:asciiTheme="majorEastAsia" w:hAnsiTheme="majorEastAsia" w:eastAsiaTheme="majorEastAsia"/>
          <w:b/>
          <w:bCs/>
          <w:color w:val="000000"/>
          <w:sz w:val="32"/>
          <w:szCs w:val="32"/>
        </w:rPr>
        <w:t>证</w:t>
      </w:r>
      <w:r>
        <w:rPr>
          <w:rFonts w:hint="eastAsia" w:asciiTheme="majorEastAsia" w:hAnsiTheme="majorEastAsia" w:eastAsiaTheme="majorEastAsia"/>
          <w:b/>
          <w:bCs/>
          <w:color w:val="000000"/>
          <w:sz w:val="32"/>
          <w:szCs w:val="32"/>
        </w:rPr>
        <w:t>明</w:t>
      </w:r>
      <w:r>
        <w:rPr>
          <w:rFonts w:asciiTheme="majorEastAsia" w:hAnsiTheme="majorEastAsia" w:eastAsiaTheme="majorEastAsia"/>
          <w:b/>
          <w:bCs/>
          <w:color w:val="000000"/>
          <w:sz w:val="32"/>
          <w:szCs w:val="32"/>
        </w:rPr>
        <w:t>书</w:t>
      </w:r>
    </w:p>
    <w:p>
      <w:pPr>
        <w:autoSpaceDE w:val="0"/>
        <w:autoSpaceDN w:val="0"/>
        <w:adjustRightInd w:val="0"/>
        <w:spacing w:line="480" w:lineRule="auto"/>
        <w:ind w:firstLine="616" w:firstLineChars="257"/>
        <w:rPr>
          <w:rFonts w:ascii="宋体" w:hAnsi="宋体"/>
          <w:color w:val="000000"/>
          <w:sz w:val="24"/>
          <w:szCs w:val="24"/>
        </w:rPr>
      </w:pP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投标单位名称：</w:t>
      </w:r>
      <w:r>
        <w:rPr>
          <w:rFonts w:hint="eastAsia" w:ascii="宋体" w:cs="宋体"/>
          <w:sz w:val="24"/>
          <w:u w:val="single"/>
          <w:lang w:val="zh-CN"/>
        </w:rPr>
        <w:t>　　　　　　</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单位性质：</w:t>
      </w:r>
      <w:r>
        <w:rPr>
          <w:rFonts w:hint="eastAsia" w:ascii="宋体" w:cs="宋体"/>
          <w:sz w:val="24"/>
          <w:u w:val="single"/>
          <w:lang w:val="zh-CN"/>
        </w:rPr>
        <w:t>　　　　　　　　</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hint="eastAsia" w:ascii="宋体" w:cs="宋体"/>
          <w:sz w:val="24"/>
          <w:u w:val="single"/>
          <w:lang w:val="zh-CN"/>
        </w:rPr>
        <w:t>　　　　　　　　　　</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成立时间：年月日</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经营期限：</w:t>
      </w:r>
      <w:r>
        <w:rPr>
          <w:rFonts w:hint="eastAsia" w:ascii="宋体" w:cs="宋体"/>
          <w:sz w:val="24"/>
          <w:u w:val="single"/>
          <w:lang w:val="zh-CN"/>
        </w:rPr>
        <w:t>　　</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姓名：性别：年龄：职务：系</w:t>
      </w:r>
      <w:r>
        <w:rPr>
          <w:rFonts w:hint="eastAsia" w:ascii="宋体" w:cs="宋体"/>
          <w:sz w:val="24"/>
          <w:u w:val="single"/>
          <w:lang w:val="zh-CN"/>
        </w:rPr>
        <w:t>　　　</w:t>
      </w:r>
      <w:r>
        <w:rPr>
          <w:rFonts w:hint="eastAsia" w:ascii="宋体" w:cs="宋体"/>
          <w:sz w:val="24"/>
          <w:lang w:val="zh-CN"/>
        </w:rPr>
        <w:t>（投标单位名称）的法定代表人。</w:t>
      </w:r>
    </w:p>
    <w:p>
      <w:pPr>
        <w:autoSpaceDE w:val="0"/>
        <w:autoSpaceDN w:val="0"/>
        <w:adjustRightInd w:val="0"/>
        <w:spacing w:line="360" w:lineRule="auto"/>
        <w:ind w:firstLine="480" w:firstLineChars="200"/>
        <w:rPr>
          <w:rFonts w:ascii="宋体" w:cs="宋体"/>
          <w:sz w:val="24"/>
          <w:lang w:val="zh-CN"/>
        </w:rPr>
      </w:pPr>
      <w:r>
        <w:rPr>
          <w:rFonts w:hint="eastAsia" w:ascii="宋体" w:cs="宋体"/>
          <w:sz w:val="24"/>
          <w:lang w:val="zh-CN"/>
        </w:rPr>
        <w:t>特此证明。</w:t>
      </w:r>
    </w:p>
    <w:tbl>
      <w:tblPr>
        <w:tblStyle w:val="1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6" w:hRule="atLeast"/>
        </w:trPr>
        <w:tc>
          <w:tcPr>
            <w:tcW w:w="4484" w:type="dxa"/>
            <w:vAlign w:val="center"/>
          </w:tcPr>
          <w:p>
            <w:pPr>
              <w:jc w:val="center"/>
              <w:rPr>
                <w:rFonts w:ascii="宋体"/>
              </w:rPr>
            </w:pPr>
            <w:r>
              <w:rPr>
                <w:rFonts w:hint="eastAsia" w:ascii="宋体"/>
              </w:rPr>
              <w:t>法定代表人身份证（正面）</w:t>
            </w:r>
          </w:p>
        </w:tc>
        <w:tc>
          <w:tcPr>
            <w:tcW w:w="4485" w:type="dxa"/>
            <w:vAlign w:val="center"/>
          </w:tcPr>
          <w:p>
            <w:pPr>
              <w:jc w:val="center"/>
              <w:rPr>
                <w:rFonts w:ascii="宋体"/>
              </w:rPr>
            </w:pPr>
            <w:r>
              <w:rPr>
                <w:rFonts w:hint="eastAsia" w:ascii="宋体"/>
              </w:rPr>
              <w:t>法定代表人身份证（反面）</w:t>
            </w:r>
          </w:p>
        </w:tc>
      </w:tr>
    </w:tbl>
    <w:p>
      <w:pPr>
        <w:autoSpaceDE w:val="0"/>
        <w:autoSpaceDN w:val="0"/>
        <w:adjustRightInd w:val="0"/>
        <w:spacing w:line="360" w:lineRule="auto"/>
        <w:ind w:right="-11"/>
        <w:rPr>
          <w:rFonts w:ascii="宋体" w:cs="宋体"/>
          <w:sz w:val="24"/>
          <w:lang w:val="zh-CN"/>
        </w:rPr>
      </w:pPr>
    </w:p>
    <w:p>
      <w:pPr>
        <w:spacing w:line="480" w:lineRule="auto"/>
        <w:ind w:firstLine="420" w:firstLineChars="175"/>
        <w:rPr>
          <w:rFonts w:ascii="Arial" w:hAnsi="Arial" w:cs="Arial"/>
          <w:color w:val="000000"/>
          <w:sz w:val="24"/>
          <w:szCs w:val="24"/>
          <w:u w:val="single"/>
        </w:rPr>
      </w:pPr>
      <w:r>
        <w:rPr>
          <w:rFonts w:hint="eastAsia" w:ascii="Arial" w:hAnsi="Arial" w:cs="Arial"/>
          <w:color w:val="000000"/>
          <w:sz w:val="24"/>
          <w:szCs w:val="24"/>
        </w:rPr>
        <w:t>投标人名称：（加盖公章）</w:t>
      </w:r>
    </w:p>
    <w:p>
      <w:pPr>
        <w:pStyle w:val="13"/>
        <w:spacing w:before="60" w:line="480" w:lineRule="auto"/>
        <w:ind w:firstLineChars="175"/>
        <w:rPr>
          <w:rFonts w:ascii="Arial" w:hAnsi="Arial" w:cs="Arial"/>
          <w:color w:val="000000"/>
          <w:szCs w:val="24"/>
        </w:rPr>
      </w:pPr>
      <w:r>
        <w:rPr>
          <w:rFonts w:hint="eastAsia" w:ascii="Arial" w:hAnsi="Arial" w:cs="Arial"/>
          <w:color w:val="000000"/>
          <w:szCs w:val="24"/>
        </w:rPr>
        <w:t>签署日期：</w:t>
      </w:r>
      <w:r>
        <w:rPr>
          <w:rFonts w:hint="eastAsia" w:ascii="宋体" w:hAnsi="宋体"/>
        </w:rPr>
        <w:t>年月日</w:t>
      </w:r>
    </w:p>
    <w:p>
      <w:pPr>
        <w:pStyle w:val="14"/>
        <w:spacing w:line="480" w:lineRule="auto"/>
        <w:rPr>
          <w:rFonts w:ascii="Arial" w:hAnsi="Arial" w:cs="Arial"/>
          <w:color w:val="000000"/>
          <w:szCs w:val="24"/>
        </w:rPr>
      </w:pPr>
    </w:p>
    <w:p>
      <w:pPr>
        <w:spacing w:line="480" w:lineRule="exact"/>
        <w:jc w:val="center"/>
        <w:rPr>
          <w:rFonts w:ascii="宋体" w:hAnsi="宋体"/>
          <w:b/>
          <w:color w:val="000000"/>
          <w:kern w:val="12"/>
          <w:sz w:val="24"/>
          <w:szCs w:val="24"/>
        </w:rPr>
      </w:pPr>
    </w:p>
    <w:p>
      <w:pPr>
        <w:spacing w:line="320" w:lineRule="exact"/>
        <w:ind w:firstLine="420"/>
        <w:rPr>
          <w:rFonts w:ascii="宋体" w:hAnsi="宋体"/>
          <w:bCs/>
          <w:color w:val="000000"/>
          <w:kern w:val="12"/>
          <w:sz w:val="24"/>
          <w:szCs w:val="24"/>
        </w:rPr>
      </w:pPr>
      <w:r>
        <w:rPr>
          <w:rFonts w:hint="eastAsia"/>
          <w:bCs/>
          <w:color w:val="000000"/>
          <w:kern w:val="12"/>
          <w:sz w:val="24"/>
          <w:szCs w:val="24"/>
        </w:rPr>
        <w:t>★说明：</w:t>
      </w:r>
      <w:r>
        <w:rPr>
          <w:rFonts w:hint="eastAsia" w:ascii="宋体" w:hAnsi="宋体"/>
          <w:bCs/>
          <w:color w:val="000000"/>
          <w:kern w:val="12"/>
          <w:sz w:val="24"/>
          <w:szCs w:val="24"/>
        </w:rPr>
        <w:t>法定代表人</w:t>
      </w:r>
      <w:r>
        <w:rPr>
          <w:rFonts w:ascii="宋体" w:hAnsi="宋体"/>
          <w:bCs/>
          <w:color w:val="000000"/>
          <w:kern w:val="12"/>
          <w:sz w:val="24"/>
          <w:szCs w:val="24"/>
        </w:rPr>
        <w:t>参</w:t>
      </w:r>
      <w:r>
        <w:rPr>
          <w:rFonts w:hint="eastAsia" w:ascii="宋体" w:hAnsi="宋体"/>
          <w:bCs/>
          <w:color w:val="000000"/>
          <w:kern w:val="12"/>
          <w:sz w:val="24"/>
          <w:szCs w:val="24"/>
        </w:rPr>
        <w:t>加本招</w:t>
      </w:r>
      <w:r>
        <w:rPr>
          <w:rFonts w:ascii="宋体" w:hAnsi="宋体"/>
          <w:bCs/>
          <w:color w:val="000000"/>
          <w:kern w:val="12"/>
          <w:sz w:val="24"/>
          <w:szCs w:val="24"/>
        </w:rPr>
        <w:t>标项目</w:t>
      </w:r>
      <w:r>
        <w:rPr>
          <w:rFonts w:hint="eastAsia" w:ascii="宋体" w:hAnsi="宋体"/>
          <w:bCs/>
          <w:color w:val="000000"/>
          <w:kern w:val="12"/>
          <w:sz w:val="24"/>
          <w:szCs w:val="24"/>
        </w:rPr>
        <w:t>投</w:t>
      </w:r>
      <w:r>
        <w:rPr>
          <w:rFonts w:ascii="宋体" w:hAnsi="宋体"/>
          <w:bCs/>
          <w:color w:val="000000"/>
          <w:kern w:val="12"/>
          <w:sz w:val="24"/>
          <w:szCs w:val="24"/>
        </w:rPr>
        <w:t>标</w:t>
      </w:r>
      <w:r>
        <w:rPr>
          <w:rFonts w:hint="eastAsia" w:ascii="宋体" w:hAnsi="宋体"/>
          <w:bCs/>
          <w:color w:val="000000"/>
          <w:kern w:val="12"/>
          <w:sz w:val="24"/>
          <w:szCs w:val="24"/>
        </w:rPr>
        <w:t>的，</w:t>
      </w:r>
      <w:r>
        <w:rPr>
          <w:rFonts w:ascii="宋体" w:hAnsi="宋体"/>
          <w:bCs/>
          <w:color w:val="000000"/>
          <w:kern w:val="12"/>
          <w:sz w:val="24"/>
          <w:szCs w:val="24"/>
        </w:rPr>
        <w:t>仅须</w:t>
      </w:r>
      <w:r>
        <w:rPr>
          <w:rFonts w:hint="eastAsia" w:ascii="宋体" w:hAnsi="宋体"/>
          <w:bCs/>
          <w:color w:val="000000"/>
          <w:kern w:val="12"/>
          <w:sz w:val="24"/>
          <w:szCs w:val="24"/>
        </w:rPr>
        <w:t>出具此</w:t>
      </w:r>
      <w:r>
        <w:rPr>
          <w:rFonts w:ascii="宋体" w:hAnsi="宋体"/>
          <w:bCs/>
          <w:color w:val="000000"/>
          <w:kern w:val="12"/>
          <w:sz w:val="24"/>
          <w:szCs w:val="24"/>
        </w:rPr>
        <w:t>证</w:t>
      </w:r>
      <w:r>
        <w:rPr>
          <w:rFonts w:hint="eastAsia" w:ascii="宋体" w:hAnsi="宋体"/>
          <w:bCs/>
          <w:color w:val="000000"/>
          <w:kern w:val="12"/>
          <w:sz w:val="24"/>
          <w:szCs w:val="24"/>
        </w:rPr>
        <w:t>明</w:t>
      </w:r>
      <w:r>
        <w:rPr>
          <w:rFonts w:ascii="宋体" w:hAnsi="宋体"/>
          <w:bCs/>
          <w:color w:val="000000"/>
          <w:kern w:val="12"/>
          <w:sz w:val="24"/>
          <w:szCs w:val="24"/>
        </w:rPr>
        <w:t>书</w:t>
      </w:r>
      <w:r>
        <w:rPr>
          <w:rFonts w:hint="eastAsia" w:ascii="宋体" w:hAnsi="宋体"/>
          <w:bCs/>
          <w:color w:val="000000"/>
          <w:kern w:val="12"/>
          <w:sz w:val="24"/>
          <w:szCs w:val="24"/>
        </w:rPr>
        <w:t>。</w:t>
      </w: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320" w:lineRule="exact"/>
        <w:ind w:firstLine="420"/>
        <w:rPr>
          <w:rFonts w:ascii="宋体" w:hAnsi="宋体"/>
          <w:bCs/>
          <w:color w:val="000000"/>
          <w:kern w:val="12"/>
          <w:sz w:val="24"/>
          <w:szCs w:val="24"/>
        </w:rPr>
      </w:pPr>
    </w:p>
    <w:p>
      <w:pPr>
        <w:spacing w:line="480" w:lineRule="exact"/>
        <w:jc w:val="center"/>
        <w:rPr>
          <w:rFonts w:ascii="宋体" w:hAnsi="宋体"/>
          <w:b/>
          <w:bCs/>
          <w:color w:val="000000"/>
          <w:sz w:val="36"/>
          <w:szCs w:val="36"/>
        </w:rPr>
      </w:pPr>
      <w:r>
        <w:rPr>
          <w:rFonts w:hint="eastAsia" w:ascii="宋体" w:hAnsi="宋体"/>
          <w:b/>
          <w:bCs/>
          <w:color w:val="000000"/>
          <w:sz w:val="36"/>
          <w:szCs w:val="36"/>
        </w:rPr>
        <w:br w:type="page"/>
      </w:r>
    </w:p>
    <w:p>
      <w:pPr>
        <w:spacing w:line="480" w:lineRule="exact"/>
        <w:jc w:val="center"/>
        <w:rPr>
          <w:rFonts w:asciiTheme="majorEastAsia" w:hAnsiTheme="majorEastAsia" w:eastAsiaTheme="majorEastAsia"/>
          <w:b/>
          <w:bCs/>
          <w:color w:val="000000"/>
          <w:sz w:val="32"/>
          <w:szCs w:val="32"/>
        </w:rPr>
      </w:pPr>
      <w:r>
        <w:rPr>
          <w:rFonts w:hint="eastAsia" w:asciiTheme="majorEastAsia" w:hAnsiTheme="majorEastAsia" w:eastAsiaTheme="majorEastAsia"/>
          <w:b/>
          <w:bCs/>
          <w:color w:val="000000"/>
          <w:sz w:val="32"/>
          <w:szCs w:val="32"/>
        </w:rPr>
        <w:t>2、法定代表人授权书</w:t>
      </w:r>
    </w:p>
    <w:p>
      <w:pPr>
        <w:spacing w:line="480" w:lineRule="exact"/>
        <w:jc w:val="center"/>
        <w:rPr>
          <w:rFonts w:ascii="宋体" w:hAnsi="宋体"/>
          <w:b/>
          <w:bCs/>
          <w:color w:val="000000"/>
          <w:sz w:val="36"/>
          <w:szCs w:val="36"/>
        </w:rPr>
      </w:pPr>
    </w:p>
    <w:p>
      <w:pPr>
        <w:spacing w:line="360" w:lineRule="auto"/>
        <w:ind w:firstLine="480" w:firstLineChars="200"/>
        <w:contextualSpacing/>
        <w:rPr>
          <w:rFonts w:ascii="宋体"/>
          <w:sz w:val="24"/>
        </w:rPr>
      </w:pPr>
      <w:r>
        <w:rPr>
          <w:rFonts w:hint="eastAsia" w:ascii="宋体"/>
          <w:sz w:val="24"/>
        </w:rPr>
        <w:t>本人</w:t>
      </w:r>
      <w:r>
        <w:rPr>
          <w:rFonts w:hint="eastAsia" w:ascii="宋体"/>
          <w:sz w:val="24"/>
          <w:u w:val="single"/>
        </w:rPr>
        <w:t>（姓名）</w:t>
      </w:r>
      <w:r>
        <w:rPr>
          <w:rFonts w:hint="eastAsia" w:ascii="宋体"/>
          <w:sz w:val="24"/>
        </w:rPr>
        <w:t>系</w:t>
      </w:r>
      <w:r>
        <w:rPr>
          <w:rFonts w:hint="eastAsia" w:ascii="宋体"/>
          <w:sz w:val="24"/>
          <w:u w:val="single"/>
        </w:rPr>
        <w:t>（投标人名称）</w:t>
      </w:r>
      <w:r>
        <w:rPr>
          <w:rFonts w:hint="eastAsia" w:ascii="宋体"/>
          <w:sz w:val="24"/>
        </w:rPr>
        <w:t>的法定代表人，现委托</w:t>
      </w:r>
      <w:r>
        <w:rPr>
          <w:rFonts w:hint="eastAsia" w:ascii="宋体"/>
          <w:sz w:val="24"/>
          <w:u w:val="single"/>
        </w:rPr>
        <w:t>（姓名）</w:t>
      </w:r>
      <w:r>
        <w:rPr>
          <w:rFonts w:hint="eastAsia" w:ascii="宋体"/>
          <w:sz w:val="24"/>
        </w:rPr>
        <w:t>为我方代理人。代理人根据授权，以我方名义签署、澄清、说明、补正、递交、撤回、修改</w:t>
      </w:r>
      <w:r>
        <w:rPr>
          <w:rFonts w:hint="eastAsia" w:ascii="宋体"/>
          <w:sz w:val="24"/>
          <w:u w:val="single"/>
        </w:rPr>
        <w:t>（项目名称）</w:t>
      </w:r>
      <w:r>
        <w:rPr>
          <w:rFonts w:hint="eastAsia" w:ascii="宋体"/>
          <w:sz w:val="24"/>
        </w:rPr>
        <w:t>投标文件、签订合同和处理有关事宜，其法律后果由我方承担。</w:t>
      </w:r>
    </w:p>
    <w:p>
      <w:pPr>
        <w:spacing w:line="360" w:lineRule="auto"/>
        <w:contextualSpacing/>
        <w:rPr>
          <w:rFonts w:ascii="宋体"/>
          <w:sz w:val="24"/>
        </w:rPr>
      </w:pPr>
      <w:r>
        <w:rPr>
          <w:rFonts w:hint="eastAsia" w:ascii="宋体"/>
          <w:sz w:val="24"/>
        </w:rPr>
        <w:t>委托期限：</w:t>
      </w:r>
      <w:r>
        <w:rPr>
          <w:rFonts w:hint="eastAsia" w:ascii="宋体"/>
          <w:sz w:val="24"/>
          <w:u w:val="single"/>
        </w:rPr>
        <w:t>自授权之日起至投标有效期满。</w:t>
      </w:r>
    </w:p>
    <w:p>
      <w:pPr>
        <w:spacing w:line="360" w:lineRule="auto"/>
        <w:ind w:firstLine="480" w:firstLineChars="200"/>
        <w:contextualSpacing/>
        <w:rPr>
          <w:rFonts w:ascii="宋体"/>
          <w:sz w:val="24"/>
        </w:rPr>
      </w:pPr>
      <w:r>
        <w:rPr>
          <w:rFonts w:hint="eastAsia" w:ascii="宋体"/>
          <w:sz w:val="24"/>
        </w:rPr>
        <w:t>代理人无转委托权。</w:t>
      </w:r>
    </w:p>
    <w:p>
      <w:pPr>
        <w:ind w:firstLine="422" w:firstLineChars="200"/>
        <w:contextualSpacing/>
        <w:rPr>
          <w:b/>
          <w:bCs/>
          <w:szCs w:val="21"/>
        </w:rPr>
      </w:pPr>
      <w:r>
        <w:rPr>
          <w:rFonts w:hint="eastAsia" w:ascii="宋体"/>
          <w:b/>
          <w:bCs/>
          <w:szCs w:val="21"/>
        </w:rPr>
        <w:t>注：附委托代理人身份证复印件，上述授权人及委托代理人须由本人填写，否则将视为无效投标。</w:t>
      </w:r>
    </w:p>
    <w:p>
      <w:pPr>
        <w:jc w:val="center"/>
        <w:rPr>
          <w:rFonts w:ascii="宋体"/>
        </w:rPr>
      </w:pPr>
    </w:p>
    <w:tbl>
      <w:tblPr>
        <w:tblStyle w:val="1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1"/>
        <w:gridCol w:w="4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vAlign w:val="center"/>
          </w:tcPr>
          <w:p>
            <w:pPr>
              <w:jc w:val="center"/>
            </w:pPr>
            <w:bookmarkStart w:id="2" w:name="_资格证明文件"/>
            <w:bookmarkEnd w:id="2"/>
            <w:bookmarkStart w:id="3" w:name="_Toc364329026"/>
            <w:r>
              <w:rPr>
                <w:rFonts w:hint="eastAsia"/>
              </w:rPr>
              <w:t>委托代理人身份证（正面）</w:t>
            </w:r>
            <w:bookmarkEnd w:id="3"/>
          </w:p>
        </w:tc>
        <w:tc>
          <w:tcPr>
            <w:tcW w:w="4492" w:type="dxa"/>
            <w:vAlign w:val="center"/>
          </w:tcPr>
          <w:p>
            <w:pPr>
              <w:jc w:val="center"/>
            </w:pPr>
            <w:bookmarkStart w:id="4" w:name="_Toc364329027"/>
            <w:r>
              <w:rPr>
                <w:rFonts w:hint="eastAsia"/>
              </w:rPr>
              <w:t>委托代理人身份证（反面）</w:t>
            </w:r>
            <w:bookmarkEnd w:id="4"/>
          </w:p>
        </w:tc>
      </w:tr>
    </w:tbl>
    <w:p>
      <w:pPr>
        <w:spacing w:line="320" w:lineRule="exact"/>
        <w:ind w:left="2" w:firstLine="312" w:firstLineChars="149"/>
        <w:rPr>
          <w:rFonts w:ascii="宋体" w:hAnsi="宋体" w:cs="Courier New"/>
          <w:szCs w:val="21"/>
        </w:rPr>
      </w:pPr>
    </w:p>
    <w:p>
      <w:pPr>
        <w:spacing w:line="360" w:lineRule="auto"/>
        <w:contextualSpacing/>
        <w:rPr>
          <w:rFonts w:ascii="宋体"/>
          <w:sz w:val="24"/>
        </w:rPr>
      </w:pPr>
    </w:p>
    <w:p>
      <w:pPr>
        <w:autoSpaceDE w:val="0"/>
        <w:autoSpaceDN w:val="0"/>
        <w:adjustRightInd w:val="0"/>
        <w:spacing w:line="360" w:lineRule="auto"/>
        <w:ind w:firstLine="2740"/>
        <w:rPr>
          <w:rFonts w:ascii="宋体" w:hAnsi="宋体" w:cs="宋体"/>
          <w:sz w:val="24"/>
          <w:lang w:val="zh-CN"/>
        </w:rPr>
      </w:pPr>
    </w:p>
    <w:p>
      <w:pPr>
        <w:autoSpaceDE w:val="0"/>
        <w:autoSpaceDN w:val="0"/>
        <w:adjustRightInd w:val="0"/>
        <w:spacing w:line="360" w:lineRule="auto"/>
        <w:ind w:firstLine="2740"/>
        <w:rPr>
          <w:rFonts w:ascii="宋体" w:hAnsi="宋体" w:cs="宋体"/>
          <w:sz w:val="24"/>
          <w:lang w:val="zh-CN"/>
        </w:rPr>
      </w:pPr>
    </w:p>
    <w:p>
      <w:pPr>
        <w:autoSpaceDE w:val="0"/>
        <w:autoSpaceDN w:val="0"/>
        <w:adjustRightInd w:val="0"/>
        <w:spacing w:line="360" w:lineRule="auto"/>
        <w:ind w:firstLine="2740"/>
        <w:rPr>
          <w:rFonts w:ascii="宋体" w:hAnsi="宋体" w:cs="宋体"/>
          <w:sz w:val="24"/>
          <w:lang w:val="zh-CN"/>
        </w:rPr>
      </w:pPr>
    </w:p>
    <w:p>
      <w:pPr>
        <w:autoSpaceDE w:val="0"/>
        <w:autoSpaceDN w:val="0"/>
        <w:adjustRightInd w:val="0"/>
        <w:spacing w:line="360" w:lineRule="auto"/>
        <w:ind w:firstLine="2740"/>
        <w:rPr>
          <w:rFonts w:ascii="宋体" w:hAnsi="宋体" w:cs="宋体"/>
          <w:sz w:val="24"/>
          <w:lang w:val="zh-CN"/>
        </w:rPr>
      </w:pPr>
    </w:p>
    <w:p>
      <w:pPr>
        <w:autoSpaceDE w:val="0"/>
        <w:autoSpaceDN w:val="0"/>
        <w:adjustRightInd w:val="0"/>
        <w:spacing w:line="360" w:lineRule="auto"/>
        <w:ind w:firstLine="2740"/>
        <w:rPr>
          <w:rFonts w:ascii="宋体" w:hAnsi="宋体" w:cs="宋体"/>
          <w:sz w:val="24"/>
          <w:lang w:val="zh-CN"/>
        </w:rPr>
      </w:pPr>
      <w:r>
        <w:rPr>
          <w:rFonts w:hint="eastAsia" w:ascii="宋体" w:hAnsi="宋体" w:cs="宋体"/>
          <w:sz w:val="24"/>
          <w:lang w:val="zh-CN"/>
        </w:rPr>
        <w:t>投标人：</w:t>
      </w:r>
      <w:r>
        <w:rPr>
          <w:rFonts w:hint="eastAsia" w:ascii="宋体" w:hAnsi="宋体" w:cs="宋体"/>
          <w:sz w:val="24"/>
          <w:u w:val="single"/>
          <w:lang w:val="zh-CN"/>
        </w:rPr>
        <w:t xml:space="preserve">          　　　　　</w:t>
      </w:r>
      <w:r>
        <w:rPr>
          <w:rFonts w:hint="eastAsia" w:ascii="宋体" w:hAnsi="宋体" w:cs="宋体"/>
          <w:sz w:val="24"/>
          <w:lang w:val="zh-CN"/>
        </w:rPr>
        <w:t>（盖章）</w:t>
      </w:r>
    </w:p>
    <w:p>
      <w:pPr>
        <w:autoSpaceDE w:val="0"/>
        <w:autoSpaceDN w:val="0"/>
        <w:adjustRightInd w:val="0"/>
        <w:spacing w:line="360" w:lineRule="auto"/>
        <w:ind w:firstLine="2740"/>
        <w:rPr>
          <w:rFonts w:ascii="宋体" w:hAnsi="宋体" w:cs="宋体"/>
          <w:sz w:val="24"/>
          <w:lang w:val="zh-CN"/>
        </w:rPr>
      </w:pPr>
      <w:r>
        <w:rPr>
          <w:rFonts w:hint="eastAsia" w:ascii="宋体" w:hAnsi="宋体" w:cs="宋体"/>
          <w:sz w:val="24"/>
          <w:lang w:val="zh-CN"/>
        </w:rPr>
        <w:t>法定代表人：</w:t>
      </w:r>
      <w:r>
        <w:rPr>
          <w:rFonts w:hint="eastAsia" w:ascii="宋体" w:hAnsi="宋体" w:cs="宋体"/>
          <w:sz w:val="24"/>
          <w:u w:val="single"/>
          <w:lang w:val="zh-CN"/>
        </w:rPr>
        <w:t>　　　　</w:t>
      </w:r>
      <w:r>
        <w:rPr>
          <w:rFonts w:hint="eastAsia" w:ascii="宋体" w:hAnsi="宋体" w:cs="宋体"/>
          <w:sz w:val="24"/>
          <w:lang w:val="zh-CN"/>
        </w:rPr>
        <w:t>（签字）　</w:t>
      </w:r>
    </w:p>
    <w:p>
      <w:pPr>
        <w:autoSpaceDE w:val="0"/>
        <w:autoSpaceDN w:val="0"/>
        <w:adjustRightInd w:val="0"/>
        <w:spacing w:line="360" w:lineRule="auto"/>
        <w:ind w:firstLine="2740"/>
        <w:rPr>
          <w:rFonts w:ascii="宋体" w:hAnsi="宋体" w:cs="宋体"/>
          <w:sz w:val="24"/>
          <w:u w:val="single"/>
          <w:lang w:val="zh-CN"/>
        </w:rPr>
      </w:pPr>
      <w:r>
        <w:rPr>
          <w:rFonts w:hint="eastAsia" w:ascii="宋体" w:hAnsi="宋体" w:cs="宋体"/>
          <w:sz w:val="24"/>
          <w:lang w:val="zh-CN"/>
        </w:rPr>
        <w:t>身份证号码：</w:t>
      </w:r>
      <w:r>
        <w:rPr>
          <w:rFonts w:hint="eastAsia" w:ascii="宋体" w:hAnsi="宋体" w:cs="宋体"/>
          <w:sz w:val="24"/>
          <w:u w:val="single"/>
          <w:lang w:val="zh-CN"/>
        </w:rPr>
        <w:t>　　　　　　　　　　　　</w:t>
      </w:r>
    </w:p>
    <w:p>
      <w:pPr>
        <w:autoSpaceDE w:val="0"/>
        <w:autoSpaceDN w:val="0"/>
        <w:adjustRightInd w:val="0"/>
        <w:spacing w:line="360" w:lineRule="auto"/>
        <w:ind w:firstLine="2740"/>
        <w:rPr>
          <w:rFonts w:ascii="宋体" w:hAnsi="宋体" w:cs="宋体"/>
          <w:sz w:val="24"/>
          <w:lang w:val="zh-CN"/>
        </w:rPr>
      </w:pPr>
      <w:r>
        <w:rPr>
          <w:rFonts w:hint="eastAsia" w:ascii="宋体" w:hAnsi="宋体" w:cs="宋体"/>
          <w:sz w:val="24"/>
          <w:lang w:val="zh-CN"/>
        </w:rPr>
        <w:t>委托代理人：</w:t>
      </w:r>
      <w:r>
        <w:rPr>
          <w:rFonts w:hint="eastAsia" w:ascii="宋体" w:hAnsi="宋体" w:cs="宋体"/>
          <w:sz w:val="24"/>
          <w:u w:val="single"/>
          <w:lang w:val="zh-CN"/>
        </w:rPr>
        <w:t>　　　　</w:t>
      </w:r>
      <w:r>
        <w:rPr>
          <w:rFonts w:hint="eastAsia" w:ascii="宋体" w:hAnsi="宋体" w:cs="宋体"/>
          <w:sz w:val="24"/>
          <w:lang w:val="zh-CN"/>
        </w:rPr>
        <w:t>（签字）　</w:t>
      </w:r>
    </w:p>
    <w:p>
      <w:pPr>
        <w:autoSpaceDE w:val="0"/>
        <w:autoSpaceDN w:val="0"/>
        <w:adjustRightInd w:val="0"/>
        <w:spacing w:line="360" w:lineRule="auto"/>
        <w:ind w:firstLine="2740"/>
        <w:rPr>
          <w:rFonts w:ascii="宋体" w:hAnsi="宋体" w:cs="宋体"/>
          <w:sz w:val="24"/>
          <w:u w:val="single"/>
          <w:lang w:val="zh-CN"/>
        </w:rPr>
      </w:pPr>
      <w:r>
        <w:rPr>
          <w:rFonts w:hint="eastAsia" w:ascii="宋体" w:hAnsi="宋体" w:cs="宋体"/>
          <w:sz w:val="24"/>
          <w:lang w:val="zh-CN"/>
        </w:rPr>
        <w:t>身份证号码：</w:t>
      </w:r>
      <w:r>
        <w:rPr>
          <w:rFonts w:hint="eastAsia" w:ascii="宋体" w:hAnsi="宋体" w:cs="宋体"/>
          <w:sz w:val="24"/>
          <w:u w:val="single"/>
          <w:lang w:val="zh-CN"/>
        </w:rPr>
        <w:t>　　　　　　　　　　　　</w:t>
      </w:r>
    </w:p>
    <w:p>
      <w:pPr>
        <w:spacing w:line="360" w:lineRule="auto"/>
        <w:ind w:firstLine="4800" w:firstLineChars="2000"/>
        <w:rPr>
          <w:rFonts w:ascii="宋体"/>
          <w:sz w:val="24"/>
        </w:rPr>
      </w:pPr>
      <w:r>
        <w:rPr>
          <w:rFonts w:hint="eastAsia" w:ascii="宋体" w:hAnsi="宋体"/>
          <w:sz w:val="24"/>
        </w:rPr>
        <w:t>年月日</w:t>
      </w:r>
    </w:p>
    <w:p>
      <w:pPr>
        <w:spacing w:line="360" w:lineRule="auto"/>
        <w:rPr>
          <w:rFonts w:ascii="宋体"/>
          <w:sz w:val="24"/>
        </w:rPr>
      </w:pPr>
    </w:p>
    <w:p>
      <w:pPr>
        <w:pStyle w:val="2"/>
        <w:ind w:firstLine="211"/>
        <w:rPr>
          <w:b/>
          <w:bCs/>
        </w:rPr>
      </w:pPr>
    </w:p>
    <w:p>
      <w:pPr>
        <w:autoSpaceDE w:val="0"/>
        <w:autoSpaceDN w:val="0"/>
        <w:adjustRightInd w:val="0"/>
        <w:spacing w:line="360" w:lineRule="auto"/>
        <w:jc w:val="center"/>
        <w:rPr>
          <w:rFonts w:hAnsi="宋体" w:eastAsia="宋体"/>
          <w:b/>
          <w:snapToGrid w:val="0"/>
          <w:kern w:val="0"/>
          <w:sz w:val="36"/>
          <w:szCs w:val="36"/>
          <w:lang w:val="zh-CN"/>
        </w:rPr>
      </w:pPr>
      <w:r>
        <w:rPr>
          <w:rFonts w:hint="eastAsia" w:hAnsi="宋体" w:eastAsia="宋体"/>
          <w:b/>
          <w:snapToGrid w:val="0"/>
          <w:kern w:val="0"/>
          <w:sz w:val="36"/>
          <w:szCs w:val="36"/>
          <w:lang w:val="zh-CN"/>
        </w:rPr>
        <w:t>三、符合性审查资料</w:t>
      </w:r>
    </w:p>
    <w:p>
      <w:pPr>
        <w:pStyle w:val="5"/>
        <w:spacing w:line="360" w:lineRule="auto"/>
        <w:jc w:val="center"/>
        <w:rPr>
          <w:rFonts w:hAnsi="宋体"/>
          <w:b/>
          <w:snapToGrid w:val="0"/>
          <w:kern w:val="0"/>
          <w:sz w:val="32"/>
          <w:szCs w:val="32"/>
        </w:rPr>
      </w:pPr>
      <w:r>
        <w:rPr>
          <w:rFonts w:hint="eastAsia" w:hAnsi="宋体"/>
          <w:b/>
          <w:snapToGrid w:val="0"/>
          <w:kern w:val="0"/>
          <w:sz w:val="32"/>
          <w:szCs w:val="32"/>
        </w:rPr>
        <w:t>（一）投标函</w:t>
      </w:r>
    </w:p>
    <w:p>
      <w:pPr>
        <w:adjustRightInd w:val="0"/>
        <w:spacing w:line="360" w:lineRule="auto"/>
        <w:contextualSpacing/>
        <w:rPr>
          <w:rFonts w:ascii="宋体" w:hAnsi="宋体"/>
          <w:b/>
          <w:snapToGrid w:val="0"/>
          <w:kern w:val="0"/>
          <w:sz w:val="24"/>
          <w:u w:val="single"/>
        </w:rPr>
      </w:pPr>
      <w:r>
        <w:rPr>
          <w:rFonts w:hint="eastAsia" w:ascii="宋体" w:hAnsi="宋体"/>
          <w:snapToGrid w:val="0"/>
          <w:kern w:val="0"/>
          <w:sz w:val="24"/>
        </w:rPr>
        <w:t>致：</w:t>
      </w:r>
      <w:r>
        <w:rPr>
          <w:rFonts w:hint="eastAsia" w:ascii="宋体" w:hAnsi="宋体"/>
          <w:b/>
          <w:snapToGrid w:val="0"/>
          <w:kern w:val="0"/>
          <w:sz w:val="24"/>
          <w:u w:val="single"/>
        </w:rPr>
        <w:t>（采购人名称）</w:t>
      </w:r>
    </w:p>
    <w:p>
      <w:pPr>
        <w:adjustRightInd w:val="0"/>
        <w:spacing w:line="360" w:lineRule="auto"/>
        <w:ind w:firstLine="480" w:firstLineChars="200"/>
        <w:contextualSpacing/>
        <w:outlineLvl w:val="0"/>
        <w:rPr>
          <w:rFonts w:hAnsi="宋体" w:eastAsia="宋体"/>
          <w:snapToGrid w:val="0"/>
          <w:kern w:val="0"/>
          <w:sz w:val="24"/>
          <w:szCs w:val="24"/>
        </w:rPr>
      </w:pPr>
      <w:r>
        <w:rPr>
          <w:rFonts w:hint="eastAsia" w:hAnsi="宋体" w:eastAsia="宋体"/>
          <w:snapToGrid w:val="0"/>
          <w:kern w:val="0"/>
          <w:sz w:val="24"/>
          <w:szCs w:val="24"/>
        </w:rPr>
        <w:t>根据贵方（项目名称、招标编号）的招标公告及投标邀请，_______（姓名和职务）被正式授权并代表投标人（投标人名称、地址）提交。</w:t>
      </w:r>
    </w:p>
    <w:p>
      <w:pPr>
        <w:pStyle w:val="5"/>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我方确认收到贵方提供的（项目名称、招标编号）招标文件的全部内容。</w:t>
      </w:r>
    </w:p>
    <w:p>
      <w:pPr>
        <w:pStyle w:val="5"/>
        <w:adjustRightInd w:val="0"/>
        <w:spacing w:line="360" w:lineRule="auto"/>
        <w:ind w:firstLine="480" w:firstLineChars="200"/>
        <w:contextualSpacing/>
        <w:rPr>
          <w:rFonts w:hAnsi="宋体"/>
          <w:snapToGrid w:val="0"/>
          <w:kern w:val="0"/>
          <w:szCs w:val="24"/>
        </w:rPr>
      </w:pPr>
      <w:r>
        <w:rPr>
          <w:rFonts w:hint="eastAsia" w:hAnsi="宋体"/>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Cs w:val="21"/>
        </w:rPr>
        <w:t>已完全理解并接受招标文件的各项规定和要求，对招标文件的合理性、合法性不再有异议。</w:t>
      </w:r>
    </w:p>
    <w:p>
      <w:pPr>
        <w:adjustRightInd w:val="0"/>
        <w:spacing w:line="360" w:lineRule="auto"/>
        <w:ind w:firstLine="480" w:firstLineChars="200"/>
        <w:contextualSpacing/>
        <w:rPr>
          <w:rFonts w:ascii="宋体" w:hAnsi="宋体"/>
          <w:snapToGrid w:val="0"/>
          <w:kern w:val="0"/>
          <w:sz w:val="24"/>
        </w:rPr>
      </w:pPr>
      <w:r>
        <w:rPr>
          <w:rFonts w:hint="eastAsia" w:ascii="宋体" w:hAnsi="宋体"/>
          <w:i/>
          <w:snapToGrid w:val="0"/>
          <w:kern w:val="0"/>
          <w:sz w:val="24"/>
          <w:u w:val="single"/>
        </w:rPr>
        <w:t xml:space="preserve">(投标人名称)     </w:t>
      </w:r>
      <w:r>
        <w:rPr>
          <w:rFonts w:hint="eastAsia" w:ascii="宋体" w:hAnsi="宋体"/>
          <w:snapToGrid w:val="0"/>
          <w:kern w:val="0"/>
          <w:sz w:val="24"/>
        </w:rPr>
        <w:t>作为投标人正式授权</w:t>
      </w:r>
      <w:r>
        <w:rPr>
          <w:rFonts w:hint="eastAsia" w:ascii="宋体" w:hAnsi="宋体"/>
          <w:i/>
          <w:snapToGrid w:val="0"/>
          <w:kern w:val="0"/>
          <w:sz w:val="24"/>
          <w:u w:val="single"/>
        </w:rPr>
        <w:t xml:space="preserve">(委托代理人姓名, 职务)       </w:t>
      </w:r>
      <w:r>
        <w:rPr>
          <w:rFonts w:hint="eastAsia" w:ascii="宋体" w:hAnsi="宋体"/>
          <w:snapToGrid w:val="0"/>
          <w:kern w:val="0"/>
          <w:sz w:val="24"/>
        </w:rPr>
        <w:t>代表我方全权处理有关本投标的一切事宜。</w:t>
      </w:r>
    </w:p>
    <w:p>
      <w:pPr>
        <w:adjustRightInd w:val="0"/>
        <w:spacing w:line="360" w:lineRule="auto"/>
        <w:ind w:firstLine="480" w:firstLineChars="200"/>
        <w:contextualSpacing/>
        <w:rPr>
          <w:rFonts w:ascii="宋体" w:hAnsi="宋体"/>
          <w:snapToGrid w:val="0"/>
          <w:kern w:val="0"/>
          <w:sz w:val="24"/>
        </w:rPr>
      </w:pPr>
      <w:r>
        <w:rPr>
          <w:rFonts w:hint="eastAsia" w:ascii="宋体" w:hAnsi="宋体"/>
          <w:snapToGrid w:val="0"/>
          <w:kern w:val="0"/>
          <w:sz w:val="24"/>
        </w:rPr>
        <w:t>在此提交的投标文件正本份，副本份，电子版U盘份。</w:t>
      </w:r>
    </w:p>
    <w:p>
      <w:pPr>
        <w:pStyle w:val="9"/>
        <w:adjustRightInd w:val="0"/>
        <w:spacing w:line="360" w:lineRule="auto"/>
        <w:ind w:firstLine="420"/>
        <w:contextualSpacing/>
        <w:rPr>
          <w:rFonts w:cs="Courier New"/>
        </w:rPr>
      </w:pPr>
      <w:r>
        <w:rPr>
          <w:rFonts w:hint="eastAsia" w:cs="Courier New"/>
        </w:rPr>
        <w:t>我方已完全明白招标文件的所有条款要求，并申明如下：</w:t>
      </w:r>
    </w:p>
    <w:p>
      <w:pPr>
        <w:pStyle w:val="9"/>
        <w:adjustRightInd w:val="0"/>
        <w:spacing w:line="360" w:lineRule="auto"/>
        <w:ind w:firstLine="420"/>
        <w:contextualSpacing/>
        <w:rPr>
          <w:rFonts w:cs="Courier New"/>
        </w:rPr>
      </w:pPr>
      <w:r>
        <w:rPr>
          <w:rFonts w:hint="eastAsia" w:cs="Courier New"/>
        </w:rPr>
        <w:t>（一）按招标文件提供的相关服务的投标总价详见《开标一览表》。</w:t>
      </w:r>
    </w:p>
    <w:p>
      <w:pPr>
        <w:pStyle w:val="9"/>
        <w:adjustRightInd w:val="0"/>
        <w:spacing w:line="360" w:lineRule="auto"/>
        <w:ind w:firstLine="420"/>
        <w:contextualSpacing/>
        <w:rPr>
          <w:rFonts w:cs="Courier New"/>
        </w:rPr>
      </w:pPr>
      <w:r>
        <w:rPr>
          <w:rFonts w:hint="eastAsia" w:cs="Courier New"/>
        </w:rPr>
        <w:t>（二）本投标文件的有效期为投标截止时间起天。如中标，有效期将延至服务期终止日为止。在此提交的资格证明文件均至投标截止日有效。</w:t>
      </w:r>
    </w:p>
    <w:p>
      <w:pPr>
        <w:pStyle w:val="9"/>
        <w:adjustRightInd w:val="0"/>
        <w:spacing w:line="360" w:lineRule="auto"/>
        <w:ind w:firstLine="420"/>
        <w:contextualSpacing/>
        <w:rPr>
          <w:rFonts w:cs="Courier New"/>
        </w:rPr>
      </w:pPr>
      <w:r>
        <w:rPr>
          <w:rFonts w:hint="eastAsia" w:cs="Courier New"/>
        </w:rPr>
        <w:t>（三）我方明白并同意，在规定的投标截止时间之后，投标有效期之内撤销投标的，则贵方将不予退还投标保证金。</w:t>
      </w:r>
    </w:p>
    <w:p>
      <w:pPr>
        <w:pStyle w:val="9"/>
        <w:adjustRightInd w:val="0"/>
        <w:spacing w:line="360" w:lineRule="auto"/>
        <w:ind w:firstLine="420"/>
        <w:contextualSpacing/>
        <w:rPr>
          <w:rFonts w:cs="Courier New"/>
        </w:rPr>
      </w:pPr>
      <w:r>
        <w:rPr>
          <w:rFonts w:hint="eastAsia" w:cs="Courier New"/>
        </w:rPr>
        <w:t>（四）我方同意按照贵方可能提出的要求而提供与投标有关的任何其它数据、信息或资料。</w:t>
      </w:r>
    </w:p>
    <w:p>
      <w:pPr>
        <w:pStyle w:val="9"/>
        <w:adjustRightInd w:val="0"/>
        <w:spacing w:line="360" w:lineRule="auto"/>
        <w:ind w:firstLine="420"/>
        <w:contextualSpacing/>
        <w:rPr>
          <w:rFonts w:cs="Courier New"/>
        </w:rPr>
      </w:pPr>
      <w:r>
        <w:rPr>
          <w:rFonts w:hint="eastAsia" w:cs="Courier New"/>
        </w:rPr>
        <w:t>（五）我方</w:t>
      </w:r>
      <w:r>
        <w:rPr>
          <w:rFonts w:hint="eastAsia" w:ascii="宋体" w:hAnsi="宋体"/>
        </w:rPr>
        <w:t>同意提供按照贵方可能要求的与其投标有关的一切数据或资料，理解贵方不一定要接受最低价的投标或收到的任何投标</w:t>
      </w:r>
      <w:r>
        <w:rPr>
          <w:rFonts w:hint="eastAsia" w:cs="Courier New"/>
        </w:rPr>
        <w:t>。</w:t>
      </w:r>
    </w:p>
    <w:p>
      <w:pPr>
        <w:pStyle w:val="9"/>
        <w:adjustRightInd w:val="0"/>
        <w:spacing w:line="360" w:lineRule="auto"/>
        <w:ind w:firstLine="420"/>
        <w:contextualSpacing/>
        <w:rPr>
          <w:rFonts w:cs="Courier New"/>
        </w:rPr>
      </w:pPr>
      <w:r>
        <w:rPr>
          <w:rFonts w:hint="eastAsia" w:cs="Courier New"/>
        </w:rPr>
        <w:t>（六）我方如果中标，将保证履行招标文件及其澄清、修改文件（如果有）中的全部责任和义务，按质、按量、按期完成《项目需求》及《合同书》中的全部任务。</w:t>
      </w:r>
    </w:p>
    <w:p>
      <w:pPr>
        <w:pStyle w:val="9"/>
        <w:adjustRightInd w:val="0"/>
        <w:spacing w:line="360" w:lineRule="auto"/>
        <w:ind w:firstLine="420"/>
        <w:contextualSpacing/>
        <w:rPr>
          <w:rFonts w:cs="宋体"/>
        </w:rPr>
      </w:pPr>
      <w:r>
        <w:rPr>
          <w:rFonts w:hint="eastAsia" w:cs="Courier New"/>
        </w:rPr>
        <w:t>（七）</w:t>
      </w:r>
      <w:r>
        <w:rPr>
          <w:rFonts w:hint="eastAsia" w:ascii="宋体" w:hAnsi="宋体"/>
        </w:rPr>
        <w:t>我方保证投标文件中的所有资料均为真实、有效的，如有虚假，我方承诺投标文件无效并愿承担一切责任</w:t>
      </w:r>
      <w:r>
        <w:rPr>
          <w:rFonts w:hint="eastAsia" w:cs="Courier New"/>
        </w:rPr>
        <w:t>。</w:t>
      </w:r>
    </w:p>
    <w:p>
      <w:pPr>
        <w:pStyle w:val="5"/>
        <w:adjustRightInd w:val="0"/>
        <w:spacing w:line="360" w:lineRule="auto"/>
        <w:ind w:firstLine="480" w:firstLineChars="200"/>
        <w:contextualSpacing/>
        <w:rPr>
          <w:szCs w:val="24"/>
        </w:rPr>
      </w:pPr>
      <w:r>
        <w:rPr>
          <w:rFonts w:hint="eastAsia"/>
          <w:szCs w:val="24"/>
        </w:rPr>
        <w:t>（八）我方承诺对</w:t>
      </w:r>
      <w:r>
        <w:rPr>
          <w:rFonts w:hint="eastAsia" w:ascii="宋体" w:hAnsi="宋体"/>
        </w:rPr>
        <w:t>本项目的相关服务内容为交钥匙工程（包括设备、材料、元件等的购置、安装调试、验收、与其它施工单位协作等为完成本项目所产生的费用）。</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（九）我方具备《政府采购法》第二十二条规定的条件；承诺如下：</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1、是具有独立承担民事责任能力的在中华人民共和国境内注册的法人或其他组织或自然人，有效的营业执照（或事业法人登记证或身份证等相关证明）副本复印件。</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2、我方已依法缴纳了各项税费及社会保险费用，如有需要，可随时向采购人近三个月内的相关缴费证明，以便核查。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3、我方已依法建立健全的财务会计制度，如有需要，可随时向采购人的相关证明材料，以便核查。</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4、参加政府采购活动前三年内，在经营活动中没有重大违法记录。</w:t>
      </w:r>
    </w:p>
    <w:p>
      <w:pPr>
        <w:adjustRightInd w:val="0"/>
        <w:spacing w:line="360" w:lineRule="auto"/>
        <w:ind w:firstLine="504" w:firstLineChars="210"/>
        <w:contextualSpacing/>
        <w:rPr>
          <w:rFonts w:ascii="宋体" w:hAnsi="宋体" w:cs="Arial"/>
          <w:sz w:val="24"/>
        </w:rPr>
      </w:pPr>
      <w:r>
        <w:rPr>
          <w:rFonts w:hint="eastAsia" w:ascii="宋体" w:hAnsi="宋体" w:cs="Arial"/>
          <w:sz w:val="24"/>
        </w:rPr>
        <w:t>5、符合法律、行政法规规定的其他条件。</w:t>
      </w:r>
    </w:p>
    <w:p>
      <w:pPr>
        <w:adjustRightInd w:val="0"/>
        <w:spacing w:line="360" w:lineRule="auto"/>
        <w:ind w:firstLine="504" w:firstLineChars="210"/>
        <w:contextualSpacing/>
        <w:rPr>
          <w:rFonts w:ascii="宋体" w:hAnsi="宋体" w:cs="Arial"/>
          <w:sz w:val="24"/>
        </w:rPr>
      </w:pPr>
      <w:r>
        <w:rPr>
          <w:rFonts w:hint="eastAsia" w:ascii="宋体" w:hAnsi="宋体" w:cs="宋体"/>
          <w:sz w:val="24"/>
        </w:rPr>
        <w:t>以上内容如有虚假或与事实不符的，评审委员会可将</w:t>
      </w:r>
      <w:r>
        <w:rPr>
          <w:rFonts w:hint="eastAsia" w:ascii="宋体" w:hAnsi="宋体" w:cs="Arial"/>
          <w:sz w:val="24"/>
        </w:rPr>
        <w:t>我方做无效投标处理，我方愿意承担相应的法律责任。</w:t>
      </w:r>
    </w:p>
    <w:p>
      <w:pPr>
        <w:pStyle w:val="5"/>
        <w:adjustRightInd w:val="0"/>
        <w:spacing w:line="360" w:lineRule="auto"/>
        <w:ind w:firstLine="480" w:firstLineChars="200"/>
        <w:contextualSpacing/>
        <w:rPr>
          <w:szCs w:val="24"/>
        </w:rPr>
      </w:pPr>
      <w:r>
        <w:rPr>
          <w:rFonts w:hint="eastAsia"/>
          <w:szCs w:val="24"/>
        </w:rPr>
        <w:t>（十）我方具备履行合同所必需的设备和专业技术能力。</w:t>
      </w:r>
    </w:p>
    <w:p>
      <w:pPr>
        <w:pStyle w:val="5"/>
        <w:adjustRightInd w:val="0"/>
        <w:spacing w:line="360" w:lineRule="auto"/>
        <w:ind w:firstLine="480" w:firstLineChars="200"/>
        <w:contextualSpacing/>
        <w:rPr>
          <w:szCs w:val="24"/>
        </w:rPr>
      </w:pPr>
      <w:r>
        <w:rPr>
          <w:rFonts w:hint="eastAsia"/>
          <w:snapToGrid w:val="0"/>
          <w:kern w:val="0"/>
          <w:szCs w:val="24"/>
        </w:rPr>
        <w:t>（十一</w:t>
      </w:r>
      <w:r>
        <w:rPr>
          <w:snapToGrid w:val="0"/>
          <w:kern w:val="0"/>
          <w:szCs w:val="24"/>
        </w:rPr>
        <w:t>）</w:t>
      </w:r>
      <w:r>
        <w:rPr>
          <w:rFonts w:hint="eastAsia"/>
          <w:szCs w:val="24"/>
        </w:rPr>
        <w:t>我方对在本函及投标文件中所作的所有承诺承担法律责任。</w:t>
      </w:r>
    </w:p>
    <w:p>
      <w:pPr>
        <w:pStyle w:val="5"/>
        <w:adjustRightInd w:val="0"/>
        <w:snapToGrid w:val="0"/>
        <w:spacing w:line="360" w:lineRule="auto"/>
        <w:rPr>
          <w:szCs w:val="24"/>
        </w:rPr>
      </w:pPr>
    </w:p>
    <w:p>
      <w:pPr>
        <w:pStyle w:val="5"/>
        <w:adjustRightInd w:val="0"/>
        <w:snapToGrid w:val="0"/>
        <w:spacing w:line="360" w:lineRule="auto"/>
        <w:rPr>
          <w:szCs w:val="24"/>
        </w:rPr>
      </w:pPr>
      <w:r>
        <w:rPr>
          <w:rFonts w:hint="eastAsia"/>
          <w:szCs w:val="24"/>
        </w:rPr>
        <w:t>所有与本招标有关的一切正式往来请寄：</w:t>
      </w:r>
    </w:p>
    <w:p>
      <w:pPr>
        <w:adjustRightInd w:val="0"/>
        <w:snapToGrid w:val="0"/>
        <w:spacing w:line="360" w:lineRule="auto"/>
        <w:rPr>
          <w:rFonts w:ascii="宋体" w:hAnsi="宋体" w:cs="宋体"/>
          <w:sz w:val="24"/>
        </w:rPr>
      </w:pPr>
      <w:r>
        <w:rPr>
          <w:rFonts w:hint="eastAsia" w:ascii="宋体" w:hAnsi="宋体" w:cs="宋体"/>
          <w:sz w:val="24"/>
        </w:rPr>
        <w:t>地    址：.邮政编码：.</w:t>
      </w:r>
    </w:p>
    <w:p>
      <w:pPr>
        <w:adjustRightInd w:val="0"/>
        <w:snapToGrid w:val="0"/>
        <w:spacing w:line="360" w:lineRule="auto"/>
        <w:rPr>
          <w:rFonts w:ascii="宋体" w:hAnsi="宋体" w:cs="宋体"/>
          <w:sz w:val="24"/>
        </w:rPr>
      </w:pPr>
      <w:r>
        <w:rPr>
          <w:rFonts w:hint="eastAsia" w:ascii="宋体" w:hAnsi="宋体" w:cs="宋体"/>
          <w:sz w:val="24"/>
        </w:rPr>
        <w:t>电    话：.传    真：.</w:t>
      </w:r>
    </w:p>
    <w:p>
      <w:pPr>
        <w:adjustRightInd w:val="0"/>
        <w:snapToGrid w:val="0"/>
        <w:spacing w:line="360" w:lineRule="auto"/>
        <w:rPr>
          <w:rFonts w:ascii="宋体" w:hAnsi="宋体" w:cs="宋体"/>
          <w:sz w:val="24"/>
          <w:u w:val="single"/>
        </w:rPr>
      </w:pPr>
      <w:r>
        <w:rPr>
          <w:rFonts w:hint="eastAsia" w:ascii="宋体" w:hAnsi="宋体" w:cs="宋体"/>
          <w:sz w:val="24"/>
        </w:rPr>
        <w:t>法定代表人姓名：.职    务：.</w:t>
      </w:r>
    </w:p>
    <w:p>
      <w:pPr>
        <w:adjustRightInd w:val="0"/>
        <w:snapToGrid w:val="0"/>
        <w:spacing w:line="360" w:lineRule="auto"/>
        <w:rPr>
          <w:rFonts w:ascii="宋体" w:hAnsi="宋体" w:cs="宋体"/>
          <w:sz w:val="24"/>
          <w:u w:val="single"/>
        </w:rPr>
      </w:pPr>
    </w:p>
    <w:p>
      <w:pPr>
        <w:adjustRightInd w:val="0"/>
        <w:snapToGrid w:val="0"/>
        <w:spacing w:line="360" w:lineRule="auto"/>
        <w:rPr>
          <w:rFonts w:ascii="宋体" w:hAnsi="宋体" w:cs="宋体"/>
          <w:sz w:val="24"/>
        </w:rPr>
      </w:pPr>
      <w:r>
        <w:rPr>
          <w:rFonts w:hint="eastAsia" w:ascii="宋体" w:hAnsi="宋体"/>
          <w:sz w:val="24"/>
        </w:rPr>
        <w:t>法定代表人或其委托代理人</w:t>
      </w:r>
      <w:r>
        <w:rPr>
          <w:rFonts w:hint="eastAsia" w:ascii="宋体" w:hAnsi="宋体" w:cs="宋体"/>
          <w:sz w:val="24"/>
        </w:rPr>
        <w:t>：（签字）</w:t>
      </w:r>
    </w:p>
    <w:p>
      <w:pPr>
        <w:adjustRightInd w:val="0"/>
        <w:snapToGrid w:val="0"/>
        <w:spacing w:line="360" w:lineRule="auto"/>
        <w:rPr>
          <w:rFonts w:ascii="宋体" w:hAnsi="宋体" w:cs="宋体"/>
          <w:sz w:val="24"/>
        </w:rPr>
      </w:pPr>
      <w:r>
        <w:rPr>
          <w:rFonts w:hint="eastAsia" w:ascii="宋体" w:hAnsi="宋体" w:cs="宋体"/>
          <w:sz w:val="24"/>
        </w:rPr>
        <w:t>投标人名称：（盖章）</w:t>
      </w:r>
    </w:p>
    <w:p>
      <w:pPr>
        <w:adjustRightInd w:val="0"/>
        <w:snapToGrid w:val="0"/>
        <w:spacing w:line="360" w:lineRule="auto"/>
        <w:rPr>
          <w:rFonts w:ascii="宋体" w:hAnsi="宋体" w:cs="宋体"/>
          <w:sz w:val="24"/>
        </w:rPr>
      </w:pPr>
      <w:r>
        <w:rPr>
          <w:rFonts w:hint="eastAsia" w:ascii="宋体" w:hAnsi="宋体" w:cs="宋体"/>
          <w:sz w:val="24"/>
        </w:rPr>
        <w:t>日期：</w:t>
      </w:r>
      <w:r>
        <w:rPr>
          <w:rFonts w:hint="eastAsia" w:ascii="宋体" w:hAnsi="宋体"/>
          <w:sz w:val="24"/>
        </w:rPr>
        <w:t>年月日</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480" w:lineRule="auto"/>
        <w:jc w:val="left"/>
        <w:rPr>
          <w:rFonts w:ascii="宋体" w:hAnsi="宋体" w:cs="Times New Roman"/>
          <w:b/>
          <w:bCs/>
          <w:color w:val="000000"/>
          <w:sz w:val="32"/>
          <w:szCs w:val="32"/>
        </w:rPr>
      </w:pPr>
      <w:r>
        <w:rPr>
          <w:rFonts w:hint="eastAsia" w:hAnsi="宋体" w:eastAsia="宋体"/>
          <w:b/>
          <w:snapToGrid w:val="0"/>
          <w:kern w:val="0"/>
          <w:sz w:val="32"/>
          <w:szCs w:val="32"/>
        </w:rPr>
        <w:t>附件：</w:t>
      </w:r>
      <w:r>
        <w:rPr>
          <w:rFonts w:hint="eastAsia" w:ascii="宋体" w:hAnsi="宋体" w:cs="Times New Roman"/>
          <w:b/>
          <w:bCs/>
          <w:color w:val="000000"/>
          <w:sz w:val="32"/>
          <w:szCs w:val="32"/>
        </w:rPr>
        <w:t>采购需求</w:t>
      </w:r>
      <w:r>
        <w:rPr>
          <w:rFonts w:ascii="宋体" w:hAnsi="宋体" w:cs="Times New Roman"/>
          <w:b/>
          <w:bCs/>
          <w:color w:val="000000"/>
          <w:sz w:val="32"/>
          <w:szCs w:val="32"/>
        </w:rPr>
        <w:t>响应</w:t>
      </w:r>
      <w:r>
        <w:rPr>
          <w:rFonts w:hint="eastAsia" w:ascii="宋体" w:hAnsi="宋体" w:cs="Times New Roman"/>
          <w:b/>
          <w:bCs/>
          <w:color w:val="000000"/>
          <w:sz w:val="32"/>
          <w:szCs w:val="32"/>
        </w:rPr>
        <w:t>表</w:t>
      </w:r>
    </w:p>
    <w:p>
      <w:pPr>
        <w:adjustRightInd w:val="0"/>
        <w:snapToGrid w:val="0"/>
        <w:spacing w:afterLines="50" w:line="320" w:lineRule="exact"/>
        <w:rPr>
          <w:rFonts w:ascii="宋体" w:hAnsi="宋体" w:cs="Times New Roman"/>
          <w:color w:val="000000"/>
          <w:sz w:val="24"/>
          <w:szCs w:val="24"/>
        </w:rPr>
      </w:pPr>
    </w:p>
    <w:p>
      <w:pPr>
        <w:adjustRightInd w:val="0"/>
        <w:snapToGrid w:val="0"/>
        <w:spacing w:afterLines="50" w:line="320" w:lineRule="exact"/>
        <w:rPr>
          <w:rFonts w:ascii="宋体" w:hAnsi="宋体" w:cs="Times New Roman"/>
          <w:color w:val="000000"/>
          <w:sz w:val="24"/>
          <w:szCs w:val="24"/>
          <w:u w:val="single"/>
        </w:rPr>
      </w:pPr>
      <w:r>
        <w:rPr>
          <w:rFonts w:ascii="宋体" w:hAnsi="宋体" w:cs="Times New Roman"/>
          <w:color w:val="000000"/>
          <w:sz w:val="24"/>
          <w:szCs w:val="24"/>
        </w:rPr>
        <w:t>项目</w:t>
      </w:r>
      <w:r>
        <w:rPr>
          <w:rFonts w:hint="eastAsia" w:ascii="宋体" w:hAnsi="宋体" w:cs="Times New Roman"/>
          <w:color w:val="000000"/>
          <w:sz w:val="24"/>
          <w:szCs w:val="24"/>
        </w:rPr>
        <w:t>名</w:t>
      </w:r>
      <w:r>
        <w:rPr>
          <w:rFonts w:ascii="宋体" w:hAnsi="宋体" w:cs="Times New Roman"/>
          <w:color w:val="000000"/>
          <w:sz w:val="24"/>
          <w:szCs w:val="24"/>
        </w:rPr>
        <w:t>称</w:t>
      </w:r>
      <w:r>
        <w:rPr>
          <w:rFonts w:hint="eastAsia" w:ascii="宋体" w:hAnsi="宋体" w:cs="Times New Roman"/>
          <w:color w:val="000000"/>
          <w:sz w:val="24"/>
          <w:szCs w:val="24"/>
        </w:rPr>
        <w:t>：</w:t>
      </w:r>
    </w:p>
    <w:tbl>
      <w:tblPr>
        <w:tblStyle w:val="11"/>
        <w:tblW w:w="8600"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1417"/>
        <w:gridCol w:w="2580"/>
        <w:gridCol w:w="2396"/>
        <w:gridCol w:w="135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417" w:type="dxa"/>
            <w:tcBorders>
              <w:left w:val="single" w:color="auto" w:sz="4" w:space="0"/>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分项条款</w:t>
            </w:r>
          </w:p>
        </w:tc>
        <w:tc>
          <w:tcPr>
            <w:tcW w:w="2580"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招</w:t>
            </w:r>
            <w:r>
              <w:rPr>
                <w:rFonts w:ascii="宋体" w:hAnsi="宋体" w:cs="Arial"/>
                <w:color w:val="000000"/>
                <w:sz w:val="24"/>
                <w:szCs w:val="24"/>
              </w:rPr>
              <w:t>标</w:t>
            </w:r>
            <w:r>
              <w:rPr>
                <w:rFonts w:hint="eastAsia" w:ascii="宋体" w:hAnsi="宋体" w:cs="Arial"/>
                <w:color w:val="000000"/>
                <w:sz w:val="24"/>
                <w:szCs w:val="24"/>
              </w:rPr>
              <w:t>文件要求</w:t>
            </w:r>
          </w:p>
        </w:tc>
        <w:tc>
          <w:tcPr>
            <w:tcW w:w="239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投</w:t>
            </w:r>
            <w:r>
              <w:rPr>
                <w:rFonts w:ascii="宋体" w:hAnsi="宋体" w:cs="Arial"/>
                <w:color w:val="000000"/>
                <w:sz w:val="24"/>
                <w:szCs w:val="24"/>
              </w:rPr>
              <w:t>标</w:t>
            </w:r>
            <w:r>
              <w:rPr>
                <w:rFonts w:hint="eastAsia" w:ascii="宋体" w:hAnsi="宋体" w:cs="Arial"/>
                <w:color w:val="000000"/>
                <w:sz w:val="24"/>
                <w:szCs w:val="24"/>
              </w:rPr>
              <w:t>文件响应</w:t>
            </w:r>
          </w:p>
        </w:tc>
        <w:tc>
          <w:tcPr>
            <w:tcW w:w="1356" w:type="dxa"/>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偏离程度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417"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580" w:type="dxa"/>
            <w:vAlign w:val="center"/>
          </w:tcPr>
          <w:p>
            <w:pPr>
              <w:autoSpaceDE w:val="0"/>
              <w:autoSpaceDN w:val="0"/>
              <w:adjustRightInd w:val="0"/>
              <w:jc w:val="center"/>
              <w:rPr>
                <w:rFonts w:ascii="宋体" w:hAnsi="宋体" w:cs="Arial"/>
                <w:color w:val="000000"/>
                <w:sz w:val="24"/>
                <w:szCs w:val="24"/>
              </w:rPr>
            </w:pPr>
          </w:p>
        </w:tc>
        <w:tc>
          <w:tcPr>
            <w:tcW w:w="2396" w:type="dxa"/>
            <w:vAlign w:val="center"/>
          </w:tcPr>
          <w:p>
            <w:pPr>
              <w:autoSpaceDE w:val="0"/>
              <w:autoSpaceDN w:val="0"/>
              <w:adjustRightInd w:val="0"/>
              <w:jc w:val="center"/>
              <w:rPr>
                <w:rFonts w:ascii="宋体" w:hAnsi="宋体" w:cs="Arial"/>
                <w:color w:val="000000"/>
                <w:sz w:val="24"/>
                <w:szCs w:val="24"/>
              </w:rPr>
            </w:pPr>
          </w:p>
        </w:tc>
        <w:tc>
          <w:tcPr>
            <w:tcW w:w="1356"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417"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580" w:type="dxa"/>
            <w:vAlign w:val="center"/>
          </w:tcPr>
          <w:p>
            <w:pPr>
              <w:autoSpaceDE w:val="0"/>
              <w:autoSpaceDN w:val="0"/>
              <w:adjustRightInd w:val="0"/>
              <w:jc w:val="center"/>
              <w:rPr>
                <w:rFonts w:ascii="宋体" w:hAnsi="宋体" w:cs="Arial"/>
                <w:color w:val="000000"/>
                <w:sz w:val="24"/>
                <w:szCs w:val="24"/>
              </w:rPr>
            </w:pPr>
          </w:p>
        </w:tc>
        <w:tc>
          <w:tcPr>
            <w:tcW w:w="2396" w:type="dxa"/>
            <w:vAlign w:val="center"/>
          </w:tcPr>
          <w:p>
            <w:pPr>
              <w:autoSpaceDE w:val="0"/>
              <w:autoSpaceDN w:val="0"/>
              <w:adjustRightInd w:val="0"/>
              <w:jc w:val="center"/>
              <w:rPr>
                <w:rFonts w:ascii="宋体" w:hAnsi="宋体" w:cs="Arial"/>
                <w:color w:val="000000"/>
                <w:sz w:val="24"/>
                <w:szCs w:val="24"/>
              </w:rPr>
            </w:pPr>
          </w:p>
        </w:tc>
        <w:tc>
          <w:tcPr>
            <w:tcW w:w="1356"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417"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580" w:type="dxa"/>
            <w:vAlign w:val="center"/>
          </w:tcPr>
          <w:p>
            <w:pPr>
              <w:autoSpaceDE w:val="0"/>
              <w:autoSpaceDN w:val="0"/>
              <w:adjustRightInd w:val="0"/>
              <w:jc w:val="center"/>
              <w:rPr>
                <w:rFonts w:ascii="宋体" w:hAnsi="宋体" w:cs="Arial"/>
                <w:color w:val="000000"/>
                <w:sz w:val="24"/>
                <w:szCs w:val="24"/>
              </w:rPr>
            </w:pPr>
          </w:p>
        </w:tc>
        <w:tc>
          <w:tcPr>
            <w:tcW w:w="2396" w:type="dxa"/>
            <w:vAlign w:val="center"/>
          </w:tcPr>
          <w:p>
            <w:pPr>
              <w:autoSpaceDE w:val="0"/>
              <w:autoSpaceDN w:val="0"/>
              <w:adjustRightInd w:val="0"/>
              <w:jc w:val="center"/>
              <w:rPr>
                <w:rFonts w:ascii="宋体" w:hAnsi="宋体" w:cs="Arial"/>
                <w:color w:val="000000"/>
                <w:sz w:val="24"/>
                <w:szCs w:val="24"/>
              </w:rPr>
            </w:pPr>
          </w:p>
        </w:tc>
        <w:tc>
          <w:tcPr>
            <w:tcW w:w="1356"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417"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580" w:type="dxa"/>
            <w:vAlign w:val="center"/>
          </w:tcPr>
          <w:p>
            <w:pPr>
              <w:autoSpaceDE w:val="0"/>
              <w:autoSpaceDN w:val="0"/>
              <w:adjustRightInd w:val="0"/>
              <w:jc w:val="center"/>
              <w:rPr>
                <w:rFonts w:ascii="宋体" w:hAnsi="宋体" w:cs="Arial"/>
                <w:color w:val="000000"/>
                <w:sz w:val="24"/>
                <w:szCs w:val="24"/>
              </w:rPr>
            </w:pPr>
          </w:p>
        </w:tc>
        <w:tc>
          <w:tcPr>
            <w:tcW w:w="2396" w:type="dxa"/>
            <w:vAlign w:val="center"/>
          </w:tcPr>
          <w:p>
            <w:pPr>
              <w:autoSpaceDE w:val="0"/>
              <w:autoSpaceDN w:val="0"/>
              <w:adjustRightInd w:val="0"/>
              <w:jc w:val="center"/>
              <w:rPr>
                <w:rFonts w:ascii="宋体" w:hAnsi="宋体" w:cs="Arial"/>
                <w:color w:val="000000"/>
                <w:sz w:val="24"/>
                <w:szCs w:val="24"/>
              </w:rPr>
            </w:pPr>
          </w:p>
        </w:tc>
        <w:tc>
          <w:tcPr>
            <w:tcW w:w="1356"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417"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580" w:type="dxa"/>
            <w:vAlign w:val="center"/>
          </w:tcPr>
          <w:p>
            <w:pPr>
              <w:autoSpaceDE w:val="0"/>
              <w:autoSpaceDN w:val="0"/>
              <w:adjustRightInd w:val="0"/>
              <w:jc w:val="center"/>
              <w:rPr>
                <w:rFonts w:ascii="宋体" w:hAnsi="宋体" w:cs="Arial"/>
                <w:color w:val="000000"/>
                <w:sz w:val="24"/>
                <w:szCs w:val="24"/>
              </w:rPr>
            </w:pPr>
          </w:p>
        </w:tc>
        <w:tc>
          <w:tcPr>
            <w:tcW w:w="2396" w:type="dxa"/>
            <w:vAlign w:val="center"/>
          </w:tcPr>
          <w:p>
            <w:pPr>
              <w:autoSpaceDE w:val="0"/>
              <w:autoSpaceDN w:val="0"/>
              <w:adjustRightInd w:val="0"/>
              <w:jc w:val="center"/>
              <w:rPr>
                <w:rFonts w:ascii="宋体" w:hAnsi="宋体" w:cs="Arial"/>
                <w:color w:val="000000"/>
                <w:sz w:val="24"/>
                <w:szCs w:val="24"/>
              </w:rPr>
            </w:pPr>
          </w:p>
        </w:tc>
        <w:tc>
          <w:tcPr>
            <w:tcW w:w="1356"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6</w:t>
            </w:r>
          </w:p>
        </w:tc>
        <w:tc>
          <w:tcPr>
            <w:tcW w:w="1417"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580" w:type="dxa"/>
            <w:vAlign w:val="center"/>
          </w:tcPr>
          <w:p>
            <w:pPr>
              <w:autoSpaceDE w:val="0"/>
              <w:autoSpaceDN w:val="0"/>
              <w:adjustRightInd w:val="0"/>
              <w:jc w:val="center"/>
              <w:rPr>
                <w:rFonts w:ascii="宋体" w:hAnsi="宋体" w:cs="Arial"/>
                <w:color w:val="000000"/>
                <w:sz w:val="24"/>
                <w:szCs w:val="24"/>
              </w:rPr>
            </w:pPr>
          </w:p>
        </w:tc>
        <w:tc>
          <w:tcPr>
            <w:tcW w:w="2396" w:type="dxa"/>
            <w:vAlign w:val="center"/>
          </w:tcPr>
          <w:p>
            <w:pPr>
              <w:autoSpaceDE w:val="0"/>
              <w:autoSpaceDN w:val="0"/>
              <w:adjustRightInd w:val="0"/>
              <w:jc w:val="center"/>
              <w:rPr>
                <w:rFonts w:ascii="宋体" w:hAnsi="宋体" w:cs="Arial"/>
                <w:color w:val="000000"/>
                <w:sz w:val="24"/>
                <w:szCs w:val="24"/>
              </w:rPr>
            </w:pPr>
          </w:p>
        </w:tc>
        <w:tc>
          <w:tcPr>
            <w:tcW w:w="1356" w:type="dxa"/>
            <w:vAlign w:val="center"/>
          </w:tcPr>
          <w:p>
            <w:pPr>
              <w:autoSpaceDE w:val="0"/>
              <w:autoSpaceDN w:val="0"/>
              <w:adjustRightInd w:val="0"/>
              <w:jc w:val="center"/>
              <w:rPr>
                <w:rFonts w:ascii="宋体" w:hAnsi="宋体" w:cs="Arial"/>
                <w:color w:val="00000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851" w:type="dxa"/>
            <w:tcBorders>
              <w:right w:val="single" w:color="auto" w:sz="4" w:space="0"/>
            </w:tcBorders>
            <w:vAlign w:val="center"/>
          </w:tcPr>
          <w:p>
            <w:pPr>
              <w:autoSpaceDE w:val="0"/>
              <w:autoSpaceDN w:val="0"/>
              <w:adjustRightInd w:val="0"/>
              <w:jc w:val="center"/>
              <w:rPr>
                <w:rFonts w:ascii="宋体" w:hAnsi="宋体" w:cs="Arial"/>
                <w:color w:val="000000"/>
                <w:sz w:val="24"/>
                <w:szCs w:val="24"/>
              </w:rPr>
            </w:pPr>
            <w:r>
              <w:rPr>
                <w:rFonts w:hint="eastAsia" w:ascii="宋体" w:hAnsi="宋体" w:cs="Arial"/>
                <w:color w:val="000000"/>
                <w:sz w:val="24"/>
                <w:szCs w:val="24"/>
              </w:rPr>
              <w:t>……</w:t>
            </w:r>
          </w:p>
        </w:tc>
        <w:tc>
          <w:tcPr>
            <w:tcW w:w="1417" w:type="dxa"/>
            <w:tcBorders>
              <w:left w:val="single" w:color="auto" w:sz="4" w:space="0"/>
            </w:tcBorders>
            <w:vAlign w:val="center"/>
          </w:tcPr>
          <w:p>
            <w:pPr>
              <w:autoSpaceDE w:val="0"/>
              <w:autoSpaceDN w:val="0"/>
              <w:adjustRightInd w:val="0"/>
              <w:jc w:val="center"/>
              <w:rPr>
                <w:rFonts w:ascii="宋体" w:hAnsi="宋体" w:cs="Arial"/>
                <w:color w:val="000000"/>
                <w:sz w:val="24"/>
                <w:szCs w:val="24"/>
              </w:rPr>
            </w:pPr>
          </w:p>
        </w:tc>
        <w:tc>
          <w:tcPr>
            <w:tcW w:w="2580" w:type="dxa"/>
            <w:vAlign w:val="center"/>
          </w:tcPr>
          <w:p>
            <w:pPr>
              <w:autoSpaceDE w:val="0"/>
              <w:autoSpaceDN w:val="0"/>
              <w:adjustRightInd w:val="0"/>
              <w:jc w:val="center"/>
              <w:rPr>
                <w:rFonts w:ascii="宋体" w:hAnsi="宋体" w:cs="Arial"/>
                <w:color w:val="000000"/>
                <w:sz w:val="24"/>
                <w:szCs w:val="24"/>
              </w:rPr>
            </w:pPr>
          </w:p>
        </w:tc>
        <w:tc>
          <w:tcPr>
            <w:tcW w:w="2396" w:type="dxa"/>
            <w:vAlign w:val="center"/>
          </w:tcPr>
          <w:p>
            <w:pPr>
              <w:autoSpaceDE w:val="0"/>
              <w:autoSpaceDN w:val="0"/>
              <w:adjustRightInd w:val="0"/>
              <w:jc w:val="center"/>
              <w:rPr>
                <w:rFonts w:ascii="宋体" w:hAnsi="宋体" w:cs="Arial"/>
                <w:color w:val="000000"/>
                <w:sz w:val="24"/>
                <w:szCs w:val="24"/>
              </w:rPr>
            </w:pPr>
          </w:p>
        </w:tc>
        <w:tc>
          <w:tcPr>
            <w:tcW w:w="1356" w:type="dxa"/>
            <w:vAlign w:val="center"/>
          </w:tcPr>
          <w:p>
            <w:pPr>
              <w:autoSpaceDE w:val="0"/>
              <w:autoSpaceDN w:val="0"/>
              <w:adjustRightInd w:val="0"/>
              <w:jc w:val="center"/>
              <w:rPr>
                <w:rFonts w:ascii="宋体" w:hAnsi="宋体" w:cs="Arial"/>
                <w:color w:val="000000"/>
                <w:sz w:val="24"/>
                <w:szCs w:val="24"/>
              </w:rPr>
            </w:pPr>
          </w:p>
        </w:tc>
      </w:tr>
    </w:tbl>
    <w:p>
      <w:pPr>
        <w:spacing w:line="440" w:lineRule="exact"/>
        <w:ind w:firstLine="420" w:firstLineChars="175"/>
        <w:rPr>
          <w:rFonts w:ascii="宋体" w:hAnsi="宋体" w:cs="Arial"/>
          <w:color w:val="000000"/>
          <w:sz w:val="24"/>
          <w:szCs w:val="24"/>
        </w:rPr>
      </w:pPr>
      <w:r>
        <w:rPr>
          <w:rFonts w:ascii="宋体" w:hAnsi="宋体" w:cs="Arial"/>
          <w:color w:val="000000"/>
          <w:sz w:val="24"/>
          <w:szCs w:val="24"/>
        </w:rPr>
        <w:t>我们</w:t>
      </w:r>
      <w:r>
        <w:rPr>
          <w:rFonts w:hint="eastAsia" w:ascii="宋体" w:hAnsi="宋体" w:cs="Arial"/>
          <w:color w:val="000000"/>
          <w:sz w:val="24"/>
          <w:szCs w:val="24"/>
        </w:rPr>
        <w:t>承</w:t>
      </w:r>
      <w:r>
        <w:rPr>
          <w:rFonts w:ascii="宋体" w:hAnsi="宋体" w:cs="Arial"/>
          <w:color w:val="000000"/>
          <w:sz w:val="24"/>
          <w:szCs w:val="24"/>
        </w:rPr>
        <w:t>诺</w:t>
      </w:r>
      <w:r>
        <w:rPr>
          <w:rFonts w:hint="eastAsia" w:ascii="宋体" w:hAnsi="宋体" w:cs="Arial"/>
          <w:color w:val="000000"/>
          <w:sz w:val="24"/>
          <w:szCs w:val="24"/>
        </w:rPr>
        <w:t>本响应表的</w:t>
      </w:r>
      <w:r>
        <w:rPr>
          <w:rFonts w:ascii="宋体" w:hAnsi="宋体" w:cs="Arial"/>
          <w:color w:val="000000"/>
          <w:sz w:val="24"/>
          <w:szCs w:val="24"/>
        </w:rPr>
        <w:t>内</w:t>
      </w:r>
      <w:r>
        <w:rPr>
          <w:rFonts w:hint="eastAsia" w:ascii="宋体" w:hAnsi="宋体" w:cs="Arial"/>
          <w:color w:val="000000"/>
          <w:sz w:val="24"/>
          <w:szCs w:val="24"/>
        </w:rPr>
        <w:t>容真</w:t>
      </w:r>
      <w:r>
        <w:rPr>
          <w:rFonts w:ascii="宋体" w:hAnsi="宋体" w:cs="Arial"/>
          <w:color w:val="000000"/>
          <w:sz w:val="24"/>
          <w:szCs w:val="24"/>
        </w:rPr>
        <w:t>实</w:t>
      </w:r>
      <w:r>
        <w:rPr>
          <w:rFonts w:hint="eastAsia" w:ascii="宋体" w:hAnsi="宋体" w:cs="Arial"/>
          <w:color w:val="000000"/>
          <w:sz w:val="24"/>
          <w:szCs w:val="24"/>
        </w:rPr>
        <w:t>有效，</w:t>
      </w:r>
      <w:r>
        <w:rPr>
          <w:rFonts w:ascii="宋体" w:hAnsi="宋体" w:cs="Arial"/>
          <w:color w:val="000000"/>
          <w:sz w:val="24"/>
          <w:szCs w:val="24"/>
        </w:rPr>
        <w:t>无</w:t>
      </w:r>
      <w:r>
        <w:rPr>
          <w:rFonts w:hint="eastAsia" w:ascii="宋体" w:hAnsi="宋体" w:cs="Arial"/>
          <w:color w:val="000000"/>
          <w:sz w:val="24"/>
          <w:szCs w:val="24"/>
        </w:rPr>
        <w:t>任何</w:t>
      </w:r>
      <w:r>
        <w:rPr>
          <w:rFonts w:ascii="宋体" w:hAnsi="宋体" w:cs="Arial"/>
          <w:color w:val="000000"/>
          <w:sz w:val="24"/>
          <w:szCs w:val="24"/>
        </w:rPr>
        <w:t>虚</w:t>
      </w:r>
      <w:r>
        <w:rPr>
          <w:rFonts w:hint="eastAsia" w:ascii="宋体" w:hAnsi="宋体" w:cs="Arial"/>
          <w:color w:val="000000"/>
          <w:sz w:val="24"/>
          <w:szCs w:val="24"/>
        </w:rPr>
        <w:t>假之</w:t>
      </w:r>
      <w:r>
        <w:rPr>
          <w:rFonts w:ascii="宋体" w:hAnsi="宋体" w:cs="Arial"/>
          <w:color w:val="000000"/>
          <w:sz w:val="24"/>
          <w:szCs w:val="24"/>
        </w:rPr>
        <w:t>处</w:t>
      </w:r>
      <w:r>
        <w:rPr>
          <w:rFonts w:hint="eastAsia" w:ascii="宋体" w:hAnsi="宋体" w:cs="Arial"/>
          <w:color w:val="000000"/>
          <w:sz w:val="24"/>
          <w:szCs w:val="24"/>
        </w:rPr>
        <w:t>，并且愿意承</w:t>
      </w:r>
      <w:r>
        <w:rPr>
          <w:rFonts w:ascii="宋体" w:hAnsi="宋体" w:cs="Arial"/>
          <w:color w:val="000000"/>
          <w:sz w:val="24"/>
          <w:szCs w:val="24"/>
        </w:rPr>
        <w:t>担</w:t>
      </w:r>
      <w:r>
        <w:rPr>
          <w:rFonts w:hint="eastAsia" w:ascii="宋体" w:hAnsi="宋体" w:cs="Arial"/>
          <w:color w:val="000000"/>
          <w:sz w:val="24"/>
          <w:szCs w:val="24"/>
        </w:rPr>
        <w:t>因不</w:t>
      </w:r>
      <w:r>
        <w:rPr>
          <w:rFonts w:ascii="宋体" w:hAnsi="宋体" w:cs="Arial"/>
          <w:color w:val="000000"/>
          <w:sz w:val="24"/>
          <w:szCs w:val="24"/>
        </w:rPr>
        <w:t>满</w:t>
      </w:r>
      <w:r>
        <w:rPr>
          <w:rFonts w:hint="eastAsia" w:ascii="宋体" w:hAnsi="宋体" w:cs="Arial"/>
          <w:color w:val="000000"/>
          <w:sz w:val="24"/>
          <w:szCs w:val="24"/>
        </w:rPr>
        <w:t>足此承</w:t>
      </w:r>
      <w:r>
        <w:rPr>
          <w:rFonts w:ascii="宋体" w:hAnsi="宋体" w:cs="Arial"/>
          <w:color w:val="000000"/>
          <w:sz w:val="24"/>
          <w:szCs w:val="24"/>
        </w:rPr>
        <w:t>诺</w:t>
      </w:r>
      <w:r>
        <w:rPr>
          <w:rFonts w:hint="eastAsia" w:ascii="宋体" w:hAnsi="宋体" w:cs="Arial"/>
          <w:color w:val="000000"/>
          <w:sz w:val="24"/>
          <w:szCs w:val="24"/>
        </w:rPr>
        <w:t>而引起的相</w:t>
      </w:r>
      <w:r>
        <w:rPr>
          <w:rFonts w:ascii="宋体" w:hAnsi="宋体" w:cs="Arial"/>
          <w:color w:val="000000"/>
          <w:sz w:val="24"/>
          <w:szCs w:val="24"/>
        </w:rPr>
        <w:t>应</w:t>
      </w:r>
      <w:r>
        <w:rPr>
          <w:rFonts w:hint="eastAsia" w:ascii="宋体" w:hAnsi="宋体" w:cs="Arial"/>
          <w:color w:val="000000"/>
          <w:sz w:val="24"/>
          <w:szCs w:val="24"/>
        </w:rPr>
        <w:t>的法律</w:t>
      </w:r>
      <w:r>
        <w:rPr>
          <w:rFonts w:ascii="宋体" w:hAnsi="宋体" w:cs="Arial"/>
          <w:color w:val="000000"/>
          <w:sz w:val="24"/>
          <w:szCs w:val="24"/>
        </w:rPr>
        <w:t>责</w:t>
      </w:r>
      <w:r>
        <w:rPr>
          <w:rFonts w:hint="eastAsia" w:ascii="宋体" w:hAnsi="宋体" w:cs="Arial"/>
          <w:color w:val="000000"/>
          <w:sz w:val="24"/>
          <w:szCs w:val="24"/>
        </w:rPr>
        <w:t>任。</w:t>
      </w:r>
    </w:p>
    <w:p>
      <w:pPr>
        <w:spacing w:line="440" w:lineRule="exact"/>
        <w:rPr>
          <w:rFonts w:ascii="宋体" w:hAnsi="宋体" w:cs="Arial"/>
          <w:color w:val="000000"/>
          <w:sz w:val="24"/>
          <w:szCs w:val="24"/>
        </w:rPr>
      </w:pPr>
    </w:p>
    <w:p>
      <w:pPr>
        <w:spacing w:line="440" w:lineRule="exact"/>
        <w:rPr>
          <w:rFonts w:ascii="宋体" w:hAnsi="宋体" w:cs="Arial"/>
          <w:color w:val="000000"/>
          <w:sz w:val="24"/>
          <w:szCs w:val="24"/>
        </w:rPr>
      </w:pPr>
      <w:r>
        <w:rPr>
          <w:rFonts w:hint="eastAsia" w:ascii="宋体" w:hAnsi="宋体" w:cs="Arial"/>
          <w:color w:val="000000"/>
          <w:sz w:val="24"/>
          <w:szCs w:val="24"/>
        </w:rPr>
        <w:t>投标人名称：（盖章）</w:t>
      </w:r>
    </w:p>
    <w:p>
      <w:pPr>
        <w:spacing w:line="440" w:lineRule="exact"/>
        <w:rPr>
          <w:rFonts w:ascii="宋体" w:hAnsi="宋体" w:cs="Arial"/>
          <w:color w:val="000000"/>
          <w:sz w:val="24"/>
          <w:szCs w:val="24"/>
        </w:rPr>
      </w:pPr>
      <w:r>
        <w:rPr>
          <w:rFonts w:hint="eastAsia" w:ascii="宋体" w:hAnsi="宋体" w:cs="Arial"/>
          <w:color w:val="000000"/>
          <w:sz w:val="24"/>
          <w:szCs w:val="24"/>
        </w:rPr>
        <w:t>法定代表人或其委托代理人：（签字）</w:t>
      </w:r>
    </w:p>
    <w:p>
      <w:pPr>
        <w:spacing w:line="440" w:lineRule="exact"/>
        <w:rPr>
          <w:rFonts w:ascii="宋体" w:hAnsi="宋体" w:cs="Arial"/>
          <w:color w:val="000000"/>
          <w:sz w:val="24"/>
          <w:szCs w:val="24"/>
        </w:rPr>
      </w:pPr>
      <w:r>
        <w:rPr>
          <w:rFonts w:hint="eastAsia" w:ascii="宋体" w:hAnsi="宋体" w:cs="Arial"/>
          <w:color w:val="000000"/>
          <w:sz w:val="24"/>
          <w:szCs w:val="24"/>
        </w:rPr>
        <w:t>日期：年月日</w:t>
      </w:r>
    </w:p>
    <w:p>
      <w:pPr>
        <w:adjustRightInd w:val="0"/>
        <w:spacing w:afterLines="50" w:line="320" w:lineRule="exact"/>
        <w:ind w:firstLine="540" w:firstLineChars="225"/>
        <w:jc w:val="left"/>
        <w:textAlignment w:val="baseline"/>
        <w:rPr>
          <w:rFonts w:ascii="宋体" w:hAnsi="宋体" w:cs="Arial"/>
          <w:color w:val="000000"/>
          <w:sz w:val="24"/>
          <w:szCs w:val="24"/>
        </w:rPr>
      </w:pPr>
      <w:r>
        <w:rPr>
          <w:rFonts w:ascii="宋体" w:hAnsi="宋体" w:cs="Arial"/>
          <w:color w:val="000000"/>
          <w:sz w:val="24"/>
          <w:szCs w:val="24"/>
        </w:rPr>
        <w:t>填写说</w:t>
      </w:r>
      <w:r>
        <w:rPr>
          <w:rFonts w:hint="eastAsia" w:ascii="宋体" w:hAnsi="宋体" w:cs="Arial"/>
          <w:color w:val="000000"/>
          <w:sz w:val="24"/>
          <w:szCs w:val="24"/>
        </w:rPr>
        <w:t>明：</w:t>
      </w:r>
    </w:p>
    <w:p>
      <w:pPr>
        <w:adjustRightInd w:val="0"/>
        <w:spacing w:line="440" w:lineRule="exact"/>
        <w:ind w:firstLine="540" w:firstLineChars="225"/>
        <w:jc w:val="left"/>
        <w:textAlignment w:val="baseline"/>
        <w:rPr>
          <w:rFonts w:ascii="宋体" w:hAnsi="宋体" w:cs="Times New Roman"/>
          <w:color w:val="000000"/>
          <w:kern w:val="0"/>
          <w:sz w:val="24"/>
          <w:szCs w:val="20"/>
        </w:rPr>
      </w:pPr>
      <w:r>
        <w:rPr>
          <w:rFonts w:ascii="宋体" w:hAnsi="宋体" w:cs="Arial"/>
          <w:color w:val="000000"/>
          <w:sz w:val="24"/>
          <w:szCs w:val="24"/>
        </w:rPr>
        <w:t xml:space="preserve">1. </w:t>
      </w:r>
      <w:r>
        <w:rPr>
          <w:rFonts w:hint="eastAsia" w:ascii="宋体" w:hAnsi="宋体" w:cs="Times New Roman"/>
          <w:color w:val="000000"/>
          <w:kern w:val="0"/>
          <w:sz w:val="24"/>
          <w:szCs w:val="20"/>
        </w:rPr>
        <w:t>投</w:t>
      </w:r>
      <w:r>
        <w:rPr>
          <w:rFonts w:ascii="宋体" w:hAnsi="宋体" w:cs="Times New Roman"/>
          <w:color w:val="000000"/>
          <w:kern w:val="0"/>
          <w:sz w:val="24"/>
          <w:szCs w:val="20"/>
        </w:rPr>
        <w:t>标</w:t>
      </w:r>
      <w:r>
        <w:rPr>
          <w:rFonts w:hint="eastAsia" w:ascii="宋体" w:hAnsi="宋体" w:cs="Times New Roman"/>
          <w:color w:val="000000"/>
          <w:kern w:val="0"/>
          <w:sz w:val="24"/>
          <w:szCs w:val="20"/>
        </w:rPr>
        <w:t>人必须认真填写本表，本表的每项内容投标人根据招标文件采购需求内容自行填写，须完全响应采购需求。</w:t>
      </w:r>
    </w:p>
    <w:p>
      <w:pPr>
        <w:adjustRightInd w:val="0"/>
        <w:spacing w:line="440" w:lineRule="exact"/>
        <w:ind w:firstLine="540" w:firstLineChars="225"/>
        <w:jc w:val="left"/>
        <w:textAlignment w:val="baseline"/>
        <w:rPr>
          <w:rFonts w:ascii="宋体" w:hAnsi="宋体" w:cs="Arial"/>
          <w:color w:val="000000"/>
          <w:sz w:val="24"/>
          <w:szCs w:val="24"/>
        </w:rPr>
      </w:pPr>
      <w:r>
        <w:rPr>
          <w:rFonts w:hint="eastAsia" w:ascii="宋体" w:hAnsi="宋体" w:cs="Times New Roman"/>
          <w:color w:val="000000"/>
          <w:kern w:val="0"/>
          <w:sz w:val="24"/>
          <w:szCs w:val="20"/>
        </w:rPr>
        <w:t xml:space="preserve">2. </w:t>
      </w:r>
      <w:r>
        <w:rPr>
          <w:rFonts w:hint="eastAsia" w:ascii="宋体" w:hAnsi="宋体" w:cs="Arial"/>
          <w:color w:val="000000"/>
          <w:sz w:val="24"/>
          <w:szCs w:val="24"/>
        </w:rPr>
        <w:t>偏离程度</w:t>
      </w:r>
      <w:r>
        <w:rPr>
          <w:rFonts w:ascii="宋体" w:hAnsi="宋体" w:cs="Arial"/>
          <w:color w:val="000000"/>
          <w:sz w:val="24"/>
          <w:szCs w:val="24"/>
        </w:rPr>
        <w:t>请填写</w:t>
      </w:r>
      <w:r>
        <w:rPr>
          <w:rFonts w:hint="eastAsia" w:ascii="宋体" w:hAnsi="宋体" w:cs="Arial"/>
          <w:color w:val="000000"/>
          <w:sz w:val="24"/>
          <w:szCs w:val="24"/>
        </w:rPr>
        <w:t>“正偏离、</w:t>
      </w:r>
      <w:r>
        <w:rPr>
          <w:rFonts w:ascii="宋体" w:hAnsi="宋体" w:cs="Arial"/>
          <w:color w:val="000000"/>
          <w:sz w:val="24"/>
          <w:szCs w:val="24"/>
        </w:rPr>
        <w:t>负</w:t>
      </w:r>
      <w:r>
        <w:rPr>
          <w:rFonts w:hint="eastAsia" w:ascii="宋体" w:hAnsi="宋体" w:cs="Arial"/>
          <w:color w:val="000000"/>
          <w:sz w:val="24"/>
          <w:szCs w:val="24"/>
        </w:rPr>
        <w:t>偏离或</w:t>
      </w:r>
      <w:r>
        <w:rPr>
          <w:rFonts w:ascii="宋体" w:hAnsi="宋体" w:cs="Arial"/>
          <w:color w:val="000000"/>
          <w:sz w:val="24"/>
          <w:szCs w:val="24"/>
        </w:rPr>
        <w:t>无</w:t>
      </w:r>
      <w:r>
        <w:rPr>
          <w:rFonts w:hint="eastAsia" w:ascii="宋体" w:hAnsi="宋体" w:cs="Arial"/>
          <w:color w:val="000000"/>
          <w:sz w:val="24"/>
          <w:szCs w:val="24"/>
        </w:rPr>
        <w:t>偏离”字</w:t>
      </w:r>
      <w:r>
        <w:rPr>
          <w:rFonts w:ascii="宋体" w:hAnsi="宋体" w:cs="Arial"/>
          <w:color w:val="000000"/>
          <w:sz w:val="24"/>
          <w:szCs w:val="24"/>
        </w:rPr>
        <w:t>样</w:t>
      </w:r>
      <w:r>
        <w:rPr>
          <w:rFonts w:hint="eastAsia" w:ascii="宋体" w:hAnsi="宋体" w:cs="Arial"/>
          <w:color w:val="000000"/>
          <w:sz w:val="24"/>
          <w:szCs w:val="24"/>
        </w:rPr>
        <w:t>，其中“正偏离”是指投标优于招标文件的要求；“负偏离”是指投标劣于招标文件的要求；“无偏离”是指投标与招标文件的要求无差别。</w:t>
      </w:r>
    </w:p>
    <w:p>
      <w:pPr>
        <w:autoSpaceDE w:val="0"/>
        <w:autoSpaceDN w:val="0"/>
        <w:adjustRightInd w:val="0"/>
        <w:spacing w:line="480" w:lineRule="auto"/>
        <w:jc w:val="center"/>
        <w:rPr>
          <w:rFonts w:hAnsi="宋体" w:eastAsia="宋体"/>
          <w:b/>
          <w:snapToGrid w:val="0"/>
          <w:kern w:val="0"/>
          <w:sz w:val="32"/>
          <w:szCs w:val="32"/>
        </w:rPr>
      </w:pPr>
    </w:p>
    <w:p>
      <w:pPr>
        <w:autoSpaceDE w:val="0"/>
        <w:autoSpaceDN w:val="0"/>
        <w:adjustRightInd w:val="0"/>
        <w:spacing w:line="480" w:lineRule="auto"/>
        <w:jc w:val="center"/>
        <w:rPr>
          <w:rFonts w:hAnsi="宋体" w:eastAsia="宋体"/>
          <w:b/>
          <w:snapToGrid w:val="0"/>
          <w:kern w:val="0"/>
          <w:sz w:val="32"/>
          <w:szCs w:val="32"/>
        </w:rPr>
      </w:pPr>
    </w:p>
    <w:p>
      <w:pPr>
        <w:autoSpaceDE w:val="0"/>
        <w:autoSpaceDN w:val="0"/>
        <w:adjustRightInd w:val="0"/>
        <w:spacing w:line="480" w:lineRule="auto"/>
        <w:jc w:val="center"/>
        <w:rPr>
          <w:rFonts w:hAnsi="宋体" w:eastAsia="宋体"/>
          <w:b/>
          <w:snapToGrid w:val="0"/>
          <w:kern w:val="0"/>
          <w:sz w:val="32"/>
          <w:szCs w:val="32"/>
        </w:rPr>
      </w:pPr>
    </w:p>
    <w:p>
      <w:pPr>
        <w:autoSpaceDE w:val="0"/>
        <w:autoSpaceDN w:val="0"/>
        <w:adjustRightInd w:val="0"/>
        <w:spacing w:line="480" w:lineRule="auto"/>
        <w:jc w:val="center"/>
        <w:rPr>
          <w:rFonts w:hAnsi="宋体" w:eastAsia="宋体"/>
          <w:b/>
          <w:snapToGrid w:val="0"/>
          <w:kern w:val="0"/>
          <w:sz w:val="32"/>
          <w:szCs w:val="32"/>
        </w:rPr>
      </w:pPr>
      <w:r>
        <w:rPr>
          <w:rFonts w:hint="eastAsia" w:hAnsi="宋体" w:eastAsia="宋体"/>
          <w:b/>
          <w:snapToGrid w:val="0"/>
          <w:kern w:val="0"/>
          <w:sz w:val="32"/>
          <w:szCs w:val="32"/>
        </w:rPr>
        <w:br w:type="page"/>
      </w:r>
    </w:p>
    <w:p>
      <w:pPr>
        <w:autoSpaceDE w:val="0"/>
        <w:autoSpaceDN w:val="0"/>
        <w:adjustRightInd w:val="0"/>
        <w:spacing w:line="480" w:lineRule="auto"/>
        <w:jc w:val="center"/>
        <w:rPr>
          <w:rFonts w:hAnsi="宋体" w:eastAsia="宋体"/>
          <w:b/>
          <w:snapToGrid w:val="0"/>
          <w:kern w:val="0"/>
          <w:sz w:val="32"/>
          <w:szCs w:val="32"/>
        </w:rPr>
      </w:pPr>
      <w:r>
        <w:rPr>
          <w:rFonts w:hint="eastAsia" w:hAnsi="宋体" w:eastAsia="宋体"/>
          <w:b/>
          <w:snapToGrid w:val="0"/>
          <w:kern w:val="0"/>
          <w:sz w:val="32"/>
          <w:szCs w:val="32"/>
        </w:rPr>
        <w:t>（二）信誉资料</w:t>
      </w:r>
    </w:p>
    <w:p>
      <w:pPr>
        <w:pStyle w:val="15"/>
        <w:jc w:val="center"/>
        <w:rPr>
          <w:b/>
          <w:snapToGrid w:val="0"/>
          <w:sz w:val="32"/>
          <w:szCs w:val="32"/>
        </w:rPr>
      </w:pPr>
      <w:r>
        <w:rPr>
          <w:rFonts w:hint="eastAsia"/>
          <w:b/>
          <w:snapToGrid w:val="0"/>
          <w:sz w:val="32"/>
          <w:szCs w:val="32"/>
        </w:rPr>
        <w:br w:type="page"/>
      </w:r>
    </w:p>
    <w:p>
      <w:pPr>
        <w:pStyle w:val="15"/>
        <w:jc w:val="center"/>
        <w:rPr>
          <w:rFonts w:cs="宋体"/>
          <w:b/>
          <w:bCs/>
          <w:sz w:val="32"/>
          <w:szCs w:val="32"/>
          <w:lang w:val="zh-CN"/>
        </w:rPr>
      </w:pPr>
      <w:r>
        <w:rPr>
          <w:rFonts w:hint="eastAsia"/>
          <w:b/>
          <w:snapToGrid w:val="0"/>
          <w:sz w:val="32"/>
          <w:szCs w:val="32"/>
        </w:rPr>
        <w:t>（三）</w:t>
      </w:r>
      <w:r>
        <w:rPr>
          <w:rFonts w:hint="eastAsia" w:cs="宋体"/>
          <w:b/>
          <w:bCs/>
          <w:sz w:val="32"/>
          <w:szCs w:val="32"/>
          <w:lang w:val="zh-CN"/>
        </w:rPr>
        <w:t>项目管理机构</w:t>
      </w:r>
    </w:p>
    <w:p>
      <w:pPr>
        <w:autoSpaceDE w:val="0"/>
        <w:autoSpaceDN w:val="0"/>
        <w:adjustRightInd w:val="0"/>
        <w:spacing w:line="360" w:lineRule="auto"/>
        <w:ind w:right="215"/>
        <w:jc w:val="center"/>
        <w:rPr>
          <w:rFonts w:ascii="宋体" w:hAnsi="宋体" w:cs="宋体"/>
          <w:b/>
          <w:sz w:val="32"/>
          <w:szCs w:val="32"/>
        </w:rPr>
      </w:pPr>
      <w:r>
        <w:rPr>
          <w:rFonts w:hint="eastAsia" w:hAnsi="宋体" w:cs="宋体"/>
          <w:b/>
          <w:sz w:val="32"/>
          <w:szCs w:val="32"/>
        </w:rPr>
        <w:t>1、</w:t>
      </w:r>
      <w:r>
        <w:rPr>
          <w:rFonts w:hint="eastAsia" w:ascii="宋体" w:hAnsi="宋体" w:cs="宋体"/>
          <w:b/>
          <w:sz w:val="32"/>
          <w:szCs w:val="32"/>
        </w:rPr>
        <w:t>拟投入人员组成表</w:t>
      </w:r>
    </w:p>
    <w:tbl>
      <w:tblPr>
        <w:tblStyle w:val="11"/>
        <w:tblW w:w="85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vMerge w:val="restart"/>
            <w:vAlign w:val="center"/>
          </w:tcPr>
          <w:p>
            <w:pPr>
              <w:autoSpaceDE w:val="0"/>
              <w:autoSpaceDN w:val="0"/>
              <w:adjustRightInd w:val="0"/>
              <w:spacing w:line="360" w:lineRule="auto"/>
              <w:ind w:right="215"/>
              <w:jc w:val="center"/>
              <w:rPr>
                <w:rFonts w:ascii="宋体" w:hAnsi="宋体" w:cs="宋体"/>
                <w:szCs w:val="21"/>
              </w:rPr>
            </w:pPr>
            <w:r>
              <w:rPr>
                <w:rFonts w:hint="eastAsia" w:ascii="宋体" w:hAnsi="宋体" w:cs="宋体"/>
                <w:szCs w:val="21"/>
              </w:rPr>
              <w:t>姓名</w:t>
            </w:r>
          </w:p>
        </w:tc>
        <w:tc>
          <w:tcPr>
            <w:tcW w:w="914" w:type="dxa"/>
            <w:vMerge w:val="restart"/>
            <w:vAlign w:val="center"/>
          </w:tcPr>
          <w:p>
            <w:pPr>
              <w:autoSpaceDE w:val="0"/>
              <w:autoSpaceDN w:val="0"/>
              <w:adjustRightInd w:val="0"/>
              <w:spacing w:line="360" w:lineRule="auto"/>
              <w:ind w:right="215"/>
              <w:jc w:val="center"/>
              <w:rPr>
                <w:rFonts w:ascii="宋体" w:hAnsi="宋体" w:cs="宋体"/>
                <w:szCs w:val="21"/>
              </w:rPr>
            </w:pPr>
            <w:r>
              <w:rPr>
                <w:rFonts w:hint="eastAsia" w:ascii="宋体" w:hAnsi="宋体" w:cs="宋体"/>
                <w:szCs w:val="21"/>
              </w:rPr>
              <w:t>职称</w:t>
            </w:r>
          </w:p>
        </w:tc>
        <w:tc>
          <w:tcPr>
            <w:tcW w:w="5710" w:type="dxa"/>
            <w:gridSpan w:val="5"/>
            <w:vAlign w:val="center"/>
          </w:tcPr>
          <w:p>
            <w:pPr>
              <w:autoSpaceDE w:val="0"/>
              <w:autoSpaceDN w:val="0"/>
              <w:adjustRightInd w:val="0"/>
              <w:spacing w:line="360" w:lineRule="auto"/>
              <w:ind w:right="215"/>
              <w:jc w:val="center"/>
              <w:rPr>
                <w:rFonts w:ascii="宋体" w:hAnsi="宋体" w:cs="宋体"/>
                <w:szCs w:val="21"/>
              </w:rPr>
            </w:pPr>
            <w:r>
              <w:rPr>
                <w:rFonts w:hint="eastAsia" w:ascii="宋体" w:hAnsi="宋体" w:cs="宋体"/>
                <w:szCs w:val="21"/>
              </w:rPr>
              <w:t>执业或职业资格证明</w:t>
            </w:r>
          </w:p>
        </w:tc>
        <w:tc>
          <w:tcPr>
            <w:tcW w:w="1036" w:type="dxa"/>
            <w:vAlign w:val="center"/>
          </w:tcPr>
          <w:p>
            <w:pPr>
              <w:autoSpaceDE w:val="0"/>
              <w:autoSpaceDN w:val="0"/>
              <w:adjustRightInd w:val="0"/>
              <w:spacing w:line="360" w:lineRule="auto"/>
              <w:ind w:right="215"/>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914" w:type="dxa"/>
            <w:vMerge w:val="continue"/>
            <w:vAlign w:val="center"/>
          </w:tcPr>
          <w:p>
            <w:pPr>
              <w:autoSpaceDE w:val="0"/>
              <w:autoSpaceDN w:val="0"/>
              <w:adjustRightInd w:val="0"/>
              <w:spacing w:line="360" w:lineRule="auto"/>
              <w:ind w:right="215"/>
              <w:jc w:val="center"/>
              <w:rPr>
                <w:rFonts w:ascii="宋体" w:hAnsi="宋体" w:cs="宋体"/>
                <w:szCs w:val="21"/>
              </w:rPr>
            </w:pPr>
          </w:p>
        </w:tc>
        <w:tc>
          <w:tcPr>
            <w:tcW w:w="914" w:type="dxa"/>
            <w:vMerge w:val="continue"/>
            <w:vAlign w:val="center"/>
          </w:tcPr>
          <w:p>
            <w:pPr>
              <w:autoSpaceDE w:val="0"/>
              <w:autoSpaceDN w:val="0"/>
              <w:adjustRightInd w:val="0"/>
              <w:spacing w:line="360" w:lineRule="auto"/>
              <w:ind w:right="215"/>
              <w:jc w:val="center"/>
              <w:rPr>
                <w:rFonts w:ascii="宋体" w:hAnsi="宋体" w:cs="宋体"/>
                <w:szCs w:val="21"/>
              </w:rPr>
            </w:pPr>
          </w:p>
        </w:tc>
        <w:tc>
          <w:tcPr>
            <w:tcW w:w="1405" w:type="dxa"/>
            <w:vAlign w:val="center"/>
          </w:tcPr>
          <w:p>
            <w:pPr>
              <w:autoSpaceDE w:val="0"/>
              <w:autoSpaceDN w:val="0"/>
              <w:adjustRightInd w:val="0"/>
              <w:spacing w:line="360" w:lineRule="auto"/>
              <w:ind w:right="215"/>
              <w:jc w:val="center"/>
              <w:rPr>
                <w:rFonts w:ascii="宋体" w:hAnsi="宋体" w:cs="宋体"/>
                <w:szCs w:val="21"/>
              </w:rPr>
            </w:pPr>
            <w:r>
              <w:rPr>
                <w:rFonts w:hint="eastAsia" w:ascii="宋体" w:hAnsi="宋体" w:cs="宋体"/>
                <w:szCs w:val="21"/>
              </w:rPr>
              <w:t>证书名称</w:t>
            </w:r>
          </w:p>
        </w:tc>
        <w:tc>
          <w:tcPr>
            <w:tcW w:w="945" w:type="dxa"/>
            <w:vAlign w:val="center"/>
          </w:tcPr>
          <w:p>
            <w:pPr>
              <w:autoSpaceDE w:val="0"/>
              <w:autoSpaceDN w:val="0"/>
              <w:adjustRightInd w:val="0"/>
              <w:spacing w:line="360" w:lineRule="auto"/>
              <w:ind w:right="215"/>
              <w:jc w:val="center"/>
              <w:rPr>
                <w:rFonts w:ascii="宋体" w:hAnsi="宋体" w:cs="宋体"/>
                <w:szCs w:val="21"/>
              </w:rPr>
            </w:pPr>
            <w:r>
              <w:rPr>
                <w:rFonts w:hint="eastAsia" w:ascii="宋体" w:hAnsi="宋体" w:cs="宋体"/>
                <w:szCs w:val="21"/>
              </w:rPr>
              <w:t>级别</w:t>
            </w:r>
          </w:p>
        </w:tc>
        <w:tc>
          <w:tcPr>
            <w:tcW w:w="945" w:type="dxa"/>
            <w:vAlign w:val="center"/>
          </w:tcPr>
          <w:p>
            <w:pPr>
              <w:autoSpaceDE w:val="0"/>
              <w:autoSpaceDN w:val="0"/>
              <w:adjustRightInd w:val="0"/>
              <w:spacing w:line="360" w:lineRule="auto"/>
              <w:ind w:right="215"/>
              <w:jc w:val="center"/>
              <w:rPr>
                <w:rFonts w:ascii="宋体" w:hAnsi="宋体" w:cs="宋体"/>
                <w:szCs w:val="21"/>
              </w:rPr>
            </w:pPr>
            <w:r>
              <w:rPr>
                <w:rFonts w:hint="eastAsia" w:ascii="宋体" w:hAnsi="宋体" w:cs="宋体"/>
                <w:szCs w:val="21"/>
              </w:rPr>
              <w:t>证号</w:t>
            </w:r>
          </w:p>
        </w:tc>
        <w:tc>
          <w:tcPr>
            <w:tcW w:w="945" w:type="dxa"/>
            <w:vAlign w:val="center"/>
          </w:tcPr>
          <w:p>
            <w:pPr>
              <w:autoSpaceDE w:val="0"/>
              <w:autoSpaceDN w:val="0"/>
              <w:adjustRightInd w:val="0"/>
              <w:spacing w:line="360" w:lineRule="auto"/>
              <w:ind w:right="215"/>
              <w:jc w:val="center"/>
              <w:rPr>
                <w:rFonts w:ascii="宋体" w:hAnsi="宋体" w:cs="宋体"/>
                <w:szCs w:val="21"/>
              </w:rPr>
            </w:pPr>
            <w:r>
              <w:rPr>
                <w:rFonts w:hint="eastAsia" w:ascii="宋体" w:hAnsi="宋体" w:cs="宋体"/>
                <w:szCs w:val="21"/>
              </w:rPr>
              <w:t>专业</w:t>
            </w:r>
          </w:p>
        </w:tc>
        <w:tc>
          <w:tcPr>
            <w:tcW w:w="1470" w:type="dxa"/>
            <w:vAlign w:val="center"/>
          </w:tcPr>
          <w:p>
            <w:pPr>
              <w:autoSpaceDE w:val="0"/>
              <w:autoSpaceDN w:val="0"/>
              <w:adjustRightInd w:val="0"/>
              <w:spacing w:line="360" w:lineRule="auto"/>
              <w:ind w:right="215"/>
              <w:jc w:val="center"/>
              <w:rPr>
                <w:rFonts w:ascii="宋体" w:hAnsi="宋体" w:cs="宋体"/>
                <w:szCs w:val="21"/>
              </w:rPr>
            </w:pPr>
            <w:r>
              <w:rPr>
                <w:rFonts w:hint="eastAsia" w:ascii="宋体" w:hAnsi="宋体" w:cs="宋体"/>
                <w:szCs w:val="21"/>
              </w:rPr>
              <w:t>养老保险</w:t>
            </w:r>
          </w:p>
        </w:tc>
        <w:tc>
          <w:tcPr>
            <w:tcW w:w="1036" w:type="dxa"/>
            <w:vAlign w:val="center"/>
          </w:tcPr>
          <w:p>
            <w:pPr>
              <w:autoSpaceDE w:val="0"/>
              <w:autoSpaceDN w:val="0"/>
              <w:adjustRightInd w:val="0"/>
              <w:spacing w:line="360" w:lineRule="auto"/>
              <w:ind w:right="215"/>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914" w:type="dxa"/>
          </w:tcPr>
          <w:p>
            <w:pPr>
              <w:autoSpaceDE w:val="0"/>
              <w:autoSpaceDN w:val="0"/>
              <w:adjustRightInd w:val="0"/>
              <w:spacing w:line="360" w:lineRule="auto"/>
              <w:ind w:right="215"/>
              <w:jc w:val="center"/>
              <w:rPr>
                <w:rFonts w:ascii="宋体" w:hAnsi="宋体" w:cs="宋体"/>
                <w:szCs w:val="21"/>
              </w:rPr>
            </w:pPr>
          </w:p>
        </w:tc>
        <w:tc>
          <w:tcPr>
            <w:tcW w:w="914" w:type="dxa"/>
          </w:tcPr>
          <w:p>
            <w:pPr>
              <w:autoSpaceDE w:val="0"/>
              <w:autoSpaceDN w:val="0"/>
              <w:adjustRightInd w:val="0"/>
              <w:spacing w:line="360" w:lineRule="auto"/>
              <w:ind w:right="215"/>
              <w:jc w:val="center"/>
              <w:rPr>
                <w:rFonts w:ascii="宋体" w:hAnsi="宋体" w:cs="宋体"/>
                <w:szCs w:val="21"/>
              </w:rPr>
            </w:pPr>
          </w:p>
        </w:tc>
        <w:tc>
          <w:tcPr>
            <w:tcW w:w="1405" w:type="dxa"/>
          </w:tcPr>
          <w:p>
            <w:pPr>
              <w:autoSpaceDE w:val="0"/>
              <w:autoSpaceDN w:val="0"/>
              <w:adjustRightInd w:val="0"/>
              <w:spacing w:line="360" w:lineRule="auto"/>
              <w:ind w:right="215"/>
              <w:jc w:val="center"/>
              <w:rPr>
                <w:rFonts w:ascii="宋体" w:hAnsi="宋体" w:cs="宋体"/>
                <w:szCs w:val="21"/>
              </w:rPr>
            </w:pPr>
          </w:p>
        </w:tc>
        <w:tc>
          <w:tcPr>
            <w:tcW w:w="945" w:type="dxa"/>
          </w:tcPr>
          <w:p>
            <w:pPr>
              <w:autoSpaceDE w:val="0"/>
              <w:autoSpaceDN w:val="0"/>
              <w:adjustRightInd w:val="0"/>
              <w:spacing w:line="360" w:lineRule="auto"/>
              <w:ind w:right="215"/>
              <w:jc w:val="center"/>
              <w:rPr>
                <w:rFonts w:ascii="宋体" w:hAnsi="宋体" w:cs="宋体"/>
                <w:szCs w:val="21"/>
              </w:rPr>
            </w:pPr>
          </w:p>
        </w:tc>
        <w:tc>
          <w:tcPr>
            <w:tcW w:w="945" w:type="dxa"/>
          </w:tcPr>
          <w:p>
            <w:pPr>
              <w:autoSpaceDE w:val="0"/>
              <w:autoSpaceDN w:val="0"/>
              <w:adjustRightInd w:val="0"/>
              <w:spacing w:line="360" w:lineRule="auto"/>
              <w:ind w:right="215"/>
              <w:jc w:val="center"/>
              <w:rPr>
                <w:rFonts w:ascii="宋体" w:hAnsi="宋体" w:cs="宋体"/>
                <w:szCs w:val="21"/>
              </w:rPr>
            </w:pPr>
          </w:p>
        </w:tc>
        <w:tc>
          <w:tcPr>
            <w:tcW w:w="945" w:type="dxa"/>
          </w:tcPr>
          <w:p>
            <w:pPr>
              <w:autoSpaceDE w:val="0"/>
              <w:autoSpaceDN w:val="0"/>
              <w:adjustRightInd w:val="0"/>
              <w:spacing w:line="360" w:lineRule="auto"/>
              <w:ind w:right="215"/>
              <w:jc w:val="center"/>
              <w:rPr>
                <w:rFonts w:ascii="宋体" w:hAnsi="宋体" w:cs="宋体"/>
                <w:szCs w:val="21"/>
              </w:rPr>
            </w:pPr>
          </w:p>
        </w:tc>
        <w:tc>
          <w:tcPr>
            <w:tcW w:w="1470" w:type="dxa"/>
          </w:tcPr>
          <w:p>
            <w:pPr>
              <w:autoSpaceDE w:val="0"/>
              <w:autoSpaceDN w:val="0"/>
              <w:adjustRightInd w:val="0"/>
              <w:spacing w:line="360" w:lineRule="auto"/>
              <w:ind w:right="215"/>
              <w:jc w:val="center"/>
              <w:rPr>
                <w:rFonts w:ascii="宋体" w:hAnsi="宋体" w:cs="宋体"/>
                <w:szCs w:val="21"/>
              </w:rPr>
            </w:pPr>
          </w:p>
        </w:tc>
        <w:tc>
          <w:tcPr>
            <w:tcW w:w="1036" w:type="dxa"/>
          </w:tcPr>
          <w:p>
            <w:pPr>
              <w:autoSpaceDE w:val="0"/>
              <w:autoSpaceDN w:val="0"/>
              <w:adjustRightInd w:val="0"/>
              <w:spacing w:line="360" w:lineRule="auto"/>
              <w:ind w:right="215"/>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14" w:type="dxa"/>
          </w:tcPr>
          <w:p>
            <w:pPr>
              <w:autoSpaceDE w:val="0"/>
              <w:autoSpaceDN w:val="0"/>
              <w:adjustRightInd w:val="0"/>
              <w:spacing w:line="360" w:lineRule="auto"/>
              <w:ind w:right="215"/>
              <w:jc w:val="center"/>
              <w:rPr>
                <w:rFonts w:ascii="宋体" w:hAnsi="宋体" w:cs="宋体"/>
                <w:sz w:val="24"/>
              </w:rPr>
            </w:pPr>
            <w:r>
              <w:rPr>
                <w:rFonts w:hint="eastAsia" w:ascii="宋体" w:hAnsi="宋体" w:cs="宋体"/>
                <w:sz w:val="24"/>
              </w:rPr>
              <w:t>……</w:t>
            </w:r>
          </w:p>
        </w:tc>
        <w:tc>
          <w:tcPr>
            <w:tcW w:w="914" w:type="dxa"/>
          </w:tcPr>
          <w:p>
            <w:pPr>
              <w:autoSpaceDE w:val="0"/>
              <w:autoSpaceDN w:val="0"/>
              <w:adjustRightInd w:val="0"/>
              <w:spacing w:line="360" w:lineRule="auto"/>
              <w:ind w:right="215"/>
              <w:jc w:val="center"/>
              <w:rPr>
                <w:rFonts w:ascii="宋体" w:hAnsi="宋体" w:cs="宋体"/>
                <w:sz w:val="24"/>
              </w:rPr>
            </w:pPr>
          </w:p>
        </w:tc>
        <w:tc>
          <w:tcPr>
            <w:tcW w:w="140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945" w:type="dxa"/>
          </w:tcPr>
          <w:p>
            <w:pPr>
              <w:autoSpaceDE w:val="0"/>
              <w:autoSpaceDN w:val="0"/>
              <w:adjustRightInd w:val="0"/>
              <w:spacing w:line="360" w:lineRule="auto"/>
              <w:ind w:right="215"/>
              <w:jc w:val="center"/>
              <w:rPr>
                <w:rFonts w:ascii="宋体" w:hAnsi="宋体" w:cs="宋体"/>
                <w:sz w:val="24"/>
              </w:rPr>
            </w:pPr>
          </w:p>
        </w:tc>
        <w:tc>
          <w:tcPr>
            <w:tcW w:w="1470" w:type="dxa"/>
          </w:tcPr>
          <w:p>
            <w:pPr>
              <w:autoSpaceDE w:val="0"/>
              <w:autoSpaceDN w:val="0"/>
              <w:adjustRightInd w:val="0"/>
              <w:spacing w:line="360" w:lineRule="auto"/>
              <w:ind w:right="215"/>
              <w:jc w:val="center"/>
              <w:rPr>
                <w:rFonts w:ascii="宋体" w:hAnsi="宋体" w:cs="宋体"/>
                <w:sz w:val="24"/>
              </w:rPr>
            </w:pPr>
          </w:p>
        </w:tc>
        <w:tc>
          <w:tcPr>
            <w:tcW w:w="1036" w:type="dxa"/>
          </w:tcPr>
          <w:p>
            <w:pPr>
              <w:autoSpaceDE w:val="0"/>
              <w:autoSpaceDN w:val="0"/>
              <w:adjustRightInd w:val="0"/>
              <w:spacing w:line="360" w:lineRule="auto"/>
              <w:ind w:right="215"/>
              <w:jc w:val="center"/>
              <w:rPr>
                <w:rFonts w:ascii="宋体" w:hAnsi="宋体" w:cs="宋体"/>
                <w:sz w:val="24"/>
              </w:rPr>
            </w:pPr>
          </w:p>
        </w:tc>
      </w:tr>
    </w:tbl>
    <w:p>
      <w:pPr>
        <w:autoSpaceDE w:val="0"/>
        <w:autoSpaceDN w:val="0"/>
        <w:adjustRightInd w:val="0"/>
        <w:spacing w:line="360" w:lineRule="auto"/>
        <w:ind w:right="215"/>
        <w:rPr>
          <w:rFonts w:ascii="宋体" w:hAnsi="宋体" w:cs="宋体"/>
        </w:rPr>
      </w:pPr>
    </w:p>
    <w:p>
      <w:pPr>
        <w:autoSpaceDE w:val="0"/>
        <w:autoSpaceDN w:val="0"/>
        <w:adjustRightInd w:val="0"/>
        <w:spacing w:line="360" w:lineRule="auto"/>
        <w:ind w:right="215"/>
        <w:jc w:val="center"/>
        <w:rPr>
          <w:rFonts w:ascii="宋体" w:hAnsi="宋体" w:cs="宋体"/>
          <w:b/>
          <w:sz w:val="32"/>
          <w:szCs w:val="32"/>
        </w:rPr>
      </w:pPr>
      <w:r>
        <w:rPr>
          <w:rFonts w:hint="eastAsia" w:ascii="宋体" w:hAnsi="宋体" w:cs="宋体"/>
          <w:b/>
          <w:bCs/>
          <w:sz w:val="32"/>
          <w:szCs w:val="32"/>
          <w:lang w:val="zh-CN"/>
        </w:rPr>
        <w:br w:type="page"/>
      </w:r>
      <w:r>
        <w:rPr>
          <w:rFonts w:hint="eastAsia" w:hAnsi="宋体" w:cs="宋体"/>
          <w:b/>
          <w:sz w:val="32"/>
          <w:szCs w:val="32"/>
        </w:rPr>
        <w:t>2、</w:t>
      </w:r>
      <w:r>
        <w:rPr>
          <w:rFonts w:hint="eastAsia" w:ascii="宋体" w:hAnsi="宋体" w:cs="宋体"/>
          <w:b/>
          <w:sz w:val="32"/>
          <w:szCs w:val="32"/>
        </w:rPr>
        <w:t>主要人员简历表</w:t>
      </w:r>
    </w:p>
    <w:p>
      <w:pPr>
        <w:spacing w:line="480" w:lineRule="auto"/>
        <w:rPr>
          <w:rFonts w:ascii="宋体" w:hAnsi="宋体" w:cs="宋体"/>
          <w:b/>
          <w:bCs/>
          <w:sz w:val="28"/>
          <w:szCs w:val="28"/>
        </w:rPr>
      </w:pPr>
      <w:r>
        <w:rPr>
          <w:rFonts w:hint="eastAsia" w:ascii="宋体" w:hAnsi="宋体" w:cs="宋体"/>
          <w:b/>
          <w:bCs/>
          <w:sz w:val="28"/>
          <w:szCs w:val="28"/>
        </w:rPr>
        <w:t>（1）项目负责人简历表</w:t>
      </w:r>
    </w:p>
    <w:tbl>
      <w:tblPr>
        <w:tblStyle w:val="11"/>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hAnsi="宋体" w:cs="宋体"/>
                <w:szCs w:val="21"/>
              </w:rPr>
            </w:pPr>
            <w:r>
              <w:rPr>
                <w:rFonts w:hint="eastAsia" w:ascii="宋体" w:hAnsi="宋体" w:cs="宋体"/>
                <w:szCs w:val="21"/>
              </w:rPr>
              <w:t>姓  名</w:t>
            </w:r>
          </w:p>
        </w:tc>
        <w:tc>
          <w:tcPr>
            <w:tcW w:w="1130" w:type="dxa"/>
            <w:vAlign w:val="center"/>
          </w:tcPr>
          <w:p>
            <w:pPr>
              <w:jc w:val="center"/>
              <w:rPr>
                <w:rFonts w:ascii="宋体" w:hAnsi="宋体" w:cs="宋体"/>
                <w:szCs w:val="21"/>
              </w:rPr>
            </w:pPr>
          </w:p>
        </w:tc>
        <w:tc>
          <w:tcPr>
            <w:tcW w:w="1236" w:type="dxa"/>
            <w:vAlign w:val="center"/>
          </w:tcPr>
          <w:p>
            <w:pPr>
              <w:jc w:val="center"/>
              <w:rPr>
                <w:rFonts w:ascii="宋体" w:hAnsi="宋体" w:cs="宋体"/>
                <w:szCs w:val="21"/>
              </w:rPr>
            </w:pPr>
            <w:r>
              <w:rPr>
                <w:rFonts w:hint="eastAsia" w:ascii="宋体" w:hAnsi="宋体" w:cs="宋体"/>
                <w:szCs w:val="21"/>
              </w:rPr>
              <w:t>年  龄</w:t>
            </w:r>
          </w:p>
        </w:tc>
        <w:tc>
          <w:tcPr>
            <w:tcW w:w="1392" w:type="dxa"/>
            <w:vAlign w:val="center"/>
          </w:tcPr>
          <w:p>
            <w:pPr>
              <w:jc w:val="center"/>
              <w:rPr>
                <w:rFonts w:ascii="宋体" w:hAnsi="宋体" w:cs="宋体"/>
                <w:szCs w:val="21"/>
              </w:rPr>
            </w:pPr>
          </w:p>
        </w:tc>
        <w:tc>
          <w:tcPr>
            <w:tcW w:w="2011" w:type="dxa"/>
            <w:vAlign w:val="center"/>
          </w:tcPr>
          <w:p>
            <w:pPr>
              <w:jc w:val="center"/>
              <w:rPr>
                <w:rFonts w:ascii="宋体" w:hAnsi="宋体" w:cs="宋体"/>
                <w:szCs w:val="21"/>
              </w:rPr>
            </w:pPr>
            <w:r>
              <w:rPr>
                <w:rFonts w:hint="eastAsia" w:ascii="宋体" w:hAnsi="宋体" w:cs="宋体"/>
                <w:szCs w:val="21"/>
              </w:rPr>
              <w:t>学历</w:t>
            </w:r>
          </w:p>
        </w:tc>
        <w:tc>
          <w:tcPr>
            <w:tcW w:w="23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hAnsi="宋体" w:cs="宋体"/>
                <w:szCs w:val="21"/>
              </w:rPr>
            </w:pPr>
            <w:r>
              <w:rPr>
                <w:rFonts w:hint="eastAsia" w:ascii="宋体" w:hAnsi="宋体" w:cs="宋体"/>
                <w:szCs w:val="21"/>
              </w:rPr>
              <w:t>职  称</w:t>
            </w:r>
          </w:p>
        </w:tc>
        <w:tc>
          <w:tcPr>
            <w:tcW w:w="1130" w:type="dxa"/>
            <w:vAlign w:val="center"/>
          </w:tcPr>
          <w:p>
            <w:pPr>
              <w:jc w:val="center"/>
              <w:rPr>
                <w:rFonts w:ascii="宋体" w:hAnsi="宋体" w:cs="宋体"/>
                <w:szCs w:val="21"/>
              </w:rPr>
            </w:pPr>
          </w:p>
        </w:tc>
        <w:tc>
          <w:tcPr>
            <w:tcW w:w="1236" w:type="dxa"/>
            <w:vAlign w:val="center"/>
          </w:tcPr>
          <w:p>
            <w:pPr>
              <w:jc w:val="center"/>
              <w:rPr>
                <w:rFonts w:ascii="宋体" w:hAnsi="宋体" w:cs="宋体"/>
                <w:szCs w:val="21"/>
              </w:rPr>
            </w:pPr>
            <w:r>
              <w:rPr>
                <w:rFonts w:hint="eastAsia" w:ascii="宋体" w:hAnsi="宋体" w:cs="宋体"/>
                <w:szCs w:val="21"/>
              </w:rPr>
              <w:t>职  务</w:t>
            </w:r>
          </w:p>
        </w:tc>
        <w:tc>
          <w:tcPr>
            <w:tcW w:w="1392" w:type="dxa"/>
            <w:vAlign w:val="center"/>
          </w:tcPr>
          <w:p>
            <w:pPr>
              <w:jc w:val="center"/>
              <w:rPr>
                <w:rFonts w:ascii="宋体" w:hAnsi="宋体" w:cs="宋体"/>
                <w:szCs w:val="21"/>
              </w:rPr>
            </w:pPr>
          </w:p>
        </w:tc>
        <w:tc>
          <w:tcPr>
            <w:tcW w:w="2011" w:type="dxa"/>
            <w:vAlign w:val="center"/>
          </w:tcPr>
          <w:p>
            <w:pPr>
              <w:jc w:val="center"/>
              <w:rPr>
                <w:rFonts w:ascii="宋体" w:hAnsi="宋体" w:cs="宋体"/>
                <w:szCs w:val="21"/>
              </w:rPr>
            </w:pPr>
            <w:r>
              <w:rPr>
                <w:rFonts w:hint="eastAsia" w:ascii="宋体" w:hAnsi="宋体" w:cs="宋体"/>
                <w:szCs w:val="21"/>
              </w:rPr>
              <w:t>拟在本工程任职</w:t>
            </w:r>
          </w:p>
        </w:tc>
        <w:tc>
          <w:tcPr>
            <w:tcW w:w="2319" w:type="dxa"/>
            <w:vAlign w:val="center"/>
          </w:tcPr>
          <w:p>
            <w:pPr>
              <w:jc w:val="center"/>
              <w:rPr>
                <w:rFonts w:ascii="宋体" w:hAnsi="宋体" w:cs="宋体"/>
                <w:szCs w:val="21"/>
              </w:rPr>
            </w:pPr>
            <w:r>
              <w:rPr>
                <w:rFonts w:hint="eastAsia" w:ascii="宋体" w:hAnsi="宋体" w:cs="宋体"/>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ascii="宋体" w:hAnsi="宋体" w:cs="宋体"/>
                <w:szCs w:val="21"/>
              </w:rPr>
            </w:pPr>
            <w:r>
              <w:rPr>
                <w:rFonts w:hint="eastAsia" w:ascii="宋体" w:hAnsi="宋体" w:cs="宋体"/>
                <w:szCs w:val="21"/>
              </w:rPr>
              <w:t>注册建造师执业资格等级</w:t>
            </w:r>
          </w:p>
        </w:tc>
        <w:tc>
          <w:tcPr>
            <w:tcW w:w="1392" w:type="dxa"/>
            <w:vAlign w:val="center"/>
          </w:tcPr>
          <w:p>
            <w:pPr>
              <w:jc w:val="center"/>
              <w:rPr>
                <w:rFonts w:ascii="宋体" w:hAnsi="宋体" w:cs="宋体"/>
                <w:szCs w:val="21"/>
              </w:rPr>
            </w:pPr>
            <w:r>
              <w:rPr>
                <w:rFonts w:hint="eastAsia" w:ascii="宋体" w:hAnsi="宋体" w:cs="宋体"/>
                <w:szCs w:val="21"/>
              </w:rPr>
              <w:t xml:space="preserve">      级</w:t>
            </w:r>
          </w:p>
        </w:tc>
        <w:tc>
          <w:tcPr>
            <w:tcW w:w="2011" w:type="dxa"/>
            <w:vAlign w:val="center"/>
          </w:tcPr>
          <w:p>
            <w:pPr>
              <w:jc w:val="center"/>
              <w:rPr>
                <w:rFonts w:ascii="宋体" w:hAnsi="宋体" w:cs="宋体"/>
                <w:szCs w:val="21"/>
              </w:rPr>
            </w:pPr>
            <w:r>
              <w:rPr>
                <w:rFonts w:hint="eastAsia" w:ascii="宋体" w:hAnsi="宋体" w:cs="宋体"/>
                <w:szCs w:val="21"/>
              </w:rPr>
              <w:t>建造师专业</w:t>
            </w:r>
          </w:p>
        </w:tc>
        <w:tc>
          <w:tcPr>
            <w:tcW w:w="23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558" w:type="dxa"/>
            <w:gridSpan w:val="3"/>
            <w:vAlign w:val="center"/>
          </w:tcPr>
          <w:p>
            <w:pPr>
              <w:jc w:val="center"/>
              <w:rPr>
                <w:rFonts w:ascii="宋体" w:hAnsi="宋体" w:cs="宋体"/>
                <w:szCs w:val="21"/>
              </w:rPr>
            </w:pPr>
            <w:r>
              <w:rPr>
                <w:rFonts w:hint="eastAsia" w:ascii="宋体" w:hAnsi="宋体" w:cs="宋体"/>
                <w:szCs w:val="21"/>
              </w:rPr>
              <w:t>安全生产考核合格证书</w:t>
            </w:r>
          </w:p>
        </w:tc>
        <w:tc>
          <w:tcPr>
            <w:tcW w:w="5722" w:type="dxa"/>
            <w:gridSpan w:val="3"/>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192" w:type="dxa"/>
            <w:vAlign w:val="center"/>
          </w:tcPr>
          <w:p>
            <w:pPr>
              <w:jc w:val="center"/>
              <w:rPr>
                <w:rFonts w:ascii="宋体" w:hAnsi="宋体" w:cs="宋体"/>
                <w:szCs w:val="21"/>
              </w:rPr>
            </w:pPr>
            <w:r>
              <w:rPr>
                <w:rFonts w:hint="eastAsia" w:ascii="宋体" w:hAnsi="宋体" w:cs="宋体"/>
                <w:szCs w:val="21"/>
              </w:rPr>
              <w:t>毕业学校</w:t>
            </w:r>
          </w:p>
        </w:tc>
        <w:tc>
          <w:tcPr>
            <w:tcW w:w="8088" w:type="dxa"/>
            <w:gridSpan w:val="5"/>
            <w:vAlign w:val="center"/>
          </w:tcPr>
          <w:p>
            <w:pPr>
              <w:ind w:firstLine="840" w:firstLineChars="400"/>
              <w:rPr>
                <w:rFonts w:ascii="宋体" w:hAnsi="宋体" w:cs="宋体"/>
                <w:szCs w:val="21"/>
              </w:rPr>
            </w:pPr>
            <w:r>
              <w:rPr>
                <w:rFonts w:hint="eastAsia" w:ascii="宋体" w:hAnsi="宋体" w:cs="宋体"/>
                <w:szCs w:val="21"/>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9280" w:type="dxa"/>
            <w:gridSpan w:val="6"/>
            <w:vAlign w:val="center"/>
          </w:tcPr>
          <w:p>
            <w:pPr>
              <w:jc w:val="center"/>
              <w:rPr>
                <w:rFonts w:ascii="宋体" w:hAnsi="宋体" w:cs="宋体"/>
                <w:szCs w:val="21"/>
              </w:rPr>
            </w:pPr>
            <w:r>
              <w:rPr>
                <w:rFonts w:hint="eastAsia" w:ascii="宋体" w:hAnsi="宋体"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hAnsi="宋体" w:cs="宋体"/>
                <w:szCs w:val="21"/>
              </w:rPr>
            </w:pPr>
            <w:r>
              <w:rPr>
                <w:rFonts w:hint="eastAsia" w:ascii="宋体" w:hAnsi="宋体" w:cs="宋体"/>
                <w:szCs w:val="21"/>
              </w:rPr>
              <w:t>时  间</w:t>
            </w:r>
          </w:p>
        </w:tc>
        <w:tc>
          <w:tcPr>
            <w:tcW w:w="3758" w:type="dxa"/>
            <w:gridSpan w:val="3"/>
            <w:vAlign w:val="center"/>
          </w:tcPr>
          <w:p>
            <w:pPr>
              <w:jc w:val="center"/>
              <w:rPr>
                <w:rFonts w:ascii="宋体" w:hAnsi="宋体" w:cs="宋体"/>
                <w:szCs w:val="21"/>
              </w:rPr>
            </w:pPr>
            <w:r>
              <w:rPr>
                <w:rFonts w:hint="eastAsia" w:ascii="宋体" w:hAnsi="宋体" w:cs="宋体"/>
                <w:szCs w:val="21"/>
              </w:rPr>
              <w:t>参加过的类似项目名称</w:t>
            </w:r>
          </w:p>
        </w:tc>
        <w:tc>
          <w:tcPr>
            <w:tcW w:w="2011" w:type="dxa"/>
            <w:vAlign w:val="center"/>
          </w:tcPr>
          <w:p>
            <w:pPr>
              <w:jc w:val="center"/>
              <w:rPr>
                <w:rFonts w:ascii="宋体" w:hAnsi="宋体" w:cs="宋体"/>
                <w:szCs w:val="21"/>
              </w:rPr>
            </w:pPr>
            <w:r>
              <w:rPr>
                <w:rFonts w:hint="eastAsia" w:ascii="宋体" w:hAnsi="宋体" w:cs="宋体"/>
                <w:szCs w:val="21"/>
              </w:rPr>
              <w:t>工程概况说明</w:t>
            </w:r>
          </w:p>
        </w:tc>
        <w:tc>
          <w:tcPr>
            <w:tcW w:w="2319" w:type="dxa"/>
            <w:vAlign w:val="center"/>
          </w:tcPr>
          <w:p>
            <w:pPr>
              <w:jc w:val="center"/>
              <w:rPr>
                <w:rFonts w:ascii="宋体" w:hAnsi="宋体" w:cs="宋体"/>
                <w:szCs w:val="21"/>
              </w:rPr>
            </w:pPr>
            <w:r>
              <w:rPr>
                <w:rFonts w:hint="eastAsia" w:ascii="宋体" w:hAnsi="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hAnsi="宋体" w:cs="宋体"/>
                <w:szCs w:val="21"/>
              </w:rPr>
            </w:pPr>
          </w:p>
        </w:tc>
        <w:tc>
          <w:tcPr>
            <w:tcW w:w="3758" w:type="dxa"/>
            <w:gridSpan w:val="3"/>
            <w:vAlign w:val="center"/>
          </w:tcPr>
          <w:p>
            <w:pPr>
              <w:jc w:val="center"/>
              <w:rPr>
                <w:rFonts w:ascii="宋体" w:hAnsi="宋体" w:cs="宋体"/>
                <w:szCs w:val="21"/>
              </w:rPr>
            </w:pPr>
          </w:p>
        </w:tc>
        <w:tc>
          <w:tcPr>
            <w:tcW w:w="2011" w:type="dxa"/>
            <w:vAlign w:val="center"/>
          </w:tcPr>
          <w:p>
            <w:pPr>
              <w:jc w:val="center"/>
              <w:rPr>
                <w:rFonts w:ascii="宋体" w:hAnsi="宋体" w:cs="宋体"/>
                <w:szCs w:val="21"/>
              </w:rPr>
            </w:pPr>
          </w:p>
        </w:tc>
        <w:tc>
          <w:tcPr>
            <w:tcW w:w="23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192" w:type="dxa"/>
            <w:vAlign w:val="center"/>
          </w:tcPr>
          <w:p>
            <w:pPr>
              <w:jc w:val="center"/>
              <w:rPr>
                <w:rFonts w:ascii="宋体" w:hAnsi="宋体" w:cs="宋体"/>
                <w:szCs w:val="21"/>
              </w:rPr>
            </w:pPr>
          </w:p>
        </w:tc>
        <w:tc>
          <w:tcPr>
            <w:tcW w:w="3758" w:type="dxa"/>
            <w:gridSpan w:val="3"/>
            <w:vAlign w:val="center"/>
          </w:tcPr>
          <w:p>
            <w:pPr>
              <w:jc w:val="center"/>
              <w:rPr>
                <w:rFonts w:ascii="宋体" w:hAnsi="宋体" w:cs="宋体"/>
                <w:szCs w:val="21"/>
              </w:rPr>
            </w:pPr>
          </w:p>
        </w:tc>
        <w:tc>
          <w:tcPr>
            <w:tcW w:w="2011" w:type="dxa"/>
            <w:vAlign w:val="center"/>
          </w:tcPr>
          <w:p>
            <w:pPr>
              <w:jc w:val="center"/>
              <w:rPr>
                <w:rFonts w:ascii="宋体" w:hAnsi="宋体" w:cs="宋体"/>
                <w:szCs w:val="21"/>
              </w:rPr>
            </w:pPr>
          </w:p>
        </w:tc>
        <w:tc>
          <w:tcPr>
            <w:tcW w:w="2319"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1192" w:type="dxa"/>
            <w:vAlign w:val="center"/>
          </w:tcPr>
          <w:p>
            <w:pPr>
              <w:jc w:val="center"/>
              <w:rPr>
                <w:rFonts w:ascii="宋体" w:hAnsi="宋体" w:cs="宋体"/>
                <w:szCs w:val="21"/>
              </w:rPr>
            </w:pPr>
          </w:p>
        </w:tc>
        <w:tc>
          <w:tcPr>
            <w:tcW w:w="3758" w:type="dxa"/>
            <w:gridSpan w:val="3"/>
            <w:vAlign w:val="center"/>
          </w:tcPr>
          <w:p>
            <w:pPr>
              <w:jc w:val="center"/>
              <w:rPr>
                <w:rFonts w:ascii="宋体" w:hAnsi="宋体" w:cs="宋体"/>
                <w:szCs w:val="21"/>
              </w:rPr>
            </w:pPr>
          </w:p>
        </w:tc>
        <w:tc>
          <w:tcPr>
            <w:tcW w:w="2011" w:type="dxa"/>
            <w:vAlign w:val="center"/>
          </w:tcPr>
          <w:p>
            <w:pPr>
              <w:jc w:val="center"/>
              <w:rPr>
                <w:rFonts w:ascii="宋体" w:hAnsi="宋体" w:cs="宋体"/>
                <w:szCs w:val="21"/>
              </w:rPr>
            </w:pPr>
          </w:p>
        </w:tc>
        <w:tc>
          <w:tcPr>
            <w:tcW w:w="2319" w:type="dxa"/>
            <w:vAlign w:val="center"/>
          </w:tcPr>
          <w:p>
            <w:pPr>
              <w:jc w:val="center"/>
              <w:rPr>
                <w:rFonts w:ascii="宋体" w:hAnsi="宋体" w:cs="宋体"/>
                <w:szCs w:val="21"/>
              </w:rPr>
            </w:pPr>
          </w:p>
        </w:tc>
      </w:tr>
    </w:tbl>
    <w:p>
      <w:pPr>
        <w:pStyle w:val="15"/>
        <w:rPr>
          <w:rFonts w:cs="宋体"/>
          <w:lang w:val="zh-CN"/>
        </w:rPr>
      </w:pPr>
      <w:r>
        <w:rPr>
          <w:rFonts w:hint="eastAsia" w:cs="宋体"/>
          <w:lang w:val="zh-CN"/>
        </w:rPr>
        <w:t>后附：项目负责人身份证、执业资格证书、注册资格证、安全生产考核合格证及劳动合同复印件并加盖公章。</w:t>
      </w:r>
    </w:p>
    <w:p>
      <w:pPr>
        <w:spacing w:line="480" w:lineRule="auto"/>
        <w:jc w:val="left"/>
        <w:rPr>
          <w:rFonts w:ascii="宋体" w:hAnsi="宋体" w:cs="宋体"/>
          <w:szCs w:val="21"/>
        </w:rPr>
      </w:pPr>
      <w:r>
        <w:rPr>
          <w:rFonts w:hint="eastAsia" w:ascii="宋体" w:hAnsi="宋体" w:cs="宋体"/>
          <w:szCs w:val="21"/>
          <w:lang w:val="zh-CN"/>
        </w:rPr>
        <w:br w:type="page"/>
      </w:r>
      <w:r>
        <w:rPr>
          <w:rFonts w:hint="eastAsia" w:ascii="宋体" w:hAnsi="宋体" w:cs="宋体"/>
          <w:b/>
          <w:bCs/>
          <w:sz w:val="28"/>
          <w:szCs w:val="28"/>
        </w:rPr>
        <w:t>（2）主要项目管理人员简历表</w:t>
      </w:r>
    </w:p>
    <w:tbl>
      <w:tblPr>
        <w:tblStyle w:val="11"/>
        <w:tblW w:w="86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866"/>
        <w:gridCol w:w="2262"/>
        <w:gridCol w:w="1338"/>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8684" w:type="dxa"/>
            <w:gridSpan w:val="5"/>
            <w:tcBorders>
              <w:bottom w:val="single" w:color="auto" w:sz="4" w:space="0"/>
            </w:tcBorders>
            <w:vAlign w:val="center"/>
          </w:tcPr>
          <w:p>
            <w:pPr>
              <w:spacing w:line="640" w:lineRule="exact"/>
              <w:rPr>
                <w:rFonts w:ascii="宋体" w:hAnsi="宋体" w:cs="宋体"/>
                <w:szCs w:val="21"/>
              </w:rPr>
            </w:pPr>
            <w:r>
              <w:rPr>
                <w:rFonts w:hint="eastAsia" w:ascii="宋体" w:hAnsi="宋体" w:cs="宋体"/>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964" w:type="dxa"/>
            <w:gridSpan w:val="2"/>
            <w:tcBorders>
              <w:left w:val="single" w:color="auto" w:sz="4" w:space="0"/>
            </w:tcBorders>
            <w:vAlign w:val="center"/>
          </w:tcPr>
          <w:p>
            <w:pPr>
              <w:jc w:val="center"/>
              <w:rPr>
                <w:rFonts w:ascii="宋体" w:hAnsi="宋体" w:cs="宋体"/>
                <w:szCs w:val="21"/>
              </w:rPr>
            </w:pPr>
            <w:r>
              <w:rPr>
                <w:rFonts w:hint="eastAsia" w:ascii="宋体" w:hAnsi="宋体" w:cs="宋体"/>
                <w:szCs w:val="21"/>
              </w:rPr>
              <w:t>姓    名</w:t>
            </w:r>
          </w:p>
        </w:tc>
        <w:tc>
          <w:tcPr>
            <w:tcW w:w="2262" w:type="dxa"/>
            <w:tcBorders>
              <w:left w:val="single" w:color="auto" w:sz="4" w:space="0"/>
            </w:tcBorders>
            <w:vAlign w:val="center"/>
          </w:tcPr>
          <w:p>
            <w:pPr>
              <w:jc w:val="center"/>
              <w:rPr>
                <w:rFonts w:ascii="宋体" w:hAnsi="宋体" w:cs="宋体"/>
                <w:szCs w:val="21"/>
              </w:rPr>
            </w:pPr>
          </w:p>
        </w:tc>
        <w:tc>
          <w:tcPr>
            <w:tcW w:w="1338" w:type="dxa"/>
            <w:tcBorders>
              <w:left w:val="nil"/>
            </w:tcBorders>
            <w:vAlign w:val="center"/>
          </w:tcPr>
          <w:p>
            <w:pPr>
              <w:jc w:val="center"/>
              <w:rPr>
                <w:rFonts w:ascii="宋体" w:hAnsi="宋体" w:cs="宋体"/>
                <w:szCs w:val="21"/>
              </w:rPr>
            </w:pPr>
            <w:r>
              <w:rPr>
                <w:rFonts w:hint="eastAsia" w:ascii="宋体" w:hAnsi="宋体" w:cs="宋体"/>
                <w:szCs w:val="21"/>
              </w:rPr>
              <w:t>年    龄</w:t>
            </w:r>
          </w:p>
        </w:tc>
        <w:tc>
          <w:tcPr>
            <w:tcW w:w="3120" w:type="dxa"/>
            <w:tcBorders>
              <w:lef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964" w:type="dxa"/>
            <w:gridSpan w:val="2"/>
            <w:vAlign w:val="center"/>
          </w:tcPr>
          <w:p>
            <w:pPr>
              <w:jc w:val="center"/>
              <w:rPr>
                <w:rFonts w:ascii="宋体" w:hAnsi="宋体" w:cs="宋体"/>
                <w:szCs w:val="21"/>
              </w:rPr>
            </w:pPr>
            <w:r>
              <w:rPr>
                <w:rFonts w:hint="eastAsia" w:ascii="宋体" w:hAnsi="宋体" w:cs="宋体"/>
                <w:szCs w:val="21"/>
              </w:rPr>
              <w:t>性    别</w:t>
            </w:r>
          </w:p>
        </w:tc>
        <w:tc>
          <w:tcPr>
            <w:tcW w:w="2262" w:type="dxa"/>
            <w:vAlign w:val="center"/>
          </w:tcPr>
          <w:p>
            <w:pPr>
              <w:jc w:val="center"/>
              <w:rPr>
                <w:rFonts w:ascii="宋体" w:hAnsi="宋体" w:cs="宋体"/>
                <w:szCs w:val="21"/>
              </w:rPr>
            </w:pPr>
          </w:p>
        </w:tc>
        <w:tc>
          <w:tcPr>
            <w:tcW w:w="1338" w:type="dxa"/>
            <w:vAlign w:val="center"/>
          </w:tcPr>
          <w:p>
            <w:pPr>
              <w:jc w:val="center"/>
              <w:rPr>
                <w:rFonts w:ascii="宋体" w:hAnsi="宋体" w:cs="宋体"/>
                <w:szCs w:val="21"/>
              </w:rPr>
            </w:pPr>
            <w:r>
              <w:rPr>
                <w:rFonts w:hint="eastAsia" w:ascii="宋体" w:hAnsi="宋体" w:cs="宋体"/>
                <w:szCs w:val="21"/>
              </w:rPr>
              <w:t>毕业学校</w:t>
            </w:r>
          </w:p>
        </w:tc>
        <w:tc>
          <w:tcPr>
            <w:tcW w:w="31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964" w:type="dxa"/>
            <w:gridSpan w:val="2"/>
            <w:vAlign w:val="center"/>
          </w:tcPr>
          <w:p>
            <w:pPr>
              <w:jc w:val="center"/>
              <w:rPr>
                <w:rFonts w:ascii="宋体" w:hAnsi="宋体" w:cs="宋体"/>
                <w:szCs w:val="21"/>
              </w:rPr>
            </w:pPr>
            <w:r>
              <w:rPr>
                <w:rFonts w:hint="eastAsia" w:ascii="宋体" w:hAnsi="宋体" w:cs="宋体"/>
                <w:szCs w:val="21"/>
              </w:rPr>
              <w:t>学历和专业</w:t>
            </w:r>
          </w:p>
        </w:tc>
        <w:tc>
          <w:tcPr>
            <w:tcW w:w="2262" w:type="dxa"/>
            <w:vAlign w:val="center"/>
          </w:tcPr>
          <w:p>
            <w:pPr>
              <w:jc w:val="center"/>
              <w:rPr>
                <w:rFonts w:ascii="宋体" w:hAnsi="宋体" w:cs="宋体"/>
                <w:szCs w:val="21"/>
              </w:rPr>
            </w:pPr>
          </w:p>
        </w:tc>
        <w:tc>
          <w:tcPr>
            <w:tcW w:w="1338" w:type="dxa"/>
            <w:vAlign w:val="center"/>
          </w:tcPr>
          <w:p>
            <w:pPr>
              <w:jc w:val="center"/>
              <w:rPr>
                <w:rFonts w:ascii="宋体" w:hAnsi="宋体" w:cs="宋体"/>
                <w:szCs w:val="21"/>
              </w:rPr>
            </w:pPr>
            <w:r>
              <w:rPr>
                <w:rFonts w:hint="eastAsia" w:ascii="宋体" w:hAnsi="宋体" w:cs="宋体"/>
                <w:szCs w:val="21"/>
              </w:rPr>
              <w:t>毕业时间</w:t>
            </w:r>
          </w:p>
        </w:tc>
        <w:tc>
          <w:tcPr>
            <w:tcW w:w="31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964" w:type="dxa"/>
            <w:gridSpan w:val="2"/>
            <w:vAlign w:val="center"/>
          </w:tcPr>
          <w:p>
            <w:pPr>
              <w:jc w:val="center"/>
              <w:rPr>
                <w:rFonts w:ascii="宋体" w:hAnsi="宋体" w:cs="宋体"/>
                <w:szCs w:val="21"/>
              </w:rPr>
            </w:pPr>
            <w:r>
              <w:rPr>
                <w:rFonts w:hint="eastAsia" w:ascii="宋体" w:hAnsi="宋体" w:cs="宋体"/>
                <w:szCs w:val="21"/>
              </w:rPr>
              <w:t>拥有的执业资格</w:t>
            </w:r>
          </w:p>
        </w:tc>
        <w:tc>
          <w:tcPr>
            <w:tcW w:w="2262" w:type="dxa"/>
            <w:vAlign w:val="center"/>
          </w:tcPr>
          <w:p>
            <w:pPr>
              <w:jc w:val="center"/>
              <w:rPr>
                <w:rFonts w:ascii="宋体" w:hAnsi="宋体" w:cs="宋体"/>
                <w:szCs w:val="21"/>
              </w:rPr>
            </w:pPr>
          </w:p>
        </w:tc>
        <w:tc>
          <w:tcPr>
            <w:tcW w:w="1338" w:type="dxa"/>
            <w:vAlign w:val="center"/>
          </w:tcPr>
          <w:p>
            <w:pPr>
              <w:jc w:val="center"/>
              <w:rPr>
                <w:rFonts w:ascii="宋体" w:hAnsi="宋体" w:cs="宋体"/>
                <w:szCs w:val="21"/>
              </w:rPr>
            </w:pPr>
            <w:r>
              <w:rPr>
                <w:rFonts w:hint="eastAsia" w:ascii="宋体" w:hAnsi="宋体" w:cs="宋体"/>
                <w:szCs w:val="21"/>
              </w:rPr>
              <w:t>专业职称</w:t>
            </w:r>
          </w:p>
        </w:tc>
        <w:tc>
          <w:tcPr>
            <w:tcW w:w="31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1964" w:type="dxa"/>
            <w:gridSpan w:val="2"/>
            <w:vAlign w:val="center"/>
          </w:tcPr>
          <w:p>
            <w:pPr>
              <w:jc w:val="center"/>
              <w:rPr>
                <w:rFonts w:ascii="宋体" w:hAnsi="宋体" w:cs="宋体"/>
                <w:szCs w:val="21"/>
              </w:rPr>
            </w:pPr>
            <w:r>
              <w:rPr>
                <w:rFonts w:hint="eastAsia" w:ascii="宋体" w:hAnsi="宋体" w:cs="宋体"/>
                <w:szCs w:val="21"/>
              </w:rPr>
              <w:t>执业资格证书编号</w:t>
            </w:r>
          </w:p>
        </w:tc>
        <w:tc>
          <w:tcPr>
            <w:tcW w:w="2262" w:type="dxa"/>
            <w:vAlign w:val="center"/>
          </w:tcPr>
          <w:p>
            <w:pPr>
              <w:jc w:val="center"/>
              <w:rPr>
                <w:rFonts w:ascii="宋体" w:hAnsi="宋体" w:cs="宋体"/>
                <w:szCs w:val="21"/>
              </w:rPr>
            </w:pPr>
          </w:p>
        </w:tc>
        <w:tc>
          <w:tcPr>
            <w:tcW w:w="1338" w:type="dxa"/>
            <w:vAlign w:val="center"/>
          </w:tcPr>
          <w:p>
            <w:pPr>
              <w:jc w:val="center"/>
              <w:rPr>
                <w:rFonts w:ascii="宋体" w:hAnsi="宋体" w:cs="宋体"/>
                <w:szCs w:val="21"/>
              </w:rPr>
            </w:pPr>
            <w:r>
              <w:rPr>
                <w:rFonts w:hint="eastAsia" w:ascii="宋体" w:hAnsi="宋体" w:cs="宋体"/>
                <w:szCs w:val="21"/>
              </w:rPr>
              <w:t>工作年限</w:t>
            </w:r>
          </w:p>
        </w:tc>
        <w:tc>
          <w:tcPr>
            <w:tcW w:w="312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6" w:hRule="atLeast"/>
          <w:jc w:val="center"/>
        </w:trPr>
        <w:tc>
          <w:tcPr>
            <w:tcW w:w="1098" w:type="dxa"/>
            <w:vAlign w:val="center"/>
          </w:tcPr>
          <w:p>
            <w:pPr>
              <w:jc w:val="center"/>
              <w:rPr>
                <w:rFonts w:ascii="宋体" w:hAnsi="宋体" w:cs="宋体"/>
                <w:szCs w:val="21"/>
              </w:rPr>
            </w:pPr>
            <w:r>
              <w:rPr>
                <w:rFonts w:hint="eastAsia" w:ascii="宋体" w:hAnsi="宋体" w:cs="宋体"/>
                <w:szCs w:val="21"/>
              </w:rPr>
              <w:t>主要</w:t>
            </w:r>
          </w:p>
          <w:p>
            <w:pPr>
              <w:jc w:val="center"/>
              <w:rPr>
                <w:rFonts w:ascii="宋体" w:hAnsi="宋体" w:cs="宋体"/>
                <w:szCs w:val="21"/>
              </w:rPr>
            </w:pPr>
            <w:r>
              <w:rPr>
                <w:rFonts w:hint="eastAsia" w:ascii="宋体" w:hAnsi="宋体" w:cs="宋体"/>
                <w:szCs w:val="21"/>
              </w:rPr>
              <w:t>工作</w:t>
            </w:r>
          </w:p>
          <w:p>
            <w:pPr>
              <w:jc w:val="center"/>
              <w:rPr>
                <w:rFonts w:ascii="宋体" w:hAnsi="宋体" w:cs="宋体"/>
                <w:szCs w:val="21"/>
              </w:rPr>
            </w:pPr>
            <w:r>
              <w:rPr>
                <w:rFonts w:hint="eastAsia" w:ascii="宋体" w:hAnsi="宋体" w:cs="宋体"/>
                <w:szCs w:val="21"/>
              </w:rPr>
              <w:t>业绩</w:t>
            </w:r>
          </w:p>
          <w:p>
            <w:pPr>
              <w:jc w:val="center"/>
              <w:rPr>
                <w:rFonts w:ascii="宋体" w:hAnsi="宋体" w:cs="宋体"/>
                <w:szCs w:val="21"/>
              </w:rPr>
            </w:pPr>
            <w:r>
              <w:rPr>
                <w:rFonts w:hint="eastAsia" w:ascii="宋体" w:hAnsi="宋体" w:cs="宋体"/>
                <w:szCs w:val="21"/>
              </w:rPr>
              <w:t>及担</w:t>
            </w:r>
          </w:p>
          <w:p>
            <w:pPr>
              <w:jc w:val="center"/>
              <w:rPr>
                <w:rFonts w:ascii="宋体" w:hAnsi="宋体" w:cs="宋体"/>
                <w:szCs w:val="21"/>
              </w:rPr>
            </w:pPr>
            <w:r>
              <w:rPr>
                <w:rFonts w:hint="eastAsia" w:ascii="宋体" w:hAnsi="宋体" w:cs="宋体"/>
                <w:szCs w:val="21"/>
              </w:rPr>
              <w:t>任的</w:t>
            </w:r>
          </w:p>
          <w:p>
            <w:pPr>
              <w:jc w:val="center"/>
              <w:rPr>
                <w:rFonts w:ascii="宋体" w:hAnsi="宋体" w:cs="宋体"/>
                <w:szCs w:val="21"/>
              </w:rPr>
            </w:pPr>
            <w:r>
              <w:rPr>
                <w:rFonts w:hint="eastAsia" w:ascii="宋体" w:hAnsi="宋体" w:cs="宋体"/>
                <w:szCs w:val="21"/>
              </w:rPr>
              <w:t>主要</w:t>
            </w:r>
          </w:p>
          <w:p>
            <w:pPr>
              <w:jc w:val="center"/>
              <w:rPr>
                <w:rFonts w:ascii="宋体" w:hAnsi="宋体" w:cs="宋体"/>
                <w:szCs w:val="21"/>
              </w:rPr>
            </w:pPr>
            <w:r>
              <w:rPr>
                <w:rFonts w:hint="eastAsia" w:ascii="宋体" w:hAnsi="宋体" w:cs="宋体"/>
                <w:szCs w:val="21"/>
              </w:rPr>
              <w:t>工作</w:t>
            </w:r>
          </w:p>
        </w:tc>
        <w:tc>
          <w:tcPr>
            <w:tcW w:w="7586" w:type="dxa"/>
            <w:gridSpan w:val="4"/>
          </w:tcPr>
          <w:p>
            <w:pPr>
              <w:rPr>
                <w:rFonts w:ascii="宋体" w:hAnsi="宋体" w:cs="宋体"/>
                <w:szCs w:val="21"/>
              </w:rPr>
            </w:pPr>
          </w:p>
        </w:tc>
      </w:tr>
    </w:tbl>
    <w:p>
      <w:pPr>
        <w:pStyle w:val="15"/>
        <w:rPr>
          <w:rFonts w:cs="宋体"/>
          <w:lang w:val="zh-CN"/>
        </w:rPr>
      </w:pPr>
      <w:r>
        <w:rPr>
          <w:rFonts w:hint="eastAsia" w:cs="宋体"/>
          <w:lang w:val="zh-CN"/>
        </w:rPr>
        <w:t>附：管理人员身份证、职称证或资格证或岗位证、劳动合同复印件并加盖公章。</w:t>
      </w:r>
    </w:p>
    <w:p>
      <w:pPr>
        <w:pStyle w:val="2"/>
        <w:spacing w:before="0" w:beforeAutospacing="0" w:after="0"/>
        <w:ind w:firstLine="0" w:firstLineChars="0"/>
        <w:jc w:val="center"/>
        <w:rPr>
          <w:rFonts w:ascii="Calibri" w:hAnsi="宋体"/>
          <w:b/>
          <w:sz w:val="32"/>
          <w:szCs w:val="32"/>
        </w:rPr>
      </w:pPr>
      <w:r>
        <w:rPr>
          <w:rFonts w:hint="eastAsia" w:ascii="宋体" w:hAnsi="宋体"/>
          <w:lang w:val="zh-CN"/>
        </w:rPr>
        <w:br w:type="page"/>
      </w:r>
      <w:r>
        <w:rPr>
          <w:rFonts w:hint="eastAsia" w:ascii="Calibri" w:hAnsi="宋体"/>
          <w:b/>
          <w:sz w:val="32"/>
          <w:szCs w:val="32"/>
          <w:lang w:val="zh-CN"/>
        </w:rPr>
        <w:t>（四）拟投入本项目的主要设备情况</w:t>
      </w:r>
    </w:p>
    <w:tbl>
      <w:tblPr>
        <w:tblStyle w:val="11"/>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50"/>
        <w:gridCol w:w="1045"/>
        <w:gridCol w:w="1045"/>
        <w:gridCol w:w="1045"/>
        <w:gridCol w:w="1044"/>
        <w:gridCol w:w="1046"/>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39" w:type="dxa"/>
            <w:vAlign w:val="center"/>
          </w:tcPr>
          <w:p>
            <w:pPr>
              <w:pStyle w:val="2"/>
              <w:spacing w:after="0"/>
              <w:ind w:firstLine="0" w:firstLineChars="0"/>
              <w:jc w:val="center"/>
              <w:rPr>
                <w:rFonts w:hAnsi="宋体"/>
                <w:bCs/>
              </w:rPr>
            </w:pPr>
            <w:r>
              <w:rPr>
                <w:rFonts w:hint="eastAsia" w:hAnsi="宋体"/>
                <w:bCs/>
              </w:rPr>
              <w:t>序号</w:t>
            </w:r>
          </w:p>
        </w:tc>
        <w:tc>
          <w:tcPr>
            <w:tcW w:w="1250" w:type="dxa"/>
            <w:vAlign w:val="center"/>
          </w:tcPr>
          <w:p>
            <w:pPr>
              <w:pStyle w:val="2"/>
              <w:spacing w:after="0"/>
              <w:ind w:firstLine="0" w:firstLineChars="0"/>
              <w:jc w:val="center"/>
              <w:rPr>
                <w:rFonts w:hAnsi="宋体"/>
                <w:bCs/>
              </w:rPr>
            </w:pPr>
            <w:r>
              <w:rPr>
                <w:rFonts w:hint="eastAsia" w:hAnsi="宋体"/>
                <w:bCs/>
              </w:rPr>
              <w:t>设备名称</w:t>
            </w:r>
          </w:p>
        </w:tc>
        <w:tc>
          <w:tcPr>
            <w:tcW w:w="1045" w:type="dxa"/>
            <w:vAlign w:val="center"/>
          </w:tcPr>
          <w:p>
            <w:pPr>
              <w:pStyle w:val="2"/>
              <w:spacing w:after="0"/>
              <w:ind w:firstLine="0" w:firstLineChars="0"/>
              <w:jc w:val="center"/>
              <w:rPr>
                <w:rFonts w:hAnsi="宋体"/>
                <w:bCs/>
              </w:rPr>
            </w:pPr>
            <w:r>
              <w:rPr>
                <w:rFonts w:hint="eastAsia" w:hAnsi="宋体"/>
                <w:bCs/>
              </w:rPr>
              <w:t>型号规格</w:t>
            </w:r>
          </w:p>
        </w:tc>
        <w:tc>
          <w:tcPr>
            <w:tcW w:w="1045" w:type="dxa"/>
            <w:vAlign w:val="center"/>
          </w:tcPr>
          <w:p>
            <w:pPr>
              <w:pStyle w:val="2"/>
              <w:spacing w:after="0"/>
              <w:ind w:firstLine="0" w:firstLineChars="0"/>
              <w:jc w:val="center"/>
              <w:rPr>
                <w:rFonts w:hAnsi="宋体"/>
                <w:bCs/>
              </w:rPr>
            </w:pPr>
            <w:r>
              <w:rPr>
                <w:rFonts w:hint="eastAsia" w:hAnsi="宋体"/>
                <w:bCs/>
              </w:rPr>
              <w:t>数量</w:t>
            </w:r>
          </w:p>
        </w:tc>
        <w:tc>
          <w:tcPr>
            <w:tcW w:w="1045" w:type="dxa"/>
            <w:vAlign w:val="center"/>
          </w:tcPr>
          <w:p>
            <w:pPr>
              <w:pStyle w:val="2"/>
              <w:spacing w:after="0"/>
              <w:ind w:firstLine="0" w:firstLineChars="0"/>
              <w:jc w:val="center"/>
              <w:rPr>
                <w:rFonts w:hAnsi="宋体"/>
                <w:bCs/>
              </w:rPr>
            </w:pPr>
            <w:r>
              <w:rPr>
                <w:rFonts w:hint="eastAsia" w:hAnsi="宋体"/>
                <w:bCs/>
              </w:rPr>
              <w:t>国别产地</w:t>
            </w:r>
          </w:p>
        </w:tc>
        <w:tc>
          <w:tcPr>
            <w:tcW w:w="1044" w:type="dxa"/>
            <w:vAlign w:val="center"/>
          </w:tcPr>
          <w:p>
            <w:pPr>
              <w:pStyle w:val="2"/>
              <w:spacing w:after="0"/>
              <w:ind w:firstLine="0" w:firstLineChars="0"/>
              <w:jc w:val="center"/>
              <w:rPr>
                <w:rFonts w:hAnsi="宋体"/>
                <w:bCs/>
              </w:rPr>
            </w:pPr>
            <w:r>
              <w:rPr>
                <w:rFonts w:hint="eastAsia" w:hAnsi="宋体"/>
                <w:bCs/>
              </w:rPr>
              <w:t>制造年份</w:t>
            </w:r>
          </w:p>
        </w:tc>
        <w:tc>
          <w:tcPr>
            <w:tcW w:w="1046" w:type="dxa"/>
            <w:vAlign w:val="center"/>
          </w:tcPr>
          <w:p>
            <w:pPr>
              <w:pStyle w:val="2"/>
              <w:spacing w:after="0"/>
              <w:ind w:firstLine="0" w:firstLineChars="0"/>
              <w:jc w:val="center"/>
              <w:rPr>
                <w:rFonts w:hAnsi="宋体"/>
                <w:bCs/>
              </w:rPr>
            </w:pPr>
            <w:r>
              <w:rPr>
                <w:rFonts w:hint="eastAsia" w:hAnsi="宋体"/>
                <w:bCs/>
              </w:rPr>
              <w:t>额定功率（kw）</w:t>
            </w:r>
          </w:p>
        </w:tc>
        <w:tc>
          <w:tcPr>
            <w:tcW w:w="1046" w:type="dxa"/>
            <w:vAlign w:val="center"/>
          </w:tcPr>
          <w:p>
            <w:pPr>
              <w:pStyle w:val="2"/>
              <w:spacing w:after="0"/>
              <w:ind w:firstLine="0" w:firstLineChars="0"/>
              <w:jc w:val="center"/>
              <w:rPr>
                <w:rFonts w:hAnsi="宋体"/>
                <w:bCs/>
              </w:rPr>
            </w:pPr>
            <w:r>
              <w:rPr>
                <w:rFonts w:hint="eastAsia" w:hAnsi="宋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39" w:type="dxa"/>
            <w:vAlign w:val="center"/>
          </w:tcPr>
          <w:p>
            <w:pPr>
              <w:pStyle w:val="2"/>
              <w:spacing w:after="0"/>
              <w:ind w:firstLine="0" w:firstLineChars="0"/>
              <w:jc w:val="center"/>
              <w:rPr>
                <w:rFonts w:hAnsi="宋体"/>
                <w:bCs/>
              </w:rPr>
            </w:pPr>
          </w:p>
        </w:tc>
        <w:tc>
          <w:tcPr>
            <w:tcW w:w="1250"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4"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39" w:type="dxa"/>
            <w:vAlign w:val="center"/>
          </w:tcPr>
          <w:p>
            <w:pPr>
              <w:pStyle w:val="2"/>
              <w:spacing w:after="0"/>
              <w:ind w:firstLine="0" w:firstLineChars="0"/>
              <w:jc w:val="center"/>
              <w:rPr>
                <w:rFonts w:hAnsi="宋体"/>
                <w:bCs/>
              </w:rPr>
            </w:pPr>
          </w:p>
        </w:tc>
        <w:tc>
          <w:tcPr>
            <w:tcW w:w="1250"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4"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39" w:type="dxa"/>
            <w:vAlign w:val="center"/>
          </w:tcPr>
          <w:p>
            <w:pPr>
              <w:pStyle w:val="2"/>
              <w:spacing w:after="0"/>
              <w:ind w:firstLine="0" w:firstLineChars="0"/>
              <w:jc w:val="center"/>
              <w:rPr>
                <w:rFonts w:hAnsi="宋体"/>
                <w:bCs/>
              </w:rPr>
            </w:pPr>
          </w:p>
        </w:tc>
        <w:tc>
          <w:tcPr>
            <w:tcW w:w="1250"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4"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39" w:type="dxa"/>
            <w:vAlign w:val="center"/>
          </w:tcPr>
          <w:p>
            <w:pPr>
              <w:pStyle w:val="2"/>
              <w:spacing w:after="0"/>
              <w:ind w:firstLine="0" w:firstLineChars="0"/>
              <w:jc w:val="center"/>
              <w:rPr>
                <w:rFonts w:hAnsi="宋体"/>
                <w:bCs/>
              </w:rPr>
            </w:pPr>
          </w:p>
        </w:tc>
        <w:tc>
          <w:tcPr>
            <w:tcW w:w="1250"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4"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39" w:type="dxa"/>
            <w:vAlign w:val="center"/>
          </w:tcPr>
          <w:p>
            <w:pPr>
              <w:pStyle w:val="2"/>
              <w:spacing w:after="0"/>
              <w:ind w:firstLine="0" w:firstLineChars="0"/>
              <w:jc w:val="center"/>
              <w:rPr>
                <w:rFonts w:hAnsi="宋体"/>
                <w:bCs/>
              </w:rPr>
            </w:pPr>
          </w:p>
        </w:tc>
        <w:tc>
          <w:tcPr>
            <w:tcW w:w="1250"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4"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39" w:type="dxa"/>
            <w:vAlign w:val="center"/>
          </w:tcPr>
          <w:p>
            <w:pPr>
              <w:pStyle w:val="2"/>
              <w:spacing w:after="0"/>
              <w:ind w:firstLine="0" w:firstLineChars="0"/>
              <w:jc w:val="center"/>
              <w:rPr>
                <w:rFonts w:hAnsi="宋体"/>
                <w:bCs/>
              </w:rPr>
            </w:pPr>
          </w:p>
        </w:tc>
        <w:tc>
          <w:tcPr>
            <w:tcW w:w="1250"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4"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39" w:type="dxa"/>
            <w:vAlign w:val="center"/>
          </w:tcPr>
          <w:p>
            <w:pPr>
              <w:pStyle w:val="2"/>
              <w:spacing w:after="0"/>
              <w:ind w:firstLine="0" w:firstLineChars="0"/>
              <w:jc w:val="center"/>
              <w:rPr>
                <w:rFonts w:hAnsi="宋体"/>
                <w:bCs/>
              </w:rPr>
            </w:pPr>
          </w:p>
        </w:tc>
        <w:tc>
          <w:tcPr>
            <w:tcW w:w="1250"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4"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39" w:type="dxa"/>
            <w:vAlign w:val="center"/>
          </w:tcPr>
          <w:p>
            <w:pPr>
              <w:pStyle w:val="2"/>
              <w:spacing w:after="0"/>
              <w:ind w:firstLine="0" w:firstLineChars="0"/>
              <w:jc w:val="center"/>
              <w:rPr>
                <w:rFonts w:hAnsi="宋体"/>
                <w:bCs/>
              </w:rPr>
            </w:pPr>
          </w:p>
        </w:tc>
        <w:tc>
          <w:tcPr>
            <w:tcW w:w="1250"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4"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839" w:type="dxa"/>
            <w:vAlign w:val="center"/>
          </w:tcPr>
          <w:p>
            <w:pPr>
              <w:pStyle w:val="2"/>
              <w:spacing w:after="0"/>
              <w:ind w:firstLine="0" w:firstLineChars="0"/>
              <w:jc w:val="center"/>
              <w:rPr>
                <w:rFonts w:hAnsi="宋体"/>
                <w:bCs/>
              </w:rPr>
            </w:pPr>
          </w:p>
        </w:tc>
        <w:tc>
          <w:tcPr>
            <w:tcW w:w="1250"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5" w:type="dxa"/>
            <w:vAlign w:val="center"/>
          </w:tcPr>
          <w:p>
            <w:pPr>
              <w:pStyle w:val="2"/>
              <w:spacing w:after="0"/>
              <w:ind w:firstLine="0" w:firstLineChars="0"/>
              <w:jc w:val="center"/>
              <w:rPr>
                <w:rFonts w:hAnsi="宋体"/>
                <w:bCs/>
              </w:rPr>
            </w:pPr>
          </w:p>
        </w:tc>
        <w:tc>
          <w:tcPr>
            <w:tcW w:w="1044"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c>
          <w:tcPr>
            <w:tcW w:w="1046" w:type="dxa"/>
            <w:vAlign w:val="center"/>
          </w:tcPr>
          <w:p>
            <w:pPr>
              <w:pStyle w:val="2"/>
              <w:spacing w:after="0"/>
              <w:ind w:firstLine="0" w:firstLineChars="0"/>
              <w:jc w:val="center"/>
              <w:rPr>
                <w:rFonts w:hAnsi="宋体"/>
                <w:bCs/>
              </w:rPr>
            </w:pPr>
          </w:p>
        </w:tc>
      </w:tr>
    </w:tbl>
    <w:p>
      <w:pPr>
        <w:autoSpaceDE w:val="0"/>
        <w:autoSpaceDN w:val="0"/>
        <w:adjustRightInd w:val="0"/>
        <w:spacing w:line="480" w:lineRule="auto"/>
        <w:jc w:val="center"/>
        <w:rPr>
          <w:rFonts w:hAnsi="宋体" w:eastAsia="宋体"/>
          <w:b/>
          <w:snapToGrid w:val="0"/>
          <w:kern w:val="0"/>
          <w:sz w:val="32"/>
          <w:szCs w:val="32"/>
        </w:rPr>
      </w:pPr>
      <w:r>
        <w:rPr>
          <w:rFonts w:hint="eastAsia" w:cs="宋体"/>
          <w:b/>
          <w:bCs/>
          <w:sz w:val="32"/>
          <w:szCs w:val="32"/>
          <w:lang w:val="zh-CN"/>
        </w:rPr>
        <w:br w:type="page"/>
      </w:r>
    </w:p>
    <w:p>
      <w:pPr>
        <w:autoSpaceDE w:val="0"/>
        <w:autoSpaceDN w:val="0"/>
        <w:adjustRightInd w:val="0"/>
        <w:spacing w:line="480" w:lineRule="auto"/>
        <w:jc w:val="center"/>
        <w:rPr>
          <w:rFonts w:hAnsi="宋体" w:eastAsia="宋体"/>
          <w:b/>
          <w:snapToGrid w:val="0"/>
          <w:kern w:val="0"/>
          <w:sz w:val="32"/>
          <w:szCs w:val="32"/>
        </w:rPr>
      </w:pPr>
      <w:r>
        <w:rPr>
          <w:rFonts w:hint="eastAsia" w:hAnsi="宋体" w:eastAsia="宋体"/>
          <w:b/>
          <w:snapToGrid w:val="0"/>
          <w:kern w:val="0"/>
          <w:sz w:val="32"/>
          <w:szCs w:val="32"/>
        </w:rPr>
        <w:t>（五）业绩情况表</w:t>
      </w:r>
    </w:p>
    <w:p>
      <w:pPr>
        <w:snapToGrid w:val="0"/>
        <w:spacing w:line="360" w:lineRule="auto"/>
        <w:ind w:firstLine="422" w:firstLineChars="200"/>
        <w:jc w:val="center"/>
        <w:rPr>
          <w:rFonts w:ascii="宋体" w:hAnsi="宋体"/>
          <w:b/>
          <w:color w:val="000000"/>
          <w:szCs w:val="21"/>
        </w:rPr>
      </w:pPr>
    </w:p>
    <w:tbl>
      <w:tblPr>
        <w:tblStyle w:val="11"/>
        <w:tblW w:w="9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86"/>
        <w:gridCol w:w="1276"/>
        <w:gridCol w:w="1134"/>
        <w:gridCol w:w="1276"/>
        <w:gridCol w:w="1275"/>
        <w:gridCol w:w="113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jc w:val="center"/>
        </w:trPr>
        <w:tc>
          <w:tcPr>
            <w:tcW w:w="6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序号</w:t>
            </w:r>
          </w:p>
        </w:tc>
        <w:tc>
          <w:tcPr>
            <w:tcW w:w="128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项目</w:t>
            </w:r>
          </w:p>
          <w:p>
            <w:pPr>
              <w:pStyle w:val="5"/>
              <w:spacing w:before="120" w:after="120"/>
              <w:contextualSpacing/>
              <w:jc w:val="center"/>
              <w:rPr>
                <w:rFonts w:hAnsi="宋体"/>
                <w:color w:val="000000"/>
                <w:szCs w:val="21"/>
              </w:rPr>
            </w:pPr>
            <w:r>
              <w:rPr>
                <w:rFonts w:hint="eastAsia" w:hAnsi="宋体"/>
                <w:color w:val="000000"/>
                <w:szCs w:val="21"/>
              </w:rPr>
              <w:t>名称</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项目</w:t>
            </w:r>
          </w:p>
          <w:p>
            <w:pPr>
              <w:pStyle w:val="5"/>
              <w:spacing w:before="120" w:after="120"/>
              <w:contextualSpacing/>
              <w:jc w:val="center"/>
              <w:rPr>
                <w:rFonts w:hAnsi="宋体"/>
                <w:color w:val="000000"/>
                <w:szCs w:val="21"/>
              </w:rPr>
            </w:pPr>
            <w:r>
              <w:rPr>
                <w:rFonts w:hint="eastAsia" w:hAnsi="宋体"/>
                <w:color w:val="000000"/>
                <w:szCs w:val="21"/>
              </w:rPr>
              <w:t>内容</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时间</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合同金额（元）</w:t>
            </w:r>
          </w:p>
        </w:tc>
        <w:tc>
          <w:tcPr>
            <w:tcW w:w="3433" w:type="dxa"/>
            <w:gridSpan w:val="3"/>
            <w:tcBorders>
              <w:top w:val="single" w:color="auto" w:sz="4" w:space="0"/>
              <w:left w:val="single" w:color="auto" w:sz="4" w:space="0"/>
              <w:bottom w:val="single" w:color="auto" w:sz="4" w:space="0"/>
              <w:right w:val="single" w:color="auto" w:sz="4" w:space="0"/>
            </w:tcBorders>
          </w:tcPr>
          <w:p>
            <w:pPr>
              <w:pStyle w:val="5"/>
              <w:spacing w:before="120" w:after="120"/>
              <w:jc w:val="center"/>
              <w:rPr>
                <w:rFonts w:hAnsi="宋体"/>
                <w:color w:val="000000"/>
                <w:szCs w:val="21"/>
              </w:rPr>
            </w:pPr>
            <w:r>
              <w:rPr>
                <w:rFonts w:hint="eastAsia" w:hAnsi="宋体"/>
                <w:color w:val="000000"/>
                <w:szCs w:val="21"/>
              </w:rPr>
              <w:t>用户情况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before="120" w:after="120"/>
              <w:contextualSpacing/>
              <w:jc w:val="center"/>
              <w:rPr>
                <w:rFonts w:hAnsi="宋体"/>
                <w:color w:val="000000"/>
                <w:szCs w:val="21"/>
              </w:rPr>
            </w:pPr>
            <w:r>
              <w:rPr>
                <w:rFonts w:hint="eastAsia" w:hAnsi="宋体"/>
                <w:color w:val="000000"/>
                <w:szCs w:val="21"/>
              </w:rPr>
              <w:t>单位</w:t>
            </w:r>
          </w:p>
          <w:p>
            <w:pPr>
              <w:pStyle w:val="5"/>
              <w:spacing w:before="120" w:after="120"/>
              <w:contextualSpacing/>
              <w:jc w:val="center"/>
              <w:rPr>
                <w:rFonts w:hAnsi="宋体"/>
                <w:color w:val="000000"/>
                <w:szCs w:val="21"/>
              </w:rPr>
            </w:pPr>
            <w:r>
              <w:rPr>
                <w:rFonts w:hint="eastAsia" w:hAnsi="宋体"/>
                <w:color w:val="000000"/>
                <w:szCs w:val="21"/>
              </w:rPr>
              <w:t>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经办人</w:t>
            </w: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before="120" w:after="120"/>
              <w:contextualSpacing/>
              <w:jc w:val="center"/>
              <w:rPr>
                <w:rFonts w:hAnsi="宋体"/>
                <w:color w:val="000000"/>
                <w:szCs w:val="21"/>
              </w:rPr>
            </w:pPr>
            <w:r>
              <w:rPr>
                <w:rFonts w:hint="eastAsia" w:hAnsi="宋体"/>
                <w:color w:val="000000"/>
                <w:szCs w:val="21"/>
              </w:rPr>
              <w:t>联系</w:t>
            </w:r>
          </w:p>
          <w:p>
            <w:pPr>
              <w:pStyle w:val="5"/>
              <w:spacing w:before="120" w:after="120"/>
              <w:contextualSpacing/>
              <w:jc w:val="center"/>
              <w:rPr>
                <w:rFonts w:hAnsi="宋体"/>
                <w:color w:val="000000"/>
                <w:szCs w:val="21"/>
              </w:rPr>
            </w:pPr>
            <w:r>
              <w:rPr>
                <w:rFonts w:hint="eastAsia" w:hAnsi="宋体"/>
                <w:color w:val="000000"/>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center"/>
              <w:rPr>
                <w:rFonts w:hAnsi="宋体"/>
                <w:color w:val="000000"/>
                <w:szCs w:val="21"/>
              </w:rPr>
            </w:pPr>
          </w:p>
        </w:tc>
        <w:tc>
          <w:tcPr>
            <w:tcW w:w="128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6"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275"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134" w:type="dxa"/>
            <w:tcBorders>
              <w:top w:val="single" w:color="auto" w:sz="4" w:space="0"/>
              <w:left w:val="single" w:color="auto" w:sz="4" w:space="0"/>
              <w:bottom w:val="single" w:color="auto" w:sz="4" w:space="0"/>
              <w:right w:val="single" w:color="auto" w:sz="4" w:space="0"/>
            </w:tcBorders>
          </w:tcPr>
          <w:p>
            <w:pPr>
              <w:pStyle w:val="5"/>
              <w:spacing w:line="360" w:lineRule="auto"/>
              <w:jc w:val="left"/>
              <w:rPr>
                <w:rFonts w:hAnsi="宋体"/>
                <w:color w:val="000000"/>
                <w:szCs w:val="21"/>
              </w:rPr>
            </w:pPr>
          </w:p>
        </w:tc>
        <w:tc>
          <w:tcPr>
            <w:tcW w:w="1024" w:type="dxa"/>
            <w:tcBorders>
              <w:top w:val="single" w:color="auto" w:sz="4" w:space="0"/>
              <w:left w:val="single" w:color="auto" w:sz="4" w:space="0"/>
              <w:bottom w:val="single" w:color="auto" w:sz="4" w:space="0"/>
              <w:right w:val="single" w:color="auto" w:sz="4" w:space="0"/>
            </w:tcBorders>
            <w:vAlign w:val="center"/>
          </w:tcPr>
          <w:p>
            <w:pPr>
              <w:pStyle w:val="5"/>
              <w:spacing w:line="360" w:lineRule="auto"/>
              <w:jc w:val="left"/>
              <w:rPr>
                <w:rFonts w:hAnsi="宋体"/>
                <w:color w:val="000000"/>
                <w:szCs w:val="21"/>
              </w:rPr>
            </w:pPr>
          </w:p>
        </w:tc>
      </w:tr>
    </w:tbl>
    <w:p>
      <w:pPr>
        <w:pStyle w:val="4"/>
        <w:spacing w:line="360" w:lineRule="auto"/>
        <w:rPr>
          <w:rFonts w:ascii="宋体" w:hAnsi="宋体"/>
          <w:color w:val="000000"/>
          <w:szCs w:val="21"/>
        </w:rPr>
      </w:pPr>
      <w:r>
        <w:rPr>
          <w:rFonts w:hint="eastAsia" w:ascii="宋体" w:hAnsi="宋体"/>
          <w:color w:val="000000"/>
          <w:szCs w:val="21"/>
        </w:rPr>
        <w:t>附：合同书复印件并加盖公章。</w:t>
      </w:r>
    </w:p>
    <w:p>
      <w:pPr>
        <w:rPr>
          <w:sz w:val="24"/>
        </w:rPr>
      </w:pPr>
    </w:p>
    <w:p>
      <w:pPr>
        <w:adjustRightInd w:val="0"/>
        <w:snapToGrid w:val="0"/>
        <w:spacing w:line="360" w:lineRule="auto"/>
        <w:ind w:firstLine="420" w:firstLineChars="200"/>
        <w:rPr>
          <w:rFonts w:ascii="宋体" w:hAnsi="宋体" w:cs="Courier New"/>
          <w:szCs w:val="21"/>
        </w:rPr>
      </w:pPr>
    </w:p>
    <w:p>
      <w:pPr>
        <w:autoSpaceDE w:val="0"/>
        <w:autoSpaceDN w:val="0"/>
        <w:adjustRightInd w:val="0"/>
        <w:spacing w:line="480" w:lineRule="auto"/>
        <w:jc w:val="center"/>
        <w:rPr>
          <w:rFonts w:hAnsi="宋体" w:eastAsia="宋体"/>
          <w:b/>
          <w:snapToGrid w:val="0"/>
          <w:kern w:val="0"/>
          <w:sz w:val="32"/>
          <w:szCs w:val="32"/>
        </w:rPr>
      </w:pPr>
      <w:r>
        <w:rPr>
          <w:rFonts w:hint="eastAsia" w:hAnsi="宋体" w:eastAsia="宋体"/>
          <w:b/>
          <w:snapToGrid w:val="0"/>
          <w:kern w:val="0"/>
          <w:sz w:val="32"/>
          <w:szCs w:val="32"/>
        </w:rPr>
        <w:br w:type="page"/>
      </w:r>
    </w:p>
    <w:p>
      <w:pPr>
        <w:autoSpaceDE w:val="0"/>
        <w:autoSpaceDN w:val="0"/>
        <w:adjustRightInd w:val="0"/>
        <w:spacing w:line="480" w:lineRule="auto"/>
        <w:jc w:val="center"/>
        <w:rPr>
          <w:rFonts w:hAnsi="宋体" w:eastAsia="宋体"/>
          <w:b/>
          <w:snapToGrid w:val="0"/>
          <w:kern w:val="0"/>
          <w:sz w:val="32"/>
          <w:szCs w:val="32"/>
        </w:rPr>
      </w:pPr>
      <w:r>
        <w:rPr>
          <w:rFonts w:hint="eastAsia" w:hAnsi="宋体" w:eastAsia="宋体"/>
          <w:b/>
          <w:snapToGrid w:val="0"/>
          <w:kern w:val="0"/>
          <w:sz w:val="32"/>
          <w:szCs w:val="32"/>
        </w:rPr>
        <w:t>（六）服务承诺</w:t>
      </w: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1680" w:firstLineChars="700"/>
        <w:rPr>
          <w:rFonts w:ascii="宋体" w:cs="宋体"/>
          <w:sz w:val="24"/>
          <w:lang w:val="zh-CN"/>
        </w:rPr>
      </w:pPr>
    </w:p>
    <w:p>
      <w:pPr>
        <w:autoSpaceDE w:val="0"/>
        <w:autoSpaceDN w:val="0"/>
        <w:adjustRightInd w:val="0"/>
        <w:spacing w:line="480" w:lineRule="auto"/>
        <w:ind w:firstLine="3120" w:firstLineChars="1300"/>
        <w:rPr>
          <w:rFonts w:ascii="宋体" w:cs="宋体"/>
          <w:sz w:val="24"/>
          <w:lang w:val="zh-CN"/>
        </w:rPr>
      </w:pPr>
      <w:r>
        <w:rPr>
          <w:rFonts w:hint="eastAsia" w:ascii="宋体" w:cs="宋体"/>
          <w:sz w:val="24"/>
          <w:lang w:val="zh-CN"/>
        </w:rPr>
        <w:t>投标人：</w:t>
      </w:r>
      <w:r>
        <w:rPr>
          <w:rFonts w:hint="eastAsia" w:ascii="宋体" w:cs="宋体"/>
          <w:sz w:val="24"/>
        </w:rPr>
        <w:t>（盖章）</w:t>
      </w:r>
    </w:p>
    <w:p>
      <w:pPr>
        <w:autoSpaceDE w:val="0"/>
        <w:autoSpaceDN w:val="0"/>
        <w:adjustRightInd w:val="0"/>
        <w:spacing w:line="480" w:lineRule="auto"/>
        <w:jc w:val="center"/>
        <w:rPr>
          <w:rFonts w:ascii="宋体" w:cs="宋体"/>
          <w:sz w:val="24"/>
        </w:rPr>
      </w:pPr>
      <w:r>
        <w:rPr>
          <w:rFonts w:hint="eastAsia" w:ascii="宋体" w:hAnsi="宋体"/>
          <w:sz w:val="24"/>
        </w:rPr>
        <w:t>法定代表人或其委托代理人</w:t>
      </w:r>
      <w:r>
        <w:rPr>
          <w:rFonts w:hint="eastAsia" w:ascii="宋体" w:cs="宋体"/>
          <w:sz w:val="24"/>
          <w:lang w:val="zh-CN"/>
        </w:rPr>
        <w:t>：</w:t>
      </w:r>
      <w:r>
        <w:rPr>
          <w:rFonts w:hint="eastAsia" w:ascii="宋体" w:cs="宋体"/>
          <w:sz w:val="24"/>
        </w:rPr>
        <w:t>（签字）</w:t>
      </w:r>
    </w:p>
    <w:p>
      <w:pPr>
        <w:autoSpaceDE w:val="0"/>
        <w:autoSpaceDN w:val="0"/>
        <w:adjustRightInd w:val="0"/>
        <w:spacing w:line="480" w:lineRule="auto"/>
        <w:jc w:val="center"/>
        <w:rPr>
          <w:rFonts w:hAnsi="宋体" w:eastAsia="宋体"/>
          <w:b/>
          <w:snapToGrid w:val="0"/>
          <w:kern w:val="0"/>
          <w:sz w:val="32"/>
          <w:szCs w:val="32"/>
        </w:rPr>
      </w:pPr>
      <w:r>
        <w:rPr>
          <w:rFonts w:hint="eastAsia" w:ascii="宋体" w:cs="宋体"/>
          <w:sz w:val="24"/>
        </w:rPr>
        <w:t xml:space="preserve">  日期：年月日</w:t>
      </w:r>
      <w:r>
        <w:rPr>
          <w:rFonts w:hint="eastAsia" w:hAnsi="宋体" w:eastAsia="宋体"/>
          <w:b/>
          <w:snapToGrid w:val="0"/>
          <w:kern w:val="0"/>
          <w:sz w:val="32"/>
          <w:szCs w:val="32"/>
        </w:rPr>
        <w:br w:type="page"/>
      </w:r>
    </w:p>
    <w:p>
      <w:pPr>
        <w:autoSpaceDE w:val="0"/>
        <w:autoSpaceDN w:val="0"/>
        <w:adjustRightInd w:val="0"/>
        <w:spacing w:line="480" w:lineRule="auto"/>
        <w:jc w:val="center"/>
        <w:rPr>
          <w:rFonts w:hAnsi="宋体" w:eastAsia="宋体"/>
          <w:b/>
          <w:snapToGrid w:val="0"/>
          <w:kern w:val="0"/>
          <w:sz w:val="32"/>
          <w:szCs w:val="32"/>
        </w:rPr>
      </w:pPr>
      <w:r>
        <w:rPr>
          <w:rFonts w:hint="eastAsia" w:hAnsi="宋体" w:eastAsia="宋体"/>
          <w:b/>
          <w:snapToGrid w:val="0"/>
          <w:kern w:val="0"/>
          <w:sz w:val="32"/>
          <w:szCs w:val="32"/>
        </w:rPr>
        <w:t>（七）项目实施方案</w:t>
      </w:r>
    </w:p>
    <w:p>
      <w:pPr>
        <w:autoSpaceDE w:val="0"/>
        <w:autoSpaceDN w:val="0"/>
        <w:adjustRightInd w:val="0"/>
        <w:spacing w:line="360" w:lineRule="auto"/>
        <w:outlineLvl w:val="0"/>
        <w:rPr>
          <w:rFonts w:ascii="宋体" w:cs="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pStyle w:val="2"/>
        <w:ind w:firstLine="240"/>
        <w:rPr>
          <w:rFonts w:ascii="宋体"/>
          <w:sz w:val="24"/>
          <w:lang w:val="zh-CN"/>
        </w:rPr>
      </w:pPr>
    </w:p>
    <w:p>
      <w:pPr>
        <w:autoSpaceDE w:val="0"/>
        <w:autoSpaceDN w:val="0"/>
        <w:adjustRightInd w:val="0"/>
        <w:spacing w:line="480" w:lineRule="auto"/>
        <w:ind w:firstLine="4560" w:firstLineChars="1900"/>
        <w:rPr>
          <w:rFonts w:ascii="宋体" w:cs="宋体"/>
          <w:sz w:val="24"/>
          <w:lang w:val="zh-CN"/>
        </w:rPr>
      </w:pPr>
      <w:r>
        <w:rPr>
          <w:rFonts w:hint="eastAsia" w:ascii="宋体" w:cs="宋体"/>
          <w:sz w:val="24"/>
          <w:lang w:val="zh-CN"/>
        </w:rPr>
        <w:t>投标人：</w:t>
      </w:r>
      <w:r>
        <w:rPr>
          <w:rFonts w:hint="eastAsia" w:ascii="宋体" w:cs="宋体"/>
          <w:sz w:val="24"/>
        </w:rPr>
        <w:t>（盖章）</w:t>
      </w:r>
    </w:p>
    <w:p>
      <w:pPr>
        <w:autoSpaceDE w:val="0"/>
        <w:autoSpaceDN w:val="0"/>
        <w:adjustRightInd w:val="0"/>
        <w:spacing w:line="480" w:lineRule="auto"/>
        <w:jc w:val="center"/>
        <w:rPr>
          <w:rFonts w:ascii="宋体" w:hAnsi="宋体"/>
          <w:b/>
          <w:bCs/>
          <w:color w:val="000000"/>
          <w:sz w:val="36"/>
          <w:szCs w:val="36"/>
        </w:rPr>
      </w:pPr>
      <w:r>
        <w:rPr>
          <w:rFonts w:hint="eastAsia" w:ascii="宋体" w:cs="宋体"/>
          <w:sz w:val="24"/>
        </w:rPr>
        <w:t xml:space="preserve">  日期：年月日</w:t>
      </w:r>
      <w:r>
        <w:rPr>
          <w:rFonts w:hint="eastAsia" w:ascii="宋体" w:hAnsi="宋体"/>
          <w:b/>
          <w:bCs/>
          <w:color w:val="000000"/>
          <w:sz w:val="36"/>
          <w:szCs w:val="36"/>
        </w:rPr>
        <w:br w:type="page"/>
      </w:r>
    </w:p>
    <w:p>
      <w:pPr>
        <w:autoSpaceDE w:val="0"/>
        <w:autoSpaceDN w:val="0"/>
        <w:adjustRightInd w:val="0"/>
        <w:spacing w:line="360" w:lineRule="auto"/>
        <w:jc w:val="center"/>
        <w:outlineLvl w:val="0"/>
        <w:rPr>
          <w:rFonts w:ascii="宋体" w:hAnsi="宋体" w:eastAsia="宋体" w:cs="宋体"/>
          <w:b/>
          <w:bCs/>
          <w:color w:val="000000"/>
          <w:sz w:val="32"/>
          <w:szCs w:val="32"/>
        </w:rPr>
      </w:pPr>
      <w:r>
        <w:rPr>
          <w:rFonts w:hint="eastAsia" w:ascii="宋体" w:hAnsi="宋体" w:eastAsia="宋体" w:cs="宋体"/>
          <w:b/>
          <w:bCs/>
          <w:color w:val="000000"/>
          <w:sz w:val="32"/>
          <w:szCs w:val="32"/>
        </w:rPr>
        <w:t>（八）中小企业、监狱企业、残疾人福利性单位声明函</w:t>
      </w:r>
    </w:p>
    <w:p>
      <w:pPr>
        <w:pStyle w:val="2"/>
        <w:spacing w:before="0" w:beforeAutospacing="0" w:after="0"/>
        <w:ind w:firstLine="0" w:firstLineChars="0"/>
        <w:jc w:val="center"/>
        <w:rPr>
          <w:rFonts w:ascii="宋体" w:hAnsi="宋体"/>
        </w:rPr>
      </w:pPr>
      <w:r>
        <w:rPr>
          <w:rFonts w:hint="eastAsia" w:ascii="宋体" w:hAnsi="宋体"/>
          <w:b/>
          <w:bCs/>
          <w:sz w:val="28"/>
          <w:szCs w:val="28"/>
        </w:rPr>
        <w:t>1、中小企业声明函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w:t>
      </w:r>
      <w:r>
        <w:rPr>
          <w:rFonts w:hint="eastAsia" w:ascii="宋体" w:cs="宋体"/>
          <w:sz w:val="24"/>
        </w:rPr>
        <w:t>年月日</w:t>
      </w:r>
      <w:r>
        <w:rPr>
          <w:rFonts w:hint="eastAsia" w:ascii="宋体" w:hAnsi="宋体" w:cs="宋体"/>
          <w:kern w:val="0"/>
          <w:sz w:val="24"/>
        </w:rPr>
        <w:t> </w:t>
      </w:r>
    </w:p>
    <w:p>
      <w:pPr>
        <w:pStyle w:val="2"/>
        <w:ind w:firstLine="210"/>
        <w:rPr>
          <w:rFonts w:ascii="宋体" w:hAnsi="宋体"/>
        </w:rPr>
      </w:pPr>
    </w:p>
    <w:p>
      <w:pPr>
        <w:spacing w:line="588" w:lineRule="exact"/>
        <w:jc w:val="center"/>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cs="宋体"/>
          <w:b/>
          <w:spacing w:val="6"/>
          <w:sz w:val="32"/>
          <w:szCs w:val="32"/>
        </w:rPr>
        <w:t>2、残疾人福利性单位声明函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日  期：</w:t>
      </w:r>
      <w:r>
        <w:rPr>
          <w:rFonts w:hint="eastAsia" w:ascii="宋体" w:cs="宋体"/>
          <w:sz w:val="24"/>
        </w:rPr>
        <w:t>年月日</w:t>
      </w:r>
    </w:p>
    <w:p>
      <w:pPr>
        <w:pStyle w:val="2"/>
        <w:ind w:firstLine="210"/>
        <w:rPr>
          <w:rFonts w:ascii="宋体" w:hAnsi="宋体"/>
        </w:rPr>
      </w:pPr>
    </w:p>
    <w:p>
      <w:pPr>
        <w:pStyle w:val="2"/>
        <w:ind w:firstLine="210"/>
        <w:rPr>
          <w:rFonts w:ascii="宋体" w:hAnsi="宋体"/>
        </w:rPr>
      </w:pPr>
    </w:p>
    <w:p>
      <w:pPr>
        <w:widowControl/>
        <w:spacing w:after="240" w:line="360" w:lineRule="auto"/>
        <w:rPr>
          <w:rFonts w:ascii="宋体" w:hAnsi="宋体" w:cs="宋体"/>
          <w:b/>
          <w:bCs/>
          <w:kern w:val="0"/>
          <w:sz w:val="24"/>
        </w:rPr>
      </w:pPr>
      <w:r>
        <w:rPr>
          <w:rFonts w:hint="eastAsia" w:ascii="宋体" w:hAnsi="宋体" w:cs="宋体"/>
          <w:b/>
          <w:bCs/>
          <w:kern w:val="0"/>
          <w:sz w:val="24"/>
        </w:rPr>
        <w:t>注：1.供应商符合中小型、微型企业、残疾人福利性单位的须填写以上相应声明函，并附由企业所在地的县级及以上中小企业主管部门出具的小型微型企业、残疾人福利性单位产品的证明材料复印件，开标时提交原件备查。</w:t>
      </w:r>
    </w:p>
    <w:p>
      <w:pPr>
        <w:widowControl/>
        <w:spacing w:after="240" w:line="360" w:lineRule="auto"/>
        <w:ind w:firstLine="482" w:firstLineChars="200"/>
        <w:rPr>
          <w:rFonts w:ascii="宋体" w:hAnsi="宋体" w:cs="宋体"/>
          <w:b/>
          <w:bCs/>
          <w:kern w:val="0"/>
          <w:sz w:val="24"/>
        </w:rPr>
      </w:pPr>
      <w:r>
        <w:rPr>
          <w:rFonts w:hint="eastAsia" w:ascii="宋体" w:hAnsi="宋体" w:cs="宋体"/>
          <w:b/>
          <w:bCs/>
          <w:kern w:val="0"/>
          <w:sz w:val="24"/>
        </w:rPr>
        <w:t>2.供应商属于监狱企业的不需填写此声明函，须附由省级及以上监狱管理局、戒毒管理局（含新疆建设兵团）出具的属于监狱企业的证明文件复印件，开标时提交原件备查。</w:t>
      </w:r>
    </w:p>
    <w:p>
      <w:pPr>
        <w:spacing w:line="320" w:lineRule="exact"/>
        <w:ind w:left="2" w:firstLine="538" w:firstLineChars="149"/>
        <w:rPr>
          <w:rFonts w:ascii="宋体" w:hAnsi="宋体"/>
          <w:b/>
          <w:bCs/>
          <w:color w:val="000000"/>
          <w:sz w:val="36"/>
          <w:szCs w:val="36"/>
        </w:rPr>
      </w:pPr>
    </w:p>
    <w:p>
      <w:pPr>
        <w:pStyle w:val="2"/>
        <w:ind w:firstLine="361"/>
        <w:rPr>
          <w:rFonts w:ascii="宋体" w:hAnsi="宋体"/>
          <w:b/>
          <w:bCs/>
          <w:color w:val="000000"/>
          <w:sz w:val="36"/>
          <w:szCs w:val="36"/>
        </w:rPr>
      </w:pPr>
    </w:p>
    <w:p>
      <w:pPr>
        <w:pStyle w:val="2"/>
        <w:ind w:firstLine="361"/>
        <w:rPr>
          <w:rFonts w:ascii="宋体" w:hAnsi="宋体"/>
          <w:b/>
          <w:bCs/>
          <w:color w:val="000000"/>
          <w:sz w:val="36"/>
          <w:szCs w:val="36"/>
        </w:rPr>
      </w:pPr>
    </w:p>
    <w:p>
      <w:pPr>
        <w:autoSpaceDE w:val="0"/>
        <w:autoSpaceDN w:val="0"/>
        <w:adjustRightInd w:val="0"/>
        <w:spacing w:line="360" w:lineRule="auto"/>
        <w:jc w:val="center"/>
        <w:rPr>
          <w:rFonts w:ascii="宋体" w:hAnsi="宋体"/>
          <w:b/>
          <w:bCs/>
          <w:sz w:val="32"/>
          <w:szCs w:val="32"/>
        </w:rPr>
      </w:pPr>
      <w:r>
        <w:rPr>
          <w:rFonts w:hint="eastAsia" w:ascii="宋体" w:hAnsi="宋体"/>
          <w:b/>
          <w:bCs/>
          <w:sz w:val="32"/>
          <w:szCs w:val="32"/>
        </w:rPr>
        <w:t>（九）其他资料</w:t>
      </w:r>
    </w:p>
    <w:p/>
    <w:p>
      <w:r>
        <w:rPr>
          <w:rFonts w:hint="eastAsia"/>
        </w:rPr>
        <w:t>附：投标人认为有必要提供的其他资料。</w:t>
      </w:r>
    </w:p>
    <w:p>
      <w:pPr>
        <w:pStyle w:val="2"/>
        <w:ind w:firstLine="361"/>
        <w:rPr>
          <w:rFonts w:ascii="宋体" w:hAnsi="宋体"/>
          <w:b/>
          <w:bCs/>
          <w:color w:val="000000"/>
          <w:sz w:val="36"/>
          <w:szCs w:val="36"/>
        </w:rPr>
      </w:pPr>
    </w:p>
    <w:p>
      <w:pPr>
        <w:pStyle w:val="2"/>
        <w:ind w:firstLine="0" w:firstLineChars="0"/>
      </w:pPr>
    </w:p>
    <w:sectPr>
      <w:headerReference r:id="rId3" w:type="default"/>
      <w:footerReference r:id="rId4" w:type="default"/>
      <w:pgSz w:w="11906" w:h="16838"/>
      <w:pgMar w:top="1440" w:right="1800" w:bottom="1440" w:left="16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简隶书">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47</w:t>
                </w:r>
                <w:r>
                  <w:rPr>
                    <w:rFonts w:hint="eastAsia"/>
                  </w:rPr>
                  <w:fldChar w:fldCharType="end"/>
                </w:r>
              </w:p>
            </w:txbxContent>
          </v:textbox>
        </v:shape>
      </w:pic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distribute"/>
    </w:pPr>
    <w:r>
      <w:rPr>
        <w:rFonts w:hint="eastAsia"/>
      </w:rPr>
      <w:t>东城区市政道路路灯设施维修养护工作第二标段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604A"/>
    <w:multiLevelType w:val="singleLevel"/>
    <w:tmpl w:val="183C604A"/>
    <w:lvl w:ilvl="0" w:tentative="0">
      <w:start w:val="1"/>
      <w:numFmt w:val="japaneseCounting"/>
      <w:lvlText w:val="%1、"/>
      <w:lvlJc w:val="left"/>
      <w:pPr>
        <w:tabs>
          <w:tab w:val="left" w:pos="960"/>
        </w:tabs>
        <w:ind w:left="960" w:hanging="480"/>
      </w:pPr>
      <w:rPr>
        <w:rFonts w:hint="eastAsia"/>
        <w:b/>
        <w:lang w:val="en-US"/>
      </w:rPr>
    </w:lvl>
  </w:abstractNum>
  <w:abstractNum w:abstractNumId="1">
    <w:nsid w:val="5524FF4D"/>
    <w:multiLevelType w:val="singleLevel"/>
    <w:tmpl w:val="5524FF4D"/>
    <w:lvl w:ilvl="0" w:tentative="0">
      <w:start w:val="1"/>
      <w:numFmt w:val="decimal"/>
      <w:suff w:val="nothing"/>
      <w:lvlText w:val="%1．"/>
      <w:lvlJc w:val="left"/>
    </w:lvl>
  </w:abstractNum>
  <w:abstractNum w:abstractNumId="2">
    <w:nsid w:val="5995028B"/>
    <w:multiLevelType w:val="singleLevel"/>
    <w:tmpl w:val="5995028B"/>
    <w:lvl w:ilvl="0" w:tentative="0">
      <w:start w:val="1"/>
      <w:numFmt w:val="decimal"/>
      <w:suff w:val="nothing"/>
      <w:lvlText w:val="%1、"/>
      <w:lvlJc w:val="left"/>
    </w:lvl>
  </w:abstractNum>
  <w:abstractNum w:abstractNumId="3">
    <w:nsid w:val="59F82C47"/>
    <w:multiLevelType w:val="singleLevel"/>
    <w:tmpl w:val="59F82C47"/>
    <w:lvl w:ilvl="0" w:tentative="0">
      <w:start w:val="16"/>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B474133"/>
    <w:rsid w:val="00193859"/>
    <w:rsid w:val="00617DFC"/>
    <w:rsid w:val="0069571D"/>
    <w:rsid w:val="007A42BD"/>
    <w:rsid w:val="008B27D5"/>
    <w:rsid w:val="00955A55"/>
    <w:rsid w:val="00B707CE"/>
    <w:rsid w:val="02A84717"/>
    <w:rsid w:val="05C55951"/>
    <w:rsid w:val="07E30A42"/>
    <w:rsid w:val="0A177650"/>
    <w:rsid w:val="0CE161B0"/>
    <w:rsid w:val="0E9738E0"/>
    <w:rsid w:val="0EA345EB"/>
    <w:rsid w:val="10195B6D"/>
    <w:rsid w:val="10397194"/>
    <w:rsid w:val="12DF63D4"/>
    <w:rsid w:val="13C470FA"/>
    <w:rsid w:val="14D2036B"/>
    <w:rsid w:val="166C30A9"/>
    <w:rsid w:val="18D40AF5"/>
    <w:rsid w:val="18FF1C75"/>
    <w:rsid w:val="19FE7FAD"/>
    <w:rsid w:val="1A677E0E"/>
    <w:rsid w:val="1A8D103D"/>
    <w:rsid w:val="1C697493"/>
    <w:rsid w:val="1CD470AB"/>
    <w:rsid w:val="1DBF72AF"/>
    <w:rsid w:val="1E6A1488"/>
    <w:rsid w:val="1F3B7A99"/>
    <w:rsid w:val="219659D3"/>
    <w:rsid w:val="21C24DA5"/>
    <w:rsid w:val="21E810AE"/>
    <w:rsid w:val="222A14AF"/>
    <w:rsid w:val="22D70F0D"/>
    <w:rsid w:val="23753766"/>
    <w:rsid w:val="238436DB"/>
    <w:rsid w:val="242D617F"/>
    <w:rsid w:val="27C37EB0"/>
    <w:rsid w:val="281224B8"/>
    <w:rsid w:val="2AB3015C"/>
    <w:rsid w:val="2BE41224"/>
    <w:rsid w:val="2BED0257"/>
    <w:rsid w:val="2C18247E"/>
    <w:rsid w:val="2E0B093A"/>
    <w:rsid w:val="2E427110"/>
    <w:rsid w:val="2E65366C"/>
    <w:rsid w:val="2FEF27C5"/>
    <w:rsid w:val="300F7A97"/>
    <w:rsid w:val="303F3474"/>
    <w:rsid w:val="30633370"/>
    <w:rsid w:val="311B54A5"/>
    <w:rsid w:val="32774840"/>
    <w:rsid w:val="345B770C"/>
    <w:rsid w:val="34666F7B"/>
    <w:rsid w:val="346B2700"/>
    <w:rsid w:val="34B968ED"/>
    <w:rsid w:val="355E57CB"/>
    <w:rsid w:val="36516B65"/>
    <w:rsid w:val="383A267A"/>
    <w:rsid w:val="38577E8D"/>
    <w:rsid w:val="385C44C4"/>
    <w:rsid w:val="38D16AC7"/>
    <w:rsid w:val="3AC14C7E"/>
    <w:rsid w:val="3AD74C1D"/>
    <w:rsid w:val="3B4C5244"/>
    <w:rsid w:val="3B7154D6"/>
    <w:rsid w:val="3CB70999"/>
    <w:rsid w:val="3D790EEC"/>
    <w:rsid w:val="3F160A24"/>
    <w:rsid w:val="3F7F3B30"/>
    <w:rsid w:val="3F9A581D"/>
    <w:rsid w:val="414F07AA"/>
    <w:rsid w:val="424000D3"/>
    <w:rsid w:val="43390BD3"/>
    <w:rsid w:val="45CC27B6"/>
    <w:rsid w:val="46D217A4"/>
    <w:rsid w:val="47EE2623"/>
    <w:rsid w:val="49150070"/>
    <w:rsid w:val="49284FF1"/>
    <w:rsid w:val="4B474133"/>
    <w:rsid w:val="4CF265BD"/>
    <w:rsid w:val="4D291980"/>
    <w:rsid w:val="4E062C31"/>
    <w:rsid w:val="511F037E"/>
    <w:rsid w:val="517A11DB"/>
    <w:rsid w:val="534506EC"/>
    <w:rsid w:val="54276A1B"/>
    <w:rsid w:val="54D64516"/>
    <w:rsid w:val="55130DD6"/>
    <w:rsid w:val="55431F05"/>
    <w:rsid w:val="55F62E54"/>
    <w:rsid w:val="560010A4"/>
    <w:rsid w:val="560B6400"/>
    <w:rsid w:val="56994A14"/>
    <w:rsid w:val="59353969"/>
    <w:rsid w:val="59364E5B"/>
    <w:rsid w:val="5A481C62"/>
    <w:rsid w:val="5A496D20"/>
    <w:rsid w:val="5B281F99"/>
    <w:rsid w:val="5B910B37"/>
    <w:rsid w:val="5BB033AA"/>
    <w:rsid w:val="5C074442"/>
    <w:rsid w:val="5D1F6E91"/>
    <w:rsid w:val="5D247366"/>
    <w:rsid w:val="5E1907FA"/>
    <w:rsid w:val="5F801EE4"/>
    <w:rsid w:val="5F936DA7"/>
    <w:rsid w:val="5FA4715E"/>
    <w:rsid w:val="604B6112"/>
    <w:rsid w:val="60DF0BCC"/>
    <w:rsid w:val="61DB046C"/>
    <w:rsid w:val="627F0FA2"/>
    <w:rsid w:val="631C4E58"/>
    <w:rsid w:val="674622AE"/>
    <w:rsid w:val="67992DC4"/>
    <w:rsid w:val="67B548BE"/>
    <w:rsid w:val="67FC547D"/>
    <w:rsid w:val="685F6517"/>
    <w:rsid w:val="68962A00"/>
    <w:rsid w:val="68CC7A2A"/>
    <w:rsid w:val="691D1AC9"/>
    <w:rsid w:val="6A322246"/>
    <w:rsid w:val="6D377EDE"/>
    <w:rsid w:val="6FD41CB2"/>
    <w:rsid w:val="6FFE3375"/>
    <w:rsid w:val="704F1E77"/>
    <w:rsid w:val="71076247"/>
    <w:rsid w:val="715D381F"/>
    <w:rsid w:val="72F03693"/>
    <w:rsid w:val="74E30832"/>
    <w:rsid w:val="7542085F"/>
    <w:rsid w:val="75686F43"/>
    <w:rsid w:val="798D66B6"/>
    <w:rsid w:val="7B1950BF"/>
    <w:rsid w:val="7BAD3515"/>
    <w:rsid w:val="7CE245B7"/>
    <w:rsid w:val="7FF377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before="100" w:beforeAutospacing="1"/>
      <w:ind w:firstLine="420" w:firstLineChars="100"/>
    </w:pPr>
    <w:rPr>
      <w:rFonts w:ascii="Times New Roman" w:hAnsi="Times New Roman" w:cs="宋体"/>
      <w:szCs w:val="21"/>
    </w:rPr>
  </w:style>
  <w:style w:type="paragraph" w:styleId="3">
    <w:name w:val="Body Text"/>
    <w:basedOn w:val="1"/>
    <w:qFormat/>
    <w:uiPriority w:val="0"/>
    <w:pPr>
      <w:spacing w:after="120"/>
    </w:pPr>
  </w:style>
  <w:style w:type="paragraph" w:styleId="4">
    <w:name w:val="Normal Indent"/>
    <w:basedOn w:val="1"/>
    <w:qFormat/>
    <w:uiPriority w:val="0"/>
    <w:pPr>
      <w:ind w:firstLine="425"/>
    </w:pPr>
    <w:rPr>
      <w:rFonts w:ascii="Times New Roman" w:hAnsi="Times New Roman" w:eastAsia="宋体" w:cs="Times New Roman"/>
      <w:szCs w:val="20"/>
    </w:rPr>
  </w:style>
  <w:style w:type="paragraph" w:styleId="5">
    <w:name w:val="Plain Text"/>
    <w:basedOn w:val="1"/>
    <w:qFormat/>
    <w:uiPriority w:val="0"/>
    <w:rPr>
      <w:rFonts w:eastAsia="宋体"/>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9">
    <w:name w:val="Normal (Web)"/>
    <w:basedOn w:val="1"/>
    <w:qFormat/>
    <w:uiPriority w:val="0"/>
    <w:rPr>
      <w:rFonts w:ascii="Calibri" w:hAnsi="Calibri" w:eastAsia="宋体" w:cs="Times New Roman"/>
      <w:sz w:val="24"/>
      <w:szCs w:val="24"/>
    </w:rPr>
  </w:style>
  <w:style w:type="paragraph" w:customStyle="1" w:styleId="12">
    <w:name w:val="正文文本缩进1"/>
    <w:basedOn w:val="1"/>
    <w:qFormat/>
    <w:uiPriority w:val="0"/>
    <w:pPr>
      <w:spacing w:line="360" w:lineRule="auto"/>
      <w:ind w:firstLine="480" w:firstLineChars="200"/>
    </w:pPr>
    <w:rPr>
      <w:rFonts w:ascii="宋体" w:hAnsi="Times New Roman" w:eastAsia="宋体" w:cs="Times New Roman"/>
      <w:kern w:val="0"/>
      <w:sz w:val="24"/>
      <w:szCs w:val="20"/>
    </w:rPr>
  </w:style>
  <w:style w:type="paragraph" w:customStyle="1" w:styleId="1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14">
    <w:name w:val="日期1"/>
    <w:basedOn w:val="1"/>
    <w:next w:val="1"/>
    <w:qFormat/>
    <w:uiPriority w:val="0"/>
    <w:rPr>
      <w:rFonts w:ascii="Times New Roman" w:hAnsi="Times New Roman" w:eastAsia="宋体" w:cs="Times New Roman"/>
      <w:kern w:val="0"/>
      <w:sz w:val="24"/>
      <w:szCs w:val="20"/>
    </w:rPr>
  </w:style>
  <w:style w:type="paragraph" w:customStyle="1" w:styleId="15">
    <w:name w:val="样式1"/>
    <w:basedOn w:val="1"/>
    <w:qFormat/>
    <w:uiPriority w:val="0"/>
    <w:pPr>
      <w:tabs>
        <w:tab w:val="left" w:pos="709"/>
      </w:tabs>
      <w:adjustRightInd w:val="0"/>
      <w:ind w:left="709" w:hanging="709"/>
      <w:textAlignment w:val="baseline"/>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67</Pages>
  <Words>30941</Words>
  <Characters>4439</Characters>
  <Lines>36</Lines>
  <Paragraphs>70</Paragraphs>
  <ScaleCrop>false</ScaleCrop>
  <LinksUpToDate>false</LinksUpToDate>
  <CharactersWithSpaces>35310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2017-12-04T00:54:00Z</dcterms:created>
  <dc:creator>Administrator</dc:creator>
  <cp:lastModifiedBy>Administrator</cp:lastModifiedBy>
  <cp:lastPrinted>2017-12-08T12:26:00Z</cp:lastPrinted>
  <dcterms:modified xsi:type="dcterms:W3CDTF">2017-12-28T03:44:01Z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