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Cs w:val="24"/>
        </w:rPr>
      </w:pPr>
    </w:p>
    <w:p>
      <w:pPr>
        <w:rPr>
          <w:rFonts w:ascii="宋体" w:hAnsi="宋体" w:eastAsia="宋体" w:cs="宋体"/>
          <w:szCs w:val="24"/>
        </w:rPr>
      </w:pPr>
    </w:p>
    <w:p>
      <w:pPr>
        <w:widowControl/>
        <w:overflowPunct w:val="0"/>
        <w:autoSpaceDE w:val="0"/>
        <w:autoSpaceDN w:val="0"/>
        <w:adjustRightInd w:val="0"/>
        <w:spacing w:line="240" w:lineRule="exact"/>
        <w:jc w:val="center"/>
        <w:textAlignment w:val="baseline"/>
        <w:rPr>
          <w:rFonts w:ascii="黑体" w:hAnsi="黑体" w:eastAsia="黑体" w:cs="黑体"/>
          <w:kern w:val="0"/>
          <w:sz w:val="48"/>
          <w:szCs w:val="48"/>
        </w:rPr>
      </w:pPr>
    </w:p>
    <w:p>
      <w:pPr>
        <w:widowControl/>
        <w:overflowPunct w:val="0"/>
        <w:autoSpaceDE w:val="0"/>
        <w:autoSpaceDN w:val="0"/>
        <w:adjustRightInd w:val="0"/>
        <w:spacing w:line="360" w:lineRule="auto"/>
        <w:jc w:val="center"/>
        <w:textAlignment w:val="baseline"/>
        <w:rPr>
          <w:rFonts w:ascii="黑体" w:hAnsi="黑体" w:eastAsia="黑体" w:cs="黑体"/>
          <w:kern w:val="0"/>
          <w:sz w:val="48"/>
          <w:szCs w:val="48"/>
        </w:rPr>
      </w:pPr>
      <w:r>
        <w:rPr>
          <w:rFonts w:hint="eastAsia" w:ascii="黑体" w:hAnsi="黑体" w:eastAsia="黑体" w:cs="黑体"/>
          <w:kern w:val="0"/>
          <w:sz w:val="48"/>
          <w:szCs w:val="48"/>
        </w:rPr>
        <w:t>郑阜高铁鄢陵南站站前广场及市政配套设施PPP咨询机构采购项目（二次）</w:t>
      </w:r>
    </w:p>
    <w:p>
      <w:pPr>
        <w:widowControl/>
        <w:tabs>
          <w:tab w:val="left" w:pos="5855"/>
        </w:tabs>
        <w:overflowPunct w:val="0"/>
        <w:autoSpaceDE w:val="0"/>
        <w:autoSpaceDN w:val="0"/>
        <w:adjustRightInd w:val="0"/>
        <w:jc w:val="left"/>
        <w:textAlignment w:val="baseline"/>
        <w:rPr>
          <w:rFonts w:ascii="宋体" w:hAnsi="宋体" w:eastAsia="宋体" w:cs="宋体"/>
          <w:b/>
          <w:kern w:val="0"/>
          <w:sz w:val="32"/>
          <w:szCs w:val="32"/>
        </w:rPr>
      </w:pPr>
      <w:r>
        <w:rPr>
          <w:rFonts w:ascii="宋体" w:hAnsi="宋体" w:eastAsia="宋体" w:cs="宋体"/>
          <w:b/>
          <w:kern w:val="0"/>
          <w:sz w:val="32"/>
          <w:szCs w:val="32"/>
        </w:rPr>
        <w:tab/>
      </w:r>
    </w:p>
    <w:p>
      <w:pPr>
        <w:widowControl/>
        <w:tabs>
          <w:tab w:val="left" w:pos="420"/>
          <w:tab w:val="left" w:pos="840"/>
          <w:tab w:val="left" w:pos="1260"/>
          <w:tab w:val="left" w:pos="1680"/>
          <w:tab w:val="left" w:pos="2100"/>
          <w:tab w:val="left" w:pos="2520"/>
          <w:tab w:val="left" w:pos="2940"/>
          <w:tab w:val="left" w:pos="3360"/>
          <w:tab w:val="left" w:pos="3780"/>
          <w:tab w:val="left" w:pos="4200"/>
          <w:tab w:val="center" w:pos="4479"/>
          <w:tab w:val="left" w:pos="4620"/>
          <w:tab w:val="left" w:pos="5515"/>
        </w:tabs>
        <w:overflowPunct w:val="0"/>
        <w:autoSpaceDE w:val="0"/>
        <w:autoSpaceDN w:val="0"/>
        <w:adjustRightInd w:val="0"/>
        <w:jc w:val="left"/>
        <w:textAlignment w:val="baseline"/>
        <w:rPr>
          <w:rFonts w:ascii="宋体" w:hAnsi="宋体" w:eastAsia="宋体" w:cs="宋体"/>
          <w:b/>
          <w:kern w:val="0"/>
          <w:sz w:val="32"/>
          <w:szCs w:val="32"/>
        </w:rPr>
      </w:pP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r>
        <w:rPr>
          <w:rFonts w:hint="eastAsia" w:ascii="宋体" w:hAnsi="宋体" w:eastAsia="宋体" w:cs="宋体"/>
          <w:b/>
          <w:kern w:val="0"/>
          <w:sz w:val="32"/>
          <w:szCs w:val="32"/>
        </w:rPr>
        <w:tab/>
      </w:r>
    </w:p>
    <w:p>
      <w:pPr>
        <w:widowControl/>
        <w:overflowPunct w:val="0"/>
        <w:autoSpaceDE w:val="0"/>
        <w:autoSpaceDN w:val="0"/>
        <w:adjustRightInd w:val="0"/>
        <w:jc w:val="center"/>
        <w:textAlignment w:val="baseline"/>
        <w:rPr>
          <w:rFonts w:ascii="宋体" w:hAnsi="宋体" w:eastAsia="宋体" w:cs="宋体"/>
          <w:b/>
          <w:kern w:val="0"/>
          <w:sz w:val="32"/>
          <w:szCs w:val="32"/>
        </w:rPr>
      </w:pPr>
    </w:p>
    <w:p>
      <w:pPr>
        <w:widowControl/>
        <w:overflowPunct w:val="0"/>
        <w:autoSpaceDE w:val="0"/>
        <w:autoSpaceDN w:val="0"/>
        <w:adjustRightInd w:val="0"/>
        <w:jc w:val="left"/>
        <w:textAlignment w:val="baseline"/>
        <w:rPr>
          <w:rFonts w:ascii="宋体" w:hAnsi="宋体" w:eastAsia="宋体" w:cs="宋体"/>
          <w:b/>
          <w:kern w:val="0"/>
          <w:sz w:val="32"/>
          <w:szCs w:val="32"/>
        </w:rPr>
      </w:pPr>
    </w:p>
    <w:p>
      <w:pPr>
        <w:widowControl/>
        <w:overflowPunct w:val="0"/>
        <w:autoSpaceDE w:val="0"/>
        <w:autoSpaceDN w:val="0"/>
        <w:adjustRightInd w:val="0"/>
        <w:spacing w:line="340" w:lineRule="exact"/>
        <w:jc w:val="left"/>
        <w:textAlignment w:val="baseline"/>
        <w:rPr>
          <w:rFonts w:ascii="宋体" w:hAnsi="宋体" w:eastAsia="宋体" w:cs="宋体"/>
          <w:b/>
          <w:kern w:val="0"/>
          <w:sz w:val="32"/>
          <w:szCs w:val="32"/>
        </w:rPr>
      </w:pPr>
    </w:p>
    <w:p>
      <w:pPr>
        <w:widowControl/>
        <w:overflowPunct w:val="0"/>
        <w:autoSpaceDE w:val="0"/>
        <w:autoSpaceDN w:val="0"/>
        <w:adjustRightInd w:val="0"/>
        <w:jc w:val="center"/>
        <w:textAlignment w:val="baseline"/>
        <w:rPr>
          <w:rFonts w:ascii="宋体" w:hAnsi="宋体" w:eastAsia="宋体" w:cs="宋体"/>
          <w:b/>
          <w:kern w:val="0"/>
          <w:sz w:val="32"/>
          <w:szCs w:val="32"/>
        </w:rPr>
      </w:pPr>
    </w:p>
    <w:p>
      <w:pPr>
        <w:jc w:val="center"/>
        <w:rPr>
          <w:rFonts w:ascii="宋体" w:hAnsi="宋体"/>
          <w:b/>
          <w:sz w:val="92"/>
          <w:szCs w:val="92"/>
        </w:rPr>
      </w:pPr>
      <w:r>
        <w:rPr>
          <w:rFonts w:hint="eastAsia" w:ascii="宋体" w:hAnsi="宋体"/>
          <w:b/>
          <w:sz w:val="92"/>
          <w:szCs w:val="92"/>
        </w:rPr>
        <w:t>招 标 文 件</w:t>
      </w:r>
    </w:p>
    <w:p>
      <w:pPr>
        <w:rPr>
          <w:rFonts w:ascii="宋体" w:hAnsi="宋体"/>
          <w:sz w:val="32"/>
          <w:szCs w:val="32"/>
        </w:rPr>
      </w:pPr>
    </w:p>
    <w:p>
      <w:pPr>
        <w:spacing w:line="360" w:lineRule="auto"/>
        <w:ind w:firstLine="2249" w:firstLineChars="700"/>
        <w:jc w:val="left"/>
        <w:rPr>
          <w:rFonts w:ascii="宋体" w:hAnsi="宋体"/>
          <w:b/>
          <w:sz w:val="32"/>
          <w:szCs w:val="32"/>
        </w:rPr>
      </w:pPr>
      <w:r>
        <w:rPr>
          <w:rFonts w:hint="eastAsia" w:ascii="宋体" w:hAnsi="宋体"/>
          <w:b/>
          <w:sz w:val="32"/>
          <w:szCs w:val="32"/>
        </w:rPr>
        <w:t>项目编号：Y2017FZ206</w:t>
      </w:r>
    </w:p>
    <w:p>
      <w:pPr>
        <w:spacing w:line="360" w:lineRule="auto"/>
        <w:ind w:firstLine="2249" w:firstLineChars="700"/>
        <w:rPr>
          <w:rFonts w:ascii="宋体" w:hAnsi="宋体"/>
          <w:b/>
          <w:sz w:val="32"/>
          <w:szCs w:val="32"/>
        </w:rPr>
      </w:pPr>
      <w:r>
        <w:rPr>
          <w:rFonts w:hint="eastAsia" w:ascii="宋体" w:hAnsi="宋体"/>
          <w:b/>
          <w:sz w:val="32"/>
          <w:szCs w:val="32"/>
        </w:rPr>
        <w:t>招标编号：YLZFCG201710201-F</w:t>
      </w:r>
    </w:p>
    <w:p>
      <w:pPr>
        <w:adjustRightInd w:val="0"/>
        <w:snapToGrid w:val="0"/>
        <w:spacing w:line="360" w:lineRule="auto"/>
        <w:ind w:firstLine="2800" w:firstLineChars="1000"/>
        <w:rPr>
          <w:rFonts w:ascii="宋体" w:hAnsi="宋体" w:eastAsia="宋体" w:cs="宋体"/>
          <w:kern w:val="0"/>
          <w:sz w:val="28"/>
          <w:szCs w:val="28"/>
        </w:rPr>
      </w:pPr>
    </w:p>
    <w:p>
      <w:pPr>
        <w:widowControl/>
        <w:overflowPunct w:val="0"/>
        <w:autoSpaceDE w:val="0"/>
        <w:autoSpaceDN w:val="0"/>
        <w:adjustRightInd w:val="0"/>
        <w:spacing w:line="360" w:lineRule="auto"/>
        <w:jc w:val="center"/>
        <w:textAlignment w:val="baseline"/>
        <w:rPr>
          <w:rFonts w:ascii="宋体" w:hAnsi="宋体" w:eastAsia="宋体" w:cs="宋体"/>
          <w:b/>
          <w:kern w:val="0"/>
          <w:sz w:val="44"/>
          <w:szCs w:val="44"/>
        </w:rPr>
      </w:pPr>
    </w:p>
    <w:p>
      <w:pPr>
        <w:widowControl/>
        <w:tabs>
          <w:tab w:val="left" w:pos="4725"/>
        </w:tabs>
        <w:overflowPunct w:val="0"/>
        <w:autoSpaceDE w:val="0"/>
        <w:autoSpaceDN w:val="0"/>
        <w:adjustRightInd w:val="0"/>
        <w:jc w:val="left"/>
        <w:textAlignment w:val="baseline"/>
        <w:rPr>
          <w:rFonts w:ascii="宋体" w:hAnsi="宋体" w:eastAsia="宋体" w:cs="宋体"/>
          <w:b/>
          <w:kern w:val="0"/>
          <w:sz w:val="32"/>
          <w:szCs w:val="32"/>
        </w:rPr>
      </w:pPr>
    </w:p>
    <w:p>
      <w:pPr>
        <w:widowControl/>
        <w:tabs>
          <w:tab w:val="left" w:pos="4725"/>
        </w:tabs>
        <w:overflowPunct w:val="0"/>
        <w:autoSpaceDE w:val="0"/>
        <w:autoSpaceDN w:val="0"/>
        <w:adjustRightInd w:val="0"/>
        <w:jc w:val="left"/>
        <w:textAlignment w:val="baseline"/>
        <w:rPr>
          <w:rFonts w:ascii="宋体" w:hAnsi="宋体" w:eastAsia="宋体" w:cs="宋体"/>
          <w:b/>
          <w:kern w:val="0"/>
          <w:sz w:val="32"/>
          <w:szCs w:val="32"/>
        </w:rPr>
      </w:pPr>
    </w:p>
    <w:p>
      <w:pPr>
        <w:widowControl/>
        <w:tabs>
          <w:tab w:val="left" w:pos="4725"/>
        </w:tabs>
        <w:overflowPunct w:val="0"/>
        <w:autoSpaceDE w:val="0"/>
        <w:autoSpaceDN w:val="0"/>
        <w:adjustRightInd w:val="0"/>
        <w:jc w:val="left"/>
        <w:textAlignment w:val="baseline"/>
        <w:rPr>
          <w:rFonts w:ascii="宋体" w:hAnsi="宋体" w:eastAsia="宋体" w:cs="宋体"/>
          <w:b/>
          <w:kern w:val="0"/>
          <w:sz w:val="32"/>
          <w:szCs w:val="32"/>
        </w:rPr>
      </w:pPr>
    </w:p>
    <w:p>
      <w:pPr>
        <w:widowControl/>
        <w:overflowPunct w:val="0"/>
        <w:autoSpaceDE w:val="0"/>
        <w:autoSpaceDN w:val="0"/>
        <w:adjustRightInd w:val="0"/>
        <w:jc w:val="left"/>
        <w:textAlignment w:val="baseline"/>
        <w:rPr>
          <w:rFonts w:ascii="宋体" w:hAnsi="宋体" w:eastAsia="宋体" w:cs="宋体"/>
          <w:b/>
          <w:kern w:val="0"/>
          <w:sz w:val="32"/>
          <w:szCs w:val="32"/>
        </w:rPr>
      </w:pPr>
    </w:p>
    <w:p>
      <w:pPr>
        <w:widowControl/>
        <w:overflowPunct w:val="0"/>
        <w:autoSpaceDE w:val="0"/>
        <w:autoSpaceDN w:val="0"/>
        <w:adjustRightInd w:val="0"/>
        <w:spacing w:line="360" w:lineRule="auto"/>
        <w:ind w:firstLine="1928" w:firstLineChars="600"/>
        <w:jc w:val="left"/>
        <w:textAlignment w:val="baseline"/>
        <w:rPr>
          <w:rFonts w:ascii="宋体" w:hAnsi="宋体" w:eastAsia="宋体" w:cs="宋体"/>
          <w:b/>
          <w:kern w:val="0"/>
          <w:sz w:val="32"/>
          <w:szCs w:val="32"/>
          <w:u w:val="single"/>
        </w:rPr>
      </w:pPr>
      <w:r>
        <w:rPr>
          <w:rFonts w:hint="eastAsia" w:ascii="宋体" w:hAnsi="宋体" w:eastAsia="宋体" w:cs="宋体"/>
          <w:b/>
          <w:kern w:val="0"/>
          <w:sz w:val="32"/>
          <w:szCs w:val="32"/>
        </w:rPr>
        <w:t>采 购 人：</w:t>
      </w:r>
      <w:r>
        <w:rPr>
          <w:rFonts w:hint="eastAsia" w:ascii="宋体" w:hAnsi="宋体" w:eastAsia="宋体" w:cs="宋体"/>
          <w:b/>
          <w:kern w:val="0"/>
          <w:sz w:val="32"/>
          <w:szCs w:val="32"/>
          <w:u w:val="single"/>
        </w:rPr>
        <w:t xml:space="preserve">    鄢陵县交通运输局    </w:t>
      </w:r>
    </w:p>
    <w:p>
      <w:pPr>
        <w:widowControl/>
        <w:overflowPunct w:val="0"/>
        <w:autoSpaceDE w:val="0"/>
        <w:autoSpaceDN w:val="0"/>
        <w:adjustRightInd w:val="0"/>
        <w:spacing w:line="360" w:lineRule="auto"/>
        <w:ind w:firstLine="1928" w:firstLineChars="600"/>
        <w:textAlignment w:val="baseline"/>
        <w:rPr>
          <w:rFonts w:ascii="宋体" w:hAnsi="宋体"/>
          <w:b/>
          <w:sz w:val="32"/>
          <w:szCs w:val="32"/>
          <w:u w:val="single"/>
        </w:rPr>
      </w:pPr>
      <w:r>
        <w:rPr>
          <w:rFonts w:hint="eastAsia" w:ascii="宋体" w:hAnsi="宋体"/>
          <w:b/>
          <w:sz w:val="32"/>
          <w:szCs w:val="32"/>
        </w:rPr>
        <w:t>招标代理：</w:t>
      </w:r>
      <w:bookmarkStart w:id="0" w:name="OLE_LINK2"/>
      <w:r>
        <w:rPr>
          <w:rFonts w:hint="eastAsia" w:ascii="宋体" w:hAnsi="宋体"/>
          <w:b/>
          <w:sz w:val="32"/>
          <w:szCs w:val="32"/>
          <w:u w:val="single"/>
        </w:rPr>
        <w:t>河南鑫盈招标代理有限公司</w:t>
      </w:r>
      <w:bookmarkEnd w:id="0"/>
    </w:p>
    <w:p>
      <w:pPr>
        <w:spacing w:line="360" w:lineRule="auto"/>
        <w:ind w:firstLine="1928" w:firstLineChars="600"/>
        <w:jc w:val="left"/>
        <w:rPr>
          <w:rFonts w:ascii="宋体" w:hAnsi="宋体" w:eastAsia="宋体" w:cs="宋体"/>
          <w:b/>
          <w:kern w:val="0"/>
          <w:sz w:val="32"/>
          <w:szCs w:val="32"/>
        </w:rPr>
      </w:pPr>
      <w:r>
        <w:rPr>
          <w:rFonts w:hint="eastAsia" w:ascii="宋体" w:hAnsi="宋体"/>
          <w:b/>
          <w:sz w:val="32"/>
          <w:szCs w:val="32"/>
        </w:rPr>
        <w:t>时    间：</w:t>
      </w:r>
      <w:r>
        <w:rPr>
          <w:rFonts w:hint="eastAsia" w:ascii="宋体" w:hAnsi="宋体"/>
          <w:b/>
          <w:sz w:val="32"/>
          <w:szCs w:val="32"/>
          <w:u w:val="single"/>
        </w:rPr>
        <w:t xml:space="preserve">    二○一七年十二月    </w:t>
      </w:r>
    </w:p>
    <w:p>
      <w:pPr>
        <w:widowControl/>
        <w:overflowPunct w:val="0"/>
        <w:autoSpaceDE w:val="0"/>
        <w:autoSpaceDN w:val="0"/>
        <w:adjustRightInd w:val="0"/>
        <w:jc w:val="center"/>
        <w:textAlignment w:val="baseline"/>
        <w:rPr>
          <w:rFonts w:ascii="宋体" w:hAnsi="宋体" w:eastAsia="宋体" w:cs="宋体"/>
          <w:b/>
          <w:kern w:val="0"/>
          <w:sz w:val="32"/>
          <w:szCs w:val="32"/>
        </w:rPr>
        <w:sectPr>
          <w:footerReference r:id="rId3" w:type="first"/>
          <w:pgSz w:w="11906" w:h="16838"/>
          <w:pgMar w:top="1587" w:right="1587" w:bottom="1587" w:left="1587" w:header="1247" w:footer="992" w:gutter="0"/>
          <w:pgNumType w:start="1"/>
          <w:cols w:space="0" w:num="1"/>
          <w:docGrid w:linePitch="312" w:charSpace="0"/>
        </w:sectPr>
      </w:pPr>
    </w:p>
    <w:p>
      <w:pPr>
        <w:widowControl/>
        <w:overflowPunct w:val="0"/>
        <w:autoSpaceDE w:val="0"/>
        <w:autoSpaceDN w:val="0"/>
        <w:adjustRightInd w:val="0"/>
        <w:spacing w:line="800" w:lineRule="exact"/>
        <w:jc w:val="center"/>
        <w:textAlignment w:val="baseline"/>
        <w:rPr>
          <w:rFonts w:ascii="宋体" w:hAnsi="宋体" w:eastAsia="宋体" w:cs="宋体"/>
          <w:b/>
          <w:sz w:val="44"/>
          <w:szCs w:val="44"/>
        </w:rPr>
      </w:pPr>
      <w:r>
        <w:rPr>
          <w:rFonts w:hint="eastAsia" w:ascii="宋体" w:hAnsi="宋体" w:eastAsia="宋体" w:cs="宋体"/>
          <w:b/>
          <w:kern w:val="0"/>
          <w:sz w:val="44"/>
          <w:szCs w:val="44"/>
        </w:rPr>
        <w:t xml:space="preserve"> </w:t>
      </w:r>
      <w:r>
        <w:rPr>
          <w:rFonts w:hint="eastAsia" w:ascii="宋体" w:hAnsi="宋体" w:eastAsia="宋体" w:cs="宋体"/>
          <w:b/>
          <w:sz w:val="44"/>
          <w:szCs w:val="44"/>
        </w:rPr>
        <w:t>目    录</w:t>
      </w:r>
    </w:p>
    <w:p>
      <w:pPr>
        <w:autoSpaceDE w:val="0"/>
        <w:autoSpaceDN w:val="0"/>
        <w:adjustRightInd w:val="0"/>
        <w:spacing w:line="300" w:lineRule="exact"/>
        <w:ind w:left="143" w:leftChars="68" w:firstLine="707" w:firstLineChars="221"/>
        <w:rPr>
          <w:rFonts w:ascii="宋体" w:hAnsi="宋体" w:eastAsia="宋体" w:cs="宋体"/>
          <w:sz w:val="32"/>
          <w:szCs w:val="32"/>
        </w:rPr>
      </w:pPr>
    </w:p>
    <w:p>
      <w:pPr>
        <w:pStyle w:val="16"/>
        <w:tabs>
          <w:tab w:val="right" w:leader="dot" w:pos="8958"/>
        </w:tabs>
        <w:spacing w:line="350" w:lineRule="exact"/>
        <w:jc w:val="center"/>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fldChar w:fldCharType="begin"/>
      </w:r>
      <w:r>
        <w:instrText xml:space="preserve"> HYPERLINK \l "_Toc25103" </w:instrText>
      </w:r>
      <w:r>
        <w:fldChar w:fldCharType="separate"/>
      </w:r>
      <w:r>
        <w:rPr>
          <w:rFonts w:hint="eastAsia" w:ascii="宋体" w:hAnsi="宋体" w:eastAsia="宋体" w:cs="宋体"/>
          <w:bCs/>
          <w:sz w:val="24"/>
          <w:szCs w:val="24"/>
          <w:lang w:val="zh-CN"/>
        </w:rPr>
        <w:t xml:space="preserve">第一部分 </w:t>
      </w:r>
      <w:r>
        <w:rPr>
          <w:rFonts w:hint="eastAsia" w:ascii="宋体" w:hAnsi="宋体" w:eastAsia="宋体" w:cs="宋体"/>
          <w:bCs/>
          <w:sz w:val="24"/>
          <w:szCs w:val="24"/>
        </w:rPr>
        <w:t>招标公告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_Toc25103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8"/>
        </w:tabs>
        <w:spacing w:line="350" w:lineRule="exact"/>
        <w:jc w:val="center"/>
        <w:rPr>
          <w:rFonts w:ascii="宋体" w:hAnsi="宋体" w:eastAsia="宋体" w:cs="宋体"/>
          <w:sz w:val="24"/>
          <w:szCs w:val="24"/>
        </w:rPr>
      </w:pPr>
      <w:r>
        <w:fldChar w:fldCharType="begin"/>
      </w:r>
      <w:r>
        <w:instrText xml:space="preserve"> HYPERLINK \l "_Toc24880" </w:instrText>
      </w:r>
      <w:r>
        <w:fldChar w:fldCharType="separate"/>
      </w:r>
      <w:r>
        <w:rPr>
          <w:rFonts w:hint="eastAsia" w:ascii="宋体" w:hAnsi="宋体" w:eastAsia="宋体" w:cs="宋体"/>
          <w:bCs/>
          <w:sz w:val="24"/>
          <w:szCs w:val="24"/>
          <w:lang w:val="zh-CN"/>
        </w:rPr>
        <w:t>第二部分 项目需求及其它要求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_Toc24880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"_Toc27149" </w:instrText>
      </w:r>
      <w:r>
        <w:fldChar w:fldCharType="separate"/>
      </w:r>
      <w:r>
        <w:rPr>
          <w:rFonts w:hint="eastAsia" w:ascii="宋体" w:hAnsi="宋体" w:eastAsia="宋体" w:cs="宋体"/>
          <w:sz w:val="24"/>
          <w:szCs w:val="24"/>
        </w:rPr>
        <w:t xml:space="preserve">一、 </w:t>
      </w:r>
      <w:r>
        <w:rPr>
          <w:rFonts w:hint="eastAsia" w:ascii="宋体" w:hAnsi="宋体" w:eastAsia="宋体" w:cs="宋体"/>
          <w:bCs/>
          <w:sz w:val="24"/>
          <w:szCs w:val="24"/>
        </w:rPr>
        <w:t>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_Toc27149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"_Toc21546" </w:instrText>
      </w:r>
      <w:r>
        <w:fldChar w:fldCharType="separate"/>
      </w:r>
      <w:r>
        <w:rPr>
          <w:rFonts w:hint="eastAsia" w:ascii="宋体" w:hAnsi="宋体" w:eastAsia="宋体" w:cs="宋体"/>
          <w:bCs/>
          <w:sz w:val="24"/>
          <w:szCs w:val="24"/>
        </w:rPr>
        <w:t>二、项目需求</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5</w:t>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"_Toc361" </w:instrText>
      </w:r>
      <w:r>
        <w:fldChar w:fldCharType="separate"/>
      </w:r>
      <w:r>
        <w:rPr>
          <w:rFonts w:hint="eastAsia" w:ascii="宋体" w:hAnsi="宋体" w:eastAsia="宋体" w:cs="宋体"/>
          <w:bCs/>
          <w:sz w:val="24"/>
          <w:szCs w:val="24"/>
        </w:rPr>
        <w:t>三、其它要求</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6</w:t>
      </w:r>
    </w:p>
    <w:p>
      <w:pPr>
        <w:pStyle w:val="16"/>
        <w:tabs>
          <w:tab w:val="right" w:leader="dot" w:pos="8958"/>
        </w:tabs>
        <w:spacing w:line="350" w:lineRule="exact"/>
        <w:jc w:val="center"/>
        <w:rPr>
          <w:rFonts w:ascii="宋体" w:hAnsi="宋体" w:eastAsia="宋体" w:cs="宋体"/>
          <w:sz w:val="24"/>
          <w:szCs w:val="24"/>
        </w:rPr>
      </w:pPr>
      <w:r>
        <w:fldChar w:fldCharType="begin"/>
      </w:r>
      <w:r>
        <w:instrText xml:space="preserve"> HYPERLINK \l "_Toc2516" </w:instrText>
      </w:r>
      <w:r>
        <w:fldChar w:fldCharType="separate"/>
      </w:r>
      <w:r>
        <w:rPr>
          <w:rFonts w:hint="eastAsia" w:ascii="宋体" w:hAnsi="宋体" w:eastAsia="宋体" w:cs="宋体"/>
          <w:bCs/>
          <w:sz w:val="24"/>
          <w:szCs w:val="24"/>
          <w:lang w:val="zh-CN"/>
        </w:rPr>
        <w:t>第三部分</w:t>
      </w:r>
      <w:r>
        <w:rPr>
          <w:rFonts w:hint="eastAsia" w:ascii="宋体" w:hAnsi="宋体" w:eastAsia="宋体" w:cs="宋体"/>
          <w:bCs/>
          <w:sz w:val="24"/>
          <w:szCs w:val="24"/>
        </w:rPr>
        <w:t xml:space="preserve"> </w:t>
      </w:r>
      <w:r>
        <w:rPr>
          <w:rFonts w:hint="eastAsia" w:ascii="宋体" w:hAnsi="宋体" w:eastAsia="宋体" w:cs="宋体"/>
          <w:bCs/>
          <w:sz w:val="24"/>
          <w:szCs w:val="24"/>
          <w:lang w:val="zh-CN"/>
        </w:rPr>
        <w:t>供应商须知</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8</w:t>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"_Toc1867" </w:instrText>
      </w:r>
      <w:r>
        <w:fldChar w:fldCharType="separate"/>
      </w:r>
      <w:r>
        <w:rPr>
          <w:rFonts w:hint="eastAsia" w:ascii="宋体" w:hAnsi="宋体" w:eastAsia="宋体" w:cs="宋体"/>
          <w:sz w:val="24"/>
          <w:szCs w:val="24"/>
        </w:rPr>
        <w:t>A 说明和释义</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12</w:t>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"_Toc13616" </w:instrText>
      </w:r>
      <w:r>
        <w:fldChar w:fldCharType="separate"/>
      </w:r>
      <w:r>
        <w:rPr>
          <w:rFonts w:hint="eastAsia" w:ascii="宋体" w:hAnsi="宋体" w:eastAsia="宋体" w:cs="宋体"/>
          <w:sz w:val="24"/>
          <w:szCs w:val="24"/>
        </w:rPr>
        <w:t>B 招标文件说明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_Toc13616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"_Toc14678" </w:instrText>
      </w:r>
      <w:r>
        <w:fldChar w:fldCharType="separate"/>
      </w:r>
      <w:r>
        <w:rPr>
          <w:rFonts w:hint="eastAsia" w:ascii="宋体" w:hAnsi="宋体" w:eastAsia="宋体" w:cs="宋体"/>
          <w:sz w:val="24"/>
          <w:szCs w:val="24"/>
        </w:rPr>
        <w:t>C投标文件的编写和说明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_Toc14678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"_Toc16721" </w:instrText>
      </w:r>
      <w:r>
        <w:fldChar w:fldCharType="separate"/>
      </w:r>
      <w:r>
        <w:rPr>
          <w:rFonts w:hint="eastAsia" w:ascii="宋体" w:hAnsi="宋体" w:eastAsia="宋体" w:cs="宋体"/>
          <w:sz w:val="24"/>
          <w:szCs w:val="24"/>
          <w:lang w:val="zh-CN"/>
        </w:rPr>
        <w:t>D、投标文件的递交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_Toc16721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"_Toc29261" </w:instrText>
      </w:r>
      <w:r>
        <w:fldChar w:fldCharType="separate"/>
      </w:r>
      <w:r>
        <w:rPr>
          <w:rFonts w:hint="eastAsia" w:ascii="宋体" w:hAnsi="宋体" w:eastAsia="宋体" w:cs="宋体"/>
          <w:sz w:val="24"/>
          <w:szCs w:val="24"/>
          <w:lang w:val="zh-CN"/>
        </w:rPr>
        <w:t>E、开标和评标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_Toc29261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"_Toc12802" </w:instrText>
      </w:r>
      <w:r>
        <w:fldChar w:fldCharType="separate"/>
      </w:r>
      <w:r>
        <w:rPr>
          <w:rFonts w:hint="eastAsia" w:ascii="宋体" w:hAnsi="宋体" w:eastAsia="宋体" w:cs="宋体"/>
          <w:sz w:val="24"/>
          <w:szCs w:val="24"/>
          <w:lang w:val="zh-CN"/>
        </w:rPr>
        <w:t>F、授予合同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_Toc12802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8"/>
        </w:tabs>
        <w:spacing w:line="350" w:lineRule="exact"/>
        <w:jc w:val="center"/>
        <w:rPr>
          <w:rFonts w:ascii="宋体" w:hAnsi="宋体" w:eastAsia="宋体" w:cs="宋体"/>
          <w:sz w:val="24"/>
          <w:szCs w:val="24"/>
        </w:rPr>
      </w:pPr>
      <w:r>
        <w:fldChar w:fldCharType="begin"/>
      </w:r>
      <w:r>
        <w:instrText xml:space="preserve"> HYPERLINK \l "_Toc12949" </w:instrText>
      </w:r>
      <w:r>
        <w:fldChar w:fldCharType="separate"/>
      </w:r>
      <w:r>
        <w:rPr>
          <w:rFonts w:hint="eastAsia" w:ascii="宋体" w:hAnsi="宋体" w:eastAsia="宋体" w:cs="宋体"/>
          <w:bCs/>
          <w:sz w:val="24"/>
          <w:szCs w:val="24"/>
          <w:lang w:val="zh-CN"/>
        </w:rPr>
        <w:t>第四部分 评标办法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_Toc12949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8"/>
        </w:tabs>
        <w:spacing w:line="350" w:lineRule="exact"/>
        <w:jc w:val="center"/>
        <w:rPr>
          <w:rFonts w:ascii="宋体" w:hAnsi="宋体" w:eastAsia="宋体" w:cs="宋体"/>
          <w:sz w:val="24"/>
          <w:szCs w:val="24"/>
        </w:rPr>
      </w:pPr>
      <w:r>
        <w:fldChar w:fldCharType="begin"/>
      </w:r>
      <w:r>
        <w:instrText xml:space="preserve"> HYPERLINK \l "_Toc2744" </w:instrText>
      </w:r>
      <w:r>
        <w:fldChar w:fldCharType="separate"/>
      </w:r>
      <w:r>
        <w:rPr>
          <w:rFonts w:hint="eastAsia" w:ascii="宋体" w:hAnsi="宋体" w:eastAsia="宋体" w:cs="宋体"/>
          <w:bCs/>
          <w:sz w:val="24"/>
          <w:szCs w:val="24"/>
          <w:lang w:val="zh-CN"/>
        </w:rPr>
        <w:t>第五部分 合同样本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_Toc2744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6"/>
        <w:tabs>
          <w:tab w:val="right" w:leader="dot" w:pos="8958"/>
        </w:tabs>
        <w:spacing w:line="350" w:lineRule="exact"/>
        <w:jc w:val="center"/>
        <w:rPr>
          <w:rFonts w:ascii="宋体" w:hAnsi="宋体" w:eastAsia="宋体" w:cs="宋体"/>
          <w:sz w:val="24"/>
          <w:szCs w:val="24"/>
        </w:rPr>
      </w:pPr>
      <w:r>
        <w:fldChar w:fldCharType="begin"/>
      </w:r>
      <w:r>
        <w:instrText xml:space="preserve"> HYPERLINK \l "_Toc27116" </w:instrText>
      </w:r>
      <w:r>
        <w:fldChar w:fldCharType="separate"/>
      </w:r>
      <w:r>
        <w:rPr>
          <w:rFonts w:hint="eastAsia" w:ascii="宋体" w:hAnsi="宋体" w:eastAsia="宋体" w:cs="宋体"/>
          <w:bCs/>
          <w:sz w:val="24"/>
          <w:szCs w:val="24"/>
          <w:lang w:val="zh-CN"/>
        </w:rPr>
        <w:t>第六部分 附件</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33</w:t>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"_Toc30184" </w:instrText>
      </w:r>
      <w:r>
        <w:fldChar w:fldCharType="separate"/>
      </w:r>
      <w:r>
        <w:rPr>
          <w:rFonts w:hint="eastAsia" w:ascii="宋体" w:hAnsi="宋体" w:eastAsia="宋体" w:cs="宋体"/>
          <w:sz w:val="24"/>
          <w:szCs w:val="24"/>
        </w:rPr>
        <w:t>附件1 投标函及开标一览表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_Toc30184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"_Toc29659" </w:instrText>
      </w:r>
      <w:r>
        <w:fldChar w:fldCharType="separate"/>
      </w:r>
      <w:r>
        <w:rPr>
          <w:rFonts w:hint="eastAsia" w:ascii="宋体" w:hAnsi="宋体" w:eastAsia="宋体" w:cs="宋体"/>
          <w:bCs/>
          <w:sz w:val="24"/>
          <w:szCs w:val="24"/>
        </w:rPr>
        <w:t>（一）投 标 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_Toc29659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"_Toc30778" </w:instrText>
      </w:r>
      <w:r>
        <w:fldChar w:fldCharType="separate"/>
      </w:r>
      <w:r>
        <w:rPr>
          <w:rFonts w:hint="eastAsia" w:ascii="宋体" w:hAnsi="宋体" w:eastAsia="宋体" w:cs="宋体"/>
          <w:bCs/>
          <w:sz w:val="24"/>
          <w:szCs w:val="24"/>
        </w:rPr>
        <w:t>（二）开标一览表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_Toc30778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"_Toc1191" </w:instrText>
      </w:r>
      <w:r>
        <w:fldChar w:fldCharType="separate"/>
      </w:r>
      <w:r>
        <w:rPr>
          <w:rFonts w:hint="eastAsia" w:ascii="宋体" w:hAnsi="宋体" w:eastAsia="宋体" w:cs="宋体"/>
          <w:sz w:val="24"/>
          <w:szCs w:val="24"/>
        </w:rPr>
        <w:t>附件2 法定代表人身份证明或授权委托书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_Toc1191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"_Toc5683" </w:instrText>
      </w:r>
      <w:r>
        <w:fldChar w:fldCharType="separate"/>
      </w:r>
      <w:r>
        <w:rPr>
          <w:rFonts w:hint="eastAsia" w:ascii="宋体" w:hAnsi="宋体" w:eastAsia="宋体" w:cs="宋体"/>
          <w:sz w:val="24"/>
          <w:szCs w:val="24"/>
        </w:rPr>
        <w:t>（一）法定代表人身份证明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_Toc5683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"_Toc29384" </w:instrText>
      </w:r>
      <w:r>
        <w:fldChar w:fldCharType="separate"/>
      </w:r>
      <w:r>
        <w:rPr>
          <w:rFonts w:hint="eastAsia" w:ascii="宋体" w:hAnsi="宋体" w:eastAsia="宋体" w:cs="宋体"/>
          <w:sz w:val="24"/>
          <w:szCs w:val="24"/>
        </w:rPr>
        <w:t>（二）授权委托书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_Toc29384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"_Toc18505" </w:instrText>
      </w:r>
      <w:r>
        <w:fldChar w:fldCharType="separate"/>
      </w:r>
      <w:r>
        <w:rPr>
          <w:rFonts w:hint="eastAsia" w:ascii="宋体" w:hAnsi="宋体" w:eastAsia="宋体" w:cs="宋体"/>
          <w:sz w:val="24"/>
          <w:szCs w:val="24"/>
        </w:rPr>
        <w:t>附件3 投标保证金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_Toc18505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"_Toc26938" </w:instrText>
      </w:r>
      <w:r>
        <w:fldChar w:fldCharType="separate"/>
      </w:r>
      <w:r>
        <w:rPr>
          <w:rFonts w:hint="eastAsia" w:ascii="宋体" w:hAnsi="宋体" w:eastAsia="宋体" w:cs="宋体"/>
          <w:sz w:val="24"/>
          <w:szCs w:val="24"/>
        </w:rPr>
        <w:t>附件4 供应商情况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_Toc26938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"_Toc14462" </w:instrText>
      </w:r>
      <w:r>
        <w:fldChar w:fldCharType="separate"/>
      </w:r>
      <w:r>
        <w:rPr>
          <w:rFonts w:hint="eastAsia" w:ascii="宋体" w:hAnsi="宋体" w:eastAsia="宋体" w:cs="宋体"/>
          <w:sz w:val="24"/>
          <w:szCs w:val="24"/>
        </w:rPr>
        <w:t>（一）基本情况表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_Toc14462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"_Toc12570" </w:instrText>
      </w:r>
      <w:r>
        <w:fldChar w:fldCharType="separate"/>
      </w:r>
      <w:r>
        <w:rPr>
          <w:rFonts w:hint="eastAsia" w:ascii="宋体" w:hAnsi="宋体" w:eastAsia="宋体" w:cs="宋体"/>
          <w:sz w:val="24"/>
          <w:szCs w:val="24"/>
        </w:rPr>
        <w:t>（二）拟派本项目负责人情况表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_Toc12570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"_Toc24058" </w:instrText>
      </w:r>
      <w:r>
        <w:fldChar w:fldCharType="separate"/>
      </w:r>
      <w:r>
        <w:rPr>
          <w:rFonts w:hint="eastAsia" w:ascii="宋体" w:hAnsi="宋体" w:eastAsia="宋体" w:cs="宋体"/>
          <w:sz w:val="24"/>
          <w:szCs w:val="24"/>
        </w:rPr>
        <w:t>（三）拟派本项目组成员情况一览表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_Toc24058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firstLine="420" w:firstLineChars="200"/>
        <w:jc w:val="center"/>
        <w:rPr>
          <w:rFonts w:ascii="宋体" w:hAnsi="宋体" w:eastAsia="宋体" w:cs="宋体"/>
          <w:sz w:val="24"/>
          <w:szCs w:val="24"/>
        </w:rPr>
      </w:pPr>
      <w:r>
        <w:fldChar w:fldCharType="begin"/>
      </w:r>
      <w:r>
        <w:instrText xml:space="preserve"> HYPERLINK \l "_Toc30066" </w:instrText>
      </w:r>
      <w:r>
        <w:fldChar w:fldCharType="separate"/>
      </w:r>
      <w:r>
        <w:rPr>
          <w:rFonts w:hint="eastAsia" w:ascii="宋体" w:hAnsi="宋体" w:eastAsia="宋体" w:cs="宋体"/>
          <w:sz w:val="24"/>
          <w:szCs w:val="24"/>
        </w:rPr>
        <w:t>（四）其他企业相关资料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_Toc30066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"_Toc28212" </w:instrText>
      </w:r>
      <w:r>
        <w:fldChar w:fldCharType="separate"/>
      </w:r>
      <w:r>
        <w:rPr>
          <w:rFonts w:hint="eastAsia" w:ascii="宋体" w:hAnsi="宋体" w:eastAsia="宋体" w:cs="宋体"/>
          <w:sz w:val="24"/>
          <w:szCs w:val="24"/>
        </w:rPr>
        <w:t>附件5 PPP项目业绩</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43</w:t>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"_Toc14881" </w:instrText>
      </w:r>
      <w:r>
        <w:fldChar w:fldCharType="separate"/>
      </w:r>
      <w:r>
        <w:rPr>
          <w:rFonts w:hint="eastAsia" w:ascii="宋体" w:hAnsi="宋体" w:eastAsia="宋体" w:cs="宋体"/>
          <w:sz w:val="24"/>
          <w:szCs w:val="24"/>
        </w:rPr>
        <w:t>附件6 咨询服务方案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_Toc14881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"_Toc6318" </w:instrText>
      </w:r>
      <w:r>
        <w:fldChar w:fldCharType="separate"/>
      </w:r>
      <w:r>
        <w:rPr>
          <w:rFonts w:hint="eastAsia" w:ascii="宋体" w:hAnsi="宋体" w:eastAsia="宋体" w:cs="宋体"/>
          <w:sz w:val="24"/>
          <w:szCs w:val="24"/>
        </w:rPr>
        <w:t>附件7 中标服务费承诺书格式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_Toc6318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"_Toc18239" </w:instrText>
      </w:r>
      <w:r>
        <w:fldChar w:fldCharType="separate"/>
      </w:r>
      <w:r>
        <w:rPr>
          <w:rFonts w:hint="eastAsia" w:ascii="宋体" w:hAnsi="宋体" w:eastAsia="宋体" w:cs="宋体"/>
          <w:sz w:val="24"/>
          <w:szCs w:val="24"/>
        </w:rPr>
        <w:t>附件8 反商业贿赂承诺书</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8</w:t>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"_Toc26963" </w:instrText>
      </w:r>
      <w:r>
        <w:fldChar w:fldCharType="separate"/>
      </w:r>
      <w:r>
        <w:rPr>
          <w:rFonts w:hint="eastAsia" w:ascii="宋体" w:hAnsi="宋体" w:eastAsia="宋体" w:cs="宋体"/>
          <w:sz w:val="24"/>
          <w:szCs w:val="24"/>
        </w:rPr>
        <w:t>附件9 供应商资格声明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_Toc26963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rPr>
          <w:color w:val="auto"/>
        </w:rPr>
        <w:fldChar w:fldCharType="begin"/>
      </w:r>
      <w:r>
        <w:rPr>
          <w:color w:val="auto"/>
        </w:rPr>
        <w:instrText xml:space="preserve"> HYPERLINK \l "_Toc5235" </w:instrText>
      </w:r>
      <w:r>
        <w:rPr>
          <w:color w:val="auto"/>
        </w:rPr>
        <w:fldChar w:fldCharType="separate"/>
      </w:r>
      <w:r>
        <w:rPr>
          <w:rFonts w:hint="eastAsia" w:ascii="宋体" w:hAnsi="宋体" w:eastAsia="宋体" w:cs="宋体"/>
          <w:color w:val="auto"/>
          <w:sz w:val="24"/>
          <w:szCs w:val="24"/>
        </w:rPr>
        <w:t>附件10 政府采购活动前3年内在经营活动中没有重大违法记录的书面声明</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_Toc5235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8"/>
        <w:tabs>
          <w:tab w:val="right" w:leader="dot" w:pos="8958"/>
        </w:tabs>
        <w:spacing w:line="350" w:lineRule="exact"/>
        <w:ind w:left="0" w:leftChars="0"/>
        <w:jc w:val="center"/>
        <w:rPr>
          <w:rFonts w:ascii="宋体" w:hAnsi="宋体" w:eastAsia="宋体" w:cs="宋体"/>
          <w:sz w:val="24"/>
          <w:szCs w:val="24"/>
        </w:rPr>
      </w:pPr>
      <w:r>
        <w:fldChar w:fldCharType="begin"/>
      </w:r>
      <w:r>
        <w:instrText xml:space="preserve"> HYPERLINK \l "_Toc5235" </w:instrText>
      </w:r>
      <w:r>
        <w:fldChar w:fldCharType="separate"/>
      </w:r>
      <w:r>
        <w:rPr>
          <w:rFonts w:hint="eastAsia" w:ascii="宋体" w:hAnsi="宋体" w:eastAsia="宋体" w:cs="宋体"/>
          <w:sz w:val="24"/>
          <w:szCs w:val="24"/>
        </w:rPr>
        <w:t>附件11 其它相关资料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_Toc5235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
      <w:pPr>
        <w:autoSpaceDE w:val="0"/>
        <w:autoSpaceDN w:val="0"/>
        <w:adjustRightInd w:val="0"/>
        <w:spacing w:line="800" w:lineRule="exact"/>
        <w:jc w:val="center"/>
        <w:rPr>
          <w:rFonts w:ascii="宋体" w:hAnsi="宋体" w:eastAsia="宋体" w:cs="宋体"/>
          <w:sz w:val="24"/>
          <w:szCs w:val="24"/>
        </w:rPr>
        <w:sectPr>
          <w:headerReference r:id="rId4" w:type="default"/>
          <w:pgSz w:w="11906" w:h="16838"/>
          <w:pgMar w:top="1587" w:right="1587" w:bottom="1587" w:left="1587" w:header="1247" w:footer="992" w:gutter="0"/>
          <w:pgNumType w:start="1"/>
          <w:cols w:space="0" w:num="1"/>
          <w:docGrid w:linePitch="312" w:charSpace="0"/>
        </w:sectPr>
      </w:pPr>
    </w:p>
    <w:p>
      <w:pPr>
        <w:autoSpaceDE w:val="0"/>
        <w:autoSpaceDN w:val="0"/>
        <w:adjustRightInd w:val="0"/>
        <w:spacing w:line="800" w:lineRule="exact"/>
        <w:jc w:val="center"/>
        <w:rPr>
          <w:rFonts w:ascii="宋体" w:hAnsi="宋体" w:eastAsia="宋体" w:cs="宋体"/>
          <w:b/>
          <w:sz w:val="44"/>
          <w:szCs w:val="44"/>
          <w:lang w:val="zh-CN"/>
        </w:rPr>
      </w:pPr>
      <w:r>
        <w:rPr>
          <w:rFonts w:hint="eastAsia" w:ascii="宋体" w:hAnsi="宋体" w:eastAsia="宋体" w:cs="宋体"/>
          <w:sz w:val="24"/>
          <w:szCs w:val="24"/>
        </w:rPr>
        <w:fldChar w:fldCharType="end"/>
      </w:r>
      <w:bookmarkStart w:id="1" w:name="_Toc25103"/>
      <w:r>
        <w:rPr>
          <w:rFonts w:hint="eastAsia" w:ascii="宋体" w:hAnsi="宋体" w:eastAsia="宋体" w:cs="宋体"/>
          <w:b/>
          <w:sz w:val="44"/>
          <w:szCs w:val="44"/>
          <w:lang w:val="zh-CN"/>
        </w:rPr>
        <w:t xml:space="preserve">第一部分 </w:t>
      </w:r>
      <w:r>
        <w:rPr>
          <w:rFonts w:hint="eastAsia" w:ascii="宋体" w:hAnsi="宋体" w:eastAsia="宋体" w:cs="宋体"/>
          <w:b/>
          <w:sz w:val="44"/>
          <w:szCs w:val="44"/>
        </w:rPr>
        <w:t>招标公告</w:t>
      </w:r>
      <w:bookmarkEnd w:id="1"/>
    </w:p>
    <w:p>
      <w:pPr>
        <w:spacing w:line="500" w:lineRule="exact"/>
        <w:jc w:val="center"/>
        <w:rPr>
          <w:rFonts w:ascii="宋体" w:hAnsi="宋体" w:eastAsia="宋体" w:cs="宋体"/>
          <w:b/>
          <w:bCs/>
          <w:sz w:val="30"/>
          <w:szCs w:val="30"/>
          <w:lang w:val="zh-CN"/>
        </w:rPr>
      </w:pPr>
      <w:bookmarkStart w:id="2" w:name="_Toc270946199"/>
      <w:bookmarkStart w:id="3" w:name="_Toc267574132"/>
      <w:r>
        <w:rPr>
          <w:rFonts w:hint="eastAsia" w:ascii="宋体" w:hAnsi="宋体" w:eastAsia="宋体" w:cs="宋体"/>
          <w:b/>
          <w:bCs/>
          <w:sz w:val="30"/>
          <w:szCs w:val="30"/>
          <w:lang w:val="zh-CN"/>
        </w:rPr>
        <w:t>郑阜高铁鄢陵南站站前广场及市政配套设施</w:t>
      </w:r>
      <w:r>
        <w:rPr>
          <w:rFonts w:hint="eastAsia" w:ascii="宋体" w:hAnsi="宋体" w:eastAsia="宋体" w:cs="宋体"/>
          <w:b/>
          <w:bCs/>
          <w:sz w:val="30"/>
          <w:szCs w:val="30"/>
        </w:rPr>
        <w:t>PPP咨询机构采购项目（二次）招标公告</w:t>
      </w:r>
    </w:p>
    <w:p>
      <w:pPr>
        <w:rPr>
          <w:rFonts w:ascii="宋体" w:hAnsi="宋体" w:eastAsia="宋体" w:cs="宋体"/>
          <w:sz w:val="24"/>
          <w:szCs w:val="24"/>
        </w:rPr>
      </w:pPr>
    </w:p>
    <w:p>
      <w:pPr>
        <w:widowControl/>
        <w:overflowPunct w:val="0"/>
        <w:autoSpaceDE w:val="0"/>
        <w:autoSpaceDN w:val="0"/>
        <w:adjustRightInd w:val="0"/>
        <w:spacing w:beforeLines="0" w:afterLines="0" w:line="360" w:lineRule="auto"/>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河南鑫盈招标代理有限公司受鄢陵县交通运输局委托，就郑阜高铁鄢陵南站站前广场及市政配套设施PPP咨询机构采购项目进行公开招标采购，现欢迎符合相关条件的供应商参加投标。</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1、项目概况</w:t>
      </w:r>
    </w:p>
    <w:p>
      <w:pPr>
        <w:adjustRightInd w:val="0"/>
        <w:snapToGrid w:val="0"/>
        <w:spacing w:beforeLines="0" w:afterLines="0" w:line="360" w:lineRule="auto"/>
        <w:ind w:firstLine="480" w:firstLineChars="200"/>
        <w:jc w:val="left"/>
        <w:rPr>
          <w:rFonts w:hint="eastAsia" w:ascii="宋体" w:hAnsi="宋体" w:eastAsia="宋体" w:cs="宋体"/>
          <w:spacing w:val="-6"/>
          <w:sz w:val="24"/>
          <w:szCs w:val="24"/>
        </w:rPr>
      </w:pPr>
      <w:r>
        <w:rPr>
          <w:rFonts w:hint="eastAsia" w:ascii="宋体" w:hAnsi="宋体" w:eastAsia="宋体" w:cs="宋体"/>
          <w:kern w:val="0"/>
          <w:sz w:val="24"/>
          <w:szCs w:val="24"/>
        </w:rPr>
        <w:t>1.1项目名称：项目名称：</w:t>
      </w:r>
      <w:r>
        <w:rPr>
          <w:rFonts w:hint="eastAsia" w:ascii="宋体" w:hAnsi="宋体" w:eastAsia="宋体" w:cs="宋体"/>
          <w:spacing w:val="-6"/>
          <w:kern w:val="0"/>
          <w:sz w:val="24"/>
          <w:szCs w:val="24"/>
        </w:rPr>
        <w:t>郑阜高铁鄢陵南站站前广场及市政配套设施PPP咨询机构采购项目（二次）</w:t>
      </w:r>
    </w:p>
    <w:p>
      <w:pPr>
        <w:spacing w:beforeLines="0" w:afterLines="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1.2项目编号：</w:t>
      </w:r>
      <w:r>
        <w:rPr>
          <w:rFonts w:hint="eastAsia" w:ascii="宋体" w:hAnsi="宋体" w:eastAsia="宋体" w:cs="宋体"/>
          <w:kern w:val="0"/>
          <w:sz w:val="24"/>
          <w:szCs w:val="24"/>
        </w:rPr>
        <w:t>Y2017FZ206</w:t>
      </w:r>
    </w:p>
    <w:p>
      <w:pPr>
        <w:spacing w:beforeLines="0" w:afterLines="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招标编号：YLZFCG201710201-F</w:t>
      </w:r>
    </w:p>
    <w:p>
      <w:pPr>
        <w:spacing w:beforeLines="0" w:afterLines="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1.3预算金额：189万元</w:t>
      </w:r>
    </w:p>
    <w:p>
      <w:pPr>
        <w:spacing w:beforeLines="0" w:afterLines="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1.4 最高限价：189万元</w:t>
      </w:r>
    </w:p>
    <w:p>
      <w:pPr>
        <w:adjustRightInd w:val="0"/>
        <w:snapToGrid w:val="0"/>
        <w:spacing w:beforeLines="0" w:afterLines="0"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1.5项目概况：</w:t>
      </w:r>
      <w:r>
        <w:rPr>
          <w:rFonts w:hint="eastAsia" w:ascii="宋体" w:hAnsi="宋体" w:eastAsia="宋体" w:cs="宋体"/>
          <w:sz w:val="24"/>
          <w:szCs w:val="24"/>
        </w:rPr>
        <w:t>郑阜高铁鄢陵南站站前广场建设及前程路（科技南路-南环路）、科技南路（酒香路-规划路）及南环路（酒香路-规划路）等3条城市市政道路建设项目。</w:t>
      </w:r>
    </w:p>
    <w:p>
      <w:pPr>
        <w:adjustRightInd w:val="0"/>
        <w:snapToGrid w:val="0"/>
        <w:spacing w:beforeLines="0" w:afterLines="0"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rPr>
        <w:t>1.6质量要求：</w:t>
      </w:r>
      <w:r>
        <w:rPr>
          <w:rFonts w:hint="eastAsia" w:ascii="宋体" w:hAnsi="宋体" w:eastAsia="宋体" w:cs="宋体"/>
          <w:kern w:val="0"/>
          <w:sz w:val="24"/>
          <w:szCs w:val="24"/>
          <w:shd w:val="clear" w:color="auto" w:fill="FFFFFF"/>
        </w:rPr>
        <w:t>符合现行国家PPP政策，通过相关部门审核批准</w:t>
      </w:r>
    </w:p>
    <w:p>
      <w:pPr>
        <w:spacing w:beforeLines="0" w:afterLines="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shd w:val="clear" w:color="auto" w:fill="FFFFFF"/>
        </w:rPr>
        <w:t xml:space="preserve">1.7 </w:t>
      </w:r>
      <w:r>
        <w:rPr>
          <w:rFonts w:hint="eastAsia" w:ascii="宋体" w:hAnsi="宋体" w:eastAsia="宋体" w:cs="宋体"/>
          <w:kern w:val="0"/>
          <w:sz w:val="24"/>
          <w:szCs w:val="24"/>
        </w:rPr>
        <w:t>项目数量：1项（详见招标文件项目需求）</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2、采购内容</w:t>
      </w:r>
    </w:p>
    <w:p>
      <w:pPr>
        <w:adjustRightInd w:val="0"/>
        <w:snapToGrid w:val="0"/>
        <w:spacing w:beforeLines="0" w:afterLines="0" w:line="360" w:lineRule="auto"/>
        <w:ind w:firstLine="482"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按财政部财金（2014）113号《关于印发政府和社会资本合作模式操作指南（试行）的通知》的规定和要求，针对本工程项目为采购人提供具体PPP模式咨询服务，包括但不限于：</w:t>
      </w:r>
      <w:r>
        <w:rPr>
          <w:rFonts w:hint="eastAsia" w:ascii="宋体" w:hAnsi="宋体" w:eastAsia="宋体" w:cs="宋体"/>
          <w:bCs/>
          <w:color w:val="000000" w:themeColor="text1"/>
          <w:sz w:val="24"/>
          <w:szCs w:val="24"/>
          <w14:textFill>
            <w14:solidFill>
              <w14:schemeClr w14:val="tx1"/>
            </w14:solidFill>
          </w14:textFill>
        </w:rPr>
        <w:t>物有所值评价、财政承受能力论证、初步实施方案、项目实施方案的编制，PPP项目合同的起草，协助完成项目采购，协助政府与社会资本的谈判与签约等相关工作。对前期可研报告进行完善审核；组织相关专家对方案论证进行评审；对鄢陵县财承能力提供完善意见；提供PPP政策咨询、采购招标咨询和公司法务咨询。</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3、供应商资格要求</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3.1符合《中华人民共和国政府采购法》第二十二条规定的条件；</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kern w:val="0"/>
          <w:sz w:val="24"/>
          <w:szCs w:val="24"/>
        </w:rPr>
        <w:t>须入选财政部PPP项目咨询机构库；</w:t>
      </w:r>
    </w:p>
    <w:p>
      <w:pPr>
        <w:spacing w:beforeLines="0" w:afterLines="0" w:line="360" w:lineRule="auto"/>
        <w:ind w:firstLine="480" w:firstLineChars="200"/>
        <w:rPr>
          <w:rFonts w:hint="eastAsia" w:ascii="宋体" w:hAnsi="宋体" w:eastAsia="宋体" w:cs="宋体"/>
          <w:spacing w:val="-6"/>
          <w:sz w:val="24"/>
          <w:szCs w:val="24"/>
        </w:rPr>
      </w:pPr>
      <w:r>
        <w:rPr>
          <w:rFonts w:hint="eastAsia" w:ascii="宋体" w:hAnsi="宋体" w:eastAsia="宋体" w:cs="宋体"/>
          <w:sz w:val="24"/>
          <w:szCs w:val="24"/>
        </w:rPr>
        <w:t>3.3</w:t>
      </w:r>
      <w:r>
        <w:rPr>
          <w:rFonts w:hint="eastAsia" w:ascii="宋体" w:hAnsi="宋体" w:eastAsia="宋体" w:cs="宋体"/>
          <w:spacing w:val="-6"/>
          <w:sz w:val="24"/>
          <w:szCs w:val="24"/>
        </w:rPr>
        <w:t>具有企业注册地或项目所在地检察机关出具的行贿犯罪档案查询结果告知函；</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3.4本项目不接受联合体投标。</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4、报名时间及方式</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4.1报名时间：凡有意参加投标者，请于投标截止时间前参与报名。</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持CA数字认证证书，登录【全国公共资源交易平台（河南省·许昌市）】“系统用户注册”入口（http://221.14.6.70:8088/ggzy/eps/public/RegistAllJcxx.html）进行免费注册登记（详见“常见问题解答-诚信库网上注册相关资料下载”）；</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4.3在投标截止时间前均可登录【全国公共资源交易平台（河南省·许昌市）】“投标人/供应商登录”入口（http://221.14.6.70:8088/ggzy/）自行下载招标文件（详见“常见问题解答-交易系统操作手册”）。</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5、招标文件的获取</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5.1招标文件的获取：投标人于投标文件递交截止时间前均可在【全国公共资源交易平台（河南省·许昌市）】自行下载。</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5.2投标人在递交投标文件时向代理机构缴纳招标文件费用，本项目招标文件每套售价300元，售后不退。</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6、投标文件的递交</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6.1投标截止及开标时间：</w:t>
      </w:r>
      <w:r>
        <w:rPr>
          <w:rFonts w:hint="eastAsia" w:ascii="宋体" w:hAnsi="宋体" w:eastAsia="宋体" w:cs="宋体"/>
          <w:color w:val="FF0000"/>
          <w:sz w:val="24"/>
          <w:szCs w:val="24"/>
          <w:u w:val="single"/>
        </w:rPr>
        <w:t>201</w:t>
      </w:r>
      <w:r>
        <w:rPr>
          <w:rFonts w:hint="eastAsia" w:ascii="宋体" w:hAnsi="宋体" w:eastAsia="宋体" w:cs="宋体"/>
          <w:color w:val="FF0000"/>
          <w:sz w:val="24"/>
          <w:szCs w:val="24"/>
          <w:u w:val="single"/>
          <w:lang w:val="en-US" w:eastAsia="zh-CN"/>
        </w:rPr>
        <w:t>8</w:t>
      </w:r>
      <w:r>
        <w:rPr>
          <w:rFonts w:hint="eastAsia" w:ascii="宋体" w:hAnsi="宋体" w:eastAsia="宋体" w:cs="宋体"/>
          <w:color w:val="FF0000"/>
          <w:sz w:val="24"/>
          <w:szCs w:val="24"/>
          <w:u w:val="single"/>
        </w:rPr>
        <w:t>年</w:t>
      </w:r>
      <w:r>
        <w:rPr>
          <w:rFonts w:hint="eastAsia" w:ascii="宋体" w:hAnsi="宋体" w:eastAsia="宋体" w:cs="宋体"/>
          <w:color w:val="FF0000"/>
          <w:sz w:val="24"/>
          <w:szCs w:val="24"/>
          <w:u w:val="single"/>
          <w:lang w:val="en-US" w:eastAsia="zh-CN"/>
        </w:rPr>
        <w:t>1</w:t>
      </w:r>
      <w:r>
        <w:rPr>
          <w:rFonts w:hint="eastAsia" w:ascii="宋体" w:hAnsi="宋体" w:eastAsia="宋体" w:cs="宋体"/>
          <w:color w:val="FF0000"/>
          <w:sz w:val="24"/>
          <w:szCs w:val="24"/>
          <w:u w:val="single"/>
        </w:rPr>
        <w:t xml:space="preserve">月 </w:t>
      </w:r>
      <w:r>
        <w:rPr>
          <w:rFonts w:hint="eastAsia" w:ascii="宋体" w:hAnsi="宋体" w:eastAsia="宋体" w:cs="宋体"/>
          <w:color w:val="FF0000"/>
          <w:sz w:val="24"/>
          <w:szCs w:val="24"/>
          <w:u w:val="single"/>
          <w:lang w:val="en-US" w:eastAsia="zh-CN"/>
        </w:rPr>
        <w:t>3</w:t>
      </w:r>
      <w:r>
        <w:rPr>
          <w:rFonts w:hint="eastAsia" w:ascii="宋体" w:hAnsi="宋体" w:eastAsia="宋体" w:cs="宋体"/>
          <w:color w:val="FF0000"/>
          <w:sz w:val="24"/>
          <w:szCs w:val="24"/>
          <w:u w:val="single"/>
        </w:rPr>
        <w:t xml:space="preserve"> 日09:00分（北京时间）</w:t>
      </w:r>
      <w:r>
        <w:rPr>
          <w:rFonts w:hint="eastAsia" w:ascii="宋体" w:hAnsi="宋体" w:eastAsia="宋体" w:cs="宋体"/>
          <w:sz w:val="24"/>
          <w:szCs w:val="24"/>
        </w:rPr>
        <w:t>，逾期或不符合规定的投标文件不予接受。</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6.2投标文件递交及开标地点：鄢陵县公共资源交易中心（S219（鄢陶路）与未来大道交叉口鄢陵创客园院内南楼四楼</w:t>
      </w:r>
      <w:r>
        <w:rPr>
          <w:rFonts w:hint="eastAsia" w:ascii="宋体" w:hAnsi="宋体" w:eastAsia="宋体" w:cs="宋体"/>
          <w:color w:val="FF0000"/>
          <w:sz w:val="24"/>
          <w:szCs w:val="24"/>
          <w:u w:val="single"/>
        </w:rPr>
        <w:t>开标二室</w:t>
      </w:r>
      <w:r>
        <w:rPr>
          <w:rFonts w:hint="eastAsia" w:ascii="宋体" w:hAnsi="宋体" w:eastAsia="宋体" w:cs="宋体"/>
          <w:sz w:val="24"/>
          <w:szCs w:val="24"/>
        </w:rPr>
        <w:t>）；</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6.3逾期送达的或者未送达指定地点的投标文件，招标人不予受理。</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6.4未通过《全国公共资源交易平台（河南省·许昌市）》下载招标文件的投标人，其投标文件将拒收。</w:t>
      </w:r>
    </w:p>
    <w:p>
      <w:pPr>
        <w:adjustRightInd w:val="0"/>
        <w:snapToGrid w:val="0"/>
        <w:spacing w:beforeLines="0" w:afterLines="0" w:line="360" w:lineRule="auto"/>
        <w:ind w:firstLine="482" w:firstLineChars="200"/>
        <w:jc w:val="left"/>
        <w:rPr>
          <w:rFonts w:hint="eastAsia" w:ascii="宋体" w:hAnsi="宋体" w:eastAsia="宋体" w:cs="宋体"/>
          <w:b/>
          <w:kern w:val="0"/>
          <w:sz w:val="24"/>
          <w:szCs w:val="24"/>
        </w:rPr>
      </w:pPr>
      <w:r>
        <w:rPr>
          <w:rFonts w:hint="eastAsia" w:ascii="宋体" w:hAnsi="宋体" w:eastAsia="宋体" w:cs="宋体"/>
          <w:b/>
          <w:kern w:val="0"/>
          <w:sz w:val="24"/>
          <w:szCs w:val="24"/>
        </w:rPr>
        <w:t>7、发布公告的媒介</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本次招标公告同时在《中国采购与招标网》、《河南省政府采购网》、《全国公共资源交易平台（河南省·许昌市）》网站发布。</w:t>
      </w:r>
    </w:p>
    <w:p>
      <w:pPr>
        <w:adjustRightInd w:val="0"/>
        <w:snapToGrid w:val="0"/>
        <w:spacing w:beforeLines="0" w:afterLines="0" w:line="360" w:lineRule="auto"/>
        <w:ind w:firstLine="482" w:firstLineChars="200"/>
        <w:jc w:val="left"/>
        <w:rPr>
          <w:rFonts w:hint="eastAsia" w:ascii="宋体" w:hAnsi="宋体" w:eastAsia="宋体" w:cs="宋体"/>
          <w:sz w:val="24"/>
          <w:szCs w:val="24"/>
        </w:rPr>
      </w:pPr>
      <w:r>
        <w:rPr>
          <w:rFonts w:hint="eastAsia" w:ascii="宋体" w:hAnsi="宋体" w:eastAsia="宋体" w:cs="宋体"/>
          <w:b/>
          <w:kern w:val="0"/>
          <w:sz w:val="24"/>
          <w:szCs w:val="24"/>
        </w:rPr>
        <w:t>8、</w:t>
      </w:r>
      <w:r>
        <w:rPr>
          <w:rFonts w:hint="eastAsia" w:ascii="宋体" w:hAnsi="宋体" w:eastAsia="宋体" w:cs="宋体"/>
          <w:b/>
          <w:bCs/>
          <w:sz w:val="24"/>
          <w:szCs w:val="24"/>
          <w:lang w:val="zh-CN"/>
        </w:rPr>
        <w:t>公告期限：</w:t>
      </w:r>
      <w:r>
        <w:rPr>
          <w:rFonts w:hint="eastAsia" w:ascii="宋体" w:hAnsi="宋体" w:eastAsia="宋体" w:cs="宋体"/>
          <w:sz w:val="24"/>
          <w:szCs w:val="24"/>
          <w:lang w:val="zh-CN"/>
        </w:rPr>
        <w:t>自本公告发布之日起5个工作日。</w:t>
      </w:r>
    </w:p>
    <w:p>
      <w:pPr>
        <w:spacing w:beforeLines="0" w:afterLines="0"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9、联系方式：</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（一）代理机构：</w:t>
      </w:r>
      <w:r>
        <w:rPr>
          <w:rFonts w:hint="eastAsia" w:ascii="宋体" w:hAnsi="宋体" w:eastAsia="宋体" w:cs="宋体"/>
          <w:sz w:val="24"/>
          <w:szCs w:val="24"/>
        </w:rPr>
        <w:t>河南鑫盈招标代理有限公司</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地址：</w:t>
      </w:r>
      <w:r>
        <w:rPr>
          <w:rFonts w:hint="eastAsia" w:ascii="宋体" w:hAnsi="宋体" w:eastAsia="宋体" w:cs="宋体"/>
          <w:sz w:val="24"/>
          <w:szCs w:val="24"/>
        </w:rPr>
        <w:t>郑州市金水区郑汴路玉凤路升龙环球大厦C座25楼</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联系人：于女士          联系电话：15837425582</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（二）采购单位：</w:t>
      </w:r>
      <w:r>
        <w:rPr>
          <w:rFonts w:hint="eastAsia" w:ascii="宋体" w:hAnsi="宋体" w:eastAsia="宋体" w:cs="宋体"/>
          <w:sz w:val="24"/>
          <w:szCs w:val="24"/>
        </w:rPr>
        <w:t>鄢陵县交通运输局</w:t>
      </w:r>
    </w:p>
    <w:p>
      <w:pPr>
        <w:spacing w:beforeLines="0" w:afterLines="0"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地址：</w:t>
      </w:r>
      <w:r>
        <w:rPr>
          <w:rFonts w:hint="eastAsia" w:ascii="宋体" w:hAnsi="宋体" w:eastAsia="宋体" w:cs="宋体"/>
          <w:sz w:val="24"/>
          <w:szCs w:val="24"/>
        </w:rPr>
        <w:t>鄢陵县城开发区311国道南侧</w:t>
      </w:r>
      <w:r>
        <w:rPr>
          <w:rFonts w:hint="eastAsia" w:ascii="宋体" w:hAnsi="宋体" w:eastAsia="宋体" w:cs="宋体"/>
          <w:sz w:val="24"/>
          <w:szCs w:val="24"/>
          <w:lang w:val="zh-CN"/>
        </w:rPr>
        <w:t xml:space="preserve"> </w:t>
      </w:r>
    </w:p>
    <w:p>
      <w:pPr>
        <w:spacing w:beforeLines="0" w:afterLines="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联系人：许先生          联系电话：15836562299</w:t>
      </w:r>
    </w:p>
    <w:p>
      <w:pPr>
        <w:spacing w:beforeLines="0" w:afterLines="0" w:line="360" w:lineRule="auto"/>
        <w:ind w:firstLine="480" w:firstLineChars="200"/>
        <w:jc w:val="left"/>
        <w:rPr>
          <w:rFonts w:hint="eastAsia" w:ascii="宋体" w:hAnsi="宋体" w:eastAsia="宋体" w:cs="宋体"/>
          <w:sz w:val="24"/>
          <w:szCs w:val="24"/>
        </w:rPr>
      </w:pPr>
    </w:p>
    <w:p>
      <w:pPr>
        <w:spacing w:beforeLines="0" w:afterLines="0" w:line="360" w:lineRule="auto"/>
        <w:ind w:firstLine="480" w:firstLineChars="200"/>
        <w:jc w:val="left"/>
        <w:rPr>
          <w:rFonts w:hint="eastAsia" w:ascii="宋体" w:hAnsi="宋体" w:eastAsia="宋体" w:cs="宋体"/>
          <w:sz w:val="24"/>
          <w:szCs w:val="24"/>
        </w:rPr>
      </w:pPr>
    </w:p>
    <w:p>
      <w:pPr>
        <w:spacing w:beforeLines="0" w:afterLines="0"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spacing w:beforeLines="0" w:afterLines="0" w:line="700" w:lineRule="exact"/>
        <w:jc w:val="center"/>
        <w:rPr>
          <w:rFonts w:ascii="宋体" w:hAnsi="宋体" w:eastAsia="宋体" w:cs="宋体"/>
          <w:b/>
          <w:sz w:val="44"/>
          <w:szCs w:val="44"/>
          <w:lang w:val="zh-CN"/>
        </w:rPr>
      </w:pPr>
      <w:r>
        <w:rPr>
          <w:rFonts w:hint="eastAsia" w:ascii="宋体" w:hAnsi="宋体" w:eastAsia="宋体" w:cs="宋体"/>
          <w:b/>
          <w:bCs/>
          <w:sz w:val="24"/>
          <w:szCs w:val="24"/>
        </w:rPr>
        <w:br w:type="page"/>
      </w:r>
      <w:bookmarkStart w:id="4" w:name="_Toc24880"/>
      <w:r>
        <w:rPr>
          <w:rFonts w:hint="eastAsia" w:ascii="宋体" w:hAnsi="宋体" w:eastAsia="宋体" w:cs="宋体"/>
          <w:b/>
          <w:sz w:val="44"/>
          <w:szCs w:val="44"/>
          <w:lang w:val="zh-CN"/>
        </w:rPr>
        <w:t xml:space="preserve">第二部分 </w:t>
      </w:r>
      <w:bookmarkEnd w:id="2"/>
      <w:bookmarkEnd w:id="3"/>
      <w:r>
        <w:rPr>
          <w:rFonts w:hint="eastAsia" w:ascii="宋体" w:hAnsi="宋体" w:eastAsia="宋体" w:cs="宋体"/>
          <w:b/>
          <w:sz w:val="44"/>
          <w:szCs w:val="44"/>
          <w:lang w:val="zh-CN"/>
        </w:rPr>
        <w:t>项目需求及其它要求</w:t>
      </w:r>
      <w:bookmarkEnd w:id="4"/>
    </w:p>
    <w:p>
      <w:pPr>
        <w:spacing w:line="460" w:lineRule="exact"/>
        <w:ind w:firstLine="723" w:firstLineChars="200"/>
        <w:rPr>
          <w:rFonts w:ascii="宋体" w:hAnsi="宋体" w:eastAsia="宋体" w:cs="宋体"/>
          <w:b/>
          <w:sz w:val="36"/>
          <w:szCs w:val="36"/>
        </w:rPr>
      </w:pPr>
    </w:p>
    <w:p>
      <w:pPr>
        <w:spacing w:beforeLines="0" w:afterLines="0" w:line="360" w:lineRule="auto"/>
        <w:ind w:firstLine="482" w:firstLineChars="200"/>
        <w:outlineLvl w:val="1"/>
        <w:rPr>
          <w:rFonts w:ascii="宋体" w:hAnsi="宋体" w:eastAsia="宋体" w:cs="宋体"/>
          <w:sz w:val="24"/>
          <w:szCs w:val="24"/>
        </w:rPr>
      </w:pPr>
      <w:bookmarkStart w:id="5" w:name="_Toc27149"/>
      <w:r>
        <w:rPr>
          <w:rFonts w:hint="eastAsia" w:ascii="宋体" w:hAnsi="宋体" w:eastAsia="宋体" w:cs="宋体"/>
          <w:b/>
          <w:bCs/>
          <w:sz w:val="24"/>
          <w:szCs w:val="24"/>
        </w:rPr>
        <w:t>一、项目概况</w:t>
      </w:r>
      <w:bookmarkEnd w:id="5"/>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郑阜高铁鄢陵南站站前广场及市政配套设施项目拟选址许鄢陵县城市西南部，鄢陵高铁片区中央景观主轴南部，规划的南外环以南，项目总投资约48824万元。拟建内容包括郑阜高铁鄢陵南站站前广场建设及前程路（科技南路-南环路）、科技南路（酒香路-规划路）及南环路（酒香路-规划路）等3条城市市政道路建设项目。具体如下：</w:t>
      </w:r>
    </w:p>
    <w:p>
      <w:pPr>
        <w:spacing w:beforeLines="0" w:afterLines="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1、郑阜高铁鄢陵南站站前广场建设项目</w:t>
      </w:r>
    </w:p>
    <w:p>
      <w:pPr>
        <w:spacing w:beforeLines="0" w:afterLines="0" w:line="360" w:lineRule="auto"/>
        <w:ind w:firstLine="480" w:firstLineChars="200"/>
        <w:rPr>
          <w:rFonts w:ascii="宋体" w:hAnsi="宋体" w:eastAsia="宋体" w:cs="宋体"/>
          <w:sz w:val="24"/>
          <w:szCs w:val="24"/>
        </w:rPr>
      </w:pPr>
      <w:bookmarkStart w:id="6" w:name="OLE_LINK7"/>
      <w:r>
        <w:rPr>
          <w:rFonts w:hint="eastAsia" w:ascii="宋体" w:hAnsi="宋体" w:eastAsia="宋体" w:cs="宋体"/>
          <w:sz w:val="24"/>
          <w:szCs w:val="24"/>
        </w:rPr>
        <w:t>项目规划用地面积62432.45㎡（合93.65亩），总建筑面积为41500㎡，其中地上总建筑面积16000㎡（含展览及配套服务中心11000㎡、长途汽车站5000㎡），地下总建筑面积25500㎡。规划机动车停车位803个，其中，地上机动车停车位428个，地下机动车停车位375个。</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项目拟建设的室外工程主要包括室外绿化面积19545.23㎡、室外道路硬化及铺装面积2174.6㎡、公交总站4453.48㎡、站前广场17457.35㎡及出租车站场4117.44㎡。</w:t>
      </w:r>
    </w:p>
    <w:bookmarkEnd w:id="6"/>
    <w:p>
      <w:pPr>
        <w:spacing w:beforeLines="0" w:afterLines="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2、市政道路建设项目</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（1）前程路（科技南路-南环路）</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拟建前程路北起科技南路，南至南环路，道路全长300m，红线宽20m，道路横断面形式为3-14-3，按照城市支路进行建设，设计车速为40km/h，路面结构设计使用年限为10年。项目拟建道路总面积6000㎡，其中车行道占地面积4200㎡，人行道占地面积1800㎡。随道路同步建设给水管网300m，污水管网300m，雨水管网300m。同时栽植行道树120棵、安装路灯24盏及其他配套设施。</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（2）科技南路（酒香路-规划路）</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拟建科技南路西起酒香路，东至规划路，道路全长1669m，红线宽30m，道路横断面形式为3-11-2-11-3，按照城市次干路建设，设计车速为50km/h，路面结构设计使用年限为10年。项目拟建道路总面积50070㎡，其中车行道占地面积36718㎡，分车带占地面积3338㎡，人行道占地面积10014㎡。随道路同步建设给水管网1669m，污水管网1669m，雨水管网3338m。同时栽植行道树668棵、安装路灯134盏及其他配套设施。</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（3）南环路（酒香路-规划路）</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拟建南环路西起酒香路，东至规划路，道路全长1589m，红线宽60m，道路横断面形式为5-9-2-12-4-12-2-9-5，按照城市主干路进行建设，设计车速为60km/h，路面结构设计使用年限为15年。项目拟建道路总面积95340㎡，其中快车道占地面积38136㎡，慢车道占地面积28602㎡，分车带占地面积12712㎡，人行道占地面积15890㎡。随道路同步建设给水管网1589m，污水管网1589m，雨水管网3178m。同时栽植行道树636棵、安装路灯128盏及其他配套设施。</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（4）酒香路（科技南路-南环路）</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拟建酒香路北起科技南路，南至南环路，道路全长303m，红线宽30m，道路横断面形式为7-16-7，按照城市次干路建设，设计车速为50km/h，路面结构设计使用年限为10年。项目拟建道路总面积9090㎡，其中车行道占地面积4848㎡，人行道占地面积4242㎡。随道路同步建设给水管网303m，污水管网303m，雨水管网606m。同时栽植行道树122棵、安装路灯24盏及其他配套设施。</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（5）规划路（科技南路-南环路）</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拟建规划路北起科技南路，南至南环路，道路全长317m，红线宽30m，道路横断面形式为3-11-2-11-3，按照城市次干路建设，设计车速为50km/h，路面结构设计使用年限为10年。项目拟建道路总面积9510㎡，其中车行道占地面积6974㎡，人行道占地面积1902㎡，分车带占地面积634㎡。随道路同步建设给水管网317m，污水管网317m，雨水管网634m。同时栽植行道树128棵、安装路灯26盏及其他配套设施。</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（6）安置区规划一路（科技南路-南环路）</w:t>
      </w:r>
    </w:p>
    <w:p>
      <w:pPr>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拟建安置区规划一路北起科技南路，南至南环路，道路全长292m，红线宽20m，道路横断面形式为3-14-3，按照城市支路进行建设，设计车速为40km/h，路面结构设计使用年限为10年。项目拟建道路总面积5840㎡，其中车行道占地面积4088㎡，人行道占地面积1752㎡。随道路同步建设给水管网292m，污水管网292m，雨水管网292m。同时栽植行道树118棵、安装路灯24盏及其他配套设施。</w:t>
      </w:r>
    </w:p>
    <w:p>
      <w:pPr>
        <w:spacing w:beforeLines="0" w:afterLines="0" w:line="360" w:lineRule="auto"/>
        <w:ind w:firstLine="482" w:firstLineChars="200"/>
        <w:outlineLvl w:val="1"/>
        <w:rPr>
          <w:rFonts w:ascii="宋体" w:hAnsi="宋体" w:eastAsia="宋体" w:cs="宋体"/>
          <w:b/>
          <w:bCs/>
          <w:color w:val="auto"/>
          <w:sz w:val="24"/>
          <w:szCs w:val="24"/>
        </w:rPr>
      </w:pPr>
      <w:bookmarkStart w:id="7" w:name="_Toc21546"/>
      <w:r>
        <w:rPr>
          <w:rFonts w:hint="eastAsia" w:ascii="宋体" w:hAnsi="宋体" w:eastAsia="宋体" w:cs="宋体"/>
          <w:b/>
          <w:bCs/>
          <w:color w:val="auto"/>
          <w:sz w:val="24"/>
          <w:szCs w:val="24"/>
        </w:rPr>
        <w:t>二、项目需求</w:t>
      </w:r>
      <w:bookmarkEnd w:id="7"/>
    </w:p>
    <w:p>
      <w:pPr>
        <w:pStyle w:val="17"/>
        <w:tabs>
          <w:tab w:val="left" w:pos="3060"/>
          <w:tab w:val="left" w:pos="3240"/>
        </w:tabs>
        <w:spacing w:beforeLines="0" w:after="0" w:afterLines="0" w:line="360" w:lineRule="auto"/>
        <w:ind w:left="0" w:leftChars="0"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为规范</w:t>
      </w:r>
      <w:r>
        <w:rPr>
          <w:rFonts w:ascii="宋体" w:hAnsi="宋体" w:eastAsia="宋体" w:cs="宋体"/>
          <w:color w:val="auto"/>
          <w:sz w:val="24"/>
          <w:szCs w:val="24"/>
        </w:rPr>
        <w:t>PPP运作流程，实现项目价值最优化，明确项目运作模式，决定通过公开招标方式择优选择一家PPP咨询服务公司，为郑阜高铁鄢陵南站站前广场及市政</w:t>
      </w:r>
      <w:r>
        <w:rPr>
          <w:rFonts w:hint="eastAsia" w:ascii="宋体" w:hAnsi="宋体" w:eastAsia="宋体" w:cs="宋体"/>
          <w:color w:val="auto"/>
          <w:sz w:val="24"/>
          <w:szCs w:val="24"/>
        </w:rPr>
        <w:t>配套设施</w:t>
      </w:r>
      <w:r>
        <w:rPr>
          <w:rFonts w:ascii="宋体" w:hAnsi="宋体" w:eastAsia="宋体" w:cs="宋体"/>
          <w:color w:val="auto"/>
          <w:sz w:val="24"/>
          <w:szCs w:val="24"/>
        </w:rPr>
        <w:t>PPP项目提供咨询服务。此次二次招标咨询服务的主要内容为：</w:t>
      </w:r>
    </w:p>
    <w:p>
      <w:pPr>
        <w:spacing w:beforeLines="0" w:afterLines="0"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1、根据和采购人的沟通制订咨询工作计划表及准备调研/访谈提纲，并进行尽职调查，获取本项目</w:t>
      </w:r>
      <w:r>
        <w:rPr>
          <w:rFonts w:ascii="宋体" w:hAnsi="宋体" w:eastAsia="宋体" w:cs="宋体"/>
          <w:color w:val="auto"/>
          <w:sz w:val="24"/>
          <w:szCs w:val="24"/>
        </w:rPr>
        <w:t>PPP运作相关资料和基础数据等；</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2、协助采购人对本项目PPP运作进行物有所值定性和定量评价；</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3、协助采购人及有权财政部门对本项目PPP运作进行财政承受能力论证；</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4、按照国家相关文件要求，编制本项目实施方案，内容包括但不限于项目运作方式、交易结构、合同体系、核心边界条件和社会资本采购方式等；</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5、根据《政府和社会资本合作（PPP）综合信息平台运行规程》等相关规定及要求，协助采购人及有权财政部门办理本项目入储备库及执行库；</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6、建立财务模型，进行财务测算，为本项目结构设计和核心边界条件设置等提供数据支撑，并依据测算结果对项目实施方案内容进行调整；</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7、根据经批复同意的实施方案，编制本项目全套采购文件，包括但不限于投资竞争须知/投标须知、资格审查办法与响应文件评审/评标办法、PPP项目合同草案等；</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8、协助采购人及其选定的采购代理机构或招标代理机构组织实施本项目采购程序性事项；</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9、协助采购人与候选社会资本方开展PPP项目合同谈判，直至确定中选社会资本方，并协助政府方与中选社会资本方签署PPP项目合同；</w:t>
      </w:r>
    </w:p>
    <w:p>
      <w:pPr>
        <w:spacing w:beforeLines="0" w:afterLines="0" w:line="360"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10、应采购人要求，就本项目交易过程中涉及的其它财务、法务及商务有关问题提供咨询意见。</w:t>
      </w:r>
    </w:p>
    <w:p>
      <w:pPr>
        <w:pStyle w:val="17"/>
        <w:tabs>
          <w:tab w:val="left" w:pos="3060"/>
          <w:tab w:val="left" w:pos="3240"/>
        </w:tabs>
        <w:spacing w:beforeLines="0" w:after="0" w:afterLines="0" w:line="360" w:lineRule="auto"/>
        <w:ind w:left="0" w:leftChars="0" w:firstLine="482" w:firstLineChars="200"/>
        <w:rPr>
          <w:rFonts w:ascii="宋体" w:hAnsi="宋体" w:eastAsia="宋体" w:cs="宋体"/>
          <w:b/>
          <w:bCs/>
          <w:color w:val="auto"/>
          <w:sz w:val="24"/>
          <w:szCs w:val="24"/>
        </w:rPr>
      </w:pPr>
      <w:r>
        <w:rPr>
          <w:rFonts w:hint="eastAsia" w:ascii="宋体" w:hAnsi="宋体" w:eastAsia="宋体" w:cs="宋体"/>
          <w:b/>
          <w:color w:val="auto"/>
          <w:sz w:val="24"/>
          <w:szCs w:val="24"/>
        </w:rPr>
        <w:t>注：所有成果需严格按照现有</w:t>
      </w:r>
      <w:r>
        <w:rPr>
          <w:rFonts w:ascii="宋体" w:hAnsi="宋体" w:eastAsia="宋体" w:cs="宋体"/>
          <w:b/>
          <w:color w:val="auto"/>
          <w:sz w:val="24"/>
          <w:szCs w:val="24"/>
        </w:rPr>
        <w:t>PPP相关法律法规、操作指南指引的要求完成。</w:t>
      </w:r>
    </w:p>
    <w:p>
      <w:pPr>
        <w:spacing w:beforeLines="0" w:afterLines="0" w:line="360" w:lineRule="auto"/>
        <w:ind w:firstLine="482" w:firstLineChars="200"/>
        <w:outlineLvl w:val="1"/>
        <w:rPr>
          <w:rFonts w:ascii="宋体" w:hAnsi="宋体" w:eastAsia="宋体" w:cs="宋体"/>
          <w:b/>
          <w:bCs/>
          <w:sz w:val="24"/>
          <w:szCs w:val="24"/>
        </w:rPr>
      </w:pPr>
      <w:bookmarkStart w:id="8" w:name="_Toc361"/>
      <w:r>
        <w:rPr>
          <w:rFonts w:hint="eastAsia" w:ascii="宋体" w:hAnsi="宋体" w:eastAsia="宋体" w:cs="宋体"/>
          <w:b/>
          <w:bCs/>
          <w:sz w:val="24"/>
          <w:szCs w:val="24"/>
        </w:rPr>
        <w:t>三、其它要求</w:t>
      </w:r>
      <w:bookmarkEnd w:id="8"/>
    </w:p>
    <w:p>
      <w:pPr>
        <w:snapToGrid w:val="0"/>
        <w:spacing w:beforeLines="0" w:afterLines="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1、服务时限：</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自本项目咨询服务合同签订日起至政府与社会资本方签订合同为止。供应商需对所提供的文件负有相关法律责任直至项目结束。</w:t>
      </w:r>
    </w:p>
    <w:p>
      <w:pPr>
        <w:snapToGrid w:val="0"/>
        <w:spacing w:beforeLines="0" w:afterLines="0"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2、供应商提供服务须符合现行国家标准、规范强制性条文。包括但不仅限于以下：</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《中华人民共和国政府采购法》</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《中华人民共和国政府采购法实施条例》</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《财政部关于推广运用政府和社会资本合作模式有关问题的通知》</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《政府和社会资本合作项目财政承受能力论证指引》</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《政府和社会资本合作模式操作指南（试行）》</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《政府和社会资本合作项目政府采购管理办法》</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《关于规范政府和社会资本合作合同管理工作的通知》</w:t>
      </w:r>
    </w:p>
    <w:p>
      <w:pPr>
        <w:snapToGrid w:val="0"/>
        <w:spacing w:beforeLines="0" w:afterLines="0" w:line="360" w:lineRule="auto"/>
        <w:ind w:firstLine="480" w:firstLineChars="200"/>
        <w:rPr>
          <w:rFonts w:ascii="宋体" w:hAnsi="宋体" w:eastAsia="宋体" w:cs="宋体"/>
          <w:sz w:val="24"/>
          <w:szCs w:val="24"/>
        </w:rPr>
      </w:pPr>
      <w:r>
        <w:rPr>
          <w:rFonts w:hint="eastAsia" w:ascii="宋体" w:hAnsi="宋体" w:eastAsia="宋体" w:cs="宋体"/>
          <w:sz w:val="24"/>
          <w:szCs w:val="24"/>
        </w:rPr>
        <w:t>《财政部强调做好政府和社会资本合作项目示范工作》</w:t>
      </w:r>
    </w:p>
    <w:p>
      <w:pPr>
        <w:snapToGrid w:val="0"/>
        <w:spacing w:beforeLines="0" w:afterLines="0" w:line="360" w:lineRule="auto"/>
        <w:ind w:firstLine="480" w:firstLineChars="200"/>
        <w:rPr>
          <w:rFonts w:ascii="宋体" w:hAnsi="宋体" w:eastAsia="宋体" w:cs="宋体"/>
          <w:sz w:val="24"/>
          <w:szCs w:val="24"/>
        </w:rPr>
        <w:sectPr>
          <w:footerReference r:id="rId5" w:type="default"/>
          <w:pgSz w:w="11906" w:h="16838"/>
          <w:pgMar w:top="1587" w:right="1587" w:bottom="1587" w:left="1587" w:header="1247" w:footer="992" w:gutter="0"/>
          <w:pgNumType w:start="1"/>
          <w:cols w:space="0" w:num="1"/>
          <w:docGrid w:linePitch="312" w:charSpace="0"/>
        </w:sectPr>
      </w:pPr>
      <w:r>
        <w:rPr>
          <w:rFonts w:hint="eastAsia" w:ascii="宋体" w:hAnsi="宋体" w:eastAsia="宋体" w:cs="宋体"/>
          <w:sz w:val="24"/>
          <w:szCs w:val="24"/>
        </w:rPr>
        <w:t>相关技术规范、标准以及其他相关法律法规、规章、文件。</w:t>
      </w:r>
    </w:p>
    <w:p>
      <w:pPr>
        <w:autoSpaceDE w:val="0"/>
        <w:autoSpaceDN w:val="0"/>
        <w:adjustRightInd w:val="0"/>
        <w:spacing w:line="800" w:lineRule="exact"/>
        <w:jc w:val="center"/>
        <w:outlineLvl w:val="0"/>
        <w:rPr>
          <w:rFonts w:ascii="宋体" w:hAnsi="宋体" w:eastAsia="宋体" w:cs="宋体"/>
          <w:b/>
          <w:bCs/>
          <w:sz w:val="44"/>
          <w:szCs w:val="44"/>
          <w:lang w:val="zh-CN"/>
        </w:rPr>
      </w:pPr>
      <w:bookmarkStart w:id="9" w:name="_Toc2516"/>
      <w:r>
        <w:rPr>
          <w:rFonts w:hint="eastAsia" w:ascii="宋体" w:hAnsi="宋体" w:eastAsia="宋体" w:cs="宋体"/>
          <w:b/>
          <w:bCs/>
          <w:sz w:val="44"/>
          <w:szCs w:val="44"/>
          <w:lang w:val="zh-CN"/>
        </w:rPr>
        <w:t>第三部分</w:t>
      </w:r>
      <w:r>
        <w:rPr>
          <w:rFonts w:hint="eastAsia" w:ascii="宋体" w:hAnsi="宋体" w:eastAsia="宋体" w:cs="宋体"/>
          <w:b/>
          <w:bCs/>
          <w:sz w:val="44"/>
          <w:szCs w:val="44"/>
        </w:rPr>
        <w:t xml:space="preserve"> </w:t>
      </w:r>
      <w:r>
        <w:rPr>
          <w:rFonts w:hint="eastAsia" w:ascii="宋体" w:hAnsi="宋体" w:eastAsia="宋体" w:cs="宋体"/>
          <w:b/>
          <w:bCs/>
          <w:sz w:val="44"/>
          <w:szCs w:val="44"/>
          <w:lang w:val="zh-CN"/>
        </w:rPr>
        <w:t>供应商须知</w:t>
      </w:r>
      <w:bookmarkEnd w:id="9"/>
    </w:p>
    <w:p>
      <w:pPr>
        <w:autoSpaceDE w:val="0"/>
        <w:autoSpaceDN w:val="0"/>
        <w:adjustRightInd w:val="0"/>
        <w:spacing w:line="600" w:lineRule="exact"/>
        <w:jc w:val="center"/>
        <w:rPr>
          <w:rFonts w:ascii="宋体" w:hAnsi="宋体" w:eastAsia="宋体" w:cs="宋体"/>
          <w:b/>
          <w:bCs/>
          <w:sz w:val="24"/>
          <w:szCs w:val="24"/>
          <w:lang w:val="zh-CN"/>
        </w:rPr>
      </w:pPr>
      <w:r>
        <w:rPr>
          <w:rFonts w:hint="eastAsia" w:ascii="宋体" w:hAnsi="宋体" w:eastAsia="宋体" w:cs="宋体"/>
          <w:b/>
          <w:bCs/>
          <w:sz w:val="24"/>
          <w:szCs w:val="24"/>
        </w:rPr>
        <w:t>供应商须知</w:t>
      </w:r>
      <w:r>
        <w:rPr>
          <w:rFonts w:hint="eastAsia" w:ascii="宋体" w:hAnsi="宋体" w:eastAsia="宋体" w:cs="宋体"/>
          <w:b/>
          <w:bCs/>
          <w:sz w:val="24"/>
          <w:szCs w:val="24"/>
          <w:lang w:val="zh-CN"/>
        </w:rPr>
        <w:t>前附表：</w:t>
      </w:r>
    </w:p>
    <w:tbl>
      <w:tblPr>
        <w:tblStyle w:val="2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721" w:type="dxa"/>
            <w:vAlign w:val="center"/>
          </w:tcPr>
          <w:p>
            <w:pPr>
              <w:widowControl/>
              <w:spacing w:line="460" w:lineRule="exact"/>
              <w:jc w:val="center"/>
              <w:rPr>
                <w:rFonts w:ascii="宋体" w:hAnsi="宋体" w:eastAsia="宋体" w:cs="宋体"/>
                <w:b/>
                <w:kern w:val="0"/>
                <w:szCs w:val="21"/>
              </w:rPr>
            </w:pPr>
            <w:r>
              <w:rPr>
                <w:rFonts w:hint="eastAsia" w:ascii="宋体" w:hAnsi="宋体" w:eastAsia="宋体" w:cs="宋体"/>
                <w:b/>
                <w:kern w:val="0"/>
                <w:szCs w:val="21"/>
              </w:rPr>
              <w:t>项   目</w:t>
            </w:r>
          </w:p>
        </w:tc>
        <w:tc>
          <w:tcPr>
            <w:tcW w:w="7559" w:type="dxa"/>
            <w:vAlign w:val="center"/>
          </w:tcPr>
          <w:p>
            <w:pPr>
              <w:widowControl/>
              <w:spacing w:line="460" w:lineRule="exact"/>
              <w:jc w:val="center"/>
              <w:rPr>
                <w:rFonts w:ascii="宋体" w:hAnsi="宋体" w:eastAsia="宋体" w:cs="宋体"/>
                <w:b/>
                <w:kern w:val="0"/>
                <w:szCs w:val="21"/>
              </w:rPr>
            </w:pPr>
            <w:r>
              <w:rPr>
                <w:rFonts w:hint="eastAsia" w:ascii="宋体" w:hAnsi="宋体" w:eastAsia="宋体" w:cs="宋体"/>
                <w:b/>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采购内容</w:t>
            </w:r>
          </w:p>
        </w:tc>
        <w:tc>
          <w:tcPr>
            <w:tcW w:w="7559" w:type="dxa"/>
            <w:vAlign w:val="center"/>
          </w:tcPr>
          <w:p>
            <w:pPr>
              <w:spacing w:line="460" w:lineRule="exact"/>
              <w:jc w:val="left"/>
              <w:rPr>
                <w:rFonts w:ascii="宋体" w:hAnsi="宋体" w:eastAsia="宋体" w:cs="宋体"/>
                <w:szCs w:val="21"/>
              </w:rPr>
            </w:pPr>
            <w:r>
              <w:rPr>
                <w:rFonts w:hint="eastAsia" w:ascii="宋体" w:hAnsi="宋体" w:eastAsia="宋体" w:cs="宋体"/>
                <w:szCs w:val="21"/>
              </w:rPr>
              <w:t>详见第一部分招标公告中第二条要求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采购方式</w:t>
            </w:r>
          </w:p>
        </w:tc>
        <w:tc>
          <w:tcPr>
            <w:tcW w:w="7559" w:type="dxa"/>
            <w:vAlign w:val="center"/>
          </w:tcPr>
          <w:p>
            <w:pPr>
              <w:spacing w:line="460" w:lineRule="exact"/>
              <w:jc w:val="left"/>
              <w:rPr>
                <w:rFonts w:ascii="宋体" w:hAnsi="宋体" w:eastAsia="宋体" w:cs="宋体"/>
                <w:szCs w:val="21"/>
              </w:rPr>
            </w:pPr>
            <w:r>
              <w:rPr>
                <w:rFonts w:hint="eastAsia" w:ascii="宋体" w:hAnsi="宋体" w:eastAsia="宋体" w:cs="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合格供应商</w:t>
            </w:r>
          </w:p>
          <w:p>
            <w:pPr>
              <w:widowControl/>
              <w:spacing w:line="460" w:lineRule="exact"/>
              <w:jc w:val="center"/>
              <w:rPr>
                <w:rFonts w:ascii="宋体" w:hAnsi="宋体" w:eastAsia="宋体" w:cs="宋体"/>
                <w:b/>
                <w:kern w:val="0"/>
                <w:szCs w:val="21"/>
              </w:rPr>
            </w:pPr>
            <w:r>
              <w:rPr>
                <w:rFonts w:hint="eastAsia" w:ascii="宋体" w:hAnsi="宋体" w:eastAsia="宋体" w:cs="宋体"/>
                <w:b/>
                <w:szCs w:val="21"/>
              </w:rPr>
              <w:t>的资格条件</w:t>
            </w:r>
          </w:p>
        </w:tc>
        <w:tc>
          <w:tcPr>
            <w:tcW w:w="7559" w:type="dxa"/>
            <w:vAlign w:val="center"/>
          </w:tcPr>
          <w:p>
            <w:pPr>
              <w:spacing w:line="460" w:lineRule="exact"/>
              <w:jc w:val="left"/>
              <w:rPr>
                <w:rFonts w:ascii="宋体" w:hAnsi="宋体" w:eastAsia="宋体" w:cs="宋体"/>
                <w:szCs w:val="21"/>
              </w:rPr>
            </w:pPr>
            <w:r>
              <w:rPr>
                <w:rFonts w:hint="eastAsia" w:ascii="宋体" w:hAnsi="宋体" w:eastAsia="宋体" w:cs="宋体"/>
                <w:szCs w:val="21"/>
              </w:rPr>
              <w:t>符合第一部分招标公告中第三条要求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资金来源</w:t>
            </w:r>
          </w:p>
        </w:tc>
        <w:tc>
          <w:tcPr>
            <w:tcW w:w="7559" w:type="dxa"/>
            <w:vAlign w:val="center"/>
          </w:tcPr>
          <w:p>
            <w:pPr>
              <w:spacing w:line="460" w:lineRule="exact"/>
              <w:rPr>
                <w:rFonts w:ascii="宋体" w:hAnsi="宋体" w:eastAsia="宋体" w:cs="宋体"/>
                <w:szCs w:val="21"/>
              </w:rPr>
            </w:pPr>
            <w:r>
              <w:rPr>
                <w:rFonts w:hint="eastAsia" w:ascii="宋体" w:hAnsi="宋体" w:eastAsia="宋体" w:cs="宋体"/>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7"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预算金额</w:t>
            </w:r>
          </w:p>
        </w:tc>
        <w:tc>
          <w:tcPr>
            <w:tcW w:w="7559" w:type="dxa"/>
            <w:vAlign w:val="center"/>
          </w:tcPr>
          <w:p>
            <w:pPr>
              <w:spacing w:line="460" w:lineRule="exact"/>
              <w:jc w:val="left"/>
              <w:rPr>
                <w:rFonts w:ascii="宋体" w:hAnsi="宋体" w:eastAsia="宋体" w:cs="宋体"/>
                <w:b/>
                <w:bCs/>
                <w:szCs w:val="21"/>
              </w:rPr>
            </w:pPr>
            <w:r>
              <w:rPr>
                <w:rFonts w:hint="eastAsia" w:ascii="宋体" w:hAnsi="宋体" w:eastAsia="宋体" w:cs="宋体"/>
                <w:b/>
                <w:bCs/>
                <w:szCs w:val="21"/>
              </w:rPr>
              <w:t>189万元（大写：壹佰捌拾玖万元整）；超出预算金额者为无效投标。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721" w:type="dxa"/>
            <w:vAlign w:val="center"/>
          </w:tcPr>
          <w:p>
            <w:pPr>
              <w:spacing w:line="460" w:lineRule="exact"/>
              <w:jc w:val="center"/>
              <w:rPr>
                <w:rFonts w:ascii="宋体" w:hAnsi="宋体" w:eastAsia="宋体" w:cs="宋体"/>
                <w:b/>
                <w:bCs/>
                <w:szCs w:val="21"/>
              </w:rPr>
            </w:pPr>
            <w:r>
              <w:rPr>
                <w:rFonts w:hint="eastAsia" w:ascii="宋体" w:hAnsi="宋体" w:eastAsia="宋体" w:cs="宋体"/>
                <w:b/>
                <w:bCs/>
                <w:szCs w:val="21"/>
              </w:rPr>
              <w:t>服务周期</w:t>
            </w:r>
          </w:p>
        </w:tc>
        <w:tc>
          <w:tcPr>
            <w:tcW w:w="7559" w:type="dxa"/>
            <w:vAlign w:val="center"/>
          </w:tcPr>
          <w:p>
            <w:pPr>
              <w:spacing w:line="460" w:lineRule="exact"/>
              <w:rPr>
                <w:rFonts w:ascii="宋体" w:hAnsi="宋体" w:eastAsia="宋体" w:cs="宋体"/>
                <w:b/>
                <w:bCs/>
                <w:szCs w:val="21"/>
              </w:rPr>
            </w:pPr>
            <w:r>
              <w:rPr>
                <w:rFonts w:hint="eastAsia" w:ascii="宋体" w:hAnsi="宋体" w:eastAsia="宋体" w:cs="宋体"/>
                <w:szCs w:val="21"/>
              </w:rPr>
              <w:t>自本项目咨询服务合同签订日起至政府与社会资本方签订PPP合同为止。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招标文件</w:t>
            </w:r>
          </w:p>
        </w:tc>
        <w:tc>
          <w:tcPr>
            <w:tcW w:w="7559" w:type="dxa"/>
            <w:vAlign w:val="center"/>
          </w:tcPr>
          <w:p>
            <w:pPr>
              <w:spacing w:line="460" w:lineRule="exact"/>
              <w:rPr>
                <w:rFonts w:ascii="宋体" w:hAnsi="宋体" w:eastAsia="宋体" w:cs="宋体"/>
                <w:szCs w:val="21"/>
              </w:rPr>
            </w:pPr>
            <w:r>
              <w:rPr>
                <w:rFonts w:hint="eastAsia" w:ascii="宋体" w:hAnsi="宋体" w:eastAsia="宋体" w:cs="宋体"/>
                <w:szCs w:val="21"/>
              </w:rPr>
              <w:t>招标文件必须网上获取，不提供邮购和纸质版招标文件。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投标文件份数</w:t>
            </w:r>
          </w:p>
        </w:tc>
        <w:tc>
          <w:tcPr>
            <w:tcW w:w="7559" w:type="dxa"/>
            <w:vAlign w:val="center"/>
          </w:tcPr>
          <w:p>
            <w:pPr>
              <w:spacing w:line="460" w:lineRule="exact"/>
              <w:rPr>
                <w:rFonts w:ascii="宋体" w:hAnsi="宋体" w:eastAsia="宋体" w:cs="宋体"/>
                <w:szCs w:val="21"/>
              </w:rPr>
            </w:pPr>
            <w:r>
              <w:rPr>
                <w:rFonts w:hint="eastAsia" w:ascii="宋体" w:hAnsi="宋体" w:eastAsia="宋体" w:cs="宋体"/>
                <w:szCs w:val="21"/>
              </w:rPr>
              <w:t>正本壹份，副本肆份</w:t>
            </w:r>
            <w:r>
              <w:rPr>
                <w:rFonts w:hint="eastAsia" w:ascii="宋体" w:hAnsi="宋体" w:eastAsia="宋体" w:cs="宋体"/>
                <w:bCs/>
                <w:szCs w:val="21"/>
              </w:rPr>
              <w:t>，所有投标内容的电子文档贰份（U盘），注明投标单位，用信封单独密封后与投标文件一起提交。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721" w:type="dxa"/>
            <w:vAlign w:val="center"/>
          </w:tcPr>
          <w:p>
            <w:pPr>
              <w:autoSpaceDE w:val="0"/>
              <w:autoSpaceDN w:val="0"/>
              <w:adjustRightInd w:val="0"/>
              <w:spacing w:line="460" w:lineRule="exact"/>
              <w:jc w:val="center"/>
              <w:rPr>
                <w:rFonts w:ascii="宋体" w:hAnsi="宋体" w:eastAsia="宋体" w:cs="宋体"/>
                <w:b/>
                <w:kern w:val="0"/>
                <w:szCs w:val="21"/>
              </w:rPr>
            </w:pPr>
            <w:r>
              <w:rPr>
                <w:rFonts w:hint="eastAsia" w:ascii="宋体" w:hAnsi="宋体" w:eastAsia="宋体" w:cs="宋体"/>
                <w:b/>
                <w:kern w:val="0"/>
                <w:szCs w:val="21"/>
              </w:rPr>
              <w:t>递交投标文件地点</w:t>
            </w:r>
          </w:p>
        </w:tc>
        <w:tc>
          <w:tcPr>
            <w:tcW w:w="7559" w:type="dxa"/>
            <w:vAlign w:val="center"/>
          </w:tcPr>
          <w:p>
            <w:pPr>
              <w:autoSpaceDE w:val="0"/>
              <w:autoSpaceDN w:val="0"/>
              <w:adjustRightInd w:val="0"/>
              <w:spacing w:line="460" w:lineRule="exact"/>
              <w:jc w:val="left"/>
              <w:rPr>
                <w:rFonts w:ascii="宋体" w:hAnsi="宋体" w:eastAsia="宋体" w:cs="宋体"/>
                <w:szCs w:val="21"/>
                <w:u w:val="single"/>
              </w:rPr>
            </w:pPr>
            <w:r>
              <w:rPr>
                <w:rFonts w:hint="eastAsia" w:ascii="宋体" w:hAnsi="宋体" w:eastAsia="宋体" w:cs="宋体"/>
                <w:szCs w:val="21"/>
              </w:rPr>
              <w:t>鄢陵县公共资源交易中心（S219（鄢陶路）与未来大道交叉口鄢陵创客园院内南楼四楼开标</w:t>
            </w:r>
            <w:r>
              <w:rPr>
                <w:rFonts w:hint="eastAsia" w:ascii="宋体" w:hAnsi="宋体" w:eastAsia="宋体" w:cs="宋体"/>
                <w:szCs w:val="21"/>
                <w:u w:val="single"/>
              </w:rPr>
              <w:t xml:space="preserve">  二 </w:t>
            </w:r>
            <w:r>
              <w:rPr>
                <w:rFonts w:hint="eastAsia" w:ascii="宋体" w:hAnsi="宋体" w:eastAsia="宋体" w:cs="宋体"/>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投标文件封面</w:t>
            </w:r>
          </w:p>
        </w:tc>
        <w:tc>
          <w:tcPr>
            <w:tcW w:w="7559" w:type="dxa"/>
            <w:vAlign w:val="center"/>
          </w:tcPr>
          <w:p>
            <w:pPr>
              <w:autoSpaceDE w:val="0"/>
              <w:autoSpaceDN w:val="0"/>
              <w:adjustRightInd w:val="0"/>
              <w:spacing w:line="460" w:lineRule="exact"/>
              <w:jc w:val="left"/>
              <w:rPr>
                <w:rFonts w:ascii="宋体" w:hAnsi="宋体" w:eastAsia="宋体" w:cs="宋体"/>
                <w:kern w:val="0"/>
                <w:szCs w:val="21"/>
              </w:rPr>
            </w:pPr>
            <w:r>
              <w:rPr>
                <w:rFonts w:hint="eastAsia" w:ascii="宋体" w:hAnsi="宋体" w:eastAsia="宋体" w:cs="宋体"/>
                <w:kern w:val="0"/>
                <w:szCs w:val="21"/>
              </w:rPr>
              <w:t xml:space="preserve">供应商地址： </w:t>
            </w:r>
          </w:p>
          <w:p>
            <w:pPr>
              <w:autoSpaceDE w:val="0"/>
              <w:autoSpaceDN w:val="0"/>
              <w:adjustRightInd w:val="0"/>
              <w:spacing w:line="460" w:lineRule="exact"/>
              <w:jc w:val="left"/>
              <w:rPr>
                <w:rFonts w:ascii="宋体" w:hAnsi="宋体" w:eastAsia="宋体" w:cs="宋体"/>
                <w:kern w:val="0"/>
                <w:szCs w:val="21"/>
              </w:rPr>
            </w:pPr>
            <w:r>
              <w:rPr>
                <w:rFonts w:hint="eastAsia" w:ascii="宋体" w:hAnsi="宋体" w:eastAsia="宋体" w:cs="宋体"/>
                <w:kern w:val="0"/>
                <w:szCs w:val="21"/>
              </w:rPr>
              <w:t xml:space="preserve">供应商名称： </w:t>
            </w:r>
          </w:p>
          <w:p>
            <w:pPr>
              <w:autoSpaceDE w:val="0"/>
              <w:autoSpaceDN w:val="0"/>
              <w:adjustRightInd w:val="0"/>
              <w:spacing w:line="460" w:lineRule="exact"/>
              <w:ind w:left="210" w:hanging="210" w:hangingChars="100"/>
              <w:jc w:val="left"/>
              <w:rPr>
                <w:rFonts w:ascii="宋体" w:hAnsi="宋体" w:eastAsia="宋体" w:cs="宋体"/>
                <w:kern w:val="0"/>
                <w:szCs w:val="21"/>
              </w:rPr>
            </w:pPr>
            <w:r>
              <w:rPr>
                <w:rFonts w:hint="eastAsia" w:ascii="宋体" w:hAnsi="宋体" w:eastAsia="宋体" w:cs="宋体"/>
                <w:kern w:val="0"/>
                <w:szCs w:val="21"/>
                <w:u w:val="single"/>
              </w:rPr>
              <w:t xml:space="preserve">                (工程名称/标段)</w:t>
            </w:r>
            <w:r>
              <w:rPr>
                <w:rFonts w:hint="eastAsia" w:ascii="宋体" w:hAnsi="宋体" w:eastAsia="宋体" w:cs="宋体"/>
                <w:kern w:val="0"/>
                <w:szCs w:val="21"/>
              </w:rPr>
              <w:t>投标文件</w:t>
            </w:r>
          </w:p>
          <w:p>
            <w:pPr>
              <w:autoSpaceDE w:val="0"/>
              <w:autoSpaceDN w:val="0"/>
              <w:adjustRightInd w:val="0"/>
              <w:spacing w:line="460" w:lineRule="exact"/>
              <w:ind w:left="210" w:hanging="210" w:hangingChars="100"/>
              <w:jc w:val="left"/>
              <w:rPr>
                <w:rFonts w:ascii="宋体" w:hAnsi="宋体" w:eastAsia="宋体" w:cs="宋体"/>
                <w:kern w:val="0"/>
                <w:szCs w:val="21"/>
              </w:rPr>
            </w:pPr>
            <w:r>
              <w:rPr>
                <w:rFonts w:hint="eastAsia" w:ascii="宋体" w:hAnsi="宋体" w:eastAsia="宋体" w:cs="宋体"/>
                <w:kern w:val="0"/>
                <w:szCs w:val="21"/>
              </w:rPr>
              <w:t>在201</w:t>
            </w:r>
            <w:r>
              <w:rPr>
                <w:rFonts w:hint="eastAsia" w:ascii="宋体" w:hAnsi="宋体" w:eastAsia="宋体" w:cs="宋体"/>
                <w:kern w:val="0"/>
                <w:szCs w:val="21"/>
                <w:lang w:val="en-US" w:eastAsia="zh-CN"/>
              </w:rPr>
              <w:t>8</w:t>
            </w:r>
            <w:r>
              <w:rPr>
                <w:rFonts w:hint="eastAsia" w:ascii="宋体" w:hAnsi="宋体" w:eastAsia="宋体" w:cs="宋体"/>
                <w:kern w:val="0"/>
                <w:szCs w:val="21"/>
              </w:rPr>
              <w:t>年  月  日   时00分前不得开启。</w:t>
            </w:r>
          </w:p>
          <w:p>
            <w:pPr>
              <w:spacing w:line="460" w:lineRule="exact"/>
              <w:rPr>
                <w:rFonts w:ascii="宋体" w:hAnsi="宋体" w:eastAsia="宋体" w:cs="宋体"/>
                <w:szCs w:val="21"/>
              </w:rPr>
            </w:pPr>
            <w:r>
              <w:rPr>
                <w:rFonts w:hint="eastAsia" w:ascii="宋体" w:hAnsi="宋体" w:eastAsia="宋体" w:cs="宋体"/>
                <w:kern w:val="0"/>
                <w:szCs w:val="21"/>
              </w:rPr>
              <w:t>投标文件包封口处应以密封条密封，并加盖骑缝章。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9"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投标有效期</w:t>
            </w:r>
          </w:p>
        </w:tc>
        <w:tc>
          <w:tcPr>
            <w:tcW w:w="7559" w:type="dxa"/>
            <w:vAlign w:val="center"/>
          </w:tcPr>
          <w:p>
            <w:pPr>
              <w:spacing w:line="460" w:lineRule="exact"/>
              <w:rPr>
                <w:rFonts w:ascii="宋体" w:hAnsi="宋体" w:eastAsia="宋体" w:cs="宋体"/>
                <w:szCs w:val="21"/>
              </w:rPr>
            </w:pPr>
            <w:r>
              <w:rPr>
                <w:rFonts w:hint="eastAsia" w:ascii="宋体" w:hAnsi="宋体" w:eastAsia="宋体" w:cs="宋体"/>
                <w:kern w:val="0"/>
                <w:szCs w:val="21"/>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21" w:type="dxa"/>
            <w:vAlign w:val="center"/>
          </w:tcPr>
          <w:p>
            <w:pPr>
              <w:spacing w:line="460" w:lineRule="exact"/>
              <w:jc w:val="center"/>
              <w:rPr>
                <w:rFonts w:ascii="宋体" w:hAnsi="宋体" w:eastAsia="宋体" w:cs="宋体"/>
                <w:szCs w:val="21"/>
              </w:rPr>
            </w:pPr>
            <w:r>
              <w:rPr>
                <w:rFonts w:hint="eastAsia" w:ascii="宋体" w:hAnsi="宋体" w:eastAsia="宋体" w:cs="宋体"/>
                <w:b/>
                <w:szCs w:val="21"/>
              </w:rPr>
              <w:t>投标保证金</w:t>
            </w:r>
          </w:p>
        </w:tc>
        <w:tc>
          <w:tcPr>
            <w:tcW w:w="7559" w:type="dxa"/>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color w:val="000000" w:themeColor="text1"/>
                <w:sz w:val="21"/>
                <w:szCs w:val="21"/>
                <w:u w:val="none"/>
                <w:lang w:eastAsia="zh-CN"/>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一、</w:t>
            </w:r>
            <w:r>
              <w:rPr>
                <w:rFonts w:hint="eastAsia" w:ascii="宋体" w:hAnsi="宋体" w:eastAsia="宋体" w:cs="宋体"/>
                <w:b/>
                <w:color w:val="000000" w:themeColor="text1"/>
                <w:sz w:val="21"/>
                <w:szCs w:val="21"/>
                <w:u w:val="none"/>
                <w:lang w:eastAsia="zh-CN"/>
                <w14:textFill>
                  <w14:solidFill>
                    <w14:schemeClr w14:val="tx1"/>
                  </w14:solidFill>
                </w14:textFill>
              </w:rPr>
              <w:t>保证金须知</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1、</w:t>
            </w:r>
            <w:r>
              <w:rPr>
                <w:rFonts w:hint="eastAsia" w:ascii="宋体" w:hAnsi="宋体" w:eastAsia="宋体" w:cs="宋体"/>
                <w:color w:val="000000" w:themeColor="text1"/>
                <w:sz w:val="21"/>
                <w:szCs w:val="21"/>
                <w:u w:val="none"/>
                <w14:textFill>
                  <w14:solidFill>
                    <w14:schemeClr w14:val="tx1"/>
                  </w14:solidFill>
                </w14:textFill>
              </w:rPr>
              <w:t>因投标人的原因无法及时退还投标（竞买）保证金、滞留三年以上的，投标（竞买）保证金上缴财政。</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2、</w:t>
            </w:r>
            <w:r>
              <w:rPr>
                <w:rFonts w:hint="eastAsia" w:ascii="宋体" w:hAnsi="宋体" w:eastAsia="宋体" w:cs="宋体"/>
                <w:color w:val="000000" w:themeColor="text1"/>
                <w:sz w:val="21"/>
                <w:szCs w:val="21"/>
                <w:u w:val="none"/>
                <w14:textFill>
                  <w14:solidFill>
                    <w14:schemeClr w14:val="tx1"/>
                  </w14:solidFill>
                </w14:textFill>
              </w:rPr>
              <w:t>自文件发布之日起，投标人需进行基本户备案（建设工程项目），已备案的基本户开户银行、账户发生变化的，须重新办理备案手续。备案后方可提交投标（竞买）保证金。</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3、</w:t>
            </w:r>
            <w:r>
              <w:rPr>
                <w:rFonts w:hint="eastAsia" w:ascii="宋体" w:hAnsi="宋体" w:eastAsia="宋体" w:cs="宋体"/>
                <w:color w:val="000000" w:themeColor="text1"/>
                <w:sz w:val="21"/>
                <w:szCs w:val="21"/>
                <w:u w:val="none"/>
                <w14:textFill>
                  <w14:solidFill>
                    <w14:schemeClr w14:val="tx1"/>
                  </w14:solidFill>
                </w14:textFill>
              </w:rPr>
              <w:t xml:space="preserve">基本户备案流程：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4、</w:t>
            </w:r>
            <w:r>
              <w:rPr>
                <w:rFonts w:hint="eastAsia" w:ascii="宋体" w:hAnsi="宋体" w:eastAsia="宋体" w:cs="宋体"/>
                <w:color w:val="000000" w:themeColor="text1"/>
                <w:sz w:val="21"/>
                <w:szCs w:val="21"/>
                <w:u w:val="none"/>
                <w14:textFill>
                  <w14:solidFill>
                    <w14:schemeClr w14:val="tx1"/>
                  </w14:solidFill>
                </w14:textFill>
              </w:rPr>
              <w:t>特殊情况处理</w:t>
            </w:r>
            <w:r>
              <w:rPr>
                <w:rFonts w:hint="eastAsia" w:ascii="宋体" w:hAnsi="宋体" w:eastAsia="宋体" w:cs="宋体"/>
                <w:color w:val="000000" w:themeColor="text1"/>
                <w:sz w:val="21"/>
                <w:szCs w:val="21"/>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投标人投标过程中因账户开户银行、银行账号发生变化，不能按照来款途径原路返还投标保证金的，投标人须提供原账户开户银行相关证明及新开账户开户许可证，</w:t>
            </w:r>
            <w:r>
              <w:rPr>
                <w:rFonts w:hint="eastAsia" w:ascii="宋体" w:hAnsi="宋体" w:eastAsia="宋体" w:cs="宋体"/>
                <w:color w:val="000000" w:themeColor="text1"/>
                <w:sz w:val="21"/>
                <w:szCs w:val="21"/>
                <w:u w:val="none"/>
                <w:lang w:val="zh-CN"/>
                <w14:textFill>
                  <w14:solidFill>
                    <w14:schemeClr w14:val="tx1"/>
                  </w14:solidFill>
                </w14:textFill>
              </w:rPr>
              <w:t>到</w:t>
            </w:r>
            <w:r>
              <w:rPr>
                <w:rFonts w:hint="eastAsia" w:ascii="宋体" w:hAnsi="宋体" w:eastAsia="宋体" w:cs="宋体"/>
                <w:color w:val="000000" w:themeColor="text1"/>
                <w:sz w:val="21"/>
                <w:szCs w:val="21"/>
                <w:u w:val="none"/>
                <w:lang w:val="zh-CN" w:eastAsia="zh-CN"/>
                <w14:textFill>
                  <w14:solidFill>
                    <w14:schemeClr w14:val="tx1"/>
                  </w14:solidFill>
                </w14:textFill>
              </w:rPr>
              <w:t>鄢陵县公共资源交易管理中心业务四部</w:t>
            </w:r>
            <w:r>
              <w:rPr>
                <w:rFonts w:hint="eastAsia" w:ascii="宋体" w:hAnsi="宋体" w:eastAsia="宋体" w:cs="宋体"/>
                <w:color w:val="000000" w:themeColor="text1"/>
                <w:sz w:val="21"/>
                <w:szCs w:val="21"/>
                <w:u w:val="none"/>
                <w:lang w:val="zh-CN"/>
                <w14:textFill>
                  <w14:solidFill>
                    <w14:schemeClr w14:val="tx1"/>
                  </w14:solidFill>
                </w14:textFill>
              </w:rPr>
              <w:t>办理退款手续（0374</w:t>
            </w:r>
            <w:r>
              <w:rPr>
                <w:rFonts w:hint="eastAsia" w:ascii="宋体" w:hAnsi="宋体" w:eastAsia="宋体" w:cs="宋体"/>
                <w:color w:val="000000" w:themeColor="text1"/>
                <w:sz w:val="21"/>
                <w:szCs w:val="21"/>
                <w:u w:val="none"/>
                <w:lang w:val="en-US" w:eastAsia="zh-CN"/>
                <w14:textFill>
                  <w14:solidFill>
                    <w14:schemeClr w14:val="tx1"/>
                  </w14:solidFill>
                </w14:textFill>
              </w:rPr>
              <w:t>-7363617）</w:t>
            </w:r>
            <w:r>
              <w:rPr>
                <w:rFonts w:hint="eastAsia" w:ascii="宋体" w:hAnsi="宋体" w:eastAsia="宋体" w:cs="宋体"/>
                <w:color w:val="000000" w:themeColor="text1"/>
                <w:sz w:val="21"/>
                <w:szCs w:val="21"/>
                <w:u w:val="none"/>
                <w:lang w:val="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color w:val="000000" w:themeColor="text1"/>
                <w:sz w:val="21"/>
                <w:szCs w:val="21"/>
                <w:u w:val="none"/>
                <w:lang w:eastAsia="zh-CN"/>
                <w14:textFill>
                  <w14:solidFill>
                    <w14:schemeClr w14:val="tx1"/>
                  </w14:solidFill>
                </w14:textFill>
              </w:rPr>
            </w:pPr>
            <w:r>
              <w:rPr>
                <w:rFonts w:hint="eastAsia" w:ascii="宋体" w:hAnsi="宋体" w:eastAsia="宋体" w:cs="宋体"/>
                <w:b/>
                <w:bCs/>
                <w:color w:val="000000" w:themeColor="text1"/>
                <w:sz w:val="21"/>
                <w:szCs w:val="21"/>
                <w:u w:val="none"/>
                <w:lang w:val="en-US" w:eastAsia="zh-CN"/>
                <w14:textFill>
                  <w14:solidFill>
                    <w14:schemeClr w14:val="tx1"/>
                  </w14:solidFill>
                </w14:textFill>
              </w:rPr>
              <w:t>二、</w:t>
            </w:r>
            <w:r>
              <w:rPr>
                <w:rFonts w:hint="eastAsia" w:ascii="宋体" w:hAnsi="宋体" w:eastAsia="宋体" w:cs="宋体"/>
                <w:b/>
                <w:bCs/>
                <w:color w:val="000000" w:themeColor="text1"/>
                <w:sz w:val="21"/>
                <w:szCs w:val="21"/>
                <w:u w:val="none"/>
                <w:lang w:eastAsia="zh-CN"/>
                <w14:textFill>
                  <w14:solidFill>
                    <w14:schemeClr w14:val="tx1"/>
                  </w14:solidFill>
                </w14:textFill>
              </w:rPr>
              <w:t>保证金缴纳</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color w:val="000000" w:themeColor="text1"/>
                <w:sz w:val="21"/>
                <w:szCs w:val="21"/>
                <w:highlight w:val="none"/>
                <w:u w:val="none"/>
                <w14:textFill>
                  <w14:solidFill>
                    <w14:schemeClr w14:val="tx1"/>
                  </w14:solidFill>
                </w14:textFill>
              </w:rPr>
            </w:pPr>
            <w:r>
              <w:rPr>
                <w:rFonts w:hint="eastAsia" w:ascii="宋体" w:hAnsi="宋体" w:eastAsia="宋体" w:cs="宋体"/>
                <w:b/>
                <w:color w:val="000000" w:themeColor="text1"/>
                <w:sz w:val="21"/>
                <w:szCs w:val="21"/>
                <w:highlight w:val="none"/>
                <w:u w:val="none"/>
                <w14:textFill>
                  <w14:solidFill>
                    <w14:schemeClr w14:val="tx1"/>
                  </w14:solidFill>
                </w14:textFill>
              </w:rPr>
              <w:t>投标保证金递交截止时间</w:t>
            </w:r>
            <w:r>
              <w:rPr>
                <w:rFonts w:hint="eastAsia" w:ascii="宋体" w:hAnsi="宋体" w:eastAsia="宋体" w:cs="宋体"/>
                <w:b/>
                <w:color w:val="000000" w:themeColor="text1"/>
                <w:sz w:val="21"/>
                <w:szCs w:val="21"/>
                <w:highlight w:val="none"/>
                <w:u w:val="none"/>
                <w:lang w:eastAsia="zh-CN"/>
                <w14:textFill>
                  <w14:solidFill>
                    <w14:schemeClr w14:val="tx1"/>
                  </w14:solidFill>
                </w14:textFill>
              </w:rPr>
              <w:t>（同投标截止时间）。</w:t>
            </w:r>
          </w:p>
          <w:p>
            <w:pPr>
              <w:keepNext w:val="0"/>
              <w:keepLines w:val="0"/>
              <w:pageBreakBefore w:val="0"/>
              <w:widowControl/>
              <w:kinsoku/>
              <w:wordWrap/>
              <w:overflowPunct/>
              <w:topLinePunct w:val="0"/>
              <w:bidi w:val="0"/>
              <w:snapToGrid/>
              <w:spacing w:line="460" w:lineRule="exact"/>
              <w:ind w:left="0" w:leftChars="0" w:right="0" w:rightChars="0" w:firstLine="0" w:firstLineChars="0"/>
              <w:textAlignment w:val="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金额：</w:t>
            </w:r>
            <w:r>
              <w:rPr>
                <w:rFonts w:hint="eastAsia" w:ascii="宋体" w:hAnsi="宋体" w:eastAsia="宋体" w:cs="宋体"/>
                <w:b/>
                <w:bCs/>
                <w:color w:val="000000" w:themeColor="text1"/>
                <w:sz w:val="21"/>
                <w:szCs w:val="21"/>
                <w:highlight w:val="none"/>
                <w:u w:val="none"/>
                <w:lang w:eastAsia="zh-CN"/>
                <w14:textFill>
                  <w14:solidFill>
                    <w14:schemeClr w14:val="tx1"/>
                  </w14:solidFill>
                </w14:textFill>
              </w:rPr>
              <w:t xml:space="preserve"> 叁万元整</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highlight w:val="none"/>
                <w:u w:val="none"/>
                <w14:textFill>
                  <w14:solidFill>
                    <w14:schemeClr w14:val="tx1"/>
                  </w14:solidFill>
                </w14:textFill>
              </w:rPr>
              <w:t>（￥：</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30000.</w:t>
            </w:r>
            <w:r>
              <w:rPr>
                <w:rFonts w:hint="eastAsia" w:ascii="宋体" w:hAnsi="宋体" w:eastAsia="宋体" w:cs="宋体"/>
                <w:b/>
                <w:bCs/>
                <w:color w:val="000000" w:themeColor="text1"/>
                <w:sz w:val="21"/>
                <w:szCs w:val="21"/>
                <w:highlight w:val="none"/>
                <w:u w:val="none"/>
                <w14:textFill>
                  <w14:solidFill>
                    <w14:schemeClr w14:val="tx1"/>
                  </w14:solidFill>
                </w14:textFill>
              </w:rPr>
              <w:t>00元）</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1、</w:t>
            </w:r>
            <w:r>
              <w:rPr>
                <w:rFonts w:hint="eastAsia" w:ascii="宋体" w:hAnsi="宋体" w:eastAsia="宋体" w:cs="宋体"/>
                <w:color w:val="000000" w:themeColor="text1"/>
                <w:sz w:val="21"/>
                <w:szCs w:val="21"/>
                <w:u w:val="none"/>
                <w14:textFill>
                  <w14:solidFill>
                    <w14:schemeClr w14:val="tx1"/>
                  </w14:solidFill>
                </w14:textFill>
              </w:rPr>
              <w:t>投标保证金的递交方式：银行转帐、银行电汇（均需从投标人的基本账户汇出），不接受以现金方式缴纳的投标保证金。凡以现金方式缴纳投标保证金而影响其投标结果的，由投标人自行负责。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使用银行转帐形式的，于截止时间前通过投标人基本账户将款项一次足额递交、成功绑定，以收款人到账时间为准，在途资金无效，视为未按时交纳。同时投标人应承担节假日银行系统不能支付的风险。</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lang w:eastAsia="zh-CN"/>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2、</w:t>
            </w:r>
            <w:r>
              <w:rPr>
                <w:rFonts w:hint="eastAsia" w:ascii="宋体" w:hAnsi="宋体" w:eastAsia="宋体" w:cs="宋体"/>
                <w:color w:val="000000" w:themeColor="text1"/>
                <w:sz w:val="21"/>
                <w:szCs w:val="21"/>
                <w:u w:val="none"/>
                <w14:textFill>
                  <w14:solidFill>
                    <w14:schemeClr w14:val="tx1"/>
                  </w14:solidFill>
                </w14:textFill>
              </w:rPr>
              <w:t>投标保证金缴纳方式</w:t>
            </w:r>
            <w:r>
              <w:rPr>
                <w:rFonts w:hint="eastAsia" w:ascii="宋体" w:hAnsi="宋体" w:eastAsia="宋体" w:cs="宋体"/>
                <w:color w:val="000000" w:themeColor="text1"/>
                <w:sz w:val="21"/>
                <w:szCs w:val="21"/>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lang w:eastAsia="zh-CN"/>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 xml:space="preserve">2.1 </w:t>
            </w:r>
            <w:r>
              <w:rPr>
                <w:rFonts w:hint="eastAsia" w:ascii="宋体" w:hAnsi="宋体" w:eastAsia="宋体" w:cs="宋体"/>
                <w:color w:val="000000" w:themeColor="text1"/>
                <w:sz w:val="21"/>
                <w:szCs w:val="21"/>
                <w:u w:val="none"/>
                <w14:textFill>
                  <w14:solidFill>
                    <w14:schemeClr w14:val="tx1"/>
                  </w14:solidFill>
                </w14:textFill>
              </w:rPr>
              <w:t>投标人网上报名后</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登录</w:t>
            </w:r>
            <w:r>
              <w:rPr>
                <w:rFonts w:hint="eastAsia" w:ascii="宋体" w:hAnsi="宋体" w:eastAsia="宋体" w:cs="宋体"/>
                <w:color w:val="000000" w:themeColor="text1"/>
                <w:sz w:val="21"/>
                <w:szCs w:val="21"/>
                <w:u w:val="none"/>
                <w14:textFill>
                  <w14:solidFill>
                    <w14:schemeClr w14:val="tx1"/>
                  </w14:solidFill>
                </w14:textFill>
              </w:rPr>
              <w:drawing>
                <wp:inline distT="0" distB="0" distL="114300" distR="114300">
                  <wp:extent cx="190500" cy="142875"/>
                  <wp:effectExtent l="0" t="0" r="0" b="9525"/>
                  <wp:docPr id="2" name="图片 1"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GJ$ACOF(TYDYECOKVDYB.png"/>
                          <pic:cNvPicPr>
                            <a:picLocks noChangeAspect="1"/>
                          </pic:cNvPicPr>
                        </pic:nvPicPr>
                        <pic:blipFill>
                          <a:blip r:embed="rId9"/>
                          <a:stretch>
                            <a:fillRect/>
                          </a:stretch>
                        </pic:blipFill>
                        <pic:spPr>
                          <a:xfrm>
                            <a:off x="0" y="0"/>
                            <a:ext cx="190500" cy="142875"/>
                          </a:xfrm>
                          <a:prstGeom prst="rect">
                            <a:avLst/>
                          </a:prstGeom>
                          <a:noFill/>
                          <a:ln w="9525">
                            <a:noFill/>
                          </a:ln>
                        </pic:spPr>
                      </pic:pic>
                    </a:graphicData>
                  </a:graphic>
                </wp:inline>
              </w:drawing>
            </w:r>
            <w:r>
              <w:rPr>
                <w:rFonts w:hint="eastAsia" w:ascii="宋体" w:hAnsi="宋体" w:eastAsia="宋体" w:cs="宋体"/>
                <w:color w:val="000000" w:themeColor="text1"/>
                <w:sz w:val="21"/>
                <w:szCs w:val="21"/>
                <w:u w:val="none"/>
                <w14:textFill>
                  <w14:solidFill>
                    <w14:schemeClr w14:val="tx1"/>
                  </w14:solidFill>
                </w14:textFill>
              </w:rPr>
              <w:t>http://221.14.6.70:8088/ggzy 系统，依次点击“会员向导”→“参与投标”→“费用缴纳说明”→“保证金缴纳说明单”，获取缴费说明单，根据每个标段的缴纳说明单在缴纳截止时间前缴纳</w:t>
            </w:r>
            <w:r>
              <w:rPr>
                <w:rFonts w:hint="eastAsia" w:ascii="宋体" w:hAnsi="宋体" w:eastAsia="宋体" w:cs="宋体"/>
                <w:color w:val="000000" w:themeColor="text1"/>
                <w:sz w:val="21"/>
                <w:szCs w:val="21"/>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 xml:space="preserve">2.2 </w:t>
            </w:r>
            <w:r>
              <w:rPr>
                <w:rFonts w:hint="eastAsia" w:ascii="宋体" w:hAnsi="宋体" w:eastAsia="宋体" w:cs="宋体"/>
                <w:color w:val="000000" w:themeColor="text1"/>
                <w:sz w:val="21"/>
                <w:szCs w:val="21"/>
                <w:u w:val="none"/>
                <w14:textFill>
                  <w14:solidFill>
                    <w14:schemeClr w14:val="tx1"/>
                  </w14:solidFill>
                </w14:textFill>
              </w:rPr>
              <w:t>成功缴纳后重新登录前述系统，依次点击“会员向导”→“参与投标”→“保证金绑定”→“绑定”进行投标保证金绑定。</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 xml:space="preserve">2.3 </w:t>
            </w:r>
            <w:r>
              <w:rPr>
                <w:rFonts w:hint="eastAsia" w:ascii="宋体" w:hAnsi="宋体" w:eastAsia="宋体" w:cs="宋体"/>
                <w:color w:val="000000" w:themeColor="text1"/>
                <w:sz w:val="21"/>
                <w:szCs w:val="21"/>
                <w:u w:val="none"/>
                <w14:textFill>
                  <w14:solidFill>
                    <w14:schemeClr w14:val="tx1"/>
                  </w14:solidFill>
                </w14:textFill>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 xml:space="preserve">2.4 </w:t>
            </w:r>
            <w:r>
              <w:rPr>
                <w:rFonts w:hint="eastAsia" w:ascii="宋体" w:hAnsi="宋体" w:eastAsia="宋体" w:cs="宋体"/>
                <w:color w:val="000000" w:themeColor="text1"/>
                <w:sz w:val="21"/>
                <w:szCs w:val="21"/>
                <w:u w:val="none"/>
                <w14:textFill>
                  <w14:solidFill>
                    <w14:schemeClr w14:val="tx1"/>
                  </w14:solidFill>
                </w14:textFill>
              </w:rPr>
              <w:t>每个投标人每个项目每个标段只有唯一缴纳账号，切勿重复缴纳或错误缴纳。(由于每个项目每个标段每个投标人系统会生成唯一的 缴纳账号，请投标企业严格按照“保证金缴纳说明单”进行交纳)。</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3、</w:t>
            </w:r>
            <w:r>
              <w:rPr>
                <w:rFonts w:hint="eastAsia" w:ascii="宋体" w:hAnsi="宋体" w:eastAsia="宋体" w:cs="宋体"/>
                <w:color w:val="000000" w:themeColor="text1"/>
                <w:sz w:val="21"/>
                <w:szCs w:val="21"/>
                <w:u w:val="none"/>
                <w14:textFill>
                  <w14:solidFill>
                    <w14:schemeClr w14:val="tx1"/>
                  </w14:solidFill>
                </w14:textFill>
              </w:rPr>
              <w:t>未按上述规定操作引起的无效投标，由投标人自行负责。</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4、</w:t>
            </w:r>
            <w:r>
              <w:rPr>
                <w:rFonts w:hint="eastAsia" w:ascii="宋体" w:hAnsi="宋体" w:eastAsia="宋体" w:cs="宋体"/>
                <w:color w:val="000000" w:themeColor="text1"/>
                <w:sz w:val="21"/>
                <w:szCs w:val="21"/>
                <w:u w:val="none"/>
                <w14:textFill>
                  <w14:solidFill>
                    <w14:schemeClr w14:val="tx1"/>
                  </w14:solidFill>
                </w14:textFill>
              </w:rPr>
              <w:t>汇款凭证无须备注项目编号和项目名称。</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5、</w:t>
            </w:r>
            <w:r>
              <w:rPr>
                <w:rFonts w:hint="eastAsia" w:ascii="宋体" w:hAnsi="宋体" w:eastAsia="宋体" w:cs="宋体"/>
                <w:color w:val="000000" w:themeColor="text1"/>
                <w:sz w:val="21"/>
                <w:szCs w:val="21"/>
                <w:u w:val="none"/>
                <w14:textFill>
                  <w14:solidFill>
                    <w14:schemeClr w14:val="tx1"/>
                  </w14:solidFill>
                </w14:textFill>
              </w:rPr>
              <w:t>出现以下情形造成的投标保证金无效，由投标人自行负责。</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(1)投标保证金未从投标人的基本账户转出；</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(2)投标保证金未按照招标文件划分的标段依次转账。</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lang w:eastAsia="zh-CN"/>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6、</w:t>
            </w:r>
            <w:r>
              <w:rPr>
                <w:rFonts w:hint="eastAsia" w:ascii="宋体" w:hAnsi="宋体" w:eastAsia="宋体" w:cs="宋体"/>
                <w:color w:val="000000" w:themeColor="text1"/>
                <w:sz w:val="21"/>
                <w:szCs w:val="21"/>
                <w:u w:val="none"/>
                <w14:textFill>
                  <w14:solidFill>
                    <w14:schemeClr w14:val="tx1"/>
                  </w14:solidFill>
                </w14:textFill>
              </w:rPr>
              <w:t>《保证金缴纳绑定操作指南》获取方法</w:t>
            </w:r>
            <w:r>
              <w:rPr>
                <w:rFonts w:hint="eastAsia" w:ascii="宋体" w:hAnsi="宋体" w:eastAsia="宋体" w:cs="宋体"/>
                <w:color w:val="000000" w:themeColor="text1"/>
                <w:sz w:val="21"/>
                <w:szCs w:val="21"/>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登录许昌公共资源交易系统-组件下载-《保证金缴纳绑定操作指南》</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7、</w:t>
            </w:r>
            <w:r>
              <w:rPr>
                <w:rFonts w:hint="eastAsia" w:ascii="宋体" w:hAnsi="宋体" w:eastAsia="宋体" w:cs="宋体"/>
                <w:color w:val="000000" w:themeColor="text1"/>
                <w:sz w:val="21"/>
                <w:szCs w:val="21"/>
                <w:u w:val="none"/>
                <w14:textFill>
                  <w14:solidFill>
                    <w14:schemeClr w14:val="tx1"/>
                  </w14:solidFill>
                </w14:textFill>
              </w:rPr>
              <w:t>投标人不按本章要求提交投标保证金的，拒收其投标文件。</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宋体" w:hAnsi="宋体" w:eastAsia="宋体" w:cs="宋体"/>
                <w:b/>
                <w:bCs/>
                <w:color w:val="000000" w:themeColor="text1"/>
                <w:sz w:val="21"/>
                <w:szCs w:val="21"/>
                <w:u w:val="none"/>
                <w14:textFill>
                  <w14:solidFill>
                    <w14:schemeClr w14:val="tx1"/>
                  </w14:solidFill>
                </w14:textFill>
              </w:rPr>
            </w:pPr>
            <w:r>
              <w:rPr>
                <w:rFonts w:hint="eastAsia" w:ascii="宋体" w:hAnsi="宋体" w:eastAsia="宋体" w:cs="宋体"/>
                <w:b/>
                <w:bCs/>
                <w:color w:val="000000" w:themeColor="text1"/>
                <w:sz w:val="21"/>
                <w:szCs w:val="21"/>
                <w:u w:val="none"/>
                <w:lang w:eastAsia="zh-CN"/>
                <w14:textFill>
                  <w14:solidFill>
                    <w14:schemeClr w14:val="tx1"/>
                  </w14:solidFill>
                </w14:textFill>
              </w:rPr>
              <w:t>三、</w:t>
            </w:r>
            <w:r>
              <w:rPr>
                <w:rFonts w:hint="eastAsia" w:ascii="宋体" w:hAnsi="宋体" w:eastAsia="宋体" w:cs="宋体"/>
                <w:b/>
                <w:bCs/>
                <w:color w:val="000000" w:themeColor="text1"/>
                <w:sz w:val="21"/>
                <w:szCs w:val="21"/>
                <w:u w:val="none"/>
                <w14:textFill>
                  <w14:solidFill>
                    <w14:schemeClr w14:val="tx1"/>
                  </w14:solidFill>
                </w14:textFill>
              </w:rPr>
              <w:t>投标保证金的退还：</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1、</w:t>
            </w:r>
            <w:r>
              <w:rPr>
                <w:rFonts w:hint="eastAsia" w:ascii="宋体" w:hAnsi="宋体" w:eastAsia="宋体" w:cs="宋体"/>
                <w:color w:val="000000" w:themeColor="text1"/>
                <w:sz w:val="21"/>
                <w:szCs w:val="21"/>
                <w:u w:val="none"/>
                <w14:textFill>
                  <w14:solidFill>
                    <w14:schemeClr w14:val="tx1"/>
                  </w14:solidFill>
                </w14:textFill>
              </w:rPr>
              <w:t>中标公示期满没有质疑或投诉的，5个工作日内退还非中标候选人投标保证金及银行同期活期存款利息。</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2、</w:t>
            </w:r>
            <w:r>
              <w:rPr>
                <w:rFonts w:hint="eastAsia" w:ascii="宋体" w:hAnsi="宋体" w:eastAsia="宋体" w:cs="宋体"/>
                <w:color w:val="000000" w:themeColor="text1"/>
                <w:sz w:val="21"/>
                <w:szCs w:val="21"/>
                <w:u w:val="none"/>
                <w14:textFill>
                  <w14:solidFill>
                    <w14:schemeClr w14:val="tx1"/>
                  </w14:solidFill>
                </w14:textFill>
              </w:rPr>
              <w:t>在书面合同签订5个工作日内向中标人和其他中标候选人退还投标保证金及银行同期活期存款利息；法定期限内未签订书面合同的，按照有关规定退还其投标保证金。及银行同期活期存款利息。</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3、</w:t>
            </w:r>
            <w:r>
              <w:rPr>
                <w:rFonts w:hint="eastAsia" w:ascii="宋体" w:hAnsi="宋体" w:eastAsia="宋体" w:cs="宋体"/>
                <w:color w:val="000000" w:themeColor="text1"/>
                <w:sz w:val="21"/>
                <w:szCs w:val="21"/>
                <w:u w:val="none"/>
                <w14:textFill>
                  <w14:solidFill>
                    <w14:schemeClr w14:val="tx1"/>
                  </w14:solidFill>
                </w14:textFill>
              </w:rPr>
              <w:t>项目废标或招标人终止招标的，在此后5个工作日内退还投标保证金及银行同期活期存利息。</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4、</w:t>
            </w:r>
            <w:r>
              <w:rPr>
                <w:rFonts w:hint="eastAsia" w:ascii="宋体" w:hAnsi="宋体" w:eastAsia="宋体" w:cs="宋体"/>
                <w:color w:val="000000" w:themeColor="text1"/>
                <w:sz w:val="21"/>
                <w:szCs w:val="21"/>
                <w:u w:val="none"/>
                <w14:textFill>
                  <w14:solidFill>
                    <w14:schemeClr w14:val="tx1"/>
                  </w14:solidFill>
                </w14:textFill>
              </w:rPr>
              <w:t>投标活动中出现质疑、投诉的，中标候选人、质疑人和被质疑人、投诉人和被投诉人的投标保证金暂停退还。</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5、</w:t>
            </w:r>
            <w:r>
              <w:rPr>
                <w:rFonts w:hint="eastAsia" w:ascii="宋体" w:hAnsi="宋体" w:eastAsia="宋体" w:cs="宋体"/>
                <w:color w:val="000000" w:themeColor="text1"/>
                <w:sz w:val="21"/>
                <w:szCs w:val="21"/>
                <w:u w:val="none"/>
                <w14:textFill>
                  <w14:solidFill>
                    <w14:schemeClr w14:val="tx1"/>
                  </w14:solidFill>
                </w14:textFill>
              </w:rPr>
              <w:t>相关投标人有违法违规行为的项目，其投标保证金暂不退还，待行政监督部门对相关情况处置后，按照有关规定办理。</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6、</w:t>
            </w:r>
            <w:r>
              <w:rPr>
                <w:rFonts w:hint="eastAsia" w:ascii="宋体" w:hAnsi="宋体" w:eastAsia="宋体" w:cs="宋体"/>
                <w:color w:val="000000" w:themeColor="text1"/>
                <w:sz w:val="21"/>
                <w:szCs w:val="21"/>
                <w:u w:val="none"/>
                <w14:textFill>
                  <w14:solidFill>
                    <w14:schemeClr w14:val="tx1"/>
                  </w14:solidFill>
                </w14:textFill>
              </w:rPr>
              <w:t>退还投标保证金，除另有规定外，一般以转账方式一次性退还至投标保证金的原提交账户。</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val="en-US" w:eastAsia="zh-CN"/>
                <w14:textFill>
                  <w14:solidFill>
                    <w14:schemeClr w14:val="tx1"/>
                  </w14:solidFill>
                </w14:textFill>
              </w:rPr>
              <w:t>7、</w:t>
            </w:r>
            <w:r>
              <w:rPr>
                <w:rFonts w:hint="eastAsia" w:ascii="宋体" w:hAnsi="宋体" w:eastAsia="宋体" w:cs="宋体"/>
                <w:color w:val="000000" w:themeColor="text1"/>
                <w:sz w:val="21"/>
                <w:szCs w:val="21"/>
                <w:u w:val="none"/>
                <w14:textFill>
                  <w14:solidFill>
                    <w14:schemeClr w14:val="tx1"/>
                  </w14:solidFill>
                </w14:textFill>
              </w:rPr>
              <w:t>投标人有下列情形之一的，不予退还投标保证金：</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1</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 xml:space="preserve">在招标文件要求提交招标文件的截止时间后至招标文件有效期满前撤回投标的；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2</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 xml:space="preserve">中标通知书发出后，中标人无故放弃中标项目或无正当理由在规定时间内不与招标人签订合同或未按招标文件规定提交履约担保的；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3</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 xml:space="preserve">将中标项目转让给他人，或者在投标文件中未说明，且未经招标人同意，将中标项目分包给他人的；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4</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 xml:space="preserve">投标人在招投标活动中弄虚作假、围标串标，骗取中标并经招投标行政监督部门调查核实的； </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5</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拒绝履行合同义务的；</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6</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highlight w:val="none"/>
                <w:u w:val="none"/>
                <w14:textFill>
                  <w14:solidFill>
                    <w14:schemeClr w14:val="tx1"/>
                  </w14:solidFill>
                </w14:textFill>
              </w:rPr>
              <w:t>无故未按时参见开标会议的</w:t>
            </w:r>
            <w:r>
              <w:rPr>
                <w:rFonts w:hint="eastAsia" w:ascii="宋体" w:hAnsi="宋体" w:eastAsia="宋体" w:cs="宋体"/>
                <w:color w:val="000000" w:themeColor="text1"/>
                <w:sz w:val="21"/>
                <w:szCs w:val="21"/>
                <w:highlight w:val="none"/>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7</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相关法律、法规规定不予退还的其它情形。</w:t>
            </w:r>
          </w:p>
          <w:p>
            <w:pPr>
              <w:widowControl/>
              <w:spacing w:line="460" w:lineRule="exact"/>
              <w:rPr>
                <w:rFonts w:ascii="宋体" w:hAnsi="宋体" w:eastAsia="宋体" w:cs="宋体"/>
                <w:szCs w:val="21"/>
              </w:rPr>
            </w:pP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val="en-US" w:eastAsia="zh-CN"/>
                <w14:textFill>
                  <w14:solidFill>
                    <w14:schemeClr w14:val="tx1"/>
                  </w14:solidFill>
                </w14:textFill>
              </w:rPr>
              <w:t>8</w:t>
            </w:r>
            <w:r>
              <w:rPr>
                <w:rFonts w:hint="eastAsia" w:ascii="宋体" w:hAnsi="宋体" w:eastAsia="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14:textFill>
                  <w14:solidFill>
                    <w14:schemeClr w14:val="tx1"/>
                  </w14:solidFill>
                </w14:textFill>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kern w:val="0"/>
                <w:szCs w:val="21"/>
              </w:rPr>
              <w:t>开标时间和地点</w:t>
            </w:r>
          </w:p>
        </w:tc>
        <w:tc>
          <w:tcPr>
            <w:tcW w:w="7559" w:type="dxa"/>
            <w:vAlign w:val="center"/>
          </w:tcPr>
          <w:p>
            <w:pPr>
              <w:spacing w:line="460" w:lineRule="exact"/>
              <w:rPr>
                <w:rFonts w:ascii="宋体" w:hAnsi="宋体" w:eastAsia="宋体" w:cs="宋体"/>
                <w:szCs w:val="21"/>
              </w:rPr>
            </w:pPr>
            <w:r>
              <w:rPr>
                <w:rFonts w:hint="eastAsia" w:ascii="宋体" w:hAnsi="宋体" w:eastAsia="宋体" w:cs="宋体"/>
                <w:szCs w:val="21"/>
              </w:rPr>
              <w:t>开标时间：</w:t>
            </w:r>
            <w:r>
              <w:rPr>
                <w:rFonts w:hint="eastAsia" w:ascii="宋体" w:hAnsi="宋体" w:eastAsia="宋体" w:cs="宋体"/>
                <w:szCs w:val="21"/>
                <w:u w:val="single"/>
                <w:lang w:val="en-US" w:eastAsia="zh-CN"/>
              </w:rPr>
              <w:t>2018</w:t>
            </w:r>
            <w:r>
              <w:rPr>
                <w:rFonts w:hint="eastAsia" w:ascii="宋体" w:hAnsi="宋体" w:eastAsia="宋体" w:cs="宋体"/>
                <w:szCs w:val="21"/>
              </w:rPr>
              <w:t>年</w:t>
            </w:r>
            <w:r>
              <w:rPr>
                <w:rFonts w:hint="eastAsia" w:ascii="宋体" w:hAnsi="宋体" w:eastAsia="宋体" w:cs="宋体"/>
                <w:szCs w:val="21"/>
                <w:u w:val="single"/>
                <w:lang w:val="en-US" w:eastAsia="zh-CN"/>
              </w:rPr>
              <w:t xml:space="preserve"> 1</w:t>
            </w:r>
            <w:r>
              <w:rPr>
                <w:rFonts w:hint="eastAsia" w:ascii="宋体" w:hAnsi="宋体" w:eastAsia="宋体" w:cs="宋体"/>
                <w:szCs w:val="21"/>
              </w:rPr>
              <w:t>月</w:t>
            </w:r>
            <w:r>
              <w:rPr>
                <w:rFonts w:hint="eastAsia" w:ascii="宋体" w:hAnsi="宋体" w:eastAsia="宋体" w:cs="宋体"/>
                <w:szCs w:val="21"/>
                <w:u w:val="single"/>
                <w:lang w:val="en-US" w:eastAsia="zh-CN"/>
              </w:rPr>
              <w:t xml:space="preserve"> 3</w:t>
            </w:r>
            <w:r>
              <w:rPr>
                <w:rFonts w:hint="eastAsia" w:ascii="宋体" w:hAnsi="宋体" w:eastAsia="宋体" w:cs="宋体"/>
                <w:szCs w:val="21"/>
              </w:rPr>
              <w:t>日</w:t>
            </w:r>
            <w:r>
              <w:rPr>
                <w:rFonts w:hint="eastAsia" w:ascii="宋体" w:hAnsi="宋体" w:eastAsia="宋体" w:cs="宋体"/>
                <w:szCs w:val="21"/>
                <w:u w:val="single"/>
              </w:rPr>
              <w:t>09：00</w:t>
            </w:r>
            <w:r>
              <w:rPr>
                <w:rFonts w:hint="eastAsia" w:ascii="宋体" w:hAnsi="宋体" w:eastAsia="宋体" w:cs="宋体"/>
                <w:szCs w:val="21"/>
              </w:rPr>
              <w:t>分（北京时间）。</w:t>
            </w:r>
          </w:p>
          <w:p>
            <w:pPr>
              <w:spacing w:line="460" w:lineRule="exact"/>
              <w:rPr>
                <w:rFonts w:ascii="宋体" w:hAnsi="宋体" w:eastAsia="宋体" w:cs="宋体"/>
                <w:kern w:val="0"/>
                <w:szCs w:val="21"/>
              </w:rPr>
            </w:pPr>
            <w:r>
              <w:rPr>
                <w:rFonts w:hint="eastAsia" w:ascii="宋体" w:hAnsi="宋体" w:eastAsia="宋体" w:cs="宋体"/>
                <w:szCs w:val="21"/>
              </w:rPr>
              <w:t>开标地点：鄢陵县公共资源交易中心（S219（鄢陶路）与未来大道交叉口鄢陵创客园院内南楼四楼开标</w:t>
            </w:r>
            <w:r>
              <w:rPr>
                <w:rFonts w:hint="eastAsia" w:ascii="宋体" w:hAnsi="宋体" w:eastAsia="宋体" w:cs="宋体"/>
                <w:szCs w:val="21"/>
                <w:u w:val="single"/>
              </w:rPr>
              <w:t>二</w:t>
            </w:r>
            <w:r>
              <w:rPr>
                <w:rFonts w:hint="eastAsia" w:ascii="宋体" w:hAnsi="宋体" w:eastAsia="宋体" w:cs="宋体"/>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1721" w:type="dxa"/>
            <w:vAlign w:val="center"/>
          </w:tcPr>
          <w:p>
            <w:pPr>
              <w:autoSpaceDE w:val="0"/>
              <w:autoSpaceDN w:val="0"/>
              <w:adjustRightInd w:val="0"/>
              <w:spacing w:line="460" w:lineRule="exact"/>
              <w:jc w:val="center"/>
              <w:rPr>
                <w:rFonts w:ascii="宋体" w:hAnsi="宋体" w:eastAsia="宋体" w:cs="宋体"/>
                <w:b/>
                <w:kern w:val="0"/>
                <w:szCs w:val="21"/>
              </w:rPr>
            </w:pPr>
            <w:r>
              <w:rPr>
                <w:rFonts w:hint="eastAsia" w:ascii="宋体" w:hAnsi="宋体" w:eastAsia="宋体" w:cs="宋体"/>
                <w:b/>
                <w:kern w:val="0"/>
                <w:szCs w:val="21"/>
              </w:rPr>
              <w:t>供应商对招标文件有异议的提出与受理</w:t>
            </w:r>
          </w:p>
        </w:tc>
        <w:tc>
          <w:tcPr>
            <w:tcW w:w="7559" w:type="dxa"/>
            <w:vAlign w:val="center"/>
          </w:tcPr>
          <w:p>
            <w:pPr>
              <w:autoSpaceDE w:val="0"/>
              <w:autoSpaceDN w:val="0"/>
              <w:adjustRightInd w:val="0"/>
              <w:spacing w:line="460" w:lineRule="exact"/>
              <w:rPr>
                <w:rFonts w:ascii="宋体" w:hAnsi="宋体" w:eastAsia="宋体" w:cs="宋体"/>
                <w:kern w:val="0"/>
                <w:szCs w:val="21"/>
              </w:rPr>
            </w:pPr>
            <w:r>
              <w:rPr>
                <w:rFonts w:hint="eastAsia" w:ascii="宋体" w:hAnsi="宋体" w:eastAsia="宋体" w:cs="宋体"/>
                <w:szCs w:val="21"/>
              </w:rPr>
              <w:t>供应商对招标文件有异议的应当在发布招标文件之日起七个工作日内通过公共资源交易系统平台发出，采购人或采购代理机构应当自收到异议之日起三个工作日内作出答复。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721" w:type="dxa"/>
            <w:vAlign w:val="center"/>
          </w:tcPr>
          <w:p>
            <w:pPr>
              <w:spacing w:line="460" w:lineRule="exact"/>
              <w:jc w:val="center"/>
              <w:rPr>
                <w:rFonts w:ascii="宋体" w:hAnsi="宋体" w:eastAsia="宋体" w:cs="宋体"/>
                <w:b/>
                <w:szCs w:val="21"/>
              </w:rPr>
            </w:pPr>
            <w:r>
              <w:rPr>
                <w:rFonts w:hint="eastAsia" w:ascii="宋体" w:hAnsi="宋体" w:eastAsia="宋体" w:cs="宋体"/>
                <w:b/>
                <w:szCs w:val="21"/>
              </w:rPr>
              <w:t>评标委员会组成</w:t>
            </w:r>
          </w:p>
        </w:tc>
        <w:tc>
          <w:tcPr>
            <w:tcW w:w="7559" w:type="dxa"/>
            <w:vAlign w:val="center"/>
          </w:tcPr>
          <w:p>
            <w:pPr>
              <w:autoSpaceDE w:val="0"/>
              <w:autoSpaceDN w:val="0"/>
              <w:adjustRightInd w:val="0"/>
              <w:spacing w:line="460" w:lineRule="exact"/>
              <w:jc w:val="left"/>
              <w:rPr>
                <w:rFonts w:ascii="宋体" w:hAnsi="宋体" w:eastAsia="宋体" w:cs="宋体"/>
                <w:kern w:val="0"/>
                <w:szCs w:val="21"/>
              </w:rPr>
            </w:pPr>
            <w:r>
              <w:rPr>
                <w:rFonts w:hint="eastAsia" w:ascii="宋体" w:hAnsi="宋体" w:eastAsia="宋体" w:cs="宋体"/>
                <w:kern w:val="0"/>
                <w:szCs w:val="21"/>
              </w:rPr>
              <w:t>评标委员会构成：由采购人代表和相关经济、技术等方面的评审专家</w:t>
            </w:r>
            <w:r>
              <w:rPr>
                <w:rFonts w:hint="eastAsia" w:ascii="宋体" w:hAnsi="宋体" w:eastAsia="宋体" w:cs="宋体"/>
                <w:bCs/>
                <w:szCs w:val="21"/>
              </w:rPr>
              <w:t>共5人组成。</w:t>
            </w:r>
          </w:p>
          <w:p>
            <w:pPr>
              <w:autoSpaceDE w:val="0"/>
              <w:autoSpaceDN w:val="0"/>
              <w:adjustRightInd w:val="0"/>
              <w:spacing w:line="460" w:lineRule="exact"/>
              <w:rPr>
                <w:rFonts w:ascii="宋体" w:hAnsi="宋体" w:eastAsia="宋体" w:cs="宋体"/>
                <w:kern w:val="0"/>
                <w:szCs w:val="21"/>
              </w:rPr>
            </w:pPr>
            <w:r>
              <w:rPr>
                <w:rFonts w:hint="eastAsia" w:ascii="宋体" w:hAnsi="宋体" w:eastAsia="宋体" w:cs="宋体"/>
                <w:kern w:val="0"/>
                <w:szCs w:val="21"/>
              </w:rPr>
              <w:t>评标专家确定方式：</w:t>
            </w:r>
            <w:r>
              <w:rPr>
                <w:rFonts w:hint="eastAsia" w:ascii="宋体" w:hAnsi="宋体" w:eastAsia="宋体" w:cs="宋体"/>
                <w:color w:val="auto"/>
                <w:szCs w:val="21"/>
                <w:lang w:eastAsia="zh-CN"/>
              </w:rPr>
              <w:t>评</w:t>
            </w:r>
            <w:r>
              <w:rPr>
                <w:rFonts w:hint="eastAsia" w:ascii="宋体" w:hAnsi="宋体" w:eastAsia="宋体" w:cs="宋体"/>
                <w:szCs w:val="21"/>
              </w:rPr>
              <w:t>标前从相关专家库中随机抽取。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721" w:type="dxa"/>
            <w:vAlign w:val="center"/>
          </w:tcPr>
          <w:p>
            <w:pPr>
              <w:autoSpaceDE w:val="0"/>
              <w:autoSpaceDN w:val="0"/>
              <w:adjustRightInd w:val="0"/>
              <w:spacing w:line="460" w:lineRule="exact"/>
              <w:jc w:val="left"/>
              <w:rPr>
                <w:rFonts w:ascii="宋体" w:hAnsi="宋体" w:eastAsia="宋体" w:cs="宋体"/>
                <w:b/>
                <w:kern w:val="0"/>
                <w:szCs w:val="21"/>
              </w:rPr>
            </w:pPr>
            <w:r>
              <w:rPr>
                <w:rFonts w:hint="eastAsia" w:ascii="宋体" w:hAnsi="宋体" w:eastAsia="宋体" w:cs="宋体"/>
                <w:b/>
                <w:kern w:val="0"/>
                <w:szCs w:val="21"/>
              </w:rPr>
              <w:t>履约担保</w:t>
            </w:r>
          </w:p>
        </w:tc>
        <w:tc>
          <w:tcPr>
            <w:tcW w:w="7559" w:type="dxa"/>
            <w:vAlign w:val="center"/>
          </w:tcPr>
          <w:p>
            <w:pPr>
              <w:autoSpaceDE w:val="0"/>
              <w:autoSpaceDN w:val="0"/>
              <w:adjustRightInd w:val="0"/>
              <w:spacing w:line="460" w:lineRule="exact"/>
              <w:jc w:val="left"/>
              <w:rPr>
                <w:rFonts w:ascii="宋体" w:hAnsi="宋体" w:eastAsia="宋体" w:cs="宋体"/>
                <w:kern w:val="0"/>
                <w:szCs w:val="21"/>
              </w:rPr>
            </w:pPr>
            <w:r>
              <w:rPr>
                <w:rFonts w:hint="eastAsia" w:ascii="宋体" w:hAnsi="宋体" w:eastAsia="宋体" w:cs="宋体"/>
                <w:kern w:val="0"/>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280" w:type="dxa"/>
            <w:gridSpan w:val="2"/>
            <w:vAlign w:val="center"/>
          </w:tcPr>
          <w:p>
            <w:pPr>
              <w:widowControl/>
              <w:spacing w:line="460" w:lineRule="exact"/>
              <w:rPr>
                <w:rFonts w:ascii="宋体" w:hAnsi="宋体" w:eastAsia="宋体" w:cs="宋体"/>
                <w:kern w:val="0"/>
                <w:szCs w:val="21"/>
              </w:rPr>
            </w:pPr>
            <w:r>
              <w:rPr>
                <w:rFonts w:hint="eastAsia" w:ascii="宋体" w:hAnsi="宋体" w:eastAsia="宋体" w:cs="宋体"/>
                <w:kern w:val="0"/>
                <w:szCs w:val="21"/>
              </w:rPr>
              <w:t>需要补充的其它内容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280" w:type="dxa"/>
            <w:gridSpan w:val="2"/>
            <w:vAlign w:val="center"/>
          </w:tcPr>
          <w:p>
            <w:pPr>
              <w:widowControl/>
              <w:spacing w:line="460" w:lineRule="exact"/>
              <w:rPr>
                <w:rFonts w:ascii="宋体" w:hAnsi="宋体" w:eastAsia="宋体" w:cs="宋体"/>
                <w:kern w:val="0"/>
                <w:szCs w:val="21"/>
              </w:rPr>
            </w:pPr>
            <w:r>
              <w:rPr>
                <w:rFonts w:hint="eastAsia" w:ascii="宋体" w:hAnsi="宋体" w:eastAsia="宋体" w:cs="宋体"/>
                <w:szCs w:val="21"/>
              </w:rPr>
              <w:t>1、供应商代表出席开标会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21" w:type="dxa"/>
            <w:vAlign w:val="center"/>
          </w:tcPr>
          <w:p>
            <w:pPr>
              <w:widowControl/>
              <w:spacing w:line="460" w:lineRule="exact"/>
              <w:rPr>
                <w:rFonts w:ascii="宋体" w:hAnsi="宋体" w:eastAsia="宋体" w:cs="宋体"/>
                <w:kern w:val="0"/>
                <w:szCs w:val="21"/>
              </w:rPr>
            </w:pPr>
          </w:p>
        </w:tc>
        <w:tc>
          <w:tcPr>
            <w:tcW w:w="7559" w:type="dxa"/>
            <w:vAlign w:val="center"/>
          </w:tcPr>
          <w:p>
            <w:pPr>
              <w:spacing w:line="460" w:lineRule="exact"/>
              <w:rPr>
                <w:rFonts w:ascii="宋体" w:hAnsi="宋体" w:eastAsia="宋体" w:cs="宋体"/>
                <w:szCs w:val="21"/>
              </w:rPr>
            </w:pPr>
            <w:r>
              <w:rPr>
                <w:rFonts w:hint="eastAsia" w:ascii="宋体" w:hAnsi="宋体" w:eastAsia="宋体" w:cs="宋体"/>
                <w:szCs w:val="21"/>
              </w:rPr>
              <w:t>1、供应商的法定代表人应持法人代表证明和有效身份证明参加开标会议,委托他人参加的，须持有效委托书原件，委托书应当载明委托事项权限及有效期等主要内容。</w:t>
            </w:r>
          </w:p>
          <w:p>
            <w:pPr>
              <w:widowControl/>
              <w:spacing w:line="460" w:lineRule="exact"/>
              <w:rPr>
                <w:rFonts w:ascii="宋体" w:hAnsi="宋体" w:eastAsia="宋体" w:cs="宋体"/>
                <w:kern w:val="0"/>
                <w:szCs w:val="21"/>
              </w:rPr>
            </w:pPr>
            <w:r>
              <w:rPr>
                <w:rFonts w:hint="eastAsia" w:ascii="宋体" w:hAnsi="宋体" w:eastAsia="宋体" w:cs="宋体"/>
                <w:szCs w:val="21"/>
              </w:rPr>
              <w:t>2、法定代表人（或授权委托人）不按规定参加开标会议的，视为放弃投标。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280" w:type="dxa"/>
            <w:gridSpan w:val="2"/>
            <w:vAlign w:val="center"/>
          </w:tcPr>
          <w:p>
            <w:pPr>
              <w:widowControl/>
              <w:spacing w:line="460" w:lineRule="exact"/>
              <w:rPr>
                <w:rFonts w:ascii="宋体" w:hAnsi="宋体" w:eastAsia="宋体" w:cs="宋体"/>
                <w:kern w:val="0"/>
                <w:szCs w:val="21"/>
              </w:rPr>
            </w:pPr>
            <w:r>
              <w:rPr>
                <w:rFonts w:hint="eastAsia" w:ascii="宋体" w:hAnsi="宋体" w:eastAsia="宋体" w:cs="宋体"/>
                <w:kern w:val="0"/>
                <w:szCs w:val="21"/>
              </w:rPr>
              <w:t>2、投标文件的拒收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1721" w:type="dxa"/>
            <w:vAlign w:val="center"/>
          </w:tcPr>
          <w:p>
            <w:pPr>
              <w:widowControl/>
              <w:spacing w:line="460" w:lineRule="exact"/>
              <w:rPr>
                <w:rFonts w:ascii="宋体" w:hAnsi="宋体" w:eastAsia="宋体" w:cs="宋体"/>
                <w:kern w:val="0"/>
                <w:szCs w:val="21"/>
              </w:rPr>
            </w:pPr>
          </w:p>
        </w:tc>
        <w:tc>
          <w:tcPr>
            <w:tcW w:w="7559" w:type="dxa"/>
            <w:vAlign w:val="center"/>
          </w:tcPr>
          <w:p>
            <w:pPr>
              <w:autoSpaceDE w:val="0"/>
              <w:autoSpaceDN w:val="0"/>
              <w:adjustRightInd w:val="0"/>
              <w:spacing w:line="460" w:lineRule="exact"/>
              <w:jc w:val="left"/>
              <w:rPr>
                <w:rFonts w:ascii="宋体" w:hAnsi="宋体" w:eastAsia="宋体" w:cs="宋体"/>
                <w:bCs/>
                <w:kern w:val="0"/>
                <w:szCs w:val="21"/>
              </w:rPr>
            </w:pPr>
            <w:r>
              <w:rPr>
                <w:rFonts w:hint="eastAsia" w:ascii="宋体" w:hAnsi="宋体" w:eastAsia="宋体" w:cs="宋体"/>
                <w:bCs/>
                <w:kern w:val="0"/>
                <w:szCs w:val="21"/>
              </w:rPr>
              <w:t>1、法定代表人未携带身份证明原件或委托代理人未携带委托书原件和身份证明原件在规定的时间出席开标现场的，其投标文件将被拒收；</w:t>
            </w:r>
          </w:p>
          <w:p>
            <w:pPr>
              <w:autoSpaceDE w:val="0"/>
              <w:autoSpaceDN w:val="0"/>
              <w:adjustRightInd w:val="0"/>
              <w:spacing w:line="460" w:lineRule="exact"/>
              <w:jc w:val="left"/>
              <w:rPr>
                <w:rFonts w:ascii="宋体" w:hAnsi="宋体" w:eastAsia="宋体" w:cs="宋体"/>
                <w:bCs/>
                <w:kern w:val="0"/>
                <w:szCs w:val="21"/>
              </w:rPr>
            </w:pPr>
            <w:r>
              <w:rPr>
                <w:rFonts w:hint="eastAsia" w:ascii="宋体" w:hAnsi="宋体" w:eastAsia="宋体" w:cs="宋体"/>
                <w:bCs/>
                <w:kern w:val="0"/>
                <w:szCs w:val="21"/>
              </w:rPr>
              <w:t>2、投标文件未按要求密封的，其投标文件将被拒收。</w:t>
            </w:r>
          </w:p>
          <w:p>
            <w:pPr>
              <w:autoSpaceDE w:val="0"/>
              <w:autoSpaceDN w:val="0"/>
              <w:adjustRightInd w:val="0"/>
              <w:spacing w:line="460" w:lineRule="exact"/>
              <w:jc w:val="left"/>
              <w:rPr>
                <w:rFonts w:ascii="宋体" w:hAnsi="宋体" w:eastAsia="宋体" w:cs="宋体"/>
                <w:bCs/>
                <w:kern w:val="0"/>
                <w:szCs w:val="21"/>
              </w:rPr>
            </w:pPr>
            <w:r>
              <w:rPr>
                <w:rFonts w:hint="eastAsia" w:ascii="宋体" w:hAnsi="宋体" w:eastAsia="宋体" w:cs="宋体"/>
                <w:bCs/>
                <w:kern w:val="0"/>
                <w:szCs w:val="21"/>
              </w:rPr>
              <w:t>3、逾期送达的或者未送达指定地点的投标文件将被拒收。</w:t>
            </w:r>
          </w:p>
          <w:p>
            <w:pPr>
              <w:autoSpaceDE w:val="0"/>
              <w:autoSpaceDN w:val="0"/>
              <w:adjustRightInd w:val="0"/>
              <w:spacing w:line="460" w:lineRule="exact"/>
              <w:jc w:val="left"/>
              <w:rPr>
                <w:rFonts w:ascii="宋体" w:hAnsi="宋体" w:eastAsia="宋体" w:cs="宋体"/>
                <w:bCs/>
                <w:kern w:val="0"/>
                <w:szCs w:val="21"/>
              </w:rPr>
            </w:pPr>
            <w:r>
              <w:rPr>
                <w:rFonts w:hint="eastAsia" w:ascii="宋体" w:hAnsi="宋体" w:eastAsia="宋体" w:cs="宋体"/>
                <w:bCs/>
                <w:kern w:val="0"/>
                <w:szCs w:val="21"/>
              </w:rPr>
              <w:t>4、未按招标文件要求缴纳投标保证金的，其投标文件将被拒收。</w:t>
            </w:r>
          </w:p>
          <w:p>
            <w:pPr>
              <w:autoSpaceDE w:val="0"/>
              <w:autoSpaceDN w:val="0"/>
              <w:adjustRightInd w:val="0"/>
              <w:spacing w:line="460" w:lineRule="exact"/>
              <w:jc w:val="left"/>
              <w:rPr>
                <w:rFonts w:ascii="宋体" w:hAnsi="宋体" w:eastAsia="宋体" w:cs="宋体"/>
                <w:bCs/>
                <w:kern w:val="0"/>
                <w:szCs w:val="21"/>
              </w:rPr>
            </w:pPr>
            <w:r>
              <w:rPr>
                <w:rFonts w:hint="eastAsia" w:ascii="宋体" w:hAnsi="宋体" w:eastAsia="宋体" w:cs="宋体"/>
                <w:bCs/>
                <w:kern w:val="0"/>
                <w:szCs w:val="21"/>
              </w:rPr>
              <w:t>5、开标时到场的投标企业与许昌市公共资源交易保证金系统下载的有效匹配成功的缴纳保证金名单不一致的。</w:t>
            </w:r>
          </w:p>
          <w:p>
            <w:pPr>
              <w:autoSpaceDE w:val="0"/>
              <w:autoSpaceDN w:val="0"/>
              <w:adjustRightInd w:val="0"/>
              <w:spacing w:line="460" w:lineRule="exact"/>
              <w:jc w:val="left"/>
              <w:rPr>
                <w:rFonts w:ascii="宋体" w:hAnsi="宋体" w:eastAsia="宋体" w:cs="宋体"/>
                <w:bCs/>
                <w:kern w:val="0"/>
                <w:szCs w:val="21"/>
              </w:rPr>
            </w:pPr>
            <w:r>
              <w:rPr>
                <w:rFonts w:hint="eastAsia" w:ascii="宋体" w:hAnsi="宋体" w:eastAsia="宋体" w:cs="宋体"/>
                <w:bCs/>
                <w:kern w:val="0"/>
                <w:szCs w:val="21"/>
              </w:rPr>
              <w:t>6、未按照规定支付招标文件费用的，其投标文件将被拒收。</w:t>
            </w:r>
          </w:p>
          <w:p>
            <w:pPr>
              <w:spacing w:line="460" w:lineRule="exact"/>
              <w:jc w:val="left"/>
              <w:rPr>
                <w:rFonts w:ascii="宋体" w:hAnsi="宋体" w:eastAsia="宋体" w:cs="宋体"/>
                <w:bCs/>
                <w:kern w:val="0"/>
                <w:szCs w:val="21"/>
              </w:rPr>
            </w:pPr>
            <w:r>
              <w:rPr>
                <w:rFonts w:hint="eastAsia" w:ascii="宋体" w:hAnsi="宋体" w:eastAsia="宋体" w:cs="宋体"/>
                <w:bCs/>
                <w:kern w:val="0"/>
                <w:szCs w:val="21"/>
              </w:rPr>
              <w:t>7、未通过许昌公共资源交易网上下载招标文件的，其投标文件将被拒收。</w:t>
            </w:r>
          </w:p>
          <w:p>
            <w:pPr>
              <w:spacing w:line="460" w:lineRule="exact"/>
              <w:jc w:val="left"/>
              <w:rPr>
                <w:rFonts w:ascii="宋体" w:hAnsi="宋体" w:eastAsia="宋体" w:cs="宋体"/>
                <w:b/>
                <w:kern w:val="0"/>
                <w:szCs w:val="21"/>
              </w:rPr>
            </w:pPr>
            <w:r>
              <w:rPr>
                <w:rFonts w:hint="eastAsia" w:ascii="宋体" w:hAnsi="宋体" w:eastAsia="宋体" w:cs="宋体"/>
                <w:b/>
                <w:bCs/>
                <w:kern w:val="0"/>
                <w:szCs w:val="21"/>
              </w:rPr>
              <w:t>8、未提供未被列入失信被执行人、政府采购严重违法失信行为记录名单的供应商【通过“信用中国”网站（http://www.ccgp.gov.cn）</w:t>
            </w:r>
            <w:r>
              <w:rPr>
                <w:rFonts w:hint="eastAsia" w:ascii="宋体" w:hAnsi="宋体" w:eastAsia="宋体" w:cs="宋体"/>
                <w:b/>
                <w:bCs/>
                <w:color w:val="auto"/>
                <w:kern w:val="0"/>
                <w:szCs w:val="21"/>
                <w:lang w:eastAsia="zh-CN"/>
              </w:rPr>
              <w:t>或</w:t>
            </w:r>
            <w:r>
              <w:rPr>
                <w:rFonts w:hint="eastAsia" w:ascii="宋体" w:hAnsi="宋体" w:eastAsia="宋体" w:cs="宋体"/>
                <w:b/>
                <w:bCs/>
                <w:kern w:val="0"/>
                <w:szCs w:val="21"/>
              </w:rPr>
              <w:t>河南省政府采购网（http://hngp.gov.cn）查询其信用记录】（提交投标文件时需提供网页截图并加盖公章附到投标文件中）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280" w:type="dxa"/>
            <w:gridSpan w:val="2"/>
            <w:vAlign w:val="center"/>
          </w:tcPr>
          <w:p>
            <w:pPr>
              <w:widowControl/>
              <w:spacing w:line="460" w:lineRule="exact"/>
              <w:rPr>
                <w:rFonts w:ascii="宋体" w:hAnsi="宋体" w:eastAsia="宋体" w:cs="宋体"/>
                <w:kern w:val="0"/>
                <w:szCs w:val="21"/>
              </w:rPr>
            </w:pPr>
            <w:r>
              <w:rPr>
                <w:rFonts w:hint="eastAsia" w:ascii="宋体" w:hAnsi="宋体" w:eastAsia="宋体" w:cs="宋体"/>
                <w:kern w:val="0"/>
                <w:szCs w:val="21"/>
              </w:rPr>
              <w:t>3、招标代理费及进场交易费的收取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721" w:type="dxa"/>
            <w:vAlign w:val="center"/>
          </w:tcPr>
          <w:p>
            <w:pPr>
              <w:autoSpaceDE w:val="0"/>
              <w:autoSpaceDN w:val="0"/>
              <w:adjustRightInd w:val="0"/>
              <w:spacing w:line="460" w:lineRule="exact"/>
              <w:rPr>
                <w:rFonts w:ascii="宋体" w:hAnsi="宋体" w:eastAsia="宋体" w:cs="宋体"/>
                <w:b/>
                <w:kern w:val="0"/>
                <w:szCs w:val="21"/>
              </w:rPr>
            </w:pPr>
          </w:p>
        </w:tc>
        <w:tc>
          <w:tcPr>
            <w:tcW w:w="7559" w:type="dxa"/>
            <w:vAlign w:val="center"/>
          </w:tcPr>
          <w:p>
            <w:pPr>
              <w:autoSpaceDE w:val="0"/>
              <w:autoSpaceDN w:val="0"/>
              <w:adjustRightInd w:val="0"/>
              <w:spacing w:line="460" w:lineRule="exact"/>
              <w:rPr>
                <w:rFonts w:ascii="宋体" w:hAnsi="宋体" w:eastAsia="宋体" w:cs="宋体"/>
                <w:kern w:val="0"/>
                <w:szCs w:val="21"/>
              </w:rPr>
            </w:pPr>
            <w:r>
              <w:rPr>
                <w:rFonts w:hint="eastAsia" w:ascii="宋体" w:hAnsi="宋体" w:eastAsia="宋体" w:cs="宋体"/>
                <w:kern w:val="0"/>
                <w:szCs w:val="21"/>
              </w:rPr>
              <w:t>招标代理服务费的收取标准及支付程序：按照《招标代理服务收费管理暂行办法》国家发改委[2011]534号文及【国发改办价格（2003）857号】招标代理收费规定，由中标人支付招标代理服务费。</w:t>
            </w:r>
          </w:p>
        </w:tc>
      </w:tr>
    </w:tbl>
    <w:p>
      <w:bookmarkStart w:id="10" w:name="_Toc1867"/>
    </w:p>
    <w:p>
      <w:pPr>
        <w:tabs>
          <w:tab w:val="left" w:pos="5835"/>
        </w:tabs>
        <w:spacing w:line="460" w:lineRule="exact"/>
        <w:outlineLvl w:val="1"/>
        <w:rPr>
          <w:rFonts w:ascii="宋体" w:hAnsi="宋体" w:eastAsia="宋体" w:cs="宋体"/>
          <w:sz w:val="24"/>
          <w:szCs w:val="24"/>
        </w:rPr>
      </w:pPr>
      <w:r>
        <w:rPr>
          <w:rFonts w:hint="eastAsia" w:ascii="宋体" w:hAnsi="宋体" w:eastAsia="宋体" w:cs="宋体"/>
          <w:b/>
          <w:sz w:val="24"/>
          <w:szCs w:val="24"/>
        </w:rPr>
        <w:t>A 说明和释义</w:t>
      </w:r>
      <w:bookmarkEnd w:id="10"/>
      <w:r>
        <w:rPr>
          <w:rFonts w:hint="eastAsia" w:ascii="宋体" w:hAnsi="宋体" w:eastAsia="宋体" w:cs="宋体"/>
          <w:b/>
          <w:sz w:val="24"/>
          <w:szCs w:val="24"/>
        </w:rPr>
        <w:tab/>
      </w:r>
    </w:p>
    <w:p>
      <w:pPr>
        <w:autoSpaceDE w:val="0"/>
        <w:autoSpaceDN w:val="0"/>
        <w:adjustRightInd w:val="0"/>
        <w:spacing w:line="460" w:lineRule="exact"/>
        <w:jc w:val="left"/>
        <w:rPr>
          <w:rFonts w:ascii="宋体" w:hAnsi="宋体" w:eastAsia="宋体" w:cs="宋体"/>
          <w:sz w:val="24"/>
          <w:szCs w:val="24"/>
        </w:rPr>
      </w:pPr>
      <w:r>
        <w:rPr>
          <w:rFonts w:hint="eastAsia" w:ascii="宋体" w:hAnsi="宋体" w:eastAsia="宋体" w:cs="宋体"/>
          <w:sz w:val="24"/>
          <w:szCs w:val="24"/>
          <w:lang w:val="zh-CN"/>
        </w:rPr>
        <w:t>1.适用范围</w:t>
      </w:r>
    </w:p>
    <w:p>
      <w:pPr>
        <w:autoSpaceDE w:val="0"/>
        <w:autoSpaceDN w:val="0"/>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lang w:val="zh-CN"/>
        </w:rPr>
        <w:t>本招标文件仅适用于本次招标项目。</w:t>
      </w:r>
    </w:p>
    <w:p>
      <w:pPr>
        <w:autoSpaceDE w:val="0"/>
        <w:autoSpaceDN w:val="0"/>
        <w:adjustRightInd w:val="0"/>
        <w:spacing w:line="460" w:lineRule="exact"/>
        <w:jc w:val="left"/>
        <w:rPr>
          <w:rFonts w:ascii="宋体" w:hAnsi="宋体" w:eastAsia="宋体" w:cs="宋体"/>
          <w:sz w:val="24"/>
          <w:szCs w:val="24"/>
        </w:rPr>
      </w:pPr>
      <w:r>
        <w:rPr>
          <w:rFonts w:hint="eastAsia" w:ascii="宋体" w:hAnsi="宋体" w:eastAsia="宋体" w:cs="宋体"/>
          <w:sz w:val="24"/>
          <w:szCs w:val="24"/>
          <w:lang w:val="zh-CN"/>
        </w:rPr>
        <w:t>2.定义</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2.1“采购人”系指本项目采购的单位，受采购人委托组织本次招标的是河南鑫盈招标代理有限公司。</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 xml:space="preserve">2“供应商”系指向采购人提交投标文件的供应商（公司或企业）。    </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2.3“项目” 系指供应商按招标文件规定，须向采购方提供的货物或服务。</w:t>
      </w:r>
    </w:p>
    <w:p>
      <w:pPr>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lang w:val="zh-CN"/>
        </w:rPr>
        <w:t>3.合格的供应商：</w:t>
      </w:r>
    </w:p>
    <w:p>
      <w:pPr>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lang w:val="zh-CN"/>
        </w:rPr>
        <w:t>详见招标公告第3条。</w:t>
      </w:r>
    </w:p>
    <w:p>
      <w:pPr>
        <w:autoSpaceDE w:val="0"/>
        <w:autoSpaceDN w:val="0"/>
        <w:adjustRightInd w:val="0"/>
        <w:spacing w:line="460" w:lineRule="exact"/>
        <w:jc w:val="left"/>
        <w:rPr>
          <w:rFonts w:ascii="宋体" w:hAnsi="宋体" w:eastAsia="宋体" w:cs="宋体"/>
          <w:sz w:val="24"/>
          <w:szCs w:val="24"/>
        </w:rPr>
      </w:pPr>
      <w:r>
        <w:rPr>
          <w:rFonts w:hint="eastAsia" w:ascii="宋体" w:hAnsi="宋体" w:eastAsia="宋体" w:cs="宋体"/>
          <w:sz w:val="24"/>
          <w:szCs w:val="24"/>
          <w:lang w:val="zh-CN"/>
        </w:rPr>
        <w:t>4.投标费用</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无论投标过程和结果如何，供应商自行承担与投标有关的全部费用。采购人在任何情况下均无义务和责任承担上述费用。</w:t>
      </w:r>
    </w:p>
    <w:p>
      <w:pPr>
        <w:tabs>
          <w:tab w:val="left" w:pos="5835"/>
        </w:tabs>
        <w:spacing w:line="460" w:lineRule="exact"/>
        <w:outlineLvl w:val="1"/>
        <w:rPr>
          <w:rFonts w:ascii="宋体" w:hAnsi="宋体" w:eastAsia="宋体" w:cs="宋体"/>
          <w:b/>
          <w:sz w:val="24"/>
          <w:szCs w:val="24"/>
        </w:rPr>
      </w:pPr>
      <w:bookmarkStart w:id="11" w:name="_Toc13616"/>
      <w:r>
        <w:rPr>
          <w:rFonts w:hint="eastAsia" w:ascii="宋体" w:hAnsi="宋体" w:eastAsia="宋体" w:cs="宋体"/>
          <w:b/>
          <w:sz w:val="24"/>
          <w:szCs w:val="24"/>
        </w:rPr>
        <w:t>B 招标文件说明</w:t>
      </w:r>
      <w:bookmarkEnd w:id="11"/>
    </w:p>
    <w:p>
      <w:pPr>
        <w:autoSpaceDE w:val="0"/>
        <w:autoSpaceDN w:val="0"/>
        <w:adjustRightInd w:val="0"/>
        <w:spacing w:line="460" w:lineRule="exact"/>
        <w:jc w:val="left"/>
        <w:rPr>
          <w:rFonts w:ascii="宋体" w:hAnsi="宋体" w:eastAsia="宋体" w:cs="宋体"/>
          <w:kern w:val="0"/>
          <w:sz w:val="24"/>
          <w:szCs w:val="24"/>
          <w:lang w:val="zh-CN"/>
        </w:rPr>
      </w:pPr>
      <w:r>
        <w:rPr>
          <w:rFonts w:hint="eastAsia" w:ascii="宋体" w:hAnsi="宋体" w:eastAsia="宋体" w:cs="宋体"/>
          <w:sz w:val="24"/>
          <w:szCs w:val="24"/>
          <w:lang w:val="zh-CN"/>
        </w:rPr>
        <w:t>5.</w:t>
      </w:r>
      <w:r>
        <w:rPr>
          <w:rFonts w:hint="eastAsia" w:ascii="宋体" w:hAnsi="宋体" w:eastAsia="宋体" w:cs="宋体"/>
          <w:kern w:val="0"/>
          <w:sz w:val="24"/>
          <w:szCs w:val="24"/>
          <w:lang w:val="zh-CN"/>
        </w:rPr>
        <w:t>招标文件的组成</w:t>
      </w:r>
    </w:p>
    <w:p>
      <w:pPr>
        <w:autoSpaceDE w:val="0"/>
        <w:autoSpaceDN w:val="0"/>
        <w:adjustRightInd w:val="0"/>
        <w:spacing w:line="4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lang w:val="zh-CN"/>
        </w:rPr>
        <w:t>5.1招标文件用以阐明采购所需的货物或服务，以及招标投标程序和合同条款。招标文件由下述部分组成：</w:t>
      </w:r>
    </w:p>
    <w:p>
      <w:pPr>
        <w:autoSpaceDE w:val="0"/>
        <w:autoSpaceDN w:val="0"/>
        <w:adjustRightInd w:val="0"/>
        <w:spacing w:line="460" w:lineRule="exact"/>
        <w:ind w:firstLine="480" w:firstLineChars="200"/>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5.1.1</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 xml:space="preserve">招标公告 </w:t>
      </w:r>
    </w:p>
    <w:p>
      <w:pPr>
        <w:autoSpaceDE w:val="0"/>
        <w:autoSpaceDN w:val="0"/>
        <w:adjustRightInd w:val="0"/>
        <w:spacing w:line="460" w:lineRule="exact"/>
        <w:ind w:firstLine="480" w:firstLineChars="200"/>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5.1.2</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项目需求及其它要求</w:t>
      </w:r>
    </w:p>
    <w:p>
      <w:pPr>
        <w:autoSpaceDE w:val="0"/>
        <w:autoSpaceDN w:val="0"/>
        <w:adjustRightInd w:val="0"/>
        <w:spacing w:line="460" w:lineRule="exact"/>
        <w:ind w:firstLine="480" w:firstLineChars="200"/>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5.1.3</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供应商须知</w:t>
      </w:r>
    </w:p>
    <w:p>
      <w:pPr>
        <w:autoSpaceDE w:val="0"/>
        <w:autoSpaceDN w:val="0"/>
        <w:adjustRightInd w:val="0"/>
        <w:spacing w:line="460" w:lineRule="exact"/>
        <w:ind w:firstLine="480" w:firstLineChars="200"/>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5.1.4</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评标办法</w:t>
      </w:r>
    </w:p>
    <w:p>
      <w:pPr>
        <w:autoSpaceDE w:val="0"/>
        <w:autoSpaceDN w:val="0"/>
        <w:adjustRightInd w:val="0"/>
        <w:spacing w:line="460" w:lineRule="exact"/>
        <w:ind w:firstLine="480" w:firstLineChars="200"/>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5.1.5</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合同样本</w:t>
      </w:r>
    </w:p>
    <w:p>
      <w:pPr>
        <w:autoSpaceDE w:val="0"/>
        <w:autoSpaceDN w:val="0"/>
        <w:adjustRightInd w:val="0"/>
        <w:spacing w:line="460" w:lineRule="exact"/>
        <w:ind w:firstLine="480" w:firstLineChars="200"/>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5.1.6</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附件</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5.2供应商应清楚招标文件应该直接从许昌公共资源交易网获取，未通过许昌公共资源交易网下载招标文件的供应商，其递交的投标文件将拒收。</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5.3本招标文件以许昌公共资源交易网发出的电子版招标文件为准，不出售或提供纸质版招标文件。</w:t>
      </w:r>
    </w:p>
    <w:p>
      <w:pPr>
        <w:autoSpaceDE w:val="0"/>
        <w:autoSpaceDN w:val="0"/>
        <w:adjustRightInd w:val="0"/>
        <w:spacing w:line="460" w:lineRule="exact"/>
        <w:rPr>
          <w:rFonts w:ascii="宋体" w:hAnsi="宋体" w:eastAsia="宋体" w:cs="宋体"/>
          <w:sz w:val="24"/>
          <w:szCs w:val="24"/>
          <w:lang w:val="zh-CN"/>
        </w:rPr>
      </w:pPr>
      <w:r>
        <w:rPr>
          <w:rFonts w:hint="eastAsia" w:ascii="宋体" w:hAnsi="宋体" w:eastAsia="宋体" w:cs="宋体"/>
          <w:sz w:val="24"/>
          <w:szCs w:val="24"/>
        </w:rPr>
        <w:t>6.</w:t>
      </w:r>
      <w:r>
        <w:rPr>
          <w:rFonts w:hint="eastAsia" w:ascii="宋体" w:hAnsi="宋体" w:eastAsia="宋体" w:cs="宋体"/>
          <w:sz w:val="24"/>
          <w:szCs w:val="24"/>
          <w:lang w:val="zh-CN"/>
        </w:rPr>
        <w:t>招标文件的澄清</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供应商对招标文件如有疑点，可要求澄清，应在投标截止时间前7天通过公共资源交易系统平台发出，如未提出异议，视为全面接受。</w:t>
      </w:r>
    </w:p>
    <w:p>
      <w:pPr>
        <w:autoSpaceDE w:val="0"/>
        <w:autoSpaceDN w:val="0"/>
        <w:adjustRightInd w:val="0"/>
        <w:spacing w:line="460" w:lineRule="exact"/>
        <w:rPr>
          <w:rFonts w:ascii="宋体" w:hAnsi="宋体" w:eastAsia="宋体" w:cs="宋体"/>
          <w:sz w:val="24"/>
          <w:szCs w:val="24"/>
          <w:lang w:val="zh-CN"/>
        </w:rPr>
      </w:pPr>
      <w:r>
        <w:rPr>
          <w:rFonts w:hint="eastAsia" w:ascii="宋体" w:hAnsi="宋体" w:eastAsia="宋体" w:cs="宋体"/>
          <w:sz w:val="24"/>
          <w:szCs w:val="24"/>
          <w:lang w:val="zh-CN"/>
        </w:rPr>
        <w:t>7.招标文件的修改</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7.1在投标截止日期前，采购人可以通过公共资源交易系统电子平台修改招标文件，为使供应商在准备投标文件时有合理的时间考虑招标文件的修改，采购人可酌情推迟投标截止时间和开标时间。</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7.2所有澄清、答疑全部以公共资源交易系统平台发出为准，不再接受书面形式的递交。</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7.3招标文件的修改书将构成招标文件的一部分，对供应商有约束力。</w:t>
      </w:r>
    </w:p>
    <w:p>
      <w:pPr>
        <w:tabs>
          <w:tab w:val="left" w:pos="5835"/>
        </w:tabs>
        <w:spacing w:line="460" w:lineRule="exact"/>
        <w:outlineLvl w:val="1"/>
        <w:rPr>
          <w:rFonts w:ascii="宋体" w:hAnsi="宋体" w:eastAsia="宋体" w:cs="宋体"/>
          <w:b/>
          <w:sz w:val="24"/>
          <w:szCs w:val="24"/>
        </w:rPr>
      </w:pPr>
      <w:bookmarkStart w:id="12" w:name="_Toc14678"/>
      <w:r>
        <w:rPr>
          <w:rFonts w:hint="eastAsia" w:ascii="宋体" w:hAnsi="宋体" w:eastAsia="宋体" w:cs="宋体"/>
          <w:b/>
          <w:sz w:val="24"/>
          <w:szCs w:val="24"/>
        </w:rPr>
        <w:t>C投标文件的编写和说明</w:t>
      </w:r>
      <w:bookmarkEnd w:id="12"/>
    </w:p>
    <w:p>
      <w:pPr>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lang w:val="zh-CN"/>
        </w:rPr>
        <w:t>供应商应仔细阅读招标文件的所有内容，按本文件的要求提供投标文件，并保证所提供的全部资料的真实性，以使其投标文件对本文件作出实质性响应，否则，其投标文件将被视为无效投标文件。</w:t>
      </w:r>
    </w:p>
    <w:p>
      <w:pPr>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rPr>
        <w:t>8.投标文件书写、计量单位使用等</w:t>
      </w:r>
    </w:p>
    <w:p>
      <w:pPr>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lang w:val="zh-CN"/>
        </w:rPr>
        <w:t>8.1投标文件及供应商与投标有关的来往通知、函件和文件均应使用中文。</w:t>
      </w:r>
    </w:p>
    <w:p>
      <w:pPr>
        <w:autoSpaceDE w:val="0"/>
        <w:autoSpaceDN w:val="0"/>
        <w:adjustRightInd w:val="0"/>
        <w:spacing w:line="4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8.2除在招标文件的技术规格中另有规定外，计量单位应使用中华人民共和国法定计量单位（国际单位制和国家选定的其他计量单位）。</w:t>
      </w:r>
    </w:p>
    <w:p>
      <w:pPr>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lang w:val="zh-CN"/>
        </w:rPr>
        <w:t>8.3供应商应按本文件中提供的文件格式、内容和要求制作投标文件。投标文件应</w:t>
      </w:r>
      <w:r>
        <w:rPr>
          <w:rFonts w:hint="eastAsia" w:ascii="宋体" w:hAnsi="宋体" w:eastAsia="宋体" w:cs="宋体"/>
          <w:sz w:val="24"/>
          <w:szCs w:val="24"/>
        </w:rPr>
        <w:t>胶装方式</w:t>
      </w:r>
      <w:r>
        <w:rPr>
          <w:rFonts w:hint="eastAsia" w:ascii="宋体" w:hAnsi="宋体" w:eastAsia="宋体" w:cs="宋体"/>
          <w:sz w:val="24"/>
          <w:szCs w:val="24"/>
          <w:lang w:val="zh-CN"/>
        </w:rPr>
        <w:t>装订成册。</w:t>
      </w:r>
    </w:p>
    <w:p>
      <w:pPr>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lang w:val="zh-CN"/>
        </w:rPr>
        <w:t>9.投标文件的组成</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9.1见附件。</w:t>
      </w:r>
    </w:p>
    <w:p>
      <w:pPr>
        <w:spacing w:line="460" w:lineRule="exact"/>
        <w:ind w:firstLine="480" w:firstLineChars="200"/>
        <w:rPr>
          <w:rFonts w:ascii="宋体" w:hAnsi="宋体" w:eastAsia="宋体" w:cs="宋体"/>
          <w:b/>
          <w:sz w:val="24"/>
          <w:szCs w:val="24"/>
        </w:rPr>
      </w:pPr>
      <w:r>
        <w:rPr>
          <w:rFonts w:hint="eastAsia" w:ascii="宋体" w:hAnsi="宋体" w:eastAsia="宋体" w:cs="宋体"/>
          <w:sz w:val="24"/>
          <w:szCs w:val="24"/>
        </w:rPr>
        <w:t>9.2投标文件装订。</w:t>
      </w:r>
      <w:r>
        <w:rPr>
          <w:rFonts w:hint="eastAsia" w:ascii="宋体" w:hAnsi="宋体" w:eastAsia="宋体" w:cs="宋体"/>
          <w:b/>
          <w:sz w:val="24"/>
          <w:szCs w:val="24"/>
        </w:rPr>
        <w:t>供应商应按附件中投标文件的顺序和要求，以A4幅面胶封装订成册，编排目录，并在封面上标明：正本、副本、投标项目名称、标段</w:t>
      </w:r>
      <w:r>
        <w:rPr>
          <w:rFonts w:hint="eastAsia" w:ascii="宋体" w:hAnsi="宋体" w:eastAsia="宋体" w:cs="宋体"/>
          <w:sz w:val="24"/>
          <w:szCs w:val="24"/>
        </w:rPr>
        <w:t>（如有多个标段）</w:t>
      </w:r>
      <w:r>
        <w:rPr>
          <w:rFonts w:hint="eastAsia" w:ascii="宋体" w:hAnsi="宋体" w:eastAsia="宋体" w:cs="宋体"/>
          <w:b/>
          <w:sz w:val="24"/>
          <w:szCs w:val="24"/>
        </w:rPr>
        <w:t>、项目编号、投标单位名称、日期等字样。</w:t>
      </w:r>
    </w:p>
    <w:p>
      <w:pPr>
        <w:spacing w:line="460" w:lineRule="exact"/>
        <w:ind w:firstLine="482" w:firstLineChars="200"/>
        <w:rPr>
          <w:rFonts w:ascii="宋体" w:hAnsi="宋体" w:eastAsia="宋体" w:cs="宋体"/>
          <w:b/>
          <w:sz w:val="24"/>
          <w:szCs w:val="24"/>
        </w:rPr>
      </w:pPr>
      <w:r>
        <w:rPr>
          <w:rFonts w:hint="eastAsia" w:ascii="宋体" w:hAnsi="宋体" w:eastAsia="宋体" w:cs="宋体"/>
          <w:b/>
          <w:sz w:val="24"/>
          <w:szCs w:val="24"/>
        </w:rPr>
        <w:t>9.3投标文件及提供的相关资料必须符合国家的法律、法规及有关政策规定。</w:t>
      </w:r>
    </w:p>
    <w:p>
      <w:pPr>
        <w:spacing w:line="460" w:lineRule="exact"/>
        <w:rPr>
          <w:rFonts w:ascii="宋体" w:hAnsi="宋体" w:eastAsia="宋体" w:cs="宋体"/>
          <w:sz w:val="24"/>
          <w:szCs w:val="24"/>
        </w:rPr>
      </w:pPr>
      <w:r>
        <w:rPr>
          <w:rFonts w:hint="eastAsia" w:ascii="宋体" w:hAnsi="宋体" w:eastAsia="宋体" w:cs="宋体"/>
          <w:sz w:val="24"/>
          <w:szCs w:val="24"/>
        </w:rPr>
        <w:t>10.投标文件格式</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供应商应按招标文件中提供的投标文件格式填写，招标文件中如有未提供格式的投标内容，供应商可自行提供。</w:t>
      </w:r>
    </w:p>
    <w:p>
      <w:pPr>
        <w:adjustRightInd w:val="0"/>
        <w:spacing w:line="460" w:lineRule="exact"/>
        <w:jc w:val="left"/>
        <w:rPr>
          <w:rFonts w:ascii="宋体" w:hAnsi="宋体" w:eastAsia="宋体" w:cs="宋体"/>
          <w:sz w:val="24"/>
          <w:szCs w:val="24"/>
        </w:rPr>
      </w:pPr>
      <w:bookmarkStart w:id="13" w:name="_Toc137651705"/>
      <w:bookmarkStart w:id="14" w:name="_Toc127973004"/>
      <w:r>
        <w:rPr>
          <w:rFonts w:hint="eastAsia" w:ascii="宋体" w:hAnsi="宋体" w:eastAsia="宋体" w:cs="宋体"/>
          <w:sz w:val="24"/>
          <w:szCs w:val="24"/>
        </w:rPr>
        <w:t>11.投标报价</w:t>
      </w:r>
      <w:bookmarkEnd w:id="13"/>
      <w:bookmarkEnd w:id="14"/>
    </w:p>
    <w:p>
      <w:pPr>
        <w:tabs>
          <w:tab w:val="left" w:pos="0"/>
          <w:tab w:val="left" w:pos="1050"/>
        </w:tabs>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11.1供应商应参考现行的相关咨询服务收费标准并结合市场行情自主报价（超过采购控制价的报价，或者由评标小组认定明显低于成本的报价将被视为无效响应文件），所有依据合同或其它原因的所有费用都应包括在报价中（供应商的报价是对完成本次采购需求所提供咨询服务的全部费用）。</w:t>
      </w:r>
    </w:p>
    <w:p>
      <w:pPr>
        <w:tabs>
          <w:tab w:val="left" w:pos="0"/>
          <w:tab w:val="left" w:pos="709"/>
          <w:tab w:val="left" w:pos="1050"/>
        </w:tabs>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11.2大写金额和小写金额不一致的，以大写金额为准；总价金额与按单价汇总金额不一致的，以单价金额计算结果为准，但单价金额小数点有明显错误的除外；副本与正本不符的，以正本为准。</w:t>
      </w:r>
    </w:p>
    <w:p>
      <w:pPr>
        <w:tabs>
          <w:tab w:val="left" w:pos="0"/>
          <w:tab w:val="left" w:pos="1050"/>
        </w:tabs>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11.3报价包括完成该项目的人工费、设备使用费、利润、税金、成果质量审查费等所有费用，采购人不再支付其他任何费用。</w:t>
      </w:r>
    </w:p>
    <w:p>
      <w:pPr>
        <w:adjustRightInd w:val="0"/>
        <w:spacing w:line="460" w:lineRule="exact"/>
        <w:jc w:val="left"/>
        <w:rPr>
          <w:rFonts w:ascii="宋体" w:hAnsi="宋体" w:eastAsia="宋体" w:cs="宋体"/>
          <w:sz w:val="24"/>
          <w:szCs w:val="24"/>
        </w:rPr>
      </w:pPr>
      <w:bookmarkStart w:id="15" w:name="_Toc137651706"/>
      <w:bookmarkStart w:id="16" w:name="_Toc127973005"/>
      <w:r>
        <w:rPr>
          <w:rFonts w:hint="eastAsia" w:ascii="宋体" w:hAnsi="宋体" w:eastAsia="宋体" w:cs="宋体"/>
          <w:sz w:val="24"/>
          <w:szCs w:val="24"/>
        </w:rPr>
        <w:t>12.投标货币</w:t>
      </w:r>
      <w:bookmarkEnd w:id="15"/>
      <w:bookmarkEnd w:id="16"/>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投标必须以人民币报价。</w:t>
      </w:r>
    </w:p>
    <w:p>
      <w:pPr>
        <w:adjustRightInd w:val="0"/>
        <w:spacing w:line="460" w:lineRule="exact"/>
        <w:jc w:val="left"/>
        <w:rPr>
          <w:rFonts w:ascii="宋体" w:hAnsi="宋体" w:eastAsia="宋体" w:cs="宋体"/>
          <w:sz w:val="24"/>
          <w:szCs w:val="24"/>
        </w:rPr>
      </w:pPr>
      <w:bookmarkStart w:id="17" w:name="_Toc137651707"/>
      <w:bookmarkStart w:id="18" w:name="_Toc127973006"/>
      <w:r>
        <w:rPr>
          <w:rFonts w:hint="eastAsia" w:ascii="宋体" w:hAnsi="宋体" w:eastAsia="宋体" w:cs="宋体"/>
          <w:sz w:val="24"/>
          <w:szCs w:val="24"/>
        </w:rPr>
        <w:t>13.证明供应商资格和能力的文件</w:t>
      </w:r>
      <w:bookmarkEnd w:id="17"/>
      <w:bookmarkEnd w:id="18"/>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13.1供应商应按照招标文件附件规定的内容和格式提交证明其有资格参加投标和中标后有能力履行合同的文件，并作为其投标文件的一部分。</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13.2供应商提交的资格证明文件应包括但不限于招标文件附件所规定的相关内容。</w:t>
      </w:r>
    </w:p>
    <w:p>
      <w:pPr>
        <w:adjustRightInd w:val="0"/>
        <w:spacing w:line="460" w:lineRule="exact"/>
        <w:jc w:val="left"/>
        <w:rPr>
          <w:rFonts w:ascii="宋体" w:hAnsi="宋体" w:eastAsia="宋体" w:cs="宋体"/>
          <w:sz w:val="24"/>
          <w:szCs w:val="24"/>
        </w:rPr>
      </w:pPr>
      <w:bookmarkStart w:id="19" w:name="_Toc137651709"/>
      <w:bookmarkStart w:id="20" w:name="_Toc127973008"/>
      <w:r>
        <w:rPr>
          <w:rFonts w:hint="eastAsia" w:ascii="宋体" w:hAnsi="宋体" w:eastAsia="宋体" w:cs="宋体"/>
          <w:sz w:val="24"/>
          <w:szCs w:val="24"/>
        </w:rPr>
        <w:t>14.投标有效期</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14.1投标有效期见前附表。投标有效期不足的投标将视为无效投标。</w:t>
      </w:r>
    </w:p>
    <w:p>
      <w:pPr>
        <w:adjustRightInd w:val="0"/>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14.2采购人可以要求供应商延长投标有效期，这种要求与供应商答复均应以书面形式进行。供应商可拒绝采购人的这种要求，其投标保证金将被退还。接受投标有效期延长的供应商将不会被要求和允许修正其投标文件，而只会被要求相应地延长其投标保证金的有效期。有关投标保证金的退还与否的规定将在延长了的有效期内继续有效。</w:t>
      </w:r>
    </w:p>
    <w:p>
      <w:pPr>
        <w:keepNext w:val="0"/>
        <w:keepLines w:val="0"/>
        <w:pageBreakBefore w:val="0"/>
        <w:widowControl w:val="0"/>
        <w:kinsoku/>
        <w:wordWrap/>
        <w:overflowPunct/>
        <w:topLinePunct w:val="0"/>
        <w:bidi w:val="0"/>
        <w:adjustRightInd w:val="0"/>
        <w:spacing w:line="460" w:lineRule="exact"/>
        <w:ind w:right="0" w:rightChars="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15.投标保证金</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应在递交投标文件前按本须知前附表规定递交投标保证金，并作为其投标文件的一部分。</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15.2对于未能按要求递交投标保证金，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将视为不响应招标文件而予以拒绝。</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15.3投标保证金的退还：</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15.3.1</w:t>
      </w:r>
      <w:r>
        <w:rPr>
          <w:rFonts w:hint="eastAsia" w:ascii="宋体" w:hAnsi="宋体" w:eastAsia="宋体" w:cs="宋体"/>
          <w:color w:val="auto"/>
          <w:sz w:val="24"/>
          <w:szCs w:val="24"/>
          <w:highlight w:val="none"/>
        </w:rPr>
        <w:t>中标公示期满没有质疑或投诉的，5个工作日内退还非中标候选人投标保证金及银行同期活期存款利息。</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15.3.2</w:t>
      </w:r>
      <w:r>
        <w:rPr>
          <w:rFonts w:hint="eastAsia" w:ascii="宋体" w:hAnsi="宋体" w:eastAsia="宋体" w:cs="宋体"/>
          <w:color w:val="auto"/>
          <w:sz w:val="24"/>
          <w:szCs w:val="24"/>
          <w:highlight w:val="none"/>
        </w:rPr>
        <w:t>在书面合同签订5个工作日内向中标人和其他中标候选人退还投标保证金及银行同期活期存款利息；法定期限内未签订书面合同的，按照有关规定退还其投标保证金。及银行同期活期存款利息。</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15.3.3</w:t>
      </w:r>
      <w:r>
        <w:rPr>
          <w:rFonts w:hint="eastAsia" w:ascii="宋体" w:hAnsi="宋体" w:eastAsia="宋体" w:cs="宋体"/>
          <w:color w:val="auto"/>
          <w:sz w:val="24"/>
          <w:szCs w:val="24"/>
          <w:highlight w:val="none"/>
        </w:rPr>
        <w:t>项目废标或招标人终止招标的，在此后5个工作日内退还投标保证金及银行同期活期存利息。</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15.3.4</w:t>
      </w:r>
      <w:r>
        <w:rPr>
          <w:rFonts w:hint="eastAsia" w:ascii="宋体" w:hAnsi="宋体" w:eastAsia="宋体" w:cs="宋体"/>
          <w:color w:val="auto"/>
          <w:sz w:val="24"/>
          <w:szCs w:val="24"/>
          <w:highlight w:val="none"/>
        </w:rPr>
        <w:t>投标活动中出现质疑、投诉的，中标候选人、质疑人和被质疑人、投诉人和被投诉人的投标保证金暂停退还。</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15.3.5</w:t>
      </w:r>
      <w:r>
        <w:rPr>
          <w:rFonts w:hint="eastAsia" w:ascii="宋体" w:hAnsi="宋体" w:eastAsia="宋体" w:cs="宋体"/>
          <w:color w:val="auto"/>
          <w:sz w:val="24"/>
          <w:szCs w:val="24"/>
          <w:highlight w:val="none"/>
        </w:rPr>
        <w:t>相关投标人有违法违规行为的项目，其投标保证金暂不退还，待行政监督部门对相关情况处置后，按照有关规定办理。</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15.3.6</w:t>
      </w:r>
      <w:r>
        <w:rPr>
          <w:rFonts w:hint="eastAsia" w:ascii="宋体" w:hAnsi="宋体" w:eastAsia="宋体" w:cs="宋体"/>
          <w:color w:val="auto"/>
          <w:sz w:val="24"/>
          <w:szCs w:val="24"/>
          <w:highlight w:val="none"/>
        </w:rPr>
        <w:t>退还投标保证金，除另有规定外，一般以转账方式一次性退还至投标保证金的原提交账户。</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15.3.7</w:t>
      </w:r>
      <w:r>
        <w:rPr>
          <w:rFonts w:hint="eastAsia" w:ascii="宋体" w:hAnsi="宋体" w:eastAsia="宋体" w:cs="宋体"/>
          <w:color w:val="auto"/>
          <w:sz w:val="24"/>
          <w:szCs w:val="24"/>
          <w:highlight w:val="none"/>
        </w:rPr>
        <w:t>投标人有下列情形之一的，不予退还投标保证金：</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在招标文件要求提交招标文件的截止时间后至招标文件有效期满前撤回投标的； </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中标通知书发出后，中标人无故放弃中标项目或无正当理由在规定时间内不与招标人签订合同或未按招标文件规定提交履约担保的； </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将中标项目转让给他人，或者在投标文件中未说明，且未经招标人同意，将中标项目分包给他人的； </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投标人在招投标活动中弄虚作假、围标串标，骗取中标并经招投标行政监督部门调查核实的； </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拒绝履行合同义务的；</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无故未按时参见开标会议的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bidi w:val="0"/>
        <w:adjustRightInd w:val="0"/>
        <w:spacing w:line="460" w:lineRule="exact"/>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相关法律、法规规定不予退还的其它情形。</w:t>
      </w:r>
    </w:p>
    <w:p>
      <w:pPr>
        <w:adjustRightInd w:val="0"/>
        <w:spacing w:line="46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bookmarkEnd w:id="19"/>
    <w:bookmarkEnd w:id="20"/>
    <w:p>
      <w:pPr>
        <w:adjustRightInd w:val="0"/>
        <w:spacing w:line="460" w:lineRule="exact"/>
        <w:jc w:val="left"/>
        <w:rPr>
          <w:rFonts w:ascii="宋体" w:hAnsi="宋体" w:eastAsia="宋体" w:cs="宋体"/>
          <w:sz w:val="24"/>
          <w:szCs w:val="24"/>
        </w:rPr>
      </w:pPr>
      <w:bookmarkStart w:id="21" w:name="_Toc127973010"/>
      <w:bookmarkStart w:id="22" w:name="_Toc137651711"/>
      <w:r>
        <w:rPr>
          <w:rFonts w:hint="eastAsia" w:ascii="宋体" w:hAnsi="宋体" w:eastAsia="宋体" w:cs="宋体"/>
          <w:sz w:val="24"/>
          <w:szCs w:val="24"/>
        </w:rPr>
        <w:t>16.投标文件的份数和签署</w:t>
      </w:r>
      <w:bookmarkEnd w:id="21"/>
      <w:bookmarkEnd w:id="22"/>
    </w:p>
    <w:p>
      <w:pPr>
        <w:adjustRightInd w:val="0"/>
        <w:spacing w:line="46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16.1投标文件份数：</w:t>
      </w:r>
      <w:r>
        <w:rPr>
          <w:rFonts w:hint="eastAsia" w:ascii="宋体" w:hAnsi="宋体" w:eastAsia="宋体" w:cs="宋体"/>
          <w:b/>
          <w:bCs/>
          <w:sz w:val="24"/>
          <w:szCs w:val="24"/>
          <w:lang w:val="zh-CN"/>
        </w:rPr>
        <w:t>供应商应提交壹份正本和肆份副本投标文件，</w:t>
      </w:r>
      <w:r>
        <w:rPr>
          <w:rFonts w:hint="eastAsia" w:ascii="宋体" w:hAnsi="宋体" w:eastAsia="宋体" w:cs="宋体"/>
          <w:b/>
          <w:bCs/>
          <w:sz w:val="24"/>
          <w:szCs w:val="24"/>
        </w:rPr>
        <w:t>所有投标内容的</w:t>
      </w:r>
      <w:r>
        <w:rPr>
          <w:rFonts w:hint="eastAsia" w:ascii="宋体" w:hAnsi="宋体" w:eastAsia="宋体" w:cs="宋体"/>
          <w:b/>
          <w:bCs/>
          <w:kern w:val="0"/>
          <w:sz w:val="24"/>
          <w:szCs w:val="24"/>
        </w:rPr>
        <w:t>电子版</w:t>
      </w:r>
      <w:r>
        <w:rPr>
          <w:rFonts w:hint="eastAsia" w:ascii="宋体" w:hAnsi="宋体" w:eastAsia="宋体" w:cs="宋体"/>
          <w:b/>
          <w:bCs/>
          <w:sz w:val="24"/>
          <w:szCs w:val="24"/>
        </w:rPr>
        <w:t>（U盘）贰</w:t>
      </w:r>
      <w:r>
        <w:rPr>
          <w:rFonts w:hint="eastAsia" w:ascii="宋体" w:hAnsi="宋体" w:eastAsia="宋体" w:cs="宋体"/>
          <w:b/>
          <w:bCs/>
          <w:kern w:val="0"/>
          <w:sz w:val="24"/>
          <w:szCs w:val="24"/>
        </w:rPr>
        <w:t>份</w:t>
      </w:r>
      <w:r>
        <w:rPr>
          <w:rFonts w:hint="eastAsia" w:ascii="宋体" w:hAnsi="宋体" w:eastAsia="宋体" w:cs="宋体"/>
          <w:b/>
          <w:bCs/>
          <w:sz w:val="24"/>
          <w:szCs w:val="24"/>
          <w:lang w:val="zh-CN"/>
        </w:rPr>
        <w:t>，</w:t>
      </w:r>
      <w:r>
        <w:rPr>
          <w:rFonts w:hint="eastAsia" w:ascii="宋体" w:hAnsi="宋体" w:eastAsia="宋体" w:cs="宋体"/>
          <w:b/>
          <w:bCs/>
          <w:sz w:val="24"/>
          <w:szCs w:val="24"/>
        </w:rPr>
        <w:t xml:space="preserve">电子版单独密封。 </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16.2投标文件的正本需打印或用不褪色墨水书写，并由法定代表人或其授权代表在投标文件上按招标文件规定签字或盖章；投标文件的副本可采用正本的复印件。</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16.3任何行间插字、涂改和增删，必须由法定代表人或其授权代表在旁边签字生效。</w:t>
      </w:r>
    </w:p>
    <w:p>
      <w:pPr>
        <w:tabs>
          <w:tab w:val="left" w:pos="5835"/>
        </w:tabs>
        <w:spacing w:line="460" w:lineRule="exact"/>
        <w:outlineLvl w:val="1"/>
        <w:rPr>
          <w:rFonts w:ascii="宋体" w:hAnsi="宋体" w:eastAsia="宋体" w:cs="宋体"/>
          <w:b/>
          <w:sz w:val="24"/>
          <w:szCs w:val="24"/>
        </w:rPr>
      </w:pPr>
      <w:bookmarkStart w:id="23" w:name="_Toc16721"/>
      <w:r>
        <w:rPr>
          <w:rFonts w:hint="eastAsia" w:ascii="宋体" w:hAnsi="宋体" w:eastAsia="宋体" w:cs="宋体"/>
          <w:b/>
          <w:sz w:val="24"/>
          <w:szCs w:val="24"/>
          <w:lang w:val="zh-CN"/>
        </w:rPr>
        <w:t>D、投标文件的递交</w:t>
      </w:r>
      <w:bookmarkEnd w:id="23"/>
    </w:p>
    <w:p>
      <w:pPr>
        <w:adjustRightInd w:val="0"/>
        <w:spacing w:line="460" w:lineRule="exact"/>
        <w:jc w:val="left"/>
        <w:rPr>
          <w:rFonts w:ascii="宋体" w:hAnsi="宋体" w:eastAsia="宋体" w:cs="宋体"/>
          <w:sz w:val="24"/>
          <w:szCs w:val="24"/>
        </w:rPr>
      </w:pPr>
      <w:bookmarkStart w:id="24" w:name="_Toc137651713"/>
      <w:bookmarkStart w:id="25" w:name="_Toc127973012"/>
      <w:bookmarkStart w:id="26" w:name="_Toc137651714"/>
      <w:r>
        <w:rPr>
          <w:rFonts w:hint="eastAsia" w:ascii="宋体" w:hAnsi="宋体" w:eastAsia="宋体" w:cs="宋体"/>
          <w:sz w:val="24"/>
          <w:szCs w:val="24"/>
        </w:rPr>
        <w:t>17.投标文件的密封和标记</w:t>
      </w:r>
      <w:bookmarkEnd w:id="24"/>
      <w:bookmarkEnd w:id="25"/>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17.1供应商应将投标文件正本、副本和电子版用不透明的纸质材料密封包装。</w:t>
      </w:r>
    </w:p>
    <w:p>
      <w:pPr>
        <w:adjustRightInd w:val="0"/>
        <w:spacing w:line="460" w:lineRule="exact"/>
        <w:ind w:firstLine="480" w:firstLineChars="200"/>
        <w:jc w:val="left"/>
        <w:rPr>
          <w:rFonts w:ascii="宋体" w:hAnsi="宋体" w:eastAsia="宋体" w:cs="宋体"/>
          <w:sz w:val="24"/>
          <w:szCs w:val="24"/>
        </w:rPr>
      </w:pPr>
      <w:bookmarkStart w:id="27" w:name="_Toc127973013"/>
      <w:r>
        <w:rPr>
          <w:rFonts w:hint="eastAsia" w:ascii="宋体" w:hAnsi="宋体" w:eastAsia="宋体" w:cs="宋体"/>
          <w:sz w:val="24"/>
          <w:szCs w:val="24"/>
        </w:rPr>
        <w:t>17.2未按规定密封的为无效投标。</w:t>
      </w:r>
    </w:p>
    <w:bookmarkEnd w:id="27"/>
    <w:p>
      <w:pPr>
        <w:adjustRightInd w:val="0"/>
        <w:spacing w:line="460" w:lineRule="exact"/>
        <w:jc w:val="left"/>
        <w:rPr>
          <w:rFonts w:ascii="宋体" w:hAnsi="宋体" w:eastAsia="宋体" w:cs="宋体"/>
          <w:sz w:val="24"/>
          <w:szCs w:val="24"/>
        </w:rPr>
      </w:pPr>
      <w:r>
        <w:rPr>
          <w:rFonts w:hint="eastAsia" w:ascii="宋体" w:hAnsi="宋体" w:eastAsia="宋体" w:cs="宋体"/>
          <w:sz w:val="24"/>
          <w:szCs w:val="24"/>
        </w:rPr>
        <w:t>18.递交投标文件的截止时间</w:t>
      </w:r>
      <w:bookmarkEnd w:id="26"/>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18.1所有投标文件都必须在投标截止时间之前送达开标现场递交采购人。采购人不接收电报、电话、传真、邮件形式的投标。</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18.2因招标文件的修改推迟投标截止时间时，则按采购人修改后的投标截止时间递交。</w:t>
      </w:r>
    </w:p>
    <w:p>
      <w:pPr>
        <w:adjustRightInd w:val="0"/>
        <w:spacing w:line="460" w:lineRule="exact"/>
        <w:jc w:val="left"/>
        <w:rPr>
          <w:rFonts w:ascii="宋体" w:hAnsi="宋体" w:eastAsia="宋体" w:cs="宋体"/>
          <w:sz w:val="24"/>
          <w:szCs w:val="24"/>
        </w:rPr>
      </w:pPr>
      <w:bookmarkStart w:id="28" w:name="_Toc137651715"/>
      <w:bookmarkStart w:id="29" w:name="_Toc127973014"/>
      <w:r>
        <w:rPr>
          <w:rFonts w:hint="eastAsia" w:ascii="宋体" w:hAnsi="宋体" w:eastAsia="宋体" w:cs="宋体"/>
          <w:sz w:val="24"/>
          <w:szCs w:val="24"/>
        </w:rPr>
        <w:t>19.迟交的投标文件</w:t>
      </w:r>
      <w:bookmarkEnd w:id="28"/>
      <w:bookmarkEnd w:id="29"/>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采购人将拒绝接收在投标截止时间后递交的投标文件。</w:t>
      </w:r>
    </w:p>
    <w:p>
      <w:pPr>
        <w:adjustRightInd w:val="0"/>
        <w:spacing w:line="460" w:lineRule="exact"/>
        <w:jc w:val="left"/>
        <w:rPr>
          <w:rFonts w:ascii="宋体" w:hAnsi="宋体" w:eastAsia="宋体" w:cs="宋体"/>
          <w:sz w:val="24"/>
          <w:szCs w:val="24"/>
        </w:rPr>
      </w:pPr>
      <w:bookmarkStart w:id="30" w:name="_Toc127973015"/>
      <w:bookmarkStart w:id="31" w:name="_Toc137651716"/>
      <w:r>
        <w:rPr>
          <w:rFonts w:hint="eastAsia" w:ascii="宋体" w:hAnsi="宋体" w:eastAsia="宋体" w:cs="宋体"/>
          <w:sz w:val="24"/>
          <w:szCs w:val="24"/>
        </w:rPr>
        <w:t>20.投标文件的补充、修改或撤回</w:t>
      </w:r>
      <w:bookmarkEnd w:id="30"/>
      <w:bookmarkEnd w:id="31"/>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20.1供应商在递交投标文件后，可以补充、修改或撤回其投标，但供应商必须在规定的投标截止时间之前将补充、修改或撤回投标的书面通知递交采购人。</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20.2供应商的补充、修改或撤回通知应按本须知规定编制、密封、标记、签署和盖章。</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20.3投标有效期内，供应商不得撤回其投标，否则其投标保证金将按照本须知的规定不予退还。</w:t>
      </w:r>
    </w:p>
    <w:p>
      <w:pPr>
        <w:tabs>
          <w:tab w:val="left" w:pos="5835"/>
        </w:tabs>
        <w:spacing w:line="460" w:lineRule="exact"/>
        <w:outlineLvl w:val="1"/>
        <w:rPr>
          <w:rFonts w:ascii="宋体" w:hAnsi="宋体" w:eastAsia="宋体" w:cs="宋体"/>
          <w:b/>
          <w:sz w:val="24"/>
          <w:szCs w:val="24"/>
          <w:lang w:val="zh-CN"/>
        </w:rPr>
      </w:pPr>
      <w:bookmarkStart w:id="32" w:name="_Toc29261"/>
      <w:r>
        <w:rPr>
          <w:rFonts w:hint="eastAsia" w:ascii="宋体" w:hAnsi="宋体" w:eastAsia="宋体" w:cs="宋体"/>
          <w:b/>
          <w:sz w:val="24"/>
          <w:szCs w:val="24"/>
          <w:lang w:val="zh-CN"/>
        </w:rPr>
        <w:t>E、开标和评标</w:t>
      </w:r>
      <w:bookmarkEnd w:id="32"/>
    </w:p>
    <w:p>
      <w:pPr>
        <w:adjustRightInd w:val="0"/>
        <w:spacing w:line="460" w:lineRule="exact"/>
        <w:jc w:val="left"/>
        <w:rPr>
          <w:rFonts w:ascii="宋体" w:hAnsi="宋体" w:eastAsia="宋体" w:cs="宋体"/>
          <w:sz w:val="24"/>
          <w:szCs w:val="24"/>
        </w:rPr>
      </w:pPr>
      <w:bookmarkStart w:id="33" w:name="_Toc127973017"/>
      <w:bookmarkStart w:id="34" w:name="_Toc137651718"/>
      <w:r>
        <w:rPr>
          <w:rFonts w:hint="eastAsia" w:ascii="宋体" w:hAnsi="宋体" w:eastAsia="宋体" w:cs="宋体"/>
          <w:sz w:val="24"/>
          <w:szCs w:val="24"/>
        </w:rPr>
        <w:t>21.开标</w:t>
      </w:r>
      <w:bookmarkEnd w:id="33"/>
      <w:bookmarkEnd w:id="34"/>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21.1招标方将在招标文件规定的时间和地点进行公开开标，供应商法定代表人或其授权代表应准时参加开标大会，并签名报到以证明其出席。</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21.2开标时将查验投标文件密封情况，确认无误后拆封唱标，唱正本“开标一览表”内容，招标方将以合适的方式记录唱标内容。</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21.3开标结束时，供应商应在开标记录表上签字确认开标记录内容；如果供应商对开标结果有意见，可以保留不签字的权利，但必须向开标现场的监督管理机构及采购人当场提出书面意见书，否则采购人有权认为供应商认可开标记录。</w:t>
      </w:r>
    </w:p>
    <w:p>
      <w:pPr>
        <w:adjustRightInd w:val="0"/>
        <w:spacing w:line="460" w:lineRule="exact"/>
        <w:jc w:val="left"/>
        <w:rPr>
          <w:rFonts w:ascii="宋体" w:hAnsi="宋体" w:eastAsia="宋体" w:cs="宋体"/>
          <w:sz w:val="24"/>
          <w:szCs w:val="24"/>
        </w:rPr>
      </w:pPr>
      <w:bookmarkStart w:id="35" w:name="_Toc137651719"/>
      <w:r>
        <w:rPr>
          <w:rFonts w:hint="eastAsia" w:ascii="宋体" w:hAnsi="宋体" w:eastAsia="宋体" w:cs="宋体"/>
          <w:sz w:val="24"/>
          <w:szCs w:val="24"/>
        </w:rPr>
        <w:t>22.评标委员会</w:t>
      </w:r>
      <w:bookmarkEnd w:id="35"/>
    </w:p>
    <w:p>
      <w:pPr>
        <w:spacing w:line="460" w:lineRule="exact"/>
        <w:ind w:firstLine="480" w:firstLineChars="200"/>
        <w:rPr>
          <w:rFonts w:ascii="宋体" w:hAnsi="宋体" w:eastAsia="宋体" w:cs="宋体"/>
          <w:sz w:val="24"/>
          <w:szCs w:val="24"/>
        </w:rPr>
      </w:pPr>
      <w:bookmarkStart w:id="36" w:name="_Toc127973018"/>
      <w:bookmarkStart w:id="37" w:name="_Toc137651720"/>
      <w:r>
        <w:rPr>
          <w:rFonts w:hint="eastAsia" w:ascii="宋体" w:hAnsi="宋体" w:eastAsia="宋体" w:cs="宋体"/>
          <w:sz w:val="24"/>
          <w:szCs w:val="24"/>
        </w:rPr>
        <w:t>22.1评标由采购人依法组建的评标委员会负责。评标委员会由采购人代表和相关经济、技术等方面的评审专家共5人组成。评标委员会专家的确定方式见供应商须知前附表。（评标委员会成员不得参加开标活动。）</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评标委员会负责具体评标事务，并独立履行下列职责：</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（1）审查、评价投标文件是否符合招标文件的商务、技术等实质性要求；</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（2）要求投标人对投标文件有关事项作出澄清或者说明；</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（3）对投标文件进行比较和评价；</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（4）确定中标候选人名单，以及根据采购人委托直接确定中标人；</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（5）向采购人、采购代理机构或者有关部门报告评标中发现的违法行为。</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22.2评标委员会成员有下列情形之一的，应当回避：</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（1）供应商或供应商主要负责人的近亲属；</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（2）项目主管部门或者行政监督部门的人员；</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（3）与供应商有经济利益关系，可能影响对投标公正评审的；</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（5）与供应商有其他利害关系。</w:t>
      </w:r>
      <w:r>
        <w:rPr>
          <w:rFonts w:hint="eastAsia" w:ascii="宋体" w:hAnsi="宋体" w:eastAsia="宋体" w:cs="宋体"/>
          <w:sz w:val="24"/>
          <w:szCs w:val="24"/>
        </w:rPr>
        <w:tab/>
      </w:r>
    </w:p>
    <w:p>
      <w:pPr>
        <w:adjustRightInd w:val="0"/>
        <w:snapToGrid w:val="0"/>
        <w:spacing w:line="460" w:lineRule="exact"/>
        <w:jc w:val="left"/>
        <w:rPr>
          <w:rFonts w:ascii="宋体" w:hAnsi="宋体" w:eastAsia="宋体" w:cs="宋体"/>
          <w:sz w:val="24"/>
          <w:szCs w:val="24"/>
        </w:rPr>
      </w:pPr>
      <w:r>
        <w:rPr>
          <w:rFonts w:hint="eastAsia" w:ascii="宋体" w:hAnsi="宋体" w:eastAsia="宋体" w:cs="宋体"/>
          <w:sz w:val="24"/>
          <w:szCs w:val="24"/>
        </w:rPr>
        <w:t>23. 投标文件的初审</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23.1资格性审查。评标专家依据有关法律法规和招标文件的规定，审查每个供应商提交的资格证明文件是否齐全、完整、合法、有效。资格性审查条款详见第四部分“资格性审查要求”。</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23.2符合性审查。评标专家依据有关法律法规和招标文件的规定，从投标文件的有效性、完整性和对招标文件的响应程度，审查投标文件是否对招标文件的实质性要求做出了响应。符合性审查条款详见招标文件第四部分“符合性审查要求”。</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23.3 实质上响应的投标是指与招标文件的条款、条件和规格相符，没有重大偏离。所谓重大偏离是指投标内容明显不能满足招标文件的要求，或者实质上与招标文件不一致，而且限制了采购单位的权利或供应商的义务，如果纠正这些偏离将对其他实质上响应招标文件要求的供应商的竞争地位产生不公正的影响。</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23.4 重大偏离不允许在开标后修正，但评标专家将允许修正投标中不构成重大偏离的地方，而且这些修正不会对其他实质上响应招标文件要求的供应商的竞争地位产生不公正的影响。</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23.5 如果投标文件实质上没有响应招标文件的要求，将作为无效投标处理，供应商不得再对投标文件进行任何修正从而使其投标成为实质上响应的投标。</w:t>
      </w:r>
    </w:p>
    <w:p>
      <w:pPr>
        <w:adjustRightInd w:val="0"/>
        <w:spacing w:line="460" w:lineRule="exact"/>
        <w:jc w:val="left"/>
        <w:rPr>
          <w:rFonts w:ascii="宋体" w:hAnsi="宋体" w:eastAsia="宋体" w:cs="宋体"/>
          <w:sz w:val="24"/>
          <w:szCs w:val="24"/>
        </w:rPr>
      </w:pPr>
      <w:r>
        <w:rPr>
          <w:rFonts w:hint="eastAsia" w:ascii="宋体" w:hAnsi="宋体" w:eastAsia="宋体" w:cs="宋体"/>
          <w:sz w:val="24"/>
          <w:szCs w:val="24"/>
        </w:rPr>
        <w:t>24.投标文件的澄清</w:t>
      </w:r>
      <w:bookmarkEnd w:id="36"/>
      <w:bookmarkEnd w:id="37"/>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24.1为了有助于对投标文件进行审查、评估和比较，评标委员会有权向供应商质疑，请供应商澄清其投标内容。供应商有责任按照采购人通知的时间、地点指派专人进行答疑和澄清。</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24.2重要澄清的答复应是书面的，但不得对投标内容进行实质性修改。</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24.3澄清文件是投标文件的组成部分，并取代投标文件中被澄清的部分。</w:t>
      </w:r>
    </w:p>
    <w:p>
      <w:pPr>
        <w:adjustRightInd w:val="0"/>
        <w:spacing w:line="460" w:lineRule="exact"/>
        <w:jc w:val="left"/>
        <w:rPr>
          <w:rFonts w:ascii="宋体" w:hAnsi="宋体" w:eastAsia="宋体" w:cs="宋体"/>
          <w:sz w:val="24"/>
          <w:szCs w:val="24"/>
        </w:rPr>
      </w:pPr>
      <w:bookmarkStart w:id="38" w:name="_Toc137651721"/>
      <w:bookmarkStart w:id="39" w:name="_Toc127973019"/>
      <w:r>
        <w:rPr>
          <w:rFonts w:hint="eastAsia" w:ascii="宋体" w:hAnsi="宋体" w:eastAsia="宋体" w:cs="宋体"/>
          <w:sz w:val="24"/>
          <w:szCs w:val="24"/>
        </w:rPr>
        <w:t>25.对投标文件的评</w:t>
      </w:r>
      <w:bookmarkEnd w:id="38"/>
      <w:bookmarkEnd w:id="39"/>
      <w:r>
        <w:rPr>
          <w:rFonts w:hint="eastAsia" w:ascii="宋体" w:hAnsi="宋体" w:eastAsia="宋体" w:cs="宋体"/>
          <w:sz w:val="24"/>
          <w:szCs w:val="24"/>
        </w:rPr>
        <w:t>估和比较</w:t>
      </w:r>
    </w:p>
    <w:p>
      <w:pPr>
        <w:adjustRightIn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采购人及其组织的评标委员会将对实质性响应的投标文件进行评估和比较。</w:t>
      </w:r>
    </w:p>
    <w:p>
      <w:pPr>
        <w:adjustRightInd w:val="0"/>
        <w:spacing w:line="460" w:lineRule="exact"/>
        <w:jc w:val="left"/>
        <w:rPr>
          <w:rFonts w:ascii="宋体" w:hAnsi="宋体" w:eastAsia="宋体" w:cs="宋体"/>
          <w:sz w:val="24"/>
          <w:szCs w:val="24"/>
        </w:rPr>
      </w:pPr>
      <w:r>
        <w:rPr>
          <w:rFonts w:hint="eastAsia" w:ascii="宋体" w:hAnsi="宋体" w:eastAsia="宋体" w:cs="宋体"/>
          <w:sz w:val="24"/>
          <w:szCs w:val="24"/>
        </w:rPr>
        <w:t>26.评标原则、评标方法及评分标准</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26.1评标专家按招标文件中规定的评标方法及评标标准，对资格性审查和符合性审查合格的投标文件进行比较和评价。</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综合评分法，是指在最大限度地满足招标文件实质性要求前提下，按照招标文件中规定的各项因素进行综合评审后，以评标总得分最高的供应商作为中标供应商的评标方法。</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26.2采用综合评分法的项目，按以下规则进行评审：</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（1）评标专家根据招标文件规定的评标标准对每个有效投标文件进行打分，计算简单算术平均数的方法计算供应商的最终得分，最终得分按四舍五入的方式保留至小数点后二位。</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评标专家完成评标后，须向采购代理机构提交书面评标报告，并确定得分最高的供应商作为中标供应商；或评标委员会根据全体评标成员签字的原始评标记录和评标结果，将候选中标供应商的排序名单提交给采购人，采购人按照评标委员会评审报告中推荐的中标候选供应商顺序确定中标供应商。</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26.3 按上述评标方法确定的符合中标条件的供应商如果有2个或2个以上，则：</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采用综合评分法的，投标报价最低的确定为中标供应商；投标报价相同的，以技术优劣确定中标供应商；技术相同的，由评标专家投票确定中标供应商或中标候选供应商排序。</w:t>
      </w:r>
    </w:p>
    <w:p>
      <w:pPr>
        <w:adjustRightInd w:val="0"/>
        <w:snapToGrid w:val="0"/>
        <w:spacing w:line="4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26.4 评标中遇到的其他问题，由评标专家集体研究决定。</w:t>
      </w:r>
    </w:p>
    <w:p>
      <w:pPr>
        <w:tabs>
          <w:tab w:val="left" w:pos="7669"/>
        </w:tabs>
        <w:autoSpaceDE w:val="0"/>
        <w:autoSpaceDN w:val="0"/>
        <w:adjustRightInd w:val="0"/>
        <w:spacing w:line="460" w:lineRule="exact"/>
        <w:rPr>
          <w:rFonts w:ascii="宋体" w:hAnsi="宋体" w:eastAsia="宋体" w:cs="宋体"/>
          <w:sz w:val="24"/>
          <w:szCs w:val="24"/>
        </w:rPr>
      </w:pPr>
      <w:bookmarkStart w:id="40" w:name="_Toc127973020"/>
      <w:bookmarkStart w:id="41" w:name="_Toc137651722"/>
      <w:r>
        <w:rPr>
          <w:rFonts w:hint="eastAsia" w:ascii="宋体" w:hAnsi="宋体" w:eastAsia="宋体" w:cs="宋体"/>
          <w:sz w:val="24"/>
          <w:szCs w:val="24"/>
        </w:rPr>
        <w:t>27．保密</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27.1有关投标文件的审查、澄清、评估和比较以及有关授予合同的意向的一切情况都不得透露给任一供应商或与上述评标工作无关的人员。</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27.2供应商不得干扰采购人的评标活动，否则将废除其投标。</w:t>
      </w:r>
      <w:bookmarkEnd w:id="40"/>
      <w:bookmarkEnd w:id="41"/>
      <w:bookmarkStart w:id="42" w:name="_Toc270946167"/>
      <w:bookmarkStart w:id="43" w:name="_Toc129414326"/>
      <w:bookmarkStart w:id="44" w:name="_Toc127973023"/>
      <w:bookmarkStart w:id="45" w:name="_Toc181344320"/>
      <w:bookmarkStart w:id="46" w:name="_Toc137651724"/>
      <w:bookmarkStart w:id="47" w:name="_Toc179456529"/>
      <w:bookmarkStart w:id="48" w:name="_Toc267574100"/>
      <w:bookmarkStart w:id="49" w:name="_Toc181348131"/>
    </w:p>
    <w:p>
      <w:pPr>
        <w:tabs>
          <w:tab w:val="left" w:pos="5835"/>
        </w:tabs>
        <w:spacing w:line="460" w:lineRule="exact"/>
        <w:outlineLvl w:val="1"/>
        <w:rPr>
          <w:rFonts w:ascii="宋体" w:hAnsi="宋体" w:eastAsia="宋体" w:cs="宋体"/>
          <w:b/>
          <w:sz w:val="24"/>
          <w:szCs w:val="24"/>
          <w:lang w:val="zh-CN"/>
        </w:rPr>
      </w:pPr>
      <w:bookmarkStart w:id="50" w:name="_Toc12802"/>
      <w:r>
        <w:rPr>
          <w:rFonts w:hint="eastAsia" w:ascii="宋体" w:hAnsi="宋体" w:eastAsia="宋体" w:cs="宋体"/>
          <w:b/>
          <w:sz w:val="24"/>
          <w:szCs w:val="24"/>
          <w:lang w:val="zh-CN"/>
        </w:rPr>
        <w:t>F、授予合同</w:t>
      </w:r>
      <w:bookmarkEnd w:id="42"/>
      <w:bookmarkEnd w:id="43"/>
      <w:bookmarkEnd w:id="44"/>
      <w:bookmarkEnd w:id="45"/>
      <w:bookmarkEnd w:id="46"/>
      <w:bookmarkEnd w:id="47"/>
      <w:bookmarkEnd w:id="48"/>
      <w:bookmarkEnd w:id="49"/>
      <w:bookmarkEnd w:id="50"/>
    </w:p>
    <w:p>
      <w:pPr>
        <w:tabs>
          <w:tab w:val="left" w:pos="7669"/>
        </w:tabs>
        <w:autoSpaceDE w:val="0"/>
        <w:autoSpaceDN w:val="0"/>
        <w:adjustRightInd w:val="0"/>
        <w:spacing w:line="460" w:lineRule="exact"/>
        <w:rPr>
          <w:rFonts w:ascii="宋体" w:hAnsi="宋体" w:eastAsia="宋体" w:cs="宋体"/>
          <w:sz w:val="24"/>
          <w:szCs w:val="24"/>
        </w:rPr>
      </w:pPr>
      <w:bookmarkStart w:id="51" w:name="_Toc137651725"/>
      <w:bookmarkStart w:id="52" w:name="_Toc127973025"/>
      <w:r>
        <w:rPr>
          <w:rFonts w:hint="eastAsia" w:ascii="宋体" w:hAnsi="宋体" w:eastAsia="宋体" w:cs="宋体"/>
          <w:sz w:val="24"/>
          <w:szCs w:val="24"/>
        </w:rPr>
        <w:t>28.定标准则</w:t>
      </w:r>
      <w:bookmarkEnd w:id="51"/>
      <w:bookmarkEnd w:id="52"/>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28.1严格按照招标文件的要求和条件进行评标，择优定标。</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28.2最低报价不能作为中标的保证。</w:t>
      </w:r>
    </w:p>
    <w:p>
      <w:pPr>
        <w:tabs>
          <w:tab w:val="left" w:pos="7669"/>
        </w:tabs>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rPr>
        <w:t>29.资格最终审查</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29.1评委会将审查供应商（拟中标单位）的财务、技术、管理能力及信誉，确定其是否能圆满地履行合同。</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29.2如果确定该供应商不具备圆满履行合同的条件，评委会将对备选中标单位及依次类推的下一个供应商资格作出类似的审查，直至最终确定拟中标单位和备选中标单位。</w:t>
      </w:r>
    </w:p>
    <w:p>
      <w:pPr>
        <w:tabs>
          <w:tab w:val="left" w:pos="7669"/>
        </w:tabs>
        <w:autoSpaceDE w:val="0"/>
        <w:autoSpaceDN w:val="0"/>
        <w:adjustRightInd w:val="0"/>
        <w:spacing w:line="460" w:lineRule="exact"/>
        <w:rPr>
          <w:rFonts w:ascii="宋体" w:hAnsi="宋体" w:eastAsia="宋体" w:cs="宋体"/>
          <w:sz w:val="24"/>
          <w:szCs w:val="24"/>
        </w:rPr>
      </w:pPr>
      <w:bookmarkStart w:id="53" w:name="_Toc127973028"/>
      <w:bookmarkStart w:id="54" w:name="_Toc137651728"/>
      <w:r>
        <w:rPr>
          <w:rFonts w:hint="eastAsia" w:ascii="宋体" w:hAnsi="宋体" w:eastAsia="宋体" w:cs="宋体"/>
          <w:sz w:val="24"/>
          <w:szCs w:val="24"/>
        </w:rPr>
        <w:t>30．接受和拒绝任何或所有投标的权力</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采购人在授予合同之前仍有选择或拒绝任何或全部投标的权力，并对所采取的行为不作任何解释。</w:t>
      </w:r>
    </w:p>
    <w:p>
      <w:pPr>
        <w:tabs>
          <w:tab w:val="left" w:pos="7669"/>
        </w:tabs>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rPr>
        <w:t>31.公示中标结果、发出中标通知书</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31.1采购代理机构应当自评审结束之日起2个工作日内将评审报告送交采购人。采购人应当自收到评审报告之日起5个工作日内在评审报告推荐的中标或者成交候选人中按顺序确定中标或者成交供应商。</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31.2采购人或者采购代理机构应当自中标供应商确定之日起2个工作日内，发出中标通知书。中标通知书一经发出即发生法律效力。</w:t>
      </w:r>
    </w:p>
    <w:bookmarkEnd w:id="53"/>
    <w:bookmarkEnd w:id="54"/>
    <w:p>
      <w:pPr>
        <w:tabs>
          <w:tab w:val="left" w:pos="7669"/>
        </w:tabs>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rPr>
        <w:t>32.合同协议书的签署</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32.1中标方按中标通知书指定的时间、地点与采购人按指定的协议书格式签订合同协议书。</w:t>
      </w:r>
    </w:p>
    <w:p>
      <w:pPr>
        <w:tabs>
          <w:tab w:val="left" w:pos="7669"/>
        </w:tabs>
        <w:autoSpaceDE w:val="0"/>
        <w:autoSpaceDN w:val="0"/>
        <w:adjustRightInd w:val="0"/>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32.2中标通知书、招标文件、中标方的投标文件及其澄清文件，均为签订合同协议书的依据。</w:t>
      </w:r>
    </w:p>
    <w:p>
      <w:pPr>
        <w:spacing w:line="460" w:lineRule="exact"/>
        <w:rPr>
          <w:rFonts w:ascii="宋体" w:hAnsi="宋体" w:eastAsia="宋体" w:cs="宋体"/>
          <w:sz w:val="24"/>
          <w:szCs w:val="24"/>
        </w:rPr>
      </w:pPr>
      <w:r>
        <w:rPr>
          <w:rFonts w:hint="eastAsia" w:ascii="宋体" w:hAnsi="宋体" w:eastAsia="宋体" w:cs="宋体"/>
          <w:sz w:val="24"/>
          <w:szCs w:val="24"/>
        </w:rPr>
        <w:t>33.履约保证金：本项目不适用。</w:t>
      </w:r>
    </w:p>
    <w:p>
      <w:pPr>
        <w:tabs>
          <w:tab w:val="left" w:pos="7669"/>
        </w:tabs>
        <w:autoSpaceDE w:val="0"/>
        <w:autoSpaceDN w:val="0"/>
        <w:adjustRightInd w:val="0"/>
        <w:spacing w:line="460" w:lineRule="exact"/>
        <w:rPr>
          <w:rFonts w:ascii="宋体" w:hAnsi="宋体" w:eastAsia="宋体" w:cs="宋体"/>
          <w:sz w:val="24"/>
          <w:szCs w:val="24"/>
        </w:rPr>
      </w:pPr>
      <w:r>
        <w:rPr>
          <w:rFonts w:hint="eastAsia" w:ascii="宋体" w:hAnsi="宋体" w:eastAsia="宋体" w:cs="宋体"/>
          <w:sz w:val="24"/>
          <w:szCs w:val="24"/>
        </w:rPr>
        <w:t>34.本招标文件的最终解释权归采购人所有。</w:t>
      </w:r>
    </w:p>
    <w:p>
      <w:pPr>
        <w:autoSpaceDE w:val="0"/>
        <w:autoSpaceDN w:val="0"/>
        <w:adjustRightInd w:val="0"/>
        <w:spacing w:line="460" w:lineRule="exact"/>
        <w:ind w:firstLine="482" w:firstLineChars="200"/>
        <w:rPr>
          <w:rFonts w:ascii="宋体" w:hAnsi="宋体" w:eastAsia="宋体" w:cs="宋体"/>
          <w:b/>
          <w:bCs/>
          <w:sz w:val="24"/>
          <w:szCs w:val="24"/>
        </w:rPr>
        <w:sectPr>
          <w:footerReference r:id="rId7" w:type="first"/>
          <w:footerReference r:id="rId6" w:type="default"/>
          <w:pgSz w:w="11906" w:h="16838"/>
          <w:pgMar w:top="1587" w:right="1587" w:bottom="1587" w:left="1587" w:header="1247" w:footer="992" w:gutter="0"/>
          <w:cols w:space="0" w:num="1"/>
          <w:docGrid w:linePitch="312" w:charSpace="0"/>
        </w:sectPr>
      </w:pPr>
    </w:p>
    <w:p>
      <w:pPr>
        <w:autoSpaceDE w:val="0"/>
        <w:autoSpaceDN w:val="0"/>
        <w:adjustRightInd w:val="0"/>
        <w:spacing w:line="800" w:lineRule="exact"/>
        <w:jc w:val="center"/>
        <w:outlineLvl w:val="0"/>
        <w:rPr>
          <w:rFonts w:ascii="宋体" w:hAnsi="宋体" w:eastAsia="宋体" w:cs="宋体"/>
          <w:b/>
          <w:bCs/>
          <w:sz w:val="44"/>
          <w:szCs w:val="44"/>
          <w:lang w:val="zh-CN"/>
        </w:rPr>
      </w:pPr>
      <w:bookmarkStart w:id="55" w:name="_Toc12949"/>
      <w:bookmarkStart w:id="56" w:name="_Toc179456560"/>
      <w:bookmarkStart w:id="57" w:name="_Toc181344351"/>
      <w:bookmarkStart w:id="58" w:name="_Toc270946198"/>
      <w:bookmarkStart w:id="59" w:name="_Toc181348162"/>
      <w:bookmarkStart w:id="60" w:name="_Toc267574131"/>
      <w:r>
        <w:rPr>
          <w:rFonts w:hint="eastAsia" w:ascii="宋体" w:hAnsi="宋体" w:eastAsia="宋体" w:cs="宋体"/>
          <w:b/>
          <w:bCs/>
          <w:sz w:val="44"/>
          <w:szCs w:val="44"/>
          <w:lang w:val="zh-CN"/>
        </w:rPr>
        <w:t>第四部分 评标办法</w:t>
      </w:r>
      <w:bookmarkEnd w:id="55"/>
    </w:p>
    <w:p>
      <w:pPr>
        <w:autoSpaceDE w:val="0"/>
        <w:autoSpaceDN w:val="0"/>
        <w:adjustRightInd w:val="0"/>
        <w:spacing w:line="324" w:lineRule="auto"/>
        <w:rPr>
          <w:rFonts w:ascii="宋体" w:hAnsi="宋体" w:eastAsia="宋体" w:cs="宋体"/>
          <w:b/>
          <w:bCs/>
          <w:sz w:val="36"/>
          <w:szCs w:val="36"/>
        </w:rPr>
      </w:pPr>
      <w:r>
        <w:rPr>
          <w:rFonts w:hint="eastAsia" w:ascii="宋体" w:hAnsi="宋体" w:eastAsia="宋体" w:cs="宋体"/>
          <w:b/>
          <w:szCs w:val="21"/>
        </w:rPr>
        <w:t>一、投标文件的审查：</w:t>
      </w:r>
      <w:r>
        <w:rPr>
          <w:rFonts w:hint="eastAsia" w:ascii="宋体" w:hAnsi="宋体" w:eastAsia="宋体" w:cs="宋体"/>
          <w:b/>
          <w:szCs w:val="21"/>
        </w:rPr>
        <w:tab/>
      </w:r>
    </w:p>
    <w:tbl>
      <w:tblPr>
        <w:tblStyle w:val="27"/>
        <w:tblW w:w="9245" w:type="dxa"/>
        <w:jc w:val="center"/>
        <w:tblInd w:w="-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166"/>
        <w:gridCol w:w="258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1380" w:type="dxa"/>
            <w:tcMar>
              <w:left w:w="57" w:type="dxa"/>
              <w:right w:w="57" w:type="dxa"/>
            </w:tcMar>
            <w:vAlign w:val="center"/>
          </w:tcPr>
          <w:p>
            <w:pPr>
              <w:spacing w:line="360" w:lineRule="exact"/>
              <w:jc w:val="center"/>
              <w:rPr>
                <w:rFonts w:ascii="宋体" w:hAnsi="宋体" w:eastAsia="宋体" w:cs="宋体"/>
                <w:b/>
                <w:szCs w:val="21"/>
              </w:rPr>
            </w:pPr>
            <w:r>
              <w:rPr>
                <w:rFonts w:hint="eastAsia" w:ascii="宋体" w:hAnsi="宋体" w:eastAsia="宋体" w:cs="宋体"/>
                <w:b/>
                <w:szCs w:val="21"/>
              </w:rPr>
              <w:t>条款号</w:t>
            </w:r>
          </w:p>
        </w:tc>
        <w:tc>
          <w:tcPr>
            <w:tcW w:w="2166" w:type="dxa"/>
            <w:vAlign w:val="center"/>
          </w:tcPr>
          <w:p>
            <w:pPr>
              <w:spacing w:line="360" w:lineRule="exact"/>
              <w:jc w:val="center"/>
              <w:rPr>
                <w:rFonts w:ascii="宋体" w:hAnsi="宋体" w:eastAsia="宋体" w:cs="宋体"/>
                <w:b/>
                <w:szCs w:val="21"/>
              </w:rPr>
            </w:pPr>
            <w:r>
              <w:rPr>
                <w:rFonts w:hint="eastAsia" w:ascii="宋体" w:hAnsi="宋体" w:eastAsia="宋体" w:cs="宋体"/>
                <w:b/>
                <w:szCs w:val="21"/>
              </w:rPr>
              <w:t>评审因素</w:t>
            </w:r>
          </w:p>
        </w:tc>
        <w:tc>
          <w:tcPr>
            <w:tcW w:w="2580" w:type="dxa"/>
            <w:vAlign w:val="center"/>
          </w:tcPr>
          <w:p>
            <w:pPr>
              <w:spacing w:line="360" w:lineRule="exact"/>
              <w:jc w:val="center"/>
              <w:rPr>
                <w:rFonts w:ascii="宋体" w:hAnsi="宋体" w:eastAsia="宋体" w:cs="宋体"/>
                <w:b/>
                <w:szCs w:val="21"/>
              </w:rPr>
            </w:pPr>
            <w:r>
              <w:rPr>
                <w:rFonts w:hint="eastAsia" w:ascii="宋体" w:hAnsi="宋体" w:eastAsia="宋体" w:cs="宋体"/>
                <w:b/>
                <w:szCs w:val="21"/>
              </w:rPr>
              <w:t>评审标准</w:t>
            </w:r>
          </w:p>
        </w:tc>
        <w:tc>
          <w:tcPr>
            <w:tcW w:w="3119" w:type="dxa"/>
            <w:vAlign w:val="center"/>
          </w:tcPr>
          <w:p>
            <w:pPr>
              <w:spacing w:line="360" w:lineRule="exact"/>
              <w:jc w:val="center"/>
              <w:rPr>
                <w:rFonts w:ascii="宋体" w:hAnsi="宋体" w:eastAsia="宋体" w:cs="宋体"/>
                <w:b/>
                <w:szCs w:val="21"/>
              </w:rPr>
            </w:pPr>
            <w:r>
              <w:rPr>
                <w:rFonts w:hint="eastAsia" w:ascii="宋体" w:hAnsi="宋体" w:eastAsia="宋体" w:cs="宋体"/>
                <w:b/>
                <w:szCs w:val="21"/>
              </w:rPr>
              <w:t>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380" w:type="dxa"/>
            <w:vMerge w:val="restart"/>
            <w:vAlign w:val="center"/>
          </w:tcPr>
          <w:p>
            <w:pPr>
              <w:spacing w:line="360" w:lineRule="exact"/>
              <w:jc w:val="center"/>
              <w:rPr>
                <w:rFonts w:ascii="宋体" w:hAnsi="宋体" w:eastAsia="宋体" w:cs="宋体"/>
                <w:szCs w:val="21"/>
              </w:rPr>
            </w:pPr>
            <w:r>
              <w:rPr>
                <w:rFonts w:hint="eastAsia" w:ascii="宋体" w:hAnsi="宋体" w:eastAsia="宋体" w:cs="宋体"/>
                <w:szCs w:val="21"/>
              </w:rPr>
              <w:t>资格性审查</w:t>
            </w: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营业执照</w:t>
            </w:r>
          </w:p>
        </w:tc>
        <w:tc>
          <w:tcPr>
            <w:tcW w:w="2580" w:type="dxa"/>
            <w:vAlign w:val="center"/>
          </w:tcPr>
          <w:p>
            <w:pPr>
              <w:spacing w:line="360" w:lineRule="exact"/>
              <w:rPr>
                <w:rFonts w:ascii="宋体" w:hAnsi="宋体" w:eastAsia="宋体" w:cs="宋体"/>
                <w:szCs w:val="21"/>
              </w:rPr>
            </w:pPr>
            <w:r>
              <w:rPr>
                <w:rFonts w:hint="eastAsia" w:ascii="宋体" w:hAnsi="宋体" w:eastAsia="宋体" w:cs="宋体"/>
                <w:szCs w:val="21"/>
              </w:rPr>
              <w:t>合法有效</w:t>
            </w:r>
          </w:p>
        </w:tc>
        <w:tc>
          <w:tcPr>
            <w:tcW w:w="3119" w:type="dxa"/>
            <w:vMerge w:val="restart"/>
            <w:vAlign w:val="center"/>
          </w:tcPr>
          <w:p>
            <w:pPr>
              <w:adjustRightInd w:val="0"/>
              <w:snapToGrid w:val="0"/>
              <w:spacing w:line="360" w:lineRule="exact"/>
              <w:ind w:right="-10"/>
              <w:rPr>
                <w:rFonts w:ascii="宋体" w:hAnsi="宋体" w:eastAsia="宋体" w:cs="宋体"/>
                <w:szCs w:val="21"/>
              </w:rPr>
            </w:pPr>
            <w:r>
              <w:rPr>
                <w:rFonts w:hint="eastAsia" w:ascii="宋体" w:hAnsi="宋体" w:eastAsia="宋体" w:cs="宋体"/>
                <w:szCs w:val="21"/>
              </w:rPr>
              <w:t>提供营业执照、税务登记证和组织机构代码证的原件或复印件（或三证合一的营业执照副本复印件）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税务登记证</w:t>
            </w:r>
          </w:p>
        </w:tc>
        <w:tc>
          <w:tcPr>
            <w:tcW w:w="2580" w:type="dxa"/>
            <w:vAlign w:val="center"/>
          </w:tcPr>
          <w:p>
            <w:pPr>
              <w:spacing w:line="360" w:lineRule="exact"/>
              <w:rPr>
                <w:rFonts w:ascii="宋体" w:hAnsi="宋体" w:eastAsia="宋体" w:cs="宋体"/>
                <w:szCs w:val="21"/>
              </w:rPr>
            </w:pPr>
            <w:r>
              <w:rPr>
                <w:rFonts w:hint="eastAsia" w:ascii="宋体" w:hAnsi="宋体" w:eastAsia="宋体" w:cs="宋体"/>
                <w:szCs w:val="21"/>
              </w:rPr>
              <w:t>合法有效</w:t>
            </w:r>
          </w:p>
        </w:tc>
        <w:tc>
          <w:tcPr>
            <w:tcW w:w="3119" w:type="dxa"/>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组织机构代码证</w:t>
            </w:r>
          </w:p>
        </w:tc>
        <w:tc>
          <w:tcPr>
            <w:tcW w:w="2580" w:type="dxa"/>
            <w:vAlign w:val="center"/>
          </w:tcPr>
          <w:p>
            <w:pPr>
              <w:spacing w:line="360" w:lineRule="exact"/>
              <w:rPr>
                <w:rFonts w:ascii="宋体" w:hAnsi="宋体" w:eastAsia="宋体" w:cs="宋体"/>
                <w:szCs w:val="21"/>
              </w:rPr>
            </w:pPr>
            <w:r>
              <w:rPr>
                <w:rFonts w:hint="eastAsia" w:ascii="宋体" w:hAnsi="宋体" w:eastAsia="宋体" w:cs="宋体"/>
                <w:szCs w:val="21"/>
              </w:rPr>
              <w:t>合法有效</w:t>
            </w:r>
          </w:p>
        </w:tc>
        <w:tc>
          <w:tcPr>
            <w:tcW w:w="3119" w:type="dxa"/>
            <w:vMerge w:val="continue"/>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入选财政部PPP项目咨询机构库</w:t>
            </w:r>
          </w:p>
        </w:tc>
        <w:tc>
          <w:tcPr>
            <w:tcW w:w="2580" w:type="dxa"/>
            <w:vAlign w:val="center"/>
          </w:tcPr>
          <w:p>
            <w:pPr>
              <w:spacing w:line="360" w:lineRule="exact"/>
              <w:rPr>
                <w:rFonts w:ascii="宋体" w:hAnsi="宋体" w:eastAsia="宋体" w:cs="宋体"/>
                <w:szCs w:val="21"/>
              </w:rPr>
            </w:pPr>
            <w:r>
              <w:rPr>
                <w:rFonts w:hint="eastAsia" w:ascii="宋体" w:hAnsi="宋体" w:eastAsia="宋体" w:cs="宋体"/>
                <w:szCs w:val="21"/>
              </w:rPr>
              <w:t>以财政部官网公布的名单为准</w:t>
            </w:r>
          </w:p>
        </w:tc>
        <w:tc>
          <w:tcPr>
            <w:tcW w:w="3119"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财政部官网截图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检察机关出具的行贿犯罪档案查询结果告知函</w:t>
            </w:r>
          </w:p>
        </w:tc>
        <w:tc>
          <w:tcPr>
            <w:tcW w:w="2580" w:type="dxa"/>
            <w:vAlign w:val="center"/>
          </w:tcPr>
          <w:p>
            <w:pPr>
              <w:spacing w:line="360" w:lineRule="exact"/>
              <w:rPr>
                <w:rFonts w:ascii="宋体" w:hAnsi="宋体" w:eastAsia="宋体" w:cs="宋体"/>
                <w:szCs w:val="21"/>
              </w:rPr>
            </w:pPr>
            <w:r>
              <w:rPr>
                <w:rFonts w:hint="eastAsia" w:ascii="宋体" w:hAnsi="宋体" w:eastAsia="宋体" w:cs="宋体"/>
                <w:szCs w:val="21"/>
              </w:rPr>
              <w:t>合法有效</w:t>
            </w:r>
          </w:p>
        </w:tc>
        <w:tc>
          <w:tcPr>
            <w:tcW w:w="3119"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80" w:type="dxa"/>
            <w:vMerge w:val="restart"/>
            <w:vAlign w:val="center"/>
          </w:tcPr>
          <w:p>
            <w:pPr>
              <w:spacing w:line="360" w:lineRule="exact"/>
              <w:jc w:val="center"/>
              <w:rPr>
                <w:rFonts w:ascii="宋体" w:hAnsi="宋体" w:eastAsia="宋体" w:cs="宋体"/>
                <w:szCs w:val="21"/>
              </w:rPr>
            </w:pPr>
            <w:r>
              <w:rPr>
                <w:rFonts w:hint="eastAsia" w:ascii="宋体" w:hAnsi="宋体" w:eastAsia="宋体" w:cs="宋体"/>
                <w:szCs w:val="21"/>
              </w:rPr>
              <w:t>符合性审查</w:t>
            </w: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投标文件格式</w:t>
            </w:r>
          </w:p>
        </w:tc>
        <w:tc>
          <w:tcPr>
            <w:tcW w:w="5699" w:type="dxa"/>
            <w:gridSpan w:val="2"/>
            <w:vAlign w:val="center"/>
          </w:tcPr>
          <w:p>
            <w:pPr>
              <w:spacing w:line="360" w:lineRule="exact"/>
              <w:rPr>
                <w:rFonts w:ascii="宋体" w:hAnsi="宋体" w:eastAsia="宋体" w:cs="宋体"/>
                <w:szCs w:val="21"/>
              </w:rPr>
            </w:pPr>
            <w:r>
              <w:rPr>
                <w:rFonts w:hint="eastAsia" w:ascii="宋体" w:hAnsi="宋体" w:eastAsia="宋体" w:cs="宋体"/>
                <w:szCs w:val="21"/>
              </w:rPr>
              <w:t>符合第六部分要求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jc w:val="left"/>
              <w:rPr>
                <w:rFonts w:ascii="宋体" w:hAnsi="宋体" w:eastAsia="宋体" w:cs="宋体"/>
                <w:szCs w:val="21"/>
              </w:rPr>
            </w:pPr>
            <w:r>
              <w:rPr>
                <w:rFonts w:hint="eastAsia" w:ascii="宋体" w:hAnsi="宋体" w:eastAsia="宋体" w:cs="宋体"/>
                <w:szCs w:val="21"/>
              </w:rPr>
              <w:t>签字盖章</w:t>
            </w:r>
          </w:p>
        </w:tc>
        <w:tc>
          <w:tcPr>
            <w:tcW w:w="5699" w:type="dxa"/>
            <w:gridSpan w:val="2"/>
            <w:vAlign w:val="center"/>
          </w:tcPr>
          <w:p>
            <w:pPr>
              <w:spacing w:line="360" w:lineRule="exact"/>
              <w:rPr>
                <w:rFonts w:ascii="宋体" w:hAnsi="宋体" w:eastAsia="宋体" w:cs="宋体"/>
                <w:szCs w:val="21"/>
              </w:rPr>
            </w:pPr>
            <w:r>
              <w:rPr>
                <w:rFonts w:hint="eastAsia" w:ascii="宋体" w:hAnsi="宋体" w:eastAsia="宋体" w:cs="宋体"/>
                <w:szCs w:val="21"/>
              </w:rPr>
              <w:t>投标文件符合招标文件签字盖章要求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投标保证金</w:t>
            </w:r>
          </w:p>
        </w:tc>
        <w:tc>
          <w:tcPr>
            <w:tcW w:w="5699" w:type="dxa"/>
            <w:gridSpan w:val="2"/>
            <w:vAlign w:val="center"/>
          </w:tcPr>
          <w:p>
            <w:pPr>
              <w:spacing w:line="360" w:lineRule="exact"/>
              <w:rPr>
                <w:rFonts w:ascii="宋体" w:hAnsi="宋体" w:eastAsia="宋体" w:cs="宋体"/>
                <w:szCs w:val="21"/>
              </w:rPr>
            </w:pPr>
            <w:r>
              <w:rPr>
                <w:rFonts w:hint="eastAsia" w:ascii="宋体" w:hAnsi="宋体" w:eastAsia="宋体" w:cs="宋体"/>
                <w:szCs w:val="21"/>
              </w:rPr>
              <w:t>符合第三部分“前附表”投标保证金的要求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投标报价</w:t>
            </w:r>
          </w:p>
        </w:tc>
        <w:tc>
          <w:tcPr>
            <w:tcW w:w="5699" w:type="dxa"/>
            <w:gridSpan w:val="2"/>
            <w:vAlign w:val="center"/>
          </w:tcPr>
          <w:p>
            <w:pPr>
              <w:spacing w:line="360" w:lineRule="exact"/>
              <w:rPr>
                <w:rFonts w:ascii="宋体" w:hAnsi="宋体" w:eastAsia="宋体" w:cs="宋体"/>
                <w:szCs w:val="21"/>
              </w:rPr>
            </w:pPr>
            <w:r>
              <w:rPr>
                <w:rFonts w:hint="eastAsia" w:ascii="宋体" w:hAnsi="宋体" w:eastAsia="宋体" w:cs="宋体"/>
                <w:szCs w:val="21"/>
              </w:rPr>
              <w:t>低于（含等于）第三部分“前附表”载明的预算金额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rPr>
                <w:rFonts w:ascii="宋体" w:hAnsi="宋体" w:eastAsia="宋体" w:cs="宋体"/>
                <w:szCs w:val="21"/>
              </w:rPr>
            </w:pPr>
            <w:r>
              <w:rPr>
                <w:rFonts w:hint="eastAsia" w:ascii="宋体" w:hAnsi="宋体" w:eastAsia="宋体" w:cs="宋体"/>
                <w:szCs w:val="21"/>
              </w:rPr>
              <w:t>项目需求及其他要求</w:t>
            </w:r>
          </w:p>
        </w:tc>
        <w:tc>
          <w:tcPr>
            <w:tcW w:w="5699" w:type="dxa"/>
            <w:gridSpan w:val="2"/>
            <w:vAlign w:val="center"/>
          </w:tcPr>
          <w:p>
            <w:pPr>
              <w:spacing w:line="360" w:lineRule="exact"/>
              <w:rPr>
                <w:rFonts w:ascii="宋体" w:hAnsi="宋体" w:eastAsia="宋体" w:cs="宋体"/>
                <w:szCs w:val="21"/>
              </w:rPr>
            </w:pPr>
            <w:r>
              <w:rPr>
                <w:rFonts w:hint="eastAsia" w:ascii="宋体" w:hAnsi="宋体" w:eastAsia="宋体" w:cs="宋体"/>
                <w:szCs w:val="21"/>
              </w:rPr>
              <w:t>符合第二部分项目需求及其他要求规定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80" w:type="dxa"/>
            <w:vMerge w:val="continue"/>
            <w:vAlign w:val="center"/>
          </w:tcPr>
          <w:p>
            <w:pPr>
              <w:spacing w:line="360" w:lineRule="exact"/>
              <w:jc w:val="center"/>
              <w:rPr>
                <w:rFonts w:ascii="宋体" w:hAnsi="宋体" w:eastAsia="宋体" w:cs="宋体"/>
                <w:szCs w:val="21"/>
              </w:rPr>
            </w:pPr>
          </w:p>
        </w:tc>
        <w:tc>
          <w:tcPr>
            <w:tcW w:w="2166" w:type="dxa"/>
            <w:vAlign w:val="center"/>
          </w:tcPr>
          <w:p>
            <w:pPr>
              <w:spacing w:line="360" w:lineRule="exact"/>
              <w:ind w:right="97" w:firstLine="58" w:firstLineChars="28"/>
              <w:jc w:val="left"/>
              <w:rPr>
                <w:rFonts w:ascii="宋体" w:hAnsi="宋体" w:eastAsia="宋体" w:cs="宋体"/>
                <w:spacing w:val="1"/>
                <w:szCs w:val="21"/>
              </w:rPr>
            </w:pPr>
            <w:r>
              <w:rPr>
                <w:rFonts w:hint="eastAsia" w:ascii="宋体" w:hAnsi="宋体" w:eastAsia="宋体" w:cs="宋体"/>
                <w:szCs w:val="21"/>
              </w:rPr>
              <w:t>服务要求</w:t>
            </w:r>
          </w:p>
        </w:tc>
        <w:tc>
          <w:tcPr>
            <w:tcW w:w="5699" w:type="dxa"/>
            <w:gridSpan w:val="2"/>
            <w:vAlign w:val="center"/>
          </w:tcPr>
          <w:p>
            <w:pPr>
              <w:spacing w:line="360" w:lineRule="exact"/>
              <w:ind w:right="97" w:firstLine="59" w:firstLineChars="28"/>
              <w:rPr>
                <w:rFonts w:ascii="宋体" w:hAnsi="宋体" w:eastAsia="宋体" w:cs="宋体"/>
                <w:spacing w:val="1"/>
                <w:szCs w:val="21"/>
              </w:rPr>
            </w:pPr>
            <w:r>
              <w:rPr>
                <w:rFonts w:hint="eastAsia" w:ascii="宋体" w:hAnsi="宋体" w:eastAsia="宋体" w:cs="宋体"/>
                <w:spacing w:val="1"/>
                <w:szCs w:val="21"/>
              </w:rPr>
              <w:t>符合现行国家PPP政策，通过相关部门审核批准</w:t>
            </w:r>
          </w:p>
        </w:tc>
      </w:tr>
    </w:tbl>
    <w:p>
      <w:pPr>
        <w:spacing w:line="360" w:lineRule="auto"/>
        <w:rPr>
          <w:rFonts w:ascii="宋体" w:hAnsi="宋体" w:eastAsia="宋体" w:cs="宋体"/>
          <w:szCs w:val="24"/>
        </w:rPr>
      </w:pPr>
    </w:p>
    <w:p>
      <w:pPr>
        <w:spacing w:line="360" w:lineRule="auto"/>
        <w:ind w:firstLine="420" w:firstLineChars="200"/>
        <w:rPr>
          <w:rFonts w:ascii="宋体" w:hAnsi="宋体" w:eastAsia="宋体" w:cs="宋体"/>
          <w:b/>
          <w:szCs w:val="21"/>
        </w:rPr>
      </w:pPr>
      <w:r>
        <w:rPr>
          <w:rFonts w:hint="eastAsia" w:ascii="宋体" w:hAnsi="宋体" w:eastAsia="宋体" w:cs="宋体"/>
          <w:szCs w:val="24"/>
        </w:rPr>
        <w:t>注：各项评审内容有一项不满足即视为未响应招标文件实质性要求，不能通过初步评审，并作无效投标处理</w:t>
      </w:r>
    </w:p>
    <w:p>
      <w:pPr>
        <w:autoSpaceDE w:val="0"/>
        <w:autoSpaceDN w:val="0"/>
        <w:adjustRightIn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二、本项目采用综合评分法，满分100分。</w:t>
      </w:r>
    </w:p>
    <w:p>
      <w:pPr>
        <w:autoSpaceDE w:val="0"/>
        <w:autoSpaceDN w:val="0"/>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评标小组对所有供应商进行综合审查，以确定其是否实质性响应招标文件，根据评分标准，采用综合评分法进行评分，按综合得分高低评定中标供应商和中标候选供应商。</w:t>
      </w:r>
    </w:p>
    <w:p>
      <w:pPr>
        <w:autoSpaceDE w:val="0"/>
        <w:autoSpaceDN w:val="0"/>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采用综合评标法的项目，按以下规则进行评审：</w:t>
      </w:r>
    </w:p>
    <w:p>
      <w:pPr>
        <w:autoSpaceDE w:val="0"/>
        <w:autoSpaceDN w:val="0"/>
        <w:adjustRightIn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委对供应商各项打分相加后为专家评审分，全部专家评审分进行算术平均后的得分为投标供应商的最终得分，按得分由高到低进行排列。得分相同的，按投标报价由低到高顺序排列，得分且报价相同的，按技术指标优劣顺序排列。技术相同的，由评标专家投票确定中标供应商或中标候选供应商排序。</w:t>
      </w:r>
    </w:p>
    <w:p>
      <w:pPr>
        <w:autoSpaceDE w:val="0"/>
        <w:autoSpaceDN w:val="0"/>
        <w:adjustRightInd w:val="0"/>
        <w:spacing w:line="360" w:lineRule="auto"/>
        <w:ind w:firstLine="480" w:firstLineChars="200"/>
        <w:rPr>
          <w:rFonts w:ascii="宋体" w:hAnsi="宋体" w:eastAsia="宋体" w:cs="宋体"/>
          <w:sz w:val="24"/>
          <w:szCs w:val="24"/>
        </w:rPr>
        <w:sectPr>
          <w:pgSz w:w="11906" w:h="16838"/>
          <w:pgMar w:top="1587" w:right="1587" w:bottom="1587" w:left="1587" w:header="1247" w:footer="992" w:gutter="0"/>
          <w:cols w:space="0" w:num="1"/>
          <w:docGrid w:linePitch="312" w:charSpace="0"/>
        </w:sectPr>
      </w:pPr>
      <w:r>
        <w:rPr>
          <w:rFonts w:hint="eastAsia" w:ascii="宋体" w:hAnsi="宋体" w:eastAsia="宋体" w:cs="宋体"/>
          <w:sz w:val="24"/>
          <w:szCs w:val="24"/>
        </w:rPr>
        <w:t>2、评标委员会根据全体评标成员签字的原始评标记录和评标结果，将候选中标供应商的排序名单提交给采购人，采购人按照评标委员会评标报告中推荐的中标候选供应商顺序确定中标供应商。</w:t>
      </w:r>
    </w:p>
    <w:tbl>
      <w:tblPr>
        <w:tblStyle w:val="27"/>
        <w:tblW w:w="13110" w:type="dxa"/>
        <w:jc w:val="center"/>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01"/>
        <w:gridCol w:w="708"/>
        <w:gridCol w:w="605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b/>
                <w:sz w:val="20"/>
                <w:szCs w:val="18"/>
              </w:rPr>
            </w:pPr>
            <w:r>
              <w:rPr>
                <w:rFonts w:hint="eastAsia"/>
                <w:b/>
                <w:sz w:val="20"/>
                <w:szCs w:val="18"/>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b/>
                <w:sz w:val="20"/>
                <w:szCs w:val="18"/>
              </w:rPr>
            </w:pPr>
            <w:r>
              <w:rPr>
                <w:rFonts w:hint="eastAsia"/>
                <w:b/>
                <w:sz w:val="20"/>
                <w:szCs w:val="18"/>
              </w:rPr>
              <w:t>评分因素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
                <w:sz w:val="20"/>
                <w:szCs w:val="18"/>
              </w:rPr>
            </w:pPr>
            <w:r>
              <w:rPr>
                <w:rFonts w:hint="eastAsia"/>
                <w:b/>
                <w:sz w:val="20"/>
                <w:szCs w:val="18"/>
              </w:rPr>
              <w:t>分值</w:t>
            </w:r>
          </w:p>
        </w:tc>
        <w:tc>
          <w:tcPr>
            <w:tcW w:w="6050" w:type="dxa"/>
            <w:tcBorders>
              <w:top w:val="single" w:color="auto" w:sz="4" w:space="0"/>
              <w:left w:val="single" w:color="auto" w:sz="4" w:space="0"/>
              <w:bottom w:val="single" w:color="auto" w:sz="4" w:space="0"/>
              <w:right w:val="single" w:color="auto" w:sz="4" w:space="0"/>
            </w:tcBorders>
            <w:vAlign w:val="center"/>
          </w:tcPr>
          <w:p>
            <w:pPr>
              <w:jc w:val="center"/>
              <w:rPr>
                <w:b/>
                <w:sz w:val="20"/>
                <w:szCs w:val="18"/>
              </w:rPr>
            </w:pPr>
            <w:r>
              <w:rPr>
                <w:rFonts w:hint="eastAsia"/>
                <w:b/>
                <w:sz w:val="20"/>
                <w:szCs w:val="18"/>
              </w:rPr>
              <w:t>评分标准</w:t>
            </w:r>
          </w:p>
        </w:tc>
        <w:tc>
          <w:tcPr>
            <w:tcW w:w="3990" w:type="dxa"/>
            <w:tcBorders>
              <w:top w:val="single" w:color="auto" w:sz="4" w:space="0"/>
              <w:left w:val="single" w:color="auto" w:sz="4" w:space="0"/>
              <w:bottom w:val="single" w:color="auto" w:sz="4" w:space="0"/>
              <w:right w:val="single" w:color="auto" w:sz="4" w:space="0"/>
            </w:tcBorders>
            <w:vAlign w:val="center"/>
          </w:tcPr>
          <w:p>
            <w:pPr>
              <w:jc w:val="center"/>
              <w:rPr>
                <w:b/>
                <w:sz w:val="20"/>
                <w:szCs w:val="18"/>
              </w:rPr>
            </w:pPr>
            <w:r>
              <w:rPr>
                <w:rFonts w:hint="eastAsia"/>
                <w:sz w:val="20"/>
                <w:szCs w:val="18"/>
              </w:rPr>
              <w:t>说</w:t>
            </w:r>
            <w:r>
              <w:rPr>
                <w:sz w:val="20"/>
                <w:szCs w:val="18"/>
              </w:rPr>
              <w:t xml:space="preserve">    </w:t>
            </w:r>
            <w:r>
              <w:rPr>
                <w:rFonts w:hint="eastAsia"/>
                <w:sz w:val="20"/>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sz w:val="20"/>
                <w:szCs w:val="18"/>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eastAsia="宋体" w:cs="宋体"/>
                <w:kern w:val="0"/>
                <w:szCs w:val="21"/>
              </w:rPr>
            </w:pPr>
            <w:r>
              <w:rPr>
                <w:rFonts w:hint="eastAsia" w:ascii="宋体" w:hAnsi="宋体" w:eastAsia="宋体" w:cs="宋体"/>
                <w:kern w:val="0"/>
                <w:szCs w:val="21"/>
              </w:rPr>
              <w:t>投标报价</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sz w:val="20"/>
                <w:szCs w:val="18"/>
              </w:rPr>
              <w:t>10</w:t>
            </w: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按满足招标文件要求且有效投标价格最低的投标报价作为评标基准价，其价格分为满分；其他投标人的价格分按以下公式计算：</w:t>
            </w:r>
          </w:p>
          <w:p>
            <w:pPr>
              <w:rPr>
                <w:sz w:val="20"/>
                <w:szCs w:val="18"/>
              </w:rPr>
            </w:pPr>
            <w:r>
              <w:rPr>
                <w:rFonts w:hint="eastAsia"/>
                <w:sz w:val="20"/>
                <w:szCs w:val="18"/>
              </w:rPr>
              <w:t>投标报价得分</w:t>
            </w:r>
            <w:r>
              <w:rPr>
                <w:sz w:val="20"/>
                <w:szCs w:val="18"/>
              </w:rPr>
              <w:t>=</w:t>
            </w:r>
            <w:r>
              <w:rPr>
                <w:rFonts w:hint="eastAsia"/>
                <w:sz w:val="20"/>
                <w:szCs w:val="18"/>
              </w:rPr>
              <w:t>（评标基准价</w:t>
            </w:r>
            <w:r>
              <w:rPr>
                <w:sz w:val="20"/>
                <w:szCs w:val="18"/>
              </w:rPr>
              <w:t>/</w:t>
            </w:r>
            <w:r>
              <w:rPr>
                <w:rFonts w:hint="eastAsia"/>
                <w:sz w:val="20"/>
                <w:szCs w:val="18"/>
              </w:rPr>
              <w:t>投标报价）×</w:t>
            </w:r>
            <w:r>
              <w:rPr>
                <w:sz w:val="20"/>
                <w:szCs w:val="18"/>
              </w:rPr>
              <w:t>10</w:t>
            </w:r>
            <w:r>
              <w:rPr>
                <w:rFonts w:hint="eastAsia"/>
                <w:sz w:val="20"/>
                <w:szCs w:val="18"/>
              </w:rPr>
              <w:t>。</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以投标报价一览表为准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eastAsia="宋体" w:cs="宋体"/>
                <w:kern w:val="0"/>
                <w:szCs w:val="21"/>
              </w:rPr>
            </w:pPr>
            <w:r>
              <w:rPr>
                <w:rFonts w:hint="eastAsia" w:ascii="宋体" w:hAnsi="宋体" w:eastAsia="宋体" w:cs="宋体"/>
                <w:kern w:val="0"/>
                <w:szCs w:val="21"/>
              </w:rPr>
              <w:t>信誉</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4</w:t>
            </w: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投标人提供</w:t>
            </w:r>
            <w:r>
              <w:rPr>
                <w:sz w:val="20"/>
                <w:szCs w:val="18"/>
              </w:rPr>
              <w:t>2015</w:t>
            </w:r>
            <w:r>
              <w:rPr>
                <w:rFonts w:hint="eastAsia"/>
                <w:sz w:val="20"/>
                <w:szCs w:val="18"/>
              </w:rPr>
              <w:t>年度、</w:t>
            </w:r>
            <w:r>
              <w:rPr>
                <w:sz w:val="20"/>
                <w:szCs w:val="18"/>
              </w:rPr>
              <w:t>2016</w:t>
            </w:r>
            <w:r>
              <w:rPr>
                <w:rFonts w:hint="eastAsia"/>
                <w:sz w:val="20"/>
                <w:szCs w:val="18"/>
              </w:rPr>
              <w:t>年度经过中介机构审计的财务审计报告，企业财务状况良好，每个年度</w:t>
            </w:r>
            <w:r>
              <w:rPr>
                <w:sz w:val="20"/>
                <w:szCs w:val="18"/>
              </w:rPr>
              <w:t>2</w:t>
            </w:r>
            <w:r>
              <w:rPr>
                <w:rFonts w:hint="eastAsia"/>
                <w:sz w:val="20"/>
                <w:szCs w:val="18"/>
              </w:rPr>
              <w:t>分，满分</w:t>
            </w:r>
            <w:r>
              <w:rPr>
                <w:sz w:val="20"/>
                <w:szCs w:val="18"/>
              </w:rPr>
              <w:t>4</w:t>
            </w:r>
            <w:r>
              <w:rPr>
                <w:rFonts w:hint="eastAsia"/>
                <w:sz w:val="20"/>
                <w:szCs w:val="18"/>
              </w:rPr>
              <w:t>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eastAsia="宋体" w:cs="宋体"/>
                <w:kern w:val="0"/>
                <w:szCs w:val="21"/>
              </w:rPr>
            </w:pPr>
            <w:r>
              <w:rPr>
                <w:rFonts w:hint="eastAsia" w:ascii="宋体" w:hAnsi="宋体" w:eastAsia="宋体" w:cs="宋体"/>
                <w:kern w:val="0"/>
                <w:szCs w:val="21"/>
              </w:rPr>
              <w:t>投标文件规范程度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2</w:t>
            </w: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1</w:t>
            </w:r>
            <w:r>
              <w:rPr>
                <w:rFonts w:hint="eastAsia"/>
                <w:sz w:val="20"/>
                <w:szCs w:val="18"/>
              </w:rPr>
              <w:t>）装订规范、文字清晰、无差错</w:t>
            </w:r>
            <w:r>
              <w:rPr>
                <w:sz w:val="20"/>
                <w:szCs w:val="18"/>
              </w:rPr>
              <w:t>1</w:t>
            </w:r>
            <w:r>
              <w:rPr>
                <w:rFonts w:hint="eastAsia"/>
                <w:sz w:val="20"/>
                <w:szCs w:val="18"/>
              </w:rPr>
              <w:t>分；</w:t>
            </w:r>
          </w:p>
          <w:p>
            <w:pPr>
              <w:rPr>
                <w:sz w:val="20"/>
                <w:szCs w:val="18"/>
              </w:rPr>
            </w:pPr>
            <w:r>
              <w:rPr>
                <w:rFonts w:hint="eastAsia"/>
                <w:sz w:val="20"/>
                <w:szCs w:val="18"/>
              </w:rPr>
              <w:t>（</w:t>
            </w:r>
            <w:r>
              <w:rPr>
                <w:sz w:val="20"/>
                <w:szCs w:val="18"/>
              </w:rPr>
              <w:t>2</w:t>
            </w:r>
            <w:r>
              <w:rPr>
                <w:rFonts w:hint="eastAsia"/>
                <w:sz w:val="20"/>
                <w:szCs w:val="18"/>
              </w:rPr>
              <w:t>）所提供资料准确完整</w:t>
            </w:r>
            <w:r>
              <w:rPr>
                <w:sz w:val="20"/>
                <w:szCs w:val="18"/>
              </w:rPr>
              <w:t>1</w:t>
            </w:r>
            <w:r>
              <w:rPr>
                <w:rFonts w:hint="eastAsia"/>
                <w:sz w:val="20"/>
                <w:szCs w:val="18"/>
              </w:rPr>
              <w:t>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4</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eastAsia="宋体" w:cs="宋体"/>
                <w:kern w:val="0"/>
                <w:szCs w:val="21"/>
              </w:rPr>
            </w:pPr>
            <w:r>
              <w:rPr>
                <w:rFonts w:hint="eastAsia" w:ascii="宋体" w:hAnsi="宋体" w:eastAsia="宋体" w:cs="宋体"/>
                <w:kern w:val="0"/>
                <w:szCs w:val="21"/>
              </w:rPr>
              <w:t>服务承诺</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sz w:val="20"/>
                <w:szCs w:val="18"/>
              </w:rPr>
              <w:t>1</w:t>
            </w:r>
            <w:r>
              <w:rPr>
                <w:rFonts w:hint="eastAsia"/>
                <w:sz w:val="20"/>
                <w:szCs w:val="18"/>
              </w:rPr>
              <w:t>2</w:t>
            </w: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1</w:t>
            </w:r>
            <w:r>
              <w:rPr>
                <w:rFonts w:hint="eastAsia"/>
                <w:sz w:val="20"/>
                <w:szCs w:val="18"/>
              </w:rPr>
              <w:t>）对本项目的理解及认识。比较所有投标人对本项目及咨询服务内容的理解是否准确、认识是否深刻透彻。满分4分。</w:t>
            </w:r>
          </w:p>
          <w:p>
            <w:pPr>
              <w:rPr>
                <w:sz w:val="20"/>
                <w:szCs w:val="18"/>
              </w:rPr>
            </w:pPr>
            <w:r>
              <w:rPr>
                <w:rFonts w:hint="eastAsia"/>
                <w:sz w:val="20"/>
                <w:szCs w:val="18"/>
              </w:rPr>
              <w:t>优：理解完全准确，认识深刻透彻（3</w:t>
            </w:r>
            <w:r>
              <w:rPr>
                <w:sz w:val="20"/>
                <w:szCs w:val="18"/>
              </w:rPr>
              <w:t>-</w:t>
            </w:r>
            <w:r>
              <w:rPr>
                <w:rFonts w:hint="eastAsia"/>
                <w:sz w:val="20"/>
                <w:szCs w:val="18"/>
              </w:rPr>
              <w:t>4分）；</w:t>
            </w:r>
          </w:p>
          <w:p>
            <w:pPr>
              <w:rPr>
                <w:sz w:val="20"/>
                <w:szCs w:val="18"/>
              </w:rPr>
            </w:pPr>
            <w:r>
              <w:rPr>
                <w:rFonts w:hint="eastAsia"/>
                <w:sz w:val="20"/>
                <w:szCs w:val="18"/>
              </w:rPr>
              <w:t>良：能较好地理解和认识项目（</w:t>
            </w:r>
            <w:r>
              <w:rPr>
                <w:sz w:val="20"/>
                <w:szCs w:val="18"/>
              </w:rPr>
              <w:t>2-</w:t>
            </w:r>
            <w:r>
              <w:rPr>
                <w:rFonts w:hint="eastAsia"/>
                <w:sz w:val="20"/>
                <w:szCs w:val="18"/>
              </w:rPr>
              <w:t>3分）；</w:t>
            </w:r>
          </w:p>
          <w:p>
            <w:pPr>
              <w:rPr>
                <w:sz w:val="20"/>
                <w:szCs w:val="18"/>
              </w:rPr>
            </w:pPr>
            <w:r>
              <w:rPr>
                <w:rFonts w:hint="eastAsia"/>
                <w:sz w:val="20"/>
                <w:szCs w:val="18"/>
              </w:rPr>
              <w:t>差：不能准确理解项目，认识存在较大偏差（</w:t>
            </w:r>
            <w:r>
              <w:rPr>
                <w:sz w:val="20"/>
                <w:szCs w:val="18"/>
              </w:rPr>
              <w:t>0-</w:t>
            </w:r>
            <w:r>
              <w:rPr>
                <w:rFonts w:hint="eastAsia"/>
                <w:sz w:val="20"/>
                <w:szCs w:val="18"/>
              </w:rPr>
              <w:t>2分）。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0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2</w:t>
            </w:r>
            <w:r>
              <w:rPr>
                <w:rFonts w:hint="eastAsia"/>
                <w:sz w:val="20"/>
                <w:szCs w:val="18"/>
              </w:rPr>
              <w:t>）对本项目的重点、难点分析，认识及对策措施。比较各投标人对本项目的重点、难点分析是否准确合理，关键性技术难题理解分析是否准确、应对措施是否合理可行。满分4分。</w:t>
            </w:r>
          </w:p>
          <w:p>
            <w:pPr>
              <w:rPr>
                <w:sz w:val="20"/>
                <w:szCs w:val="18"/>
              </w:rPr>
            </w:pPr>
            <w:r>
              <w:rPr>
                <w:rFonts w:hint="eastAsia"/>
                <w:sz w:val="20"/>
                <w:szCs w:val="18"/>
              </w:rPr>
              <w:t>优：对项目重点、难点分析准确合理，应对措施合理可行（3</w:t>
            </w:r>
            <w:r>
              <w:rPr>
                <w:sz w:val="20"/>
                <w:szCs w:val="18"/>
              </w:rPr>
              <w:t>-</w:t>
            </w:r>
            <w:r>
              <w:rPr>
                <w:rFonts w:hint="eastAsia"/>
                <w:sz w:val="20"/>
                <w:szCs w:val="18"/>
              </w:rPr>
              <w:t>4分）；</w:t>
            </w:r>
          </w:p>
          <w:p>
            <w:pPr>
              <w:rPr>
                <w:sz w:val="20"/>
                <w:szCs w:val="18"/>
              </w:rPr>
            </w:pPr>
            <w:r>
              <w:rPr>
                <w:rFonts w:hint="eastAsia"/>
                <w:sz w:val="20"/>
                <w:szCs w:val="18"/>
              </w:rPr>
              <w:t>良：能较好把握项目的重点、难点，应对措施可行（</w:t>
            </w:r>
            <w:r>
              <w:rPr>
                <w:sz w:val="20"/>
                <w:szCs w:val="18"/>
              </w:rPr>
              <w:t>2-</w:t>
            </w:r>
            <w:r>
              <w:rPr>
                <w:rFonts w:hint="eastAsia"/>
                <w:sz w:val="20"/>
                <w:szCs w:val="18"/>
              </w:rPr>
              <w:t>3分）；</w:t>
            </w:r>
          </w:p>
          <w:p>
            <w:pPr>
              <w:rPr>
                <w:sz w:val="20"/>
                <w:szCs w:val="18"/>
              </w:rPr>
            </w:pPr>
            <w:r>
              <w:rPr>
                <w:rFonts w:hint="eastAsia"/>
                <w:sz w:val="20"/>
                <w:szCs w:val="18"/>
              </w:rPr>
              <w:t>差：对项目重点、难点分析不够，应对措施不合理，存在较大偏差（</w:t>
            </w:r>
            <w:r>
              <w:rPr>
                <w:sz w:val="20"/>
                <w:szCs w:val="18"/>
              </w:rPr>
              <w:t>0-</w:t>
            </w:r>
            <w:r>
              <w:rPr>
                <w:rFonts w:hint="eastAsia"/>
                <w:sz w:val="20"/>
                <w:szCs w:val="18"/>
              </w:rPr>
              <w:t>2分）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3</w:t>
            </w:r>
            <w:r>
              <w:rPr>
                <w:rFonts w:hint="eastAsia"/>
                <w:sz w:val="20"/>
                <w:szCs w:val="18"/>
              </w:rPr>
              <w:t>）本项目组织实施方案。人员安排是否合理、进度计划及质量保证体系能否满足项目进度和设计的要求。满分4分。</w:t>
            </w:r>
          </w:p>
          <w:p>
            <w:pPr>
              <w:rPr>
                <w:sz w:val="20"/>
                <w:szCs w:val="18"/>
              </w:rPr>
            </w:pPr>
            <w:r>
              <w:rPr>
                <w:rFonts w:hint="eastAsia"/>
                <w:sz w:val="20"/>
                <w:szCs w:val="18"/>
              </w:rPr>
              <w:t>优：完全响应项目组织实施方案，质量保证体系完全满足项目要求，保证提前完成项目（3</w:t>
            </w:r>
            <w:r>
              <w:rPr>
                <w:sz w:val="20"/>
                <w:szCs w:val="18"/>
              </w:rPr>
              <w:t>-</w:t>
            </w:r>
            <w:r>
              <w:rPr>
                <w:rFonts w:hint="eastAsia"/>
                <w:sz w:val="20"/>
                <w:szCs w:val="18"/>
              </w:rPr>
              <w:t>4分）；</w:t>
            </w:r>
          </w:p>
          <w:p>
            <w:pPr>
              <w:rPr>
                <w:sz w:val="20"/>
                <w:szCs w:val="18"/>
              </w:rPr>
            </w:pPr>
            <w:r>
              <w:rPr>
                <w:rFonts w:hint="eastAsia"/>
                <w:sz w:val="20"/>
                <w:szCs w:val="18"/>
              </w:rPr>
              <w:t>良：能较好地响应项目组织实施方案，质量保证体系符合项目要求（</w:t>
            </w:r>
            <w:r>
              <w:rPr>
                <w:sz w:val="20"/>
                <w:szCs w:val="18"/>
              </w:rPr>
              <w:t>2-</w:t>
            </w:r>
            <w:r>
              <w:rPr>
                <w:rFonts w:hint="eastAsia"/>
                <w:sz w:val="20"/>
                <w:szCs w:val="18"/>
              </w:rPr>
              <w:t>3分）；</w:t>
            </w:r>
          </w:p>
          <w:p>
            <w:pPr>
              <w:rPr>
                <w:sz w:val="20"/>
                <w:szCs w:val="18"/>
              </w:rPr>
            </w:pPr>
            <w:r>
              <w:rPr>
                <w:rFonts w:hint="eastAsia"/>
                <w:sz w:val="20"/>
                <w:szCs w:val="18"/>
              </w:rPr>
              <w:t>差：对项目组织实施方案和项目进度的响应存在较大偏差（</w:t>
            </w:r>
            <w:r>
              <w:rPr>
                <w:sz w:val="20"/>
                <w:szCs w:val="18"/>
              </w:rPr>
              <w:t>0-</w:t>
            </w:r>
            <w:r>
              <w:rPr>
                <w:rFonts w:hint="eastAsia"/>
                <w:sz w:val="20"/>
                <w:szCs w:val="18"/>
              </w:rPr>
              <w:t>2分）。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61"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5</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咨询小组人员情况</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sz w:val="20"/>
                <w:szCs w:val="18"/>
              </w:rPr>
              <w:t>42</w:t>
            </w: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1</w:t>
            </w:r>
            <w:r>
              <w:rPr>
                <w:rFonts w:hint="eastAsia"/>
                <w:sz w:val="20"/>
                <w:szCs w:val="18"/>
              </w:rPr>
              <w:t>）项目负责人（满分</w:t>
            </w:r>
            <w:r>
              <w:rPr>
                <w:sz w:val="20"/>
                <w:szCs w:val="18"/>
              </w:rPr>
              <w:t>28</w:t>
            </w:r>
            <w:r>
              <w:rPr>
                <w:rFonts w:hint="eastAsia"/>
                <w:sz w:val="20"/>
                <w:szCs w:val="18"/>
              </w:rPr>
              <w:t>分）：</w:t>
            </w:r>
          </w:p>
          <w:p>
            <w:pPr>
              <w:pStyle w:val="69"/>
              <w:numPr>
                <w:ilvl w:val="0"/>
                <w:numId w:val="1"/>
              </w:numPr>
              <w:ind w:firstLineChars="0"/>
              <w:rPr>
                <w:sz w:val="20"/>
                <w:szCs w:val="18"/>
              </w:rPr>
            </w:pPr>
            <w:r>
              <w:rPr>
                <w:rFonts w:hint="eastAsia"/>
                <w:sz w:val="20"/>
                <w:szCs w:val="18"/>
              </w:rPr>
              <w:t>项目负责人担任财政部第二批、第三批</w:t>
            </w:r>
            <w:r>
              <w:rPr>
                <w:sz w:val="20"/>
                <w:szCs w:val="18"/>
              </w:rPr>
              <w:t>PPP</w:t>
            </w:r>
            <w:r>
              <w:rPr>
                <w:rFonts w:hint="eastAsia"/>
                <w:sz w:val="20"/>
                <w:szCs w:val="18"/>
              </w:rPr>
              <w:t>示范项目评审专家的，每个得</w:t>
            </w:r>
            <w:r>
              <w:rPr>
                <w:sz w:val="20"/>
                <w:szCs w:val="18"/>
              </w:rPr>
              <w:t>1</w:t>
            </w:r>
            <w:r>
              <w:rPr>
                <w:rFonts w:hint="eastAsia"/>
                <w:sz w:val="20"/>
                <w:szCs w:val="18"/>
              </w:rPr>
              <w:t>分，同时担任两批财政部</w:t>
            </w:r>
            <w:r>
              <w:rPr>
                <w:sz w:val="20"/>
                <w:szCs w:val="18"/>
              </w:rPr>
              <w:t>PPP</w:t>
            </w:r>
            <w:r>
              <w:rPr>
                <w:rFonts w:hint="eastAsia"/>
                <w:sz w:val="20"/>
                <w:szCs w:val="18"/>
              </w:rPr>
              <w:t>示范项目评审专家的，加</w:t>
            </w:r>
            <w:r>
              <w:rPr>
                <w:sz w:val="20"/>
                <w:szCs w:val="18"/>
              </w:rPr>
              <w:t>1</w:t>
            </w:r>
            <w:r>
              <w:rPr>
                <w:rFonts w:hint="eastAsia"/>
                <w:sz w:val="20"/>
                <w:szCs w:val="18"/>
              </w:rPr>
              <w:t>分，本项最高</w:t>
            </w:r>
            <w:r>
              <w:rPr>
                <w:sz w:val="20"/>
                <w:szCs w:val="18"/>
              </w:rPr>
              <w:t>3</w:t>
            </w:r>
            <w:r>
              <w:rPr>
                <w:rFonts w:hint="eastAsia"/>
                <w:sz w:val="20"/>
                <w:szCs w:val="18"/>
              </w:rPr>
              <w:t>分；</w:t>
            </w:r>
          </w:p>
          <w:p>
            <w:pPr>
              <w:pStyle w:val="69"/>
              <w:numPr>
                <w:ilvl w:val="0"/>
                <w:numId w:val="1"/>
              </w:numPr>
              <w:ind w:firstLineChars="0"/>
              <w:rPr>
                <w:sz w:val="20"/>
                <w:szCs w:val="18"/>
              </w:rPr>
            </w:pPr>
            <w:r>
              <w:rPr>
                <w:rFonts w:hint="eastAsia"/>
                <w:sz w:val="20"/>
                <w:szCs w:val="18"/>
              </w:rPr>
              <w:t>项目负责人自</w:t>
            </w:r>
            <w:r>
              <w:rPr>
                <w:sz w:val="20"/>
                <w:szCs w:val="18"/>
              </w:rPr>
              <w:t>2011</w:t>
            </w:r>
            <w:r>
              <w:rPr>
                <w:rFonts w:hint="eastAsia"/>
                <w:sz w:val="20"/>
                <w:szCs w:val="18"/>
              </w:rPr>
              <w:t>年</w:t>
            </w:r>
            <w:r>
              <w:rPr>
                <w:sz w:val="20"/>
                <w:szCs w:val="18"/>
              </w:rPr>
              <w:t>1</w:t>
            </w:r>
            <w:r>
              <w:rPr>
                <w:rFonts w:hint="eastAsia"/>
                <w:sz w:val="20"/>
                <w:szCs w:val="18"/>
              </w:rPr>
              <w:t>月</w:t>
            </w:r>
            <w:r>
              <w:rPr>
                <w:sz w:val="20"/>
                <w:szCs w:val="18"/>
              </w:rPr>
              <w:t>1</w:t>
            </w:r>
            <w:r>
              <w:rPr>
                <w:rFonts w:hint="eastAsia"/>
                <w:sz w:val="20"/>
                <w:szCs w:val="18"/>
              </w:rPr>
              <w:t>日以来担任过</w:t>
            </w:r>
            <w:r>
              <w:rPr>
                <w:sz w:val="20"/>
                <w:szCs w:val="18"/>
              </w:rPr>
              <w:t>10</w:t>
            </w:r>
            <w:r>
              <w:rPr>
                <w:rFonts w:hint="eastAsia"/>
                <w:sz w:val="20"/>
                <w:szCs w:val="18"/>
              </w:rPr>
              <w:t>个</w:t>
            </w:r>
            <w:r>
              <w:rPr>
                <w:sz w:val="20"/>
                <w:szCs w:val="18"/>
              </w:rPr>
              <w:t>PPP</w:t>
            </w:r>
            <w:r>
              <w:rPr>
                <w:rFonts w:hint="eastAsia"/>
                <w:sz w:val="20"/>
                <w:szCs w:val="18"/>
              </w:rPr>
              <w:t>项目咨询项目负责人的得基本分</w:t>
            </w:r>
            <w:r>
              <w:rPr>
                <w:sz w:val="20"/>
                <w:szCs w:val="18"/>
              </w:rPr>
              <w:t>3</w:t>
            </w:r>
            <w:r>
              <w:rPr>
                <w:rFonts w:hint="eastAsia"/>
                <w:sz w:val="20"/>
                <w:szCs w:val="18"/>
              </w:rPr>
              <w:t>分，每增加</w:t>
            </w:r>
            <w:r>
              <w:rPr>
                <w:sz w:val="20"/>
                <w:szCs w:val="18"/>
              </w:rPr>
              <w:t>1</w:t>
            </w:r>
            <w:r>
              <w:rPr>
                <w:rFonts w:hint="eastAsia"/>
                <w:sz w:val="20"/>
                <w:szCs w:val="18"/>
              </w:rPr>
              <w:t>个项目加</w:t>
            </w:r>
            <w:r>
              <w:rPr>
                <w:sz w:val="20"/>
                <w:szCs w:val="18"/>
              </w:rPr>
              <w:t>1</w:t>
            </w:r>
            <w:r>
              <w:rPr>
                <w:rFonts w:hint="eastAsia"/>
                <w:sz w:val="20"/>
                <w:szCs w:val="18"/>
              </w:rPr>
              <w:t>分，本项最高</w:t>
            </w:r>
            <w:r>
              <w:rPr>
                <w:sz w:val="20"/>
                <w:szCs w:val="18"/>
              </w:rPr>
              <w:t>7</w:t>
            </w:r>
            <w:r>
              <w:rPr>
                <w:rFonts w:hint="eastAsia"/>
                <w:sz w:val="20"/>
                <w:szCs w:val="18"/>
              </w:rPr>
              <w:t>分；</w:t>
            </w:r>
          </w:p>
          <w:p>
            <w:pPr>
              <w:pStyle w:val="69"/>
              <w:numPr>
                <w:ilvl w:val="0"/>
                <w:numId w:val="1"/>
              </w:numPr>
              <w:ind w:firstLineChars="0"/>
              <w:rPr>
                <w:sz w:val="20"/>
                <w:szCs w:val="18"/>
              </w:rPr>
            </w:pPr>
            <w:r>
              <w:rPr>
                <w:rFonts w:hint="eastAsia"/>
                <w:sz w:val="20"/>
                <w:szCs w:val="18"/>
              </w:rPr>
              <w:t>项目负责人具有律师资格证书或法律职业资格证书得</w:t>
            </w:r>
            <w:r>
              <w:rPr>
                <w:sz w:val="20"/>
                <w:szCs w:val="18"/>
              </w:rPr>
              <w:t>5</w:t>
            </w:r>
            <w:r>
              <w:rPr>
                <w:rFonts w:hint="eastAsia"/>
                <w:sz w:val="20"/>
                <w:szCs w:val="18"/>
              </w:rPr>
              <w:t>分，具备中级经济师或高级经济师加</w:t>
            </w:r>
            <w:r>
              <w:rPr>
                <w:sz w:val="20"/>
                <w:szCs w:val="18"/>
              </w:rPr>
              <w:t>5</w:t>
            </w:r>
            <w:r>
              <w:rPr>
                <w:rFonts w:hint="eastAsia"/>
                <w:sz w:val="20"/>
                <w:szCs w:val="18"/>
              </w:rPr>
              <w:t>分，具备注册会计师资格证得</w:t>
            </w:r>
            <w:r>
              <w:rPr>
                <w:sz w:val="20"/>
                <w:szCs w:val="18"/>
              </w:rPr>
              <w:t>4</w:t>
            </w:r>
            <w:r>
              <w:rPr>
                <w:rFonts w:hint="eastAsia"/>
                <w:sz w:val="20"/>
                <w:szCs w:val="18"/>
              </w:rPr>
              <w:t>分，注册咨询工程师（投资）执业资格证书得</w:t>
            </w:r>
            <w:r>
              <w:rPr>
                <w:sz w:val="20"/>
                <w:szCs w:val="18"/>
              </w:rPr>
              <w:t>4</w:t>
            </w:r>
            <w:r>
              <w:rPr>
                <w:rFonts w:hint="eastAsia"/>
                <w:sz w:val="20"/>
                <w:szCs w:val="18"/>
              </w:rPr>
              <w:t>分，本项最高</w:t>
            </w:r>
            <w:r>
              <w:rPr>
                <w:sz w:val="20"/>
                <w:szCs w:val="18"/>
              </w:rPr>
              <w:t>18</w:t>
            </w:r>
            <w:r>
              <w:rPr>
                <w:rFonts w:hint="eastAsia"/>
                <w:sz w:val="20"/>
                <w:szCs w:val="18"/>
              </w:rPr>
              <w:t>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1</w:t>
            </w:r>
            <w:r>
              <w:rPr>
                <w:rFonts w:hint="eastAsia"/>
                <w:sz w:val="20"/>
                <w:szCs w:val="18"/>
              </w:rPr>
              <w:t>）需提供财政部政府和社会资本合作中心与项目负责人签订的评审协议复印件（加盖投标人公章）证明其担任财政部</w:t>
            </w:r>
            <w:r>
              <w:rPr>
                <w:sz w:val="20"/>
                <w:szCs w:val="18"/>
              </w:rPr>
              <w:t>PPP</w:t>
            </w:r>
            <w:r>
              <w:rPr>
                <w:rFonts w:hint="eastAsia"/>
                <w:sz w:val="20"/>
                <w:szCs w:val="18"/>
              </w:rPr>
              <w:t>示范项目评审专家；</w:t>
            </w:r>
          </w:p>
          <w:p>
            <w:pPr>
              <w:rPr>
                <w:sz w:val="20"/>
                <w:szCs w:val="18"/>
              </w:rPr>
            </w:pPr>
            <w:r>
              <w:rPr>
                <w:rFonts w:hint="eastAsia"/>
                <w:sz w:val="20"/>
                <w:szCs w:val="18"/>
              </w:rPr>
              <w:t>（</w:t>
            </w:r>
            <w:r>
              <w:rPr>
                <w:sz w:val="20"/>
                <w:szCs w:val="18"/>
              </w:rPr>
              <w:t>2</w:t>
            </w:r>
            <w:r>
              <w:rPr>
                <w:rFonts w:hint="eastAsia"/>
                <w:sz w:val="20"/>
                <w:szCs w:val="18"/>
              </w:rPr>
              <w:t>）需提供政府部门或项目主管单位出具的项目负责人业绩证明文件（服务协议或业绩证明等能证明服务内容、参与人员的证明文件）复印件（加盖投标人公章），服务协议或业绩证明需明确投标人指派的项目负责人为项目负责人，</w:t>
            </w:r>
            <w:r>
              <w:rPr>
                <w:sz w:val="20"/>
                <w:szCs w:val="18"/>
              </w:rPr>
              <w:t>“</w:t>
            </w:r>
            <w:r>
              <w:rPr>
                <w:rFonts w:hint="eastAsia"/>
                <w:sz w:val="20"/>
                <w:szCs w:val="18"/>
              </w:rPr>
              <w:t>项目总监、项目经理</w:t>
            </w:r>
            <w:r>
              <w:rPr>
                <w:sz w:val="20"/>
                <w:szCs w:val="18"/>
              </w:rPr>
              <w:t>”</w:t>
            </w:r>
            <w:r>
              <w:rPr>
                <w:rFonts w:hint="eastAsia"/>
                <w:sz w:val="20"/>
                <w:szCs w:val="18"/>
              </w:rPr>
              <w:t>等无效；</w:t>
            </w:r>
          </w:p>
          <w:p>
            <w:pPr>
              <w:rPr>
                <w:sz w:val="20"/>
                <w:szCs w:val="18"/>
              </w:rPr>
            </w:pPr>
            <w:r>
              <w:rPr>
                <w:rFonts w:hint="eastAsia"/>
                <w:sz w:val="20"/>
                <w:szCs w:val="18"/>
              </w:rPr>
              <w:t>（</w:t>
            </w:r>
            <w:r>
              <w:rPr>
                <w:sz w:val="20"/>
                <w:szCs w:val="18"/>
              </w:rPr>
              <w:t>3</w:t>
            </w:r>
            <w:r>
              <w:rPr>
                <w:rFonts w:hint="eastAsia"/>
                <w:sz w:val="20"/>
                <w:szCs w:val="18"/>
              </w:rPr>
              <w:t>）需提供项目负责人资格证书复印件（加盖投标人公章）。</w:t>
            </w:r>
          </w:p>
          <w:p>
            <w:pPr>
              <w:rPr>
                <w:sz w:val="20"/>
                <w:szCs w:val="18"/>
              </w:rPr>
            </w:pPr>
            <w:r>
              <w:rPr>
                <w:rFonts w:hint="eastAsia"/>
                <w:sz w:val="20"/>
                <w:szCs w:val="18"/>
              </w:rPr>
              <w:t>上述项目负责人仅限一人，且投标人需提供其为项目负责人缴纳连续一年社保的相关证明材料（若投标人成立未满一年，需至少提供投标人为项目负责人缴纳六个月以上社保证明材料并提供投标人成立未满一年证明材料），并加盖投标人公章。没有提供或提供的资料不能证明上述业绩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2</w:t>
            </w:r>
            <w:r>
              <w:rPr>
                <w:rFonts w:hint="eastAsia"/>
                <w:sz w:val="20"/>
                <w:szCs w:val="18"/>
              </w:rPr>
              <w:t>）项目团队成员（满分</w:t>
            </w:r>
            <w:r>
              <w:rPr>
                <w:sz w:val="20"/>
                <w:szCs w:val="18"/>
              </w:rPr>
              <w:t>4</w:t>
            </w:r>
            <w:r>
              <w:rPr>
                <w:rFonts w:hint="eastAsia"/>
                <w:sz w:val="20"/>
                <w:szCs w:val="18"/>
              </w:rPr>
              <w:t>分）：</w:t>
            </w:r>
          </w:p>
          <w:p>
            <w:pPr>
              <w:rPr>
                <w:sz w:val="20"/>
                <w:szCs w:val="18"/>
              </w:rPr>
            </w:pPr>
            <w:r>
              <w:rPr>
                <w:rFonts w:hint="eastAsia"/>
                <w:sz w:val="20"/>
                <w:szCs w:val="18"/>
              </w:rPr>
              <w:t>项目团队成员（不含项目负责人），配备一级建造师、造价工程师、高级经济师、律师资格证书或法律职业资格证的，每人得</w:t>
            </w:r>
            <w:r>
              <w:rPr>
                <w:sz w:val="20"/>
                <w:szCs w:val="18"/>
              </w:rPr>
              <w:t>1</w:t>
            </w:r>
            <w:r>
              <w:rPr>
                <w:rFonts w:hint="eastAsia"/>
                <w:sz w:val="20"/>
                <w:szCs w:val="18"/>
              </w:rPr>
              <w:t>分，一人多证的按一证计分，本项最高</w:t>
            </w:r>
            <w:r>
              <w:rPr>
                <w:sz w:val="20"/>
                <w:szCs w:val="18"/>
              </w:rPr>
              <w:t>4</w:t>
            </w:r>
            <w:r>
              <w:rPr>
                <w:rFonts w:hint="eastAsia"/>
                <w:sz w:val="20"/>
                <w:szCs w:val="18"/>
              </w:rPr>
              <w:t>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需提供团队成员资格证书复印件（加盖投标人公章）。</w:t>
            </w:r>
          </w:p>
          <w:p>
            <w:pPr>
              <w:rPr>
                <w:sz w:val="20"/>
                <w:szCs w:val="21"/>
              </w:rPr>
            </w:pPr>
            <w:r>
              <w:rPr>
                <w:rFonts w:hint="eastAsia"/>
                <w:sz w:val="20"/>
                <w:szCs w:val="18"/>
              </w:rPr>
              <w:t>投标人需提供其为上述项目团队成员缴纳三个月（必须为</w:t>
            </w:r>
            <w:r>
              <w:rPr>
                <w:sz w:val="20"/>
                <w:szCs w:val="18"/>
              </w:rPr>
              <w:t>2017</w:t>
            </w:r>
            <w:r>
              <w:rPr>
                <w:rFonts w:hint="eastAsia"/>
                <w:sz w:val="20"/>
                <w:szCs w:val="18"/>
              </w:rPr>
              <w:t>年）社保证明材料（加盖投标人公章），没有提供或提供的资料不能证明上述的不得分。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0"/>
                <w:szCs w:val="18"/>
              </w:rPr>
            </w:pP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3</w:t>
            </w:r>
            <w:r>
              <w:rPr>
                <w:rFonts w:hint="eastAsia"/>
                <w:sz w:val="20"/>
                <w:szCs w:val="18"/>
              </w:rPr>
              <w:t>）项目团队成员</w:t>
            </w:r>
            <w:r>
              <w:rPr>
                <w:sz w:val="20"/>
                <w:szCs w:val="18"/>
              </w:rPr>
              <w:t>PPP</w:t>
            </w:r>
            <w:r>
              <w:rPr>
                <w:rFonts w:hint="eastAsia"/>
                <w:sz w:val="20"/>
                <w:szCs w:val="18"/>
              </w:rPr>
              <w:t>研究能力（满分</w:t>
            </w:r>
            <w:r>
              <w:rPr>
                <w:sz w:val="20"/>
                <w:szCs w:val="18"/>
              </w:rPr>
              <w:t>10</w:t>
            </w:r>
            <w:r>
              <w:rPr>
                <w:rFonts w:hint="eastAsia"/>
                <w:sz w:val="20"/>
                <w:szCs w:val="18"/>
              </w:rPr>
              <w:t>分）</w:t>
            </w:r>
          </w:p>
          <w:p>
            <w:pPr>
              <w:rPr>
                <w:sz w:val="20"/>
                <w:szCs w:val="18"/>
              </w:rPr>
            </w:pPr>
            <w:r>
              <w:rPr>
                <w:rFonts w:hint="eastAsia"/>
                <w:sz w:val="20"/>
                <w:szCs w:val="18"/>
              </w:rPr>
              <w:t>项目团队成员（含项目负责人，但必须为一人）在公开刊物上发表</w:t>
            </w:r>
            <w:r>
              <w:rPr>
                <w:sz w:val="20"/>
                <w:szCs w:val="18"/>
              </w:rPr>
              <w:t>PPP</w:t>
            </w:r>
            <w:r>
              <w:rPr>
                <w:rFonts w:hint="eastAsia"/>
                <w:sz w:val="20"/>
                <w:szCs w:val="18"/>
              </w:rPr>
              <w:t>相关论文（仅限中文）</w:t>
            </w:r>
            <w:r>
              <w:rPr>
                <w:sz w:val="20"/>
                <w:szCs w:val="18"/>
              </w:rPr>
              <w:t>5</w:t>
            </w:r>
            <w:r>
              <w:rPr>
                <w:rFonts w:hint="eastAsia"/>
                <w:sz w:val="20"/>
                <w:szCs w:val="18"/>
              </w:rPr>
              <w:t>篇，得基本分</w:t>
            </w:r>
            <w:r>
              <w:rPr>
                <w:sz w:val="20"/>
                <w:szCs w:val="18"/>
              </w:rPr>
              <w:t>5</w:t>
            </w:r>
            <w:r>
              <w:rPr>
                <w:rFonts w:hint="eastAsia"/>
                <w:sz w:val="20"/>
                <w:szCs w:val="18"/>
              </w:rPr>
              <w:t>分，每增加</w:t>
            </w:r>
            <w:r>
              <w:rPr>
                <w:sz w:val="20"/>
                <w:szCs w:val="18"/>
              </w:rPr>
              <w:t>1</w:t>
            </w:r>
            <w:r>
              <w:rPr>
                <w:rFonts w:hint="eastAsia"/>
                <w:sz w:val="20"/>
                <w:szCs w:val="18"/>
              </w:rPr>
              <w:t>篇加</w:t>
            </w:r>
            <w:r>
              <w:rPr>
                <w:sz w:val="20"/>
                <w:szCs w:val="18"/>
              </w:rPr>
              <w:t>1</w:t>
            </w:r>
            <w:r>
              <w:rPr>
                <w:rFonts w:hint="eastAsia"/>
                <w:sz w:val="20"/>
                <w:szCs w:val="18"/>
              </w:rPr>
              <w:t>分，本项最高</w:t>
            </w:r>
            <w:r>
              <w:rPr>
                <w:sz w:val="20"/>
                <w:szCs w:val="18"/>
              </w:rPr>
              <w:t>10</w:t>
            </w:r>
            <w:r>
              <w:rPr>
                <w:rFonts w:hint="eastAsia"/>
                <w:sz w:val="20"/>
                <w:szCs w:val="18"/>
              </w:rPr>
              <w:t>分</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公开刊物证明材料为以下两种方式之一：（</w:t>
            </w:r>
            <w:r>
              <w:rPr>
                <w:sz w:val="20"/>
                <w:szCs w:val="18"/>
              </w:rPr>
              <w:t xml:space="preserve">1 </w:t>
            </w:r>
            <w:r>
              <w:rPr>
                <w:rFonts w:hint="eastAsia"/>
                <w:sz w:val="20"/>
                <w:szCs w:val="18"/>
              </w:rPr>
              <w:t>）</w:t>
            </w:r>
            <w:r>
              <w:rPr>
                <w:sz w:val="20"/>
                <w:szCs w:val="18"/>
              </w:rPr>
              <w:t xml:space="preserve"> </w:t>
            </w:r>
            <w:r>
              <w:rPr>
                <w:rFonts w:hint="eastAsia"/>
                <w:sz w:val="20"/>
                <w:szCs w:val="18"/>
              </w:rPr>
              <w:t>实体刊物封面</w:t>
            </w:r>
            <w:r>
              <w:rPr>
                <w:sz w:val="20"/>
                <w:szCs w:val="18"/>
              </w:rPr>
              <w:t>+</w:t>
            </w:r>
            <w:r>
              <w:rPr>
                <w:rFonts w:hint="eastAsia"/>
                <w:sz w:val="20"/>
                <w:szCs w:val="18"/>
              </w:rPr>
              <w:t>目录</w:t>
            </w:r>
            <w:r>
              <w:rPr>
                <w:sz w:val="20"/>
                <w:szCs w:val="18"/>
              </w:rPr>
              <w:t>+</w:t>
            </w:r>
            <w:r>
              <w:rPr>
                <w:rFonts w:hint="eastAsia"/>
                <w:sz w:val="20"/>
                <w:szCs w:val="18"/>
              </w:rPr>
              <w:t>论文首页；（</w:t>
            </w:r>
            <w:r>
              <w:rPr>
                <w:sz w:val="20"/>
                <w:szCs w:val="18"/>
              </w:rPr>
              <w:t>2</w:t>
            </w:r>
            <w:r>
              <w:rPr>
                <w:rFonts w:hint="eastAsia"/>
                <w:sz w:val="20"/>
                <w:szCs w:val="18"/>
              </w:rPr>
              <w:t>）检索页面</w:t>
            </w:r>
            <w:r>
              <w:rPr>
                <w:sz w:val="20"/>
                <w:szCs w:val="18"/>
              </w:rPr>
              <w:t>+</w:t>
            </w:r>
            <w:r>
              <w:rPr>
                <w:rFonts w:hint="eastAsia"/>
                <w:sz w:val="20"/>
                <w:szCs w:val="18"/>
              </w:rPr>
              <w:t>论文首页，其中检索页面为中国知网（</w:t>
            </w:r>
            <w:r>
              <w:rPr>
                <w:sz w:val="20"/>
                <w:szCs w:val="18"/>
              </w:rPr>
              <w:t>http://www.cnki.net/</w:t>
            </w:r>
            <w:r>
              <w:rPr>
                <w:rFonts w:hint="eastAsia"/>
                <w:sz w:val="20"/>
                <w:szCs w:val="18"/>
              </w:rPr>
              <w:t>）检索页面或万方数据库（</w:t>
            </w:r>
            <w:r>
              <w:rPr>
                <w:sz w:val="20"/>
                <w:szCs w:val="18"/>
              </w:rPr>
              <w:t>http://www.wanfangdata.com.cn/</w:t>
            </w:r>
            <w:r>
              <w:rPr>
                <w:rFonts w:hint="eastAsia"/>
                <w:sz w:val="20"/>
                <w:szCs w:val="18"/>
              </w:rPr>
              <w:t>）检索页面。以上论文证明材料复印件需加盖投标人公章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6</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rFonts w:hint="eastAsia"/>
                <w:sz w:val="20"/>
                <w:szCs w:val="18"/>
              </w:rPr>
              <w:t>投标人业绩</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0"/>
                <w:szCs w:val="18"/>
              </w:rPr>
            </w:pPr>
            <w:r>
              <w:rPr>
                <w:sz w:val="20"/>
                <w:szCs w:val="18"/>
              </w:rPr>
              <w:t>30</w:t>
            </w:r>
          </w:p>
        </w:tc>
        <w:tc>
          <w:tcPr>
            <w:tcW w:w="605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1</w:t>
            </w:r>
            <w:r>
              <w:rPr>
                <w:rFonts w:hint="eastAsia"/>
                <w:sz w:val="20"/>
                <w:szCs w:val="18"/>
              </w:rPr>
              <w:t>）投标人有</w:t>
            </w:r>
            <w:r>
              <w:rPr>
                <w:sz w:val="20"/>
                <w:szCs w:val="18"/>
              </w:rPr>
              <w:t>1</w:t>
            </w:r>
            <w:r>
              <w:rPr>
                <w:rFonts w:hint="eastAsia"/>
                <w:sz w:val="20"/>
                <w:szCs w:val="18"/>
              </w:rPr>
              <w:t>个所属行业为市政工程的项目，每</w:t>
            </w:r>
            <w:r>
              <w:rPr>
                <w:sz w:val="20"/>
                <w:szCs w:val="18"/>
              </w:rPr>
              <w:t>1</w:t>
            </w:r>
            <w:r>
              <w:rPr>
                <w:rFonts w:hint="eastAsia"/>
                <w:sz w:val="20"/>
                <w:szCs w:val="18"/>
              </w:rPr>
              <w:t>个得</w:t>
            </w:r>
            <w:r>
              <w:rPr>
                <w:sz w:val="20"/>
                <w:szCs w:val="18"/>
              </w:rPr>
              <w:t>2</w:t>
            </w:r>
            <w:r>
              <w:rPr>
                <w:rFonts w:hint="eastAsia"/>
                <w:sz w:val="20"/>
                <w:szCs w:val="18"/>
              </w:rPr>
              <w:t>分，本项最高得</w:t>
            </w:r>
            <w:r>
              <w:rPr>
                <w:sz w:val="20"/>
                <w:szCs w:val="18"/>
              </w:rPr>
              <w:t>10</w:t>
            </w:r>
            <w:r>
              <w:rPr>
                <w:rFonts w:hint="eastAsia"/>
                <w:sz w:val="20"/>
                <w:szCs w:val="18"/>
              </w:rPr>
              <w:t>分；</w:t>
            </w:r>
          </w:p>
          <w:p>
            <w:pPr>
              <w:rPr>
                <w:sz w:val="20"/>
                <w:szCs w:val="18"/>
              </w:rPr>
            </w:pPr>
            <w:r>
              <w:rPr>
                <w:rFonts w:hint="eastAsia"/>
                <w:sz w:val="20"/>
                <w:szCs w:val="18"/>
              </w:rPr>
              <w:t>（</w:t>
            </w:r>
            <w:r>
              <w:rPr>
                <w:sz w:val="20"/>
                <w:szCs w:val="18"/>
              </w:rPr>
              <w:t>2</w:t>
            </w:r>
            <w:r>
              <w:rPr>
                <w:rFonts w:hint="eastAsia"/>
                <w:sz w:val="20"/>
                <w:szCs w:val="18"/>
              </w:rPr>
              <w:t>）投标人有</w:t>
            </w:r>
            <w:r>
              <w:rPr>
                <w:sz w:val="20"/>
                <w:szCs w:val="18"/>
              </w:rPr>
              <w:t>1</w:t>
            </w:r>
            <w:r>
              <w:rPr>
                <w:rFonts w:hint="eastAsia"/>
                <w:sz w:val="20"/>
                <w:szCs w:val="18"/>
              </w:rPr>
              <w:t>个财政部</w:t>
            </w:r>
            <w:r>
              <w:rPr>
                <w:sz w:val="20"/>
                <w:szCs w:val="18"/>
              </w:rPr>
              <w:t>PPP</w:t>
            </w:r>
            <w:r>
              <w:rPr>
                <w:rFonts w:hint="eastAsia"/>
                <w:sz w:val="20"/>
                <w:szCs w:val="18"/>
              </w:rPr>
              <w:t>示范项目的</w:t>
            </w:r>
            <w:r>
              <w:rPr>
                <w:sz w:val="20"/>
                <w:szCs w:val="18"/>
              </w:rPr>
              <w:t>PPP</w:t>
            </w:r>
            <w:r>
              <w:rPr>
                <w:rFonts w:hint="eastAsia"/>
                <w:sz w:val="20"/>
                <w:szCs w:val="18"/>
              </w:rPr>
              <w:t>咨询业绩，得</w:t>
            </w:r>
            <w:r>
              <w:rPr>
                <w:sz w:val="20"/>
                <w:szCs w:val="18"/>
              </w:rPr>
              <w:t>0.5</w:t>
            </w:r>
            <w:r>
              <w:rPr>
                <w:rFonts w:hint="eastAsia"/>
                <w:sz w:val="20"/>
                <w:szCs w:val="18"/>
              </w:rPr>
              <w:t>分，本项最高得</w:t>
            </w:r>
            <w:r>
              <w:rPr>
                <w:sz w:val="20"/>
                <w:szCs w:val="18"/>
              </w:rPr>
              <w:t>10</w:t>
            </w:r>
            <w:r>
              <w:rPr>
                <w:rFonts w:hint="eastAsia"/>
                <w:sz w:val="20"/>
                <w:szCs w:val="18"/>
              </w:rPr>
              <w:t>分；</w:t>
            </w:r>
          </w:p>
          <w:p>
            <w:pPr>
              <w:rPr>
                <w:sz w:val="20"/>
                <w:szCs w:val="18"/>
              </w:rPr>
            </w:pPr>
            <w:r>
              <w:rPr>
                <w:rFonts w:hint="eastAsia"/>
                <w:sz w:val="20"/>
                <w:szCs w:val="18"/>
              </w:rPr>
              <w:t>（</w:t>
            </w:r>
            <w:r>
              <w:rPr>
                <w:sz w:val="20"/>
                <w:szCs w:val="18"/>
              </w:rPr>
              <w:t>3</w:t>
            </w:r>
            <w:r>
              <w:rPr>
                <w:rFonts w:hint="eastAsia"/>
                <w:sz w:val="20"/>
                <w:szCs w:val="18"/>
              </w:rPr>
              <w:t>）投标人担任国家发改委或财政部或住建部</w:t>
            </w:r>
            <w:r>
              <w:rPr>
                <w:sz w:val="20"/>
                <w:szCs w:val="18"/>
              </w:rPr>
              <w:t>PPP</w:t>
            </w:r>
            <w:r>
              <w:rPr>
                <w:rFonts w:hint="eastAsia"/>
                <w:sz w:val="20"/>
                <w:szCs w:val="18"/>
              </w:rPr>
              <w:t>规范文件（政策法规）起草或课题编制的，每个得</w:t>
            </w:r>
            <w:r>
              <w:rPr>
                <w:sz w:val="20"/>
                <w:szCs w:val="18"/>
              </w:rPr>
              <w:t>2</w:t>
            </w:r>
            <w:r>
              <w:rPr>
                <w:rFonts w:hint="eastAsia"/>
                <w:sz w:val="20"/>
                <w:szCs w:val="18"/>
              </w:rPr>
              <w:t>分，最高得</w:t>
            </w:r>
            <w:r>
              <w:rPr>
                <w:sz w:val="20"/>
                <w:szCs w:val="18"/>
              </w:rPr>
              <w:t>10 </w:t>
            </w:r>
            <w:r>
              <w:rPr>
                <w:rFonts w:hint="eastAsia"/>
                <w:sz w:val="20"/>
                <w:szCs w:val="18"/>
              </w:rPr>
              <w:t>分。</w:t>
            </w:r>
          </w:p>
          <w:p>
            <w:pPr>
              <w:rPr>
                <w:sz w:val="20"/>
                <w:szCs w:val="18"/>
              </w:rPr>
            </w:pPr>
          </w:p>
          <w:p>
            <w:pPr>
              <w:rPr>
                <w:sz w:val="20"/>
                <w:szCs w:val="18"/>
              </w:rPr>
            </w:pPr>
            <w:r>
              <w:rPr>
                <w:rFonts w:hint="eastAsia"/>
                <w:sz w:val="20"/>
                <w:szCs w:val="18"/>
              </w:rPr>
              <w:t>注</w:t>
            </w:r>
            <w:r>
              <w:rPr>
                <w:sz w:val="20"/>
                <w:szCs w:val="18"/>
              </w:rPr>
              <w:t>: (1)(2)</w:t>
            </w:r>
            <w:r>
              <w:rPr>
                <w:rFonts w:hint="eastAsia"/>
                <w:sz w:val="20"/>
                <w:szCs w:val="18"/>
              </w:rPr>
              <w:t>类项目可重复</w:t>
            </w:r>
            <w:r>
              <w:rPr>
                <w:sz w:val="20"/>
                <w:szCs w:val="18"/>
              </w:rPr>
              <w:t>.</w:t>
            </w:r>
          </w:p>
        </w:tc>
        <w:tc>
          <w:tcPr>
            <w:tcW w:w="3990" w:type="dxa"/>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w:t>
            </w:r>
            <w:r>
              <w:rPr>
                <w:sz w:val="20"/>
                <w:szCs w:val="18"/>
              </w:rPr>
              <w:t>1</w:t>
            </w:r>
            <w:r>
              <w:rPr>
                <w:rFonts w:hint="eastAsia"/>
                <w:sz w:val="20"/>
                <w:szCs w:val="18"/>
              </w:rPr>
              <w:t>）所属行业：以财政部政府和社会资本合作中心官网（</w:t>
            </w:r>
            <w:r>
              <w:rPr>
                <w:sz w:val="20"/>
                <w:szCs w:val="18"/>
              </w:rPr>
              <w:t>http://www.cpppc.org/</w:t>
            </w:r>
            <w:r>
              <w:rPr>
                <w:rFonts w:hint="eastAsia"/>
                <w:sz w:val="20"/>
                <w:szCs w:val="18"/>
              </w:rPr>
              <w:t>）</w:t>
            </w:r>
            <w:r>
              <w:rPr>
                <w:sz w:val="20"/>
                <w:szCs w:val="18"/>
              </w:rPr>
              <w:t>PPP</w:t>
            </w:r>
            <w:r>
              <w:rPr>
                <w:rFonts w:hint="eastAsia"/>
                <w:sz w:val="20"/>
                <w:szCs w:val="18"/>
              </w:rPr>
              <w:t>项目库中注明的“所属行业”为“市政工程”为准，投标人需提供上述网页的截图复印件（加盖投标人公章）。</w:t>
            </w:r>
          </w:p>
          <w:p>
            <w:pPr>
              <w:rPr>
                <w:sz w:val="20"/>
                <w:szCs w:val="18"/>
              </w:rPr>
            </w:pPr>
            <w:r>
              <w:rPr>
                <w:rFonts w:hint="eastAsia"/>
                <w:sz w:val="20"/>
                <w:szCs w:val="18"/>
              </w:rPr>
              <w:t>（</w:t>
            </w:r>
            <w:r>
              <w:rPr>
                <w:sz w:val="20"/>
                <w:szCs w:val="18"/>
              </w:rPr>
              <w:t>2</w:t>
            </w:r>
            <w:r>
              <w:rPr>
                <w:rFonts w:hint="eastAsia"/>
                <w:sz w:val="20"/>
                <w:szCs w:val="18"/>
              </w:rPr>
              <w:t>）财政部</w:t>
            </w:r>
            <w:r>
              <w:rPr>
                <w:sz w:val="20"/>
                <w:szCs w:val="18"/>
              </w:rPr>
              <w:t>PPP</w:t>
            </w:r>
            <w:r>
              <w:rPr>
                <w:rFonts w:hint="eastAsia"/>
                <w:sz w:val="20"/>
                <w:szCs w:val="18"/>
              </w:rPr>
              <w:t>示范项目：以财政部政府和社会资本合作中心官网（</w:t>
            </w:r>
            <w:r>
              <w:rPr>
                <w:sz w:val="20"/>
                <w:szCs w:val="18"/>
              </w:rPr>
              <w:t>http://www.cpppc.org/</w:t>
            </w:r>
            <w:r>
              <w:rPr>
                <w:rFonts w:hint="eastAsia"/>
                <w:sz w:val="20"/>
                <w:szCs w:val="18"/>
              </w:rPr>
              <w:t>）</w:t>
            </w:r>
            <w:r>
              <w:rPr>
                <w:sz w:val="20"/>
                <w:szCs w:val="18"/>
              </w:rPr>
              <w:t>PPP</w:t>
            </w:r>
            <w:r>
              <w:rPr>
                <w:rFonts w:hint="eastAsia"/>
                <w:sz w:val="20"/>
                <w:szCs w:val="18"/>
              </w:rPr>
              <w:t>项目库中注明的“项目示范级别</w:t>
            </w:r>
            <w:r>
              <w:rPr>
                <w:sz w:val="20"/>
                <w:szCs w:val="18"/>
              </w:rPr>
              <w:t>/</w:t>
            </w:r>
            <w:r>
              <w:rPr>
                <w:rFonts w:hint="eastAsia"/>
                <w:sz w:val="20"/>
                <w:szCs w:val="18"/>
              </w:rPr>
              <w:t>批次”为“第一批次国家示范项目”，“第二批次国家示范项目”或“第三批次国家示范项目”为准，投标人需提供上述网页的截图复印件（加盖投标人公章），上述</w:t>
            </w:r>
            <w:r>
              <w:rPr>
                <w:sz w:val="20"/>
                <w:szCs w:val="18"/>
              </w:rPr>
              <w:t>PPP</w:t>
            </w:r>
            <w:r>
              <w:rPr>
                <w:rFonts w:hint="eastAsia"/>
                <w:sz w:val="20"/>
                <w:szCs w:val="18"/>
              </w:rPr>
              <w:t>咨询业绩均应提供相关服务协议（应包含首页、咨询服务页、盖章页）或业绩证明复印件，并加盖投标人公章。</w:t>
            </w:r>
          </w:p>
          <w:p>
            <w:pPr>
              <w:rPr>
                <w:sz w:val="20"/>
                <w:szCs w:val="18"/>
              </w:rPr>
            </w:pPr>
            <w:r>
              <w:rPr>
                <w:rFonts w:hint="eastAsia"/>
                <w:sz w:val="20"/>
                <w:szCs w:val="18"/>
              </w:rPr>
              <w:t>（</w:t>
            </w:r>
            <w:r>
              <w:rPr>
                <w:sz w:val="20"/>
                <w:szCs w:val="18"/>
              </w:rPr>
              <w:t>3</w:t>
            </w:r>
            <w:r>
              <w:rPr>
                <w:rFonts w:hint="eastAsia"/>
                <w:sz w:val="20"/>
                <w:szCs w:val="18"/>
              </w:rPr>
              <w:t>）</w:t>
            </w:r>
            <w:r>
              <w:rPr>
                <w:sz w:val="20"/>
                <w:szCs w:val="18"/>
              </w:rPr>
              <w:t>PPP</w:t>
            </w:r>
            <w:r>
              <w:rPr>
                <w:rFonts w:hint="eastAsia"/>
                <w:sz w:val="20"/>
                <w:szCs w:val="18"/>
              </w:rPr>
              <w:t>规范文件（政策法规）起草或课题编制：投标人须提供上述部委或其司局出具的咨询服务协议或业绩证明复印件（加盖投标人公章）。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08" w:hRule="atLeast"/>
          <w:jc w:val="center"/>
        </w:trPr>
        <w:tc>
          <w:tcPr>
            <w:tcW w:w="13110" w:type="dxa"/>
            <w:gridSpan w:val="5"/>
            <w:tcBorders>
              <w:top w:val="single" w:color="auto" w:sz="4" w:space="0"/>
              <w:left w:val="single" w:color="auto" w:sz="4" w:space="0"/>
              <w:bottom w:val="single" w:color="auto" w:sz="4" w:space="0"/>
              <w:right w:val="single" w:color="auto" w:sz="4" w:space="0"/>
            </w:tcBorders>
            <w:vAlign w:val="center"/>
          </w:tcPr>
          <w:p>
            <w:pPr>
              <w:rPr>
                <w:sz w:val="20"/>
                <w:szCs w:val="18"/>
              </w:rPr>
            </w:pPr>
            <w:r>
              <w:rPr>
                <w:rFonts w:hint="eastAsia"/>
                <w:sz w:val="20"/>
                <w:szCs w:val="18"/>
              </w:rPr>
              <w:t>注：各要素计算得分按四舍五入保留小数点后两位</w:t>
            </w:r>
          </w:p>
        </w:tc>
      </w:tr>
    </w:tbl>
    <w:p>
      <w:pPr>
        <w:adjustRightInd w:val="0"/>
        <w:spacing w:line="360" w:lineRule="auto"/>
        <w:ind w:firstLine="480" w:firstLineChars="200"/>
        <w:jc w:val="left"/>
        <w:rPr>
          <w:rFonts w:ascii="宋体" w:hAnsi="宋体" w:eastAsia="宋体" w:cs="宋体"/>
          <w:sz w:val="24"/>
          <w:szCs w:val="24"/>
        </w:rPr>
        <w:sectPr>
          <w:pgSz w:w="16838" w:h="11906" w:orient="landscape"/>
          <w:pgMar w:top="1587" w:right="1587" w:bottom="1587" w:left="1587" w:header="1247" w:footer="992" w:gutter="0"/>
          <w:cols w:space="0" w:num="1"/>
          <w:docGrid w:linePitch="312" w:charSpace="0"/>
        </w:sectPr>
      </w:pPr>
    </w:p>
    <w:p>
      <w:pPr>
        <w:adjustRightIn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全体评标委员会成员对供应商评分的算术平均值即为该供应商最终评标得分，评分和计算结果均保留小数点后2位（采用四舍五入法）。</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三、特别说明</w:t>
      </w:r>
    </w:p>
    <w:p>
      <w:pPr>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sz w:val="24"/>
          <w:szCs w:val="24"/>
        </w:rPr>
        <w:t>.如果有其他特殊情况，将由评标委员会现场研究决定。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2.投标文件有下列情形之一的，按照无效投标处理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（1）未提供招标文件本部分所要求的“资格性审查材料”和“符合性审查材料”的；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（2）供应商的法定代表人（代表人）或其授权委托人未参加开标会议或未在开标签到表上签字确认的；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（3）未按招标文件规定提供原件或复印件的；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（4）投标文件附有不能接受的条件的；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（5）没有就该项目完整投标的；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（6）不符合法律、法规和招标文件规定的其他实质性要求的；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（7）出现影响采购公正的违法、违规行为的。</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sectPr>
          <w:pgSz w:w="11906" w:h="16838"/>
          <w:pgMar w:top="1587" w:right="1587" w:bottom="1587" w:left="1587" w:header="1247" w:footer="992" w:gutter="0"/>
          <w:cols w:space="0" w:num="1"/>
          <w:docGrid w:linePitch="312" w:charSpace="0"/>
        </w:sectPr>
      </w:pPr>
    </w:p>
    <w:p>
      <w:pPr>
        <w:spacing w:line="360" w:lineRule="auto"/>
        <w:ind w:firstLine="480" w:firstLineChars="200"/>
        <w:rPr>
          <w:rFonts w:ascii="宋体" w:hAnsi="宋体" w:eastAsia="宋体" w:cs="宋体"/>
          <w:sz w:val="24"/>
          <w:szCs w:val="24"/>
        </w:rPr>
      </w:pPr>
    </w:p>
    <w:p>
      <w:pPr>
        <w:autoSpaceDE w:val="0"/>
        <w:autoSpaceDN w:val="0"/>
        <w:adjustRightInd w:val="0"/>
        <w:spacing w:line="800" w:lineRule="exact"/>
        <w:jc w:val="center"/>
        <w:outlineLvl w:val="0"/>
        <w:rPr>
          <w:rFonts w:ascii="宋体" w:hAnsi="宋体" w:eastAsia="宋体" w:cs="宋体"/>
          <w:b/>
          <w:bCs/>
          <w:sz w:val="44"/>
          <w:szCs w:val="44"/>
          <w:lang w:val="zh-CN"/>
        </w:rPr>
      </w:pPr>
      <w:bookmarkStart w:id="61" w:name="_Toc2744"/>
      <w:r>
        <w:rPr>
          <w:rFonts w:hint="eastAsia" w:ascii="宋体" w:hAnsi="宋体" w:eastAsia="宋体" w:cs="宋体"/>
          <w:b/>
          <w:bCs/>
          <w:sz w:val="44"/>
          <w:szCs w:val="44"/>
          <w:lang w:val="zh-CN"/>
        </w:rPr>
        <w:t>第五部分 合同</w:t>
      </w:r>
      <w:bookmarkEnd w:id="56"/>
      <w:bookmarkEnd w:id="57"/>
      <w:bookmarkEnd w:id="58"/>
      <w:bookmarkEnd w:id="59"/>
      <w:bookmarkEnd w:id="60"/>
      <w:r>
        <w:rPr>
          <w:rFonts w:hint="eastAsia" w:ascii="宋体" w:hAnsi="宋体" w:eastAsia="宋体" w:cs="宋体"/>
          <w:b/>
          <w:bCs/>
          <w:sz w:val="44"/>
          <w:szCs w:val="44"/>
          <w:lang w:val="zh-CN"/>
        </w:rPr>
        <w:t>样本</w:t>
      </w:r>
      <w:bookmarkEnd w:id="61"/>
    </w:p>
    <w:p>
      <w:pPr>
        <w:jc w:val="center"/>
        <w:rPr>
          <w:rFonts w:ascii="宋体" w:hAnsi="宋体" w:eastAsia="宋体" w:cs="宋体"/>
          <w:b/>
          <w:bCs/>
          <w:sz w:val="36"/>
          <w:szCs w:val="36"/>
        </w:rPr>
      </w:pPr>
    </w:p>
    <w:p>
      <w:pPr>
        <w:adjustRightInd w:val="0"/>
        <w:snapToGrid w:val="0"/>
        <w:spacing w:before="120" w:beforeLines="50" w:after="50" w:line="300" w:lineRule="auto"/>
        <w:ind w:firstLine="420"/>
        <w:rPr>
          <w:rFonts w:ascii="宋体" w:hAnsi="宋体"/>
          <w:sz w:val="24"/>
        </w:rPr>
      </w:pPr>
      <w:r>
        <w:rPr>
          <w:rFonts w:hint="eastAsia" w:ascii="宋体" w:hAnsi="宋体"/>
          <w:sz w:val="24"/>
        </w:rPr>
        <w:t>本咨询服务协议（“本协议”）由以下两方于**年**月**日订立：</w:t>
      </w:r>
    </w:p>
    <w:p>
      <w:pPr>
        <w:numPr>
          <w:ilvl w:val="0"/>
          <w:numId w:val="2"/>
        </w:numPr>
        <w:adjustRightInd w:val="0"/>
        <w:snapToGrid w:val="0"/>
        <w:spacing w:before="120" w:beforeLines="50" w:after="50" w:line="300" w:lineRule="auto"/>
        <w:rPr>
          <w:rFonts w:ascii="宋体" w:hAnsi="宋体"/>
          <w:sz w:val="24"/>
        </w:rPr>
      </w:pPr>
      <w:r>
        <w:rPr>
          <w:rFonts w:hint="eastAsia" w:ascii="宋体" w:hAnsi="宋体"/>
          <w:sz w:val="24"/>
        </w:rPr>
        <w:t>甲方：</w:t>
      </w:r>
    </w:p>
    <w:p>
      <w:pPr>
        <w:adjustRightInd w:val="0"/>
        <w:snapToGrid w:val="0"/>
        <w:spacing w:before="120" w:beforeLines="50" w:after="50" w:line="300" w:lineRule="auto"/>
        <w:ind w:left="720"/>
        <w:rPr>
          <w:rFonts w:ascii="宋体" w:hAnsi="宋体"/>
          <w:sz w:val="24"/>
        </w:rPr>
      </w:pPr>
      <w:r>
        <w:rPr>
          <w:rFonts w:hint="eastAsia" w:ascii="宋体" w:hAnsi="宋体"/>
          <w:sz w:val="24"/>
        </w:rPr>
        <w:t>地址：</w:t>
      </w:r>
    </w:p>
    <w:p>
      <w:pPr>
        <w:adjustRightInd w:val="0"/>
        <w:snapToGrid w:val="0"/>
        <w:spacing w:before="120" w:beforeLines="50" w:after="50" w:line="300" w:lineRule="auto"/>
        <w:ind w:left="720"/>
        <w:rPr>
          <w:rFonts w:ascii="宋体" w:hAnsi="宋体"/>
          <w:sz w:val="24"/>
        </w:rPr>
      </w:pPr>
      <w:r>
        <w:rPr>
          <w:rFonts w:hint="eastAsia" w:ascii="宋体" w:hAnsi="宋体"/>
          <w:sz w:val="24"/>
        </w:rPr>
        <w:t>邮编：</w:t>
      </w:r>
    </w:p>
    <w:p>
      <w:pPr>
        <w:adjustRightInd w:val="0"/>
        <w:snapToGrid w:val="0"/>
        <w:spacing w:before="120" w:beforeLines="50" w:after="50" w:line="300" w:lineRule="auto"/>
        <w:ind w:left="720"/>
        <w:rPr>
          <w:rFonts w:ascii="宋体" w:hAnsi="宋体"/>
          <w:sz w:val="24"/>
        </w:rPr>
      </w:pPr>
      <w:r>
        <w:rPr>
          <w:rFonts w:hint="eastAsia" w:ascii="宋体" w:hAnsi="宋体"/>
          <w:sz w:val="24"/>
        </w:rPr>
        <w:t>电话：</w:t>
      </w:r>
    </w:p>
    <w:p>
      <w:pPr>
        <w:adjustRightInd w:val="0"/>
        <w:snapToGrid w:val="0"/>
        <w:spacing w:before="120" w:beforeLines="50" w:after="50" w:line="300" w:lineRule="auto"/>
        <w:ind w:left="720"/>
        <w:rPr>
          <w:rFonts w:ascii="宋体" w:hAnsi="宋体"/>
          <w:sz w:val="24"/>
        </w:rPr>
      </w:pPr>
      <w:r>
        <w:rPr>
          <w:rFonts w:hint="eastAsia" w:ascii="宋体" w:hAnsi="宋体"/>
          <w:sz w:val="24"/>
        </w:rPr>
        <w:t>传真：</w:t>
      </w:r>
    </w:p>
    <w:p>
      <w:pPr>
        <w:numPr>
          <w:ilvl w:val="0"/>
          <w:numId w:val="2"/>
        </w:numPr>
        <w:adjustRightInd w:val="0"/>
        <w:snapToGrid w:val="0"/>
        <w:spacing w:before="120" w:beforeLines="50" w:after="50" w:line="300" w:lineRule="auto"/>
        <w:rPr>
          <w:rFonts w:ascii="宋体" w:hAnsi="宋体"/>
          <w:sz w:val="24"/>
        </w:rPr>
      </w:pPr>
      <w:r>
        <w:rPr>
          <w:rFonts w:hint="eastAsia" w:ascii="宋体" w:hAnsi="宋体"/>
          <w:sz w:val="24"/>
        </w:rPr>
        <w:t xml:space="preserve">乙方： </w:t>
      </w:r>
    </w:p>
    <w:p>
      <w:pPr>
        <w:adjustRightInd w:val="0"/>
        <w:snapToGrid w:val="0"/>
        <w:spacing w:before="120" w:beforeLines="50" w:after="50" w:line="300" w:lineRule="auto"/>
        <w:ind w:left="720"/>
        <w:rPr>
          <w:rFonts w:ascii="宋体" w:hAnsi="宋体"/>
          <w:sz w:val="24"/>
        </w:rPr>
      </w:pPr>
      <w:r>
        <w:rPr>
          <w:rFonts w:hint="eastAsia" w:ascii="宋体" w:hAnsi="宋体"/>
          <w:sz w:val="24"/>
        </w:rPr>
        <w:t>地址：</w:t>
      </w:r>
    </w:p>
    <w:p>
      <w:pPr>
        <w:adjustRightInd w:val="0"/>
        <w:snapToGrid w:val="0"/>
        <w:spacing w:before="120" w:beforeLines="50" w:after="50" w:line="300" w:lineRule="auto"/>
        <w:ind w:left="720"/>
        <w:rPr>
          <w:rFonts w:ascii="宋体" w:hAnsi="宋体"/>
          <w:sz w:val="24"/>
        </w:rPr>
      </w:pPr>
      <w:r>
        <w:rPr>
          <w:rFonts w:hint="eastAsia" w:ascii="宋体" w:hAnsi="宋体"/>
          <w:sz w:val="24"/>
        </w:rPr>
        <w:t>邮编：</w:t>
      </w:r>
    </w:p>
    <w:p>
      <w:pPr>
        <w:adjustRightInd w:val="0"/>
        <w:snapToGrid w:val="0"/>
        <w:spacing w:before="120" w:beforeLines="50" w:after="50" w:line="300" w:lineRule="auto"/>
        <w:ind w:left="720"/>
        <w:rPr>
          <w:rFonts w:ascii="宋体" w:hAnsi="宋体"/>
          <w:sz w:val="24"/>
        </w:rPr>
      </w:pPr>
      <w:r>
        <w:rPr>
          <w:rFonts w:hint="eastAsia" w:ascii="宋体" w:hAnsi="宋体"/>
          <w:sz w:val="24"/>
        </w:rPr>
        <w:t>电话：</w:t>
      </w:r>
    </w:p>
    <w:p>
      <w:pPr>
        <w:adjustRightInd w:val="0"/>
        <w:snapToGrid w:val="0"/>
        <w:spacing w:before="120" w:beforeLines="50" w:after="50" w:line="300" w:lineRule="auto"/>
        <w:ind w:left="720"/>
        <w:rPr>
          <w:rFonts w:ascii="宋体" w:hAnsi="宋体"/>
          <w:sz w:val="24"/>
        </w:rPr>
      </w:pPr>
      <w:r>
        <w:rPr>
          <w:rFonts w:hint="eastAsia" w:ascii="宋体" w:hAnsi="宋体"/>
          <w:sz w:val="24"/>
        </w:rPr>
        <w:t>传真：</w:t>
      </w:r>
    </w:p>
    <w:p>
      <w:pPr>
        <w:adjustRightInd w:val="0"/>
        <w:snapToGrid w:val="0"/>
        <w:spacing w:before="120" w:beforeLines="50" w:after="120" w:afterLines="50" w:line="300" w:lineRule="auto"/>
        <w:rPr>
          <w:rFonts w:ascii="宋体" w:hAnsi="宋体"/>
          <w:sz w:val="24"/>
        </w:rPr>
      </w:pPr>
    </w:p>
    <w:p>
      <w:pPr>
        <w:adjustRightInd w:val="0"/>
        <w:snapToGrid w:val="0"/>
        <w:spacing w:before="50" w:after="50" w:line="300" w:lineRule="auto"/>
        <w:rPr>
          <w:rFonts w:ascii="宋体" w:hAnsi="宋体"/>
          <w:bCs/>
          <w:sz w:val="24"/>
        </w:rPr>
      </w:pPr>
      <w:bookmarkStart w:id="62" w:name="_Toc144114415"/>
      <w:r>
        <w:rPr>
          <w:rFonts w:hint="eastAsia" w:ascii="宋体" w:hAnsi="宋体"/>
          <w:bCs/>
          <w:sz w:val="24"/>
        </w:rPr>
        <w:t>鉴于：</w:t>
      </w:r>
    </w:p>
    <w:bookmarkEnd w:id="62"/>
    <w:p>
      <w:pPr>
        <w:pStyle w:val="83"/>
        <w:numPr>
          <w:ilvl w:val="0"/>
          <w:numId w:val="3"/>
        </w:numPr>
        <w:adjustRightInd w:val="0"/>
        <w:snapToGrid w:val="0"/>
        <w:spacing w:before="120" w:beforeLines="50" w:after="120" w:afterLines="50" w:line="300" w:lineRule="auto"/>
        <w:ind w:firstLineChars="0"/>
        <w:rPr>
          <w:sz w:val="24"/>
          <w:szCs w:val="24"/>
        </w:rPr>
      </w:pPr>
      <w:r>
        <w:rPr>
          <w:rFonts w:hint="eastAsia"/>
          <w:sz w:val="24"/>
          <w:szCs w:val="24"/>
        </w:rPr>
        <w:t>甲方拟采用PPP模式实施**项目(以下简称“本项目”)，项目总投资约人民币**元，主要建设内容包括**等；</w:t>
      </w:r>
    </w:p>
    <w:p>
      <w:pPr>
        <w:pStyle w:val="83"/>
        <w:numPr>
          <w:ilvl w:val="0"/>
          <w:numId w:val="3"/>
        </w:numPr>
        <w:adjustRightInd w:val="0"/>
        <w:snapToGrid w:val="0"/>
        <w:spacing w:before="120" w:beforeLines="50" w:after="120" w:afterLines="50" w:line="300" w:lineRule="auto"/>
        <w:ind w:firstLineChars="0"/>
        <w:rPr>
          <w:sz w:val="24"/>
          <w:szCs w:val="24"/>
        </w:rPr>
      </w:pPr>
      <w:r>
        <w:rPr>
          <w:rFonts w:hint="eastAsia"/>
          <w:sz w:val="24"/>
          <w:szCs w:val="24"/>
        </w:rPr>
        <w:t>甲方依法通过公开招标的方式选定乙方作为本项目的咨询顾问。</w:t>
      </w:r>
    </w:p>
    <w:p>
      <w:pPr>
        <w:adjustRightInd w:val="0"/>
        <w:snapToGrid w:val="0"/>
        <w:spacing w:before="120" w:beforeLines="50" w:after="120" w:afterLines="50" w:line="300" w:lineRule="auto"/>
        <w:ind w:firstLine="480" w:firstLineChars="200"/>
        <w:rPr>
          <w:rFonts w:ascii="宋体" w:hAnsi="宋体"/>
          <w:sz w:val="24"/>
          <w:szCs w:val="24"/>
        </w:rPr>
      </w:pPr>
      <w:r>
        <w:rPr>
          <w:rFonts w:hint="eastAsia" w:ascii="宋体" w:hAnsi="宋体"/>
          <w:sz w:val="24"/>
        </w:rPr>
        <w:t>根据《</w:t>
      </w:r>
      <w:bookmarkStart w:id="63" w:name="OLE_LINK1"/>
      <w:r>
        <w:rPr>
          <w:rFonts w:hint="eastAsia" w:ascii="宋体" w:hAnsi="宋体"/>
          <w:sz w:val="24"/>
        </w:rPr>
        <w:t>中华人民共和国合同法</w:t>
      </w:r>
      <w:bookmarkEnd w:id="63"/>
      <w:r>
        <w:rPr>
          <w:rFonts w:hint="eastAsia" w:ascii="宋体" w:hAnsi="宋体"/>
          <w:sz w:val="24"/>
        </w:rPr>
        <w:t>》及其他有关法律、法规之规定，</w:t>
      </w:r>
      <w:bookmarkStart w:id="64" w:name="OLE_LINK3"/>
      <w:r>
        <w:rPr>
          <w:rFonts w:hint="eastAsia" w:ascii="宋体" w:hAnsi="宋体"/>
          <w:sz w:val="24"/>
        </w:rPr>
        <w:t>在平等、自愿、协商一致的基础上</w:t>
      </w:r>
      <w:bookmarkEnd w:id="64"/>
      <w:r>
        <w:rPr>
          <w:rFonts w:hint="eastAsia" w:ascii="宋体" w:hAnsi="宋体"/>
          <w:sz w:val="24"/>
        </w:rPr>
        <w:t>，现双方就有关咨询服务事宜达成协议如下：</w:t>
      </w:r>
    </w:p>
    <w:p>
      <w:pPr>
        <w:numPr>
          <w:ilvl w:val="0"/>
          <w:numId w:val="4"/>
        </w:numPr>
        <w:adjustRightInd w:val="0"/>
        <w:snapToGrid w:val="0"/>
        <w:spacing w:before="120" w:beforeLines="50" w:after="120" w:afterLines="50" w:line="300" w:lineRule="auto"/>
        <w:rPr>
          <w:rFonts w:ascii="宋体" w:hAnsi="宋体"/>
          <w:b/>
          <w:bCs/>
          <w:sz w:val="24"/>
        </w:rPr>
      </w:pPr>
      <w:bookmarkStart w:id="65" w:name="_Toc144114416"/>
      <w:r>
        <w:rPr>
          <w:rFonts w:hint="eastAsia" w:ascii="宋体" w:hAnsi="宋体"/>
          <w:b/>
          <w:bCs/>
          <w:sz w:val="24"/>
        </w:rPr>
        <w:t>咨询服务内容</w:t>
      </w:r>
      <w:bookmarkEnd w:id="65"/>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在本协议项下，乙方为甲方提供如下咨询服务：</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（一）根据和甲方的沟通制订咨询工作计划表及准备调研/访谈提纲，并进行尽职调查，获取本项目PPP运作相关资料和基础数据等；</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（二）协助甲方对本项目PPP运作进行物有所值定性（和/或）定量评价；</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（三）协助甲方及有权财政部门对本项目PPP运作进行财政承受能力论证；</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（四）按照国家相关文件要求，编制本项目实施方案，内容包括但不限于项目运作方式、交易结构、合同体系、核心边界条件和社会资本采购方式等；</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（五）根据《政府和社会资本合作（PPP）综合信息平台运行规程》等相关规定及要求，协助甲方及有权财政部门办理本项目入储备库及执行库；</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（六）建立财务模型，进行财务测算，为本项目结构设计和核心边界条件设置等提供数据支撑，并依据测算结果对项目实施方案内容进行调整；</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（七）根据经批复同意的实施方案，编制本项目全套采购文件，包括但不限于投资竞争须知/投标须知、资格审查办法与响应文件评审/评标办法、PPP项目合同草案等；</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（八）协助甲方及甲方选定的采购代理机构或招标代理机构组织实施本项目采购程序性事项；</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（九）协助甲方与候选社会资本方开展PPP项目合同谈判，直至确定中选社会资本方，并协助政府方与中选社会资本方签署PPP项目合同；</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（十）应甲方要求，就本项目交易过程中涉及的其它财务、法务及商务有关问题提供咨询意见。</w:t>
      </w:r>
      <w:bookmarkStart w:id="66" w:name="_Toc144114417"/>
    </w:p>
    <w:p>
      <w:pPr>
        <w:numPr>
          <w:ilvl w:val="0"/>
          <w:numId w:val="4"/>
        </w:numPr>
        <w:adjustRightInd w:val="0"/>
        <w:snapToGrid w:val="0"/>
        <w:spacing w:before="120" w:beforeLines="50" w:after="120" w:afterLines="50" w:line="300" w:lineRule="auto"/>
        <w:rPr>
          <w:rFonts w:ascii="宋体" w:hAnsi="宋体"/>
          <w:b/>
          <w:bCs/>
          <w:sz w:val="24"/>
        </w:rPr>
      </w:pPr>
      <w:r>
        <w:rPr>
          <w:rFonts w:hint="eastAsia" w:ascii="宋体" w:hAnsi="宋体"/>
          <w:b/>
          <w:bCs/>
          <w:sz w:val="24"/>
        </w:rPr>
        <w:t>服务期限</w:t>
      </w:r>
      <w:bookmarkEnd w:id="66"/>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为本协议项下的咨询服务，乙方的服务期限为自本协议生效之日起至甲方或其指定机构与中选社会资本签署本项目PPP项目协议之日止。</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但乙方实际承担的有效服务工作时间原则上不超过6月。</w:t>
      </w:r>
      <w:bookmarkStart w:id="67" w:name="OLE_LINK4"/>
      <w:r>
        <w:rPr>
          <w:rFonts w:hint="eastAsia" w:ascii="宋体" w:hAnsi="宋体"/>
          <w:sz w:val="24"/>
        </w:rPr>
        <w:t>若因不可归责于乙方的原因</w:t>
      </w:r>
      <w:bookmarkEnd w:id="67"/>
      <w:r>
        <w:rPr>
          <w:rFonts w:hint="eastAsia" w:ascii="宋体" w:hAnsi="宋体"/>
          <w:sz w:val="24"/>
        </w:rPr>
        <w:t>而导致乙方为本项目所投入的有效服务工作时间显著延长，则甲方对于乙方因此而增加的实际工作量以及因此而支出的费用</w:t>
      </w:r>
      <w:bookmarkStart w:id="68" w:name="OLE_LINK5"/>
      <w:bookmarkStart w:id="69" w:name="OLE_LINK6"/>
      <w:r>
        <w:rPr>
          <w:rFonts w:hint="eastAsia" w:ascii="宋体" w:hAnsi="宋体"/>
          <w:sz w:val="24"/>
        </w:rPr>
        <w:t>应给予合理补偿</w:t>
      </w:r>
      <w:bookmarkEnd w:id="68"/>
      <w:bookmarkEnd w:id="69"/>
      <w:r>
        <w:rPr>
          <w:rFonts w:hint="eastAsia" w:ascii="宋体" w:hAnsi="宋体"/>
          <w:sz w:val="24"/>
        </w:rPr>
        <w:t>。若前述延长系可归责于乙方的原因所致，则乙方</w:t>
      </w:r>
      <w:bookmarkStart w:id="70" w:name="OLE_LINK8"/>
      <w:r>
        <w:rPr>
          <w:rFonts w:hint="eastAsia" w:ascii="宋体" w:hAnsi="宋体"/>
          <w:sz w:val="24"/>
        </w:rPr>
        <w:t>应自行承担前述后果</w:t>
      </w:r>
      <w:bookmarkEnd w:id="70"/>
      <w:r>
        <w:rPr>
          <w:rFonts w:hint="eastAsia" w:ascii="宋体" w:hAnsi="宋体"/>
          <w:sz w:val="24"/>
        </w:rPr>
        <w:t>。</w:t>
      </w:r>
    </w:p>
    <w:p>
      <w:pPr>
        <w:numPr>
          <w:ilvl w:val="0"/>
          <w:numId w:val="4"/>
        </w:numPr>
        <w:adjustRightInd w:val="0"/>
        <w:snapToGrid w:val="0"/>
        <w:spacing w:before="120" w:beforeLines="50" w:after="120" w:afterLines="50" w:line="300" w:lineRule="auto"/>
        <w:rPr>
          <w:rFonts w:ascii="宋体" w:hAnsi="宋体"/>
          <w:b/>
          <w:bCs/>
          <w:sz w:val="24"/>
        </w:rPr>
      </w:pPr>
      <w:bookmarkStart w:id="71" w:name="_Toc144114418"/>
      <w:r>
        <w:rPr>
          <w:rFonts w:hint="eastAsia" w:ascii="宋体" w:hAnsi="宋体"/>
          <w:b/>
          <w:bCs/>
          <w:sz w:val="24"/>
        </w:rPr>
        <w:t>顾问费</w:t>
      </w:r>
      <w:bookmarkEnd w:id="71"/>
    </w:p>
    <w:p>
      <w:pPr>
        <w:adjustRightInd w:val="0"/>
        <w:snapToGrid w:val="0"/>
        <w:spacing w:before="120" w:beforeLines="50" w:after="120" w:afterLines="50" w:line="300" w:lineRule="auto"/>
        <w:ind w:left="480"/>
        <w:rPr>
          <w:rFonts w:ascii="宋体" w:hAnsi="宋体"/>
          <w:sz w:val="24"/>
        </w:rPr>
      </w:pPr>
      <w:r>
        <w:rPr>
          <w:rFonts w:hint="eastAsia" w:ascii="宋体" w:hAnsi="宋体"/>
          <w:sz w:val="24"/>
        </w:rPr>
        <w:t>（一）金额</w:t>
      </w:r>
    </w:p>
    <w:p>
      <w:pPr>
        <w:adjustRightInd w:val="0"/>
        <w:snapToGrid w:val="0"/>
        <w:spacing w:before="120" w:beforeLines="50" w:after="120" w:afterLines="50" w:line="300" w:lineRule="auto"/>
        <w:ind w:firstLine="482"/>
        <w:rPr>
          <w:rFonts w:ascii="宋体" w:hAnsi="宋体"/>
          <w:sz w:val="24"/>
        </w:rPr>
      </w:pPr>
      <w:bookmarkStart w:id="72" w:name="OLE_LINK10"/>
      <w:bookmarkStart w:id="73" w:name="OLE_LINK9"/>
      <w:r>
        <w:rPr>
          <w:rFonts w:hint="eastAsia" w:ascii="宋体" w:hAnsi="宋体"/>
          <w:sz w:val="24"/>
        </w:rPr>
        <w:t>为本协议项下的咨询服务，甲方向乙方支付顾问费为：</w:t>
      </w:r>
      <w:bookmarkEnd w:id="72"/>
      <w:bookmarkEnd w:id="73"/>
    </w:p>
    <w:p>
      <w:pPr>
        <w:adjustRightInd w:val="0"/>
        <w:snapToGrid w:val="0"/>
        <w:spacing w:before="120" w:beforeLines="50" w:after="120" w:afterLines="50" w:line="300" w:lineRule="auto"/>
        <w:ind w:firstLine="470" w:firstLineChars="196"/>
        <w:rPr>
          <w:rFonts w:ascii="宋体" w:hAnsi="宋体"/>
          <w:sz w:val="24"/>
        </w:rPr>
      </w:pPr>
      <w:r>
        <w:rPr>
          <w:rFonts w:hint="eastAsia" w:ascii="宋体" w:hAnsi="宋体"/>
          <w:sz w:val="24"/>
        </w:rPr>
        <w:t>人民币大写【】万圆整（RMB【】.00）</w:t>
      </w:r>
    </w:p>
    <w:p>
      <w:pPr>
        <w:numPr>
          <w:ilvl w:val="0"/>
          <w:numId w:val="5"/>
        </w:numPr>
        <w:adjustRightInd w:val="0"/>
        <w:snapToGrid w:val="0"/>
        <w:spacing w:before="120" w:beforeLines="50" w:after="120" w:afterLines="50" w:line="300" w:lineRule="auto"/>
        <w:rPr>
          <w:rFonts w:ascii="宋体" w:hAnsi="宋体"/>
          <w:sz w:val="24"/>
        </w:rPr>
      </w:pPr>
      <w:r>
        <w:rPr>
          <w:rFonts w:hint="eastAsia" w:ascii="宋体" w:hAnsi="宋体"/>
          <w:sz w:val="24"/>
        </w:rPr>
        <w:t>外聘机构的费用</w:t>
      </w:r>
    </w:p>
    <w:p>
      <w:pPr>
        <w:adjustRightInd w:val="0"/>
        <w:snapToGrid w:val="0"/>
        <w:spacing w:before="120" w:beforeLines="50" w:after="120" w:afterLines="50" w:line="300" w:lineRule="auto"/>
        <w:ind w:firstLine="470" w:firstLineChars="196"/>
        <w:rPr>
          <w:rFonts w:ascii="宋体" w:hAnsi="宋体"/>
          <w:sz w:val="24"/>
        </w:rPr>
      </w:pPr>
      <w:r>
        <w:rPr>
          <w:rFonts w:hint="eastAsia" w:ascii="宋体" w:hAnsi="宋体"/>
          <w:sz w:val="24"/>
        </w:rPr>
        <w:t>如果项目工作内容中涉及到采购代理/招标代理、技术、工程建设或运营、审计、资产评估、商业开发顾问等需要聘请第三方中介机构或第三方人员完成的事宜，</w:t>
      </w:r>
      <w:r>
        <w:rPr>
          <w:rFonts w:hint="eastAsia"/>
          <w:sz w:val="24"/>
        </w:rPr>
        <w:t>由甲方负责并另行承担相应的费用；乙方应甲方要求，可提供必要的协助。</w:t>
      </w:r>
    </w:p>
    <w:p>
      <w:pPr>
        <w:numPr>
          <w:ilvl w:val="0"/>
          <w:numId w:val="5"/>
        </w:numPr>
        <w:adjustRightInd w:val="0"/>
        <w:snapToGrid w:val="0"/>
        <w:spacing w:before="120" w:beforeLines="50" w:after="120" w:afterLines="50" w:line="300" w:lineRule="auto"/>
        <w:rPr>
          <w:rFonts w:ascii="宋体" w:hAnsi="宋体"/>
          <w:sz w:val="24"/>
        </w:rPr>
      </w:pPr>
      <w:r>
        <w:rPr>
          <w:rFonts w:hint="eastAsia" w:ascii="宋体" w:hAnsi="宋体"/>
          <w:sz w:val="24"/>
        </w:rPr>
        <w:t>差旅费</w:t>
      </w:r>
    </w:p>
    <w:p>
      <w:pPr>
        <w:adjustRightInd w:val="0"/>
        <w:snapToGrid w:val="0"/>
        <w:spacing w:before="120" w:beforeLines="50" w:after="120" w:afterLines="50" w:line="300" w:lineRule="auto"/>
        <w:ind w:firstLine="470" w:firstLineChars="196"/>
        <w:rPr>
          <w:rFonts w:ascii="宋体" w:hAnsi="宋体"/>
          <w:sz w:val="24"/>
        </w:rPr>
      </w:pPr>
      <w:r>
        <w:rPr>
          <w:rFonts w:hint="eastAsia" w:ascii="宋体" w:hAnsi="宋体"/>
          <w:sz w:val="24"/>
        </w:rPr>
        <w:t>上述咨询服务费包含乙方咨询人员为执行本项目所发生的差旅费。</w:t>
      </w:r>
    </w:p>
    <w:p>
      <w:pPr>
        <w:numPr>
          <w:ilvl w:val="0"/>
          <w:numId w:val="5"/>
        </w:numPr>
        <w:adjustRightInd w:val="0"/>
        <w:snapToGrid w:val="0"/>
        <w:spacing w:before="120" w:beforeLines="50" w:after="120" w:afterLines="50" w:line="300" w:lineRule="auto"/>
        <w:rPr>
          <w:rFonts w:ascii="宋体" w:hAnsi="宋体"/>
          <w:sz w:val="24"/>
        </w:rPr>
      </w:pPr>
      <w:bookmarkStart w:id="74" w:name="OLE_LINK16"/>
      <w:bookmarkStart w:id="75" w:name="OLE_LINK17"/>
      <w:r>
        <w:rPr>
          <w:rFonts w:hint="eastAsia" w:ascii="宋体" w:hAnsi="宋体"/>
          <w:sz w:val="24"/>
        </w:rPr>
        <w:t>评审费</w:t>
      </w:r>
      <w:bookmarkEnd w:id="74"/>
      <w:bookmarkEnd w:id="75"/>
    </w:p>
    <w:p>
      <w:pPr>
        <w:adjustRightInd w:val="0"/>
        <w:snapToGrid w:val="0"/>
        <w:spacing w:before="120" w:beforeLines="50" w:after="120" w:afterLines="50" w:line="300" w:lineRule="auto"/>
        <w:ind w:firstLine="470" w:firstLineChars="196"/>
        <w:rPr>
          <w:rFonts w:ascii="Times New Roman" w:hAnsi="Times New Roman"/>
          <w:sz w:val="24"/>
        </w:rPr>
      </w:pPr>
      <w:r>
        <w:rPr>
          <w:rFonts w:hint="eastAsia"/>
          <w:sz w:val="24"/>
        </w:rPr>
        <w:t>本项目执行过程中所发生的专家评审费或甲方外出考察费（如有），由甲方自行承担。</w:t>
      </w:r>
    </w:p>
    <w:p>
      <w:pPr>
        <w:numPr>
          <w:ilvl w:val="0"/>
          <w:numId w:val="5"/>
        </w:numPr>
        <w:adjustRightInd w:val="0"/>
        <w:snapToGrid w:val="0"/>
        <w:spacing w:before="120" w:beforeLines="50" w:after="120" w:afterLines="50" w:line="300" w:lineRule="auto"/>
        <w:rPr>
          <w:rFonts w:ascii="宋体" w:hAnsi="宋体"/>
          <w:sz w:val="24"/>
        </w:rPr>
      </w:pPr>
      <w:r>
        <w:rPr>
          <w:rFonts w:hint="eastAsia" w:ascii="宋体" w:hAnsi="宋体"/>
          <w:sz w:val="24"/>
        </w:rPr>
        <w:t>政府采购代理费</w:t>
      </w:r>
    </w:p>
    <w:p>
      <w:pPr>
        <w:adjustRightInd w:val="0"/>
        <w:snapToGrid w:val="0"/>
        <w:spacing w:before="120" w:beforeLines="50" w:after="120" w:afterLines="50" w:line="300" w:lineRule="auto"/>
        <w:ind w:left="480"/>
        <w:rPr>
          <w:rFonts w:ascii="宋体" w:hAnsi="宋体"/>
          <w:sz w:val="24"/>
        </w:rPr>
      </w:pPr>
      <w:r>
        <w:rPr>
          <w:rFonts w:hint="eastAsia" w:ascii="宋体" w:hAnsi="宋体"/>
          <w:sz w:val="24"/>
        </w:rPr>
        <w:t>本项目政府采购代理费用由乙方在本项目投资人中标通知书发布后支付。</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（二）支付时间和方式</w:t>
      </w:r>
    </w:p>
    <w:p>
      <w:pPr>
        <w:adjustRightInd w:val="0"/>
        <w:snapToGrid w:val="0"/>
        <w:spacing w:before="120" w:beforeLines="50" w:after="120" w:afterLines="50" w:line="300" w:lineRule="auto"/>
        <w:ind w:firstLine="480" w:firstLineChars="200"/>
        <w:rPr>
          <w:rFonts w:ascii="宋体" w:hAnsi="宋体"/>
          <w:sz w:val="24"/>
        </w:rPr>
      </w:pPr>
      <w:bookmarkStart w:id="76" w:name="OLE_LINK21"/>
      <w:bookmarkStart w:id="77" w:name="OLE_LINK20"/>
      <w:bookmarkStart w:id="78" w:name="OLE_LINK23"/>
      <w:bookmarkStart w:id="79" w:name="OLE_LINK22"/>
      <w:r>
        <w:rPr>
          <w:rFonts w:hint="eastAsia" w:ascii="宋体" w:hAnsi="宋体"/>
          <w:sz w:val="24"/>
        </w:rPr>
        <w:t>前款规定的顾问费</w:t>
      </w:r>
      <w:bookmarkEnd w:id="76"/>
      <w:bookmarkEnd w:id="77"/>
      <w:r>
        <w:rPr>
          <w:rFonts w:hint="eastAsia" w:ascii="宋体" w:hAnsi="宋体"/>
          <w:sz w:val="24"/>
        </w:rPr>
        <w:t>根据工作进度，由甲方按照如下约定汇至乙方</w:t>
      </w:r>
      <w:bookmarkStart w:id="80" w:name="OLE_LINK24"/>
      <w:bookmarkStart w:id="81" w:name="OLE_LINK25"/>
      <w:r>
        <w:rPr>
          <w:rFonts w:hint="eastAsia" w:ascii="宋体" w:hAnsi="宋体"/>
          <w:sz w:val="24"/>
        </w:rPr>
        <w:t>指定的银行账户</w:t>
      </w:r>
      <w:bookmarkEnd w:id="78"/>
      <w:bookmarkEnd w:id="79"/>
      <w:bookmarkEnd w:id="80"/>
      <w:bookmarkEnd w:id="81"/>
      <w:r>
        <w:rPr>
          <w:rFonts w:hint="eastAsia" w:ascii="宋体" w:hAnsi="宋体"/>
          <w:sz w:val="24"/>
        </w:rPr>
        <w:t>：</w:t>
      </w:r>
    </w:p>
    <w:p>
      <w:pPr>
        <w:numPr>
          <w:ilvl w:val="0"/>
          <w:numId w:val="6"/>
        </w:numPr>
        <w:tabs>
          <w:tab w:val="left" w:pos="1530"/>
        </w:tabs>
        <w:adjustRightInd w:val="0"/>
        <w:snapToGrid w:val="0"/>
        <w:spacing w:before="120" w:beforeLines="50" w:after="120" w:afterLines="50" w:line="300" w:lineRule="auto"/>
        <w:rPr>
          <w:rFonts w:ascii="宋体" w:hAnsi="宋体"/>
          <w:sz w:val="24"/>
        </w:rPr>
      </w:pPr>
      <w:r>
        <w:rPr>
          <w:rFonts w:hint="eastAsia" w:ascii="宋体" w:hAnsi="宋体"/>
          <w:sz w:val="24"/>
        </w:rPr>
        <w:t>本协议生效之日起五[5]个工作日内，甲方应向乙方支付顾问费总额的百分之三十（30%），</w:t>
      </w:r>
      <w:bookmarkStart w:id="82" w:name="OLE_LINK26"/>
      <w:bookmarkStart w:id="83" w:name="OLE_LINK27"/>
      <w:r>
        <w:rPr>
          <w:rFonts w:hint="eastAsia" w:ascii="宋体" w:hAnsi="宋体"/>
          <w:sz w:val="24"/>
        </w:rPr>
        <w:t>计人民币</w:t>
      </w:r>
      <w:bookmarkEnd w:id="82"/>
      <w:bookmarkEnd w:id="83"/>
      <w:r>
        <w:rPr>
          <w:rFonts w:hint="eastAsia" w:ascii="宋体" w:hAnsi="宋体"/>
          <w:sz w:val="24"/>
        </w:rPr>
        <w:t xml:space="preserve">【】万元圆整（RMB【】.00）； </w:t>
      </w:r>
    </w:p>
    <w:p>
      <w:pPr>
        <w:numPr>
          <w:ilvl w:val="0"/>
          <w:numId w:val="6"/>
        </w:numPr>
        <w:tabs>
          <w:tab w:val="left" w:pos="1530"/>
        </w:tabs>
        <w:adjustRightInd w:val="0"/>
        <w:snapToGrid w:val="0"/>
        <w:spacing w:before="120" w:beforeLines="50" w:after="120" w:afterLines="50" w:line="300" w:lineRule="auto"/>
        <w:rPr>
          <w:rFonts w:ascii="宋体" w:hAnsi="宋体"/>
          <w:sz w:val="24"/>
        </w:rPr>
      </w:pPr>
      <w:r>
        <w:rPr>
          <w:rFonts w:hint="eastAsia" w:ascii="宋体" w:hAnsi="宋体"/>
          <w:sz w:val="24"/>
        </w:rPr>
        <w:t>本项目</w:t>
      </w:r>
      <w:r>
        <w:rPr>
          <w:sz w:val="24"/>
        </w:rPr>
        <w:t>PPP</w:t>
      </w:r>
      <w:r>
        <w:rPr>
          <w:rFonts w:hint="eastAsia"/>
          <w:sz w:val="24"/>
        </w:rPr>
        <w:t>实施方案审批通过</w:t>
      </w:r>
      <w:r>
        <w:rPr>
          <w:rFonts w:hint="eastAsia" w:ascii="宋体" w:hAnsi="宋体"/>
          <w:sz w:val="24"/>
        </w:rPr>
        <w:t xml:space="preserve">之日起五[5]个工作日内，甲方应向乙方支付顾问费总额的百分之五十（50%），计人民币【】万圆整（RMB【】.00）； </w:t>
      </w:r>
    </w:p>
    <w:p>
      <w:pPr>
        <w:numPr>
          <w:ilvl w:val="0"/>
          <w:numId w:val="6"/>
        </w:numPr>
        <w:tabs>
          <w:tab w:val="left" w:pos="1530"/>
        </w:tabs>
        <w:adjustRightInd w:val="0"/>
        <w:snapToGrid w:val="0"/>
        <w:spacing w:before="120" w:beforeLines="50" w:after="120" w:afterLines="50" w:line="300" w:lineRule="auto"/>
        <w:rPr>
          <w:rFonts w:ascii="宋体" w:hAnsi="宋体"/>
          <w:sz w:val="24"/>
        </w:rPr>
      </w:pPr>
      <w:r>
        <w:rPr>
          <w:rFonts w:hint="eastAsia"/>
          <w:sz w:val="24"/>
        </w:rPr>
        <w:t>甲方与中选社会资本签署本项目</w:t>
      </w:r>
      <w:r>
        <w:rPr>
          <w:sz w:val="24"/>
        </w:rPr>
        <w:t>PPP</w:t>
      </w:r>
      <w:r>
        <w:rPr>
          <w:rFonts w:hint="eastAsia"/>
          <w:sz w:val="24"/>
        </w:rPr>
        <w:t>项目协议</w:t>
      </w:r>
      <w:r>
        <w:rPr>
          <w:rFonts w:hint="eastAsia" w:ascii="宋体" w:hAnsi="宋体"/>
          <w:sz w:val="24"/>
        </w:rPr>
        <w:t>之日起五[5]个工作日内，甲方应向乙方支付顾问费总额的百分之二十（20%），计人民币【】万圆整（RMB【】.00）。</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乙方指定的收款银行账户为：</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 xml:space="preserve">户名： </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 xml:space="preserve">开户银行： </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账号：</w:t>
      </w:r>
    </w:p>
    <w:p>
      <w:pPr>
        <w:numPr>
          <w:ilvl w:val="0"/>
          <w:numId w:val="4"/>
        </w:numPr>
        <w:adjustRightInd w:val="0"/>
        <w:snapToGrid w:val="0"/>
        <w:spacing w:before="120" w:beforeLines="50" w:after="120" w:afterLines="50" w:line="300" w:lineRule="auto"/>
        <w:rPr>
          <w:rFonts w:ascii="宋体" w:hAnsi="宋体"/>
          <w:b/>
          <w:bCs/>
          <w:sz w:val="24"/>
        </w:rPr>
      </w:pPr>
      <w:bookmarkStart w:id="84" w:name="_Toc144114419"/>
      <w:r>
        <w:rPr>
          <w:rFonts w:hint="eastAsia" w:ascii="宋体" w:hAnsi="宋体"/>
          <w:b/>
          <w:bCs/>
          <w:sz w:val="24"/>
        </w:rPr>
        <w:t>提供便利及</w:t>
      </w:r>
      <w:bookmarkStart w:id="85" w:name="OLE_LINK45"/>
      <w:bookmarkStart w:id="86" w:name="OLE_LINK46"/>
      <w:bookmarkStart w:id="87" w:name="OLE_LINK29"/>
      <w:bookmarkStart w:id="88" w:name="OLE_LINK28"/>
      <w:r>
        <w:rPr>
          <w:rFonts w:hint="eastAsia" w:ascii="宋体" w:hAnsi="宋体"/>
          <w:b/>
          <w:bCs/>
          <w:sz w:val="24"/>
        </w:rPr>
        <w:t>审慎</w:t>
      </w:r>
      <w:bookmarkEnd w:id="85"/>
      <w:bookmarkEnd w:id="86"/>
      <w:r>
        <w:rPr>
          <w:rFonts w:hint="eastAsia" w:ascii="宋体" w:hAnsi="宋体"/>
          <w:b/>
          <w:bCs/>
          <w:sz w:val="24"/>
        </w:rPr>
        <w:t>工作</w:t>
      </w:r>
      <w:bookmarkEnd w:id="84"/>
      <w:bookmarkEnd w:id="87"/>
      <w:bookmarkEnd w:id="88"/>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（一）甲方应为乙方咨询人员执行本协议项下的咨询服务提供必要的协助和便利，</w:t>
      </w:r>
      <w:bookmarkStart w:id="89" w:name="OLE_LINK30"/>
      <w:r>
        <w:rPr>
          <w:rFonts w:hint="eastAsia" w:ascii="宋体" w:hAnsi="宋体"/>
          <w:sz w:val="24"/>
        </w:rPr>
        <w:t>具体包括</w:t>
      </w:r>
      <w:bookmarkEnd w:id="89"/>
      <w:r>
        <w:rPr>
          <w:rFonts w:hint="eastAsia" w:ascii="宋体" w:hAnsi="宋体"/>
          <w:sz w:val="24"/>
        </w:rPr>
        <w:t>：</w:t>
      </w:r>
    </w:p>
    <w:p>
      <w:pPr>
        <w:numPr>
          <w:ilvl w:val="0"/>
          <w:numId w:val="7"/>
        </w:numPr>
        <w:adjustRightInd w:val="0"/>
        <w:snapToGrid w:val="0"/>
        <w:spacing w:before="120" w:beforeLines="50" w:after="120" w:afterLines="50" w:line="300" w:lineRule="auto"/>
        <w:ind w:left="964" w:hanging="482"/>
        <w:rPr>
          <w:rFonts w:ascii="宋体" w:hAnsi="宋体"/>
          <w:sz w:val="24"/>
        </w:rPr>
      </w:pPr>
      <w:r>
        <w:rPr>
          <w:rFonts w:hint="eastAsia" w:ascii="宋体" w:hAnsi="宋体"/>
          <w:sz w:val="24"/>
        </w:rPr>
        <w:t>安排项目所在地合适的办公场所、设施及必要工作条件；</w:t>
      </w:r>
    </w:p>
    <w:p>
      <w:pPr>
        <w:numPr>
          <w:ilvl w:val="0"/>
          <w:numId w:val="7"/>
        </w:numPr>
        <w:adjustRightInd w:val="0"/>
        <w:snapToGrid w:val="0"/>
        <w:spacing w:before="120" w:beforeLines="50" w:after="120" w:afterLines="50" w:line="300" w:lineRule="auto"/>
        <w:rPr>
          <w:rFonts w:ascii="宋体" w:hAnsi="宋体"/>
          <w:sz w:val="24"/>
        </w:rPr>
      </w:pPr>
      <w:r>
        <w:rPr>
          <w:rFonts w:hint="eastAsia" w:ascii="宋体" w:hAnsi="宋体"/>
          <w:sz w:val="24"/>
        </w:rPr>
        <w:t>安排合适的工作人员与乙方咨询人员配合；</w:t>
      </w:r>
    </w:p>
    <w:p>
      <w:pPr>
        <w:numPr>
          <w:ilvl w:val="0"/>
          <w:numId w:val="7"/>
        </w:numPr>
        <w:adjustRightInd w:val="0"/>
        <w:snapToGrid w:val="0"/>
        <w:spacing w:before="120" w:beforeLines="50" w:after="120" w:afterLines="50" w:line="300" w:lineRule="auto"/>
        <w:rPr>
          <w:rFonts w:ascii="宋体" w:hAnsi="宋体"/>
          <w:sz w:val="24"/>
        </w:rPr>
      </w:pPr>
      <w:r>
        <w:rPr>
          <w:rFonts w:hint="eastAsia" w:ascii="宋体" w:hAnsi="宋体"/>
          <w:sz w:val="24"/>
        </w:rPr>
        <w:t>向乙方咨询人员及时提供所掌握的本项目全套资料和信息，并为乙方咨询人员向有关单位进行调研、访谈等提供协助、协调。因甲方提供不真实信息或资料所产生的一切后果，由甲方自行承担。</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（二）乙方应安排由**为项目总监、**为项目经理、**为项目副经理牵头组成的项目组（项目组成员包括**，**），并保持项目团队成员的相对稳定性。如遇特殊情况需调整项目经理的，乙方</w:t>
      </w:r>
      <w:bookmarkStart w:id="90" w:name="OLE_LINK32"/>
      <w:bookmarkStart w:id="91" w:name="OLE_LINK33"/>
      <w:r>
        <w:rPr>
          <w:rFonts w:hint="eastAsia" w:ascii="宋体" w:hAnsi="宋体"/>
          <w:sz w:val="24"/>
        </w:rPr>
        <w:t>应提前五[5]个工作日</w:t>
      </w:r>
      <w:bookmarkEnd w:id="90"/>
      <w:bookmarkEnd w:id="91"/>
      <w:r>
        <w:rPr>
          <w:rFonts w:hint="eastAsia" w:ascii="宋体" w:hAnsi="宋体"/>
          <w:sz w:val="24"/>
        </w:rPr>
        <w:t>通知甲方，</w:t>
      </w:r>
      <w:bookmarkStart w:id="92" w:name="OLE_LINK35"/>
      <w:bookmarkStart w:id="93" w:name="OLE_LINK34"/>
      <w:r>
        <w:rPr>
          <w:rFonts w:hint="eastAsia" w:ascii="宋体" w:hAnsi="宋体"/>
          <w:sz w:val="24"/>
        </w:rPr>
        <w:t>并采取相应措施以确保持续提供高品质的服务</w:t>
      </w:r>
      <w:bookmarkEnd w:id="92"/>
      <w:bookmarkEnd w:id="93"/>
      <w:r>
        <w:rPr>
          <w:rFonts w:hint="eastAsia" w:ascii="宋体" w:hAnsi="宋体"/>
          <w:sz w:val="24"/>
        </w:rPr>
        <w:t>。</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（三</w:t>
      </w:r>
      <w:bookmarkStart w:id="94" w:name="OLE_LINK39"/>
      <w:bookmarkStart w:id="95" w:name="OLE_LINK38"/>
      <w:r>
        <w:rPr>
          <w:rFonts w:hint="eastAsia" w:ascii="宋体" w:hAnsi="宋体"/>
          <w:sz w:val="24"/>
        </w:rPr>
        <w:t>）乙方应</w:t>
      </w:r>
      <w:bookmarkStart w:id="96" w:name="OLE_LINK36"/>
      <w:bookmarkStart w:id="97" w:name="OLE_LINK37"/>
      <w:r>
        <w:rPr>
          <w:rFonts w:hint="eastAsia" w:ascii="宋体" w:hAnsi="宋体"/>
          <w:sz w:val="24"/>
        </w:rPr>
        <w:t>认真负责地</w:t>
      </w:r>
      <w:bookmarkEnd w:id="96"/>
      <w:bookmarkEnd w:id="97"/>
      <w:r>
        <w:rPr>
          <w:rFonts w:hint="eastAsia" w:ascii="宋体" w:hAnsi="宋体"/>
          <w:sz w:val="24"/>
        </w:rPr>
        <w:t>对从甲方获得的全部资料及事实说明进行合理审查</w:t>
      </w:r>
      <w:bookmarkEnd w:id="94"/>
      <w:bookmarkEnd w:id="95"/>
      <w:r>
        <w:rPr>
          <w:rFonts w:hint="eastAsia" w:ascii="宋体" w:hAnsi="宋体"/>
          <w:sz w:val="24"/>
        </w:rPr>
        <w:t>，</w:t>
      </w:r>
      <w:bookmarkStart w:id="98" w:name="OLE_LINK42"/>
      <w:bookmarkStart w:id="99" w:name="OLE_LINK40"/>
      <w:bookmarkStart w:id="100" w:name="OLE_LINK41"/>
      <w:r>
        <w:rPr>
          <w:rFonts w:hint="eastAsia" w:ascii="宋体" w:hAnsi="宋体"/>
          <w:sz w:val="24"/>
        </w:rPr>
        <w:t>但对该等资料或信息的真实性、</w:t>
      </w:r>
      <w:bookmarkStart w:id="101" w:name="OLE_LINK50"/>
      <w:bookmarkStart w:id="102" w:name="OLE_LINK49"/>
      <w:r>
        <w:rPr>
          <w:rFonts w:hint="eastAsia" w:ascii="宋体" w:hAnsi="宋体"/>
          <w:sz w:val="24"/>
        </w:rPr>
        <w:t>准确性</w:t>
      </w:r>
      <w:bookmarkEnd w:id="101"/>
      <w:bookmarkEnd w:id="102"/>
      <w:r>
        <w:rPr>
          <w:rFonts w:hint="eastAsia" w:ascii="宋体" w:hAnsi="宋体"/>
          <w:sz w:val="24"/>
        </w:rPr>
        <w:t>、</w:t>
      </w:r>
      <w:bookmarkStart w:id="103" w:name="OLE_LINK52"/>
      <w:bookmarkStart w:id="104" w:name="OLE_LINK51"/>
      <w:r>
        <w:rPr>
          <w:rFonts w:hint="eastAsia" w:ascii="宋体" w:hAnsi="宋体"/>
          <w:sz w:val="24"/>
        </w:rPr>
        <w:t>完整性</w:t>
      </w:r>
      <w:bookmarkEnd w:id="103"/>
      <w:bookmarkEnd w:id="104"/>
      <w:r>
        <w:rPr>
          <w:rFonts w:hint="eastAsia" w:ascii="宋体" w:hAnsi="宋体"/>
          <w:sz w:val="24"/>
        </w:rPr>
        <w:t>不承担责任</w:t>
      </w:r>
      <w:bookmarkEnd w:id="98"/>
      <w:bookmarkEnd w:id="99"/>
      <w:bookmarkEnd w:id="100"/>
      <w:r>
        <w:rPr>
          <w:rFonts w:hint="eastAsia" w:ascii="宋体" w:hAnsi="宋体"/>
          <w:sz w:val="24"/>
        </w:rPr>
        <w:t>。</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（四）乙方承诺将按照</w:t>
      </w:r>
      <w:bookmarkStart w:id="105" w:name="OLE_LINK54"/>
      <w:bookmarkStart w:id="106" w:name="OLE_LINK53"/>
      <w:r>
        <w:rPr>
          <w:rFonts w:hint="eastAsia" w:ascii="宋体" w:hAnsi="宋体"/>
          <w:sz w:val="24"/>
        </w:rPr>
        <w:t>行业优良标准</w:t>
      </w:r>
      <w:bookmarkEnd w:id="105"/>
      <w:bookmarkEnd w:id="106"/>
      <w:r>
        <w:rPr>
          <w:rFonts w:hint="eastAsia" w:ascii="宋体" w:hAnsi="宋体"/>
          <w:sz w:val="24"/>
        </w:rPr>
        <w:t>，本着审慎尽责原则，根据项目实际情况，提供高效、专业、优质的咨询服务。</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（五）乙方承诺为本项目安排一名高级客户关系经理（**女士，联系方式：** ，邮箱**）专门负责咨询服务质量监督。如果甲方对乙方项目团队有任何建议或意见，可直接联系客户关系经理，其有权且有义务直接向乙方公司分管客户关系维护的高级副总裁及公司总裁直接反映，乙方公司内部应立即启动调查处理机制。</w:t>
      </w:r>
    </w:p>
    <w:p>
      <w:pPr>
        <w:numPr>
          <w:ilvl w:val="0"/>
          <w:numId w:val="4"/>
        </w:numPr>
        <w:adjustRightInd w:val="0"/>
        <w:snapToGrid w:val="0"/>
        <w:spacing w:before="120" w:beforeLines="50" w:after="120" w:afterLines="50" w:line="300" w:lineRule="auto"/>
        <w:rPr>
          <w:rFonts w:ascii="宋体" w:hAnsi="宋体"/>
          <w:b/>
          <w:bCs/>
          <w:sz w:val="24"/>
        </w:rPr>
      </w:pPr>
      <w:bookmarkStart w:id="107" w:name="_Toc144114420"/>
      <w:r>
        <w:rPr>
          <w:rFonts w:hint="eastAsia" w:ascii="宋体" w:hAnsi="宋体"/>
          <w:b/>
          <w:bCs/>
          <w:sz w:val="24"/>
        </w:rPr>
        <w:t>保密及知识产权</w:t>
      </w:r>
      <w:bookmarkEnd w:id="107"/>
      <w:r>
        <w:rPr>
          <w:rFonts w:hint="eastAsia" w:ascii="宋体" w:hAnsi="宋体"/>
          <w:b/>
          <w:bCs/>
          <w:sz w:val="24"/>
        </w:rPr>
        <w:t>相关</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（一）保密</w:t>
      </w:r>
    </w:p>
    <w:p>
      <w:pPr>
        <w:pStyle w:val="83"/>
        <w:widowControl/>
        <w:numPr>
          <w:ilvl w:val="2"/>
          <w:numId w:val="8"/>
        </w:numPr>
        <w:adjustRightInd w:val="0"/>
        <w:snapToGrid w:val="0"/>
        <w:spacing w:before="120" w:beforeLines="50" w:after="50" w:line="300" w:lineRule="auto"/>
        <w:ind w:firstLineChars="0"/>
        <w:rPr>
          <w:sz w:val="24"/>
          <w:szCs w:val="24"/>
        </w:rPr>
      </w:pPr>
      <w:r>
        <w:rPr>
          <w:rFonts w:hint="eastAsia"/>
          <w:sz w:val="24"/>
          <w:szCs w:val="24"/>
        </w:rPr>
        <w:t>非经</w:t>
      </w:r>
      <w:bookmarkStart w:id="108" w:name="OLE_LINK55"/>
      <w:r>
        <w:rPr>
          <w:rFonts w:hint="eastAsia"/>
          <w:sz w:val="24"/>
          <w:szCs w:val="24"/>
        </w:rPr>
        <w:t>对方</w:t>
      </w:r>
      <w:bookmarkEnd w:id="108"/>
      <w:r>
        <w:rPr>
          <w:rFonts w:hint="eastAsia"/>
          <w:sz w:val="24"/>
          <w:szCs w:val="24"/>
        </w:rPr>
        <w:t>事先书面同意，任何一方不得将从对方收集、整理、复制、研究和准备的与本协议项下工作有关的所有资料提供给任何第三方（但为本项目之目的，向政府有关部门或任何一方为本项目所聘请的其他顾问机构和个人进行披露的除外）。</w:t>
      </w:r>
    </w:p>
    <w:p>
      <w:pPr>
        <w:pStyle w:val="83"/>
        <w:widowControl/>
        <w:numPr>
          <w:ilvl w:val="2"/>
          <w:numId w:val="8"/>
        </w:numPr>
        <w:adjustRightInd w:val="0"/>
        <w:snapToGrid w:val="0"/>
        <w:spacing w:before="120" w:beforeLines="50" w:after="50" w:line="300" w:lineRule="auto"/>
        <w:ind w:firstLineChars="0"/>
        <w:rPr>
          <w:sz w:val="24"/>
          <w:szCs w:val="24"/>
        </w:rPr>
      </w:pPr>
      <w:bookmarkStart w:id="109" w:name="OLE_LINK57"/>
      <w:bookmarkStart w:id="110" w:name="OLE_LINK56"/>
      <w:r>
        <w:rPr>
          <w:rFonts w:hint="eastAsia"/>
          <w:sz w:val="24"/>
          <w:szCs w:val="24"/>
        </w:rPr>
        <w:t>一方应采取合理的预防措施</w:t>
      </w:r>
      <w:bookmarkEnd w:id="109"/>
      <w:bookmarkEnd w:id="110"/>
      <w:r>
        <w:rPr>
          <w:rFonts w:hint="eastAsia"/>
          <w:sz w:val="24"/>
          <w:szCs w:val="24"/>
        </w:rPr>
        <w:t>，以确保</w:t>
      </w:r>
      <w:bookmarkStart w:id="111" w:name="OLE_LINK58"/>
      <w:bookmarkStart w:id="112" w:name="OLE_LINK59"/>
      <w:r>
        <w:rPr>
          <w:rFonts w:hint="eastAsia"/>
          <w:sz w:val="24"/>
          <w:szCs w:val="24"/>
        </w:rPr>
        <w:t>只有为本项目实施有关而合理需要该等保密信息的人员和顾问</w:t>
      </w:r>
      <w:bookmarkEnd w:id="111"/>
      <w:bookmarkEnd w:id="112"/>
      <w:r>
        <w:rPr>
          <w:rFonts w:hint="eastAsia"/>
          <w:sz w:val="24"/>
          <w:szCs w:val="24"/>
        </w:rPr>
        <w:t>才能接触到从另一方获得的保密信息。一方有责任确保其所有人员和顾问遵守本协议项下的保密义务，并将此等人员和顾问的人数限制</w:t>
      </w:r>
      <w:bookmarkStart w:id="113" w:name="OLE_LINK60"/>
      <w:r>
        <w:rPr>
          <w:rFonts w:hint="eastAsia"/>
          <w:sz w:val="24"/>
          <w:szCs w:val="24"/>
        </w:rPr>
        <w:t>在最小范围内</w:t>
      </w:r>
      <w:bookmarkEnd w:id="113"/>
      <w:r>
        <w:rPr>
          <w:rFonts w:hint="eastAsia"/>
          <w:sz w:val="24"/>
          <w:szCs w:val="24"/>
        </w:rPr>
        <w:t>。</w:t>
      </w:r>
    </w:p>
    <w:p>
      <w:pPr>
        <w:pStyle w:val="83"/>
        <w:widowControl/>
        <w:numPr>
          <w:ilvl w:val="2"/>
          <w:numId w:val="8"/>
        </w:numPr>
        <w:adjustRightInd w:val="0"/>
        <w:snapToGrid w:val="0"/>
        <w:spacing w:before="120" w:beforeLines="50" w:after="50" w:line="300" w:lineRule="auto"/>
        <w:ind w:firstLineChars="0"/>
        <w:rPr>
          <w:sz w:val="24"/>
          <w:szCs w:val="24"/>
        </w:rPr>
      </w:pPr>
      <w:r>
        <w:rPr>
          <w:rFonts w:hint="eastAsia"/>
          <w:sz w:val="24"/>
          <w:szCs w:val="24"/>
        </w:rPr>
        <w:t>未经一方事先书面同意，另一方不得将本协议的重要商务信息（包括咨询服务费用及</w:t>
      </w:r>
      <w:bookmarkStart w:id="114" w:name="OLE_LINK62"/>
      <w:bookmarkStart w:id="115" w:name="OLE_LINK61"/>
      <w:r>
        <w:rPr>
          <w:rFonts w:hint="eastAsia"/>
          <w:sz w:val="24"/>
          <w:szCs w:val="24"/>
        </w:rPr>
        <w:t>支付信息</w:t>
      </w:r>
      <w:bookmarkEnd w:id="114"/>
      <w:bookmarkEnd w:id="115"/>
      <w:r>
        <w:rPr>
          <w:rFonts w:hint="eastAsia"/>
          <w:sz w:val="24"/>
          <w:szCs w:val="24"/>
        </w:rPr>
        <w:t>等）提供给任何第三方，该等信息的保密期限为一方获知、洽谈该等商务信息时起算，且</w:t>
      </w:r>
      <w:bookmarkStart w:id="116" w:name="OLE_LINK63"/>
      <w:r>
        <w:rPr>
          <w:rFonts w:hint="eastAsia"/>
          <w:sz w:val="24"/>
          <w:szCs w:val="24"/>
        </w:rPr>
        <w:t>不受本条第（4）款所述有效期的限制</w:t>
      </w:r>
      <w:bookmarkEnd w:id="116"/>
      <w:r>
        <w:rPr>
          <w:rFonts w:hint="eastAsia"/>
          <w:sz w:val="24"/>
          <w:szCs w:val="24"/>
        </w:rPr>
        <w:t>。</w:t>
      </w:r>
    </w:p>
    <w:p>
      <w:pPr>
        <w:pStyle w:val="83"/>
        <w:widowControl/>
        <w:numPr>
          <w:ilvl w:val="2"/>
          <w:numId w:val="8"/>
        </w:numPr>
        <w:adjustRightInd w:val="0"/>
        <w:snapToGrid w:val="0"/>
        <w:spacing w:before="120" w:beforeLines="50" w:after="50" w:line="300" w:lineRule="auto"/>
        <w:ind w:firstLineChars="0"/>
        <w:rPr>
          <w:sz w:val="24"/>
          <w:szCs w:val="24"/>
        </w:rPr>
      </w:pPr>
      <w:bookmarkStart w:id="117" w:name="OLE_LINK65"/>
      <w:bookmarkStart w:id="118" w:name="OLE_LINK64"/>
      <w:r>
        <w:rPr>
          <w:rFonts w:hint="eastAsia"/>
          <w:sz w:val="24"/>
          <w:szCs w:val="24"/>
        </w:rPr>
        <w:t>除本协议另有约定外</w:t>
      </w:r>
      <w:bookmarkEnd w:id="117"/>
      <w:bookmarkEnd w:id="118"/>
      <w:r>
        <w:rPr>
          <w:rFonts w:hint="eastAsia"/>
          <w:sz w:val="24"/>
          <w:szCs w:val="24"/>
        </w:rPr>
        <w:t>，任一方在本协议项下的保密义务的期限自本协议生效之日起五年，或者自一方向其披露任何保密信息之日起五年，</w:t>
      </w:r>
      <w:bookmarkStart w:id="119" w:name="OLE_LINK67"/>
      <w:bookmarkStart w:id="120" w:name="OLE_LINK66"/>
      <w:r>
        <w:rPr>
          <w:rFonts w:hint="eastAsia"/>
          <w:sz w:val="24"/>
          <w:szCs w:val="24"/>
        </w:rPr>
        <w:t>以较晚者为准</w:t>
      </w:r>
      <w:bookmarkEnd w:id="119"/>
      <w:bookmarkEnd w:id="120"/>
      <w:r>
        <w:rPr>
          <w:rFonts w:hint="eastAsia"/>
          <w:sz w:val="24"/>
          <w:szCs w:val="24"/>
        </w:rPr>
        <w:t>。</w:t>
      </w:r>
    </w:p>
    <w:p>
      <w:pPr>
        <w:widowControl/>
        <w:adjustRightInd w:val="0"/>
        <w:snapToGrid w:val="0"/>
        <w:spacing w:before="120" w:beforeLines="50" w:after="50" w:line="300" w:lineRule="auto"/>
        <w:ind w:firstLine="480" w:firstLineChars="200"/>
        <w:rPr>
          <w:rFonts w:ascii="宋体" w:hAnsi="宋体"/>
          <w:sz w:val="24"/>
          <w:szCs w:val="24"/>
        </w:rPr>
      </w:pPr>
      <w:r>
        <w:rPr>
          <w:rFonts w:hint="eastAsia" w:ascii="宋体" w:hAnsi="宋体"/>
          <w:sz w:val="24"/>
        </w:rPr>
        <w:t>（二）知识产权</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在本项目执行过程中，乙方编制的所有与本项目有关的工作成果的知识产权属于双方共有，任何一方未经同意不得向任何第三方披露该工作成果。</w:t>
      </w:r>
    </w:p>
    <w:p>
      <w:pPr>
        <w:numPr>
          <w:ilvl w:val="0"/>
          <w:numId w:val="4"/>
        </w:numPr>
        <w:adjustRightInd w:val="0"/>
        <w:snapToGrid w:val="0"/>
        <w:spacing w:before="120" w:beforeLines="50" w:after="120" w:afterLines="50" w:line="300" w:lineRule="auto"/>
        <w:rPr>
          <w:rFonts w:ascii="宋体" w:hAnsi="宋体"/>
          <w:b/>
          <w:bCs/>
          <w:sz w:val="24"/>
        </w:rPr>
      </w:pPr>
      <w:bookmarkStart w:id="121" w:name="_Toc144114421"/>
      <w:r>
        <w:rPr>
          <w:rFonts w:hint="eastAsia" w:ascii="宋体" w:hAnsi="宋体"/>
          <w:b/>
          <w:bCs/>
          <w:sz w:val="24"/>
        </w:rPr>
        <w:t>协议变更、中止与终止</w:t>
      </w:r>
      <w:bookmarkEnd w:id="121"/>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（一）除非甲乙双方达成一致的书面协议，任何一方不得变更本协议的任何条款，不得单方解除本协议。</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（二）当甲方未按照本协议约定的进度及相应金额履行付款义务时，乙方有权中止提供后续阶段的服务，并向甲方发出书面中止通知；如果该等情形在一[1]个月内未得到解决，乙方有权提前终止本协议。</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三）如因可归责于甲方的原因，包括但不限于本条第（二）款所述事项，导致本协议提前终止的，则除甲方已经支付的咨询顾问费外，就咨询顾问费总额中剩余部分，甲方还应根据乙方实际工作阶段及已经完成的工作成果支付相应的咨询顾问费（具体金额由双方届时协商确定），且应同时向乙方支付相当于全部咨询顾问费百分之二十（20%）的赔偿金。</w:t>
      </w:r>
    </w:p>
    <w:p>
      <w:pPr>
        <w:widowControl/>
        <w:adjustRightInd w:val="0"/>
        <w:snapToGrid w:val="0"/>
        <w:spacing w:before="120" w:beforeLines="50" w:after="50" w:line="300" w:lineRule="auto"/>
        <w:ind w:firstLine="480" w:firstLineChars="200"/>
        <w:rPr>
          <w:rFonts w:ascii="宋体" w:hAnsi="宋体"/>
          <w:sz w:val="24"/>
        </w:rPr>
      </w:pPr>
      <w:r>
        <w:rPr>
          <w:rFonts w:hint="eastAsia" w:ascii="宋体" w:hAnsi="宋体"/>
          <w:sz w:val="24"/>
        </w:rPr>
        <w:t>（四）如因可归责于乙方的原因导致未能按本协议约定提供咨询服务时，则甲方有权拒绝支付后续阶段的咨询费用，并有权要求乙方在催告的合理时间内完成相应阶段的工作。如乙方无正当理由拒不改正等导致本协议履行不能或实质性目标不能实现的，则甲方有权提前终止本协议，并有权要求乙方支付相当于全部咨询顾问费百分之二十（20%）的赔偿金。</w:t>
      </w:r>
    </w:p>
    <w:p>
      <w:pPr>
        <w:adjustRightInd w:val="0"/>
        <w:snapToGrid w:val="0"/>
        <w:spacing w:before="120" w:beforeLines="50" w:after="120" w:afterLines="50" w:line="300" w:lineRule="auto"/>
        <w:ind w:firstLine="480" w:firstLineChars="200"/>
        <w:rPr>
          <w:rFonts w:ascii="宋体" w:hAnsi="宋体"/>
          <w:sz w:val="24"/>
        </w:rPr>
      </w:pPr>
      <w:r>
        <w:rPr>
          <w:rFonts w:hint="eastAsia" w:ascii="宋体" w:hAnsi="宋体"/>
          <w:sz w:val="24"/>
        </w:rPr>
        <w:t>（五）如任一方违约（且该等违约未发生导致本协议提前终止情形的），则违约方应向非违约方支付违约金，违约金为本协议项下全部咨询顾问费的百分之**％）。</w:t>
      </w:r>
    </w:p>
    <w:p>
      <w:pPr>
        <w:numPr>
          <w:ilvl w:val="0"/>
          <w:numId w:val="4"/>
        </w:numPr>
        <w:adjustRightInd w:val="0"/>
        <w:snapToGrid w:val="0"/>
        <w:spacing w:before="120" w:beforeLines="50" w:after="120" w:afterLines="50" w:line="300" w:lineRule="auto"/>
        <w:rPr>
          <w:rFonts w:ascii="宋体" w:hAnsi="宋体"/>
          <w:b/>
          <w:bCs/>
          <w:sz w:val="24"/>
        </w:rPr>
      </w:pPr>
      <w:bookmarkStart w:id="122" w:name="_Toc144114422"/>
      <w:r>
        <w:rPr>
          <w:rFonts w:hint="eastAsia" w:ascii="宋体" w:hAnsi="宋体"/>
          <w:b/>
          <w:bCs/>
          <w:sz w:val="24"/>
        </w:rPr>
        <w:t>适用法律及争议解决</w:t>
      </w:r>
      <w:bookmarkEnd w:id="122"/>
    </w:p>
    <w:p>
      <w:pPr>
        <w:adjustRightInd w:val="0"/>
        <w:snapToGrid w:val="0"/>
        <w:spacing w:before="120" w:beforeLines="50" w:after="120" w:afterLines="50" w:line="300" w:lineRule="auto"/>
        <w:ind w:firstLine="482"/>
        <w:rPr>
          <w:rFonts w:ascii="宋体" w:hAnsi="宋体"/>
          <w:sz w:val="24"/>
        </w:rPr>
      </w:pPr>
      <w:r>
        <w:rPr>
          <w:rFonts w:hint="eastAsia" w:ascii="宋体" w:hAnsi="宋体"/>
          <w:sz w:val="24"/>
        </w:rPr>
        <w:t>本协议的成立、效力、解释、履行及争议的解决，受中华人民共和国法律管辖并依其解释。</w:t>
      </w:r>
    </w:p>
    <w:p>
      <w:pPr>
        <w:adjustRightInd w:val="0"/>
        <w:snapToGrid w:val="0"/>
        <w:spacing w:before="120" w:beforeLines="50" w:after="120" w:afterLines="50" w:line="300" w:lineRule="auto"/>
        <w:ind w:firstLine="482"/>
        <w:rPr>
          <w:rFonts w:ascii="宋体" w:hAnsi="宋体"/>
          <w:sz w:val="24"/>
        </w:rPr>
      </w:pPr>
      <w:r>
        <w:rPr>
          <w:rFonts w:hint="eastAsia" w:ascii="宋体" w:hAnsi="宋体"/>
          <w:sz w:val="24"/>
        </w:rPr>
        <w:t>本协议履行过程中若发生任何争议，甲、乙双方应本着互谅互让的原则通过友好协商方式妥善解决。</w:t>
      </w:r>
    </w:p>
    <w:p>
      <w:pPr>
        <w:adjustRightInd w:val="0"/>
        <w:snapToGrid w:val="0"/>
        <w:spacing w:before="120" w:beforeLines="50" w:after="120" w:afterLines="50" w:line="300" w:lineRule="auto"/>
        <w:ind w:firstLine="482"/>
        <w:rPr>
          <w:rFonts w:ascii="宋体" w:hAnsi="宋体"/>
          <w:sz w:val="24"/>
        </w:rPr>
      </w:pPr>
      <w:r>
        <w:rPr>
          <w:rFonts w:hint="eastAsia" w:ascii="宋体" w:hAnsi="宋体"/>
          <w:sz w:val="24"/>
        </w:rPr>
        <w:t>如果在一方向其他方发出要求协商解决的书面通知后三十（30）天之内协商解决不成的，双方皆有权向有管辖权的人民法院提起诉讼。</w:t>
      </w:r>
    </w:p>
    <w:p>
      <w:pPr>
        <w:numPr>
          <w:ilvl w:val="0"/>
          <w:numId w:val="4"/>
        </w:numPr>
        <w:adjustRightInd w:val="0"/>
        <w:snapToGrid w:val="0"/>
        <w:spacing w:before="120" w:beforeLines="50" w:after="120" w:afterLines="50" w:line="300" w:lineRule="auto"/>
        <w:rPr>
          <w:rFonts w:ascii="宋体" w:hAnsi="宋体"/>
          <w:b/>
          <w:bCs/>
          <w:sz w:val="24"/>
        </w:rPr>
      </w:pPr>
      <w:bookmarkStart w:id="123" w:name="_Toc144114423"/>
      <w:r>
        <w:rPr>
          <w:rFonts w:hint="eastAsia" w:ascii="宋体" w:hAnsi="宋体"/>
          <w:b/>
          <w:bCs/>
          <w:sz w:val="24"/>
        </w:rPr>
        <w:t>生效及其他</w:t>
      </w:r>
      <w:bookmarkEnd w:id="123"/>
    </w:p>
    <w:p>
      <w:pPr>
        <w:pStyle w:val="83"/>
        <w:numPr>
          <w:ilvl w:val="0"/>
          <w:numId w:val="9"/>
        </w:numPr>
        <w:adjustRightInd w:val="0"/>
        <w:snapToGrid w:val="0"/>
        <w:spacing w:before="120" w:beforeLines="50" w:after="120" w:afterLines="50" w:line="300" w:lineRule="auto"/>
        <w:ind w:firstLineChars="0"/>
        <w:rPr>
          <w:sz w:val="24"/>
          <w:szCs w:val="24"/>
        </w:rPr>
      </w:pPr>
      <w:r>
        <w:rPr>
          <w:rFonts w:hint="eastAsia"/>
          <w:sz w:val="24"/>
          <w:szCs w:val="24"/>
        </w:rPr>
        <w:t>本协议自甲、乙双方签字并盖章之日起生效。</w:t>
      </w:r>
    </w:p>
    <w:p>
      <w:pPr>
        <w:pStyle w:val="83"/>
        <w:numPr>
          <w:ilvl w:val="0"/>
          <w:numId w:val="9"/>
        </w:numPr>
        <w:adjustRightInd w:val="0"/>
        <w:snapToGrid w:val="0"/>
        <w:spacing w:before="120" w:beforeLines="50" w:after="120" w:afterLines="50" w:line="300" w:lineRule="auto"/>
        <w:ind w:firstLineChars="0"/>
        <w:rPr>
          <w:sz w:val="24"/>
          <w:szCs w:val="24"/>
        </w:rPr>
      </w:pPr>
      <w:r>
        <w:rPr>
          <w:rFonts w:hint="eastAsia"/>
          <w:sz w:val="24"/>
          <w:szCs w:val="24"/>
        </w:rPr>
        <w:t>与本协议有关的一切税费，均应由双方各自承担。</w:t>
      </w:r>
    </w:p>
    <w:p>
      <w:pPr>
        <w:pStyle w:val="83"/>
        <w:numPr>
          <w:ilvl w:val="0"/>
          <w:numId w:val="9"/>
        </w:numPr>
        <w:adjustRightInd w:val="0"/>
        <w:snapToGrid w:val="0"/>
        <w:spacing w:before="120" w:beforeLines="50" w:after="120" w:afterLines="50" w:line="300" w:lineRule="auto"/>
        <w:ind w:firstLineChars="0"/>
        <w:rPr>
          <w:sz w:val="24"/>
          <w:szCs w:val="24"/>
        </w:rPr>
      </w:pPr>
      <w:r>
        <w:rPr>
          <w:rFonts w:hint="eastAsia"/>
          <w:sz w:val="24"/>
          <w:szCs w:val="24"/>
        </w:rPr>
        <w:t>本合同包含了双方对其中所列事项的全部约定和协议，并取代了以前所有有关的口头或书面的约定、协议或意向、声明。</w:t>
      </w:r>
    </w:p>
    <w:p>
      <w:pPr>
        <w:pStyle w:val="83"/>
        <w:numPr>
          <w:ilvl w:val="0"/>
          <w:numId w:val="9"/>
        </w:numPr>
        <w:adjustRightInd w:val="0"/>
        <w:snapToGrid w:val="0"/>
        <w:spacing w:before="120" w:beforeLines="50" w:after="120" w:afterLines="50" w:line="300" w:lineRule="auto"/>
        <w:ind w:firstLineChars="0"/>
        <w:rPr>
          <w:sz w:val="24"/>
          <w:szCs w:val="24"/>
        </w:rPr>
      </w:pPr>
      <w:r>
        <w:rPr>
          <w:rFonts w:hint="eastAsia"/>
          <w:sz w:val="24"/>
          <w:szCs w:val="24"/>
        </w:rPr>
        <w:t>本协议未尽事宜，经双方协商一致，另行签订书面补充协议。</w:t>
      </w:r>
    </w:p>
    <w:p>
      <w:pPr>
        <w:pStyle w:val="83"/>
        <w:numPr>
          <w:ilvl w:val="0"/>
          <w:numId w:val="9"/>
        </w:numPr>
        <w:adjustRightInd w:val="0"/>
        <w:snapToGrid w:val="0"/>
        <w:spacing w:before="120" w:beforeLines="50" w:after="120" w:afterLines="50" w:line="300" w:lineRule="auto"/>
        <w:ind w:firstLineChars="0"/>
        <w:rPr>
          <w:sz w:val="24"/>
          <w:szCs w:val="24"/>
        </w:rPr>
      </w:pPr>
      <w:r>
        <w:rPr>
          <w:rFonts w:hint="eastAsia"/>
          <w:sz w:val="24"/>
          <w:szCs w:val="24"/>
        </w:rPr>
        <w:t>本协议一式**份，双方各执**份。</w:t>
      </w:r>
    </w:p>
    <w:p>
      <w:pPr>
        <w:adjustRightInd w:val="0"/>
        <w:snapToGrid w:val="0"/>
        <w:spacing w:before="120" w:beforeLines="50" w:after="240" w:afterLines="100" w:line="300" w:lineRule="auto"/>
        <w:ind w:firstLine="480" w:firstLineChars="200"/>
        <w:jc w:val="center"/>
        <w:rPr>
          <w:rFonts w:ascii="宋体" w:hAnsi="宋体"/>
          <w:sz w:val="24"/>
          <w:szCs w:val="24"/>
        </w:rPr>
      </w:pPr>
      <w:r>
        <w:rPr>
          <w:rFonts w:hint="eastAsia" w:ascii="宋体" w:hAnsi="宋体"/>
          <w:sz w:val="24"/>
        </w:rPr>
        <w:t>【以下无正文】</w:t>
      </w:r>
    </w:p>
    <w:p>
      <w:pPr>
        <w:spacing w:before="120" w:beforeLines="50" w:after="120" w:afterLines="50" w:line="300" w:lineRule="auto"/>
        <w:ind w:firstLine="480" w:firstLineChars="200"/>
        <w:rPr>
          <w:rFonts w:ascii="Times New Roman" w:hAnsi="Times New Roman"/>
          <w:sz w:val="24"/>
        </w:rPr>
      </w:pPr>
      <w:r>
        <w:rPr>
          <w:rFonts w:hint="eastAsia"/>
          <w:sz w:val="24"/>
        </w:rPr>
        <w:t>甲方：</w:t>
      </w:r>
      <w:r>
        <w:rPr>
          <w:sz w:val="24"/>
        </w:rPr>
        <w:t xml:space="preserve">   </w:t>
      </w:r>
      <w:r>
        <w:rPr>
          <w:rFonts w:hint="eastAsia"/>
          <w:sz w:val="24"/>
        </w:rPr>
        <w:t>（盖章）</w:t>
      </w:r>
      <w:r>
        <w:rPr>
          <w:sz w:val="24"/>
        </w:rPr>
        <w:t xml:space="preserve">   </w:t>
      </w:r>
      <w:r>
        <w:rPr>
          <w:sz w:val="24"/>
        </w:rPr>
        <w:tab/>
      </w:r>
      <w:r>
        <w:rPr>
          <w:sz w:val="24"/>
        </w:rPr>
        <w:tab/>
      </w:r>
      <w:r>
        <w:rPr>
          <w:sz w:val="24"/>
        </w:rPr>
        <w:tab/>
      </w:r>
      <w:r>
        <w:rPr>
          <w:sz w:val="24"/>
        </w:rPr>
        <w:t xml:space="preserve">          </w:t>
      </w:r>
      <w:r>
        <w:rPr>
          <w:rFonts w:hint="eastAsia"/>
          <w:sz w:val="24"/>
        </w:rPr>
        <w:t>乙方：</w:t>
      </w:r>
      <w:r>
        <w:rPr>
          <w:sz w:val="24"/>
        </w:rPr>
        <w:t xml:space="preserve">   </w:t>
      </w:r>
      <w:r>
        <w:rPr>
          <w:rFonts w:hint="eastAsia"/>
          <w:sz w:val="24"/>
        </w:rPr>
        <w:t>（盖章）</w:t>
      </w:r>
    </w:p>
    <w:p>
      <w:pPr>
        <w:spacing w:before="120" w:beforeLines="50" w:after="120" w:afterLines="50" w:line="300" w:lineRule="auto"/>
        <w:ind w:firstLine="480" w:firstLineChars="200"/>
        <w:rPr>
          <w:rFonts w:ascii="宋体" w:hAnsi="宋体"/>
          <w:sz w:val="24"/>
        </w:rPr>
      </w:pPr>
      <w:r>
        <w:rPr>
          <w:rFonts w:hint="eastAsia"/>
          <w:sz w:val="24"/>
        </w:rPr>
        <w:t>法定代表人（授权代表）：</w:t>
      </w:r>
      <w:r>
        <w:rPr>
          <w:sz w:val="24"/>
        </w:rPr>
        <w:t xml:space="preserve">              </w:t>
      </w:r>
      <w:r>
        <w:rPr>
          <w:rFonts w:hint="eastAsia"/>
          <w:sz w:val="24"/>
        </w:rPr>
        <w:t>法定代表人（授权代表）：</w:t>
      </w:r>
    </w:p>
    <w:p>
      <w:pPr>
        <w:autoSpaceDE w:val="0"/>
        <w:autoSpaceDN w:val="0"/>
        <w:adjustRightInd w:val="0"/>
        <w:spacing w:line="540" w:lineRule="exact"/>
        <w:ind w:firstLine="560"/>
        <w:rPr>
          <w:rFonts w:ascii="宋体" w:hAnsi="宋体" w:eastAsia="宋体" w:cs="宋体"/>
          <w:sz w:val="24"/>
          <w:szCs w:val="24"/>
        </w:rPr>
      </w:pPr>
      <w:r>
        <w:rPr>
          <w:rFonts w:hint="eastAsia" w:ascii="宋体" w:hAnsi="宋体" w:eastAsia="宋体" w:cs="宋体"/>
          <w:sz w:val="24"/>
          <w:szCs w:val="24"/>
        </w:rPr>
        <w:t xml:space="preserve">  </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sectPr>
          <w:pgSz w:w="11906" w:h="16838"/>
          <w:pgMar w:top="1587" w:right="1587" w:bottom="1587" w:left="1587" w:header="1247" w:footer="992" w:gutter="0"/>
          <w:cols w:space="0" w:num="1"/>
          <w:docGrid w:linePitch="312" w:charSpace="0"/>
        </w:sectPr>
      </w:pPr>
    </w:p>
    <w:p>
      <w:pPr>
        <w:tabs>
          <w:tab w:val="center" w:pos="4479"/>
          <w:tab w:val="left" w:pos="6300"/>
        </w:tabs>
        <w:spacing w:line="800" w:lineRule="exact"/>
        <w:jc w:val="center"/>
        <w:outlineLvl w:val="0"/>
        <w:rPr>
          <w:rFonts w:ascii="宋体" w:hAnsi="宋体" w:eastAsia="宋体" w:cs="宋体"/>
          <w:b/>
          <w:sz w:val="44"/>
          <w:szCs w:val="44"/>
        </w:rPr>
      </w:pPr>
      <w:bookmarkStart w:id="124" w:name="_Toc27116"/>
      <w:r>
        <w:rPr>
          <w:rFonts w:hint="eastAsia" w:ascii="宋体" w:hAnsi="宋体" w:eastAsia="宋体" w:cs="宋体"/>
          <w:b/>
          <w:bCs/>
          <w:sz w:val="44"/>
          <w:szCs w:val="44"/>
          <w:lang w:val="zh-CN"/>
        </w:rPr>
        <w:t>第六部分 附件</w:t>
      </w:r>
      <w:bookmarkEnd w:id="124"/>
    </w:p>
    <w:p>
      <w:pPr>
        <w:tabs>
          <w:tab w:val="center" w:pos="4479"/>
          <w:tab w:val="left" w:pos="6300"/>
        </w:tabs>
        <w:jc w:val="left"/>
        <w:rPr>
          <w:rFonts w:ascii="宋体" w:hAnsi="宋体" w:eastAsia="宋体" w:cs="宋体"/>
          <w:b/>
          <w:sz w:val="36"/>
          <w:szCs w:val="36"/>
        </w:rPr>
      </w:pP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附件1投标函及开标一览表</w:t>
      </w:r>
    </w:p>
    <w:p>
      <w:pPr>
        <w:spacing w:line="360" w:lineRule="auto"/>
        <w:ind w:firstLine="555"/>
        <w:jc w:val="left"/>
        <w:rPr>
          <w:rFonts w:ascii="宋体" w:hAnsi="宋体" w:eastAsia="宋体" w:cs="宋体"/>
          <w:b/>
          <w:sz w:val="24"/>
          <w:szCs w:val="24"/>
        </w:rPr>
      </w:pPr>
      <w:r>
        <w:rPr>
          <w:rFonts w:hint="eastAsia" w:ascii="宋体" w:hAnsi="宋体" w:eastAsia="宋体" w:cs="宋体"/>
          <w:sz w:val="24"/>
          <w:szCs w:val="24"/>
        </w:rPr>
        <w:t>附件2</w:t>
      </w:r>
      <w:r>
        <w:fldChar w:fldCharType="begin"/>
      </w:r>
      <w:r>
        <w:instrText xml:space="preserve"> HYPERLINK \l "_Toc416442391" </w:instrText>
      </w:r>
      <w:r>
        <w:fldChar w:fldCharType="separate"/>
      </w:r>
      <w:r>
        <w:rPr>
          <w:rFonts w:hint="eastAsia" w:ascii="宋体" w:hAnsi="宋体" w:eastAsia="宋体" w:cs="宋体"/>
          <w:sz w:val="24"/>
          <w:szCs w:val="24"/>
        </w:rPr>
        <w:t>法定代表人身份证明或授权委托书</w:t>
      </w:r>
      <w:r>
        <w:rPr>
          <w:rFonts w:hint="eastAsia" w:ascii="宋体" w:hAnsi="宋体" w:eastAsia="宋体" w:cs="宋体"/>
          <w:sz w:val="24"/>
          <w:szCs w:val="24"/>
        </w:rPr>
        <w:tab/>
      </w:r>
      <w:r>
        <w:rPr>
          <w:rFonts w:hint="eastAsia" w:ascii="宋体" w:hAnsi="宋体" w:eastAsia="宋体" w:cs="宋体"/>
          <w:sz w:val="24"/>
          <w:szCs w:val="24"/>
        </w:rPr>
        <w:fldChar w:fldCharType="end"/>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附件3投标保证金</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附件4供应商情况</w:t>
      </w:r>
      <w:r>
        <w:rPr>
          <w:rFonts w:hint="eastAsia" w:ascii="宋体" w:hAnsi="宋体" w:eastAsia="宋体" w:cs="宋体"/>
          <w:sz w:val="24"/>
          <w:szCs w:val="24"/>
        </w:rPr>
        <w:tab/>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附件5 PPP项目业绩</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附件6咨询服务方案</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附件7中标服务费承诺书</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附件8反商业贿赂承诺书</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附件9资格声明函</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附件10参加政府采购活动前3年内在经营活动中没有重大违法记录的书面声明</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附件11其它相关资料</w:t>
      </w:r>
    </w:p>
    <w:p>
      <w:pPr>
        <w:tabs>
          <w:tab w:val="left" w:pos="0"/>
        </w:tabs>
        <w:spacing w:line="480" w:lineRule="auto"/>
        <w:ind w:firstLine="590" w:firstLineChars="246"/>
        <w:rPr>
          <w:rFonts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555"/>
        <w:jc w:val="left"/>
        <w:rPr>
          <w:rFonts w:ascii="宋体" w:hAnsi="宋体" w:eastAsia="宋体" w:cs="宋体"/>
          <w:sz w:val="24"/>
          <w:szCs w:val="24"/>
        </w:rPr>
      </w:pP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说明：</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1.投标文件编制过程中应按本章提供的格式填报。</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2.本章提供的格式内容如在投标范围内不涉及，也应在表中注明。</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3.如有本章未提供格式的投标内容，供应商可自行提供。</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outlineLvl w:val="1"/>
        <w:rPr>
          <w:rFonts w:ascii="宋体" w:hAnsi="宋体" w:eastAsia="宋体" w:cs="宋体"/>
          <w:b/>
          <w:sz w:val="24"/>
          <w:szCs w:val="24"/>
        </w:rPr>
      </w:pPr>
      <w:bookmarkStart w:id="125" w:name="_Toc181344363"/>
      <w:bookmarkStart w:id="126" w:name="_Toc106161066"/>
      <w:bookmarkStart w:id="127" w:name="_Toc106161463"/>
      <w:bookmarkStart w:id="128" w:name="_Toc181348173"/>
      <w:bookmarkStart w:id="129" w:name="_Toc137651743"/>
      <w:bookmarkStart w:id="130" w:name="_Toc248025920"/>
      <w:bookmarkStart w:id="131" w:name="_Toc107821892"/>
      <w:bookmarkStart w:id="132" w:name="_Toc179456568"/>
      <w:bookmarkStart w:id="133" w:name="_Toc275431232"/>
      <w:bookmarkStart w:id="134" w:name="_Toc30184"/>
      <w:r>
        <w:rPr>
          <w:rFonts w:hint="eastAsia" w:ascii="宋体" w:hAnsi="宋体" w:eastAsia="宋体" w:cs="宋体"/>
          <w:b/>
          <w:sz w:val="24"/>
          <w:szCs w:val="24"/>
        </w:rPr>
        <w:t>附件1</w:t>
      </w:r>
      <w:bookmarkEnd w:id="125"/>
      <w:bookmarkEnd w:id="126"/>
      <w:bookmarkEnd w:id="127"/>
      <w:bookmarkEnd w:id="128"/>
      <w:bookmarkEnd w:id="129"/>
      <w:bookmarkEnd w:id="130"/>
      <w:bookmarkEnd w:id="131"/>
      <w:bookmarkEnd w:id="132"/>
      <w:r>
        <w:rPr>
          <w:rFonts w:hint="eastAsia" w:ascii="宋体" w:hAnsi="宋体" w:eastAsia="宋体" w:cs="宋体"/>
          <w:b/>
          <w:sz w:val="24"/>
          <w:szCs w:val="24"/>
        </w:rPr>
        <w:t xml:space="preserve"> 投标</w:t>
      </w:r>
      <w:bookmarkEnd w:id="133"/>
      <w:r>
        <w:rPr>
          <w:rFonts w:hint="eastAsia" w:ascii="宋体" w:hAnsi="宋体" w:eastAsia="宋体" w:cs="宋体"/>
          <w:b/>
          <w:sz w:val="24"/>
          <w:szCs w:val="24"/>
        </w:rPr>
        <w:t>函及开标一览表</w:t>
      </w:r>
      <w:bookmarkEnd w:id="134"/>
    </w:p>
    <w:p>
      <w:bookmarkStart w:id="135" w:name="_Toc29659"/>
    </w:p>
    <w:p>
      <w:pPr>
        <w:keepNext/>
        <w:keepLines/>
        <w:spacing w:before="20" w:after="20" w:line="416" w:lineRule="auto"/>
        <w:jc w:val="center"/>
        <w:outlineLvl w:val="1"/>
        <w:rPr>
          <w:rFonts w:ascii="宋体" w:hAnsi="宋体" w:eastAsia="宋体" w:cs="宋体"/>
          <w:b/>
          <w:bCs/>
          <w:sz w:val="28"/>
          <w:szCs w:val="28"/>
        </w:rPr>
      </w:pPr>
      <w:r>
        <w:rPr>
          <w:rFonts w:hint="eastAsia" w:ascii="宋体" w:hAnsi="宋体" w:eastAsia="宋体" w:cs="宋体"/>
          <w:b/>
          <w:bCs/>
          <w:sz w:val="28"/>
          <w:szCs w:val="28"/>
        </w:rPr>
        <w:t xml:space="preserve">（一）投 标 </w:t>
      </w:r>
      <w:bookmarkEnd w:id="135"/>
      <w:r>
        <w:rPr>
          <w:rFonts w:hint="eastAsia" w:ascii="宋体" w:hAnsi="宋体" w:eastAsia="宋体" w:cs="宋体"/>
          <w:b/>
          <w:bCs/>
          <w:sz w:val="28"/>
          <w:szCs w:val="28"/>
        </w:rPr>
        <w:t>函</w:t>
      </w:r>
    </w:p>
    <w:p>
      <w:pPr>
        <w:jc w:val="center"/>
        <w:rPr>
          <w:rFonts w:ascii="宋体" w:hAnsi="宋体" w:eastAsia="宋体" w:cs="宋体"/>
          <w:b/>
          <w:szCs w:val="21"/>
        </w:rPr>
      </w:pPr>
    </w:p>
    <w:p>
      <w:pPr>
        <w:rPr>
          <w:rFonts w:ascii="宋体" w:hAnsi="宋体" w:eastAsia="宋体" w:cs="宋体"/>
          <w:sz w:val="24"/>
          <w:szCs w:val="24"/>
        </w:rPr>
      </w:pPr>
      <w:r>
        <w:rPr>
          <w:rFonts w:hint="eastAsia" w:ascii="宋体" w:hAnsi="宋体" w:eastAsia="宋体" w:cs="宋体"/>
          <w:sz w:val="24"/>
          <w:szCs w:val="24"/>
        </w:rPr>
        <w:t>致：</w:t>
      </w:r>
    </w:p>
    <w:p>
      <w:pPr>
        <w:rPr>
          <w:rFonts w:ascii="宋体" w:hAnsi="宋体" w:eastAsia="宋体" w:cs="宋体"/>
          <w:sz w:val="24"/>
          <w:szCs w:val="24"/>
        </w:rPr>
      </w:pP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根据贵方项目（项目编号：           ）招标公告及招标文件，签字代表</w:t>
      </w:r>
      <w:r>
        <w:rPr>
          <w:rFonts w:hint="eastAsia" w:ascii="宋体" w:hAnsi="宋体" w:eastAsia="宋体" w:cs="宋体"/>
          <w:sz w:val="24"/>
          <w:szCs w:val="24"/>
          <w:u w:val="single"/>
        </w:rPr>
        <w:t xml:space="preserve"> （姓名、职务） </w:t>
      </w:r>
      <w:r>
        <w:rPr>
          <w:rFonts w:hint="eastAsia" w:ascii="宋体" w:hAnsi="宋体" w:eastAsia="宋体" w:cs="宋体"/>
          <w:sz w:val="24"/>
          <w:szCs w:val="24"/>
        </w:rPr>
        <w:t>经正式授权并代表</w:t>
      </w:r>
      <w:r>
        <w:rPr>
          <w:rFonts w:hint="eastAsia" w:ascii="宋体" w:hAnsi="宋体" w:eastAsia="宋体" w:cs="宋体"/>
          <w:sz w:val="24"/>
          <w:szCs w:val="24"/>
          <w:u w:val="single"/>
        </w:rPr>
        <w:t xml:space="preserve">      （供应商名称、地址）      </w:t>
      </w:r>
      <w:r>
        <w:rPr>
          <w:rFonts w:hint="eastAsia" w:ascii="宋体" w:hAnsi="宋体" w:eastAsia="宋体" w:cs="宋体"/>
          <w:sz w:val="24"/>
          <w:szCs w:val="24"/>
        </w:rPr>
        <w:t>提交投标文件正本一份、副本四份：</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全权代表宣布如下：</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1.投标总价为人民币（大写）</w:t>
      </w:r>
      <w:r>
        <w:rPr>
          <w:rFonts w:hint="eastAsia" w:ascii="宋体" w:hAnsi="宋体" w:eastAsia="宋体" w:cs="宋体"/>
          <w:sz w:val="24"/>
          <w:szCs w:val="24"/>
          <w:u w:val="single"/>
        </w:rPr>
        <w:t xml:space="preserve">                      元 </w:t>
      </w:r>
      <w:r>
        <w:rPr>
          <w:rFonts w:hint="eastAsia" w:ascii="宋体" w:hAnsi="宋体" w:eastAsia="宋体" w:cs="宋体"/>
          <w:sz w:val="24"/>
          <w:szCs w:val="24"/>
        </w:rPr>
        <w:t>。</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2.我方已详细审查全部招标文件，包括修改文件（如有的话）以及全部参考资料和有关附件，我方完全接受招标文件中所规定的合同条款及其他部分的全部内容。</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3.投标有效期为自投标截止时间起</w:t>
      </w:r>
      <w:r>
        <w:rPr>
          <w:rFonts w:hint="eastAsia" w:ascii="宋体" w:hAnsi="宋体" w:eastAsia="宋体" w:cs="宋体"/>
          <w:sz w:val="24"/>
          <w:szCs w:val="24"/>
          <w:u w:val="single"/>
        </w:rPr>
        <w:t xml:space="preserve">  60  </w:t>
      </w:r>
      <w:r>
        <w:rPr>
          <w:rFonts w:hint="eastAsia" w:ascii="宋体" w:hAnsi="宋体" w:eastAsia="宋体" w:cs="宋体"/>
          <w:sz w:val="24"/>
          <w:szCs w:val="24"/>
        </w:rPr>
        <w:t>个日历天；</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4.如果在规定的开标时间后，我方在投标有效期内撤回投标，或在中标之后未能按照招标文件的要求与采购人及时签订合同，我方的投标保证金将被贵方没收。</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5.我方同意提供按照贵方可能要求的与投标有关的一切数据或资料，完全理解贵方不一定要接受最低价的投标或收到的任何投标。</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6.与本投标有关的一切正式往来通讯请寄：</w:t>
      </w:r>
    </w:p>
    <w:p>
      <w:pPr>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 xml:space="preserve"> 地址：邮编：</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电话：传真：</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供应商名称：（公章）</w:t>
      </w:r>
    </w:p>
    <w:p>
      <w:pPr>
        <w:spacing w:line="360" w:lineRule="auto"/>
        <w:ind w:firstLine="555"/>
        <w:jc w:val="left"/>
        <w:rPr>
          <w:rFonts w:ascii="宋体" w:hAnsi="宋体" w:eastAsia="宋体" w:cs="宋体"/>
          <w:sz w:val="24"/>
          <w:szCs w:val="24"/>
          <w:u w:val="single"/>
        </w:rPr>
      </w:pPr>
      <w:r>
        <w:rPr>
          <w:rFonts w:hint="eastAsia" w:ascii="宋体" w:hAnsi="宋体" w:eastAsia="宋体" w:cs="宋体"/>
          <w:sz w:val="24"/>
          <w:szCs w:val="24"/>
        </w:rPr>
        <w:t>法定代表人或委托代理人签字：</w:t>
      </w:r>
    </w:p>
    <w:p>
      <w:pPr>
        <w:spacing w:line="360" w:lineRule="auto"/>
        <w:ind w:firstLine="555"/>
        <w:jc w:val="left"/>
        <w:rPr>
          <w:rFonts w:ascii="宋体" w:hAnsi="宋体" w:eastAsia="宋体" w:cs="宋体"/>
          <w:sz w:val="24"/>
          <w:szCs w:val="24"/>
        </w:rPr>
      </w:pPr>
      <w:r>
        <w:rPr>
          <w:rFonts w:hint="eastAsia" w:ascii="宋体" w:hAnsi="宋体" w:eastAsia="宋体" w:cs="宋体"/>
          <w:sz w:val="24"/>
          <w:szCs w:val="24"/>
        </w:rPr>
        <w:t>投标日期： 年 月 日</w:t>
      </w:r>
    </w:p>
    <w:p>
      <w:pPr>
        <w:spacing w:line="560" w:lineRule="exact"/>
        <w:jc w:val="left"/>
        <w:rPr>
          <w:rFonts w:ascii="宋体" w:hAnsi="宋体" w:eastAsia="宋体" w:cs="宋体"/>
          <w:b/>
          <w:sz w:val="24"/>
          <w:szCs w:val="24"/>
        </w:rPr>
      </w:pPr>
    </w:p>
    <w:p>
      <w:pPr>
        <w:spacing w:line="560" w:lineRule="exact"/>
        <w:jc w:val="left"/>
        <w:rPr>
          <w:rFonts w:ascii="宋体" w:hAnsi="宋体" w:eastAsia="宋体" w:cs="宋体"/>
          <w:b/>
          <w:szCs w:val="21"/>
        </w:rPr>
      </w:pPr>
    </w:p>
    <w:p>
      <w:pPr>
        <w:spacing w:line="560" w:lineRule="exact"/>
        <w:jc w:val="left"/>
        <w:rPr>
          <w:rFonts w:ascii="宋体" w:hAnsi="宋体" w:eastAsia="宋体" w:cs="宋体"/>
          <w:b/>
          <w:szCs w:val="21"/>
        </w:rPr>
      </w:pPr>
    </w:p>
    <w:p>
      <w:pPr>
        <w:spacing w:line="560" w:lineRule="exact"/>
        <w:jc w:val="left"/>
        <w:rPr>
          <w:rFonts w:ascii="宋体" w:hAnsi="宋体" w:eastAsia="宋体" w:cs="宋体"/>
          <w:b/>
          <w:szCs w:val="21"/>
        </w:rPr>
      </w:pPr>
    </w:p>
    <w:p>
      <w:pPr>
        <w:spacing w:line="560" w:lineRule="exact"/>
        <w:jc w:val="left"/>
        <w:rPr>
          <w:rFonts w:ascii="宋体" w:hAnsi="宋体" w:eastAsia="宋体" w:cs="宋体"/>
          <w:b/>
          <w:sz w:val="28"/>
          <w:szCs w:val="28"/>
        </w:rPr>
      </w:pPr>
    </w:p>
    <w:p>
      <w:pPr>
        <w:tabs>
          <w:tab w:val="center" w:pos="4479"/>
          <w:tab w:val="left" w:pos="6195"/>
        </w:tabs>
        <w:spacing w:line="560" w:lineRule="exact"/>
        <w:jc w:val="center"/>
        <w:outlineLvl w:val="1"/>
        <w:rPr>
          <w:rFonts w:ascii="宋体" w:hAnsi="宋体" w:eastAsia="宋体" w:cs="宋体"/>
          <w:b/>
          <w:sz w:val="28"/>
          <w:szCs w:val="28"/>
        </w:rPr>
      </w:pPr>
      <w:bookmarkStart w:id="136" w:name="_Toc30778"/>
      <w:r>
        <w:rPr>
          <w:rFonts w:hint="eastAsia" w:ascii="宋体" w:hAnsi="宋体" w:eastAsia="宋体" w:cs="宋体"/>
          <w:b/>
          <w:bCs/>
          <w:sz w:val="28"/>
          <w:szCs w:val="28"/>
        </w:rPr>
        <w:t>（二）开标一览表</w:t>
      </w:r>
      <w:bookmarkEnd w:id="136"/>
    </w:p>
    <w:p>
      <w:pPr>
        <w:tabs>
          <w:tab w:val="center" w:pos="4479"/>
          <w:tab w:val="left" w:pos="6195"/>
        </w:tabs>
        <w:spacing w:line="560" w:lineRule="exact"/>
        <w:jc w:val="left"/>
        <w:rPr>
          <w:rFonts w:ascii="宋体" w:hAnsi="宋体" w:eastAsia="宋体" w:cs="宋体"/>
          <w:b/>
          <w:sz w:val="24"/>
          <w:szCs w:val="24"/>
        </w:rPr>
      </w:pPr>
      <w:r>
        <w:rPr>
          <w:rFonts w:hint="eastAsia" w:ascii="宋体" w:hAnsi="宋体" w:eastAsia="宋体" w:cs="宋体"/>
          <w:sz w:val="24"/>
          <w:szCs w:val="24"/>
        </w:rPr>
        <w:t>项目编号：                                         货币单位：元（人民币）</w:t>
      </w:r>
    </w:p>
    <w:tbl>
      <w:tblPr>
        <w:tblStyle w:val="27"/>
        <w:tblW w:w="918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7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2086" w:type="dxa"/>
            <w:vAlign w:val="center"/>
          </w:tcPr>
          <w:p>
            <w:pPr>
              <w:spacing w:line="560" w:lineRule="exact"/>
              <w:jc w:val="center"/>
              <w:rPr>
                <w:rFonts w:ascii="宋体" w:hAnsi="宋体" w:eastAsia="宋体" w:cs="宋体"/>
                <w:b/>
                <w:bCs/>
                <w:sz w:val="24"/>
                <w:szCs w:val="24"/>
              </w:rPr>
            </w:pPr>
            <w:r>
              <w:rPr>
                <w:rFonts w:hint="eastAsia" w:ascii="宋体" w:hAnsi="宋体" w:eastAsia="宋体" w:cs="宋体"/>
                <w:b/>
                <w:bCs/>
                <w:sz w:val="24"/>
                <w:szCs w:val="24"/>
              </w:rPr>
              <w:t>项目名称</w:t>
            </w:r>
          </w:p>
          <w:p>
            <w:pPr>
              <w:spacing w:line="560" w:lineRule="exact"/>
              <w:jc w:val="center"/>
              <w:rPr>
                <w:rFonts w:ascii="宋体" w:hAnsi="宋体" w:eastAsia="宋体" w:cs="宋体"/>
                <w:b/>
                <w:bCs/>
                <w:sz w:val="24"/>
                <w:szCs w:val="24"/>
              </w:rPr>
            </w:pPr>
            <w:r>
              <w:rPr>
                <w:rFonts w:hint="eastAsia" w:ascii="宋体" w:hAnsi="宋体" w:eastAsia="宋体" w:cs="宋体"/>
                <w:b/>
                <w:bCs/>
                <w:sz w:val="24"/>
                <w:szCs w:val="24"/>
              </w:rPr>
              <w:t>（标段）</w:t>
            </w:r>
          </w:p>
        </w:tc>
        <w:tc>
          <w:tcPr>
            <w:tcW w:w="7094" w:type="dxa"/>
            <w:vAlign w:val="center"/>
          </w:tcPr>
          <w:p>
            <w:pPr>
              <w:spacing w:line="56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2086" w:type="dxa"/>
            <w:vAlign w:val="center"/>
          </w:tcPr>
          <w:p>
            <w:pPr>
              <w:spacing w:line="560" w:lineRule="exact"/>
              <w:jc w:val="center"/>
              <w:rPr>
                <w:rFonts w:ascii="宋体" w:hAnsi="宋体" w:eastAsia="宋体" w:cs="宋体"/>
                <w:b/>
                <w:bCs/>
                <w:sz w:val="24"/>
                <w:szCs w:val="24"/>
              </w:rPr>
            </w:pPr>
            <w:r>
              <w:rPr>
                <w:rFonts w:hint="eastAsia" w:ascii="宋体" w:hAnsi="宋体" w:eastAsia="宋体" w:cs="宋体"/>
                <w:b/>
                <w:bCs/>
                <w:sz w:val="24"/>
                <w:szCs w:val="24"/>
              </w:rPr>
              <w:t>投标报价</w:t>
            </w:r>
          </w:p>
        </w:tc>
        <w:tc>
          <w:tcPr>
            <w:tcW w:w="7094" w:type="dxa"/>
            <w:vAlign w:val="center"/>
          </w:tcPr>
          <w:p>
            <w:pPr>
              <w:spacing w:line="560" w:lineRule="exact"/>
              <w:jc w:val="left"/>
              <w:rPr>
                <w:rFonts w:ascii="宋体" w:hAnsi="宋体" w:eastAsia="宋体" w:cs="宋体"/>
                <w:sz w:val="24"/>
                <w:szCs w:val="24"/>
              </w:rPr>
            </w:pPr>
            <w:r>
              <w:rPr>
                <w:rFonts w:hint="eastAsia" w:ascii="宋体" w:hAnsi="宋体" w:eastAsia="宋体" w:cs="宋体"/>
                <w:sz w:val="24"/>
                <w:szCs w:val="24"/>
              </w:rPr>
              <w:t xml:space="preserve">大写： </w:t>
            </w:r>
          </w:p>
          <w:p>
            <w:pPr>
              <w:spacing w:line="560" w:lineRule="exact"/>
              <w:jc w:val="left"/>
              <w:rPr>
                <w:rFonts w:ascii="宋体" w:hAnsi="宋体" w:eastAsia="宋体" w:cs="宋体"/>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086" w:type="dxa"/>
            <w:vAlign w:val="center"/>
          </w:tcPr>
          <w:p>
            <w:pPr>
              <w:spacing w:line="560" w:lineRule="exact"/>
              <w:jc w:val="center"/>
              <w:rPr>
                <w:rFonts w:ascii="宋体" w:hAnsi="宋体" w:eastAsia="宋体" w:cs="宋体"/>
                <w:b/>
                <w:bCs/>
                <w:sz w:val="24"/>
                <w:szCs w:val="24"/>
              </w:rPr>
            </w:pPr>
            <w:r>
              <w:rPr>
                <w:rFonts w:hint="eastAsia" w:ascii="宋体" w:hAnsi="宋体" w:eastAsia="宋体" w:cs="宋体"/>
                <w:b/>
                <w:bCs/>
                <w:sz w:val="24"/>
                <w:szCs w:val="24"/>
              </w:rPr>
              <w:t>项目负责人</w:t>
            </w:r>
          </w:p>
        </w:tc>
        <w:tc>
          <w:tcPr>
            <w:tcW w:w="7094" w:type="dxa"/>
            <w:vAlign w:val="center"/>
          </w:tcPr>
          <w:p>
            <w:pPr>
              <w:spacing w:line="560" w:lineRule="exact"/>
              <w:ind w:firstLine="555"/>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086" w:type="dxa"/>
            <w:vAlign w:val="center"/>
          </w:tcPr>
          <w:p>
            <w:pPr>
              <w:adjustRightInd w:val="0"/>
              <w:snapToGrid w:val="0"/>
              <w:spacing w:line="360" w:lineRule="auto"/>
              <w:jc w:val="left"/>
              <w:rPr>
                <w:rFonts w:hint="eastAsia" w:ascii="宋体" w:hAnsi="宋体" w:eastAsia="宋体" w:cs="宋体"/>
                <w:b w:val="0"/>
                <w:bCs w:val="0"/>
                <w:sz w:val="24"/>
                <w:szCs w:val="24"/>
              </w:rPr>
            </w:pPr>
            <w:r>
              <w:rPr>
                <w:rFonts w:hint="eastAsia" w:ascii="宋体" w:hAnsi="宋体" w:eastAsia="宋体" w:cs="宋体"/>
                <w:b/>
                <w:bCs/>
                <w:sz w:val="24"/>
                <w:szCs w:val="24"/>
              </w:rPr>
              <w:t>需要说明的问题</w:t>
            </w:r>
          </w:p>
        </w:tc>
        <w:tc>
          <w:tcPr>
            <w:tcW w:w="7094"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服务周期：自本项目咨询服务合同签订日起至政府与社会资本方签订合同为止。</w:t>
            </w:r>
          </w:p>
          <w:p>
            <w:pPr>
              <w:adjustRightInd w:val="0"/>
              <w:snapToGrid w:val="0"/>
              <w:spacing w:line="360" w:lineRule="auto"/>
              <w:jc w:val="left"/>
              <w:rPr>
                <w:rFonts w:hint="eastAsia" w:ascii="宋体" w:hAnsi="宋体" w:eastAsia="宋体" w:cs="宋体"/>
                <w:sz w:val="24"/>
                <w:szCs w:val="24"/>
                <w:highlight w:val="yellow"/>
              </w:rPr>
            </w:pPr>
            <w:r>
              <w:rPr>
                <w:rFonts w:hint="eastAsia" w:ascii="宋体" w:hAnsi="宋体" w:eastAsia="宋体" w:cs="宋体"/>
                <w:spacing w:val="0"/>
                <w:sz w:val="24"/>
                <w:szCs w:val="24"/>
                <w:highlight w:val="yellow"/>
                <w:lang w:eastAsia="zh-CN"/>
              </w:rPr>
              <w:t>服务要求：</w:t>
            </w:r>
            <w:r>
              <w:rPr>
                <w:rFonts w:hint="eastAsia" w:ascii="宋体" w:hAnsi="宋体" w:eastAsia="宋体" w:cs="宋体"/>
                <w:spacing w:val="0"/>
                <w:sz w:val="24"/>
                <w:szCs w:val="24"/>
                <w:highlight w:val="yellow"/>
              </w:rPr>
              <w:t>符合现行国家PPP政策，通过相关部门审核批准</w:t>
            </w:r>
            <w:r>
              <w:rPr>
                <w:rFonts w:hint="eastAsia" w:ascii="宋体" w:hAnsi="宋体" w:eastAsia="宋体" w:cs="宋体"/>
                <w:spacing w:val="0"/>
                <w:sz w:val="24"/>
                <w:szCs w:val="24"/>
                <w:highlight w:val="yellow"/>
                <w:lang w:eastAsia="zh-CN"/>
              </w:rPr>
              <w:t>。</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投标有效期：60日历天（自投标截止之日起）。</w:t>
            </w:r>
          </w:p>
          <w:p>
            <w:pPr>
              <w:adjustRightInd w:val="0"/>
              <w:snapToGrid w:val="0"/>
              <w:spacing w:line="360" w:lineRule="auto"/>
              <w:jc w:val="left"/>
              <w:rPr>
                <w:rFonts w:ascii="宋体" w:hAnsi="宋体" w:eastAsia="宋体" w:cs="宋体"/>
                <w:sz w:val="24"/>
                <w:szCs w:val="24"/>
              </w:rPr>
            </w:pPr>
            <w:r>
              <w:rPr>
                <w:rFonts w:hint="eastAsia" w:ascii="宋体" w:hAnsi="宋体" w:eastAsia="宋体" w:cs="宋体"/>
                <w:sz w:val="24"/>
                <w:szCs w:val="24"/>
              </w:rPr>
              <w:t>技术标准和要求：响应招标文件要求。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086" w:type="dxa"/>
            <w:vAlign w:val="center"/>
          </w:tcPr>
          <w:p>
            <w:pPr>
              <w:spacing w:line="560" w:lineRule="exact"/>
              <w:jc w:val="center"/>
              <w:rPr>
                <w:rFonts w:ascii="宋体" w:hAnsi="宋体" w:eastAsia="宋体" w:cs="宋体"/>
                <w:b/>
                <w:bCs/>
                <w:sz w:val="24"/>
                <w:szCs w:val="24"/>
              </w:rPr>
            </w:pPr>
            <w:r>
              <w:rPr>
                <w:rFonts w:hint="eastAsia" w:ascii="宋体" w:hAnsi="宋体" w:eastAsia="宋体" w:cs="宋体"/>
                <w:b/>
                <w:bCs/>
                <w:sz w:val="24"/>
                <w:szCs w:val="24"/>
              </w:rPr>
              <w:t>备  注</w:t>
            </w:r>
          </w:p>
        </w:tc>
        <w:tc>
          <w:tcPr>
            <w:tcW w:w="7094" w:type="dxa"/>
            <w:vAlign w:val="center"/>
          </w:tcPr>
          <w:p>
            <w:pPr>
              <w:spacing w:line="560" w:lineRule="exact"/>
              <w:ind w:firstLine="555"/>
              <w:jc w:val="left"/>
              <w:rPr>
                <w:rFonts w:ascii="宋体" w:hAnsi="宋体" w:eastAsia="宋体" w:cs="宋体"/>
                <w:sz w:val="24"/>
                <w:szCs w:val="24"/>
              </w:rPr>
            </w:pPr>
          </w:p>
        </w:tc>
      </w:tr>
    </w:tbl>
    <w:p>
      <w:pPr>
        <w:spacing w:line="560" w:lineRule="exact"/>
        <w:jc w:val="left"/>
        <w:rPr>
          <w:rFonts w:ascii="宋体" w:hAnsi="宋体" w:eastAsia="宋体" w:cs="宋体"/>
          <w:sz w:val="24"/>
          <w:szCs w:val="24"/>
        </w:rPr>
      </w:pPr>
    </w:p>
    <w:p>
      <w:pPr>
        <w:spacing w:line="560" w:lineRule="exact"/>
        <w:ind w:firstLine="3840" w:firstLineChars="1600"/>
        <w:jc w:val="left"/>
        <w:rPr>
          <w:rFonts w:ascii="宋体" w:hAnsi="宋体" w:eastAsia="宋体" w:cs="宋体"/>
          <w:sz w:val="24"/>
          <w:szCs w:val="24"/>
        </w:rPr>
      </w:pPr>
      <w:r>
        <w:rPr>
          <w:rFonts w:hint="eastAsia" w:ascii="宋体" w:hAnsi="宋体" w:eastAsia="宋体" w:cs="宋体"/>
          <w:sz w:val="24"/>
          <w:szCs w:val="24"/>
        </w:rPr>
        <w:t xml:space="preserve">供应商名称：（盖章）        </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法定代表人或委托代理人(签字)：</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日期：   年  月   日</w:t>
      </w:r>
      <w:r>
        <w:rPr>
          <w:rFonts w:hint="eastAsia" w:ascii="宋体" w:hAnsi="宋体" w:eastAsia="宋体" w:cs="宋体"/>
          <w:sz w:val="24"/>
          <w:szCs w:val="24"/>
        </w:rPr>
        <w:tab/>
      </w:r>
    </w:p>
    <w:p>
      <w:pPr>
        <w:tabs>
          <w:tab w:val="left" w:pos="3150"/>
        </w:tabs>
        <w:spacing w:line="560" w:lineRule="exact"/>
        <w:jc w:val="left"/>
        <w:rPr>
          <w:rFonts w:ascii="宋体" w:hAnsi="宋体" w:eastAsia="宋体" w:cs="宋体"/>
          <w:b/>
          <w:sz w:val="24"/>
          <w:szCs w:val="24"/>
        </w:rPr>
      </w:pPr>
    </w:p>
    <w:p>
      <w:pPr>
        <w:tabs>
          <w:tab w:val="left" w:pos="3150"/>
        </w:tabs>
        <w:spacing w:line="560" w:lineRule="exact"/>
        <w:jc w:val="left"/>
        <w:rPr>
          <w:rFonts w:ascii="宋体" w:hAnsi="宋体" w:eastAsia="宋体" w:cs="宋体"/>
          <w:b/>
          <w:sz w:val="24"/>
          <w:szCs w:val="24"/>
        </w:rPr>
        <w:sectPr>
          <w:pgSz w:w="11906" w:h="16838"/>
          <w:pgMar w:top="1587" w:right="1587" w:bottom="1587" w:left="1587" w:header="1247" w:footer="992" w:gutter="0"/>
          <w:cols w:space="0" w:num="1"/>
          <w:docGrid w:linePitch="312" w:charSpace="0"/>
        </w:sectPr>
      </w:pPr>
    </w:p>
    <w:p>
      <w:pPr>
        <w:outlineLvl w:val="1"/>
        <w:rPr>
          <w:rFonts w:ascii="宋体" w:hAnsi="宋体" w:eastAsia="宋体" w:cs="宋体"/>
          <w:b/>
          <w:sz w:val="24"/>
          <w:szCs w:val="24"/>
        </w:rPr>
      </w:pPr>
      <w:bookmarkStart w:id="137" w:name="_Toc1191"/>
      <w:r>
        <w:rPr>
          <w:rFonts w:hint="eastAsia" w:ascii="宋体" w:hAnsi="宋体" w:eastAsia="宋体" w:cs="宋体"/>
          <w:b/>
          <w:sz w:val="24"/>
          <w:szCs w:val="24"/>
        </w:rPr>
        <w:t>附件2</w:t>
      </w:r>
      <w:bookmarkStart w:id="138" w:name="_Toc275431238"/>
      <w:r>
        <w:rPr>
          <w:rFonts w:hint="eastAsia" w:ascii="宋体" w:hAnsi="宋体" w:eastAsia="宋体" w:cs="宋体"/>
          <w:b/>
          <w:sz w:val="24"/>
          <w:szCs w:val="24"/>
        </w:rPr>
        <w:t xml:space="preserve"> 法定代表人身份证明或授权委托书</w:t>
      </w:r>
      <w:bookmarkEnd w:id="137"/>
    </w:p>
    <w:p>
      <w:pPr>
        <w:tabs>
          <w:tab w:val="left" w:pos="2520"/>
          <w:tab w:val="center" w:pos="4479"/>
        </w:tabs>
        <w:autoSpaceDE w:val="0"/>
        <w:autoSpaceDN w:val="0"/>
        <w:adjustRightInd w:val="0"/>
        <w:spacing w:line="600" w:lineRule="exact"/>
        <w:jc w:val="left"/>
        <w:rPr>
          <w:rFonts w:ascii="宋体" w:hAnsi="宋体" w:eastAsia="宋体" w:cs="宋体"/>
          <w:b/>
          <w:kern w:val="0"/>
          <w:sz w:val="24"/>
          <w:szCs w:val="24"/>
        </w:rPr>
      </w:pPr>
      <w:r>
        <w:rPr>
          <w:rFonts w:hint="eastAsia" w:ascii="宋体" w:hAnsi="宋体" w:eastAsia="宋体" w:cs="宋体"/>
          <w:b/>
          <w:kern w:val="0"/>
          <w:sz w:val="24"/>
          <w:szCs w:val="24"/>
        </w:rPr>
        <w:tab/>
      </w:r>
    </w:p>
    <w:p>
      <w:pPr>
        <w:tabs>
          <w:tab w:val="left" w:pos="2520"/>
          <w:tab w:val="center" w:pos="4479"/>
        </w:tabs>
        <w:autoSpaceDE w:val="0"/>
        <w:autoSpaceDN w:val="0"/>
        <w:adjustRightInd w:val="0"/>
        <w:spacing w:line="600" w:lineRule="exact"/>
        <w:jc w:val="center"/>
        <w:outlineLvl w:val="1"/>
        <w:rPr>
          <w:rFonts w:ascii="宋体" w:hAnsi="宋体" w:eastAsia="宋体" w:cs="宋体"/>
          <w:b/>
          <w:kern w:val="0"/>
          <w:sz w:val="24"/>
          <w:szCs w:val="24"/>
        </w:rPr>
      </w:pPr>
      <w:bookmarkStart w:id="139" w:name="_Toc5683"/>
      <w:r>
        <w:rPr>
          <w:rFonts w:hint="eastAsia" w:ascii="宋体" w:hAnsi="宋体" w:eastAsia="宋体" w:cs="宋体"/>
          <w:b/>
          <w:sz w:val="24"/>
          <w:szCs w:val="24"/>
        </w:rPr>
        <w:t>（一）法定代表人身份证明</w:t>
      </w:r>
      <w:bookmarkEnd w:id="139"/>
    </w:p>
    <w:p>
      <w:pPr>
        <w:spacing w:line="600" w:lineRule="exact"/>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p>
    <w:p>
      <w:pPr>
        <w:spacing w:line="600" w:lineRule="exact"/>
        <w:rPr>
          <w:rFonts w:ascii="宋体" w:hAnsi="宋体" w:eastAsia="宋体" w:cs="宋体"/>
          <w:sz w:val="24"/>
          <w:szCs w:val="24"/>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p>
    <w:p>
      <w:pPr>
        <w:spacing w:line="600" w:lineRule="exact"/>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pacing w:line="600" w:lineRule="exact"/>
        <w:rPr>
          <w:rFonts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spacing w:line="600" w:lineRule="exact"/>
        <w:rPr>
          <w:rFonts w:ascii="宋体" w:hAnsi="宋体" w:eastAsia="宋体" w:cs="宋体"/>
          <w:sz w:val="24"/>
          <w:szCs w:val="24"/>
          <w:u w:val="single"/>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p>
    <w:p>
      <w:pPr>
        <w:autoSpaceDE w:val="0"/>
        <w:autoSpaceDN w:val="0"/>
        <w:adjustRightInd w:val="0"/>
        <w:snapToGrid w:val="0"/>
        <w:spacing w:line="600" w:lineRule="exact"/>
        <w:jc w:val="left"/>
        <w:rPr>
          <w:rFonts w:ascii="宋体" w:hAnsi="宋体" w:eastAsia="宋体" w:cs="宋体"/>
          <w:kern w:val="0"/>
          <w:sz w:val="24"/>
          <w:szCs w:val="24"/>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性别：</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年龄：</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职务：</w:t>
      </w:r>
      <w:r>
        <w:rPr>
          <w:rFonts w:hint="eastAsia" w:ascii="宋体" w:hAnsi="宋体" w:eastAsia="宋体" w:cs="宋体"/>
          <w:kern w:val="0"/>
          <w:sz w:val="24"/>
          <w:szCs w:val="24"/>
          <w:u w:val="single"/>
        </w:rPr>
        <w:t xml:space="preserve">     </w:t>
      </w:r>
    </w:p>
    <w:p>
      <w:pPr>
        <w:spacing w:line="600" w:lineRule="exact"/>
        <w:rPr>
          <w:rFonts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w:t>
      </w:r>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特此证明。</w:t>
      </w:r>
    </w:p>
    <w:p>
      <w:pPr>
        <w:spacing w:line="600" w:lineRule="exact"/>
        <w:ind w:firstLine="480" w:firstLineChars="200"/>
        <w:jc w:val="right"/>
        <w:rPr>
          <w:rFonts w:ascii="宋体" w:hAnsi="宋体" w:eastAsia="宋体" w:cs="宋体"/>
          <w:sz w:val="24"/>
          <w:szCs w:val="24"/>
        </w:rPr>
      </w:pPr>
    </w:p>
    <w:p>
      <w:pPr>
        <w:spacing w:line="600" w:lineRule="exact"/>
        <w:ind w:firstLine="480" w:firstLineChars="200"/>
        <w:jc w:val="right"/>
        <w:rPr>
          <w:rFonts w:ascii="宋体" w:hAnsi="宋体" w:eastAsia="宋体" w:cs="宋体"/>
          <w:sz w:val="24"/>
          <w:szCs w:val="24"/>
        </w:rPr>
      </w:pPr>
    </w:p>
    <w:p>
      <w:pPr>
        <w:spacing w:line="600" w:lineRule="exact"/>
        <w:ind w:firstLine="480" w:firstLineChars="200"/>
        <w:jc w:val="right"/>
        <w:rPr>
          <w:rFonts w:ascii="宋体" w:hAnsi="宋体" w:eastAsia="宋体" w:cs="宋体"/>
          <w:sz w:val="24"/>
          <w:szCs w:val="24"/>
        </w:rPr>
      </w:pPr>
    </w:p>
    <w:p>
      <w:pPr>
        <w:spacing w:line="600" w:lineRule="exact"/>
        <w:ind w:firstLine="480" w:firstLineChars="200"/>
        <w:jc w:val="right"/>
        <w:rPr>
          <w:rFonts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日期：   年  月   日</w:t>
      </w:r>
      <w:r>
        <w:rPr>
          <w:rFonts w:hint="eastAsia" w:ascii="宋体" w:hAnsi="宋体" w:eastAsia="宋体" w:cs="宋体"/>
          <w:sz w:val="24"/>
          <w:szCs w:val="24"/>
        </w:rPr>
        <w:tab/>
      </w:r>
    </w:p>
    <w:p>
      <w:pPr>
        <w:spacing w:line="600" w:lineRule="exact"/>
        <w:ind w:firstLine="420" w:firstLineChars="200"/>
        <w:rPr>
          <w:rFonts w:ascii="宋体" w:hAnsi="宋体" w:eastAsia="宋体" w:cs="宋体"/>
          <w:szCs w:val="21"/>
        </w:rPr>
      </w:pPr>
    </w:p>
    <w:p>
      <w:pPr>
        <w:spacing w:line="480" w:lineRule="exact"/>
        <w:jc w:val="right"/>
        <w:rPr>
          <w:rFonts w:ascii="宋体" w:hAnsi="宋体" w:eastAsia="宋体" w:cs="宋体"/>
          <w:szCs w:val="21"/>
        </w:rPr>
      </w:pPr>
      <w:r>
        <w:rPr>
          <w:rFonts w:hint="eastAsia" w:ascii="宋体" w:hAnsi="宋体" w:eastAsia="宋体" w:cs="宋体"/>
          <w:szCs w:val="21"/>
        </w:rPr>
        <w:br w:type="page"/>
      </w:r>
    </w:p>
    <w:p>
      <w:pPr>
        <w:tabs>
          <w:tab w:val="left" w:pos="2520"/>
          <w:tab w:val="center" w:pos="4479"/>
        </w:tabs>
        <w:autoSpaceDE w:val="0"/>
        <w:autoSpaceDN w:val="0"/>
        <w:adjustRightInd w:val="0"/>
        <w:spacing w:line="600" w:lineRule="exact"/>
        <w:jc w:val="center"/>
        <w:outlineLvl w:val="1"/>
        <w:rPr>
          <w:rFonts w:ascii="宋体" w:hAnsi="宋体" w:eastAsia="宋体" w:cs="宋体"/>
          <w:b/>
          <w:sz w:val="24"/>
          <w:szCs w:val="24"/>
        </w:rPr>
      </w:pPr>
      <w:bookmarkStart w:id="140" w:name="_Toc353108370"/>
      <w:bookmarkStart w:id="141" w:name="_Toc29384"/>
      <w:r>
        <w:rPr>
          <w:rFonts w:hint="eastAsia" w:ascii="宋体" w:hAnsi="宋体" w:eastAsia="宋体" w:cs="宋体"/>
          <w:b/>
          <w:sz w:val="24"/>
          <w:szCs w:val="24"/>
        </w:rPr>
        <w:t>（二）授权委托书</w:t>
      </w:r>
      <w:bookmarkEnd w:id="140"/>
      <w:bookmarkEnd w:id="141"/>
    </w:p>
    <w:p>
      <w:pPr>
        <w:rPr>
          <w:rFonts w:ascii="宋体" w:hAnsi="宋体" w:eastAsia="宋体" w:cs="宋体"/>
          <w:szCs w:val="24"/>
        </w:rPr>
      </w:pPr>
    </w:p>
    <w:p>
      <w:pPr>
        <w:spacing w:line="600" w:lineRule="exact"/>
        <w:ind w:firstLine="600" w:firstLineChars="250"/>
        <w:jc w:val="left"/>
        <w:rPr>
          <w:rFonts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（供应商名称）的法定代表人，现委托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（姓名）为我方代理人。代理人根据授权，以我方名义签署、澄清、说明、补正、递交、撤回、 修改响应文件、签订合同和处理有关事宜，其法律后果由我方承担。</w:t>
      </w:r>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rPr>
        <w:t>60日历天</w:t>
      </w:r>
      <w:r>
        <w:rPr>
          <w:rFonts w:hint="eastAsia" w:ascii="宋体" w:hAnsi="宋体" w:eastAsia="宋体" w:cs="宋体"/>
          <w:sz w:val="24"/>
          <w:szCs w:val="24"/>
        </w:rPr>
        <w:t xml:space="preserve">。 代理人无转委托权。 </w:t>
      </w:r>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附：法定代表人身份证复印件及委托代理人的身份证复印件</w:t>
      </w:r>
    </w:p>
    <w:p>
      <w:pPr>
        <w:spacing w:line="600" w:lineRule="exact"/>
        <w:rPr>
          <w:rFonts w:ascii="宋体" w:hAnsi="宋体" w:eastAsia="宋体" w:cs="宋体"/>
          <w:sz w:val="24"/>
          <w:szCs w:val="24"/>
        </w:rPr>
      </w:pPr>
    </w:p>
    <w:p>
      <w:pPr>
        <w:spacing w:line="600" w:lineRule="exact"/>
        <w:rPr>
          <w:rFonts w:ascii="宋体" w:hAnsi="宋体" w:eastAsia="宋体" w:cs="宋体"/>
          <w:sz w:val="24"/>
          <w:szCs w:val="24"/>
        </w:rPr>
      </w:pPr>
    </w:p>
    <w:p>
      <w:pPr>
        <w:spacing w:line="600" w:lineRule="exact"/>
        <w:rPr>
          <w:rFonts w:ascii="宋体" w:hAnsi="宋体" w:eastAsia="宋体" w:cs="宋体"/>
          <w:sz w:val="24"/>
          <w:szCs w:val="24"/>
        </w:rPr>
      </w:pPr>
    </w:p>
    <w:p>
      <w:pPr>
        <w:spacing w:line="600" w:lineRule="exact"/>
        <w:rPr>
          <w:rFonts w:ascii="宋体" w:hAnsi="宋体" w:eastAsia="宋体" w:cs="宋体"/>
          <w:sz w:val="24"/>
          <w:szCs w:val="24"/>
        </w:rPr>
      </w:pPr>
    </w:p>
    <w:p>
      <w:pPr>
        <w:spacing w:line="600" w:lineRule="exact"/>
        <w:ind w:right="240"/>
        <w:jc w:val="center"/>
        <w:rPr>
          <w:rFonts w:ascii="宋体" w:hAnsi="宋体" w:eastAsia="宋体" w:cs="宋体"/>
          <w:sz w:val="24"/>
          <w:szCs w:val="24"/>
        </w:rPr>
      </w:pPr>
      <w:r>
        <w:rPr>
          <w:rFonts w:hint="eastAsia" w:ascii="宋体" w:hAnsi="宋体" w:eastAsia="宋体" w:cs="宋体"/>
          <w:sz w:val="24"/>
          <w:szCs w:val="24"/>
        </w:rPr>
        <w:t xml:space="preserve">                                                   供应商：（盖单位章）</w:t>
      </w:r>
    </w:p>
    <w:p>
      <w:pPr>
        <w:spacing w:line="600" w:lineRule="exact"/>
        <w:ind w:firstLine="6324" w:firstLineChars="2635"/>
        <w:rPr>
          <w:rFonts w:ascii="宋体" w:hAnsi="宋体" w:eastAsia="宋体" w:cs="宋体"/>
          <w:sz w:val="24"/>
          <w:szCs w:val="24"/>
        </w:rPr>
      </w:pPr>
      <w:r>
        <w:rPr>
          <w:rFonts w:hint="eastAsia" w:ascii="宋体" w:hAnsi="宋体" w:eastAsia="宋体" w:cs="宋体"/>
          <w:sz w:val="24"/>
          <w:szCs w:val="24"/>
        </w:rPr>
        <w:t>法定代表人：（签字）</w:t>
      </w:r>
    </w:p>
    <w:p>
      <w:pPr>
        <w:spacing w:line="600" w:lineRule="exact"/>
        <w:ind w:firstLine="6312" w:firstLineChars="2630"/>
        <w:rPr>
          <w:rFonts w:ascii="宋体" w:hAnsi="宋体" w:eastAsia="宋体" w:cs="宋体"/>
          <w:sz w:val="24"/>
          <w:szCs w:val="24"/>
        </w:rPr>
      </w:pPr>
      <w:r>
        <w:rPr>
          <w:rFonts w:hint="eastAsia" w:ascii="宋体" w:hAnsi="宋体" w:eastAsia="宋体" w:cs="宋体"/>
          <w:sz w:val="24"/>
          <w:szCs w:val="24"/>
        </w:rPr>
        <w:t>身份证号码：</w:t>
      </w:r>
    </w:p>
    <w:p>
      <w:pPr>
        <w:wordWrap w:val="0"/>
        <w:spacing w:line="600" w:lineRule="exact"/>
        <w:ind w:right="360"/>
        <w:jc w:val="right"/>
        <w:rPr>
          <w:rFonts w:ascii="宋体" w:hAnsi="宋体" w:eastAsia="宋体" w:cs="宋体"/>
          <w:sz w:val="24"/>
          <w:szCs w:val="24"/>
        </w:rPr>
      </w:pPr>
      <w:r>
        <w:rPr>
          <w:rFonts w:hint="eastAsia" w:ascii="宋体" w:hAnsi="宋体" w:eastAsia="宋体" w:cs="宋体"/>
          <w:sz w:val="24"/>
          <w:szCs w:val="24"/>
        </w:rPr>
        <w:t>委托代理人：（签字）</w:t>
      </w:r>
    </w:p>
    <w:p>
      <w:pPr>
        <w:spacing w:line="600" w:lineRule="exact"/>
        <w:ind w:firstLine="6297" w:firstLineChars="2624"/>
        <w:rPr>
          <w:rFonts w:ascii="宋体" w:hAnsi="宋体" w:eastAsia="宋体" w:cs="宋体"/>
          <w:sz w:val="24"/>
          <w:szCs w:val="24"/>
        </w:rPr>
      </w:pPr>
      <w:r>
        <w:rPr>
          <w:rFonts w:hint="eastAsia" w:ascii="宋体" w:hAnsi="宋体" w:eastAsia="宋体" w:cs="宋体"/>
          <w:sz w:val="24"/>
          <w:szCs w:val="24"/>
        </w:rPr>
        <w:t>身份证号码：</w:t>
      </w:r>
    </w:p>
    <w:p>
      <w:pPr>
        <w:spacing w:line="600" w:lineRule="exact"/>
        <w:rPr>
          <w:rFonts w:ascii="宋体" w:hAnsi="宋体" w:eastAsia="宋体" w:cs="宋体"/>
          <w:sz w:val="24"/>
          <w:szCs w:val="24"/>
          <w:u w:val="single"/>
        </w:rPr>
      </w:pPr>
    </w:p>
    <w:p>
      <w:pPr>
        <w:spacing w:line="600" w:lineRule="exact"/>
        <w:ind w:firstLine="6000" w:firstLineChars="2500"/>
        <w:rPr>
          <w:rFonts w:ascii="宋体" w:hAnsi="宋体" w:eastAsia="宋体" w:cs="宋体"/>
          <w:sz w:val="24"/>
          <w:szCs w:val="24"/>
        </w:rPr>
      </w:pPr>
      <w:r>
        <w:rPr>
          <w:rFonts w:hint="eastAsia" w:ascii="宋体" w:hAnsi="宋体" w:eastAsia="宋体" w:cs="宋体"/>
          <w:sz w:val="24"/>
          <w:szCs w:val="24"/>
        </w:rPr>
        <w:t>年    月   日</w:t>
      </w:r>
    </w:p>
    <w:p>
      <w:pPr>
        <w:spacing w:line="360" w:lineRule="auto"/>
        <w:rPr>
          <w:rFonts w:ascii="宋体" w:hAnsi="宋体" w:eastAsia="宋体" w:cs="宋体"/>
          <w:szCs w:val="21"/>
        </w:rPr>
      </w:pPr>
      <w:r>
        <w:rPr>
          <w:rFonts w:hint="eastAsia" w:ascii="宋体" w:hAnsi="宋体" w:eastAsia="宋体" w:cs="宋体"/>
          <w:b/>
          <w:sz w:val="24"/>
          <w:szCs w:val="24"/>
        </w:rPr>
        <w:br w:type="page"/>
      </w:r>
    </w:p>
    <w:p>
      <w:pPr>
        <w:outlineLvl w:val="1"/>
        <w:rPr>
          <w:rFonts w:ascii="宋体" w:hAnsi="宋体" w:eastAsia="宋体" w:cs="宋体"/>
          <w:b/>
          <w:sz w:val="24"/>
          <w:szCs w:val="24"/>
        </w:rPr>
      </w:pPr>
      <w:bookmarkStart w:id="142" w:name="_Toc18505"/>
      <w:r>
        <w:rPr>
          <w:rFonts w:hint="eastAsia" w:ascii="宋体" w:hAnsi="宋体" w:eastAsia="宋体" w:cs="宋体"/>
          <w:b/>
          <w:sz w:val="24"/>
          <w:szCs w:val="24"/>
        </w:rPr>
        <w:t>附件3 投标保证金</w:t>
      </w:r>
      <w:bookmarkEnd w:id="142"/>
    </w:p>
    <w:p>
      <w:pPr>
        <w:rPr>
          <w:rFonts w:ascii="宋体" w:hAnsi="宋体" w:eastAsia="宋体" w:cs="宋体"/>
          <w:szCs w:val="24"/>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r>
        <w:rPr>
          <w:rFonts w:hint="eastAsia" w:ascii="宋体" w:hAnsi="宋体" w:eastAsia="宋体" w:cs="宋体"/>
          <w:kern w:val="0"/>
          <w:szCs w:val="20"/>
        </w:rPr>
        <mc:AlternateContent>
          <mc:Choice Requires="wps">
            <w:drawing>
              <wp:anchor distT="0" distB="0" distL="114300" distR="114300" simplePos="0" relativeHeight="251660288" behindDoc="0" locked="0" layoutInCell="1" allowOverlap="1">
                <wp:simplePos x="0" y="0"/>
                <wp:positionH relativeFrom="column">
                  <wp:posOffset>1188085</wp:posOffset>
                </wp:positionH>
                <wp:positionV relativeFrom="paragraph">
                  <wp:posOffset>12700</wp:posOffset>
                </wp:positionV>
                <wp:extent cx="3400425" cy="1509395"/>
                <wp:effectExtent l="17145" t="17145" r="24130" b="2286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00425" cy="1509395"/>
                        </a:xfrm>
                        <a:prstGeom prst="rect">
                          <a:avLst/>
                        </a:prstGeom>
                        <a:noFill/>
                        <a:ln w="34925" cmpd="thickThin">
                          <a:solidFill>
                            <a:srgbClr val="000000"/>
                          </a:solidFill>
                          <a:miter lim="800000"/>
                        </a:ln>
                        <a:effectLst/>
                      </wps:spPr>
                      <wps:txbx>
                        <w:txbxContent>
                          <w:p>
                            <w:pPr>
                              <w:spacing w:line="360" w:lineRule="auto"/>
                              <w:jc w:val="center"/>
                              <w:rPr>
                                <w:rFonts w:ascii="华文新魏" w:hAnsi="宋体" w:eastAsia="华文新魏"/>
                                <w:b/>
                                <w:szCs w:val="21"/>
                              </w:rPr>
                            </w:pPr>
                          </w:p>
                          <w:p>
                            <w:pPr>
                              <w:spacing w:line="360" w:lineRule="auto"/>
                              <w:jc w:val="center"/>
                              <w:rPr>
                                <w:rFonts w:ascii="宋体"/>
                                <w:b/>
                                <w:color w:val="000000"/>
                                <w:sz w:val="32"/>
                                <w:szCs w:val="32"/>
                              </w:rPr>
                            </w:pPr>
                            <w:r>
                              <w:rPr>
                                <w:rFonts w:hint="eastAsia" w:ascii="宋体" w:hAnsi="宋体"/>
                                <w:b/>
                                <w:color w:val="000000"/>
                                <w:sz w:val="32"/>
                                <w:szCs w:val="32"/>
                              </w:rPr>
                              <w:t>附投标保证金支付凭证及基本帐户开户许可证</w:t>
                            </w:r>
                          </w:p>
                          <w:p>
                            <w:pPr>
                              <w:rPr>
                                <w:rFonts w:ascii="楷体_GB2312" w:eastAsia="楷体_GB231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3.55pt;margin-top:1pt;height:118.85pt;width:267.75pt;z-index:251660288;mso-width-relative:page;mso-height-relative:page;" filled="f" stroked="t" coordsize="21600,21600" o:gfxdata="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qmOQXXAAAACQEAAA8AAAAAAAAAAQAgAAAAIgAAAGRycy9kb3ducmV2LnhtbFBL&#10;AQIUABQAAAAIAIdO4kCRmWIYMAIAADEEAAAOAAAAAAAAAAEAIAAAACYBAABkcnMvZTJvRG9jLnht&#10;bFBLBQYAAAAABgAGAFkBAADIBQAAAAA=&#10;">
                <v:fill on="f" focussize="0,0"/>
                <v:stroke weight="2.75pt" color="#000000" linestyle="thickThin" miterlimit="8" joinstyle="miter"/>
                <v:imagedata o:title=""/>
                <o:lock v:ext="edit" aspectratio="f"/>
                <v:textbox>
                  <w:txbxContent>
                    <w:p>
                      <w:pPr>
                        <w:spacing w:line="360" w:lineRule="auto"/>
                        <w:jc w:val="center"/>
                        <w:rPr>
                          <w:rFonts w:ascii="华文新魏" w:hAnsi="宋体" w:eastAsia="华文新魏"/>
                          <w:b/>
                          <w:szCs w:val="21"/>
                        </w:rPr>
                      </w:pPr>
                    </w:p>
                    <w:p>
                      <w:pPr>
                        <w:spacing w:line="360" w:lineRule="auto"/>
                        <w:jc w:val="center"/>
                        <w:rPr>
                          <w:rFonts w:ascii="宋体"/>
                          <w:b/>
                          <w:color w:val="000000"/>
                          <w:sz w:val="32"/>
                          <w:szCs w:val="32"/>
                        </w:rPr>
                      </w:pPr>
                      <w:r>
                        <w:rPr>
                          <w:rFonts w:hint="eastAsia" w:ascii="宋体" w:hAnsi="宋体"/>
                          <w:b/>
                          <w:color w:val="000000"/>
                          <w:sz w:val="32"/>
                          <w:szCs w:val="32"/>
                        </w:rPr>
                        <w:t>附投标保证金支付凭证及基本帐户开户许可证</w:t>
                      </w:r>
                    </w:p>
                    <w:p>
                      <w:pPr>
                        <w:rPr>
                          <w:rFonts w:ascii="楷体_GB2312" w:eastAsia="楷体_GB2312"/>
                        </w:rPr>
                      </w:pPr>
                    </w:p>
                  </w:txbxContent>
                </v:textbox>
              </v:shape>
            </w:pict>
          </mc:Fallback>
        </mc:AlternateContent>
      </w: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spacing w:line="560" w:lineRule="exact"/>
        <w:ind w:firstLine="3840" w:firstLineChars="1600"/>
        <w:jc w:val="left"/>
        <w:rPr>
          <w:rFonts w:ascii="宋体" w:hAnsi="宋体" w:eastAsia="宋体" w:cs="宋体"/>
          <w:sz w:val="24"/>
          <w:szCs w:val="24"/>
        </w:rPr>
      </w:pPr>
    </w:p>
    <w:p>
      <w:pPr>
        <w:spacing w:line="560" w:lineRule="exact"/>
        <w:ind w:firstLine="3840" w:firstLineChars="1600"/>
        <w:jc w:val="left"/>
        <w:rPr>
          <w:rFonts w:ascii="宋体" w:hAnsi="宋体" w:eastAsia="宋体" w:cs="宋体"/>
          <w:sz w:val="24"/>
          <w:szCs w:val="24"/>
        </w:rPr>
      </w:pPr>
    </w:p>
    <w:p>
      <w:pPr>
        <w:spacing w:line="560" w:lineRule="exact"/>
        <w:ind w:firstLine="3840" w:firstLineChars="1600"/>
        <w:jc w:val="left"/>
        <w:rPr>
          <w:rFonts w:ascii="宋体" w:hAnsi="宋体" w:eastAsia="宋体" w:cs="宋体"/>
          <w:sz w:val="24"/>
          <w:szCs w:val="24"/>
        </w:rPr>
      </w:pPr>
      <w:r>
        <w:rPr>
          <w:rFonts w:hint="eastAsia" w:ascii="宋体" w:hAnsi="宋体" w:eastAsia="宋体" w:cs="宋体"/>
          <w:sz w:val="24"/>
          <w:szCs w:val="24"/>
        </w:rPr>
        <w:t xml:space="preserve">供应商名称：（盖章）        </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法定代表人或委托代理人(签字)：</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日期：   年  月   日</w:t>
      </w:r>
      <w:r>
        <w:rPr>
          <w:rFonts w:hint="eastAsia" w:ascii="宋体" w:hAnsi="宋体" w:eastAsia="宋体" w:cs="宋体"/>
          <w:sz w:val="24"/>
          <w:szCs w:val="24"/>
        </w:rPr>
        <w:tab/>
      </w:r>
    </w:p>
    <w:p>
      <w:pPr>
        <w:tabs>
          <w:tab w:val="left" w:pos="3150"/>
        </w:tabs>
        <w:spacing w:line="560" w:lineRule="exact"/>
        <w:jc w:val="left"/>
        <w:rPr>
          <w:rFonts w:ascii="宋体" w:hAnsi="宋体" w:eastAsia="宋体" w:cs="宋体"/>
          <w:b/>
          <w:sz w:val="24"/>
          <w:szCs w:val="24"/>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outlineLvl w:val="1"/>
        <w:rPr>
          <w:rFonts w:ascii="宋体" w:hAnsi="宋体" w:eastAsia="宋体" w:cs="宋体"/>
          <w:b/>
          <w:sz w:val="24"/>
          <w:szCs w:val="24"/>
        </w:rPr>
      </w:pPr>
      <w:bookmarkStart w:id="143" w:name="_Toc26938"/>
      <w:r>
        <w:rPr>
          <w:rFonts w:hint="eastAsia" w:ascii="宋体" w:hAnsi="宋体" w:eastAsia="宋体" w:cs="宋体"/>
          <w:b/>
          <w:sz w:val="24"/>
          <w:szCs w:val="24"/>
        </w:rPr>
        <w:t>附件4 供应商情况</w:t>
      </w:r>
      <w:bookmarkEnd w:id="143"/>
    </w:p>
    <w:p>
      <w:bookmarkStart w:id="144" w:name="_Toc14462"/>
    </w:p>
    <w:p>
      <w:pPr>
        <w:jc w:val="center"/>
        <w:outlineLvl w:val="1"/>
        <w:rPr>
          <w:rFonts w:ascii="宋体" w:hAnsi="宋体" w:eastAsia="宋体" w:cs="宋体"/>
          <w:b/>
          <w:sz w:val="24"/>
          <w:szCs w:val="24"/>
        </w:rPr>
      </w:pPr>
      <w:r>
        <w:rPr>
          <w:rFonts w:hint="eastAsia" w:ascii="宋体" w:hAnsi="宋体" w:eastAsia="宋体" w:cs="宋体"/>
          <w:b/>
          <w:sz w:val="24"/>
          <w:szCs w:val="24"/>
        </w:rPr>
        <w:t>（一）基本情况表</w:t>
      </w:r>
      <w:bookmarkEnd w:id="144"/>
    </w:p>
    <w:tbl>
      <w:tblPr>
        <w:tblStyle w:val="2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2156"/>
        <w:gridCol w:w="1241"/>
        <w:gridCol w:w="1241"/>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60" w:type="dxa"/>
            <w:vAlign w:val="center"/>
          </w:tcPr>
          <w:p>
            <w:pPr>
              <w:jc w:val="center"/>
              <w:rPr>
                <w:rFonts w:ascii="宋体" w:hAnsi="宋体" w:eastAsia="宋体" w:cs="宋体"/>
                <w:sz w:val="24"/>
                <w:szCs w:val="24"/>
              </w:rPr>
            </w:pPr>
            <w:r>
              <w:rPr>
                <w:rFonts w:hint="eastAsia" w:ascii="宋体" w:hAnsi="宋体" w:eastAsia="宋体" w:cs="宋体"/>
                <w:sz w:val="24"/>
                <w:szCs w:val="24"/>
              </w:rPr>
              <w:t>供应商名称</w:t>
            </w:r>
          </w:p>
        </w:tc>
        <w:tc>
          <w:tcPr>
            <w:tcW w:w="6528" w:type="dxa"/>
            <w:gridSpan w:val="4"/>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760" w:type="dxa"/>
            <w:vAlign w:val="center"/>
          </w:tcPr>
          <w:p>
            <w:pPr>
              <w:jc w:val="center"/>
              <w:rPr>
                <w:rFonts w:ascii="宋体" w:hAnsi="宋体" w:eastAsia="宋体" w:cs="宋体"/>
                <w:sz w:val="24"/>
                <w:szCs w:val="24"/>
              </w:rPr>
            </w:pPr>
            <w:r>
              <w:rPr>
                <w:rFonts w:hint="eastAsia" w:ascii="宋体" w:hAnsi="宋体" w:eastAsia="宋体" w:cs="宋体"/>
                <w:sz w:val="24"/>
                <w:szCs w:val="24"/>
              </w:rPr>
              <w:t>注册地址</w:t>
            </w:r>
          </w:p>
        </w:tc>
        <w:tc>
          <w:tcPr>
            <w:tcW w:w="3397" w:type="dxa"/>
            <w:gridSpan w:val="2"/>
            <w:vAlign w:val="center"/>
          </w:tcPr>
          <w:p>
            <w:pPr>
              <w:jc w:val="center"/>
              <w:rPr>
                <w:rFonts w:ascii="宋体" w:hAnsi="宋体" w:eastAsia="宋体" w:cs="宋体"/>
                <w:sz w:val="24"/>
                <w:szCs w:val="24"/>
              </w:rPr>
            </w:pPr>
          </w:p>
        </w:tc>
        <w:tc>
          <w:tcPr>
            <w:tcW w:w="1241" w:type="dxa"/>
            <w:vAlign w:val="center"/>
          </w:tcPr>
          <w:p>
            <w:pPr>
              <w:jc w:val="center"/>
              <w:rPr>
                <w:rFonts w:ascii="宋体" w:hAnsi="宋体" w:eastAsia="宋体" w:cs="宋体"/>
                <w:sz w:val="24"/>
                <w:szCs w:val="24"/>
              </w:rPr>
            </w:pPr>
            <w:r>
              <w:rPr>
                <w:rFonts w:hint="eastAsia" w:ascii="宋体" w:hAnsi="宋体" w:eastAsia="宋体" w:cs="宋体"/>
                <w:sz w:val="24"/>
                <w:szCs w:val="24"/>
              </w:rPr>
              <w:t>成立时间</w:t>
            </w:r>
          </w:p>
        </w:tc>
        <w:tc>
          <w:tcPr>
            <w:tcW w:w="1890"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760" w:type="dxa"/>
            <w:vAlign w:val="center"/>
          </w:tcPr>
          <w:p>
            <w:pPr>
              <w:jc w:val="center"/>
              <w:rPr>
                <w:rFonts w:ascii="宋体" w:hAnsi="宋体" w:eastAsia="宋体" w:cs="宋体"/>
                <w:sz w:val="24"/>
                <w:szCs w:val="24"/>
              </w:rPr>
            </w:pPr>
            <w:r>
              <w:rPr>
                <w:rFonts w:hint="eastAsia" w:ascii="宋体" w:hAnsi="宋体" w:eastAsia="宋体" w:cs="宋体"/>
                <w:sz w:val="24"/>
                <w:szCs w:val="24"/>
              </w:rPr>
              <w:t>法定代表人</w:t>
            </w:r>
          </w:p>
        </w:tc>
        <w:tc>
          <w:tcPr>
            <w:tcW w:w="6528" w:type="dxa"/>
            <w:gridSpan w:val="4"/>
            <w:vAlign w:val="center"/>
          </w:tcPr>
          <w:p>
            <w:pPr>
              <w:jc w:val="center"/>
              <w:rPr>
                <w:rFonts w:ascii="宋体" w:hAnsi="宋体" w:eastAsia="宋体" w:cs="宋体"/>
                <w:sz w:val="24"/>
                <w:szCs w:val="24"/>
              </w:rPr>
            </w:pPr>
            <w:r>
              <w:rPr>
                <w:rFonts w:hint="eastAsia" w:ascii="宋体" w:hAnsi="宋体" w:eastAsia="宋体" w:cs="宋体"/>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760" w:type="dxa"/>
            <w:vAlign w:val="center"/>
          </w:tcPr>
          <w:p>
            <w:pPr>
              <w:jc w:val="center"/>
              <w:rPr>
                <w:rFonts w:ascii="宋体" w:hAnsi="宋体" w:eastAsia="宋体" w:cs="宋体"/>
                <w:sz w:val="24"/>
                <w:szCs w:val="24"/>
              </w:rPr>
            </w:pPr>
            <w:r>
              <w:rPr>
                <w:rFonts w:hint="eastAsia" w:ascii="宋体" w:hAnsi="宋体" w:eastAsia="宋体" w:cs="宋体"/>
                <w:sz w:val="24"/>
                <w:szCs w:val="24"/>
              </w:rPr>
              <w:t>技术负责人</w:t>
            </w:r>
          </w:p>
        </w:tc>
        <w:tc>
          <w:tcPr>
            <w:tcW w:w="6528" w:type="dxa"/>
            <w:gridSpan w:val="4"/>
            <w:vAlign w:val="center"/>
          </w:tcPr>
          <w:p>
            <w:pPr>
              <w:jc w:val="center"/>
              <w:rPr>
                <w:rFonts w:ascii="宋体" w:hAnsi="宋体" w:eastAsia="宋体" w:cs="宋体"/>
                <w:sz w:val="24"/>
                <w:szCs w:val="24"/>
              </w:rPr>
            </w:pPr>
            <w:r>
              <w:rPr>
                <w:rFonts w:hint="eastAsia" w:ascii="宋体" w:hAnsi="宋体" w:eastAsia="宋体" w:cs="宋体"/>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760" w:type="dxa"/>
            <w:vAlign w:val="center"/>
          </w:tcPr>
          <w:p>
            <w:pPr>
              <w:jc w:val="center"/>
              <w:rPr>
                <w:rFonts w:ascii="宋体" w:hAnsi="宋体" w:eastAsia="宋体" w:cs="宋体"/>
                <w:sz w:val="24"/>
                <w:szCs w:val="24"/>
              </w:rPr>
            </w:pPr>
            <w:r>
              <w:rPr>
                <w:rFonts w:hint="eastAsia" w:ascii="宋体" w:hAnsi="宋体" w:eastAsia="宋体" w:cs="宋体"/>
                <w:sz w:val="24"/>
                <w:szCs w:val="24"/>
              </w:rPr>
              <w:t>注册资金</w:t>
            </w:r>
          </w:p>
        </w:tc>
        <w:tc>
          <w:tcPr>
            <w:tcW w:w="6528" w:type="dxa"/>
            <w:gridSpan w:val="4"/>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exact"/>
          <w:jc w:val="center"/>
        </w:trPr>
        <w:tc>
          <w:tcPr>
            <w:tcW w:w="2760" w:type="dxa"/>
            <w:vAlign w:val="center"/>
          </w:tcPr>
          <w:p>
            <w:pPr>
              <w:jc w:val="center"/>
              <w:rPr>
                <w:rFonts w:ascii="宋体" w:hAnsi="宋体" w:eastAsia="宋体" w:cs="宋体"/>
                <w:sz w:val="24"/>
                <w:szCs w:val="24"/>
              </w:rPr>
            </w:pPr>
            <w:r>
              <w:rPr>
                <w:rFonts w:hint="eastAsia" w:ascii="宋体" w:hAnsi="宋体" w:eastAsia="宋体" w:cs="宋体"/>
                <w:sz w:val="24"/>
                <w:szCs w:val="24"/>
              </w:rPr>
              <w:t>营业执照号</w:t>
            </w:r>
          </w:p>
        </w:tc>
        <w:tc>
          <w:tcPr>
            <w:tcW w:w="2156" w:type="dxa"/>
            <w:vAlign w:val="center"/>
          </w:tcPr>
          <w:p>
            <w:pPr>
              <w:jc w:val="center"/>
              <w:rPr>
                <w:rFonts w:ascii="宋体" w:hAnsi="宋体" w:eastAsia="宋体" w:cs="宋体"/>
                <w:sz w:val="24"/>
                <w:szCs w:val="24"/>
              </w:rPr>
            </w:pPr>
          </w:p>
        </w:tc>
        <w:tc>
          <w:tcPr>
            <w:tcW w:w="1241" w:type="dxa"/>
            <w:vAlign w:val="center"/>
          </w:tcPr>
          <w:p>
            <w:pPr>
              <w:jc w:val="center"/>
              <w:rPr>
                <w:rFonts w:ascii="宋体" w:hAnsi="宋体" w:eastAsia="宋体" w:cs="宋体"/>
                <w:sz w:val="24"/>
                <w:szCs w:val="24"/>
              </w:rPr>
            </w:pPr>
            <w:r>
              <w:rPr>
                <w:rFonts w:hint="eastAsia" w:ascii="宋体" w:hAnsi="宋体" w:eastAsia="宋体" w:cs="宋体"/>
                <w:sz w:val="24"/>
                <w:szCs w:val="24"/>
              </w:rPr>
              <w:t>认证情况</w:t>
            </w:r>
          </w:p>
        </w:tc>
        <w:tc>
          <w:tcPr>
            <w:tcW w:w="3131" w:type="dxa"/>
            <w:gridSpan w:val="2"/>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3" w:hRule="atLeast"/>
          <w:jc w:val="center"/>
        </w:trPr>
        <w:tc>
          <w:tcPr>
            <w:tcW w:w="9288" w:type="dxa"/>
            <w:gridSpan w:val="5"/>
            <w:vAlign w:val="center"/>
          </w:tcPr>
          <w:p>
            <w:pPr>
              <w:jc w:val="center"/>
              <w:rPr>
                <w:rFonts w:ascii="宋体" w:hAnsi="宋体" w:eastAsia="宋体" w:cs="宋体"/>
                <w:sz w:val="24"/>
                <w:szCs w:val="24"/>
              </w:rPr>
            </w:pPr>
            <w:r>
              <w:rPr>
                <w:rFonts w:hint="eastAsia" w:ascii="宋体" w:hAnsi="宋体" w:eastAsia="宋体" w:cs="宋体"/>
                <w:sz w:val="24"/>
                <w:szCs w:val="24"/>
              </w:rPr>
              <w:t>公司简介</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rPr>
                <w:rFonts w:ascii="宋体" w:hAnsi="宋体" w:eastAsia="宋体" w:cs="宋体"/>
                <w:sz w:val="24"/>
                <w:szCs w:val="24"/>
              </w:rPr>
            </w:pPr>
          </w:p>
        </w:tc>
      </w:tr>
    </w:tbl>
    <w:p>
      <w:pPr>
        <w:rPr>
          <w:rFonts w:ascii="宋体" w:hAnsi="宋体" w:eastAsia="宋体" w:cs="宋体"/>
          <w:sz w:val="24"/>
          <w:szCs w:val="24"/>
        </w:rPr>
      </w:pPr>
      <w:r>
        <w:rPr>
          <w:rFonts w:hint="eastAsia" w:ascii="宋体" w:hAnsi="宋体" w:eastAsia="宋体" w:cs="宋体"/>
          <w:b/>
          <w:szCs w:val="24"/>
        </w:rPr>
        <w:t>注：此表后应附营业执照等企业证明材料复印件。</w:t>
      </w:r>
    </w:p>
    <w:p>
      <w:pPr>
        <w:spacing w:line="560" w:lineRule="exact"/>
        <w:ind w:firstLine="4320" w:firstLineChars="1800"/>
        <w:jc w:val="left"/>
        <w:rPr>
          <w:rFonts w:ascii="宋体" w:hAnsi="宋体" w:eastAsia="宋体" w:cs="宋体"/>
          <w:sz w:val="24"/>
          <w:szCs w:val="24"/>
        </w:rPr>
      </w:pPr>
      <w:r>
        <w:rPr>
          <w:rFonts w:hint="eastAsia" w:ascii="宋体" w:hAnsi="宋体" w:eastAsia="宋体" w:cs="宋体"/>
          <w:sz w:val="24"/>
          <w:szCs w:val="24"/>
        </w:rPr>
        <w:t xml:space="preserve">供应商名称：（盖章）        </w:t>
      </w:r>
    </w:p>
    <w:p>
      <w:pPr>
        <w:spacing w:line="560" w:lineRule="exact"/>
        <w:jc w:val="left"/>
        <w:rPr>
          <w:rFonts w:ascii="宋体" w:hAnsi="宋体" w:eastAsia="宋体" w:cs="宋体"/>
          <w:sz w:val="24"/>
          <w:szCs w:val="24"/>
        </w:rPr>
      </w:pPr>
      <w:r>
        <w:rPr>
          <w:rFonts w:hint="eastAsia" w:ascii="宋体" w:hAnsi="宋体" w:eastAsia="宋体" w:cs="宋体"/>
          <w:sz w:val="24"/>
          <w:szCs w:val="24"/>
        </w:rPr>
        <w:t xml:space="preserve">                                    法定代表人或委托代理人(签字)：</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日  期：   年  月   日</w:t>
      </w:r>
      <w:r>
        <w:rPr>
          <w:rFonts w:hint="eastAsia" w:ascii="宋体" w:hAnsi="宋体" w:eastAsia="宋体" w:cs="宋体"/>
          <w:sz w:val="24"/>
          <w:szCs w:val="24"/>
        </w:rPr>
        <w:tab/>
      </w:r>
    </w:p>
    <w:p>
      <w:pPr>
        <w:tabs>
          <w:tab w:val="left" w:pos="3150"/>
        </w:tabs>
        <w:spacing w:line="560" w:lineRule="exact"/>
        <w:jc w:val="left"/>
        <w:rPr>
          <w:rFonts w:ascii="宋体" w:hAnsi="宋体" w:eastAsia="宋体" w:cs="宋体"/>
          <w:b/>
          <w:sz w:val="24"/>
          <w:szCs w:val="24"/>
        </w:rPr>
        <w:sectPr>
          <w:pgSz w:w="11906" w:h="16838"/>
          <w:pgMar w:top="1587" w:right="1587" w:bottom="1587" w:left="1587" w:header="1247" w:footer="992" w:gutter="0"/>
          <w:cols w:space="0" w:num="1"/>
          <w:docGrid w:linePitch="312" w:charSpace="0"/>
        </w:sectPr>
      </w:pPr>
    </w:p>
    <w:p>
      <w:pPr>
        <w:jc w:val="center"/>
        <w:outlineLvl w:val="1"/>
        <w:rPr>
          <w:rFonts w:ascii="宋体" w:hAnsi="宋体" w:eastAsia="宋体" w:cs="宋体"/>
          <w:b/>
          <w:sz w:val="24"/>
          <w:szCs w:val="24"/>
        </w:rPr>
      </w:pPr>
      <w:bookmarkStart w:id="145" w:name="_Toc12570"/>
      <w:r>
        <w:rPr>
          <w:rFonts w:hint="eastAsia" w:ascii="宋体" w:hAnsi="宋体" w:eastAsia="宋体" w:cs="宋体"/>
          <w:b/>
          <w:sz w:val="24"/>
          <w:szCs w:val="24"/>
        </w:rPr>
        <w:t>（二）拟派本项目负责人情况表</w:t>
      </w:r>
      <w:bookmarkEnd w:id="145"/>
    </w:p>
    <w:p>
      <w:pPr>
        <w:spacing w:line="400" w:lineRule="exact"/>
        <w:jc w:val="center"/>
        <w:rPr>
          <w:rFonts w:ascii="宋体" w:hAnsi="宋体" w:eastAsia="宋体" w:cs="宋体"/>
          <w:b/>
          <w:sz w:val="24"/>
          <w:szCs w:val="24"/>
        </w:rPr>
      </w:pPr>
    </w:p>
    <w:tbl>
      <w:tblPr>
        <w:tblStyle w:val="2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573"/>
        <w:gridCol w:w="2351"/>
        <w:gridCol w:w="2426"/>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23" w:type="dxa"/>
            <w:gridSpan w:val="2"/>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姓  名</w:t>
            </w:r>
          </w:p>
        </w:tc>
        <w:tc>
          <w:tcPr>
            <w:tcW w:w="2351" w:type="dxa"/>
            <w:vAlign w:val="center"/>
          </w:tcPr>
          <w:p>
            <w:pPr>
              <w:spacing w:line="360" w:lineRule="auto"/>
              <w:jc w:val="center"/>
              <w:rPr>
                <w:rFonts w:ascii="宋体" w:hAnsi="宋体" w:eastAsia="宋体" w:cs="宋体"/>
                <w:sz w:val="24"/>
                <w:szCs w:val="24"/>
              </w:rPr>
            </w:pPr>
          </w:p>
        </w:tc>
        <w:tc>
          <w:tcPr>
            <w:tcW w:w="2426"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年  龄</w:t>
            </w:r>
          </w:p>
        </w:tc>
        <w:tc>
          <w:tcPr>
            <w:tcW w:w="2639" w:type="dxa"/>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23" w:type="dxa"/>
            <w:gridSpan w:val="2"/>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学  历</w:t>
            </w:r>
          </w:p>
        </w:tc>
        <w:tc>
          <w:tcPr>
            <w:tcW w:w="7416" w:type="dxa"/>
            <w:gridSpan w:val="3"/>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23" w:type="dxa"/>
            <w:gridSpan w:val="2"/>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职  务</w:t>
            </w:r>
          </w:p>
        </w:tc>
        <w:tc>
          <w:tcPr>
            <w:tcW w:w="7416" w:type="dxa"/>
            <w:gridSpan w:val="3"/>
            <w:vAlign w:val="center"/>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574" w:type="dxa"/>
            <w:gridSpan w:val="3"/>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从事咨询服务工作年限</w:t>
            </w:r>
          </w:p>
        </w:tc>
        <w:tc>
          <w:tcPr>
            <w:tcW w:w="5065" w:type="dxa"/>
            <w:gridSpan w:val="2"/>
            <w:vAlign w:val="center"/>
          </w:tcPr>
          <w:p>
            <w:pPr>
              <w:spacing w:line="360" w:lineRule="auto"/>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574" w:type="dxa"/>
            <w:gridSpan w:val="3"/>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在本项目中拟担任的职务</w:t>
            </w:r>
          </w:p>
        </w:tc>
        <w:tc>
          <w:tcPr>
            <w:tcW w:w="5065" w:type="dxa"/>
            <w:gridSpan w:val="2"/>
            <w:vAlign w:val="center"/>
          </w:tcPr>
          <w:p>
            <w:pPr>
              <w:spacing w:line="360" w:lineRule="auto"/>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4574" w:type="dxa"/>
            <w:gridSpan w:val="3"/>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负责人资格证书</w:t>
            </w:r>
          </w:p>
        </w:tc>
        <w:tc>
          <w:tcPr>
            <w:tcW w:w="5065" w:type="dxa"/>
            <w:gridSpan w:val="2"/>
            <w:vAlign w:val="center"/>
          </w:tcPr>
          <w:p>
            <w:pPr>
              <w:spacing w:line="360" w:lineRule="auto"/>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574" w:type="dxa"/>
            <w:gridSpan w:val="3"/>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负责人参与财政部评审专家</w:t>
            </w:r>
          </w:p>
        </w:tc>
        <w:tc>
          <w:tcPr>
            <w:tcW w:w="5065" w:type="dxa"/>
            <w:gridSpan w:val="2"/>
            <w:vAlign w:val="center"/>
          </w:tcPr>
          <w:p>
            <w:pPr>
              <w:spacing w:line="360" w:lineRule="auto"/>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23" w:type="dxa"/>
            <w:gridSpan w:val="2"/>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联系方式</w:t>
            </w:r>
          </w:p>
        </w:tc>
        <w:tc>
          <w:tcPr>
            <w:tcW w:w="7416" w:type="dxa"/>
            <w:gridSpan w:val="3"/>
            <w:vAlign w:val="center"/>
          </w:tcPr>
          <w:p>
            <w:pPr>
              <w:spacing w:line="360" w:lineRule="auto"/>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39" w:type="dxa"/>
            <w:gridSpan w:val="5"/>
            <w:vAlign w:val="center"/>
          </w:tcPr>
          <w:p>
            <w:pPr>
              <w:spacing w:line="360" w:lineRule="auto"/>
              <w:ind w:firstLine="480"/>
              <w:jc w:val="center"/>
              <w:rPr>
                <w:rFonts w:ascii="宋体" w:hAnsi="宋体" w:eastAsia="宋体" w:cs="宋体"/>
                <w:sz w:val="24"/>
                <w:szCs w:val="24"/>
              </w:rPr>
            </w:pPr>
            <w:r>
              <w:rPr>
                <w:rFonts w:hint="eastAsia" w:ascii="宋体" w:hAnsi="宋体" w:eastAsia="宋体" w:cs="宋体"/>
                <w:sz w:val="24"/>
                <w:szCs w:val="24"/>
              </w:rPr>
              <w:t>2014年1月1日以来承担过的咨询服务项目业绩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时间</w:t>
            </w:r>
          </w:p>
        </w:tc>
        <w:tc>
          <w:tcPr>
            <w:tcW w:w="7989" w:type="dxa"/>
            <w:gridSpan w:val="4"/>
            <w:vAlign w:val="center"/>
          </w:tcPr>
          <w:p>
            <w:pPr>
              <w:spacing w:line="360" w:lineRule="auto"/>
              <w:ind w:firstLine="480"/>
              <w:jc w:val="center"/>
              <w:rPr>
                <w:rFonts w:ascii="宋体" w:hAnsi="宋体" w:eastAsia="宋体" w:cs="宋体"/>
                <w:sz w:val="24"/>
                <w:szCs w:val="24"/>
              </w:rPr>
            </w:pPr>
            <w:r>
              <w:rPr>
                <w:rFonts w:hint="eastAsia" w:ascii="宋体" w:hAnsi="宋体" w:eastAsia="宋体" w:cs="宋体"/>
                <w:sz w:val="24"/>
                <w:szCs w:val="24"/>
              </w:rPr>
              <w:t>（咨询服务内容及本人承担工作）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0" w:type="dxa"/>
            <w:vAlign w:val="center"/>
          </w:tcPr>
          <w:p>
            <w:pPr>
              <w:jc w:val="center"/>
              <w:rPr>
                <w:rFonts w:ascii="宋体" w:hAnsi="宋体" w:eastAsia="宋体" w:cs="宋体"/>
                <w:b/>
                <w:bCs/>
                <w:szCs w:val="21"/>
              </w:rPr>
            </w:pPr>
          </w:p>
        </w:tc>
        <w:tc>
          <w:tcPr>
            <w:tcW w:w="7989" w:type="dxa"/>
            <w:gridSpan w:val="4"/>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650" w:type="dxa"/>
            <w:vAlign w:val="center"/>
          </w:tcPr>
          <w:p>
            <w:pPr>
              <w:jc w:val="center"/>
              <w:rPr>
                <w:rFonts w:ascii="宋体" w:hAnsi="宋体" w:eastAsia="宋体" w:cs="宋体"/>
                <w:b/>
                <w:bCs/>
                <w:szCs w:val="21"/>
              </w:rPr>
            </w:pPr>
          </w:p>
        </w:tc>
        <w:tc>
          <w:tcPr>
            <w:tcW w:w="7989" w:type="dxa"/>
            <w:gridSpan w:val="4"/>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0" w:type="dxa"/>
            <w:vAlign w:val="center"/>
          </w:tcPr>
          <w:p>
            <w:pPr>
              <w:jc w:val="center"/>
              <w:rPr>
                <w:rFonts w:ascii="宋体" w:hAnsi="宋体" w:eastAsia="宋体" w:cs="宋体"/>
                <w:b/>
                <w:bCs/>
                <w:szCs w:val="21"/>
              </w:rPr>
            </w:pPr>
          </w:p>
        </w:tc>
        <w:tc>
          <w:tcPr>
            <w:tcW w:w="7989" w:type="dxa"/>
            <w:gridSpan w:val="4"/>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0" w:type="dxa"/>
            <w:vAlign w:val="center"/>
          </w:tcPr>
          <w:p>
            <w:pPr>
              <w:jc w:val="center"/>
              <w:rPr>
                <w:rFonts w:ascii="宋体" w:hAnsi="宋体" w:eastAsia="宋体" w:cs="宋体"/>
                <w:b/>
                <w:bCs/>
                <w:szCs w:val="21"/>
              </w:rPr>
            </w:pPr>
          </w:p>
        </w:tc>
        <w:tc>
          <w:tcPr>
            <w:tcW w:w="7989" w:type="dxa"/>
            <w:gridSpan w:val="4"/>
          </w:tcPr>
          <w:p>
            <w:pP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0" w:type="dxa"/>
            <w:vAlign w:val="center"/>
          </w:tcPr>
          <w:p>
            <w:pPr>
              <w:jc w:val="center"/>
              <w:rPr>
                <w:rFonts w:ascii="宋体" w:hAnsi="宋体" w:eastAsia="宋体" w:cs="宋体"/>
                <w:b/>
                <w:bCs/>
                <w:szCs w:val="21"/>
              </w:rPr>
            </w:pPr>
          </w:p>
        </w:tc>
        <w:tc>
          <w:tcPr>
            <w:tcW w:w="7989" w:type="dxa"/>
            <w:gridSpan w:val="4"/>
          </w:tcPr>
          <w:p>
            <w:pPr>
              <w:rPr>
                <w:rFonts w:ascii="宋体" w:hAnsi="宋体" w:eastAsia="宋体" w:cs="宋体"/>
                <w:b/>
                <w:bCs/>
                <w:szCs w:val="21"/>
              </w:rPr>
            </w:pPr>
          </w:p>
        </w:tc>
      </w:tr>
    </w:tbl>
    <w:p>
      <w:pPr>
        <w:spacing w:line="400" w:lineRule="exact"/>
        <w:jc w:val="left"/>
        <w:rPr>
          <w:rFonts w:ascii="宋体" w:hAnsi="宋体" w:eastAsia="宋体" w:cs="宋体"/>
          <w:b/>
          <w:bCs/>
          <w:sz w:val="30"/>
          <w:szCs w:val="24"/>
        </w:rPr>
      </w:pPr>
      <w:r>
        <w:rPr>
          <w:rFonts w:hint="eastAsia" w:ascii="宋体" w:hAnsi="宋体" w:eastAsia="宋体" w:cs="宋体"/>
          <w:sz w:val="24"/>
          <w:szCs w:val="24"/>
        </w:rPr>
        <w:t>注：后附证件、合同等相关材料复印件。</w:t>
      </w:r>
    </w:p>
    <w:p>
      <w:pPr>
        <w:spacing w:line="400" w:lineRule="exact"/>
        <w:jc w:val="center"/>
        <w:rPr>
          <w:rFonts w:ascii="宋体" w:hAnsi="宋体" w:eastAsia="宋体" w:cs="宋体"/>
          <w:b/>
          <w:bCs/>
          <w:sz w:val="30"/>
          <w:szCs w:val="24"/>
        </w:rPr>
      </w:pPr>
    </w:p>
    <w:p>
      <w:pPr>
        <w:spacing w:line="560" w:lineRule="exact"/>
        <w:ind w:firstLine="3840" w:firstLineChars="1600"/>
        <w:jc w:val="left"/>
        <w:rPr>
          <w:rFonts w:ascii="宋体" w:hAnsi="宋体" w:eastAsia="宋体" w:cs="宋体"/>
          <w:sz w:val="24"/>
          <w:szCs w:val="24"/>
        </w:rPr>
      </w:pPr>
      <w:r>
        <w:rPr>
          <w:rFonts w:hint="eastAsia" w:ascii="宋体" w:hAnsi="宋体" w:eastAsia="宋体" w:cs="宋体"/>
          <w:sz w:val="24"/>
          <w:szCs w:val="24"/>
        </w:rPr>
        <w:t xml:space="preserve">供应商名称：（盖章）        </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法定代表人或委托代理人(签字)</w:t>
      </w:r>
    </w:p>
    <w:p>
      <w:pPr>
        <w:spacing w:line="560" w:lineRule="exact"/>
        <w:jc w:val="center"/>
        <w:rPr>
          <w:rFonts w:ascii="宋体" w:hAnsi="宋体" w:eastAsia="宋体" w:cs="宋体"/>
          <w:sz w:val="24"/>
          <w:szCs w:val="24"/>
        </w:rPr>
      </w:pPr>
      <w:r>
        <w:rPr>
          <w:rFonts w:hint="eastAsia" w:ascii="宋体" w:hAnsi="宋体" w:eastAsia="宋体" w:cs="宋体"/>
          <w:sz w:val="24"/>
          <w:szCs w:val="24"/>
        </w:rPr>
        <w:t xml:space="preserve">           日期：   年  月   日</w:t>
      </w:r>
      <w:r>
        <w:rPr>
          <w:rFonts w:hint="eastAsia" w:ascii="宋体" w:hAnsi="宋体" w:eastAsia="宋体" w:cs="宋体"/>
          <w:sz w:val="24"/>
          <w:szCs w:val="24"/>
        </w:rPr>
        <w:tab/>
      </w:r>
    </w:p>
    <w:p>
      <w:pPr>
        <w:tabs>
          <w:tab w:val="left" w:pos="3150"/>
        </w:tabs>
        <w:spacing w:line="560" w:lineRule="exact"/>
        <w:jc w:val="left"/>
        <w:rPr>
          <w:rFonts w:ascii="宋体" w:hAnsi="宋体" w:eastAsia="宋体" w:cs="宋体"/>
          <w:b/>
          <w:sz w:val="24"/>
          <w:szCs w:val="24"/>
        </w:rPr>
      </w:pPr>
    </w:p>
    <w:p>
      <w:pPr>
        <w:jc w:val="center"/>
        <w:outlineLvl w:val="1"/>
        <w:rPr>
          <w:rFonts w:ascii="宋体" w:hAnsi="宋体" w:eastAsia="宋体" w:cs="宋体"/>
          <w:b/>
          <w:sz w:val="24"/>
          <w:szCs w:val="24"/>
        </w:rPr>
      </w:pPr>
      <w:bookmarkStart w:id="146" w:name="_Toc24058"/>
      <w:r>
        <w:rPr>
          <w:rFonts w:hint="eastAsia" w:ascii="宋体" w:hAnsi="宋体" w:eastAsia="宋体" w:cs="宋体"/>
          <w:b/>
          <w:sz w:val="24"/>
          <w:szCs w:val="24"/>
        </w:rPr>
        <w:t>（三）拟派本项目组成员情况一览表</w:t>
      </w:r>
      <w:bookmarkEnd w:id="146"/>
    </w:p>
    <w:p>
      <w:pPr>
        <w:rPr>
          <w:rFonts w:ascii="宋体" w:hAnsi="宋体"/>
          <w:b/>
          <w:sz w:val="28"/>
          <w:szCs w:val="28"/>
        </w:rPr>
      </w:pPr>
    </w:p>
    <w:tbl>
      <w:tblPr>
        <w:tblStyle w:val="27"/>
        <w:tblW w:w="95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
        <w:gridCol w:w="1478"/>
        <w:gridCol w:w="1155"/>
        <w:gridCol w:w="840"/>
        <w:gridCol w:w="1500"/>
        <w:gridCol w:w="1500"/>
        <w:gridCol w:w="1559"/>
        <w:gridCol w:w="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序号</w:t>
            </w:r>
          </w:p>
        </w:tc>
        <w:tc>
          <w:tcPr>
            <w:tcW w:w="1478"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姓名</w:t>
            </w:r>
          </w:p>
        </w:tc>
        <w:tc>
          <w:tcPr>
            <w:tcW w:w="1155"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性别</w:t>
            </w:r>
          </w:p>
        </w:tc>
        <w:tc>
          <w:tcPr>
            <w:tcW w:w="840"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年龄</w:t>
            </w:r>
          </w:p>
        </w:tc>
        <w:tc>
          <w:tcPr>
            <w:tcW w:w="1500"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职称</w:t>
            </w:r>
          </w:p>
        </w:tc>
        <w:tc>
          <w:tcPr>
            <w:tcW w:w="1500"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执业资格</w:t>
            </w:r>
          </w:p>
          <w:p>
            <w:pPr>
              <w:pStyle w:val="13"/>
              <w:spacing w:before="120" w:beforeLines="50" w:after="120" w:afterLines="50" w:line="300" w:lineRule="auto"/>
              <w:jc w:val="center"/>
              <w:rPr>
                <w:sz w:val="24"/>
                <w:szCs w:val="24"/>
              </w:rPr>
            </w:pPr>
            <w:r>
              <w:rPr>
                <w:sz w:val="24"/>
                <w:szCs w:val="24"/>
              </w:rPr>
              <w:t>名称</w:t>
            </w:r>
          </w:p>
        </w:tc>
        <w:tc>
          <w:tcPr>
            <w:tcW w:w="1559"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在本项目</w:t>
            </w:r>
          </w:p>
          <w:p>
            <w:pPr>
              <w:pStyle w:val="13"/>
              <w:spacing w:before="120" w:beforeLines="50" w:after="120" w:afterLines="50" w:line="300" w:lineRule="auto"/>
              <w:jc w:val="center"/>
              <w:rPr>
                <w:sz w:val="24"/>
                <w:szCs w:val="24"/>
              </w:rPr>
            </w:pPr>
            <w:r>
              <w:rPr>
                <w:sz w:val="24"/>
                <w:szCs w:val="24"/>
              </w:rPr>
              <w:t>担任职务</w:t>
            </w:r>
          </w:p>
        </w:tc>
        <w:tc>
          <w:tcPr>
            <w:tcW w:w="826"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32"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center"/>
        </w:trPr>
        <w:tc>
          <w:tcPr>
            <w:tcW w:w="73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4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15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4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00"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826"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bl>
    <w:p>
      <w:pPr>
        <w:pStyle w:val="7"/>
        <w:spacing w:before="120" w:beforeLines="50" w:after="120" w:afterLines="50" w:line="300" w:lineRule="auto"/>
        <w:rPr>
          <w:sz w:val="24"/>
        </w:rPr>
      </w:pPr>
    </w:p>
    <w:p>
      <w:pPr>
        <w:pStyle w:val="7"/>
        <w:spacing w:before="120" w:beforeLines="50" w:after="120" w:afterLines="50" w:line="300" w:lineRule="auto"/>
        <w:rPr>
          <w:sz w:val="24"/>
        </w:rPr>
      </w:pPr>
      <w:r>
        <w:rPr>
          <w:sz w:val="24"/>
        </w:rPr>
        <w:t>注：</w:t>
      </w:r>
      <w:r>
        <w:rPr>
          <w:rFonts w:hint="eastAsia"/>
          <w:sz w:val="24"/>
        </w:rPr>
        <w:t>需提供相应的证明材料，详见招标文件第四部分评标办法中“评分标准”要求。</w:t>
      </w:r>
    </w:p>
    <w:p>
      <w:pPr>
        <w:tabs>
          <w:tab w:val="left" w:pos="3150"/>
        </w:tabs>
        <w:spacing w:line="560" w:lineRule="exact"/>
        <w:jc w:val="left"/>
        <w:rPr>
          <w:rFonts w:ascii="宋体" w:hAnsi="宋体" w:eastAsia="宋体" w:cs="宋体"/>
          <w:b/>
          <w:sz w:val="24"/>
          <w:szCs w:val="24"/>
        </w:rPr>
        <w:sectPr>
          <w:pgSz w:w="11906" w:h="16838"/>
          <w:pgMar w:top="1587" w:right="1587" w:bottom="1587" w:left="1587" w:header="1247" w:footer="992" w:gutter="0"/>
          <w:cols w:space="0" w:num="1"/>
          <w:docGrid w:linePitch="312" w:charSpace="0"/>
        </w:sectPr>
      </w:pPr>
    </w:p>
    <w:p>
      <w:pPr>
        <w:jc w:val="center"/>
        <w:outlineLvl w:val="1"/>
        <w:rPr>
          <w:rFonts w:ascii="宋体" w:hAnsi="宋体" w:eastAsia="宋体" w:cs="宋体"/>
          <w:b/>
          <w:sz w:val="24"/>
          <w:szCs w:val="24"/>
        </w:rPr>
      </w:pPr>
      <w:bookmarkStart w:id="147" w:name="_Toc30066"/>
      <w:r>
        <w:rPr>
          <w:rFonts w:hint="eastAsia" w:ascii="宋体" w:hAnsi="宋体" w:eastAsia="宋体" w:cs="宋体"/>
          <w:b/>
          <w:sz w:val="24"/>
          <w:szCs w:val="24"/>
        </w:rPr>
        <w:t>（四）其他企业相关资料</w:t>
      </w:r>
      <w:bookmarkEnd w:id="147"/>
    </w:p>
    <w:p>
      <w:pPr>
        <w:spacing w:line="360" w:lineRule="auto"/>
        <w:rPr>
          <w:rFonts w:ascii="宋体" w:hAnsi="宋体" w:eastAsia="宋体" w:cs="宋体"/>
          <w:sz w:val="24"/>
          <w:szCs w:val="24"/>
        </w:rPr>
      </w:pPr>
      <w:r>
        <w:rPr>
          <w:rFonts w:hint="eastAsia" w:ascii="宋体" w:hAnsi="宋体" w:eastAsia="宋体" w:cs="宋体"/>
          <w:sz w:val="24"/>
          <w:szCs w:val="24"/>
        </w:rPr>
        <w:t xml:space="preserve">       </w:t>
      </w:r>
    </w:p>
    <w:p>
      <w:pPr>
        <w:numPr>
          <w:ilvl w:val="0"/>
          <w:numId w:val="10"/>
        </w:num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检察机关出具的行贿犯罪档案查询结果告知函复印件。</w:t>
      </w:r>
    </w:p>
    <w:p>
      <w:pPr>
        <w:numPr>
          <w:ilvl w:val="0"/>
          <w:numId w:val="10"/>
        </w:num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未被列入失信被执行人、政府采购严重违法失信行为记录名单的供应商【通过“信用中国”网站（http://www.ccgp.gov.cn）</w:t>
      </w:r>
      <w:r>
        <w:rPr>
          <w:rFonts w:hint="eastAsia" w:ascii="宋体" w:hAnsi="宋体" w:eastAsia="宋体" w:cs="宋体"/>
          <w:sz w:val="24"/>
          <w:szCs w:val="24"/>
          <w:lang w:eastAsia="zh-CN"/>
        </w:rPr>
        <w:t>或</w:t>
      </w:r>
      <w:r>
        <w:rPr>
          <w:rFonts w:hint="eastAsia" w:ascii="宋体" w:hAnsi="宋体" w:eastAsia="宋体" w:cs="宋体"/>
          <w:sz w:val="24"/>
          <w:szCs w:val="24"/>
        </w:rPr>
        <w:t>河南省政府采购网（http://hngp.gov.cn）查询其信用记录】网页版截图。</w:t>
      </w:r>
    </w:p>
    <w:p>
      <w:pPr>
        <w:numPr>
          <w:ilvl w:val="0"/>
          <w:numId w:val="10"/>
        </w:numPr>
        <w:spacing w:line="360" w:lineRule="auto"/>
        <w:ind w:firstLine="960" w:firstLineChars="400"/>
        <w:rPr>
          <w:rFonts w:ascii="宋体" w:hAnsi="宋体" w:eastAsia="宋体" w:cs="宋体"/>
          <w:color w:val="auto"/>
          <w:sz w:val="24"/>
          <w:szCs w:val="24"/>
          <w:highlight w:val="yellow"/>
        </w:rPr>
      </w:pPr>
      <w:r>
        <w:rPr>
          <w:rFonts w:hint="eastAsia" w:ascii="宋体" w:hAnsi="宋体" w:eastAsia="宋体" w:cs="宋体"/>
          <w:color w:val="auto"/>
          <w:sz w:val="24"/>
          <w:szCs w:val="24"/>
          <w:highlight w:val="yellow"/>
        </w:rPr>
        <w:t>没有财务被接管、冻结、破产状态，提供</w:t>
      </w:r>
      <w:r>
        <w:rPr>
          <w:rFonts w:hint="eastAsia" w:ascii="宋体" w:hAnsi="宋体" w:eastAsia="宋体" w:cs="宋体"/>
          <w:color w:val="auto"/>
          <w:sz w:val="24"/>
          <w:szCs w:val="24"/>
          <w:highlight w:val="yellow"/>
          <w:lang w:eastAsia="zh-CN"/>
        </w:rPr>
        <w:t>近年度</w:t>
      </w:r>
      <w:r>
        <w:rPr>
          <w:rFonts w:hint="eastAsia" w:ascii="宋体" w:hAnsi="宋体" w:eastAsia="宋体" w:cs="宋体"/>
          <w:color w:val="auto"/>
          <w:sz w:val="24"/>
          <w:szCs w:val="24"/>
          <w:highlight w:val="yellow"/>
        </w:rPr>
        <w:t>经审计的财务状况报告（</w:t>
      </w:r>
      <w:r>
        <w:rPr>
          <w:rFonts w:hint="eastAsia" w:ascii="宋体" w:hAnsi="宋体" w:cs="宋体"/>
          <w:color w:val="auto"/>
          <w:kern w:val="0"/>
          <w:sz w:val="24"/>
          <w:szCs w:val="24"/>
          <w:highlight w:val="yellow"/>
          <w:shd w:val="clear" w:color="auto" w:fill="FFFFFF"/>
          <w:lang w:bidi="ar"/>
        </w:rPr>
        <w:t>新成立企业</w:t>
      </w:r>
      <w:r>
        <w:rPr>
          <w:rFonts w:hint="eastAsia" w:ascii="宋体" w:hAnsi="宋体"/>
          <w:color w:val="auto"/>
          <w:sz w:val="24"/>
          <w:szCs w:val="24"/>
          <w:highlight w:val="yellow"/>
          <w:lang w:eastAsia="zh-CN"/>
        </w:rPr>
        <w:t>按已有年份提供</w:t>
      </w:r>
      <w:r>
        <w:rPr>
          <w:rFonts w:hint="eastAsia" w:ascii="宋体" w:hAnsi="宋体" w:eastAsia="宋体" w:cs="宋体"/>
          <w:color w:val="auto"/>
          <w:sz w:val="24"/>
          <w:szCs w:val="24"/>
          <w:highlight w:val="yellow"/>
        </w:rPr>
        <w:t>）复印件</w:t>
      </w:r>
      <w:bookmarkStart w:id="158" w:name="_GoBack"/>
      <w:bookmarkEnd w:id="158"/>
      <w:r>
        <w:rPr>
          <w:rFonts w:hint="eastAsia" w:ascii="宋体" w:hAnsi="宋体" w:eastAsia="宋体" w:cs="宋体"/>
          <w:color w:val="auto"/>
          <w:sz w:val="24"/>
          <w:szCs w:val="24"/>
          <w:highlight w:val="yellow"/>
        </w:rPr>
        <w:t>。</w:t>
      </w:r>
    </w:p>
    <w:p>
      <w:pPr>
        <w:numPr>
          <w:ilvl w:val="0"/>
          <w:numId w:val="10"/>
        </w:numPr>
        <w:spacing w:line="360" w:lineRule="auto"/>
        <w:ind w:firstLine="960" w:firstLineChars="400"/>
        <w:rPr>
          <w:rFonts w:ascii="宋体" w:hAnsi="宋体" w:eastAsia="宋体" w:cs="宋体"/>
          <w:color w:val="FF0000"/>
          <w:sz w:val="24"/>
          <w:szCs w:val="24"/>
          <w:highlight w:val="yellow"/>
        </w:rPr>
      </w:pPr>
      <w:r>
        <w:rPr>
          <w:rFonts w:hint="eastAsia" w:ascii="宋体" w:hAnsi="宋体" w:eastAsia="宋体" w:cs="宋体"/>
          <w:color w:val="auto"/>
          <w:sz w:val="24"/>
          <w:szCs w:val="24"/>
          <w:highlight w:val="yellow"/>
          <w:lang w:eastAsia="zh-CN"/>
        </w:rPr>
        <w:t>企业</w:t>
      </w:r>
      <w:r>
        <w:rPr>
          <w:rFonts w:hint="eastAsia" w:ascii="宋体" w:hAnsi="宋体" w:eastAsia="宋体" w:cs="宋体"/>
          <w:color w:val="auto"/>
          <w:sz w:val="24"/>
          <w:szCs w:val="24"/>
          <w:highlight w:val="yellow"/>
        </w:rPr>
        <w:t>依法缴纳税收</w:t>
      </w:r>
      <w:r>
        <w:rPr>
          <w:rFonts w:hint="eastAsia" w:ascii="宋体" w:hAnsi="宋体" w:eastAsia="宋体" w:cs="宋体"/>
          <w:color w:val="FF0000"/>
          <w:sz w:val="24"/>
          <w:szCs w:val="24"/>
          <w:highlight w:val="yellow"/>
          <w:lang w:eastAsia="zh-CN"/>
        </w:rPr>
        <w:t>及</w:t>
      </w:r>
      <w:r>
        <w:rPr>
          <w:rFonts w:hint="eastAsia" w:ascii="宋体" w:hAnsi="宋体" w:eastAsia="宋体" w:cs="宋体"/>
          <w:color w:val="FF0000"/>
          <w:sz w:val="24"/>
          <w:szCs w:val="24"/>
          <w:highlight w:val="yellow"/>
        </w:rPr>
        <w:t>社会保障资金证明</w:t>
      </w:r>
      <w:r>
        <w:rPr>
          <w:rFonts w:hint="eastAsia" w:ascii="宋体" w:hAnsi="宋体" w:eastAsia="宋体" w:cs="宋体"/>
          <w:color w:val="FF0000"/>
          <w:sz w:val="24"/>
          <w:szCs w:val="24"/>
          <w:highlight w:val="yellow"/>
          <w:lang w:eastAsia="zh-CN"/>
        </w:rPr>
        <w:t>材料</w:t>
      </w:r>
      <w:r>
        <w:rPr>
          <w:rFonts w:hint="eastAsia" w:ascii="宋体" w:hAnsi="宋体" w:eastAsia="宋体" w:cs="宋体"/>
          <w:color w:val="FF0000"/>
          <w:sz w:val="24"/>
          <w:szCs w:val="24"/>
          <w:highlight w:val="yellow"/>
        </w:rPr>
        <w:t>。</w:t>
      </w:r>
    </w:p>
    <w:p>
      <w:pPr>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5.其他供应商认为应附的相关材料。</w:t>
      </w: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center"/>
        <w:textAlignment w:val="baseline"/>
        <w:rPr>
          <w:rFonts w:ascii="宋体" w:hAnsi="宋体" w:eastAsia="宋体" w:cs="宋体"/>
          <w:b/>
          <w:bCs/>
          <w:kern w:val="0"/>
          <w:sz w:val="28"/>
          <w:szCs w:val="28"/>
        </w:rPr>
      </w:pPr>
      <w:r>
        <w:rPr>
          <w:rFonts w:hint="eastAsia" w:ascii="宋体" w:hAnsi="宋体" w:eastAsia="宋体" w:cs="宋体"/>
          <w:b/>
          <w:bCs/>
          <w:kern w:val="0"/>
          <w:sz w:val="28"/>
          <w:szCs w:val="28"/>
        </w:rPr>
        <w:t>（以上资料</w:t>
      </w:r>
      <w:r>
        <w:rPr>
          <w:rFonts w:hint="eastAsia" w:ascii="宋体" w:hAnsi="宋体" w:eastAsia="宋体" w:cs="宋体"/>
          <w:b/>
          <w:bCs/>
          <w:kern w:val="0"/>
          <w:sz w:val="28"/>
          <w:szCs w:val="28"/>
          <w:lang w:eastAsia="zh-CN"/>
        </w:rPr>
        <w:t>提供</w:t>
      </w:r>
      <w:r>
        <w:rPr>
          <w:rFonts w:hint="eastAsia" w:ascii="宋体" w:hAnsi="宋体" w:eastAsia="宋体" w:cs="宋体"/>
          <w:b/>
          <w:bCs/>
          <w:kern w:val="0"/>
          <w:sz w:val="28"/>
          <w:szCs w:val="28"/>
        </w:rPr>
        <w:t>复印件</w:t>
      </w:r>
      <w:r>
        <w:rPr>
          <w:rFonts w:hint="eastAsia" w:ascii="宋体" w:hAnsi="宋体" w:eastAsia="宋体" w:cs="宋体"/>
          <w:b/>
          <w:bCs/>
          <w:kern w:val="0"/>
          <w:sz w:val="28"/>
          <w:szCs w:val="28"/>
          <w:lang w:eastAsia="zh-CN"/>
        </w:rPr>
        <w:t>并</w:t>
      </w:r>
      <w:r>
        <w:rPr>
          <w:rFonts w:hint="eastAsia" w:ascii="宋体" w:hAnsi="宋体" w:eastAsia="宋体" w:cs="宋体"/>
          <w:b/>
          <w:bCs/>
          <w:kern w:val="0"/>
          <w:sz w:val="28"/>
          <w:szCs w:val="28"/>
        </w:rPr>
        <w:t>加盖公章附在投标文件中）</w:t>
      </w:r>
    </w:p>
    <w:p>
      <w:pPr>
        <w:widowControl/>
        <w:overflowPunct w:val="0"/>
        <w:autoSpaceDE w:val="0"/>
        <w:autoSpaceDN w:val="0"/>
        <w:adjustRightInd w:val="0"/>
        <w:spacing w:line="400" w:lineRule="atLeast"/>
        <w:jc w:val="left"/>
        <w:textAlignment w:val="baseline"/>
        <w:rPr>
          <w:rFonts w:ascii="宋体" w:hAnsi="宋体" w:eastAsia="宋体" w:cs="宋体"/>
          <w:b/>
          <w:bCs/>
          <w:kern w:val="0"/>
          <w:sz w:val="28"/>
          <w:szCs w:val="28"/>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outlineLvl w:val="1"/>
        <w:rPr>
          <w:rFonts w:hint="eastAsia" w:ascii="宋体" w:hAnsi="宋体" w:eastAsia="宋体" w:cs="宋体"/>
          <w:b/>
          <w:sz w:val="24"/>
          <w:szCs w:val="24"/>
        </w:rPr>
      </w:pPr>
      <w:bookmarkStart w:id="148" w:name="_Toc28212"/>
    </w:p>
    <w:p>
      <w:pPr>
        <w:outlineLvl w:val="1"/>
        <w:rPr>
          <w:rFonts w:hint="eastAsia" w:ascii="宋体" w:hAnsi="宋体" w:eastAsia="宋体" w:cs="宋体"/>
          <w:b/>
          <w:sz w:val="24"/>
          <w:szCs w:val="24"/>
        </w:rPr>
      </w:pPr>
    </w:p>
    <w:p>
      <w:pPr>
        <w:outlineLvl w:val="1"/>
        <w:rPr>
          <w:rFonts w:hint="eastAsia" w:ascii="宋体" w:hAnsi="宋体" w:eastAsia="宋体" w:cs="宋体"/>
          <w:b/>
          <w:sz w:val="24"/>
          <w:szCs w:val="24"/>
        </w:rPr>
      </w:pPr>
    </w:p>
    <w:p>
      <w:pPr>
        <w:outlineLvl w:val="1"/>
        <w:rPr>
          <w:rFonts w:ascii="宋体" w:hAnsi="宋体" w:eastAsia="宋体" w:cs="宋体"/>
          <w:b/>
          <w:sz w:val="24"/>
          <w:szCs w:val="24"/>
        </w:rPr>
      </w:pPr>
      <w:r>
        <w:rPr>
          <w:rFonts w:hint="eastAsia" w:ascii="宋体" w:hAnsi="宋体" w:eastAsia="宋体" w:cs="宋体"/>
          <w:b/>
          <w:sz w:val="24"/>
          <w:szCs w:val="24"/>
        </w:rPr>
        <w:t>附件5 PPP项目业绩</w:t>
      </w:r>
      <w:bookmarkEnd w:id="148"/>
    </w:p>
    <w:p>
      <w:pPr>
        <w:spacing w:before="120" w:beforeLines="50" w:after="120" w:afterLines="50" w:line="300" w:lineRule="auto"/>
        <w:rPr>
          <w:sz w:val="24"/>
        </w:rPr>
      </w:pPr>
      <w:r>
        <w:rPr>
          <w:rFonts w:hint="eastAsia"/>
          <w:sz w:val="24"/>
        </w:rPr>
        <w:t>（一）市政工程项目业绩</w:t>
      </w:r>
    </w:p>
    <w:tbl>
      <w:tblPr>
        <w:tblStyle w:val="27"/>
        <w:tblW w:w="83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
        <w:gridCol w:w="2462"/>
        <w:gridCol w:w="1678"/>
        <w:gridCol w:w="1677"/>
        <w:gridCol w:w="16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序号</w:t>
            </w:r>
          </w:p>
        </w:tc>
        <w:tc>
          <w:tcPr>
            <w:tcW w:w="246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委托单位</w:t>
            </w:r>
          </w:p>
        </w:tc>
        <w:tc>
          <w:tcPr>
            <w:tcW w:w="1678"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项目名称</w:t>
            </w:r>
          </w:p>
        </w:tc>
        <w:tc>
          <w:tcPr>
            <w:tcW w:w="1677"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总投资(万元)</w:t>
            </w:r>
          </w:p>
        </w:tc>
        <w:tc>
          <w:tcPr>
            <w:tcW w:w="1678"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1</w:t>
            </w:r>
          </w:p>
        </w:tc>
        <w:tc>
          <w:tcPr>
            <w:tcW w:w="246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7"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2</w:t>
            </w:r>
          </w:p>
        </w:tc>
        <w:tc>
          <w:tcPr>
            <w:tcW w:w="246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7"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3</w:t>
            </w:r>
          </w:p>
        </w:tc>
        <w:tc>
          <w:tcPr>
            <w:tcW w:w="246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7"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4</w:t>
            </w:r>
          </w:p>
        </w:tc>
        <w:tc>
          <w:tcPr>
            <w:tcW w:w="246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7"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32" w:hRule="atLeast"/>
          <w:jc w:val="center"/>
        </w:trPr>
        <w:tc>
          <w:tcPr>
            <w:tcW w:w="89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246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r>
              <w:rPr>
                <w:rFonts w:hint="eastAsia"/>
                <w:sz w:val="24"/>
                <w:szCs w:val="24"/>
              </w:rPr>
              <w:t>……</w:t>
            </w: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7"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67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bl>
    <w:p>
      <w:pPr>
        <w:spacing w:before="120" w:beforeLines="50" w:after="120" w:afterLines="50" w:line="300" w:lineRule="auto"/>
        <w:rPr>
          <w:sz w:val="24"/>
        </w:rPr>
      </w:pPr>
      <w:r>
        <w:rPr>
          <w:sz w:val="24"/>
        </w:rPr>
        <w:t>注：</w:t>
      </w:r>
      <w:r>
        <w:rPr>
          <w:rFonts w:hint="eastAsia"/>
          <w:sz w:val="24"/>
        </w:rPr>
        <w:t>需提供相应的证明材料，详见招标文件第四部分评标办法中“评分标准”要求。</w:t>
      </w:r>
    </w:p>
    <w:p>
      <w:pPr>
        <w:spacing w:before="120" w:beforeLines="50" w:after="120" w:afterLines="50" w:line="300" w:lineRule="auto"/>
        <w:rPr>
          <w:sz w:val="24"/>
        </w:rPr>
      </w:pPr>
    </w:p>
    <w:p>
      <w:pPr>
        <w:spacing w:before="120" w:beforeLines="50" w:after="120" w:afterLines="50" w:line="300" w:lineRule="auto"/>
        <w:rPr>
          <w:sz w:val="24"/>
        </w:rPr>
      </w:pPr>
      <w:r>
        <w:rPr>
          <w:sz w:val="24"/>
        </w:rPr>
        <w:br w:type="page"/>
      </w:r>
      <w:r>
        <w:rPr>
          <w:rFonts w:hint="eastAsia"/>
          <w:sz w:val="24"/>
        </w:rPr>
        <w:t>（二）财政部PPP示范项目业绩</w:t>
      </w:r>
    </w:p>
    <w:tbl>
      <w:tblPr>
        <w:tblStyle w:val="27"/>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2"/>
        <w:gridCol w:w="1738"/>
        <w:gridCol w:w="1761"/>
        <w:gridCol w:w="1984"/>
        <w:gridCol w:w="1212"/>
        <w:gridCol w:w="9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序号</w:t>
            </w:r>
          </w:p>
        </w:tc>
        <w:tc>
          <w:tcPr>
            <w:tcW w:w="1738"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委托单位</w:t>
            </w:r>
          </w:p>
        </w:tc>
        <w:tc>
          <w:tcPr>
            <w:tcW w:w="1761"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项目名称</w:t>
            </w:r>
          </w:p>
        </w:tc>
        <w:tc>
          <w:tcPr>
            <w:tcW w:w="1984"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项目类型</w:t>
            </w:r>
          </w:p>
        </w:tc>
        <w:tc>
          <w:tcPr>
            <w:tcW w:w="121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总投资</w:t>
            </w:r>
          </w:p>
          <w:p>
            <w:pPr>
              <w:pStyle w:val="13"/>
              <w:spacing w:before="120" w:beforeLines="50" w:after="120" w:afterLines="50" w:line="300" w:lineRule="auto"/>
              <w:jc w:val="center"/>
              <w:rPr>
                <w:sz w:val="24"/>
                <w:szCs w:val="24"/>
              </w:rPr>
            </w:pPr>
            <w:r>
              <w:rPr>
                <w:sz w:val="24"/>
                <w:szCs w:val="24"/>
              </w:rPr>
              <w:t>(万元)</w:t>
            </w:r>
          </w:p>
        </w:tc>
        <w:tc>
          <w:tcPr>
            <w:tcW w:w="965"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1</w:t>
            </w:r>
          </w:p>
        </w:tc>
        <w:tc>
          <w:tcPr>
            <w:tcW w:w="173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761"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984"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21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96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2</w:t>
            </w:r>
          </w:p>
        </w:tc>
        <w:tc>
          <w:tcPr>
            <w:tcW w:w="173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761"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984"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21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96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3</w:t>
            </w:r>
          </w:p>
        </w:tc>
        <w:tc>
          <w:tcPr>
            <w:tcW w:w="173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761"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984"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21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96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pStyle w:val="13"/>
              <w:spacing w:before="120" w:beforeLines="50" w:after="120" w:afterLines="50" w:line="300" w:lineRule="auto"/>
              <w:jc w:val="center"/>
              <w:rPr>
                <w:sz w:val="24"/>
                <w:szCs w:val="24"/>
              </w:rPr>
            </w:pPr>
            <w:r>
              <w:rPr>
                <w:rFonts w:hint="eastAsia"/>
                <w:sz w:val="24"/>
                <w:szCs w:val="24"/>
              </w:rPr>
              <w:t>4</w:t>
            </w:r>
          </w:p>
        </w:tc>
        <w:tc>
          <w:tcPr>
            <w:tcW w:w="173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761"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984"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21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96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32" w:hRule="atLeast"/>
          <w:jc w:val="center"/>
        </w:trPr>
        <w:tc>
          <w:tcPr>
            <w:tcW w:w="86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738"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r>
              <w:rPr>
                <w:rFonts w:hint="eastAsia"/>
                <w:sz w:val="24"/>
                <w:szCs w:val="24"/>
              </w:rPr>
              <w:t>……</w:t>
            </w:r>
          </w:p>
        </w:tc>
        <w:tc>
          <w:tcPr>
            <w:tcW w:w="1761"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984"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1212"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c>
          <w:tcPr>
            <w:tcW w:w="965" w:type="dxa"/>
            <w:tcBorders>
              <w:top w:val="single" w:color="auto" w:sz="4" w:space="0"/>
              <w:left w:val="single" w:color="auto" w:sz="4" w:space="0"/>
              <w:bottom w:val="single" w:color="auto" w:sz="4" w:space="0"/>
              <w:right w:val="single" w:color="auto" w:sz="4" w:space="0"/>
            </w:tcBorders>
          </w:tcPr>
          <w:p>
            <w:pPr>
              <w:pStyle w:val="13"/>
              <w:spacing w:before="120" w:beforeLines="50" w:after="120" w:afterLines="50" w:line="300" w:lineRule="auto"/>
              <w:rPr>
                <w:sz w:val="24"/>
                <w:szCs w:val="24"/>
              </w:rPr>
            </w:pPr>
          </w:p>
        </w:tc>
      </w:tr>
    </w:tbl>
    <w:p>
      <w:pPr>
        <w:spacing w:before="120" w:beforeLines="50" w:after="120" w:afterLines="50" w:line="300" w:lineRule="auto"/>
        <w:rPr>
          <w:sz w:val="24"/>
        </w:rPr>
      </w:pPr>
      <w:r>
        <w:rPr>
          <w:sz w:val="24"/>
        </w:rPr>
        <w:t>注：</w:t>
      </w:r>
      <w:r>
        <w:rPr>
          <w:rFonts w:hint="eastAsia"/>
          <w:sz w:val="24"/>
        </w:rPr>
        <w:t>需提供相应的证明材料，详见招标文件第四部分评标办法中“评分标准”要求。</w:t>
      </w:r>
    </w:p>
    <w:p>
      <w:pPr>
        <w:spacing w:line="360" w:lineRule="auto"/>
        <w:rPr>
          <w:sz w:val="24"/>
        </w:rPr>
        <w:sectPr>
          <w:pgSz w:w="11906" w:h="16838"/>
          <w:pgMar w:top="1587" w:right="1587" w:bottom="1587" w:left="1587" w:header="1247" w:footer="992" w:gutter="0"/>
          <w:cols w:space="0" w:num="1"/>
          <w:docGrid w:linePitch="312" w:charSpace="0"/>
        </w:sectPr>
      </w:pPr>
    </w:p>
    <w:p>
      <w:pPr>
        <w:spacing w:line="360" w:lineRule="auto"/>
        <w:rPr>
          <w:sz w:val="24"/>
        </w:rPr>
      </w:pPr>
    </w:p>
    <w:p>
      <w:pPr>
        <w:spacing w:line="360" w:lineRule="auto"/>
        <w:rPr>
          <w:rFonts w:ascii="宋体" w:hAnsi="宋体" w:eastAsia="宋体" w:cs="宋体"/>
          <w:sz w:val="24"/>
          <w:szCs w:val="24"/>
        </w:rPr>
      </w:pPr>
      <w:r>
        <w:rPr>
          <w:sz w:val="24"/>
        </w:rPr>
        <w:t>（三）</w:t>
      </w:r>
      <w:r>
        <w:rPr>
          <w:rFonts w:hint="eastAsia"/>
          <w:sz w:val="24"/>
        </w:rPr>
        <w:t>投标人担任国家发改委或财政部或住建部PPP规范文件（政策法规）起草或课题编制的相关业绩</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sectPr>
          <w:pgSz w:w="11906" w:h="16838"/>
          <w:pgMar w:top="1587" w:right="1587" w:bottom="1587" w:left="1587" w:header="1247" w:footer="992" w:gutter="0"/>
          <w:cols w:space="0" w:num="1"/>
          <w:docGrid w:linePitch="312" w:charSpace="0"/>
        </w:sectPr>
      </w:pPr>
    </w:p>
    <w:p>
      <w:pPr>
        <w:outlineLvl w:val="1"/>
        <w:rPr>
          <w:rFonts w:ascii="宋体" w:hAnsi="宋体" w:eastAsia="宋体" w:cs="宋体"/>
          <w:b/>
          <w:sz w:val="24"/>
          <w:szCs w:val="24"/>
        </w:rPr>
      </w:pPr>
      <w:bookmarkStart w:id="149" w:name="_Toc14881"/>
      <w:r>
        <w:rPr>
          <w:rFonts w:hint="eastAsia" w:ascii="宋体" w:hAnsi="宋体" w:eastAsia="宋体" w:cs="宋体"/>
          <w:b/>
          <w:sz w:val="24"/>
          <w:szCs w:val="24"/>
        </w:rPr>
        <w:t xml:space="preserve">附件6 </w:t>
      </w:r>
      <w:bookmarkEnd w:id="149"/>
      <w:r>
        <w:rPr>
          <w:rFonts w:hint="eastAsia" w:ascii="宋体" w:hAnsi="宋体" w:eastAsia="宋体" w:cs="宋体"/>
          <w:b/>
          <w:sz w:val="24"/>
          <w:szCs w:val="24"/>
        </w:rPr>
        <w:t>咨询服务方案</w:t>
      </w:r>
    </w:p>
    <w:p>
      <w:pPr>
        <w:spacing w:line="400" w:lineRule="exact"/>
        <w:rPr>
          <w:rFonts w:ascii="宋体" w:hAnsi="宋体" w:eastAsia="宋体" w:cs="宋体"/>
          <w:sz w:val="24"/>
          <w:szCs w:val="24"/>
        </w:rPr>
      </w:pPr>
    </w:p>
    <w:p>
      <w:pPr>
        <w:spacing w:line="400" w:lineRule="exact"/>
        <w:ind w:firstLine="1320" w:firstLineChars="550"/>
        <w:rPr>
          <w:rFonts w:ascii="宋体" w:hAnsi="宋体" w:eastAsia="宋体" w:cs="宋体"/>
          <w:sz w:val="24"/>
          <w:szCs w:val="24"/>
        </w:rPr>
      </w:pPr>
      <w:r>
        <w:rPr>
          <w:rFonts w:hint="eastAsia" w:ascii="宋体" w:hAnsi="宋体" w:eastAsia="宋体" w:cs="宋体"/>
          <w:sz w:val="24"/>
          <w:szCs w:val="24"/>
        </w:rPr>
        <w:t>此项格式自理，内容应包括但不限制于评分办法提到的内容。</w:t>
      </w: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sectPr>
          <w:pgSz w:w="11906" w:h="16838"/>
          <w:pgMar w:top="1587" w:right="1587" w:bottom="1587" w:left="1587" w:header="1247" w:footer="992" w:gutter="0"/>
          <w:cols w:space="0" w:num="1"/>
          <w:docGrid w:linePitch="312" w:charSpace="0"/>
        </w:sectPr>
      </w:pPr>
    </w:p>
    <w:bookmarkEnd w:id="138"/>
    <w:p>
      <w:pPr>
        <w:outlineLvl w:val="1"/>
        <w:rPr>
          <w:rFonts w:ascii="宋体" w:hAnsi="宋体" w:eastAsia="宋体" w:cs="宋体"/>
          <w:b/>
          <w:sz w:val="24"/>
          <w:szCs w:val="24"/>
        </w:rPr>
      </w:pPr>
      <w:bookmarkStart w:id="150" w:name="_Toc6318"/>
      <w:bookmarkStart w:id="151" w:name="_Toc275431239"/>
      <w:r>
        <w:rPr>
          <w:rFonts w:hint="eastAsia" w:ascii="宋体" w:hAnsi="宋体" w:eastAsia="宋体" w:cs="宋体"/>
          <w:b/>
          <w:sz w:val="24"/>
          <w:szCs w:val="24"/>
        </w:rPr>
        <w:t>附件7 中标服务费承诺书格式</w:t>
      </w:r>
      <w:bookmarkEnd w:id="150"/>
      <w:bookmarkEnd w:id="151"/>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keepNext/>
        <w:keepLines/>
        <w:spacing w:before="20" w:after="20" w:line="415" w:lineRule="auto"/>
        <w:jc w:val="center"/>
        <w:rPr>
          <w:rFonts w:ascii="宋体" w:hAnsi="宋体" w:eastAsia="宋体" w:cs="宋体"/>
          <w:b/>
          <w:bCs/>
          <w:sz w:val="28"/>
          <w:szCs w:val="32"/>
        </w:rPr>
      </w:pPr>
      <w:r>
        <w:rPr>
          <w:rFonts w:hint="eastAsia" w:ascii="宋体" w:hAnsi="宋体" w:eastAsia="宋体" w:cs="宋体"/>
          <w:b/>
          <w:bCs/>
          <w:sz w:val="28"/>
          <w:szCs w:val="32"/>
        </w:rPr>
        <w:t>中标服务费承诺书</w:t>
      </w:r>
    </w:p>
    <w:p>
      <w:pPr>
        <w:spacing w:line="360" w:lineRule="auto"/>
        <w:rPr>
          <w:rFonts w:ascii="宋体" w:hAnsi="宋体" w:eastAsia="宋体" w:cs="宋体"/>
          <w:szCs w:val="21"/>
        </w:rPr>
      </w:pPr>
    </w:p>
    <w:p>
      <w:pPr>
        <w:spacing w:line="360" w:lineRule="auto"/>
        <w:rPr>
          <w:rFonts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i/>
          <w:sz w:val="24"/>
          <w:szCs w:val="24"/>
          <w:u w:val="single"/>
        </w:rPr>
        <w:t>（采购代理机构 ）</w:t>
      </w:r>
    </w:p>
    <w:p>
      <w:pPr>
        <w:spacing w:line="360" w:lineRule="auto"/>
        <w:rPr>
          <w:rFonts w:ascii="宋体" w:hAnsi="宋体" w:eastAsia="宋体" w:cs="宋体"/>
          <w:sz w:val="24"/>
          <w:szCs w:val="24"/>
        </w:rPr>
      </w:pPr>
    </w:p>
    <w:p>
      <w:pPr>
        <w:spacing w:line="360" w:lineRule="auto"/>
        <w:ind w:firstLine="480"/>
        <w:rPr>
          <w:rFonts w:ascii="宋体" w:hAnsi="宋体" w:eastAsia="宋体" w:cs="宋体"/>
          <w:sz w:val="24"/>
          <w:szCs w:val="24"/>
        </w:rPr>
      </w:pPr>
      <w:r>
        <w:rPr>
          <w:rFonts w:hint="eastAsia" w:ascii="宋体" w:hAnsi="宋体" w:eastAsia="宋体" w:cs="宋体"/>
          <w:sz w:val="24"/>
          <w:szCs w:val="24"/>
        </w:rPr>
        <w:t>我们在贵公司组织的</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项目（项目名称）招标中若获中标（项目编号：           ），我们保证在领取《中标通知书》5日内，按招标文件的规定向贵公司一次性支付应该交纳的中标服务费用。</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特此承诺！</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承诺方法定名称：</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（承诺方盖章）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电话：</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邮编：</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承诺方授权代表签字：</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承诺日期：</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w:t>
      </w:r>
    </w:p>
    <w:p>
      <w:pPr>
        <w:spacing w:line="360" w:lineRule="auto"/>
        <w:ind w:firstLine="420" w:firstLineChars="200"/>
        <w:rPr>
          <w:rFonts w:ascii="宋体" w:hAnsi="宋体" w:eastAsia="宋体" w:cs="宋体"/>
          <w:szCs w:val="21"/>
          <w:u w:val="single"/>
        </w:rPr>
      </w:pPr>
    </w:p>
    <w:p>
      <w:pPr>
        <w:spacing w:line="360" w:lineRule="auto"/>
        <w:ind w:firstLine="420" w:firstLineChars="200"/>
        <w:rPr>
          <w:rFonts w:ascii="宋体" w:hAnsi="宋体" w:eastAsia="宋体" w:cs="宋体"/>
          <w:szCs w:val="21"/>
          <w:u w:val="single"/>
        </w:rPr>
      </w:pPr>
    </w:p>
    <w:p>
      <w:pPr>
        <w:spacing w:line="360" w:lineRule="auto"/>
        <w:ind w:firstLine="420" w:firstLineChars="200"/>
        <w:rPr>
          <w:rFonts w:ascii="宋体" w:hAnsi="宋体" w:eastAsia="宋体" w:cs="宋体"/>
          <w:szCs w:val="21"/>
          <w:u w:val="single"/>
        </w:rPr>
      </w:pPr>
    </w:p>
    <w:p>
      <w:pPr>
        <w:spacing w:line="360" w:lineRule="auto"/>
        <w:ind w:firstLine="420" w:firstLineChars="200"/>
        <w:rPr>
          <w:rFonts w:ascii="宋体" w:hAnsi="宋体" w:eastAsia="宋体" w:cs="宋体"/>
          <w:szCs w:val="21"/>
          <w:u w:val="single"/>
        </w:rPr>
      </w:pPr>
    </w:p>
    <w:p>
      <w:pPr>
        <w:spacing w:line="360" w:lineRule="auto"/>
        <w:ind w:firstLine="420" w:firstLineChars="200"/>
        <w:rPr>
          <w:rFonts w:ascii="宋体" w:hAnsi="宋体" w:eastAsia="宋体" w:cs="宋体"/>
          <w:szCs w:val="21"/>
          <w:u w:val="single"/>
        </w:rPr>
      </w:pPr>
    </w:p>
    <w:p>
      <w:pPr>
        <w:spacing w:line="360" w:lineRule="auto"/>
        <w:ind w:firstLine="420" w:firstLineChars="200"/>
        <w:rPr>
          <w:rFonts w:ascii="宋体" w:hAnsi="宋体" w:eastAsia="宋体" w:cs="宋体"/>
          <w:szCs w:val="21"/>
          <w:u w:val="single"/>
        </w:rPr>
      </w:pPr>
    </w:p>
    <w:p>
      <w:pPr>
        <w:spacing w:line="360" w:lineRule="auto"/>
        <w:rPr>
          <w:rFonts w:ascii="宋体" w:hAnsi="宋体" w:eastAsia="宋体" w:cs="宋体"/>
          <w:sz w:val="24"/>
          <w:szCs w:val="24"/>
          <w:u w:val="single"/>
        </w:rPr>
        <w:sectPr>
          <w:pgSz w:w="11906" w:h="16838"/>
          <w:pgMar w:top="1587" w:right="1587" w:bottom="1587" w:left="1587" w:header="1247" w:footer="992" w:gutter="0"/>
          <w:cols w:space="0" w:num="1"/>
          <w:docGrid w:linePitch="312" w:charSpace="0"/>
        </w:sectPr>
      </w:pPr>
    </w:p>
    <w:p>
      <w:pPr>
        <w:outlineLvl w:val="1"/>
        <w:rPr>
          <w:rFonts w:ascii="宋体" w:hAnsi="宋体" w:eastAsia="宋体" w:cs="宋体"/>
          <w:b/>
          <w:sz w:val="24"/>
          <w:szCs w:val="24"/>
        </w:rPr>
      </w:pPr>
      <w:bookmarkStart w:id="152" w:name="_Toc270946251"/>
      <w:bookmarkStart w:id="153" w:name="_Toc267574184"/>
      <w:bookmarkStart w:id="154" w:name="_Toc18239"/>
      <w:r>
        <w:rPr>
          <w:rFonts w:hint="eastAsia" w:ascii="宋体" w:hAnsi="宋体" w:eastAsia="宋体" w:cs="宋体"/>
          <w:b/>
          <w:sz w:val="24"/>
          <w:szCs w:val="24"/>
        </w:rPr>
        <w:t>附件</w:t>
      </w:r>
      <w:bookmarkEnd w:id="152"/>
      <w:bookmarkEnd w:id="153"/>
      <w:r>
        <w:rPr>
          <w:rFonts w:hint="eastAsia" w:ascii="宋体" w:hAnsi="宋体" w:eastAsia="宋体" w:cs="宋体"/>
          <w:b/>
          <w:sz w:val="24"/>
          <w:szCs w:val="24"/>
        </w:rPr>
        <w:t>8 反商业贿赂承诺书</w:t>
      </w:r>
      <w:bookmarkEnd w:id="154"/>
    </w:p>
    <w:p>
      <w:pPr>
        <w:widowControl/>
        <w:overflowPunct w:val="0"/>
        <w:autoSpaceDE w:val="0"/>
        <w:autoSpaceDN w:val="0"/>
        <w:adjustRightInd w:val="0"/>
        <w:spacing w:line="360" w:lineRule="auto"/>
        <w:jc w:val="left"/>
        <w:textAlignment w:val="baseline"/>
        <w:rPr>
          <w:rFonts w:ascii="宋体" w:hAnsi="宋体" w:eastAsia="宋体" w:cs="宋体"/>
          <w:b/>
          <w:bCs/>
          <w:kern w:val="0"/>
          <w:szCs w:val="20"/>
        </w:rPr>
      </w:pPr>
    </w:p>
    <w:p>
      <w:pPr>
        <w:keepNext/>
        <w:keepLines/>
        <w:spacing w:before="20" w:after="20" w:line="415" w:lineRule="auto"/>
        <w:jc w:val="center"/>
        <w:rPr>
          <w:rFonts w:ascii="宋体" w:hAnsi="宋体" w:eastAsia="宋体" w:cs="宋体"/>
          <w:b/>
          <w:bCs/>
          <w:sz w:val="28"/>
          <w:szCs w:val="32"/>
        </w:rPr>
      </w:pPr>
      <w:r>
        <w:rPr>
          <w:rFonts w:hint="eastAsia" w:ascii="宋体" w:hAnsi="宋体" w:eastAsia="宋体" w:cs="宋体"/>
          <w:b/>
          <w:bCs/>
          <w:sz w:val="28"/>
          <w:szCs w:val="32"/>
        </w:rPr>
        <w:t>反商业贿赂承诺书</w:t>
      </w:r>
    </w:p>
    <w:p>
      <w:pPr>
        <w:widowControl/>
        <w:spacing w:line="360" w:lineRule="auto"/>
        <w:rPr>
          <w:rFonts w:ascii="宋体" w:hAnsi="宋体" w:eastAsia="宋体" w:cs="宋体"/>
          <w:sz w:val="24"/>
          <w:szCs w:val="24"/>
        </w:rPr>
      </w:pPr>
      <w:r>
        <w:rPr>
          <w:rFonts w:hint="eastAsia" w:ascii="宋体" w:hAnsi="宋体" w:eastAsia="宋体" w:cs="宋体"/>
          <w:sz w:val="24"/>
          <w:szCs w:val="24"/>
        </w:rPr>
        <w:t xml:space="preserve">我公司承诺：  </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在采购项目（项目编号：）招标活动中，我公司保证做到：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一、公平竞争参加本次招标活动。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三、若出现上述行为，我公司及参与投标的工作人员愿意接受按照国家法律法规等有关规定给予的处罚。</w:t>
      </w:r>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p>
    <w:p>
      <w:pPr>
        <w:spacing w:line="360" w:lineRule="auto"/>
        <w:ind w:right="561" w:firstLine="5040" w:firstLineChars="2100"/>
        <w:rPr>
          <w:rFonts w:ascii="宋体" w:hAnsi="宋体" w:eastAsia="宋体" w:cs="宋体"/>
          <w:sz w:val="24"/>
          <w:szCs w:val="24"/>
        </w:rPr>
      </w:pPr>
      <w:r>
        <w:rPr>
          <w:rFonts w:hint="eastAsia" w:ascii="宋体" w:hAnsi="宋体" w:eastAsia="宋体" w:cs="宋体"/>
          <w:sz w:val="24"/>
          <w:szCs w:val="24"/>
        </w:rPr>
        <w:t>公司法人代表（签字）：</w:t>
      </w:r>
    </w:p>
    <w:p>
      <w:pPr>
        <w:spacing w:line="360" w:lineRule="auto"/>
        <w:ind w:right="561" w:firstLine="5040" w:firstLineChars="2100"/>
        <w:rPr>
          <w:rFonts w:ascii="宋体" w:hAnsi="宋体" w:eastAsia="宋体" w:cs="宋体"/>
          <w:sz w:val="24"/>
          <w:szCs w:val="24"/>
        </w:rPr>
      </w:pPr>
      <w:r>
        <w:rPr>
          <w:rFonts w:hint="eastAsia" w:ascii="宋体" w:hAnsi="宋体" w:eastAsia="宋体" w:cs="宋体"/>
          <w:sz w:val="24"/>
          <w:szCs w:val="24"/>
        </w:rPr>
        <w:t>委托代理人人（签字）：</w:t>
      </w:r>
    </w:p>
    <w:p>
      <w:pPr>
        <w:spacing w:line="360" w:lineRule="auto"/>
        <w:ind w:right="560" w:firstLine="5280" w:firstLineChars="2200"/>
        <w:rPr>
          <w:rFonts w:ascii="宋体" w:hAnsi="宋体" w:eastAsia="宋体" w:cs="宋体"/>
          <w:sz w:val="24"/>
          <w:szCs w:val="24"/>
        </w:rPr>
      </w:pPr>
    </w:p>
    <w:p>
      <w:pPr>
        <w:spacing w:line="360" w:lineRule="auto"/>
        <w:ind w:right="560" w:firstLine="5280" w:firstLineChars="2200"/>
        <w:rPr>
          <w:rFonts w:ascii="宋体" w:hAnsi="宋体" w:eastAsia="宋体" w:cs="宋体"/>
          <w:sz w:val="24"/>
          <w:szCs w:val="24"/>
        </w:rPr>
      </w:pPr>
      <w:r>
        <w:rPr>
          <w:rFonts w:hint="eastAsia" w:ascii="宋体" w:hAnsi="宋体" w:eastAsia="宋体" w:cs="宋体"/>
          <w:sz w:val="24"/>
          <w:szCs w:val="24"/>
        </w:rPr>
        <w:t>承诺人（公章）：</w:t>
      </w:r>
    </w:p>
    <w:p>
      <w:pPr>
        <w:spacing w:line="360" w:lineRule="auto"/>
        <w:ind w:right="560" w:firstLine="5160" w:firstLineChars="2150"/>
        <w:rPr>
          <w:rFonts w:ascii="宋体" w:hAnsi="宋体" w:eastAsia="宋体" w:cs="宋体"/>
          <w:sz w:val="24"/>
          <w:szCs w:val="24"/>
        </w:rPr>
      </w:pPr>
      <w:r>
        <w:rPr>
          <w:rFonts w:hint="eastAsia" w:ascii="宋体" w:hAnsi="宋体" w:eastAsia="宋体" w:cs="宋体"/>
          <w:sz w:val="24"/>
          <w:szCs w:val="24"/>
        </w:rPr>
        <w:t xml:space="preserve">  年  月  日</w:t>
      </w:r>
    </w:p>
    <w:p>
      <w:pPr>
        <w:spacing w:before="48" w:beforeLines="20" w:after="48" w:afterLines="20" w:line="360" w:lineRule="auto"/>
        <w:ind w:firstLine="2940" w:firstLineChars="1400"/>
        <w:rPr>
          <w:rFonts w:ascii="宋体" w:hAnsi="宋体" w:eastAsia="宋体" w:cs="宋体"/>
          <w:szCs w:val="21"/>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Cs w:val="20"/>
        </w:rPr>
      </w:pPr>
    </w:p>
    <w:p>
      <w:pPr>
        <w:widowControl/>
        <w:overflowPunct w:val="0"/>
        <w:autoSpaceDE w:val="0"/>
        <w:autoSpaceDN w:val="0"/>
        <w:adjustRightInd w:val="0"/>
        <w:spacing w:line="400" w:lineRule="atLeast"/>
        <w:jc w:val="left"/>
        <w:textAlignment w:val="baseline"/>
        <w:rPr>
          <w:rFonts w:ascii="宋体" w:hAnsi="宋体" w:eastAsia="宋体" w:cs="宋体"/>
          <w:b/>
          <w:bCs/>
          <w:kern w:val="0"/>
          <w:sz w:val="24"/>
          <w:szCs w:val="24"/>
        </w:rPr>
      </w:pPr>
      <w:r>
        <w:rPr>
          <w:rFonts w:hint="eastAsia" w:ascii="宋体" w:hAnsi="宋体" w:eastAsia="宋体" w:cs="宋体"/>
          <w:b/>
          <w:bCs/>
          <w:kern w:val="0"/>
          <w:sz w:val="24"/>
          <w:szCs w:val="24"/>
        </w:rPr>
        <w:br w:type="page"/>
      </w:r>
    </w:p>
    <w:p>
      <w:pPr>
        <w:outlineLvl w:val="1"/>
        <w:rPr>
          <w:rFonts w:ascii="宋体" w:hAnsi="宋体" w:eastAsia="宋体" w:cs="宋体"/>
          <w:b/>
          <w:sz w:val="24"/>
          <w:szCs w:val="24"/>
        </w:rPr>
      </w:pPr>
      <w:bookmarkStart w:id="155" w:name="_Toc26963"/>
      <w:r>
        <w:rPr>
          <w:rFonts w:hint="eastAsia" w:ascii="宋体" w:hAnsi="宋体" w:eastAsia="宋体" w:cs="宋体"/>
          <w:b/>
          <w:sz w:val="24"/>
          <w:szCs w:val="24"/>
        </w:rPr>
        <w:t>附件9 供应商资格声明</w:t>
      </w:r>
      <w:bookmarkEnd w:id="155"/>
    </w:p>
    <w:p>
      <w:pPr>
        <w:spacing w:line="360" w:lineRule="auto"/>
        <w:jc w:val="center"/>
        <w:rPr>
          <w:rFonts w:ascii="宋体" w:hAnsi="宋体" w:eastAsia="宋体" w:cs="宋体"/>
          <w:b/>
          <w:szCs w:val="21"/>
        </w:rPr>
      </w:pPr>
    </w:p>
    <w:p>
      <w:pPr>
        <w:keepNext/>
        <w:keepLines/>
        <w:spacing w:before="20" w:after="20" w:line="415" w:lineRule="auto"/>
        <w:jc w:val="center"/>
        <w:rPr>
          <w:rFonts w:ascii="宋体" w:hAnsi="宋体" w:eastAsia="宋体" w:cs="宋体"/>
          <w:b/>
          <w:bCs/>
          <w:sz w:val="24"/>
          <w:szCs w:val="24"/>
        </w:rPr>
      </w:pPr>
      <w:r>
        <w:rPr>
          <w:rFonts w:hint="eastAsia" w:ascii="宋体" w:hAnsi="宋体" w:eastAsia="宋体" w:cs="宋体"/>
          <w:b/>
          <w:bCs/>
          <w:sz w:val="24"/>
          <w:szCs w:val="24"/>
        </w:rPr>
        <w:t>关于资格的声明函</w:t>
      </w:r>
    </w:p>
    <w:p>
      <w:pPr>
        <w:spacing w:line="360" w:lineRule="auto"/>
        <w:rPr>
          <w:rFonts w:ascii="宋体" w:hAnsi="宋体" w:eastAsia="宋体" w:cs="宋体"/>
          <w:b/>
          <w:sz w:val="24"/>
          <w:szCs w:val="24"/>
        </w:rPr>
      </w:pPr>
    </w:p>
    <w:p>
      <w:pPr>
        <w:spacing w:line="360" w:lineRule="auto"/>
        <w:rPr>
          <w:rFonts w:ascii="宋体" w:hAnsi="宋体" w:eastAsia="宋体" w:cs="宋体"/>
          <w:sz w:val="24"/>
          <w:szCs w:val="24"/>
          <w:u w:val="single"/>
        </w:rPr>
      </w:pPr>
      <w:r>
        <w:rPr>
          <w:rFonts w:hint="eastAsia" w:ascii="宋体" w:hAnsi="宋体" w:eastAsia="宋体" w:cs="宋体"/>
          <w:sz w:val="24"/>
          <w:szCs w:val="24"/>
          <w:u w:val="single"/>
        </w:rPr>
        <w:t xml:space="preserve">      （采购人）：</w:t>
      </w:r>
    </w:p>
    <w:p>
      <w:pPr>
        <w:spacing w:line="360" w:lineRule="auto"/>
        <w:ind w:firstLine="555"/>
        <w:rPr>
          <w:rFonts w:ascii="宋体" w:hAnsi="宋体" w:eastAsia="宋体" w:cs="宋体"/>
          <w:sz w:val="24"/>
          <w:szCs w:val="24"/>
        </w:rPr>
      </w:pPr>
      <w:r>
        <w:rPr>
          <w:rFonts w:hint="eastAsia" w:ascii="宋体" w:hAnsi="宋体" w:eastAsia="宋体" w:cs="宋体"/>
          <w:sz w:val="24"/>
          <w:szCs w:val="24"/>
        </w:rPr>
        <w:t>关于贵方项目编号为</w:t>
      </w:r>
      <w:r>
        <w:rPr>
          <w:rFonts w:hint="eastAsia" w:ascii="宋体" w:hAnsi="宋体" w:eastAsia="宋体" w:cs="宋体"/>
          <w:sz w:val="24"/>
          <w:szCs w:val="24"/>
          <w:u w:val="single"/>
        </w:rPr>
        <w:t xml:space="preserve">       </w:t>
      </w:r>
      <w:r>
        <w:rPr>
          <w:rFonts w:hint="eastAsia" w:ascii="宋体" w:hAnsi="宋体" w:eastAsia="宋体" w:cs="宋体"/>
          <w:sz w:val="24"/>
          <w:szCs w:val="24"/>
        </w:rPr>
        <w:t>项目的招标，本签字人愿意参加投标，提供采购需求中规定的内容，并声明提交的下列文件是准确和真实的。</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1、三证合一的法人营业执照副本</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2、相关证件</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4、法定代表人身份证复印件</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5、被授权委托人身份证</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6、业绩证明文件</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7、法定代表人授权书和相关授权书</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8、其他有关资料、证明文件</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9、本签字人确认资格文件中的说明是真实的、准确的。</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10、我方理解，</w:t>
      </w:r>
      <w:r>
        <w:rPr>
          <w:rFonts w:hint="eastAsia" w:ascii="宋体" w:hAnsi="宋体" w:eastAsia="宋体" w:cs="宋体"/>
          <w:sz w:val="24"/>
          <w:szCs w:val="24"/>
          <w:u w:val="single"/>
        </w:rPr>
        <w:t>（采购人名称）</w:t>
      </w:r>
      <w:r>
        <w:rPr>
          <w:rFonts w:hint="eastAsia" w:ascii="宋体" w:hAnsi="宋体" w:eastAsia="宋体" w:cs="宋体"/>
          <w:sz w:val="24"/>
          <w:szCs w:val="24"/>
        </w:rPr>
        <w:t>对资格审查所做的决定，是最终的。</w:t>
      </w:r>
      <w:r>
        <w:rPr>
          <w:rFonts w:hint="eastAsia" w:ascii="宋体" w:hAnsi="宋体" w:eastAsia="宋体" w:cs="宋体"/>
          <w:sz w:val="24"/>
          <w:szCs w:val="24"/>
          <w:u w:val="single"/>
        </w:rPr>
        <w:t>（采购人名称）</w:t>
      </w:r>
      <w:r>
        <w:rPr>
          <w:rFonts w:hint="eastAsia" w:ascii="宋体" w:hAnsi="宋体" w:eastAsia="宋体" w:cs="宋体"/>
          <w:sz w:val="24"/>
          <w:szCs w:val="24"/>
        </w:rPr>
        <w:t>对任何投标者不承担任何责任，也无义务将其决定的原因通知供应商。</w:t>
      </w:r>
    </w:p>
    <w:p>
      <w:pPr>
        <w:spacing w:line="360" w:lineRule="auto"/>
        <w:ind w:right="-11" w:firstLine="630"/>
        <w:rPr>
          <w:rFonts w:ascii="宋体" w:hAnsi="宋体" w:eastAsia="宋体" w:cs="宋体"/>
          <w:sz w:val="24"/>
          <w:szCs w:val="24"/>
        </w:rPr>
      </w:pPr>
    </w:p>
    <w:p>
      <w:pPr>
        <w:spacing w:line="360" w:lineRule="auto"/>
        <w:ind w:right="-11" w:firstLine="630"/>
        <w:rPr>
          <w:rFonts w:ascii="宋体" w:hAnsi="宋体" w:eastAsia="宋体" w:cs="宋体"/>
          <w:sz w:val="24"/>
          <w:szCs w:val="24"/>
        </w:rPr>
      </w:pP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单位名称：（签章）                  法定代表人（签字）：</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地址：                              邮政编码：</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被授权委托人（签字）：</w:t>
      </w:r>
    </w:p>
    <w:p>
      <w:pPr>
        <w:spacing w:line="360" w:lineRule="auto"/>
        <w:ind w:right="-11" w:firstLine="630"/>
        <w:rPr>
          <w:rFonts w:ascii="宋体" w:hAnsi="宋体" w:eastAsia="宋体" w:cs="宋体"/>
          <w:sz w:val="24"/>
          <w:szCs w:val="24"/>
        </w:rPr>
      </w:pPr>
      <w:r>
        <w:rPr>
          <w:rFonts w:hint="eastAsia" w:ascii="宋体" w:hAnsi="宋体" w:eastAsia="宋体" w:cs="宋体"/>
          <w:sz w:val="24"/>
          <w:szCs w:val="24"/>
        </w:rPr>
        <w:t xml:space="preserve">电话：                              传真： </w:t>
      </w:r>
    </w:p>
    <w:p>
      <w:pPr>
        <w:widowControl/>
        <w:overflowPunct w:val="0"/>
        <w:autoSpaceDE w:val="0"/>
        <w:autoSpaceDN w:val="0"/>
        <w:adjustRightInd w:val="0"/>
        <w:spacing w:line="400" w:lineRule="atLeast"/>
        <w:jc w:val="left"/>
        <w:textAlignment w:val="baseline"/>
        <w:rPr>
          <w:rFonts w:ascii="宋体" w:hAnsi="宋体" w:eastAsia="宋体" w:cs="宋体"/>
          <w:kern w:val="0"/>
          <w:sz w:val="24"/>
          <w:szCs w:val="24"/>
        </w:rPr>
      </w:pPr>
      <w:r>
        <w:rPr>
          <w:rFonts w:hint="eastAsia" w:ascii="宋体" w:hAnsi="宋体" w:eastAsia="宋体" w:cs="宋体"/>
          <w:kern w:val="0"/>
          <w:sz w:val="24"/>
          <w:szCs w:val="24"/>
        </w:rPr>
        <w:t xml:space="preserve">     日期：</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br w:type="page"/>
      </w:r>
    </w:p>
    <w:p>
      <w:pPr>
        <w:outlineLvl w:val="1"/>
        <w:rPr>
          <w:rFonts w:ascii="宋体" w:hAnsi="宋体" w:eastAsia="宋体" w:cs="宋体"/>
          <w:b/>
          <w:sz w:val="24"/>
          <w:szCs w:val="24"/>
        </w:rPr>
      </w:pPr>
      <w:r>
        <w:rPr>
          <w:rFonts w:hint="eastAsia" w:ascii="宋体" w:hAnsi="宋体" w:eastAsia="宋体" w:cs="宋体"/>
          <w:b/>
          <w:sz w:val="24"/>
          <w:szCs w:val="24"/>
        </w:rPr>
        <w:t>附件10</w:t>
      </w:r>
    </w:p>
    <w:p/>
    <w:p>
      <w:pPr>
        <w:jc w:val="center"/>
        <w:outlineLvl w:val="1"/>
        <w:rPr>
          <w:rFonts w:ascii="宋体" w:hAnsi="宋体" w:eastAsia="宋体" w:cs="宋体"/>
          <w:b/>
          <w:sz w:val="24"/>
          <w:szCs w:val="24"/>
        </w:rPr>
      </w:pPr>
      <w:r>
        <w:rPr>
          <w:rFonts w:hint="eastAsia" w:ascii="宋体" w:hAnsi="宋体" w:eastAsia="宋体" w:cs="宋体"/>
          <w:b/>
          <w:sz w:val="24"/>
          <w:szCs w:val="24"/>
        </w:rPr>
        <w:t>参加政府采购活动前</w:t>
      </w:r>
      <w:r>
        <w:rPr>
          <w:rFonts w:ascii="宋体" w:hAnsi="宋体" w:eastAsia="宋体" w:cs="宋体"/>
          <w:b/>
          <w:sz w:val="24"/>
          <w:szCs w:val="24"/>
        </w:rPr>
        <w:t>3年内在经营活动中</w:t>
      </w:r>
    </w:p>
    <w:p>
      <w:pPr>
        <w:jc w:val="center"/>
        <w:outlineLvl w:val="1"/>
        <w:rPr>
          <w:rFonts w:ascii="宋体" w:hAnsi="宋体" w:eastAsia="宋体" w:cs="宋体"/>
          <w:b/>
          <w:sz w:val="24"/>
          <w:szCs w:val="24"/>
        </w:rPr>
      </w:pPr>
      <w:r>
        <w:rPr>
          <w:rFonts w:hint="eastAsia" w:ascii="宋体" w:hAnsi="宋体" w:eastAsia="宋体" w:cs="宋体"/>
          <w:b/>
          <w:sz w:val="24"/>
          <w:szCs w:val="24"/>
        </w:rPr>
        <w:t>没有重大违法记录的书面声明（格式）</w:t>
      </w:r>
    </w:p>
    <w:p>
      <w:pPr>
        <w:jc w:val="center"/>
        <w:outlineLvl w:val="1"/>
        <w:rPr>
          <w:rFonts w:ascii="宋体" w:hAnsi="宋体" w:eastAsia="宋体" w:cs="宋体"/>
          <w:b/>
          <w:sz w:val="24"/>
          <w:szCs w:val="24"/>
        </w:rPr>
      </w:pP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bookmarkStart w:id="156" w:name="OLE_LINK15"/>
      <w:r>
        <w:rPr>
          <w:rFonts w:hint="eastAsia" w:ascii="宋体" w:hAnsi="宋体" w:cs="宋体"/>
          <w:sz w:val="24"/>
          <w:u w:val="single"/>
        </w:rPr>
        <w:t xml:space="preserve">           </w:t>
      </w:r>
      <w:bookmarkEnd w:id="156"/>
      <w:r>
        <w:rPr>
          <w:rFonts w:hint="eastAsia" w:ascii="宋体" w:hAnsi="宋体" w:cs="宋体"/>
          <w:sz w:val="24"/>
          <w:u w:val="single"/>
        </w:rPr>
        <w:t xml:space="preserve"> </w:t>
      </w:r>
      <w:r>
        <w:rPr>
          <w:rFonts w:hint="eastAsia" w:ascii="宋体" w:hAnsi="宋体" w:cs="宋体"/>
          <w:sz w:val="24"/>
        </w:rPr>
        <w:t>（采购人名称）</w:t>
      </w:r>
    </w:p>
    <w:p>
      <w:pPr>
        <w:spacing w:line="360" w:lineRule="auto"/>
        <w:rPr>
          <w:rFonts w:ascii="宋体" w:hAnsi="宋体" w:cs="宋体"/>
          <w:sz w:val="24"/>
        </w:rPr>
      </w:pPr>
      <w:r>
        <w:rPr>
          <w:rFonts w:hint="eastAsia" w:ascii="宋体" w:hAnsi="宋体" w:cs="宋体"/>
          <w:sz w:val="24"/>
        </w:rPr>
        <w:t xml:space="preserve">    我单位</w:t>
      </w:r>
      <w:r>
        <w:rPr>
          <w:rFonts w:hint="eastAsia" w:ascii="宋体" w:hAnsi="宋体" w:cs="宋体"/>
          <w:sz w:val="24"/>
          <w:u w:val="single"/>
        </w:rPr>
        <w:t xml:space="preserve">           </w:t>
      </w:r>
      <w:r>
        <w:rPr>
          <w:rFonts w:hint="eastAsia" w:ascii="宋体" w:hAnsi="宋体" w:cs="宋体"/>
          <w:sz w:val="24"/>
        </w:rPr>
        <w:t>（供应商名称）近三年内，在参加政府采购活动中没有重大违法记录，特此声明。</w:t>
      </w:r>
    </w:p>
    <w:p>
      <w:pPr>
        <w:topLinePunct/>
        <w:spacing w:line="360" w:lineRule="auto"/>
        <w:ind w:firstLine="500"/>
        <w:rPr>
          <w:rFonts w:ascii="宋体" w:hAnsi="宋体" w:cs="宋体"/>
          <w:sz w:val="24"/>
        </w:rPr>
      </w:pPr>
      <w:r>
        <w:rPr>
          <w:rFonts w:hint="eastAsia" w:ascii="宋体" w:hAnsi="宋体" w:cs="宋体"/>
          <w:sz w:val="24"/>
        </w:rPr>
        <w:t>若招标采购单位在本项目采购过程中发现我单位近三年内在政府采购活动中有重大违法记录，我单位将无条件地退出本项目的招标，并承担因此引起的一切后果。</w:t>
      </w:r>
    </w:p>
    <w:p>
      <w:pPr>
        <w:topLinePunct/>
        <w:spacing w:line="360" w:lineRule="auto"/>
        <w:ind w:firstLine="500"/>
        <w:rPr>
          <w:rFonts w:ascii="宋体" w:hAnsi="宋体" w:cs="宋体"/>
          <w:sz w:val="24"/>
        </w:rPr>
      </w:pPr>
    </w:p>
    <w:p>
      <w:pPr>
        <w:topLinePunct/>
        <w:spacing w:line="360" w:lineRule="auto"/>
        <w:ind w:firstLine="500"/>
        <w:rPr>
          <w:rFonts w:ascii="宋体" w:hAnsi="宋体" w:cs="宋体"/>
          <w:sz w:val="24"/>
        </w:rPr>
      </w:pPr>
    </w:p>
    <w:p>
      <w:pPr>
        <w:topLinePunct/>
        <w:spacing w:line="360" w:lineRule="auto"/>
        <w:ind w:firstLine="500"/>
        <w:rPr>
          <w:rFonts w:ascii="宋体" w:hAnsi="宋体" w:cs="宋体"/>
          <w:sz w:val="24"/>
        </w:rPr>
      </w:pPr>
      <w:r>
        <w:rPr>
          <w:rFonts w:hint="eastAsia" w:ascii="宋体" w:hAnsi="宋体" w:cs="宋体"/>
          <w:sz w:val="24"/>
        </w:rPr>
        <w:t xml:space="preserve">                        供应商：</w:t>
      </w:r>
      <w:r>
        <w:rPr>
          <w:rFonts w:hint="eastAsia" w:ascii="宋体" w:hAnsi="宋体" w:cs="宋体"/>
          <w:sz w:val="24"/>
          <w:u w:val="single"/>
        </w:rPr>
        <w:t xml:space="preserve">              （盖章）         </w:t>
      </w:r>
    </w:p>
    <w:p>
      <w:pPr>
        <w:topLinePunct/>
        <w:spacing w:line="360" w:lineRule="auto"/>
        <w:rPr>
          <w:rFonts w:ascii="宋体" w:hAnsi="宋体" w:cs="宋体"/>
          <w:sz w:val="24"/>
        </w:rPr>
      </w:pPr>
      <w:r>
        <w:rPr>
          <w:rFonts w:hint="eastAsia" w:ascii="宋体" w:hAnsi="宋体" w:cs="宋体"/>
          <w:sz w:val="24"/>
        </w:rPr>
        <w:t xml:space="preserve">                            法定代表人或授权代理人：</w:t>
      </w:r>
      <w:r>
        <w:rPr>
          <w:rFonts w:hint="eastAsia" w:ascii="宋体" w:hAnsi="宋体" w:cs="宋体"/>
          <w:sz w:val="24"/>
          <w:u w:val="single"/>
        </w:rPr>
        <w:t xml:space="preserve">   （签字）             </w:t>
      </w:r>
    </w:p>
    <w:p>
      <w:pPr>
        <w:autoSpaceDE w:val="0"/>
        <w:autoSpaceDN w:val="0"/>
        <w:adjustRightInd w:val="0"/>
        <w:spacing w:line="480" w:lineRule="auto"/>
        <w:ind w:firstLine="240" w:firstLineChars="100"/>
        <w:jc w:val="left"/>
        <w:rPr>
          <w:rFonts w:ascii="宋体" w:hAnsi="宋体"/>
          <w:spacing w:val="10"/>
          <w:kern w:val="0"/>
          <w:sz w:val="24"/>
        </w:rPr>
      </w:pPr>
      <w:r>
        <w:rPr>
          <w:rFonts w:hint="eastAsia" w:ascii="宋体" w:hAnsi="宋体" w:cs="宋体"/>
          <w:sz w:val="24"/>
        </w:rPr>
        <w:t xml:space="preserve">                </w:t>
      </w:r>
      <w:r>
        <w:rPr>
          <w:rFonts w:hint="eastAsia" w:ascii="宋体" w:hAnsi="宋体" w:cs="宋体"/>
          <w:bCs/>
          <w:sz w:val="24"/>
        </w:rPr>
        <w:t xml:space="preserve">           日   期：</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w:t>
      </w:r>
    </w:p>
    <w:p>
      <w:pPr>
        <w:spacing w:line="360" w:lineRule="auto"/>
        <w:rPr>
          <w:rFonts w:ascii="宋体" w:hAnsi="宋体" w:eastAsia="宋体" w:cs="宋体"/>
          <w:sz w:val="24"/>
          <w:szCs w:val="24"/>
        </w:rPr>
      </w:pPr>
    </w:p>
    <w:p>
      <w:pPr>
        <w:tabs>
          <w:tab w:val="left" w:pos="0"/>
        </w:tabs>
        <w:spacing w:line="480" w:lineRule="auto"/>
        <w:rPr>
          <w:rFonts w:ascii="宋体" w:hAnsi="宋体" w:eastAsia="宋体" w:cs="宋体"/>
          <w:b/>
          <w:sz w:val="24"/>
          <w:szCs w:val="24"/>
        </w:rPr>
      </w:pPr>
      <w:r>
        <w:rPr>
          <w:rFonts w:hint="eastAsia" w:ascii="宋体" w:hAnsi="宋体" w:eastAsia="宋体" w:cs="宋体"/>
          <w:b/>
          <w:sz w:val="24"/>
          <w:szCs w:val="24"/>
        </w:rPr>
        <w:br w:type="page"/>
      </w:r>
    </w:p>
    <w:p>
      <w:bookmarkStart w:id="157" w:name="_Toc5235"/>
    </w:p>
    <w:p>
      <w:pPr>
        <w:outlineLvl w:val="1"/>
        <w:rPr>
          <w:rFonts w:ascii="宋体" w:hAnsi="宋体" w:eastAsia="宋体" w:cs="宋体"/>
          <w:b/>
          <w:sz w:val="24"/>
          <w:szCs w:val="24"/>
        </w:rPr>
      </w:pPr>
      <w:r>
        <w:rPr>
          <w:rFonts w:hint="eastAsia" w:ascii="宋体" w:hAnsi="宋体" w:eastAsia="宋体" w:cs="宋体"/>
          <w:b/>
          <w:sz w:val="24"/>
          <w:szCs w:val="24"/>
        </w:rPr>
        <w:t>附件11 其它相关资料</w:t>
      </w:r>
      <w:bookmarkEnd w:id="157"/>
    </w:p>
    <w:p>
      <w:pPr>
        <w:outlineLvl w:val="1"/>
        <w:rPr>
          <w:rFonts w:ascii="宋体" w:hAnsi="宋体" w:eastAsia="宋体" w:cs="宋体"/>
        </w:rPr>
      </w:pPr>
    </w:p>
    <w:sectPr>
      <w:pgSz w:w="11906" w:h="16838"/>
      <w:pgMar w:top="1587" w:right="1587" w:bottom="1587" w:left="1587" w:header="1247"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华文细黑">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Dotum">
    <w:panose1 w:val="020B0600000101010101"/>
    <w:charset w:val="81"/>
    <w:family w:val="swiss"/>
    <w:pitch w:val="default"/>
    <w:sig w:usb0="B00002AF" w:usb1="69D77CFB" w:usb2="00000030" w:usb3="00000000" w:csb0="4008009F" w:csb1="DFD70000"/>
  </w:font>
  <w:font w:name="楷体">
    <w:altName w:val="楷体_GB2312"/>
    <w:panose1 w:val="02010609060101010101"/>
    <w:charset w:val="86"/>
    <w:family w:val="auto"/>
    <w:pitch w:val="default"/>
    <w:sig w:usb0="00000000" w:usb1="00000000" w:usb2="00000016"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ngLiU">
    <w:panose1 w:val="02020309000000000000"/>
    <w:charset w:val="88"/>
    <w:family w:val="modern"/>
    <w:pitch w:val="default"/>
    <w:sig w:usb0="00000003" w:usb1="082E0000" w:usb2="00000016" w:usb3="00000000" w:csb0="00100001" w:csb1="00000000"/>
  </w:font>
  <w:font w:name="PMingLiU-ExtB">
    <w:altName w:val="PMingLiU"/>
    <w:panose1 w:val="02020500000000000000"/>
    <w:charset w:val="88"/>
    <w:family w:val="auto"/>
    <w:pitch w:val="default"/>
    <w:sig w:usb0="00000000" w:usb1="00000000" w:usb2="00000000" w:usb3="00000000" w:csb0="00100001" w:csb1="00000000"/>
  </w:font>
  <w:font w:name="_x000B__x000C_">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2000019F" w:csb1="00000000"/>
  </w:font>
  <w:font w:name="Calisto MT">
    <w:altName w:val="Cambria Math"/>
    <w:panose1 w:val="02040603050505030304"/>
    <w:charset w:val="00"/>
    <w:family w:val="roman"/>
    <w:pitch w:val="default"/>
    <w:sig w:usb0="00000000" w:usb1="00000000" w:usb2="00000000" w:usb3="00000000" w:csb0="2000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 w:name="PMingLiU">
    <w:panose1 w:val="02020300000000000000"/>
    <w:charset w:val="88"/>
    <w:family w:val="auto"/>
    <w:pitch w:val="default"/>
    <w:sig w:usb0="00000003" w:usb1="082E0000" w:usb2="00000016" w:usb3="00000000" w:csb0="00100001" w:csb1="00000000"/>
  </w:font>
  <w:font w:name="Cambria Math">
    <w:panose1 w:val="02040503050406030204"/>
    <w:charset w:val="00"/>
    <w:family w:val="auto"/>
    <w:pitch w:val="default"/>
    <w:sig w:usb0="A00002EF" w:usb1="420020E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Mongolian Baiti">
    <w:altName w:val="Monotype Corsiva"/>
    <w:panose1 w:val="03000500000000000000"/>
    <w:charset w:val="00"/>
    <w:family w:val="auto"/>
    <w:pitch w:val="default"/>
    <w:sig w:usb0="00000000" w:usb1="00000000" w:usb2="00020000" w:usb3="00000000" w:csb0="00000001" w:csb1="00000000"/>
  </w:font>
  <w:font w:name="Monospac821 BT">
    <w:altName w:val="Consolas"/>
    <w:panose1 w:val="020B0609020202020204"/>
    <w:charset w:val="00"/>
    <w:family w:val="auto"/>
    <w:pitch w:val="default"/>
    <w:sig w:usb0="00000000" w:usb1="00000000" w:usb2="00000000" w:usb3="00000000" w:csb0="00000000" w:csb1="00000000"/>
  </w:font>
  <w:font w:name="Monotype Corsiva">
    <w:panose1 w:val="03010101010201010101"/>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华文行楷">
    <w:altName w:val="宋体"/>
    <w:panose1 w:val="0201080004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icrosoft JhengHei">
    <w:altName w:val="PMingLiU"/>
    <w:panose1 w:val="020B0604030504040204"/>
    <w:charset w:val="88"/>
    <w:family w:val="auto"/>
    <w:pitch w:val="default"/>
    <w:sig w:usb0="00000000" w:usb1="00000000" w:usb2="00000016" w:usb3="00000000" w:csb0="00100009" w:csb1="00000000"/>
  </w:font>
  <w:font w:name="MS Mincho">
    <w:panose1 w:val="02020609040205080304"/>
    <w:charset w:val="80"/>
    <w:family w:val="auto"/>
    <w:pitch w:val="default"/>
    <w:sig w:usb0="A00002BF" w:usb1="68C7FCFB" w:usb2="00000010" w:usb3="00000000" w:csb0="4002009F" w:csb1="DFD70000"/>
  </w:font>
  <w:font w:name="MS PGothic">
    <w:panose1 w:val="020B0600070205080204"/>
    <w:charset w:val="80"/>
    <w:family w:val="auto"/>
    <w:pitch w:val="default"/>
    <w:sig w:usb0="A00002BF" w:usb1="68C7FCFB" w:usb2="00000010" w:usb3="00000000" w:csb0="4002009F" w:csb1="DFD70000"/>
  </w:font>
  <w:font w:name="SimSun-ExtB">
    <w:altName w:val="宋体"/>
    <w:panose1 w:val="02010609060101010101"/>
    <w:charset w:val="86"/>
    <w:family w:val="auto"/>
    <w:pitch w:val="default"/>
    <w:sig w:usb0="00000000" w:usb1="00000000" w:usb2="00000000" w:usb3="00000000" w:csb0="00040001" w:csb1="00000000"/>
  </w:font>
  <w:font w:name="04b_21">
    <w:altName w:val="Courier New"/>
    <w:panose1 w:val="00000400000000000000"/>
    <w:charset w:val="00"/>
    <w:family w:val="auto"/>
    <w:pitch w:val="default"/>
    <w:sig w:usb0="00000000" w:usb1="00000000" w:usb2="00000000" w:usb3="00000000" w:csb0="00000000" w:csb1="00000000"/>
  </w:font>
  <w:font w:name="AmdtSymbols">
    <w:altName w:val="Corbel"/>
    <w:panose1 w:val="02000500000000020004"/>
    <w:charset w:val="00"/>
    <w:family w:val="auto"/>
    <w:pitch w:val="default"/>
    <w:sig w:usb0="00000000" w:usb1="00000000" w:usb2="00000000" w:usb3="00000000" w:csb0="00000001" w:csb1="00000000"/>
  </w:font>
  <w:font w:name="AMGDT">
    <w:altName w:val="Courier New"/>
    <w:panose1 w:val="00000400000000000000"/>
    <w:charset w:val="00"/>
    <w:family w:val="auto"/>
    <w:pitch w:val="default"/>
    <w:sig w:usb0="00000000" w:usb1="00000000" w:usb2="00000000" w:usb3="00000000" w:csb0="00000001" w:csb1="0000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Microsoft Sans Serif"/>
    <w:panose1 w:val="020B0604020202020204"/>
    <w:charset w:val="00"/>
    <w:family w:val="auto"/>
    <w:pitch w:val="default"/>
    <w:sig w:usb0="00000000" w:usb1="00000000" w:usb2="00000000" w:usb3="00000000" w:csb0="00000001" w:csb1="00000000"/>
  </w:font>
  <w:font w:name="Arabic Typesetting">
    <w:altName w:val="Monotype Corsiva"/>
    <w:panose1 w:val="03020402040406030203"/>
    <w:charset w:val="00"/>
    <w:family w:val="auto"/>
    <w:pitch w:val="default"/>
    <w:sig w:usb0="00000000" w:usb1="00000000" w:usb2="00000008" w:usb3="00000000" w:csb0="200000D3" w:csb1="00000000"/>
  </w:font>
  <w:font w:name="Andalus">
    <w:altName w:val="Times New Roman"/>
    <w:panose1 w:val="02020603050405020304"/>
    <w:charset w:val="00"/>
    <w:family w:val="auto"/>
    <w:pitch w:val="default"/>
    <w:sig w:usb0="00000000" w:usb1="00000000" w:usb2="00000008" w:usb3="00000000" w:csb0="00000041" w:csb1="20080000"/>
  </w:font>
  <w:font w:name="Aharoni">
    <w:altName w:val="Tahoma"/>
    <w:panose1 w:val="02010803020104030203"/>
    <w:charset w:val="00"/>
    <w:family w:val="auto"/>
    <w:pitch w:val="default"/>
    <w:sig w:usb0="00000000" w:usb1="00000000" w:usb2="00000000" w:usb3="00000000" w:csb0="00000020" w:csb1="00200000"/>
  </w:font>
  <w:font w:name="AcadEref">
    <w:altName w:val="Gost"/>
    <w:panose1 w:val="02000500000000020003"/>
    <w:charset w:val="00"/>
    <w:family w:val="auto"/>
    <w:pitch w:val="default"/>
    <w:sig w:usb0="00000000" w:usb1="00000000" w:usb2="00000000" w:usb3="00000000" w:csb0="00000001" w:csb1="00000000"/>
  </w:font>
  <w:font w:name="MS UI Gothic">
    <w:panose1 w:val="020B0600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MingLiU_HKSCS-ExtB">
    <w:altName w:val="PMingLiU"/>
    <w:panose1 w:val="02020500000000000000"/>
    <w:charset w:val="88"/>
    <w:family w:val="auto"/>
    <w:pitch w:val="default"/>
    <w:sig w:usb0="00000000" w:usb1="00000000" w:usb2="00000000" w:usb3="00000000" w:csb0="00100001" w:csb1="00000000"/>
  </w:font>
  <w:font w:name="MingLiU_HKSCS">
    <w:altName w:val="PMingLiU"/>
    <w:panose1 w:val="02020500000000000000"/>
    <w:charset w:val="88"/>
    <w:family w:val="auto"/>
    <w:pitch w:val="default"/>
    <w:sig w:usb0="00000000" w:usb1="0000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Meiryo UI">
    <w:altName w:val="MS UI Gothic"/>
    <w:panose1 w:val="020B0604030504040204"/>
    <w:charset w:val="80"/>
    <w:family w:val="auto"/>
    <w:pitch w:val="default"/>
    <w:sig w:usb0="00000000" w:usb1="00000000" w:usb2="00010012" w:usb3="00000000" w:csb0="6002009F" w:csb1="DFD70000"/>
  </w:font>
  <w:font w:name="Corbel">
    <w:panose1 w:val="020B0503020204020204"/>
    <w:charset w:val="00"/>
    <w:family w:val="auto"/>
    <w:pitch w:val="default"/>
    <w:sig w:usb0="A00002EF" w:usb1="4000204B" w:usb2="00000000" w:usb3="00000000" w:csb0="2000009F" w:csb1="00000000"/>
  </w:font>
  <w:font w:name="Vrinda">
    <w:altName w:val="Lucida Sans Unicode"/>
    <w:panose1 w:val="020B0502040204020203"/>
    <w:charset w:val="00"/>
    <w:family w:val="auto"/>
    <w:pitch w:val="default"/>
    <w:sig w:usb0="00000000" w:usb1="00000000" w:usb2="00000000" w:usb3="00000000" w:csb0="00000001" w:csb1="00000000"/>
  </w:font>
  <w:font w:name="华文楷体">
    <w:altName w:val="楷体_GB2312"/>
    <w:panose1 w:val="02010600040101010101"/>
    <w:charset w:val="86"/>
    <w:family w:val="auto"/>
    <w:pitch w:val="default"/>
    <w:sig w:usb0="00000000" w:usb1="00000000" w:usb2="00000000" w:usb3="00000000" w:csb0="0004009F" w:csb1="DFD70000"/>
  </w:font>
  <w:font w:name="Traditional Arabic">
    <w:altName w:val="Times New Roman"/>
    <w:panose1 w:val="02020603050405020304"/>
    <w:charset w:val="00"/>
    <w:family w:val="auto"/>
    <w:pitch w:val="default"/>
    <w:sig w:usb0="00000000" w:usb1="0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altName w:val="Courier New"/>
    <w:panose1 w:val="02070309020205020404"/>
    <w:charset w:val="00"/>
    <w:family w:val="auto"/>
    <w:pitch w:val="default"/>
    <w:sig w:usb0="00000000" w:usb1="00000000" w:usb2="00000000" w:usb3="00000000" w:csb0="00000041" w:csb1="20080000"/>
  </w:font>
  <w:font w:name="̥_GB2312">
    <w:altName w:val="仿宋_GB2312"/>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A00002EF" w:usb1="4000204B" w:usb2="00000000" w:usb3="00000000" w:csb0="2000009F" w:csb1="00000000"/>
  </w:font>
  <w:font w:name="Microsoft Sans Serif">
    <w:panose1 w:val="020B0604020202020204"/>
    <w:charset w:val="00"/>
    <w:family w:val="auto"/>
    <w:pitch w:val="default"/>
    <w:sig w:usb0="61007BDF" w:usb1="80000000" w:usb2="00000008" w:usb3="00000000" w:csb0="200101FF" w:csb1="20280000"/>
  </w:font>
  <w:font w:name="Georgia">
    <w:panose1 w:val="02040502050405020303"/>
    <w:charset w:val="00"/>
    <w:family w:val="auto"/>
    <w:pitch w:val="default"/>
    <w:sig w:usb0="00000287" w:usb1="00000000" w:usb2="00000000" w:usb3="00000000" w:csb0="2000009F"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Arial Unicode MS">
    <w:altName w:val="宋体"/>
    <w:panose1 w:val="020B0604020202020204"/>
    <w:charset w:val="86"/>
    <w:family w:val="auto"/>
    <w:pitch w:val="default"/>
    <w:sig w:usb0="00000000" w:usb1="00000000" w:usb2="0000003F" w:usb3="00000000" w:csb0="603F01FF" w:csb1="FFFF0000"/>
  </w:font>
  <w:font w:name="宋体-18030">
    <w:altName w:val="宋体"/>
    <w:panose1 w:val="00000000000000000000"/>
    <w:charset w:val="86"/>
    <w:family w:val="modern"/>
    <w:pitch w:val="default"/>
    <w:sig w:usb0="00000000" w:usb1="00000000" w:usb2="000A005E"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Gost">
    <w:panose1 w:val="02000507000000020003"/>
    <w:charset w:val="00"/>
    <w:family w:val="auto"/>
    <w:pitch w:val="default"/>
    <w:sig w:usb0="00000287" w:usb1="000024E8" w:usb2="00000000" w:usb3="00000000" w:csb0="00000001" w:csb1="00000000"/>
  </w:font>
  <w:font w:name="微软简隶书">
    <w:altName w:val="宋体"/>
    <w:panose1 w:val="00000000000000000000"/>
    <w:charset w:val="86"/>
    <w:family w:val="auto"/>
    <w:pitch w:val="default"/>
    <w:sig w:usb0="00000000" w:usb1="00000000" w:usb2="00000000" w:usb3="00000000" w:csb0="00000000" w:csb1="00000000"/>
  </w:font>
  <w:font w:name="华文隶书">
    <w:altName w:val="宋体"/>
    <w:panose1 w:val="02010800040101010101"/>
    <w:charset w:val="86"/>
    <w:family w:val="auto"/>
    <w:pitch w:val="default"/>
    <w:sig w:usb0="00000000" w:usb1="00000000" w:usb2="00000000" w:usb3="00000000" w:csb0="00040000" w:csb1="00000000"/>
  </w:font>
  <w:font w:name="QualityControl">
    <w:altName w:val="Palatino Linotype"/>
    <w:panose1 w:val="02000500000000000000"/>
    <w:charset w:val="00"/>
    <w:family w:val="auto"/>
    <w:pitch w:val="default"/>
    <w:sig w:usb0="00000000" w:usb1="00000000" w:usb2="00000000" w:usb3="00000000" w:csb0="20000111" w:csb1="41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1">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V&#10;d8DutwEAAFU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1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i/>
      </w:rPr>
    </w:pPr>
    <w: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wps:txbx>
                    <wps:bodyPr wrap="none" lIns="0" tIns="0" rIns="0" bIns="0" upright="1">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AGHf2K5AQAAVQMAAA4AAAAAAAAAAQAgAAAAHg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181" w:firstLineChars="100"/>
      <w:jc w:val="both"/>
      <w:rPr>
        <w:rFonts w:ascii="楷体_GB2312" w:hAnsi="楷体_GB2312" w:eastAsia="楷体_GB2312" w:cs="楷体_GB2312"/>
        <w:b/>
        <w:bCs/>
        <w:i/>
        <w:iCs/>
      </w:rPr>
    </w:pPr>
    <w:r>
      <w:rPr>
        <w:rFonts w:hint="eastAsia" w:ascii="楷体_GB2312" w:hAnsi="楷体_GB2312" w:eastAsia="楷体_GB2312" w:cs="楷体_GB2312"/>
        <w:b/>
        <w:bCs/>
        <w:i/>
        <w:iCs/>
        <w:kern w:val="0"/>
      </w:rPr>
      <w:t>★郑阜高铁鄢陵南站站前广场及市政配套设施PPP咨询机构采购项目(二次)★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1D6"/>
    <w:multiLevelType w:val="multilevel"/>
    <w:tmpl w:val="0E5A51D6"/>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
    <w:nsid w:val="122721D3"/>
    <w:multiLevelType w:val="multilevel"/>
    <w:tmpl w:val="122721D3"/>
    <w:lvl w:ilvl="0" w:tentative="0">
      <w:start w:val="1"/>
      <w:numFmt w:val="decimal"/>
      <w:lvlText w:val="第%1条"/>
      <w:lvlJc w:val="left"/>
      <w:pPr>
        <w:ind w:left="975" w:hanging="975"/>
      </w:pPr>
      <w:rPr>
        <w:rFonts w:cs="Times New Roman"/>
      </w:rPr>
    </w:lvl>
    <w:lvl w:ilvl="1" w:tentative="0">
      <w:start w:val="1"/>
      <w:numFmt w:val="japaneseCounting"/>
      <w:lvlText w:val="（%2）"/>
      <w:lvlJc w:val="left"/>
      <w:pPr>
        <w:ind w:left="1140" w:hanging="720"/>
      </w:pPr>
    </w:lvl>
    <w:lvl w:ilvl="2" w:tentative="0">
      <w:start w:val="1"/>
      <w:numFmt w:val="decimal"/>
      <w:lvlText w:val="（%3）"/>
      <w:lvlJc w:val="left"/>
      <w:pPr>
        <w:ind w:left="1560" w:hanging="720"/>
      </w:p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A2E1593"/>
    <w:multiLevelType w:val="multilevel"/>
    <w:tmpl w:val="1A2E1593"/>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decimal"/>
      <w:lvlText w:val="%3."/>
      <w:lvlJc w:val="left"/>
      <w:pPr>
        <w:ind w:left="96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3">
    <w:nsid w:val="4AF03017"/>
    <w:multiLevelType w:val="multilevel"/>
    <w:tmpl w:val="4AF03017"/>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4">
    <w:nsid w:val="534B18FA"/>
    <w:multiLevelType w:val="multilevel"/>
    <w:tmpl w:val="534B18FA"/>
    <w:lvl w:ilvl="0" w:tentative="0">
      <w:start w:val="1"/>
      <w:numFmt w:val="decimalEnclosedCircle"/>
      <w:lvlText w:val="%1"/>
      <w:lvlJc w:val="left"/>
      <w:pPr>
        <w:ind w:left="360" w:hanging="360"/>
      </w:pPr>
    </w:lvl>
    <w:lvl w:ilvl="1" w:tentative="0">
      <w:start w:val="1"/>
      <w:numFmt w:val="decimalEnclosedCircle"/>
      <w:lvlText w:val="%2"/>
      <w:lvlJc w:val="left"/>
      <w:pPr>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E45AA2"/>
    <w:multiLevelType w:val="singleLevel"/>
    <w:tmpl w:val="59E45AA2"/>
    <w:lvl w:ilvl="0" w:tentative="0">
      <w:start w:val="1"/>
      <w:numFmt w:val="decimal"/>
      <w:lvlText w:val="%1."/>
      <w:lvlJc w:val="left"/>
      <w:pPr>
        <w:tabs>
          <w:tab w:val="left" w:pos="312"/>
        </w:tabs>
      </w:pPr>
    </w:lvl>
  </w:abstractNum>
  <w:abstractNum w:abstractNumId="6">
    <w:nsid w:val="5DA67678"/>
    <w:multiLevelType w:val="multilevel"/>
    <w:tmpl w:val="5DA67678"/>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7">
    <w:nsid w:val="5F4C3333"/>
    <w:multiLevelType w:val="multilevel"/>
    <w:tmpl w:val="5F4C3333"/>
    <w:lvl w:ilvl="0" w:tentative="0">
      <w:start w:val="1"/>
      <w:numFmt w:val="decimal"/>
      <w:suff w:val="space"/>
      <w:lvlText w:val="%1."/>
      <w:lvlJc w:val="left"/>
      <w:pPr>
        <w:ind w:left="482" w:firstLine="23"/>
      </w:pPr>
    </w:lvl>
    <w:lvl w:ilvl="1" w:tentative="0">
      <w:start w:val="1"/>
      <w:numFmt w:val="lowerLetter"/>
      <w:lvlText w:val="%2)"/>
      <w:lvlJc w:val="left"/>
      <w:pPr>
        <w:ind w:left="2034" w:hanging="480"/>
      </w:pPr>
    </w:lvl>
    <w:lvl w:ilvl="2" w:tentative="0">
      <w:start w:val="1"/>
      <w:numFmt w:val="lowerRoman"/>
      <w:lvlText w:val="%3."/>
      <w:lvlJc w:val="right"/>
      <w:pPr>
        <w:ind w:left="2514" w:hanging="480"/>
      </w:pPr>
    </w:lvl>
    <w:lvl w:ilvl="3" w:tentative="0">
      <w:start w:val="1"/>
      <w:numFmt w:val="decimal"/>
      <w:lvlText w:val="%4."/>
      <w:lvlJc w:val="left"/>
      <w:pPr>
        <w:ind w:left="2994" w:hanging="480"/>
      </w:pPr>
    </w:lvl>
    <w:lvl w:ilvl="4" w:tentative="0">
      <w:start w:val="1"/>
      <w:numFmt w:val="lowerLetter"/>
      <w:lvlText w:val="%5)"/>
      <w:lvlJc w:val="left"/>
      <w:pPr>
        <w:ind w:left="3474" w:hanging="480"/>
      </w:pPr>
    </w:lvl>
    <w:lvl w:ilvl="5" w:tentative="0">
      <w:start w:val="1"/>
      <w:numFmt w:val="lowerRoman"/>
      <w:lvlText w:val="%6."/>
      <w:lvlJc w:val="right"/>
      <w:pPr>
        <w:ind w:left="3954" w:hanging="480"/>
      </w:pPr>
    </w:lvl>
    <w:lvl w:ilvl="6" w:tentative="0">
      <w:start w:val="1"/>
      <w:numFmt w:val="decimal"/>
      <w:lvlText w:val="%7."/>
      <w:lvlJc w:val="left"/>
      <w:pPr>
        <w:ind w:left="4434" w:hanging="480"/>
      </w:pPr>
    </w:lvl>
    <w:lvl w:ilvl="7" w:tentative="0">
      <w:start w:val="1"/>
      <w:numFmt w:val="lowerLetter"/>
      <w:lvlText w:val="%8)"/>
      <w:lvlJc w:val="left"/>
      <w:pPr>
        <w:ind w:left="4914" w:hanging="480"/>
      </w:pPr>
    </w:lvl>
    <w:lvl w:ilvl="8" w:tentative="0">
      <w:start w:val="1"/>
      <w:numFmt w:val="lowerRoman"/>
      <w:lvlText w:val="%9."/>
      <w:lvlJc w:val="right"/>
      <w:pPr>
        <w:ind w:left="5394" w:hanging="480"/>
      </w:pPr>
    </w:lvl>
  </w:abstractNum>
  <w:abstractNum w:abstractNumId="8">
    <w:nsid w:val="61B80B2E"/>
    <w:multiLevelType w:val="multilevel"/>
    <w:tmpl w:val="61B80B2E"/>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9">
    <w:nsid w:val="792B2E14"/>
    <w:multiLevelType w:val="multilevel"/>
    <w:tmpl w:val="792B2E14"/>
    <w:lvl w:ilvl="0" w:tentative="0">
      <w:start w:val="1"/>
      <w:numFmt w:val="decimal"/>
      <w:lvlText w:val="（%1）"/>
      <w:lvlJc w:val="left"/>
      <w:pPr>
        <w:ind w:left="720" w:hanging="7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FF"/>
    <w:rsid w:val="000C415A"/>
    <w:rsid w:val="000C6E48"/>
    <w:rsid w:val="000F0441"/>
    <w:rsid w:val="00103957"/>
    <w:rsid w:val="001452E6"/>
    <w:rsid w:val="00146378"/>
    <w:rsid w:val="00164957"/>
    <w:rsid w:val="00193AC0"/>
    <w:rsid w:val="001B6065"/>
    <w:rsid w:val="001C6E49"/>
    <w:rsid w:val="001F5134"/>
    <w:rsid w:val="00214F74"/>
    <w:rsid w:val="0023062C"/>
    <w:rsid w:val="00252E2E"/>
    <w:rsid w:val="00264A39"/>
    <w:rsid w:val="002A0EA5"/>
    <w:rsid w:val="002C2C60"/>
    <w:rsid w:val="002E418C"/>
    <w:rsid w:val="002F0B6B"/>
    <w:rsid w:val="002F2706"/>
    <w:rsid w:val="00326876"/>
    <w:rsid w:val="0033435F"/>
    <w:rsid w:val="00344418"/>
    <w:rsid w:val="003A515F"/>
    <w:rsid w:val="0043346C"/>
    <w:rsid w:val="00497F9D"/>
    <w:rsid w:val="004F14B2"/>
    <w:rsid w:val="005371E5"/>
    <w:rsid w:val="00544D08"/>
    <w:rsid w:val="005529D7"/>
    <w:rsid w:val="0056489D"/>
    <w:rsid w:val="005B086C"/>
    <w:rsid w:val="005C62A8"/>
    <w:rsid w:val="00612D27"/>
    <w:rsid w:val="00614CBB"/>
    <w:rsid w:val="00641537"/>
    <w:rsid w:val="00645956"/>
    <w:rsid w:val="006909FD"/>
    <w:rsid w:val="006F2ACD"/>
    <w:rsid w:val="0071471F"/>
    <w:rsid w:val="0073244E"/>
    <w:rsid w:val="007819DE"/>
    <w:rsid w:val="0078362D"/>
    <w:rsid w:val="007B4202"/>
    <w:rsid w:val="007E042E"/>
    <w:rsid w:val="007E1780"/>
    <w:rsid w:val="00823127"/>
    <w:rsid w:val="008374EC"/>
    <w:rsid w:val="0085034C"/>
    <w:rsid w:val="00871348"/>
    <w:rsid w:val="00895997"/>
    <w:rsid w:val="008D5753"/>
    <w:rsid w:val="008E03A3"/>
    <w:rsid w:val="009C083A"/>
    <w:rsid w:val="009C60E8"/>
    <w:rsid w:val="00A1669F"/>
    <w:rsid w:val="00A54E26"/>
    <w:rsid w:val="00A762E2"/>
    <w:rsid w:val="00A80660"/>
    <w:rsid w:val="00AB5C8A"/>
    <w:rsid w:val="00AF6377"/>
    <w:rsid w:val="00B22E7A"/>
    <w:rsid w:val="00B331FC"/>
    <w:rsid w:val="00C16165"/>
    <w:rsid w:val="00C2583C"/>
    <w:rsid w:val="00C91D45"/>
    <w:rsid w:val="00CC1018"/>
    <w:rsid w:val="00CC4E3B"/>
    <w:rsid w:val="00D02881"/>
    <w:rsid w:val="00D123D1"/>
    <w:rsid w:val="00D311C9"/>
    <w:rsid w:val="00D32E46"/>
    <w:rsid w:val="00D41D94"/>
    <w:rsid w:val="00D61DFF"/>
    <w:rsid w:val="00D80347"/>
    <w:rsid w:val="00DD0B8A"/>
    <w:rsid w:val="00DD5553"/>
    <w:rsid w:val="00E32E64"/>
    <w:rsid w:val="00E47BBA"/>
    <w:rsid w:val="00E6440C"/>
    <w:rsid w:val="00E95C94"/>
    <w:rsid w:val="00F24285"/>
    <w:rsid w:val="00F33EA1"/>
    <w:rsid w:val="00F5123A"/>
    <w:rsid w:val="00F77855"/>
    <w:rsid w:val="00FD187D"/>
    <w:rsid w:val="01081AAF"/>
    <w:rsid w:val="01287825"/>
    <w:rsid w:val="013430BF"/>
    <w:rsid w:val="016213AF"/>
    <w:rsid w:val="01871EC1"/>
    <w:rsid w:val="019E7927"/>
    <w:rsid w:val="01B013A7"/>
    <w:rsid w:val="01EF7FD6"/>
    <w:rsid w:val="01F43CB4"/>
    <w:rsid w:val="026C0406"/>
    <w:rsid w:val="028D71F6"/>
    <w:rsid w:val="02905A7B"/>
    <w:rsid w:val="02B708FF"/>
    <w:rsid w:val="034D61D7"/>
    <w:rsid w:val="03A315DA"/>
    <w:rsid w:val="03B76909"/>
    <w:rsid w:val="03BC6247"/>
    <w:rsid w:val="03CE4A99"/>
    <w:rsid w:val="03D21A9B"/>
    <w:rsid w:val="03E16848"/>
    <w:rsid w:val="043B129B"/>
    <w:rsid w:val="045106FD"/>
    <w:rsid w:val="045423D8"/>
    <w:rsid w:val="047B7FBE"/>
    <w:rsid w:val="04E262EC"/>
    <w:rsid w:val="04F85BBC"/>
    <w:rsid w:val="05004C21"/>
    <w:rsid w:val="056B38FD"/>
    <w:rsid w:val="057B557C"/>
    <w:rsid w:val="05CF4015"/>
    <w:rsid w:val="06125AC8"/>
    <w:rsid w:val="061951C9"/>
    <w:rsid w:val="061D76FF"/>
    <w:rsid w:val="062301F9"/>
    <w:rsid w:val="062F2B6C"/>
    <w:rsid w:val="063F248E"/>
    <w:rsid w:val="06C47939"/>
    <w:rsid w:val="070B71FC"/>
    <w:rsid w:val="070F76CF"/>
    <w:rsid w:val="074460F3"/>
    <w:rsid w:val="07983430"/>
    <w:rsid w:val="07A92392"/>
    <w:rsid w:val="07CE0C02"/>
    <w:rsid w:val="07D516E6"/>
    <w:rsid w:val="07E04E72"/>
    <w:rsid w:val="07F44A95"/>
    <w:rsid w:val="08411D2F"/>
    <w:rsid w:val="085E0108"/>
    <w:rsid w:val="08796AF0"/>
    <w:rsid w:val="088518C0"/>
    <w:rsid w:val="08886D31"/>
    <w:rsid w:val="08AE1C81"/>
    <w:rsid w:val="08DB5E42"/>
    <w:rsid w:val="09D219E0"/>
    <w:rsid w:val="09E42157"/>
    <w:rsid w:val="0A0E3A6C"/>
    <w:rsid w:val="0A33218F"/>
    <w:rsid w:val="0A6E32F6"/>
    <w:rsid w:val="0A9F2DF7"/>
    <w:rsid w:val="0AB5207D"/>
    <w:rsid w:val="0AB6201D"/>
    <w:rsid w:val="0AB92537"/>
    <w:rsid w:val="0ADB2098"/>
    <w:rsid w:val="0AFF43CE"/>
    <w:rsid w:val="0B0A5F2A"/>
    <w:rsid w:val="0B6E7CC0"/>
    <w:rsid w:val="0B702585"/>
    <w:rsid w:val="0B8476B4"/>
    <w:rsid w:val="0BB338ED"/>
    <w:rsid w:val="0BBE37A9"/>
    <w:rsid w:val="0BCD59D1"/>
    <w:rsid w:val="0BFE378B"/>
    <w:rsid w:val="0C0D00AF"/>
    <w:rsid w:val="0C2F08B1"/>
    <w:rsid w:val="0C9E41EA"/>
    <w:rsid w:val="0CA01DCB"/>
    <w:rsid w:val="0CF95484"/>
    <w:rsid w:val="0CFF33C6"/>
    <w:rsid w:val="0D2A707D"/>
    <w:rsid w:val="0D315842"/>
    <w:rsid w:val="0D4A1F73"/>
    <w:rsid w:val="0D926CCA"/>
    <w:rsid w:val="0DC247F1"/>
    <w:rsid w:val="0DD85279"/>
    <w:rsid w:val="0E1C29CF"/>
    <w:rsid w:val="0E290F42"/>
    <w:rsid w:val="0E2B05C8"/>
    <w:rsid w:val="0E2D4B24"/>
    <w:rsid w:val="0E63316C"/>
    <w:rsid w:val="0E897215"/>
    <w:rsid w:val="0E905EE9"/>
    <w:rsid w:val="0EB24DDD"/>
    <w:rsid w:val="0EB308DD"/>
    <w:rsid w:val="0F117F01"/>
    <w:rsid w:val="0F4938A8"/>
    <w:rsid w:val="0FC97394"/>
    <w:rsid w:val="10073852"/>
    <w:rsid w:val="10320C9B"/>
    <w:rsid w:val="103235EB"/>
    <w:rsid w:val="10475995"/>
    <w:rsid w:val="105E01A5"/>
    <w:rsid w:val="10682D0A"/>
    <w:rsid w:val="106A40C4"/>
    <w:rsid w:val="10821853"/>
    <w:rsid w:val="10861390"/>
    <w:rsid w:val="108B1847"/>
    <w:rsid w:val="109169F2"/>
    <w:rsid w:val="10AD615C"/>
    <w:rsid w:val="10BE57AD"/>
    <w:rsid w:val="10EB7A5B"/>
    <w:rsid w:val="1133515E"/>
    <w:rsid w:val="11760265"/>
    <w:rsid w:val="117A4139"/>
    <w:rsid w:val="11A11122"/>
    <w:rsid w:val="11F2608A"/>
    <w:rsid w:val="12176A4F"/>
    <w:rsid w:val="125D6B8E"/>
    <w:rsid w:val="126D3E2F"/>
    <w:rsid w:val="12E7568A"/>
    <w:rsid w:val="132C3AF1"/>
    <w:rsid w:val="1342022D"/>
    <w:rsid w:val="134D37F9"/>
    <w:rsid w:val="13B47B82"/>
    <w:rsid w:val="13C10E2C"/>
    <w:rsid w:val="13FD7A46"/>
    <w:rsid w:val="14490DC8"/>
    <w:rsid w:val="14D46C6E"/>
    <w:rsid w:val="14E36B8C"/>
    <w:rsid w:val="15066CE8"/>
    <w:rsid w:val="15094488"/>
    <w:rsid w:val="153128B7"/>
    <w:rsid w:val="15605CBD"/>
    <w:rsid w:val="15837B09"/>
    <w:rsid w:val="158C059C"/>
    <w:rsid w:val="15981484"/>
    <w:rsid w:val="15B45A99"/>
    <w:rsid w:val="160F3F34"/>
    <w:rsid w:val="16154D42"/>
    <w:rsid w:val="16653E52"/>
    <w:rsid w:val="168E06F8"/>
    <w:rsid w:val="16CE0415"/>
    <w:rsid w:val="16D0705E"/>
    <w:rsid w:val="16ED40F3"/>
    <w:rsid w:val="1711715C"/>
    <w:rsid w:val="171F05A9"/>
    <w:rsid w:val="17204099"/>
    <w:rsid w:val="17672FF0"/>
    <w:rsid w:val="17AD169A"/>
    <w:rsid w:val="17B6505E"/>
    <w:rsid w:val="17C827E2"/>
    <w:rsid w:val="18573016"/>
    <w:rsid w:val="187B6EE7"/>
    <w:rsid w:val="18E8628D"/>
    <w:rsid w:val="19074CE7"/>
    <w:rsid w:val="195304BA"/>
    <w:rsid w:val="19AF6788"/>
    <w:rsid w:val="1A082103"/>
    <w:rsid w:val="1A2D167E"/>
    <w:rsid w:val="1A7A5788"/>
    <w:rsid w:val="1A84414E"/>
    <w:rsid w:val="1AAE3BA3"/>
    <w:rsid w:val="1AEA590E"/>
    <w:rsid w:val="1AF938EA"/>
    <w:rsid w:val="1B322643"/>
    <w:rsid w:val="1B624E1E"/>
    <w:rsid w:val="1B7974A7"/>
    <w:rsid w:val="1B8648E5"/>
    <w:rsid w:val="1B92048B"/>
    <w:rsid w:val="1BA62729"/>
    <w:rsid w:val="1BC80FDD"/>
    <w:rsid w:val="1BEB359B"/>
    <w:rsid w:val="1C0502ED"/>
    <w:rsid w:val="1C4C2AD8"/>
    <w:rsid w:val="1C935CF5"/>
    <w:rsid w:val="1C9B034A"/>
    <w:rsid w:val="1CC844FB"/>
    <w:rsid w:val="1CEC0682"/>
    <w:rsid w:val="1CEE396B"/>
    <w:rsid w:val="1CF815B6"/>
    <w:rsid w:val="1D1836D7"/>
    <w:rsid w:val="1D360FD6"/>
    <w:rsid w:val="1DB71F7A"/>
    <w:rsid w:val="1DE72F6B"/>
    <w:rsid w:val="1E2E68D4"/>
    <w:rsid w:val="1E4C6F5D"/>
    <w:rsid w:val="1EC27117"/>
    <w:rsid w:val="1EFB4146"/>
    <w:rsid w:val="1F5315B4"/>
    <w:rsid w:val="1F970756"/>
    <w:rsid w:val="1F986C91"/>
    <w:rsid w:val="1FB00AD6"/>
    <w:rsid w:val="1FFB3173"/>
    <w:rsid w:val="200A0A50"/>
    <w:rsid w:val="200B6D2F"/>
    <w:rsid w:val="202C184B"/>
    <w:rsid w:val="20C94858"/>
    <w:rsid w:val="20F92B43"/>
    <w:rsid w:val="21125681"/>
    <w:rsid w:val="213B6760"/>
    <w:rsid w:val="213D767F"/>
    <w:rsid w:val="214708A1"/>
    <w:rsid w:val="2158597C"/>
    <w:rsid w:val="21864CAA"/>
    <w:rsid w:val="21FF1868"/>
    <w:rsid w:val="22544B54"/>
    <w:rsid w:val="227B5A50"/>
    <w:rsid w:val="227F3C0B"/>
    <w:rsid w:val="22850418"/>
    <w:rsid w:val="22873452"/>
    <w:rsid w:val="22A80E89"/>
    <w:rsid w:val="22B564C9"/>
    <w:rsid w:val="22D03BFF"/>
    <w:rsid w:val="230D6577"/>
    <w:rsid w:val="230F707A"/>
    <w:rsid w:val="232048CE"/>
    <w:rsid w:val="23271E32"/>
    <w:rsid w:val="233A1F37"/>
    <w:rsid w:val="233C1AE7"/>
    <w:rsid w:val="23557A3E"/>
    <w:rsid w:val="23996FFF"/>
    <w:rsid w:val="23AE4238"/>
    <w:rsid w:val="23B42CDB"/>
    <w:rsid w:val="24142DF7"/>
    <w:rsid w:val="24473175"/>
    <w:rsid w:val="245C71F1"/>
    <w:rsid w:val="24777A1C"/>
    <w:rsid w:val="247D55BE"/>
    <w:rsid w:val="24804D9D"/>
    <w:rsid w:val="2499195B"/>
    <w:rsid w:val="24B04701"/>
    <w:rsid w:val="24FB4079"/>
    <w:rsid w:val="25343ED2"/>
    <w:rsid w:val="2540746A"/>
    <w:rsid w:val="25695AC5"/>
    <w:rsid w:val="25A9198D"/>
    <w:rsid w:val="25BD7CDA"/>
    <w:rsid w:val="25D63F50"/>
    <w:rsid w:val="25E00CF7"/>
    <w:rsid w:val="26774A6A"/>
    <w:rsid w:val="26993919"/>
    <w:rsid w:val="26A54B75"/>
    <w:rsid w:val="26B23649"/>
    <w:rsid w:val="26CD411D"/>
    <w:rsid w:val="26D7265E"/>
    <w:rsid w:val="26F57102"/>
    <w:rsid w:val="274C42B5"/>
    <w:rsid w:val="276F3ECD"/>
    <w:rsid w:val="27C10184"/>
    <w:rsid w:val="27C8494D"/>
    <w:rsid w:val="27E04F9A"/>
    <w:rsid w:val="281048A0"/>
    <w:rsid w:val="281F04D4"/>
    <w:rsid w:val="28232F01"/>
    <w:rsid w:val="283D13B9"/>
    <w:rsid w:val="28412097"/>
    <w:rsid w:val="28890E28"/>
    <w:rsid w:val="28956BD6"/>
    <w:rsid w:val="28B30A39"/>
    <w:rsid w:val="28BB1706"/>
    <w:rsid w:val="28F1212D"/>
    <w:rsid w:val="290D6A4E"/>
    <w:rsid w:val="29166E07"/>
    <w:rsid w:val="292E29B8"/>
    <w:rsid w:val="29420B3E"/>
    <w:rsid w:val="29435655"/>
    <w:rsid w:val="29437385"/>
    <w:rsid w:val="294F74B1"/>
    <w:rsid w:val="298F3CE3"/>
    <w:rsid w:val="29F657C1"/>
    <w:rsid w:val="2A03378C"/>
    <w:rsid w:val="2A162814"/>
    <w:rsid w:val="2A6E0602"/>
    <w:rsid w:val="2AB05D94"/>
    <w:rsid w:val="2AB15D62"/>
    <w:rsid w:val="2ADC181B"/>
    <w:rsid w:val="2AF56177"/>
    <w:rsid w:val="2B5077A7"/>
    <w:rsid w:val="2B543861"/>
    <w:rsid w:val="2B624E19"/>
    <w:rsid w:val="2BB948C1"/>
    <w:rsid w:val="2BD416FE"/>
    <w:rsid w:val="2BF75A9E"/>
    <w:rsid w:val="2C1373CA"/>
    <w:rsid w:val="2C28498D"/>
    <w:rsid w:val="2C384E3D"/>
    <w:rsid w:val="2C4B71A9"/>
    <w:rsid w:val="2C6F131B"/>
    <w:rsid w:val="2C7052F9"/>
    <w:rsid w:val="2C7D5E70"/>
    <w:rsid w:val="2CC83D31"/>
    <w:rsid w:val="2CDC4265"/>
    <w:rsid w:val="2CF21ADA"/>
    <w:rsid w:val="2D1E5315"/>
    <w:rsid w:val="2D694E90"/>
    <w:rsid w:val="2D7B2735"/>
    <w:rsid w:val="2DAD30EA"/>
    <w:rsid w:val="2EA76DF3"/>
    <w:rsid w:val="2ECE3C88"/>
    <w:rsid w:val="2F1A7A6A"/>
    <w:rsid w:val="2F543754"/>
    <w:rsid w:val="2F54515D"/>
    <w:rsid w:val="2F6B3FA6"/>
    <w:rsid w:val="2F841200"/>
    <w:rsid w:val="2FE01D10"/>
    <w:rsid w:val="300C2640"/>
    <w:rsid w:val="302A4D2A"/>
    <w:rsid w:val="30396FF7"/>
    <w:rsid w:val="306540BB"/>
    <w:rsid w:val="30A1482F"/>
    <w:rsid w:val="30AB70E1"/>
    <w:rsid w:val="30CE0515"/>
    <w:rsid w:val="30F50368"/>
    <w:rsid w:val="31195999"/>
    <w:rsid w:val="312919E8"/>
    <w:rsid w:val="313C7D0D"/>
    <w:rsid w:val="31796D61"/>
    <w:rsid w:val="318033A0"/>
    <w:rsid w:val="31993B62"/>
    <w:rsid w:val="31994CD5"/>
    <w:rsid w:val="32002E68"/>
    <w:rsid w:val="32011CD0"/>
    <w:rsid w:val="322D2F62"/>
    <w:rsid w:val="32350D2C"/>
    <w:rsid w:val="32371780"/>
    <w:rsid w:val="323A13CB"/>
    <w:rsid w:val="323D029C"/>
    <w:rsid w:val="326D1546"/>
    <w:rsid w:val="32707112"/>
    <w:rsid w:val="32A157D4"/>
    <w:rsid w:val="32C408AF"/>
    <w:rsid w:val="32EA4D7D"/>
    <w:rsid w:val="33291D99"/>
    <w:rsid w:val="336756B9"/>
    <w:rsid w:val="33706EE5"/>
    <w:rsid w:val="33720CE3"/>
    <w:rsid w:val="33805B67"/>
    <w:rsid w:val="33940D90"/>
    <w:rsid w:val="33AE4FC4"/>
    <w:rsid w:val="33BF4EA7"/>
    <w:rsid w:val="33C40D10"/>
    <w:rsid w:val="33CC02F0"/>
    <w:rsid w:val="33D03749"/>
    <w:rsid w:val="33FC41BF"/>
    <w:rsid w:val="34097076"/>
    <w:rsid w:val="34356556"/>
    <w:rsid w:val="34847B3D"/>
    <w:rsid w:val="34FB4CE4"/>
    <w:rsid w:val="35096B2A"/>
    <w:rsid w:val="35187171"/>
    <w:rsid w:val="353E7BE0"/>
    <w:rsid w:val="35697FE7"/>
    <w:rsid w:val="358D4A79"/>
    <w:rsid w:val="35A92DD5"/>
    <w:rsid w:val="35AA2AF7"/>
    <w:rsid w:val="35AF1DAF"/>
    <w:rsid w:val="35C95A1B"/>
    <w:rsid w:val="35EB02D7"/>
    <w:rsid w:val="363A007B"/>
    <w:rsid w:val="36407F93"/>
    <w:rsid w:val="36594A21"/>
    <w:rsid w:val="367A72AD"/>
    <w:rsid w:val="36B87E22"/>
    <w:rsid w:val="36EA1275"/>
    <w:rsid w:val="36FD767A"/>
    <w:rsid w:val="37234492"/>
    <w:rsid w:val="37351398"/>
    <w:rsid w:val="37376E65"/>
    <w:rsid w:val="37736B8D"/>
    <w:rsid w:val="37DA340E"/>
    <w:rsid w:val="381448E6"/>
    <w:rsid w:val="38463CAF"/>
    <w:rsid w:val="38630719"/>
    <w:rsid w:val="38A648B5"/>
    <w:rsid w:val="38AB5491"/>
    <w:rsid w:val="399A2423"/>
    <w:rsid w:val="39A66A9C"/>
    <w:rsid w:val="39C453ED"/>
    <w:rsid w:val="39D23572"/>
    <w:rsid w:val="39DC7C88"/>
    <w:rsid w:val="3A341DD7"/>
    <w:rsid w:val="3A596083"/>
    <w:rsid w:val="3A5D4212"/>
    <w:rsid w:val="3A6D15AA"/>
    <w:rsid w:val="3AD34F20"/>
    <w:rsid w:val="3B3A45D7"/>
    <w:rsid w:val="3B580809"/>
    <w:rsid w:val="3B68527B"/>
    <w:rsid w:val="3B796D4B"/>
    <w:rsid w:val="3B8A1A8A"/>
    <w:rsid w:val="3B8E7284"/>
    <w:rsid w:val="3B940803"/>
    <w:rsid w:val="3BC30141"/>
    <w:rsid w:val="3C2F1E12"/>
    <w:rsid w:val="3C3058EC"/>
    <w:rsid w:val="3C3B0DF0"/>
    <w:rsid w:val="3C5E1147"/>
    <w:rsid w:val="3C7924E8"/>
    <w:rsid w:val="3CA146A4"/>
    <w:rsid w:val="3DB6238D"/>
    <w:rsid w:val="3DD278BE"/>
    <w:rsid w:val="3DD94E22"/>
    <w:rsid w:val="3E3C2321"/>
    <w:rsid w:val="3E491475"/>
    <w:rsid w:val="3E693070"/>
    <w:rsid w:val="3E783125"/>
    <w:rsid w:val="3E8E6DE0"/>
    <w:rsid w:val="3EB97D30"/>
    <w:rsid w:val="3EC172F4"/>
    <w:rsid w:val="3EC63DEA"/>
    <w:rsid w:val="3EDF3845"/>
    <w:rsid w:val="3EE130B9"/>
    <w:rsid w:val="3EE15550"/>
    <w:rsid w:val="3F1B6BFA"/>
    <w:rsid w:val="3F635193"/>
    <w:rsid w:val="3F783C51"/>
    <w:rsid w:val="3F89129F"/>
    <w:rsid w:val="3FD80832"/>
    <w:rsid w:val="3FE62258"/>
    <w:rsid w:val="3FF024D2"/>
    <w:rsid w:val="3FF11DC5"/>
    <w:rsid w:val="3FF20FF8"/>
    <w:rsid w:val="400679B6"/>
    <w:rsid w:val="40453507"/>
    <w:rsid w:val="40685AF2"/>
    <w:rsid w:val="40955E6F"/>
    <w:rsid w:val="41087E6F"/>
    <w:rsid w:val="41123F18"/>
    <w:rsid w:val="414C3DD8"/>
    <w:rsid w:val="41803FE3"/>
    <w:rsid w:val="4189796B"/>
    <w:rsid w:val="41A04D8F"/>
    <w:rsid w:val="41DA1181"/>
    <w:rsid w:val="421A6454"/>
    <w:rsid w:val="42204C96"/>
    <w:rsid w:val="422C4D77"/>
    <w:rsid w:val="423D56C9"/>
    <w:rsid w:val="428E215F"/>
    <w:rsid w:val="42BC076A"/>
    <w:rsid w:val="42BC6E00"/>
    <w:rsid w:val="42D4079A"/>
    <w:rsid w:val="42DC6230"/>
    <w:rsid w:val="42DD7590"/>
    <w:rsid w:val="43292B49"/>
    <w:rsid w:val="435243DA"/>
    <w:rsid w:val="437C3977"/>
    <w:rsid w:val="43C517A2"/>
    <w:rsid w:val="43D90C25"/>
    <w:rsid w:val="43F13A4B"/>
    <w:rsid w:val="44222466"/>
    <w:rsid w:val="44582CEB"/>
    <w:rsid w:val="44853290"/>
    <w:rsid w:val="449E2B1E"/>
    <w:rsid w:val="44B02741"/>
    <w:rsid w:val="451966A5"/>
    <w:rsid w:val="45401357"/>
    <w:rsid w:val="454C268F"/>
    <w:rsid w:val="45BA0D99"/>
    <w:rsid w:val="45CD3B72"/>
    <w:rsid w:val="460F75B7"/>
    <w:rsid w:val="46237AE0"/>
    <w:rsid w:val="4697474B"/>
    <w:rsid w:val="46BD161B"/>
    <w:rsid w:val="47631827"/>
    <w:rsid w:val="47695031"/>
    <w:rsid w:val="476C09E5"/>
    <w:rsid w:val="477B4829"/>
    <w:rsid w:val="47AC210C"/>
    <w:rsid w:val="47BA7585"/>
    <w:rsid w:val="47C65D7B"/>
    <w:rsid w:val="48190DD4"/>
    <w:rsid w:val="482A3259"/>
    <w:rsid w:val="489C2968"/>
    <w:rsid w:val="48F9057D"/>
    <w:rsid w:val="49242666"/>
    <w:rsid w:val="4954686F"/>
    <w:rsid w:val="495D32FF"/>
    <w:rsid w:val="496C16CC"/>
    <w:rsid w:val="49C4366C"/>
    <w:rsid w:val="4A20224C"/>
    <w:rsid w:val="4A512156"/>
    <w:rsid w:val="4A811D85"/>
    <w:rsid w:val="4ACA57BF"/>
    <w:rsid w:val="4B224237"/>
    <w:rsid w:val="4B2D0A46"/>
    <w:rsid w:val="4BC53F13"/>
    <w:rsid w:val="4C293477"/>
    <w:rsid w:val="4C3E3503"/>
    <w:rsid w:val="4C46798C"/>
    <w:rsid w:val="4C584996"/>
    <w:rsid w:val="4C986BD8"/>
    <w:rsid w:val="4C9F277C"/>
    <w:rsid w:val="4CA77FBC"/>
    <w:rsid w:val="4CCD06E5"/>
    <w:rsid w:val="4CD255E2"/>
    <w:rsid w:val="4CDF3DB9"/>
    <w:rsid w:val="4D113578"/>
    <w:rsid w:val="4D1E2C70"/>
    <w:rsid w:val="4D27064B"/>
    <w:rsid w:val="4D272879"/>
    <w:rsid w:val="4D3C1D35"/>
    <w:rsid w:val="4D784CF2"/>
    <w:rsid w:val="4D807CEF"/>
    <w:rsid w:val="4DAE26DA"/>
    <w:rsid w:val="4DE41F0C"/>
    <w:rsid w:val="4DE935F9"/>
    <w:rsid w:val="4E420A17"/>
    <w:rsid w:val="4E663ED5"/>
    <w:rsid w:val="4E6F4AB4"/>
    <w:rsid w:val="4EE71F52"/>
    <w:rsid w:val="4F396583"/>
    <w:rsid w:val="4F543278"/>
    <w:rsid w:val="4F694072"/>
    <w:rsid w:val="4F7343DF"/>
    <w:rsid w:val="4F757F0E"/>
    <w:rsid w:val="4FC06F44"/>
    <w:rsid w:val="4FE66FC2"/>
    <w:rsid w:val="50103F96"/>
    <w:rsid w:val="501A6F64"/>
    <w:rsid w:val="50495A49"/>
    <w:rsid w:val="5088586E"/>
    <w:rsid w:val="508D4541"/>
    <w:rsid w:val="50C7752D"/>
    <w:rsid w:val="50D31173"/>
    <w:rsid w:val="50E657C1"/>
    <w:rsid w:val="50F844DC"/>
    <w:rsid w:val="50FA454B"/>
    <w:rsid w:val="51082FB0"/>
    <w:rsid w:val="514F2C0F"/>
    <w:rsid w:val="51513431"/>
    <w:rsid w:val="51521993"/>
    <w:rsid w:val="51644C68"/>
    <w:rsid w:val="51943C45"/>
    <w:rsid w:val="51E10963"/>
    <w:rsid w:val="52403C07"/>
    <w:rsid w:val="52AB2992"/>
    <w:rsid w:val="52B0291F"/>
    <w:rsid w:val="52B07F75"/>
    <w:rsid w:val="52C71DFD"/>
    <w:rsid w:val="52DD42CE"/>
    <w:rsid w:val="53224A1D"/>
    <w:rsid w:val="53755F0E"/>
    <w:rsid w:val="53A80B60"/>
    <w:rsid w:val="540A3B6B"/>
    <w:rsid w:val="540A53FD"/>
    <w:rsid w:val="540E4D5A"/>
    <w:rsid w:val="545D5F5C"/>
    <w:rsid w:val="54BA6747"/>
    <w:rsid w:val="54DF3373"/>
    <w:rsid w:val="55252EF6"/>
    <w:rsid w:val="55410ABB"/>
    <w:rsid w:val="55832738"/>
    <w:rsid w:val="55940499"/>
    <w:rsid w:val="55DA0A05"/>
    <w:rsid w:val="55E4462B"/>
    <w:rsid w:val="55E6391D"/>
    <w:rsid w:val="5613202A"/>
    <w:rsid w:val="562E4A76"/>
    <w:rsid w:val="56426F9E"/>
    <w:rsid w:val="566825F3"/>
    <w:rsid w:val="56D92D7A"/>
    <w:rsid w:val="57076AA5"/>
    <w:rsid w:val="571E33F8"/>
    <w:rsid w:val="575C0F05"/>
    <w:rsid w:val="575E14FF"/>
    <w:rsid w:val="577A2D73"/>
    <w:rsid w:val="577B2792"/>
    <w:rsid w:val="577D68A5"/>
    <w:rsid w:val="57B1424B"/>
    <w:rsid w:val="57B5786C"/>
    <w:rsid w:val="57DF52B9"/>
    <w:rsid w:val="582B0CFF"/>
    <w:rsid w:val="584E4D1F"/>
    <w:rsid w:val="586C3B8C"/>
    <w:rsid w:val="586D03E2"/>
    <w:rsid w:val="588809FA"/>
    <w:rsid w:val="58A31175"/>
    <w:rsid w:val="58A34C68"/>
    <w:rsid w:val="58BC1716"/>
    <w:rsid w:val="58CA68D4"/>
    <w:rsid w:val="58CC1456"/>
    <w:rsid w:val="58EA4762"/>
    <w:rsid w:val="58FE4948"/>
    <w:rsid w:val="592F16B0"/>
    <w:rsid w:val="59400FE6"/>
    <w:rsid w:val="59C36B8C"/>
    <w:rsid w:val="59CC4680"/>
    <w:rsid w:val="5A345120"/>
    <w:rsid w:val="5A6C47FC"/>
    <w:rsid w:val="5A973806"/>
    <w:rsid w:val="5AA64F6E"/>
    <w:rsid w:val="5AE74B19"/>
    <w:rsid w:val="5AEC732D"/>
    <w:rsid w:val="5AF304B0"/>
    <w:rsid w:val="5B4A773C"/>
    <w:rsid w:val="5B6F64A7"/>
    <w:rsid w:val="5B9102FF"/>
    <w:rsid w:val="5B943477"/>
    <w:rsid w:val="5B9B3F82"/>
    <w:rsid w:val="5BA53A03"/>
    <w:rsid w:val="5BFD11DC"/>
    <w:rsid w:val="5C244D79"/>
    <w:rsid w:val="5C4D09CE"/>
    <w:rsid w:val="5C4E1AFA"/>
    <w:rsid w:val="5D0A2523"/>
    <w:rsid w:val="5D13524D"/>
    <w:rsid w:val="5D3C21F3"/>
    <w:rsid w:val="5D5C27F8"/>
    <w:rsid w:val="5D6F48AB"/>
    <w:rsid w:val="5DF07911"/>
    <w:rsid w:val="5DF270CF"/>
    <w:rsid w:val="5E0D39B6"/>
    <w:rsid w:val="5E264FB6"/>
    <w:rsid w:val="5E7408E5"/>
    <w:rsid w:val="5EAD17C1"/>
    <w:rsid w:val="5EB127F3"/>
    <w:rsid w:val="5ED267C6"/>
    <w:rsid w:val="5EF5786E"/>
    <w:rsid w:val="5F480486"/>
    <w:rsid w:val="5F6B618D"/>
    <w:rsid w:val="5F7D46A4"/>
    <w:rsid w:val="5F977321"/>
    <w:rsid w:val="5F9B0254"/>
    <w:rsid w:val="5FF9642F"/>
    <w:rsid w:val="600B13E0"/>
    <w:rsid w:val="601B4BC2"/>
    <w:rsid w:val="60234132"/>
    <w:rsid w:val="60611F9E"/>
    <w:rsid w:val="60B37B38"/>
    <w:rsid w:val="60B556E3"/>
    <w:rsid w:val="60B976C1"/>
    <w:rsid w:val="60F83F37"/>
    <w:rsid w:val="613259E0"/>
    <w:rsid w:val="61384D5D"/>
    <w:rsid w:val="615B34E0"/>
    <w:rsid w:val="61614D00"/>
    <w:rsid w:val="618A06FE"/>
    <w:rsid w:val="61A029F6"/>
    <w:rsid w:val="61B13183"/>
    <w:rsid w:val="61CB5894"/>
    <w:rsid w:val="61CD4B84"/>
    <w:rsid w:val="61DF2A22"/>
    <w:rsid w:val="624E3384"/>
    <w:rsid w:val="62546E9A"/>
    <w:rsid w:val="629E509D"/>
    <w:rsid w:val="62A70025"/>
    <w:rsid w:val="62B53FAE"/>
    <w:rsid w:val="62D52459"/>
    <w:rsid w:val="62DB0665"/>
    <w:rsid w:val="63011900"/>
    <w:rsid w:val="63294660"/>
    <w:rsid w:val="635C6675"/>
    <w:rsid w:val="63AC4B14"/>
    <w:rsid w:val="63C0112D"/>
    <w:rsid w:val="63EF0EB8"/>
    <w:rsid w:val="64210ABC"/>
    <w:rsid w:val="644524CA"/>
    <w:rsid w:val="64537E05"/>
    <w:rsid w:val="648C5666"/>
    <w:rsid w:val="64A12ABA"/>
    <w:rsid w:val="64A3797E"/>
    <w:rsid w:val="64AB0674"/>
    <w:rsid w:val="64B24316"/>
    <w:rsid w:val="64D14096"/>
    <w:rsid w:val="64E21C84"/>
    <w:rsid w:val="64E228FA"/>
    <w:rsid w:val="64F10824"/>
    <w:rsid w:val="655A4B10"/>
    <w:rsid w:val="65782120"/>
    <w:rsid w:val="65855A82"/>
    <w:rsid w:val="65AD4B33"/>
    <w:rsid w:val="65FF1AB6"/>
    <w:rsid w:val="66057EDF"/>
    <w:rsid w:val="661131A2"/>
    <w:rsid w:val="666216B8"/>
    <w:rsid w:val="6677202A"/>
    <w:rsid w:val="6687310A"/>
    <w:rsid w:val="669B41ED"/>
    <w:rsid w:val="66D6444F"/>
    <w:rsid w:val="67021592"/>
    <w:rsid w:val="67287452"/>
    <w:rsid w:val="676B0327"/>
    <w:rsid w:val="679B254A"/>
    <w:rsid w:val="679F0341"/>
    <w:rsid w:val="687A78FE"/>
    <w:rsid w:val="687B0FCF"/>
    <w:rsid w:val="68B622FB"/>
    <w:rsid w:val="68CB7FA0"/>
    <w:rsid w:val="694C2F62"/>
    <w:rsid w:val="69634730"/>
    <w:rsid w:val="69692809"/>
    <w:rsid w:val="698215FF"/>
    <w:rsid w:val="69876A1A"/>
    <w:rsid w:val="69910B92"/>
    <w:rsid w:val="69AB59AC"/>
    <w:rsid w:val="69CA0911"/>
    <w:rsid w:val="6A151815"/>
    <w:rsid w:val="6A576807"/>
    <w:rsid w:val="6AA509E7"/>
    <w:rsid w:val="6ACB4B1D"/>
    <w:rsid w:val="6B193E25"/>
    <w:rsid w:val="6B3176C3"/>
    <w:rsid w:val="6B3854E5"/>
    <w:rsid w:val="6B3F71D0"/>
    <w:rsid w:val="6B512709"/>
    <w:rsid w:val="6B8B6C9C"/>
    <w:rsid w:val="6BAB03D5"/>
    <w:rsid w:val="6BB93A24"/>
    <w:rsid w:val="6BD8291D"/>
    <w:rsid w:val="6BE63D39"/>
    <w:rsid w:val="6BEF3BF3"/>
    <w:rsid w:val="6BF158F5"/>
    <w:rsid w:val="6C0D2AA9"/>
    <w:rsid w:val="6C593D24"/>
    <w:rsid w:val="6CD37D25"/>
    <w:rsid w:val="6CD5479D"/>
    <w:rsid w:val="6CD66949"/>
    <w:rsid w:val="6CEE0DF6"/>
    <w:rsid w:val="6CF92A75"/>
    <w:rsid w:val="6D020E44"/>
    <w:rsid w:val="6D457E09"/>
    <w:rsid w:val="6D67652A"/>
    <w:rsid w:val="6DC45773"/>
    <w:rsid w:val="6DFE2097"/>
    <w:rsid w:val="6E4E1776"/>
    <w:rsid w:val="6EA55477"/>
    <w:rsid w:val="6ED25EC0"/>
    <w:rsid w:val="6EF6417A"/>
    <w:rsid w:val="6F612C7C"/>
    <w:rsid w:val="6F7A4BA3"/>
    <w:rsid w:val="6F7B33DD"/>
    <w:rsid w:val="6F976AB6"/>
    <w:rsid w:val="6FF11F1E"/>
    <w:rsid w:val="70056342"/>
    <w:rsid w:val="700C2B0A"/>
    <w:rsid w:val="70123625"/>
    <w:rsid w:val="703121EA"/>
    <w:rsid w:val="7054096F"/>
    <w:rsid w:val="70B97295"/>
    <w:rsid w:val="70C5495C"/>
    <w:rsid w:val="70C57924"/>
    <w:rsid w:val="70CD580C"/>
    <w:rsid w:val="70D9220B"/>
    <w:rsid w:val="71071E91"/>
    <w:rsid w:val="71195DBC"/>
    <w:rsid w:val="714B2A2D"/>
    <w:rsid w:val="71734959"/>
    <w:rsid w:val="7174118F"/>
    <w:rsid w:val="719B30E2"/>
    <w:rsid w:val="719D76E5"/>
    <w:rsid w:val="71B47D6B"/>
    <w:rsid w:val="720E120C"/>
    <w:rsid w:val="72491522"/>
    <w:rsid w:val="724F49B4"/>
    <w:rsid w:val="728308F3"/>
    <w:rsid w:val="72850FBD"/>
    <w:rsid w:val="72897737"/>
    <w:rsid w:val="72C36A2D"/>
    <w:rsid w:val="72D5208E"/>
    <w:rsid w:val="72DD52DE"/>
    <w:rsid w:val="73107891"/>
    <w:rsid w:val="7319341C"/>
    <w:rsid w:val="73402EA5"/>
    <w:rsid w:val="73600C1B"/>
    <w:rsid w:val="73A471A4"/>
    <w:rsid w:val="73BA4E0E"/>
    <w:rsid w:val="73C23EE0"/>
    <w:rsid w:val="73D920FF"/>
    <w:rsid w:val="742958E7"/>
    <w:rsid w:val="74461A4C"/>
    <w:rsid w:val="744F0396"/>
    <w:rsid w:val="747F6DB8"/>
    <w:rsid w:val="74D242FB"/>
    <w:rsid w:val="75676A9A"/>
    <w:rsid w:val="75702984"/>
    <w:rsid w:val="75860479"/>
    <w:rsid w:val="75A844A6"/>
    <w:rsid w:val="75AB0FD0"/>
    <w:rsid w:val="75AE6722"/>
    <w:rsid w:val="75D254C5"/>
    <w:rsid w:val="75E729CB"/>
    <w:rsid w:val="75E82EE3"/>
    <w:rsid w:val="75FE0042"/>
    <w:rsid w:val="760E7754"/>
    <w:rsid w:val="761F5A5A"/>
    <w:rsid w:val="762D6C70"/>
    <w:rsid w:val="763A562B"/>
    <w:rsid w:val="765D0566"/>
    <w:rsid w:val="76D2313C"/>
    <w:rsid w:val="76F627F7"/>
    <w:rsid w:val="771E20D8"/>
    <w:rsid w:val="77830589"/>
    <w:rsid w:val="778F1DD7"/>
    <w:rsid w:val="77C8178A"/>
    <w:rsid w:val="78111775"/>
    <w:rsid w:val="78235D11"/>
    <w:rsid w:val="78534AB2"/>
    <w:rsid w:val="785F5CD7"/>
    <w:rsid w:val="785F7446"/>
    <w:rsid w:val="78A53909"/>
    <w:rsid w:val="78C0746C"/>
    <w:rsid w:val="78F50F22"/>
    <w:rsid w:val="79275F46"/>
    <w:rsid w:val="793A046B"/>
    <w:rsid w:val="79603932"/>
    <w:rsid w:val="797E260C"/>
    <w:rsid w:val="79BE2FD0"/>
    <w:rsid w:val="79C87387"/>
    <w:rsid w:val="79F858DB"/>
    <w:rsid w:val="79FA54ED"/>
    <w:rsid w:val="79FA61E9"/>
    <w:rsid w:val="7A5054E6"/>
    <w:rsid w:val="7A8B12FA"/>
    <w:rsid w:val="7A997E24"/>
    <w:rsid w:val="7AE93360"/>
    <w:rsid w:val="7B0D0F81"/>
    <w:rsid w:val="7B6D5ED6"/>
    <w:rsid w:val="7B9024A9"/>
    <w:rsid w:val="7BA91D9F"/>
    <w:rsid w:val="7BB81B97"/>
    <w:rsid w:val="7C266B6F"/>
    <w:rsid w:val="7C494829"/>
    <w:rsid w:val="7C63488F"/>
    <w:rsid w:val="7C9308F6"/>
    <w:rsid w:val="7C9C10F2"/>
    <w:rsid w:val="7CB041A3"/>
    <w:rsid w:val="7CC74E01"/>
    <w:rsid w:val="7CE32801"/>
    <w:rsid w:val="7CF43A31"/>
    <w:rsid w:val="7D153429"/>
    <w:rsid w:val="7D4B3324"/>
    <w:rsid w:val="7DA21284"/>
    <w:rsid w:val="7DA54466"/>
    <w:rsid w:val="7DDF3E51"/>
    <w:rsid w:val="7DF80132"/>
    <w:rsid w:val="7DFC4F83"/>
    <w:rsid w:val="7E067274"/>
    <w:rsid w:val="7E0D5FAD"/>
    <w:rsid w:val="7E104CF2"/>
    <w:rsid w:val="7E357857"/>
    <w:rsid w:val="7E592769"/>
    <w:rsid w:val="7E7114E7"/>
    <w:rsid w:val="7EA91E4A"/>
    <w:rsid w:val="7EC41333"/>
    <w:rsid w:val="7EC9361F"/>
    <w:rsid w:val="7ECD0FF9"/>
    <w:rsid w:val="7EF95560"/>
    <w:rsid w:val="7F072AC6"/>
    <w:rsid w:val="7F0B32CF"/>
    <w:rsid w:val="7F1B63F9"/>
    <w:rsid w:val="7F46087C"/>
    <w:rsid w:val="7F6507CD"/>
    <w:rsid w:val="7F7E2533"/>
    <w:rsid w:val="7FD72195"/>
    <w:rsid w:val="7FFF61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2"/>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33"/>
    <w:qFormat/>
    <w:uiPriority w:val="0"/>
    <w:pPr>
      <w:keepNext/>
      <w:keepLines/>
      <w:spacing w:before="20" w:after="20" w:line="415" w:lineRule="auto"/>
      <w:jc w:val="left"/>
      <w:outlineLvl w:val="2"/>
    </w:pPr>
    <w:rPr>
      <w:rFonts w:ascii="Times New Roman" w:hAnsi="Times New Roman" w:eastAsia="宋体" w:cs="Times New Roman"/>
      <w:b/>
      <w:bCs/>
      <w:sz w:val="28"/>
      <w:szCs w:val="32"/>
    </w:rPr>
  </w:style>
  <w:style w:type="paragraph" w:styleId="5">
    <w:name w:val="heading 4"/>
    <w:basedOn w:val="1"/>
    <w:next w:val="1"/>
    <w:link w:val="34"/>
    <w:qFormat/>
    <w:uiPriority w:val="0"/>
    <w:pPr>
      <w:keepNext/>
      <w:keepLines/>
      <w:spacing w:before="280" w:after="290" w:line="374" w:lineRule="auto"/>
      <w:outlineLvl w:val="3"/>
    </w:pPr>
    <w:rPr>
      <w:rFonts w:ascii="Arial" w:hAnsi="Arial" w:eastAsia="黑体" w:cs="Times New Roman"/>
      <w:b/>
      <w:bCs/>
      <w:sz w:val="28"/>
      <w:szCs w:val="28"/>
    </w:rPr>
  </w:style>
  <w:style w:type="character" w:default="1" w:styleId="21">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5"/>
    <w:semiHidden/>
    <w:qFormat/>
    <w:uiPriority w:val="0"/>
    <w:rPr>
      <w:b/>
      <w:bCs/>
    </w:rPr>
  </w:style>
  <w:style w:type="paragraph" w:styleId="7">
    <w:name w:val="annotation text"/>
    <w:basedOn w:val="1"/>
    <w:link w:val="63"/>
    <w:qFormat/>
    <w:uiPriority w:val="0"/>
    <w:pPr>
      <w:jc w:val="left"/>
    </w:pPr>
    <w:rPr>
      <w:rFonts w:ascii="Times New Roman" w:hAnsi="Times New Roman" w:eastAsia="宋体" w:cs="Times New Roman"/>
      <w:szCs w:val="24"/>
    </w:rPr>
  </w:style>
  <w:style w:type="paragraph" w:styleId="8">
    <w:name w:val="Normal Indent"/>
    <w:basedOn w:val="1"/>
    <w:link w:val="40"/>
    <w:qFormat/>
    <w:uiPriority w:val="0"/>
    <w:pPr>
      <w:ind w:firstLine="420"/>
    </w:pPr>
  </w:style>
  <w:style w:type="paragraph" w:styleId="9">
    <w:name w:val="Document Map"/>
    <w:basedOn w:val="1"/>
    <w:link w:val="60"/>
    <w:qFormat/>
    <w:uiPriority w:val="0"/>
    <w:rPr>
      <w:rFonts w:ascii="宋体"/>
      <w:sz w:val="18"/>
      <w:szCs w:val="18"/>
    </w:rPr>
  </w:style>
  <w:style w:type="paragraph" w:styleId="10">
    <w:name w:val="Body Text"/>
    <w:basedOn w:val="1"/>
    <w:link w:val="61"/>
    <w:qFormat/>
    <w:uiPriority w:val="0"/>
    <w:pPr>
      <w:spacing w:after="120"/>
    </w:pPr>
    <w:rPr>
      <w:rFonts w:ascii="Times New Roman" w:hAnsi="Times New Roman" w:eastAsia="宋体" w:cs="Times New Roman"/>
      <w:szCs w:val="24"/>
    </w:rPr>
  </w:style>
  <w:style w:type="paragraph" w:styleId="11">
    <w:name w:val="Plain Text"/>
    <w:basedOn w:val="1"/>
    <w:link w:val="62"/>
    <w:qFormat/>
    <w:uiPriority w:val="0"/>
    <w:pPr>
      <w:widowControl/>
      <w:overflowPunct w:val="0"/>
      <w:autoSpaceDE w:val="0"/>
      <w:autoSpaceDN w:val="0"/>
      <w:adjustRightInd w:val="0"/>
      <w:jc w:val="left"/>
      <w:textAlignment w:val="baseline"/>
    </w:pPr>
    <w:rPr>
      <w:rFonts w:ascii="宋体" w:hAnsi="Courier New"/>
    </w:rPr>
  </w:style>
  <w:style w:type="paragraph" w:styleId="12">
    <w:name w:val="Date"/>
    <w:basedOn w:val="1"/>
    <w:next w:val="1"/>
    <w:link w:val="66"/>
    <w:qFormat/>
    <w:uiPriority w:val="0"/>
    <w:pPr>
      <w:ind w:left="100" w:leftChars="2500"/>
    </w:pPr>
    <w:rPr>
      <w:rFonts w:ascii="Times New Roman" w:hAnsi="Times New Roman" w:eastAsia="宋体" w:cs="Times New Roman"/>
      <w:szCs w:val="24"/>
    </w:rPr>
  </w:style>
  <w:style w:type="paragraph" w:styleId="13">
    <w:name w:val="Balloon Text"/>
    <w:basedOn w:val="1"/>
    <w:link w:val="67"/>
    <w:qFormat/>
    <w:uiPriority w:val="99"/>
    <w:rPr>
      <w:rFonts w:ascii="Calibri" w:hAnsi="Calibri"/>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Body Text Indent 3"/>
    <w:basedOn w:val="1"/>
    <w:link w:val="84"/>
    <w:unhideWhenUsed/>
    <w:qFormat/>
    <w:uiPriority w:val="99"/>
    <w:pPr>
      <w:spacing w:after="120"/>
      <w:ind w:left="420" w:leftChars="200"/>
    </w:pPr>
    <w:rPr>
      <w:sz w:val="16"/>
      <w:szCs w:val="16"/>
    </w:rPr>
  </w:style>
  <w:style w:type="paragraph" w:styleId="18">
    <w:name w:val="toc 2"/>
    <w:basedOn w:val="1"/>
    <w:next w:val="1"/>
    <w:unhideWhenUsed/>
    <w:qFormat/>
    <w:uiPriority w:val="39"/>
    <w:pPr>
      <w:ind w:left="420" w:leftChars="200"/>
    </w:pPr>
  </w:style>
  <w:style w:type="paragraph" w:styleId="19">
    <w:name w:val="Normal (Web)"/>
    <w:basedOn w:val="1"/>
    <w:qFormat/>
    <w:uiPriority w:val="99"/>
    <w:pPr>
      <w:jc w:val="left"/>
    </w:pPr>
    <w:rPr>
      <w:rFonts w:ascii="Times New Roman" w:hAnsi="Times New Roman" w:eastAsia="宋体" w:cs="Times New Roman"/>
      <w:kern w:val="0"/>
      <w:sz w:val="18"/>
      <w:szCs w:val="18"/>
    </w:rPr>
  </w:style>
  <w:style w:type="paragraph" w:styleId="20">
    <w:name w:val="Title"/>
    <w:basedOn w:val="1"/>
    <w:next w:val="1"/>
    <w:link w:val="64"/>
    <w:qFormat/>
    <w:uiPriority w:val="10"/>
    <w:pPr>
      <w:spacing w:before="240" w:after="60"/>
      <w:jc w:val="center"/>
      <w:outlineLvl w:val="0"/>
    </w:pPr>
    <w:rPr>
      <w:rFonts w:ascii="Cambria" w:hAnsi="Cambria"/>
      <w:b/>
      <w:bCs/>
      <w:sz w:val="32"/>
      <w:szCs w:val="32"/>
    </w:rPr>
  </w:style>
  <w:style w:type="character" w:styleId="22">
    <w:name w:val="Strong"/>
    <w:qFormat/>
    <w:uiPriority w:val="22"/>
    <w:rPr>
      <w:b/>
      <w:bCs/>
    </w:rPr>
  </w:style>
  <w:style w:type="character" w:styleId="23">
    <w:name w:val="page number"/>
    <w:basedOn w:val="21"/>
    <w:qFormat/>
    <w:uiPriority w:val="0"/>
  </w:style>
  <w:style w:type="character" w:styleId="24">
    <w:name w:val="FollowedHyperlink"/>
    <w:qFormat/>
    <w:uiPriority w:val="0"/>
    <w:rPr>
      <w:color w:val="555555"/>
      <w:sz w:val="18"/>
      <w:szCs w:val="18"/>
      <w:u w:val="none"/>
    </w:rPr>
  </w:style>
  <w:style w:type="character" w:styleId="25">
    <w:name w:val="Hyperlink"/>
    <w:qFormat/>
    <w:uiPriority w:val="0"/>
    <w:rPr>
      <w:color w:val="000000"/>
      <w:u w:val="none"/>
    </w:rPr>
  </w:style>
  <w:style w:type="character" w:styleId="26">
    <w:name w:val="annotation reference"/>
    <w:qFormat/>
    <w:uiPriority w:val="0"/>
    <w:rPr>
      <w:sz w:val="21"/>
      <w:szCs w:val="21"/>
    </w:rPr>
  </w:style>
  <w:style w:type="table" w:styleId="28">
    <w:name w:val="Table Grid"/>
    <w:basedOn w:val="27"/>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页眉 Char"/>
    <w:basedOn w:val="21"/>
    <w:link w:val="15"/>
    <w:qFormat/>
    <w:uiPriority w:val="99"/>
    <w:rPr>
      <w:sz w:val="18"/>
      <w:szCs w:val="18"/>
    </w:rPr>
  </w:style>
  <w:style w:type="character" w:customStyle="1" w:styleId="30">
    <w:name w:val="页脚 Char"/>
    <w:basedOn w:val="21"/>
    <w:link w:val="14"/>
    <w:qFormat/>
    <w:uiPriority w:val="99"/>
    <w:rPr>
      <w:sz w:val="18"/>
      <w:szCs w:val="18"/>
    </w:rPr>
  </w:style>
  <w:style w:type="character" w:customStyle="1" w:styleId="31">
    <w:name w:val="标题 1 Char"/>
    <w:basedOn w:val="21"/>
    <w:link w:val="2"/>
    <w:qFormat/>
    <w:uiPriority w:val="0"/>
    <w:rPr>
      <w:rFonts w:ascii="Times New Roman" w:hAnsi="Times New Roman" w:eastAsia="宋体" w:cs="Times New Roman"/>
      <w:b/>
      <w:bCs/>
      <w:kern w:val="44"/>
      <w:sz w:val="44"/>
      <w:szCs w:val="44"/>
    </w:rPr>
  </w:style>
  <w:style w:type="character" w:customStyle="1" w:styleId="32">
    <w:name w:val="标题 2 Char"/>
    <w:basedOn w:val="21"/>
    <w:link w:val="3"/>
    <w:qFormat/>
    <w:uiPriority w:val="0"/>
    <w:rPr>
      <w:rFonts w:ascii="Arial" w:hAnsi="Arial" w:eastAsia="黑体" w:cs="Times New Roman"/>
      <w:b/>
      <w:bCs/>
      <w:sz w:val="32"/>
      <w:szCs w:val="32"/>
    </w:rPr>
  </w:style>
  <w:style w:type="character" w:customStyle="1" w:styleId="33">
    <w:name w:val="标题 3 Char"/>
    <w:basedOn w:val="21"/>
    <w:link w:val="4"/>
    <w:qFormat/>
    <w:uiPriority w:val="0"/>
    <w:rPr>
      <w:rFonts w:ascii="Times New Roman" w:hAnsi="Times New Roman" w:eastAsia="宋体" w:cs="Times New Roman"/>
      <w:b/>
      <w:bCs/>
      <w:sz w:val="28"/>
      <w:szCs w:val="32"/>
    </w:rPr>
  </w:style>
  <w:style w:type="character" w:customStyle="1" w:styleId="34">
    <w:name w:val="标题 4 Char"/>
    <w:basedOn w:val="21"/>
    <w:link w:val="5"/>
    <w:qFormat/>
    <w:uiPriority w:val="0"/>
    <w:rPr>
      <w:rFonts w:ascii="Arial" w:hAnsi="Arial" w:eastAsia="黑体" w:cs="Times New Roman"/>
      <w:b/>
      <w:bCs/>
      <w:sz w:val="28"/>
      <w:szCs w:val="28"/>
    </w:rPr>
  </w:style>
  <w:style w:type="character" w:customStyle="1" w:styleId="35">
    <w:name w:val="apple-converted-space"/>
    <w:basedOn w:val="21"/>
    <w:qFormat/>
    <w:uiPriority w:val="0"/>
  </w:style>
  <w:style w:type="character" w:customStyle="1" w:styleId="36">
    <w:name w:val="login"/>
    <w:qFormat/>
    <w:uiPriority w:val="0"/>
    <w:rPr>
      <w:color w:val="000000"/>
      <w:sz w:val="21"/>
      <w:szCs w:val="21"/>
    </w:rPr>
  </w:style>
  <w:style w:type="character" w:customStyle="1" w:styleId="37">
    <w:name w:val="标题 Char"/>
    <w:qFormat/>
    <w:uiPriority w:val="10"/>
    <w:rPr>
      <w:rFonts w:ascii="Cambria" w:hAnsi="Cambria"/>
      <w:b/>
      <w:bCs/>
      <w:sz w:val="32"/>
      <w:szCs w:val="32"/>
    </w:rPr>
  </w:style>
  <w:style w:type="character" w:customStyle="1" w:styleId="38">
    <w:name w:val="font21"/>
    <w:qFormat/>
    <w:uiPriority w:val="0"/>
    <w:rPr>
      <w:rFonts w:ascii="Verdana" w:hAnsi="Verdana" w:cs="Verdana"/>
      <w:color w:val="000000"/>
      <w:sz w:val="20"/>
      <w:szCs w:val="20"/>
      <w:u w:val="none"/>
    </w:rPr>
  </w:style>
  <w:style w:type="character" w:customStyle="1" w:styleId="39">
    <w:name w:val="文档结构图 Char"/>
    <w:qFormat/>
    <w:uiPriority w:val="0"/>
    <w:rPr>
      <w:rFonts w:ascii="宋体"/>
      <w:sz w:val="18"/>
      <w:szCs w:val="18"/>
    </w:rPr>
  </w:style>
  <w:style w:type="character" w:customStyle="1" w:styleId="40">
    <w:name w:val="正文缩进 Char"/>
    <w:link w:val="8"/>
    <w:qFormat/>
    <w:uiPriority w:val="0"/>
  </w:style>
  <w:style w:type="character" w:customStyle="1" w:styleId="41">
    <w:name w:val="color_11"/>
    <w:qFormat/>
    <w:uiPriority w:val="0"/>
    <w:rPr>
      <w:color w:val="FF0000"/>
    </w:rPr>
  </w:style>
  <w:style w:type="character" w:customStyle="1" w:styleId="42">
    <w:name w:val="numtype"/>
    <w:basedOn w:val="21"/>
    <w:qFormat/>
    <w:uiPriority w:val="0"/>
  </w:style>
  <w:style w:type="character" w:customStyle="1" w:styleId="43">
    <w:name w:val="font11"/>
    <w:qFormat/>
    <w:uiPriority w:val="0"/>
    <w:rPr>
      <w:rFonts w:hint="eastAsia" w:ascii="宋体" w:hAnsi="宋体" w:eastAsia="宋体" w:cs="宋体"/>
      <w:color w:val="000000"/>
      <w:sz w:val="20"/>
      <w:szCs w:val="20"/>
      <w:u w:val="none"/>
      <w:vertAlign w:val="superscript"/>
    </w:rPr>
  </w:style>
  <w:style w:type="character" w:customStyle="1" w:styleId="44">
    <w:name w:val="赵的正文 Char"/>
    <w:link w:val="45"/>
    <w:qFormat/>
    <w:locked/>
    <w:uiPriority w:val="0"/>
    <w:rPr>
      <w:rFonts w:ascii="Calibri" w:hAnsi="Calibri" w:eastAsia="仿宋"/>
      <w:sz w:val="22"/>
    </w:rPr>
  </w:style>
  <w:style w:type="paragraph" w:customStyle="1" w:styleId="45">
    <w:name w:val="赵的正文"/>
    <w:basedOn w:val="1"/>
    <w:link w:val="44"/>
    <w:qFormat/>
    <w:uiPriority w:val="0"/>
    <w:pPr>
      <w:widowControl/>
      <w:spacing w:before="200" w:after="200" w:line="300" w:lineRule="auto"/>
      <w:ind w:firstLine="200" w:firstLineChars="200"/>
    </w:pPr>
    <w:rPr>
      <w:rFonts w:ascii="Calibri" w:hAnsi="Calibri" w:eastAsia="仿宋"/>
      <w:sz w:val="22"/>
    </w:rPr>
  </w:style>
  <w:style w:type="character" w:customStyle="1" w:styleId="46">
    <w:name w:val="font61"/>
    <w:qFormat/>
    <w:uiPriority w:val="0"/>
    <w:rPr>
      <w:rFonts w:hint="eastAsia" w:ascii="宋体" w:hAnsi="宋体" w:eastAsia="宋体" w:cs="宋体"/>
      <w:color w:val="000000"/>
      <w:sz w:val="20"/>
      <w:szCs w:val="20"/>
      <w:u w:val="none"/>
    </w:rPr>
  </w:style>
  <w:style w:type="character" w:customStyle="1" w:styleId="47">
    <w:name w:val="color_2"/>
    <w:qFormat/>
    <w:uiPriority w:val="0"/>
    <w:rPr>
      <w:b/>
      <w:color w:val="666666"/>
    </w:rPr>
  </w:style>
  <w:style w:type="character" w:customStyle="1" w:styleId="48">
    <w:name w:val="孙普文字 Char"/>
    <w:qFormat/>
    <w:uiPriority w:val="0"/>
    <w:rPr>
      <w:rFonts w:ascii="宋体" w:hAnsi="Courier New" w:eastAsia="宋体"/>
      <w:sz w:val="21"/>
      <w:lang w:val="en-US" w:eastAsia="zh-CN" w:bidi="ar-SA"/>
    </w:rPr>
  </w:style>
  <w:style w:type="character" w:customStyle="1" w:styleId="49">
    <w:name w:val="样式1 Char Char"/>
    <w:link w:val="50"/>
    <w:qFormat/>
    <w:uiPriority w:val="0"/>
    <w:rPr>
      <w:szCs w:val="24"/>
    </w:rPr>
  </w:style>
  <w:style w:type="paragraph" w:customStyle="1" w:styleId="50">
    <w:name w:val="样式1"/>
    <w:basedOn w:val="1"/>
    <w:link w:val="49"/>
    <w:qFormat/>
    <w:uiPriority w:val="0"/>
    <w:pPr>
      <w:tabs>
        <w:tab w:val="left" w:leader="hyphen" w:pos="8400"/>
      </w:tabs>
    </w:pPr>
    <w:rPr>
      <w:szCs w:val="24"/>
    </w:rPr>
  </w:style>
  <w:style w:type="character" w:customStyle="1" w:styleId="51">
    <w:name w:val="font31"/>
    <w:qFormat/>
    <w:uiPriority w:val="0"/>
    <w:rPr>
      <w:rFonts w:hint="eastAsia" w:ascii="宋体" w:hAnsi="宋体" w:eastAsia="宋体" w:cs="宋体"/>
      <w:color w:val="000000"/>
      <w:sz w:val="20"/>
      <w:szCs w:val="20"/>
      <w:u w:val="none"/>
    </w:rPr>
  </w:style>
  <w:style w:type="character" w:customStyle="1" w:styleId="52">
    <w:name w:val="纯文本 Char"/>
    <w:qFormat/>
    <w:uiPriority w:val="0"/>
    <w:rPr>
      <w:rFonts w:ascii="宋体" w:hAnsi="Courier New"/>
    </w:rPr>
  </w:style>
  <w:style w:type="character" w:customStyle="1" w:styleId="53">
    <w:name w:val="color_1"/>
    <w:qFormat/>
    <w:uiPriority w:val="0"/>
    <w:rPr>
      <w:b/>
      <w:color w:val="444444"/>
    </w:rPr>
  </w:style>
  <w:style w:type="character" w:customStyle="1" w:styleId="54">
    <w:name w:val="font01"/>
    <w:qFormat/>
    <w:uiPriority w:val="0"/>
    <w:rPr>
      <w:rFonts w:hint="default" w:ascii="Times New Roman" w:hAnsi="Times New Roman" w:cs="Times New Roman"/>
      <w:color w:val="000000"/>
      <w:sz w:val="20"/>
      <w:szCs w:val="20"/>
      <w:u w:val="none"/>
    </w:rPr>
  </w:style>
  <w:style w:type="character" w:customStyle="1" w:styleId="55">
    <w:name w:val="批注框文本 Char"/>
    <w:qFormat/>
    <w:uiPriority w:val="99"/>
    <w:rPr>
      <w:rFonts w:ascii="Calibri" w:hAnsi="Calibri"/>
      <w:sz w:val="18"/>
      <w:szCs w:val="18"/>
    </w:rPr>
  </w:style>
  <w:style w:type="character" w:customStyle="1" w:styleId="56">
    <w:name w:val="RDD正文 Char Char"/>
    <w:link w:val="57"/>
    <w:qFormat/>
    <w:uiPriority w:val="0"/>
    <w:rPr>
      <w:rFonts w:ascii="宋体" w:hAnsi="宋体"/>
      <w:sz w:val="28"/>
      <w:szCs w:val="24"/>
    </w:rPr>
  </w:style>
  <w:style w:type="paragraph" w:customStyle="1" w:styleId="57">
    <w:name w:val="RDD正文"/>
    <w:basedOn w:val="1"/>
    <w:link w:val="56"/>
    <w:qFormat/>
    <w:uiPriority w:val="0"/>
    <w:pPr>
      <w:adjustRightInd w:val="0"/>
      <w:snapToGrid w:val="0"/>
      <w:spacing w:line="480" w:lineRule="auto"/>
      <w:ind w:firstLine="480" w:firstLineChars="200"/>
    </w:pPr>
    <w:rPr>
      <w:rFonts w:ascii="宋体" w:hAnsi="宋体"/>
      <w:sz w:val="28"/>
      <w:szCs w:val="24"/>
    </w:rPr>
  </w:style>
  <w:style w:type="character" w:customStyle="1" w:styleId="58">
    <w:name w:val="页眉 Char1"/>
    <w:basedOn w:val="21"/>
    <w:semiHidden/>
    <w:qFormat/>
    <w:uiPriority w:val="99"/>
    <w:rPr>
      <w:kern w:val="2"/>
      <w:sz w:val="18"/>
      <w:szCs w:val="18"/>
    </w:rPr>
  </w:style>
  <w:style w:type="character" w:customStyle="1" w:styleId="59">
    <w:name w:val="页脚 Char1"/>
    <w:basedOn w:val="21"/>
    <w:semiHidden/>
    <w:qFormat/>
    <w:uiPriority w:val="99"/>
    <w:rPr>
      <w:kern w:val="2"/>
      <w:sz w:val="18"/>
      <w:szCs w:val="18"/>
    </w:rPr>
  </w:style>
  <w:style w:type="character" w:customStyle="1" w:styleId="60">
    <w:name w:val="文档结构图 Char1"/>
    <w:basedOn w:val="21"/>
    <w:link w:val="9"/>
    <w:semiHidden/>
    <w:qFormat/>
    <w:uiPriority w:val="99"/>
    <w:rPr>
      <w:rFonts w:ascii="宋体" w:eastAsia="宋体"/>
      <w:sz w:val="18"/>
      <w:szCs w:val="18"/>
    </w:rPr>
  </w:style>
  <w:style w:type="character" w:customStyle="1" w:styleId="61">
    <w:name w:val="正文文本 Char"/>
    <w:basedOn w:val="21"/>
    <w:link w:val="10"/>
    <w:qFormat/>
    <w:uiPriority w:val="0"/>
    <w:rPr>
      <w:rFonts w:ascii="Times New Roman" w:hAnsi="Times New Roman" w:eastAsia="宋体" w:cs="Times New Roman"/>
      <w:szCs w:val="24"/>
    </w:rPr>
  </w:style>
  <w:style w:type="character" w:customStyle="1" w:styleId="62">
    <w:name w:val="纯文本 Char1"/>
    <w:basedOn w:val="21"/>
    <w:link w:val="11"/>
    <w:semiHidden/>
    <w:qFormat/>
    <w:uiPriority w:val="99"/>
    <w:rPr>
      <w:rFonts w:ascii="宋体" w:hAnsi="Courier New" w:eastAsia="宋体" w:cs="Courier New"/>
      <w:szCs w:val="21"/>
    </w:rPr>
  </w:style>
  <w:style w:type="character" w:customStyle="1" w:styleId="63">
    <w:name w:val="批注文字 Char"/>
    <w:basedOn w:val="21"/>
    <w:link w:val="7"/>
    <w:qFormat/>
    <w:uiPriority w:val="0"/>
    <w:rPr>
      <w:rFonts w:ascii="Times New Roman" w:hAnsi="Times New Roman" w:eastAsia="宋体" w:cs="Times New Roman"/>
      <w:szCs w:val="24"/>
    </w:rPr>
  </w:style>
  <w:style w:type="character" w:customStyle="1" w:styleId="64">
    <w:name w:val="标题 Char1"/>
    <w:basedOn w:val="21"/>
    <w:link w:val="20"/>
    <w:qFormat/>
    <w:uiPriority w:val="10"/>
    <w:rPr>
      <w:rFonts w:eastAsia="宋体" w:asciiTheme="majorHAnsi" w:hAnsiTheme="majorHAnsi" w:cstheme="majorBidi"/>
      <w:b/>
      <w:bCs/>
      <w:sz w:val="32"/>
      <w:szCs w:val="32"/>
    </w:rPr>
  </w:style>
  <w:style w:type="character" w:customStyle="1" w:styleId="65">
    <w:name w:val="批注主题 Char"/>
    <w:basedOn w:val="63"/>
    <w:link w:val="6"/>
    <w:semiHidden/>
    <w:qFormat/>
    <w:uiPriority w:val="0"/>
    <w:rPr>
      <w:rFonts w:ascii="Times New Roman" w:hAnsi="Times New Roman" w:eastAsia="宋体" w:cs="Times New Roman"/>
      <w:b/>
      <w:bCs/>
      <w:szCs w:val="24"/>
    </w:rPr>
  </w:style>
  <w:style w:type="character" w:customStyle="1" w:styleId="66">
    <w:name w:val="日期 Char"/>
    <w:basedOn w:val="21"/>
    <w:link w:val="12"/>
    <w:qFormat/>
    <w:uiPriority w:val="0"/>
    <w:rPr>
      <w:rFonts w:ascii="Times New Roman" w:hAnsi="Times New Roman" w:eastAsia="宋体" w:cs="Times New Roman"/>
      <w:szCs w:val="24"/>
    </w:rPr>
  </w:style>
  <w:style w:type="character" w:customStyle="1" w:styleId="67">
    <w:name w:val="批注框文本 Char1"/>
    <w:basedOn w:val="21"/>
    <w:link w:val="13"/>
    <w:semiHidden/>
    <w:qFormat/>
    <w:uiPriority w:val="99"/>
    <w:rPr>
      <w:sz w:val="18"/>
      <w:szCs w:val="18"/>
    </w:rPr>
  </w:style>
  <w:style w:type="paragraph" w:customStyle="1" w:styleId="68">
    <w:name w:val="报告正文"/>
    <w:basedOn w:val="1"/>
    <w:qFormat/>
    <w:uiPriority w:val="99"/>
    <w:pPr>
      <w:adjustRightInd w:val="0"/>
      <w:snapToGrid w:val="0"/>
      <w:spacing w:line="288" w:lineRule="auto"/>
      <w:ind w:left="1700" w:leftChars="1700"/>
    </w:pPr>
    <w:rPr>
      <w:rFonts w:ascii="华文细黑" w:hAnsi="华文细黑" w:eastAsia="华文细黑" w:cs="宋体"/>
      <w:szCs w:val="20"/>
    </w:rPr>
  </w:style>
  <w:style w:type="paragraph" w:customStyle="1" w:styleId="69">
    <w:name w:val="列出段落1"/>
    <w:basedOn w:val="1"/>
    <w:qFormat/>
    <w:uiPriority w:val="34"/>
    <w:pPr>
      <w:ind w:firstLine="420" w:firstLineChars="200"/>
    </w:pPr>
    <w:rPr>
      <w:rFonts w:ascii="Times New Roman" w:hAnsi="Times New Roman" w:eastAsia="宋体" w:cs="Times New Roman"/>
      <w:szCs w:val="24"/>
    </w:rPr>
  </w:style>
  <w:style w:type="paragraph" w:customStyle="1" w:styleId="70">
    <w:name w:val="_Style 1"/>
    <w:basedOn w:val="1"/>
    <w:qFormat/>
    <w:uiPriority w:val="99"/>
    <w:pPr>
      <w:adjustRightInd w:val="0"/>
      <w:snapToGrid w:val="0"/>
      <w:spacing w:line="360" w:lineRule="auto"/>
      <w:ind w:firstLine="420" w:firstLineChars="200"/>
    </w:pPr>
    <w:rPr>
      <w:rFonts w:ascii="Times New Roman" w:hAnsi="Times New Roman" w:eastAsia="宋体" w:cs="Times New Roman"/>
      <w:color w:val="000000"/>
      <w:szCs w:val="21"/>
    </w:rPr>
  </w:style>
  <w:style w:type="paragraph" w:customStyle="1" w:styleId="71">
    <w:name w:val="p0"/>
    <w:basedOn w:val="1"/>
    <w:qFormat/>
    <w:uiPriority w:val="0"/>
    <w:pPr>
      <w:widowControl/>
    </w:pPr>
    <w:rPr>
      <w:rFonts w:ascii="Times New Roman" w:hAnsi="Times New Roman" w:eastAsia="宋体" w:cs="Times New Roman"/>
      <w:kern w:val="0"/>
      <w:szCs w:val="21"/>
    </w:rPr>
  </w:style>
  <w:style w:type="paragraph" w:customStyle="1" w:styleId="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74">
    <w:name w:val="普通(网站)1"/>
    <w:basedOn w:val="1"/>
    <w:qFormat/>
    <w:uiPriority w:val="0"/>
    <w:pPr>
      <w:widowControl/>
      <w:spacing w:before="100" w:beforeAutospacing="1" w:after="100" w:afterAutospacing="1"/>
      <w:jc w:val="left"/>
    </w:pPr>
    <w:rPr>
      <w:rFonts w:ascii="Arial" w:hAnsi="Arial" w:eastAsia="宋体" w:cs="Arial"/>
      <w:kern w:val="0"/>
      <w:sz w:val="18"/>
      <w:szCs w:val="18"/>
    </w:rPr>
  </w:style>
  <w:style w:type="paragraph" w:customStyle="1" w:styleId="75">
    <w:name w:val="列出段落2"/>
    <w:basedOn w:val="1"/>
    <w:qFormat/>
    <w:uiPriority w:val="99"/>
    <w:pPr>
      <w:adjustRightInd w:val="0"/>
      <w:snapToGrid w:val="0"/>
      <w:spacing w:line="360" w:lineRule="auto"/>
      <w:ind w:firstLine="420" w:firstLineChars="200"/>
    </w:pPr>
    <w:rPr>
      <w:rFonts w:ascii="Times New Roman" w:hAnsi="Times New Roman" w:eastAsia="宋体" w:cs="Times New Roman"/>
      <w:color w:val="000000"/>
      <w:szCs w:val="21"/>
    </w:rPr>
  </w:style>
  <w:style w:type="paragraph" w:customStyle="1" w:styleId="76">
    <w:name w:val="_Style 2"/>
    <w:basedOn w:val="1"/>
    <w:qFormat/>
    <w:uiPriority w:val="99"/>
    <w:pPr>
      <w:adjustRightInd w:val="0"/>
      <w:snapToGrid w:val="0"/>
      <w:spacing w:line="360" w:lineRule="auto"/>
      <w:ind w:firstLine="420" w:firstLineChars="200"/>
    </w:pPr>
    <w:rPr>
      <w:rFonts w:ascii="Times New Roman" w:hAnsi="Times New Roman" w:eastAsia="宋体" w:cs="Times New Roman"/>
      <w:color w:val="000000"/>
      <w:szCs w:val="21"/>
    </w:rPr>
  </w:style>
  <w:style w:type="paragraph" w:customStyle="1" w:styleId="77">
    <w:name w:val="Char Char Char Char"/>
    <w:basedOn w:val="1"/>
    <w:qFormat/>
    <w:uiPriority w:val="0"/>
    <w:rPr>
      <w:rFonts w:ascii="Times New Roman" w:hAnsi="Times New Roman" w:eastAsia="宋体" w:cs="Times New Roman"/>
      <w:szCs w:val="24"/>
    </w:rPr>
  </w:style>
  <w:style w:type="paragraph" w:customStyle="1" w:styleId="78">
    <w:name w:val="文档正文"/>
    <w:basedOn w:val="1"/>
    <w:qFormat/>
    <w:uiPriority w:val="0"/>
    <w:pPr>
      <w:tabs>
        <w:tab w:val="left" w:pos="5460"/>
        <w:tab w:val="left" w:pos="8770"/>
      </w:tabs>
      <w:adjustRightInd w:val="0"/>
      <w:spacing w:line="360" w:lineRule="auto"/>
      <w:ind w:right="210" w:rightChars="100" w:firstLine="420" w:firstLineChars="200"/>
      <w:textAlignment w:val="baseline"/>
    </w:pPr>
    <w:rPr>
      <w:rFonts w:ascii="宋体" w:hAnsi="宋体" w:eastAsia="宋体" w:cs="Times New Roman"/>
      <w:kern w:val="0"/>
      <w:szCs w:val="21"/>
    </w:rPr>
  </w:style>
  <w:style w:type="paragraph" w:customStyle="1" w:styleId="79">
    <w:name w:val="p15"/>
    <w:basedOn w:val="1"/>
    <w:qFormat/>
    <w:uiPriority w:val="0"/>
    <w:pPr>
      <w:widowControl/>
      <w:pBdr>
        <w:bottom w:val="single" w:color="000000" w:sz="6" w:space="1"/>
      </w:pBdr>
      <w:jc w:val="center"/>
    </w:pPr>
    <w:rPr>
      <w:rFonts w:ascii="Times New Roman" w:hAnsi="Times New Roman" w:eastAsia="宋体" w:cs="Times New Roman"/>
      <w:kern w:val="0"/>
      <w:sz w:val="18"/>
      <w:szCs w:val="18"/>
    </w:rPr>
  </w:style>
  <w:style w:type="paragraph" w:customStyle="1" w:styleId="80">
    <w:name w:val="1 Char"/>
    <w:basedOn w:val="1"/>
    <w:qFormat/>
    <w:uiPriority w:val="99"/>
    <w:rPr>
      <w:rFonts w:ascii="Tahoma" w:hAnsi="Tahoma" w:eastAsia="宋体" w:cs="Times New Roman"/>
      <w:sz w:val="24"/>
      <w:szCs w:val="20"/>
    </w:rPr>
  </w:style>
  <w:style w:type="paragraph" w:customStyle="1" w:styleId="81">
    <w:name w:val="WPS Plain"/>
    <w:qFormat/>
    <w:uiPriority w:val="0"/>
    <w:rPr>
      <w:rFonts w:ascii="Times New Roman" w:hAnsi="Times New Roman" w:eastAsia="宋体" w:cs="Times New Roman"/>
      <w:sz w:val="21"/>
      <w:szCs w:val="22"/>
      <w:lang w:val="en-US" w:eastAsia="zh-CN" w:bidi="ar-SA"/>
    </w:rPr>
  </w:style>
  <w:style w:type="paragraph" w:customStyle="1" w:styleId="82">
    <w:name w:val="Revision"/>
    <w:hidden/>
    <w:unhideWhenUsed/>
    <w:qFormat/>
    <w:uiPriority w:val="99"/>
    <w:rPr>
      <w:rFonts w:asciiTheme="minorHAnsi" w:hAnsiTheme="minorHAnsi" w:eastAsiaTheme="minorEastAsia" w:cstheme="minorBidi"/>
      <w:kern w:val="2"/>
      <w:sz w:val="21"/>
      <w:szCs w:val="22"/>
      <w:lang w:val="en-US" w:eastAsia="zh-CN" w:bidi="ar-SA"/>
    </w:rPr>
  </w:style>
  <w:style w:type="paragraph" w:styleId="83">
    <w:name w:val="List Paragraph"/>
    <w:basedOn w:val="1"/>
    <w:qFormat/>
    <w:uiPriority w:val="34"/>
    <w:pPr>
      <w:ind w:firstLine="420" w:firstLineChars="200"/>
    </w:pPr>
    <w:rPr>
      <w:rFonts w:ascii="宋体" w:hAnsi="宋体" w:eastAsia="宋体" w:cs="Times New Roman"/>
      <w:sz w:val="18"/>
      <w:szCs w:val="18"/>
    </w:rPr>
  </w:style>
  <w:style w:type="character" w:customStyle="1" w:styleId="84">
    <w:name w:val="正文文本缩进 3 Char"/>
    <w:basedOn w:val="21"/>
    <w:link w:val="17"/>
    <w:semiHidden/>
    <w:qFormat/>
    <w:uiPriority w:val="99"/>
    <w:rPr>
      <w:rFonts w:asciiTheme="minorHAnsi" w:hAnsiTheme="minorHAnsi" w:eastAsiaTheme="minorEastAsia"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76AEE-B645-41A6-AE00-D4F205DDBA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3998</Words>
  <Characters>22794</Characters>
  <Lines>189</Lines>
  <Paragraphs>53</Paragraphs>
  <ScaleCrop>false</ScaleCrop>
  <LinksUpToDate>false</LinksUpToDate>
  <CharactersWithSpaces>26739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2017-12-07T09:10:00Z</dcterms:created>
  <dc:creator>微软用户</dc:creator>
  <cp:lastModifiedBy>Administrator</cp:lastModifiedBy>
  <cp:lastPrinted>2018-01-02T09:33:20Z</cp:lastPrinted>
  <dcterms:modified xsi:type="dcterms:W3CDTF">2018-01-02T09:33:27Z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