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华文中宋" w:eastAsia="黑体"/>
          <w:b/>
          <w:color w:val="auto"/>
          <w:sz w:val="36"/>
          <w:szCs w:val="36"/>
          <w:highlight w:val="none"/>
        </w:rPr>
      </w:pPr>
    </w:p>
    <w:p>
      <w:pPr>
        <w:jc w:val="center"/>
        <w:rPr>
          <w:rFonts w:ascii="黑体" w:hAnsi="华文中宋" w:eastAsia="黑体"/>
          <w:b/>
          <w:color w:val="auto"/>
          <w:sz w:val="36"/>
          <w:szCs w:val="36"/>
          <w:highlight w:val="none"/>
        </w:rPr>
      </w:pPr>
    </w:p>
    <w:p>
      <w:pPr>
        <w:jc w:val="center"/>
        <w:rPr>
          <w:rFonts w:ascii="宋体" w:hAnsi="宋体"/>
          <w:color w:val="auto"/>
          <w:sz w:val="72"/>
          <w:szCs w:val="72"/>
          <w:highlight w:val="none"/>
        </w:rPr>
      </w:pPr>
      <w:bookmarkStart w:id="0" w:name="_Toc234382569"/>
      <w:r>
        <w:rPr>
          <w:rFonts w:hint="eastAsia" w:ascii="宋体" w:hAnsi="宋体"/>
          <w:color w:val="auto"/>
          <w:sz w:val="72"/>
          <w:szCs w:val="72"/>
          <w:highlight w:val="none"/>
        </w:rPr>
        <w:t>建安区</w:t>
      </w:r>
      <w:r>
        <w:rPr>
          <w:rFonts w:ascii="宋体" w:hAnsi="宋体"/>
          <w:color w:val="auto"/>
          <w:sz w:val="72"/>
          <w:szCs w:val="72"/>
          <w:highlight w:val="none"/>
        </w:rPr>
        <w:t>建设工程</w:t>
      </w:r>
    </w:p>
    <w:p>
      <w:pPr>
        <w:jc w:val="center"/>
        <w:rPr>
          <w:rFonts w:eastAsia="华文中宋"/>
          <w:color w:val="auto"/>
          <w:sz w:val="84"/>
          <w:szCs w:val="84"/>
          <w:highlight w:val="none"/>
        </w:rPr>
      </w:pPr>
    </w:p>
    <w:p>
      <w:pPr>
        <w:jc w:val="center"/>
        <w:rPr>
          <w:rFonts w:eastAsia="华文中宋"/>
          <w:color w:val="auto"/>
          <w:sz w:val="84"/>
          <w:szCs w:val="84"/>
          <w:highlight w:val="none"/>
        </w:rPr>
      </w:pPr>
    </w:p>
    <w:p>
      <w:pPr>
        <w:jc w:val="center"/>
        <w:rPr>
          <w:rFonts w:ascii="宋体" w:hAnsi="宋体"/>
          <w:color w:val="auto"/>
          <w:sz w:val="72"/>
          <w:szCs w:val="72"/>
          <w:highlight w:val="none"/>
        </w:rPr>
      </w:pPr>
      <w:r>
        <w:rPr>
          <w:rFonts w:ascii="宋体" w:hAnsi="宋体"/>
          <w:color w:val="auto"/>
          <w:sz w:val="72"/>
          <w:szCs w:val="72"/>
          <w:highlight w:val="none"/>
        </w:rPr>
        <w:t>招</w:t>
      </w:r>
    </w:p>
    <w:p>
      <w:pPr>
        <w:jc w:val="center"/>
        <w:rPr>
          <w:rFonts w:ascii="宋体" w:hAnsi="宋体"/>
          <w:color w:val="auto"/>
          <w:sz w:val="72"/>
          <w:szCs w:val="72"/>
          <w:highlight w:val="none"/>
        </w:rPr>
      </w:pPr>
      <w:r>
        <w:rPr>
          <w:rFonts w:ascii="宋体" w:hAnsi="宋体"/>
          <w:color w:val="auto"/>
          <w:sz w:val="72"/>
          <w:szCs w:val="72"/>
          <w:highlight w:val="none"/>
        </w:rPr>
        <w:t>标</w:t>
      </w:r>
    </w:p>
    <w:p>
      <w:pPr>
        <w:jc w:val="center"/>
        <w:rPr>
          <w:rFonts w:ascii="宋体" w:hAnsi="宋体"/>
          <w:color w:val="auto"/>
          <w:sz w:val="72"/>
          <w:szCs w:val="72"/>
          <w:highlight w:val="none"/>
        </w:rPr>
      </w:pPr>
      <w:r>
        <w:rPr>
          <w:rFonts w:ascii="宋体" w:hAnsi="宋体"/>
          <w:color w:val="auto"/>
          <w:sz w:val="72"/>
          <w:szCs w:val="72"/>
          <w:highlight w:val="none"/>
        </w:rPr>
        <w:t>文</w:t>
      </w:r>
    </w:p>
    <w:p>
      <w:pPr>
        <w:jc w:val="center"/>
        <w:rPr>
          <w:rFonts w:ascii="宋体" w:hAnsi="宋体"/>
          <w:color w:val="auto"/>
          <w:sz w:val="72"/>
          <w:szCs w:val="72"/>
          <w:highlight w:val="none"/>
        </w:rPr>
      </w:pPr>
      <w:r>
        <w:rPr>
          <w:rFonts w:ascii="宋体" w:hAnsi="宋体"/>
          <w:color w:val="auto"/>
          <w:sz w:val="72"/>
          <w:szCs w:val="72"/>
          <w:highlight w:val="none"/>
        </w:rPr>
        <w:t>件</w:t>
      </w: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rPr>
          <w:rFonts w:eastAsia="华文中宋"/>
          <w:color w:val="auto"/>
          <w:sz w:val="44"/>
          <w:szCs w:val="44"/>
          <w:highlight w:val="none"/>
        </w:rPr>
      </w:pP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项目编号：</w:t>
      </w:r>
      <w:r>
        <w:rPr>
          <w:rFonts w:hint="eastAsia" w:ascii="宋体" w:hAnsi="宋体"/>
          <w:color w:val="auto"/>
          <w:sz w:val="36"/>
          <w:szCs w:val="36"/>
          <w:highlight w:val="none"/>
          <w:lang w:eastAsia="zh-CN"/>
        </w:rPr>
        <w:t>建安建工公字〔2017〕</w:t>
      </w:r>
      <w:r>
        <w:rPr>
          <w:rFonts w:hint="eastAsia" w:ascii="宋体" w:hAnsi="宋体"/>
          <w:color w:val="auto"/>
          <w:sz w:val="36"/>
          <w:szCs w:val="36"/>
          <w:highlight w:val="none"/>
          <w:lang w:val="en-US" w:eastAsia="zh-CN"/>
        </w:rPr>
        <w:t>198</w:t>
      </w:r>
      <w:r>
        <w:rPr>
          <w:rFonts w:hint="eastAsia" w:ascii="宋体" w:hAnsi="宋体"/>
          <w:color w:val="auto"/>
          <w:sz w:val="36"/>
          <w:szCs w:val="36"/>
          <w:highlight w:val="none"/>
          <w:lang w:eastAsia="zh-CN"/>
        </w:rPr>
        <w:t>号</w:t>
      </w: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项目名称：</w:t>
      </w:r>
      <w:r>
        <w:rPr>
          <w:rFonts w:hint="eastAsia" w:ascii="宋体" w:hAnsi="宋体"/>
          <w:color w:val="auto"/>
          <w:sz w:val="36"/>
          <w:szCs w:val="36"/>
          <w:highlight w:val="none"/>
          <w:lang w:eastAsia="zh-CN"/>
        </w:rPr>
        <w:t>张潘镇陶庄村道路工程</w:t>
      </w: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招 标 人：</w:t>
      </w:r>
      <w:r>
        <w:rPr>
          <w:rFonts w:hint="eastAsia" w:ascii="宋体" w:hAnsi="宋体"/>
          <w:color w:val="auto"/>
          <w:sz w:val="36"/>
          <w:szCs w:val="36"/>
          <w:highlight w:val="none"/>
        </w:rPr>
        <w:t>许昌市建安区交通运输局</w:t>
      </w:r>
    </w:p>
    <w:p>
      <w:pPr>
        <w:spacing w:line="360" w:lineRule="auto"/>
        <w:jc w:val="left"/>
        <w:rPr>
          <w:rFonts w:ascii="宋体" w:hAnsi="宋体"/>
          <w:color w:val="auto"/>
          <w:sz w:val="36"/>
          <w:szCs w:val="36"/>
          <w:highlight w:val="none"/>
        </w:rPr>
      </w:pPr>
      <w:r>
        <w:rPr>
          <w:rFonts w:hint="eastAsia" w:ascii="宋体" w:hAnsi="宋体"/>
          <w:color w:val="auto"/>
          <w:sz w:val="36"/>
          <w:szCs w:val="36"/>
          <w:highlight w:val="none"/>
        </w:rPr>
        <w:t xml:space="preserve">      </w:t>
      </w:r>
      <w:r>
        <w:rPr>
          <w:rFonts w:ascii="宋体" w:hAnsi="宋体"/>
          <w:color w:val="auto"/>
          <w:sz w:val="36"/>
          <w:szCs w:val="36"/>
          <w:highlight w:val="none"/>
        </w:rPr>
        <w:t>代理机构：</w:t>
      </w:r>
      <w:r>
        <w:rPr>
          <w:rFonts w:hint="eastAsia" w:ascii="宋体" w:hAnsi="宋体"/>
          <w:color w:val="auto"/>
          <w:sz w:val="36"/>
          <w:szCs w:val="36"/>
          <w:highlight w:val="none"/>
          <w:lang w:val="en-US" w:eastAsia="zh-CN"/>
        </w:rPr>
        <w:t>河南恒盛建设集团有限公司</w:t>
      </w:r>
    </w:p>
    <w:p>
      <w:pPr>
        <w:jc w:val="center"/>
        <w:rPr>
          <w:rFonts w:ascii="宋体" w:hAnsi="宋体"/>
          <w:color w:val="auto"/>
          <w:sz w:val="24"/>
          <w:highlight w:val="none"/>
        </w:rPr>
      </w:pPr>
      <w:r>
        <w:rPr>
          <w:rFonts w:hint="eastAsia" w:ascii="宋体" w:hAnsi="宋体"/>
          <w:color w:val="auto"/>
          <w:sz w:val="36"/>
          <w:szCs w:val="36"/>
          <w:highlight w:val="none"/>
        </w:rPr>
        <w:t>二〇一</w:t>
      </w:r>
      <w:r>
        <w:rPr>
          <w:rFonts w:hint="eastAsia" w:ascii="宋体" w:hAnsi="宋体"/>
          <w:color w:val="auto"/>
          <w:sz w:val="36"/>
          <w:szCs w:val="36"/>
          <w:highlight w:val="none"/>
          <w:lang w:val="en-US" w:eastAsia="zh-CN"/>
        </w:rPr>
        <w:t>八年一</w:t>
      </w:r>
      <w:r>
        <w:rPr>
          <w:rFonts w:hint="eastAsia" w:ascii="宋体" w:hAnsi="宋体"/>
          <w:color w:val="auto"/>
          <w:sz w:val="36"/>
          <w:szCs w:val="36"/>
          <w:highlight w:val="none"/>
        </w:rPr>
        <w:t xml:space="preserve">月 </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360" w:lineRule="auto"/>
        <w:jc w:val="center"/>
        <w:rPr>
          <w:rFonts w:ascii="宋体" w:hAnsi="宋体"/>
          <w:b/>
          <w:bCs/>
          <w:color w:val="auto"/>
          <w:sz w:val="48"/>
          <w:szCs w:val="48"/>
          <w:highlight w:val="none"/>
        </w:rPr>
        <w:sectPr>
          <w:headerReference r:id="rId4" w:type="default"/>
          <w:footerReference r:id="rId5" w:type="default"/>
          <w:footnotePr>
            <w:numFmt w:val="decimalEnclosedCircleChinese"/>
            <w:numRestart w:val="eachPage"/>
          </w:footnotePr>
          <w:pgSz w:w="11907" w:h="16840"/>
          <w:pgMar w:top="1440" w:right="1304" w:bottom="1440" w:left="1304" w:header="720" w:footer="907" w:gutter="0"/>
          <w:pgNumType w:start="1"/>
          <w:cols w:space="720" w:num="1"/>
        </w:sectPr>
      </w:pPr>
    </w:p>
    <w:p>
      <w:pPr>
        <w:spacing w:line="360" w:lineRule="auto"/>
        <w:jc w:val="center"/>
        <w:rPr>
          <w:rFonts w:ascii="宋体" w:hAnsi="宋体"/>
          <w:b/>
          <w:bCs/>
          <w:color w:val="auto"/>
          <w:sz w:val="48"/>
          <w:szCs w:val="48"/>
          <w:highlight w:val="none"/>
        </w:rPr>
      </w:pPr>
      <w:r>
        <w:rPr>
          <w:rFonts w:hint="eastAsia" w:ascii="宋体" w:hAnsi="宋体"/>
          <w:b/>
          <w:bCs/>
          <w:color w:val="auto"/>
          <w:sz w:val="48"/>
          <w:szCs w:val="48"/>
          <w:highlight w:val="none"/>
        </w:rPr>
        <w:t>目  录</w:t>
      </w:r>
    </w:p>
    <w:p>
      <w:pPr>
        <w:pStyle w:val="9"/>
        <w:tabs>
          <w:tab w:val="right" w:leader="dot" w:pos="9299"/>
        </w:tabs>
        <w:spacing w:line="360" w:lineRule="auto"/>
        <w:rPr>
          <w:rFonts w:asciiTheme="minorEastAsia" w:hAnsiTheme="minorEastAsia" w:eastAsiaTheme="minorEastAsia" w:cstheme="minorEastAsia"/>
          <w:color w:val="auto"/>
          <w:sz w:val="28"/>
          <w:szCs w:val="28"/>
          <w:highlight w:val="none"/>
        </w:rPr>
      </w:pPr>
      <w:r>
        <w:rPr>
          <w:rFonts w:ascii="宋体" w:hAnsi="宋体"/>
          <w:color w:val="auto"/>
          <w:sz w:val="52"/>
          <w:szCs w:val="52"/>
          <w:highlight w:val="none"/>
        </w:rPr>
        <w:fldChar w:fldCharType="begin"/>
      </w:r>
      <w:r>
        <w:rPr>
          <w:rFonts w:ascii="宋体" w:hAnsi="宋体"/>
          <w:color w:val="auto"/>
          <w:sz w:val="52"/>
          <w:szCs w:val="52"/>
          <w:highlight w:val="none"/>
        </w:rPr>
        <w:instrText xml:space="preserve"> TOC \o "1-1" \h \z \u </w:instrText>
      </w:r>
      <w:r>
        <w:rPr>
          <w:rFonts w:ascii="宋体" w:hAnsi="宋体"/>
          <w:color w:val="auto"/>
          <w:sz w:val="52"/>
          <w:szCs w:val="52"/>
          <w:highlight w:val="none"/>
        </w:rPr>
        <w:fldChar w:fldCharType="separate"/>
      </w:r>
      <w:r>
        <w:rPr>
          <w:color w:val="auto"/>
          <w:highlight w:val="none"/>
        </w:rPr>
        <w:fldChar w:fldCharType="begin"/>
      </w:r>
      <w:r>
        <w:rPr>
          <w:color w:val="auto"/>
          <w:highlight w:val="none"/>
        </w:rPr>
        <w:instrText xml:space="preserve"> HYPERLINK \l "_Toc240"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第一章 招标公告</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_Toc240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9"/>
        <w:tabs>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"_Toc30837"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第二章 投标人须知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fldChar w:fldCharType="end"/>
      </w:r>
    </w:p>
    <w:p>
      <w:pPr>
        <w:pStyle w:val="9"/>
        <w:tabs>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"_Toc28210"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第三章 评标办法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3</w:t>
      </w:r>
    </w:p>
    <w:p>
      <w:pPr>
        <w:pStyle w:val="9"/>
        <w:tabs>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"_Toc13221"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第四章 合同条款及格式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0</w:t>
      </w:r>
    </w:p>
    <w:p>
      <w:pPr>
        <w:pStyle w:val="9"/>
        <w:tabs>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"_Toc5321"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第五章 工程量清单</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02</w:t>
      </w:r>
    </w:p>
    <w:p>
      <w:pPr>
        <w:pStyle w:val="9"/>
        <w:tabs>
          <w:tab w:val="right" w:pos="2400"/>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"_Toc20155"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 xml:space="preserve">第六章 </w:t>
      </w:r>
      <w:r>
        <w:rPr>
          <w:rFonts w:hint="eastAsia" w:asciiTheme="minorEastAsia" w:hAnsiTheme="minorEastAsia" w:eastAsiaTheme="minorEastAsia" w:cstheme="minorEastAsia"/>
          <w:bCs/>
          <w:color w:val="auto"/>
          <w:sz w:val="28"/>
          <w:szCs w:val="28"/>
          <w:highlight w:val="none"/>
        </w:rPr>
        <w:tab/>
      </w:r>
      <w:r>
        <w:rPr>
          <w:rFonts w:hint="eastAsia" w:asciiTheme="minorEastAsia" w:hAnsiTheme="minorEastAsia" w:eastAsiaTheme="minorEastAsia" w:cstheme="minorEastAsia"/>
          <w:bCs/>
          <w:color w:val="auto"/>
          <w:sz w:val="28"/>
          <w:szCs w:val="28"/>
          <w:highlight w:val="none"/>
        </w:rPr>
        <w:t>图纸（另附）</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09</w:t>
      </w:r>
    </w:p>
    <w:p>
      <w:pPr>
        <w:pStyle w:val="9"/>
        <w:tabs>
          <w:tab w:val="right" w:pos="2400"/>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"_Toc18036"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第七章</w:t>
      </w:r>
      <w:r>
        <w:rPr>
          <w:rFonts w:hint="eastAsia" w:asciiTheme="minorEastAsia" w:hAnsiTheme="minorEastAsia" w:eastAsiaTheme="minorEastAsia" w:cstheme="minorEastAsia"/>
          <w:bCs/>
          <w:color w:val="auto"/>
          <w:sz w:val="28"/>
          <w:szCs w:val="28"/>
          <w:highlight w:val="none"/>
        </w:rPr>
        <w:tab/>
      </w:r>
      <w:r>
        <w:rPr>
          <w:rFonts w:hint="eastAsia" w:asciiTheme="minorEastAsia" w:hAnsiTheme="minorEastAsia" w:eastAsiaTheme="minorEastAsia" w:cstheme="minorEastAsia"/>
          <w:bCs/>
          <w:color w:val="auto"/>
          <w:sz w:val="28"/>
          <w:szCs w:val="28"/>
          <w:highlight w:val="none"/>
        </w:rPr>
        <w:t xml:space="preserve"> 技术规范（另册出版）</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10</w:t>
      </w:r>
    </w:p>
    <w:p>
      <w:pPr>
        <w:pStyle w:val="9"/>
        <w:tabs>
          <w:tab w:val="right" w:pos="2400"/>
          <w:tab w:val="right" w:leader="dot" w:pos="9299"/>
        </w:tabs>
        <w:spacing w:line="360" w:lineRule="auto"/>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"_Toc27978"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第八章</w:t>
      </w:r>
      <w:r>
        <w:rPr>
          <w:rFonts w:hint="eastAsia" w:asciiTheme="minorEastAsia" w:hAnsiTheme="minorEastAsia" w:eastAsiaTheme="minorEastAsia" w:cstheme="minorEastAsia"/>
          <w:bCs/>
          <w:color w:val="auto"/>
          <w:sz w:val="28"/>
          <w:szCs w:val="28"/>
          <w:highlight w:val="none"/>
        </w:rPr>
        <w:tab/>
      </w:r>
      <w:r>
        <w:rPr>
          <w:rFonts w:hint="eastAsia" w:asciiTheme="minorEastAsia" w:hAnsiTheme="minorEastAsia" w:eastAsiaTheme="minorEastAsia" w:cstheme="minorEastAsia"/>
          <w:bCs/>
          <w:color w:val="auto"/>
          <w:sz w:val="28"/>
          <w:szCs w:val="28"/>
          <w:highlight w:val="none"/>
        </w:rPr>
        <w:t xml:space="preserve"> 投标文件格式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11</w:t>
      </w:r>
    </w:p>
    <w:p>
      <w:pPr>
        <w:pStyle w:val="9"/>
        <w:tabs>
          <w:tab w:val="right" w:leader="dot" w:pos="9299"/>
        </w:tabs>
        <w:spacing w:line="360" w:lineRule="auto"/>
        <w:rPr>
          <w:color w:val="auto"/>
          <w:highlight w:val="none"/>
        </w:rPr>
      </w:pPr>
      <w:r>
        <w:rPr>
          <w:color w:val="auto"/>
          <w:highlight w:val="none"/>
        </w:rPr>
        <w:fldChar w:fldCharType="begin"/>
      </w:r>
      <w:r>
        <w:rPr>
          <w:color w:val="auto"/>
          <w:highlight w:val="none"/>
        </w:rPr>
        <w:instrText xml:space="preserve"> HYPERLINK \l "_Toc12556" </w:instrText>
      </w:r>
      <w:r>
        <w:rPr>
          <w:color w:val="auto"/>
          <w:highlight w:val="none"/>
        </w:rPr>
        <w:fldChar w:fldCharType="separate"/>
      </w:r>
      <w:r>
        <w:rPr>
          <w:rFonts w:hint="eastAsia" w:asciiTheme="minorEastAsia" w:hAnsiTheme="minorEastAsia" w:eastAsiaTheme="minorEastAsia" w:cstheme="minorEastAsia"/>
          <w:bCs/>
          <w:color w:val="auto"/>
          <w:sz w:val="28"/>
          <w:szCs w:val="28"/>
          <w:highlight w:val="none"/>
        </w:rPr>
        <w:t>第九章 投标人须知前附表规定的其他材料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lang w:val="en-US" w:eastAsia="zh-CN"/>
        </w:rPr>
        <w:t>47</w:t>
      </w:r>
    </w:p>
    <w:p>
      <w:pPr>
        <w:rPr>
          <w:rFonts w:ascii="宋体" w:hAnsi="宋体"/>
          <w:color w:val="auto"/>
          <w:sz w:val="52"/>
          <w:szCs w:val="52"/>
          <w:highlight w:val="none"/>
        </w:rPr>
      </w:pPr>
      <w:r>
        <w:rPr>
          <w:rFonts w:ascii="宋体" w:hAnsi="宋体"/>
          <w:color w:val="auto"/>
          <w:szCs w:val="52"/>
          <w:highlight w:val="none"/>
        </w:rPr>
        <w:fldChar w:fldCharType="end"/>
      </w: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rPr>
          <w:rFonts w:ascii="宋体" w:hAnsi="宋体"/>
          <w:color w:val="auto"/>
          <w:sz w:val="52"/>
          <w:szCs w:val="52"/>
          <w:highlight w:val="none"/>
        </w:rPr>
      </w:pPr>
    </w:p>
    <w:p>
      <w:pPr>
        <w:jc w:val="center"/>
        <w:outlineLvl w:val="0"/>
        <w:rPr>
          <w:rFonts w:ascii="黑体" w:eastAsia="黑体"/>
          <w:bCs/>
          <w:color w:val="auto"/>
          <w:sz w:val="44"/>
          <w:szCs w:val="44"/>
          <w:highlight w:val="none"/>
        </w:rPr>
      </w:pPr>
      <w:bookmarkStart w:id="1" w:name="_Toc240"/>
    </w:p>
    <w:p>
      <w:pPr>
        <w:jc w:val="center"/>
        <w:outlineLvl w:val="0"/>
        <w:rPr>
          <w:rFonts w:ascii="黑体" w:hAnsi="宋体" w:eastAsia="黑体"/>
          <w:bCs/>
          <w:color w:val="auto"/>
          <w:sz w:val="44"/>
          <w:szCs w:val="44"/>
          <w:highlight w:val="none"/>
        </w:rPr>
      </w:pPr>
      <w:r>
        <w:rPr>
          <w:rFonts w:hint="eastAsia" w:ascii="黑体" w:eastAsia="黑体"/>
          <w:bCs/>
          <w:color w:val="auto"/>
          <w:sz w:val="44"/>
          <w:szCs w:val="44"/>
          <w:highlight w:val="none"/>
        </w:rPr>
        <w:t>第一章  招标公告</w:t>
      </w:r>
      <w:bookmarkEnd w:id="1"/>
    </w:p>
    <w:p>
      <w:pPr>
        <w:rPr>
          <w:rFonts w:ascii="宋体" w:hAnsi="宋体"/>
          <w:color w:val="auto"/>
          <w:sz w:val="24"/>
          <w:highlight w:val="none"/>
        </w:rPr>
      </w:pPr>
    </w:p>
    <w:bookmarkEnd w:id="0"/>
    <w:p>
      <w:pPr>
        <w:spacing w:line="360" w:lineRule="auto"/>
        <w:jc w:val="center"/>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lang w:eastAsia="zh-CN"/>
        </w:rPr>
        <w:t>建安建工公字〔2017〕</w:t>
      </w:r>
      <w:r>
        <w:rPr>
          <w:rFonts w:hint="eastAsia" w:ascii="宋体" w:hAnsi="宋体"/>
          <w:b/>
          <w:color w:val="auto"/>
          <w:sz w:val="30"/>
          <w:szCs w:val="30"/>
          <w:highlight w:val="none"/>
          <w:lang w:val="en-US" w:eastAsia="zh-CN"/>
        </w:rPr>
        <w:t>198</w:t>
      </w:r>
      <w:r>
        <w:rPr>
          <w:rFonts w:hint="eastAsia" w:ascii="宋体" w:hAnsi="宋体"/>
          <w:b/>
          <w:color w:val="auto"/>
          <w:sz w:val="30"/>
          <w:szCs w:val="30"/>
          <w:highlight w:val="none"/>
          <w:lang w:eastAsia="zh-CN"/>
        </w:rPr>
        <w:t>号</w:t>
      </w:r>
    </w:p>
    <w:p>
      <w:pPr>
        <w:spacing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rPr>
        <w:t>许昌市建安区交通运输局</w:t>
      </w:r>
    </w:p>
    <w:p>
      <w:pPr>
        <w:spacing w:line="360" w:lineRule="auto"/>
        <w:jc w:val="center"/>
        <w:rPr>
          <w:rFonts w:hint="eastAsia" w:ascii="宋体" w:hAnsi="宋体"/>
          <w:b/>
          <w:bCs/>
          <w:color w:val="auto"/>
          <w:sz w:val="30"/>
          <w:szCs w:val="30"/>
          <w:highlight w:val="none"/>
          <w:lang w:eastAsia="zh-CN"/>
        </w:rPr>
      </w:pPr>
      <w:r>
        <w:rPr>
          <w:rFonts w:hint="eastAsia" w:ascii="宋体" w:hAnsi="宋体"/>
          <w:b/>
          <w:bCs/>
          <w:color w:val="auto"/>
          <w:sz w:val="30"/>
          <w:szCs w:val="30"/>
          <w:highlight w:val="none"/>
          <w:lang w:eastAsia="zh-CN"/>
        </w:rPr>
        <w:t>张潘镇陶庄村道路工程</w:t>
      </w:r>
    </w:p>
    <w:p>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公开招标公告</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一、项目概况</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建安建工公字〔2017〕</w:t>
      </w:r>
      <w:r>
        <w:rPr>
          <w:rFonts w:hint="eastAsia" w:ascii="宋体" w:hAnsi="宋体"/>
          <w:color w:val="auto"/>
          <w:sz w:val="24"/>
          <w:szCs w:val="24"/>
          <w:highlight w:val="none"/>
          <w:lang w:val="en-US" w:eastAsia="zh-CN"/>
        </w:rPr>
        <w:t>198</w:t>
      </w:r>
      <w:r>
        <w:rPr>
          <w:rFonts w:hint="eastAsia" w:ascii="宋体" w:hAnsi="宋体"/>
          <w:color w:val="auto"/>
          <w:sz w:val="24"/>
          <w:szCs w:val="24"/>
          <w:highlight w:val="none"/>
          <w:lang w:eastAsia="zh-CN"/>
        </w:rPr>
        <w:t>号</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张潘镇陶庄村道路工程</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3、招标单位：许昌市建安区交通运输局。</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rPr>
        <w:t>4、项目规模：</w:t>
      </w:r>
      <w:r>
        <w:rPr>
          <w:rFonts w:hint="eastAsia" w:ascii="宋体" w:hAnsi="宋体"/>
          <w:color w:val="auto"/>
          <w:sz w:val="24"/>
          <w:szCs w:val="24"/>
          <w:highlight w:val="none"/>
          <w:lang w:eastAsia="zh-CN"/>
        </w:rPr>
        <w:t>许昌市建安区张潘镇陶庄村道路工程包括以下内容：</w:t>
      </w:r>
      <w:r>
        <w:rPr>
          <w:rFonts w:hint="eastAsia" w:ascii="宋体" w:hAnsi="宋体"/>
          <w:color w:val="auto"/>
          <w:sz w:val="24"/>
          <w:szCs w:val="24"/>
          <w:highlight w:val="none"/>
          <w:lang w:val="en-US" w:eastAsia="zh-CN"/>
        </w:rPr>
        <w:t>道路总计5.794KM，路基宽6（5.5）m，路面宽5.0（4.5）m，土路肩宽2*0.5m。15mm厚C25混凝土路面，按四级公路标准设计。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5、资金预算：</w:t>
      </w:r>
      <w:r>
        <w:rPr>
          <w:rFonts w:hint="eastAsia" w:ascii="宋体" w:hAnsi="宋体"/>
          <w:color w:val="auto"/>
          <w:sz w:val="24"/>
          <w:szCs w:val="24"/>
          <w:highlight w:val="none"/>
          <w:lang w:val="en-US" w:eastAsia="zh-CN"/>
        </w:rPr>
        <w:t>3736951.45</w:t>
      </w:r>
      <w:r>
        <w:rPr>
          <w:rFonts w:hint="eastAsia" w:ascii="宋体" w:hAnsi="宋体"/>
          <w:color w:val="auto"/>
          <w:sz w:val="24"/>
          <w:szCs w:val="24"/>
          <w:highlight w:val="none"/>
          <w:lang w:eastAsia="zh-CN"/>
        </w:rPr>
        <w:t>元</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6、计划工期：</w:t>
      </w:r>
      <w:r>
        <w:rPr>
          <w:rFonts w:hint="eastAsia" w:ascii="宋体" w:hAnsi="宋体"/>
          <w:color w:val="auto"/>
          <w:sz w:val="24"/>
          <w:szCs w:val="24"/>
          <w:highlight w:val="none"/>
          <w:lang w:val="en-US" w:eastAsia="zh-CN"/>
        </w:rPr>
        <w:t>30</w:t>
      </w:r>
      <w:r>
        <w:rPr>
          <w:rFonts w:hint="eastAsia" w:ascii="宋体" w:hAnsi="宋体"/>
          <w:color w:val="auto"/>
          <w:sz w:val="24"/>
          <w:szCs w:val="24"/>
          <w:highlight w:val="none"/>
        </w:rPr>
        <w:t>日历天。</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7、质量要求：合格。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8、不组织勘察施工现场。</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二、投标人资格要求</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2.1 须具备独立法人资格；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2.2须具备建设行政主管部门颁发的公路工程施工总承包叁级及以上资质，并具备有效的企业安全生产许可证，在人员、设备、资金等方面具有相应的施工能力。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2.3投标人近三年内（201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年1月1日起至今，以施工合同日期为准）完成两个以上（含两个）的类似项目工程。</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2.4拟派建造师须具备贰级及以上公路工程专业注册建造师执业资格，具备有效的安全生产考核合格证书，且未担任其他在施建设项目的项目经理。拟派项目总工需具备中级及以上相关专业技术职称。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2.5根据《河南省公路建设市场从业单位及人员信用管理办法》第二十一条“对信用考核定级为D级即黑名单的从业单位，”不得参与本项目投标。</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2.6自2014年以来在经营活动中没有重大违法记录（以检察机关出具的查询行贿犯罪档案结果告知函为准）。</w:t>
      </w:r>
    </w:p>
    <w:p>
      <w:pPr>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2.7本次招标不接受联合体投标。</w:t>
      </w:r>
    </w:p>
    <w:p>
      <w:pPr>
        <w:spacing w:line="360" w:lineRule="auto"/>
        <w:rPr>
          <w:rFonts w:hAnsi="宋体"/>
          <w:b/>
          <w:color w:val="000000"/>
          <w:sz w:val="24"/>
          <w:szCs w:val="24"/>
          <w:highlight w:val="none"/>
        </w:rPr>
      </w:pPr>
      <w:r>
        <w:rPr>
          <w:rFonts w:hint="eastAsia" w:hAnsi="宋体"/>
          <w:b/>
          <w:color w:val="000000"/>
          <w:sz w:val="24"/>
          <w:szCs w:val="24"/>
          <w:highlight w:val="none"/>
        </w:rPr>
        <w:t>三、投标报名时间及方式</w:t>
      </w:r>
    </w:p>
    <w:p>
      <w:pPr>
        <w:autoSpaceDE w:val="0"/>
        <w:autoSpaceDN w:val="0"/>
        <w:adjustRightInd w:val="0"/>
        <w:spacing w:line="420" w:lineRule="exact"/>
        <w:ind w:firstLine="480" w:firstLineChars="200"/>
        <w:jc w:val="left"/>
        <w:outlineLvl w:val="0"/>
        <w:rPr>
          <w:rFonts w:hint="eastAsia" w:ascii="宋体" w:hAnsi="宋体"/>
          <w:color w:val="000000"/>
          <w:sz w:val="24"/>
          <w:szCs w:val="24"/>
        </w:rPr>
      </w:pPr>
      <w:r>
        <w:rPr>
          <w:rFonts w:hint="eastAsia" w:ascii="宋体" w:hAnsi="宋体" w:cs="宋体"/>
          <w:kern w:val="0"/>
          <w:sz w:val="24"/>
          <w:szCs w:val="24"/>
          <w:lang w:val="en-US" w:eastAsia="zh-CN"/>
        </w:rPr>
        <w:t>1、</w:t>
      </w:r>
      <w:r>
        <w:rPr>
          <w:rFonts w:hint="eastAsia" w:ascii="宋体" w:hAnsi="宋体"/>
          <w:color w:val="000000"/>
          <w:sz w:val="24"/>
          <w:szCs w:val="24"/>
        </w:rPr>
        <w:t>报名时间：凡有意参加投标者，请于</w:t>
      </w:r>
      <w:r>
        <w:rPr>
          <w:rFonts w:hint="eastAsia" w:ascii="宋体" w:hAnsi="宋体"/>
          <w:color w:val="000000"/>
          <w:sz w:val="24"/>
          <w:szCs w:val="24"/>
          <w:lang w:val="en-US" w:eastAsia="zh-CN"/>
        </w:rPr>
        <w:t>2018年1月8日至2018年1月12日</w:t>
      </w:r>
      <w:r>
        <w:rPr>
          <w:rFonts w:hint="eastAsia" w:ascii="宋体" w:hAnsi="宋体"/>
          <w:color w:val="000000"/>
          <w:sz w:val="24"/>
          <w:szCs w:val="24"/>
        </w:rPr>
        <w:t>参与报名。</w:t>
      </w:r>
    </w:p>
    <w:p>
      <w:pPr>
        <w:autoSpaceDE w:val="0"/>
        <w:autoSpaceDN w:val="0"/>
        <w:adjustRightInd w:val="0"/>
        <w:spacing w:line="420" w:lineRule="exact"/>
        <w:ind w:firstLine="480" w:firstLineChars="200"/>
        <w:jc w:val="left"/>
        <w:outlineLvl w:val="0"/>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spacing w:line="360" w:lineRule="auto"/>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在投标截止时间前均可登录【全国公共资源交易平台（河南省·许昌市）】“投标人/供应商登录”入口（http://221.14.6.70:8088/ggzy/）自行下载招标文件等（详见“常见问题解答-交易系统操作手册”）。</w:t>
      </w:r>
    </w:p>
    <w:p>
      <w:pPr>
        <w:spacing w:line="360" w:lineRule="auto"/>
        <w:rPr>
          <w:rFonts w:hAnsi="宋体"/>
          <w:b/>
          <w:color w:val="000000"/>
          <w:sz w:val="24"/>
          <w:szCs w:val="24"/>
          <w:highlight w:val="none"/>
        </w:rPr>
      </w:pPr>
      <w:r>
        <w:rPr>
          <w:rFonts w:hint="eastAsia" w:hAnsi="宋体"/>
          <w:b/>
          <w:color w:val="000000"/>
          <w:sz w:val="24"/>
          <w:szCs w:val="24"/>
          <w:highlight w:val="none"/>
        </w:rPr>
        <w:t>四、招标文件和施工图纸的获取</w:t>
      </w:r>
    </w:p>
    <w:p>
      <w:pPr>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 xml:space="preserve">1、招标文件、工程量清单、招标控制价及图纸的获取：报名截止日前均可在《全国公共资源交易平台（河南省·许昌市）》自行下载。 </w:t>
      </w:r>
    </w:p>
    <w:p>
      <w:pPr>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2、招标文件每套售价300元，递交投标文件时缴纳给招标代理机构，售后不退。</w:t>
      </w:r>
    </w:p>
    <w:p>
      <w:pPr>
        <w:spacing w:line="360" w:lineRule="auto"/>
        <w:rPr>
          <w:rFonts w:hAnsi="宋体"/>
          <w:b/>
          <w:color w:val="000000"/>
          <w:sz w:val="24"/>
          <w:szCs w:val="24"/>
          <w:highlight w:val="none"/>
        </w:rPr>
      </w:pPr>
      <w:r>
        <w:rPr>
          <w:rFonts w:hint="eastAsia" w:hAnsi="宋体"/>
          <w:b/>
          <w:color w:val="000000"/>
          <w:sz w:val="24"/>
          <w:szCs w:val="24"/>
          <w:highlight w:val="none"/>
        </w:rPr>
        <w:t>五、投标文件的递交</w:t>
      </w:r>
    </w:p>
    <w:p>
      <w:pPr>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1、投标文件递交的截止时间为201</w:t>
      </w:r>
      <w:r>
        <w:rPr>
          <w:rFonts w:hint="eastAsia" w:hAnsi="宋体"/>
          <w:color w:val="000000"/>
          <w:sz w:val="24"/>
          <w:szCs w:val="24"/>
          <w:highlight w:val="none"/>
          <w:lang w:val="en-US" w:eastAsia="zh-CN"/>
        </w:rPr>
        <w:t>8</w:t>
      </w:r>
      <w:r>
        <w:rPr>
          <w:rFonts w:hint="eastAsia" w:hAnsi="宋体"/>
          <w:color w:val="000000"/>
          <w:sz w:val="24"/>
          <w:szCs w:val="24"/>
          <w:highlight w:val="none"/>
        </w:rPr>
        <w:t>年</w:t>
      </w:r>
      <w:r>
        <w:rPr>
          <w:rFonts w:hint="eastAsia" w:hAnsi="宋体"/>
          <w:color w:val="000000"/>
          <w:sz w:val="24"/>
          <w:szCs w:val="24"/>
          <w:highlight w:val="none"/>
          <w:lang w:val="en-US" w:eastAsia="zh-CN"/>
        </w:rPr>
        <w:t>1</w:t>
      </w:r>
      <w:r>
        <w:rPr>
          <w:rFonts w:hint="eastAsia" w:hAnsi="宋体"/>
          <w:color w:val="000000"/>
          <w:sz w:val="24"/>
          <w:szCs w:val="24"/>
          <w:highlight w:val="none"/>
        </w:rPr>
        <w:t>月</w:t>
      </w:r>
      <w:r>
        <w:rPr>
          <w:rFonts w:hint="eastAsia" w:hAnsi="宋体"/>
          <w:color w:val="000000"/>
          <w:sz w:val="24"/>
          <w:szCs w:val="24"/>
          <w:highlight w:val="none"/>
          <w:lang w:val="en-US" w:eastAsia="zh-CN"/>
        </w:rPr>
        <w:t>29</w:t>
      </w:r>
      <w:r>
        <w:rPr>
          <w:rFonts w:hint="eastAsia" w:hAnsi="宋体"/>
          <w:color w:val="000000"/>
          <w:sz w:val="24"/>
          <w:szCs w:val="24"/>
          <w:highlight w:val="none"/>
        </w:rPr>
        <w:t>日</w:t>
      </w:r>
      <w:r>
        <w:rPr>
          <w:rFonts w:hint="eastAsia" w:hAnsi="宋体"/>
          <w:color w:val="000000"/>
          <w:sz w:val="24"/>
          <w:szCs w:val="24"/>
          <w:highlight w:val="none"/>
          <w:lang w:val="en-US" w:eastAsia="zh-CN"/>
        </w:rPr>
        <w:t>9</w:t>
      </w:r>
      <w:r>
        <w:rPr>
          <w:rFonts w:hint="eastAsia" w:hAnsi="宋体"/>
          <w:color w:val="000000"/>
          <w:sz w:val="24"/>
          <w:szCs w:val="24"/>
          <w:highlight w:val="none"/>
        </w:rPr>
        <w:t>时</w:t>
      </w:r>
      <w:r>
        <w:rPr>
          <w:rFonts w:hint="eastAsia" w:hAnsi="宋体"/>
          <w:color w:val="000000"/>
          <w:sz w:val="24"/>
          <w:szCs w:val="24"/>
          <w:highlight w:val="none"/>
          <w:lang w:val="en-US" w:eastAsia="zh-CN"/>
        </w:rPr>
        <w:t>30</w:t>
      </w:r>
      <w:r>
        <w:rPr>
          <w:rFonts w:hint="eastAsia" w:hAnsi="宋体"/>
          <w:color w:val="000000"/>
          <w:sz w:val="24"/>
          <w:szCs w:val="24"/>
          <w:highlight w:val="none"/>
        </w:rPr>
        <w:t>分，地点为许昌市建安区新元大道兴业大厦4楼4167室。</w:t>
      </w:r>
    </w:p>
    <w:p>
      <w:pPr>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2、逾期送达的或者未送达指定地点的投标文件，招标人不予受理。</w:t>
      </w:r>
    </w:p>
    <w:p>
      <w:pPr>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3、未通过《全国公共资源交易平台（河南省·许昌市）》下载招标文件的投标人，其投标文件不予受理。</w:t>
      </w:r>
    </w:p>
    <w:p>
      <w:pPr>
        <w:spacing w:line="360" w:lineRule="auto"/>
        <w:rPr>
          <w:rFonts w:hAnsi="宋体"/>
          <w:b/>
          <w:color w:val="000000"/>
          <w:sz w:val="24"/>
          <w:szCs w:val="24"/>
          <w:highlight w:val="none"/>
        </w:rPr>
      </w:pPr>
      <w:r>
        <w:rPr>
          <w:rFonts w:hint="eastAsia" w:hAnsi="宋体"/>
          <w:b/>
          <w:color w:val="000000"/>
          <w:sz w:val="24"/>
          <w:szCs w:val="24"/>
          <w:highlight w:val="none"/>
        </w:rPr>
        <w:t>六、发布公告的媒介</w:t>
      </w:r>
    </w:p>
    <w:p>
      <w:pPr>
        <w:spacing w:line="360" w:lineRule="auto"/>
        <w:ind w:firstLine="480" w:firstLineChars="200"/>
        <w:rPr>
          <w:rFonts w:hAnsi="宋体"/>
          <w:color w:val="000000"/>
          <w:sz w:val="24"/>
          <w:szCs w:val="24"/>
          <w:highlight w:val="none"/>
        </w:rPr>
      </w:pPr>
      <w:r>
        <w:rPr>
          <w:rFonts w:hint="eastAsia" w:hAnsi="宋体"/>
          <w:color w:val="000000"/>
          <w:sz w:val="24"/>
          <w:szCs w:val="24"/>
          <w:highlight w:val="none"/>
        </w:rPr>
        <w:t>本次招标公告在《中国采购与招标网》、《河南招标采购综合网》、《全国公共资源交易平台（河南省·许昌市）》上同时发布。</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七、联系方式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招  标  人：许昌市建安区交通运输局</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项目负责人：宋晓辉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     话：13569925535</w:t>
      </w:r>
    </w:p>
    <w:p>
      <w:p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rPr>
        <w:t>代 理 机 构：</w:t>
      </w:r>
      <w:r>
        <w:rPr>
          <w:rFonts w:hint="eastAsia" w:ascii="宋体" w:hAnsi="宋体"/>
          <w:color w:val="auto"/>
          <w:sz w:val="24"/>
          <w:szCs w:val="24"/>
          <w:highlight w:val="none"/>
          <w:lang w:val="en-US" w:eastAsia="zh-CN"/>
        </w:rPr>
        <w:t>河南恒盛建设集团有限公司</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项目负责人：</w:t>
      </w:r>
      <w:r>
        <w:rPr>
          <w:rFonts w:hint="eastAsia" w:ascii="宋体" w:hAnsi="宋体"/>
          <w:color w:val="auto"/>
          <w:sz w:val="24"/>
          <w:szCs w:val="24"/>
          <w:highlight w:val="none"/>
          <w:lang w:eastAsia="zh-CN"/>
        </w:rPr>
        <w:t>赵瑞</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电    话：</w:t>
      </w:r>
      <w:r>
        <w:rPr>
          <w:rFonts w:hint="eastAsia" w:ascii="宋体" w:hAnsi="宋体"/>
          <w:color w:val="auto"/>
          <w:sz w:val="24"/>
          <w:szCs w:val="24"/>
          <w:highlight w:val="none"/>
          <w:lang w:val="en-US" w:eastAsia="zh-CN"/>
        </w:rPr>
        <w:t>13949800220</w:t>
      </w:r>
    </w:p>
    <w:p>
      <w:pPr>
        <w:spacing w:line="360" w:lineRule="auto"/>
        <w:ind w:firstLine="480" w:firstLineChars="200"/>
        <w:jc w:val="right"/>
        <w:rPr>
          <w:rFonts w:hint="eastAsia" w:ascii="宋体" w:hAnsi="宋体"/>
          <w:color w:val="auto"/>
          <w:sz w:val="24"/>
          <w:szCs w:val="24"/>
          <w:highlight w:val="none"/>
          <w:lang w:val="en-US" w:eastAsia="zh-CN"/>
        </w:rPr>
      </w:pPr>
      <w:bookmarkStart w:id="2" w:name="_Toc30837"/>
      <w:r>
        <w:rPr>
          <w:rFonts w:hint="eastAsia" w:ascii="宋体" w:hAnsi="宋体"/>
          <w:color w:val="auto"/>
          <w:sz w:val="24"/>
          <w:szCs w:val="24"/>
          <w:highlight w:val="none"/>
          <w:lang w:val="en-US" w:eastAsia="zh-CN"/>
        </w:rPr>
        <w:t>许昌市建安区交通运输局</w:t>
      </w:r>
    </w:p>
    <w:p>
      <w:pPr>
        <w:jc w:val="center"/>
        <w:outlineLvl w:val="0"/>
        <w:rPr>
          <w:rFonts w:hint="eastAsia" w:ascii="黑体" w:eastAsia="黑体"/>
          <w:bCs/>
          <w:color w:val="auto"/>
          <w:sz w:val="44"/>
          <w:szCs w:val="44"/>
          <w:highlight w:val="none"/>
        </w:rPr>
      </w:pPr>
      <w:r>
        <w:rPr>
          <w:rFonts w:hint="eastAsia" w:ascii="宋体" w:hAnsi="宋体"/>
          <w:color w:val="auto"/>
          <w:sz w:val="24"/>
          <w:szCs w:val="24"/>
          <w:highlight w:val="none"/>
          <w:lang w:val="en-US" w:eastAsia="zh-CN"/>
        </w:rPr>
        <w:t xml:space="preserve">                                                          2017年1月 5日</w:t>
      </w: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hint="eastAsia" w:ascii="黑体" w:eastAsia="黑体"/>
          <w:bCs/>
          <w:color w:val="auto"/>
          <w:sz w:val="44"/>
          <w:szCs w:val="44"/>
          <w:highlight w:val="none"/>
        </w:rPr>
      </w:pPr>
    </w:p>
    <w:p>
      <w:pPr>
        <w:jc w:val="center"/>
        <w:outlineLvl w:val="0"/>
        <w:rPr>
          <w:rFonts w:ascii="宋体" w:hAnsi="宋体"/>
          <w:color w:val="auto"/>
          <w:sz w:val="44"/>
          <w:szCs w:val="44"/>
          <w:highlight w:val="none"/>
        </w:rPr>
      </w:pPr>
      <w:r>
        <w:rPr>
          <w:rFonts w:hint="eastAsia" w:ascii="黑体" w:eastAsia="黑体"/>
          <w:bCs/>
          <w:color w:val="auto"/>
          <w:sz w:val="44"/>
          <w:szCs w:val="44"/>
          <w:highlight w:val="none"/>
        </w:rPr>
        <w:t>第二章  投标人须知</w:t>
      </w:r>
      <w:bookmarkEnd w:id="2"/>
    </w:p>
    <w:p>
      <w:pPr>
        <w:spacing w:line="360" w:lineRule="auto"/>
        <w:jc w:val="center"/>
        <w:rPr>
          <w:rFonts w:ascii="宋体" w:hAnsi="宋体"/>
          <w:b/>
          <w:color w:val="auto"/>
          <w:sz w:val="24"/>
          <w:highlight w:val="none"/>
        </w:rPr>
      </w:pPr>
      <w:bookmarkStart w:id="3" w:name="_Toc234382587"/>
      <w:r>
        <w:rPr>
          <w:rFonts w:hint="eastAsia" w:ascii="黑体" w:eastAsia="黑体"/>
          <w:color w:val="auto"/>
          <w:sz w:val="30"/>
          <w:szCs w:val="30"/>
          <w:highlight w:val="none"/>
        </w:rPr>
        <w:t>投标人须知前附表</w:t>
      </w:r>
      <w:bookmarkEnd w:id="3"/>
      <w:bookmarkStart w:id="4" w:name="_Hlt111980600"/>
      <w:bookmarkEnd w:id="4"/>
    </w:p>
    <w:tbl>
      <w:tblPr>
        <w:tblStyle w:val="15"/>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80"/>
        <w:gridCol w:w="2004"/>
        <w:gridCol w:w="5798"/>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202" w:type="dxa"/>
          </w:tcPr>
          <w:p>
            <w:pPr>
              <w:spacing w:line="360" w:lineRule="auto"/>
              <w:jc w:val="center"/>
              <w:rPr>
                <w:rFonts w:ascii="宋体" w:hAnsi="宋体"/>
                <w:color w:val="auto"/>
                <w:sz w:val="24"/>
                <w:highlight w:val="none"/>
              </w:rPr>
            </w:pPr>
            <w:r>
              <w:rPr>
                <w:rFonts w:hint="eastAsia" w:ascii="宋体" w:hAnsi="宋体"/>
                <w:color w:val="auto"/>
                <w:sz w:val="24"/>
                <w:highlight w:val="none"/>
              </w:rPr>
              <w:t>条款号</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条 款 名 称</w:t>
            </w:r>
          </w:p>
        </w:tc>
        <w:tc>
          <w:tcPr>
            <w:tcW w:w="5805"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w:t>
            </w:r>
          </w:p>
        </w:tc>
        <w:tc>
          <w:tcPr>
            <w:tcW w:w="5805" w:type="dxa"/>
            <w:gridSpan w:val="2"/>
            <w:tcBorders>
              <w:bottom w:val="single" w:color="auto" w:sz="4" w:space="0"/>
            </w:tcBorders>
            <w:vAlign w:val="center"/>
          </w:tcPr>
          <w:p>
            <w:pPr>
              <w:tabs>
                <w:tab w:val="left" w:pos="4536"/>
              </w:tabs>
              <w:spacing w:line="500" w:lineRule="exact"/>
              <w:rPr>
                <w:rFonts w:ascii="宋体" w:hAnsi="宋体"/>
                <w:color w:val="auto"/>
                <w:sz w:val="24"/>
                <w:highlight w:val="none"/>
              </w:rPr>
            </w:pPr>
            <w:r>
              <w:rPr>
                <w:rFonts w:ascii="宋体" w:hAnsi="宋体"/>
                <w:color w:val="auto"/>
                <w:sz w:val="24"/>
                <w:highlight w:val="none"/>
              </w:rPr>
              <w:t>招</w:t>
            </w:r>
            <w:r>
              <w:rPr>
                <w:rFonts w:hint="eastAsia" w:ascii="宋体" w:hAnsi="宋体"/>
                <w:color w:val="auto"/>
                <w:sz w:val="24"/>
                <w:highlight w:val="none"/>
              </w:rPr>
              <w:t xml:space="preserve"> </w:t>
            </w:r>
            <w:r>
              <w:rPr>
                <w:rFonts w:ascii="宋体" w:hAnsi="宋体"/>
                <w:color w:val="auto"/>
                <w:sz w:val="24"/>
                <w:highlight w:val="none"/>
              </w:rPr>
              <w:t>标</w:t>
            </w:r>
            <w:r>
              <w:rPr>
                <w:rFonts w:hint="eastAsia" w:ascii="宋体" w:hAnsi="宋体"/>
                <w:color w:val="auto"/>
                <w:sz w:val="24"/>
                <w:highlight w:val="none"/>
              </w:rPr>
              <w:t xml:space="preserve"> </w:t>
            </w:r>
            <w:r>
              <w:rPr>
                <w:rFonts w:ascii="宋体" w:hAnsi="宋体"/>
                <w:color w:val="auto"/>
                <w:sz w:val="24"/>
                <w:highlight w:val="none"/>
              </w:rPr>
              <w:t>人：</w:t>
            </w:r>
            <w:r>
              <w:rPr>
                <w:rFonts w:hint="eastAsia" w:ascii="宋体" w:hAnsi="宋体"/>
                <w:color w:val="auto"/>
                <w:sz w:val="24"/>
                <w:highlight w:val="none"/>
              </w:rPr>
              <w:t>许昌市建安区交通运输局</w:t>
            </w:r>
          </w:p>
          <w:p>
            <w:pPr>
              <w:tabs>
                <w:tab w:val="left" w:pos="4536"/>
              </w:tabs>
              <w:spacing w:line="500" w:lineRule="exact"/>
              <w:rPr>
                <w:rFonts w:ascii="宋体" w:hAnsi="宋体"/>
                <w:color w:val="auto"/>
                <w:sz w:val="24"/>
                <w:highlight w:val="none"/>
                <w:u w:val="single"/>
              </w:rPr>
            </w:pPr>
            <w:r>
              <w:rPr>
                <w:rFonts w:hint="eastAsia" w:ascii="宋体" w:hAnsi="宋体"/>
                <w:color w:val="auto"/>
                <w:sz w:val="24"/>
                <w:highlight w:val="none"/>
              </w:rPr>
              <w:t>地    址：许昌市建安区新元大道兴业大厦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招标代理机构</w:t>
            </w:r>
          </w:p>
        </w:tc>
        <w:tc>
          <w:tcPr>
            <w:tcW w:w="5805" w:type="dxa"/>
            <w:gridSpan w:val="2"/>
            <w:tcBorders>
              <w:bottom w:val="single" w:color="auto" w:sz="4" w:space="0"/>
            </w:tcBorders>
            <w:vAlign w:val="center"/>
          </w:tcPr>
          <w:p>
            <w:pPr>
              <w:tabs>
                <w:tab w:val="left" w:pos="4536"/>
              </w:tabs>
              <w:spacing w:line="500" w:lineRule="exact"/>
              <w:rPr>
                <w:rFonts w:ascii="宋体" w:hAnsi="宋体"/>
                <w:color w:val="auto"/>
                <w:sz w:val="24"/>
                <w:highlight w:val="none"/>
              </w:rPr>
            </w:pPr>
            <w:r>
              <w:rPr>
                <w:rFonts w:hint="eastAsia" w:ascii="宋体" w:hAnsi="宋体"/>
                <w:color w:val="auto"/>
                <w:sz w:val="24"/>
                <w:highlight w:val="none"/>
              </w:rPr>
              <w:t>名      称：</w:t>
            </w:r>
            <w:r>
              <w:rPr>
                <w:rFonts w:hint="eastAsia" w:ascii="宋体" w:hAnsi="宋体"/>
                <w:color w:val="auto"/>
                <w:sz w:val="24"/>
                <w:highlight w:val="none"/>
                <w:lang w:eastAsia="zh-CN"/>
              </w:rPr>
              <w:t>河南恒盛建设集团有限公司</w:t>
            </w:r>
          </w:p>
          <w:p>
            <w:pPr>
              <w:tabs>
                <w:tab w:val="left" w:pos="4536"/>
              </w:tabs>
              <w:spacing w:line="500" w:lineRule="exact"/>
              <w:rPr>
                <w:rFonts w:ascii="宋体" w:hAnsi="宋体"/>
                <w:color w:val="auto"/>
                <w:sz w:val="24"/>
                <w:highlight w:val="none"/>
              </w:rPr>
            </w:pPr>
            <w:r>
              <w:rPr>
                <w:rFonts w:hint="eastAsia" w:ascii="宋体" w:hAnsi="宋体"/>
                <w:color w:val="auto"/>
                <w:sz w:val="24"/>
                <w:highlight w:val="none"/>
              </w:rPr>
              <w:t>项目负责人：</w:t>
            </w:r>
            <w:r>
              <w:rPr>
                <w:rFonts w:hint="eastAsia" w:ascii="宋体" w:hAnsi="宋体"/>
                <w:color w:val="auto"/>
                <w:sz w:val="24"/>
                <w:highlight w:val="none"/>
                <w:lang w:eastAsia="zh-CN"/>
              </w:rPr>
              <w:t>赵瑞</w:t>
            </w:r>
          </w:p>
          <w:p>
            <w:pPr>
              <w:tabs>
                <w:tab w:val="left" w:pos="4536"/>
              </w:tabs>
              <w:spacing w:line="500" w:lineRule="exact"/>
              <w:rPr>
                <w:rFonts w:ascii="宋体" w:hAnsi="宋体"/>
                <w:color w:val="auto"/>
                <w:sz w:val="24"/>
                <w:highlight w:val="none"/>
              </w:rPr>
            </w:pPr>
            <w:r>
              <w:rPr>
                <w:rFonts w:hint="eastAsia" w:ascii="宋体" w:hAnsi="宋体"/>
                <w:color w:val="auto"/>
                <w:sz w:val="24"/>
                <w:highlight w:val="none"/>
              </w:rPr>
              <w:t>电      话：</w:t>
            </w:r>
            <w:r>
              <w:rPr>
                <w:rFonts w:hint="eastAsia" w:ascii="宋体" w:hAnsi="宋体"/>
                <w:color w:val="auto"/>
                <w:sz w:val="24"/>
                <w:highlight w:val="none"/>
                <w:lang w:val="en-US" w:eastAsia="zh-CN"/>
              </w:rPr>
              <w:t>13949800220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1.1.3</w:t>
            </w:r>
          </w:p>
        </w:tc>
        <w:tc>
          <w:tcPr>
            <w:tcW w:w="2084"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项目名称</w:t>
            </w:r>
          </w:p>
        </w:tc>
        <w:tc>
          <w:tcPr>
            <w:tcW w:w="5805" w:type="dxa"/>
            <w:gridSpan w:val="2"/>
            <w:tcBorders>
              <w:left w:val="single" w:color="auto" w:sz="4" w:space="0"/>
              <w:right w:val="single" w:color="auto" w:sz="4" w:space="0"/>
            </w:tcBorders>
            <w:vAlign w:val="center"/>
          </w:tcPr>
          <w:p>
            <w:pPr>
              <w:tabs>
                <w:tab w:val="right" w:leader="dot" w:pos="8295"/>
              </w:tabs>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lang w:eastAsia="zh-CN"/>
              </w:rPr>
              <w:t>张潘镇陶庄村道路工程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1.1.4</w:t>
            </w:r>
          </w:p>
        </w:tc>
        <w:tc>
          <w:tcPr>
            <w:tcW w:w="2084"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建设地点</w:t>
            </w:r>
          </w:p>
        </w:tc>
        <w:tc>
          <w:tcPr>
            <w:tcW w:w="5805" w:type="dxa"/>
            <w:gridSpan w:val="2"/>
            <w:tcBorders>
              <w:left w:val="single" w:color="auto" w:sz="4" w:space="0"/>
              <w:right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lang w:eastAsia="zh-CN"/>
              </w:rPr>
              <w:t>许昌市建安区张潘镇陶庄村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1.1.5</w:t>
            </w:r>
          </w:p>
        </w:tc>
        <w:tc>
          <w:tcPr>
            <w:tcW w:w="2084" w:type="dxa"/>
            <w:gridSpan w:val="2"/>
            <w:tcBorders>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资金来源</w:t>
            </w:r>
          </w:p>
        </w:tc>
        <w:tc>
          <w:tcPr>
            <w:tcW w:w="5805" w:type="dxa"/>
            <w:gridSpan w:val="2"/>
            <w:tcBorders>
              <w:left w:val="single" w:color="auto" w:sz="4" w:space="0"/>
              <w:bottom w:val="single" w:color="auto" w:sz="4" w:space="0"/>
              <w:right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val="en-US" w:eastAsia="zh-CN"/>
              </w:rPr>
              <w:t>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出资比例</w:t>
            </w:r>
          </w:p>
        </w:tc>
        <w:tc>
          <w:tcPr>
            <w:tcW w:w="5805" w:type="dxa"/>
            <w:gridSpan w:val="2"/>
            <w:tcBorders>
              <w:top w:val="single" w:color="auto" w:sz="4" w:space="0"/>
            </w:tcBorders>
            <w:vAlign w:val="center"/>
          </w:tcPr>
          <w:p>
            <w:pPr>
              <w:spacing w:line="500" w:lineRule="exact"/>
              <w:rPr>
                <w:rFonts w:ascii="宋体" w:hAnsi="宋体"/>
                <w:color w:val="auto"/>
                <w:sz w:val="24"/>
                <w:highlight w:val="none"/>
              </w:rPr>
            </w:pPr>
            <w:r>
              <w:rPr>
                <w:rFonts w:hint="eastAsia" w:ascii="宋体" w:hAnsi="宋体"/>
                <w:bCs/>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w:t>
            </w:r>
            <w:r>
              <w:rPr>
                <w:rFonts w:hint="eastAsia" w:ascii="宋体" w:hAnsi="宋体"/>
                <w:color w:val="auto"/>
                <w:sz w:val="24"/>
                <w:highlight w:val="none"/>
                <w:lang w:val="en-US" w:eastAsia="zh-CN"/>
              </w:rPr>
              <w:t>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资金落实情况</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建设资金已落实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招标范围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s="宋体"/>
                <w:color w:val="auto"/>
                <w:kern w:val="0"/>
                <w:sz w:val="24"/>
                <w:highlight w:val="none"/>
                <w:shd w:val="clear" w:color="auto" w:fill="FFFFFF"/>
              </w:rPr>
              <w:t>招标文件、工程量清单、施工图、设计变更及答疑纪要</w:t>
            </w:r>
            <w:r>
              <w:rPr>
                <w:rFonts w:hint="eastAsia" w:ascii="宋体" w:hAnsi="宋体" w:cs="宋体"/>
                <w:color w:val="auto"/>
                <w:kern w:val="0"/>
                <w:sz w:val="24"/>
                <w:highlight w:val="none"/>
                <w:shd w:val="clear" w:color="auto" w:fill="FFFFFF"/>
                <w:lang w:eastAsia="zh-CN"/>
              </w:rPr>
              <w:t>（如有）</w:t>
            </w:r>
            <w:r>
              <w:rPr>
                <w:rFonts w:hint="eastAsia" w:ascii="宋体" w:hAnsi="宋体" w:cs="宋体"/>
                <w:color w:val="auto"/>
                <w:kern w:val="0"/>
                <w:sz w:val="24"/>
                <w:highlight w:val="none"/>
                <w:shd w:val="clear" w:color="auto" w:fill="FFFFFF"/>
              </w:rPr>
              <w:t>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工期要求</w:t>
            </w:r>
          </w:p>
        </w:tc>
        <w:tc>
          <w:tcPr>
            <w:tcW w:w="5805" w:type="dxa"/>
            <w:gridSpan w:val="2"/>
            <w:vAlign w:val="center"/>
          </w:tcPr>
          <w:p>
            <w:pPr>
              <w:tabs>
                <w:tab w:val="right" w:leader="dot" w:pos="8295"/>
              </w:tabs>
              <w:spacing w:line="500" w:lineRule="exact"/>
              <w:jc w:val="left"/>
              <w:rPr>
                <w:color w:val="auto"/>
                <w:sz w:val="24"/>
                <w:highlight w:val="none"/>
              </w:rPr>
            </w:pPr>
            <w:r>
              <w:rPr>
                <w:rFonts w:hint="eastAsia"/>
                <w:i w:val="0"/>
                <w:iCs w:val="0"/>
                <w:color w:val="auto"/>
                <w:sz w:val="24"/>
                <w:highlight w:val="none"/>
                <w:lang w:val="en-US" w:eastAsia="zh-CN"/>
              </w:rPr>
              <w:t>30</w:t>
            </w:r>
            <w:r>
              <w:rPr>
                <w:i w:val="0"/>
                <w:iCs w:val="0"/>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1.3.3</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质量要求</w:t>
            </w:r>
          </w:p>
        </w:tc>
        <w:tc>
          <w:tcPr>
            <w:tcW w:w="5805" w:type="dxa"/>
            <w:gridSpan w:val="2"/>
            <w:vAlign w:val="center"/>
          </w:tcPr>
          <w:p>
            <w:pPr>
              <w:tabs>
                <w:tab w:val="right" w:leader="dot" w:pos="8295"/>
              </w:tabs>
              <w:spacing w:line="500" w:lineRule="exact"/>
              <w:rPr>
                <w:color w:val="auto"/>
                <w:sz w:val="24"/>
                <w:highlight w:val="none"/>
                <w:u w:val="single"/>
              </w:rPr>
            </w:pPr>
            <w:r>
              <w:rPr>
                <w:rFonts w:hint="eastAsia"/>
                <w:color w:val="auto"/>
                <w:sz w:val="24"/>
                <w:highlight w:val="none"/>
              </w:rPr>
              <w:t>合格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2174" w:hRule="atLeast"/>
          <w:jc w:val="center"/>
        </w:trPr>
        <w:tc>
          <w:tcPr>
            <w:tcW w:w="1202" w:type="dxa"/>
            <w:tcBorders>
              <w:top w:val="single" w:color="auto" w:sz="4" w:space="0"/>
              <w:left w:val="single" w:color="auto" w:sz="4" w:space="0"/>
            </w:tcBorders>
            <w:vAlign w:val="center"/>
          </w:tcPr>
          <w:p>
            <w:pPr>
              <w:spacing w:line="500" w:lineRule="exact"/>
              <w:jc w:val="center"/>
              <w:rPr>
                <w:rFonts w:ascii="宋体" w:hAnsi="宋体"/>
                <w:color w:val="auto"/>
                <w:sz w:val="24"/>
                <w:highlight w:val="none"/>
                <w:vertAlign w:val="superscript"/>
              </w:rPr>
            </w:pPr>
            <w:r>
              <w:rPr>
                <w:rFonts w:ascii="宋体" w:hAnsi="宋体"/>
                <w:color w:val="auto"/>
                <w:sz w:val="24"/>
                <w:highlight w:val="none"/>
              </w:rPr>
              <w:t>1.4.</w:t>
            </w:r>
            <w:r>
              <w:rPr>
                <w:rFonts w:hint="eastAsia" w:ascii="宋体" w:hAnsi="宋体"/>
                <w:color w:val="auto"/>
                <w:sz w:val="24"/>
                <w:highlight w:val="none"/>
              </w:rPr>
              <w:t>1</w:t>
            </w:r>
            <w:r>
              <w:rPr>
                <w:rFonts w:hint="eastAsia" w:ascii="宋体" w:hAnsi="宋体"/>
                <w:color w:val="auto"/>
                <w:sz w:val="24"/>
                <w:highlight w:val="none"/>
                <w:vertAlign w:val="superscript"/>
              </w:rPr>
              <w:t xml:space="preserve"> </w:t>
            </w:r>
          </w:p>
        </w:tc>
        <w:tc>
          <w:tcPr>
            <w:tcW w:w="2084" w:type="dxa"/>
            <w:gridSpan w:val="2"/>
            <w:tcBorders>
              <w:top w:val="single" w:color="auto" w:sz="4" w:space="0"/>
            </w:tcBorders>
            <w:vAlign w:val="center"/>
          </w:tcPr>
          <w:p>
            <w:pPr>
              <w:spacing w:line="500" w:lineRule="exact"/>
              <w:jc w:val="center"/>
              <w:rPr>
                <w:rFonts w:ascii="宋体" w:hAnsi="宋体"/>
                <w:color w:val="auto"/>
                <w:sz w:val="24"/>
                <w:highlight w:val="none"/>
              </w:rPr>
            </w:pPr>
            <w:r>
              <w:rPr>
                <w:rFonts w:ascii="宋体" w:hAnsi="宋体"/>
                <w:color w:val="auto"/>
                <w:sz w:val="24"/>
                <w:highlight w:val="none"/>
              </w:rPr>
              <w:t>投标人资质条件、能力和信誉</w:t>
            </w:r>
          </w:p>
        </w:tc>
        <w:tc>
          <w:tcPr>
            <w:tcW w:w="5805" w:type="dxa"/>
            <w:gridSpan w:val="2"/>
            <w:tcBorders>
              <w:right w:val="single" w:color="auto" w:sz="4" w:space="0"/>
            </w:tcBorders>
            <w:vAlign w:val="center"/>
          </w:tcPr>
          <w:p>
            <w:pPr>
              <w:spacing w:line="500" w:lineRule="exact"/>
              <w:rPr>
                <w:rFonts w:ascii="宋体" w:hAnsi="宋体"/>
                <w:color w:val="auto"/>
                <w:sz w:val="24"/>
                <w:highlight w:val="none"/>
              </w:rPr>
            </w:pPr>
            <w:r>
              <w:rPr>
                <w:rFonts w:ascii="宋体" w:hAnsi="宋体"/>
                <w:color w:val="auto"/>
                <w:sz w:val="24"/>
                <w:highlight w:val="none"/>
              </w:rPr>
              <w:t>资质条件：</w:t>
            </w:r>
            <w:r>
              <w:rPr>
                <w:rFonts w:hint="eastAsia" w:ascii="宋体" w:hAnsi="宋体"/>
                <w:color w:val="auto"/>
                <w:sz w:val="24"/>
                <w:highlight w:val="none"/>
              </w:rPr>
              <w:t>见附录1</w:t>
            </w:r>
          </w:p>
          <w:p>
            <w:pPr>
              <w:spacing w:line="500" w:lineRule="exact"/>
              <w:rPr>
                <w:rFonts w:ascii="宋体" w:hAnsi="宋体"/>
                <w:color w:val="auto"/>
                <w:sz w:val="24"/>
                <w:highlight w:val="none"/>
              </w:rPr>
            </w:pPr>
            <w:r>
              <w:rPr>
                <w:rFonts w:ascii="宋体" w:hAnsi="宋体"/>
                <w:color w:val="auto"/>
                <w:sz w:val="24"/>
                <w:highlight w:val="none"/>
              </w:rPr>
              <w:t>财务要求：</w:t>
            </w:r>
            <w:r>
              <w:rPr>
                <w:rFonts w:hint="eastAsia" w:ascii="宋体" w:hAnsi="宋体"/>
                <w:color w:val="auto"/>
                <w:sz w:val="24"/>
                <w:highlight w:val="none"/>
              </w:rPr>
              <w:t>见附录2</w:t>
            </w:r>
          </w:p>
          <w:p>
            <w:pPr>
              <w:spacing w:line="500" w:lineRule="exact"/>
              <w:rPr>
                <w:rFonts w:ascii="宋体" w:hAnsi="宋体"/>
                <w:color w:val="auto"/>
                <w:sz w:val="24"/>
                <w:highlight w:val="none"/>
              </w:rPr>
            </w:pPr>
            <w:r>
              <w:rPr>
                <w:rFonts w:ascii="宋体" w:hAnsi="宋体"/>
                <w:color w:val="auto"/>
                <w:sz w:val="24"/>
                <w:highlight w:val="none"/>
              </w:rPr>
              <w:t>业绩要求：</w:t>
            </w:r>
            <w:r>
              <w:rPr>
                <w:rFonts w:hint="eastAsia" w:ascii="宋体" w:hAnsi="宋体"/>
                <w:color w:val="auto"/>
                <w:sz w:val="24"/>
                <w:highlight w:val="none"/>
              </w:rPr>
              <w:t>见附录3</w:t>
            </w:r>
          </w:p>
          <w:p>
            <w:pPr>
              <w:spacing w:line="500" w:lineRule="exact"/>
              <w:rPr>
                <w:rFonts w:ascii="宋体" w:hAnsi="宋体"/>
                <w:color w:val="auto"/>
                <w:sz w:val="24"/>
                <w:highlight w:val="none"/>
              </w:rPr>
            </w:pPr>
            <w:r>
              <w:rPr>
                <w:rFonts w:hint="eastAsia" w:ascii="宋体" w:hAnsi="宋体"/>
                <w:color w:val="auto"/>
                <w:sz w:val="24"/>
                <w:highlight w:val="none"/>
              </w:rPr>
              <w:t>信誉要求：见附录4</w:t>
            </w:r>
          </w:p>
          <w:p>
            <w:pPr>
              <w:spacing w:line="500" w:lineRule="exact"/>
              <w:rPr>
                <w:rFonts w:ascii="宋体" w:hAnsi="宋体"/>
                <w:color w:val="auto"/>
                <w:sz w:val="24"/>
                <w:highlight w:val="none"/>
              </w:rPr>
            </w:pPr>
            <w:r>
              <w:rPr>
                <w:rFonts w:hint="eastAsia" w:ascii="宋体" w:hAnsi="宋体"/>
                <w:color w:val="auto"/>
                <w:sz w:val="24"/>
                <w:highlight w:val="none"/>
              </w:rPr>
              <w:t>项目经理和项目总工资格：见附录5</w:t>
            </w:r>
          </w:p>
          <w:p>
            <w:pPr>
              <w:spacing w:line="500" w:lineRule="exact"/>
              <w:rPr>
                <w:rFonts w:ascii="宋体" w:hAnsi="宋体"/>
                <w:color w:val="auto"/>
                <w:sz w:val="24"/>
                <w:highlight w:val="none"/>
              </w:rPr>
            </w:pPr>
            <w:r>
              <w:rPr>
                <w:rFonts w:hint="eastAsia" w:ascii="宋体" w:hAnsi="宋体"/>
                <w:color w:val="auto"/>
                <w:sz w:val="24"/>
                <w:highlight w:val="none"/>
              </w:rPr>
              <w:t>其他要求：见附录6和7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202" w:type="dxa"/>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1.4.2</w:t>
            </w:r>
          </w:p>
        </w:tc>
        <w:tc>
          <w:tcPr>
            <w:tcW w:w="2084" w:type="dxa"/>
            <w:gridSpan w:val="2"/>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是否接受联合体资格投标</w:t>
            </w:r>
          </w:p>
        </w:tc>
        <w:tc>
          <w:tcPr>
            <w:tcW w:w="5805" w:type="dxa"/>
            <w:gridSpan w:val="2"/>
            <w:vAlign w:val="center"/>
          </w:tcPr>
          <w:p>
            <w:pPr>
              <w:spacing w:line="500" w:lineRule="exact"/>
              <w:jc w:val="both"/>
              <w:rPr>
                <w:rFonts w:hint="eastAsia" w:ascii="宋体" w:hAnsi="宋体"/>
                <w:color w:val="auto"/>
                <w:sz w:val="24"/>
                <w:highlight w:val="none"/>
              </w:rPr>
            </w:pPr>
            <w:r>
              <w:rPr>
                <w:rFonts w:hint="eastAsia" w:ascii="宋体" w:hAnsi="宋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5</w:t>
            </w:r>
            <w:r>
              <w:rPr>
                <w:rFonts w:hint="eastAsia" w:ascii="宋体" w:hAnsi="宋体"/>
                <w:color w:val="auto"/>
                <w:sz w:val="24"/>
                <w:highlight w:val="none"/>
              </w:rPr>
              <w:t>.1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踏勘现场</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投标预备会</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投标人提出问题的截止时间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递交投标文件的截止之日10日前提出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6</w:t>
            </w:r>
            <w:r>
              <w:rPr>
                <w:rFonts w:hint="eastAsia" w:ascii="宋体" w:hAnsi="宋体"/>
                <w:color w:val="auto"/>
                <w:sz w:val="24"/>
                <w:highlight w:val="none"/>
              </w:rPr>
              <w:t>.3</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招标人书面澄清的时间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递交投标文件的截止之日15日前提出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7</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偏离</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1</w:t>
            </w:r>
            <w:r>
              <w:rPr>
                <w:rFonts w:hint="eastAsia" w:ascii="宋体" w:hAnsi="宋体"/>
                <w:color w:val="auto"/>
                <w:sz w:val="24"/>
                <w:highlight w:val="none"/>
              </w:rPr>
              <w:t>.1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投标人要求澄清招标文件的截止时间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递交投标文件截止之日10日前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exac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1</w:t>
            </w:r>
            <w:r>
              <w:rPr>
                <w:rFonts w:hint="eastAsia" w:ascii="宋体" w:hAnsi="宋体"/>
                <w:color w:val="auto"/>
                <w:sz w:val="24"/>
                <w:highlight w:val="none"/>
              </w:rPr>
              <w:t>.2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投标截止时间</w:t>
            </w:r>
          </w:p>
        </w:tc>
        <w:tc>
          <w:tcPr>
            <w:tcW w:w="5805" w:type="dxa"/>
            <w:gridSpan w:val="2"/>
            <w:vAlign w:val="center"/>
          </w:tcPr>
          <w:p>
            <w:pPr>
              <w:spacing w:line="500" w:lineRule="exact"/>
              <w:rPr>
                <w:rFonts w:ascii="宋体" w:hAnsi="宋体"/>
                <w:b/>
                <w:color w:val="auto"/>
                <w:sz w:val="24"/>
                <w:highlight w:val="none"/>
              </w:rPr>
            </w:pPr>
            <w:r>
              <w:rPr>
                <w:rFonts w:hint="eastAsia" w:ascii="宋体" w:hAnsi="宋体"/>
                <w:b/>
                <w:color w:val="auto"/>
                <w:sz w:val="24"/>
                <w:highlight w:val="none"/>
              </w:rPr>
              <w:t>201</w:t>
            </w:r>
            <w:r>
              <w:rPr>
                <w:rFonts w:hint="eastAsia" w:ascii="宋体" w:hAnsi="宋体"/>
                <w:b/>
                <w:color w:val="auto"/>
                <w:sz w:val="24"/>
                <w:highlight w:val="none"/>
                <w:lang w:val="en-US" w:eastAsia="zh-CN"/>
              </w:rPr>
              <w:t>8</w:t>
            </w:r>
            <w:r>
              <w:rPr>
                <w:rFonts w:hint="eastAsia" w:ascii="宋体" w:hAnsi="宋体"/>
                <w:b/>
                <w:color w:val="auto"/>
                <w:sz w:val="24"/>
                <w:highlight w:val="none"/>
              </w:rPr>
              <w:t>年</w:t>
            </w:r>
            <w:r>
              <w:rPr>
                <w:rFonts w:hint="eastAsia" w:ascii="宋体" w:hAnsi="宋体"/>
                <w:b/>
                <w:color w:val="auto"/>
                <w:sz w:val="24"/>
                <w:highlight w:val="none"/>
                <w:lang w:val="en-US" w:eastAsia="zh-CN"/>
              </w:rPr>
              <w:t>1</w:t>
            </w:r>
            <w:r>
              <w:rPr>
                <w:rFonts w:hint="eastAsia" w:ascii="宋体" w:hAnsi="宋体"/>
                <w:b/>
                <w:color w:val="auto"/>
                <w:sz w:val="24"/>
                <w:highlight w:val="none"/>
              </w:rPr>
              <w:t>月</w:t>
            </w:r>
            <w:r>
              <w:rPr>
                <w:rFonts w:hint="eastAsia" w:ascii="宋体" w:hAnsi="宋体"/>
                <w:b/>
                <w:color w:val="auto"/>
                <w:sz w:val="24"/>
                <w:highlight w:val="none"/>
                <w:lang w:val="en-US" w:eastAsia="zh-CN"/>
              </w:rPr>
              <w:t>29</w:t>
            </w:r>
            <w:r>
              <w:rPr>
                <w:rFonts w:hint="eastAsia" w:ascii="宋体" w:hAnsi="宋体"/>
                <w:b/>
                <w:color w:val="auto"/>
                <w:sz w:val="24"/>
                <w:highlight w:val="none"/>
              </w:rPr>
              <w:t>日</w:t>
            </w:r>
            <w:r>
              <w:rPr>
                <w:rFonts w:hint="eastAsia" w:ascii="宋体" w:hAnsi="宋体"/>
                <w:b/>
                <w:color w:val="auto"/>
                <w:sz w:val="24"/>
                <w:highlight w:val="none"/>
                <w:lang w:val="en-US" w:eastAsia="zh-CN"/>
              </w:rPr>
              <w:t>9</w:t>
            </w:r>
            <w:r>
              <w:rPr>
                <w:rFonts w:hint="eastAsia" w:ascii="宋体" w:hAnsi="宋体"/>
                <w:b/>
                <w:color w:val="auto"/>
                <w:sz w:val="24"/>
                <w:highlight w:val="none"/>
              </w:rPr>
              <w:t>时</w:t>
            </w:r>
            <w:r>
              <w:rPr>
                <w:rFonts w:hint="eastAsia" w:ascii="宋体" w:hAnsi="宋体"/>
                <w:b/>
                <w:color w:val="auto"/>
                <w:sz w:val="24"/>
                <w:highlight w:val="none"/>
                <w:lang w:val="en-US" w:eastAsia="zh-CN"/>
              </w:rPr>
              <w:t xml:space="preserve"> 30</w:t>
            </w:r>
            <w:r>
              <w:rPr>
                <w:rFonts w:hint="eastAsia" w:ascii="宋体" w:hAnsi="宋体"/>
                <w:b/>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1</w:t>
            </w:r>
            <w:r>
              <w:rPr>
                <w:rFonts w:hint="eastAsia" w:ascii="宋体" w:hAnsi="宋体"/>
                <w:color w:val="auto"/>
                <w:sz w:val="24"/>
                <w:highlight w:val="none"/>
              </w:rPr>
              <w:t>.3</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投标人确认收到招标文件澄清的时间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收到澄清后2日内（以发出时间为准）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2</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投标人确认收到招标文件修改的时间</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收到修改后</w:t>
            </w:r>
            <w:r>
              <w:rPr>
                <w:rFonts w:hint="eastAsia" w:ascii="宋体" w:hAnsi="宋体"/>
                <w:color w:val="auto"/>
                <w:sz w:val="24"/>
                <w:highlight w:val="none"/>
                <w:u w:val="single"/>
              </w:rPr>
              <w:t>2</w:t>
            </w:r>
            <w:r>
              <w:rPr>
                <w:rFonts w:hint="eastAsia" w:ascii="宋体" w:hAnsi="宋体"/>
                <w:color w:val="auto"/>
                <w:sz w:val="24"/>
                <w:highlight w:val="none"/>
              </w:rPr>
              <w:t>日内（以发出时间为准）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202"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3.1</w:t>
            </w:r>
          </w:p>
        </w:tc>
        <w:tc>
          <w:tcPr>
            <w:tcW w:w="2084" w:type="dxa"/>
            <w:gridSpan w:val="2"/>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构成投标文件的其他材料</w:t>
            </w:r>
          </w:p>
        </w:tc>
        <w:tc>
          <w:tcPr>
            <w:tcW w:w="5805" w:type="dxa"/>
            <w:gridSpan w:val="2"/>
            <w:vAlign w:val="center"/>
          </w:tcPr>
          <w:p>
            <w:pPr>
              <w:spacing w:line="500" w:lineRule="exact"/>
              <w:rPr>
                <w:rFonts w:ascii="宋体" w:hAnsi="宋体"/>
                <w:color w:val="auto"/>
                <w:sz w:val="24"/>
                <w:highlight w:val="none"/>
              </w:rPr>
            </w:pPr>
            <w:r>
              <w:rPr>
                <w:rFonts w:hint="eastAsia" w:ascii="宋体" w:hAnsi="宋体"/>
                <w:color w:val="auto"/>
                <w:sz w:val="24"/>
                <w:highlight w:val="none"/>
              </w:rPr>
              <w:t>（1）投标人认为其它需要补充的内容</w:t>
            </w:r>
          </w:p>
          <w:p>
            <w:pPr>
              <w:spacing w:line="500" w:lineRule="exact"/>
              <w:rPr>
                <w:rFonts w:ascii="宋体" w:hAnsi="宋体"/>
                <w:b/>
                <w:color w:val="auto"/>
                <w:sz w:val="24"/>
                <w:highlight w:val="none"/>
              </w:rPr>
            </w:pPr>
            <w:r>
              <w:rPr>
                <w:rFonts w:hint="eastAsia" w:ascii="宋体" w:hAnsi="宋体"/>
                <w:color w:val="auto"/>
                <w:sz w:val="24"/>
                <w:highlight w:val="none"/>
              </w:rPr>
              <w:t>（2）本项目所发出的补遗书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16" w:hRule="atLeast"/>
          <w:jc w:val="center"/>
        </w:trPr>
        <w:tc>
          <w:tcPr>
            <w:tcW w:w="1202" w:type="dxa"/>
            <w:tcBorders>
              <w:left w:val="single" w:color="auto" w:sz="4" w:space="0"/>
            </w:tcBorders>
            <w:vAlign w:val="center"/>
          </w:tcPr>
          <w:p>
            <w:pPr>
              <w:adjustRightInd w:val="0"/>
              <w:snapToGrid w:val="0"/>
              <w:spacing w:line="500" w:lineRule="exact"/>
              <w:jc w:val="center"/>
              <w:rPr>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1</w:t>
            </w:r>
          </w:p>
        </w:tc>
        <w:tc>
          <w:tcPr>
            <w:tcW w:w="2084" w:type="dxa"/>
            <w:gridSpan w:val="2"/>
            <w:vAlign w:val="center"/>
          </w:tcPr>
          <w:p>
            <w:pPr>
              <w:adjustRightInd w:val="0"/>
              <w:snapToGrid w:val="0"/>
              <w:spacing w:line="500" w:lineRule="exact"/>
              <w:jc w:val="center"/>
              <w:rPr>
                <w:color w:val="auto"/>
                <w:sz w:val="24"/>
                <w:highlight w:val="none"/>
              </w:rPr>
            </w:pPr>
            <w:r>
              <w:rPr>
                <w:color w:val="auto"/>
                <w:sz w:val="24"/>
                <w:highlight w:val="none"/>
              </w:rPr>
              <w:t>近年完成的类似项目的年份要求</w:t>
            </w:r>
          </w:p>
        </w:tc>
        <w:tc>
          <w:tcPr>
            <w:tcW w:w="5805" w:type="dxa"/>
            <w:gridSpan w:val="2"/>
            <w:tcBorders>
              <w:right w:val="single" w:color="auto" w:sz="4" w:space="0"/>
            </w:tcBorders>
            <w:vAlign w:val="center"/>
          </w:tcPr>
          <w:p>
            <w:pPr>
              <w:adjustRightInd w:val="0"/>
              <w:snapToGrid w:val="0"/>
              <w:spacing w:line="500" w:lineRule="exact"/>
              <w:rPr>
                <w:color w:val="auto"/>
                <w:sz w:val="24"/>
                <w:highlight w:val="none"/>
              </w:rPr>
            </w:pPr>
            <w:r>
              <w:rPr>
                <w:color w:val="auto"/>
                <w:sz w:val="24"/>
                <w:highlight w:val="none"/>
              </w:rPr>
              <w:t>2</w:t>
            </w:r>
            <w:r>
              <w:rPr>
                <w:rFonts w:hint="eastAsia" w:ascii="宋体" w:hAnsi="宋体"/>
                <w:color w:val="auto"/>
                <w:sz w:val="24"/>
                <w:highlight w:val="none"/>
              </w:rPr>
              <w:t>01</w:t>
            </w:r>
            <w:r>
              <w:rPr>
                <w:rFonts w:hint="eastAsia" w:ascii="宋体" w:hAnsi="宋体"/>
                <w:color w:val="auto"/>
                <w:sz w:val="24"/>
                <w:highlight w:val="none"/>
                <w:lang w:val="en-US" w:eastAsia="zh-CN"/>
              </w:rPr>
              <w:t>5</w:t>
            </w:r>
            <w:r>
              <w:rPr>
                <w:rFonts w:hint="eastAsia" w:ascii="宋体" w:hAnsi="宋体"/>
                <w:color w:val="auto"/>
                <w:sz w:val="24"/>
                <w:highlight w:val="none"/>
              </w:rPr>
              <w:t>年1月1日起至今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202"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3.2.</w:t>
            </w:r>
            <w:r>
              <w:rPr>
                <w:rFonts w:hint="eastAsia" w:ascii="宋体" w:hAnsi="宋体"/>
                <w:color w:val="auto"/>
                <w:sz w:val="24"/>
                <w:highlight w:val="none"/>
                <w:lang w:val="en-US" w:eastAsia="zh-CN"/>
              </w:rPr>
              <w:t>2</w:t>
            </w:r>
          </w:p>
        </w:tc>
        <w:tc>
          <w:tcPr>
            <w:tcW w:w="2084"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调价函</w:t>
            </w:r>
          </w:p>
        </w:tc>
        <w:tc>
          <w:tcPr>
            <w:tcW w:w="5805" w:type="dxa"/>
            <w:gridSpan w:val="2"/>
            <w:tcBorders>
              <w:bottom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exact"/>
          <w:jc w:val="center"/>
        </w:trPr>
        <w:tc>
          <w:tcPr>
            <w:tcW w:w="1202" w:type="dxa"/>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3.3</w:t>
            </w:r>
          </w:p>
        </w:tc>
        <w:tc>
          <w:tcPr>
            <w:tcW w:w="2084" w:type="dxa"/>
            <w:gridSpan w:val="2"/>
            <w:tcBorders>
              <w:bottom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投标有效期</w:t>
            </w:r>
          </w:p>
        </w:tc>
        <w:tc>
          <w:tcPr>
            <w:tcW w:w="5805" w:type="dxa"/>
            <w:gridSpan w:val="2"/>
            <w:tcBorders>
              <w:bottom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投标截止时间起60日历天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02" w:type="dxa"/>
            <w:tcBorders>
              <w:bottom w:val="single" w:color="auto" w:sz="4" w:space="0"/>
            </w:tcBorders>
            <w:vAlign w:val="center"/>
          </w:tcPr>
          <w:p>
            <w:pPr>
              <w:spacing w:line="500" w:lineRule="exact"/>
              <w:jc w:val="center"/>
              <w:rPr>
                <w:rFonts w:hint="eastAsia" w:ascii="宋体" w:hAnsi="宋体"/>
                <w:color w:val="auto"/>
                <w:sz w:val="24"/>
                <w:highlight w:val="none"/>
                <w:lang w:val="en-US" w:eastAsia="zh-CN"/>
              </w:rPr>
            </w:pPr>
          </w:p>
          <w:p>
            <w:pPr>
              <w:spacing w:line="500" w:lineRule="exact"/>
              <w:jc w:val="center"/>
              <w:rPr>
                <w:rFonts w:hint="eastAsia" w:ascii="宋体" w:hAnsi="宋体"/>
                <w:color w:val="auto"/>
                <w:sz w:val="24"/>
                <w:highlight w:val="none"/>
                <w:lang w:val="en-US" w:eastAsia="zh-CN"/>
              </w:rPr>
            </w:pPr>
          </w:p>
          <w:p>
            <w:pPr>
              <w:spacing w:line="500" w:lineRule="exact"/>
              <w:jc w:val="center"/>
              <w:rPr>
                <w:rFonts w:hint="eastAsia" w:ascii="宋体" w:hAnsi="宋体"/>
                <w:color w:val="auto"/>
                <w:sz w:val="24"/>
                <w:highlight w:val="none"/>
                <w:lang w:val="en-US" w:eastAsia="zh-CN"/>
              </w:rPr>
            </w:pPr>
          </w:p>
          <w:p>
            <w:pPr>
              <w:spacing w:line="500" w:lineRule="exact"/>
              <w:jc w:val="center"/>
              <w:rPr>
                <w:rFonts w:hint="eastAsia" w:ascii="宋体" w:hAnsi="宋体"/>
                <w:color w:val="auto"/>
                <w:sz w:val="24"/>
                <w:highlight w:val="none"/>
                <w:lang w:val="en-US" w:eastAsia="zh-CN"/>
              </w:rPr>
            </w:pPr>
          </w:p>
          <w:p>
            <w:pPr>
              <w:spacing w:line="500" w:lineRule="exact"/>
              <w:jc w:val="center"/>
              <w:rPr>
                <w:rFonts w:hint="eastAsia" w:ascii="宋体" w:hAnsi="宋体"/>
                <w:color w:val="auto"/>
                <w:sz w:val="24"/>
                <w:highlight w:val="none"/>
                <w:lang w:val="en-US" w:eastAsia="zh-CN"/>
              </w:rPr>
            </w:pPr>
          </w:p>
          <w:p>
            <w:pPr>
              <w:spacing w:line="500" w:lineRule="exact"/>
              <w:jc w:val="center"/>
              <w:rPr>
                <w:rFonts w:hint="eastAsia" w:ascii="宋体" w:hAnsi="宋体"/>
                <w:color w:val="auto"/>
                <w:sz w:val="24"/>
                <w:highlight w:val="none"/>
                <w:lang w:val="en-US" w:eastAsia="zh-CN"/>
              </w:rPr>
            </w:pPr>
          </w:p>
          <w:p>
            <w:pPr>
              <w:spacing w:line="500" w:lineRule="exact"/>
              <w:jc w:val="center"/>
              <w:rPr>
                <w:rFonts w:hint="eastAsia" w:ascii="宋体" w:hAnsi="宋体"/>
                <w:color w:val="auto"/>
                <w:sz w:val="24"/>
                <w:highlight w:val="none"/>
                <w:lang w:val="en-US" w:eastAsia="zh-CN"/>
              </w:rPr>
            </w:pPr>
          </w:p>
          <w:p>
            <w:pPr>
              <w:spacing w:line="500" w:lineRule="exact"/>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3.4.1</w:t>
            </w:r>
          </w:p>
        </w:tc>
        <w:tc>
          <w:tcPr>
            <w:tcW w:w="2084" w:type="dxa"/>
            <w:gridSpan w:val="2"/>
            <w:tcBorders>
              <w:bottom w:val="single" w:color="auto" w:sz="4" w:space="0"/>
            </w:tcBorders>
            <w:vAlign w:val="center"/>
          </w:tcPr>
          <w:p>
            <w:pPr>
              <w:spacing w:line="500" w:lineRule="exact"/>
              <w:jc w:val="center"/>
              <w:rPr>
                <w:rFonts w:hint="eastAsia" w:ascii="宋体" w:hAnsi="宋体"/>
                <w:color w:val="auto"/>
                <w:sz w:val="24"/>
                <w:highlight w:val="none"/>
              </w:rPr>
            </w:pPr>
          </w:p>
          <w:p>
            <w:pPr>
              <w:spacing w:line="500" w:lineRule="exact"/>
              <w:jc w:val="center"/>
              <w:rPr>
                <w:rFonts w:hint="eastAsia" w:ascii="宋体" w:hAnsi="宋体"/>
                <w:color w:val="auto"/>
                <w:sz w:val="24"/>
                <w:highlight w:val="none"/>
              </w:rPr>
            </w:pPr>
          </w:p>
          <w:p>
            <w:pPr>
              <w:spacing w:line="500" w:lineRule="exact"/>
              <w:jc w:val="center"/>
              <w:rPr>
                <w:rFonts w:hint="eastAsia" w:ascii="宋体" w:hAnsi="宋体"/>
                <w:color w:val="auto"/>
                <w:sz w:val="24"/>
                <w:highlight w:val="none"/>
              </w:rPr>
            </w:pPr>
          </w:p>
          <w:p>
            <w:pPr>
              <w:spacing w:line="500" w:lineRule="exact"/>
              <w:jc w:val="center"/>
              <w:rPr>
                <w:rFonts w:hint="eastAsia" w:ascii="宋体" w:hAnsi="宋体"/>
                <w:color w:val="auto"/>
                <w:sz w:val="24"/>
                <w:highlight w:val="none"/>
              </w:rPr>
            </w:pPr>
          </w:p>
          <w:p>
            <w:pPr>
              <w:spacing w:line="500" w:lineRule="exact"/>
              <w:jc w:val="center"/>
              <w:rPr>
                <w:rFonts w:hint="eastAsia" w:ascii="宋体" w:hAnsi="宋体"/>
                <w:color w:val="auto"/>
                <w:sz w:val="24"/>
                <w:highlight w:val="none"/>
              </w:rPr>
            </w:pPr>
          </w:p>
          <w:p>
            <w:pPr>
              <w:spacing w:line="500" w:lineRule="exact"/>
              <w:jc w:val="center"/>
              <w:rPr>
                <w:rFonts w:hint="eastAsia" w:ascii="宋体" w:hAnsi="宋体"/>
                <w:color w:val="auto"/>
                <w:sz w:val="24"/>
                <w:highlight w:val="none"/>
              </w:rPr>
            </w:pPr>
          </w:p>
          <w:p>
            <w:pPr>
              <w:spacing w:line="500" w:lineRule="exact"/>
              <w:jc w:val="center"/>
              <w:rPr>
                <w:rFonts w:hint="eastAsia" w:ascii="宋体" w:hAnsi="宋体"/>
                <w:color w:val="auto"/>
                <w:sz w:val="24"/>
                <w:highlight w:val="none"/>
              </w:rPr>
            </w:pPr>
          </w:p>
          <w:p>
            <w:pPr>
              <w:spacing w:line="500" w:lineRule="exact"/>
              <w:jc w:val="center"/>
              <w:rPr>
                <w:rFonts w:hint="eastAsia" w:ascii="宋体" w:hAnsi="宋体"/>
                <w:color w:val="auto"/>
                <w:sz w:val="24"/>
                <w:highlight w:val="none"/>
              </w:rPr>
            </w:pPr>
            <w:r>
              <w:rPr>
                <w:rFonts w:hint="eastAsia" w:ascii="宋体" w:hAnsi="宋体"/>
                <w:color w:val="auto"/>
                <w:sz w:val="24"/>
                <w:highlight w:val="none"/>
              </w:rPr>
              <w:t>投</w:t>
            </w:r>
          </w:p>
          <w:p>
            <w:pPr>
              <w:spacing w:line="500" w:lineRule="exact"/>
              <w:jc w:val="center"/>
              <w:rPr>
                <w:rFonts w:hint="eastAsia" w:ascii="宋体" w:hAnsi="宋体"/>
                <w:color w:val="auto"/>
                <w:sz w:val="24"/>
                <w:highlight w:val="none"/>
              </w:rPr>
            </w:pPr>
            <w:r>
              <w:rPr>
                <w:rFonts w:hint="eastAsia" w:ascii="宋体" w:hAnsi="宋体"/>
                <w:color w:val="auto"/>
                <w:sz w:val="24"/>
                <w:highlight w:val="none"/>
              </w:rPr>
              <w:t>标</w:t>
            </w:r>
          </w:p>
          <w:p>
            <w:pPr>
              <w:spacing w:line="500" w:lineRule="exact"/>
              <w:jc w:val="center"/>
              <w:rPr>
                <w:rFonts w:hint="eastAsia" w:ascii="宋体" w:hAnsi="宋体"/>
                <w:color w:val="auto"/>
                <w:sz w:val="24"/>
                <w:highlight w:val="none"/>
              </w:rPr>
            </w:pPr>
            <w:r>
              <w:rPr>
                <w:rFonts w:hint="eastAsia" w:ascii="宋体" w:hAnsi="宋体"/>
                <w:color w:val="auto"/>
                <w:sz w:val="24"/>
                <w:highlight w:val="none"/>
              </w:rPr>
              <w:t>保</w:t>
            </w:r>
          </w:p>
          <w:p>
            <w:pPr>
              <w:spacing w:line="500" w:lineRule="exact"/>
              <w:jc w:val="center"/>
              <w:rPr>
                <w:rFonts w:hint="eastAsia" w:ascii="宋体" w:hAnsi="宋体"/>
                <w:color w:val="auto"/>
                <w:sz w:val="24"/>
                <w:highlight w:val="none"/>
              </w:rPr>
            </w:pPr>
            <w:r>
              <w:rPr>
                <w:rFonts w:hint="eastAsia" w:ascii="宋体" w:hAnsi="宋体"/>
                <w:color w:val="auto"/>
                <w:sz w:val="24"/>
                <w:highlight w:val="none"/>
              </w:rPr>
              <w:t>证</w:t>
            </w:r>
          </w:p>
          <w:p>
            <w:pPr>
              <w:spacing w:line="500" w:lineRule="exact"/>
              <w:jc w:val="center"/>
              <w:rPr>
                <w:rFonts w:hint="eastAsia" w:ascii="宋体" w:hAnsi="宋体"/>
                <w:color w:val="auto"/>
                <w:sz w:val="24"/>
                <w:highlight w:val="none"/>
              </w:rPr>
            </w:pPr>
            <w:r>
              <w:rPr>
                <w:rFonts w:hint="eastAsia" w:ascii="宋体" w:hAnsi="宋体"/>
                <w:color w:val="auto"/>
                <w:sz w:val="24"/>
                <w:highlight w:val="none"/>
              </w:rPr>
              <w:t>金</w:t>
            </w:r>
          </w:p>
          <w:p>
            <w:pPr>
              <w:spacing w:line="500" w:lineRule="exact"/>
              <w:jc w:val="center"/>
              <w:rPr>
                <w:rFonts w:hint="eastAsia" w:ascii="宋体" w:hAnsi="宋体"/>
                <w:color w:val="auto"/>
                <w:sz w:val="24"/>
                <w:highlight w:val="none"/>
                <w:lang w:val="en-US" w:eastAsia="zh-CN"/>
              </w:rPr>
            </w:pPr>
            <w:r>
              <w:rPr>
                <w:rFonts w:hint="eastAsia" w:ascii="宋体" w:hAnsi="宋体"/>
                <w:color w:val="auto"/>
                <w:sz w:val="24"/>
                <w:highlight w:val="none"/>
                <w:lang w:eastAsia="zh-CN"/>
              </w:rPr>
              <w:t>须</w:t>
            </w:r>
          </w:p>
          <w:p>
            <w:pPr>
              <w:spacing w:line="500" w:lineRule="exact"/>
              <w:jc w:val="center"/>
              <w:rPr>
                <w:rFonts w:hint="eastAsia" w:ascii="宋体" w:hAnsi="宋体"/>
                <w:color w:val="auto"/>
                <w:sz w:val="24"/>
                <w:highlight w:val="none"/>
              </w:rPr>
            </w:pPr>
            <w:r>
              <w:rPr>
                <w:rFonts w:hint="eastAsia" w:ascii="宋体" w:hAnsi="宋体"/>
                <w:color w:val="auto"/>
                <w:sz w:val="24"/>
                <w:highlight w:val="none"/>
                <w:lang w:eastAsia="zh-CN"/>
              </w:rPr>
              <w:t>知</w:t>
            </w:r>
          </w:p>
        </w:tc>
        <w:tc>
          <w:tcPr>
            <w:tcW w:w="5805" w:type="dxa"/>
            <w:gridSpan w:val="2"/>
            <w:tcBorders>
              <w:bottom w:val="single" w:color="auto" w:sz="4" w:space="0"/>
            </w:tcBorders>
            <w:vAlign w:val="center"/>
          </w:tcPr>
          <w:p>
            <w:pPr>
              <w:spacing w:line="500" w:lineRule="exact"/>
              <w:rPr>
                <w:rFonts w:hint="eastAsia" w:ascii="宋体" w:hAnsi="宋体"/>
                <w:color w:val="auto"/>
                <w:sz w:val="24"/>
                <w:highlight w:val="none"/>
              </w:rPr>
            </w:pPr>
            <w:r>
              <w:rPr>
                <w:rFonts w:hint="eastAsia" w:ascii="宋体" w:hAnsi="宋体"/>
                <w:color w:val="auto"/>
                <w:sz w:val="24"/>
                <w:highlight w:val="none"/>
              </w:rPr>
              <w:t>1、因投标人的原因无法及时退还投标（竞买）保证金、滞留三年以上的，投标（竞买）保证金上缴财政。</w:t>
            </w:r>
          </w:p>
          <w:p>
            <w:pPr>
              <w:spacing w:line="500" w:lineRule="exact"/>
              <w:rPr>
                <w:rFonts w:hint="eastAsia" w:ascii="宋体" w:hAnsi="宋体"/>
                <w:color w:val="auto"/>
                <w:sz w:val="24"/>
                <w:highlight w:val="none"/>
              </w:rPr>
            </w:pPr>
            <w:r>
              <w:rPr>
                <w:rFonts w:hint="eastAsia" w:ascii="宋体" w:hAnsi="宋体"/>
                <w:color w:val="auto"/>
                <w:sz w:val="24"/>
                <w:highlight w:val="none"/>
              </w:rPr>
              <w:t>2、自文件发布之日起，投标人需进行基本户备案（建设工程项目），已备案的基本户开户银行、账户发生变化的，须重新办理备案手续。备案后方可提交投标（竞买）保证金。</w:t>
            </w:r>
          </w:p>
          <w:p>
            <w:pPr>
              <w:spacing w:line="500" w:lineRule="exact"/>
              <w:rPr>
                <w:rFonts w:hint="eastAsia" w:ascii="宋体" w:hAnsi="宋体"/>
                <w:color w:val="auto"/>
                <w:sz w:val="24"/>
                <w:highlight w:val="none"/>
              </w:rPr>
            </w:pPr>
            <w:r>
              <w:rPr>
                <w:rFonts w:hint="eastAsia" w:ascii="宋体" w:hAnsi="宋体"/>
                <w:color w:val="auto"/>
                <w:sz w:val="24"/>
                <w:highlight w:val="none"/>
              </w:rPr>
              <w:t xml:space="preserve">3、基本户备案流程： </w:t>
            </w:r>
          </w:p>
          <w:p>
            <w:pPr>
              <w:spacing w:line="500" w:lineRule="exact"/>
              <w:rPr>
                <w:rFonts w:hint="eastAsia" w:ascii="宋体" w:hAnsi="宋体"/>
                <w:color w:val="auto"/>
                <w:sz w:val="24"/>
                <w:highlight w:val="none"/>
              </w:rPr>
            </w:pPr>
            <w:r>
              <w:rPr>
                <w:rFonts w:hint="eastAsia" w:ascii="宋体" w:hAnsi="宋体"/>
                <w:color w:val="auto"/>
                <w:sz w:val="24"/>
                <w:highlight w:val="none"/>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spacing w:line="500" w:lineRule="exact"/>
              <w:rPr>
                <w:rFonts w:hint="eastAsia" w:ascii="宋体" w:hAnsi="宋体"/>
                <w:color w:val="auto"/>
                <w:sz w:val="24"/>
                <w:highlight w:val="none"/>
              </w:rPr>
            </w:pPr>
            <w:r>
              <w:rPr>
                <w:rFonts w:hint="eastAsia" w:ascii="宋体" w:hAnsi="宋体"/>
                <w:color w:val="auto"/>
                <w:sz w:val="24"/>
                <w:highlight w:val="none"/>
              </w:rPr>
              <w:t>4、特殊情况处理</w:t>
            </w:r>
          </w:p>
          <w:p>
            <w:pPr>
              <w:spacing w:line="500" w:lineRule="exact"/>
              <w:rPr>
                <w:rFonts w:hint="eastAsia" w:ascii="宋体" w:hAnsi="宋体"/>
                <w:color w:val="auto"/>
                <w:sz w:val="24"/>
                <w:highlight w:val="none"/>
              </w:rPr>
            </w:pPr>
            <w:r>
              <w:rPr>
                <w:rFonts w:hint="eastAsia" w:ascii="宋体" w:hAnsi="宋体"/>
                <w:color w:val="auto"/>
                <w:sz w:val="24"/>
                <w:highlight w:val="none"/>
              </w:rPr>
              <w:t xml:space="preserve">  投标人投标过程中因账户开户银行、银行账号发生变化，不能按照来款途径原路返还投标保证金的，投标人须提供原账户开户银行相关证明及新开账户开户许可证，到</w:t>
            </w:r>
            <w:r>
              <w:rPr>
                <w:rFonts w:hint="eastAsia" w:ascii="宋体" w:hAnsi="宋体"/>
                <w:color w:val="auto"/>
                <w:sz w:val="24"/>
                <w:highlight w:val="none"/>
                <w:lang w:eastAsia="zh-CN"/>
              </w:rPr>
              <w:t>许昌市建安区交易中心四楼财务室</w:t>
            </w:r>
            <w:r>
              <w:rPr>
                <w:rFonts w:hint="eastAsia" w:ascii="宋体" w:hAnsi="宋体"/>
                <w:color w:val="auto"/>
                <w:sz w:val="24"/>
                <w:highlight w:val="none"/>
              </w:rPr>
              <w:t>办理退款手续（0374-</w:t>
            </w:r>
            <w:r>
              <w:rPr>
                <w:rFonts w:hint="eastAsia" w:ascii="宋体" w:hAnsi="宋体"/>
                <w:color w:val="auto"/>
                <w:sz w:val="24"/>
                <w:highlight w:val="none"/>
                <w:lang w:val="en-US" w:eastAsia="zh-CN"/>
              </w:rPr>
              <w:t>5113098</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8" w:hRule="atLeast"/>
          <w:jc w:val="center"/>
        </w:trPr>
        <w:tc>
          <w:tcPr>
            <w:tcW w:w="1202" w:type="dxa"/>
            <w:tcBorders>
              <w:bottom w:val="single" w:color="auto" w:sz="4" w:space="0"/>
            </w:tcBorders>
            <w:vAlign w:val="center"/>
          </w:tcPr>
          <w:p>
            <w:pPr>
              <w:spacing w:line="500" w:lineRule="exact"/>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3.4.2</w:t>
            </w:r>
          </w:p>
        </w:tc>
        <w:tc>
          <w:tcPr>
            <w:tcW w:w="2084" w:type="dxa"/>
            <w:gridSpan w:val="2"/>
            <w:tcBorders>
              <w:bottom w:val="single" w:color="auto" w:sz="4" w:space="0"/>
            </w:tcBorders>
            <w:vAlign w:val="center"/>
          </w:tcPr>
          <w:p>
            <w:pPr>
              <w:spacing w:line="500" w:lineRule="exact"/>
              <w:jc w:val="center"/>
              <w:rPr>
                <w:rFonts w:hint="eastAsia" w:ascii="宋体" w:hAnsi="宋体"/>
                <w:color w:val="auto"/>
                <w:sz w:val="24"/>
                <w:highlight w:val="none"/>
              </w:rPr>
            </w:pPr>
            <w:r>
              <w:rPr>
                <w:rFonts w:hint="eastAsia" w:ascii="宋体" w:hAnsi="宋体"/>
                <w:color w:val="auto"/>
                <w:sz w:val="24"/>
                <w:highlight w:val="none"/>
              </w:rPr>
              <w:t>投</w:t>
            </w:r>
          </w:p>
          <w:p>
            <w:pPr>
              <w:spacing w:line="500" w:lineRule="exact"/>
              <w:jc w:val="center"/>
              <w:rPr>
                <w:rFonts w:hint="eastAsia" w:ascii="宋体" w:hAnsi="宋体"/>
                <w:color w:val="auto"/>
                <w:sz w:val="24"/>
                <w:highlight w:val="none"/>
              </w:rPr>
            </w:pPr>
            <w:r>
              <w:rPr>
                <w:rFonts w:hint="eastAsia" w:ascii="宋体" w:hAnsi="宋体"/>
                <w:color w:val="auto"/>
                <w:sz w:val="24"/>
                <w:highlight w:val="none"/>
              </w:rPr>
              <w:t>标</w:t>
            </w:r>
          </w:p>
          <w:p>
            <w:pPr>
              <w:spacing w:line="500" w:lineRule="exact"/>
              <w:jc w:val="center"/>
              <w:rPr>
                <w:rFonts w:hint="eastAsia" w:ascii="宋体" w:hAnsi="宋体"/>
                <w:color w:val="auto"/>
                <w:sz w:val="24"/>
                <w:highlight w:val="none"/>
              </w:rPr>
            </w:pPr>
            <w:r>
              <w:rPr>
                <w:rFonts w:hint="eastAsia" w:ascii="宋体" w:hAnsi="宋体"/>
                <w:color w:val="auto"/>
                <w:sz w:val="24"/>
                <w:highlight w:val="none"/>
              </w:rPr>
              <w:t>保</w:t>
            </w:r>
          </w:p>
          <w:p>
            <w:pPr>
              <w:spacing w:line="500" w:lineRule="exact"/>
              <w:jc w:val="center"/>
              <w:rPr>
                <w:rFonts w:hint="eastAsia" w:ascii="宋体" w:hAnsi="宋体"/>
                <w:color w:val="auto"/>
                <w:sz w:val="24"/>
                <w:highlight w:val="none"/>
              </w:rPr>
            </w:pPr>
            <w:r>
              <w:rPr>
                <w:rFonts w:hint="eastAsia" w:ascii="宋体" w:hAnsi="宋体"/>
                <w:color w:val="auto"/>
                <w:sz w:val="24"/>
                <w:highlight w:val="none"/>
              </w:rPr>
              <w:t>证</w:t>
            </w:r>
          </w:p>
          <w:p>
            <w:pPr>
              <w:spacing w:line="500" w:lineRule="exact"/>
              <w:jc w:val="center"/>
              <w:rPr>
                <w:rFonts w:hint="eastAsia" w:ascii="宋体" w:hAnsi="宋体"/>
                <w:color w:val="auto"/>
                <w:sz w:val="24"/>
                <w:highlight w:val="none"/>
              </w:rPr>
            </w:pPr>
            <w:r>
              <w:rPr>
                <w:rFonts w:hint="eastAsia" w:ascii="宋体" w:hAnsi="宋体"/>
                <w:color w:val="auto"/>
                <w:sz w:val="24"/>
                <w:highlight w:val="none"/>
              </w:rPr>
              <w:t>金</w:t>
            </w:r>
          </w:p>
          <w:p>
            <w:pPr>
              <w:spacing w:line="500" w:lineRule="exact"/>
              <w:rPr>
                <w:rFonts w:hint="eastAsia" w:ascii="宋体" w:hAnsi="宋体"/>
                <w:color w:val="auto"/>
                <w:sz w:val="24"/>
                <w:highlight w:val="none"/>
              </w:rPr>
            </w:pPr>
          </w:p>
        </w:tc>
        <w:tc>
          <w:tcPr>
            <w:tcW w:w="5805" w:type="dxa"/>
            <w:gridSpan w:val="2"/>
            <w:tcBorders>
              <w:bottom w:val="single" w:color="auto" w:sz="4" w:space="0"/>
            </w:tcBorders>
            <w:vAlign w:val="center"/>
          </w:tcPr>
          <w:p>
            <w:pPr>
              <w:spacing w:line="500" w:lineRule="exact"/>
              <w:rPr>
                <w:rFonts w:hint="eastAsia" w:ascii="宋体" w:hAnsi="宋体"/>
                <w:color w:val="auto"/>
                <w:sz w:val="24"/>
                <w:highlight w:val="none"/>
              </w:rPr>
            </w:pPr>
            <w:r>
              <w:rPr>
                <w:rFonts w:hint="eastAsia" w:ascii="宋体" w:hAnsi="宋体"/>
                <w:color w:val="auto"/>
                <w:sz w:val="24"/>
                <w:highlight w:val="none"/>
              </w:rPr>
              <w:t>投标保证金递交截止时间：（201</w:t>
            </w:r>
            <w:r>
              <w:rPr>
                <w:rFonts w:hint="eastAsia" w:ascii="宋体" w:hAnsi="宋体"/>
                <w:color w:val="auto"/>
                <w:sz w:val="24"/>
                <w:highlight w:val="none"/>
                <w:lang w:val="en-US" w:eastAsia="zh-CN"/>
              </w:rPr>
              <w:t>8</w:t>
            </w:r>
            <w:r>
              <w:rPr>
                <w:rFonts w:hint="eastAsia" w:ascii="宋体" w:hAnsi="宋体"/>
                <w:color w:val="auto"/>
                <w:sz w:val="24"/>
                <w:highlight w:val="none"/>
              </w:rPr>
              <w:t>年</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29</w:t>
            </w:r>
            <w:r>
              <w:rPr>
                <w:rFonts w:hint="eastAsia" w:ascii="宋体" w:hAnsi="宋体"/>
                <w:color w:val="auto"/>
                <w:sz w:val="24"/>
                <w:highlight w:val="none"/>
              </w:rPr>
              <w:t>日</w:t>
            </w:r>
            <w:r>
              <w:rPr>
                <w:rFonts w:hint="eastAsia" w:ascii="宋体" w:hAnsi="宋体"/>
                <w:color w:val="auto"/>
                <w:sz w:val="24"/>
                <w:highlight w:val="none"/>
                <w:lang w:val="en-US" w:eastAsia="zh-CN"/>
              </w:rPr>
              <w:t>9</w:t>
            </w:r>
            <w:r>
              <w:rPr>
                <w:rFonts w:hint="eastAsia" w:ascii="宋体" w:hAnsi="宋体"/>
                <w:color w:val="auto"/>
                <w:sz w:val="24"/>
                <w:highlight w:val="none"/>
              </w:rPr>
              <w:t>时</w:t>
            </w:r>
            <w:r>
              <w:rPr>
                <w:rFonts w:hint="eastAsia" w:ascii="宋体" w:hAnsi="宋体"/>
                <w:color w:val="auto"/>
                <w:sz w:val="24"/>
                <w:highlight w:val="none"/>
                <w:lang w:val="en-US" w:eastAsia="zh-CN"/>
              </w:rPr>
              <w:t>30</w:t>
            </w:r>
            <w:r>
              <w:rPr>
                <w:rFonts w:hint="eastAsia" w:ascii="宋体" w:hAnsi="宋体"/>
                <w:color w:val="auto"/>
                <w:sz w:val="24"/>
                <w:highlight w:val="none"/>
              </w:rPr>
              <w:t>分整）。</w:t>
            </w:r>
          </w:p>
          <w:p>
            <w:pPr>
              <w:spacing w:line="500" w:lineRule="exact"/>
              <w:rPr>
                <w:rFonts w:hint="eastAsia" w:ascii="宋体" w:hAnsi="宋体"/>
                <w:color w:val="auto"/>
                <w:sz w:val="24"/>
                <w:highlight w:val="none"/>
              </w:rPr>
            </w:pPr>
            <w:r>
              <w:rPr>
                <w:rFonts w:hint="eastAsia" w:ascii="宋体" w:hAnsi="宋体"/>
                <w:color w:val="auto"/>
                <w:sz w:val="24"/>
                <w:highlight w:val="none"/>
              </w:rPr>
              <w:t>金额：</w:t>
            </w:r>
            <w:r>
              <w:rPr>
                <w:rFonts w:hint="eastAsia" w:ascii="宋体" w:hAnsi="宋体"/>
                <w:color w:val="auto"/>
                <w:sz w:val="24"/>
                <w:highlight w:val="none"/>
                <w:lang w:eastAsia="zh-CN"/>
              </w:rPr>
              <w:t>柒万肆仟圆整</w:t>
            </w:r>
            <w:r>
              <w:rPr>
                <w:rFonts w:hint="eastAsia" w:ascii="宋体" w:hAnsi="宋体"/>
                <w:color w:val="auto"/>
                <w:sz w:val="24"/>
                <w:highlight w:val="none"/>
              </w:rPr>
              <w:t>（￥</w:t>
            </w:r>
            <w:r>
              <w:rPr>
                <w:rFonts w:hint="eastAsia" w:ascii="宋体" w:hAnsi="宋体"/>
                <w:color w:val="auto"/>
                <w:sz w:val="24"/>
                <w:highlight w:val="none"/>
                <w:lang w:val="en-US" w:eastAsia="zh-CN"/>
              </w:rPr>
              <w:t>74000</w:t>
            </w:r>
            <w:r>
              <w:rPr>
                <w:rFonts w:hint="eastAsia" w:ascii="宋体" w:hAnsi="宋体"/>
                <w:color w:val="auto"/>
                <w:sz w:val="24"/>
                <w:highlight w:val="none"/>
              </w:rPr>
              <w:t>.00元）</w:t>
            </w:r>
          </w:p>
          <w:p>
            <w:pPr>
              <w:spacing w:line="500" w:lineRule="exact"/>
              <w:rPr>
                <w:rFonts w:hint="eastAsia" w:ascii="宋体" w:hAnsi="宋体"/>
                <w:color w:val="auto"/>
                <w:sz w:val="24"/>
                <w:highlight w:val="none"/>
              </w:rPr>
            </w:pPr>
            <w:r>
              <w:rPr>
                <w:rFonts w:hint="eastAsia" w:ascii="宋体" w:hAnsi="宋体"/>
                <w:color w:val="auto"/>
                <w:sz w:val="24"/>
                <w:highlight w:val="none"/>
                <w:lang w:val="zh-CN"/>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500" w:lineRule="exact"/>
              <w:rPr>
                <w:rFonts w:hint="eastAsia" w:ascii="宋体" w:hAnsi="宋体"/>
                <w:color w:val="auto"/>
                <w:sz w:val="24"/>
                <w:highlight w:val="none"/>
                <w:lang w:val="zh-CN"/>
              </w:rPr>
            </w:pPr>
            <w:r>
              <w:rPr>
                <w:rFonts w:hint="eastAsia" w:ascii="宋体" w:hAnsi="宋体"/>
                <w:color w:val="auto"/>
                <w:sz w:val="24"/>
                <w:highlight w:val="none"/>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500" w:lineRule="exact"/>
              <w:rPr>
                <w:rFonts w:hint="eastAsia" w:ascii="宋体" w:hAnsi="宋体"/>
                <w:color w:val="auto"/>
                <w:sz w:val="24"/>
                <w:highlight w:val="none"/>
                <w:lang w:val="zh-CN"/>
              </w:rPr>
            </w:pPr>
            <w:r>
              <w:rPr>
                <w:rFonts w:hint="eastAsia" w:ascii="宋体" w:hAnsi="宋体"/>
                <w:color w:val="auto"/>
                <w:sz w:val="24"/>
                <w:highlight w:val="none"/>
                <w:lang w:val="zh-CN"/>
              </w:rPr>
              <w:t>2、投标保证金缴纳方式：</w:t>
            </w:r>
          </w:p>
          <w:p>
            <w:pPr>
              <w:spacing w:line="500" w:lineRule="exact"/>
              <w:rPr>
                <w:rFonts w:hint="eastAsia" w:ascii="宋体" w:hAnsi="宋体"/>
                <w:color w:val="auto"/>
                <w:sz w:val="24"/>
                <w:highlight w:val="none"/>
              </w:rPr>
            </w:pPr>
            <w:r>
              <w:rPr>
                <w:rFonts w:hint="eastAsia" w:ascii="宋体" w:hAnsi="宋体"/>
                <w:color w:val="auto"/>
                <w:sz w:val="24"/>
                <w:highlight w:val="none"/>
                <w:lang w:val="zh-CN"/>
              </w:rPr>
              <w:t>2.</w:t>
            </w:r>
            <w:r>
              <w:rPr>
                <w:rFonts w:hint="eastAsia" w:ascii="宋体" w:hAnsi="宋体"/>
                <w:color w:val="auto"/>
                <w:sz w:val="24"/>
                <w:highlight w:val="none"/>
              </w:rPr>
              <w:t>1</w:t>
            </w:r>
            <w:r>
              <w:rPr>
                <w:rFonts w:hint="eastAsia" w:ascii="宋体" w:hAnsi="宋体"/>
                <w:color w:val="auto"/>
                <w:sz w:val="24"/>
                <w:highlight w:val="none"/>
                <w:lang w:val="zh-CN"/>
              </w:rPr>
              <w:t>投标人网上报名后</w:t>
            </w:r>
            <w:r>
              <w:rPr>
                <w:rFonts w:hint="eastAsia" w:ascii="宋体" w:hAnsi="宋体"/>
                <w:color w:val="auto"/>
                <w:sz w:val="24"/>
                <w:highlight w:val="none"/>
              </w:rPr>
              <w:t>，</w:t>
            </w:r>
            <w:r>
              <w:rPr>
                <w:rFonts w:hint="eastAsia" w:ascii="宋体" w:hAnsi="宋体"/>
                <w:color w:val="auto"/>
                <w:sz w:val="24"/>
                <w:highlight w:val="none"/>
                <w:lang w:val="zh-CN"/>
              </w:rPr>
              <w:t>登录</w:t>
            </w:r>
            <w:r>
              <w:rPr>
                <w:rFonts w:hint="eastAsia" w:ascii="宋体" w:hAnsi="宋体"/>
                <w:color w:val="auto"/>
                <w:sz w:val="24"/>
                <w:highlight w:val="none"/>
              </w:rPr>
              <w:fldChar w:fldCharType="begin"/>
            </w:r>
            <w:r>
              <w:rPr>
                <w:rFonts w:hint="eastAsia" w:ascii="宋体" w:hAnsi="宋体"/>
                <w:color w:val="auto"/>
                <w:sz w:val="24"/>
                <w:highlight w:val="none"/>
              </w:rPr>
              <w:instrText xml:space="preserve">HYPERLINK "http://221.14.6.70:8088/ggzy"</w:instrText>
            </w:r>
            <w:r>
              <w:rPr>
                <w:rFonts w:hint="eastAsia" w:ascii="宋体" w:hAnsi="宋体"/>
                <w:color w:val="auto"/>
                <w:sz w:val="24"/>
                <w:highlight w:val="none"/>
              </w:rPr>
              <w:fldChar w:fldCharType="separate"/>
            </w:r>
            <w:r>
              <w:rPr>
                <w:rFonts w:hint="eastAsia" w:ascii="宋体" w:hAnsi="宋体"/>
                <w:color w:val="auto"/>
                <w:sz w:val="24"/>
                <w:highlight w:val="none"/>
              </w:rPr>
              <w:t>http://221.14.6.70:8088/ggzy</w:t>
            </w:r>
            <w:r>
              <w:rPr>
                <w:rFonts w:hint="eastAsia" w:ascii="宋体" w:hAnsi="宋体"/>
                <w:color w:val="auto"/>
                <w:sz w:val="24"/>
                <w:highlight w:val="none"/>
              </w:rPr>
              <w:fldChar w:fldCharType="end"/>
            </w:r>
            <w:r>
              <w:rPr>
                <w:rFonts w:hint="eastAsia" w:ascii="宋体" w:hAnsi="宋体"/>
                <w:color w:val="auto"/>
                <w:sz w:val="24"/>
                <w:highlight w:val="none"/>
                <w:lang w:val="zh-CN"/>
              </w:rPr>
              <w:t>系统</w:t>
            </w:r>
            <w:r>
              <w:rPr>
                <w:rFonts w:hint="eastAsia" w:ascii="宋体" w:hAnsi="宋体"/>
                <w:color w:val="auto"/>
                <w:sz w:val="24"/>
                <w:highlight w:val="none"/>
              </w:rPr>
              <w:t>，</w:t>
            </w:r>
            <w:r>
              <w:rPr>
                <w:rFonts w:hint="eastAsia" w:ascii="宋体" w:hAnsi="宋体"/>
                <w:color w:val="auto"/>
                <w:sz w:val="24"/>
                <w:highlight w:val="none"/>
                <w:lang w:val="zh-CN"/>
              </w:rPr>
              <w:t>依次点击</w:t>
            </w:r>
            <w:r>
              <w:rPr>
                <w:rFonts w:hint="eastAsia" w:ascii="宋体" w:hAnsi="宋体"/>
                <w:color w:val="auto"/>
                <w:sz w:val="24"/>
                <w:highlight w:val="none"/>
              </w:rPr>
              <w:t>“</w:t>
            </w:r>
            <w:r>
              <w:rPr>
                <w:rFonts w:hint="eastAsia" w:ascii="宋体" w:hAnsi="宋体"/>
                <w:color w:val="auto"/>
                <w:sz w:val="24"/>
                <w:highlight w:val="none"/>
                <w:lang w:val="zh-CN"/>
              </w:rPr>
              <w:t>会员向导</w:t>
            </w:r>
            <w:r>
              <w:rPr>
                <w:rFonts w:hint="eastAsia" w:ascii="宋体" w:hAnsi="宋体"/>
                <w:color w:val="auto"/>
                <w:sz w:val="24"/>
                <w:highlight w:val="none"/>
              </w:rPr>
              <w:t>”→“</w:t>
            </w:r>
            <w:r>
              <w:rPr>
                <w:rFonts w:hint="eastAsia" w:ascii="宋体" w:hAnsi="宋体"/>
                <w:color w:val="auto"/>
                <w:sz w:val="24"/>
                <w:highlight w:val="none"/>
                <w:lang w:val="zh-CN"/>
              </w:rPr>
              <w:t>参与投标</w:t>
            </w:r>
            <w:r>
              <w:rPr>
                <w:rFonts w:hint="eastAsia" w:ascii="宋体" w:hAnsi="宋体"/>
                <w:color w:val="auto"/>
                <w:sz w:val="24"/>
                <w:highlight w:val="none"/>
              </w:rPr>
              <w:t>”→“</w:t>
            </w:r>
            <w:r>
              <w:rPr>
                <w:rFonts w:hint="eastAsia" w:ascii="宋体" w:hAnsi="宋体"/>
                <w:color w:val="auto"/>
                <w:sz w:val="24"/>
                <w:highlight w:val="none"/>
                <w:lang w:val="zh-CN"/>
              </w:rPr>
              <w:t>费用缴纳说明</w:t>
            </w:r>
            <w:r>
              <w:rPr>
                <w:rFonts w:hint="eastAsia" w:ascii="宋体" w:hAnsi="宋体"/>
                <w:color w:val="auto"/>
                <w:sz w:val="24"/>
                <w:highlight w:val="none"/>
              </w:rPr>
              <w:t>”→“</w:t>
            </w:r>
            <w:r>
              <w:rPr>
                <w:rFonts w:hint="eastAsia" w:ascii="宋体" w:hAnsi="宋体"/>
                <w:color w:val="auto"/>
                <w:sz w:val="24"/>
                <w:highlight w:val="none"/>
                <w:lang w:val="zh-CN"/>
              </w:rPr>
              <w:t>保证金缴纳说明单</w:t>
            </w:r>
            <w:r>
              <w:rPr>
                <w:rFonts w:hint="eastAsia" w:ascii="宋体" w:hAnsi="宋体"/>
                <w:color w:val="auto"/>
                <w:sz w:val="24"/>
                <w:highlight w:val="none"/>
              </w:rPr>
              <w:t>”，</w:t>
            </w:r>
            <w:r>
              <w:rPr>
                <w:rFonts w:hint="eastAsia" w:ascii="宋体" w:hAnsi="宋体"/>
                <w:color w:val="auto"/>
                <w:sz w:val="24"/>
                <w:highlight w:val="none"/>
                <w:lang w:val="zh-CN"/>
              </w:rPr>
              <w:t>获取缴费说明单</w:t>
            </w:r>
            <w:r>
              <w:rPr>
                <w:rFonts w:hint="eastAsia" w:ascii="宋体" w:hAnsi="宋体"/>
                <w:color w:val="auto"/>
                <w:sz w:val="24"/>
                <w:highlight w:val="none"/>
              </w:rPr>
              <w:t>，</w:t>
            </w:r>
            <w:r>
              <w:rPr>
                <w:rFonts w:hint="eastAsia" w:ascii="宋体" w:hAnsi="宋体"/>
                <w:color w:val="auto"/>
                <w:sz w:val="24"/>
                <w:highlight w:val="none"/>
                <w:lang w:val="zh-CN"/>
              </w:rPr>
              <w:t>根据每个标段的缴纳说明单在缴纳截止时间前缴纳</w:t>
            </w:r>
            <w:r>
              <w:rPr>
                <w:rFonts w:hint="eastAsia" w:ascii="宋体" w:hAnsi="宋体"/>
                <w:color w:val="auto"/>
                <w:sz w:val="24"/>
                <w:highlight w:val="none"/>
              </w:rPr>
              <w:t>；</w:t>
            </w:r>
          </w:p>
          <w:p>
            <w:pPr>
              <w:spacing w:line="500" w:lineRule="exact"/>
              <w:rPr>
                <w:rFonts w:hint="eastAsia" w:ascii="宋体" w:hAnsi="宋体"/>
                <w:color w:val="auto"/>
                <w:sz w:val="24"/>
                <w:highlight w:val="none"/>
              </w:rPr>
            </w:pPr>
            <w:r>
              <w:rPr>
                <w:rFonts w:hint="eastAsia" w:ascii="宋体" w:hAnsi="宋体"/>
                <w:color w:val="auto"/>
                <w:sz w:val="24"/>
                <w:highlight w:val="none"/>
              </w:rPr>
              <w:t>2.2</w:t>
            </w:r>
            <w:r>
              <w:rPr>
                <w:rFonts w:hint="eastAsia" w:ascii="宋体" w:hAnsi="宋体"/>
                <w:color w:val="auto"/>
                <w:sz w:val="24"/>
                <w:highlight w:val="none"/>
                <w:lang w:val="zh-CN"/>
              </w:rPr>
              <w:t>成功缴纳后重新登录前述系统</w:t>
            </w:r>
            <w:r>
              <w:rPr>
                <w:rFonts w:hint="eastAsia" w:ascii="宋体" w:hAnsi="宋体"/>
                <w:color w:val="auto"/>
                <w:sz w:val="24"/>
                <w:highlight w:val="none"/>
              </w:rPr>
              <w:t>，</w:t>
            </w:r>
            <w:r>
              <w:rPr>
                <w:rFonts w:hint="eastAsia" w:ascii="宋体" w:hAnsi="宋体"/>
                <w:color w:val="auto"/>
                <w:sz w:val="24"/>
                <w:highlight w:val="none"/>
                <w:lang w:val="zh-CN"/>
              </w:rPr>
              <w:t>依次点击</w:t>
            </w:r>
            <w:r>
              <w:rPr>
                <w:rFonts w:hint="eastAsia" w:ascii="宋体" w:hAnsi="宋体"/>
                <w:color w:val="auto"/>
                <w:sz w:val="24"/>
                <w:highlight w:val="none"/>
              </w:rPr>
              <w:t>“</w:t>
            </w:r>
            <w:r>
              <w:rPr>
                <w:rFonts w:hint="eastAsia" w:ascii="宋体" w:hAnsi="宋体"/>
                <w:color w:val="auto"/>
                <w:sz w:val="24"/>
                <w:highlight w:val="none"/>
                <w:lang w:val="zh-CN"/>
              </w:rPr>
              <w:t>会员向导</w:t>
            </w:r>
            <w:r>
              <w:rPr>
                <w:rFonts w:hint="eastAsia" w:ascii="宋体" w:hAnsi="宋体"/>
                <w:color w:val="auto"/>
                <w:sz w:val="24"/>
                <w:highlight w:val="none"/>
              </w:rPr>
              <w:t>”→“</w:t>
            </w:r>
            <w:r>
              <w:rPr>
                <w:rFonts w:hint="eastAsia" w:ascii="宋体" w:hAnsi="宋体"/>
                <w:color w:val="auto"/>
                <w:sz w:val="24"/>
                <w:highlight w:val="none"/>
                <w:lang w:val="zh-CN"/>
              </w:rPr>
              <w:t>参与投标</w:t>
            </w:r>
            <w:r>
              <w:rPr>
                <w:rFonts w:hint="eastAsia" w:ascii="宋体" w:hAnsi="宋体"/>
                <w:color w:val="auto"/>
                <w:sz w:val="24"/>
                <w:highlight w:val="none"/>
              </w:rPr>
              <w:t>”→“</w:t>
            </w:r>
            <w:r>
              <w:rPr>
                <w:rFonts w:hint="eastAsia" w:ascii="宋体" w:hAnsi="宋体"/>
                <w:color w:val="auto"/>
                <w:sz w:val="24"/>
                <w:highlight w:val="none"/>
                <w:lang w:val="zh-CN"/>
              </w:rPr>
              <w:t>保证金绑定</w:t>
            </w:r>
            <w:r>
              <w:rPr>
                <w:rFonts w:hint="eastAsia" w:ascii="宋体" w:hAnsi="宋体"/>
                <w:color w:val="auto"/>
                <w:sz w:val="24"/>
                <w:highlight w:val="none"/>
              </w:rPr>
              <w:t>”→“</w:t>
            </w:r>
            <w:r>
              <w:rPr>
                <w:rFonts w:hint="eastAsia" w:ascii="宋体" w:hAnsi="宋体"/>
                <w:color w:val="auto"/>
                <w:sz w:val="24"/>
                <w:highlight w:val="none"/>
                <w:lang w:val="zh-CN"/>
              </w:rPr>
              <w:t>绑定</w:t>
            </w:r>
            <w:r>
              <w:rPr>
                <w:rFonts w:hint="eastAsia" w:ascii="宋体" w:hAnsi="宋体"/>
                <w:color w:val="auto"/>
                <w:sz w:val="24"/>
                <w:highlight w:val="none"/>
              </w:rPr>
              <w:t>”</w:t>
            </w:r>
            <w:r>
              <w:rPr>
                <w:rFonts w:hint="eastAsia" w:ascii="宋体" w:hAnsi="宋体"/>
                <w:color w:val="auto"/>
                <w:sz w:val="24"/>
                <w:highlight w:val="none"/>
                <w:lang w:val="zh-CN"/>
              </w:rPr>
              <w:t>进行投标保证金绑定。</w:t>
            </w:r>
          </w:p>
          <w:p>
            <w:pPr>
              <w:spacing w:line="500" w:lineRule="exact"/>
              <w:rPr>
                <w:rFonts w:hint="eastAsia" w:ascii="宋体" w:hAnsi="宋体"/>
                <w:color w:val="auto"/>
                <w:sz w:val="24"/>
                <w:highlight w:val="none"/>
                <w:lang w:val="zh-CN"/>
              </w:rPr>
            </w:pPr>
            <w:r>
              <w:rPr>
                <w:rFonts w:hint="eastAsia" w:ascii="宋体" w:hAnsi="宋体"/>
                <w:color w:val="auto"/>
                <w:sz w:val="24"/>
                <w:highlight w:val="none"/>
                <w:lang w:val="zh-CN"/>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spacing w:line="500" w:lineRule="exact"/>
              <w:rPr>
                <w:rFonts w:hint="eastAsia" w:ascii="宋体" w:hAnsi="宋体"/>
                <w:color w:val="auto"/>
                <w:sz w:val="24"/>
                <w:highlight w:val="none"/>
                <w:lang w:val="zh-CN"/>
              </w:rPr>
            </w:pPr>
            <w:r>
              <w:rPr>
                <w:rFonts w:hint="eastAsia" w:ascii="宋体" w:hAnsi="宋体"/>
                <w:color w:val="auto"/>
                <w:sz w:val="24"/>
                <w:highlight w:val="none"/>
                <w:lang w:val="zh-CN"/>
              </w:rPr>
              <w:t>2.4 每个投标人每个项目每个标段只有唯一缴纳账号，</w:t>
            </w:r>
            <w:r>
              <w:rPr>
                <w:rFonts w:hint="eastAsia" w:ascii="宋体" w:hAnsi="宋体"/>
                <w:color w:val="auto"/>
                <w:sz w:val="24"/>
                <w:highlight w:val="none"/>
              </w:rPr>
              <w:t>切勿重复缴纳或错误缴纳。</w:t>
            </w:r>
          </w:p>
          <w:p>
            <w:pPr>
              <w:spacing w:line="500" w:lineRule="exact"/>
              <w:rPr>
                <w:rFonts w:hint="eastAsia" w:ascii="宋体" w:hAnsi="宋体"/>
                <w:color w:val="auto"/>
                <w:sz w:val="24"/>
                <w:highlight w:val="none"/>
              </w:rPr>
            </w:pPr>
            <w:r>
              <w:rPr>
                <w:rFonts w:hint="eastAsia" w:ascii="宋体" w:hAnsi="宋体"/>
                <w:color w:val="auto"/>
                <w:sz w:val="24"/>
                <w:highlight w:val="none"/>
              </w:rPr>
              <w:t>3、未按上述规定操作引起的无效投标，由投标人自行负责。</w:t>
            </w:r>
          </w:p>
          <w:p>
            <w:pPr>
              <w:spacing w:line="500" w:lineRule="exact"/>
              <w:rPr>
                <w:rFonts w:hint="eastAsia" w:ascii="宋体" w:hAnsi="宋体"/>
                <w:color w:val="auto"/>
                <w:sz w:val="24"/>
                <w:highlight w:val="none"/>
                <w:lang w:val="zh-CN"/>
              </w:rPr>
            </w:pPr>
            <w:r>
              <w:rPr>
                <w:rFonts w:hint="eastAsia" w:ascii="宋体" w:hAnsi="宋体"/>
                <w:color w:val="auto"/>
                <w:sz w:val="24"/>
                <w:highlight w:val="none"/>
                <w:lang w:val="zh-CN"/>
              </w:rPr>
              <w:t>4、汇款凭证无须备注项目编号和项目名称。</w:t>
            </w:r>
          </w:p>
          <w:p>
            <w:pPr>
              <w:spacing w:line="500" w:lineRule="exact"/>
              <w:rPr>
                <w:rFonts w:hint="eastAsia" w:ascii="宋体" w:hAnsi="宋体"/>
                <w:color w:val="auto"/>
                <w:sz w:val="24"/>
                <w:highlight w:val="none"/>
              </w:rPr>
            </w:pPr>
            <w:r>
              <w:rPr>
                <w:rFonts w:hint="eastAsia" w:ascii="宋体" w:hAnsi="宋体"/>
                <w:color w:val="auto"/>
                <w:sz w:val="24"/>
                <w:highlight w:val="none"/>
              </w:rPr>
              <w:t>5、出现以下情形造成的投标保证金无效，由投标人自行负责。</w:t>
            </w:r>
          </w:p>
          <w:p>
            <w:pPr>
              <w:spacing w:line="500" w:lineRule="exact"/>
              <w:rPr>
                <w:rFonts w:hint="eastAsia" w:ascii="宋体" w:hAnsi="宋体"/>
                <w:color w:val="auto"/>
                <w:sz w:val="24"/>
                <w:highlight w:val="none"/>
              </w:rPr>
            </w:pPr>
            <w:r>
              <w:rPr>
                <w:rFonts w:hint="eastAsia" w:ascii="宋体" w:hAnsi="宋体"/>
                <w:color w:val="auto"/>
                <w:sz w:val="24"/>
                <w:highlight w:val="none"/>
              </w:rPr>
              <w:t>(1)投标保证金未从投标人的基本账户转出；</w:t>
            </w:r>
          </w:p>
          <w:p>
            <w:pPr>
              <w:spacing w:line="500" w:lineRule="exact"/>
              <w:rPr>
                <w:rFonts w:hint="eastAsia" w:ascii="宋体" w:hAnsi="宋体"/>
                <w:color w:val="auto"/>
                <w:sz w:val="24"/>
                <w:highlight w:val="none"/>
              </w:rPr>
            </w:pPr>
            <w:r>
              <w:rPr>
                <w:rFonts w:hint="eastAsia" w:ascii="宋体" w:hAnsi="宋体"/>
                <w:color w:val="auto"/>
                <w:sz w:val="24"/>
                <w:highlight w:val="none"/>
              </w:rPr>
              <w:t>(2)投标保证金未按照招标文件划分的标段依次转账。</w:t>
            </w:r>
          </w:p>
          <w:p>
            <w:pPr>
              <w:spacing w:line="500" w:lineRule="exact"/>
              <w:rPr>
                <w:rFonts w:hint="eastAsia" w:ascii="宋体" w:hAnsi="宋体"/>
                <w:color w:val="auto"/>
                <w:sz w:val="24"/>
                <w:highlight w:val="none"/>
                <w:lang w:val="zh-CN"/>
              </w:rPr>
            </w:pPr>
            <w:r>
              <w:rPr>
                <w:rFonts w:hint="eastAsia" w:ascii="宋体" w:hAnsi="宋体"/>
                <w:color w:val="auto"/>
                <w:sz w:val="24"/>
                <w:highlight w:val="none"/>
                <w:lang w:val="zh-CN"/>
              </w:rPr>
              <w:t>6、《保证金缴纳绑定操作指南》获取方法：</w:t>
            </w:r>
          </w:p>
          <w:p>
            <w:pPr>
              <w:spacing w:line="500" w:lineRule="exact"/>
              <w:rPr>
                <w:rFonts w:hint="eastAsia" w:ascii="宋体" w:hAnsi="宋体"/>
                <w:color w:val="auto"/>
                <w:sz w:val="24"/>
                <w:highlight w:val="none"/>
              </w:rPr>
            </w:pPr>
            <w:r>
              <w:rPr>
                <w:rFonts w:hint="eastAsia" w:ascii="宋体" w:hAnsi="宋体"/>
                <w:color w:val="auto"/>
                <w:sz w:val="24"/>
                <w:highlight w:val="none"/>
                <w:lang w:val="zh-CN"/>
              </w:rPr>
              <w:t>登录许昌公共资源交易系统-组件下载-《保证金缴纳绑定操作指南》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1202" w:type="dxa"/>
            <w:tcBorders>
              <w:top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5</w:t>
            </w:r>
          </w:p>
        </w:tc>
        <w:tc>
          <w:tcPr>
            <w:tcW w:w="2084" w:type="dxa"/>
            <w:gridSpan w:val="2"/>
            <w:tcBorders>
              <w:top w:val="single" w:color="auto" w:sz="4" w:space="0"/>
            </w:tcBorders>
            <w:vAlign w:val="center"/>
          </w:tcPr>
          <w:p>
            <w:pPr>
              <w:spacing w:line="360" w:lineRule="auto"/>
              <w:ind w:left="5" w:leftChars="-67" w:right="-107" w:rightChars="-51" w:hanging="146" w:hangingChars="61"/>
              <w:jc w:val="center"/>
              <w:rPr>
                <w:rFonts w:ascii="宋体" w:hAnsi="宋体"/>
                <w:color w:val="auto"/>
                <w:sz w:val="24"/>
                <w:highlight w:val="none"/>
              </w:rPr>
            </w:pPr>
            <w:r>
              <w:rPr>
                <w:rFonts w:hint="eastAsia" w:ascii="宋体" w:hAnsi="宋体"/>
                <w:color w:val="auto"/>
                <w:sz w:val="24"/>
                <w:highlight w:val="none"/>
              </w:rPr>
              <w:t>是否允许递交备选投标方案</w:t>
            </w:r>
          </w:p>
        </w:tc>
        <w:tc>
          <w:tcPr>
            <w:tcW w:w="5805" w:type="dxa"/>
            <w:gridSpan w:val="2"/>
            <w:tcBorders>
              <w:top w:val="single" w:color="auto" w:sz="4" w:space="0"/>
            </w:tcBorders>
            <w:vAlign w:val="center"/>
          </w:tcPr>
          <w:p>
            <w:pPr>
              <w:spacing w:line="360" w:lineRule="auto"/>
              <w:rPr>
                <w:rFonts w:ascii="宋体" w:hAnsi="宋体"/>
                <w:color w:val="auto"/>
                <w:sz w:val="24"/>
                <w:highlight w:val="none"/>
              </w:rPr>
            </w:pPr>
            <w:r>
              <w:rPr>
                <w:rFonts w:hint="eastAsia" w:ascii="宋体" w:hAnsi="宋体"/>
                <w:color w:val="auto"/>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5"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6.1</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签字或盖章要求</w:t>
            </w:r>
          </w:p>
        </w:tc>
        <w:tc>
          <w:tcPr>
            <w:tcW w:w="5805" w:type="dxa"/>
            <w:gridSpan w:val="2"/>
            <w:vAlign w:val="center"/>
          </w:tcPr>
          <w:p>
            <w:pPr>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投标文件（商务及技术文件）、（投标报价和工程量清单 ）正本应用不褪色的墨水书写或打印，并逐页加盖投标人公章和法定代表人或其委托代理人逐页亲笔签署姓名，（封面、扉页、目录和本页正文内容已由投标人的法定代表人或其委托代理人签署姓名的可不签署），不得使用签名章或其它电子制版签名。</w:t>
            </w:r>
          </w:p>
          <w:p>
            <w:pPr>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投标文件应尽量避免涂改、行间插字或删除。如果出现上述情况，改动之处应加盖单位章或由投标人的法定代表人或其授权的代理人签字确认。</w:t>
            </w:r>
          </w:p>
          <w:p>
            <w:pPr>
              <w:ind w:firstLine="480" w:firstLineChars="200"/>
              <w:rPr>
                <w:rFonts w:hint="eastAsia" w:ascii="宋体" w:hAnsi="宋体"/>
                <w:color w:val="auto"/>
                <w:sz w:val="24"/>
                <w:szCs w:val="28"/>
                <w:highlight w:val="none"/>
              </w:rPr>
            </w:pPr>
            <w:r>
              <w:rPr>
                <w:rFonts w:hint="eastAsia" w:ascii="宋体" w:hAnsi="宋体"/>
                <w:color w:val="auto"/>
                <w:sz w:val="24"/>
                <w:szCs w:val="28"/>
                <w:highlight w:val="none"/>
              </w:rPr>
              <w:t>正本和副本的封面上应清楚地标记“正本”或“副本”的字样。当副本和正本不一致时，以正本为准。</w:t>
            </w:r>
          </w:p>
          <w:p>
            <w:pPr>
              <w:rPr>
                <w:rFonts w:ascii="宋体" w:hAnsi="宋体"/>
                <w:color w:val="auto"/>
                <w:szCs w:val="21"/>
                <w:highlight w:val="none"/>
              </w:rPr>
            </w:pPr>
            <w:r>
              <w:rPr>
                <w:rFonts w:hint="eastAsia" w:ascii="宋体" w:hAnsi="宋体"/>
                <w:color w:val="auto"/>
                <w:sz w:val="24"/>
                <w:szCs w:val="28"/>
                <w:highlight w:val="none"/>
              </w:rPr>
              <w:t>投标文件（投标报价和工程量清单）正本投标总报价表还须造价人员签字并加盖执业专用章。委托造价咨询单位编制的，需提供委托协议，已标价工程量清单正本投标总报价加盖咨询单位公章、资质章、造价师签字并加盖执业专用章，且证件在有效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2</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投标文件及电子版本的份数</w:t>
            </w:r>
          </w:p>
        </w:tc>
        <w:tc>
          <w:tcPr>
            <w:tcW w:w="5805" w:type="dxa"/>
            <w:gridSpan w:val="2"/>
            <w:vAlign w:val="center"/>
          </w:tcPr>
          <w:p>
            <w:pPr>
              <w:rPr>
                <w:rFonts w:ascii="宋体" w:hAnsi="宋体"/>
                <w:color w:val="auto"/>
                <w:sz w:val="24"/>
                <w:highlight w:val="none"/>
              </w:rPr>
            </w:pPr>
            <w:r>
              <w:rPr>
                <w:rFonts w:hint="eastAsia" w:ascii="宋体" w:hAnsi="宋体"/>
                <w:color w:val="auto"/>
                <w:sz w:val="24"/>
                <w:highlight w:val="none"/>
              </w:rPr>
              <w:t>正本1份，副本4份，</w:t>
            </w:r>
            <w:r>
              <w:rPr>
                <w:rFonts w:hint="eastAsia" w:ascii="宋体" w:hAnsi="宋体"/>
                <w:color w:val="auto"/>
                <w:sz w:val="24"/>
                <w:szCs w:val="28"/>
                <w:highlight w:val="none"/>
              </w:rPr>
              <w:t>U盘电子版本</w:t>
            </w:r>
            <w:r>
              <w:rPr>
                <w:rFonts w:hint="eastAsia" w:ascii="宋体" w:hAnsi="宋体"/>
                <w:color w:val="auto"/>
                <w:sz w:val="24"/>
                <w:highlight w:val="none"/>
              </w:rPr>
              <w:t>1</w:t>
            </w:r>
            <w:r>
              <w:rPr>
                <w:rFonts w:hint="eastAsia" w:ascii="宋体" w:hAnsi="宋体"/>
                <w:color w:val="auto"/>
                <w:sz w:val="24"/>
                <w:szCs w:val="28"/>
                <w:highlight w:val="none"/>
              </w:rPr>
              <w:t>份（U盘外贴标签注明单位名称和标段，电子版本应包括投标文件全部内容及已标价的工程量清单，且保证能够有效读取）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3.</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装订要求</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胶装（商务及技术部分、投标报价和工程量清单部分分别密封胶装）</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144" w:hRule="atLeast"/>
          <w:jc w:val="center"/>
        </w:trPr>
        <w:tc>
          <w:tcPr>
            <w:tcW w:w="1202" w:type="dxa"/>
            <w:tcBorders>
              <w:lef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4.1</w:t>
            </w:r>
          </w:p>
        </w:tc>
        <w:tc>
          <w:tcPr>
            <w:tcW w:w="2084"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封套上写明</w:t>
            </w:r>
          </w:p>
        </w:tc>
        <w:tc>
          <w:tcPr>
            <w:tcW w:w="5805"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投标文件第一个信封（商务及技术文件）内层封套：</w:t>
            </w:r>
          </w:p>
          <w:p>
            <w:pPr>
              <w:ind w:left="113" w:right="113"/>
              <w:rPr>
                <w:rFonts w:ascii="宋体" w:hAnsi="宋体"/>
                <w:color w:val="auto"/>
                <w:sz w:val="24"/>
                <w:highlight w:val="none"/>
                <w:u w:val="singl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投标文件第一个信封（商务及技术文件）外层封套：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标段施工招标第一个信封（商务及技术文件）投标文件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分前不得开启</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投标文件第二个信封（投标报价和工程量清单）内层封套：</w:t>
            </w:r>
          </w:p>
          <w:p>
            <w:pPr>
              <w:ind w:left="113" w:right="113"/>
              <w:rPr>
                <w:rFonts w:ascii="宋体" w:hAnsi="宋体"/>
                <w:color w:val="auto"/>
                <w:sz w:val="24"/>
                <w:highlight w:val="none"/>
              </w:rPr>
            </w:pPr>
            <w:r>
              <w:rPr>
                <w:rFonts w:hint="eastAsia" w:ascii="宋体" w:hAnsi="宋体"/>
                <w:color w:val="auto"/>
                <w:sz w:val="24"/>
                <w:highlight w:val="none"/>
              </w:rPr>
              <w:t>投标人邮政编码：</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投标人联系人：</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投标人联系电话：</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招标人地址及名称：</w:t>
            </w:r>
            <w:r>
              <w:rPr>
                <w:rFonts w:hint="eastAsia" w:ascii="宋体" w:hAnsi="宋体"/>
                <w:color w:val="auto"/>
                <w:sz w:val="24"/>
                <w:highlight w:val="none"/>
                <w:u w:val="single"/>
              </w:rPr>
              <w:t xml:space="preserve">             </w:t>
            </w:r>
            <w:r>
              <w:rPr>
                <w:rFonts w:hint="eastAsia" w:ascii="宋体" w:hAnsi="宋体"/>
                <w:color w:val="auto"/>
                <w:sz w:val="24"/>
                <w:highlight w:val="none"/>
              </w:rPr>
              <w:t>（寄）</w:t>
            </w:r>
          </w:p>
          <w:p>
            <w:pPr>
              <w:ind w:left="113" w:right="113"/>
              <w:rPr>
                <w:rFonts w:ascii="宋体" w:hAnsi="宋体"/>
                <w:color w:val="auto"/>
                <w:sz w:val="24"/>
                <w:highlight w:val="none"/>
              </w:rPr>
            </w:pPr>
            <w:r>
              <w:rPr>
                <w:rFonts w:hint="eastAsia" w:ascii="宋体" w:hAnsi="宋体"/>
                <w:color w:val="auto"/>
                <w:sz w:val="24"/>
                <w:highlight w:val="none"/>
              </w:rPr>
              <w:t>投标文件第二个信封（投标报价和工程量清单）外层封套：</w:t>
            </w:r>
          </w:p>
          <w:p>
            <w:pPr>
              <w:ind w:left="113" w:right="113"/>
              <w:rPr>
                <w:rFonts w:ascii="宋体" w:hAnsi="宋体"/>
                <w:color w:val="auto"/>
                <w:sz w:val="24"/>
                <w:highlight w:val="none"/>
              </w:rPr>
            </w:pPr>
            <w:r>
              <w:rPr>
                <w:rFonts w:hint="eastAsia" w:ascii="宋体" w:hAnsi="宋体"/>
                <w:color w:val="auto"/>
                <w:sz w:val="24"/>
                <w:highlight w:val="none"/>
              </w:rPr>
              <w:t>招标人地址：</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rPr>
              <w:t>招标人名称：</w:t>
            </w:r>
            <w:r>
              <w:rPr>
                <w:rFonts w:hint="eastAsia" w:ascii="宋体" w:hAnsi="宋体"/>
                <w:color w:val="auto"/>
                <w:sz w:val="24"/>
                <w:highlight w:val="none"/>
                <w:u w:val="single"/>
              </w:rPr>
              <w:t xml:space="preserve">              </w:t>
            </w:r>
          </w:p>
          <w:p>
            <w:pPr>
              <w:ind w:left="113" w:right="113"/>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color w:val="auto"/>
                <w:sz w:val="24"/>
                <w:highlight w:val="none"/>
              </w:rPr>
              <w:t>标段施工招标第二个信封（投标报价和工程量清单）投标文件</w:t>
            </w:r>
          </w:p>
          <w:p>
            <w:pPr>
              <w:ind w:left="113" w:right="113"/>
              <w:rPr>
                <w:rFonts w:ascii="宋体" w:hAnsi="宋体"/>
                <w:color w:val="auto"/>
                <w:sz w:val="24"/>
                <w:highlight w:val="none"/>
              </w:rPr>
            </w:pPr>
            <w:r>
              <w:rPr>
                <w:rFonts w:hint="eastAsia" w:ascii="宋体" w:hAnsi="宋体"/>
                <w:color w:val="auto"/>
                <w:sz w:val="24"/>
                <w:highlight w:val="none"/>
              </w:rPr>
              <w:t>在</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r>
              <w:rPr>
                <w:rFonts w:hint="eastAsia" w:ascii="宋体" w:hAnsi="宋体"/>
                <w:color w:val="auto"/>
                <w:sz w:val="24"/>
                <w:highlight w:val="none"/>
                <w:u w:val="single"/>
              </w:rPr>
              <w:t xml:space="preserve">   </w:t>
            </w:r>
            <w:r>
              <w:rPr>
                <w:rFonts w:hint="eastAsia" w:ascii="宋体" w:hAnsi="宋体"/>
                <w:color w:val="auto"/>
                <w:sz w:val="24"/>
                <w:highlight w:val="none"/>
              </w:rPr>
              <w:t>时</w:t>
            </w:r>
            <w:r>
              <w:rPr>
                <w:rFonts w:hint="eastAsia" w:ascii="宋体" w:hAnsi="宋体"/>
                <w:color w:val="auto"/>
                <w:sz w:val="24"/>
                <w:highlight w:val="none"/>
                <w:u w:val="single"/>
              </w:rPr>
              <w:t xml:space="preserve">   </w:t>
            </w:r>
            <w:r>
              <w:rPr>
                <w:rFonts w:hint="eastAsia" w:ascii="宋体" w:hAnsi="宋体"/>
                <w:color w:val="auto"/>
                <w:sz w:val="24"/>
                <w:highlight w:val="none"/>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w:t>
            </w:r>
            <w:r>
              <w:rPr>
                <w:rFonts w:hint="eastAsia" w:ascii="宋体" w:hAnsi="宋体"/>
                <w:color w:val="auto"/>
                <w:sz w:val="24"/>
                <w:highlight w:val="none"/>
                <w:lang w:val="en-US" w:eastAsia="zh-CN"/>
              </w:rPr>
              <w:t>1</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递交投标文件</w:t>
            </w:r>
          </w:p>
          <w:p>
            <w:pPr>
              <w:spacing w:line="360" w:lineRule="auto"/>
              <w:jc w:val="center"/>
              <w:rPr>
                <w:rFonts w:ascii="宋体" w:hAnsi="宋体"/>
                <w:color w:val="auto"/>
                <w:sz w:val="24"/>
                <w:highlight w:val="none"/>
              </w:rPr>
            </w:pPr>
            <w:r>
              <w:rPr>
                <w:rFonts w:hint="eastAsia" w:ascii="宋体" w:hAnsi="宋体"/>
                <w:color w:val="auto"/>
                <w:sz w:val="24"/>
                <w:highlight w:val="none"/>
              </w:rPr>
              <w:t>地点</w:t>
            </w:r>
          </w:p>
        </w:tc>
        <w:tc>
          <w:tcPr>
            <w:tcW w:w="5805" w:type="dxa"/>
            <w:gridSpan w:val="2"/>
            <w:vAlign w:val="center"/>
          </w:tcPr>
          <w:p>
            <w:pPr>
              <w:spacing w:line="360" w:lineRule="auto"/>
              <w:rPr>
                <w:rFonts w:ascii="宋体" w:hAnsi="宋体"/>
                <w:b/>
                <w:color w:val="auto"/>
                <w:sz w:val="24"/>
                <w:highlight w:val="none"/>
              </w:rPr>
            </w:pPr>
            <w:r>
              <w:rPr>
                <w:rFonts w:hint="eastAsia" w:ascii="宋体" w:hAnsi="宋体"/>
                <w:color w:val="auto"/>
                <w:sz w:val="24"/>
                <w:highlight w:val="none"/>
              </w:rPr>
              <w:t>许昌市建安区兴业大厦4167室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4.2.</w:t>
            </w:r>
            <w:r>
              <w:rPr>
                <w:rFonts w:hint="eastAsia" w:ascii="宋体" w:hAnsi="宋体"/>
                <w:color w:val="auto"/>
                <w:sz w:val="24"/>
                <w:highlight w:val="none"/>
                <w:lang w:val="en-US" w:eastAsia="zh-CN"/>
              </w:rPr>
              <w:t>2</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是否退还投标文件</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5.1</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开标时间和地点</w:t>
            </w:r>
          </w:p>
        </w:tc>
        <w:tc>
          <w:tcPr>
            <w:tcW w:w="5805" w:type="dxa"/>
            <w:gridSpan w:val="2"/>
            <w:vAlign w:val="center"/>
          </w:tcPr>
          <w:p>
            <w:pPr>
              <w:ind w:left="113" w:right="113"/>
              <w:rPr>
                <w:rFonts w:ascii="宋体" w:hAnsi="宋体"/>
                <w:color w:val="auto"/>
                <w:sz w:val="24"/>
                <w:highlight w:val="none"/>
              </w:rPr>
            </w:pPr>
            <w:r>
              <w:rPr>
                <w:rFonts w:hint="eastAsia" w:ascii="宋体" w:hAnsi="宋体"/>
                <w:color w:val="auto"/>
                <w:sz w:val="24"/>
                <w:highlight w:val="none"/>
              </w:rPr>
              <w:t>开标时间</w:t>
            </w:r>
            <w:r>
              <w:rPr>
                <w:rFonts w:hint="eastAsia" w:ascii="宋体" w:hAnsi="宋体"/>
                <w:i w:val="0"/>
                <w:iCs w:val="0"/>
                <w:color w:val="auto"/>
                <w:sz w:val="24"/>
                <w:highlight w:val="none"/>
              </w:rPr>
              <w:t>：201</w:t>
            </w:r>
            <w:r>
              <w:rPr>
                <w:rFonts w:hint="eastAsia" w:ascii="宋体" w:hAnsi="宋体"/>
                <w:i w:val="0"/>
                <w:iCs w:val="0"/>
                <w:color w:val="auto"/>
                <w:sz w:val="24"/>
                <w:highlight w:val="none"/>
                <w:lang w:val="en-US" w:eastAsia="zh-CN"/>
              </w:rPr>
              <w:t>8</w:t>
            </w:r>
            <w:r>
              <w:rPr>
                <w:rFonts w:hint="eastAsia" w:ascii="宋体" w:hAnsi="宋体"/>
                <w:i w:val="0"/>
                <w:iCs w:val="0"/>
                <w:color w:val="auto"/>
                <w:sz w:val="24"/>
                <w:highlight w:val="none"/>
              </w:rPr>
              <w:t>年</w:t>
            </w:r>
            <w:r>
              <w:rPr>
                <w:rFonts w:hint="eastAsia" w:ascii="宋体" w:hAnsi="宋体"/>
                <w:i w:val="0"/>
                <w:iCs w:val="0"/>
                <w:color w:val="auto"/>
                <w:sz w:val="24"/>
                <w:highlight w:val="none"/>
                <w:lang w:val="en-US" w:eastAsia="zh-CN"/>
              </w:rPr>
              <w:t>1</w:t>
            </w:r>
            <w:r>
              <w:rPr>
                <w:rFonts w:hint="eastAsia" w:ascii="宋体" w:hAnsi="宋体"/>
                <w:i w:val="0"/>
                <w:iCs w:val="0"/>
                <w:color w:val="auto"/>
                <w:sz w:val="24"/>
                <w:highlight w:val="none"/>
              </w:rPr>
              <w:t>月</w:t>
            </w:r>
            <w:r>
              <w:rPr>
                <w:rFonts w:hint="eastAsia" w:ascii="宋体" w:hAnsi="宋体"/>
                <w:i w:val="0"/>
                <w:iCs w:val="0"/>
                <w:color w:val="auto"/>
                <w:sz w:val="24"/>
                <w:highlight w:val="none"/>
                <w:lang w:val="en-US" w:eastAsia="zh-CN"/>
              </w:rPr>
              <w:t>29</w:t>
            </w:r>
            <w:r>
              <w:rPr>
                <w:rFonts w:hint="eastAsia" w:ascii="宋体" w:hAnsi="宋体"/>
                <w:i w:val="0"/>
                <w:iCs w:val="0"/>
                <w:color w:val="auto"/>
                <w:sz w:val="24"/>
                <w:highlight w:val="none"/>
              </w:rPr>
              <w:t>日</w:t>
            </w:r>
            <w:r>
              <w:rPr>
                <w:rFonts w:hint="eastAsia" w:ascii="宋体" w:hAnsi="宋体"/>
                <w:i w:val="0"/>
                <w:iCs w:val="0"/>
                <w:color w:val="auto"/>
                <w:sz w:val="24"/>
                <w:highlight w:val="none"/>
                <w:lang w:val="en-US" w:eastAsia="zh-CN"/>
              </w:rPr>
              <w:t>9</w:t>
            </w:r>
            <w:r>
              <w:rPr>
                <w:rFonts w:hint="eastAsia" w:ascii="宋体" w:hAnsi="宋体"/>
                <w:i w:val="0"/>
                <w:iCs w:val="0"/>
                <w:color w:val="auto"/>
                <w:sz w:val="24"/>
                <w:highlight w:val="none"/>
              </w:rPr>
              <w:t>时</w:t>
            </w:r>
            <w:r>
              <w:rPr>
                <w:rFonts w:hint="eastAsia" w:ascii="宋体" w:hAnsi="宋体"/>
                <w:i w:val="0"/>
                <w:iCs w:val="0"/>
                <w:color w:val="auto"/>
                <w:sz w:val="24"/>
                <w:highlight w:val="none"/>
                <w:lang w:val="en-US" w:eastAsia="zh-CN"/>
              </w:rPr>
              <w:t>30</w:t>
            </w:r>
            <w:r>
              <w:rPr>
                <w:rFonts w:hint="eastAsia" w:ascii="宋体" w:hAnsi="宋体"/>
                <w:i w:val="0"/>
                <w:iCs w:val="0"/>
                <w:color w:val="auto"/>
                <w:sz w:val="24"/>
                <w:highlight w:val="none"/>
              </w:rPr>
              <w:t>分</w:t>
            </w:r>
          </w:p>
          <w:p>
            <w:pPr>
              <w:ind w:left="113" w:right="113"/>
              <w:rPr>
                <w:rFonts w:ascii="宋体" w:hAnsi="宋体"/>
                <w:color w:val="auto"/>
                <w:sz w:val="24"/>
                <w:highlight w:val="none"/>
              </w:rPr>
            </w:pPr>
            <w:r>
              <w:rPr>
                <w:rFonts w:hint="eastAsia" w:ascii="宋体" w:hAnsi="宋体"/>
                <w:color w:val="auto"/>
                <w:sz w:val="24"/>
                <w:highlight w:val="none"/>
              </w:rPr>
              <w:t>开标地点：许昌市建安区兴业大厦4167室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5.2</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开标程序</w:t>
            </w:r>
          </w:p>
        </w:tc>
        <w:tc>
          <w:tcPr>
            <w:tcW w:w="5805" w:type="dxa"/>
            <w:gridSpan w:val="2"/>
            <w:vAlign w:val="center"/>
          </w:tcPr>
          <w:p>
            <w:pPr>
              <w:ind w:left="113" w:right="113"/>
              <w:rPr>
                <w:rFonts w:ascii="宋体" w:hAnsi="宋体"/>
                <w:color w:val="auto"/>
                <w:sz w:val="24"/>
                <w:highlight w:val="none"/>
              </w:rPr>
            </w:pPr>
            <w:r>
              <w:rPr>
                <w:rFonts w:hint="eastAsia" w:ascii="宋体" w:hAnsi="宋体"/>
                <w:color w:val="auto"/>
                <w:sz w:val="24"/>
                <w:highlight w:val="none"/>
              </w:rPr>
              <w:t>密封情况检查：由投标人代表检查其投标文件是否密封完好。</w:t>
            </w:r>
          </w:p>
          <w:p>
            <w:pPr>
              <w:ind w:left="113" w:right="113"/>
              <w:rPr>
                <w:rFonts w:ascii="宋体" w:hAnsi="宋体"/>
                <w:b/>
                <w:color w:val="auto"/>
                <w:sz w:val="24"/>
                <w:highlight w:val="none"/>
              </w:rPr>
            </w:pPr>
            <w:r>
              <w:rPr>
                <w:rFonts w:hint="eastAsia" w:ascii="宋体" w:hAnsi="宋体"/>
                <w:color w:val="auto"/>
                <w:sz w:val="24"/>
                <w:highlight w:val="none"/>
              </w:rPr>
              <w:t>开标顺序：按送达投标文件顺序的逆顺序开标。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6.1</w:t>
            </w:r>
          </w:p>
        </w:tc>
        <w:tc>
          <w:tcPr>
            <w:tcW w:w="2084" w:type="dxa"/>
            <w:gridSpan w:val="2"/>
            <w:vAlign w:val="center"/>
          </w:tcPr>
          <w:p>
            <w:pPr>
              <w:spacing w:line="360" w:lineRule="auto"/>
              <w:rPr>
                <w:rFonts w:hAnsi="宋体" w:cs="仿宋_GB2312"/>
                <w:b/>
                <w:color w:val="auto"/>
                <w:sz w:val="24"/>
                <w:highlight w:val="none"/>
              </w:rPr>
            </w:pPr>
            <w:r>
              <w:rPr>
                <w:rFonts w:hint="eastAsia" w:hAnsi="宋体" w:cs="仿宋_GB2312"/>
                <w:b/>
                <w:color w:val="auto"/>
                <w:sz w:val="24"/>
                <w:highlight w:val="none"/>
              </w:rPr>
              <w:t>评标委员会的组建</w:t>
            </w:r>
          </w:p>
        </w:tc>
        <w:tc>
          <w:tcPr>
            <w:tcW w:w="5805" w:type="dxa"/>
            <w:gridSpan w:val="2"/>
            <w:vAlign w:val="center"/>
          </w:tcPr>
          <w:p>
            <w:pPr>
              <w:spacing w:line="360" w:lineRule="auto"/>
              <w:rPr>
                <w:rFonts w:hint="eastAsia" w:hAnsi="宋体" w:cs="仿宋_GB2312"/>
                <w:b/>
                <w:color w:val="auto"/>
                <w:sz w:val="24"/>
                <w:highlight w:val="none"/>
              </w:rPr>
            </w:pPr>
            <w:r>
              <w:rPr>
                <w:rFonts w:hint="eastAsia" w:hAnsi="宋体" w:cs="仿宋_GB2312"/>
                <w:b/>
                <w:color w:val="auto"/>
                <w:sz w:val="24"/>
                <w:highlight w:val="none"/>
              </w:rPr>
              <w:t xml:space="preserve">评标委员会构成： </w:t>
            </w:r>
            <w:r>
              <w:rPr>
                <w:rFonts w:hint="eastAsia" w:hAnsi="宋体" w:cs="仿宋_GB2312"/>
                <w:b/>
                <w:color w:val="auto"/>
                <w:sz w:val="24"/>
                <w:highlight w:val="none"/>
                <w:lang w:val="en-US" w:eastAsia="zh-CN"/>
              </w:rPr>
              <w:t>5</w:t>
            </w:r>
            <w:r>
              <w:rPr>
                <w:rFonts w:hint="eastAsia" w:hAnsi="宋体" w:cs="仿宋_GB2312"/>
                <w:b/>
                <w:color w:val="auto"/>
                <w:sz w:val="24"/>
                <w:highlight w:val="none"/>
              </w:rPr>
              <w:t xml:space="preserve">人（招标人代表 </w:t>
            </w:r>
            <w:r>
              <w:rPr>
                <w:rFonts w:hint="eastAsia" w:hAnsi="宋体" w:cs="仿宋_GB2312"/>
                <w:b/>
                <w:color w:val="auto"/>
                <w:sz w:val="24"/>
                <w:highlight w:val="none"/>
                <w:lang w:val="en-US" w:eastAsia="zh-CN"/>
              </w:rPr>
              <w:t>1</w:t>
            </w:r>
            <w:r>
              <w:rPr>
                <w:rFonts w:hint="eastAsia" w:hAnsi="宋体" w:cs="仿宋_GB2312"/>
                <w:b/>
                <w:color w:val="auto"/>
                <w:sz w:val="24"/>
                <w:highlight w:val="none"/>
              </w:rPr>
              <w:t xml:space="preserve">人，专家 </w:t>
            </w:r>
            <w:r>
              <w:rPr>
                <w:rFonts w:hint="eastAsia" w:hAnsi="宋体" w:cs="仿宋_GB2312"/>
                <w:b/>
                <w:color w:val="auto"/>
                <w:sz w:val="24"/>
                <w:highlight w:val="none"/>
                <w:lang w:val="en-US" w:eastAsia="zh-CN"/>
              </w:rPr>
              <w:t>4</w:t>
            </w:r>
            <w:r>
              <w:rPr>
                <w:rFonts w:hint="eastAsia" w:hAnsi="宋体" w:cs="仿宋_GB2312"/>
                <w:b/>
                <w:color w:val="auto"/>
                <w:sz w:val="24"/>
                <w:highlight w:val="none"/>
              </w:rPr>
              <w:t xml:space="preserve"> 人，其中注册造价工程师2人）；</w:t>
            </w:r>
          </w:p>
          <w:p>
            <w:pPr>
              <w:spacing w:line="360" w:lineRule="auto"/>
              <w:rPr>
                <w:rFonts w:hAnsi="宋体" w:cs="仿宋_GB2312"/>
                <w:b/>
                <w:color w:val="auto"/>
                <w:sz w:val="24"/>
                <w:highlight w:val="none"/>
              </w:rPr>
            </w:pPr>
            <w:r>
              <w:rPr>
                <w:rFonts w:hint="eastAsia" w:hAnsi="宋体" w:cs="仿宋_GB2312"/>
                <w:b/>
                <w:color w:val="auto"/>
                <w:sz w:val="24"/>
                <w:highlight w:val="none"/>
              </w:rPr>
              <w:t>评标专家确定方式：从 河南省综合评标专家库 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2</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评标办法</w:t>
            </w:r>
          </w:p>
        </w:tc>
        <w:tc>
          <w:tcPr>
            <w:tcW w:w="5805" w:type="dxa"/>
            <w:gridSpan w:val="2"/>
            <w:vAlign w:val="center"/>
          </w:tcPr>
          <w:p>
            <w:pPr>
              <w:spacing w:line="360" w:lineRule="auto"/>
              <w:rPr>
                <w:rFonts w:ascii="宋体" w:hAnsi="宋体"/>
                <w:color w:val="auto"/>
                <w:sz w:val="24"/>
                <w:highlight w:val="none"/>
              </w:rPr>
            </w:pPr>
            <w:r>
              <w:rPr>
                <w:rFonts w:hint="eastAsia" w:ascii="宋体" w:hAnsi="宋体"/>
                <w:b/>
                <w:color w:val="auto"/>
                <w:sz w:val="24"/>
                <w:highlight w:val="none"/>
              </w:rPr>
              <w:t>技术评分最低标价法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3</w:t>
            </w:r>
          </w:p>
        </w:tc>
        <w:tc>
          <w:tcPr>
            <w:tcW w:w="2084" w:type="dxa"/>
            <w:gridSpan w:val="2"/>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招标控制价</w:t>
            </w:r>
          </w:p>
        </w:tc>
        <w:tc>
          <w:tcPr>
            <w:tcW w:w="5805" w:type="dxa"/>
            <w:gridSpan w:val="2"/>
            <w:vAlign w:val="center"/>
          </w:tcPr>
          <w:p>
            <w:pPr>
              <w:spacing w:line="360" w:lineRule="auto"/>
              <w:rPr>
                <w:rFonts w:hint="eastAsia" w:hAnsi="宋体" w:cs="仿宋_GB2312"/>
                <w:b/>
                <w:color w:val="auto"/>
                <w:sz w:val="24"/>
                <w:highlight w:val="none"/>
                <w:lang w:eastAsia="zh-CN"/>
              </w:rPr>
            </w:pPr>
            <w:r>
              <w:rPr>
                <w:rFonts w:hint="eastAsia" w:ascii="宋体" w:hAnsi="宋体"/>
                <w:b/>
                <w:bCs/>
                <w:color w:val="auto"/>
                <w:sz w:val="24"/>
                <w:highlight w:val="none"/>
              </w:rPr>
              <w:t>招标控制价：</w:t>
            </w:r>
            <w:r>
              <w:rPr>
                <w:rFonts w:hint="eastAsia" w:hAnsi="宋体" w:cs="仿宋_GB2312"/>
                <w:b/>
                <w:color w:val="auto"/>
                <w:sz w:val="24"/>
                <w:highlight w:val="none"/>
                <w:lang w:eastAsia="zh-CN"/>
              </w:rPr>
              <w:t>叁佰柒拾叁万陆仟玖佰伍拾壹圆肆角伍分</w:t>
            </w:r>
          </w:p>
          <w:p>
            <w:pPr>
              <w:spacing w:line="360" w:lineRule="auto"/>
              <w:rPr>
                <w:rFonts w:hAnsi="宋体" w:cs="仿宋_GB2312"/>
                <w:b/>
                <w:color w:val="auto"/>
                <w:sz w:val="24"/>
                <w:highlight w:val="none"/>
              </w:rPr>
            </w:pPr>
            <w:r>
              <w:rPr>
                <w:rFonts w:hint="eastAsia" w:hAnsi="宋体" w:cs="仿宋_GB2312"/>
                <w:b/>
                <w:color w:val="auto"/>
                <w:sz w:val="24"/>
                <w:highlight w:val="none"/>
              </w:rPr>
              <w:t>（小写：</w:t>
            </w:r>
            <w:r>
              <w:rPr>
                <w:rFonts w:hint="eastAsia" w:hAnsi="宋体" w:cs="仿宋_GB2312"/>
                <w:b/>
                <w:color w:val="auto"/>
                <w:sz w:val="24"/>
                <w:highlight w:val="none"/>
                <w:lang w:val="en-US" w:eastAsia="zh-CN"/>
              </w:rPr>
              <w:t>3736951.45</w:t>
            </w:r>
            <w:r>
              <w:rPr>
                <w:rFonts w:hint="eastAsia" w:hAnsi="宋体" w:cs="仿宋_GB2312"/>
                <w:b/>
                <w:color w:val="auto"/>
                <w:sz w:val="24"/>
                <w:highlight w:val="none"/>
                <w:lang w:eastAsia="zh-CN"/>
              </w:rPr>
              <w:t>元</w:t>
            </w:r>
            <w:r>
              <w:rPr>
                <w:rFonts w:hint="eastAsia" w:hAnsi="宋体" w:cs="仿宋_GB2312"/>
                <w:b/>
                <w:color w:val="auto"/>
                <w:sz w:val="24"/>
                <w:highlight w:val="none"/>
              </w:rPr>
              <w:t>）</w:t>
            </w:r>
          </w:p>
          <w:p>
            <w:pPr>
              <w:spacing w:line="360" w:lineRule="auto"/>
              <w:rPr>
                <w:rFonts w:hAnsi="宋体" w:cs="仿宋_GB2312"/>
                <w:b/>
                <w:color w:val="auto"/>
                <w:highlight w:val="none"/>
              </w:rPr>
            </w:pPr>
            <w:r>
              <w:rPr>
                <w:rFonts w:hint="eastAsia" w:hAnsi="宋体" w:cs="仿宋_GB2312"/>
                <w:b/>
                <w:color w:val="auto"/>
                <w:sz w:val="24"/>
                <w:highlight w:val="none"/>
              </w:rPr>
              <w:t>凡投标人的投标报价超出“</w:t>
            </w:r>
            <w:r>
              <w:rPr>
                <w:rFonts w:hAnsi="宋体" w:cs="仿宋_GB2312"/>
                <w:b/>
                <w:color w:val="auto"/>
                <w:sz w:val="24"/>
                <w:highlight w:val="none"/>
              </w:rPr>
              <w:t>招标控制价</w:t>
            </w:r>
            <w:r>
              <w:rPr>
                <w:rFonts w:hint="eastAsia" w:hAnsi="宋体" w:cs="仿宋_GB2312"/>
                <w:b/>
                <w:color w:val="auto"/>
                <w:sz w:val="24"/>
                <w:highlight w:val="none"/>
              </w:rPr>
              <w:t>”（不含等于“</w:t>
            </w:r>
            <w:r>
              <w:rPr>
                <w:rFonts w:hAnsi="宋体" w:cs="仿宋_GB2312"/>
                <w:b/>
                <w:color w:val="auto"/>
                <w:sz w:val="24"/>
                <w:highlight w:val="none"/>
              </w:rPr>
              <w:t>招标控制价</w:t>
            </w:r>
            <w:r>
              <w:rPr>
                <w:rFonts w:hint="eastAsia" w:hAnsi="宋体" w:cs="仿宋_GB2312"/>
                <w:b/>
                <w:color w:val="auto"/>
                <w:sz w:val="24"/>
                <w:highlight w:val="none"/>
              </w:rPr>
              <w:t>”）的，该投标人的投标文件应作废标处理。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4" w:hRule="exac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4</w:t>
            </w:r>
          </w:p>
        </w:tc>
        <w:tc>
          <w:tcPr>
            <w:tcW w:w="2084" w:type="dxa"/>
            <w:gridSpan w:val="2"/>
            <w:vAlign w:val="center"/>
          </w:tcPr>
          <w:p>
            <w:pPr>
              <w:ind w:left="237"/>
              <w:jc w:val="center"/>
              <w:rPr>
                <w:rFonts w:ascii="宋体" w:hAnsi="宋体" w:cs="仿宋_GB2312"/>
                <w:color w:val="auto"/>
                <w:kern w:val="0"/>
                <w:sz w:val="24"/>
                <w:highlight w:val="none"/>
              </w:rPr>
            </w:pPr>
            <w:r>
              <w:rPr>
                <w:rFonts w:hint="eastAsia" w:ascii="宋体" w:hAnsi="宋体" w:cs="仿宋_GB2312"/>
                <w:color w:val="auto"/>
                <w:kern w:val="0"/>
                <w:sz w:val="24"/>
                <w:highlight w:val="none"/>
              </w:rPr>
              <w:t xml:space="preserve">投标文件的拒收 </w:t>
            </w:r>
          </w:p>
          <w:p>
            <w:pPr>
              <w:jc w:val="center"/>
              <w:rPr>
                <w:rFonts w:ascii="宋体" w:hAnsi="宋体"/>
                <w:color w:val="auto"/>
                <w:sz w:val="24"/>
                <w:highlight w:val="none"/>
              </w:rPr>
            </w:pPr>
          </w:p>
        </w:tc>
        <w:tc>
          <w:tcPr>
            <w:tcW w:w="5805" w:type="dxa"/>
            <w:gridSpan w:val="2"/>
            <w:vAlign w:val="center"/>
          </w:tcPr>
          <w:p>
            <w:pPr>
              <w:spacing w:line="340" w:lineRule="exact"/>
              <w:rPr>
                <w:rFonts w:ascii="宋体" w:hAnsi="宋体"/>
                <w:color w:val="auto"/>
                <w:spacing w:val="2"/>
                <w:sz w:val="24"/>
                <w:highlight w:val="none"/>
              </w:rPr>
            </w:pPr>
            <w:r>
              <w:rPr>
                <w:rFonts w:hint="eastAsia" w:ascii="宋体" w:hAnsi="宋体"/>
                <w:color w:val="auto"/>
                <w:spacing w:val="2"/>
                <w:sz w:val="24"/>
                <w:highlight w:val="none"/>
              </w:rPr>
              <w:t xml:space="preserve">  1、</w:t>
            </w:r>
            <w:r>
              <w:rPr>
                <w:rFonts w:hint="eastAsia" w:hAnsi="宋体"/>
                <w:color w:val="auto"/>
                <w:spacing w:val="2"/>
                <w:sz w:val="24"/>
                <w:highlight w:val="none"/>
              </w:rPr>
              <w:t>未按招标文件规定提交投标保证金的，</w:t>
            </w:r>
            <w:r>
              <w:rPr>
                <w:rFonts w:hint="eastAsia" w:ascii="宋体" w:hAnsi="宋体"/>
                <w:color w:val="auto"/>
                <w:spacing w:val="2"/>
                <w:sz w:val="24"/>
                <w:highlight w:val="none"/>
              </w:rPr>
              <w:t>投标文件将被拒收。</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2、法定代表人</w:t>
            </w:r>
            <w:r>
              <w:rPr>
                <w:rFonts w:hint="eastAsia" w:hAnsi="宋体"/>
                <w:color w:val="auto"/>
                <w:sz w:val="24"/>
                <w:highlight w:val="none"/>
              </w:rPr>
              <w:t>或</w:t>
            </w:r>
            <w:r>
              <w:rPr>
                <w:rFonts w:hint="eastAsia" w:ascii="宋体" w:hAnsi="宋体"/>
                <w:color w:val="auto"/>
                <w:sz w:val="24"/>
                <w:highlight w:val="none"/>
              </w:rPr>
              <w:t>其委托代理人</w:t>
            </w:r>
            <w:r>
              <w:rPr>
                <w:rFonts w:hint="eastAsia" w:hAnsi="宋体" w:cs="仿宋_GB2312"/>
                <w:color w:val="auto"/>
                <w:sz w:val="24"/>
                <w:highlight w:val="none"/>
              </w:rPr>
              <w:t>（持有效的授权委托书）在规定时间内未携带本人身份证到开标现场并签到的</w:t>
            </w:r>
            <w:r>
              <w:rPr>
                <w:rFonts w:hint="eastAsia" w:ascii="宋体" w:hAnsi="宋体"/>
                <w:color w:val="auto"/>
                <w:spacing w:val="2"/>
                <w:sz w:val="24"/>
                <w:highlight w:val="none"/>
              </w:rPr>
              <w:t xml:space="preserve">，投标文件将被拒收。    </w:t>
            </w:r>
          </w:p>
          <w:p>
            <w:pPr>
              <w:spacing w:line="340" w:lineRule="exact"/>
              <w:rPr>
                <w:rFonts w:ascii="宋体" w:hAnsi="宋体"/>
                <w:color w:val="auto"/>
                <w:spacing w:val="2"/>
                <w:sz w:val="24"/>
                <w:highlight w:val="none"/>
              </w:rPr>
            </w:pPr>
            <w:r>
              <w:rPr>
                <w:rFonts w:hint="eastAsia" w:hAnsi="宋体"/>
                <w:color w:val="auto"/>
                <w:spacing w:val="2"/>
                <w:sz w:val="24"/>
                <w:highlight w:val="none"/>
              </w:rPr>
              <w:t xml:space="preserve">  </w:t>
            </w:r>
            <w:r>
              <w:rPr>
                <w:rFonts w:hint="eastAsia" w:ascii="宋体" w:hAnsi="宋体"/>
                <w:color w:val="auto"/>
                <w:spacing w:val="2"/>
                <w:sz w:val="24"/>
                <w:highlight w:val="none"/>
              </w:rPr>
              <w:t>3、投标文件逾期送达或未按招标文件要求密封的，投标文件将被拒收。</w:t>
            </w:r>
          </w:p>
          <w:p>
            <w:pPr>
              <w:spacing w:line="340" w:lineRule="exact"/>
              <w:rPr>
                <w:rFonts w:ascii="宋体" w:hAnsi="宋体"/>
                <w:color w:val="auto"/>
                <w:spacing w:val="2"/>
                <w:sz w:val="24"/>
                <w:highlight w:val="none"/>
              </w:rPr>
            </w:pPr>
            <w:r>
              <w:rPr>
                <w:rFonts w:hint="eastAsia" w:ascii="宋体" w:hAnsi="宋体"/>
                <w:color w:val="auto"/>
                <w:spacing w:val="2"/>
                <w:sz w:val="24"/>
                <w:highlight w:val="none"/>
              </w:rPr>
              <w:t xml:space="preserve">  4、未按规定支付招标文件费用的。</w:t>
            </w:r>
          </w:p>
          <w:p>
            <w:pPr>
              <w:spacing w:line="340" w:lineRule="exact"/>
              <w:rPr>
                <w:rFonts w:hAnsi="宋体" w:cs="仿宋_GB2312"/>
                <w:b/>
                <w:color w:val="auto"/>
                <w:sz w:val="24"/>
                <w:highlight w:val="none"/>
              </w:rPr>
            </w:pPr>
            <w:r>
              <w:rPr>
                <w:rFonts w:hint="eastAsia" w:ascii="宋体" w:hAnsi="宋体"/>
                <w:color w:val="auto"/>
                <w:spacing w:val="2"/>
                <w:sz w:val="24"/>
                <w:highlight w:val="none"/>
              </w:rPr>
              <w:t xml:space="preserve">  5、未通过</w:t>
            </w:r>
            <w:r>
              <w:rPr>
                <w:rFonts w:hint="eastAsia" w:hAnsi="宋体" w:eastAsia="宋体" w:cs="仿宋_GB2312"/>
                <w:color w:val="000000"/>
                <w:sz w:val="24"/>
                <w:highlight w:val="none"/>
              </w:rPr>
              <w:t>《全国公共资源交易平台（</w:t>
            </w:r>
            <w:r>
              <w:rPr>
                <w:rFonts w:hint="eastAsia" w:hAnsi="宋体"/>
                <w:color w:val="000000"/>
                <w:sz w:val="24"/>
                <w:highlight w:val="none"/>
              </w:rPr>
              <w:t>河南省·许昌市</w:t>
            </w:r>
            <w:r>
              <w:rPr>
                <w:rFonts w:hint="eastAsia" w:hAnsi="宋体" w:eastAsia="宋体" w:cs="仿宋_GB2312"/>
                <w:color w:val="000000"/>
                <w:sz w:val="24"/>
                <w:highlight w:val="none"/>
              </w:rPr>
              <w:t>）》</w:t>
            </w:r>
            <w:r>
              <w:rPr>
                <w:rFonts w:hint="eastAsia" w:ascii="宋体" w:hAnsi="宋体"/>
                <w:color w:val="auto"/>
                <w:spacing w:val="2"/>
                <w:sz w:val="24"/>
                <w:highlight w:val="none"/>
              </w:rPr>
              <w:t xml:space="preserve">下载招标文件的。    </w:t>
            </w:r>
            <w:r>
              <w:rPr>
                <w:rFonts w:hint="eastAsia" w:ascii="宋体" w:hAnsi="宋体" w:cs="仿宋_GB2312"/>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7.1</w:t>
            </w:r>
          </w:p>
        </w:tc>
        <w:tc>
          <w:tcPr>
            <w:tcW w:w="2084" w:type="dxa"/>
            <w:gridSpan w:val="2"/>
            <w:vAlign w:val="center"/>
          </w:tcPr>
          <w:p>
            <w:pPr>
              <w:spacing w:line="360" w:lineRule="auto"/>
              <w:ind w:left="-107" w:leftChars="-51" w:right="-107" w:rightChars="-51"/>
              <w:jc w:val="center"/>
              <w:rPr>
                <w:rFonts w:ascii="宋体" w:hAnsi="宋体"/>
                <w:color w:val="auto"/>
                <w:sz w:val="24"/>
                <w:highlight w:val="none"/>
              </w:rPr>
            </w:pPr>
            <w:r>
              <w:rPr>
                <w:rFonts w:hint="eastAsia" w:ascii="宋体" w:hAnsi="宋体"/>
                <w:color w:val="auto"/>
                <w:sz w:val="24"/>
                <w:highlight w:val="none"/>
              </w:rPr>
              <w:t>是否授权评标委员会确定中标人</w:t>
            </w:r>
          </w:p>
        </w:tc>
        <w:tc>
          <w:tcPr>
            <w:tcW w:w="5805" w:type="dxa"/>
            <w:gridSpan w:val="2"/>
            <w:vAlign w:val="center"/>
          </w:tcPr>
          <w:p>
            <w:pPr>
              <w:spacing w:line="360" w:lineRule="auto"/>
              <w:rPr>
                <w:rFonts w:ascii="宋体" w:hAnsi="宋体"/>
                <w:color w:val="auto"/>
                <w:sz w:val="24"/>
                <w:highlight w:val="none"/>
              </w:rPr>
            </w:pPr>
            <w:r>
              <w:rPr>
                <w:rFonts w:hint="eastAsia" w:ascii="宋体" w:hAnsi="宋体"/>
                <w:color w:val="auto"/>
                <w:sz w:val="24"/>
                <w:highlight w:val="none"/>
              </w:rPr>
              <w:t>否，推荐的中标候选人数为1-3名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jc w:val="center"/>
        </w:trPr>
        <w:tc>
          <w:tcPr>
            <w:tcW w:w="1202" w:type="dxa"/>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val="en-US" w:eastAsia="zh-CN"/>
              </w:rPr>
              <w:t>2</w:t>
            </w:r>
          </w:p>
        </w:tc>
        <w:tc>
          <w:tcPr>
            <w:tcW w:w="2084" w:type="dxa"/>
            <w:gridSpan w:val="2"/>
            <w:vAlign w:val="center"/>
          </w:tcPr>
          <w:p>
            <w:pPr>
              <w:jc w:val="center"/>
              <w:rPr>
                <w:rFonts w:ascii="宋体" w:hAnsi="宋体"/>
                <w:color w:val="auto"/>
                <w:sz w:val="24"/>
                <w:highlight w:val="none"/>
              </w:rPr>
            </w:pPr>
            <w:r>
              <w:rPr>
                <w:rFonts w:hint="eastAsia" w:ascii="宋体" w:hAnsi="宋体"/>
                <w:color w:val="auto"/>
                <w:sz w:val="24"/>
                <w:highlight w:val="none"/>
              </w:rPr>
              <w:t>履约担保</w:t>
            </w:r>
          </w:p>
        </w:tc>
        <w:tc>
          <w:tcPr>
            <w:tcW w:w="5805" w:type="dxa"/>
            <w:gridSpan w:val="2"/>
            <w:vAlign w:val="center"/>
          </w:tcPr>
          <w:p>
            <w:pPr>
              <w:widowControl/>
              <w:spacing w:line="240" w:lineRule="atLeast"/>
              <w:rPr>
                <w:rFonts w:ascii="宋体" w:cs="宋体"/>
                <w:color w:val="auto"/>
                <w:kern w:val="0"/>
                <w:sz w:val="24"/>
                <w:highlight w:val="none"/>
              </w:rPr>
            </w:pPr>
            <w:r>
              <w:rPr>
                <w:rFonts w:hint="eastAsia" w:ascii="宋体" w:hAnsi="宋体" w:cs="宋体"/>
                <w:color w:val="auto"/>
                <w:kern w:val="0"/>
                <w:sz w:val="24"/>
                <w:highlight w:val="none"/>
              </w:rPr>
              <w:t>履约担保的形式：中标人从基本账户转出</w:t>
            </w:r>
          </w:p>
          <w:p>
            <w:pPr>
              <w:widowControl/>
              <w:spacing w:line="240" w:lineRule="atLeast"/>
              <w:rPr>
                <w:rFonts w:ascii="宋体" w:hAnsi="宋体" w:cs="宋体"/>
                <w:color w:val="auto"/>
                <w:kern w:val="0"/>
                <w:sz w:val="24"/>
                <w:highlight w:val="none"/>
              </w:rPr>
            </w:pPr>
            <w:r>
              <w:rPr>
                <w:rFonts w:hint="eastAsia" w:ascii="宋体" w:hAnsi="宋体" w:cs="宋体"/>
                <w:color w:val="auto"/>
                <w:kern w:val="0"/>
                <w:sz w:val="24"/>
                <w:highlight w:val="none"/>
              </w:rPr>
              <w:t>履约担保的金额：中标价的</w:t>
            </w:r>
            <w:r>
              <w:rPr>
                <w:rFonts w:ascii="宋体" w:hAnsi="宋体" w:cs="宋体"/>
                <w:color w:val="auto"/>
                <w:kern w:val="0"/>
                <w:sz w:val="24"/>
                <w:highlight w:val="none"/>
              </w:rPr>
              <w:t xml:space="preserve">10% </w:t>
            </w:r>
          </w:p>
          <w:p>
            <w:pPr>
              <w:widowControl/>
              <w:spacing w:line="240" w:lineRule="atLeast"/>
              <w:rPr>
                <w:rFonts w:ascii="宋体" w:cs="宋体"/>
                <w:b/>
                <w:bCs/>
                <w:color w:val="auto"/>
                <w:kern w:val="0"/>
                <w:sz w:val="24"/>
                <w:highlight w:val="none"/>
              </w:rPr>
            </w:pPr>
            <w:r>
              <w:rPr>
                <w:rFonts w:hint="eastAsia" w:ascii="宋体" w:hAnsi="宋体" w:cs="宋体"/>
                <w:color w:val="auto"/>
                <w:kern w:val="0"/>
                <w:sz w:val="24"/>
                <w:highlight w:val="none"/>
              </w:rPr>
              <w:t>履约担保的缴纳时间：签订合同前缴纳，否则视为中标候选人原因，自动放弃中标资格，招标人按规定没收其投标保证金，给招标人造成的损失超过投标保证金数额的，中标人还应当对超过部分予以赔偿。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9084" w:type="dxa"/>
            <w:gridSpan w:val="4"/>
            <w:tcBorders>
              <w:left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color w:val="auto"/>
                <w:sz w:val="24"/>
                <w:highlight w:val="none"/>
              </w:rPr>
              <w:t>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1</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color w:val="auto"/>
                <w:sz w:val="24"/>
                <w:highlight w:val="none"/>
              </w:rPr>
              <w:t>按照交通运输部〔2015〕24号令，采用技术评分最低标价法。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364" w:hRule="atLeast"/>
          <w:jc w:val="center"/>
        </w:trPr>
        <w:tc>
          <w:tcPr>
            <w:tcW w:w="1282" w:type="dxa"/>
            <w:gridSpan w:val="2"/>
            <w:tcBorders>
              <w:left w:val="single" w:color="auto" w:sz="4" w:space="0"/>
              <w:bottom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2</w:t>
            </w:r>
          </w:p>
        </w:tc>
        <w:tc>
          <w:tcPr>
            <w:tcW w:w="7802" w:type="dxa"/>
            <w:gridSpan w:val="2"/>
            <w:tcBorders>
              <w:bottom w:val="single" w:color="auto" w:sz="4" w:space="0"/>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清单单价报价要求参照合同项目专用合同条款。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3</w:t>
            </w:r>
          </w:p>
        </w:tc>
        <w:tc>
          <w:tcPr>
            <w:tcW w:w="7802" w:type="dxa"/>
            <w:gridSpan w:val="2"/>
            <w:tcBorders>
              <w:right w:val="single" w:color="auto" w:sz="4" w:space="0"/>
            </w:tcBorders>
            <w:vAlign w:val="center"/>
          </w:tcPr>
          <w:p>
            <w:pPr>
              <w:ind w:left="113" w:right="113"/>
              <w:rPr>
                <w:rFonts w:hint="eastAsia" w:ascii="宋体" w:hAnsi="宋体"/>
                <w:b/>
                <w:color w:val="auto"/>
                <w:sz w:val="24"/>
                <w:highlight w:val="none"/>
                <w:lang w:eastAsia="zh-CN"/>
              </w:rPr>
            </w:pPr>
            <w:r>
              <w:rPr>
                <w:rFonts w:hint="eastAsia" w:ascii="宋体" w:hAnsi="宋体"/>
                <w:b/>
                <w:color w:val="auto"/>
                <w:sz w:val="24"/>
                <w:highlight w:val="none"/>
              </w:rPr>
              <w:t>在中标通知书发出前，招标人将中标候选人的情况在《全国公共资源交易平台（河南省•许昌市）》、《河南招标采购综合网》和《中国采购与招标网》上予以公示，公示期不少于3日。根据《关于在招标投标活动中全面开展行贿犯罪档案查询的通知》（高检会〔2015〕3号）要求，中标企业领取中标通知书时需提供注册地或项目所在地检察机关出具的行贿犯罪档案查询结果告知函</w:t>
            </w:r>
            <w:r>
              <w:rPr>
                <w:rFonts w:hint="eastAsia" w:ascii="宋体" w:hAnsi="宋体"/>
                <w:b/>
                <w:color w:val="auto"/>
                <w:sz w:val="24"/>
                <w:highlight w:val="none"/>
                <w:lang w:eastAsia="zh-CN"/>
              </w:rPr>
              <w:t>。</w:t>
            </w:r>
            <w:r>
              <w:rPr>
                <w:rFonts w:hint="eastAsia" w:ascii="宋体" w:hAnsi="宋体"/>
                <w:b/>
                <w:color w:val="auto"/>
                <w:sz w:val="24"/>
                <w:highlight w:val="none"/>
              </w:rPr>
              <w:t>若中标候选人第一名存在行贿犯罪记录，按照招标委员会提供的评标报告，按序推荐中标候选人，若均存在行贿犯罪记录，则招标人重新招标。</w:t>
            </w:r>
          </w:p>
          <w:p>
            <w:pPr>
              <w:ind w:left="113" w:right="113"/>
              <w:rPr>
                <w:rFonts w:ascii="宋体" w:hAnsi="宋体"/>
                <w:color w:val="auto"/>
                <w:sz w:val="24"/>
                <w:highlight w:val="none"/>
              </w:rPr>
            </w:pPr>
            <w:r>
              <w:rPr>
                <w:rFonts w:hint="eastAsia" w:ascii="宋体" w:hAnsi="宋体"/>
                <w:b/>
                <w:color w:val="auto"/>
                <w:sz w:val="24"/>
                <w:highlight w:val="none"/>
              </w:rPr>
              <w:t>检察机关出具的行贿犯罪档案查询结果告知函需在有效期内，查询对象包含单位、法定代表人、项目经理、授权委托人</w:t>
            </w:r>
            <w:r>
              <w:rPr>
                <w:rFonts w:hint="eastAsia" w:ascii="宋体" w:hAnsi="宋体"/>
                <w:b/>
                <w:color w:val="auto"/>
                <w:sz w:val="24"/>
                <w:highlight w:val="none"/>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525" w:hRule="atLeast"/>
          <w:jc w:val="center"/>
        </w:trPr>
        <w:tc>
          <w:tcPr>
            <w:tcW w:w="1282" w:type="dxa"/>
            <w:gridSpan w:val="2"/>
            <w:tcBorders>
              <w:left w:val="single" w:color="auto" w:sz="4" w:space="0"/>
            </w:tcBorders>
            <w:vAlign w:val="center"/>
          </w:tcPr>
          <w:p>
            <w:pPr>
              <w:ind w:left="113" w:right="113"/>
              <w:jc w:val="center"/>
              <w:rPr>
                <w:rFonts w:ascii="宋体" w:hAnsi="宋体"/>
                <w:color w:val="auto"/>
                <w:sz w:val="24"/>
                <w:highlight w:val="none"/>
              </w:rPr>
            </w:pPr>
            <w:r>
              <w:rPr>
                <w:rFonts w:hint="eastAsia" w:ascii="宋体" w:hAnsi="宋体"/>
                <w:b/>
                <w:color w:val="auto"/>
                <w:sz w:val="24"/>
                <w:highlight w:val="none"/>
              </w:rPr>
              <w:t>4</w:t>
            </w:r>
          </w:p>
        </w:tc>
        <w:tc>
          <w:tcPr>
            <w:tcW w:w="7802" w:type="dxa"/>
            <w:gridSpan w:val="2"/>
            <w:tcBorders>
              <w:right w:val="single" w:color="auto" w:sz="4" w:space="0"/>
            </w:tcBorders>
            <w:vAlign w:val="center"/>
          </w:tcPr>
          <w:p>
            <w:pPr>
              <w:ind w:left="113" w:right="113"/>
              <w:rPr>
                <w:rFonts w:ascii="宋体" w:hAnsi="宋体"/>
                <w:color w:val="auto"/>
                <w:sz w:val="24"/>
                <w:highlight w:val="none"/>
              </w:rPr>
            </w:pPr>
            <w:r>
              <w:rPr>
                <w:rFonts w:hint="eastAsia" w:ascii="宋体" w:hAnsi="宋体"/>
                <w:b/>
                <w:color w:val="auto"/>
                <w:sz w:val="24"/>
                <w:highlight w:val="none"/>
              </w:rPr>
              <w:t>投标人在投标截止时间前应随时关注许昌公共资源交易系统电子平台发出的有关本工程的答疑、修改等相关内容。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36"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5</w:t>
            </w:r>
          </w:p>
        </w:tc>
        <w:tc>
          <w:tcPr>
            <w:tcW w:w="7802" w:type="dxa"/>
            <w:gridSpan w:val="2"/>
            <w:tcBorders>
              <w:right w:val="single" w:color="auto" w:sz="4" w:space="0"/>
            </w:tcBorders>
            <w:vAlign w:val="center"/>
          </w:tcPr>
          <w:p>
            <w:pPr>
              <w:ind w:left="113" w:right="113"/>
              <w:rPr>
                <w:rFonts w:ascii="宋体" w:hAnsi="宋体"/>
                <w:b/>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404"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6</w:t>
            </w:r>
          </w:p>
        </w:tc>
        <w:tc>
          <w:tcPr>
            <w:tcW w:w="7802" w:type="dxa"/>
            <w:gridSpan w:val="2"/>
            <w:tcBorders>
              <w:right w:val="single" w:color="auto" w:sz="4" w:space="0"/>
            </w:tcBorders>
            <w:vAlign w:val="center"/>
          </w:tcPr>
          <w:p>
            <w:pPr>
              <w:ind w:left="113" w:right="113"/>
              <w:rPr>
                <w:rFonts w:ascii="宋体" w:hAnsi="宋体"/>
                <w:b/>
                <w:bCs/>
                <w:color w:val="auto"/>
                <w:sz w:val="24"/>
                <w:highlight w:val="none"/>
              </w:rPr>
            </w:pPr>
            <w:r>
              <w:rPr>
                <w:rFonts w:hint="eastAsia" w:ascii="宋体" w:hAnsi="宋体"/>
                <w:b/>
                <w:bCs/>
                <w:color w:val="auto"/>
                <w:sz w:val="24"/>
                <w:highlight w:val="none"/>
              </w:rPr>
              <w:t>类似工程是指公路工程。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jc w:val="center"/>
        </w:trPr>
        <w:tc>
          <w:tcPr>
            <w:tcW w:w="1282" w:type="dxa"/>
            <w:gridSpan w:val="2"/>
            <w:tcBorders>
              <w:left w:val="single" w:color="auto" w:sz="4" w:space="0"/>
            </w:tcBorders>
            <w:vAlign w:val="center"/>
          </w:tcPr>
          <w:p>
            <w:pPr>
              <w:ind w:left="113" w:right="113"/>
              <w:jc w:val="center"/>
              <w:rPr>
                <w:rFonts w:ascii="宋体" w:hAnsi="宋体"/>
                <w:b/>
                <w:color w:val="auto"/>
                <w:sz w:val="24"/>
                <w:highlight w:val="none"/>
              </w:rPr>
            </w:pPr>
            <w:r>
              <w:rPr>
                <w:rFonts w:hint="eastAsia" w:ascii="宋体" w:hAnsi="宋体"/>
                <w:b/>
                <w:color w:val="auto"/>
                <w:sz w:val="24"/>
                <w:highlight w:val="none"/>
              </w:rPr>
              <w:t>7</w:t>
            </w:r>
          </w:p>
        </w:tc>
        <w:tc>
          <w:tcPr>
            <w:tcW w:w="7802" w:type="dxa"/>
            <w:gridSpan w:val="2"/>
            <w:tcBorders>
              <w:right w:val="single" w:color="auto" w:sz="4" w:space="0"/>
            </w:tcBorders>
            <w:vAlign w:val="center"/>
          </w:tcPr>
          <w:p>
            <w:pPr>
              <w:ind w:left="113" w:right="113"/>
              <w:rPr>
                <w:rFonts w:ascii="宋体" w:hAnsi="宋体"/>
                <w:b/>
                <w:bCs/>
                <w:color w:val="auto"/>
                <w:sz w:val="24"/>
                <w:highlight w:val="none"/>
              </w:rPr>
            </w:pPr>
            <w:r>
              <w:rPr>
                <w:rFonts w:hint="eastAsia" w:ascii="宋体" w:hAnsi="宋体"/>
                <w:b/>
                <w:bCs/>
                <w:color w:val="auto"/>
                <w:sz w:val="24"/>
                <w:highlight w:val="none"/>
              </w:rPr>
              <w:t>潜在投标人如对招标文件有异议，请在规定时间内在《全国公共资源交易平台（河南省·许昌市）》上提出，以其他方式递交的异议不予接受。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gridAfter w:val="1"/>
          <w:wAfter w:w="7" w:type="dxa"/>
          <w:trHeight w:val="90" w:hRule="atLeast"/>
          <w:jc w:val="center"/>
        </w:trPr>
        <w:tc>
          <w:tcPr>
            <w:tcW w:w="1282" w:type="dxa"/>
            <w:gridSpan w:val="2"/>
            <w:tcBorders>
              <w:left w:val="single" w:color="auto" w:sz="4" w:space="0"/>
            </w:tcBorders>
            <w:vAlign w:val="center"/>
          </w:tcPr>
          <w:p>
            <w:pPr>
              <w:ind w:left="113" w:right="113"/>
              <w:jc w:val="center"/>
              <w:rPr>
                <w:rFonts w:hint="eastAsia" w:ascii="宋体" w:hAnsi="宋体" w:eastAsia="宋体"/>
                <w:b/>
                <w:color w:val="auto"/>
                <w:sz w:val="24"/>
                <w:highlight w:val="none"/>
                <w:lang w:val="en-US" w:eastAsia="zh-CN"/>
              </w:rPr>
            </w:pPr>
            <w:r>
              <w:rPr>
                <w:rFonts w:hint="eastAsia" w:ascii="宋体" w:hAnsi="宋体"/>
                <w:b/>
                <w:color w:val="auto"/>
                <w:sz w:val="24"/>
                <w:highlight w:val="none"/>
                <w:lang w:val="en-US" w:eastAsia="zh-CN"/>
              </w:rPr>
              <w:t>8</w:t>
            </w:r>
          </w:p>
        </w:tc>
        <w:tc>
          <w:tcPr>
            <w:tcW w:w="7802" w:type="dxa"/>
            <w:gridSpan w:val="2"/>
            <w:tcBorders>
              <w:right w:val="single" w:color="auto" w:sz="4" w:space="0"/>
            </w:tcBorders>
            <w:vAlign w:val="center"/>
          </w:tcPr>
          <w:p>
            <w:pPr>
              <w:ind w:left="113" w:right="113"/>
              <w:rPr>
                <w:rFonts w:hint="eastAsia" w:ascii="宋体" w:hAnsi="宋体" w:eastAsia="宋体"/>
                <w:b/>
                <w:bCs/>
                <w:color w:val="auto"/>
                <w:sz w:val="24"/>
                <w:highlight w:val="none"/>
                <w:lang w:eastAsia="zh-CN"/>
              </w:rPr>
            </w:pPr>
            <w:r>
              <w:rPr>
                <w:rFonts w:hint="eastAsia" w:ascii="宋体" w:hAnsi="宋体"/>
                <w:b/>
                <w:bCs/>
                <w:color w:val="auto"/>
                <w:sz w:val="24"/>
                <w:highlight w:val="none"/>
                <w:lang w:eastAsia="zh-CN"/>
              </w:rPr>
              <w:t>招标文件中未规定事宜按相关规定执行、未定义格式的由投标人自拟。</w:t>
            </w:r>
            <w:bookmarkStart w:id="319" w:name="_GoBack"/>
            <w:bookmarkEnd w:id="319"/>
          </w:p>
        </w:tc>
      </w:tr>
    </w:tbl>
    <w:p>
      <w:pPr>
        <w:pStyle w:val="4"/>
        <w:spacing w:before="240" w:after="240" w:line="240" w:lineRule="auto"/>
        <w:jc w:val="center"/>
        <w:rPr>
          <w:rFonts w:ascii="黑体" w:eastAsia="黑体"/>
          <w:color w:val="auto"/>
          <w:sz w:val="30"/>
          <w:szCs w:val="30"/>
          <w:highlight w:val="none"/>
          <w:vertAlign w:val="superscript"/>
        </w:rPr>
      </w:pPr>
      <w:bookmarkStart w:id="5" w:name="_Toc234382588"/>
      <w:r>
        <w:rPr>
          <w:rFonts w:hint="eastAsia" w:ascii="黑体" w:eastAsia="黑体"/>
          <w:color w:val="auto"/>
          <w:sz w:val="30"/>
          <w:szCs w:val="30"/>
          <w:highlight w:val="none"/>
        </w:rPr>
        <w:br w:type="page"/>
      </w:r>
      <w:bookmarkStart w:id="6" w:name="_Toc31404"/>
      <w:bookmarkStart w:id="7" w:name="_Toc485889001"/>
      <w:bookmarkStart w:id="8" w:name="_Toc486277862"/>
      <w:r>
        <w:rPr>
          <w:rFonts w:hint="eastAsia" w:ascii="黑体" w:eastAsia="黑体"/>
          <w:color w:val="auto"/>
          <w:sz w:val="30"/>
          <w:szCs w:val="30"/>
          <w:highlight w:val="none"/>
        </w:rPr>
        <w:t>附录1   资格审查条件(资质最低条件)</w:t>
      </w:r>
      <w:bookmarkEnd w:id="5"/>
      <w:bookmarkEnd w:id="6"/>
      <w:bookmarkEnd w:id="7"/>
      <w:bookmarkEnd w:id="8"/>
    </w:p>
    <w:tbl>
      <w:tblPr>
        <w:tblStyle w:val="15"/>
        <w:tblW w:w="907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jc w:val="center"/>
              <w:rPr>
                <w:rFonts w:ascii="宋体" w:hAnsi="宋体"/>
                <w:color w:val="auto"/>
                <w:sz w:val="24"/>
                <w:highlight w:val="none"/>
              </w:rPr>
            </w:pPr>
            <w:r>
              <w:rPr>
                <w:rFonts w:hint="eastAsia" w:ascii="宋体" w:hAnsi="宋体"/>
                <w:color w:val="auto"/>
                <w:sz w:val="24"/>
                <w:highlight w:val="none"/>
              </w:rPr>
              <w:t>施工企业资质等级要求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072" w:type="dxa"/>
            <w:vAlign w:val="center"/>
          </w:tcPr>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1、营业执照：具有在中华人民共和国境内注册的独立企业法人营业执照（在有效期内）。</w:t>
            </w:r>
          </w:p>
          <w:p>
            <w:pPr>
              <w:autoSpaceDE w:val="0"/>
              <w:autoSpaceDN w:val="0"/>
              <w:adjustRightInd w:val="0"/>
              <w:snapToGrid w:val="0"/>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2、资质要求：</w:t>
            </w:r>
            <w:r>
              <w:rPr>
                <w:rFonts w:hint="eastAsia" w:ascii="宋体" w:hAnsi="宋体" w:cs="宋体"/>
                <w:color w:val="auto"/>
                <w:kern w:val="0"/>
                <w:sz w:val="24"/>
                <w:highlight w:val="none"/>
                <w:lang w:val="zh-CN"/>
              </w:rPr>
              <w:t>公路工程施工总承包叁级及以上资</w:t>
            </w:r>
            <w:r>
              <w:rPr>
                <w:rFonts w:hint="eastAsia" w:ascii="宋体" w:hAnsi="宋体" w:cs="宋体"/>
                <w:color w:val="auto"/>
                <w:kern w:val="0"/>
                <w:sz w:val="24"/>
                <w:highlight w:val="none"/>
              </w:rPr>
              <w:t>质，并具备有效的企业安全生产许可证，在人员、设备、资金等方面具有相应能力的施工企业。</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附录2   资格审查条件(财务最低要求)</w:t>
      </w:r>
    </w:p>
    <w:tbl>
      <w:tblPr>
        <w:tblStyle w:val="15"/>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财 务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02" w:hRule="atLeast"/>
          <w:jc w:val="center"/>
        </w:trPr>
        <w:tc>
          <w:tcPr>
            <w:tcW w:w="9239" w:type="dxa"/>
            <w:vAlign w:val="center"/>
          </w:tcPr>
          <w:p>
            <w:pPr>
              <w:spacing w:line="480" w:lineRule="exact"/>
              <w:ind w:firstLine="480" w:firstLineChars="200"/>
              <w:rPr>
                <w:rFonts w:ascii="宋体" w:hAnsi="宋体"/>
                <w:color w:val="auto"/>
                <w:sz w:val="24"/>
                <w:highlight w:val="yellow"/>
              </w:rPr>
            </w:pPr>
            <w:r>
              <w:rPr>
                <w:rFonts w:hint="eastAsia" w:ascii="宋体" w:hAnsi="宋体"/>
                <w:color w:val="auto"/>
                <w:sz w:val="24"/>
                <w:highlight w:val="none"/>
              </w:rPr>
              <w:t>投标</w:t>
            </w:r>
            <w:r>
              <w:rPr>
                <w:rFonts w:hint="eastAsia" w:ascii="宋体" w:hAnsi="宋体"/>
                <w:color w:val="auto"/>
                <w:sz w:val="24"/>
                <w:highlight w:val="none"/>
                <w:lang w:eastAsia="zh-CN"/>
              </w:rPr>
              <w:t>人</w:t>
            </w:r>
            <w:r>
              <w:rPr>
                <w:rFonts w:hint="eastAsia" w:ascii="宋体" w:hAnsi="宋体"/>
                <w:color w:val="auto"/>
                <w:sz w:val="24"/>
                <w:highlight w:val="none"/>
              </w:rPr>
              <w:t>应提交最近三年内（</w:t>
            </w:r>
            <w:r>
              <w:rPr>
                <w:rFonts w:hint="eastAsia" w:ascii="宋体" w:hAnsi="宋体" w:cs="仿宋_GB2312"/>
                <w:color w:val="auto"/>
                <w:sz w:val="24"/>
                <w:highlight w:val="none"/>
              </w:rPr>
              <w:t>201</w:t>
            </w:r>
            <w:r>
              <w:rPr>
                <w:rFonts w:hint="eastAsia" w:ascii="宋体" w:hAnsi="宋体" w:cs="仿宋_GB2312"/>
                <w:color w:val="auto"/>
                <w:sz w:val="24"/>
                <w:highlight w:val="none"/>
                <w:lang w:val="en-US" w:eastAsia="zh-CN"/>
              </w:rPr>
              <w:t>4</w:t>
            </w:r>
            <w:r>
              <w:rPr>
                <w:rFonts w:hint="eastAsia" w:ascii="宋体" w:hAnsi="宋体" w:cs="仿宋_GB2312"/>
                <w:color w:val="auto"/>
                <w:sz w:val="24"/>
                <w:highlight w:val="none"/>
              </w:rPr>
              <w:t>年1月1日至201</w:t>
            </w:r>
            <w:r>
              <w:rPr>
                <w:rFonts w:hint="eastAsia" w:ascii="宋体" w:hAnsi="宋体" w:cs="仿宋_GB2312"/>
                <w:color w:val="auto"/>
                <w:sz w:val="24"/>
                <w:highlight w:val="none"/>
                <w:lang w:val="en-US" w:eastAsia="zh-CN"/>
              </w:rPr>
              <w:t>6</w:t>
            </w:r>
            <w:r>
              <w:rPr>
                <w:rFonts w:hint="eastAsia" w:ascii="宋体" w:hAnsi="宋体" w:cs="仿宋_GB2312"/>
                <w:color w:val="auto"/>
                <w:sz w:val="24"/>
                <w:highlight w:val="none"/>
              </w:rPr>
              <w:t>年12月31日</w:t>
            </w:r>
            <w:r>
              <w:rPr>
                <w:rFonts w:hint="eastAsia" w:ascii="宋体" w:hAnsi="宋体"/>
                <w:color w:val="auto"/>
                <w:sz w:val="24"/>
                <w:highlight w:val="none"/>
              </w:rPr>
              <w:t>）(</w:t>
            </w:r>
            <w:r>
              <w:rPr>
                <w:rFonts w:hint="eastAsia" w:hAnsi="宋体"/>
                <w:bCs/>
                <w:color w:val="auto"/>
                <w:sz w:val="24"/>
                <w:highlight w:val="none"/>
              </w:rPr>
              <w:t>若公司成立未满三年，须提供成立当年至今的财务报告</w:t>
            </w:r>
            <w:r>
              <w:rPr>
                <w:rFonts w:hint="eastAsia" w:ascii="宋体" w:hAnsi="宋体"/>
                <w:color w:val="auto"/>
                <w:sz w:val="24"/>
                <w:highlight w:val="none"/>
              </w:rPr>
              <w:t>)经审计的资产负债表、损益表、现金流量表</w:t>
            </w:r>
            <w:r>
              <w:rPr>
                <w:rFonts w:hint="eastAsia" w:ascii="宋体" w:hAnsi="宋体"/>
                <w:color w:val="auto"/>
                <w:sz w:val="24"/>
                <w:highlight w:val="none"/>
                <w:lang w:eastAsia="zh-CN"/>
              </w:rPr>
              <w:t>。</w:t>
            </w:r>
            <w:r>
              <w:rPr>
                <w:rFonts w:hint="eastAsia" w:ascii="宋体" w:hAnsi="宋体"/>
                <w:color w:val="auto"/>
                <w:sz w:val="24"/>
                <w:highlight w:val="none"/>
              </w:rPr>
              <w:t>证明</w:t>
            </w:r>
            <w:r>
              <w:rPr>
                <w:rFonts w:hint="eastAsia" w:ascii="宋体" w:hAnsi="宋体"/>
                <w:color w:val="auto"/>
                <w:sz w:val="24"/>
                <w:highlight w:val="none"/>
                <w:lang w:val="en-US" w:eastAsia="zh-CN"/>
              </w:rPr>
              <w:t>投标人</w:t>
            </w:r>
            <w:r>
              <w:rPr>
                <w:rFonts w:hint="eastAsia" w:ascii="宋体" w:hAnsi="宋体"/>
                <w:color w:val="auto"/>
                <w:sz w:val="24"/>
                <w:highlight w:val="none"/>
              </w:rPr>
              <w:t>的财务状况良好，财务无亏损，没有被接管、冻结、破产状态；必要时，业主将向投标</w:t>
            </w:r>
            <w:r>
              <w:rPr>
                <w:rFonts w:hint="eastAsia" w:ascii="宋体" w:hAnsi="宋体"/>
                <w:color w:val="auto"/>
                <w:sz w:val="24"/>
                <w:highlight w:val="none"/>
                <w:lang w:val="en-US" w:eastAsia="zh-CN"/>
              </w:rPr>
              <w:t>人</w:t>
            </w:r>
            <w:r>
              <w:rPr>
                <w:rFonts w:hint="eastAsia" w:ascii="宋体" w:hAnsi="宋体"/>
                <w:color w:val="auto"/>
                <w:sz w:val="24"/>
                <w:highlight w:val="none"/>
              </w:rPr>
              <w:t>的开户银行进行查询；</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hint="eastAsia" w:ascii="黑体" w:eastAsia="黑体"/>
          <w:b/>
          <w:bCs/>
          <w:color w:val="auto"/>
          <w:kern w:val="44"/>
          <w:sz w:val="30"/>
          <w:szCs w:val="30"/>
          <w:highlight w:val="none"/>
        </w:rPr>
        <w:t>附录3   资格审查条件(业绩最低要求)</w:t>
      </w:r>
    </w:p>
    <w:tbl>
      <w:tblPr>
        <w:tblStyle w:val="15"/>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业 绩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830" w:hRule="atLeast"/>
          <w:jc w:val="center"/>
        </w:trPr>
        <w:tc>
          <w:tcPr>
            <w:tcW w:w="9239" w:type="dxa"/>
            <w:vAlign w:val="center"/>
          </w:tcPr>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自201</w:t>
            </w:r>
            <w:r>
              <w:rPr>
                <w:rFonts w:hint="eastAsia" w:hAnsi="宋体"/>
                <w:color w:val="auto"/>
                <w:sz w:val="24"/>
                <w:highlight w:val="none"/>
                <w:lang w:val="en-US" w:eastAsia="zh-CN"/>
              </w:rPr>
              <w:t>5</w:t>
            </w:r>
            <w:r>
              <w:rPr>
                <w:rFonts w:hint="eastAsia" w:ascii="宋体" w:hAnsi="宋体"/>
                <w:color w:val="auto"/>
                <w:sz w:val="24"/>
                <w:highlight w:val="none"/>
              </w:rPr>
              <w:t xml:space="preserve">年1月1日以来，企业有2项类似工程（公路工程）施工经历； </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附录4   资格审查条件(信誉最低要求)</w:t>
      </w:r>
    </w:p>
    <w:tbl>
      <w:tblPr>
        <w:tblStyle w:val="15"/>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jc w:val="center"/>
              <w:rPr>
                <w:rFonts w:ascii="宋体" w:hAnsi="宋体"/>
                <w:color w:val="auto"/>
                <w:sz w:val="24"/>
                <w:highlight w:val="none"/>
              </w:rPr>
            </w:pPr>
            <w:r>
              <w:rPr>
                <w:rFonts w:hint="eastAsia" w:ascii="宋体" w:hAnsi="宋体"/>
                <w:color w:val="auto"/>
                <w:sz w:val="24"/>
                <w:highlight w:val="none"/>
              </w:rPr>
              <w:t>信 誉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3" w:hRule="atLeast"/>
          <w:jc w:val="center"/>
        </w:trPr>
        <w:tc>
          <w:tcPr>
            <w:tcW w:w="9239" w:type="dxa"/>
            <w:vAlign w:val="center"/>
          </w:tcPr>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自201</w:t>
            </w:r>
            <w:r>
              <w:rPr>
                <w:rFonts w:hint="eastAsia" w:ascii="宋体" w:hAnsi="宋体"/>
                <w:color w:val="auto"/>
                <w:sz w:val="24"/>
                <w:highlight w:val="none"/>
                <w:lang w:val="en-US" w:eastAsia="zh-CN"/>
              </w:rPr>
              <w:t>5</w:t>
            </w:r>
            <w:r>
              <w:rPr>
                <w:rFonts w:hint="eastAsia" w:ascii="宋体" w:hAnsi="宋体"/>
                <w:color w:val="auto"/>
                <w:sz w:val="24"/>
                <w:highlight w:val="none"/>
              </w:rPr>
              <w:t>年以来在经营活动中没有重大违法记录（以检察机关出具的查询行贿犯罪档案结果告知函为准）。</w:t>
            </w: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p>
            <w:pPr>
              <w:jc w:val="center"/>
              <w:rPr>
                <w:rFonts w:ascii="宋体" w:hAnsi="宋体"/>
                <w:color w:val="auto"/>
                <w:sz w:val="24"/>
                <w:highlight w:val="none"/>
              </w:rPr>
            </w:pP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附录5   资格审查条件(项目经理和项目总工最低要求)</w:t>
      </w:r>
    </w:p>
    <w:tbl>
      <w:tblPr>
        <w:tblStyle w:val="15"/>
        <w:tblW w:w="92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984"/>
        <w:gridCol w:w="50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exac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20"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74"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21" w:hRule="atLeast"/>
          <w:jc w:val="center"/>
        </w:trPr>
        <w:tc>
          <w:tcPr>
            <w:tcW w:w="2235"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84"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20" w:type="dxa"/>
          </w:tcPr>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bl>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r>
        <w:rPr>
          <w:rFonts w:hint="eastAsia" w:ascii="黑体" w:eastAsia="黑体"/>
          <w:b/>
          <w:bCs/>
          <w:color w:val="auto"/>
          <w:kern w:val="44"/>
          <w:sz w:val="30"/>
          <w:szCs w:val="30"/>
          <w:highlight w:val="none"/>
        </w:rPr>
        <w:t>附录6  资格审查条件(其他主要管理人员和技术人员最低要求)</w:t>
      </w:r>
    </w:p>
    <w:tbl>
      <w:tblPr>
        <w:tblStyle w:val="15"/>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rPr>
          <w:rFonts w:ascii="宋体" w:hAnsi="宋体"/>
          <w:color w:val="auto"/>
          <w:sz w:val="24"/>
          <w:highlight w:val="none"/>
        </w:rPr>
      </w:pPr>
      <w:r>
        <w:rPr>
          <w:rFonts w:hint="eastAsia" w:ascii="宋体" w:hAnsi="宋体"/>
          <w:color w:val="auto"/>
          <w:sz w:val="24"/>
          <w:highlight w:val="none"/>
        </w:rPr>
        <w:t>只需做出承诺，不再提供相关证明原件及复印件。</w:t>
      </w:r>
    </w:p>
    <w:p>
      <w:pPr>
        <w:rPr>
          <w:rFonts w:ascii="宋体" w:hAnsi="宋体"/>
          <w:color w:val="auto"/>
          <w:sz w:val="24"/>
          <w:highlight w:val="none"/>
        </w:rPr>
      </w:pPr>
    </w:p>
    <w:p>
      <w:pPr>
        <w:spacing w:before="120" w:after="120"/>
        <w:jc w:val="center"/>
        <w:rPr>
          <w:rFonts w:ascii="隶书" w:hAnsi="宋体" w:eastAsia="隶书"/>
          <w:color w:val="auto"/>
          <w:sz w:val="24"/>
          <w:highlight w:val="none"/>
          <w:vertAlign w:val="superscript"/>
        </w:rPr>
      </w:pPr>
      <w:r>
        <w:rPr>
          <w:rFonts w:ascii="黑体" w:eastAsia="黑体"/>
          <w:b/>
          <w:bCs/>
          <w:color w:val="auto"/>
          <w:kern w:val="44"/>
          <w:sz w:val="30"/>
          <w:szCs w:val="30"/>
          <w:highlight w:val="none"/>
        </w:rPr>
        <w:br w:type="page"/>
      </w:r>
      <w:bookmarkStart w:id="9" w:name="_Toc234382589"/>
      <w:r>
        <w:rPr>
          <w:rFonts w:hint="eastAsia" w:ascii="黑体" w:eastAsia="黑体"/>
          <w:b/>
          <w:bCs/>
          <w:color w:val="auto"/>
          <w:kern w:val="44"/>
          <w:sz w:val="30"/>
          <w:szCs w:val="30"/>
          <w:highlight w:val="none"/>
        </w:rPr>
        <w:t>附录7   资格审查条件(关键设备最低条件)</w:t>
      </w:r>
    </w:p>
    <w:tbl>
      <w:tblPr>
        <w:tblStyle w:val="15"/>
        <w:tblW w:w="93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80"/>
        <w:gridCol w:w="2428"/>
        <w:gridCol w:w="999"/>
        <w:gridCol w:w="1142"/>
        <w:gridCol w:w="20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jc w:val="center"/>
              <w:rPr>
                <w:rFonts w:ascii="宋体" w:hAnsi="宋体"/>
                <w:color w:val="auto"/>
                <w:szCs w:val="21"/>
                <w:highlight w:val="none"/>
              </w:rPr>
            </w:pPr>
            <w:r>
              <w:rPr>
                <w:rFonts w:hint="eastAsia" w:ascii="宋体" w:hAnsi="宋体"/>
                <w:color w:val="auto"/>
                <w:szCs w:val="21"/>
                <w:highlight w:val="none"/>
              </w:rPr>
              <w:t>设备名称</w:t>
            </w:r>
          </w:p>
        </w:tc>
        <w:tc>
          <w:tcPr>
            <w:tcW w:w="2428" w:type="dxa"/>
            <w:vAlign w:val="center"/>
          </w:tcPr>
          <w:p>
            <w:pPr>
              <w:jc w:val="center"/>
              <w:rPr>
                <w:rFonts w:ascii="宋体" w:hAnsi="宋体"/>
                <w:color w:val="auto"/>
                <w:szCs w:val="21"/>
                <w:highlight w:val="none"/>
              </w:rPr>
            </w:pPr>
            <w:r>
              <w:rPr>
                <w:rFonts w:hint="eastAsia" w:ascii="宋体" w:hAnsi="宋体"/>
                <w:color w:val="auto"/>
                <w:szCs w:val="21"/>
                <w:highlight w:val="none"/>
              </w:rPr>
              <w:t>规格、功率及容量</w:t>
            </w:r>
          </w:p>
        </w:tc>
        <w:tc>
          <w:tcPr>
            <w:tcW w:w="999"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142" w:type="dxa"/>
            <w:vAlign w:val="center"/>
          </w:tcPr>
          <w:p>
            <w:pPr>
              <w:jc w:val="center"/>
              <w:rPr>
                <w:rFonts w:ascii="宋体" w:hAnsi="宋体"/>
                <w:color w:val="auto"/>
                <w:szCs w:val="21"/>
                <w:highlight w:val="none"/>
              </w:rPr>
            </w:pPr>
            <w:r>
              <w:rPr>
                <w:rFonts w:hint="eastAsia" w:ascii="宋体" w:hAnsi="宋体"/>
                <w:color w:val="auto"/>
                <w:szCs w:val="21"/>
                <w:highlight w:val="none"/>
              </w:rPr>
              <w:t>最低数量要求</w:t>
            </w:r>
          </w:p>
        </w:tc>
        <w:tc>
          <w:tcPr>
            <w:tcW w:w="2073" w:type="dxa"/>
            <w:vAlign w:val="center"/>
          </w:tcPr>
          <w:p>
            <w:pPr>
              <w:jc w:val="center"/>
              <w:rPr>
                <w:rFonts w:ascii="宋体" w:hAnsi="宋体"/>
                <w:color w:val="auto"/>
                <w:szCs w:val="21"/>
                <w:highlight w:val="none"/>
              </w:rPr>
            </w:pPr>
            <w:r>
              <w:rPr>
                <w:color w:val="auto"/>
                <w:szCs w:val="21"/>
                <w:highlight w:val="none"/>
              </w:rPr>
              <w:t>要</w:t>
            </w:r>
            <w:r>
              <w:rPr>
                <w:rFonts w:hint="eastAsia"/>
                <w:color w:val="auto"/>
                <w:szCs w:val="21"/>
                <w:highlight w:val="none"/>
              </w:rPr>
              <w:t xml:space="preserve">  </w:t>
            </w:r>
            <w:r>
              <w:rPr>
                <w:color w:val="auto"/>
                <w:szCs w:val="21"/>
                <w:highlight w:val="none"/>
              </w:rPr>
              <w:t>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水泥砼搅拌站</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color w:val="auto"/>
                <w:szCs w:val="21"/>
                <w:highlight w:val="none"/>
              </w:rPr>
            </w:pPr>
            <w:r>
              <w:rPr>
                <w:color w:val="auto"/>
                <w:szCs w:val="21"/>
                <w:highlight w:val="none"/>
              </w:rPr>
              <w:t>1</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钻机</w:t>
            </w:r>
          </w:p>
        </w:tc>
        <w:tc>
          <w:tcPr>
            <w:tcW w:w="2428" w:type="dxa"/>
            <w:vAlign w:val="center"/>
          </w:tcPr>
          <w:p>
            <w:pPr>
              <w:spacing w:line="400" w:lineRule="exact"/>
              <w:jc w:val="center"/>
              <w:rPr>
                <w:color w:val="auto"/>
                <w:szCs w:val="21"/>
                <w:highlight w:val="none"/>
              </w:rPr>
            </w:pPr>
            <w:r>
              <w:rPr>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color w:val="auto"/>
                <w:szCs w:val="21"/>
                <w:highlight w:val="none"/>
              </w:rPr>
            </w:pPr>
            <w:r>
              <w:rPr>
                <w:rFonts w:hint="eastAsia"/>
                <w:color w:val="auto"/>
                <w:szCs w:val="21"/>
                <w:highlight w:val="none"/>
              </w:rPr>
              <w:t>2</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架桥机</w:t>
            </w:r>
          </w:p>
        </w:tc>
        <w:tc>
          <w:tcPr>
            <w:tcW w:w="2428" w:type="dxa"/>
            <w:vAlign w:val="center"/>
          </w:tcPr>
          <w:p>
            <w:pPr>
              <w:jc w:val="center"/>
              <w:rPr>
                <w:rFonts w:ascii="宋体" w:hAnsi="宋体"/>
                <w:color w:val="auto"/>
                <w:szCs w:val="21"/>
                <w:highlight w:val="none"/>
              </w:rPr>
            </w:pPr>
            <w:r>
              <w:rPr>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color w:val="auto"/>
                <w:szCs w:val="21"/>
                <w:highlight w:val="none"/>
              </w:rPr>
            </w:pPr>
            <w:r>
              <w:rPr>
                <w:rFonts w:hint="eastAsia"/>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水泥砼搅拌运输车</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台</w:t>
            </w:r>
          </w:p>
        </w:tc>
        <w:tc>
          <w:tcPr>
            <w:tcW w:w="1142" w:type="dxa"/>
            <w:vAlign w:val="center"/>
          </w:tcPr>
          <w:p>
            <w:pPr>
              <w:spacing w:line="440" w:lineRule="exact"/>
              <w:jc w:val="center"/>
              <w:rPr>
                <w:color w:val="auto"/>
                <w:szCs w:val="21"/>
                <w:highlight w:val="none"/>
              </w:rPr>
            </w:pPr>
            <w:r>
              <w:rPr>
                <w:rFonts w:hint="eastAsia"/>
                <w:color w:val="auto"/>
                <w:szCs w:val="21"/>
                <w:highlight w:val="none"/>
              </w:rPr>
              <w:t>3</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水泥砼输送泵</w:t>
            </w:r>
          </w:p>
        </w:tc>
        <w:tc>
          <w:tcPr>
            <w:tcW w:w="2428" w:type="dxa"/>
            <w:vAlign w:val="center"/>
          </w:tcPr>
          <w:p>
            <w:pPr>
              <w:spacing w:line="400" w:lineRule="exact"/>
              <w:jc w:val="center"/>
              <w:rPr>
                <w:color w:val="auto"/>
                <w:szCs w:val="21"/>
                <w:highlight w:val="none"/>
              </w:rPr>
            </w:pPr>
            <w:r>
              <w:rPr>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台</w:t>
            </w:r>
          </w:p>
        </w:tc>
        <w:tc>
          <w:tcPr>
            <w:tcW w:w="1142" w:type="dxa"/>
            <w:vAlign w:val="center"/>
          </w:tcPr>
          <w:p>
            <w:pPr>
              <w:spacing w:line="440" w:lineRule="exact"/>
              <w:jc w:val="center"/>
              <w:rPr>
                <w:color w:val="auto"/>
                <w:szCs w:val="21"/>
                <w:highlight w:val="none"/>
              </w:rPr>
            </w:pPr>
            <w:r>
              <w:rPr>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rPr>
                <w:color w:val="auto"/>
                <w:szCs w:val="21"/>
                <w:highlight w:val="none"/>
              </w:rPr>
            </w:pPr>
            <w:r>
              <w:rPr>
                <w:rFonts w:hint="eastAsia"/>
                <w:color w:val="auto"/>
                <w:szCs w:val="21"/>
                <w:highlight w:val="none"/>
              </w:rPr>
              <w:t>风镐</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color w:val="auto"/>
                <w:szCs w:val="21"/>
                <w:highlight w:val="none"/>
              </w:rPr>
            </w:pPr>
            <w:r>
              <w:rPr>
                <w:rFonts w:hint="eastAsia"/>
                <w:color w:val="auto"/>
                <w:szCs w:val="21"/>
                <w:highlight w:val="none"/>
              </w:rPr>
              <w:t>4</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00" w:lineRule="exact"/>
              <w:rPr>
                <w:color w:val="auto"/>
                <w:szCs w:val="21"/>
                <w:highlight w:val="none"/>
              </w:rPr>
            </w:pPr>
            <w:r>
              <w:rPr>
                <w:color w:val="auto"/>
                <w:szCs w:val="21"/>
                <w:highlight w:val="none"/>
              </w:rPr>
              <w:t>水泥混凝土路面振捣设备</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套</w:t>
            </w:r>
          </w:p>
        </w:tc>
        <w:tc>
          <w:tcPr>
            <w:tcW w:w="1142" w:type="dxa"/>
            <w:vAlign w:val="center"/>
          </w:tcPr>
          <w:p>
            <w:pPr>
              <w:spacing w:line="440" w:lineRule="exact"/>
              <w:jc w:val="center"/>
              <w:rPr>
                <w:color w:val="auto"/>
                <w:szCs w:val="21"/>
                <w:highlight w:val="none"/>
              </w:rPr>
            </w:pPr>
            <w:r>
              <w:rPr>
                <w:rFonts w:hint="eastAsia"/>
                <w:color w:val="auto"/>
                <w:szCs w:val="21"/>
                <w:highlight w:val="none"/>
              </w:rPr>
              <w:t>4</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adjustRightInd w:val="0"/>
              <w:snapToGrid w:val="0"/>
              <w:spacing w:line="360" w:lineRule="auto"/>
              <w:rPr>
                <w:color w:val="auto"/>
                <w:szCs w:val="21"/>
                <w:highlight w:val="none"/>
              </w:rPr>
            </w:pPr>
            <w:r>
              <w:rPr>
                <w:rFonts w:hint="eastAsia"/>
                <w:color w:val="auto"/>
                <w:szCs w:val="21"/>
                <w:highlight w:val="none"/>
              </w:rPr>
              <w:t>吊车</w:t>
            </w:r>
          </w:p>
        </w:tc>
        <w:tc>
          <w:tcPr>
            <w:tcW w:w="2428" w:type="dxa"/>
            <w:vAlign w:val="center"/>
          </w:tcPr>
          <w:p>
            <w:pPr>
              <w:spacing w:line="400" w:lineRule="exact"/>
              <w:jc w:val="center"/>
              <w:rPr>
                <w:color w:val="auto"/>
                <w:szCs w:val="21"/>
                <w:highlight w:val="none"/>
              </w:rPr>
            </w:pPr>
            <w:r>
              <w:rPr>
                <w:color w:val="auto"/>
                <w:szCs w:val="21"/>
                <w:highlight w:val="none"/>
              </w:rPr>
              <w:t>满足施工需要</w:t>
            </w:r>
          </w:p>
        </w:tc>
        <w:tc>
          <w:tcPr>
            <w:tcW w:w="999" w:type="dxa"/>
            <w:vAlign w:val="center"/>
          </w:tcPr>
          <w:p>
            <w:pPr>
              <w:jc w:val="center"/>
              <w:rPr>
                <w:rFonts w:ascii="宋体" w:hAnsi="宋体"/>
                <w:color w:val="auto"/>
                <w:szCs w:val="21"/>
                <w:highlight w:val="none"/>
              </w:rPr>
            </w:pPr>
            <w:r>
              <w:rPr>
                <w:rFonts w:hint="eastAsia" w:ascii="宋体" w:hAnsi="宋体"/>
                <w:color w:val="auto"/>
                <w:szCs w:val="21"/>
                <w:highlight w:val="none"/>
              </w:rPr>
              <w:t>台</w:t>
            </w:r>
          </w:p>
        </w:tc>
        <w:tc>
          <w:tcPr>
            <w:tcW w:w="1142"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rPr>
                <w:rFonts w:ascii="宋体" w:hAnsi="宋体"/>
                <w:color w:val="auto"/>
                <w:szCs w:val="21"/>
                <w:highlight w:val="none"/>
              </w:rPr>
            </w:pPr>
            <w:r>
              <w:rPr>
                <w:rFonts w:hint="eastAsia" w:ascii="宋体" w:hAnsi="宋体"/>
                <w:color w:val="auto"/>
                <w:szCs w:val="21"/>
                <w:highlight w:val="none"/>
              </w:rPr>
              <w:t>挖掘机</w:t>
            </w:r>
          </w:p>
        </w:tc>
        <w:tc>
          <w:tcPr>
            <w:tcW w:w="2428" w:type="dxa"/>
            <w:vAlign w:val="center"/>
          </w:tcPr>
          <w:p>
            <w:pPr>
              <w:jc w:val="center"/>
              <w:rPr>
                <w:rFonts w:ascii="宋体" w:hAnsi="宋体"/>
                <w:color w:val="auto"/>
                <w:szCs w:val="21"/>
                <w:highlight w:val="none"/>
              </w:rPr>
            </w:pPr>
            <w:r>
              <w:rPr>
                <w:color w:val="auto"/>
                <w:szCs w:val="21"/>
                <w:highlight w:val="none"/>
              </w:rPr>
              <w:t>满足施工需要</w:t>
            </w:r>
          </w:p>
        </w:tc>
        <w:tc>
          <w:tcPr>
            <w:tcW w:w="999" w:type="dxa"/>
            <w:vAlign w:val="center"/>
          </w:tcPr>
          <w:p>
            <w:pPr>
              <w:spacing w:line="400" w:lineRule="exact"/>
              <w:jc w:val="center"/>
              <w:rPr>
                <w:color w:val="auto"/>
                <w:szCs w:val="21"/>
                <w:highlight w:val="none"/>
              </w:rPr>
            </w:pPr>
            <w:r>
              <w:rPr>
                <w:color w:val="auto"/>
                <w:szCs w:val="21"/>
                <w:highlight w:val="none"/>
              </w:rPr>
              <w:t>台</w:t>
            </w:r>
          </w:p>
        </w:tc>
        <w:tc>
          <w:tcPr>
            <w:tcW w:w="1142" w:type="dxa"/>
            <w:vAlign w:val="center"/>
          </w:tcPr>
          <w:p>
            <w:pPr>
              <w:spacing w:line="400" w:lineRule="exact"/>
              <w:jc w:val="center"/>
              <w:rPr>
                <w:color w:val="auto"/>
                <w:szCs w:val="21"/>
                <w:highlight w:val="none"/>
              </w:rPr>
            </w:pPr>
            <w:r>
              <w:rPr>
                <w:rFonts w:hint="eastAsia"/>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rPr>
                <w:rFonts w:ascii="宋体" w:hAnsi="宋体"/>
                <w:color w:val="auto"/>
                <w:szCs w:val="21"/>
                <w:highlight w:val="none"/>
              </w:rPr>
            </w:pPr>
            <w:r>
              <w:rPr>
                <w:rFonts w:hint="eastAsia" w:ascii="宋体" w:hAnsi="宋体"/>
                <w:color w:val="auto"/>
                <w:szCs w:val="21"/>
                <w:highlight w:val="none"/>
              </w:rPr>
              <w:t>装载机</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00" w:lineRule="exact"/>
              <w:jc w:val="center"/>
              <w:rPr>
                <w:color w:val="auto"/>
                <w:szCs w:val="21"/>
                <w:highlight w:val="none"/>
              </w:rPr>
            </w:pPr>
            <w:r>
              <w:rPr>
                <w:color w:val="auto"/>
                <w:szCs w:val="21"/>
                <w:highlight w:val="none"/>
              </w:rPr>
              <w:t>套</w:t>
            </w:r>
          </w:p>
        </w:tc>
        <w:tc>
          <w:tcPr>
            <w:tcW w:w="1142" w:type="dxa"/>
            <w:vAlign w:val="center"/>
          </w:tcPr>
          <w:p>
            <w:pPr>
              <w:spacing w:line="400" w:lineRule="exact"/>
              <w:jc w:val="center"/>
              <w:rPr>
                <w:color w:val="auto"/>
                <w:szCs w:val="21"/>
                <w:highlight w:val="none"/>
              </w:rPr>
            </w:pPr>
            <w:r>
              <w:rPr>
                <w:rFonts w:hint="eastAsia"/>
                <w:color w:val="auto"/>
                <w:szCs w:val="21"/>
                <w:highlight w:val="none"/>
              </w:rPr>
              <w:t>2</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2000KN压力试验机</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60KN万能材料试验机</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水泥试验设备</w:t>
            </w:r>
          </w:p>
        </w:tc>
        <w:tc>
          <w:tcPr>
            <w:tcW w:w="2428" w:type="dxa"/>
            <w:vAlign w:val="center"/>
          </w:tcPr>
          <w:p>
            <w:pPr>
              <w:spacing w:line="400" w:lineRule="exact"/>
              <w:jc w:val="center"/>
              <w:rPr>
                <w:color w:val="auto"/>
                <w:szCs w:val="21"/>
                <w:highlight w:val="none"/>
              </w:rPr>
            </w:pPr>
            <w:r>
              <w:rPr>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标准养护箱</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全站仪及附件</w:t>
            </w:r>
          </w:p>
        </w:tc>
        <w:tc>
          <w:tcPr>
            <w:tcW w:w="242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999" w:type="dxa"/>
            <w:vAlign w:val="center"/>
          </w:tcPr>
          <w:p>
            <w:pPr>
              <w:spacing w:line="440" w:lineRule="exact"/>
              <w:jc w:val="center"/>
              <w:rPr>
                <w:color w:val="auto"/>
                <w:szCs w:val="21"/>
                <w:highlight w:val="none"/>
              </w:rPr>
            </w:pPr>
            <w:r>
              <w:rPr>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073" w:type="dxa"/>
            <w:vAlign w:val="center"/>
          </w:tcPr>
          <w:p>
            <w:pPr>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rPr>
                <w:rFonts w:ascii="宋体" w:hAnsi="宋体"/>
                <w:color w:val="auto"/>
                <w:szCs w:val="21"/>
                <w:highlight w:val="none"/>
              </w:rPr>
            </w:pPr>
            <w:r>
              <w:rPr>
                <w:rFonts w:hint="eastAsia" w:ascii="宋体" w:hAnsi="宋体"/>
                <w:color w:val="auto"/>
                <w:szCs w:val="21"/>
                <w:highlight w:val="none"/>
              </w:rPr>
              <w:t>自动安平水准仪</w:t>
            </w:r>
          </w:p>
        </w:tc>
        <w:tc>
          <w:tcPr>
            <w:tcW w:w="2428" w:type="dxa"/>
            <w:vAlign w:val="center"/>
          </w:tcPr>
          <w:p>
            <w:pPr>
              <w:spacing w:line="400" w:lineRule="exact"/>
              <w:jc w:val="center"/>
              <w:rPr>
                <w:color w:val="auto"/>
                <w:szCs w:val="21"/>
                <w:highlight w:val="none"/>
              </w:rPr>
            </w:pPr>
            <w:r>
              <w:rPr>
                <w:color w:val="auto"/>
                <w:szCs w:val="21"/>
                <w:highlight w:val="none"/>
              </w:rPr>
              <w:t>满足施工需要</w:t>
            </w:r>
          </w:p>
        </w:tc>
        <w:tc>
          <w:tcPr>
            <w:tcW w:w="999" w:type="dxa"/>
            <w:vAlign w:val="center"/>
          </w:tcPr>
          <w:p>
            <w:pPr>
              <w:spacing w:line="440" w:lineRule="exact"/>
              <w:jc w:val="center"/>
              <w:rPr>
                <w:color w:val="auto"/>
                <w:szCs w:val="21"/>
                <w:highlight w:val="none"/>
              </w:rPr>
            </w:pPr>
            <w:r>
              <w:rPr>
                <w:rFonts w:hint="eastAsia"/>
                <w:color w:val="auto"/>
                <w:szCs w:val="21"/>
                <w:highlight w:val="none"/>
              </w:rPr>
              <w:t>台</w:t>
            </w:r>
          </w:p>
        </w:tc>
        <w:tc>
          <w:tcPr>
            <w:tcW w:w="1142"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2073"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jc w:val="center"/>
              <w:rPr>
                <w:rFonts w:ascii="宋体" w:hAnsi="宋体"/>
                <w:color w:val="auto"/>
                <w:szCs w:val="21"/>
                <w:highlight w:val="none"/>
              </w:rPr>
            </w:pPr>
          </w:p>
        </w:tc>
        <w:tc>
          <w:tcPr>
            <w:tcW w:w="2428" w:type="dxa"/>
            <w:vAlign w:val="center"/>
          </w:tcPr>
          <w:p>
            <w:pPr>
              <w:spacing w:line="440" w:lineRule="exact"/>
              <w:jc w:val="center"/>
              <w:rPr>
                <w:rFonts w:ascii="宋体" w:hAnsi="宋体"/>
                <w:color w:val="auto"/>
                <w:szCs w:val="21"/>
                <w:highlight w:val="none"/>
              </w:rPr>
            </w:pPr>
          </w:p>
        </w:tc>
        <w:tc>
          <w:tcPr>
            <w:tcW w:w="999" w:type="dxa"/>
            <w:vAlign w:val="center"/>
          </w:tcPr>
          <w:p>
            <w:pPr>
              <w:spacing w:line="440" w:lineRule="exact"/>
              <w:jc w:val="center"/>
              <w:rPr>
                <w:color w:val="auto"/>
                <w:szCs w:val="21"/>
                <w:highlight w:val="none"/>
              </w:rPr>
            </w:pPr>
          </w:p>
        </w:tc>
        <w:tc>
          <w:tcPr>
            <w:tcW w:w="1142" w:type="dxa"/>
          </w:tcPr>
          <w:p>
            <w:pPr>
              <w:jc w:val="center"/>
              <w:rPr>
                <w:rFonts w:ascii="宋体" w:hAnsi="宋体"/>
                <w:color w:val="auto"/>
                <w:szCs w:val="21"/>
                <w:highlight w:val="none"/>
              </w:rPr>
            </w:pPr>
          </w:p>
        </w:tc>
        <w:tc>
          <w:tcPr>
            <w:tcW w:w="2073"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2680" w:type="dxa"/>
            <w:vAlign w:val="center"/>
          </w:tcPr>
          <w:p>
            <w:pPr>
              <w:spacing w:line="440" w:lineRule="exact"/>
              <w:jc w:val="center"/>
              <w:rPr>
                <w:rFonts w:ascii="宋体" w:hAnsi="宋体"/>
                <w:color w:val="auto"/>
                <w:szCs w:val="21"/>
                <w:highlight w:val="none"/>
              </w:rPr>
            </w:pPr>
          </w:p>
        </w:tc>
        <w:tc>
          <w:tcPr>
            <w:tcW w:w="2428" w:type="dxa"/>
            <w:vAlign w:val="center"/>
          </w:tcPr>
          <w:p>
            <w:pPr>
              <w:spacing w:line="440" w:lineRule="exact"/>
              <w:jc w:val="center"/>
              <w:rPr>
                <w:rFonts w:ascii="宋体" w:hAnsi="宋体"/>
                <w:color w:val="auto"/>
                <w:szCs w:val="21"/>
                <w:highlight w:val="none"/>
              </w:rPr>
            </w:pPr>
          </w:p>
        </w:tc>
        <w:tc>
          <w:tcPr>
            <w:tcW w:w="999" w:type="dxa"/>
            <w:vAlign w:val="center"/>
          </w:tcPr>
          <w:p>
            <w:pPr>
              <w:jc w:val="center"/>
              <w:rPr>
                <w:rFonts w:ascii="宋体" w:hAnsi="宋体"/>
                <w:color w:val="auto"/>
                <w:szCs w:val="21"/>
                <w:highlight w:val="none"/>
              </w:rPr>
            </w:pPr>
          </w:p>
        </w:tc>
        <w:tc>
          <w:tcPr>
            <w:tcW w:w="1142" w:type="dxa"/>
          </w:tcPr>
          <w:p>
            <w:pPr>
              <w:jc w:val="center"/>
              <w:rPr>
                <w:rFonts w:ascii="宋体" w:hAnsi="宋体"/>
                <w:color w:val="auto"/>
                <w:szCs w:val="21"/>
                <w:highlight w:val="none"/>
              </w:rPr>
            </w:pPr>
          </w:p>
        </w:tc>
        <w:tc>
          <w:tcPr>
            <w:tcW w:w="2073" w:type="dxa"/>
            <w:vAlign w:val="center"/>
          </w:tcPr>
          <w:p>
            <w:pPr>
              <w:jc w:val="center"/>
              <w:rPr>
                <w:rFonts w:ascii="宋体" w:hAnsi="宋体"/>
                <w:color w:val="auto"/>
                <w:szCs w:val="21"/>
                <w:highlight w:val="none"/>
              </w:rPr>
            </w:pPr>
          </w:p>
        </w:tc>
      </w:tr>
    </w:tbl>
    <w:p>
      <w:pPr>
        <w:rPr>
          <w:rFonts w:ascii="宋体" w:hAnsi="宋体"/>
          <w:color w:val="auto"/>
          <w:sz w:val="24"/>
          <w:highlight w:val="none"/>
        </w:rPr>
      </w:pPr>
      <w:r>
        <w:rPr>
          <w:rFonts w:hint="eastAsia" w:ascii="宋体" w:hAnsi="宋体"/>
          <w:color w:val="auto"/>
          <w:sz w:val="24"/>
          <w:highlight w:val="none"/>
        </w:rPr>
        <w:t>只需做出承诺，不再提供相关证明原件及复印件。</w:t>
      </w:r>
    </w:p>
    <w:bookmarkEnd w:id="9"/>
    <w:p>
      <w:pPr>
        <w:pStyle w:val="4"/>
        <w:spacing w:beforeLines="150" w:after="480" w:line="400" w:lineRule="exact"/>
        <w:rPr>
          <w:rFonts w:ascii="宋体" w:hAnsi="宋体"/>
          <w:color w:val="auto"/>
          <w:sz w:val="24"/>
          <w:szCs w:val="24"/>
          <w:highlight w:val="none"/>
        </w:rPr>
      </w:pPr>
      <w:bookmarkStart w:id="10" w:name="_Toc486277863"/>
      <w:bookmarkStart w:id="11" w:name="_Toc485889002"/>
      <w:bookmarkStart w:id="12" w:name="_Toc2209"/>
      <w:r>
        <w:rPr>
          <w:rFonts w:ascii="宋体" w:hAnsi="宋体"/>
          <w:color w:val="auto"/>
          <w:sz w:val="24"/>
          <w:szCs w:val="24"/>
          <w:highlight w:val="none"/>
        </w:rPr>
        <w:t>1. 总则</w:t>
      </w:r>
      <w:bookmarkEnd w:id="10"/>
      <w:bookmarkEnd w:id="11"/>
      <w:bookmarkEnd w:id="12"/>
    </w:p>
    <w:p>
      <w:pPr>
        <w:pStyle w:val="4"/>
        <w:spacing w:before="0" w:after="0" w:line="400" w:lineRule="exact"/>
        <w:rPr>
          <w:rFonts w:ascii="宋体" w:hAnsi="宋体"/>
          <w:color w:val="auto"/>
          <w:sz w:val="24"/>
          <w:szCs w:val="24"/>
          <w:highlight w:val="none"/>
        </w:rPr>
      </w:pPr>
      <w:bookmarkStart w:id="13" w:name="_Toc234382590"/>
      <w:bookmarkStart w:id="14" w:name="_Toc29730"/>
      <w:bookmarkStart w:id="15" w:name="_Toc485889003"/>
      <w:bookmarkStart w:id="16" w:name="_Toc486277864"/>
      <w:r>
        <w:rPr>
          <w:rFonts w:ascii="宋体" w:hAnsi="宋体"/>
          <w:color w:val="auto"/>
          <w:sz w:val="24"/>
          <w:szCs w:val="24"/>
          <w:highlight w:val="none"/>
        </w:rPr>
        <w:t>1.1 项目概况</w:t>
      </w:r>
      <w:bookmarkEnd w:id="13"/>
      <w:bookmarkEnd w:id="14"/>
      <w:bookmarkEnd w:id="15"/>
      <w:bookmarkEnd w:id="16"/>
    </w:p>
    <w:p>
      <w:pPr>
        <w:spacing w:line="400" w:lineRule="exact"/>
        <w:ind w:firstLine="480"/>
        <w:rPr>
          <w:rFonts w:ascii="宋体" w:hAnsi="宋体"/>
          <w:color w:val="auto"/>
          <w:sz w:val="24"/>
          <w:highlight w:val="none"/>
        </w:rPr>
      </w:pPr>
      <w:bookmarkStart w:id="17" w:name="_Toc234382591"/>
      <w:r>
        <w:rPr>
          <w:rFonts w:hint="eastAsia" w:ascii="宋体" w:hAnsi="宋体"/>
          <w:color w:val="auto"/>
          <w:sz w:val="24"/>
          <w:highlight w:val="none"/>
        </w:rPr>
        <w:t>1.1.1根据《中华人民共和国招标投标法》等有关法律、法规和规章的规定，本招标项目已具备招标条件，现对本工程施工进行招标，</w:t>
      </w:r>
      <w:r>
        <w:rPr>
          <w:rFonts w:hint="eastAsia" w:ascii="宋体" w:hAnsi="宋体" w:cs="宋体"/>
          <w:color w:val="auto"/>
          <w:sz w:val="24"/>
          <w:highlight w:val="none"/>
        </w:rPr>
        <w:t>择优选定投标人。</w:t>
      </w:r>
    </w:p>
    <w:p>
      <w:pPr>
        <w:spacing w:line="400" w:lineRule="exact"/>
        <w:ind w:firstLine="480"/>
        <w:rPr>
          <w:rFonts w:ascii="宋体" w:hAnsi="宋体"/>
          <w:color w:val="auto"/>
          <w:sz w:val="24"/>
          <w:highlight w:val="none"/>
        </w:rPr>
      </w:pPr>
      <w:r>
        <w:rPr>
          <w:rFonts w:hint="eastAsia" w:ascii="宋体" w:hAnsi="宋体"/>
          <w:color w:val="auto"/>
          <w:sz w:val="24"/>
          <w:highlight w:val="none"/>
        </w:rPr>
        <w:t>1.1.2 本招标项目招标人：见投标人须知前附表。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1.1.3 本标段招标代理机构：见投标人须知前附表。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1.1.4 本招标项目名称：见投标人须知前附表。</w:t>
      </w:r>
    </w:p>
    <w:p>
      <w:pPr>
        <w:shd w:val="clear" w:color="auto" w:fill="FFFFFF"/>
        <w:spacing w:line="400" w:lineRule="atLeast"/>
        <w:ind w:firstLine="480"/>
        <w:rPr>
          <w:color w:val="auto"/>
          <w:spacing w:val="1"/>
          <w:sz w:val="24"/>
          <w:highlight w:val="none"/>
        </w:rPr>
      </w:pPr>
      <w:r>
        <w:rPr>
          <w:rFonts w:hint="eastAsia" w:ascii="宋体" w:hAnsi="宋体"/>
          <w:color w:val="auto"/>
          <w:sz w:val="24"/>
          <w:highlight w:val="none"/>
        </w:rPr>
        <w:t>1.1.5 本标段建设地点：见投标人须知前附表</w:t>
      </w:r>
      <w:r>
        <w:rPr>
          <w:rFonts w:hint="eastAsia"/>
          <w:color w:val="auto"/>
          <w:spacing w:val="1"/>
          <w:sz w:val="24"/>
          <w:highlight w:val="none"/>
        </w:rPr>
        <w:t>。</w:t>
      </w:r>
    </w:p>
    <w:p>
      <w:pPr>
        <w:pStyle w:val="4"/>
        <w:spacing w:beforeLines="150" w:after="480" w:line="400" w:lineRule="exact"/>
        <w:rPr>
          <w:rFonts w:ascii="宋体" w:hAnsi="宋体"/>
          <w:color w:val="auto"/>
          <w:sz w:val="24"/>
          <w:szCs w:val="24"/>
          <w:highlight w:val="none"/>
        </w:rPr>
      </w:pPr>
      <w:bookmarkStart w:id="18" w:name="_Toc486277865"/>
      <w:bookmarkStart w:id="19" w:name="_Toc14323"/>
      <w:bookmarkStart w:id="20" w:name="_Toc485889004"/>
      <w:r>
        <w:rPr>
          <w:rFonts w:ascii="宋体" w:hAnsi="宋体"/>
          <w:color w:val="auto"/>
          <w:sz w:val="24"/>
          <w:szCs w:val="24"/>
          <w:highlight w:val="none"/>
        </w:rPr>
        <w:t>1.</w:t>
      </w:r>
      <w:r>
        <w:rPr>
          <w:rFonts w:hint="eastAsia" w:ascii="宋体" w:hAnsi="宋体"/>
          <w:color w:val="auto"/>
          <w:sz w:val="24"/>
          <w:szCs w:val="24"/>
          <w:highlight w:val="none"/>
        </w:rPr>
        <w:t>2</w:t>
      </w:r>
      <w:r>
        <w:rPr>
          <w:rFonts w:ascii="宋体" w:hAnsi="宋体"/>
          <w:color w:val="auto"/>
          <w:sz w:val="24"/>
          <w:szCs w:val="24"/>
          <w:highlight w:val="none"/>
        </w:rPr>
        <w:t>资金来源和落实情况</w:t>
      </w:r>
      <w:bookmarkEnd w:id="18"/>
      <w:bookmarkEnd w:id="19"/>
      <w:bookmarkEnd w:id="20"/>
    </w:p>
    <w:bookmarkEnd w:id="17"/>
    <w:p>
      <w:pPr>
        <w:spacing w:line="400" w:lineRule="exact"/>
        <w:ind w:firstLine="480"/>
        <w:rPr>
          <w:rFonts w:ascii="宋体" w:hAnsi="宋体"/>
          <w:color w:val="auto"/>
          <w:sz w:val="24"/>
          <w:highlight w:val="none"/>
        </w:rPr>
      </w:pPr>
      <w:r>
        <w:rPr>
          <w:rFonts w:hint="eastAsia" w:ascii="宋体" w:hAnsi="宋体"/>
          <w:color w:val="auto"/>
          <w:sz w:val="24"/>
          <w:highlight w:val="none"/>
        </w:rPr>
        <w:t>1.2.1 本招标项目的资金来源：见投标人须知前附表。</w:t>
      </w:r>
    </w:p>
    <w:p>
      <w:pPr>
        <w:spacing w:line="400" w:lineRule="exact"/>
        <w:ind w:firstLine="480"/>
        <w:rPr>
          <w:rFonts w:ascii="宋体" w:hAnsi="宋体"/>
          <w:color w:val="auto"/>
          <w:sz w:val="24"/>
          <w:highlight w:val="none"/>
        </w:rPr>
      </w:pPr>
      <w:r>
        <w:rPr>
          <w:rFonts w:hint="eastAsia" w:ascii="宋体" w:hAnsi="宋体"/>
          <w:color w:val="auto"/>
          <w:sz w:val="24"/>
          <w:highlight w:val="none"/>
        </w:rPr>
        <w:t>1.2.2 本招标项目的出资比例：见投标人须知前附表。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1.2.3 本招标项目的资金落实情况：见投标人须知前附表。</w:t>
      </w:r>
    </w:p>
    <w:p>
      <w:pPr>
        <w:pStyle w:val="4"/>
        <w:spacing w:beforeLines="50" w:after="0" w:line="400" w:lineRule="exact"/>
        <w:rPr>
          <w:rFonts w:ascii="宋体" w:hAnsi="宋体"/>
          <w:color w:val="auto"/>
          <w:sz w:val="24"/>
          <w:szCs w:val="24"/>
          <w:highlight w:val="none"/>
        </w:rPr>
      </w:pPr>
      <w:bookmarkStart w:id="21" w:name="_Toc486277866"/>
      <w:bookmarkStart w:id="22" w:name="_Toc17973"/>
      <w:bookmarkStart w:id="23" w:name="_Toc234382592"/>
      <w:bookmarkStart w:id="24" w:name="_Toc485889005"/>
      <w:r>
        <w:rPr>
          <w:rFonts w:ascii="宋体" w:hAnsi="宋体"/>
          <w:color w:val="auto"/>
          <w:sz w:val="24"/>
          <w:szCs w:val="24"/>
          <w:highlight w:val="none"/>
        </w:rPr>
        <w:t>1.3 招标范围、计划工期和质量要求</w:t>
      </w:r>
      <w:bookmarkEnd w:id="21"/>
      <w:bookmarkEnd w:id="22"/>
      <w:bookmarkEnd w:id="23"/>
      <w:bookmarkEnd w:id="24"/>
    </w:p>
    <w:p>
      <w:pPr>
        <w:spacing w:line="400" w:lineRule="exact"/>
        <w:ind w:firstLine="480" w:firstLineChars="200"/>
        <w:rPr>
          <w:rFonts w:ascii="宋体" w:hAnsi="宋体"/>
          <w:color w:val="auto"/>
          <w:sz w:val="24"/>
          <w:highlight w:val="none"/>
        </w:rPr>
      </w:pPr>
      <w:r>
        <w:rPr>
          <w:rFonts w:ascii="宋体" w:hAnsi="宋体"/>
          <w:color w:val="auto"/>
          <w:sz w:val="24"/>
          <w:highlight w:val="none"/>
        </w:rPr>
        <w:t>1.3.1 本次招标范围：见投标人须知前附表。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1.3.2 本标段的计划工期：见投标人须知前附表。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1.3.3 本标段的质量要求：见投标人须知前附表。</w:t>
      </w:r>
    </w:p>
    <w:p>
      <w:pPr>
        <w:pStyle w:val="4"/>
        <w:spacing w:beforeLines="50" w:after="0" w:line="400" w:lineRule="exact"/>
        <w:rPr>
          <w:rFonts w:ascii="宋体" w:hAnsi="宋体"/>
          <w:color w:val="auto"/>
          <w:sz w:val="24"/>
          <w:szCs w:val="24"/>
          <w:highlight w:val="none"/>
        </w:rPr>
      </w:pPr>
      <w:bookmarkStart w:id="25" w:name="_Toc485889006"/>
      <w:bookmarkStart w:id="26" w:name="_Toc2109"/>
      <w:bookmarkStart w:id="27" w:name="_Toc234382594"/>
      <w:bookmarkStart w:id="28" w:name="_Toc486277867"/>
      <w:r>
        <w:rPr>
          <w:rFonts w:ascii="宋体" w:hAnsi="宋体"/>
          <w:color w:val="auto"/>
          <w:sz w:val="24"/>
          <w:szCs w:val="24"/>
          <w:highlight w:val="none"/>
        </w:rPr>
        <w:t>1.4 投标人资格要求（适用于未进行资格预审的）</w:t>
      </w:r>
      <w:bookmarkEnd w:id="25"/>
      <w:bookmarkEnd w:id="26"/>
      <w:bookmarkEnd w:id="27"/>
      <w:bookmarkEnd w:id="28"/>
    </w:p>
    <w:p>
      <w:pPr>
        <w:spacing w:line="400" w:lineRule="exact"/>
        <w:ind w:firstLine="480" w:firstLineChars="200"/>
        <w:rPr>
          <w:rFonts w:ascii="宋体" w:hAnsi="宋体"/>
          <w:color w:val="auto"/>
          <w:sz w:val="24"/>
          <w:highlight w:val="none"/>
        </w:rPr>
      </w:pPr>
      <w:r>
        <w:rPr>
          <w:rFonts w:ascii="宋体" w:hAnsi="宋体"/>
          <w:color w:val="auto"/>
          <w:sz w:val="24"/>
          <w:highlight w:val="none"/>
        </w:rPr>
        <w:t>1.4.1 投标人应具备承担本标段施工的资质条件、能力和信誉。</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（1）资质条件：见投标人须知前附表；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（2）财务要求：见投标人须知前附表；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（3）业绩要求：见投标人须知前附表；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（4）信誉要求：见投标人须知前附表;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（5）项目经理资格：见投标人须知前附表；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（6）其他要求：见投标人须知前附表。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1.4.2 </w:t>
      </w:r>
      <w:r>
        <w:rPr>
          <w:rFonts w:hint="eastAsia" w:ascii="宋体" w:hAnsi="宋体"/>
          <w:color w:val="auto"/>
          <w:sz w:val="24"/>
          <w:highlight w:val="none"/>
        </w:rPr>
        <w:t>本次招标不</w:t>
      </w:r>
      <w:r>
        <w:rPr>
          <w:rFonts w:ascii="宋体" w:hAnsi="宋体"/>
          <w:color w:val="auto"/>
          <w:sz w:val="24"/>
          <w:highlight w:val="none"/>
        </w:rPr>
        <w:t>接受联合体</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1.4.3 投标人不得存在下列情形之一：</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（1）为招标人不具有独立法人资格的附属机构（单位）；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（2）为本标段前期准备提供设计或咨询服务的，但设计施工总承包的除外；</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（3）为本标段的监理人；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（4）为本标段的代建人；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（5）为本标段提供招标代理服务的；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（6）与本标段的监理人或代建人或招标代理机构同为一个法定代表人的；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（7）与本标段的监理人或代建人或招标代理机构相互控股或参股的；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（8）与本标段的监理人或代建人或招标代理机构相互任职或工作的；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（9）被责令停业的；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（10）被暂停或取消投标资格的；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（11）财产被接管或冻结的；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（12）在最近三年内有骗取中标或严重违约或重大工程质量问题的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（13）涉及正在诉讼的案件，或涉及正在诉讼的案件但经审查委员会认定不会对承担本项目造成重大影响；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（14）被省级及以上交通主管部门取消项目所在地的投标资格或禁止进入该区域公路建设市场且处于有效期内；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（15）为投资参股本项目的法人单位。</w:t>
      </w:r>
    </w:p>
    <w:p>
      <w:pPr>
        <w:pStyle w:val="4"/>
        <w:spacing w:beforeLines="50" w:after="0" w:line="400" w:lineRule="exact"/>
        <w:rPr>
          <w:rFonts w:ascii="宋体" w:hAnsi="宋体"/>
          <w:color w:val="auto"/>
          <w:sz w:val="24"/>
          <w:szCs w:val="24"/>
          <w:highlight w:val="none"/>
        </w:rPr>
      </w:pPr>
      <w:bookmarkStart w:id="29" w:name="_Toc19946"/>
      <w:bookmarkStart w:id="30" w:name="_Toc485889007"/>
      <w:bookmarkStart w:id="31" w:name="_Toc234382595"/>
      <w:bookmarkStart w:id="32" w:name="_Toc486277868"/>
      <w:r>
        <w:rPr>
          <w:rFonts w:ascii="宋体" w:hAnsi="宋体"/>
          <w:color w:val="auto"/>
          <w:sz w:val="24"/>
          <w:szCs w:val="24"/>
          <w:highlight w:val="none"/>
        </w:rPr>
        <w:t>1.5 费用承担</w:t>
      </w:r>
      <w:bookmarkEnd w:id="29"/>
      <w:bookmarkEnd w:id="30"/>
      <w:bookmarkEnd w:id="31"/>
      <w:bookmarkEnd w:id="32"/>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投标人准备和参加投标活动发生的费用自理。</w:t>
      </w:r>
    </w:p>
    <w:p>
      <w:pPr>
        <w:pStyle w:val="4"/>
        <w:spacing w:beforeLines="50" w:after="0" w:line="400" w:lineRule="exact"/>
        <w:rPr>
          <w:rFonts w:ascii="宋体" w:hAnsi="宋体"/>
          <w:color w:val="auto"/>
          <w:sz w:val="24"/>
          <w:szCs w:val="24"/>
          <w:highlight w:val="none"/>
        </w:rPr>
      </w:pPr>
      <w:bookmarkStart w:id="33" w:name="_Toc486277869"/>
      <w:bookmarkStart w:id="34" w:name="_Toc234382596"/>
      <w:bookmarkStart w:id="35" w:name="_Toc485889008"/>
      <w:bookmarkStart w:id="36" w:name="_Toc8968"/>
      <w:r>
        <w:rPr>
          <w:rFonts w:ascii="宋体" w:hAnsi="宋体"/>
          <w:color w:val="auto"/>
          <w:sz w:val="24"/>
          <w:szCs w:val="24"/>
          <w:highlight w:val="none"/>
        </w:rPr>
        <w:t>1.6 保密</w:t>
      </w:r>
      <w:bookmarkEnd w:id="33"/>
      <w:bookmarkEnd w:id="34"/>
      <w:bookmarkEnd w:id="35"/>
      <w:bookmarkEnd w:id="36"/>
    </w:p>
    <w:p>
      <w:pPr>
        <w:spacing w:line="400" w:lineRule="exact"/>
        <w:ind w:firstLine="480" w:firstLineChars="200"/>
        <w:rPr>
          <w:rFonts w:ascii="宋体" w:hAnsi="宋体"/>
          <w:color w:val="auto"/>
          <w:sz w:val="24"/>
          <w:highlight w:val="none"/>
        </w:rPr>
      </w:pPr>
      <w:r>
        <w:rPr>
          <w:rFonts w:ascii="宋体" w:hAnsi="宋体"/>
          <w:color w:val="auto"/>
          <w:sz w:val="24"/>
          <w:highlight w:val="none"/>
        </w:rPr>
        <w:t>参与招标投标活动的各方应对招标文件和投标文件中的商业和技术等秘密保密，违者应对由此造成的后果承担法律责任。</w:t>
      </w:r>
    </w:p>
    <w:p>
      <w:pPr>
        <w:pStyle w:val="4"/>
        <w:spacing w:beforeLines="50" w:after="0" w:line="400" w:lineRule="exact"/>
        <w:rPr>
          <w:rFonts w:ascii="宋体" w:hAnsi="宋体"/>
          <w:color w:val="auto"/>
          <w:sz w:val="24"/>
          <w:szCs w:val="24"/>
          <w:highlight w:val="none"/>
        </w:rPr>
      </w:pPr>
      <w:bookmarkStart w:id="37" w:name="_Toc486277870"/>
      <w:bookmarkStart w:id="38" w:name="_Toc5358"/>
      <w:bookmarkStart w:id="39" w:name="_Toc485889009"/>
      <w:bookmarkStart w:id="40" w:name="_Toc234382597"/>
      <w:r>
        <w:rPr>
          <w:rFonts w:ascii="宋体" w:hAnsi="宋体"/>
          <w:color w:val="auto"/>
          <w:sz w:val="24"/>
          <w:szCs w:val="24"/>
          <w:highlight w:val="none"/>
        </w:rPr>
        <w:t>1.7 语言文字</w:t>
      </w:r>
      <w:bookmarkEnd w:id="37"/>
      <w:bookmarkEnd w:id="38"/>
      <w:bookmarkEnd w:id="39"/>
      <w:bookmarkEnd w:id="40"/>
    </w:p>
    <w:p>
      <w:pPr>
        <w:spacing w:line="400" w:lineRule="exact"/>
        <w:ind w:firstLine="480" w:firstLineChars="200"/>
        <w:rPr>
          <w:rFonts w:ascii="宋体" w:hAnsi="宋体"/>
          <w:color w:val="auto"/>
          <w:sz w:val="24"/>
          <w:highlight w:val="none"/>
        </w:rPr>
      </w:pPr>
      <w:r>
        <w:rPr>
          <w:rFonts w:ascii="宋体" w:hAnsi="宋体"/>
          <w:color w:val="auto"/>
          <w:sz w:val="24"/>
          <w:highlight w:val="none"/>
        </w:rPr>
        <w:t>除专用术语外，与招标投标有关的语言均使用中文。必要时专用术语应附有中文注释。</w:t>
      </w:r>
    </w:p>
    <w:p>
      <w:pPr>
        <w:pStyle w:val="4"/>
        <w:spacing w:beforeLines="50" w:after="0" w:line="400" w:lineRule="exact"/>
        <w:rPr>
          <w:rFonts w:ascii="宋体" w:hAnsi="宋体"/>
          <w:color w:val="auto"/>
          <w:sz w:val="24"/>
          <w:szCs w:val="24"/>
          <w:highlight w:val="none"/>
        </w:rPr>
      </w:pPr>
      <w:bookmarkStart w:id="41" w:name="_Toc486277871"/>
      <w:bookmarkStart w:id="42" w:name="_Toc485889010"/>
      <w:bookmarkStart w:id="43" w:name="_Toc234382598"/>
      <w:bookmarkStart w:id="44" w:name="_Toc105"/>
      <w:r>
        <w:rPr>
          <w:rFonts w:ascii="宋体" w:hAnsi="宋体"/>
          <w:color w:val="auto"/>
          <w:sz w:val="24"/>
          <w:szCs w:val="24"/>
          <w:highlight w:val="none"/>
        </w:rPr>
        <w:t>1.8 计量单位</w:t>
      </w:r>
      <w:bookmarkEnd w:id="41"/>
      <w:bookmarkEnd w:id="42"/>
      <w:bookmarkEnd w:id="43"/>
      <w:bookmarkEnd w:id="44"/>
    </w:p>
    <w:p>
      <w:pPr>
        <w:spacing w:line="400" w:lineRule="exact"/>
        <w:ind w:firstLine="480" w:firstLineChars="200"/>
        <w:rPr>
          <w:rFonts w:ascii="宋体" w:hAnsi="宋体"/>
          <w:color w:val="auto"/>
          <w:sz w:val="24"/>
          <w:highlight w:val="none"/>
        </w:rPr>
      </w:pPr>
      <w:r>
        <w:rPr>
          <w:rFonts w:ascii="宋体" w:hAnsi="宋体"/>
          <w:color w:val="auto"/>
          <w:sz w:val="24"/>
          <w:highlight w:val="none"/>
        </w:rPr>
        <w:t>所有计量均采用中华人民共和国法定计量单位。</w:t>
      </w:r>
    </w:p>
    <w:p>
      <w:pPr>
        <w:pStyle w:val="4"/>
        <w:spacing w:beforeLines="50" w:after="0" w:line="400" w:lineRule="exact"/>
        <w:rPr>
          <w:rFonts w:ascii="宋体" w:hAnsi="宋体"/>
          <w:color w:val="auto"/>
          <w:sz w:val="24"/>
          <w:szCs w:val="24"/>
          <w:highlight w:val="none"/>
        </w:rPr>
      </w:pPr>
      <w:bookmarkStart w:id="45" w:name="_Toc485889011"/>
      <w:bookmarkStart w:id="46" w:name="_Toc486277872"/>
      <w:bookmarkStart w:id="47" w:name="_Toc31645"/>
      <w:bookmarkStart w:id="48" w:name="_Toc234382599"/>
      <w:r>
        <w:rPr>
          <w:rFonts w:ascii="宋体" w:hAnsi="宋体"/>
          <w:color w:val="auto"/>
          <w:sz w:val="24"/>
          <w:szCs w:val="24"/>
          <w:highlight w:val="none"/>
        </w:rPr>
        <w:t>1.9 踏勘现场</w:t>
      </w:r>
      <w:bookmarkEnd w:id="45"/>
      <w:bookmarkEnd w:id="46"/>
      <w:bookmarkEnd w:id="47"/>
      <w:bookmarkEnd w:id="48"/>
    </w:p>
    <w:p>
      <w:pPr>
        <w:spacing w:line="400" w:lineRule="exact"/>
        <w:ind w:firstLine="480" w:firstLineChars="200"/>
        <w:rPr>
          <w:rFonts w:ascii="宋体" w:hAnsi="宋体"/>
          <w:color w:val="auto"/>
          <w:sz w:val="24"/>
          <w:highlight w:val="none"/>
        </w:rPr>
      </w:pPr>
      <w:r>
        <w:rPr>
          <w:rFonts w:ascii="宋体" w:hAnsi="宋体"/>
          <w:color w:val="auto"/>
          <w:sz w:val="24"/>
          <w:highlight w:val="none"/>
        </w:rPr>
        <w:t>1.9.1 投标人须知前附表规定组织踏勘现场的，招标人按投标人须知前附表规定的时间、地点组织投标人踏勘项目现场。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1.9.2 投标人踏勘现场发生的费用自理。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1.9.3 除招标人的原因外，投标人自行负责在踏勘现场中所发生的人员伤亡和财产损失。</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1.9.4 招标人在踏勘现场中介绍的工程场地和相关的周边环境情况，供投标人在编制投标文件时参考，招标人不对投标人据此作出的判断和决策负责。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pStyle w:val="4"/>
        <w:spacing w:beforeLines="50" w:after="0" w:line="400" w:lineRule="exact"/>
        <w:rPr>
          <w:rFonts w:ascii="宋体" w:hAnsi="宋体"/>
          <w:color w:val="auto"/>
          <w:sz w:val="24"/>
          <w:szCs w:val="24"/>
          <w:highlight w:val="none"/>
        </w:rPr>
      </w:pPr>
      <w:bookmarkStart w:id="49" w:name="_Toc234382600"/>
      <w:bookmarkStart w:id="50" w:name="_Toc486277873"/>
      <w:bookmarkStart w:id="51" w:name="_Toc3462"/>
      <w:bookmarkStart w:id="52" w:name="_Toc485889012"/>
      <w:r>
        <w:rPr>
          <w:rFonts w:ascii="宋体" w:hAnsi="宋体"/>
          <w:color w:val="auto"/>
          <w:sz w:val="24"/>
          <w:szCs w:val="24"/>
          <w:highlight w:val="none"/>
        </w:rPr>
        <w:t>1.10 投标预备会</w:t>
      </w:r>
      <w:bookmarkEnd w:id="49"/>
      <w:r>
        <w:rPr>
          <w:rFonts w:hint="eastAsia" w:ascii="宋体" w:hAnsi="宋体"/>
          <w:color w:val="auto"/>
          <w:sz w:val="24"/>
          <w:szCs w:val="24"/>
          <w:highlight w:val="none"/>
        </w:rPr>
        <w:t>（无）</w:t>
      </w:r>
      <w:bookmarkEnd w:id="50"/>
      <w:bookmarkEnd w:id="51"/>
      <w:bookmarkEnd w:id="52"/>
    </w:p>
    <w:p>
      <w:pPr>
        <w:pStyle w:val="4"/>
        <w:spacing w:beforeLines="50" w:after="0" w:line="400" w:lineRule="exact"/>
        <w:rPr>
          <w:rFonts w:ascii="宋体" w:hAnsi="宋体"/>
          <w:color w:val="auto"/>
          <w:sz w:val="24"/>
          <w:szCs w:val="24"/>
          <w:highlight w:val="none"/>
        </w:rPr>
      </w:pPr>
      <w:bookmarkStart w:id="53" w:name="_Toc234382601"/>
      <w:bookmarkStart w:id="54" w:name="_Toc486277874"/>
      <w:bookmarkStart w:id="55" w:name="_Toc22514"/>
      <w:bookmarkStart w:id="56" w:name="_Toc485889013"/>
      <w:r>
        <w:rPr>
          <w:rFonts w:ascii="宋体" w:hAnsi="宋体"/>
          <w:color w:val="auto"/>
          <w:sz w:val="24"/>
          <w:szCs w:val="24"/>
          <w:highlight w:val="none"/>
        </w:rPr>
        <w:t>1.11 分包</w:t>
      </w:r>
      <w:bookmarkEnd w:id="53"/>
      <w:bookmarkEnd w:id="54"/>
      <w:bookmarkEnd w:id="55"/>
      <w:bookmarkEnd w:id="56"/>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本项目严禁转包和违规分包，且不得再次分包。投标人拟在中标后将中标项目的部分非主体、非关键性工作进行分包的，应符合以下规定：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分包内容要求：允许分包的工程范围仅限于非关键性工程或者适合专业化队伍施工的专业工程；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分包金额要求：专业工程分包的工程量累计不得超过总工程量的30%；</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接受分包的第三人资质要求：分包人的资格能力应与其分包工程的标准和规模相适应，具备相应的专业承包资质或劳务分包资质；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其他要求；投标人如有分包计划，应按第八章“投标文件格式”的要求填写“拟分包项目调查表”，且投标人中标后的分包应满足合同条款第4.3款的相关要求。</w:t>
      </w:r>
    </w:p>
    <w:p>
      <w:pPr>
        <w:pStyle w:val="4"/>
        <w:spacing w:beforeLines="50" w:after="0" w:line="400" w:lineRule="exact"/>
        <w:rPr>
          <w:rFonts w:ascii="宋体" w:hAnsi="宋体"/>
          <w:color w:val="auto"/>
          <w:sz w:val="24"/>
          <w:szCs w:val="24"/>
          <w:highlight w:val="none"/>
          <w:vertAlign w:val="superscript"/>
        </w:rPr>
      </w:pPr>
      <w:bookmarkStart w:id="57" w:name="_Toc6184"/>
      <w:bookmarkStart w:id="58" w:name="_Toc485889014"/>
      <w:bookmarkStart w:id="59" w:name="_Toc234382602"/>
      <w:bookmarkStart w:id="60" w:name="_Toc486277875"/>
      <w:r>
        <w:rPr>
          <w:rFonts w:ascii="宋体" w:hAnsi="宋体"/>
          <w:color w:val="auto"/>
          <w:sz w:val="24"/>
          <w:szCs w:val="24"/>
          <w:highlight w:val="none"/>
        </w:rPr>
        <w:t>1.12 偏离</w:t>
      </w:r>
      <w:bookmarkEnd w:id="57"/>
      <w:bookmarkEnd w:id="58"/>
      <w:bookmarkEnd w:id="59"/>
      <w:bookmarkEnd w:id="60"/>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投标人须知前附表允许投标文件偏离招标文件某些要求的，偏离应当符合招标文件规定的偏离范围和幅度。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偏离即偏差，偏差分重大偏差和细微偏差。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1.12.1 投标文件不符合第三章“评标办法”第2.1款所列的初步评审标准以及按照第三章“评标办法”第3.1.3项和第3.1.4项的规定对投标价进行算术性错误修正及其他错误修正后，最终投标报价超过投标控制价上限（如有）的，属于重大偏差，视为对招标文件未作出实质性响应，按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1.12.2 投标文件中的下列偏差为细微偏差：</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在按照第三章“评标办法”第3.1.3项和第3.1.4项的规定对投标价进行算术性错误修正及其他错误修正后，最终投标报价未超过投标控制价上限（如有）的情况下，出现第三章“评标办法”第3.1.3项所列的投标报价的算术性错误和第三章“评标办法”第3.1.4项所列的投标报价的其他错误；</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（2）施工组织设计（含关键工程技术方案）和项目管理机构不够完善。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1.12.3 评标委员会对投标文件中的细微偏差按如下规定处理：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（1）对于本章第1.12.2项（1）目所述的细微偏差，按照第三章“评标办法”第3.1.3项和第3.1.4项的规定予以修正并要求投标人进行澄清；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对于本章第1.12.2项（2）目所述的细微偏差，如果采用合理低价法或经评审的最低投标价法评标，应要求投标人对细微偏差进行澄清，只有投标人的澄清文件被评标委员会接受，投标人才能参加评标价的最终评比。如果采用综合评估法评标，评标委员会可在相关评分因素的评分中酌情扣分，但最多不得超过各评分因素权重分值的40%。</w:t>
      </w:r>
    </w:p>
    <w:p>
      <w:pPr>
        <w:pStyle w:val="4"/>
        <w:spacing w:beforeLines="150" w:after="480" w:line="400" w:lineRule="exact"/>
        <w:rPr>
          <w:rFonts w:ascii="宋体" w:hAnsi="宋体"/>
          <w:color w:val="auto"/>
          <w:sz w:val="24"/>
          <w:szCs w:val="24"/>
          <w:highlight w:val="none"/>
        </w:rPr>
      </w:pPr>
      <w:bookmarkStart w:id="61" w:name="_Toc234382603"/>
      <w:bookmarkStart w:id="62" w:name="_Toc485889015"/>
      <w:bookmarkStart w:id="63" w:name="_Toc486277876"/>
      <w:bookmarkStart w:id="64" w:name="_Toc22855"/>
      <w:r>
        <w:rPr>
          <w:rFonts w:ascii="宋体" w:hAnsi="宋体"/>
          <w:color w:val="auto"/>
          <w:sz w:val="24"/>
          <w:szCs w:val="24"/>
          <w:highlight w:val="none"/>
        </w:rPr>
        <w:t>2. 招标文件</w:t>
      </w:r>
      <w:bookmarkEnd w:id="61"/>
      <w:bookmarkEnd w:id="62"/>
      <w:bookmarkEnd w:id="63"/>
      <w:bookmarkEnd w:id="64"/>
    </w:p>
    <w:p>
      <w:pPr>
        <w:pStyle w:val="4"/>
        <w:spacing w:before="0" w:after="0" w:line="400" w:lineRule="exact"/>
        <w:rPr>
          <w:rFonts w:ascii="宋体" w:hAnsi="宋体"/>
          <w:color w:val="auto"/>
          <w:sz w:val="24"/>
          <w:szCs w:val="24"/>
          <w:highlight w:val="none"/>
        </w:rPr>
      </w:pPr>
      <w:bookmarkStart w:id="65" w:name="_Toc234382604"/>
      <w:bookmarkStart w:id="66" w:name="_Toc486277877"/>
      <w:bookmarkStart w:id="67" w:name="_Toc485889016"/>
      <w:bookmarkStart w:id="68" w:name="_Toc12310"/>
      <w:r>
        <w:rPr>
          <w:rFonts w:ascii="宋体" w:hAnsi="宋体"/>
          <w:color w:val="auto"/>
          <w:sz w:val="24"/>
          <w:szCs w:val="24"/>
          <w:highlight w:val="none"/>
        </w:rPr>
        <w:t>2.1 招标文件的组成</w:t>
      </w:r>
      <w:bookmarkEnd w:id="65"/>
      <w:bookmarkEnd w:id="66"/>
      <w:bookmarkEnd w:id="67"/>
      <w:bookmarkEnd w:id="68"/>
    </w:p>
    <w:p>
      <w:pPr>
        <w:spacing w:line="400" w:lineRule="exact"/>
        <w:ind w:firstLine="480" w:firstLineChars="200"/>
        <w:rPr>
          <w:rFonts w:ascii="宋体" w:hAnsi="宋体"/>
          <w:color w:val="auto"/>
          <w:sz w:val="24"/>
          <w:highlight w:val="none"/>
        </w:rPr>
      </w:pPr>
      <w:r>
        <w:rPr>
          <w:rFonts w:ascii="宋体" w:hAnsi="宋体"/>
          <w:color w:val="auto"/>
          <w:sz w:val="24"/>
          <w:highlight w:val="none"/>
        </w:rPr>
        <w:t>本招标文件包括：</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（1）招标公告；</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（2）投标人须知；</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（3）评标办法；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（4）合同条款及格式；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（5）工程量清单；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（6）图纸</w:t>
      </w:r>
      <w:r>
        <w:rPr>
          <w:rFonts w:hint="eastAsia" w:ascii="宋体" w:hAnsi="宋体"/>
          <w:color w:val="auto"/>
          <w:sz w:val="24"/>
          <w:highlight w:val="none"/>
        </w:rPr>
        <w:t>（另附）</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（7）技术</w:t>
      </w:r>
      <w:r>
        <w:rPr>
          <w:rFonts w:hint="eastAsia" w:ascii="宋体" w:hAnsi="宋体"/>
          <w:color w:val="auto"/>
          <w:sz w:val="24"/>
          <w:highlight w:val="none"/>
        </w:rPr>
        <w:t>规范</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（8）投标文件格式；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（9）投标人须知前附表规定的其他材料。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根据本章第1.10款、第2.2款和第2.3款对招标文件所作的澄清、修改，构成招标文件的组成部分。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当招标文件、招标文件的澄清或修改等在同一内容的表述上不一致时，以最后发出的书面文件为准。</w:t>
      </w:r>
    </w:p>
    <w:p>
      <w:pPr>
        <w:pStyle w:val="4"/>
        <w:spacing w:beforeLines="50" w:after="0" w:line="400" w:lineRule="exact"/>
        <w:rPr>
          <w:rFonts w:ascii="宋体" w:hAnsi="宋体"/>
          <w:color w:val="auto"/>
          <w:sz w:val="24"/>
          <w:szCs w:val="24"/>
          <w:highlight w:val="none"/>
        </w:rPr>
      </w:pPr>
      <w:bookmarkStart w:id="69" w:name="_Toc234382605"/>
      <w:bookmarkStart w:id="70" w:name="_Toc16084"/>
      <w:bookmarkStart w:id="71" w:name="_Toc486277878"/>
      <w:bookmarkStart w:id="72" w:name="_Toc485889017"/>
      <w:r>
        <w:rPr>
          <w:rFonts w:ascii="宋体" w:hAnsi="宋体"/>
          <w:color w:val="auto"/>
          <w:sz w:val="24"/>
          <w:szCs w:val="24"/>
          <w:highlight w:val="none"/>
        </w:rPr>
        <w:t>2.2 招标文件的澄清</w:t>
      </w:r>
      <w:bookmarkEnd w:id="69"/>
      <w:bookmarkEnd w:id="70"/>
      <w:bookmarkEnd w:id="71"/>
      <w:bookmarkEnd w:id="72"/>
    </w:p>
    <w:p>
      <w:pPr>
        <w:spacing w:line="400" w:lineRule="exact"/>
        <w:ind w:firstLine="480" w:firstLineChars="200"/>
        <w:rPr>
          <w:rFonts w:ascii="宋体" w:hAnsi="宋体" w:cs="宋体"/>
          <w:color w:val="auto"/>
          <w:kern w:val="0"/>
          <w:sz w:val="24"/>
          <w:highlight w:val="none"/>
        </w:rPr>
      </w:pPr>
      <w:bookmarkStart w:id="73" w:name="_Toc234382606"/>
      <w:r>
        <w:rPr>
          <w:rFonts w:hint="eastAsia" w:ascii="宋体" w:hAnsi="宋体" w:cs="宋体"/>
          <w:color w:val="auto"/>
          <w:kern w:val="0"/>
          <w:sz w:val="24"/>
          <w:highlight w:val="none"/>
        </w:rPr>
        <w:t>2.2.1投标人应仔细阅读和检查招标文件的全部内容。如发现缺页或附件不全，</w:t>
      </w:r>
      <w:r>
        <w:rPr>
          <w:rFonts w:hint="eastAsia" w:ascii="宋体" w:hAnsi="宋体"/>
          <w:color w:val="auto"/>
          <w:sz w:val="24"/>
          <w:highlight w:val="none"/>
        </w:rPr>
        <w:t>通过公共资源交易系统电子平台发出</w:t>
      </w:r>
      <w:r>
        <w:rPr>
          <w:rFonts w:hint="eastAsia" w:ascii="宋体" w:hAnsi="宋体" w:cs="宋体"/>
          <w:color w:val="auto"/>
          <w:kern w:val="0"/>
          <w:sz w:val="24"/>
          <w:highlight w:val="none"/>
        </w:rPr>
        <w:t>，以便补齐。如有疑问，应在投标人须知前附表规定的时间要求招标人对招标文件予以澄清。</w:t>
      </w:r>
      <w:r>
        <w:rPr>
          <w:rFonts w:hint="eastAsia" w:ascii="宋体" w:hAnsi="宋体" w:cs="宋体"/>
          <w:b/>
          <w:color w:val="auto"/>
          <w:kern w:val="0"/>
          <w:sz w:val="24"/>
          <w:highlight w:val="none"/>
        </w:rPr>
        <w:t>如未提出异议，视为全面接受</w:t>
      </w:r>
      <w:r>
        <w:rPr>
          <w:rFonts w:hint="eastAsia" w:ascii="宋体" w:hAnsi="宋体" w:cs="宋体"/>
          <w:color w:val="auto"/>
          <w:kern w:val="0"/>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2.2.2 </w:t>
      </w:r>
      <w:r>
        <w:rPr>
          <w:rFonts w:hint="eastAsia" w:ascii="宋体" w:hAnsi="宋体"/>
          <w:color w:val="auto"/>
          <w:sz w:val="24"/>
          <w:highlight w:val="none"/>
        </w:rPr>
        <w:t>招标文件的澄清将在投标人须知前附表规定的投标截止时间15</w:t>
      </w:r>
      <w:r>
        <w:rPr>
          <w:rFonts w:ascii="宋体" w:hAnsi="宋体"/>
          <w:color w:val="auto"/>
          <w:sz w:val="24"/>
          <w:highlight w:val="none"/>
        </w:rPr>
        <w:t xml:space="preserve"> </w:t>
      </w:r>
      <w:r>
        <w:rPr>
          <w:rFonts w:hint="eastAsia" w:ascii="宋体" w:hAnsi="宋体"/>
          <w:color w:val="auto"/>
          <w:sz w:val="24"/>
          <w:highlight w:val="none"/>
        </w:rPr>
        <w:t>天前通过公共资源交易系统电子平台发出，但不指明澄清问题的来源。如果澄清发出的时间距投标截止时间不足15</w:t>
      </w:r>
      <w:r>
        <w:rPr>
          <w:rFonts w:ascii="宋体" w:hAnsi="宋体"/>
          <w:color w:val="auto"/>
          <w:sz w:val="24"/>
          <w:highlight w:val="none"/>
        </w:rPr>
        <w:t xml:space="preserve"> </w:t>
      </w:r>
      <w:r>
        <w:rPr>
          <w:rFonts w:hint="eastAsia" w:ascii="宋体" w:hAnsi="宋体"/>
          <w:color w:val="auto"/>
          <w:sz w:val="24"/>
          <w:highlight w:val="none"/>
        </w:rPr>
        <w:t>天，相应延长投标截止时间。</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2.2.3 </w:t>
      </w:r>
      <w:r>
        <w:rPr>
          <w:rFonts w:hint="eastAsia" w:ascii="宋体" w:hAnsi="宋体"/>
          <w:color w:val="auto"/>
          <w:sz w:val="24"/>
          <w:highlight w:val="none"/>
        </w:rPr>
        <w:t>所有澄清、答疑全部以公共资源交易系统电子平台发出的为准，不再接受书面形式的递交。</w:t>
      </w:r>
    </w:p>
    <w:p>
      <w:pPr>
        <w:pStyle w:val="4"/>
        <w:spacing w:beforeLines="50" w:after="0" w:line="400" w:lineRule="exact"/>
        <w:rPr>
          <w:rFonts w:ascii="宋体" w:hAnsi="宋体"/>
          <w:color w:val="auto"/>
          <w:sz w:val="24"/>
          <w:szCs w:val="24"/>
          <w:highlight w:val="none"/>
        </w:rPr>
      </w:pPr>
      <w:bookmarkStart w:id="74" w:name="_Toc486277879"/>
      <w:bookmarkStart w:id="75" w:name="_Toc485889018"/>
      <w:bookmarkStart w:id="76" w:name="_Toc29706"/>
      <w:r>
        <w:rPr>
          <w:rFonts w:ascii="宋体" w:hAnsi="宋体"/>
          <w:color w:val="auto"/>
          <w:sz w:val="24"/>
          <w:szCs w:val="24"/>
          <w:highlight w:val="none"/>
        </w:rPr>
        <w:t>2.3 招标文件的修改</w:t>
      </w:r>
      <w:bookmarkEnd w:id="73"/>
      <w:bookmarkEnd w:id="74"/>
      <w:bookmarkEnd w:id="75"/>
      <w:bookmarkEnd w:id="76"/>
    </w:p>
    <w:p>
      <w:pPr>
        <w:autoSpaceDE w:val="0"/>
        <w:autoSpaceDN w:val="0"/>
        <w:adjustRightInd w:val="0"/>
        <w:spacing w:line="360" w:lineRule="auto"/>
        <w:ind w:firstLine="616" w:firstLineChars="257"/>
        <w:jc w:val="left"/>
        <w:rPr>
          <w:rFonts w:ascii="新宋体" w:hAnsi="新宋体" w:eastAsia="新宋体" w:cs="仿宋_GB2312"/>
          <w:color w:val="auto"/>
          <w:kern w:val="0"/>
          <w:sz w:val="24"/>
          <w:highlight w:val="none"/>
        </w:rPr>
      </w:pPr>
      <w:bookmarkStart w:id="77" w:name="_Toc234382607"/>
      <w:r>
        <w:rPr>
          <w:rFonts w:ascii="宋体" w:hAnsi="宋体"/>
          <w:color w:val="auto"/>
          <w:sz w:val="24"/>
          <w:highlight w:val="none"/>
        </w:rPr>
        <w:t xml:space="preserve">2.3.1 </w:t>
      </w:r>
      <w:r>
        <w:rPr>
          <w:rFonts w:hint="eastAsia" w:ascii="新宋体" w:hAnsi="新宋体" w:eastAsia="新宋体" w:cs="仿宋_GB2312"/>
          <w:color w:val="auto"/>
          <w:kern w:val="0"/>
          <w:sz w:val="24"/>
          <w:highlight w:val="none"/>
        </w:rPr>
        <w:t>在投标截止时间</w:t>
      </w:r>
      <w:r>
        <w:rPr>
          <w:rFonts w:ascii="新宋体" w:hAnsi="新宋体" w:eastAsia="新宋体" w:cs="TimesNewRomanPSMT"/>
          <w:color w:val="auto"/>
          <w:kern w:val="0"/>
          <w:sz w:val="24"/>
          <w:highlight w:val="none"/>
        </w:rPr>
        <w:t>15</w:t>
      </w:r>
      <w:r>
        <w:rPr>
          <w:rFonts w:hint="eastAsia" w:ascii="新宋体" w:hAnsi="新宋体" w:eastAsia="新宋体" w:cs="仿宋_GB2312"/>
          <w:color w:val="auto"/>
          <w:kern w:val="0"/>
          <w:sz w:val="24"/>
          <w:highlight w:val="none"/>
        </w:rPr>
        <w:t>天前，招标人可以通过公共资源交易系统电子平台修改招标文件，如果修改招标文件的时间距投标截止时间不足</w:t>
      </w:r>
      <w:r>
        <w:rPr>
          <w:rFonts w:ascii="新宋体" w:hAnsi="新宋体" w:eastAsia="新宋体" w:cs="TimesNewRomanPSMT"/>
          <w:color w:val="auto"/>
          <w:kern w:val="0"/>
          <w:sz w:val="24"/>
          <w:highlight w:val="none"/>
        </w:rPr>
        <w:t xml:space="preserve">15 </w:t>
      </w:r>
      <w:r>
        <w:rPr>
          <w:rFonts w:hint="eastAsia" w:ascii="新宋体" w:hAnsi="新宋体" w:eastAsia="新宋体" w:cs="仿宋_GB2312"/>
          <w:color w:val="auto"/>
          <w:kern w:val="0"/>
          <w:sz w:val="24"/>
          <w:highlight w:val="none"/>
        </w:rPr>
        <w:t>天，相应延长投标截止时间。</w:t>
      </w:r>
    </w:p>
    <w:p>
      <w:pPr>
        <w:keepNext/>
        <w:keepLines/>
        <w:spacing w:beforeLines="150" w:after="480" w:line="400" w:lineRule="exact"/>
        <w:rPr>
          <w:rFonts w:ascii="宋体" w:hAnsi="宋体"/>
          <w:color w:val="auto"/>
          <w:sz w:val="24"/>
          <w:highlight w:val="none"/>
        </w:rPr>
      </w:pPr>
      <w:r>
        <w:rPr>
          <w:rFonts w:hint="eastAsia" w:ascii="宋体" w:hAnsi="宋体"/>
          <w:color w:val="auto"/>
          <w:sz w:val="24"/>
          <w:highlight w:val="none"/>
        </w:rPr>
        <w:t xml:space="preserve">     </w:t>
      </w:r>
      <w:bookmarkStart w:id="78" w:name="_Toc485889019"/>
      <w:bookmarkStart w:id="79" w:name="_Toc486277880"/>
      <w:r>
        <w:rPr>
          <w:rFonts w:hint="eastAsia" w:ascii="宋体" w:hAnsi="宋体"/>
          <w:color w:val="auto"/>
          <w:sz w:val="24"/>
          <w:highlight w:val="none"/>
        </w:rPr>
        <w:t>2.3.2 当招标文件（含评标、定标办法）、补充通知、答疑纪要，内容相互矛盾时，以最后发出的通知（或纪要）为准。</w:t>
      </w:r>
      <w:bookmarkEnd w:id="78"/>
      <w:bookmarkEnd w:id="79"/>
    </w:p>
    <w:p>
      <w:pPr>
        <w:pStyle w:val="4"/>
        <w:spacing w:beforeLines="150" w:after="480" w:line="400" w:lineRule="exact"/>
        <w:rPr>
          <w:rFonts w:ascii="宋体" w:hAnsi="宋体"/>
          <w:color w:val="auto"/>
          <w:sz w:val="24"/>
          <w:szCs w:val="24"/>
          <w:highlight w:val="none"/>
        </w:rPr>
      </w:pPr>
      <w:bookmarkStart w:id="80" w:name="_Toc485889020"/>
      <w:bookmarkStart w:id="81" w:name="_Toc8003"/>
      <w:bookmarkStart w:id="82" w:name="_Toc486277881"/>
      <w:r>
        <w:rPr>
          <w:rFonts w:ascii="宋体" w:hAnsi="宋体"/>
          <w:color w:val="auto"/>
          <w:sz w:val="24"/>
          <w:szCs w:val="24"/>
          <w:highlight w:val="none"/>
        </w:rPr>
        <w:t>3. 投标文件</w:t>
      </w:r>
      <w:bookmarkEnd w:id="77"/>
      <w:bookmarkEnd w:id="80"/>
      <w:bookmarkEnd w:id="81"/>
      <w:bookmarkEnd w:id="82"/>
    </w:p>
    <w:p>
      <w:pPr>
        <w:pStyle w:val="4"/>
        <w:spacing w:before="0" w:after="0" w:line="400" w:lineRule="exact"/>
        <w:rPr>
          <w:rFonts w:ascii="宋体" w:hAnsi="宋体"/>
          <w:color w:val="auto"/>
          <w:sz w:val="24"/>
          <w:szCs w:val="24"/>
          <w:highlight w:val="none"/>
        </w:rPr>
      </w:pPr>
      <w:bookmarkStart w:id="83" w:name="_Toc12156"/>
      <w:bookmarkStart w:id="84" w:name="_Toc486277882"/>
      <w:bookmarkStart w:id="85" w:name="_Toc485889021"/>
      <w:bookmarkStart w:id="86" w:name="_Toc234382608"/>
      <w:r>
        <w:rPr>
          <w:rFonts w:ascii="宋体" w:hAnsi="宋体"/>
          <w:color w:val="auto"/>
          <w:sz w:val="24"/>
          <w:szCs w:val="24"/>
          <w:highlight w:val="none"/>
        </w:rPr>
        <w:t>3.1 投标文件的组成</w:t>
      </w:r>
      <w:bookmarkEnd w:id="83"/>
      <w:bookmarkEnd w:id="84"/>
      <w:bookmarkEnd w:id="85"/>
      <w:bookmarkEnd w:id="86"/>
    </w:p>
    <w:p>
      <w:pPr>
        <w:spacing w:line="400" w:lineRule="exact"/>
        <w:ind w:firstLine="480" w:firstLineChars="200"/>
        <w:rPr>
          <w:rFonts w:ascii="宋体" w:hAnsi="宋体"/>
          <w:color w:val="auto"/>
          <w:sz w:val="24"/>
          <w:highlight w:val="none"/>
        </w:rPr>
      </w:pPr>
      <w:r>
        <w:rPr>
          <w:rFonts w:ascii="宋体" w:hAnsi="宋体"/>
          <w:color w:val="auto"/>
          <w:sz w:val="24"/>
          <w:highlight w:val="none"/>
        </w:rPr>
        <w:t>3.1.1 投标文件应包括下列内容：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第一个信封（商务及技术文件）：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（1）投标函及投标函附录；</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）投标保证金；</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4</w:t>
      </w:r>
      <w:r>
        <w:rPr>
          <w:rFonts w:ascii="宋体" w:hAnsi="宋体"/>
          <w:color w:val="auto"/>
          <w:sz w:val="24"/>
          <w:highlight w:val="none"/>
        </w:rPr>
        <w:t>）施工组织设计；</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5</w:t>
      </w:r>
      <w:r>
        <w:rPr>
          <w:rFonts w:ascii="宋体" w:hAnsi="宋体"/>
          <w:color w:val="auto"/>
          <w:sz w:val="24"/>
          <w:highlight w:val="none"/>
        </w:rPr>
        <w:t>）项目管理机构；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6</w:t>
      </w:r>
      <w:r>
        <w:rPr>
          <w:rFonts w:ascii="宋体" w:hAnsi="宋体"/>
          <w:color w:val="auto"/>
          <w:sz w:val="24"/>
          <w:highlight w:val="none"/>
        </w:rPr>
        <w:t>）资格审查资料；</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主要进场管理人员和技术人员最低要求；</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关键设备最低条件；</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（9）农民工工资支付承诺书；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（10）扬尘治理专项承诺书；</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（11）其他材料。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第二个信封（投标报价和工程量清单）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（1）投标函；</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（2）已标价工程量清单；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（3）拟分包项目情况表；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（4）合同用款估算表。</w:t>
      </w:r>
    </w:p>
    <w:p>
      <w:pPr>
        <w:spacing w:line="400" w:lineRule="exact"/>
        <w:ind w:firstLine="480" w:firstLineChars="200"/>
        <w:rPr>
          <w:rFonts w:ascii="宋体" w:hAnsi="宋体"/>
          <w:color w:val="auto"/>
          <w:sz w:val="24"/>
          <w:highlight w:val="none"/>
        </w:rPr>
      </w:pPr>
      <w:bookmarkStart w:id="87" w:name="_Toc234382609"/>
      <w:bookmarkStart w:id="88" w:name="_Toc12761"/>
      <w:bookmarkStart w:id="89" w:name="_Toc485889022"/>
      <w:bookmarkStart w:id="90" w:name="_Toc486277883"/>
      <w:r>
        <w:rPr>
          <w:rFonts w:ascii="宋体" w:hAnsi="宋体"/>
          <w:color w:val="auto"/>
          <w:sz w:val="24"/>
          <w:highlight w:val="none"/>
        </w:rPr>
        <w:t xml:space="preserve">3.1.2 </w:t>
      </w:r>
      <w:r>
        <w:rPr>
          <w:rFonts w:hint="eastAsia" w:ascii="宋体" w:hAnsi="宋体"/>
          <w:color w:val="auto"/>
          <w:sz w:val="24"/>
          <w:highlight w:val="none"/>
        </w:rPr>
        <w:t>本项目招标采用工程量招标，投标人应按照招标文件要求的工程量清单内容填写工程量清单的单价及总额价，投标人不得修工程量清单的子目号、子目名称和数量,否则，评标委员会将对其按无效标处理。</w:t>
      </w:r>
    </w:p>
    <w:p>
      <w:pPr>
        <w:pStyle w:val="4"/>
        <w:spacing w:beforeLines="50" w:after="0" w:line="400" w:lineRule="exact"/>
        <w:rPr>
          <w:rFonts w:ascii="宋体" w:hAnsi="宋体"/>
          <w:color w:val="auto"/>
          <w:sz w:val="24"/>
          <w:szCs w:val="24"/>
          <w:highlight w:val="none"/>
        </w:rPr>
      </w:pPr>
      <w:r>
        <w:rPr>
          <w:rFonts w:ascii="宋体" w:hAnsi="宋体"/>
          <w:color w:val="auto"/>
          <w:sz w:val="24"/>
          <w:szCs w:val="24"/>
          <w:highlight w:val="none"/>
        </w:rPr>
        <w:t>3.2 投标报价</w:t>
      </w:r>
      <w:bookmarkEnd w:id="87"/>
      <w:bookmarkEnd w:id="88"/>
      <w:bookmarkEnd w:id="89"/>
      <w:bookmarkEnd w:id="90"/>
    </w:p>
    <w:p>
      <w:pPr>
        <w:spacing w:line="400" w:lineRule="exact"/>
        <w:ind w:firstLine="480" w:firstLineChars="200"/>
        <w:rPr>
          <w:rFonts w:ascii="宋体" w:hAnsi="宋体"/>
          <w:color w:val="auto"/>
          <w:sz w:val="24"/>
          <w:highlight w:val="none"/>
        </w:rPr>
      </w:pPr>
      <w:r>
        <w:rPr>
          <w:rFonts w:ascii="宋体" w:hAnsi="宋体"/>
          <w:color w:val="auto"/>
          <w:sz w:val="24"/>
          <w:highlight w:val="none"/>
        </w:rPr>
        <w:t>3.2.1 投标人应按第五章“工程量清单”的要求填写相应表格。</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投标人应按投标人须知前附表规定的方式填写工程量清单。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本项目招标由招标人提供书面工程量清单，由投标人按照招标人提供的工程量清单填写本合同各工程子目的单价、合价和总额价。评标委员会将按照第三章“评标办法”第3.1.3项和第3.1.4项的规定对投标价进行算术性错误修正及其他错误修正。</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3.2.2 投标人在投标截止时间前修改投标函中的投标总报价，应同时修改第五章“工程量清单”中的相应报价。此修改须符合本章第 4.3 款的有关要求。</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3.2.3 投标人如果发现工程量清单中的数量与图纸中数量不一致时，应立即通知招标人核查，除非招标人以书面方式予以更正，否则，应以工程量清单中列出的数量为准。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3.2.4投标人应根据《公路水运工程安全生产监督管理办法》，在投标总价中计入安全生产费用，安全生产费用应符合合同条款第9.2.5项的规定。工程量清单100章内列有上述安全生产费的支付子目，由投标人按招标文件的规定填写总额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3.2.5 除投标人须知前附表另有规定外，招标人不接受调价函。若招标人接受调价函，则应在招标文件中给出调价函的格式。投标人若有调价函则应遵循如下规定：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（1）调价函必须采用招标文件规定的格式；调价函应说明调价后的最终报价，并以最终报价为准，而且投标人只能有一次调价的机会。</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（2）工程量清单中招标人指定的报价不允许调价。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（3）调价函必须附有调价后的工程量清单；调价函必须粘贴或机械装订在投标文件正本首页，与投标文件一起密封提交。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（4）若招标人接受调价函，投标人调价后的工程量清单和有效调价函的大写金额报价应保持一致，如果报价金额出现差异时，则以有效调价函的大写金额报价为准。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3.2.6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次范围内填写各可调因子的权种，合同实施期间将按此权种进行调价。</w:t>
      </w:r>
    </w:p>
    <w:p>
      <w:pPr>
        <w:pStyle w:val="4"/>
        <w:spacing w:beforeLines="50" w:after="0" w:line="400" w:lineRule="exact"/>
        <w:rPr>
          <w:rFonts w:ascii="宋体" w:hAnsi="宋体"/>
          <w:color w:val="auto"/>
          <w:sz w:val="24"/>
          <w:szCs w:val="24"/>
          <w:highlight w:val="none"/>
        </w:rPr>
      </w:pPr>
      <w:bookmarkStart w:id="91" w:name="_Toc6040"/>
      <w:bookmarkStart w:id="92" w:name="_Toc485889023"/>
      <w:bookmarkStart w:id="93" w:name="_Toc234382610"/>
      <w:bookmarkStart w:id="94" w:name="_Toc486277884"/>
      <w:r>
        <w:rPr>
          <w:rFonts w:ascii="宋体" w:hAnsi="宋体"/>
          <w:color w:val="auto"/>
          <w:sz w:val="24"/>
          <w:szCs w:val="24"/>
          <w:highlight w:val="none"/>
        </w:rPr>
        <w:t>3.3 投标有效期</w:t>
      </w:r>
      <w:bookmarkEnd w:id="91"/>
      <w:bookmarkEnd w:id="92"/>
      <w:bookmarkEnd w:id="93"/>
      <w:bookmarkEnd w:id="94"/>
    </w:p>
    <w:p>
      <w:pPr>
        <w:spacing w:line="400" w:lineRule="exact"/>
        <w:ind w:firstLine="480" w:firstLineChars="200"/>
        <w:rPr>
          <w:rFonts w:ascii="宋体" w:hAnsi="宋体"/>
          <w:color w:val="auto"/>
          <w:sz w:val="24"/>
          <w:highlight w:val="none"/>
        </w:rPr>
      </w:pPr>
      <w:r>
        <w:rPr>
          <w:rFonts w:ascii="宋体" w:hAnsi="宋体"/>
          <w:color w:val="auto"/>
          <w:sz w:val="24"/>
          <w:highlight w:val="none"/>
        </w:rPr>
        <w:t>3.3.1 在投标人须知前附表规定的投标有效期内，投标人不得要求撤销或修改其投标文件。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spacing w:beforeLines="50" w:after="0" w:line="400" w:lineRule="exact"/>
        <w:rPr>
          <w:rFonts w:ascii="宋体" w:hAnsi="宋体"/>
          <w:color w:val="auto"/>
          <w:sz w:val="24"/>
          <w:szCs w:val="24"/>
          <w:highlight w:val="none"/>
        </w:rPr>
      </w:pPr>
      <w:bookmarkStart w:id="95" w:name="_Toc19976"/>
      <w:bookmarkStart w:id="96" w:name="_Toc485889024"/>
      <w:bookmarkStart w:id="97" w:name="_Toc486277885"/>
      <w:bookmarkStart w:id="98" w:name="_Toc234382611"/>
      <w:r>
        <w:rPr>
          <w:rFonts w:ascii="宋体" w:hAnsi="宋体"/>
          <w:color w:val="auto"/>
          <w:sz w:val="24"/>
          <w:szCs w:val="24"/>
          <w:highlight w:val="none"/>
        </w:rPr>
        <w:t>3.4 投标保证金</w:t>
      </w:r>
      <w:bookmarkEnd w:id="95"/>
      <w:bookmarkEnd w:id="96"/>
      <w:bookmarkEnd w:id="97"/>
      <w:bookmarkEnd w:id="98"/>
    </w:p>
    <w:p>
      <w:pPr>
        <w:spacing w:line="400" w:lineRule="exact"/>
        <w:ind w:firstLine="480" w:firstLineChars="200"/>
        <w:rPr>
          <w:rFonts w:ascii="宋体" w:hAnsi="宋体"/>
          <w:color w:val="auto"/>
          <w:sz w:val="24"/>
          <w:highlight w:val="none"/>
        </w:rPr>
      </w:pPr>
      <w:bookmarkStart w:id="99" w:name="_Toc234382613"/>
      <w:r>
        <w:rPr>
          <w:rFonts w:ascii="宋体" w:hAnsi="宋体"/>
          <w:color w:val="auto"/>
          <w:sz w:val="24"/>
          <w:highlight w:val="none"/>
        </w:rPr>
        <w:t>3.4.1 投标人在递交投标文件的同时，应按投标人须知前附表规定的金额</w:t>
      </w:r>
      <w:r>
        <w:rPr>
          <w:rFonts w:hint="eastAsia" w:ascii="宋体" w:hAnsi="宋体"/>
          <w:color w:val="auto"/>
          <w:sz w:val="24"/>
          <w:highlight w:val="none"/>
        </w:rPr>
        <w:t>和</w:t>
      </w:r>
      <w:r>
        <w:rPr>
          <w:rFonts w:ascii="宋体" w:hAnsi="宋体"/>
          <w:color w:val="auto"/>
          <w:sz w:val="24"/>
          <w:highlight w:val="none"/>
        </w:rPr>
        <w:t>形式递交投标保证金，并作为其投标文件的组成部分。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3.4.2 投标人不按本章第 3.4.1 项要求提交投标保证金的，其投标文件作废标处理。</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3.4.3 招标人与中标人签订合同后 5 个工作日内，向未中标的投标人和中标人退还投标保证金。</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3.4.4 有下列情形之一的，投标保证金将不予退还：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（1）投标人在规定的投标有效期内撤销或修改其投标文件；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（2）中标人在收到中标通知书后，无正当理由拒签合同协议书或未按招标文件规定提交履约担保</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（3）投标人不接受依据评标办法的规定对其投标文件中细微偏差进行澄清和补正；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（4）投标人提交了虚假资料；</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（5）投标人无故不参加投标且未于投标截止时间3日前书面通知招标人。</w:t>
      </w:r>
    </w:p>
    <w:p>
      <w:pPr>
        <w:pStyle w:val="4"/>
        <w:spacing w:beforeLines="50" w:after="0" w:line="400" w:lineRule="exact"/>
        <w:rPr>
          <w:rFonts w:ascii="宋体" w:hAnsi="宋体"/>
          <w:color w:val="auto"/>
          <w:sz w:val="24"/>
          <w:szCs w:val="24"/>
          <w:highlight w:val="none"/>
        </w:rPr>
      </w:pPr>
      <w:bookmarkStart w:id="100" w:name="_Toc485889025"/>
      <w:bookmarkStart w:id="101" w:name="_Toc486277886"/>
      <w:bookmarkStart w:id="102" w:name="_Toc10524"/>
      <w:r>
        <w:rPr>
          <w:rFonts w:ascii="宋体" w:hAnsi="宋体"/>
          <w:color w:val="auto"/>
          <w:sz w:val="24"/>
          <w:szCs w:val="24"/>
          <w:highlight w:val="none"/>
        </w:rPr>
        <w:t>3.5 资格审查资料</w:t>
      </w:r>
      <w:bookmarkEnd w:id="99"/>
      <w:bookmarkEnd w:id="100"/>
      <w:bookmarkEnd w:id="101"/>
      <w:bookmarkEnd w:id="102"/>
    </w:p>
    <w:p>
      <w:pPr>
        <w:spacing w:line="400" w:lineRule="exact"/>
        <w:ind w:firstLine="480" w:firstLineChars="200"/>
        <w:rPr>
          <w:rFonts w:ascii="宋体" w:hAnsi="宋体"/>
          <w:color w:val="auto"/>
          <w:sz w:val="24"/>
          <w:highlight w:val="none"/>
        </w:rPr>
      </w:pPr>
      <w:r>
        <w:rPr>
          <w:rFonts w:ascii="宋体" w:hAnsi="宋体"/>
          <w:color w:val="auto"/>
          <w:sz w:val="24"/>
          <w:highlight w:val="none"/>
        </w:rPr>
        <w:t>3.5.1 “投标人基本情况表”应附</w:t>
      </w:r>
      <w:r>
        <w:rPr>
          <w:rFonts w:hint="eastAsia" w:ascii="宋体" w:hAnsi="宋体"/>
          <w:color w:val="auto"/>
          <w:sz w:val="24"/>
          <w:highlight w:val="none"/>
        </w:rPr>
        <w:t>企业法人</w:t>
      </w:r>
      <w:r>
        <w:rPr>
          <w:rFonts w:ascii="宋体" w:hAnsi="宋体"/>
          <w:color w:val="auto"/>
          <w:sz w:val="24"/>
          <w:highlight w:val="none"/>
        </w:rPr>
        <w:t>营业执照副本</w:t>
      </w:r>
      <w:r>
        <w:rPr>
          <w:rFonts w:hint="eastAsia" w:ascii="宋体" w:hAnsi="宋体"/>
          <w:color w:val="auto"/>
          <w:sz w:val="24"/>
          <w:highlight w:val="none"/>
        </w:rPr>
        <w:t>（全本）的复印件（并加盖单位章）、施工资质证书副本（全本）的复印件（并加盖单位章）、安全生产许可证副本（全本）的复印件（并加盖单位章）、</w:t>
      </w:r>
      <w:r>
        <w:rPr>
          <w:rFonts w:hint="eastAsia" w:ascii="宋体" w:hAnsi="宋体"/>
          <w:color w:val="auto"/>
          <w:sz w:val="24"/>
          <w:highlight w:val="none"/>
          <w:lang w:eastAsia="zh-CN"/>
        </w:rPr>
        <w:t>行贿犯罪档案查询结果告知函（包含单位、法定代表人、项目经理、授权委托人）的复印件</w:t>
      </w:r>
      <w:r>
        <w:rPr>
          <w:rFonts w:hint="eastAsia" w:ascii="宋体" w:hAnsi="宋体"/>
          <w:color w:val="auto"/>
          <w:sz w:val="24"/>
          <w:highlight w:val="none"/>
        </w:rPr>
        <w:t>（并加盖单位章）</w:t>
      </w:r>
      <w:r>
        <w:rPr>
          <w:rFonts w:hint="eastAsia" w:ascii="宋体" w:hAnsi="宋体"/>
          <w:color w:val="auto"/>
          <w:sz w:val="24"/>
          <w:highlight w:val="none"/>
          <w:lang w:eastAsia="zh-CN"/>
        </w:rPr>
        <w:t>、</w:t>
      </w:r>
      <w:r>
        <w:rPr>
          <w:rFonts w:hint="eastAsia" w:ascii="宋体" w:hAnsi="宋体"/>
          <w:color w:val="auto"/>
          <w:sz w:val="24"/>
          <w:highlight w:val="none"/>
        </w:rPr>
        <w:t>基本账户开户许可证的复印件（并加盖单位章）</w:t>
      </w:r>
      <w:r>
        <w:rPr>
          <w:rFonts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拟委任的项目经理和项目总工资历表”应附项目经理和项目总工的身份证、职称资格证书以及资格审查条件所要求的其他相关证书（如建造师注册证书、安全生产考核合格证书等）的复印件，并应提供其担任类似项目的项目经理和项目总工的相关业绩证明材料复印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3.5.3 “近年完成的类似项目情况表”应附合同协议书和中标通知书或工程接收证书（工程竣工验收证书）的复印件，具体年份要求见投标人须知前附表。每张表格只填写一个项目，并标明序号。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工程接受证书（工程竣工验收证书）可以是发包人出具的公路工程（标段）交工验收证书或竣工验收委员会出具的公路工程竣工验收鉴定书或质量监督机构对各参建单位签发的工作综合评价等级证书。</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3.5.4 “正在施工和新承接的项目情况表”应附中标通知书和合同协议书复印件。每张表格只填写一个项目，并标明序号。</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3.5.5 “近年发生的诉讼及仲裁情况”应说明相关情况，并附法院或仲裁机构作出的判决、裁决等有关法律文书复印件，具体年份要求见投标人须知前附表。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3.5.6 投标人须知前附表规定接受联合体投标的，本章第3.5.1项至第3.5.5项规定的表格和资料应包括联合体各方相关情况。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3.5.7 投标人在投标文件中填报的项目经理和项目总工不允许更换。</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3.5.8 招标人将进一步核查投标人在投标文件中提供的材料，若在评标期间发现投标人提供了虚假资料，招标人有权对投标人的投标文件作废标处理，并没收其投标担保；若在评标结果公示期间发现作为中标候选人的投标人提供了虚假资料，招标人有权取消其中标资格并没收其投标担保；若在合同实施期间发现投标人提供了虚假资料， 招标人有权从工程支付款或履约保证金中扣除不超过10%签约合同价的金额作为违约金。同时招标人将投标人以上弄虚作假行为上报省级交通主管部门，作为不良记录纳入公路建设市场信用信息管理系统。</w:t>
      </w:r>
    </w:p>
    <w:p>
      <w:pPr>
        <w:pStyle w:val="4"/>
        <w:spacing w:beforeLines="50" w:after="0" w:line="400" w:lineRule="exact"/>
        <w:rPr>
          <w:rFonts w:ascii="宋体" w:hAnsi="宋体"/>
          <w:color w:val="auto"/>
          <w:sz w:val="24"/>
          <w:szCs w:val="24"/>
          <w:highlight w:val="none"/>
        </w:rPr>
      </w:pPr>
      <w:bookmarkStart w:id="103" w:name="_Toc486277887"/>
      <w:bookmarkStart w:id="104" w:name="_Toc485889026"/>
      <w:bookmarkStart w:id="105" w:name="_Toc15460"/>
      <w:bookmarkStart w:id="106" w:name="_Toc234382614"/>
      <w:r>
        <w:rPr>
          <w:rFonts w:ascii="宋体" w:hAnsi="宋体"/>
          <w:color w:val="auto"/>
          <w:sz w:val="24"/>
          <w:szCs w:val="24"/>
          <w:highlight w:val="none"/>
        </w:rPr>
        <w:t>3.6 备选投标方案</w:t>
      </w:r>
      <w:bookmarkEnd w:id="103"/>
      <w:bookmarkEnd w:id="104"/>
      <w:bookmarkEnd w:id="105"/>
      <w:bookmarkEnd w:id="106"/>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spacing w:beforeLines="50" w:after="0" w:line="400" w:lineRule="exact"/>
        <w:rPr>
          <w:rFonts w:ascii="宋体" w:hAnsi="宋体"/>
          <w:color w:val="auto"/>
          <w:sz w:val="24"/>
          <w:szCs w:val="24"/>
          <w:highlight w:val="none"/>
        </w:rPr>
      </w:pPr>
      <w:bookmarkStart w:id="107" w:name="_Toc485889027"/>
      <w:bookmarkStart w:id="108" w:name="_Toc486277888"/>
      <w:bookmarkStart w:id="109" w:name="_Toc234382615"/>
      <w:bookmarkStart w:id="110" w:name="_Toc30194"/>
      <w:r>
        <w:rPr>
          <w:rFonts w:ascii="宋体" w:hAnsi="宋体"/>
          <w:color w:val="auto"/>
          <w:sz w:val="24"/>
          <w:szCs w:val="24"/>
          <w:highlight w:val="none"/>
        </w:rPr>
        <w:t>3.7 投标文件的编制</w:t>
      </w:r>
      <w:bookmarkEnd w:id="107"/>
      <w:bookmarkEnd w:id="108"/>
      <w:bookmarkEnd w:id="109"/>
      <w:bookmarkEnd w:id="110"/>
    </w:p>
    <w:p>
      <w:pPr>
        <w:spacing w:line="400" w:lineRule="exact"/>
        <w:ind w:firstLine="480" w:firstLineChars="200"/>
        <w:rPr>
          <w:rFonts w:ascii="宋体" w:hAnsi="宋体"/>
          <w:color w:val="auto"/>
          <w:sz w:val="24"/>
          <w:highlight w:val="none"/>
        </w:rPr>
      </w:pPr>
      <w:r>
        <w:rPr>
          <w:rFonts w:ascii="宋体" w:hAnsi="宋体"/>
          <w:color w:val="auto"/>
          <w:sz w:val="24"/>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3.7.2 投标文件应当对招标文件有关工期、投标有效期、质量要求、技术标准和要求、招标范围等实质性内容作出响应。</w:t>
      </w:r>
    </w:p>
    <w:p>
      <w:pPr>
        <w:spacing w:line="400" w:lineRule="exact"/>
        <w:ind w:firstLine="480" w:firstLineChars="200"/>
        <w:rPr>
          <w:rFonts w:hint="eastAsia" w:ascii="宋体" w:hAnsi="宋体"/>
          <w:color w:val="auto"/>
          <w:sz w:val="24"/>
          <w:highlight w:val="none"/>
        </w:rPr>
      </w:pPr>
      <w:r>
        <w:rPr>
          <w:rFonts w:ascii="宋体" w:hAnsi="宋体"/>
          <w:color w:val="auto"/>
          <w:sz w:val="24"/>
          <w:highlight w:val="none"/>
        </w:rPr>
        <w:t xml:space="preserve">3.7.3 </w:t>
      </w:r>
      <w:r>
        <w:rPr>
          <w:rFonts w:hint="eastAsia" w:ascii="宋体" w:hAnsi="宋体"/>
          <w:color w:val="auto"/>
          <w:sz w:val="24"/>
          <w:highlight w:val="none"/>
        </w:rPr>
        <w:t>投标文件应用不褪色的材料书写或打印，并由投标人的法定代表人或其委托代理人逐页签字</w:t>
      </w:r>
      <w:r>
        <w:rPr>
          <w:rFonts w:hint="eastAsia" w:ascii="宋体" w:hAnsi="宋体"/>
          <w:color w:val="auto"/>
          <w:sz w:val="24"/>
          <w:highlight w:val="none"/>
          <w:lang w:eastAsia="zh-CN"/>
        </w:rPr>
        <w:t>并加</w:t>
      </w:r>
      <w:r>
        <w:rPr>
          <w:rFonts w:hint="eastAsia" w:ascii="宋体" w:hAnsi="宋体"/>
          <w:color w:val="auto"/>
          <w:sz w:val="24"/>
          <w:highlight w:val="none"/>
        </w:rPr>
        <w:t>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1）投标文件正本应用不褪色的墨水书写或打印，并由投标人的法定代表人或其委托代理人逐页亲笔签署姓名（封面、扉页、目录和本页正文内容已由投标人的法定代表人或其委托代理人签署姓名的可不签署）。投标文件</w:t>
      </w:r>
      <w:r>
        <w:rPr>
          <w:rFonts w:hint="eastAsia" w:ascii="宋体" w:hAnsi="宋体"/>
          <w:color w:val="auto"/>
          <w:sz w:val="24"/>
          <w:highlight w:val="none"/>
          <w:lang w:eastAsia="zh-CN"/>
        </w:rPr>
        <w:t>正本</w:t>
      </w:r>
      <w:r>
        <w:rPr>
          <w:rFonts w:hint="eastAsia" w:ascii="宋体" w:hAnsi="宋体"/>
          <w:color w:val="auto"/>
          <w:sz w:val="24"/>
          <w:highlight w:val="none"/>
        </w:rPr>
        <w:t>还应逐页加盖投标人单位公章（本页正文内容已加盖公章时则可除外）。</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（2）以联合体形式参与投标的，投标文件由联合体牵头人的法定代表人或其委托代理人逐页签署姓名，法定代表人授权委托书须由联合体牵头人按上述规定出具公证。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3.7.4 投标文件正本一份</w:t>
      </w:r>
      <w:r>
        <w:rPr>
          <w:rFonts w:hint="eastAsia" w:ascii="宋体" w:hAnsi="宋体"/>
          <w:color w:val="auto"/>
          <w:sz w:val="24"/>
          <w:highlight w:val="none"/>
        </w:rPr>
        <w:t>，</w:t>
      </w:r>
      <w:r>
        <w:rPr>
          <w:rFonts w:ascii="宋体" w:hAnsi="宋体"/>
          <w:color w:val="auto"/>
          <w:sz w:val="24"/>
          <w:highlight w:val="none"/>
        </w:rPr>
        <w:t>副本份数见投标人须知前附表。正本和副本的封面上应清楚地标记“正本”或“副本”的字样。当副本和正本不一致时，以正本为准。</w:t>
      </w:r>
    </w:p>
    <w:p>
      <w:pPr>
        <w:spacing w:line="400" w:lineRule="exact"/>
        <w:ind w:firstLine="480" w:firstLineChars="200"/>
        <w:rPr>
          <w:rFonts w:ascii="隶书" w:hAnsi="宋体" w:eastAsia="隶书"/>
          <w:color w:val="auto"/>
          <w:sz w:val="24"/>
          <w:highlight w:val="none"/>
        </w:rPr>
      </w:pPr>
      <w:r>
        <w:rPr>
          <w:rFonts w:ascii="宋体" w:hAnsi="宋体"/>
          <w:color w:val="auto"/>
          <w:sz w:val="24"/>
          <w:highlight w:val="none"/>
        </w:rPr>
        <w:t>3.7.5 投标文件的正本与副本应分别装订成册</w:t>
      </w:r>
      <w:r>
        <w:rPr>
          <w:rFonts w:hint="eastAsia" w:ascii="宋体" w:hAnsi="宋体"/>
          <w:color w:val="auto"/>
          <w:sz w:val="24"/>
          <w:highlight w:val="none"/>
        </w:rPr>
        <w:t>（A4纸幅）</w:t>
      </w:r>
      <w:r>
        <w:rPr>
          <w:rFonts w:ascii="宋体" w:hAnsi="宋体"/>
          <w:color w:val="auto"/>
          <w:sz w:val="24"/>
          <w:highlight w:val="none"/>
        </w:rPr>
        <w:t>，并编制目录</w:t>
      </w:r>
      <w:r>
        <w:rPr>
          <w:rFonts w:hint="eastAsia" w:ascii="宋体" w:hAnsi="宋体"/>
          <w:color w:val="auto"/>
          <w:sz w:val="24"/>
          <w:highlight w:val="none"/>
        </w:rPr>
        <w:t>、且逐页标注连续页码。投标文件不得采用活页夹装订，否则，招标人对由于投标文件装订松散而造成的丢失或其他后果不承担任何责任。装订的其他要求见投标人须知前附表。</w:t>
      </w:r>
    </w:p>
    <w:p>
      <w:pPr>
        <w:pStyle w:val="4"/>
        <w:spacing w:beforeLines="150" w:after="480" w:line="400" w:lineRule="exact"/>
        <w:rPr>
          <w:rFonts w:ascii="宋体" w:hAnsi="宋体"/>
          <w:color w:val="auto"/>
          <w:sz w:val="24"/>
          <w:szCs w:val="24"/>
          <w:highlight w:val="none"/>
        </w:rPr>
      </w:pPr>
      <w:bookmarkStart w:id="111" w:name="_Toc485889028"/>
      <w:bookmarkStart w:id="112" w:name="_Toc3142"/>
      <w:bookmarkStart w:id="113" w:name="_Toc234382616"/>
      <w:bookmarkStart w:id="114" w:name="_Toc486277889"/>
      <w:r>
        <w:rPr>
          <w:rFonts w:ascii="宋体" w:hAnsi="宋体"/>
          <w:color w:val="auto"/>
          <w:sz w:val="24"/>
          <w:szCs w:val="24"/>
          <w:highlight w:val="none"/>
        </w:rPr>
        <w:t>4. 投标</w:t>
      </w:r>
      <w:bookmarkEnd w:id="111"/>
      <w:bookmarkEnd w:id="112"/>
      <w:bookmarkEnd w:id="113"/>
      <w:bookmarkEnd w:id="114"/>
    </w:p>
    <w:p>
      <w:pPr>
        <w:pStyle w:val="4"/>
        <w:spacing w:before="0" w:after="0" w:line="400" w:lineRule="exact"/>
        <w:rPr>
          <w:rFonts w:ascii="宋体" w:hAnsi="宋体"/>
          <w:color w:val="auto"/>
          <w:sz w:val="24"/>
          <w:szCs w:val="24"/>
          <w:highlight w:val="none"/>
        </w:rPr>
      </w:pPr>
      <w:bookmarkStart w:id="115" w:name="_Toc485889029"/>
      <w:bookmarkStart w:id="116" w:name="_Toc234382617"/>
      <w:bookmarkStart w:id="117" w:name="_Toc486277890"/>
      <w:bookmarkStart w:id="118" w:name="_Toc26813"/>
      <w:r>
        <w:rPr>
          <w:rFonts w:ascii="宋体" w:hAnsi="宋体"/>
          <w:color w:val="auto"/>
          <w:sz w:val="24"/>
          <w:szCs w:val="24"/>
          <w:highlight w:val="none"/>
        </w:rPr>
        <w:t>4.1 投标文件的密封和标记</w:t>
      </w:r>
      <w:bookmarkEnd w:id="115"/>
      <w:bookmarkEnd w:id="116"/>
      <w:bookmarkEnd w:id="117"/>
      <w:bookmarkEnd w:id="118"/>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4.1.1 本次招标采用双信封形式，投标文件第一个信封（商务及技术文件）以及第二个信封（投标报价和工程量清单）应单独密封包装。第一个信封（商务及技术文件）的正本与副本应分别包装在相应的内层封套里，然后统一密封在一个外层封套中。第二个信封（投标报价和工程量清单）的正本与副本应分别包装在相应的内层封套里，投标文件电子文件（如需要）以及填写完毕的工程量固化清单电子文件（若采用工程量固化清单形式）应与第二个信封（投标报价和工程量清单）正本包在同一个内层封套里，然后统一密封在一个外层封套中。内层和外层封套应加贴封条，内层封套的封口处应加盖投标人单位章。外层封套上不应有任何投标人的识别标志。</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4.1.2 投标文件的封套上应清楚地标记“正本”或“副本”字样，</w:t>
      </w:r>
      <w:r>
        <w:rPr>
          <w:rFonts w:hint="eastAsia" w:ascii="宋体" w:hAnsi="宋体"/>
          <w:color w:val="auto"/>
          <w:sz w:val="24"/>
          <w:highlight w:val="none"/>
        </w:rPr>
        <w:t>投标文件第一个信封（商务及技术文件）以及第二个信封（投标报价和工程量清单）</w:t>
      </w:r>
      <w:r>
        <w:rPr>
          <w:rFonts w:ascii="宋体" w:hAnsi="宋体"/>
          <w:color w:val="auto"/>
          <w:sz w:val="24"/>
          <w:highlight w:val="none"/>
        </w:rPr>
        <w:t>封套上应写明的其他内容见投标人须知前附表。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4.1.3 未按本章第4.1.1项或第4.1.2项要求密封和加写标记的投标文件，招标人不予受理。</w:t>
      </w:r>
    </w:p>
    <w:p>
      <w:pPr>
        <w:pStyle w:val="4"/>
        <w:spacing w:beforeLines="50" w:after="0" w:line="400" w:lineRule="exact"/>
        <w:rPr>
          <w:rFonts w:ascii="宋体" w:hAnsi="宋体"/>
          <w:color w:val="auto"/>
          <w:sz w:val="24"/>
          <w:szCs w:val="24"/>
          <w:highlight w:val="none"/>
        </w:rPr>
      </w:pPr>
      <w:bookmarkStart w:id="119" w:name="_Toc31665"/>
      <w:bookmarkStart w:id="120" w:name="_Toc486277891"/>
      <w:bookmarkStart w:id="121" w:name="_Toc485889030"/>
      <w:bookmarkStart w:id="122" w:name="_Toc234382618"/>
      <w:r>
        <w:rPr>
          <w:rFonts w:ascii="宋体" w:hAnsi="宋体"/>
          <w:color w:val="auto"/>
          <w:sz w:val="24"/>
          <w:szCs w:val="24"/>
          <w:highlight w:val="none"/>
        </w:rPr>
        <w:t>4.2 投标文件的递交</w:t>
      </w:r>
      <w:bookmarkEnd w:id="119"/>
      <w:bookmarkEnd w:id="120"/>
      <w:bookmarkEnd w:id="121"/>
      <w:bookmarkEnd w:id="122"/>
    </w:p>
    <w:p>
      <w:pPr>
        <w:spacing w:line="400" w:lineRule="exact"/>
        <w:ind w:firstLine="480" w:firstLineChars="200"/>
        <w:rPr>
          <w:rFonts w:ascii="宋体" w:hAnsi="宋体"/>
          <w:color w:val="auto"/>
          <w:sz w:val="24"/>
          <w:highlight w:val="none"/>
        </w:rPr>
      </w:pPr>
      <w:r>
        <w:rPr>
          <w:rFonts w:ascii="宋体" w:hAnsi="宋体"/>
          <w:color w:val="auto"/>
          <w:sz w:val="24"/>
          <w:highlight w:val="none"/>
        </w:rPr>
        <w:t>4.2.1 投标人应在本章第 2.2.2 项规定的投标截止时间前递交投标文件。</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4.2.2 投标人递交投标文件的地点：见投标人须知前附表。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4.2.3 除投标人须知前附表另有规定外，投标人所递交的投标文件不予退还。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4.2.4 招标人收到投标文件后，向投标人出具签收凭证。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4.2.5 逾期送达的或者未送达指定地点的投标文件，招标人不予受理。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4.2.6在特殊情况下，招标人如果决定延后递交投标截止时间，应在投标人须知前附表规定的时间前，</w:t>
      </w:r>
      <w:r>
        <w:rPr>
          <w:rFonts w:hint="eastAsia" w:hAnsi="宋体"/>
          <w:color w:val="auto"/>
          <w:spacing w:val="2"/>
          <w:sz w:val="24"/>
          <w:highlight w:val="none"/>
        </w:rPr>
        <w:t>通过</w:t>
      </w:r>
      <w:r>
        <w:rPr>
          <w:rFonts w:hint="eastAsia" w:ascii="宋体" w:hAnsi="宋体"/>
          <w:color w:val="auto"/>
          <w:spacing w:val="2"/>
          <w:sz w:val="24"/>
          <w:highlight w:val="none"/>
        </w:rPr>
        <w:t>公共资源交易系统电子平台</w:t>
      </w:r>
      <w:r>
        <w:rPr>
          <w:rFonts w:hint="eastAsia" w:ascii="宋体" w:hAnsi="宋体"/>
          <w:color w:val="auto"/>
          <w:sz w:val="24"/>
          <w:highlight w:val="none"/>
        </w:rPr>
        <w:t>延后投标截止时间。在此情况下，招标人和投标人的权利和义务相应延后至新的投标截止时间。</w:t>
      </w:r>
    </w:p>
    <w:p>
      <w:pPr>
        <w:pStyle w:val="4"/>
        <w:spacing w:beforeLines="50" w:after="0" w:line="400" w:lineRule="exact"/>
        <w:rPr>
          <w:rFonts w:ascii="宋体" w:hAnsi="宋体"/>
          <w:color w:val="auto"/>
          <w:sz w:val="24"/>
          <w:szCs w:val="24"/>
          <w:highlight w:val="none"/>
        </w:rPr>
      </w:pPr>
      <w:bookmarkStart w:id="123" w:name="_Toc234382619"/>
      <w:bookmarkStart w:id="124" w:name="_Toc485889031"/>
      <w:bookmarkStart w:id="125" w:name="_Toc30135"/>
      <w:bookmarkStart w:id="126" w:name="_Toc486277892"/>
      <w:r>
        <w:rPr>
          <w:rFonts w:ascii="宋体" w:hAnsi="宋体"/>
          <w:color w:val="auto"/>
          <w:sz w:val="24"/>
          <w:szCs w:val="24"/>
          <w:highlight w:val="none"/>
        </w:rPr>
        <w:t>4.3 投标文件的修改与撤回</w:t>
      </w:r>
      <w:bookmarkEnd w:id="123"/>
      <w:bookmarkEnd w:id="124"/>
      <w:bookmarkEnd w:id="125"/>
      <w:bookmarkEnd w:id="126"/>
    </w:p>
    <w:p>
      <w:pPr>
        <w:spacing w:line="400" w:lineRule="exact"/>
        <w:ind w:firstLine="480" w:firstLineChars="200"/>
        <w:rPr>
          <w:rFonts w:ascii="宋体" w:hAnsi="宋体"/>
          <w:color w:val="auto"/>
          <w:sz w:val="24"/>
          <w:highlight w:val="none"/>
        </w:rPr>
      </w:pPr>
      <w:r>
        <w:rPr>
          <w:rFonts w:ascii="宋体" w:hAnsi="宋体"/>
          <w:color w:val="auto"/>
          <w:sz w:val="24"/>
          <w:highlight w:val="none"/>
        </w:rPr>
        <w:t>4.3.1 在本章第 2.2.2 项规定的投标截止时间前，投标人可以修改或撤回已递交的投标文件，但应以书面形式通知招标人。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4.3.2 投标人修改或撤回已递交投标文件的书面通知应按照本章第 3.7.3 项的要求签字或盖章。招标人收到书面通知后，向投标人出具签收凭证。</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4.3.3 修改的内容为投标文件的组成部分。修改的投标文件应按照本章第3条、第4条规定进行编制、密封、标记和递交，并标明“修改”字样。</w:t>
      </w:r>
    </w:p>
    <w:p>
      <w:pPr>
        <w:pStyle w:val="4"/>
        <w:spacing w:beforeLines="150" w:after="480" w:line="400" w:lineRule="exact"/>
        <w:rPr>
          <w:rFonts w:ascii="宋体" w:hAnsi="宋体"/>
          <w:color w:val="auto"/>
          <w:sz w:val="24"/>
          <w:szCs w:val="24"/>
          <w:highlight w:val="none"/>
        </w:rPr>
      </w:pPr>
      <w:bookmarkStart w:id="127" w:name="_Toc11058"/>
      <w:bookmarkStart w:id="128" w:name="_Toc485889032"/>
      <w:bookmarkStart w:id="129" w:name="_Toc486277893"/>
      <w:bookmarkStart w:id="130" w:name="_Toc234382620"/>
      <w:r>
        <w:rPr>
          <w:rFonts w:ascii="宋体" w:hAnsi="宋体"/>
          <w:color w:val="auto"/>
          <w:sz w:val="24"/>
          <w:szCs w:val="24"/>
          <w:highlight w:val="none"/>
        </w:rPr>
        <w:t>5. 开标</w:t>
      </w:r>
      <w:bookmarkEnd w:id="127"/>
      <w:bookmarkEnd w:id="128"/>
      <w:bookmarkEnd w:id="129"/>
      <w:bookmarkEnd w:id="130"/>
    </w:p>
    <w:p>
      <w:pPr>
        <w:pStyle w:val="4"/>
        <w:spacing w:before="0" w:after="0" w:line="400" w:lineRule="exact"/>
        <w:rPr>
          <w:rFonts w:ascii="宋体" w:hAnsi="宋体"/>
          <w:color w:val="auto"/>
          <w:sz w:val="24"/>
          <w:szCs w:val="24"/>
          <w:highlight w:val="none"/>
        </w:rPr>
      </w:pPr>
      <w:bookmarkStart w:id="131" w:name="_Toc234382622"/>
      <w:bookmarkStart w:id="132" w:name="_Toc486277894"/>
      <w:bookmarkStart w:id="133" w:name="_Toc11150"/>
      <w:bookmarkStart w:id="134" w:name="_Toc485889033"/>
      <w:r>
        <w:rPr>
          <w:rFonts w:ascii="宋体" w:hAnsi="宋体"/>
          <w:color w:val="auto"/>
          <w:sz w:val="24"/>
          <w:szCs w:val="24"/>
          <w:highlight w:val="none"/>
        </w:rPr>
        <w:t>5.1 开标时间和地点</w:t>
      </w:r>
      <w:bookmarkEnd w:id="131"/>
      <w:bookmarkEnd w:id="132"/>
      <w:bookmarkEnd w:id="133"/>
      <w:bookmarkEnd w:id="134"/>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招标人在本章第 2.2.2 项规定的投标截止时间（开标时间）和投标人须知前附表规定的地点</w:t>
      </w:r>
      <w:r>
        <w:rPr>
          <w:rFonts w:hint="eastAsia" w:ascii="宋体" w:hAnsi="宋体"/>
          <w:color w:val="auto"/>
          <w:sz w:val="24"/>
          <w:highlight w:val="none"/>
        </w:rPr>
        <w:t>对收到的投标文件第一个信封（商务及技术文件）</w:t>
      </w:r>
      <w:r>
        <w:rPr>
          <w:rFonts w:ascii="宋体" w:hAnsi="宋体"/>
          <w:color w:val="auto"/>
          <w:sz w:val="24"/>
          <w:highlight w:val="none"/>
        </w:rPr>
        <w:t>公开开标，并邀请所有投标人的法定代表人或其委托代理人准时参加。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招标人在投标人须知前附表规定的时间和地点对投标文件第二个信封（投标报价和工程量清单）进行开标，并邀请所有投标人的法定代表人或其委托代理人准时参加。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投标人若未派法定代表人或委托代理人出席开标活动，视为该投标人默认开标结果。</w:t>
      </w:r>
    </w:p>
    <w:p>
      <w:pPr>
        <w:pStyle w:val="4"/>
        <w:spacing w:beforeLines="50" w:after="0" w:line="400" w:lineRule="exact"/>
        <w:rPr>
          <w:rFonts w:ascii="宋体" w:hAnsi="宋体"/>
          <w:color w:val="auto"/>
          <w:sz w:val="24"/>
          <w:szCs w:val="24"/>
          <w:highlight w:val="none"/>
        </w:rPr>
      </w:pPr>
      <w:bookmarkStart w:id="135" w:name="_Toc485889034"/>
      <w:bookmarkStart w:id="136" w:name="_Toc486277895"/>
      <w:bookmarkStart w:id="137" w:name="_Toc234382624"/>
      <w:bookmarkStart w:id="138" w:name="_Toc26054"/>
      <w:r>
        <w:rPr>
          <w:rFonts w:ascii="宋体" w:hAnsi="宋体"/>
          <w:color w:val="auto"/>
          <w:sz w:val="24"/>
          <w:szCs w:val="24"/>
          <w:highlight w:val="none"/>
        </w:rPr>
        <w:t>5.2 开标程序</w:t>
      </w:r>
      <w:bookmarkEnd w:id="135"/>
      <w:bookmarkEnd w:id="136"/>
      <w:bookmarkEnd w:id="137"/>
      <w:bookmarkEnd w:id="138"/>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5.2.1 </w:t>
      </w:r>
      <w:r>
        <w:rPr>
          <w:rFonts w:ascii="宋体" w:hAnsi="宋体"/>
          <w:color w:val="auto"/>
          <w:sz w:val="24"/>
          <w:highlight w:val="none"/>
        </w:rPr>
        <w:t>主持人按下列程序</w:t>
      </w:r>
      <w:r>
        <w:rPr>
          <w:rFonts w:hint="eastAsia" w:ascii="宋体" w:hAnsi="宋体"/>
          <w:color w:val="auto"/>
          <w:sz w:val="24"/>
          <w:highlight w:val="none"/>
        </w:rPr>
        <w:t>对投标文件第一个信封（商务及技术文件）</w:t>
      </w:r>
      <w:r>
        <w:rPr>
          <w:rFonts w:ascii="宋体" w:hAnsi="宋体"/>
          <w:color w:val="auto"/>
          <w:sz w:val="24"/>
          <w:highlight w:val="none"/>
        </w:rPr>
        <w:t>进行开标：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（2）公布在投标截止时间前递交投标文件的投标人名称，并点名确认投标人是否派人到场；</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（4）按照投标人须知前附表规定检查投标文件的密封情况；</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（6）按照宣布的开标顺序当众开标，公布投标人名称、标段名称、投标保证金的递交情况、质量目标、工期及其他内容，并记录在案；</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（8）开标</w:t>
      </w:r>
      <w:r>
        <w:rPr>
          <w:rFonts w:hint="eastAsia" w:ascii="宋体" w:hAnsi="宋体"/>
          <w:color w:val="auto"/>
          <w:sz w:val="24"/>
          <w:highlight w:val="none"/>
        </w:rPr>
        <w:t>会议</w:t>
      </w:r>
      <w:r>
        <w:rPr>
          <w:rFonts w:ascii="宋体" w:hAnsi="宋体"/>
          <w:color w:val="auto"/>
          <w:sz w:val="24"/>
          <w:highlight w:val="none"/>
        </w:rPr>
        <w:t>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5.2.2 若招标人宣读的内容与投标文件不符时，投标人有权在开标现场提出异议，经监标人当场核查确认之后，可重新宣读其投标文件。若投标人现场未提出异议，则认为投标人已确认招标人宣读的内容。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5.2.3 投标文件第二个信封（投标报价和工程量清单）不予开封，并交监标人密封保存。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5.2.4 招标人将按照本章第5.1款规定的时间和地点对投标文件第二个信封（投标报价和工程量清单）进行开标。主持人按下列程序进行开标：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（1）宣布开标纪律；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（2）当中拆开投标文件第一个信封（商务及技术文件）评审结果的的密封袋，宣布通过投标文件第一个信封（商务及技术文件）评审的投标人名单，并点名确认投标人是否派人到场；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（3）宣布开标人、唱标人、记录人、监标人等有关人员姓名；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（4）按照投标人须知前附表规定检查投标文件情况；</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（5）按照投标人须知前附表的规定确定并宣布投标文件开标顺序；</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（6）设有标底的，公布标底；</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按照宣布的开标顺序当众开标，开标人在拆封投标文件第二个信封（投标报价和工程量清单）外层封套后，按照内层封套上写明的投标人名称公布通过投标文件第一个信封（商务及技术文件）评审的投标文件第二个信封（投标报价和工程量清单）的投标人名称、标段名称及其他内容，并记录在案，将未通过投标文件第一个信封（商务及技术文件）评审的投标文件第二个信封（投标报价和工程量清单）退还给投标人；</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（8）投标人代表、招标人代表、监标人、记录人等有关人员在开标记录上签字确认；</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（9）开标会议结束。</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5.2.5 第二个信封（投标报价和工程量清单）开标过程中，若招标人发现投标文件出现以下任一情况，经监标人确认并当场宣布为废标：</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（1）未在投标函上填写投标总价；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（2）投标报价或调价函中的报价超出招标人公布的投标控制价上限（如有）。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5.2.6 若招标人宣读的内容与投标文件不符时，投标人有权在开标现场提出异议，经监标人当场核查确认之后，可重新宣读其投标文件。若投标人现场未提出异议，则认为投标人已确认招标人宣读的内容。</w:t>
      </w:r>
    </w:p>
    <w:p>
      <w:pPr>
        <w:pStyle w:val="4"/>
        <w:spacing w:beforeLines="150" w:after="480" w:line="400" w:lineRule="exact"/>
        <w:rPr>
          <w:rFonts w:ascii="宋体" w:hAnsi="宋体"/>
          <w:color w:val="auto"/>
          <w:sz w:val="24"/>
          <w:szCs w:val="24"/>
          <w:highlight w:val="none"/>
        </w:rPr>
      </w:pPr>
      <w:bookmarkStart w:id="139" w:name="_Toc27685"/>
      <w:bookmarkStart w:id="140" w:name="_Toc234382625"/>
      <w:bookmarkStart w:id="141" w:name="_Toc486277896"/>
      <w:bookmarkStart w:id="142" w:name="_Toc485889035"/>
      <w:r>
        <w:rPr>
          <w:rFonts w:ascii="宋体" w:hAnsi="宋体"/>
          <w:color w:val="auto"/>
          <w:sz w:val="24"/>
          <w:szCs w:val="24"/>
          <w:highlight w:val="none"/>
        </w:rPr>
        <w:t>6. 评标</w:t>
      </w:r>
      <w:bookmarkEnd w:id="139"/>
      <w:bookmarkEnd w:id="140"/>
      <w:bookmarkEnd w:id="141"/>
      <w:bookmarkEnd w:id="142"/>
    </w:p>
    <w:p>
      <w:pPr>
        <w:pStyle w:val="4"/>
        <w:spacing w:before="0" w:after="0" w:line="400" w:lineRule="exact"/>
        <w:rPr>
          <w:rFonts w:ascii="宋体" w:hAnsi="宋体"/>
          <w:color w:val="auto"/>
          <w:sz w:val="24"/>
          <w:szCs w:val="24"/>
          <w:highlight w:val="none"/>
        </w:rPr>
      </w:pPr>
      <w:bookmarkStart w:id="143" w:name="_Toc234382626"/>
      <w:bookmarkStart w:id="144" w:name="_Toc486277897"/>
      <w:bookmarkStart w:id="145" w:name="_Toc17693"/>
      <w:bookmarkStart w:id="146" w:name="_Toc485889036"/>
      <w:r>
        <w:rPr>
          <w:rFonts w:ascii="宋体" w:hAnsi="宋体"/>
          <w:color w:val="auto"/>
          <w:sz w:val="24"/>
          <w:szCs w:val="24"/>
          <w:highlight w:val="none"/>
        </w:rPr>
        <w:t>6.1 评标委员会</w:t>
      </w:r>
      <w:bookmarkEnd w:id="143"/>
      <w:bookmarkEnd w:id="144"/>
      <w:bookmarkEnd w:id="145"/>
      <w:bookmarkEnd w:id="146"/>
    </w:p>
    <w:p>
      <w:pPr>
        <w:spacing w:line="400" w:lineRule="exact"/>
        <w:ind w:firstLine="480" w:firstLineChars="200"/>
        <w:rPr>
          <w:rFonts w:ascii="宋体" w:hAnsi="宋体"/>
          <w:color w:val="auto"/>
          <w:sz w:val="24"/>
          <w:highlight w:val="none"/>
        </w:rPr>
      </w:pPr>
      <w:r>
        <w:rPr>
          <w:rFonts w:ascii="宋体" w:hAnsi="宋体"/>
          <w:color w:val="auto"/>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6.1.2 评标委员会成员有下列情形之一的，应当回避：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（1）招标人或投标人的主要负责人的近亲属；</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（2）项目主管部门或者行政监督部门的人员；</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（3）与投标人有经济利益关系，可能影响对投标公正评审的；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（4）曾因在招标、评标以及其他与招标投标有关活动中从事违法行为而受过行政处罚或刑事处罚的。</w:t>
      </w:r>
    </w:p>
    <w:p>
      <w:pPr>
        <w:pStyle w:val="4"/>
        <w:spacing w:beforeLines="50" w:after="0" w:line="400" w:lineRule="exact"/>
        <w:rPr>
          <w:rFonts w:ascii="宋体" w:hAnsi="宋体"/>
          <w:color w:val="auto"/>
          <w:sz w:val="24"/>
          <w:szCs w:val="24"/>
          <w:highlight w:val="none"/>
        </w:rPr>
      </w:pPr>
      <w:bookmarkStart w:id="147" w:name="_Toc486277898"/>
      <w:bookmarkStart w:id="148" w:name="_Toc234382627"/>
      <w:bookmarkStart w:id="149" w:name="_Toc485889037"/>
      <w:bookmarkStart w:id="150" w:name="_Toc5222"/>
      <w:r>
        <w:rPr>
          <w:rFonts w:ascii="宋体" w:hAnsi="宋体"/>
          <w:color w:val="auto"/>
          <w:sz w:val="24"/>
          <w:szCs w:val="24"/>
          <w:highlight w:val="none"/>
        </w:rPr>
        <w:t>6.2 评标原则</w:t>
      </w:r>
      <w:bookmarkEnd w:id="147"/>
      <w:bookmarkEnd w:id="148"/>
      <w:bookmarkEnd w:id="149"/>
      <w:bookmarkEnd w:id="150"/>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评标活动遵循公平、公正、科学和择优的原则。</w:t>
      </w:r>
    </w:p>
    <w:p>
      <w:pPr>
        <w:pStyle w:val="4"/>
        <w:spacing w:beforeLines="50" w:after="0" w:line="400" w:lineRule="exact"/>
        <w:rPr>
          <w:rFonts w:ascii="宋体" w:hAnsi="宋体"/>
          <w:color w:val="auto"/>
          <w:sz w:val="24"/>
          <w:szCs w:val="24"/>
          <w:highlight w:val="none"/>
        </w:rPr>
      </w:pPr>
      <w:bookmarkStart w:id="151" w:name="_Toc486277899"/>
      <w:bookmarkStart w:id="152" w:name="_Toc485889038"/>
      <w:bookmarkStart w:id="153" w:name="_Toc234382628"/>
      <w:bookmarkStart w:id="154" w:name="_Toc31911"/>
      <w:r>
        <w:rPr>
          <w:rFonts w:ascii="宋体" w:hAnsi="宋体"/>
          <w:color w:val="auto"/>
          <w:sz w:val="24"/>
          <w:szCs w:val="24"/>
          <w:highlight w:val="none"/>
        </w:rPr>
        <w:t>6.3 评标</w:t>
      </w:r>
      <w:bookmarkEnd w:id="151"/>
      <w:bookmarkEnd w:id="152"/>
      <w:bookmarkEnd w:id="153"/>
      <w:bookmarkEnd w:id="154"/>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评标委员会按照第三章“评标办法”规定的方法、评审因素、标准和程序对投标文件进行评审。第三章“评标办法”没有规定的方法、评审因素和标准，不作为评标依据。</w:t>
      </w:r>
    </w:p>
    <w:p>
      <w:pPr>
        <w:pStyle w:val="4"/>
        <w:spacing w:beforeLines="150" w:after="480" w:line="400" w:lineRule="exact"/>
        <w:rPr>
          <w:rFonts w:ascii="宋体" w:hAnsi="宋体"/>
          <w:color w:val="auto"/>
          <w:sz w:val="24"/>
          <w:szCs w:val="24"/>
          <w:highlight w:val="none"/>
        </w:rPr>
      </w:pPr>
      <w:bookmarkStart w:id="155" w:name="_Toc234382629"/>
      <w:bookmarkStart w:id="156" w:name="_Toc486277900"/>
      <w:bookmarkStart w:id="157" w:name="_Toc21378"/>
      <w:bookmarkStart w:id="158" w:name="_Toc485889039"/>
      <w:r>
        <w:rPr>
          <w:rFonts w:ascii="宋体" w:hAnsi="宋体"/>
          <w:color w:val="auto"/>
          <w:sz w:val="24"/>
          <w:szCs w:val="24"/>
          <w:highlight w:val="none"/>
        </w:rPr>
        <w:t>7. 合同授予</w:t>
      </w:r>
      <w:bookmarkEnd w:id="155"/>
      <w:bookmarkEnd w:id="156"/>
      <w:bookmarkEnd w:id="157"/>
      <w:bookmarkEnd w:id="158"/>
    </w:p>
    <w:p>
      <w:pPr>
        <w:pStyle w:val="4"/>
        <w:spacing w:before="0" w:after="0" w:line="400" w:lineRule="exact"/>
        <w:rPr>
          <w:rFonts w:ascii="宋体" w:hAnsi="宋体"/>
          <w:color w:val="auto"/>
          <w:sz w:val="24"/>
          <w:szCs w:val="24"/>
          <w:highlight w:val="none"/>
        </w:rPr>
      </w:pPr>
      <w:bookmarkStart w:id="159" w:name="_Toc10828"/>
      <w:bookmarkStart w:id="160" w:name="_Toc234382630"/>
      <w:bookmarkStart w:id="161" w:name="_Toc486277901"/>
      <w:bookmarkStart w:id="162" w:name="_Toc485889040"/>
      <w:r>
        <w:rPr>
          <w:rFonts w:ascii="宋体" w:hAnsi="宋体"/>
          <w:color w:val="auto"/>
          <w:sz w:val="24"/>
          <w:szCs w:val="24"/>
          <w:highlight w:val="none"/>
        </w:rPr>
        <w:t>7.1 定标方式</w:t>
      </w:r>
      <w:bookmarkEnd w:id="159"/>
      <w:bookmarkEnd w:id="160"/>
      <w:bookmarkEnd w:id="161"/>
      <w:bookmarkEnd w:id="162"/>
    </w:p>
    <w:p>
      <w:pPr>
        <w:spacing w:line="400" w:lineRule="exact"/>
        <w:ind w:firstLine="480" w:firstLineChars="200"/>
        <w:rPr>
          <w:rFonts w:ascii="宋体" w:hAnsi="宋体"/>
          <w:color w:val="auto"/>
          <w:sz w:val="24"/>
          <w:highlight w:val="none"/>
        </w:rPr>
      </w:pPr>
      <w:r>
        <w:rPr>
          <w:rFonts w:ascii="宋体" w:hAnsi="宋体"/>
          <w:color w:val="auto"/>
          <w:sz w:val="24"/>
          <w:highlight w:val="none"/>
        </w:rPr>
        <w:t>除投标人须知前附表规定评标委员会直接确定中标人外，招标人依据评标委员会推荐的中标候选人确定中标人，评标委员会推荐中标候选人的人数见投标人须知前附表。</w:t>
      </w:r>
    </w:p>
    <w:p>
      <w:pPr>
        <w:pStyle w:val="4"/>
        <w:spacing w:beforeLines="50" w:after="0" w:line="400" w:lineRule="exact"/>
        <w:rPr>
          <w:rFonts w:ascii="宋体" w:hAnsi="宋体"/>
          <w:color w:val="auto"/>
          <w:sz w:val="24"/>
          <w:szCs w:val="24"/>
          <w:highlight w:val="none"/>
        </w:rPr>
      </w:pPr>
      <w:bookmarkStart w:id="163" w:name="_Toc13648"/>
      <w:bookmarkStart w:id="164" w:name="_Toc486277902"/>
      <w:bookmarkStart w:id="165" w:name="_Toc234382631"/>
      <w:bookmarkStart w:id="166" w:name="_Toc485889041"/>
      <w:r>
        <w:rPr>
          <w:rFonts w:ascii="宋体" w:hAnsi="宋体"/>
          <w:color w:val="auto"/>
          <w:sz w:val="24"/>
          <w:szCs w:val="24"/>
          <w:highlight w:val="none"/>
        </w:rPr>
        <w:t>7.2 中标通知</w:t>
      </w:r>
      <w:bookmarkEnd w:id="163"/>
      <w:bookmarkEnd w:id="164"/>
      <w:bookmarkEnd w:id="165"/>
      <w:bookmarkEnd w:id="166"/>
    </w:p>
    <w:p>
      <w:pPr>
        <w:spacing w:line="400" w:lineRule="exact"/>
        <w:ind w:firstLine="480" w:firstLineChars="200"/>
        <w:rPr>
          <w:rFonts w:ascii="宋体" w:hAnsi="宋体"/>
          <w:color w:val="auto"/>
          <w:sz w:val="24"/>
          <w:highlight w:val="none"/>
        </w:rPr>
      </w:pPr>
      <w:r>
        <w:rPr>
          <w:rFonts w:ascii="宋体" w:hAnsi="宋体"/>
          <w:color w:val="auto"/>
          <w:sz w:val="24"/>
          <w:highlight w:val="none"/>
        </w:rPr>
        <w:t>在本章第 3.3 款规定的投标有效期内，招标人以书面形式向中标人发出中标通知书，同时将中标结果通知未中标的投标人。</w:t>
      </w:r>
    </w:p>
    <w:p>
      <w:pPr>
        <w:pStyle w:val="4"/>
        <w:spacing w:beforeLines="50" w:after="0" w:line="400" w:lineRule="exact"/>
        <w:rPr>
          <w:rFonts w:ascii="宋体" w:hAnsi="宋体"/>
          <w:color w:val="auto"/>
          <w:sz w:val="24"/>
          <w:szCs w:val="24"/>
          <w:highlight w:val="none"/>
        </w:rPr>
      </w:pPr>
      <w:bookmarkStart w:id="167" w:name="_Toc16842"/>
      <w:bookmarkStart w:id="168" w:name="_Toc485889042"/>
      <w:bookmarkStart w:id="169" w:name="_Toc486277903"/>
      <w:bookmarkStart w:id="170" w:name="_Toc234382633"/>
      <w:r>
        <w:rPr>
          <w:rFonts w:ascii="宋体" w:hAnsi="宋体"/>
          <w:color w:val="auto"/>
          <w:sz w:val="24"/>
          <w:szCs w:val="24"/>
          <w:highlight w:val="none"/>
        </w:rPr>
        <w:t>7.</w:t>
      </w:r>
      <w:r>
        <w:rPr>
          <w:rFonts w:hint="eastAsia" w:ascii="宋体" w:hAnsi="宋体"/>
          <w:color w:val="auto"/>
          <w:sz w:val="24"/>
          <w:szCs w:val="24"/>
          <w:highlight w:val="none"/>
        </w:rPr>
        <w:t>3</w:t>
      </w:r>
      <w:r>
        <w:rPr>
          <w:rFonts w:ascii="宋体" w:hAnsi="宋体"/>
          <w:color w:val="auto"/>
          <w:sz w:val="24"/>
          <w:szCs w:val="24"/>
          <w:highlight w:val="none"/>
        </w:rPr>
        <w:t>签订合同</w:t>
      </w:r>
      <w:bookmarkEnd w:id="167"/>
      <w:bookmarkEnd w:id="168"/>
      <w:bookmarkEnd w:id="169"/>
      <w:bookmarkEnd w:id="170"/>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3</w:t>
      </w:r>
      <w:r>
        <w:rPr>
          <w:rFonts w:ascii="宋体" w:hAnsi="宋体"/>
          <w:color w:val="auto"/>
          <w:sz w:val="24"/>
          <w:highlight w:val="none"/>
        </w:rPr>
        <w:t>.2 发出中标通知书后，招标人无正当理由拒签合同的，招标人向中标人退还投标保证金；给中标人造成损失的，还应当赔偿损失。</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7.3.3 签约合同价的确定原则如下：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（1）按照评标办法规定对投标报价进行修正后，若休整后的最终投标报价小于开标时的投标函文字报价，则签订合同时以修正后的最终投标为准；</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（2）按照评标办法规定对投标报价进行修正后，若修正后的最终投标报价大于开标时的投标函文字报价，则签订合同时以开标时的投标函文字报价为准，同时按比例修正相应子目的单价或合价。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7.3.4 合同协议书经双方法定代表人或其授权的代理人签署并加盖单位章后生效。若为联合体投标，则联合体各成员的法定代表人或其授权的代理人都应在合同协议书上签署并加盖单位章。发包人和中标人在签订合同协议书的同时需按照本招标文件规定的格式和要求签订廉政合同及安全生产合同，明确双方在廉政建设安全生产方面的权利和义务以及应承担的违约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7.3.5 如果根据本章第3.5.3项（适用于已进行资格预审的）、第3.5.8项（适用于未进行资格预审的）、第7.3.2项或第7.4.1项规定，招标人取消了中标人的中标资格，在此情况下，招标人可将合同授予下一个中标候选人，或者按规定重新组织招标。</w:t>
      </w:r>
    </w:p>
    <w:p>
      <w:pPr>
        <w:pStyle w:val="4"/>
        <w:spacing w:beforeLines="150" w:after="480" w:line="400" w:lineRule="exact"/>
        <w:rPr>
          <w:rFonts w:ascii="宋体" w:hAnsi="宋体"/>
          <w:color w:val="auto"/>
          <w:sz w:val="24"/>
          <w:szCs w:val="24"/>
          <w:highlight w:val="none"/>
        </w:rPr>
      </w:pPr>
      <w:bookmarkStart w:id="171" w:name="_Toc485889043"/>
      <w:bookmarkStart w:id="172" w:name="_Toc486277904"/>
      <w:bookmarkStart w:id="173" w:name="_Toc234382634"/>
      <w:bookmarkStart w:id="174" w:name="_Toc16570"/>
      <w:r>
        <w:rPr>
          <w:rFonts w:ascii="宋体" w:hAnsi="宋体"/>
          <w:color w:val="auto"/>
          <w:sz w:val="24"/>
          <w:szCs w:val="24"/>
          <w:highlight w:val="none"/>
        </w:rPr>
        <w:t>8. 重新招标和不再招标</w:t>
      </w:r>
      <w:bookmarkEnd w:id="171"/>
      <w:bookmarkEnd w:id="172"/>
      <w:bookmarkEnd w:id="173"/>
      <w:bookmarkEnd w:id="174"/>
    </w:p>
    <w:p>
      <w:pPr>
        <w:pStyle w:val="4"/>
        <w:spacing w:before="0" w:after="0" w:line="400" w:lineRule="exact"/>
        <w:rPr>
          <w:rFonts w:ascii="宋体" w:hAnsi="宋体"/>
          <w:color w:val="auto"/>
          <w:sz w:val="24"/>
          <w:szCs w:val="24"/>
          <w:highlight w:val="none"/>
        </w:rPr>
      </w:pPr>
      <w:bookmarkStart w:id="175" w:name="_Toc485889044"/>
      <w:bookmarkStart w:id="176" w:name="_Toc4100"/>
      <w:bookmarkStart w:id="177" w:name="_Toc486277905"/>
      <w:bookmarkStart w:id="178" w:name="_Toc234382635"/>
      <w:r>
        <w:rPr>
          <w:rFonts w:ascii="宋体" w:hAnsi="宋体"/>
          <w:color w:val="auto"/>
          <w:sz w:val="24"/>
          <w:szCs w:val="24"/>
          <w:highlight w:val="none"/>
        </w:rPr>
        <w:t>8.1 重新招标</w:t>
      </w:r>
      <w:bookmarkEnd w:id="175"/>
      <w:bookmarkEnd w:id="176"/>
      <w:bookmarkEnd w:id="177"/>
      <w:bookmarkEnd w:id="178"/>
    </w:p>
    <w:p>
      <w:pPr>
        <w:spacing w:line="400" w:lineRule="exact"/>
        <w:ind w:firstLine="480" w:firstLineChars="200"/>
        <w:rPr>
          <w:rFonts w:ascii="宋体" w:hAnsi="宋体"/>
          <w:color w:val="auto"/>
          <w:sz w:val="24"/>
          <w:highlight w:val="none"/>
        </w:rPr>
      </w:pPr>
      <w:r>
        <w:rPr>
          <w:rFonts w:ascii="宋体" w:hAnsi="宋体"/>
          <w:color w:val="auto"/>
          <w:sz w:val="24"/>
          <w:highlight w:val="none"/>
        </w:rPr>
        <w:t>有下列情形之一的，招标人将重新招标：</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（1）投标截止时间止，投标人少于3个的；</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（2）经评标委员会评审后否决所有投标的</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（3）中标候选人均未与招标人签订合同的；</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（4）法律规定的其他情形。</w:t>
      </w:r>
    </w:p>
    <w:p>
      <w:pPr>
        <w:pStyle w:val="4"/>
        <w:spacing w:beforeLines="50" w:after="0" w:line="400" w:lineRule="exact"/>
        <w:rPr>
          <w:rFonts w:ascii="宋体" w:hAnsi="宋体"/>
          <w:color w:val="auto"/>
          <w:sz w:val="24"/>
          <w:szCs w:val="24"/>
          <w:highlight w:val="none"/>
        </w:rPr>
      </w:pPr>
      <w:bookmarkStart w:id="179" w:name="_Toc486277906"/>
      <w:bookmarkStart w:id="180" w:name="_Toc21063"/>
      <w:bookmarkStart w:id="181" w:name="_Toc234382636"/>
      <w:bookmarkStart w:id="182" w:name="_Toc485889045"/>
      <w:r>
        <w:rPr>
          <w:rFonts w:ascii="宋体" w:hAnsi="宋体"/>
          <w:color w:val="auto"/>
          <w:sz w:val="24"/>
          <w:szCs w:val="24"/>
          <w:highlight w:val="none"/>
        </w:rPr>
        <w:t>8.2 不再招标</w:t>
      </w:r>
      <w:bookmarkEnd w:id="179"/>
      <w:bookmarkEnd w:id="180"/>
      <w:bookmarkEnd w:id="181"/>
      <w:bookmarkEnd w:id="182"/>
    </w:p>
    <w:p>
      <w:pPr>
        <w:spacing w:line="400" w:lineRule="exact"/>
        <w:ind w:firstLine="480" w:firstLineChars="200"/>
        <w:rPr>
          <w:rFonts w:ascii="宋体" w:hAnsi="宋体"/>
          <w:color w:val="auto"/>
          <w:sz w:val="24"/>
          <w:highlight w:val="none"/>
        </w:rPr>
      </w:pPr>
      <w:r>
        <w:rPr>
          <w:rFonts w:ascii="宋体" w:hAnsi="宋体"/>
          <w:color w:val="auto"/>
          <w:sz w:val="24"/>
          <w:highlight w:val="none"/>
        </w:rPr>
        <w:t>重新招标后投标人仍少于3 个或者所有投标被否决的，属于必须审批或核准的工程建设项目，经原审批或核准部门批准后不再进行招标。</w:t>
      </w:r>
    </w:p>
    <w:p>
      <w:pPr>
        <w:pStyle w:val="4"/>
        <w:spacing w:beforeLines="150" w:after="480" w:line="400" w:lineRule="exact"/>
        <w:rPr>
          <w:rFonts w:ascii="宋体" w:hAnsi="宋体"/>
          <w:color w:val="auto"/>
          <w:sz w:val="24"/>
          <w:szCs w:val="24"/>
          <w:highlight w:val="none"/>
        </w:rPr>
      </w:pPr>
      <w:bookmarkStart w:id="183" w:name="_Toc32202"/>
      <w:bookmarkStart w:id="184" w:name="_Toc234382637"/>
      <w:bookmarkStart w:id="185" w:name="_Toc486277907"/>
      <w:bookmarkStart w:id="186" w:name="_Toc485889046"/>
      <w:r>
        <w:rPr>
          <w:rFonts w:ascii="宋体" w:hAnsi="宋体"/>
          <w:color w:val="auto"/>
          <w:sz w:val="24"/>
          <w:szCs w:val="24"/>
          <w:highlight w:val="none"/>
        </w:rPr>
        <w:t>9. 纪律和监督</w:t>
      </w:r>
      <w:bookmarkEnd w:id="183"/>
      <w:bookmarkEnd w:id="184"/>
      <w:bookmarkEnd w:id="185"/>
      <w:bookmarkEnd w:id="186"/>
    </w:p>
    <w:p>
      <w:pPr>
        <w:pStyle w:val="4"/>
        <w:spacing w:before="0" w:after="0" w:line="400" w:lineRule="exact"/>
        <w:rPr>
          <w:rFonts w:ascii="宋体" w:hAnsi="宋体"/>
          <w:color w:val="auto"/>
          <w:sz w:val="24"/>
          <w:szCs w:val="24"/>
          <w:highlight w:val="none"/>
        </w:rPr>
      </w:pPr>
      <w:bookmarkStart w:id="187" w:name="_Toc486277908"/>
      <w:bookmarkStart w:id="188" w:name="_Toc234382638"/>
      <w:bookmarkStart w:id="189" w:name="_Toc23625"/>
      <w:bookmarkStart w:id="190" w:name="_Toc485889047"/>
      <w:r>
        <w:rPr>
          <w:rFonts w:ascii="宋体" w:hAnsi="宋体"/>
          <w:color w:val="auto"/>
          <w:sz w:val="24"/>
          <w:szCs w:val="24"/>
          <w:highlight w:val="none"/>
        </w:rPr>
        <w:t>9.1 对招标人的纪律要求</w:t>
      </w:r>
      <w:bookmarkEnd w:id="187"/>
      <w:bookmarkEnd w:id="188"/>
      <w:bookmarkEnd w:id="189"/>
      <w:bookmarkEnd w:id="190"/>
    </w:p>
    <w:p>
      <w:pPr>
        <w:spacing w:line="400" w:lineRule="exact"/>
        <w:ind w:firstLine="480" w:firstLineChars="200"/>
        <w:rPr>
          <w:rFonts w:ascii="宋体" w:hAnsi="宋体"/>
          <w:color w:val="auto"/>
          <w:sz w:val="24"/>
          <w:highlight w:val="none"/>
        </w:rPr>
      </w:pPr>
      <w:r>
        <w:rPr>
          <w:rFonts w:ascii="宋体" w:hAnsi="宋体"/>
          <w:color w:val="auto"/>
          <w:sz w:val="24"/>
          <w:highlight w:val="none"/>
        </w:rPr>
        <w:t>招标人不得泄漏招标投标活动中应当保密的情况和资料，不得与投标人串通损害国家利益、社会公共利益或者他人合法权益。</w:t>
      </w:r>
    </w:p>
    <w:p>
      <w:pPr>
        <w:pStyle w:val="4"/>
        <w:spacing w:beforeLines="50" w:after="0" w:line="400" w:lineRule="exact"/>
        <w:rPr>
          <w:rFonts w:ascii="宋体" w:hAnsi="宋体"/>
          <w:color w:val="auto"/>
          <w:sz w:val="24"/>
          <w:szCs w:val="24"/>
          <w:highlight w:val="none"/>
        </w:rPr>
      </w:pPr>
      <w:bookmarkStart w:id="191" w:name="_Toc486277909"/>
      <w:bookmarkStart w:id="192" w:name="_Toc13796"/>
      <w:bookmarkStart w:id="193" w:name="_Toc234382639"/>
      <w:bookmarkStart w:id="194" w:name="_Toc485889048"/>
      <w:r>
        <w:rPr>
          <w:rFonts w:ascii="宋体" w:hAnsi="宋体"/>
          <w:color w:val="auto"/>
          <w:sz w:val="24"/>
          <w:szCs w:val="24"/>
          <w:highlight w:val="none"/>
        </w:rPr>
        <w:t>9.2 对投标人的纪律要求</w:t>
      </w:r>
      <w:bookmarkEnd w:id="191"/>
      <w:bookmarkEnd w:id="192"/>
      <w:bookmarkEnd w:id="193"/>
      <w:bookmarkEnd w:id="194"/>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50" w:after="0" w:line="400" w:lineRule="exact"/>
        <w:rPr>
          <w:rFonts w:ascii="宋体" w:hAnsi="宋体"/>
          <w:color w:val="auto"/>
          <w:sz w:val="24"/>
          <w:szCs w:val="24"/>
          <w:highlight w:val="none"/>
        </w:rPr>
      </w:pPr>
      <w:bookmarkStart w:id="195" w:name="_Toc486277910"/>
      <w:bookmarkStart w:id="196" w:name="_Toc16702"/>
      <w:bookmarkStart w:id="197" w:name="_Toc485889049"/>
      <w:bookmarkStart w:id="198" w:name="_Toc234382640"/>
      <w:r>
        <w:rPr>
          <w:rFonts w:ascii="宋体" w:hAnsi="宋体"/>
          <w:color w:val="auto"/>
          <w:sz w:val="24"/>
          <w:szCs w:val="24"/>
          <w:highlight w:val="none"/>
        </w:rPr>
        <w:t>9.3 对评标委员会成员的纪律要求</w:t>
      </w:r>
      <w:bookmarkEnd w:id="195"/>
      <w:bookmarkEnd w:id="196"/>
      <w:bookmarkEnd w:id="197"/>
      <w:bookmarkEnd w:id="198"/>
    </w:p>
    <w:p>
      <w:pPr>
        <w:spacing w:line="400" w:lineRule="exact"/>
        <w:ind w:firstLine="480" w:firstLineChars="200"/>
        <w:rPr>
          <w:rFonts w:ascii="宋体" w:hAnsi="宋体"/>
          <w:color w:val="auto"/>
          <w:sz w:val="24"/>
          <w:highlight w:val="none"/>
        </w:rPr>
      </w:pPr>
      <w:r>
        <w:rPr>
          <w:rFonts w:ascii="宋体" w:hAnsi="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50" w:after="0" w:line="400" w:lineRule="exact"/>
        <w:rPr>
          <w:rFonts w:ascii="宋体" w:hAnsi="宋体"/>
          <w:color w:val="auto"/>
          <w:sz w:val="24"/>
          <w:szCs w:val="24"/>
          <w:highlight w:val="none"/>
        </w:rPr>
      </w:pPr>
      <w:bookmarkStart w:id="199" w:name="_Toc12383"/>
      <w:bookmarkStart w:id="200" w:name="_Toc486277911"/>
      <w:bookmarkStart w:id="201" w:name="_Toc234382641"/>
      <w:bookmarkStart w:id="202" w:name="_Toc485889050"/>
      <w:r>
        <w:rPr>
          <w:rFonts w:ascii="宋体" w:hAnsi="宋体"/>
          <w:color w:val="auto"/>
          <w:sz w:val="24"/>
          <w:szCs w:val="24"/>
          <w:highlight w:val="none"/>
        </w:rPr>
        <w:t>9.4 对与评标活动有关的工作人员的纪律要求</w:t>
      </w:r>
      <w:bookmarkEnd w:id="199"/>
      <w:bookmarkEnd w:id="200"/>
      <w:bookmarkEnd w:id="201"/>
      <w:bookmarkEnd w:id="202"/>
    </w:p>
    <w:p>
      <w:pPr>
        <w:spacing w:line="400" w:lineRule="exact"/>
        <w:ind w:firstLine="480" w:firstLineChars="200"/>
        <w:rPr>
          <w:rFonts w:ascii="宋体" w:hAnsi="宋体"/>
          <w:color w:val="auto"/>
          <w:sz w:val="24"/>
          <w:highlight w:val="none"/>
        </w:rPr>
      </w:pPr>
      <w:r>
        <w:rPr>
          <w:rFonts w:ascii="宋体" w:hAnsi="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spacing w:beforeLines="50" w:after="0" w:line="400" w:lineRule="exact"/>
        <w:rPr>
          <w:rFonts w:ascii="宋体" w:hAnsi="宋体"/>
          <w:color w:val="auto"/>
          <w:sz w:val="24"/>
          <w:szCs w:val="24"/>
          <w:highlight w:val="none"/>
        </w:rPr>
      </w:pPr>
      <w:bookmarkStart w:id="203" w:name="_Toc25179"/>
      <w:bookmarkStart w:id="204" w:name="_Toc485889051"/>
      <w:bookmarkStart w:id="205" w:name="_Toc234382642"/>
      <w:bookmarkStart w:id="206" w:name="_Toc486277912"/>
      <w:r>
        <w:rPr>
          <w:rFonts w:ascii="宋体" w:hAnsi="宋体"/>
          <w:color w:val="auto"/>
          <w:sz w:val="24"/>
          <w:szCs w:val="24"/>
          <w:highlight w:val="none"/>
        </w:rPr>
        <w:t>9.5 投诉</w:t>
      </w:r>
      <w:bookmarkEnd w:id="203"/>
      <w:bookmarkEnd w:id="204"/>
      <w:bookmarkEnd w:id="205"/>
      <w:bookmarkEnd w:id="206"/>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投标人和其他利害关系人认为本次招标活动违反法律、法规和规章规定的，有权向有关行政监督部门投诉。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监督部门的联系方式见投标人须知前附表。</w:t>
      </w:r>
    </w:p>
    <w:p>
      <w:pPr>
        <w:pStyle w:val="4"/>
        <w:spacing w:beforeLines="150" w:after="480" w:line="400" w:lineRule="exact"/>
        <w:rPr>
          <w:rFonts w:ascii="宋体" w:hAnsi="宋体"/>
          <w:color w:val="auto"/>
          <w:sz w:val="24"/>
          <w:szCs w:val="24"/>
          <w:highlight w:val="none"/>
        </w:rPr>
      </w:pPr>
      <w:bookmarkStart w:id="207" w:name="_Toc486277913"/>
      <w:bookmarkStart w:id="208" w:name="_Toc30072"/>
      <w:bookmarkStart w:id="209" w:name="_Toc485889052"/>
      <w:bookmarkStart w:id="210" w:name="_Toc234382643"/>
      <w:r>
        <w:rPr>
          <w:rFonts w:ascii="宋体" w:hAnsi="宋体"/>
          <w:color w:val="auto"/>
          <w:sz w:val="24"/>
          <w:szCs w:val="24"/>
          <w:highlight w:val="none"/>
        </w:rPr>
        <w:t>10. 需要补充的其他内容</w:t>
      </w:r>
      <w:bookmarkEnd w:id="207"/>
      <w:bookmarkEnd w:id="208"/>
      <w:bookmarkEnd w:id="209"/>
      <w:bookmarkEnd w:id="210"/>
    </w:p>
    <w:p>
      <w:pPr>
        <w:spacing w:line="400" w:lineRule="exact"/>
        <w:ind w:firstLine="480" w:firstLineChars="200"/>
        <w:rPr>
          <w:rFonts w:ascii="宋体" w:hAnsi="宋体"/>
          <w:color w:val="auto"/>
          <w:sz w:val="24"/>
          <w:highlight w:val="none"/>
        </w:rPr>
      </w:pPr>
      <w:r>
        <w:rPr>
          <w:rFonts w:ascii="宋体" w:hAnsi="宋体"/>
          <w:color w:val="auto"/>
          <w:sz w:val="24"/>
          <w:highlight w:val="none"/>
        </w:rPr>
        <w:t>需要补充的其他内容：见投标人须知前附表。</w:t>
      </w: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hint="eastAsia" w:ascii="华文中宋" w:hAnsi="华文中宋" w:eastAsia="华文中宋"/>
          <w:b/>
          <w:bCs/>
          <w:sz w:val="32"/>
          <w:szCs w:val="32"/>
        </w:rPr>
      </w:pPr>
    </w:p>
    <w:p>
      <w:pPr>
        <w:spacing w:line="480" w:lineRule="exact"/>
        <w:jc w:val="left"/>
        <w:rPr>
          <w:rFonts w:ascii="华文中宋" w:hAnsi="华文中宋" w:eastAsia="华文中宋"/>
          <w:b/>
          <w:bCs/>
          <w:sz w:val="32"/>
          <w:szCs w:val="32"/>
        </w:rPr>
      </w:pPr>
      <w:r>
        <w:rPr>
          <w:rFonts w:hint="eastAsia" w:ascii="华文中宋" w:hAnsi="华文中宋" w:eastAsia="华文中宋"/>
          <w:b/>
          <w:bCs/>
          <w:sz w:val="32"/>
          <w:szCs w:val="32"/>
        </w:rPr>
        <w:t>附</w:t>
      </w:r>
      <w:r>
        <w:rPr>
          <w:rFonts w:hint="eastAsia" w:ascii="华文中宋" w:hAnsi="华文中宋" w:eastAsia="华文中宋"/>
          <w:b/>
          <w:bCs/>
          <w:sz w:val="32"/>
          <w:szCs w:val="32"/>
          <w:lang w:eastAsia="zh-CN"/>
        </w:rPr>
        <w:t>表一</w:t>
      </w:r>
      <w:r>
        <w:rPr>
          <w:rFonts w:hint="eastAsia" w:ascii="华文中宋" w:hAnsi="华文中宋" w:eastAsia="华文中宋"/>
          <w:b/>
          <w:bCs/>
          <w:sz w:val="32"/>
          <w:szCs w:val="32"/>
        </w:rPr>
        <w:t>：投标保证金</w:t>
      </w:r>
    </w:p>
    <w:p>
      <w:pPr>
        <w:jc w:val="center"/>
        <w:rPr>
          <w:rFonts w:ascii="新宋体" w:hAnsi="新宋体" w:eastAsia="新宋体"/>
          <w:b/>
          <w:color w:val="FF0000"/>
          <w:sz w:val="36"/>
          <w:szCs w:val="36"/>
        </w:rPr>
      </w:pPr>
      <w:r>
        <w:rPr>
          <w:rFonts w:hint="eastAsia" w:ascii="新宋体" w:hAnsi="新宋体" w:eastAsia="新宋体"/>
          <w:b/>
          <w:sz w:val="36"/>
          <w:szCs w:val="36"/>
        </w:rPr>
        <w:t>投标保证金交纳须知</w:t>
      </w:r>
    </w:p>
    <w:tbl>
      <w:tblPr>
        <w:tblStyle w:val="15"/>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Ansi="宋体" w:cs="宋体"/>
                <w:bCs/>
                <w:sz w:val="24"/>
              </w:rPr>
            </w:pPr>
            <w:r>
              <w:rPr>
                <w:rFonts w:hint="eastAsia" w:hAnsi="宋体" w:cs="宋体"/>
                <w:bCs/>
                <w:sz w:val="24"/>
              </w:rPr>
              <w:t>建安建工公字〔</w:t>
            </w:r>
            <w:r>
              <w:rPr>
                <w:rFonts w:hAnsi="宋体" w:cs="宋体"/>
                <w:bCs/>
                <w:sz w:val="24"/>
              </w:rPr>
              <w:t>201</w:t>
            </w:r>
            <w:r>
              <w:rPr>
                <w:rFonts w:hint="eastAsia" w:hAnsi="宋体" w:cs="宋体"/>
                <w:bCs/>
                <w:sz w:val="24"/>
                <w:lang w:val="en-US" w:eastAsia="zh-CN"/>
              </w:rPr>
              <w:t>7</w:t>
            </w:r>
            <w:r>
              <w:rPr>
                <w:rFonts w:hint="eastAsia" w:hAnsi="宋体" w:cs="宋体"/>
                <w:bCs/>
                <w:sz w:val="24"/>
              </w:rPr>
              <w:t>〕</w:t>
            </w:r>
            <w:r>
              <w:rPr>
                <w:rFonts w:hint="eastAsia" w:hAnsi="宋体" w:cs="宋体"/>
                <w:bCs/>
                <w:sz w:val="24"/>
                <w:lang w:val="en-US" w:eastAsia="zh-CN"/>
              </w:rPr>
              <w:t>198</w:t>
            </w:r>
            <w:r>
              <w:rPr>
                <w:rFonts w:hint="eastAsia" w:hAnsi="宋体" w:cs="宋体"/>
                <w:bCs/>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Ansi="宋体" w:cs="宋体"/>
                <w:sz w:val="24"/>
                <w:szCs w:val="24"/>
              </w:rPr>
            </w:pPr>
            <w:r>
              <w:rPr>
                <w:rFonts w:hint="eastAsia" w:hAnsi="宋体" w:cs="宋体"/>
                <w:bCs/>
                <w:sz w:val="24"/>
              </w:rPr>
              <w:t>建安建工公字〔2017〕</w:t>
            </w:r>
            <w:r>
              <w:rPr>
                <w:rFonts w:hint="eastAsia" w:hAnsi="宋体" w:cs="宋体"/>
                <w:bCs/>
                <w:sz w:val="24"/>
                <w:lang w:val="en-US" w:eastAsia="zh-CN"/>
              </w:rPr>
              <w:t>198</w:t>
            </w:r>
            <w:r>
              <w:rPr>
                <w:rFonts w:hint="eastAsia" w:hAnsi="宋体" w:cs="宋体"/>
                <w:bCs/>
                <w:sz w:val="24"/>
              </w:rPr>
              <w:t>号</w:t>
            </w:r>
            <w:r>
              <w:rPr>
                <w:rFonts w:hint="eastAsia" w:hAnsi="宋体" w:cs="宋体"/>
                <w:bCs/>
                <w:sz w:val="24"/>
                <w:lang w:eastAsia="zh-CN"/>
              </w:rPr>
              <w:t>张潘镇陶庄村道路工程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hAnsi="宋体" w:eastAsia="宋体" w:cs="宋体"/>
                <w:sz w:val="24"/>
                <w:lang w:eastAsia="zh-CN"/>
              </w:rPr>
            </w:pPr>
            <w:r>
              <w:rPr>
                <w:rFonts w:hint="eastAsia" w:hAnsi="宋体" w:cs="宋体"/>
                <w:sz w:val="24"/>
                <w:lang w:eastAsia="zh-CN"/>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金额：人民币：</w:t>
            </w:r>
            <w:r>
              <w:rPr>
                <w:rFonts w:hint="eastAsia" w:hAnsi="宋体" w:cs="宋体"/>
                <w:sz w:val="24"/>
                <w:lang w:eastAsia="zh-CN"/>
              </w:rPr>
              <w:t>柒万肆仟圆整</w:t>
            </w:r>
            <w:r>
              <w:rPr>
                <w:rFonts w:hint="eastAsia" w:hAnsi="宋体" w:cs="宋体"/>
                <w:sz w:val="24"/>
              </w:rPr>
              <w:t>（</w:t>
            </w:r>
            <w:r>
              <w:rPr>
                <w:rFonts w:hint="eastAsia" w:hAnsi="宋体" w:cs="宋体"/>
                <w:sz w:val="24"/>
                <w:lang w:val="en-US" w:eastAsia="zh-CN"/>
              </w:rPr>
              <w:t>74000.00</w:t>
            </w:r>
            <w:r>
              <w:rPr>
                <w:rFonts w:hint="eastAsia" w:hAnsi="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截止时间：北京时间</w:t>
            </w:r>
            <w:r>
              <w:rPr>
                <w:rFonts w:hAnsi="宋体" w:cs="宋体"/>
                <w:sz w:val="24"/>
              </w:rPr>
              <w:t>2018</w:t>
            </w:r>
            <w:r>
              <w:rPr>
                <w:rFonts w:hint="eastAsia" w:hAnsi="宋体" w:cs="宋体"/>
                <w:sz w:val="24"/>
              </w:rPr>
              <w:t>年</w:t>
            </w:r>
            <w:r>
              <w:rPr>
                <w:rFonts w:hint="eastAsia" w:hAnsi="宋体" w:cs="宋体"/>
                <w:sz w:val="24"/>
                <w:lang w:val="en-US" w:eastAsia="zh-CN"/>
              </w:rPr>
              <w:t>1</w:t>
            </w:r>
            <w:r>
              <w:rPr>
                <w:rFonts w:hint="eastAsia" w:hAnsi="宋体" w:cs="宋体"/>
                <w:sz w:val="24"/>
              </w:rPr>
              <w:t xml:space="preserve"> 月</w:t>
            </w:r>
            <w:r>
              <w:rPr>
                <w:rFonts w:hint="eastAsia" w:hAnsi="宋体" w:cs="宋体"/>
                <w:sz w:val="24"/>
                <w:lang w:val="en-US" w:eastAsia="zh-CN"/>
              </w:rPr>
              <w:t>29</w:t>
            </w:r>
            <w:r>
              <w:rPr>
                <w:rFonts w:hint="eastAsia" w:hAnsi="宋体" w:cs="宋体"/>
                <w:sz w:val="24"/>
              </w:rPr>
              <w:t xml:space="preserve"> 日</w:t>
            </w:r>
            <w:r>
              <w:rPr>
                <w:rFonts w:hAnsi="宋体" w:cs="宋体"/>
                <w:sz w:val="24"/>
              </w:rPr>
              <w:t>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rPr>
            </w:pPr>
            <w:r>
              <w:rPr>
                <w:rFonts w:hAnsi="宋体" w:cs="宋体"/>
                <w:sz w:val="24"/>
              </w:rPr>
              <w:t>1</w:t>
            </w:r>
            <w:r>
              <w:rPr>
                <w:rFonts w:hint="eastAsia" w:hAnsi="宋体" w:cs="宋体"/>
                <w:sz w:val="24"/>
              </w:rPr>
              <w:t>、投标保证金的递交方式：银行转帐、银行电汇（均需从投标人的基本账户汇出），不接受以现金方式缴纳的投标保证金。凡以现金方式缴纳投标保证金而影响其投标结果的，由投标人自行负责。</w:t>
            </w:r>
            <w:r>
              <w:rPr>
                <w:rFonts w:hAnsi="宋体" w:cs="宋体"/>
                <w:sz w:val="24"/>
              </w:rPr>
              <w:t xml:space="preserve"> </w:t>
            </w:r>
          </w:p>
          <w:p>
            <w:pPr>
              <w:spacing w:line="360" w:lineRule="exact"/>
              <w:ind w:firstLine="480" w:firstLineChars="200"/>
              <w:rPr>
                <w:rFonts w:hAnsi="宋体" w:cs="宋体"/>
                <w:sz w:val="24"/>
              </w:rPr>
            </w:pPr>
            <w:r>
              <w:rPr>
                <w:rFonts w:hint="eastAsia" w:hAnsi="宋体"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rPr>
            </w:pPr>
            <w:r>
              <w:rPr>
                <w:rFonts w:hAnsi="宋体" w:cs="宋体"/>
                <w:sz w:val="24"/>
              </w:rPr>
              <w:t>2</w:t>
            </w:r>
            <w:r>
              <w:rPr>
                <w:rFonts w:hint="eastAsia" w:hAnsi="宋体" w:cs="宋体"/>
                <w:sz w:val="24"/>
              </w:rPr>
              <w:t>、投标保证金缴纳方式：</w:t>
            </w:r>
          </w:p>
          <w:p>
            <w:pPr>
              <w:spacing w:line="360" w:lineRule="exact"/>
              <w:ind w:firstLine="480" w:firstLineChars="200"/>
              <w:rPr>
                <w:rFonts w:hAnsi="宋体" w:cs="宋体"/>
                <w:sz w:val="24"/>
              </w:rPr>
            </w:pPr>
            <w:r>
              <w:rPr>
                <w:rFonts w:hAnsi="宋体" w:cs="宋体"/>
                <w:sz w:val="24"/>
              </w:rPr>
              <w:t>2.1</w:t>
            </w:r>
            <w:r>
              <w:rPr>
                <w:rFonts w:hint="eastAsia" w:hAnsi="宋体" w:cs="宋体"/>
                <w:sz w:val="24"/>
              </w:rPr>
              <w:t>投标人网上报名后，登录</w:t>
            </w:r>
            <w:r>
              <w:fldChar w:fldCharType="begin"/>
            </w:r>
            <w:r>
              <w:instrText xml:space="preserve">HYPERLINK "http://221.14.6.70:8088/ggzy"</w:instrText>
            </w:r>
            <w:r>
              <w:fldChar w:fldCharType="separate"/>
            </w:r>
            <w:r>
              <w:rPr>
                <w:rStyle w:val="13"/>
                <w:rFonts w:hAnsi="宋体" w:cs="宋体"/>
                <w:sz w:val="24"/>
              </w:rPr>
              <w:t>http://221.14.6.70:8088/ggzy</w:t>
            </w:r>
            <w:r>
              <w:fldChar w:fldCharType="end"/>
            </w:r>
            <w:r>
              <w:rPr>
                <w:rFonts w:hint="eastAsia" w:hAnsi="宋体"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rPr>
            </w:pPr>
            <w:r>
              <w:rPr>
                <w:rFonts w:hAnsi="宋体" w:cs="宋体"/>
                <w:sz w:val="24"/>
              </w:rPr>
              <w:t>2.2</w:t>
            </w:r>
            <w:r>
              <w:rPr>
                <w:rFonts w:hint="eastAsia" w:hAnsi="宋体" w:cs="宋体"/>
                <w:sz w:val="24"/>
              </w:rPr>
              <w:t>成功缴纳后重新登录前述系统，依次点击“会员向导”→“参与投标”→“保证金绑定”→“绑定”进行投标保证金绑定。</w:t>
            </w:r>
          </w:p>
          <w:p>
            <w:pPr>
              <w:spacing w:line="360" w:lineRule="exact"/>
              <w:ind w:firstLine="480" w:firstLineChars="200"/>
              <w:rPr>
                <w:rFonts w:hAnsi="宋体" w:cs="宋体"/>
                <w:sz w:val="24"/>
              </w:rPr>
            </w:pPr>
            <w:r>
              <w:rPr>
                <w:rFonts w:hAnsi="宋体" w:cs="宋体"/>
                <w:sz w:val="24"/>
              </w:rPr>
              <w:t xml:space="preserve">2.3 </w:t>
            </w:r>
            <w:r>
              <w:rPr>
                <w:rFonts w:hint="eastAsia" w:hAnsi="宋体" w:cs="宋体"/>
                <w:sz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rPr>
            </w:pPr>
            <w:r>
              <w:rPr>
                <w:rFonts w:hAnsi="宋体" w:cs="宋体"/>
                <w:sz w:val="24"/>
              </w:rPr>
              <w:t xml:space="preserve">2.4 </w:t>
            </w:r>
            <w:r>
              <w:rPr>
                <w:rFonts w:hint="eastAsia" w:hAnsi="宋体" w:cs="宋体"/>
                <w:sz w:val="24"/>
              </w:rPr>
              <w:t>每个投标人每个项目每个标段只有唯一缴纳账号，切勿重复缴纳或错误缴纳。</w:t>
            </w:r>
          </w:p>
          <w:p>
            <w:pPr>
              <w:spacing w:line="360" w:lineRule="exact"/>
              <w:ind w:firstLine="480" w:firstLineChars="200"/>
              <w:rPr>
                <w:rFonts w:hAnsi="宋体" w:cs="宋体"/>
                <w:sz w:val="24"/>
              </w:rPr>
            </w:pPr>
            <w:r>
              <w:rPr>
                <w:rFonts w:hAnsi="宋体" w:cs="宋体"/>
                <w:sz w:val="24"/>
              </w:rPr>
              <w:t>3</w:t>
            </w:r>
            <w:r>
              <w:rPr>
                <w:rFonts w:hint="eastAsia" w:hAnsi="宋体" w:cs="宋体"/>
                <w:sz w:val="24"/>
              </w:rPr>
              <w:t>、未按上述规定操作引起的无效投标，由投标人自行负责。</w:t>
            </w:r>
          </w:p>
          <w:p>
            <w:pPr>
              <w:spacing w:line="360" w:lineRule="exact"/>
              <w:ind w:firstLine="480" w:firstLineChars="200"/>
              <w:rPr>
                <w:rFonts w:hAnsi="宋体" w:cs="宋体"/>
                <w:sz w:val="24"/>
              </w:rPr>
            </w:pPr>
            <w:r>
              <w:rPr>
                <w:rFonts w:hAnsi="宋体" w:cs="宋体"/>
                <w:sz w:val="24"/>
              </w:rPr>
              <w:t>4</w:t>
            </w:r>
            <w:r>
              <w:rPr>
                <w:rFonts w:hint="eastAsia" w:hAnsi="宋体" w:cs="宋体"/>
                <w:sz w:val="24"/>
              </w:rPr>
              <w:t>、汇款凭证无须备注项目编号和项目名称。</w:t>
            </w:r>
          </w:p>
          <w:p>
            <w:pPr>
              <w:spacing w:line="360" w:lineRule="exact"/>
              <w:ind w:firstLine="480" w:firstLineChars="200"/>
              <w:rPr>
                <w:rFonts w:hAnsi="宋体" w:cs="宋体"/>
                <w:sz w:val="24"/>
              </w:rPr>
            </w:pPr>
            <w:r>
              <w:rPr>
                <w:rFonts w:hAnsi="宋体" w:cs="宋体"/>
                <w:sz w:val="24"/>
              </w:rPr>
              <w:t>5</w:t>
            </w:r>
            <w:r>
              <w:rPr>
                <w:rFonts w:hint="eastAsia" w:hAnsi="宋体" w:cs="宋体"/>
                <w:sz w:val="24"/>
              </w:rPr>
              <w:t>、出现以下情形造成的投标保证金无效，由投标人自行负责。</w:t>
            </w:r>
          </w:p>
          <w:p>
            <w:pPr>
              <w:spacing w:line="360" w:lineRule="exact"/>
              <w:ind w:firstLine="480" w:firstLineChars="200"/>
              <w:rPr>
                <w:rFonts w:hAnsi="宋体" w:cs="宋体"/>
                <w:sz w:val="24"/>
              </w:rPr>
            </w:pPr>
            <w:r>
              <w:rPr>
                <w:rFonts w:hAnsi="宋体" w:cs="宋体"/>
                <w:sz w:val="24"/>
              </w:rPr>
              <w:t>(1)</w:t>
            </w:r>
            <w:r>
              <w:rPr>
                <w:rFonts w:hint="eastAsia" w:hAnsi="宋体" w:cs="宋体"/>
                <w:sz w:val="24"/>
              </w:rPr>
              <w:t>投标保证金未从投标人的基本账户转出；</w:t>
            </w:r>
          </w:p>
          <w:p>
            <w:pPr>
              <w:spacing w:line="360" w:lineRule="exact"/>
              <w:ind w:firstLine="480" w:firstLineChars="200"/>
              <w:rPr>
                <w:rFonts w:hAnsi="宋体" w:cs="宋体"/>
                <w:sz w:val="24"/>
              </w:rPr>
            </w:pPr>
            <w:r>
              <w:rPr>
                <w:rFonts w:hAnsi="宋体" w:cs="宋体"/>
                <w:sz w:val="24"/>
              </w:rPr>
              <w:t>(2)</w:t>
            </w:r>
            <w:r>
              <w:rPr>
                <w:rFonts w:hint="eastAsia" w:hAnsi="宋体" w:cs="宋体"/>
                <w:sz w:val="24"/>
              </w:rPr>
              <w:t>投标保证金未按照招标文件划分的标段依次转账。</w:t>
            </w:r>
          </w:p>
          <w:p>
            <w:pPr>
              <w:spacing w:line="360" w:lineRule="exact"/>
              <w:ind w:firstLine="480" w:firstLineChars="200"/>
              <w:rPr>
                <w:rFonts w:hAnsi="宋体" w:cs="宋体"/>
                <w:sz w:val="24"/>
              </w:rPr>
            </w:pPr>
            <w:r>
              <w:rPr>
                <w:rFonts w:hAnsi="宋体" w:cs="宋体"/>
                <w:sz w:val="24"/>
              </w:rPr>
              <w:t>6</w:t>
            </w:r>
            <w:r>
              <w:rPr>
                <w:rFonts w:hint="eastAsia" w:hAnsi="宋体" w:cs="宋体"/>
                <w:sz w:val="24"/>
              </w:rPr>
              <w:t>、《保证金缴纳绑定操作指南》获取方法：</w:t>
            </w:r>
          </w:p>
          <w:p>
            <w:pPr>
              <w:spacing w:line="360" w:lineRule="exact"/>
              <w:ind w:firstLine="480" w:firstLineChars="200"/>
              <w:rPr>
                <w:rFonts w:hAnsi="宋体" w:cs="宋体"/>
                <w:sz w:val="24"/>
              </w:rPr>
            </w:pPr>
            <w:r>
              <w:rPr>
                <w:rFonts w:hint="eastAsia" w:hAnsi="宋体" w:cs="宋体"/>
                <w:sz w:val="24"/>
              </w:rPr>
              <w:t>登录</w:t>
            </w:r>
            <w:r>
              <w:rPr>
                <w:rFonts w:hint="eastAsia" w:hAnsi="宋体" w:cs="宋体"/>
                <w:bCs/>
                <w:sz w:val="24"/>
              </w:rPr>
              <w:t>全国公共资源交易平台（河南省</w:t>
            </w:r>
            <w:r>
              <w:rPr>
                <w:rFonts w:hint="eastAsia" w:ascii="MS Mincho" w:hAnsi="MS Mincho" w:eastAsia="MS Mincho" w:cs="MS Mincho"/>
                <w:bCs/>
                <w:sz w:val="24"/>
              </w:rPr>
              <w:t>▪</w:t>
            </w:r>
            <w:r>
              <w:rPr>
                <w:rFonts w:hint="eastAsia" w:hAnsi="宋体" w:cs="宋体"/>
                <w:bCs/>
                <w:sz w:val="24"/>
              </w:rPr>
              <w:t>许昌市）</w:t>
            </w:r>
            <w:r>
              <w:rPr>
                <w:rFonts w:hint="eastAsia" w:hAnsi="宋体" w:cs="宋体"/>
                <w:sz w:val="24"/>
              </w:rPr>
              <w:t>系统</w:t>
            </w:r>
            <w:r>
              <w:rPr>
                <w:rFonts w:hAnsi="宋体" w:cs="宋体"/>
                <w:sz w:val="24"/>
              </w:rPr>
              <w:t>-</w:t>
            </w:r>
            <w:r>
              <w:rPr>
                <w:rFonts w:hint="eastAsia" w:hAnsi="宋体" w:cs="宋体"/>
                <w:sz w:val="24"/>
              </w:rPr>
              <w:t>组件下载</w:t>
            </w:r>
            <w:r>
              <w:rPr>
                <w:rFonts w:hAnsi="宋体" w:cs="宋体"/>
                <w:sz w:val="24"/>
              </w:rPr>
              <w:t>-</w:t>
            </w:r>
            <w:r>
              <w:rPr>
                <w:rFonts w:hint="eastAsia" w:hAnsi="宋体" w:cs="宋体"/>
                <w:sz w:val="24"/>
              </w:rPr>
              <w:t>《保证金缴纳绑定操作指南》</w:t>
            </w:r>
          </w:p>
          <w:p>
            <w:pPr>
              <w:adjustRightInd w:val="0"/>
              <w:spacing w:line="360" w:lineRule="exact"/>
              <w:ind w:firstLine="470" w:firstLineChars="196"/>
              <w:rPr>
                <w:rFonts w:hAnsi="宋体" w:cs="宋体"/>
                <w:sz w:val="24"/>
              </w:rPr>
            </w:pPr>
            <w:r>
              <w:rPr>
                <w:rFonts w:hAnsi="宋体" w:cs="宋体"/>
                <w:bCs/>
                <w:sz w:val="24"/>
              </w:rPr>
              <w:t>7</w:t>
            </w:r>
            <w:r>
              <w:rPr>
                <w:rFonts w:hint="eastAsia" w:hAnsi="宋体" w:cs="宋体"/>
                <w:bCs/>
                <w:sz w:val="24"/>
              </w:rPr>
              <w:t>、自</w:t>
            </w:r>
            <w:r>
              <w:rPr>
                <w:rFonts w:hAnsi="宋体" w:cs="宋体"/>
                <w:bCs/>
                <w:sz w:val="24"/>
              </w:rPr>
              <w:t>2017</w:t>
            </w:r>
            <w:r>
              <w:rPr>
                <w:rFonts w:hint="eastAsia" w:hAnsi="宋体" w:cs="宋体"/>
                <w:bCs/>
                <w:sz w:val="24"/>
              </w:rPr>
              <w:t>年</w:t>
            </w:r>
            <w:r>
              <w:rPr>
                <w:rFonts w:hAnsi="宋体" w:cs="宋体"/>
                <w:bCs/>
                <w:sz w:val="24"/>
              </w:rPr>
              <w:t>10</w:t>
            </w:r>
            <w:r>
              <w:rPr>
                <w:rFonts w:hint="eastAsia" w:hAnsi="宋体" w:cs="宋体"/>
                <w:bCs/>
                <w:sz w:val="24"/>
              </w:rPr>
              <w:t>月</w:t>
            </w:r>
            <w:r>
              <w:rPr>
                <w:rFonts w:hAnsi="宋体" w:cs="宋体"/>
                <w:bCs/>
                <w:sz w:val="24"/>
              </w:rPr>
              <w:t>16</w:t>
            </w:r>
            <w:r>
              <w:rPr>
                <w:rFonts w:hint="eastAsia" w:hAnsi="宋体" w:cs="宋体"/>
                <w:bCs/>
                <w:sz w:val="24"/>
              </w:rPr>
              <w:t>日起，凡投标人投标保证金交纳至同一标段相同子账号的，保证金暂不予退还，并依照《许昌市公共资源交易当事人不良行为管理暂行办法》（许公管委〔</w:t>
            </w:r>
            <w:r>
              <w:rPr>
                <w:rFonts w:hAnsi="宋体" w:cs="宋体"/>
                <w:bCs/>
                <w:sz w:val="24"/>
              </w:rPr>
              <w:t>2017</w:t>
            </w:r>
            <w:r>
              <w:rPr>
                <w:rFonts w:hint="eastAsia" w:hAnsi="宋体" w:cs="宋体"/>
                <w:bCs/>
                <w:sz w:val="24"/>
              </w:rPr>
              <w:t>〕</w:t>
            </w:r>
            <w:r>
              <w:rPr>
                <w:rFonts w:hAnsi="宋体" w:cs="宋体"/>
                <w:bCs/>
                <w:sz w:val="24"/>
              </w:rPr>
              <w:t>1</w:t>
            </w:r>
            <w:r>
              <w:rPr>
                <w:rFonts w:hint="eastAsia" w:hAnsi="宋体" w:cs="宋体"/>
                <w:bCs/>
                <w:sz w:val="24"/>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rPr>
            </w:pPr>
            <w:r>
              <w:rPr>
                <w:rFonts w:hAnsi="宋体" w:cs="宋体"/>
                <w:bCs/>
                <w:sz w:val="24"/>
              </w:rPr>
              <w:t>1</w:t>
            </w:r>
            <w:r>
              <w:rPr>
                <w:rFonts w:hint="eastAsia" w:hAnsi="宋体" w:cs="宋体"/>
                <w:bCs/>
                <w:sz w:val="24"/>
              </w:rPr>
              <w:t>、因投标人的原因无法及时退还投标（竞买）保证金、滞留三年以上的，投标（竞买）保证金上缴财政。</w:t>
            </w:r>
          </w:p>
          <w:p>
            <w:pPr>
              <w:adjustRightInd w:val="0"/>
              <w:spacing w:line="360" w:lineRule="exact"/>
              <w:ind w:firstLine="470" w:firstLineChars="196"/>
              <w:rPr>
                <w:rFonts w:hAnsi="宋体" w:cs="宋体"/>
                <w:bCs/>
                <w:sz w:val="24"/>
              </w:rPr>
            </w:pPr>
            <w:r>
              <w:rPr>
                <w:rFonts w:hAnsi="宋体" w:cs="宋体"/>
                <w:bCs/>
                <w:sz w:val="24"/>
              </w:rPr>
              <w:t>2</w:t>
            </w:r>
            <w:r>
              <w:rPr>
                <w:rFonts w:hint="eastAsia" w:hAnsi="宋体" w:cs="宋体"/>
                <w:bCs/>
                <w:sz w:val="24"/>
              </w:rPr>
              <w:t>、自文件发布之日起，投标人需进行基本户备案（建设工程项目），已备案的基本户开户银行、账户发生变化的，须重新办理备案手续。备案后方可提交投标（竞买）保证金。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rPr>
            </w:pPr>
            <w:r>
              <w:rPr>
                <w:rFonts w:hAnsi="宋体" w:cs="宋体"/>
                <w:bCs/>
                <w:sz w:val="24"/>
              </w:rPr>
              <w:t>3</w:t>
            </w:r>
            <w:r>
              <w:rPr>
                <w:rFonts w:hint="eastAsia" w:hAnsi="宋体" w:cs="宋体"/>
                <w:bCs/>
                <w:sz w:val="24"/>
              </w:rPr>
              <w:t>、基本户备案流程：工程建设项目的投标人登录注册网址：</w:t>
            </w:r>
            <w:r>
              <w:rPr>
                <w:rFonts w:hAnsi="宋体" w:cs="宋体"/>
                <w:bCs/>
                <w:sz w:val="24"/>
              </w:rPr>
              <w:t>http://221.14.6.70:8088/ggzy/</w:t>
            </w:r>
            <w:r>
              <w:rPr>
                <w:rFonts w:hint="eastAsia" w:hAnsi="宋体" w:cs="宋体"/>
                <w:bCs/>
                <w:sz w:val="24"/>
              </w:rPr>
              <w:t>，进行系统用户注册，在注册流程中“银行账户”环节，增加“账户类别</w:t>
            </w:r>
            <w:r>
              <w:rPr>
                <w:rFonts w:hAnsi="宋体" w:cs="宋体"/>
                <w:bCs/>
                <w:sz w:val="24"/>
              </w:rPr>
              <w:t>-</w:t>
            </w:r>
            <w:r>
              <w:rPr>
                <w:rFonts w:hint="eastAsia" w:hAnsi="宋体" w:cs="宋体"/>
                <w:bCs/>
                <w:sz w:val="24"/>
              </w:rPr>
              <w:t>基本账户”，填写投标人基本账户信息，扫描上传基本户开户许可证（两者信息必须相符），保存备案信息，提交并绑定</w:t>
            </w:r>
            <w:r>
              <w:rPr>
                <w:rFonts w:hAnsi="宋体" w:cs="宋体"/>
                <w:bCs/>
                <w:sz w:val="24"/>
              </w:rPr>
              <w:t>CA</w:t>
            </w:r>
            <w:r>
              <w:rPr>
                <w:rFonts w:hint="eastAsia" w:hAnsi="宋体" w:cs="宋体"/>
                <w:bCs/>
                <w:sz w:val="24"/>
              </w:rPr>
              <w:t>后可缴纳、绑定投标保证金。</w:t>
            </w:r>
          </w:p>
          <w:p>
            <w:pPr>
              <w:adjustRightInd w:val="0"/>
              <w:spacing w:line="360" w:lineRule="exact"/>
              <w:ind w:firstLine="470" w:firstLineChars="196"/>
              <w:rPr>
                <w:rFonts w:hAnsi="宋体" w:cs="宋体"/>
                <w:bCs/>
                <w:sz w:val="24"/>
              </w:rPr>
            </w:pPr>
            <w:r>
              <w:rPr>
                <w:rFonts w:hAnsi="宋体" w:cs="宋体"/>
                <w:bCs/>
                <w:sz w:val="24"/>
              </w:rPr>
              <w:t>4</w:t>
            </w:r>
            <w:r>
              <w:rPr>
                <w:rFonts w:hint="eastAsia" w:hAnsi="宋体" w:cs="宋体"/>
                <w:bCs/>
                <w:sz w:val="24"/>
              </w:rPr>
              <w:t>、特殊情况处理</w:t>
            </w:r>
          </w:p>
          <w:p>
            <w:pPr>
              <w:adjustRightInd w:val="0"/>
              <w:spacing w:line="360" w:lineRule="exact"/>
              <w:ind w:firstLine="470" w:firstLineChars="196"/>
              <w:rPr>
                <w:rFonts w:hAnsi="宋体" w:cs="仿宋_GB2312"/>
                <w:sz w:val="24"/>
              </w:rPr>
            </w:pPr>
            <w:r>
              <w:rPr>
                <w:rFonts w:hint="eastAsia" w:hAnsi="宋体" w:cs="宋体"/>
                <w:bCs/>
                <w:sz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hAnsi="宋体" w:cs="宋体"/>
                <w:bCs/>
                <w:sz w:val="24"/>
              </w:rPr>
              <w:t>0374-511</w:t>
            </w:r>
            <w:r>
              <w:rPr>
                <w:rFonts w:hint="eastAsia" w:hAnsi="宋体" w:cs="宋体"/>
                <w:bCs/>
                <w:sz w:val="24"/>
              </w:rPr>
              <w:t>3098）。</w:t>
            </w:r>
          </w:p>
        </w:tc>
      </w:tr>
    </w:tbl>
    <w:p>
      <w:pPr>
        <w:ind w:firstLine="2880" w:firstLineChars="800"/>
        <w:rPr>
          <w:rFonts w:hAnsi="宋体"/>
          <w:sz w:val="36"/>
          <w:szCs w:val="36"/>
        </w:rPr>
      </w:pPr>
    </w:p>
    <w:p>
      <w:pPr>
        <w:ind w:firstLine="2880" w:firstLineChars="800"/>
        <w:rPr>
          <w:rFonts w:hAnsi="宋体"/>
          <w:sz w:val="36"/>
          <w:szCs w:val="36"/>
        </w:rPr>
      </w:pPr>
    </w:p>
    <w:p>
      <w:pPr>
        <w:widowControl/>
        <w:jc w:val="left"/>
        <w:rPr>
          <w:rFonts w:hAnsi="宋体"/>
          <w:sz w:val="36"/>
          <w:szCs w:val="36"/>
        </w:rPr>
      </w:pPr>
      <w:r>
        <w:rPr>
          <w:rFonts w:hAnsi="宋体"/>
          <w:sz w:val="36"/>
          <w:szCs w:val="36"/>
        </w:rPr>
        <w:br w:type="page"/>
      </w:r>
    </w:p>
    <w:p>
      <w:pPr>
        <w:ind w:firstLine="2880" w:firstLineChars="800"/>
        <w:rPr>
          <w:rFonts w:hAnsi="宋体"/>
          <w:sz w:val="36"/>
          <w:szCs w:val="36"/>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r>
        <w:rPr>
          <w:rFonts w:hint="eastAsia" w:hAnsi="宋体"/>
          <w:sz w:val="36"/>
          <w:szCs w:val="36"/>
        </w:rPr>
        <w:t>表</w:t>
      </w:r>
    </w:p>
    <w:tbl>
      <w:tblPr>
        <w:tblStyle w:val="15"/>
        <w:tblW w:w="98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r>
              <w:rPr>
                <w:rFonts w:hint="eastAsia" w:ascii="新宋体" w:hAnsi="新宋体" w:eastAsia="新宋体"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华文中宋"/>
                <w:sz w:val="24"/>
              </w:rPr>
            </w:pPr>
            <w:r>
              <w:rPr>
                <w:rFonts w:hint="eastAsia" w:ascii="新宋体" w:hAnsi="新宋体" w:eastAsia="新宋体" w:cs="新宋体"/>
                <w:sz w:val="24"/>
              </w:rPr>
              <w:t>是□</w:t>
            </w:r>
            <w:r>
              <w:rPr>
                <w:rFonts w:ascii="新宋体" w:hAnsi="新宋体" w:eastAsia="新宋体" w:cs="新宋体"/>
                <w:sz w:val="24"/>
              </w:rPr>
              <w:t xml:space="preserve">   </w:t>
            </w:r>
            <w:r>
              <w:rPr>
                <w:rFonts w:hint="eastAsia" w:ascii="新宋体" w:hAnsi="新宋体" w:eastAsia="新宋体" w:cs="新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eastAsia="华文中宋"/>
                <w:sz w:val="24"/>
              </w:rPr>
            </w:pPr>
            <w:r>
              <w:rPr>
                <w:rFonts w:hint="eastAsia" w:ascii="新宋体" w:hAnsi="新宋体" w:eastAsia="新宋体"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eastAsia="华文中宋"/>
                <w:sz w:val="24"/>
              </w:rPr>
            </w:pPr>
            <w:r>
              <w:rPr>
                <w:rFonts w:hint="eastAsia" w:ascii="新宋体" w:hAnsi="新宋体" w:eastAsia="新宋体" w:cs="新宋体"/>
                <w:sz w:val="24"/>
              </w:rPr>
              <w:t>大写：</w:t>
            </w:r>
            <w:r>
              <w:rPr>
                <w:rFonts w:ascii="新宋体" w:hAnsi="新宋体" w:eastAsia="新宋体" w:cs="新宋体"/>
                <w:sz w:val="24"/>
              </w:rPr>
              <w:t xml:space="preserve">                                    </w:t>
            </w:r>
            <w:r>
              <w:rPr>
                <w:rFonts w:hint="eastAsia" w:ascii="新宋体" w:hAnsi="新宋体" w:eastAsia="新宋体"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华文中宋" w:hAnsi="华文中宋" w:eastAsia="华文中宋"/>
                <w:sz w:val="24"/>
              </w:rPr>
            </w:pPr>
            <w:r>
              <w:rPr>
                <w:rFonts w:hint="eastAsia" w:ascii="新宋体" w:hAnsi="新宋体" w:eastAsia="新宋体"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7"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新宋体" w:hAnsi="新宋体" w:eastAsia="新宋体" w:cs="新宋体"/>
                <w:sz w:val="24"/>
              </w:rPr>
            </w:pPr>
          </w:p>
          <w:p>
            <w:pPr>
              <w:ind w:right="480" w:firstLine="5880" w:firstLineChars="2450"/>
              <w:rPr>
                <w:rFonts w:ascii="华文中宋" w:hAnsi="华文中宋" w:eastAsia="华文中宋"/>
                <w:sz w:val="24"/>
              </w:rPr>
            </w:pPr>
            <w:r>
              <w:rPr>
                <w:rFonts w:hint="eastAsia" w:ascii="新宋体" w:hAnsi="新宋体" w:eastAsia="新宋体" w:cs="新宋体"/>
                <w:sz w:val="24"/>
              </w:rPr>
              <w:t>年</w:t>
            </w:r>
            <w:r>
              <w:rPr>
                <w:rFonts w:ascii="新宋体" w:hAnsi="新宋体" w:eastAsia="新宋体" w:cs="新宋体"/>
                <w:sz w:val="24"/>
              </w:rPr>
              <w:t xml:space="preserve">   </w:t>
            </w:r>
            <w:r>
              <w:rPr>
                <w:rFonts w:hint="eastAsia" w:ascii="新宋体" w:hAnsi="新宋体" w:eastAsia="新宋体" w:cs="新宋体"/>
                <w:sz w:val="24"/>
              </w:rPr>
              <w:t>月</w:t>
            </w:r>
            <w:r>
              <w:rPr>
                <w:rFonts w:ascii="新宋体" w:hAnsi="新宋体" w:eastAsia="新宋体" w:cs="新宋体"/>
                <w:sz w:val="24"/>
              </w:rPr>
              <w:t xml:space="preserve">   </w:t>
            </w:r>
            <w:r>
              <w:rPr>
                <w:rFonts w:hint="eastAsia" w:ascii="新宋体" w:hAnsi="新宋体" w:eastAsia="新宋体" w:cs="新宋体"/>
                <w:sz w:val="24"/>
              </w:rPr>
              <w:t>日</w:t>
            </w:r>
          </w:p>
        </w:tc>
      </w:tr>
    </w:tbl>
    <w:p>
      <w:pPr>
        <w:snapToGrid w:val="0"/>
        <w:spacing w:line="380" w:lineRule="exact"/>
        <w:ind w:firstLine="468" w:firstLineChars="200"/>
        <w:rPr>
          <w:rFonts w:hAnsi="宋体"/>
          <w:spacing w:val="-3"/>
          <w:sz w:val="24"/>
        </w:rPr>
      </w:pPr>
    </w:p>
    <w:p>
      <w:pPr>
        <w:autoSpaceDE w:val="0"/>
        <w:autoSpaceDN w:val="0"/>
        <w:adjustRightInd w:val="0"/>
        <w:snapToGrid w:val="0"/>
        <w:spacing w:line="440" w:lineRule="exact"/>
        <w:jc w:val="center"/>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p>
      <w:pPr>
        <w:autoSpaceDE w:val="0"/>
        <w:autoSpaceDN w:val="0"/>
        <w:adjustRightInd w:val="0"/>
        <w:snapToGrid w:val="0"/>
        <w:spacing w:line="440" w:lineRule="exact"/>
        <w:jc w:val="center"/>
        <w:outlineLvl w:val="0"/>
        <w:rPr>
          <w:rFonts w:hAnsi="宋体" w:cs="黑体"/>
          <w:b/>
          <w:sz w:val="36"/>
          <w:szCs w:val="36"/>
        </w:rPr>
      </w:pPr>
    </w:p>
    <w:p>
      <w:pPr>
        <w:pStyle w:val="2"/>
      </w:pPr>
    </w:p>
    <w:p>
      <w:pPr>
        <w:rPr>
          <w:rFonts w:ascii="宋体" w:hAnsi="宋体"/>
          <w:color w:val="auto"/>
          <w:sz w:val="24"/>
          <w:highlight w:val="none"/>
        </w:rPr>
      </w:pPr>
      <w:bookmarkStart w:id="211" w:name="_Toc234382644"/>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bookmarkEnd w:id="211"/>
    <w:p>
      <w:pPr>
        <w:spacing w:afterLines="50" w:line="440" w:lineRule="exact"/>
        <w:rPr>
          <w:rFonts w:ascii="黑体" w:eastAsia="黑体"/>
          <w:b/>
          <w:color w:val="auto"/>
          <w:sz w:val="24"/>
          <w:highlight w:val="none"/>
        </w:rPr>
      </w:pPr>
      <w:r>
        <w:rPr>
          <w:rFonts w:hint="eastAsia" w:ascii="黑体" w:eastAsia="黑体"/>
          <w:b/>
          <w:color w:val="auto"/>
          <w:sz w:val="24"/>
          <w:highlight w:val="none"/>
        </w:rPr>
        <w:t>附表二：提交证件及业绩格式</w:t>
      </w:r>
    </w:p>
    <w:p>
      <w:pPr>
        <w:spacing w:afterLines="50" w:line="440" w:lineRule="exact"/>
        <w:ind w:firstLine="562" w:firstLineChars="200"/>
        <w:rPr>
          <w:rFonts w:ascii="新宋体" w:hAnsi="新宋体" w:eastAsia="新宋体"/>
          <w:color w:val="auto"/>
          <w:sz w:val="28"/>
          <w:szCs w:val="28"/>
          <w:highlight w:val="none"/>
        </w:rPr>
      </w:pPr>
      <w:r>
        <w:rPr>
          <w:rFonts w:hint="eastAsia" w:ascii="新宋体" w:hAnsi="新宋体" w:eastAsia="新宋体"/>
          <w:b/>
          <w:color w:val="auto"/>
          <w:sz w:val="28"/>
          <w:szCs w:val="28"/>
          <w:highlight w:val="none"/>
          <w:u w:val="single"/>
        </w:rPr>
        <w:t xml:space="preserve">                        </w:t>
      </w:r>
      <w:r>
        <w:rPr>
          <w:rFonts w:hint="eastAsia" w:ascii="新宋体" w:hAnsi="新宋体" w:eastAsia="新宋体"/>
          <w:b/>
          <w:color w:val="auto"/>
          <w:sz w:val="28"/>
          <w:szCs w:val="28"/>
          <w:highlight w:val="none"/>
        </w:rPr>
        <w:t>工程提交证件及业绩提交及领取一览表</w:t>
      </w:r>
    </w:p>
    <w:tbl>
      <w:tblPr>
        <w:tblStyle w:val="15"/>
        <w:tblW w:w="9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149"/>
        <w:gridCol w:w="77"/>
        <w:gridCol w:w="3320"/>
        <w:gridCol w:w="1380"/>
        <w:gridCol w:w="795"/>
        <w:gridCol w:w="219"/>
        <w:gridCol w:w="81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053" w:type="dxa"/>
            <w:gridSpan w:val="2"/>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w:t>
            </w:r>
          </w:p>
        </w:tc>
        <w:tc>
          <w:tcPr>
            <w:tcW w:w="4777" w:type="dxa"/>
            <w:gridSpan w:val="3"/>
            <w:vAlign w:val="center"/>
          </w:tcPr>
          <w:p>
            <w:pPr>
              <w:ind w:firstLine="420" w:firstLineChars="200"/>
              <w:jc w:val="center"/>
              <w:rPr>
                <w:rFonts w:ascii="新宋体" w:hAnsi="新宋体" w:eastAsia="新宋体"/>
                <w:b/>
                <w:color w:val="auto"/>
                <w:szCs w:val="21"/>
                <w:highlight w:val="none"/>
              </w:rPr>
            </w:pPr>
            <w:r>
              <w:rPr>
                <w:rFonts w:hint="eastAsia" w:ascii="新宋体" w:hAnsi="新宋体" w:eastAsia="新宋体"/>
                <w:color w:val="auto"/>
                <w:szCs w:val="21"/>
                <w:highlight w:val="none"/>
              </w:rPr>
              <w:t xml:space="preserve">                            </w:t>
            </w:r>
            <w:r>
              <w:rPr>
                <w:rFonts w:hint="eastAsia" w:ascii="新宋体" w:hAnsi="新宋体" w:eastAsia="新宋体"/>
                <w:b/>
                <w:color w:val="auto"/>
                <w:szCs w:val="21"/>
                <w:highlight w:val="none"/>
              </w:rPr>
              <w:t>（盖章）</w:t>
            </w:r>
          </w:p>
        </w:tc>
        <w:tc>
          <w:tcPr>
            <w:tcW w:w="795"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联系电话</w:t>
            </w:r>
          </w:p>
        </w:tc>
        <w:tc>
          <w:tcPr>
            <w:tcW w:w="1832" w:type="dxa"/>
            <w:gridSpan w:val="3"/>
            <w:vAlign w:val="center"/>
          </w:tcPr>
          <w:p>
            <w:pPr>
              <w:ind w:firstLine="422" w:firstLineChars="200"/>
              <w:jc w:val="center"/>
              <w:rPr>
                <w:rFonts w:ascii="新宋体" w:hAnsi="新宋体" w:eastAsia="新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序号</w:t>
            </w:r>
          </w:p>
        </w:tc>
        <w:tc>
          <w:tcPr>
            <w:tcW w:w="6940" w:type="dxa"/>
            <w:gridSpan w:val="6"/>
            <w:vAlign w:val="center"/>
          </w:tcPr>
          <w:p>
            <w:pPr>
              <w:ind w:firstLine="422" w:firstLineChars="200"/>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证件名称</w:t>
            </w:r>
          </w:p>
        </w:tc>
        <w:tc>
          <w:tcPr>
            <w:tcW w:w="813"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份数</w:t>
            </w:r>
          </w:p>
        </w:tc>
        <w:tc>
          <w:tcPr>
            <w:tcW w:w="800" w:type="dxa"/>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04" w:type="dxa"/>
            <w:vAlign w:val="center"/>
          </w:tcPr>
          <w:p>
            <w:pPr>
              <w:ind w:firstLine="420" w:firstLineChars="200"/>
              <w:jc w:val="center"/>
              <w:rPr>
                <w:rFonts w:ascii="新宋体" w:hAnsi="新宋体" w:eastAsia="新宋体"/>
                <w:color w:val="auto"/>
                <w:szCs w:val="21"/>
                <w:highlight w:val="none"/>
              </w:rPr>
            </w:pPr>
          </w:p>
        </w:tc>
        <w:tc>
          <w:tcPr>
            <w:tcW w:w="6940" w:type="dxa"/>
            <w:gridSpan w:val="6"/>
            <w:vAlign w:val="center"/>
          </w:tcPr>
          <w:p>
            <w:pPr>
              <w:ind w:firstLine="420" w:firstLineChars="200"/>
              <w:jc w:val="center"/>
              <w:rPr>
                <w:rFonts w:ascii="新宋体" w:hAnsi="新宋体" w:eastAsia="新宋体"/>
                <w:color w:val="auto"/>
                <w:szCs w:val="21"/>
                <w:highlight w:val="none"/>
              </w:rPr>
            </w:pPr>
          </w:p>
        </w:tc>
        <w:tc>
          <w:tcPr>
            <w:tcW w:w="813" w:type="dxa"/>
            <w:vAlign w:val="center"/>
          </w:tcPr>
          <w:p>
            <w:pPr>
              <w:ind w:firstLine="420" w:firstLineChars="200"/>
              <w:jc w:val="center"/>
              <w:rPr>
                <w:rFonts w:ascii="新宋体" w:hAnsi="新宋体" w:eastAsia="新宋体"/>
                <w:color w:val="auto"/>
                <w:szCs w:val="21"/>
                <w:highlight w:val="none"/>
              </w:rPr>
            </w:pPr>
          </w:p>
        </w:tc>
        <w:tc>
          <w:tcPr>
            <w:tcW w:w="800" w:type="dxa"/>
            <w:vAlign w:val="center"/>
          </w:tcPr>
          <w:p>
            <w:pPr>
              <w:ind w:firstLine="420" w:firstLineChars="200"/>
              <w:jc w:val="center"/>
              <w:rPr>
                <w:rFonts w:ascii="新宋体" w:hAnsi="新宋体" w:eastAsia="新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提交及归还时间</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提交时间：    年  月   日   时</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领取（归还）时间：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投标单位授权委托人</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提交人签字：</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领取人签字：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130" w:type="dxa"/>
            <w:gridSpan w:val="3"/>
            <w:vAlign w:val="center"/>
          </w:tcPr>
          <w:p>
            <w:pPr>
              <w:jc w:val="center"/>
              <w:rPr>
                <w:rFonts w:ascii="新宋体" w:hAnsi="新宋体" w:eastAsia="新宋体"/>
                <w:b/>
                <w:color w:val="auto"/>
                <w:szCs w:val="21"/>
                <w:highlight w:val="none"/>
              </w:rPr>
            </w:pPr>
            <w:r>
              <w:rPr>
                <w:rFonts w:hint="eastAsia" w:ascii="新宋体" w:hAnsi="新宋体" w:eastAsia="新宋体"/>
                <w:b/>
                <w:color w:val="auto"/>
                <w:szCs w:val="21"/>
                <w:highlight w:val="none"/>
              </w:rPr>
              <w:t>招标人或代理机构</w:t>
            </w:r>
          </w:p>
        </w:tc>
        <w:tc>
          <w:tcPr>
            <w:tcW w:w="3320" w:type="dxa"/>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签收人签字：</w:t>
            </w:r>
          </w:p>
        </w:tc>
        <w:tc>
          <w:tcPr>
            <w:tcW w:w="4007" w:type="dxa"/>
            <w:gridSpan w:val="5"/>
            <w:vAlign w:val="center"/>
          </w:tcPr>
          <w:p>
            <w:pPr>
              <w:rPr>
                <w:rFonts w:ascii="新宋体" w:hAnsi="新宋体" w:eastAsia="新宋体"/>
                <w:b/>
                <w:color w:val="auto"/>
                <w:szCs w:val="21"/>
                <w:highlight w:val="none"/>
              </w:rPr>
            </w:pPr>
            <w:r>
              <w:rPr>
                <w:rFonts w:hint="eastAsia" w:ascii="新宋体" w:hAnsi="新宋体" w:eastAsia="新宋体"/>
                <w:b/>
                <w:color w:val="auto"/>
                <w:szCs w:val="21"/>
                <w:highlight w:val="none"/>
              </w:rPr>
              <w:t>发放人签字：</w:t>
            </w:r>
          </w:p>
        </w:tc>
      </w:tr>
    </w:tbl>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注：</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1、投标人向评标委员会提交的所有证书及相关材料应打印目录并加盖公章；</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2、提交时按该目录对照核查，未打印到目录上的证件经双方共同签字予以接收，目录上有而证件原件中没有的经招标代理机构和投标人双方确认后，共同签字取消该项。</w:t>
      </w:r>
    </w:p>
    <w:p>
      <w:pPr>
        <w:spacing w:line="440" w:lineRule="exact"/>
        <w:ind w:right="-134" w:rightChars="-64" w:firstLine="420" w:firstLineChars="200"/>
        <w:rPr>
          <w:rFonts w:ascii="新宋体" w:hAnsi="新宋体" w:eastAsia="新宋体"/>
          <w:color w:val="auto"/>
          <w:szCs w:val="21"/>
          <w:highlight w:val="none"/>
        </w:rPr>
      </w:pPr>
      <w:r>
        <w:rPr>
          <w:rFonts w:hint="eastAsia" w:ascii="新宋体" w:hAnsi="新宋体" w:eastAsia="新宋体"/>
          <w:color w:val="auto"/>
          <w:szCs w:val="21"/>
          <w:highlight w:val="none"/>
        </w:rPr>
        <w:t>3、招标人或委托的代理机构和投标单位委托人双方对照目录核查后，由双方签字确认。</w:t>
      </w:r>
    </w:p>
    <w:p>
      <w:pPr>
        <w:pStyle w:val="4"/>
        <w:spacing w:beforeLines="50" w:after="0" w:line="400" w:lineRule="exact"/>
        <w:rPr>
          <w:rFonts w:ascii="黑体" w:hAnsi="宋体" w:eastAsia="黑体"/>
          <w:color w:val="auto"/>
          <w:sz w:val="24"/>
          <w:szCs w:val="24"/>
          <w:highlight w:val="none"/>
          <w:vertAlign w:val="superscript"/>
        </w:rPr>
      </w:pPr>
      <w:r>
        <w:rPr>
          <w:rFonts w:hint="eastAsia" w:ascii="新宋体" w:hAnsi="新宋体" w:eastAsia="新宋体"/>
          <w:b w:val="0"/>
          <w:bCs w:val="0"/>
          <w:color w:val="auto"/>
          <w:kern w:val="2"/>
          <w:sz w:val="21"/>
          <w:szCs w:val="21"/>
          <w:highlight w:val="none"/>
        </w:rPr>
        <w:t xml:space="preserve">    </w:t>
      </w:r>
      <w:bookmarkStart w:id="212" w:name="_Toc2916"/>
      <w:bookmarkStart w:id="213" w:name="_Toc486277914"/>
      <w:bookmarkStart w:id="214" w:name="_Toc485889053"/>
      <w:r>
        <w:rPr>
          <w:rFonts w:hint="eastAsia" w:ascii="新宋体" w:hAnsi="新宋体" w:eastAsia="新宋体"/>
          <w:b w:val="0"/>
          <w:bCs w:val="0"/>
          <w:color w:val="auto"/>
          <w:kern w:val="2"/>
          <w:sz w:val="21"/>
          <w:szCs w:val="21"/>
          <w:highlight w:val="none"/>
        </w:rPr>
        <w:t>4、评标委员会依法成立后，不再接受投标人任何材料。</w:t>
      </w:r>
      <w:r>
        <w:rPr>
          <w:rFonts w:hint="eastAsia" w:ascii="黑体" w:hAnsi="宋体" w:eastAsia="黑体"/>
          <w:color w:val="auto"/>
          <w:sz w:val="24"/>
          <w:szCs w:val="24"/>
          <w:highlight w:val="none"/>
        </w:rPr>
        <w:br w:type="page"/>
      </w:r>
      <w:r>
        <w:rPr>
          <w:rFonts w:hint="eastAsia" w:ascii="黑体" w:hAnsi="宋体" w:eastAsia="黑体"/>
          <w:color w:val="auto"/>
          <w:sz w:val="24"/>
          <w:szCs w:val="24"/>
          <w:highlight w:val="none"/>
        </w:rPr>
        <w:t>附表三：开标记录表</w:t>
      </w:r>
      <w:bookmarkEnd w:id="212"/>
      <w:bookmarkEnd w:id="213"/>
      <w:bookmarkEnd w:id="214"/>
    </w:p>
    <w:p>
      <w:pPr>
        <w:rPr>
          <w:rFonts w:ascii="宋体" w:hAnsi="宋体"/>
          <w:color w:val="auto"/>
          <w:sz w:val="24"/>
          <w:highlight w:val="none"/>
        </w:rPr>
      </w:pPr>
    </w:p>
    <w:p>
      <w:pPr>
        <w:pStyle w:val="4"/>
        <w:spacing w:beforeLines="50" w:afterLines="50" w:line="40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u w:val="single"/>
        </w:rPr>
        <w:t xml:space="preserve">      </w:t>
      </w:r>
      <w:bookmarkStart w:id="215" w:name="_Toc15502"/>
      <w:bookmarkStart w:id="216" w:name="_Toc485889054"/>
      <w:bookmarkStart w:id="217" w:name="_Toc234382645"/>
      <w:bookmarkStart w:id="218" w:name="_Toc486277915"/>
      <w:r>
        <w:rPr>
          <w:rFonts w:ascii="黑体" w:hAnsi="宋体" w:eastAsia="黑体"/>
          <w:color w:val="auto"/>
          <w:sz w:val="28"/>
          <w:szCs w:val="28"/>
          <w:highlight w:val="none"/>
        </w:rPr>
        <w:t>（项目名称）</w:t>
      </w:r>
      <w:r>
        <w:rPr>
          <w:rFonts w:hint="eastAsia" w:ascii="黑体" w:hAnsi="宋体" w:eastAsia="黑体"/>
          <w:color w:val="auto"/>
          <w:sz w:val="28"/>
          <w:szCs w:val="28"/>
          <w:highlight w:val="none"/>
          <w:u w:val="single"/>
        </w:rPr>
        <w:t xml:space="preserve">    </w:t>
      </w:r>
      <w:r>
        <w:rPr>
          <w:rFonts w:ascii="黑体" w:hAnsi="宋体" w:eastAsia="黑体"/>
          <w:color w:val="auto"/>
          <w:sz w:val="28"/>
          <w:szCs w:val="28"/>
          <w:highlight w:val="none"/>
        </w:rPr>
        <w:t>标段施工开标记录表</w:t>
      </w:r>
      <w:bookmarkEnd w:id="215"/>
      <w:bookmarkEnd w:id="216"/>
      <w:bookmarkEnd w:id="217"/>
      <w:bookmarkEnd w:id="218"/>
    </w:p>
    <w:p>
      <w:pPr>
        <w:jc w:val="right"/>
        <w:rPr>
          <w:rFonts w:ascii="宋体" w:hAnsi="宋体"/>
          <w:color w:val="auto"/>
          <w:sz w:val="24"/>
          <w:highlight w:val="none"/>
        </w:rPr>
      </w:pPr>
      <w:r>
        <w:rPr>
          <w:rFonts w:ascii="宋体" w:hAnsi="宋体"/>
          <w:color w:val="auto"/>
          <w:sz w:val="24"/>
          <w:highlight w:val="none"/>
        </w:rPr>
        <w:t>开标时间：</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w:t>
      </w:r>
      <w:r>
        <w:rPr>
          <w:rFonts w:hint="eastAsia" w:ascii="宋体" w:hAnsi="宋体"/>
          <w:color w:val="auto"/>
          <w:sz w:val="24"/>
          <w:highlight w:val="none"/>
          <w:u w:val="single"/>
        </w:rPr>
        <w:t xml:space="preserve">    </w:t>
      </w:r>
      <w:r>
        <w:rPr>
          <w:rFonts w:ascii="宋体" w:hAnsi="宋体"/>
          <w:color w:val="auto"/>
          <w:sz w:val="24"/>
          <w:highlight w:val="none"/>
        </w:rPr>
        <w:t>分</w:t>
      </w:r>
    </w:p>
    <w:tbl>
      <w:tblPr>
        <w:tblStyle w:val="15"/>
        <w:tblW w:w="9037" w:type="dxa"/>
        <w:jc w:val="center"/>
        <w:tblInd w:w="0" w:type="dxa"/>
        <w:tblLayout w:type="fixed"/>
        <w:tblCellMar>
          <w:top w:w="0" w:type="dxa"/>
          <w:left w:w="0" w:type="dxa"/>
          <w:bottom w:w="0" w:type="dxa"/>
          <w:right w:w="0" w:type="dxa"/>
        </w:tblCellMar>
      </w:tblPr>
      <w:tblGrid>
        <w:gridCol w:w="1011"/>
        <w:gridCol w:w="1012"/>
        <w:gridCol w:w="1012"/>
        <w:gridCol w:w="1289"/>
        <w:gridCol w:w="1253"/>
        <w:gridCol w:w="1401"/>
        <w:gridCol w:w="1032"/>
        <w:gridCol w:w="1027"/>
      </w:tblGrid>
      <w:tr>
        <w:tblPrEx>
          <w:tblLayout w:type="fixed"/>
          <w:tblCellMar>
            <w:top w:w="0" w:type="dxa"/>
            <w:left w:w="0" w:type="dxa"/>
            <w:bottom w:w="0" w:type="dxa"/>
            <w:right w:w="0" w:type="dxa"/>
          </w:tblCellMar>
        </w:tblPrEx>
        <w:trPr>
          <w:trHeight w:val="861"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投标人</w:t>
            </w: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送达情况</w:t>
            </w: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密封情况</w:t>
            </w: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zCs w:val="21"/>
                <w:highlight w:val="none"/>
              </w:rPr>
            </w:pPr>
            <w:r>
              <w:rPr>
                <w:rFonts w:hint="eastAsia" w:ascii="宋体" w:hAnsi="宋体"/>
                <w:color w:val="auto"/>
                <w:szCs w:val="21"/>
                <w:highlight w:val="none"/>
              </w:rPr>
              <w:t>（元）</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是否超过投标控制价上限</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签名</w:t>
            </w: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1011"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253"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auto"/>
                <w:szCs w:val="21"/>
                <w:highlight w:val="none"/>
              </w:rPr>
            </w:pPr>
          </w:p>
        </w:tc>
      </w:tr>
      <w:tr>
        <w:tblPrEx>
          <w:tblLayout w:type="fixed"/>
          <w:tblCellMar>
            <w:top w:w="0" w:type="dxa"/>
            <w:left w:w="0" w:type="dxa"/>
            <w:bottom w:w="0" w:type="dxa"/>
            <w:right w:w="0" w:type="dxa"/>
          </w:tblCellMar>
        </w:tblPrEx>
        <w:trPr>
          <w:trHeight w:val="615" w:hRule="atLeast"/>
          <w:jc w:val="center"/>
        </w:trPr>
        <w:tc>
          <w:tcPr>
            <w:tcW w:w="4324" w:type="dxa"/>
            <w:gridSpan w:val="4"/>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招标人编制的标底或投标控制价上限（如有）</w:t>
            </w:r>
          </w:p>
        </w:tc>
        <w:tc>
          <w:tcPr>
            <w:tcW w:w="1253" w:type="dxa"/>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40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32"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c>
          <w:tcPr>
            <w:tcW w:w="102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olor w:val="auto"/>
                <w:szCs w:val="21"/>
                <w:highlight w:val="none"/>
              </w:rPr>
            </w:pPr>
          </w:p>
        </w:tc>
      </w:tr>
    </w:tbl>
    <w:p>
      <w:pPr>
        <w:rPr>
          <w:rFonts w:ascii="宋体" w:hAnsi="宋体"/>
          <w:color w:val="auto"/>
          <w:sz w:val="24"/>
          <w:highlight w:val="none"/>
        </w:rPr>
      </w:pPr>
    </w:p>
    <w:p>
      <w:pPr>
        <w:rPr>
          <w:rFonts w:ascii="宋体" w:hAnsi="宋体"/>
          <w:color w:val="auto"/>
          <w:sz w:val="24"/>
          <w:highlight w:val="none"/>
          <w:u w:val="single"/>
        </w:rPr>
      </w:pPr>
      <w:r>
        <w:rPr>
          <w:rFonts w:ascii="宋体" w:hAnsi="宋体"/>
          <w:color w:val="auto"/>
          <w:sz w:val="24"/>
          <w:highlight w:val="none"/>
        </w:rPr>
        <w:t>招标人代表：</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宋体" w:hAnsi="宋体"/>
          <w:color w:val="auto"/>
          <w:sz w:val="24"/>
          <w:highlight w:val="none"/>
        </w:rPr>
        <w:t>记录人：</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监标人：</w:t>
      </w:r>
      <w:r>
        <w:rPr>
          <w:rFonts w:hint="eastAsia" w:ascii="宋体" w:hAnsi="宋体"/>
          <w:color w:val="auto"/>
          <w:sz w:val="24"/>
          <w:highlight w:val="none"/>
          <w:u w:val="single"/>
        </w:rPr>
        <w:t xml:space="preserve">          </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黑体" w:hAnsi="宋体" w:eastAsia="黑体"/>
          <w:b/>
          <w:color w:val="auto"/>
          <w:sz w:val="24"/>
          <w:highlight w:val="none"/>
        </w:rPr>
      </w:pPr>
      <w:r>
        <w:rPr>
          <w:rFonts w:ascii="宋体" w:hAnsi="宋体"/>
          <w:color w:val="auto"/>
          <w:sz w:val="24"/>
          <w:highlight w:val="none"/>
        </w:rPr>
        <w:br w:type="page"/>
      </w:r>
      <w:bookmarkStart w:id="219" w:name="_Toc234382646"/>
      <w:r>
        <w:rPr>
          <w:rFonts w:ascii="黑体" w:hAnsi="宋体" w:eastAsia="黑体"/>
          <w:b/>
          <w:color w:val="auto"/>
          <w:sz w:val="24"/>
          <w:highlight w:val="none"/>
        </w:rPr>
        <w:t>附表</w:t>
      </w:r>
      <w:r>
        <w:rPr>
          <w:rFonts w:hint="eastAsia" w:ascii="黑体" w:hAnsi="宋体" w:eastAsia="黑体"/>
          <w:b/>
          <w:color w:val="auto"/>
          <w:sz w:val="24"/>
          <w:highlight w:val="none"/>
        </w:rPr>
        <w:t>四</w:t>
      </w:r>
      <w:r>
        <w:rPr>
          <w:rFonts w:ascii="黑体" w:hAnsi="宋体" w:eastAsia="黑体"/>
          <w:b/>
          <w:color w:val="auto"/>
          <w:sz w:val="24"/>
          <w:highlight w:val="none"/>
        </w:rPr>
        <w:t>：问题澄清通知</w:t>
      </w:r>
      <w:bookmarkEnd w:id="219"/>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hint="eastAsia" w:ascii="黑体" w:hAnsi="宋体" w:eastAsia="黑体"/>
          <w:b/>
          <w:bCs/>
          <w:color w:val="auto"/>
          <w:kern w:val="44"/>
          <w:sz w:val="28"/>
          <w:szCs w:val="28"/>
          <w:highlight w:val="none"/>
        </w:rPr>
        <w:t>问题澄清通知</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u w:val="single"/>
        </w:rPr>
        <w:t>（投标人名称）</w:t>
      </w: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标段施工招标的评标委员会，对你方的投标文件进行了仔细的审查，现需你方对下列问题以书面形式予以澄清：</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请将上述问题的澄清于</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时前递交至</w:t>
      </w:r>
      <w:r>
        <w:rPr>
          <w:rFonts w:hint="eastAsia" w:ascii="宋体" w:hAnsi="宋体"/>
          <w:color w:val="auto"/>
          <w:sz w:val="24"/>
          <w:highlight w:val="none"/>
          <w:u w:val="single"/>
        </w:rPr>
        <w:t xml:space="preserve">             </w:t>
      </w:r>
      <w:r>
        <w:rPr>
          <w:rFonts w:ascii="宋体" w:hAnsi="宋体"/>
          <w:color w:val="auto"/>
          <w:sz w:val="24"/>
          <w:highlight w:val="none"/>
        </w:rPr>
        <w:t>（详细地址）或传真至</w:t>
      </w:r>
      <w:r>
        <w:rPr>
          <w:rFonts w:hint="eastAsia" w:ascii="宋体" w:hAnsi="宋体"/>
          <w:color w:val="auto"/>
          <w:sz w:val="24"/>
          <w:highlight w:val="none"/>
          <w:u w:val="single"/>
        </w:rPr>
        <w:t xml:space="preserve">           </w:t>
      </w:r>
      <w:r>
        <w:rPr>
          <w:rFonts w:ascii="宋体" w:hAnsi="宋体"/>
          <w:color w:val="auto"/>
          <w:sz w:val="24"/>
          <w:highlight w:val="none"/>
        </w:rPr>
        <w:t>（传真号码）。采用传真方式的，应在</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r>
        <w:rPr>
          <w:rFonts w:hint="eastAsia" w:ascii="宋体" w:hAnsi="宋体"/>
          <w:color w:val="auto"/>
          <w:sz w:val="24"/>
          <w:highlight w:val="none"/>
          <w:u w:val="single"/>
        </w:rPr>
        <w:t xml:space="preserve">    </w:t>
      </w:r>
      <w:r>
        <w:rPr>
          <w:rFonts w:ascii="宋体" w:hAnsi="宋体"/>
          <w:color w:val="auto"/>
          <w:sz w:val="24"/>
          <w:highlight w:val="none"/>
        </w:rPr>
        <w:t>时前将原件递交至</w:t>
      </w:r>
      <w:r>
        <w:rPr>
          <w:rFonts w:hint="eastAsia" w:ascii="宋体" w:hAnsi="宋体"/>
          <w:color w:val="auto"/>
          <w:sz w:val="24"/>
          <w:highlight w:val="none"/>
          <w:u w:val="single"/>
        </w:rPr>
        <w:t xml:space="preserve">           </w:t>
      </w:r>
      <w:r>
        <w:rPr>
          <w:rFonts w:ascii="宋体" w:hAnsi="宋体"/>
          <w:color w:val="auto"/>
          <w:sz w:val="24"/>
          <w:highlight w:val="none"/>
        </w:rPr>
        <w:t>（详细地址）。</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u w:val="singl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（项目名称）  标段施工招标评标委员会</w:t>
      </w:r>
    </w:p>
    <w:p>
      <w:pPr>
        <w:jc w:val="right"/>
        <w:rPr>
          <w:rFonts w:ascii="宋体" w:hAnsi="宋体"/>
          <w:color w:val="auto"/>
          <w:sz w:val="24"/>
          <w:highlight w:val="none"/>
          <w:u w:val="single"/>
        </w:rPr>
      </w:pPr>
      <w:r>
        <w:rPr>
          <w:rFonts w:hint="eastAsia" w:ascii="宋体" w:hAnsi="宋体"/>
          <w:color w:val="auto"/>
          <w:sz w:val="24"/>
          <w:highlight w:val="none"/>
          <w:u w:val="single"/>
        </w:rPr>
        <w:t>招标人</w:t>
      </w:r>
      <w:r>
        <w:rPr>
          <w:rFonts w:ascii="宋体" w:hAnsi="宋体"/>
          <w:color w:val="auto"/>
          <w:sz w:val="24"/>
          <w:highlight w:val="none"/>
          <w:u w:val="single"/>
        </w:rPr>
        <w:t>：</w:t>
      </w:r>
      <w:r>
        <w:rPr>
          <w:rFonts w:hint="eastAsia" w:ascii="宋体" w:hAnsi="宋体"/>
          <w:color w:val="auto"/>
          <w:sz w:val="24"/>
          <w:highlight w:val="none"/>
          <w:u w:val="single"/>
        </w:rPr>
        <w:t xml:space="preserve">                  </w:t>
      </w:r>
      <w:r>
        <w:rPr>
          <w:rFonts w:ascii="宋体" w:hAnsi="宋体"/>
          <w:color w:val="auto"/>
          <w:sz w:val="24"/>
          <w:highlight w:val="none"/>
          <w:u w:val="single"/>
        </w:rPr>
        <w:t>（</w:t>
      </w:r>
      <w:r>
        <w:rPr>
          <w:rFonts w:hint="eastAsia" w:ascii="宋体" w:hAnsi="宋体"/>
          <w:color w:val="auto"/>
          <w:sz w:val="24"/>
          <w:highlight w:val="none"/>
          <w:u w:val="single"/>
        </w:rPr>
        <w:t>盖单位章</w:t>
      </w:r>
      <w:r>
        <w:rPr>
          <w:rFonts w:ascii="宋体" w:hAnsi="宋体"/>
          <w:color w:val="auto"/>
          <w:sz w:val="24"/>
          <w:highlight w:val="none"/>
          <w:u w:val="singl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20" w:name="_Toc234382647"/>
      <w:r>
        <w:rPr>
          <w:rFonts w:ascii="黑体" w:hAnsi="宋体" w:eastAsia="黑体"/>
          <w:b/>
          <w:color w:val="auto"/>
          <w:sz w:val="24"/>
          <w:highlight w:val="none"/>
        </w:rPr>
        <w:t>附表</w:t>
      </w:r>
      <w:r>
        <w:rPr>
          <w:rFonts w:hint="eastAsia" w:ascii="黑体" w:hAnsi="宋体" w:eastAsia="黑体"/>
          <w:b/>
          <w:color w:val="auto"/>
          <w:sz w:val="24"/>
          <w:highlight w:val="none"/>
        </w:rPr>
        <w:t>五</w:t>
      </w:r>
      <w:r>
        <w:rPr>
          <w:rFonts w:ascii="黑体" w:hAnsi="宋体" w:eastAsia="黑体"/>
          <w:b/>
          <w:color w:val="auto"/>
          <w:sz w:val="24"/>
          <w:highlight w:val="none"/>
        </w:rPr>
        <w:t>：问题的澄清</w:t>
      </w:r>
      <w:bookmarkEnd w:id="220"/>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ascii="黑体" w:hAnsi="宋体" w:eastAsia="黑体"/>
          <w:b/>
          <w:bCs/>
          <w:color w:val="auto"/>
          <w:kern w:val="44"/>
          <w:sz w:val="28"/>
          <w:szCs w:val="28"/>
          <w:highlight w:val="none"/>
        </w:rPr>
        <w:t>问题的澄清</w:t>
      </w:r>
    </w:p>
    <w:p>
      <w:pPr>
        <w:rPr>
          <w:rFonts w:ascii="宋体" w:hAnsi="宋体"/>
          <w:color w:val="auto"/>
          <w:sz w:val="24"/>
          <w:highlight w:val="none"/>
        </w:rPr>
      </w:pPr>
    </w:p>
    <w:p>
      <w:pPr>
        <w:jc w:val="center"/>
        <w:rPr>
          <w:rFonts w:ascii="宋体" w:hAnsi="宋体"/>
          <w:color w:val="auto"/>
          <w:sz w:val="24"/>
          <w:highlight w:val="none"/>
        </w:rPr>
      </w:pPr>
      <w:r>
        <w:rPr>
          <w:rFonts w:ascii="宋体" w:hAnsi="宋体"/>
          <w:color w:val="auto"/>
          <w:sz w:val="24"/>
          <w:highlight w:val="none"/>
        </w:rPr>
        <w:t>编号：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 xml:space="preserve">标段施工招标评标委员会：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问题澄清通知（编号：</w:t>
      </w:r>
      <w:r>
        <w:rPr>
          <w:rFonts w:hint="eastAsia" w:ascii="宋体" w:hAnsi="宋体"/>
          <w:color w:val="auto"/>
          <w:sz w:val="24"/>
          <w:highlight w:val="none"/>
          <w:u w:val="single"/>
        </w:rPr>
        <w:t xml:space="preserve">      </w:t>
      </w:r>
      <w:r>
        <w:rPr>
          <w:rFonts w:ascii="宋体" w:hAnsi="宋体"/>
          <w:color w:val="auto"/>
          <w:sz w:val="24"/>
          <w:highlight w:val="none"/>
        </w:rPr>
        <w:t>）已收悉，现澄清如下：</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1. </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 xml:space="preserve">2. </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rPr>
        <w:t>.....</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4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21" w:name="_Toc234382648"/>
      <w:r>
        <w:rPr>
          <w:rFonts w:ascii="黑体" w:hAnsi="宋体" w:eastAsia="黑体"/>
          <w:b/>
          <w:color w:val="auto"/>
          <w:sz w:val="24"/>
          <w:highlight w:val="none"/>
        </w:rPr>
        <w:t>附表</w:t>
      </w:r>
      <w:r>
        <w:rPr>
          <w:rFonts w:hint="eastAsia" w:ascii="黑体" w:hAnsi="宋体" w:eastAsia="黑体"/>
          <w:b/>
          <w:color w:val="auto"/>
          <w:sz w:val="24"/>
          <w:highlight w:val="none"/>
        </w:rPr>
        <w:t>六</w:t>
      </w:r>
      <w:r>
        <w:rPr>
          <w:rFonts w:ascii="黑体" w:hAnsi="宋体" w:eastAsia="黑体"/>
          <w:b/>
          <w:color w:val="auto"/>
          <w:sz w:val="24"/>
          <w:highlight w:val="none"/>
        </w:rPr>
        <w:t>：中标通知书</w:t>
      </w:r>
      <w:bookmarkEnd w:id="221"/>
    </w:p>
    <w:p>
      <w:pPr>
        <w:jc w:val="center"/>
        <w:rPr>
          <w:b/>
          <w:color w:val="auto"/>
          <w:sz w:val="44"/>
          <w:szCs w:val="44"/>
          <w:highlight w:val="none"/>
        </w:rPr>
      </w:pPr>
      <w:r>
        <w:rPr>
          <w:rFonts w:hint="eastAsia"/>
          <w:b/>
          <w:color w:val="auto"/>
          <w:sz w:val="44"/>
          <w:szCs w:val="44"/>
          <w:highlight w:val="none"/>
        </w:rPr>
        <w:t>中 标 通 知 书</w:t>
      </w:r>
    </w:p>
    <w:p>
      <w:pPr>
        <w:ind w:right="-208" w:rightChars="-99"/>
        <w:jc w:val="center"/>
        <w:rPr>
          <w:color w:val="auto"/>
          <w:highlight w:val="none"/>
          <w:u w:val="single"/>
        </w:rPr>
      </w:pPr>
      <w:r>
        <w:rPr>
          <w:rFonts w:hint="eastAsia"/>
          <w:color w:val="auto"/>
          <w:highlight w:val="none"/>
        </w:rPr>
        <w:t xml:space="preserve">                                                      编号：</w:t>
      </w:r>
      <w:r>
        <w:rPr>
          <w:rFonts w:hint="eastAsia"/>
          <w:color w:val="auto"/>
          <w:highlight w:val="none"/>
          <w:u w:val="single"/>
        </w:rPr>
        <w:t xml:space="preserve">            </w:t>
      </w:r>
      <w:r>
        <w:rPr>
          <w:rFonts w:hint="eastAsia" w:ascii="宋体" w:hAnsi="宋体"/>
          <w:color w:val="auto"/>
          <w:spacing w:val="1"/>
          <w:kern w:val="0"/>
          <w:szCs w:val="21"/>
          <w:highlight w:val="none"/>
          <w:u w:val="single"/>
        </w:rPr>
        <w:t>合同段</w:t>
      </w:r>
      <w:r>
        <w:rPr>
          <w:rFonts w:hint="eastAsia"/>
          <w:color w:val="auto"/>
          <w:highlight w:val="none"/>
          <w:u w:val="single"/>
        </w:rPr>
        <w:t xml:space="preserve"> </w:t>
      </w:r>
    </w:p>
    <w:p>
      <w:pPr>
        <w:ind w:right="-208" w:rightChars="-99"/>
        <w:rPr>
          <w:color w:val="auto"/>
          <w:highlight w:val="none"/>
          <w:u w:val="single"/>
        </w:rPr>
      </w:pPr>
      <w:r>
        <w:rPr>
          <w:rFonts w:hint="eastAsia" w:ascii="宋体" w:hAnsi="宋体"/>
          <w:color w:val="auto"/>
          <w:szCs w:val="21"/>
          <w:highlight w:val="none"/>
          <w:u w:val="single"/>
        </w:rPr>
        <w:t xml:space="preserve">            </w:t>
      </w:r>
      <w:r>
        <w:rPr>
          <w:rFonts w:ascii="宋体" w:hAnsi="宋体"/>
          <w:color w:val="auto"/>
          <w:szCs w:val="21"/>
          <w:highlight w:val="none"/>
        </w:rPr>
        <w:t>（中标人名称）：</w:t>
      </w:r>
    </w:p>
    <w:p>
      <w:pPr>
        <w:spacing w:line="460" w:lineRule="exact"/>
        <w:ind w:left="-178" w:leftChars="-85" w:right="-208" w:rightChars="-99" w:firstLine="420" w:firstLineChars="200"/>
        <w:rPr>
          <w:color w:val="auto"/>
          <w:szCs w:val="21"/>
          <w:highlight w:val="none"/>
        </w:rPr>
      </w:pPr>
      <w:r>
        <w:rPr>
          <w:rFonts w:hint="eastAsia"/>
          <w:color w:val="auto"/>
          <w:szCs w:val="21"/>
          <w:highlight w:val="none"/>
        </w:rPr>
        <w:t>根据</w:t>
      </w:r>
      <w:r>
        <w:rPr>
          <w:rFonts w:hint="eastAsia"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color w:val="auto"/>
          <w:szCs w:val="21"/>
          <w:highlight w:val="none"/>
          <w:u w:val="single"/>
        </w:rPr>
        <w:t xml:space="preserve">      </w:t>
      </w:r>
      <w:r>
        <w:rPr>
          <w:rFonts w:ascii="宋体" w:hAnsi="宋体"/>
          <w:color w:val="auto"/>
          <w:szCs w:val="21"/>
          <w:highlight w:val="none"/>
        </w:rPr>
        <w:t>标段</w:t>
      </w:r>
      <w:r>
        <w:rPr>
          <w:rFonts w:hint="eastAsia"/>
          <w:color w:val="auto"/>
          <w:szCs w:val="21"/>
          <w:highlight w:val="none"/>
        </w:rPr>
        <w:t>招标文件和贵公司</w:t>
      </w:r>
      <w:r>
        <w:rPr>
          <w:rFonts w:ascii="宋体" w:hAnsi="宋体"/>
          <w:color w:val="auto"/>
          <w:szCs w:val="21"/>
          <w:highlight w:val="none"/>
        </w:rPr>
        <w:t>于</w:t>
      </w:r>
      <w:r>
        <w:rPr>
          <w:rFonts w:hint="eastAsia" w:ascii="宋体" w:hAnsi="宋体"/>
          <w:color w:val="auto"/>
          <w:szCs w:val="21"/>
          <w:highlight w:val="none"/>
          <w:u w:val="single"/>
        </w:rPr>
        <w:t xml:space="preserve">        </w:t>
      </w:r>
      <w:r>
        <w:rPr>
          <w:rFonts w:ascii="宋体" w:hAnsi="宋体"/>
          <w:color w:val="auto"/>
          <w:szCs w:val="21"/>
          <w:highlight w:val="none"/>
        </w:rPr>
        <w:t>（投标日期）所递交的投标文件</w:t>
      </w:r>
      <w:r>
        <w:rPr>
          <w:rFonts w:hint="eastAsia" w:ascii="宋体" w:hAnsi="宋体"/>
          <w:color w:val="auto"/>
          <w:szCs w:val="21"/>
          <w:highlight w:val="none"/>
        </w:rPr>
        <w:t>，</w:t>
      </w:r>
      <w:r>
        <w:rPr>
          <w:rFonts w:hint="eastAsia"/>
          <w:color w:val="auto"/>
          <w:szCs w:val="21"/>
          <w:highlight w:val="none"/>
        </w:rPr>
        <w:t>经评标委员会评审推荐，现确定贵公司为上述招标项目的中标人，主要内容如下：</w:t>
      </w:r>
    </w:p>
    <w:tbl>
      <w:tblPr>
        <w:tblStyle w:val="15"/>
        <w:tblW w:w="90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2985"/>
        <w:gridCol w:w="22"/>
        <w:gridCol w:w="1127"/>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917" w:type="dxa"/>
            <w:vAlign w:val="center"/>
          </w:tcPr>
          <w:p>
            <w:pPr>
              <w:spacing w:line="440" w:lineRule="exact"/>
              <w:jc w:val="center"/>
              <w:rPr>
                <w:color w:val="auto"/>
                <w:szCs w:val="21"/>
                <w:highlight w:val="none"/>
              </w:rPr>
            </w:pPr>
            <w:r>
              <w:rPr>
                <w:rFonts w:hint="eastAsia"/>
                <w:color w:val="auto"/>
                <w:szCs w:val="21"/>
                <w:highlight w:val="none"/>
              </w:rPr>
              <w:t>项目名称</w:t>
            </w:r>
          </w:p>
        </w:tc>
        <w:tc>
          <w:tcPr>
            <w:tcW w:w="3007" w:type="dxa"/>
            <w:gridSpan w:val="2"/>
            <w:vAlign w:val="center"/>
          </w:tcPr>
          <w:p>
            <w:pPr>
              <w:spacing w:line="440" w:lineRule="exact"/>
              <w:jc w:val="center"/>
              <w:rPr>
                <w:color w:val="auto"/>
                <w:szCs w:val="21"/>
                <w:highlight w:val="none"/>
              </w:rPr>
            </w:pPr>
          </w:p>
        </w:tc>
        <w:tc>
          <w:tcPr>
            <w:tcW w:w="1127" w:type="dxa"/>
            <w:vAlign w:val="center"/>
          </w:tcPr>
          <w:p>
            <w:pPr>
              <w:spacing w:line="440" w:lineRule="exact"/>
              <w:jc w:val="center"/>
              <w:rPr>
                <w:color w:val="auto"/>
                <w:szCs w:val="21"/>
                <w:highlight w:val="none"/>
              </w:rPr>
            </w:pPr>
            <w:r>
              <w:rPr>
                <w:rFonts w:hint="eastAsia"/>
                <w:color w:val="auto"/>
                <w:szCs w:val="21"/>
                <w:highlight w:val="none"/>
              </w:rPr>
              <w:t>项目规模</w:t>
            </w:r>
          </w:p>
        </w:tc>
        <w:tc>
          <w:tcPr>
            <w:tcW w:w="2995" w:type="dxa"/>
            <w:vAlign w:val="center"/>
          </w:tcPr>
          <w:p>
            <w:pPr>
              <w:spacing w:line="44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917" w:type="dxa"/>
            <w:vAlign w:val="center"/>
          </w:tcPr>
          <w:p>
            <w:pPr>
              <w:spacing w:line="480" w:lineRule="auto"/>
              <w:jc w:val="center"/>
              <w:rPr>
                <w:color w:val="auto"/>
                <w:szCs w:val="21"/>
                <w:highlight w:val="none"/>
              </w:rPr>
            </w:pPr>
            <w:r>
              <w:rPr>
                <w:rFonts w:hint="eastAsia"/>
                <w:color w:val="auto"/>
                <w:szCs w:val="21"/>
                <w:highlight w:val="none"/>
              </w:rPr>
              <w:t>招标方式</w:t>
            </w:r>
          </w:p>
        </w:tc>
        <w:tc>
          <w:tcPr>
            <w:tcW w:w="3007" w:type="dxa"/>
            <w:gridSpan w:val="2"/>
            <w:vAlign w:val="center"/>
          </w:tcPr>
          <w:p>
            <w:pPr>
              <w:spacing w:line="480" w:lineRule="auto"/>
              <w:jc w:val="center"/>
              <w:rPr>
                <w:color w:val="auto"/>
                <w:szCs w:val="21"/>
                <w:highlight w:val="none"/>
              </w:rPr>
            </w:pPr>
          </w:p>
        </w:tc>
        <w:tc>
          <w:tcPr>
            <w:tcW w:w="1127" w:type="dxa"/>
            <w:vAlign w:val="center"/>
          </w:tcPr>
          <w:p>
            <w:pPr>
              <w:spacing w:line="480" w:lineRule="auto"/>
              <w:jc w:val="center"/>
              <w:rPr>
                <w:color w:val="auto"/>
                <w:szCs w:val="21"/>
                <w:highlight w:val="none"/>
              </w:rPr>
            </w:pPr>
            <w:r>
              <w:rPr>
                <w:rFonts w:hint="eastAsia"/>
                <w:color w:val="auto"/>
                <w:szCs w:val="21"/>
                <w:highlight w:val="none"/>
              </w:rPr>
              <w:t>工程地点</w:t>
            </w:r>
          </w:p>
        </w:tc>
        <w:tc>
          <w:tcPr>
            <w:tcW w:w="2995" w:type="dxa"/>
            <w:vAlign w:val="center"/>
          </w:tcPr>
          <w:p>
            <w:pPr>
              <w:spacing w:line="48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917" w:type="dxa"/>
            <w:vAlign w:val="center"/>
          </w:tcPr>
          <w:p>
            <w:pPr>
              <w:spacing w:line="480" w:lineRule="auto"/>
              <w:jc w:val="center"/>
              <w:rPr>
                <w:color w:val="auto"/>
                <w:szCs w:val="21"/>
                <w:highlight w:val="none"/>
              </w:rPr>
            </w:pPr>
            <w:r>
              <w:rPr>
                <w:rFonts w:hint="eastAsia"/>
                <w:color w:val="auto"/>
                <w:szCs w:val="21"/>
                <w:highlight w:val="none"/>
              </w:rPr>
              <w:t>中标范围</w:t>
            </w:r>
          </w:p>
        </w:tc>
        <w:tc>
          <w:tcPr>
            <w:tcW w:w="7129" w:type="dxa"/>
            <w:gridSpan w:val="4"/>
            <w:vAlign w:val="center"/>
          </w:tcPr>
          <w:p>
            <w:pPr>
              <w:ind w:firstLine="424" w:firstLineChars="200"/>
              <w:jc w:val="center"/>
              <w:rPr>
                <w:rFonts w:ascii="宋体" w:hAnsi="宋体"/>
                <w:color w:val="auto"/>
                <w:spacing w:val="1"/>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 w:hRule="atLeast"/>
          <w:jc w:val="center"/>
        </w:trPr>
        <w:tc>
          <w:tcPr>
            <w:tcW w:w="1917" w:type="dxa"/>
            <w:vAlign w:val="center"/>
          </w:tcPr>
          <w:p>
            <w:pPr>
              <w:spacing w:line="480" w:lineRule="auto"/>
              <w:jc w:val="center"/>
              <w:rPr>
                <w:color w:val="auto"/>
                <w:szCs w:val="21"/>
                <w:highlight w:val="none"/>
              </w:rPr>
            </w:pPr>
            <w:r>
              <w:rPr>
                <w:rFonts w:hint="eastAsia"/>
                <w:color w:val="auto"/>
                <w:szCs w:val="21"/>
                <w:highlight w:val="none"/>
              </w:rPr>
              <w:t>中标造价</w:t>
            </w:r>
          </w:p>
        </w:tc>
        <w:tc>
          <w:tcPr>
            <w:tcW w:w="7129" w:type="dxa"/>
            <w:gridSpan w:val="4"/>
            <w:vAlign w:val="center"/>
          </w:tcPr>
          <w:p>
            <w:pPr>
              <w:spacing w:line="420" w:lineRule="exact"/>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1917" w:type="dxa"/>
            <w:vAlign w:val="center"/>
          </w:tcPr>
          <w:p>
            <w:pPr>
              <w:spacing w:line="480" w:lineRule="auto"/>
              <w:jc w:val="center"/>
              <w:rPr>
                <w:color w:val="auto"/>
                <w:szCs w:val="21"/>
                <w:highlight w:val="none"/>
              </w:rPr>
            </w:pPr>
            <w:r>
              <w:rPr>
                <w:rFonts w:hint="eastAsia"/>
                <w:color w:val="auto"/>
                <w:szCs w:val="21"/>
                <w:highlight w:val="none"/>
              </w:rPr>
              <w:t>中标工期</w:t>
            </w:r>
          </w:p>
        </w:tc>
        <w:tc>
          <w:tcPr>
            <w:tcW w:w="2985" w:type="dxa"/>
            <w:vAlign w:val="center"/>
          </w:tcPr>
          <w:p>
            <w:pPr>
              <w:spacing w:line="480" w:lineRule="auto"/>
              <w:jc w:val="center"/>
              <w:rPr>
                <w:color w:val="auto"/>
                <w:szCs w:val="21"/>
                <w:highlight w:val="none"/>
              </w:rPr>
            </w:pPr>
          </w:p>
        </w:tc>
        <w:tc>
          <w:tcPr>
            <w:tcW w:w="1149" w:type="dxa"/>
            <w:gridSpan w:val="2"/>
            <w:vAlign w:val="center"/>
          </w:tcPr>
          <w:p>
            <w:pPr>
              <w:spacing w:line="480" w:lineRule="auto"/>
              <w:jc w:val="center"/>
              <w:rPr>
                <w:color w:val="auto"/>
                <w:szCs w:val="21"/>
                <w:highlight w:val="none"/>
              </w:rPr>
            </w:pPr>
            <w:r>
              <w:rPr>
                <w:rFonts w:hint="eastAsia"/>
                <w:color w:val="auto"/>
                <w:szCs w:val="21"/>
                <w:highlight w:val="none"/>
              </w:rPr>
              <w:t>工程质量</w:t>
            </w:r>
          </w:p>
        </w:tc>
        <w:tc>
          <w:tcPr>
            <w:tcW w:w="2995" w:type="dxa"/>
            <w:vAlign w:val="center"/>
          </w:tcPr>
          <w:p>
            <w:pPr>
              <w:spacing w:line="48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917" w:type="dxa"/>
            <w:vAlign w:val="center"/>
          </w:tcPr>
          <w:p>
            <w:pPr>
              <w:spacing w:line="420" w:lineRule="exact"/>
              <w:jc w:val="center"/>
              <w:rPr>
                <w:color w:val="auto"/>
                <w:spacing w:val="-12"/>
                <w:szCs w:val="21"/>
                <w:highlight w:val="none"/>
              </w:rPr>
            </w:pPr>
            <w:r>
              <w:rPr>
                <w:rFonts w:hint="eastAsia"/>
                <w:color w:val="auto"/>
                <w:spacing w:val="-12"/>
                <w:szCs w:val="21"/>
                <w:highlight w:val="none"/>
              </w:rPr>
              <w:t>建造师或总监理工程师证书编号</w:t>
            </w:r>
          </w:p>
        </w:tc>
        <w:tc>
          <w:tcPr>
            <w:tcW w:w="2985" w:type="dxa"/>
            <w:vAlign w:val="center"/>
          </w:tcPr>
          <w:p>
            <w:pPr>
              <w:spacing w:line="420" w:lineRule="exact"/>
              <w:jc w:val="center"/>
              <w:rPr>
                <w:color w:val="auto"/>
                <w:szCs w:val="21"/>
                <w:highlight w:val="none"/>
              </w:rPr>
            </w:pPr>
          </w:p>
        </w:tc>
        <w:tc>
          <w:tcPr>
            <w:tcW w:w="1149" w:type="dxa"/>
            <w:gridSpan w:val="2"/>
            <w:vAlign w:val="center"/>
          </w:tcPr>
          <w:p>
            <w:pPr>
              <w:spacing w:line="440" w:lineRule="exact"/>
              <w:jc w:val="center"/>
              <w:rPr>
                <w:color w:val="auto"/>
                <w:szCs w:val="21"/>
                <w:highlight w:val="none"/>
              </w:rPr>
            </w:pPr>
            <w:r>
              <w:rPr>
                <w:rFonts w:hint="eastAsia"/>
                <w:color w:val="auto"/>
                <w:szCs w:val="21"/>
                <w:highlight w:val="none"/>
              </w:rPr>
              <w:t>项目技术负责人</w:t>
            </w:r>
          </w:p>
        </w:tc>
        <w:tc>
          <w:tcPr>
            <w:tcW w:w="2995" w:type="dxa"/>
            <w:vAlign w:val="center"/>
          </w:tcPr>
          <w:p>
            <w:pPr>
              <w:spacing w:line="480" w:lineRule="auto"/>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4902" w:type="dxa"/>
            <w:gridSpan w:val="2"/>
            <w:vAlign w:val="center"/>
          </w:tcPr>
          <w:p>
            <w:pPr>
              <w:spacing w:line="480" w:lineRule="auto"/>
              <w:rPr>
                <w:color w:val="auto"/>
                <w:szCs w:val="21"/>
                <w:highlight w:val="none"/>
              </w:rPr>
            </w:pPr>
            <w:r>
              <w:rPr>
                <w:rFonts w:hint="eastAsia"/>
                <w:color w:val="auto"/>
                <w:szCs w:val="21"/>
                <w:highlight w:val="none"/>
              </w:rPr>
              <w:t>建设单位（招标人签字盖章）</w:t>
            </w:r>
          </w:p>
          <w:p>
            <w:pPr>
              <w:spacing w:line="480" w:lineRule="auto"/>
              <w:jc w:val="center"/>
              <w:rPr>
                <w:color w:val="auto"/>
                <w:szCs w:val="21"/>
                <w:highlight w:val="none"/>
              </w:rPr>
            </w:pPr>
          </w:p>
          <w:p>
            <w:pPr>
              <w:spacing w:line="480" w:lineRule="auto"/>
              <w:jc w:val="center"/>
              <w:rPr>
                <w:color w:val="auto"/>
                <w:szCs w:val="21"/>
                <w:highlight w:val="none"/>
              </w:rPr>
            </w:pPr>
            <w:r>
              <w:rPr>
                <w:rFonts w:hint="eastAsia"/>
                <w:color w:val="auto"/>
                <w:szCs w:val="21"/>
                <w:highlight w:val="none"/>
              </w:rPr>
              <w:t>年    月    日</w:t>
            </w:r>
          </w:p>
        </w:tc>
        <w:tc>
          <w:tcPr>
            <w:tcW w:w="4144" w:type="dxa"/>
            <w:gridSpan w:val="3"/>
            <w:vAlign w:val="center"/>
          </w:tcPr>
          <w:p>
            <w:pPr>
              <w:spacing w:line="480" w:lineRule="auto"/>
              <w:rPr>
                <w:color w:val="auto"/>
                <w:szCs w:val="21"/>
                <w:highlight w:val="none"/>
              </w:rPr>
            </w:pPr>
            <w:r>
              <w:rPr>
                <w:rFonts w:hint="eastAsia"/>
                <w:color w:val="auto"/>
                <w:szCs w:val="21"/>
                <w:highlight w:val="none"/>
              </w:rPr>
              <w:t>招标投标交易中心（签字盖章）</w:t>
            </w:r>
          </w:p>
          <w:p>
            <w:pPr>
              <w:spacing w:line="480" w:lineRule="auto"/>
              <w:jc w:val="center"/>
              <w:rPr>
                <w:color w:val="auto"/>
                <w:szCs w:val="21"/>
                <w:highlight w:val="none"/>
              </w:rPr>
            </w:pPr>
          </w:p>
          <w:p>
            <w:pPr>
              <w:spacing w:line="480" w:lineRule="auto"/>
              <w:ind w:firstLine="1470" w:firstLineChars="700"/>
              <w:jc w:val="center"/>
              <w:rPr>
                <w:color w:val="auto"/>
                <w:szCs w:val="21"/>
                <w:highlight w:val="none"/>
              </w:rPr>
            </w:pPr>
            <w:r>
              <w:rPr>
                <w:rFonts w:hint="eastAsia"/>
                <w:color w:val="auto"/>
                <w:szCs w:val="21"/>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jc w:val="center"/>
        </w:trPr>
        <w:tc>
          <w:tcPr>
            <w:tcW w:w="9046" w:type="dxa"/>
            <w:gridSpan w:val="5"/>
            <w:vAlign w:val="center"/>
          </w:tcPr>
          <w:p>
            <w:pPr>
              <w:spacing w:line="480" w:lineRule="auto"/>
              <w:rPr>
                <w:color w:val="auto"/>
                <w:szCs w:val="21"/>
                <w:highlight w:val="none"/>
              </w:rPr>
            </w:pPr>
            <w:r>
              <w:rPr>
                <w:rFonts w:hint="eastAsia"/>
                <w:color w:val="auto"/>
                <w:szCs w:val="21"/>
                <w:highlight w:val="none"/>
              </w:rPr>
              <w:t>监督机构备案意见：</w:t>
            </w:r>
          </w:p>
          <w:p>
            <w:pPr>
              <w:spacing w:line="380" w:lineRule="exact"/>
              <w:jc w:val="center"/>
              <w:rPr>
                <w:color w:val="auto"/>
                <w:szCs w:val="21"/>
                <w:highlight w:val="none"/>
              </w:rPr>
            </w:pPr>
          </w:p>
          <w:p>
            <w:pPr>
              <w:spacing w:line="380" w:lineRule="exact"/>
              <w:rPr>
                <w:color w:val="auto"/>
                <w:szCs w:val="21"/>
                <w:highlight w:val="none"/>
              </w:rPr>
            </w:pPr>
          </w:p>
          <w:p>
            <w:pPr>
              <w:spacing w:line="480" w:lineRule="auto"/>
              <w:ind w:firstLine="5460" w:firstLineChars="2600"/>
              <w:jc w:val="center"/>
              <w:rPr>
                <w:color w:val="auto"/>
                <w:szCs w:val="21"/>
                <w:highlight w:val="none"/>
              </w:rPr>
            </w:pPr>
            <w:r>
              <w:rPr>
                <w:rFonts w:hint="eastAsia"/>
                <w:color w:val="auto"/>
                <w:szCs w:val="21"/>
                <w:highlight w:val="none"/>
              </w:rPr>
              <w:t xml:space="preserve">  年    月    日</w:t>
            </w:r>
          </w:p>
        </w:tc>
      </w:tr>
    </w:tbl>
    <w:p>
      <w:pPr>
        <w:spacing w:line="480" w:lineRule="auto"/>
        <w:ind w:firstLine="210" w:firstLineChars="100"/>
        <w:rPr>
          <w:rFonts w:ascii="宋体" w:hAnsi="宋体"/>
          <w:color w:val="auto"/>
          <w:szCs w:val="21"/>
          <w:highlight w:val="none"/>
        </w:rPr>
      </w:pPr>
      <w:r>
        <w:rPr>
          <w:rFonts w:hint="eastAsia" w:ascii="宋体" w:hAnsi="宋体"/>
          <w:color w:val="auto"/>
          <w:szCs w:val="21"/>
          <w:highlight w:val="none"/>
        </w:rPr>
        <w:t>本通知书一式六份</w:t>
      </w: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22" w:name="_Toc234382649"/>
      <w:r>
        <w:rPr>
          <w:rFonts w:ascii="黑体" w:hAnsi="宋体" w:eastAsia="黑体"/>
          <w:b/>
          <w:color w:val="auto"/>
          <w:sz w:val="24"/>
          <w:highlight w:val="none"/>
        </w:rPr>
        <w:t>附表</w:t>
      </w:r>
      <w:r>
        <w:rPr>
          <w:rFonts w:hint="eastAsia" w:ascii="黑体" w:hAnsi="宋体" w:eastAsia="黑体"/>
          <w:b/>
          <w:color w:val="auto"/>
          <w:sz w:val="24"/>
          <w:highlight w:val="none"/>
        </w:rPr>
        <w:t>七</w:t>
      </w:r>
      <w:r>
        <w:rPr>
          <w:rFonts w:ascii="黑体" w:hAnsi="宋体" w:eastAsia="黑体"/>
          <w:b/>
          <w:color w:val="auto"/>
          <w:sz w:val="24"/>
          <w:highlight w:val="none"/>
        </w:rPr>
        <w:t>：中标结果通知书</w:t>
      </w:r>
      <w:bookmarkEnd w:id="222"/>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ascii="黑体" w:hAnsi="宋体" w:eastAsia="黑体"/>
          <w:b/>
          <w:bCs/>
          <w:color w:val="auto"/>
          <w:kern w:val="44"/>
          <w:sz w:val="28"/>
          <w:szCs w:val="28"/>
          <w:highlight w:val="none"/>
        </w:rPr>
        <w:t>中标结果通知书</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（未中标人名称）：</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我方已接受</w:t>
      </w:r>
      <w:r>
        <w:rPr>
          <w:rFonts w:hint="eastAsia" w:ascii="宋体" w:hAnsi="宋体"/>
          <w:color w:val="auto"/>
          <w:sz w:val="24"/>
          <w:highlight w:val="none"/>
          <w:u w:val="single"/>
        </w:rPr>
        <w:t xml:space="preserve">              </w:t>
      </w:r>
      <w:r>
        <w:rPr>
          <w:rFonts w:ascii="宋体" w:hAnsi="宋体"/>
          <w:color w:val="auto"/>
          <w:sz w:val="24"/>
          <w:highlight w:val="none"/>
        </w:rPr>
        <w:t>（中标人名称）于</w:t>
      </w:r>
      <w:r>
        <w:rPr>
          <w:rFonts w:hint="eastAsia" w:ascii="宋体" w:hAnsi="宋体"/>
          <w:color w:val="auto"/>
          <w:sz w:val="24"/>
          <w:highlight w:val="none"/>
          <w:u w:val="single"/>
        </w:rPr>
        <w:t xml:space="preserve">            </w:t>
      </w:r>
      <w:r>
        <w:rPr>
          <w:rFonts w:ascii="宋体" w:hAnsi="宋体"/>
          <w:color w:val="auto"/>
          <w:sz w:val="24"/>
          <w:highlight w:val="none"/>
        </w:rPr>
        <w:t>（投标日期）所递交的</w:t>
      </w: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标段施工投标文件，确定</w:t>
      </w:r>
      <w:r>
        <w:rPr>
          <w:rFonts w:hint="eastAsia" w:ascii="宋体" w:hAnsi="宋体"/>
          <w:color w:val="auto"/>
          <w:sz w:val="24"/>
          <w:highlight w:val="none"/>
          <w:u w:val="single"/>
        </w:rPr>
        <w:t xml:space="preserve">        </w:t>
      </w:r>
      <w:r>
        <w:rPr>
          <w:rFonts w:ascii="宋体" w:hAnsi="宋体"/>
          <w:color w:val="auto"/>
          <w:sz w:val="24"/>
          <w:highlight w:val="none"/>
        </w:rPr>
        <w:t>（中标人名称）为中标人。</w:t>
      </w: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感谢你单位对我们工作的大力支持！</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招标人：</w:t>
      </w:r>
      <w:r>
        <w:rPr>
          <w:rFonts w:hint="eastAsia" w:ascii="宋体" w:hAnsi="宋体"/>
          <w:color w:val="auto"/>
          <w:sz w:val="24"/>
          <w:highlight w:val="none"/>
          <w:u w:val="single"/>
        </w:rPr>
        <w:t xml:space="preserve">               </w:t>
      </w:r>
      <w:r>
        <w:rPr>
          <w:rFonts w:ascii="宋体" w:hAnsi="宋体"/>
          <w:color w:val="auto"/>
          <w:sz w:val="24"/>
          <w:highlight w:val="none"/>
        </w:rPr>
        <w:t xml:space="preserve">（盖单位章） </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                              招标代理</w:t>
      </w:r>
      <w:r>
        <w:rPr>
          <w:rFonts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黑体" w:hAnsi="宋体" w:eastAsia="黑体"/>
          <w:b/>
          <w:color w:val="auto"/>
          <w:sz w:val="24"/>
          <w:highlight w:val="none"/>
        </w:rPr>
      </w:pPr>
      <w:r>
        <w:rPr>
          <w:rFonts w:ascii="宋体" w:hAnsi="宋体"/>
          <w:color w:val="auto"/>
          <w:sz w:val="24"/>
          <w:highlight w:val="none"/>
        </w:rPr>
        <w:br w:type="page"/>
      </w:r>
      <w:bookmarkStart w:id="223" w:name="_Toc234382650"/>
      <w:r>
        <w:rPr>
          <w:rFonts w:ascii="黑体" w:hAnsi="宋体" w:eastAsia="黑体"/>
          <w:b/>
          <w:color w:val="auto"/>
          <w:sz w:val="24"/>
          <w:highlight w:val="none"/>
        </w:rPr>
        <w:t>附表</w:t>
      </w:r>
      <w:r>
        <w:rPr>
          <w:rFonts w:hint="eastAsia" w:ascii="黑体" w:hAnsi="宋体" w:eastAsia="黑体"/>
          <w:b/>
          <w:color w:val="auto"/>
          <w:sz w:val="24"/>
          <w:highlight w:val="none"/>
        </w:rPr>
        <w:t>八</w:t>
      </w:r>
      <w:r>
        <w:rPr>
          <w:rFonts w:ascii="黑体" w:hAnsi="宋体" w:eastAsia="黑体"/>
          <w:b/>
          <w:color w:val="auto"/>
          <w:sz w:val="24"/>
          <w:highlight w:val="none"/>
        </w:rPr>
        <w:t>：确认通知</w:t>
      </w:r>
      <w:bookmarkEnd w:id="223"/>
    </w:p>
    <w:p>
      <w:pPr>
        <w:rPr>
          <w:rFonts w:ascii="宋体" w:hAnsi="宋体"/>
          <w:color w:val="auto"/>
          <w:sz w:val="24"/>
          <w:highlight w:val="none"/>
        </w:rPr>
      </w:pPr>
    </w:p>
    <w:p>
      <w:pPr>
        <w:jc w:val="center"/>
        <w:rPr>
          <w:rFonts w:ascii="黑体" w:hAnsi="宋体" w:eastAsia="黑体"/>
          <w:b/>
          <w:bCs/>
          <w:color w:val="auto"/>
          <w:kern w:val="44"/>
          <w:sz w:val="28"/>
          <w:szCs w:val="28"/>
          <w:highlight w:val="none"/>
        </w:rPr>
      </w:pPr>
      <w:r>
        <w:rPr>
          <w:rFonts w:ascii="黑体" w:hAnsi="宋体" w:eastAsia="黑体"/>
          <w:b/>
          <w:bCs/>
          <w:color w:val="auto"/>
          <w:kern w:val="44"/>
          <w:sz w:val="28"/>
          <w:szCs w:val="28"/>
          <w:highlight w:val="none"/>
        </w:rPr>
        <w:t>确认通知</w:t>
      </w:r>
    </w:p>
    <w:p>
      <w:pPr>
        <w:rPr>
          <w:rFonts w:ascii="宋体" w:hAnsi="宋体"/>
          <w:color w:val="auto"/>
          <w:sz w:val="24"/>
          <w:highlight w:val="none"/>
        </w:rPr>
      </w:pPr>
    </w:p>
    <w:p>
      <w:pPr>
        <w:rPr>
          <w:rFonts w:ascii="宋体" w:hAnsi="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u w:val="single"/>
        </w:rPr>
        <w:tab/>
      </w:r>
      <w:r>
        <w:rPr>
          <w:rFonts w:ascii="宋体" w:hAnsi="宋体"/>
          <w:color w:val="auto"/>
          <w:sz w:val="24"/>
          <w:highlight w:val="none"/>
        </w:rPr>
        <w:t>（招标人名称）：</w:t>
      </w: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我方已接到你方</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日发出的</w:t>
      </w:r>
      <w:r>
        <w:rPr>
          <w:rFonts w:hint="eastAsia" w:ascii="宋体" w:hAnsi="宋体"/>
          <w:color w:val="auto"/>
          <w:sz w:val="24"/>
          <w:highlight w:val="none"/>
          <w:u w:val="single"/>
        </w:rPr>
        <w:t xml:space="preserve">        </w:t>
      </w:r>
      <w:r>
        <w:rPr>
          <w:rFonts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rPr>
        <w:t>标段施工招标关于</w:t>
      </w:r>
      <w:r>
        <w:rPr>
          <w:rFonts w:hint="eastAsia" w:ascii="宋体" w:hAnsi="宋体"/>
          <w:color w:val="auto"/>
          <w:sz w:val="24"/>
          <w:highlight w:val="none"/>
          <w:u w:val="single"/>
        </w:rPr>
        <w:t xml:space="preserve">              </w:t>
      </w:r>
      <w:r>
        <w:rPr>
          <w:rFonts w:ascii="宋体" w:hAnsi="宋体"/>
          <w:color w:val="auto"/>
          <w:sz w:val="24"/>
          <w:highlight w:val="none"/>
        </w:rPr>
        <w:t>的通知，我方已于</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日收到。</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特此确认。</w:t>
      </w: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投标人：</w:t>
      </w:r>
      <w:r>
        <w:rPr>
          <w:rFonts w:hint="eastAsia" w:ascii="宋体" w:hAnsi="宋体"/>
          <w:color w:val="auto"/>
          <w:sz w:val="24"/>
          <w:highlight w:val="none"/>
          <w:u w:val="single"/>
        </w:rPr>
        <w:t xml:space="preserve">             </w:t>
      </w:r>
      <w:r>
        <w:rPr>
          <w:rFonts w:ascii="宋体" w:hAnsi="宋体"/>
          <w:color w:val="auto"/>
          <w:sz w:val="24"/>
          <w:highlight w:val="none"/>
        </w:rPr>
        <w:t>（盖单位章）</w:t>
      </w: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4"/>
        <w:spacing w:beforeLines="50" w:after="0" w:line="40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r>
        <w:rPr>
          <w:rFonts w:ascii="宋体" w:hAnsi="宋体"/>
          <w:color w:val="auto"/>
          <w:sz w:val="24"/>
          <w:highlight w:val="none"/>
        </w:rPr>
        <w:br w:type="page"/>
      </w:r>
    </w:p>
    <w:p>
      <w:pPr>
        <w:numPr>
          <w:ilvl w:val="0"/>
          <w:numId w:val="1"/>
        </w:numPr>
        <w:jc w:val="center"/>
        <w:outlineLvl w:val="0"/>
        <w:rPr>
          <w:rFonts w:ascii="黑体" w:eastAsia="黑体"/>
          <w:bCs/>
          <w:color w:val="auto"/>
          <w:sz w:val="44"/>
          <w:szCs w:val="44"/>
          <w:highlight w:val="none"/>
        </w:rPr>
      </w:pPr>
      <w:r>
        <w:rPr>
          <w:rFonts w:ascii="黑体" w:eastAsia="黑体"/>
          <w:bCs/>
          <w:color w:val="auto"/>
          <w:sz w:val="44"/>
          <w:szCs w:val="44"/>
          <w:highlight w:val="none"/>
        </w:rPr>
        <w:t xml:space="preserve">  </w:t>
      </w:r>
      <w:bookmarkStart w:id="224" w:name="_Toc28210"/>
      <w:r>
        <w:rPr>
          <w:rFonts w:ascii="黑体" w:eastAsia="黑体"/>
          <w:bCs/>
          <w:color w:val="auto"/>
          <w:sz w:val="44"/>
          <w:szCs w:val="44"/>
          <w:highlight w:val="none"/>
        </w:rPr>
        <w:t>评标办法</w:t>
      </w:r>
      <w:bookmarkEnd w:id="224"/>
    </w:p>
    <w:p>
      <w:pPr>
        <w:jc w:val="center"/>
        <w:outlineLvl w:val="0"/>
        <w:rPr>
          <w:rFonts w:ascii="宋体" w:hAnsi="宋体"/>
          <w:color w:val="auto"/>
          <w:sz w:val="40"/>
          <w:szCs w:val="40"/>
          <w:highlight w:val="none"/>
        </w:rPr>
      </w:pPr>
      <w:bookmarkStart w:id="225" w:name="_Toc28682"/>
      <w:r>
        <w:rPr>
          <w:rFonts w:hint="eastAsia" w:ascii="宋体" w:hAnsi="宋体"/>
          <w:color w:val="auto"/>
          <w:sz w:val="40"/>
          <w:szCs w:val="40"/>
          <w:highlight w:val="none"/>
        </w:rPr>
        <w:t>评标办法(技术评分最低标价法)</w:t>
      </w:r>
      <w:bookmarkEnd w:id="225"/>
    </w:p>
    <w:p>
      <w:pPr>
        <w:ind w:firstLine="480" w:firstLineChars="200"/>
        <w:rPr>
          <w:rFonts w:hint="eastAsia" w:ascii="宋体" w:hAnsi="宋体" w:eastAsia="宋体" w:cs="宋体"/>
          <w:sz w:val="24"/>
          <w:lang w:bidi="ar"/>
        </w:rPr>
      </w:pPr>
    </w:p>
    <w:p>
      <w:pPr>
        <w:ind w:firstLine="560" w:firstLineChars="200"/>
        <w:rPr>
          <w:rFonts w:ascii="宋体" w:hAnsi="宋体"/>
          <w:color w:val="auto"/>
          <w:sz w:val="30"/>
          <w:szCs w:val="30"/>
          <w:highlight w:val="none"/>
        </w:rPr>
      </w:pPr>
      <w:r>
        <w:rPr>
          <w:rFonts w:hint="eastAsia" w:ascii="宋体" w:hAnsi="宋体" w:eastAsia="宋体" w:cs="宋体"/>
          <w:sz w:val="28"/>
          <w:szCs w:val="28"/>
          <w:lang w:bidi="ar"/>
        </w:rPr>
        <w:t>评标依据公路工程建设项目招标投标管理办法（中华人民共和国交通运输部令2015年第24号）。评标应遵循公正、公平、择优的原则严格按照招标文件进行。</w:t>
      </w:r>
    </w:p>
    <w:p>
      <w:pPr>
        <w:jc w:val="center"/>
        <w:rPr>
          <w:rFonts w:ascii="宋体" w:hAnsi="宋体"/>
          <w:color w:val="auto"/>
          <w:sz w:val="28"/>
          <w:szCs w:val="28"/>
          <w:highlight w:val="none"/>
        </w:rPr>
      </w:pPr>
      <w:r>
        <w:rPr>
          <w:rFonts w:hint="eastAsia" w:ascii="宋体" w:hAnsi="宋体"/>
          <w:color w:val="auto"/>
          <w:sz w:val="28"/>
          <w:szCs w:val="28"/>
          <w:highlight w:val="none"/>
        </w:rPr>
        <w:t>评标办法前附表</w:t>
      </w:r>
    </w:p>
    <w:tbl>
      <w:tblPr>
        <w:tblStyle w:val="15"/>
        <w:tblW w:w="98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9"/>
        <w:gridCol w:w="1214"/>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88"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2.1.1</w:t>
            </w:r>
          </w:p>
          <w:p>
            <w:pPr>
              <w:jc w:val="center"/>
              <w:rPr>
                <w:rFonts w:ascii="宋体" w:hAnsi="宋体"/>
                <w:color w:val="auto"/>
                <w:szCs w:val="21"/>
                <w:highlight w:val="none"/>
              </w:rPr>
            </w:pPr>
            <w:r>
              <w:rPr>
                <w:rFonts w:hint="eastAsia" w:ascii="宋体" w:hAnsi="宋体"/>
                <w:color w:val="auto"/>
                <w:szCs w:val="21"/>
                <w:highlight w:val="none"/>
              </w:rPr>
              <w:t>2.1.3</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形式评审与</w:t>
            </w:r>
          </w:p>
          <w:p>
            <w:pPr>
              <w:jc w:val="center"/>
              <w:rPr>
                <w:rFonts w:ascii="宋体" w:hAnsi="宋体"/>
                <w:color w:val="auto"/>
                <w:szCs w:val="21"/>
                <w:highlight w:val="none"/>
              </w:rPr>
            </w:pPr>
            <w:r>
              <w:rPr>
                <w:rFonts w:hint="eastAsia" w:ascii="宋体" w:hAnsi="宋体"/>
                <w:color w:val="auto"/>
                <w:szCs w:val="21"/>
                <w:highlight w:val="none"/>
              </w:rPr>
              <w:t>响应性评审</w:t>
            </w:r>
          </w:p>
          <w:p>
            <w:pPr>
              <w:jc w:val="center"/>
              <w:rPr>
                <w:rFonts w:ascii="宋体" w:hAnsi="宋体"/>
                <w:color w:val="auto"/>
                <w:szCs w:val="21"/>
                <w:highlight w:val="none"/>
              </w:rPr>
            </w:pPr>
            <w:r>
              <w:rPr>
                <w:rFonts w:hint="eastAsia" w:ascii="宋体" w:hAnsi="宋体"/>
                <w:color w:val="auto"/>
                <w:szCs w:val="21"/>
                <w:highlight w:val="none"/>
              </w:rPr>
              <w:t>标准</w:t>
            </w:r>
          </w:p>
        </w:tc>
        <w:tc>
          <w:tcPr>
            <w:tcW w:w="7380" w:type="dxa"/>
            <w:tcBorders>
              <w:top w:val="single" w:color="auto" w:sz="4" w:space="0"/>
              <w:bottom w:val="single" w:color="auto" w:sz="4" w:space="0"/>
            </w:tcBorders>
            <w:vAlign w:val="center"/>
          </w:tcPr>
          <w:p>
            <w:pPr>
              <w:spacing w:line="400" w:lineRule="exact"/>
              <w:jc w:val="left"/>
              <w:rPr>
                <w:rFonts w:hint="eastAsia" w:ascii="宋体" w:hAnsi="宋体"/>
                <w:b/>
                <w:color w:val="auto"/>
                <w:szCs w:val="21"/>
                <w:highlight w:val="none"/>
              </w:rPr>
            </w:pPr>
            <w:r>
              <w:rPr>
                <w:rFonts w:hint="eastAsia" w:ascii="宋体" w:hAnsi="宋体"/>
                <w:b/>
                <w:color w:val="auto"/>
                <w:szCs w:val="21"/>
                <w:highlight w:val="none"/>
              </w:rPr>
              <w:t>第一个信封（商务及技术文件）评审标准：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a.投标函按招标文件规定填报了工期、工程质量目标及安全目标；</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b.投标函附录的所有数据均符合招标文件规定；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c.承诺函文字与招标文件规定一致，未进行修改和删减；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d.按照招标文件规定的格式、内容编制了施工组织设计及项目管理机构相关图表；</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e.投标文件组成齐全完整，内容均按规定填写。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 投标文件上法定代表人或其授权代理人的签字、投标人的单位章盖章齐全，符合招标文件规定。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 投标人按照招标文件的规定提供了投标保证金</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(4)投标文件上法定代表人或其授权代理人的签字、投标人的单位章盖章齐全，符合招标文件规定：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(5)投标文件中未出现有关投标报价的内容。</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(6)投标文件载明的招标项目完成期限未超过招标文件规定的时限。</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(7)投标文件对招标文件的实质性要求和条件作出响应。</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(8)权利义务符合招标文件规定：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a.投标人应接受招标文件规定的风险划分原则，未提出新的风险划分办法；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b.投标人未增加发包人的责任范围，或减少投标人义务；</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c.投标人未提出不同的工程验收、计量、支付办法；</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d.投标人对合同纠纷、事故处理办法未提出异议；</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e.投标人在投标活动中无欺诈行为；</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f.投标人未对合同条款有重要保留。</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(9)投标文件正、副本份数符合招标文件第二章“投标人须知”第3.7.4 项规定。</w:t>
            </w:r>
          </w:p>
          <w:p>
            <w:pPr>
              <w:spacing w:line="400" w:lineRule="exact"/>
              <w:jc w:val="left"/>
              <w:rPr>
                <w:rFonts w:ascii="宋体" w:hAnsi="宋体"/>
                <w:b/>
                <w:color w:val="auto"/>
                <w:szCs w:val="21"/>
                <w:highlight w:val="none"/>
              </w:rPr>
            </w:pPr>
            <w:r>
              <w:rPr>
                <w:rFonts w:hint="eastAsia" w:ascii="宋体" w:hAnsi="宋体"/>
                <w:b/>
                <w:color w:val="auto"/>
                <w:szCs w:val="21"/>
                <w:highlight w:val="none"/>
              </w:rPr>
              <w:t>第二个信封（报价文件）评审标准：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(1)投标文件按照招标文件规定的格式、内容填写，字迹清晰可辨，内容齐全完整：</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a.投标函按招标文件规定填报了投标价（包括大写金额和小写金额），且投标价未超过招标文件设定的最高投标限价（如有）；</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b.已标价工程量清单说明文字与招标文件规定一致，未进行修改和删减。</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(2)投标文件上法定代表人或其授权代理人的签字、投标人的单位章盖章齐全，符合招标文件规定。</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(3)同一投标人未提交两个以上不同的投标报价，但招标文件要求提交备选投标的除外。</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(4)投标人若填写工程量固化清单，填写完毕的工程量固化清单未对工程量固化清单电子文件中的数据、格式和运算定义进行修改。</w:t>
            </w:r>
          </w:p>
          <w:p>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(5)投标文件正、副本份数符合招标文件第二章“投标人须知”第3.7.4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8" w:hRule="atLeast"/>
          <w:jc w:val="center"/>
        </w:trPr>
        <w:tc>
          <w:tcPr>
            <w:tcW w:w="1219" w:type="dxa"/>
            <w:tcBorders>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2.1.2</w:t>
            </w:r>
          </w:p>
        </w:tc>
        <w:tc>
          <w:tcPr>
            <w:tcW w:w="1214" w:type="dxa"/>
            <w:tcBorders>
              <w:left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资格评审标准</w:t>
            </w:r>
          </w:p>
        </w:tc>
        <w:tc>
          <w:tcPr>
            <w:tcW w:w="7380" w:type="dxa"/>
            <w:tcBorders>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(1)投标人具备有效的营业执照、资质证书和安全生产许可证和基本账户开户许可证；</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(2)投标人的资质等级符合招标文件规定；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(3)投标人的财务状况符合招标文件规定；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(4)投标人的类似项目业绩符合招标文件规定；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(5)投标人的信誉符合招标文件规定；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(6)投标人的项目经理资格符合招标文件规定；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(7)投标人的其他要求符合招标文件规定；</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(8)投标人不存在第二章“投标人须知”第1.4.3项规定的任何一种情形；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2.2.1</w:t>
            </w:r>
          </w:p>
        </w:tc>
        <w:tc>
          <w:tcPr>
            <w:tcW w:w="1214"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第一个信封评分分值构成(总分100分)</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施工组织设计</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项目管理机构</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技术能力</w:t>
            </w:r>
            <w:r>
              <w:rPr>
                <w:rFonts w:hint="eastAsia" w:ascii="宋体" w:hAnsi="宋体"/>
                <w:color w:val="auto"/>
                <w:szCs w:val="21"/>
                <w:highlight w:val="none"/>
                <w:lang w:val="en-US" w:eastAsia="zh-CN"/>
              </w:rPr>
              <w:t>40</w:t>
            </w:r>
            <w:r>
              <w:rPr>
                <w:rFonts w:hint="eastAsia" w:ascii="宋体" w:hAnsi="宋体"/>
                <w:color w:val="auto"/>
                <w:szCs w:val="21"/>
                <w:highlight w:val="none"/>
              </w:rPr>
              <w:t>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履约信誉1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68" w:hRule="atLeast"/>
          <w:jc w:val="center"/>
        </w:trPr>
        <w:tc>
          <w:tcPr>
            <w:tcW w:w="1219" w:type="dxa"/>
            <w:tcBorders>
              <w:top w:val="single" w:color="auto" w:sz="4" w:space="0"/>
              <w:bottom w:val="single" w:color="auto" w:sz="4" w:space="0"/>
            </w:tcBorders>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3.2.4</w:t>
            </w:r>
          </w:p>
        </w:tc>
        <w:tc>
          <w:tcPr>
            <w:tcW w:w="1214" w:type="dxa"/>
            <w:tcBorders>
              <w:top w:val="single" w:color="auto" w:sz="4" w:space="0"/>
              <w:bottom w:val="single" w:color="auto" w:sz="4" w:space="0"/>
            </w:tcBorders>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通过第一个信封详细评审的投标人数量</w:t>
            </w:r>
          </w:p>
        </w:tc>
        <w:tc>
          <w:tcPr>
            <w:tcW w:w="7380" w:type="dxa"/>
            <w:tcBorders>
              <w:top w:val="single" w:color="auto" w:sz="4" w:space="0"/>
              <w:bottom w:val="single" w:color="auto" w:sz="4" w:space="0"/>
            </w:tcBorders>
            <w:vAlign w:val="center"/>
          </w:tcPr>
          <w:p>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按照投标人的商务和技术得分由高到低排序，选择前</w:t>
            </w:r>
            <w:r>
              <w:rPr>
                <w:rFonts w:hint="eastAsia" w:ascii="宋体" w:hAnsi="宋体"/>
                <w:color w:val="auto"/>
                <w:szCs w:val="21"/>
                <w:highlight w:val="none"/>
                <w:u w:val="none"/>
                <w:lang w:eastAsia="zh-CN"/>
              </w:rPr>
              <w:t>三</w:t>
            </w:r>
            <w:r>
              <w:rPr>
                <w:rFonts w:hint="eastAsia" w:ascii="宋体" w:hAnsi="宋体"/>
                <w:color w:val="auto"/>
                <w:szCs w:val="21"/>
                <w:highlight w:val="none"/>
                <w:lang w:eastAsia="zh-CN"/>
              </w:rPr>
              <w:t>名通过详细评审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jc w:val="center"/>
        </w:trPr>
        <w:tc>
          <w:tcPr>
            <w:tcW w:w="1219" w:type="dxa"/>
            <w:tcBorders>
              <w:righ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条款号</w:t>
            </w:r>
          </w:p>
        </w:tc>
        <w:tc>
          <w:tcPr>
            <w:tcW w:w="1214" w:type="dxa"/>
            <w:tcBorders>
              <w:left w:val="single" w:color="auto" w:sz="4" w:space="0"/>
            </w:tcBorders>
            <w:vAlign w:val="center"/>
          </w:tcPr>
          <w:p>
            <w:pPr>
              <w:jc w:val="center"/>
              <w:rPr>
                <w:rFonts w:ascii="宋体" w:hAnsi="宋体"/>
                <w:b/>
                <w:color w:val="auto"/>
                <w:szCs w:val="21"/>
                <w:highlight w:val="none"/>
              </w:rPr>
            </w:pPr>
            <w:r>
              <w:rPr>
                <w:rFonts w:hint="eastAsia" w:ascii="宋体" w:hAnsi="宋体"/>
                <w:b/>
                <w:color w:val="auto"/>
                <w:szCs w:val="21"/>
                <w:highlight w:val="none"/>
              </w:rPr>
              <w:t>条款内容</w:t>
            </w:r>
          </w:p>
        </w:tc>
        <w:tc>
          <w:tcPr>
            <w:tcW w:w="7380"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评审因素与标准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1"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2.2.2</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施工组织设计（0-</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1、投标人应按以下要点编制施工组织设计（文字宜精炼、内容具有针对性，总体控制在30000字以内）；</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（1）总体施工组织布置及规划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（2）主要工程项目的施工方案、方法与技术措施（尤其对重点、关键和难点工程的施工方案、方法及其措施）                  0-</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（3）工期的保证体系及保证措施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（4）工程质量管理体系及保证措施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（5）安全生产管理体系及保证措施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b/>
                <w:bCs/>
                <w:color w:val="auto"/>
                <w:szCs w:val="21"/>
                <w:highlight w:val="none"/>
              </w:rPr>
            </w:pPr>
            <w:r>
              <w:rPr>
                <w:rFonts w:hint="eastAsia" w:ascii="宋体" w:hAnsi="宋体"/>
                <w:color w:val="auto"/>
                <w:szCs w:val="21"/>
                <w:highlight w:val="none"/>
              </w:rPr>
              <w:t>（6）环境保护、水土保持保证体系及保证措施</w:t>
            </w:r>
            <w:r>
              <w:rPr>
                <w:rFonts w:hint="eastAsia" w:ascii="宋体" w:hAnsi="宋体"/>
                <w:b/>
                <w:bCs/>
                <w:color w:val="auto"/>
                <w:szCs w:val="21"/>
                <w:highlight w:val="none"/>
              </w:rPr>
              <w:t xml:space="preserve">（含扬尘治理措施）                                                                  </w:t>
            </w:r>
          </w:p>
          <w:p>
            <w:pPr>
              <w:spacing w:line="40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 xml:space="preserve">                                              </w:t>
            </w:r>
            <w:r>
              <w:rPr>
                <w:rFonts w:hint="eastAsia" w:ascii="宋体" w:hAnsi="宋体"/>
                <w:color w:val="auto"/>
                <w:szCs w:val="21"/>
                <w:highlight w:val="none"/>
              </w:rPr>
              <w:t>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（7）文明施工、文物保护保证体系及保证措施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（8）项目风险预测与防范，事故应急预案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施工组织设计除采用文字表述外可附下列图表，图表及格式要求附后。</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附表一  施工总体计划表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附表二  分项工程进度率计划（斜率图）       0-</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分 </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附表三  工程管理曲线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附表四  分项工程生产率和施工周期表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附表五  施工总平面图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附表六  劳动力计划表                       0-</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735" w:firstLineChars="350"/>
              <w:rPr>
                <w:rFonts w:hint="eastAsia" w:ascii="宋体" w:hAnsi="宋体"/>
                <w:color w:val="auto"/>
                <w:szCs w:val="21"/>
                <w:highlight w:val="none"/>
              </w:rPr>
            </w:pPr>
            <w:r>
              <w:rPr>
                <w:rFonts w:hint="eastAsia" w:ascii="宋体" w:hAnsi="宋体"/>
                <w:color w:val="auto"/>
                <w:szCs w:val="21"/>
                <w:highlight w:val="none"/>
              </w:rPr>
              <w:t>附表七  临时用地计划表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r>
              <w:rPr>
                <w:rFonts w:hint="eastAsia" w:ascii="宋体" w:hAnsi="宋体"/>
                <w:color w:val="auto"/>
                <w:szCs w:val="21"/>
                <w:highlight w:val="none"/>
                <w:lang w:val="en-US" w:eastAsia="zh-CN"/>
              </w:rPr>
              <w:t xml:space="preserve">                                                                                                                                                          </w:t>
            </w:r>
          </w:p>
          <w:p>
            <w:pPr>
              <w:spacing w:line="400" w:lineRule="exact"/>
              <w:ind w:firstLine="735" w:firstLineChars="350"/>
              <w:rPr>
                <w:rFonts w:hint="eastAsia" w:ascii="宋体" w:hAnsi="宋体"/>
                <w:color w:val="auto"/>
                <w:szCs w:val="21"/>
                <w:highlight w:val="none"/>
              </w:rPr>
            </w:pPr>
            <w:r>
              <w:rPr>
                <w:rFonts w:hint="eastAsia" w:ascii="宋体" w:hAnsi="宋体"/>
                <w:color w:val="auto"/>
                <w:szCs w:val="21"/>
                <w:highlight w:val="none"/>
              </w:rPr>
              <w:t>附表八  外供电力需求计划表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   附表九  合同用款估算表                     0-</w:t>
            </w:r>
            <w:r>
              <w:rPr>
                <w:rFonts w:hint="eastAsia" w:ascii="宋体" w:hAnsi="宋体"/>
                <w:color w:val="auto"/>
                <w:szCs w:val="21"/>
                <w:highlight w:val="none"/>
                <w:lang w:val="en-US" w:eastAsia="zh-CN"/>
              </w:rPr>
              <w:t>1</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3" w:hRule="atLeast"/>
          <w:jc w:val="center"/>
        </w:trPr>
        <w:tc>
          <w:tcPr>
            <w:tcW w:w="1219" w:type="dxa"/>
            <w:tcBorders>
              <w:top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2.2.3</w:t>
            </w:r>
          </w:p>
        </w:tc>
        <w:tc>
          <w:tcPr>
            <w:tcW w:w="1214" w:type="dxa"/>
            <w:tcBorders>
              <w:top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项目管理机构（0-</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tc>
        <w:tc>
          <w:tcPr>
            <w:tcW w:w="7380" w:type="dxa"/>
            <w:tcBorders>
              <w:top w:val="single" w:color="auto" w:sz="4" w:space="0"/>
              <w:left w:val="single" w:color="auto" w:sz="4" w:space="0"/>
            </w:tcBorders>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lang w:val="en-US" w:eastAsia="zh-CN"/>
              </w:rPr>
              <w:t>主要进场管理人员和技术人员</w:t>
            </w:r>
            <w:r>
              <w:rPr>
                <w:rFonts w:hint="eastAsia" w:ascii="宋体" w:hAnsi="宋体"/>
                <w:color w:val="auto"/>
                <w:szCs w:val="21"/>
                <w:highlight w:val="none"/>
              </w:rPr>
              <w:t>配备齐全</w:t>
            </w:r>
            <w:r>
              <w:rPr>
                <w:rFonts w:hint="eastAsia" w:ascii="宋体" w:hAnsi="宋体"/>
                <w:color w:val="auto"/>
                <w:szCs w:val="21"/>
                <w:highlight w:val="none"/>
                <w:lang w:val="en-US" w:eastAsia="zh-CN"/>
              </w:rPr>
              <w:t>者</w:t>
            </w:r>
            <w:r>
              <w:rPr>
                <w:rFonts w:hint="eastAsia" w:ascii="宋体" w:hAnsi="宋体"/>
                <w:color w:val="auto"/>
                <w:szCs w:val="21"/>
                <w:highlight w:val="none"/>
              </w:rPr>
              <w:t>得</w:t>
            </w:r>
            <w:r>
              <w:rPr>
                <w:rFonts w:hint="eastAsia" w:ascii="宋体" w:hAnsi="宋体"/>
                <w:color w:val="auto"/>
                <w:szCs w:val="21"/>
                <w:highlight w:val="none"/>
                <w:lang w:val="en-US" w:eastAsia="zh-CN"/>
              </w:rPr>
              <w:t>10</w:t>
            </w:r>
            <w:r>
              <w:rPr>
                <w:rFonts w:hint="eastAsia" w:ascii="宋体" w:hAnsi="宋体"/>
                <w:color w:val="auto"/>
                <w:szCs w:val="21"/>
                <w:highlight w:val="none"/>
              </w:rPr>
              <w:t>分,每缺一个扣</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 项目总工具有中级技术职称者得</w:t>
            </w:r>
            <w:r>
              <w:rPr>
                <w:rFonts w:hint="eastAsia" w:ascii="宋体" w:hAnsi="宋体"/>
                <w:color w:val="auto"/>
                <w:szCs w:val="21"/>
                <w:highlight w:val="none"/>
                <w:lang w:val="en-US" w:eastAsia="zh-CN"/>
              </w:rPr>
              <w:t>8</w:t>
            </w:r>
            <w:r>
              <w:rPr>
                <w:rFonts w:hint="eastAsia" w:ascii="宋体" w:hAnsi="宋体"/>
                <w:color w:val="auto"/>
                <w:szCs w:val="21"/>
                <w:highlight w:val="none"/>
              </w:rPr>
              <w:t>分，高级者得</w:t>
            </w:r>
            <w:r>
              <w:rPr>
                <w:rFonts w:hint="eastAsia" w:ascii="宋体" w:hAnsi="宋体"/>
                <w:color w:val="auto"/>
                <w:szCs w:val="21"/>
                <w:highlight w:val="none"/>
                <w:lang w:val="en-US" w:eastAsia="zh-CN"/>
              </w:rPr>
              <w:t>10</w:t>
            </w:r>
            <w:r>
              <w:rPr>
                <w:rFonts w:hint="eastAsia" w:ascii="宋体" w:hAnsi="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2.2.4</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技术能力</w:t>
            </w:r>
          </w:p>
          <w:p>
            <w:pPr>
              <w:jc w:val="center"/>
              <w:rPr>
                <w:rFonts w:ascii="宋体" w:hAnsi="宋体"/>
                <w:color w:val="auto"/>
                <w:szCs w:val="21"/>
                <w:highlight w:val="none"/>
              </w:rPr>
            </w:pPr>
            <w:r>
              <w:rPr>
                <w:rFonts w:hint="eastAsia" w:ascii="宋体" w:hAnsi="宋体"/>
                <w:color w:val="auto"/>
                <w:szCs w:val="21"/>
                <w:highlight w:val="none"/>
              </w:rPr>
              <w:t>（0-</w:t>
            </w:r>
            <w:r>
              <w:rPr>
                <w:rFonts w:hint="eastAsia" w:ascii="宋体" w:hAnsi="宋体"/>
                <w:color w:val="auto"/>
                <w:szCs w:val="21"/>
                <w:highlight w:val="none"/>
                <w:lang w:val="en-US" w:eastAsia="zh-CN"/>
              </w:rPr>
              <w:t>40</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rPr>
                <w:rFonts w:ascii="宋体" w:hAnsi="宋体"/>
                <w:color w:val="auto"/>
                <w:szCs w:val="21"/>
                <w:highlight w:val="none"/>
              </w:rPr>
            </w:pPr>
            <w:r>
              <w:rPr>
                <w:rFonts w:hint="eastAsia" w:ascii="宋体" w:hAnsi="宋体"/>
                <w:color w:val="auto"/>
                <w:szCs w:val="21"/>
                <w:highlight w:val="none"/>
              </w:rPr>
              <w:t>1、企业业绩（</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spacing w:line="400" w:lineRule="exact"/>
              <w:rPr>
                <w:rFonts w:ascii="宋体" w:hAnsi="宋体"/>
                <w:color w:val="auto"/>
                <w:szCs w:val="21"/>
                <w:highlight w:val="none"/>
              </w:rPr>
            </w:pPr>
            <w:r>
              <w:rPr>
                <w:rFonts w:hint="eastAsia" w:ascii="宋体" w:hAnsi="宋体"/>
                <w:color w:val="auto"/>
                <w:szCs w:val="21"/>
                <w:highlight w:val="none"/>
              </w:rPr>
              <w:t xml:space="preserve">    近年来企业承建过类似项目每项得</w:t>
            </w:r>
            <w:r>
              <w:rPr>
                <w:rFonts w:hint="eastAsia" w:ascii="宋体" w:hAnsi="宋体"/>
                <w:color w:val="auto"/>
                <w:szCs w:val="21"/>
                <w:highlight w:val="none"/>
                <w:lang w:val="en-US" w:eastAsia="zh-CN"/>
              </w:rPr>
              <w:t>5</w:t>
            </w:r>
            <w:r>
              <w:rPr>
                <w:rFonts w:hint="eastAsia" w:ascii="宋体" w:hAnsi="宋体"/>
                <w:color w:val="auto"/>
                <w:szCs w:val="21"/>
                <w:highlight w:val="none"/>
              </w:rPr>
              <w:t>分，本项最高</w:t>
            </w:r>
            <w:r>
              <w:rPr>
                <w:rFonts w:hint="eastAsia" w:ascii="宋体" w:hAnsi="宋体"/>
                <w:color w:val="auto"/>
                <w:szCs w:val="21"/>
                <w:highlight w:val="none"/>
                <w:lang w:val="en-US" w:eastAsia="zh-CN"/>
              </w:rPr>
              <w:t>20</w:t>
            </w:r>
            <w:r>
              <w:rPr>
                <w:rFonts w:hint="eastAsia" w:ascii="宋体" w:hAnsi="宋体"/>
                <w:color w:val="auto"/>
                <w:szCs w:val="21"/>
                <w:highlight w:val="none"/>
              </w:rPr>
              <w:t>分（须提供合同原件、中标通知书原件、竣工验收证明材料原件和中标公示网页版）；</w:t>
            </w:r>
          </w:p>
          <w:p>
            <w:pPr>
              <w:spacing w:line="400" w:lineRule="exact"/>
              <w:rPr>
                <w:rFonts w:ascii="宋体" w:hAnsi="宋体"/>
                <w:color w:val="auto"/>
                <w:szCs w:val="21"/>
                <w:highlight w:val="none"/>
              </w:rPr>
            </w:pPr>
            <w:r>
              <w:rPr>
                <w:rFonts w:hint="eastAsia" w:ascii="宋体" w:hAnsi="宋体"/>
                <w:color w:val="auto"/>
                <w:szCs w:val="21"/>
                <w:highlight w:val="none"/>
              </w:rPr>
              <w:t>2、项目经理业绩（</w:t>
            </w:r>
            <w:r>
              <w:rPr>
                <w:rFonts w:hint="eastAsia" w:ascii="宋体" w:hAnsi="宋体"/>
                <w:color w:val="auto"/>
                <w:szCs w:val="21"/>
                <w:highlight w:val="none"/>
                <w:lang w:val="en-US" w:eastAsia="zh-CN"/>
              </w:rPr>
              <w:t>20</w:t>
            </w:r>
            <w:r>
              <w:rPr>
                <w:rFonts w:hint="eastAsia" w:ascii="宋体" w:hAnsi="宋体"/>
                <w:color w:val="auto"/>
                <w:szCs w:val="21"/>
                <w:highlight w:val="none"/>
              </w:rPr>
              <w:t>分）</w:t>
            </w:r>
          </w:p>
          <w:p>
            <w:pPr>
              <w:spacing w:line="400" w:lineRule="exact"/>
              <w:ind w:firstLine="420" w:firstLineChars="200"/>
              <w:rPr>
                <w:rFonts w:ascii="宋体" w:hAnsi="宋体"/>
                <w:b/>
                <w:bCs/>
                <w:color w:val="auto"/>
                <w:szCs w:val="21"/>
                <w:highlight w:val="none"/>
              </w:rPr>
            </w:pPr>
            <w:r>
              <w:rPr>
                <w:rFonts w:hint="eastAsia" w:ascii="宋体" w:hAnsi="宋体"/>
                <w:color w:val="auto"/>
                <w:szCs w:val="21"/>
                <w:highlight w:val="none"/>
              </w:rPr>
              <w:t>近年来拟派建造师承建过类似项目每项得5分，本项最高</w:t>
            </w:r>
            <w:r>
              <w:rPr>
                <w:rFonts w:hint="eastAsia" w:ascii="宋体" w:hAnsi="宋体"/>
                <w:color w:val="auto"/>
                <w:szCs w:val="21"/>
                <w:highlight w:val="none"/>
                <w:lang w:val="en-US" w:eastAsia="zh-CN"/>
              </w:rPr>
              <w:t>20</w:t>
            </w:r>
            <w:r>
              <w:rPr>
                <w:rFonts w:hint="eastAsia" w:ascii="宋体" w:hAnsi="宋体"/>
                <w:color w:val="auto"/>
                <w:szCs w:val="21"/>
                <w:highlight w:val="none"/>
              </w:rPr>
              <w:t>分（须提供合同原件、中标通知书原件、竣工验收证明材料原件和中标公示网页版，若上述资料不显示项目经理姓名，还须同时提供相关证明文件）</w:t>
            </w:r>
            <w:r>
              <w:rPr>
                <w:rFonts w:hint="eastAsia" w:ascii="宋体" w:hAnsi="宋体"/>
                <w:color w:val="auto"/>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1219" w:type="dxa"/>
            <w:tcBorders>
              <w:top w:val="single" w:color="auto" w:sz="4"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2.2.5</w:t>
            </w:r>
          </w:p>
        </w:tc>
        <w:tc>
          <w:tcPr>
            <w:tcW w:w="1214" w:type="dxa"/>
            <w:tcBorders>
              <w:top w:val="single" w:color="auto" w:sz="4" w:space="0"/>
              <w:bottom w:val="single" w:color="auto" w:sz="4" w:space="0"/>
              <w:right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履约信誉（0-1</w:t>
            </w:r>
            <w:r>
              <w:rPr>
                <w:rFonts w:hint="eastAsia" w:ascii="宋体" w:hAnsi="宋体"/>
                <w:color w:val="auto"/>
                <w:szCs w:val="21"/>
                <w:highlight w:val="none"/>
                <w:lang w:val="en-US" w:eastAsia="zh-CN"/>
              </w:rPr>
              <w:t>0</w:t>
            </w:r>
            <w:r>
              <w:rPr>
                <w:rFonts w:hint="eastAsia" w:ascii="宋体" w:hAnsi="宋体"/>
                <w:color w:val="auto"/>
                <w:szCs w:val="21"/>
                <w:highlight w:val="none"/>
              </w:rPr>
              <w:t>分）</w:t>
            </w:r>
          </w:p>
        </w:tc>
        <w:tc>
          <w:tcPr>
            <w:tcW w:w="7380" w:type="dxa"/>
            <w:tcBorders>
              <w:top w:val="single" w:color="auto" w:sz="4" w:space="0"/>
              <w:left w:val="single" w:color="auto" w:sz="4" w:space="0"/>
              <w:bottom w:val="single" w:color="auto" w:sz="4" w:space="0"/>
            </w:tcBorders>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1、企业信用（</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投标人须提供工商企业信用信息公示报告（国家企业信用信息公示系统http//</w:t>
            </w:r>
            <w:r>
              <w:rPr>
                <w:rFonts w:ascii="宋体" w:hAnsi="宋体"/>
                <w:color w:val="auto"/>
                <w:szCs w:val="21"/>
                <w:highlight w:val="none"/>
              </w:rPr>
              <w:drawing>
                <wp:inline distT="0" distB="0" distL="0" distR="0">
                  <wp:extent cx="190500" cy="142875"/>
                  <wp:effectExtent l="0" t="0" r="0" b="9525"/>
                  <wp:docPr id="2" name="图片 2"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GJ$ACOF(TYDYECOKVDY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90500" cy="142875"/>
                          </a:xfrm>
                          <a:prstGeom prst="rect">
                            <a:avLst/>
                          </a:prstGeom>
                          <a:noFill/>
                          <a:ln>
                            <a:noFill/>
                          </a:ln>
                        </pic:spPr>
                      </pic:pic>
                    </a:graphicData>
                  </a:graphic>
                </wp:inline>
              </w:drawing>
            </w:r>
            <w:r>
              <w:rPr>
                <w:rFonts w:ascii="宋体" w:hAnsi="宋体"/>
                <w:color w:val="auto"/>
                <w:szCs w:val="21"/>
                <w:highlight w:val="none"/>
              </w:rPr>
              <w:t>www.gsxt.got.cn，内容包含基础信息、行政许可信息、行政处罚信息、列入经营异常名录信息等）以网上截图为准。企业所在地税务主管部门出具的纳税情况证明等信用情况</w:t>
            </w:r>
            <w:r>
              <w:rPr>
                <w:rFonts w:hint="eastAsia" w:ascii="宋体" w:hAnsi="宋体"/>
                <w:color w:val="auto"/>
                <w:szCs w:val="21"/>
                <w:highlight w:val="none"/>
              </w:rPr>
              <w:t>。</w:t>
            </w:r>
            <w:r>
              <w:rPr>
                <w:rFonts w:ascii="宋体" w:hAnsi="宋体"/>
                <w:color w:val="auto"/>
                <w:szCs w:val="21"/>
                <w:highlight w:val="none"/>
              </w:rPr>
              <w:t>无不良信息者每项得</w:t>
            </w:r>
            <w:r>
              <w:rPr>
                <w:rFonts w:hint="eastAsia" w:ascii="宋体" w:hAnsi="宋体"/>
                <w:color w:val="auto"/>
                <w:szCs w:val="21"/>
                <w:highlight w:val="none"/>
                <w:lang w:val="en-US" w:eastAsia="zh-CN"/>
              </w:rPr>
              <w:t>1</w:t>
            </w:r>
            <w:r>
              <w:rPr>
                <w:rFonts w:ascii="宋体" w:hAnsi="宋体"/>
                <w:color w:val="auto"/>
                <w:szCs w:val="21"/>
                <w:highlight w:val="none"/>
              </w:rPr>
              <w:t>分，最多得</w:t>
            </w:r>
            <w:r>
              <w:rPr>
                <w:rFonts w:hint="eastAsia" w:ascii="宋体" w:hAnsi="宋体"/>
                <w:color w:val="auto"/>
                <w:szCs w:val="21"/>
                <w:highlight w:val="none"/>
                <w:lang w:val="en-US" w:eastAsia="zh-CN"/>
              </w:rPr>
              <w:t>2</w:t>
            </w:r>
            <w:r>
              <w:rPr>
                <w:rFonts w:ascii="宋体" w:hAnsi="宋体"/>
                <w:color w:val="auto"/>
                <w:szCs w:val="21"/>
                <w:highlight w:val="none"/>
              </w:rPr>
              <w:t>分，未提供或有不良信息者不得分。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2、服务承诺（含扬尘治理等内容）（</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投标人针对招标项目的特点和要求，结合自身条件和潜力做出优惠和服务承诺。由评委根据投标文件表述的具体内容酌情打分。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bottom w:val="single" w:color="auto" w:sz="4" w:space="0"/>
            </w:tcBorders>
            <w:vAlign w:val="center"/>
          </w:tcPr>
          <w:p>
            <w:pPr>
              <w:ind w:firstLine="420" w:firstLineChars="2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需要补充的其他内容：</w:t>
            </w:r>
          </w:p>
          <w:p>
            <w:pPr>
              <w:ind w:firstLine="420" w:firstLineChars="200"/>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jc w:val="center"/>
        </w:trPr>
        <w:tc>
          <w:tcPr>
            <w:tcW w:w="9813" w:type="dxa"/>
            <w:gridSpan w:val="3"/>
            <w:tcBorders>
              <w:top w:val="single" w:color="auto" w:sz="4" w:space="0"/>
            </w:tcBorders>
            <w:vAlign w:val="center"/>
          </w:tcPr>
          <w:p>
            <w:pPr>
              <w:spacing w:line="340" w:lineRule="exact"/>
              <w:rPr>
                <w:rFonts w:ascii="宋体" w:hAnsi="宋体"/>
                <w:color w:val="auto"/>
                <w:szCs w:val="21"/>
                <w:highlight w:val="none"/>
              </w:rPr>
            </w:pPr>
            <w:r>
              <w:rPr>
                <w:rFonts w:hint="eastAsia" w:ascii="宋体" w:hAnsi="宋体"/>
                <w:color w:val="auto"/>
                <w:szCs w:val="21"/>
                <w:highlight w:val="none"/>
              </w:rPr>
              <w:t>评标程序如下：</w:t>
            </w:r>
          </w:p>
          <w:p>
            <w:pPr>
              <w:spacing w:line="340" w:lineRule="exact"/>
              <w:rPr>
                <w:rFonts w:ascii="宋体" w:hAnsi="宋体"/>
                <w:color w:val="auto"/>
                <w:szCs w:val="21"/>
                <w:highlight w:val="none"/>
              </w:rPr>
            </w:pPr>
            <w:r>
              <w:rPr>
                <w:rFonts w:hint="eastAsia" w:ascii="宋体" w:hAnsi="宋体"/>
                <w:color w:val="auto"/>
                <w:szCs w:val="21"/>
                <w:highlight w:val="none"/>
              </w:rPr>
              <w:t>1、招标人按照第二章“投标人须知”第5.2.1-5.2.3项的规定对投标文件第一信封（商务及技术文件）进行开标。</w:t>
            </w:r>
          </w:p>
          <w:p>
            <w:pPr>
              <w:spacing w:line="340" w:lineRule="exact"/>
              <w:rPr>
                <w:rFonts w:ascii="宋体" w:hAnsi="宋体"/>
                <w:color w:val="auto"/>
                <w:szCs w:val="21"/>
                <w:highlight w:val="none"/>
              </w:rPr>
            </w:pPr>
            <w:r>
              <w:rPr>
                <w:rFonts w:hint="eastAsia" w:ascii="宋体" w:hAnsi="宋体"/>
                <w:color w:val="auto"/>
                <w:szCs w:val="21"/>
                <w:highlight w:val="none"/>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color w:val="auto"/>
                <w:szCs w:val="21"/>
                <w:highlight w:val="none"/>
              </w:rPr>
              <w:t>各项打分保留小数点后两位，小数点后第三位“四舍五入”。</w:t>
            </w:r>
          </w:p>
          <w:p>
            <w:pPr>
              <w:spacing w:line="340" w:lineRule="exact"/>
              <w:rPr>
                <w:rFonts w:hint="eastAsia" w:ascii="宋体" w:hAnsi="宋体"/>
                <w:color w:val="auto"/>
                <w:szCs w:val="21"/>
                <w:highlight w:val="none"/>
              </w:rPr>
            </w:pPr>
            <w:r>
              <w:rPr>
                <w:rFonts w:hint="eastAsia" w:ascii="宋体" w:hAnsi="宋体"/>
                <w:color w:val="auto"/>
                <w:szCs w:val="21"/>
                <w:highlight w:val="none"/>
              </w:rPr>
              <w:t>3、根据第一信封（商务及技术文件）的综合得分排序，选前三名（如并列第三名，则取前四名）进入到第二信封（投标报价和工程量清单）评审（招标人按照第</w:t>
            </w:r>
            <w:r>
              <w:rPr>
                <w:rFonts w:hint="eastAsia" w:ascii="宋体" w:hAnsi="宋体"/>
                <w:color w:val="auto"/>
                <w:szCs w:val="21"/>
                <w:highlight w:val="none"/>
                <w:lang w:eastAsia="zh-CN"/>
              </w:rPr>
              <w:t>二</w:t>
            </w:r>
            <w:r>
              <w:rPr>
                <w:rFonts w:hint="eastAsia" w:ascii="宋体" w:hAnsi="宋体"/>
                <w:color w:val="auto"/>
                <w:szCs w:val="21"/>
                <w:highlight w:val="none"/>
              </w:rPr>
              <w:t>章“</w:t>
            </w:r>
            <w:r>
              <w:rPr>
                <w:rFonts w:hint="eastAsia" w:ascii="宋体" w:hAnsi="宋体"/>
                <w:color w:val="auto"/>
                <w:szCs w:val="21"/>
                <w:highlight w:val="none"/>
                <w:lang w:eastAsia="zh-CN"/>
              </w:rPr>
              <w:t>投标人须知</w:t>
            </w:r>
            <w:r>
              <w:rPr>
                <w:rFonts w:hint="eastAsia" w:ascii="宋体" w:hAnsi="宋体"/>
                <w:color w:val="auto"/>
                <w:szCs w:val="21"/>
                <w:highlight w:val="none"/>
              </w:rPr>
              <w:t>”</w:t>
            </w:r>
            <w:r>
              <w:rPr>
                <w:rFonts w:hint="eastAsia" w:ascii="宋体" w:hAnsi="宋体"/>
                <w:color w:val="auto"/>
                <w:szCs w:val="21"/>
                <w:highlight w:val="none"/>
                <w:lang w:eastAsia="zh-CN"/>
              </w:rPr>
              <w:t>相关条款</w:t>
            </w:r>
            <w:r>
              <w:rPr>
                <w:rFonts w:hint="eastAsia" w:ascii="宋体" w:hAnsi="宋体"/>
                <w:color w:val="auto"/>
                <w:szCs w:val="21"/>
                <w:highlight w:val="none"/>
              </w:rPr>
              <w:t>对投标文件第一信封（商务及技术文件）评审得分前 3 名的投标文件第二个信封（投标文件）进行开启）。按照投标报价由低到高的顺序推荐中标候选人的排名，中标候选人的人数为 1-3 名，投标报价相同时、综合得分高者优先。</w:t>
            </w:r>
          </w:p>
          <w:p>
            <w:pPr>
              <w:spacing w:line="340" w:lineRule="exact"/>
              <w:rPr>
                <w:rFonts w:hint="eastAsia" w:ascii="宋体" w:hAnsi="宋体"/>
                <w:color w:val="auto"/>
                <w:szCs w:val="21"/>
                <w:highlight w:val="none"/>
              </w:rPr>
            </w:pPr>
            <w:r>
              <w:rPr>
                <w:rFonts w:hint="eastAsia" w:ascii="宋体" w:hAnsi="宋体"/>
                <w:color w:val="auto"/>
                <w:szCs w:val="21"/>
                <w:highlight w:val="none"/>
              </w:rPr>
              <w:t>如前三名（如并列第三名，则取前四名），第二信封的评审均不满足招标文件要求，则顺延再取三名（如并列第三名，则取前四名），按照上述顺序进行详细评审。以此类推。如后面排名不足三名，则全部投标人均进行详细评审。投标报价相同时、综合得分高者优先。</w:t>
            </w:r>
          </w:p>
          <w:p>
            <w:pPr>
              <w:spacing w:line="340" w:lineRule="exact"/>
              <w:rPr>
                <w:rFonts w:ascii="宋体" w:hAnsi="宋体"/>
                <w:color w:val="auto"/>
                <w:szCs w:val="21"/>
                <w:highlight w:val="none"/>
              </w:rPr>
            </w:pPr>
            <w:r>
              <w:rPr>
                <w:rFonts w:hint="eastAsia" w:ascii="宋体" w:hAnsi="宋体"/>
                <w:b/>
                <w:color w:val="auto"/>
                <w:szCs w:val="21"/>
                <w:highlight w:val="none"/>
                <w:lang w:val="en-US" w:eastAsia="zh-CN"/>
              </w:rPr>
              <w:t>4</w:t>
            </w:r>
            <w:r>
              <w:rPr>
                <w:rFonts w:hint="eastAsia" w:ascii="宋体" w:hAnsi="宋体"/>
                <w:b/>
                <w:color w:val="auto"/>
                <w:szCs w:val="21"/>
                <w:highlight w:val="none"/>
              </w:rPr>
              <w:t>、本评分标准中所要求提供的各种证明材料，投标文件中须提供复印件，且在评标时按要求提供与复印件一致的原件，否则不得分。</w:t>
            </w:r>
          </w:p>
        </w:tc>
      </w:tr>
    </w:tbl>
    <w:p>
      <w:pPr>
        <w:spacing w:line="500" w:lineRule="exact"/>
        <w:rPr>
          <w:rFonts w:ascii="宋体" w:hAnsi="宋体"/>
          <w:b/>
          <w:color w:val="auto"/>
          <w:sz w:val="24"/>
          <w:highlight w:val="none"/>
        </w:rPr>
      </w:pPr>
      <w:r>
        <w:rPr>
          <w:rFonts w:hint="eastAsia" w:ascii="宋体" w:hAnsi="宋体"/>
          <w:b/>
          <w:color w:val="auto"/>
          <w:sz w:val="24"/>
          <w:highlight w:val="none"/>
        </w:rPr>
        <w:t>1.评标办法</w:t>
      </w:r>
    </w:p>
    <w:p>
      <w:pPr>
        <w:spacing w:line="500" w:lineRule="exact"/>
        <w:ind w:firstLine="480" w:firstLineChars="200"/>
        <w:rPr>
          <w:rFonts w:ascii="宋体" w:hAnsi="宋体"/>
          <w:b/>
          <w:color w:val="auto"/>
          <w:sz w:val="24"/>
          <w:highlight w:val="none"/>
        </w:rPr>
      </w:pPr>
      <w:r>
        <w:rPr>
          <w:rFonts w:hint="eastAsia" w:ascii="宋体" w:hAnsi="宋体"/>
          <w:color w:val="auto"/>
          <w:sz w:val="24"/>
          <w:highlight w:val="none"/>
        </w:rPr>
        <w:t>本次评标采用技术评分最低标价法。评标委员会对满足招标文件实质要求的投标文件，根据本章第2.</w:t>
      </w:r>
      <w:r>
        <w:rPr>
          <w:rFonts w:hint="eastAsia" w:ascii="宋体" w:hAnsi="宋体"/>
          <w:color w:val="auto"/>
          <w:sz w:val="24"/>
          <w:highlight w:val="none"/>
          <w:lang w:val="en-US" w:eastAsia="zh-CN"/>
        </w:rPr>
        <w:t>2.2-2.2.5</w:t>
      </w:r>
      <w:r>
        <w:rPr>
          <w:rFonts w:hint="eastAsia" w:ascii="宋体" w:hAnsi="宋体"/>
          <w:color w:val="auto"/>
          <w:sz w:val="24"/>
          <w:highlight w:val="none"/>
        </w:rPr>
        <w:t>款规定的评分标准进行打分，按综合得分由高到低的顺序选前三名，并按照投标报价由低到高的顺序确定中标候选人排序（但投标报价低于其成本的除外），投标报价相同时，综合得分高者优先。</w:t>
      </w:r>
    </w:p>
    <w:p>
      <w:pPr>
        <w:spacing w:line="500" w:lineRule="exact"/>
        <w:rPr>
          <w:rFonts w:ascii="宋体" w:hAnsi="宋体"/>
          <w:b/>
          <w:color w:val="auto"/>
          <w:sz w:val="24"/>
          <w:highlight w:val="none"/>
        </w:rPr>
      </w:pPr>
      <w:r>
        <w:rPr>
          <w:rFonts w:hint="eastAsia" w:ascii="宋体" w:hAnsi="宋体"/>
          <w:b/>
          <w:color w:val="auto"/>
          <w:sz w:val="24"/>
          <w:highlight w:val="none"/>
        </w:rPr>
        <w:t>2.评审标准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2.1初步评审标准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2.1.1形式评审标准：见评标办法前附表。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2.1.2资格评审标准：见评标办法前附表。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2.1.3响应性评审标准：见评标办法前附表。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 分值构成与评分标准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2.2.1 分值构成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施工组织设计：见评标办法前附表。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项目管理机构：见评标办法前附表。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履约信誉：见评标办法前附表。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2.2.2 施工组织设计评审标准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施工组织设计评审标准：见评标办法前附表。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2.2.3 项目管理机构评审标准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项目管理机构评审标准：见评标办法前附表。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2.2.4 技术能力评审标准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技术能力评审标准：见评标办法前附表。</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2.2.5履约信誉评审标准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履约信誉评审标准：见评标办法前附表。</w:t>
      </w:r>
    </w:p>
    <w:p>
      <w:pPr>
        <w:spacing w:line="500" w:lineRule="exact"/>
        <w:rPr>
          <w:rFonts w:ascii="宋体" w:hAnsi="宋体"/>
          <w:b/>
          <w:color w:val="auto"/>
          <w:sz w:val="24"/>
          <w:highlight w:val="none"/>
        </w:rPr>
      </w:pPr>
      <w:r>
        <w:rPr>
          <w:rFonts w:hint="eastAsia" w:ascii="宋体" w:hAnsi="宋体"/>
          <w:b/>
          <w:color w:val="auto"/>
          <w:sz w:val="24"/>
          <w:highlight w:val="none"/>
        </w:rPr>
        <w:t>3.评标程序</w:t>
      </w:r>
    </w:p>
    <w:p>
      <w:pPr>
        <w:spacing w:line="500" w:lineRule="exact"/>
        <w:rPr>
          <w:rFonts w:ascii="宋体" w:hAnsi="宋体"/>
          <w:b/>
          <w:color w:val="auto"/>
          <w:sz w:val="24"/>
          <w:highlight w:val="none"/>
        </w:rPr>
      </w:pPr>
      <w:r>
        <w:rPr>
          <w:rFonts w:hint="eastAsia" w:ascii="宋体" w:hAnsi="宋体"/>
          <w:b/>
          <w:color w:val="auto"/>
          <w:sz w:val="24"/>
          <w:highlight w:val="none"/>
        </w:rPr>
        <w:t>3.1初步评审</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3.1.1</w:t>
      </w:r>
      <w:r>
        <w:rPr>
          <w:rFonts w:hint="eastAsia" w:ascii="宋体" w:hAnsi="宋体"/>
          <w:color w:val="auto"/>
          <w:sz w:val="24"/>
          <w:highlight w:val="none"/>
        </w:rPr>
        <w:t xml:space="preserve"> 评标委员会依据本章第 2.1.1、2.1.3 项规定的评审标准对投标文件进行形式评审与响应性评审。有一项不符合评审标准的作废标处理。然后对本章第 2.1.2 项规定的评审标准对投标文件进行资格审查。有一项不符合资格审查条件的作废标处理。通过初步评审的投标文件为有效投标文件进入下一阶段详细评审。未通过初步评审的投标文件其投标价将不予宣读。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3.1.2 </w:t>
      </w:r>
      <w:r>
        <w:rPr>
          <w:rFonts w:hint="eastAsia" w:ascii="宋体" w:hAnsi="宋体"/>
          <w:color w:val="auto"/>
          <w:sz w:val="24"/>
          <w:highlight w:val="none"/>
        </w:rPr>
        <w:t>投标人有以下情形之一的其投标作废标处理：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（1）第二章“投标人须知”第 1.4.3 项规定的任何一种情形的。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（2）串通投标或弄虚作假或有其他违法行为的。</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3.1.3</w:t>
      </w:r>
      <w:r>
        <w:rPr>
          <w:rFonts w:hint="eastAsia" w:ascii="宋体" w:hAnsi="宋体"/>
          <w:color w:val="auto"/>
          <w:sz w:val="24"/>
          <w:highlight w:val="none"/>
        </w:rPr>
        <w:t>投标报价有算术错误的，评标委员会按以下原则对投标报价进行修正，修正的价格经投标人书面确认后具有约束力。投标人不接受修正价格的，其投标作废标处理，并没收其投标担保。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(1)投标文件中的大写金额与小写金额不一致的，以大写金额为准；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(2)总价金额与依据单价计算出的结果不一致的，以单价金额为准修正总价，但单价金额小数点有明显错误的除外；</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(3)当单价与数量相乘不等于合价时，以单价计算为准，如果单价有明显的小数点位置差错，应以标出的合价为准，同时对单价予以修正；</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(4)当各子目的合价累计不等于总价时，应以各子目合价累计数为准，修正总价。</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3.1.4</w:t>
      </w:r>
      <w:r>
        <w:rPr>
          <w:rFonts w:hint="eastAsia" w:ascii="宋体" w:hAnsi="宋体"/>
          <w:color w:val="auto"/>
          <w:sz w:val="24"/>
          <w:highlight w:val="none"/>
        </w:rPr>
        <w:t>工程量清单中的投标报价有其他错误的，评标委员会按以下原则对投标报价进行修正，修正的价格经投标人书面确认后具有约束力。投标人不接受修正价格的，其投标作废标处理，并没收其投标担保。</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(3)当单价与数量的乘积与合价(金额)虽然一致，但投标人修改了该子目的工程数量，则其合价按招标人给定的工程数量乘以投标人所报单价予以修正。</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3.1.5</w:t>
      </w:r>
      <w:r>
        <w:rPr>
          <w:rFonts w:hint="eastAsia" w:ascii="宋体" w:hAnsi="宋体"/>
          <w:color w:val="auto"/>
          <w:sz w:val="24"/>
          <w:highlight w:val="none"/>
        </w:rPr>
        <w:t>修正后的最终投标报价若超过投标控制价上限(如有)，投标人的投标文件作废标处理。</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3.1.6</w:t>
      </w:r>
      <w:r>
        <w:rPr>
          <w:rFonts w:hint="eastAsia" w:ascii="宋体" w:hAnsi="宋体"/>
          <w:color w:val="auto"/>
          <w:sz w:val="24"/>
          <w:highlight w:val="none"/>
        </w:rPr>
        <w:t>修正后的最终投标报价作为签订合同的一个依据，不参与评标价得分的计算。</w:t>
      </w:r>
    </w:p>
    <w:p>
      <w:pPr>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 xml:space="preserve">3.2 详细评审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3.2.1 评标委员会按本章第2.2款规定的量化因素和分值进行打分并计算出评标得分，按得分由高到低顺序取前三名进入第二信封（投标报价和工程量清单）评审，并按投标报价由低到高顺序推荐中标候选人。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3.2.2 评标得分计算保留小数点后两位，小数点后第三位“四舍五入”。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 </w:t>
      </w:r>
    </w:p>
    <w:p>
      <w:pPr>
        <w:spacing w:line="500" w:lineRule="exact"/>
        <w:ind w:firstLine="482" w:firstLineChars="200"/>
        <w:rPr>
          <w:rFonts w:ascii="宋体" w:hAnsi="宋体"/>
          <w:color w:val="auto"/>
          <w:sz w:val="24"/>
          <w:highlight w:val="none"/>
        </w:rPr>
      </w:pPr>
      <w:r>
        <w:rPr>
          <w:rFonts w:hint="eastAsia" w:ascii="宋体" w:hAnsi="宋体"/>
          <w:b/>
          <w:color w:val="auto"/>
          <w:sz w:val="24"/>
          <w:highlight w:val="none"/>
        </w:rPr>
        <w:t xml:space="preserve">3.3 </w:t>
      </w:r>
      <w:r>
        <w:rPr>
          <w:rFonts w:hint="eastAsia" w:ascii="宋体" w:hAnsi="宋体"/>
          <w:color w:val="auto"/>
          <w:sz w:val="24"/>
          <w:highlight w:val="none"/>
        </w:rPr>
        <w:t xml:space="preserve">投标文件的澄清和补正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 xml:space="preserve">3.3.1 在评标过程中，评标委员会可以书面形式要求投标人对所提交投标文件中不明确的内容进行书面澄清或说明，或者对细微偏差进行补正。评标委员会不接受投标人主动提出的澄清、说明或补正。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3.3.2 澄清、说明和补正不得改变投标文件的实质性内容（算术性错误修正的除外）。投标人的书面澄清、说明和补正属于投标文件的组成部分。</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3.3.3评标委员会对投标人提交的澄清、说明或补正有疑问的，可以要求投标人进一步澄清、说明或补正，直至满足评标委员会的要求。</w:t>
      </w:r>
    </w:p>
    <w:p>
      <w:pPr>
        <w:spacing w:line="500" w:lineRule="exact"/>
        <w:ind w:firstLine="480" w:firstLineChars="200"/>
        <w:rPr>
          <w:rFonts w:ascii="宋体" w:hAnsi="宋体"/>
          <w:color w:val="auto"/>
          <w:sz w:val="24"/>
          <w:highlight w:val="none"/>
        </w:rPr>
      </w:pPr>
      <w:r>
        <w:rPr>
          <w:rFonts w:hint="eastAsia" w:ascii="宋体" w:hAnsi="宋体"/>
          <w:b w:val="0"/>
          <w:bCs/>
          <w:color w:val="auto"/>
          <w:sz w:val="24"/>
          <w:highlight w:val="none"/>
        </w:rPr>
        <w:t>3.3.4</w:t>
      </w:r>
      <w:r>
        <w:rPr>
          <w:rFonts w:hint="eastAsia" w:ascii="宋体" w:hAnsi="宋体"/>
          <w:color w:val="auto"/>
          <w:sz w:val="24"/>
          <w:highlight w:val="none"/>
        </w:rPr>
        <w:t>凡超出招标文件规定的或给发包人带来未曾要求的利益的变化、偏差或其他因素在评标时不予考虑。</w:t>
      </w:r>
    </w:p>
    <w:p>
      <w:pPr>
        <w:spacing w:line="500" w:lineRule="exact"/>
        <w:rPr>
          <w:rFonts w:ascii="宋体" w:hAnsi="宋体"/>
          <w:b/>
          <w:color w:val="auto"/>
          <w:sz w:val="24"/>
          <w:highlight w:val="none"/>
        </w:rPr>
      </w:pPr>
      <w:r>
        <w:rPr>
          <w:rFonts w:hint="eastAsia" w:ascii="宋体" w:hAnsi="宋体"/>
          <w:b/>
          <w:color w:val="auto"/>
          <w:sz w:val="24"/>
          <w:highlight w:val="none"/>
        </w:rPr>
        <w:t>3.4评标结果</w:t>
      </w:r>
    </w:p>
    <w:p>
      <w:pPr>
        <w:spacing w:line="50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3.4.1评标委员会按照通过投标文件第一信封（商务及技术文件）评审的前三名投标报价由低到高的顺序推荐中标候选人。 </w:t>
      </w:r>
    </w:p>
    <w:p>
      <w:pPr>
        <w:spacing w:line="500" w:lineRule="exact"/>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3.4.2 评标委员会完成评标后，应当向招标人提交书面评标报告。</w:t>
      </w:r>
    </w:p>
    <w:p>
      <w:pPr>
        <w:spacing w:line="340" w:lineRule="exact"/>
        <w:ind w:firstLine="480" w:firstLineChars="200"/>
        <w:rPr>
          <w:rFonts w:ascii="宋体" w:hAnsi="宋体"/>
          <w:color w:val="auto"/>
          <w:sz w:val="24"/>
          <w:highlight w:val="none"/>
        </w:rPr>
      </w:pPr>
    </w:p>
    <w:p>
      <w:pPr>
        <w:spacing w:line="340" w:lineRule="exact"/>
        <w:ind w:firstLine="480" w:firstLineChars="200"/>
        <w:rPr>
          <w:rFonts w:ascii="宋体" w:hAnsi="宋体"/>
          <w:color w:val="auto"/>
          <w:sz w:val="24"/>
          <w:highlight w:val="none"/>
        </w:rPr>
      </w:pP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需要注意的问题：</w:t>
      </w:r>
    </w:p>
    <w:p>
      <w:pPr>
        <w:spacing w:line="500" w:lineRule="exact"/>
        <w:ind w:firstLine="482" w:firstLineChars="200"/>
        <w:rPr>
          <w:rFonts w:ascii="宋体" w:hAnsi="宋体"/>
          <w:b/>
          <w:bCs/>
          <w:color w:val="auto"/>
          <w:sz w:val="24"/>
          <w:highlight w:val="none"/>
        </w:rPr>
      </w:pPr>
      <w:r>
        <w:rPr>
          <w:rFonts w:hint="eastAsia" w:ascii="宋体" w:hAnsi="宋体"/>
          <w:b/>
          <w:bCs/>
          <w:color w:val="auto"/>
          <w:sz w:val="24"/>
          <w:highlight w:val="none"/>
        </w:rPr>
        <w:t>投标文件第一个信封(商务及技术文件)不得出现有关投标报价的内容，否则评标委员会将对投标文件第一个信封(商务及技术文件)作废标处理。</w:t>
      </w:r>
    </w:p>
    <w:p>
      <w:pPr>
        <w:adjustRightInd w:val="0"/>
        <w:snapToGrid w:val="0"/>
        <w:spacing w:line="360" w:lineRule="auto"/>
        <w:ind w:firstLine="480" w:firstLineChars="200"/>
        <w:jc w:val="center"/>
        <w:rPr>
          <w:rFonts w:ascii="宋体" w:hAnsi="宋体"/>
          <w:color w:val="auto"/>
          <w:sz w:val="24"/>
          <w:highlight w:val="none"/>
        </w:rPr>
      </w:pPr>
    </w:p>
    <w:p>
      <w:pPr>
        <w:rPr>
          <w:color w:val="auto"/>
          <w:sz w:val="24"/>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44"/>
          <w:highlight w:val="none"/>
        </w:rPr>
      </w:pPr>
    </w:p>
    <w:p>
      <w:pPr>
        <w:tabs>
          <w:tab w:val="left" w:pos="4500"/>
        </w:tabs>
        <w:spacing w:line="520" w:lineRule="exact"/>
        <w:rPr>
          <w:b/>
          <w:bCs/>
          <w:color w:val="auto"/>
          <w:sz w:val="44"/>
          <w:highlight w:val="none"/>
        </w:rPr>
      </w:pPr>
    </w:p>
    <w:p>
      <w:pPr>
        <w:tabs>
          <w:tab w:val="left" w:pos="4500"/>
        </w:tabs>
        <w:spacing w:line="520" w:lineRule="exact"/>
        <w:jc w:val="both"/>
        <w:rPr>
          <w:b/>
          <w:bCs/>
          <w:color w:val="auto"/>
          <w:sz w:val="44"/>
          <w:highlight w:val="none"/>
        </w:rPr>
      </w:pPr>
    </w:p>
    <w:p>
      <w:pPr>
        <w:adjustRightInd w:val="0"/>
        <w:snapToGrid w:val="0"/>
        <w:spacing w:line="360" w:lineRule="auto"/>
        <w:jc w:val="center"/>
        <w:outlineLvl w:val="0"/>
        <w:rPr>
          <w:rFonts w:ascii="黑体" w:eastAsia="黑体"/>
          <w:color w:val="auto"/>
          <w:sz w:val="44"/>
          <w:szCs w:val="44"/>
          <w:highlight w:val="none"/>
        </w:rPr>
      </w:pPr>
      <w:bookmarkStart w:id="226" w:name="_Toc13221"/>
      <w:r>
        <w:rPr>
          <w:rFonts w:hint="eastAsia" w:ascii="黑体" w:eastAsia="黑体"/>
          <w:color w:val="auto"/>
          <w:sz w:val="44"/>
          <w:szCs w:val="44"/>
          <w:highlight w:val="none"/>
        </w:rPr>
        <w:t>第四章 合同条款及格式</w:t>
      </w:r>
      <w:bookmarkEnd w:id="226"/>
    </w:p>
    <w:p>
      <w:pPr>
        <w:adjustRightInd w:val="0"/>
        <w:snapToGrid w:val="0"/>
        <w:spacing w:line="360" w:lineRule="auto"/>
        <w:jc w:val="center"/>
        <w:outlineLvl w:val="0"/>
        <w:rPr>
          <w:rFonts w:ascii="黑体" w:eastAsia="黑体"/>
          <w:bCs/>
          <w:color w:val="auto"/>
          <w:sz w:val="36"/>
          <w:szCs w:val="36"/>
          <w:highlight w:val="none"/>
        </w:rPr>
      </w:pPr>
      <w:bookmarkStart w:id="227" w:name="_Toc9501"/>
      <w:r>
        <w:rPr>
          <w:rFonts w:hint="eastAsia" w:ascii="黑体" w:eastAsia="黑体"/>
          <w:bCs/>
          <w:color w:val="auto"/>
          <w:sz w:val="36"/>
          <w:szCs w:val="36"/>
          <w:highlight w:val="none"/>
        </w:rPr>
        <w:t>第一节 通用合同条款</w:t>
      </w:r>
      <w:bookmarkEnd w:id="227"/>
    </w:p>
    <w:p>
      <w:pPr>
        <w:adjustRightInd w:val="0"/>
        <w:snapToGrid w:val="0"/>
        <w:spacing w:line="360" w:lineRule="auto"/>
        <w:jc w:val="center"/>
        <w:rPr>
          <w:rFonts w:ascii="仿宋_GB2312" w:eastAsia="仿宋_GB2312"/>
          <w:color w:val="auto"/>
          <w:sz w:val="24"/>
          <w:highlight w:val="none"/>
        </w:rPr>
      </w:pPr>
    </w:p>
    <w:p>
      <w:pPr>
        <w:adjustRightInd w:val="0"/>
        <w:snapToGrid w:val="0"/>
        <w:spacing w:line="360" w:lineRule="auto"/>
        <w:jc w:val="center"/>
        <w:rPr>
          <w:rFonts w:ascii="黑体" w:eastAsia="黑体"/>
          <w:b/>
          <w:color w:val="auto"/>
          <w:sz w:val="44"/>
          <w:szCs w:val="44"/>
          <w:highlight w:val="none"/>
        </w:rPr>
      </w:pPr>
      <w:r>
        <w:rPr>
          <w:rFonts w:hint="eastAsia" w:ascii="仿宋_GB2312" w:eastAsia="仿宋_GB2312"/>
          <w:color w:val="auto"/>
          <w:sz w:val="24"/>
          <w:highlight w:val="none"/>
        </w:rPr>
        <w:t>参见中华人民共和国《标准施工招标文件》（2007年版）</w:t>
      </w: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tabs>
          <w:tab w:val="left" w:pos="4500"/>
        </w:tabs>
        <w:spacing w:line="520" w:lineRule="exact"/>
        <w:rPr>
          <w:rFonts w:ascii="黑体" w:hAnsi="宋体" w:eastAsia="黑体"/>
          <w:b/>
          <w:bCs/>
          <w:color w:val="auto"/>
          <w:sz w:val="52"/>
          <w:szCs w:val="52"/>
          <w:highlight w:val="none"/>
        </w:rPr>
      </w:pPr>
    </w:p>
    <w:p>
      <w:pPr>
        <w:pageBreakBefore/>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第二节 专用合同条款</w:t>
      </w:r>
    </w:p>
    <w:p>
      <w:pPr>
        <w:tabs>
          <w:tab w:val="left" w:pos="4500"/>
        </w:tabs>
        <w:spacing w:line="520" w:lineRule="exact"/>
        <w:rPr>
          <w:rFonts w:hAnsi="宋体"/>
          <w:bCs/>
          <w:color w:val="auto"/>
          <w:sz w:val="24"/>
          <w:szCs w:val="28"/>
          <w:highlight w:val="none"/>
        </w:rPr>
      </w:pPr>
    </w:p>
    <w:p>
      <w:pPr>
        <w:adjustRightInd w:val="0"/>
        <w:snapToGrid w:val="0"/>
        <w:spacing w:beforeLines="100" w:afterLines="100" w:line="360" w:lineRule="auto"/>
        <w:jc w:val="center"/>
        <w:rPr>
          <w:rFonts w:eastAsia="黑体"/>
          <w:color w:val="auto"/>
          <w:sz w:val="32"/>
          <w:szCs w:val="32"/>
          <w:highlight w:val="none"/>
        </w:rPr>
      </w:pPr>
      <w:bookmarkStart w:id="228" w:name="_Toc132601562"/>
      <w:r>
        <w:rPr>
          <w:rFonts w:eastAsia="黑体"/>
          <w:color w:val="auto"/>
          <w:sz w:val="32"/>
          <w:szCs w:val="32"/>
          <w:highlight w:val="none"/>
        </w:rPr>
        <w:t>A．公路行业标准专用合同条款</w:t>
      </w:r>
    </w:p>
    <w:p>
      <w:pPr>
        <w:adjustRightInd w:val="0"/>
        <w:snapToGrid w:val="0"/>
        <w:spacing w:line="360" w:lineRule="auto"/>
        <w:rPr>
          <w:rFonts w:eastAsia="黑体"/>
          <w:color w:val="auto"/>
          <w:sz w:val="24"/>
          <w:highlight w:val="none"/>
        </w:rPr>
      </w:pPr>
      <w:r>
        <w:rPr>
          <w:rFonts w:eastAsia="黑体"/>
          <w:color w:val="auto"/>
          <w:sz w:val="24"/>
          <w:highlight w:val="none"/>
        </w:rPr>
        <w:t>1．一般约定</w:t>
      </w:r>
    </w:p>
    <w:p>
      <w:pPr>
        <w:adjustRightInd w:val="0"/>
        <w:snapToGrid w:val="0"/>
        <w:spacing w:line="360" w:lineRule="auto"/>
        <w:rPr>
          <w:rFonts w:eastAsia="黑体"/>
          <w:color w:val="auto"/>
          <w:sz w:val="24"/>
          <w:highlight w:val="none"/>
        </w:rPr>
      </w:pPr>
      <w:r>
        <w:rPr>
          <w:rFonts w:eastAsia="黑体"/>
          <w:color w:val="auto"/>
          <w:sz w:val="24"/>
          <w:highlight w:val="none"/>
        </w:rPr>
        <w:t>1.1词语定义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1.1.1合同</w:t>
      </w:r>
    </w:p>
    <w:p>
      <w:pPr>
        <w:adjustRightInd w:val="0"/>
        <w:snapToGrid w:val="0"/>
        <w:spacing w:line="360" w:lineRule="auto"/>
        <w:ind w:firstLine="720" w:firstLineChars="300"/>
        <w:rPr>
          <w:color w:val="auto"/>
          <w:sz w:val="24"/>
          <w:highlight w:val="none"/>
        </w:rPr>
      </w:pPr>
      <w:r>
        <w:rPr>
          <w:color w:val="auto"/>
          <w:sz w:val="24"/>
          <w:highlight w:val="none"/>
        </w:rPr>
        <w:t>1.1.1.6技术规范：为本合同所约定的</w:t>
      </w:r>
      <w:r>
        <w:rPr>
          <w:rFonts w:ascii="宋体" w:hAnsi="宋体"/>
          <w:color w:val="auto"/>
          <w:sz w:val="24"/>
          <w:highlight w:val="none"/>
        </w:rPr>
        <w:t>技</w:t>
      </w:r>
      <w:r>
        <w:rPr>
          <w:color w:val="auto"/>
          <w:sz w:val="24"/>
          <w:highlight w:val="none"/>
        </w:rPr>
        <w:t>术标准和要求。</w:t>
      </w:r>
    </w:p>
    <w:p>
      <w:pPr>
        <w:adjustRightInd w:val="0"/>
        <w:snapToGrid w:val="0"/>
        <w:spacing w:line="360" w:lineRule="auto"/>
        <w:ind w:firstLine="720" w:firstLineChars="300"/>
        <w:rPr>
          <w:color w:val="auto"/>
          <w:sz w:val="24"/>
          <w:highlight w:val="none"/>
        </w:rPr>
      </w:pPr>
      <w:r>
        <w:rPr>
          <w:color w:val="auto"/>
          <w:sz w:val="24"/>
          <w:highlight w:val="none"/>
        </w:rPr>
        <w:t>1.1.1.8已标价工程量清单：指构成合同文件组成部分的已标明价格、经算术性修正且承包人已确认的最终的工程量清单。</w:t>
      </w:r>
    </w:p>
    <w:p>
      <w:pPr>
        <w:adjustRightInd w:val="0"/>
        <w:snapToGrid w:val="0"/>
        <w:spacing w:line="360" w:lineRule="auto"/>
        <w:ind w:firstLine="480" w:firstLineChars="2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10目：</w:t>
      </w:r>
    </w:p>
    <w:p>
      <w:pPr>
        <w:adjustRightInd w:val="0"/>
        <w:snapToGrid w:val="0"/>
        <w:spacing w:line="360" w:lineRule="auto"/>
        <w:ind w:firstLine="720" w:firstLineChars="300"/>
        <w:rPr>
          <w:color w:val="auto"/>
          <w:sz w:val="24"/>
          <w:highlight w:val="none"/>
        </w:rPr>
      </w:pPr>
      <w:r>
        <w:rPr>
          <w:color w:val="auto"/>
          <w:sz w:val="24"/>
          <w:highlight w:val="none"/>
        </w:rPr>
        <w:t>1.1.1.10补遗书：指发出招标文件之后由招标人向已取得招标文件的投标人发出的、编号的补充或修改书，是招标文件的组成部分。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1.1.2合同当事人和人员</w:t>
      </w:r>
    </w:p>
    <w:p>
      <w:pPr>
        <w:adjustRightInd w:val="0"/>
        <w:snapToGrid w:val="0"/>
        <w:spacing w:line="360" w:lineRule="auto"/>
        <w:ind w:firstLine="720" w:firstLineChars="300"/>
        <w:rPr>
          <w:color w:val="auto"/>
          <w:sz w:val="24"/>
          <w:highlight w:val="none"/>
          <w:u w:val="single"/>
        </w:rPr>
      </w:pPr>
      <w:r>
        <w:rPr>
          <w:color w:val="auto"/>
          <w:sz w:val="24"/>
          <w:highlight w:val="none"/>
        </w:rPr>
        <w:t>1</w:t>
      </w:r>
      <w:r>
        <w:rPr>
          <w:rFonts w:hint="eastAsia"/>
          <w:color w:val="auto"/>
          <w:sz w:val="24"/>
          <w:highlight w:val="none"/>
        </w:rPr>
        <w:t>.</w:t>
      </w:r>
      <w:r>
        <w:rPr>
          <w:color w:val="auto"/>
          <w:sz w:val="24"/>
          <w:highlight w:val="none"/>
        </w:rPr>
        <w:t>1.2.2发包人：</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rFonts w:hint="eastAsia"/>
          <w:color w:val="auto"/>
          <w:sz w:val="24"/>
          <w:highlight w:val="none"/>
        </w:rPr>
        <w:t>1.1</w:t>
      </w:r>
      <w:r>
        <w:rPr>
          <w:color w:val="auto"/>
          <w:sz w:val="24"/>
          <w:highlight w:val="none"/>
        </w:rPr>
        <w:t>.2.6监理人</w:t>
      </w:r>
      <w:r>
        <w:rPr>
          <w:rFonts w:hint="eastAsia"/>
          <w:color w:val="auto"/>
          <w:sz w:val="24"/>
          <w:highlight w:val="none"/>
        </w:rPr>
        <w:t>：</w:t>
      </w:r>
      <w:r>
        <w:rPr>
          <w:rFonts w:hint="eastAsia"/>
          <w:color w:val="auto"/>
          <w:sz w:val="24"/>
          <w:highlight w:val="none"/>
          <w:u w:val="single"/>
        </w:rPr>
        <w:t xml:space="preserve">  （在项目专用条款数据表中予以规定）  </w:t>
      </w:r>
    </w:p>
    <w:p>
      <w:pPr>
        <w:adjustRightInd w:val="0"/>
        <w:snapToGrid w:val="0"/>
        <w:spacing w:line="360" w:lineRule="auto"/>
        <w:ind w:firstLine="720" w:firstLineChars="300"/>
        <w:rPr>
          <w:color w:val="auto"/>
          <w:sz w:val="24"/>
          <w:highlight w:val="none"/>
        </w:rPr>
      </w:pPr>
      <w:r>
        <w:rPr>
          <w:color w:val="auto"/>
          <w:sz w:val="24"/>
          <w:highlight w:val="none"/>
        </w:rPr>
        <w:t>本项增加第1</w:t>
      </w:r>
      <w:r>
        <w:rPr>
          <w:rFonts w:hint="eastAsia"/>
          <w:color w:val="auto"/>
          <w:sz w:val="24"/>
          <w:highlight w:val="none"/>
        </w:rPr>
        <w:t>.</w:t>
      </w:r>
      <w:r>
        <w:rPr>
          <w:color w:val="auto"/>
          <w:sz w:val="24"/>
          <w:highlight w:val="none"/>
        </w:rPr>
        <w:t>1.2.8目：</w:t>
      </w:r>
    </w:p>
    <w:p>
      <w:pPr>
        <w:adjustRightInd w:val="0"/>
        <w:snapToGrid w:val="0"/>
        <w:spacing w:line="360" w:lineRule="auto"/>
        <w:ind w:firstLine="720" w:firstLineChars="300"/>
        <w:rPr>
          <w:color w:val="auto"/>
          <w:sz w:val="24"/>
          <w:highlight w:val="none"/>
        </w:rPr>
      </w:pPr>
      <w:r>
        <w:rPr>
          <w:color w:val="auto"/>
          <w:sz w:val="24"/>
          <w:highlight w:val="none"/>
        </w:rPr>
        <w:t>1.1.2.8技术负责人：指由承包人书面委派常驻现场负责管理本合同工程的总工程师或技术总负责人。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3工程和设备</w:t>
      </w:r>
    </w:p>
    <w:p>
      <w:pPr>
        <w:adjustRightInd w:val="0"/>
        <w:snapToGrid w:val="0"/>
        <w:spacing w:line="360" w:lineRule="auto"/>
        <w:ind w:firstLine="720" w:firstLineChars="300"/>
        <w:rPr>
          <w:color w:val="auto"/>
          <w:sz w:val="24"/>
          <w:highlight w:val="none"/>
        </w:rPr>
      </w:pPr>
      <w:r>
        <w:rPr>
          <w:color w:val="auto"/>
          <w:sz w:val="24"/>
          <w:highlight w:val="none"/>
        </w:rPr>
        <w:t>1.1.3.4单位工程：指在建设项目中，根据签订的合同，具有独立施工条件的工程。</w:t>
      </w:r>
    </w:p>
    <w:p>
      <w:pPr>
        <w:adjustRightInd w:val="0"/>
        <w:snapToGrid w:val="0"/>
        <w:spacing w:line="360" w:lineRule="auto"/>
        <w:ind w:firstLine="720" w:firstLineChars="300"/>
        <w:rPr>
          <w:color w:val="auto"/>
          <w:sz w:val="24"/>
          <w:highlight w:val="none"/>
        </w:rPr>
      </w:pPr>
      <w:r>
        <w:rPr>
          <w:color w:val="auto"/>
          <w:sz w:val="24"/>
          <w:highlight w:val="none"/>
        </w:rPr>
        <w:t>1.1.3.10永久占地：指为实施本合同工程而需要的一切永久占用的土地，包括公路两侧路权范围内的用地。</w:t>
      </w:r>
    </w:p>
    <w:p>
      <w:pPr>
        <w:adjustRightInd w:val="0"/>
        <w:snapToGrid w:val="0"/>
        <w:spacing w:line="360" w:lineRule="auto"/>
        <w:ind w:firstLine="720" w:firstLineChars="300"/>
        <w:rPr>
          <w:color w:val="auto"/>
          <w:sz w:val="24"/>
          <w:highlight w:val="none"/>
        </w:rPr>
      </w:pPr>
      <w:r>
        <w:rPr>
          <w:color w:val="auto"/>
          <w:sz w:val="24"/>
          <w:highlight w:val="none"/>
        </w:rPr>
        <w:t>1.1.3.11临时占地：指为实施本合同工程而需要的一切临时占用的土地，包括施工所用的临时支线、便道、便桥和现场的临时出入通道，以及生产（办公）、生活等临时设施用地等。</w:t>
      </w:r>
    </w:p>
    <w:p>
      <w:pPr>
        <w:adjustRightInd w:val="0"/>
        <w:snapToGrid w:val="0"/>
        <w:spacing w:line="360" w:lineRule="auto"/>
        <w:ind w:firstLine="720" w:firstLineChars="300"/>
        <w:rPr>
          <w:color w:val="auto"/>
          <w:sz w:val="24"/>
          <w:highlight w:val="none"/>
        </w:rPr>
      </w:pPr>
      <w:r>
        <w:rPr>
          <w:color w:val="auto"/>
          <w:sz w:val="24"/>
          <w:highlight w:val="none"/>
        </w:rPr>
        <w:t>本项增加第1．1.3．12、1．1.3．13目：</w:t>
      </w:r>
    </w:p>
    <w:p>
      <w:pPr>
        <w:adjustRightInd w:val="0"/>
        <w:snapToGrid w:val="0"/>
        <w:spacing w:line="360" w:lineRule="auto"/>
        <w:ind w:firstLine="720" w:firstLineChars="3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1.3.12分部工程：指在单位工程中，按结构部位、路段长度及施工特点或施工任务划分的若干个工程。</w:t>
      </w:r>
    </w:p>
    <w:p>
      <w:pPr>
        <w:adjustRightInd w:val="0"/>
        <w:snapToGrid w:val="0"/>
        <w:spacing w:line="360" w:lineRule="auto"/>
        <w:ind w:firstLine="720" w:firstLineChars="300"/>
        <w:rPr>
          <w:color w:val="auto"/>
          <w:sz w:val="24"/>
          <w:highlight w:val="none"/>
        </w:rPr>
      </w:pPr>
      <w:r>
        <w:rPr>
          <w:color w:val="auto"/>
          <w:sz w:val="24"/>
          <w:highlight w:val="none"/>
        </w:rPr>
        <w:t>1.1.3.13分项工程：指在分部工程中，按不同的施工方法、材料、工序及路段长度等划分的若干个工程。</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1.1.4日期</w:t>
      </w:r>
    </w:p>
    <w:p>
      <w:pPr>
        <w:adjustRightInd w:val="0"/>
        <w:snapToGrid w:val="0"/>
        <w:spacing w:line="360" w:lineRule="auto"/>
        <w:ind w:firstLine="720" w:firstLineChars="300"/>
        <w:rPr>
          <w:color w:val="auto"/>
          <w:sz w:val="24"/>
          <w:highlight w:val="none"/>
        </w:rPr>
      </w:pPr>
      <w:r>
        <w:rPr>
          <w:color w:val="auto"/>
          <w:sz w:val="24"/>
          <w:highlight w:val="none"/>
        </w:rPr>
        <w:t>1.1.4.5缺陷责任期：自实际竣工日期起计算</w:t>
      </w:r>
      <w:r>
        <w:rPr>
          <w:rFonts w:hint="eastAsia"/>
          <w:color w:val="auto"/>
          <w:sz w:val="24"/>
          <w:highlight w:val="none"/>
        </w:rPr>
        <w:t>1</w:t>
      </w:r>
      <w:r>
        <w:rPr>
          <w:color w:val="auto"/>
          <w:sz w:val="24"/>
          <w:highlight w:val="none"/>
        </w:rPr>
        <w:t>年。</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w:t>
      </w:r>
      <w:r>
        <w:rPr>
          <w:rFonts w:hint="eastAsia" w:eastAsia="黑体"/>
          <w:color w:val="auto"/>
          <w:sz w:val="24"/>
          <w:highlight w:val="none"/>
        </w:rPr>
        <w:t>.</w:t>
      </w:r>
      <w:r>
        <w:rPr>
          <w:rFonts w:eastAsia="黑体"/>
          <w:color w:val="auto"/>
          <w:sz w:val="24"/>
          <w:highlight w:val="none"/>
        </w:rPr>
        <w:t>1.6其他</w:t>
      </w:r>
    </w:p>
    <w:p>
      <w:pPr>
        <w:adjustRightInd w:val="0"/>
        <w:snapToGrid w:val="0"/>
        <w:spacing w:line="360" w:lineRule="auto"/>
        <w:ind w:firstLine="720" w:firstLineChars="300"/>
        <w:rPr>
          <w:color w:val="auto"/>
          <w:sz w:val="24"/>
          <w:highlight w:val="none"/>
        </w:rPr>
      </w:pPr>
      <w:r>
        <w:rPr>
          <w:color w:val="auto"/>
          <w:sz w:val="24"/>
          <w:highlight w:val="none"/>
        </w:rPr>
        <w:t>本项增加第1．1.6.2至1．1.6.5目：</w:t>
      </w:r>
    </w:p>
    <w:p>
      <w:pPr>
        <w:adjustRightInd w:val="0"/>
        <w:snapToGrid w:val="0"/>
        <w:spacing w:line="360" w:lineRule="auto"/>
        <w:ind w:firstLine="720" w:firstLineChars="300"/>
        <w:rPr>
          <w:color w:val="auto"/>
          <w:sz w:val="24"/>
          <w:highlight w:val="none"/>
        </w:rPr>
      </w:pPr>
      <w:r>
        <w:rPr>
          <w:color w:val="auto"/>
          <w:sz w:val="24"/>
          <w:highlight w:val="none"/>
        </w:rPr>
        <w:t>1.1.6.2转包：凡承包人违反法律和不履行合同规定的责任和义务，将中标工程全部委托、或以专业分包的名义将中标工程肢解后全部委托给其它施工企业施工的行为。</w:t>
      </w:r>
    </w:p>
    <w:p>
      <w:pPr>
        <w:adjustRightInd w:val="0"/>
        <w:snapToGrid w:val="0"/>
        <w:spacing w:line="360" w:lineRule="auto"/>
        <w:ind w:firstLine="720" w:firstLineChars="300"/>
        <w:rPr>
          <w:color w:val="auto"/>
          <w:sz w:val="24"/>
          <w:highlight w:val="none"/>
        </w:rPr>
      </w:pPr>
      <w:r>
        <w:rPr>
          <w:color w:val="auto"/>
          <w:sz w:val="24"/>
          <w:highlight w:val="none"/>
        </w:rPr>
        <w:t>1.1.6.3专业分包：凡承包人与分包人签有专业分包合同，分包人承担承包人委托的分部工程或分项工程、或适合专业化队伍施工的其它工程，整体结算，并能独立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1.1.6.4劳务分包：凡承包人与具有劳务资质的劳务企业签订劳务分包合同，由劳务企业提供劳务人员及机具、由承包人统一组织施工，统一控制工程质量、施工进度、材料采购、生产安全的施工行为。．</w:t>
      </w:r>
    </w:p>
    <w:p>
      <w:pPr>
        <w:adjustRightInd w:val="0"/>
        <w:snapToGrid w:val="0"/>
        <w:spacing w:line="360" w:lineRule="auto"/>
        <w:ind w:firstLine="720" w:firstLineChars="300"/>
        <w:rPr>
          <w:color w:val="auto"/>
          <w:sz w:val="24"/>
          <w:highlight w:val="none"/>
        </w:rPr>
      </w:pPr>
      <w:r>
        <w:rPr>
          <w:color w:val="auto"/>
          <w:sz w:val="24"/>
          <w:highlight w:val="none"/>
        </w:rPr>
        <w:t>1.1.6.5聘用职工：凡承包人与具有相应劳动能力的自然人签订劳动合同，由承包人统一组织管理，从事分项工程施工或配套工程施工的行为。</w:t>
      </w:r>
    </w:p>
    <w:p>
      <w:pPr>
        <w:adjustRightInd w:val="0"/>
        <w:snapToGrid w:val="0"/>
        <w:spacing w:beforeLines="100" w:line="360" w:lineRule="auto"/>
        <w:rPr>
          <w:rFonts w:eastAsia="黑体"/>
          <w:color w:val="auto"/>
          <w:sz w:val="24"/>
          <w:highlight w:val="none"/>
        </w:rPr>
      </w:pPr>
      <w:r>
        <w:rPr>
          <w:rFonts w:eastAsia="黑体"/>
          <w:color w:val="auto"/>
          <w:sz w:val="24"/>
          <w:highlight w:val="none"/>
        </w:rPr>
        <w:t>1.4合同文件的优先顺序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组成合同的各项文件应互相解释，互为说明。除项目专用合同条款另有约定外，解释合同文件的优先顺序如下：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）其他合同文件。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1.5合同协议书</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制备本合同文件的费用由发包人承担。在合同协议书签订并生效之前，投标函和中标通知书将约束双方。</w:t>
      </w:r>
    </w:p>
    <w:p>
      <w:pPr>
        <w:adjustRightInd w:val="0"/>
        <w:snapToGrid w:val="0"/>
        <w:spacing w:beforeLines="100" w:line="360" w:lineRule="auto"/>
        <w:rPr>
          <w:rFonts w:eastAsia="黑体"/>
          <w:color w:val="auto"/>
          <w:sz w:val="24"/>
          <w:highlight w:val="none"/>
        </w:rPr>
      </w:pPr>
      <w:r>
        <w:rPr>
          <w:rFonts w:eastAsia="黑体"/>
          <w:color w:val="auto"/>
          <w:sz w:val="24"/>
          <w:highlight w:val="none"/>
        </w:rPr>
        <w:t>1.6图纸和承包人文件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1.6.1图纸的提供</w:t>
      </w:r>
    </w:p>
    <w:p>
      <w:pPr>
        <w:adjustRightInd w:val="0"/>
        <w:snapToGrid w:val="0"/>
        <w:spacing w:line="360" w:lineRule="auto"/>
        <w:ind w:firstLine="480" w:firstLineChars="200"/>
        <w:rPr>
          <w:color w:val="auto"/>
          <w:sz w:val="24"/>
          <w:highlight w:val="none"/>
        </w:rPr>
      </w:pPr>
      <w:r>
        <w:rPr>
          <w:rFonts w:hint="eastAsia"/>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1.6.2承包人提供的文件</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为使1.6.1款所述的施工图纸适合于经施工测量后的纵、横断面或现场具体地形或因尺寸与位置变化而引起局部变更，或因合同要求与施工需要，承包人应免费向监理人提交该部分工程的施工图纸3份，并附必要的计算书、技术资料、或施工工艺图、设备安装图及安装设备的使用和维护手册各2份供监理人批准。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1.6.3图纸的修改</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w:t>
      </w:r>
      <w:r>
        <w:rPr>
          <w:color w:val="auto"/>
          <w:sz w:val="24"/>
          <w:highlight w:val="none"/>
        </w:rPr>
        <w:t>天（在项目专用条款数据表中予以规定）签发图纸修改图给承包人。承包人应按修改后的图纸施工。</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1.6.4图纸的错误</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1.7联络</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1.7.2来往函件送达的期限：</w:t>
      </w:r>
      <w:r>
        <w:rPr>
          <w:rFonts w:hint="eastAsia" w:eastAsia="黑体"/>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1.9严禁贿赔</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在合同执行过程中，发包人和承包人应严格履行《廉政合同》约定的双方在廉政建设方面的权利和义务以及应承担的违约责任。承包人如果用行贿、送礼或其他不正当手段企图影响或己经影响了发包人或监理人员行为和（或）欲获得或己获得超出合同规定以外的额外费用，则发包人除应按有关法纪严肃处理当事人（含发包人人员和监理人员）外，因承包人的上述行为造成的工程损害、发包人的经济损失等，承包人应负一切责任，并予赔偿。情节严重者，发包人有权终止承包人在本合同项下的承包，因而本合同条款第22.1款的各项规定将随之适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w:t>
      </w:r>
      <w:r>
        <w:rPr>
          <w:rFonts w:hint="eastAsia" w:eastAsia="黑体"/>
          <w:color w:val="auto"/>
          <w:sz w:val="24"/>
          <w:highlight w:val="none"/>
        </w:rPr>
        <w:t>．</w:t>
      </w:r>
      <w:r>
        <w:rPr>
          <w:rFonts w:eastAsia="黑体"/>
          <w:color w:val="auto"/>
          <w:sz w:val="24"/>
          <w:highlight w:val="none"/>
        </w:rPr>
        <w:t>发包人义务</w:t>
      </w:r>
    </w:p>
    <w:p>
      <w:pPr>
        <w:adjustRightInd w:val="0"/>
        <w:snapToGrid w:val="0"/>
        <w:spacing w:line="360" w:lineRule="auto"/>
        <w:rPr>
          <w:rFonts w:eastAsia="黑体"/>
          <w:color w:val="auto"/>
          <w:sz w:val="24"/>
          <w:highlight w:val="none"/>
        </w:rPr>
      </w:pPr>
      <w:r>
        <w:rPr>
          <w:rFonts w:eastAsia="黑体"/>
          <w:color w:val="auto"/>
          <w:sz w:val="24"/>
          <w:highlight w:val="none"/>
        </w:rPr>
        <w:t>2.3提供施工场地</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2.3.1提供永久占地</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在按第10条规定提交施工进度计划的同时，应向监理人提交一份按施工先后次序所需的永久占地计划。监理人应在收到此计划后的14天内审核并转报发包人核备。发包人应在监理人发出本工程或分部工程开工令之前，对承包人开工所需的永久占地办妥征用手续和青苗、树木、房屋建筑、管线设施等的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15.3款作出的变更而引起的超占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如果由于发包人未能按照本项规定办妥永久占地征用手续，影响承包人及时使用，由此导致费用增加和（或）工期延误由发包人承担。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如果由于承包人未能按照本项规定提交占地计划，因而影响发包人办理永久占地征用手续而导致延误工期或增加费用，则应由承包人自行负责。</w:t>
      </w:r>
    </w:p>
    <w:p>
      <w:pPr>
        <w:adjustRightInd w:val="0"/>
        <w:snapToGrid w:val="0"/>
        <w:spacing w:line="360" w:lineRule="auto"/>
        <w:ind w:firstLine="480" w:firstLineChars="200"/>
        <w:rPr>
          <w:color w:val="auto"/>
          <w:sz w:val="24"/>
          <w:highlight w:val="none"/>
        </w:rPr>
      </w:pPr>
      <w:r>
        <w:rPr>
          <w:color w:val="auto"/>
          <w:sz w:val="24"/>
          <w:highlight w:val="none"/>
        </w:rPr>
        <w:t>2.3.2提供临时占地</w:t>
      </w:r>
    </w:p>
    <w:p>
      <w:pPr>
        <w:adjustRightInd w:val="0"/>
        <w:snapToGrid w:val="0"/>
        <w:spacing w:line="360" w:lineRule="auto"/>
        <w:ind w:firstLine="480" w:firstLineChars="200"/>
        <w:rPr>
          <w:color w:val="auto"/>
          <w:sz w:val="24"/>
          <w:highlight w:val="none"/>
        </w:rPr>
      </w:pPr>
      <w:r>
        <w:rPr>
          <w:color w:val="auto"/>
          <w:sz w:val="24"/>
          <w:highlight w:val="none"/>
        </w:rPr>
        <w:t>临时工程用地范围包括承包人驻地的办公室、食堂、宿舍、道路和机械设备停放场、材料堆放场地、弃土场、预制场、拌和场、仓库、进场临时道路、临时便道、便桥等。承包人在递交投标文件的同时，应本着少占耕地的原则，按招标文件规定的格式填写一份《临时用地计划表》，中标后应在此表范围内按实际需要与先后次序，提出具体计划报监理人同意，并报发包人。表中应标明承包人的临时工程用地位置、数量和使用期限。租地费用列入工程量清单100章中由承包人报价。临时用地最长使用期为＿年，用地费承包人应按每亩</w:t>
      </w:r>
      <w:r>
        <w:rPr>
          <w:rFonts w:hint="eastAsia"/>
          <w:color w:val="auto"/>
          <w:sz w:val="24"/>
          <w:highlight w:val="none"/>
          <w:u w:val="single"/>
        </w:rPr>
        <w:t xml:space="preserve">          </w:t>
      </w:r>
      <w:r>
        <w:rPr>
          <w:color w:val="auto"/>
          <w:sz w:val="24"/>
          <w:highlight w:val="none"/>
        </w:rPr>
        <w:t>元计（在项目专用条款数据表中予以规定）。临时用地中如有地面附着物（电力、电信、房屋、坟墓除外），其拆迁补偿费用计入工程量清单各有关项目单价内，不另支付。</w:t>
      </w:r>
    </w:p>
    <w:p>
      <w:pPr>
        <w:adjustRightInd w:val="0"/>
        <w:snapToGrid w:val="0"/>
        <w:spacing w:line="360" w:lineRule="auto"/>
        <w:ind w:firstLine="480" w:firstLineChars="200"/>
        <w:rPr>
          <w:color w:val="auto"/>
          <w:sz w:val="24"/>
          <w:highlight w:val="none"/>
        </w:rPr>
      </w:pPr>
      <w:r>
        <w:rPr>
          <w:color w:val="auto"/>
          <w:sz w:val="24"/>
          <w:highlight w:val="none"/>
        </w:rPr>
        <w:t>临时用地由承包人向当地政府土地管理部门申请，并办理租用手续，承包人按有关规定直接支付其费用，发包人对此将予以协调。临时用地退还前，承包人应自费恢复到临时用地使用前的状况。如因承包人撤离后未按要求对临时用地进行恢复或虽进行了恢复但未达到使用标准的，将申发包人委托第三方对其恢复，所发生的费用将从应付给承包人的任何款项内扣除。超出《临时用地计划表》的临时用地由承包人自行办理并自付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2.8其他义务</w:t>
      </w:r>
    </w:p>
    <w:p>
      <w:pPr>
        <w:adjustRightInd w:val="0"/>
        <w:snapToGrid w:val="0"/>
        <w:spacing w:line="360" w:lineRule="auto"/>
        <w:ind w:firstLine="480" w:firstLineChars="200"/>
        <w:rPr>
          <w:color w:val="auto"/>
          <w:sz w:val="24"/>
          <w:highlight w:val="none"/>
          <w:u w:val="single"/>
        </w:rPr>
      </w:pPr>
      <w:r>
        <w:rPr>
          <w:color w:val="auto"/>
          <w:sz w:val="24"/>
          <w:highlight w:val="none"/>
        </w:rPr>
        <w:t>发包人应履行的其他义务</w:t>
      </w:r>
      <w:r>
        <w:rPr>
          <w:rFonts w:hint="eastAsia"/>
          <w:color w:val="auto"/>
          <w:sz w:val="24"/>
          <w:highlight w:val="none"/>
        </w:rPr>
        <w:t>：</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eastAsia="黑体"/>
          <w:color w:val="auto"/>
          <w:sz w:val="24"/>
          <w:highlight w:val="none"/>
        </w:rPr>
        <w:t>3</w:t>
      </w:r>
      <w:r>
        <w:rPr>
          <w:rFonts w:hint="eastAsia" w:eastAsia="黑体"/>
          <w:color w:val="auto"/>
          <w:sz w:val="24"/>
          <w:highlight w:val="none"/>
        </w:rPr>
        <w:t>．</w:t>
      </w:r>
      <w:r>
        <w:rPr>
          <w:rFonts w:eastAsia="黑体"/>
          <w:color w:val="auto"/>
          <w:sz w:val="24"/>
          <w:highlight w:val="none"/>
        </w:rPr>
        <w:t>监理人</w:t>
      </w:r>
    </w:p>
    <w:p>
      <w:pPr>
        <w:adjustRightInd w:val="0"/>
        <w:snapToGrid w:val="0"/>
        <w:spacing w:line="360" w:lineRule="auto"/>
        <w:rPr>
          <w:rFonts w:eastAsia="黑体"/>
          <w:color w:val="auto"/>
          <w:sz w:val="24"/>
          <w:highlight w:val="none"/>
        </w:rPr>
      </w:pPr>
      <w:r>
        <w:rPr>
          <w:rFonts w:eastAsia="黑体"/>
          <w:color w:val="auto"/>
          <w:sz w:val="24"/>
          <w:highlight w:val="none"/>
        </w:rPr>
        <w:t>3.1监理人的职责和权力</w:t>
      </w:r>
    </w:p>
    <w:p>
      <w:pPr>
        <w:adjustRightInd w:val="0"/>
        <w:snapToGrid w:val="0"/>
        <w:spacing w:line="360" w:lineRule="auto"/>
        <w:ind w:firstLine="480" w:firstLineChars="200"/>
        <w:rPr>
          <w:color w:val="auto"/>
          <w:sz w:val="24"/>
          <w:highlight w:val="none"/>
        </w:rPr>
      </w:pPr>
      <w:r>
        <w:rPr>
          <w:color w:val="auto"/>
          <w:sz w:val="24"/>
          <w:highlight w:val="none"/>
        </w:rPr>
        <w:t>3.1</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监理人在行使下列权力前需要经发包人事先批准：</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根据第4.3款，同意分包本工程的某非主体和关键性工作；</w:t>
      </w:r>
    </w:p>
    <w:p>
      <w:pPr>
        <w:adjustRightInd w:val="0"/>
        <w:snapToGrid w:val="0"/>
        <w:spacing w:line="360" w:lineRule="auto"/>
        <w:ind w:firstLine="480" w:firstLineChars="200"/>
        <w:rPr>
          <w:color w:val="auto"/>
          <w:sz w:val="24"/>
          <w:highlight w:val="none"/>
        </w:rPr>
      </w:pPr>
      <w:r>
        <w:rPr>
          <w:color w:val="auto"/>
          <w:sz w:val="24"/>
          <w:highlight w:val="none"/>
        </w:rPr>
        <w:t>（2）确定第4.11款下产生的费用增加额；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3）根据第11</w:t>
      </w:r>
      <w:r>
        <w:rPr>
          <w:rFonts w:hint="eastAsia"/>
          <w:color w:val="auto"/>
          <w:sz w:val="24"/>
          <w:highlight w:val="none"/>
        </w:rPr>
        <w:t>.</w:t>
      </w:r>
      <w:r>
        <w:rPr>
          <w:color w:val="auto"/>
          <w:sz w:val="24"/>
          <w:highlight w:val="none"/>
        </w:rPr>
        <w:t>1款、12.3款、12.4款发布开工通知、暂停施工指示或复工通矢日；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决定第11.3款、11.4款下的工期延长；</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审查批准技术规范或设计的变更；</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根据第15.3款发出的变更指令，其单项工程变更涉及的金额超过了该单项工程原合同价的</w:t>
      </w:r>
      <w:r>
        <w:rPr>
          <w:rFonts w:hint="eastAsia"/>
          <w:color w:val="auto"/>
          <w:sz w:val="24"/>
          <w:highlight w:val="none"/>
          <w:u w:val="single"/>
        </w:rPr>
        <w:t xml:space="preserve">    </w:t>
      </w:r>
      <w:r>
        <w:rPr>
          <w:color w:val="auto"/>
          <w:sz w:val="24"/>
          <w:highlight w:val="none"/>
        </w:rPr>
        <w:t>％或累计变更超过了原总合同价的</w:t>
      </w:r>
      <w:r>
        <w:rPr>
          <w:rFonts w:hint="eastAsia"/>
          <w:color w:val="auto"/>
          <w:sz w:val="24"/>
          <w:highlight w:val="none"/>
          <w:u w:val="single"/>
        </w:rPr>
        <w:t xml:space="preserve">    </w:t>
      </w:r>
      <w:r>
        <w:rPr>
          <w:color w:val="auto"/>
          <w:sz w:val="24"/>
          <w:highlight w:val="none"/>
        </w:rPr>
        <w:t>％（在项目专用条款数据表中予以规定）；</w:t>
      </w:r>
    </w:p>
    <w:p>
      <w:pPr>
        <w:adjustRightInd w:val="0"/>
        <w:snapToGrid w:val="0"/>
        <w:spacing w:line="360" w:lineRule="auto"/>
        <w:ind w:firstLine="480" w:firstLineChars="200"/>
        <w:rPr>
          <w:color w:val="auto"/>
          <w:sz w:val="24"/>
          <w:highlight w:val="none"/>
        </w:rPr>
      </w:pPr>
      <w:r>
        <w:rPr>
          <w:color w:val="auto"/>
          <w:sz w:val="24"/>
          <w:highlight w:val="none"/>
        </w:rPr>
        <w:t>（7）确定第23.1款项下的索赔额；</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按照第15.6款决定有关暂列金额的使用；</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确定第15.8款项下的暂估价金额；</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确定第15.4款下变更工作的单价。</w:t>
      </w:r>
    </w:p>
    <w:p>
      <w:pPr>
        <w:adjustRightInd w:val="0"/>
        <w:snapToGrid w:val="0"/>
        <w:spacing w:line="360" w:lineRule="auto"/>
        <w:ind w:firstLine="480" w:firstLineChars="200"/>
        <w:rPr>
          <w:color w:val="auto"/>
          <w:sz w:val="24"/>
          <w:highlight w:val="none"/>
        </w:rPr>
      </w:pPr>
      <w:r>
        <w:rPr>
          <w:color w:val="auto"/>
          <w:sz w:val="24"/>
          <w:highlight w:val="none"/>
        </w:rPr>
        <w:t>如果发生紧急情况，监理人认为将造成人员伤亡，或危及本工程或邻近的财产需立即采取行动，监理人有权在未征得发包人的批准的情况下发布处理紧急情况所必需的指令，承包人应予执行。监理人应按第3.5款商定或确定因上述指令产生的合同价格的增加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3.5商定或确定</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3.5</w:t>
      </w:r>
      <w:r>
        <w:rPr>
          <w:rFonts w:hint="eastAsia" w:eastAsia="黑体"/>
          <w:color w:val="auto"/>
          <w:sz w:val="24"/>
          <w:highlight w:val="none"/>
        </w:rPr>
        <w:t>.</w:t>
      </w:r>
      <w:r>
        <w:rPr>
          <w:rFonts w:eastAsia="黑体"/>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如果这项商定或确定导致费用增加和（或）工期延长，或者涉及确定变更工程的价格，则总监理工程师在发出通知前，应征得发包人的同意。</w:t>
      </w:r>
    </w:p>
    <w:p>
      <w:pPr>
        <w:adjustRightInd w:val="0"/>
        <w:snapToGrid w:val="0"/>
        <w:spacing w:beforeLines="100" w:line="360" w:lineRule="auto"/>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承包人</w:t>
      </w:r>
    </w:p>
    <w:p>
      <w:pPr>
        <w:adjustRightInd w:val="0"/>
        <w:snapToGrid w:val="0"/>
        <w:spacing w:line="360" w:lineRule="auto"/>
        <w:rPr>
          <w:rFonts w:eastAsia="黑体"/>
          <w:color w:val="auto"/>
          <w:sz w:val="24"/>
          <w:highlight w:val="none"/>
        </w:rPr>
      </w:pPr>
      <w:r>
        <w:rPr>
          <w:rFonts w:eastAsia="黑体"/>
          <w:color w:val="auto"/>
          <w:sz w:val="24"/>
          <w:highlight w:val="none"/>
        </w:rPr>
        <w:t>4.1承包人的一般义务</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w:t>
      </w:r>
      <w:r>
        <w:rPr>
          <w:rFonts w:hint="eastAsia" w:eastAsia="黑体"/>
          <w:color w:val="auto"/>
          <w:sz w:val="24"/>
          <w:highlight w:val="none"/>
        </w:rPr>
        <w:t>.</w:t>
      </w:r>
      <w:r>
        <w:rPr>
          <w:rFonts w:eastAsia="黑体"/>
          <w:color w:val="auto"/>
          <w:sz w:val="24"/>
          <w:highlight w:val="none"/>
        </w:rPr>
        <w:t>1.2依法纳税</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承包人应按有关法律规定纳税。应缴纳的税费应按项目专用合同条款的约定：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包括在工程量清单第100章相应的支付子目中；</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分摊在工程量清单各工程子目的单价或总额价内。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4.1.8为他人提供方便</w:t>
      </w:r>
    </w:p>
    <w:p>
      <w:pPr>
        <w:adjustRightInd w:val="0"/>
        <w:snapToGrid w:val="0"/>
        <w:spacing w:line="360" w:lineRule="auto"/>
        <w:ind w:firstLine="480" w:firstLineChars="200"/>
        <w:rPr>
          <w:color w:val="auto"/>
          <w:sz w:val="24"/>
          <w:highlight w:val="none"/>
        </w:rPr>
      </w:pPr>
      <w:r>
        <w:rPr>
          <w:color w:val="auto"/>
          <w:sz w:val="24"/>
          <w:highlight w:val="none"/>
        </w:rPr>
        <w:t>承包人为他人提供条件的内容：</w:t>
      </w:r>
      <w:r>
        <w:rPr>
          <w:rFonts w:hint="eastAsia" w:ascii="宋体" w:hAnsi="宋体"/>
          <w:color w:val="auto"/>
          <w:sz w:val="24"/>
          <w:highlight w:val="none"/>
          <w:u w:val="single"/>
        </w:rPr>
        <w:t xml:space="preserve">  （见项目专用合同条款）  </w:t>
      </w:r>
    </w:p>
    <w:p>
      <w:pPr>
        <w:adjustRightInd w:val="0"/>
        <w:snapToGrid w:val="0"/>
        <w:spacing w:line="360" w:lineRule="auto"/>
        <w:ind w:firstLine="480" w:firstLineChars="200"/>
        <w:rPr>
          <w:rFonts w:eastAsia="黑体"/>
          <w:color w:val="auto"/>
          <w:sz w:val="24"/>
          <w:highlight w:val="none"/>
          <w:u w:val="single"/>
        </w:rPr>
      </w:pPr>
      <w:r>
        <w:rPr>
          <w:color w:val="auto"/>
          <w:sz w:val="24"/>
          <w:highlight w:val="none"/>
        </w:rPr>
        <w:t>承包人为他人提供条件可能发生费用的处理方法：</w:t>
      </w:r>
      <w:r>
        <w:rPr>
          <w:rFonts w:hint="eastAsia" w:ascii="宋体" w:hAnsi="宋体"/>
          <w:color w:val="auto"/>
          <w:sz w:val="24"/>
          <w:highlight w:val="none"/>
          <w:u w:val="single"/>
        </w:rPr>
        <w:t xml:space="preserve">  （见项目专用合同条款）</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4.1.9工程的维护和照管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工程接收证书颁发前，承包人应负责照管和维护工程及将用于或安装在本工程中的材料、设备。工程接收证书颁发时尚有部分未竣工工程的，承包人还应负责该未竣工工程、材料、设备的照管和维护工作，直至竣工后移交给发包人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承包人负责照管与维护期间，如果本工程或材料、设备等发生损失或损害，除不可抗力原因之外，承包人均应自费弥补，并达到合同要求。承包人还应对按19条规定而实施作业的过程中由承包人造成的对工程的任何损失或损害负责。</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4.1</w:t>
      </w:r>
      <w:r>
        <w:rPr>
          <w:rFonts w:hint="eastAsia" w:eastAsia="黑体"/>
          <w:color w:val="auto"/>
          <w:sz w:val="24"/>
          <w:highlight w:val="none"/>
        </w:rPr>
        <w:t>.</w:t>
      </w:r>
      <w:r>
        <w:rPr>
          <w:rFonts w:eastAsia="黑体"/>
          <w:color w:val="auto"/>
          <w:sz w:val="24"/>
          <w:highlight w:val="none"/>
        </w:rPr>
        <w:t>10其他义务</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向发包人授权进行本合同工程开户银行工程资金的查询。发包人支付的预付款、工程进度款应为本工程的专款专用资金，不得转移或用于其他工程。发包人的进度支付款将转入承包人指定并经发包人批准的银行所设的专门帐户，发包人及其派出机构有权不定期对承包人工程资金使用情况进行检查，发现问题及时责令承包人限期改正，否则，将终止月支付，直至承包人改正为止。</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除项目专用条款另有规定外，承包人应承担并支付为获得本合同工程所需的石料、砂、砾石、粘土或其他当地材料等所发生的料场使用费及其他开支或补偿费。发包人应尽可能协助承包人办理料场租用手续及解决使用过程中的有关问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承包人应严格遵守国家有关解决拖欠工程款和民工工资的法律、法规，及时支付工程中的材料、设备货款及民工工资等费用。承包人不得以任何借口拖欠材料、设备货款及民工工资等费用，如果出现此种现象，经查实后，一律通报批评并责令承包人自行组织资金迅速偿还欠款，在必要时，发包人有权从应付给承包人的工程款中代为支付其拖欠的材料、设备货款及民工工资。对恶意拖欠和拒不按计划支付的，记入信用档案。</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的项目经理部是民工工资支付行为的主体，承包人的项目经理或授权的项目副经理是民工工资支付的责任人。项目经理部要建立全体民工花名册和工资支付表，确保将工资直接发放给民工本人，或委托银行发放民工工资，严禁发放给“包工头”或其他不具备用工主体资格的组织和个人。</w:t>
      </w:r>
    </w:p>
    <w:p>
      <w:pPr>
        <w:adjustRightInd w:val="0"/>
        <w:snapToGrid w:val="0"/>
        <w:spacing w:line="360" w:lineRule="auto"/>
        <w:ind w:firstLine="480" w:firstLineChars="200"/>
        <w:rPr>
          <w:color w:val="auto"/>
          <w:sz w:val="24"/>
          <w:highlight w:val="none"/>
        </w:rPr>
      </w:pPr>
      <w:r>
        <w:rPr>
          <w:rFonts w:hint="eastAsia"/>
          <w:color w:val="auto"/>
          <w:sz w:val="24"/>
          <w:highlight w:val="none"/>
        </w:rPr>
        <w:t>工</w:t>
      </w:r>
      <w:r>
        <w:rPr>
          <w:color w:val="auto"/>
          <w:sz w:val="24"/>
          <w:highlight w:val="none"/>
        </w:rPr>
        <w:t>资支付表应如实记录支付单位、支付时间、支付对象、支付数额、支付对象的身份证号和签字等工资支付情况。民工花名册和工资支付表报监理人备查。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承包人应履行项目专用合同条款约定的其他义务。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4.2履约担保</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在签订合同协议书之前向发包人提交履约担保，同时通知监理人。担保金额在投标函附录中写明。履约担保应按项目专用合同条款的规定，采用银行保函或现金形式。保函应采用招标文件所附的或发包人事先同意的格式，由承包人在符合规定的银行开具（银行级别在项目专用条款数据中说明），并保证其有效。保函的正本由发包人保存。执行本条各项要求所需的费用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联合体的履约担保应由联合体牵头人提交，其金额应达到投标函附录中规定的金额。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4.3分包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4.3.2项细化为：</w:t>
      </w:r>
    </w:p>
    <w:p>
      <w:pPr>
        <w:adjustRightInd w:val="0"/>
        <w:snapToGrid w:val="0"/>
        <w:spacing w:line="360" w:lineRule="auto"/>
        <w:ind w:firstLine="480" w:firstLineChars="200"/>
        <w:rPr>
          <w:color w:val="auto"/>
          <w:sz w:val="24"/>
          <w:highlight w:val="none"/>
        </w:rPr>
      </w:pPr>
      <w:r>
        <w:rPr>
          <w:color w:val="auto"/>
          <w:sz w:val="24"/>
          <w:highlight w:val="none"/>
        </w:rPr>
        <w:t>承包人不得将工程主体、关键性工作分包给第三人。经发包人同意，承包人可将工程的其他部分或工作分包给第三人。分包包括专业分包和劳务分包。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4.3.3项至4.3.5项细化为：</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4.3.3专业分包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在工程施工过程中，承包人如有专业分包计划，则必须遵守以下规定：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允许专业分包的工程范围仅限于分部工程或分项工程、适合专业化队伍施工的工程，专业分包的工程量不得超过总工程量的30%</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专业分包人的资格能力（含安全生产能力）应与其分包工程的标准和规模相适应，具备相应的专业承包资质；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专业分包工程不得再次分包或转包；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（4）承包人应对专业分包工程的工程质量及专业分包人职工的行为、违约和疏忽承担责任；</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承包人和专业分包人应当依法签订专业分包合同，并按照合同履行约定的义务。专业分包合同必须明确约定工程款支付条款、结算方式以及保证按期支付的相应措施，确保工程款的支付：</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所有专</w:t>
      </w:r>
      <w:r>
        <w:rPr>
          <w:rFonts w:hint="eastAsia"/>
          <w:color w:val="auto"/>
          <w:sz w:val="24"/>
          <w:highlight w:val="none"/>
        </w:rPr>
        <w:t>业</w:t>
      </w:r>
      <w:r>
        <w:rPr>
          <w:color w:val="auto"/>
          <w:sz w:val="24"/>
          <w:highlight w:val="none"/>
        </w:rPr>
        <w:t>分包计划，专业分包合同（或专业分包协议）和专业分包工程量清单和单价须报监理人审批，并报发包人核备。监理人审批专业分包并不解除合同规定的承包人的任何责任或义务。发包人对承包人与分包人之间的法律与经济纠纷不承担任何责任和义务。</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4.3.4劳务分包</w:t>
      </w:r>
    </w:p>
    <w:p>
      <w:pPr>
        <w:adjustRightInd w:val="0"/>
        <w:snapToGrid w:val="0"/>
        <w:spacing w:line="360" w:lineRule="auto"/>
        <w:ind w:firstLine="480" w:firstLineChars="200"/>
        <w:rPr>
          <w:color w:val="auto"/>
          <w:sz w:val="24"/>
          <w:highlight w:val="none"/>
        </w:rPr>
      </w:pPr>
      <w:r>
        <w:rPr>
          <w:color w:val="auto"/>
          <w:sz w:val="24"/>
          <w:highlight w:val="none"/>
        </w:rPr>
        <w:t>在工程施工过程中，承包人如有劳务分包计划，则必须遵守以下规定：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可以将劳务作业发包给具有劳务资质的劳务分包人。劳务分包应当依法签订劳务合同，劳务合同必须由承包人或其授权的代表与劳务分包人直接签订，不得由他人代签。承包人的工程项目部、项目经理、施工作业班组等不具备用工主体资格，不能与劳务分包人签订劳务合同。劳务合同要报项目所在地劳动保障部门和监理人备查；</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承包人雇用的劳务作业应加入到承包人的施工班组统一管理。有关施工质量、施工安全、施工进度、环境保护、技术方案、试验检测、材料保管与供应、机械设备等都必须由承包人管理与调配，不得以包代管；</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承包人应当对劳务分包人员进行安全培训和管理，劳务分包人不得将其分包的劳务作业再次分包或转包；</w:t>
      </w:r>
    </w:p>
    <w:p>
      <w:pPr>
        <w:adjustRightInd w:val="0"/>
        <w:snapToGrid w:val="0"/>
        <w:spacing w:line="360" w:lineRule="auto"/>
        <w:ind w:firstLine="480" w:firstLineChars="200"/>
        <w:rPr>
          <w:color w:val="auto"/>
          <w:sz w:val="24"/>
          <w:highlight w:val="none"/>
        </w:rPr>
      </w:pPr>
      <w:r>
        <w:rPr>
          <w:color w:val="auto"/>
          <w:sz w:val="24"/>
          <w:highlight w:val="none"/>
        </w:rPr>
        <w:t>（4）承包人应对劳务分包人职工的行为、违约和疏忽所造成的后果负完全连带责任。</w:t>
      </w:r>
    </w:p>
    <w:p>
      <w:pPr>
        <w:adjustRightInd w:val="0"/>
        <w:snapToGrid w:val="0"/>
        <w:spacing w:line="360" w:lineRule="auto"/>
        <w:ind w:firstLine="480" w:firstLineChars="200"/>
        <w:rPr>
          <w:color w:val="auto"/>
          <w:sz w:val="24"/>
          <w:highlight w:val="none"/>
        </w:rPr>
      </w:pPr>
      <w:r>
        <w:rPr>
          <w:color w:val="auto"/>
          <w:sz w:val="24"/>
          <w:highlight w:val="none"/>
        </w:rPr>
        <w:t>违反上述规定之一者属违规分包。</w:t>
      </w:r>
    </w:p>
    <w:p>
      <w:pPr>
        <w:adjustRightInd w:val="0"/>
        <w:snapToGrid w:val="0"/>
        <w:spacing w:beforeLines="100" w:line="360" w:lineRule="auto"/>
        <w:rPr>
          <w:rFonts w:eastAsia="黑体"/>
          <w:color w:val="auto"/>
          <w:sz w:val="24"/>
          <w:highlight w:val="none"/>
        </w:rPr>
      </w:pPr>
      <w:r>
        <w:rPr>
          <w:rFonts w:eastAsia="黑体"/>
          <w:color w:val="auto"/>
          <w:sz w:val="24"/>
          <w:highlight w:val="none"/>
        </w:rPr>
        <w:t>4.4联合体</w:t>
      </w:r>
    </w:p>
    <w:p>
      <w:pPr>
        <w:adjustRightInd w:val="0"/>
        <w:snapToGrid w:val="0"/>
        <w:spacing w:line="360" w:lineRule="auto"/>
        <w:ind w:firstLine="480" w:firstLineChars="200"/>
        <w:rPr>
          <w:color w:val="auto"/>
          <w:sz w:val="24"/>
          <w:highlight w:val="none"/>
        </w:rPr>
      </w:pPr>
      <w:r>
        <w:rPr>
          <w:color w:val="auto"/>
          <w:sz w:val="24"/>
          <w:highlight w:val="none"/>
        </w:rPr>
        <w:t>本款增加第4.4.4项：</w:t>
      </w:r>
    </w:p>
    <w:p>
      <w:pPr>
        <w:adjustRightInd w:val="0"/>
        <w:snapToGrid w:val="0"/>
        <w:spacing w:line="360" w:lineRule="auto"/>
        <w:ind w:firstLine="480" w:firstLineChars="200"/>
        <w:rPr>
          <w:color w:val="auto"/>
          <w:sz w:val="24"/>
          <w:highlight w:val="none"/>
        </w:rPr>
      </w:pPr>
      <w:r>
        <w:rPr>
          <w:color w:val="auto"/>
          <w:sz w:val="24"/>
          <w:highlight w:val="none"/>
        </w:rPr>
        <w:t>4.4.4未经发包人事先同意，联合体的组成与结构不得变动。</w:t>
      </w:r>
    </w:p>
    <w:p>
      <w:pPr>
        <w:adjustRightInd w:val="0"/>
        <w:snapToGrid w:val="0"/>
        <w:spacing w:beforeLines="100" w:line="360" w:lineRule="auto"/>
        <w:rPr>
          <w:rFonts w:eastAsia="黑体"/>
          <w:color w:val="auto"/>
          <w:sz w:val="24"/>
          <w:highlight w:val="none"/>
        </w:rPr>
      </w:pPr>
      <w:r>
        <w:rPr>
          <w:rFonts w:eastAsia="黑体"/>
          <w:color w:val="auto"/>
          <w:sz w:val="24"/>
          <w:highlight w:val="none"/>
        </w:rPr>
        <w:t>4.6承包人人员的管理</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4.6.3项细化为：</w:t>
      </w:r>
    </w:p>
    <w:p>
      <w:pPr>
        <w:adjustRightInd w:val="0"/>
        <w:snapToGrid w:val="0"/>
        <w:spacing w:line="360" w:lineRule="auto"/>
        <w:ind w:firstLine="480" w:firstLineChars="200"/>
        <w:rPr>
          <w:color w:val="auto"/>
          <w:sz w:val="24"/>
          <w:highlight w:val="none"/>
        </w:rPr>
      </w:pPr>
      <w:r>
        <w:rPr>
          <w:color w:val="auto"/>
          <w:sz w:val="24"/>
          <w:highlight w:val="none"/>
        </w:rPr>
        <w:t>承包人安排在施工场地的主要管理人员和技术骨干应与投标文件（如承包人未奎投标阶段对人员进行新增或更新，则以资格预审申请文件为准）所承诺的名单</w:t>
      </w:r>
      <w:r>
        <w:rPr>
          <w:rFonts w:hint="eastAsia"/>
          <w:color w:val="auto"/>
          <w:sz w:val="24"/>
          <w:highlight w:val="none"/>
        </w:rPr>
        <w:t>一致，</w:t>
      </w:r>
      <w:r>
        <w:rPr>
          <w:color w:val="auto"/>
          <w:sz w:val="24"/>
          <w:highlight w:val="none"/>
        </w:rPr>
        <w:t>并保持相对稳定。未经监理人批准，上述人员不应无故不到位或被替换；若确</w:t>
      </w:r>
      <w:r>
        <w:rPr>
          <w:rFonts w:hint="eastAsia"/>
          <w:color w:val="auto"/>
          <w:sz w:val="24"/>
          <w:highlight w:val="none"/>
        </w:rPr>
        <w:t>实无</w:t>
      </w:r>
      <w:r>
        <w:rPr>
          <w:color w:val="auto"/>
          <w:sz w:val="24"/>
          <w:highlight w:val="none"/>
        </w:rPr>
        <w:t>法到位或需替换，需经监理人审核并报发包人批准后，用同等资质和</w:t>
      </w:r>
      <w:r>
        <w:rPr>
          <w:rFonts w:hint="eastAsia"/>
          <w:color w:val="auto"/>
          <w:sz w:val="24"/>
          <w:highlight w:val="none"/>
        </w:rPr>
        <w:t>经历的人</w:t>
      </w:r>
      <w:r>
        <w:rPr>
          <w:color w:val="auto"/>
          <w:sz w:val="24"/>
          <w:highlight w:val="none"/>
        </w:rPr>
        <w:t>员替换。</w:t>
      </w:r>
    </w:p>
    <w:p>
      <w:pPr>
        <w:adjustRightInd w:val="0"/>
        <w:snapToGrid w:val="0"/>
        <w:spacing w:line="360" w:lineRule="auto"/>
        <w:ind w:firstLine="480" w:firstLineChars="200"/>
        <w:rPr>
          <w:color w:val="auto"/>
          <w:sz w:val="24"/>
          <w:highlight w:val="none"/>
        </w:rPr>
      </w:pPr>
      <w:r>
        <w:rPr>
          <w:color w:val="auto"/>
          <w:sz w:val="24"/>
          <w:highlight w:val="none"/>
        </w:rPr>
        <w:t>本款增加第4.6.5项：</w:t>
      </w:r>
    </w:p>
    <w:p>
      <w:pPr>
        <w:adjustRightInd w:val="0"/>
        <w:snapToGrid w:val="0"/>
        <w:spacing w:line="360" w:lineRule="auto"/>
        <w:ind w:firstLine="480" w:firstLineChars="200"/>
        <w:rPr>
          <w:color w:val="auto"/>
          <w:sz w:val="24"/>
          <w:highlight w:val="none"/>
        </w:rPr>
      </w:pPr>
      <w:r>
        <w:rPr>
          <w:color w:val="auto"/>
          <w:sz w:val="24"/>
          <w:highlight w:val="none"/>
        </w:rPr>
        <w:t>4.6.5尽管承包人</w:t>
      </w:r>
      <w:r>
        <w:rPr>
          <w:rFonts w:hint="eastAsia"/>
          <w:color w:val="auto"/>
          <w:sz w:val="24"/>
          <w:highlight w:val="none"/>
        </w:rPr>
        <w:t>已</w:t>
      </w:r>
      <w:r>
        <w:rPr>
          <w:color w:val="auto"/>
          <w:sz w:val="24"/>
          <w:highlight w:val="none"/>
        </w:rPr>
        <w:t>按投标文件（如承包人未在投标阶段对人员进行新增或更新，则以</w:t>
      </w:r>
      <w:r>
        <w:rPr>
          <w:rFonts w:hint="eastAsia"/>
          <w:color w:val="auto"/>
          <w:sz w:val="24"/>
          <w:highlight w:val="none"/>
        </w:rPr>
        <w:t>资</w:t>
      </w:r>
      <w:r>
        <w:rPr>
          <w:color w:val="auto"/>
          <w:sz w:val="24"/>
          <w:highlight w:val="none"/>
        </w:rPr>
        <w:t>格预</w:t>
      </w:r>
      <w:r>
        <w:rPr>
          <w:rFonts w:hint="eastAsia"/>
          <w:color w:val="auto"/>
          <w:sz w:val="24"/>
          <w:highlight w:val="none"/>
        </w:rPr>
        <w:t>审</w:t>
      </w:r>
      <w:r>
        <w:rPr>
          <w:color w:val="auto"/>
          <w:sz w:val="24"/>
          <w:highlight w:val="none"/>
        </w:rPr>
        <w:t>申请文件为准）中所</w:t>
      </w:r>
      <w:r>
        <w:rPr>
          <w:rFonts w:hint="eastAsia"/>
          <w:color w:val="auto"/>
          <w:sz w:val="24"/>
          <w:highlight w:val="none"/>
        </w:rPr>
        <w:t>列</w:t>
      </w:r>
      <w:r>
        <w:rPr>
          <w:color w:val="auto"/>
          <w:sz w:val="24"/>
          <w:highlight w:val="none"/>
        </w:rPr>
        <w:t>的数量派遣了上述各类人员，但若监</w:t>
      </w:r>
      <w:r>
        <w:rPr>
          <w:rFonts w:hint="eastAsia"/>
          <w:color w:val="auto"/>
          <w:sz w:val="24"/>
          <w:highlight w:val="none"/>
        </w:rPr>
        <w:t>理人</w:t>
      </w:r>
      <w:r>
        <w:rPr>
          <w:color w:val="auto"/>
          <w:sz w:val="24"/>
          <w:highlight w:val="none"/>
        </w:rPr>
        <w:t>认为这些人员仍不足以适应现场施工的需要且不能保证工程质量时，监理人有权要参承包人继续增派或雇用这类人员，并书面通知承包人和抄送发包人。承包人</w:t>
      </w:r>
      <w:r>
        <w:rPr>
          <w:rFonts w:hint="eastAsia"/>
          <w:color w:val="auto"/>
          <w:sz w:val="24"/>
          <w:highlight w:val="none"/>
        </w:rPr>
        <w:t>在接到</w:t>
      </w:r>
      <w:r>
        <w:rPr>
          <w:color w:val="auto"/>
          <w:sz w:val="24"/>
          <w:highlight w:val="none"/>
        </w:rPr>
        <w:t>上述通</w:t>
      </w:r>
      <w:r>
        <w:rPr>
          <w:rFonts w:hint="eastAsia"/>
          <w:color w:val="auto"/>
          <w:sz w:val="24"/>
          <w:highlight w:val="none"/>
        </w:rPr>
        <w:t>知</w:t>
      </w:r>
      <w:r>
        <w:rPr>
          <w:color w:val="auto"/>
          <w:sz w:val="24"/>
          <w:highlight w:val="none"/>
        </w:rPr>
        <w:t>后应立即执行监理人的上述指示，不得无故拖延，监理人应考虑承包</w:t>
      </w:r>
      <w:r>
        <w:rPr>
          <w:rFonts w:hint="eastAsia"/>
          <w:color w:val="auto"/>
          <w:sz w:val="24"/>
          <w:highlight w:val="none"/>
        </w:rPr>
        <w:t>人</w:t>
      </w:r>
      <w:r>
        <w:rPr>
          <w:color w:val="auto"/>
          <w:sz w:val="24"/>
          <w:highlight w:val="none"/>
        </w:rPr>
        <w:t>因此增加的费用。</w:t>
      </w:r>
    </w:p>
    <w:p>
      <w:pPr>
        <w:adjustRightInd w:val="0"/>
        <w:snapToGrid w:val="0"/>
        <w:spacing w:beforeLines="100" w:line="360" w:lineRule="auto"/>
        <w:rPr>
          <w:rFonts w:eastAsia="黑体"/>
          <w:color w:val="auto"/>
          <w:sz w:val="24"/>
          <w:highlight w:val="none"/>
        </w:rPr>
      </w:pPr>
      <w:r>
        <w:rPr>
          <w:rFonts w:eastAsia="黑体"/>
          <w:color w:val="auto"/>
          <w:sz w:val="24"/>
          <w:highlight w:val="none"/>
        </w:rPr>
        <w:t>4.7撤换承包人项目经理和其他人员</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承包人应对其项目经理和其他人员进行有效管理。监理人要求撤换不能胜任本职工作、行为不端或玩忽职守的承包人项目经理和其他人员的，承包人应予以撤</w:t>
      </w:r>
      <w:r>
        <w:rPr>
          <w:rFonts w:hint="eastAsia"/>
          <w:color w:val="auto"/>
          <w:sz w:val="24"/>
          <w:highlight w:val="none"/>
        </w:rPr>
        <w:t>换，</w:t>
      </w:r>
      <w:r>
        <w:rPr>
          <w:color w:val="auto"/>
          <w:sz w:val="24"/>
          <w:highlight w:val="none"/>
        </w:rPr>
        <w:t>同时委派经发包人与监理人同意的新的项目经理和其他人员。</w:t>
      </w:r>
    </w:p>
    <w:p>
      <w:pPr>
        <w:adjustRightInd w:val="0"/>
        <w:snapToGrid w:val="0"/>
        <w:spacing w:beforeLines="100" w:line="360" w:lineRule="auto"/>
        <w:rPr>
          <w:rFonts w:eastAsia="黑体"/>
          <w:color w:val="auto"/>
          <w:sz w:val="24"/>
          <w:highlight w:val="none"/>
        </w:rPr>
      </w:pPr>
      <w:r>
        <w:rPr>
          <w:rFonts w:eastAsia="黑体"/>
          <w:color w:val="auto"/>
          <w:sz w:val="24"/>
          <w:highlight w:val="none"/>
        </w:rPr>
        <w:t>4.8保障承包人人员的合法权益</w:t>
      </w:r>
    </w:p>
    <w:p>
      <w:pPr>
        <w:adjustRightInd w:val="0"/>
        <w:snapToGrid w:val="0"/>
        <w:spacing w:line="360" w:lineRule="auto"/>
        <w:ind w:firstLine="480" w:firstLineChars="200"/>
        <w:rPr>
          <w:color w:val="auto"/>
          <w:sz w:val="24"/>
          <w:highlight w:val="none"/>
        </w:rPr>
      </w:pPr>
      <w:r>
        <w:rPr>
          <w:color w:val="auto"/>
          <w:sz w:val="24"/>
          <w:highlight w:val="none"/>
        </w:rPr>
        <w:t>本款增加第4.8.7项：</w:t>
      </w:r>
    </w:p>
    <w:p>
      <w:pPr>
        <w:adjustRightInd w:val="0"/>
        <w:snapToGrid w:val="0"/>
        <w:spacing w:line="360" w:lineRule="auto"/>
        <w:ind w:firstLine="480" w:firstLineChars="200"/>
        <w:rPr>
          <w:color w:val="auto"/>
          <w:sz w:val="24"/>
          <w:highlight w:val="none"/>
        </w:rPr>
      </w:pPr>
      <w:r>
        <w:rPr>
          <w:color w:val="auto"/>
          <w:sz w:val="24"/>
          <w:highlight w:val="none"/>
        </w:rPr>
        <w:t>4.8.7承包人应自费采取必须的卫生防护措施，经常保持现场及其驻地整洁和</w:t>
      </w:r>
      <w:r>
        <w:rPr>
          <w:rFonts w:hint="eastAsia"/>
          <w:color w:val="auto"/>
          <w:sz w:val="24"/>
          <w:highlight w:val="none"/>
        </w:rPr>
        <w:t>卫</w:t>
      </w:r>
      <w:r>
        <w:rPr>
          <w:color w:val="auto"/>
          <w:sz w:val="24"/>
          <w:highlight w:val="none"/>
        </w:rPr>
        <w:t>生，以保护职员和工人的健康，并应与当地卫生部门合作，根据要求在整个合同</w:t>
      </w:r>
      <w:r>
        <w:rPr>
          <w:rFonts w:hint="eastAsia"/>
          <w:color w:val="auto"/>
          <w:sz w:val="24"/>
          <w:highlight w:val="none"/>
        </w:rPr>
        <w:t>执</w:t>
      </w:r>
      <w:r>
        <w:rPr>
          <w:color w:val="auto"/>
          <w:sz w:val="24"/>
          <w:highlight w:val="none"/>
        </w:rPr>
        <w:t>行期间配备医务人员，防止传染病和准备常用的急救药物。在炎热的高温条件下施工时，承包人应注意采取防暑降温措施。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4.10承包人现场查勘</w:t>
      </w:r>
    </w:p>
    <w:p>
      <w:pPr>
        <w:adjustRightInd w:val="0"/>
        <w:snapToGrid w:val="0"/>
        <w:spacing w:line="360" w:lineRule="auto"/>
        <w:ind w:firstLine="480" w:firstLineChars="200"/>
        <w:rPr>
          <w:color w:val="auto"/>
          <w:sz w:val="24"/>
          <w:highlight w:val="none"/>
        </w:rPr>
      </w:pPr>
      <w:r>
        <w:rPr>
          <w:color w:val="auto"/>
          <w:sz w:val="24"/>
          <w:highlight w:val="none"/>
        </w:rPr>
        <w:t>4.10.1项补充：</w:t>
      </w:r>
    </w:p>
    <w:p>
      <w:pPr>
        <w:adjustRightInd w:val="0"/>
        <w:snapToGrid w:val="0"/>
        <w:spacing w:line="360" w:lineRule="auto"/>
        <w:ind w:firstLine="480" w:firstLineChars="200"/>
        <w:rPr>
          <w:color w:val="auto"/>
          <w:sz w:val="24"/>
          <w:highlight w:val="none"/>
        </w:rPr>
      </w:pPr>
      <w:r>
        <w:rPr>
          <w:color w:val="auto"/>
          <w:sz w:val="24"/>
          <w:highlight w:val="none"/>
        </w:rPr>
        <w:t>发包人提供的本合同工程的水文、地质、气象和料场分布、取土场、弃土场位置等资料均属于参考资料，并不构成合同文件的组成部分，承包人应对他自己就上述资料的解释、推论和应用负责，发包人不承担任何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4.11不利物质条件</w:t>
      </w:r>
    </w:p>
    <w:p>
      <w:pPr>
        <w:adjustRightInd w:val="0"/>
        <w:snapToGrid w:val="0"/>
        <w:spacing w:line="360" w:lineRule="auto"/>
        <w:ind w:firstLine="480" w:firstLineChars="200"/>
        <w:rPr>
          <w:color w:val="auto"/>
          <w:sz w:val="24"/>
          <w:highlight w:val="none"/>
        </w:rPr>
      </w:pPr>
      <w:r>
        <w:rPr>
          <w:color w:val="auto"/>
          <w:sz w:val="24"/>
          <w:highlight w:val="none"/>
        </w:rPr>
        <w:t>4.11.1不利物质条件的范围：</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本款增加第4.11.3项：</w:t>
      </w:r>
    </w:p>
    <w:p>
      <w:pPr>
        <w:adjustRightInd w:val="0"/>
        <w:snapToGrid w:val="0"/>
        <w:spacing w:line="360" w:lineRule="auto"/>
        <w:ind w:firstLine="480" w:firstLineChars="200"/>
        <w:rPr>
          <w:color w:val="auto"/>
          <w:sz w:val="24"/>
          <w:highlight w:val="none"/>
        </w:rPr>
      </w:pPr>
      <w:r>
        <w:rPr>
          <w:color w:val="auto"/>
          <w:sz w:val="24"/>
          <w:highlight w:val="none"/>
        </w:rPr>
        <w:t>4.11.3可预见的不利物质条件</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对于合同中己经明确指出的不利物质条件无论承包人是否有其经历和经验均视为承包人在接受合同时已预见其影响，并已在签约合同价中计入其影响而可能发生的一切费用。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对于合同未明确指出，但是在不利物质条件发生之前，监理人已经指示承包人有可能发生，但承包人未能及时采取有效措施，而导致的损失和后果均由承包人承担。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对于在没有监理人具体指令情况下，承包人已经及时采取了合理而恰当的措施，并事后为监理人接受，监理人应适当考虑承包人因此增加的费用和（或）工期延误。</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增加第4.12款：</w:t>
      </w:r>
    </w:p>
    <w:p>
      <w:pPr>
        <w:adjustRightInd w:val="0"/>
        <w:snapToGrid w:val="0"/>
        <w:spacing w:line="360" w:lineRule="auto"/>
        <w:rPr>
          <w:rFonts w:eastAsia="黑体"/>
          <w:color w:val="auto"/>
          <w:sz w:val="24"/>
          <w:highlight w:val="none"/>
        </w:rPr>
      </w:pPr>
      <w:r>
        <w:rPr>
          <w:rFonts w:eastAsia="黑体"/>
          <w:color w:val="auto"/>
          <w:sz w:val="24"/>
          <w:highlight w:val="none"/>
        </w:rPr>
        <w:t>4.12投标文件的完备性</w:t>
      </w:r>
    </w:p>
    <w:p>
      <w:pPr>
        <w:adjustRightInd w:val="0"/>
        <w:snapToGrid w:val="0"/>
        <w:spacing w:line="360" w:lineRule="auto"/>
        <w:ind w:firstLine="480" w:firstLineChars="200"/>
        <w:rPr>
          <w:color w:val="auto"/>
          <w:sz w:val="24"/>
          <w:highlight w:val="none"/>
        </w:rPr>
      </w:pPr>
      <w:r>
        <w:rPr>
          <w:color w:val="auto"/>
          <w:sz w:val="24"/>
          <w:highlight w:val="none"/>
        </w:rPr>
        <w:t>合同双方一致认为，承包人在递交投标文件前，对本合同工程的投标文件和已标价工程量清单中开列的单价和总额价</w:t>
      </w:r>
      <w:r>
        <w:rPr>
          <w:rFonts w:hint="eastAsia"/>
          <w:color w:val="auto"/>
          <w:sz w:val="24"/>
          <w:highlight w:val="none"/>
        </w:rPr>
        <w:t>已</w:t>
      </w:r>
      <w:r>
        <w:rPr>
          <w:color w:val="auto"/>
          <w:sz w:val="24"/>
          <w:highlight w:val="none"/>
        </w:rPr>
        <w:t>查明是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5</w:t>
      </w:r>
      <w:r>
        <w:rPr>
          <w:rFonts w:hint="eastAsia" w:eastAsia="黑体"/>
          <w:color w:val="auto"/>
          <w:sz w:val="24"/>
          <w:highlight w:val="none"/>
        </w:rPr>
        <w:t>．</w:t>
      </w:r>
      <w:r>
        <w:rPr>
          <w:rFonts w:eastAsia="黑体"/>
          <w:color w:val="auto"/>
          <w:sz w:val="24"/>
          <w:highlight w:val="none"/>
        </w:rPr>
        <w:t>材料和工程设备</w:t>
      </w:r>
    </w:p>
    <w:p>
      <w:pPr>
        <w:adjustRightInd w:val="0"/>
        <w:snapToGrid w:val="0"/>
        <w:spacing w:line="360" w:lineRule="auto"/>
        <w:rPr>
          <w:rFonts w:eastAsia="黑体"/>
          <w:color w:val="auto"/>
          <w:sz w:val="24"/>
          <w:highlight w:val="none"/>
        </w:rPr>
      </w:pPr>
      <w:r>
        <w:rPr>
          <w:rFonts w:eastAsia="黑体"/>
          <w:color w:val="auto"/>
          <w:sz w:val="24"/>
          <w:highlight w:val="none"/>
        </w:rPr>
        <w:t>5.2发包人提供的材料和工程设备</w:t>
      </w:r>
    </w:p>
    <w:p>
      <w:pPr>
        <w:adjustRightInd w:val="0"/>
        <w:snapToGrid w:val="0"/>
        <w:spacing w:line="360" w:lineRule="auto"/>
        <w:ind w:firstLine="480" w:firstLineChars="200"/>
        <w:rPr>
          <w:color w:val="auto"/>
          <w:sz w:val="24"/>
          <w:highlight w:val="none"/>
        </w:rPr>
      </w:pPr>
      <w:r>
        <w:rPr>
          <w:color w:val="auto"/>
          <w:sz w:val="24"/>
          <w:highlight w:val="none"/>
        </w:rPr>
        <w:t>5.2.3项补充：</w:t>
      </w:r>
    </w:p>
    <w:p>
      <w:pPr>
        <w:adjustRightInd w:val="0"/>
        <w:snapToGrid w:val="0"/>
        <w:spacing w:line="360" w:lineRule="auto"/>
        <w:ind w:firstLine="480" w:firstLineChars="200"/>
        <w:rPr>
          <w:color w:val="auto"/>
          <w:sz w:val="24"/>
          <w:highlight w:val="none"/>
        </w:rPr>
      </w:pPr>
      <w:r>
        <w:rPr>
          <w:color w:val="auto"/>
          <w:sz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发生丢失、损坏或进度拖延，由承包人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6</w:t>
      </w:r>
      <w:r>
        <w:rPr>
          <w:rFonts w:hint="eastAsia" w:eastAsia="黑体"/>
          <w:color w:val="auto"/>
          <w:sz w:val="24"/>
          <w:highlight w:val="none"/>
        </w:rPr>
        <w:t>．</w:t>
      </w:r>
      <w:r>
        <w:rPr>
          <w:rFonts w:eastAsia="黑体"/>
          <w:color w:val="auto"/>
          <w:sz w:val="24"/>
          <w:highlight w:val="none"/>
        </w:rPr>
        <w:t>施工设备和临时设施</w:t>
      </w:r>
    </w:p>
    <w:p>
      <w:pPr>
        <w:adjustRightInd w:val="0"/>
        <w:snapToGrid w:val="0"/>
        <w:spacing w:line="360" w:lineRule="auto"/>
        <w:rPr>
          <w:rFonts w:eastAsia="黑体"/>
          <w:color w:val="auto"/>
          <w:sz w:val="24"/>
          <w:highlight w:val="none"/>
        </w:rPr>
      </w:pPr>
      <w:r>
        <w:rPr>
          <w:rFonts w:eastAsia="黑体"/>
          <w:color w:val="auto"/>
          <w:sz w:val="24"/>
          <w:highlight w:val="none"/>
        </w:rPr>
        <w:t>6.2发包人提供的施工设备和临时设施</w:t>
      </w:r>
    </w:p>
    <w:p>
      <w:pPr>
        <w:adjustRightInd w:val="0"/>
        <w:snapToGrid w:val="0"/>
        <w:spacing w:line="360" w:lineRule="auto"/>
        <w:ind w:firstLine="480" w:firstLineChars="200"/>
        <w:rPr>
          <w:color w:val="auto"/>
          <w:sz w:val="24"/>
          <w:highlight w:val="none"/>
        </w:rPr>
      </w:pPr>
      <w:r>
        <w:rPr>
          <w:color w:val="auto"/>
          <w:sz w:val="24"/>
          <w:highlight w:val="none"/>
        </w:rPr>
        <w:t>发包人是否提供施工设备或临时设施：</w:t>
      </w:r>
      <w:r>
        <w:rPr>
          <w:rFonts w:hint="eastAsia"/>
          <w:color w:val="auto"/>
          <w:sz w:val="24"/>
          <w:highlight w:val="none"/>
          <w:u w:val="single"/>
        </w:rPr>
        <w:t xml:space="preserve">  </w:t>
      </w:r>
      <w:r>
        <w:rPr>
          <w:color w:val="auto"/>
          <w:sz w:val="24"/>
          <w:highlight w:val="none"/>
          <w:u w:val="single"/>
        </w:rPr>
        <w:t>（见项目专用合同条</w:t>
      </w:r>
      <w:r>
        <w:rPr>
          <w:rFonts w:hint="eastAsia"/>
          <w:color w:val="auto"/>
          <w:sz w:val="24"/>
          <w:highlight w:val="none"/>
          <w:u w:val="single"/>
        </w:rPr>
        <w:t xml:space="preserve">款）  </w:t>
      </w:r>
    </w:p>
    <w:p>
      <w:pPr>
        <w:adjustRightInd w:val="0"/>
        <w:snapToGrid w:val="0"/>
        <w:spacing w:line="360" w:lineRule="auto"/>
        <w:ind w:firstLine="480" w:firstLineChars="200"/>
        <w:rPr>
          <w:color w:val="auto"/>
          <w:sz w:val="24"/>
          <w:highlight w:val="none"/>
        </w:rPr>
      </w:pPr>
      <w:r>
        <w:rPr>
          <w:color w:val="auto"/>
          <w:sz w:val="24"/>
          <w:highlight w:val="none"/>
        </w:rPr>
        <w:t>（如发包人负责提供部分施工设备或临时设施，请在项目专用合同条款中约定提供的具体内容、提供时间、所需费用等）。</w:t>
      </w:r>
    </w:p>
    <w:p>
      <w:pPr>
        <w:adjustRightInd w:val="0"/>
        <w:snapToGrid w:val="0"/>
        <w:spacing w:beforeLines="100" w:line="360" w:lineRule="auto"/>
        <w:rPr>
          <w:rFonts w:eastAsia="黑体"/>
          <w:color w:val="auto"/>
          <w:sz w:val="24"/>
          <w:highlight w:val="none"/>
        </w:rPr>
      </w:pPr>
      <w:r>
        <w:rPr>
          <w:rFonts w:eastAsia="黑体"/>
          <w:color w:val="auto"/>
          <w:sz w:val="24"/>
          <w:highlight w:val="none"/>
        </w:rPr>
        <w:t>6.3要求承包人增加或更换施工设备</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承包人必须使投标文件（如承包人未在投标阶段对施工设备进行新增或更新，则以资格预审申请文件为准）承诺的施工设备按时到达现场，不得拖延、缺</w:t>
      </w:r>
      <w:r>
        <w:rPr>
          <w:rFonts w:hint="eastAsia"/>
          <w:color w:val="auto"/>
          <w:sz w:val="24"/>
          <w:highlight w:val="none"/>
        </w:rPr>
        <w:t>少</w:t>
      </w:r>
      <w:r>
        <w:rPr>
          <w:color w:val="auto"/>
          <w:sz w:val="24"/>
          <w:highlight w:val="none"/>
        </w:rPr>
        <w:t>或任意更换。尽管承包人已按投标文件的承诺提供了上述设备，但监理人认为仍不能合同进度计划和（或）质量要求时，监理人有权要求承包人增加或更换施工设备，承包人应及时增加或更换，由此增加的费用和（或）工期延误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7．交通运输</w:t>
      </w:r>
    </w:p>
    <w:p>
      <w:pPr>
        <w:adjustRightInd w:val="0"/>
        <w:snapToGrid w:val="0"/>
        <w:spacing w:line="360" w:lineRule="auto"/>
        <w:rPr>
          <w:rFonts w:eastAsia="黑体"/>
          <w:color w:val="auto"/>
          <w:sz w:val="24"/>
          <w:highlight w:val="none"/>
        </w:rPr>
      </w:pPr>
      <w:r>
        <w:rPr>
          <w:rFonts w:eastAsia="黑体"/>
          <w:color w:val="auto"/>
          <w:sz w:val="24"/>
          <w:highlight w:val="none"/>
        </w:rPr>
        <w:t>7.1道路通行权和场外设施</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道路通行权由承包人办理并承担费用，需要发包人协调时，发包人应协助承包人办理相关手续。</w:t>
      </w:r>
    </w:p>
    <w:p>
      <w:pPr>
        <w:adjustRightInd w:val="0"/>
        <w:snapToGrid w:val="0"/>
        <w:spacing w:beforeLines="100" w:line="360" w:lineRule="auto"/>
        <w:rPr>
          <w:rFonts w:eastAsia="黑体"/>
          <w:color w:val="auto"/>
          <w:sz w:val="24"/>
          <w:highlight w:val="none"/>
        </w:rPr>
      </w:pPr>
      <w:r>
        <w:rPr>
          <w:rFonts w:eastAsia="黑体"/>
          <w:color w:val="auto"/>
          <w:sz w:val="24"/>
          <w:highlight w:val="none"/>
        </w:rPr>
        <w:t>8</w:t>
      </w:r>
      <w:r>
        <w:rPr>
          <w:rFonts w:hint="eastAsia" w:eastAsia="黑体"/>
          <w:color w:val="auto"/>
          <w:sz w:val="24"/>
          <w:highlight w:val="none"/>
        </w:rPr>
        <w:t>．</w:t>
      </w:r>
      <w:r>
        <w:rPr>
          <w:rFonts w:eastAsia="黑体"/>
          <w:color w:val="auto"/>
          <w:sz w:val="24"/>
          <w:highlight w:val="none"/>
        </w:rPr>
        <w:t>测量放线</w:t>
      </w:r>
    </w:p>
    <w:p>
      <w:pPr>
        <w:adjustRightInd w:val="0"/>
        <w:snapToGrid w:val="0"/>
        <w:spacing w:line="360" w:lineRule="auto"/>
        <w:rPr>
          <w:rFonts w:eastAsia="黑体"/>
          <w:color w:val="auto"/>
          <w:sz w:val="24"/>
          <w:highlight w:val="none"/>
        </w:rPr>
      </w:pPr>
      <w:r>
        <w:rPr>
          <w:rFonts w:eastAsia="黑体"/>
          <w:color w:val="auto"/>
          <w:sz w:val="24"/>
          <w:highlight w:val="none"/>
        </w:rPr>
        <w:t>8.1施工控制网</w:t>
      </w:r>
    </w:p>
    <w:p>
      <w:pPr>
        <w:adjustRightInd w:val="0"/>
        <w:snapToGrid w:val="0"/>
        <w:spacing w:line="360" w:lineRule="auto"/>
        <w:ind w:firstLine="480" w:firstLineChars="200"/>
        <w:rPr>
          <w:color w:val="auto"/>
          <w:sz w:val="24"/>
          <w:highlight w:val="none"/>
        </w:rPr>
      </w:pPr>
      <w:r>
        <w:rPr>
          <w:color w:val="auto"/>
          <w:sz w:val="24"/>
          <w:highlight w:val="none"/>
        </w:rPr>
        <w:t>8.1．1项约定为：</w:t>
      </w:r>
    </w:p>
    <w:p>
      <w:pPr>
        <w:adjustRightInd w:val="0"/>
        <w:snapToGrid w:val="0"/>
        <w:spacing w:line="360" w:lineRule="auto"/>
        <w:ind w:firstLine="480" w:firstLineChars="200"/>
        <w:rPr>
          <w:color w:val="auto"/>
          <w:sz w:val="24"/>
          <w:highlight w:val="none"/>
        </w:rPr>
      </w:pPr>
      <w:r>
        <w:rPr>
          <w:color w:val="auto"/>
          <w:sz w:val="24"/>
          <w:highlight w:val="none"/>
        </w:rPr>
        <w:t>发包人向承包人提供测量基准点、基准线和水准点及其书面资料的时间</w:t>
      </w:r>
      <w:r>
        <w:rPr>
          <w:rFonts w:hint="eastAsia"/>
          <w:color w:val="auto"/>
          <w:sz w:val="24"/>
          <w:highlight w:val="none"/>
        </w:rPr>
        <w:t>：</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。承包人向监理人报送施工控制网资料的时间：</w:t>
      </w:r>
      <w:r>
        <w:rPr>
          <w:color w:val="auto"/>
          <w:sz w:val="24"/>
          <w:highlight w:val="none"/>
          <w:u w:val="single"/>
        </w:rPr>
        <w:t>（见项目专用合同条</w:t>
      </w:r>
      <w:r>
        <w:rPr>
          <w:rFonts w:hint="eastAsia"/>
          <w:color w:val="auto"/>
          <w:sz w:val="24"/>
          <w:highlight w:val="none"/>
          <w:u w:val="single"/>
        </w:rPr>
        <w:t>款）</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承包人应对发包人提供的测量基准点、基准线和水准点进行复测，并将有关复测资料报监理人批准后，方可用于工程施工定线与放样。</w:t>
      </w:r>
    </w:p>
    <w:p>
      <w:pPr>
        <w:adjustRightInd w:val="0"/>
        <w:snapToGrid w:val="0"/>
        <w:spacing w:beforeLines="100" w:line="360" w:lineRule="auto"/>
        <w:rPr>
          <w:rFonts w:eastAsia="黑体"/>
          <w:color w:val="auto"/>
          <w:sz w:val="24"/>
          <w:highlight w:val="none"/>
        </w:rPr>
      </w:pPr>
      <w:r>
        <w:rPr>
          <w:rFonts w:eastAsia="黑体"/>
          <w:color w:val="auto"/>
          <w:sz w:val="24"/>
          <w:highlight w:val="none"/>
        </w:rPr>
        <w:t>8.2施工测量</w:t>
      </w:r>
    </w:p>
    <w:p>
      <w:pPr>
        <w:adjustRightInd w:val="0"/>
        <w:snapToGrid w:val="0"/>
        <w:spacing w:line="360" w:lineRule="auto"/>
        <w:ind w:firstLine="480" w:firstLineChars="200"/>
        <w:rPr>
          <w:color w:val="auto"/>
          <w:sz w:val="24"/>
          <w:highlight w:val="none"/>
        </w:rPr>
      </w:pPr>
      <w:r>
        <w:rPr>
          <w:color w:val="auto"/>
          <w:sz w:val="24"/>
          <w:highlight w:val="none"/>
        </w:rPr>
        <w:t>8.2.1项补充：</w:t>
      </w:r>
    </w:p>
    <w:p>
      <w:pPr>
        <w:adjustRightInd w:val="0"/>
        <w:snapToGrid w:val="0"/>
        <w:spacing w:line="360" w:lineRule="auto"/>
        <w:ind w:firstLine="480" w:firstLineChars="200"/>
        <w:rPr>
          <w:color w:val="auto"/>
          <w:sz w:val="24"/>
          <w:highlight w:val="none"/>
        </w:rPr>
      </w:pPr>
      <w:r>
        <w:rPr>
          <w:color w:val="auto"/>
          <w:sz w:val="24"/>
          <w:highlight w:val="none"/>
        </w:rPr>
        <w:t>承包人应负责施工测量放线工作的准确性。</w:t>
      </w:r>
    </w:p>
    <w:p>
      <w:pPr>
        <w:adjustRightInd w:val="0"/>
        <w:snapToGrid w:val="0"/>
        <w:spacing w:beforeLines="100" w:line="360" w:lineRule="auto"/>
        <w:rPr>
          <w:rFonts w:eastAsia="黑体"/>
          <w:color w:val="auto"/>
          <w:sz w:val="24"/>
          <w:highlight w:val="none"/>
        </w:rPr>
      </w:pPr>
      <w:r>
        <w:rPr>
          <w:rFonts w:eastAsia="黑体"/>
          <w:color w:val="auto"/>
          <w:sz w:val="24"/>
          <w:highlight w:val="none"/>
        </w:rPr>
        <w:t>8.3基准资料错误的责任</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承包人应对发包人提供的基准资料进行核实，发现错误，应及时通知监理人和发包人，否则应承担相应责任。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8.4监理人使用施工控制网</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经监理人批准，其他相关承包人也可免费使用施工控制网。</w:t>
      </w:r>
    </w:p>
    <w:p>
      <w:pPr>
        <w:adjustRightInd w:val="0"/>
        <w:snapToGrid w:val="0"/>
        <w:spacing w:beforeLines="100" w:line="360" w:lineRule="auto"/>
        <w:rPr>
          <w:rFonts w:eastAsia="黑体"/>
          <w:color w:val="auto"/>
          <w:sz w:val="24"/>
          <w:highlight w:val="none"/>
        </w:rPr>
      </w:pPr>
      <w:r>
        <w:rPr>
          <w:rFonts w:eastAsia="黑体"/>
          <w:color w:val="auto"/>
          <w:sz w:val="24"/>
          <w:highlight w:val="none"/>
        </w:rPr>
        <w:t>9</w:t>
      </w:r>
      <w:r>
        <w:rPr>
          <w:rFonts w:hint="eastAsia" w:eastAsia="黑体"/>
          <w:color w:val="auto"/>
          <w:sz w:val="24"/>
          <w:highlight w:val="none"/>
        </w:rPr>
        <w:t>．</w:t>
      </w:r>
      <w:r>
        <w:rPr>
          <w:rFonts w:eastAsia="黑体"/>
          <w:color w:val="auto"/>
          <w:sz w:val="24"/>
          <w:highlight w:val="none"/>
        </w:rPr>
        <w:t>施工安全、治安保卫和环境保护</w:t>
      </w:r>
    </w:p>
    <w:p>
      <w:pPr>
        <w:adjustRightInd w:val="0"/>
        <w:snapToGrid w:val="0"/>
        <w:spacing w:line="360" w:lineRule="auto"/>
        <w:rPr>
          <w:rFonts w:eastAsia="黑体"/>
          <w:color w:val="auto"/>
          <w:sz w:val="24"/>
          <w:highlight w:val="none"/>
        </w:rPr>
      </w:pPr>
      <w:r>
        <w:rPr>
          <w:rFonts w:eastAsia="黑体"/>
          <w:color w:val="auto"/>
          <w:sz w:val="24"/>
          <w:highlight w:val="none"/>
        </w:rPr>
        <w:t>9.1发包人的施工安全责任</w:t>
      </w:r>
    </w:p>
    <w:p>
      <w:pPr>
        <w:adjustRightInd w:val="0"/>
        <w:snapToGrid w:val="0"/>
        <w:spacing w:line="360" w:lineRule="auto"/>
        <w:ind w:firstLine="480" w:firstLineChars="200"/>
        <w:rPr>
          <w:color w:val="auto"/>
          <w:sz w:val="24"/>
          <w:highlight w:val="none"/>
        </w:rPr>
      </w:pPr>
      <w:r>
        <w:rPr>
          <w:color w:val="auto"/>
          <w:sz w:val="24"/>
          <w:highlight w:val="none"/>
        </w:rPr>
        <w:t>9.1.3项补充：</w:t>
      </w:r>
    </w:p>
    <w:p>
      <w:pPr>
        <w:adjustRightInd w:val="0"/>
        <w:snapToGrid w:val="0"/>
        <w:spacing w:line="360" w:lineRule="auto"/>
        <w:ind w:firstLine="480" w:firstLineChars="200"/>
        <w:rPr>
          <w:color w:val="auto"/>
          <w:sz w:val="24"/>
          <w:highlight w:val="none"/>
        </w:rPr>
      </w:pPr>
      <w:r>
        <w:rPr>
          <w:color w:val="auto"/>
          <w:sz w:val="24"/>
          <w:highlight w:val="none"/>
        </w:rPr>
        <w:t>如果承包人或其雇员也对上述人身伤亡或财产损失负有部分责任时，承包人也应承担相应赔偿责任。</w:t>
      </w:r>
    </w:p>
    <w:p>
      <w:pPr>
        <w:adjustRightInd w:val="0"/>
        <w:snapToGrid w:val="0"/>
        <w:spacing w:beforeLines="100" w:line="360" w:lineRule="auto"/>
        <w:rPr>
          <w:rFonts w:eastAsia="黑体"/>
          <w:color w:val="auto"/>
          <w:sz w:val="24"/>
          <w:highlight w:val="none"/>
        </w:rPr>
      </w:pPr>
      <w:r>
        <w:rPr>
          <w:rFonts w:eastAsia="黑体"/>
          <w:color w:val="auto"/>
          <w:sz w:val="24"/>
          <w:highlight w:val="none"/>
        </w:rPr>
        <w:t>9.2承包人的施工安全责任</w:t>
      </w:r>
    </w:p>
    <w:p>
      <w:pPr>
        <w:adjustRightInd w:val="0"/>
        <w:snapToGrid w:val="0"/>
        <w:spacing w:line="360" w:lineRule="auto"/>
        <w:ind w:firstLine="480" w:firstLineChars="200"/>
        <w:rPr>
          <w:color w:val="auto"/>
          <w:sz w:val="24"/>
          <w:highlight w:val="none"/>
        </w:rPr>
      </w:pPr>
      <w:r>
        <w:rPr>
          <w:color w:val="auto"/>
          <w:sz w:val="24"/>
          <w:highlight w:val="none"/>
        </w:rPr>
        <w:t>9.2.1项细化为：</w:t>
      </w:r>
    </w:p>
    <w:p>
      <w:pPr>
        <w:adjustRightInd w:val="0"/>
        <w:snapToGrid w:val="0"/>
        <w:spacing w:line="360" w:lineRule="auto"/>
        <w:ind w:firstLine="480" w:firstLineChars="200"/>
        <w:rPr>
          <w:color w:val="auto"/>
          <w:sz w:val="24"/>
          <w:highlight w:val="none"/>
        </w:rPr>
      </w:pPr>
      <w:r>
        <w:rPr>
          <w:color w:val="auto"/>
          <w:sz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adjustRightInd w:val="0"/>
        <w:snapToGrid w:val="0"/>
        <w:spacing w:line="360" w:lineRule="auto"/>
        <w:ind w:firstLine="480" w:firstLineChars="200"/>
        <w:rPr>
          <w:color w:val="auto"/>
          <w:sz w:val="24"/>
          <w:highlight w:val="none"/>
        </w:rPr>
      </w:pPr>
      <w:r>
        <w:rPr>
          <w:color w:val="auto"/>
          <w:sz w:val="24"/>
          <w:highlight w:val="none"/>
        </w:rPr>
        <w:t>承包人应根据本工程的实际安全施工要求，编制本工程的实施性施工安全组织设计，报监理人和发包人批准。该施组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技术负责人签字并报监理人和发包人批准后实施，由专职安全生产管理人员进行现场监督。</w:t>
      </w:r>
    </w:p>
    <w:p>
      <w:pPr>
        <w:adjustRightInd w:val="0"/>
        <w:snapToGrid w:val="0"/>
        <w:spacing w:line="360" w:lineRule="auto"/>
        <w:ind w:firstLine="480" w:firstLineChars="200"/>
        <w:rPr>
          <w:color w:val="auto"/>
          <w:sz w:val="24"/>
          <w:highlight w:val="none"/>
        </w:rPr>
      </w:pPr>
      <w:r>
        <w:rPr>
          <w:color w:val="auto"/>
          <w:sz w:val="24"/>
          <w:highlight w:val="none"/>
        </w:rPr>
        <w:t>本项目需要编制专项施工方案的工程包括但不限于以下内容：</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不良地质条件下有潜在危险性的土方、石方开挖；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2）滑坡和高边坡处理；</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桩基础、挡墙基础、深水基础及围堰工程；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4）桥梁工程中的梁、拱、柱等构件施工等；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5）隧道工程中的不良地质隧道、高瓦斯隧道等；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）水</w:t>
      </w:r>
      <w:r>
        <w:rPr>
          <w:color w:val="auto"/>
          <w:sz w:val="24"/>
          <w:highlight w:val="none"/>
        </w:rPr>
        <w:t>上工程中的打桩船作业、施工船作业、外海孤岛作业、边通航边施工作业等；</w:t>
      </w:r>
    </w:p>
    <w:p>
      <w:pPr>
        <w:adjustRightInd w:val="0"/>
        <w:snapToGrid w:val="0"/>
        <w:spacing w:line="360" w:lineRule="auto"/>
        <w:ind w:firstLine="480" w:firstLineChars="200"/>
        <w:rPr>
          <w:color w:val="auto"/>
          <w:sz w:val="24"/>
          <w:highlight w:val="none"/>
        </w:rPr>
      </w:pPr>
      <w:r>
        <w:rPr>
          <w:color w:val="auto"/>
          <w:sz w:val="24"/>
          <w:highlight w:val="none"/>
        </w:rPr>
        <w:t>（7）水下工程中的水下焊接、混凝土浇注、爆破工程等；</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8</w:t>
      </w:r>
      <w:r>
        <w:rPr>
          <w:rFonts w:hint="eastAsia"/>
          <w:color w:val="auto"/>
          <w:sz w:val="24"/>
          <w:highlight w:val="none"/>
        </w:rPr>
        <w:t>）</w:t>
      </w:r>
      <w:r>
        <w:rPr>
          <w:color w:val="auto"/>
          <w:sz w:val="24"/>
          <w:highlight w:val="none"/>
        </w:rPr>
        <w:t>爆破工程；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9）大型临时工程中的大型支架、模板、便桥的架设与拆除；桥梁、码头的加固与拆除；</w:t>
      </w:r>
    </w:p>
    <w:p>
      <w:pPr>
        <w:adjustRightInd w:val="0"/>
        <w:snapToGrid w:val="0"/>
        <w:spacing w:line="360" w:lineRule="auto"/>
        <w:ind w:firstLine="480" w:firstLineChars="200"/>
        <w:rPr>
          <w:color w:val="auto"/>
          <w:sz w:val="24"/>
          <w:highlight w:val="none"/>
        </w:rPr>
      </w:pPr>
      <w:r>
        <w:rPr>
          <w:rFonts w:hint="eastAsia"/>
          <w:color w:val="auto"/>
          <w:sz w:val="24"/>
          <w:highlight w:val="none"/>
        </w:rPr>
        <w:t>（10）</w:t>
      </w:r>
      <w:r>
        <w:rPr>
          <w:color w:val="auto"/>
          <w:sz w:val="24"/>
          <w:highlight w:val="none"/>
        </w:rPr>
        <w:t>其他危险性较大的工程。</w:t>
      </w:r>
    </w:p>
    <w:p>
      <w:pPr>
        <w:adjustRightInd w:val="0"/>
        <w:snapToGrid w:val="0"/>
        <w:spacing w:line="360" w:lineRule="auto"/>
        <w:ind w:firstLine="480" w:firstLineChars="200"/>
        <w:rPr>
          <w:color w:val="auto"/>
          <w:sz w:val="24"/>
          <w:highlight w:val="none"/>
        </w:rPr>
      </w:pPr>
      <w:r>
        <w:rPr>
          <w:color w:val="auto"/>
          <w:sz w:val="24"/>
          <w:highlight w:val="none"/>
        </w:rPr>
        <w:t>监理人和发包人在检查中．发现有安全问题或有违反安全管理规章制度的情况时，可视其情节轻重，分别给予承包人通报批评、警告、责令停工等处罚，也可并处项目专用合同条款规定的违约金。</w:t>
      </w:r>
    </w:p>
    <w:p>
      <w:pPr>
        <w:adjustRightInd w:val="0"/>
        <w:snapToGrid w:val="0"/>
        <w:spacing w:line="360" w:lineRule="auto"/>
        <w:ind w:firstLine="480" w:firstLineChars="200"/>
        <w:rPr>
          <w:color w:val="auto"/>
          <w:sz w:val="24"/>
          <w:highlight w:val="none"/>
        </w:rPr>
      </w:pPr>
      <w:r>
        <w:rPr>
          <w:color w:val="auto"/>
          <w:sz w:val="24"/>
          <w:highlight w:val="none"/>
        </w:rPr>
        <w:t>本款增加第9.2.8至9.2.11项：</w:t>
      </w:r>
    </w:p>
    <w:p>
      <w:pPr>
        <w:adjustRightInd w:val="0"/>
        <w:snapToGrid w:val="0"/>
        <w:spacing w:line="360" w:lineRule="auto"/>
        <w:ind w:firstLine="480" w:firstLineChars="200"/>
        <w:rPr>
          <w:color w:val="auto"/>
          <w:sz w:val="24"/>
          <w:highlight w:val="none"/>
        </w:rPr>
      </w:pPr>
      <w:r>
        <w:rPr>
          <w:color w:val="auto"/>
          <w:sz w:val="24"/>
          <w:highlight w:val="none"/>
        </w:rPr>
        <w:t>9.2.8承包人应充分关注和保障所有在现场工作的人员的安全，采取有效措施，使现场和本合同工程的实施保持有条不紊，以免使上述人员的安全受到威胁：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按《公路水运工程安全生产监督管理办法》规定的最低数量和资质条件配备专职安全生产管理人员；</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2）特殊工种（电工、电梯工、起重工、电焊工、车船驾驶员、爆破工、潜水工、瓦斯检验员等）应经过专业培训，并持有专业主管部门签发的合格证上岗；</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对于易燃易爆的材料除应专门妥善保管之外，还应配备有足够的消防设备，所有施工人员都应熟悉消防设备的性能和使用方法；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所有施工机具设备和高空作业设备均应定期检查，并有安全员的签字记录；</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根据本合同各单位工程的施工特点，严格执行《公路水运工程安全生产监督管理办法》、《公路工程施工安全技术规程》与《公路筑养路机械操作规程》的具体规定。</w:t>
      </w:r>
    </w:p>
    <w:p>
      <w:pPr>
        <w:adjustRightInd w:val="0"/>
        <w:snapToGrid w:val="0"/>
        <w:spacing w:line="360" w:lineRule="auto"/>
        <w:ind w:firstLine="480" w:firstLineChars="200"/>
        <w:rPr>
          <w:color w:val="auto"/>
          <w:sz w:val="24"/>
          <w:highlight w:val="none"/>
        </w:rPr>
      </w:pPr>
      <w:r>
        <w:rPr>
          <w:color w:val="auto"/>
          <w:sz w:val="24"/>
          <w:highlight w:val="none"/>
        </w:rPr>
        <w:t>9.2.9为了保护本合同工程免遭损坏，或为了现场附近和过往群众的安全与方便，在确有必要的时候和地方，或当监理人或有关主管部门要求时，承包人应自费提供照明、警卫、护栅、警告标志等安全防护设施。</w:t>
      </w:r>
    </w:p>
    <w:p>
      <w:pPr>
        <w:adjustRightInd w:val="0"/>
        <w:snapToGrid w:val="0"/>
        <w:spacing w:line="360" w:lineRule="auto"/>
        <w:ind w:firstLine="480" w:firstLineChars="200"/>
        <w:rPr>
          <w:color w:val="auto"/>
          <w:sz w:val="24"/>
          <w:highlight w:val="none"/>
        </w:rPr>
      </w:pPr>
      <w:r>
        <w:rPr>
          <w:color w:val="auto"/>
          <w:sz w:val="24"/>
          <w:highlight w:val="none"/>
        </w:rPr>
        <w:t>9.2.10在通航水域施工时，承包人应与地方当局取得联系，设置必要的导航标志，及时发布航行通告，确保施工水域安全。</w:t>
      </w:r>
    </w:p>
    <w:p>
      <w:pPr>
        <w:adjustRightInd w:val="0"/>
        <w:snapToGrid w:val="0"/>
        <w:spacing w:line="360" w:lineRule="auto"/>
        <w:ind w:firstLine="480" w:firstLineChars="200"/>
        <w:rPr>
          <w:color w:val="auto"/>
          <w:sz w:val="24"/>
          <w:highlight w:val="none"/>
        </w:rPr>
      </w:pPr>
      <w:r>
        <w:rPr>
          <w:color w:val="auto"/>
          <w:sz w:val="24"/>
          <w:highlight w:val="none"/>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beforeLines="100" w:line="360" w:lineRule="auto"/>
        <w:rPr>
          <w:rFonts w:eastAsia="黑体"/>
          <w:color w:val="auto"/>
          <w:sz w:val="24"/>
          <w:highlight w:val="none"/>
        </w:rPr>
      </w:pPr>
      <w:r>
        <w:rPr>
          <w:rFonts w:eastAsia="黑体"/>
          <w:color w:val="auto"/>
          <w:sz w:val="24"/>
          <w:highlight w:val="none"/>
        </w:rPr>
        <w:t>9.4环境保护</w:t>
      </w:r>
    </w:p>
    <w:p>
      <w:pPr>
        <w:adjustRightInd w:val="0"/>
        <w:snapToGrid w:val="0"/>
        <w:spacing w:line="360" w:lineRule="auto"/>
        <w:ind w:firstLine="480" w:firstLineChars="200"/>
        <w:rPr>
          <w:color w:val="auto"/>
          <w:sz w:val="24"/>
          <w:highlight w:val="none"/>
        </w:rPr>
      </w:pPr>
      <w:r>
        <w:rPr>
          <w:color w:val="auto"/>
          <w:sz w:val="24"/>
          <w:highlight w:val="none"/>
        </w:rPr>
        <w:t>本款增加第9.4.7至9.4.9项：</w:t>
      </w:r>
    </w:p>
    <w:p>
      <w:pPr>
        <w:adjustRightInd w:val="0"/>
        <w:snapToGrid w:val="0"/>
        <w:spacing w:line="360" w:lineRule="auto"/>
        <w:ind w:firstLine="480" w:firstLineChars="200"/>
        <w:rPr>
          <w:color w:val="auto"/>
          <w:sz w:val="24"/>
          <w:highlight w:val="none"/>
        </w:rPr>
      </w:pPr>
      <w:r>
        <w:rPr>
          <w:color w:val="auto"/>
          <w:sz w:val="24"/>
          <w:highlight w:val="none"/>
        </w:rPr>
        <w:t>9.4.7承包人应切实执行技术规范中有关环境保护方面的条款和规定。</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对于公路施工中粉尘污染的主要污染源—灰土拌和、施工车辆和筑路机械运行及运输产生的扬尘，应采取有效措施减轻施工现场的大气污染，保护人民健康，如：</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拌和设备应有较好的密封，或有防尘设备。</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施工通道、沥青混凝土拌和站及灰土拌和站应经常进行洒水降尘。</w:t>
      </w:r>
    </w:p>
    <w:p>
      <w:pPr>
        <w:adjustRightInd w:val="0"/>
        <w:snapToGrid w:val="0"/>
        <w:spacing w:line="360" w:lineRule="auto"/>
        <w:ind w:firstLine="480" w:firstLineChars="200"/>
        <w:rPr>
          <w:color w:val="auto"/>
          <w:sz w:val="24"/>
          <w:highlight w:val="none"/>
        </w:rPr>
      </w:pPr>
      <w:r>
        <w:rPr>
          <w:color w:val="auto"/>
          <w:sz w:val="24"/>
          <w:highlight w:val="none"/>
        </w:rPr>
        <w:t>c．路面施工应注意保持水份，以免扬尘。</w:t>
      </w:r>
    </w:p>
    <w:p>
      <w:pPr>
        <w:adjustRightInd w:val="0"/>
        <w:snapToGrid w:val="0"/>
        <w:spacing w:line="360" w:lineRule="auto"/>
        <w:ind w:firstLine="480" w:firstLineChars="200"/>
        <w:rPr>
          <w:color w:val="auto"/>
          <w:sz w:val="24"/>
          <w:highlight w:val="none"/>
        </w:rPr>
      </w:pPr>
      <w:r>
        <w:rPr>
          <w:color w:val="auto"/>
          <w:sz w:val="24"/>
          <w:highlight w:val="none"/>
        </w:rPr>
        <w:t>d</w:t>
      </w:r>
      <w:r>
        <w:rPr>
          <w:rFonts w:hint="eastAsia"/>
          <w:color w:val="auto"/>
          <w:sz w:val="24"/>
          <w:highlight w:val="none"/>
        </w:rPr>
        <w:t>．</w:t>
      </w:r>
      <w:r>
        <w:rPr>
          <w:color w:val="auto"/>
          <w:sz w:val="24"/>
          <w:highlight w:val="none"/>
        </w:rPr>
        <w:t>隧道出渣和桥梁钻孔灌注桩施工时排除的泥浆要进行妥善处理，严禁向河流或农田排放。</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采取可靠措施保证原有交通的正常通行，维持沿线村镇的居民饮水、农田灌溉、生产生活用电及通讯等管线的正常使用。</w:t>
      </w:r>
    </w:p>
    <w:p>
      <w:pPr>
        <w:adjustRightInd w:val="0"/>
        <w:snapToGrid w:val="0"/>
        <w:spacing w:line="360" w:lineRule="auto"/>
        <w:ind w:firstLine="480" w:firstLineChars="200"/>
        <w:rPr>
          <w:color w:val="auto"/>
          <w:sz w:val="24"/>
          <w:highlight w:val="none"/>
        </w:rPr>
      </w:pPr>
      <w:r>
        <w:rPr>
          <w:color w:val="auto"/>
          <w:sz w:val="24"/>
          <w:highlight w:val="none"/>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adjustRightInd w:val="0"/>
        <w:snapToGrid w:val="0"/>
        <w:spacing w:line="360" w:lineRule="auto"/>
        <w:ind w:firstLine="480" w:firstLineChars="200"/>
        <w:rPr>
          <w:color w:val="auto"/>
          <w:sz w:val="24"/>
          <w:highlight w:val="none"/>
        </w:rPr>
      </w:pPr>
      <w:r>
        <w:rPr>
          <w:color w:val="auto"/>
          <w:sz w:val="24"/>
          <w:highlight w:val="none"/>
        </w:rPr>
        <w:t>9.4.9在施工期间，承包人应随时保持现场整洁，施工设备和材料、工程设备应整齐妥善存放和贮存，废料与垃圾及不再需要的临时设施应及时从现场清除、拆除并运走。</w:t>
      </w:r>
    </w:p>
    <w:p>
      <w:pPr>
        <w:adjustRightInd w:val="0"/>
        <w:snapToGrid w:val="0"/>
        <w:spacing w:beforeLines="100" w:line="360" w:lineRule="auto"/>
        <w:rPr>
          <w:rFonts w:eastAsia="黑体"/>
          <w:color w:val="auto"/>
          <w:sz w:val="24"/>
          <w:highlight w:val="none"/>
        </w:rPr>
      </w:pPr>
      <w:r>
        <w:rPr>
          <w:rFonts w:eastAsia="黑体"/>
          <w:color w:val="auto"/>
          <w:sz w:val="24"/>
          <w:highlight w:val="none"/>
        </w:rPr>
        <w:t>10</w:t>
      </w:r>
      <w:r>
        <w:rPr>
          <w:rFonts w:hint="eastAsia" w:eastAsia="黑体"/>
          <w:color w:val="auto"/>
          <w:sz w:val="24"/>
          <w:highlight w:val="none"/>
        </w:rPr>
        <w:t>．</w:t>
      </w:r>
      <w:r>
        <w:rPr>
          <w:rFonts w:eastAsia="黑体"/>
          <w:color w:val="auto"/>
          <w:sz w:val="24"/>
          <w:highlight w:val="none"/>
        </w:rPr>
        <w:t>进度计划</w:t>
      </w:r>
    </w:p>
    <w:p>
      <w:pPr>
        <w:adjustRightInd w:val="0"/>
        <w:snapToGrid w:val="0"/>
        <w:spacing w:line="360" w:lineRule="auto"/>
        <w:rPr>
          <w:rFonts w:eastAsia="黑体"/>
          <w:color w:val="auto"/>
          <w:sz w:val="24"/>
          <w:highlight w:val="none"/>
        </w:rPr>
      </w:pPr>
      <w:r>
        <w:rPr>
          <w:rFonts w:eastAsia="黑体"/>
          <w:color w:val="auto"/>
          <w:sz w:val="24"/>
          <w:highlight w:val="none"/>
        </w:rPr>
        <w:t>10.1合同进度计划</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承包人编制施工方案的内容：</w:t>
      </w:r>
      <w:r>
        <w:rPr>
          <w:rFonts w:hint="eastAsia"/>
          <w:color w:val="auto"/>
          <w:sz w:val="24"/>
          <w:highlight w:val="none"/>
          <w:u w:val="single"/>
        </w:rPr>
        <w:t xml:space="preserve">  </w:t>
      </w:r>
      <w:r>
        <w:rPr>
          <w:color w:val="auto"/>
          <w:sz w:val="24"/>
          <w:highlight w:val="none"/>
          <w:u w:val="single"/>
        </w:rPr>
        <w:t>（见项目专用合同条款）</w:t>
      </w:r>
      <w:r>
        <w:rPr>
          <w:rFonts w:hint="eastAsia"/>
          <w:color w:val="auto"/>
          <w:sz w:val="24"/>
          <w:highlight w:val="none"/>
          <w:u w:val="single"/>
        </w:rPr>
        <w:t xml:space="preserve">  </w:t>
      </w:r>
    </w:p>
    <w:p>
      <w:pPr>
        <w:adjustRightInd w:val="0"/>
        <w:snapToGrid w:val="0"/>
        <w:spacing w:line="360" w:lineRule="auto"/>
        <w:ind w:firstLine="480" w:firstLineChars="200"/>
        <w:rPr>
          <w:color w:val="auto"/>
          <w:sz w:val="24"/>
          <w:highlight w:val="none"/>
        </w:rPr>
      </w:pPr>
      <w:r>
        <w:rPr>
          <w:color w:val="auto"/>
          <w:sz w:val="24"/>
          <w:highlight w:val="none"/>
        </w:rPr>
        <w:t>承包人向监理人报送施工进度计划和施工方案说明的期限：</w:t>
      </w:r>
      <w:r>
        <w:rPr>
          <w:rFonts w:hint="eastAsia"/>
          <w:color w:val="auto"/>
          <w:sz w:val="24"/>
          <w:highlight w:val="none"/>
          <w:u w:val="single"/>
        </w:rPr>
        <w:t>签订合同协议书后</w:t>
      </w:r>
      <w:r>
        <w:rPr>
          <w:color w:val="auto"/>
          <w:sz w:val="24"/>
          <w:highlight w:val="none"/>
          <w:u w:val="single"/>
        </w:rPr>
        <w:t>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监理人应在</w:t>
      </w:r>
      <w:r>
        <w:rPr>
          <w:rFonts w:hint="eastAsia"/>
          <w:color w:val="auto"/>
          <w:sz w:val="24"/>
          <w:highlight w:val="none"/>
          <w:u w:val="single"/>
        </w:rPr>
        <w:t>14</w:t>
      </w:r>
      <w:r>
        <w:rPr>
          <w:color w:val="auto"/>
          <w:sz w:val="24"/>
          <w:highlight w:val="none"/>
        </w:rPr>
        <w:t>天内对承包人施工进度计划和施工方案说明予以批复或提出修改意见。</w:t>
      </w:r>
    </w:p>
    <w:p>
      <w:pPr>
        <w:adjustRightInd w:val="0"/>
        <w:snapToGrid w:val="0"/>
        <w:spacing w:line="360" w:lineRule="auto"/>
        <w:ind w:firstLine="480" w:firstLineChars="200"/>
        <w:rPr>
          <w:color w:val="auto"/>
          <w:sz w:val="24"/>
          <w:highlight w:val="none"/>
        </w:rPr>
      </w:pPr>
      <w:r>
        <w:rPr>
          <w:color w:val="auto"/>
          <w:sz w:val="24"/>
          <w:highlight w:val="none"/>
        </w:rPr>
        <w:t>合同进度计划应按照关键线路网络图和主要工作横道图两种形式分别编绘，并应包括每月预计完成的工作量和形象进度。</w:t>
      </w:r>
    </w:p>
    <w:p>
      <w:pPr>
        <w:adjustRightInd w:val="0"/>
        <w:snapToGrid w:val="0"/>
        <w:spacing w:beforeLines="100" w:line="360" w:lineRule="auto"/>
        <w:rPr>
          <w:rFonts w:eastAsia="黑体"/>
          <w:color w:val="auto"/>
          <w:sz w:val="24"/>
          <w:highlight w:val="none"/>
        </w:rPr>
      </w:pPr>
      <w:r>
        <w:rPr>
          <w:rFonts w:eastAsia="黑体"/>
          <w:color w:val="auto"/>
          <w:sz w:val="24"/>
          <w:highlight w:val="none"/>
        </w:rPr>
        <w:t>10.2合同进度计划的修订</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承包人提交合同进度计划修订申请报告，并附有关措施和相关资料的期限：</w:t>
      </w:r>
      <w:r>
        <w:rPr>
          <w:color w:val="auto"/>
          <w:sz w:val="24"/>
          <w:highlight w:val="none"/>
          <w:u w:val="single"/>
        </w:rPr>
        <w:t>实际进度发生滞后的当月25日前</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监理人批复修订合同进度计划的期限：</w:t>
      </w:r>
      <w:r>
        <w:rPr>
          <w:rFonts w:hint="eastAsia"/>
          <w:color w:val="auto"/>
          <w:sz w:val="24"/>
          <w:highlight w:val="none"/>
          <w:u w:val="single"/>
        </w:rPr>
        <w:t>收到修订合同进度计划后14天内</w:t>
      </w:r>
      <w:r>
        <w:rPr>
          <w:color w:val="auto"/>
          <w:sz w:val="24"/>
          <w:highlight w:val="none"/>
        </w:rPr>
        <w:t>。</w:t>
      </w:r>
    </w:p>
    <w:p>
      <w:pPr>
        <w:adjustRightInd w:val="0"/>
        <w:snapToGrid w:val="0"/>
        <w:spacing w:line="360" w:lineRule="auto"/>
        <w:rPr>
          <w:color w:val="auto"/>
          <w:sz w:val="24"/>
          <w:highlight w:val="none"/>
        </w:rPr>
      </w:pPr>
      <w:r>
        <w:rPr>
          <w:color w:val="auto"/>
          <w:sz w:val="24"/>
          <w:highlight w:val="none"/>
        </w:rPr>
        <w:t>增加第10.3、10.4款：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10.3年度施工计划</w:t>
      </w:r>
    </w:p>
    <w:p>
      <w:pPr>
        <w:adjustRightInd w:val="0"/>
        <w:snapToGrid w:val="0"/>
        <w:spacing w:line="360" w:lineRule="auto"/>
        <w:ind w:firstLine="480" w:firstLineChars="200"/>
        <w:rPr>
          <w:color w:val="auto"/>
          <w:sz w:val="24"/>
          <w:highlight w:val="none"/>
        </w:rPr>
      </w:pPr>
      <w:r>
        <w:rPr>
          <w:color w:val="auto"/>
          <w:sz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adjustRightInd w:val="0"/>
        <w:snapToGrid w:val="0"/>
        <w:spacing w:beforeLines="100" w:line="360" w:lineRule="auto"/>
        <w:rPr>
          <w:rFonts w:eastAsia="黑体"/>
          <w:color w:val="auto"/>
          <w:sz w:val="24"/>
          <w:highlight w:val="none"/>
        </w:rPr>
      </w:pPr>
      <w:r>
        <w:rPr>
          <w:rFonts w:eastAsia="黑体"/>
          <w:color w:val="auto"/>
          <w:sz w:val="24"/>
          <w:highlight w:val="none"/>
        </w:rPr>
        <w:t>10.4合同用款计划</w:t>
      </w:r>
    </w:p>
    <w:p>
      <w:pPr>
        <w:adjustRightInd w:val="0"/>
        <w:snapToGrid w:val="0"/>
        <w:spacing w:line="360" w:lineRule="auto"/>
        <w:ind w:firstLine="480" w:firstLineChars="200"/>
        <w:rPr>
          <w:color w:val="auto"/>
          <w:sz w:val="24"/>
          <w:highlight w:val="none"/>
        </w:rPr>
      </w:pPr>
      <w:r>
        <w:rPr>
          <w:color w:val="auto"/>
          <w:sz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pPr>
        <w:adjustRightInd w:val="0"/>
        <w:snapToGrid w:val="0"/>
        <w:spacing w:beforeLines="100" w:line="360" w:lineRule="auto"/>
        <w:rPr>
          <w:rFonts w:eastAsia="黑体"/>
          <w:color w:val="auto"/>
          <w:sz w:val="24"/>
          <w:highlight w:val="none"/>
        </w:rPr>
      </w:pPr>
      <w:r>
        <w:rPr>
          <w:rFonts w:eastAsia="黑体"/>
          <w:color w:val="auto"/>
          <w:sz w:val="24"/>
          <w:highlight w:val="none"/>
        </w:rPr>
        <w:t>11．开工和竣工</w:t>
      </w:r>
    </w:p>
    <w:p>
      <w:pPr>
        <w:adjustRightInd w:val="0"/>
        <w:snapToGrid w:val="0"/>
        <w:spacing w:line="360" w:lineRule="auto"/>
        <w:rPr>
          <w:rFonts w:eastAsia="黑体"/>
          <w:color w:val="auto"/>
          <w:sz w:val="24"/>
          <w:highlight w:val="none"/>
        </w:rPr>
      </w:pPr>
      <w:r>
        <w:rPr>
          <w:rFonts w:eastAsia="黑体"/>
          <w:color w:val="auto"/>
          <w:sz w:val="24"/>
          <w:highlight w:val="none"/>
        </w:rPr>
        <w:t>11.1开工</w:t>
      </w:r>
    </w:p>
    <w:p>
      <w:pPr>
        <w:adjustRightInd w:val="0"/>
        <w:snapToGrid w:val="0"/>
        <w:spacing w:line="360" w:lineRule="auto"/>
        <w:ind w:firstLine="480" w:firstLineChars="200"/>
        <w:rPr>
          <w:color w:val="auto"/>
          <w:sz w:val="24"/>
          <w:highlight w:val="none"/>
        </w:rPr>
      </w:pPr>
      <w:r>
        <w:rPr>
          <w:color w:val="auto"/>
          <w:sz w:val="24"/>
          <w:highlight w:val="none"/>
        </w:rPr>
        <w:t>11</w:t>
      </w:r>
      <w:r>
        <w:rPr>
          <w:rFonts w:hint="eastAsia"/>
          <w:color w:val="auto"/>
          <w:sz w:val="24"/>
          <w:highlight w:val="none"/>
        </w:rPr>
        <w:t>.</w:t>
      </w:r>
      <w:r>
        <w:rPr>
          <w:color w:val="auto"/>
          <w:sz w:val="24"/>
          <w:highlight w:val="none"/>
        </w:rPr>
        <w:t>1.2项补充：</w:t>
      </w:r>
    </w:p>
    <w:p>
      <w:pPr>
        <w:adjustRightInd w:val="0"/>
        <w:snapToGrid w:val="0"/>
        <w:spacing w:line="360" w:lineRule="auto"/>
        <w:ind w:firstLine="480" w:firstLineChars="200"/>
        <w:rPr>
          <w:color w:val="auto"/>
          <w:sz w:val="24"/>
          <w:highlight w:val="none"/>
        </w:rPr>
      </w:pPr>
      <w:r>
        <w:rPr>
          <w:color w:val="auto"/>
          <w:sz w:val="24"/>
          <w:highlight w:val="none"/>
        </w:rPr>
        <w:t>承包人应在分部工程开工前14天向监理人提交分部工程开工报告，若承包人的开工准备、工作计划和质量控制方法是可接受的且已获得批准，则经监理人书面同意，分部工程才能开工。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11.3发包人的工期延误</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即使由于上述原因造成工期延误，如果受影响的工程并非处在工程施工进度网络计划的关键线路上，承包人亦无权要求延长总工期。</w:t>
      </w:r>
    </w:p>
    <w:p>
      <w:pPr>
        <w:adjustRightInd w:val="0"/>
        <w:snapToGrid w:val="0"/>
        <w:spacing w:beforeLines="100" w:line="360" w:lineRule="auto"/>
        <w:rPr>
          <w:rFonts w:eastAsia="黑体"/>
          <w:color w:val="auto"/>
          <w:sz w:val="24"/>
          <w:highlight w:val="none"/>
        </w:rPr>
      </w:pPr>
      <w:r>
        <w:rPr>
          <w:rFonts w:eastAsia="黑体"/>
          <w:color w:val="auto"/>
          <w:sz w:val="24"/>
          <w:highlight w:val="none"/>
        </w:rPr>
        <w:t>11.4异常恶劣的气候条件</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异常恶劣的气候条件包括：台风、龙卷风、暴雨（雪）、大风（沙尘暴）、冰雹和项目专用合同条款可能规定的其他气候条件。</w:t>
      </w:r>
    </w:p>
    <w:p>
      <w:pPr>
        <w:adjustRightInd w:val="0"/>
        <w:snapToGrid w:val="0"/>
        <w:spacing w:beforeLines="100" w:line="360" w:lineRule="auto"/>
        <w:rPr>
          <w:rFonts w:eastAsia="黑体"/>
          <w:color w:val="auto"/>
          <w:sz w:val="24"/>
          <w:highlight w:val="none"/>
        </w:rPr>
      </w:pPr>
      <w:r>
        <w:rPr>
          <w:rFonts w:eastAsia="黑体"/>
          <w:color w:val="auto"/>
          <w:sz w:val="24"/>
          <w:highlight w:val="none"/>
        </w:rPr>
        <w:t>11.5承包人的工期延误</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竣工。承包人应采取措施加快进度，并承担加快进度所增加的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在接到监理人通知后的14天内，未能采取加快工程进度的措施，致使实际工程进度进一步滞后，或承包人虽采取了一些措施，仍无法按预计工期竣工时，监理人应立即通知发包人。发包人在向承包人发出书面警告通知14天后，发包人可按22.1款终止对承包人的雇用，也可将本合同工程中的一部分工作交由其他承包人或特殊分包人完成。在不解除本合同规定的承包人责任和义务的同时，承包人应承担因此所增加的一切费用。</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由于承包人原因造成工期延误，承包人应支付逾期竣工违约金。逾期竣工违约金的计算方法为：每逾期一天支付＿元人民币（在项目专用合同条款中约定），时间自预定的竣工日期起到工程接收证书中写明的实际竣工日期止（扣除已批准的延长工期），按天计算。逾期竣工违约金累计金额最高不超过签约合同价的</w:t>
      </w:r>
      <w:r>
        <w:rPr>
          <w:rFonts w:hint="eastAsia"/>
          <w:color w:val="auto"/>
          <w:sz w:val="24"/>
          <w:highlight w:val="none"/>
        </w:rPr>
        <w:t>10</w:t>
      </w:r>
      <w:r>
        <w:rPr>
          <w:color w:val="auto"/>
          <w:sz w:val="24"/>
          <w:highlight w:val="none"/>
        </w:rPr>
        <w:t>％。发包人可以从应付或到期应付给承包人的任何款项中或采用其他方法扣除此违约金。</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承包人支付逾期竣工违约金，不免除承包人完成工程及修补缺陷的义务。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如果在合同工程完工之前，己对合同工程内按时完工的单位工程签发了工程接收证书，则合同工程的逾期竣工违约金，应按</w:t>
      </w:r>
      <w:r>
        <w:rPr>
          <w:rFonts w:hint="eastAsia"/>
          <w:color w:val="auto"/>
          <w:sz w:val="24"/>
          <w:highlight w:val="none"/>
        </w:rPr>
        <w:t>已</w:t>
      </w:r>
      <w:r>
        <w:rPr>
          <w:color w:val="auto"/>
          <w:sz w:val="24"/>
          <w:highlight w:val="none"/>
        </w:rPr>
        <w:t>签发工程接收证书的单位工程的价值占合同工程价值的比例予以减少，但本规定不应影响逾期竣工违约金的规定限额。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11.6工期提前</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64" w:firstLineChars="200"/>
        <w:rPr>
          <w:color w:val="auto"/>
          <w:spacing w:val="-4"/>
          <w:sz w:val="24"/>
          <w:highlight w:val="none"/>
        </w:rPr>
      </w:pPr>
      <w:r>
        <w:rPr>
          <w:color w:val="auto"/>
          <w:spacing w:val="-4"/>
          <w:sz w:val="24"/>
          <w:highlight w:val="none"/>
        </w:rPr>
        <w:t>如果承包人提前竣工，发包人支付奖金的计算方法为：每提前一天支付</w:t>
      </w:r>
      <w:r>
        <w:rPr>
          <w:rFonts w:hint="eastAsia"/>
          <w:color w:val="auto"/>
          <w:spacing w:val="-4"/>
          <w:sz w:val="24"/>
          <w:highlight w:val="none"/>
          <w:u w:val="single"/>
        </w:rPr>
        <w:t xml:space="preserve">    </w:t>
      </w:r>
      <w:r>
        <w:rPr>
          <w:color w:val="auto"/>
          <w:spacing w:val="-4"/>
          <w:sz w:val="24"/>
          <w:highlight w:val="none"/>
        </w:rPr>
        <w:t>元人民币（在项目专用合同条款中约定），时间自工程接收证书中写明的实际竣工日期起至预定的竣工日期止，按天计算。但奖金最高限额不超过签约合同价的</w:t>
      </w:r>
      <w:r>
        <w:rPr>
          <w:rFonts w:hint="eastAsia"/>
          <w:color w:val="auto"/>
          <w:spacing w:val="-4"/>
          <w:sz w:val="24"/>
          <w:highlight w:val="none"/>
          <w:u w:val="single"/>
        </w:rPr>
        <w:t xml:space="preserve">    </w:t>
      </w:r>
      <w:r>
        <w:rPr>
          <w:color w:val="auto"/>
          <w:spacing w:val="-4"/>
          <w:sz w:val="24"/>
          <w:highlight w:val="none"/>
        </w:rPr>
        <w:t>％（在项目专用合同条款中约定）。</w:t>
      </w:r>
    </w:p>
    <w:p>
      <w:pPr>
        <w:adjustRightInd w:val="0"/>
        <w:snapToGrid w:val="0"/>
        <w:spacing w:line="360" w:lineRule="auto"/>
        <w:rPr>
          <w:color w:val="auto"/>
          <w:sz w:val="24"/>
          <w:highlight w:val="none"/>
        </w:rPr>
      </w:pPr>
      <w:r>
        <w:rPr>
          <w:color w:val="auto"/>
          <w:sz w:val="24"/>
          <w:highlight w:val="none"/>
        </w:rPr>
        <w:t>增加第11.7款：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11.7</w:t>
      </w:r>
      <w:r>
        <w:rPr>
          <w:rFonts w:hint="eastAsia" w:eastAsia="黑体"/>
          <w:color w:val="auto"/>
          <w:sz w:val="24"/>
          <w:highlight w:val="none"/>
        </w:rPr>
        <w:t>工</w:t>
      </w:r>
      <w:r>
        <w:rPr>
          <w:rFonts w:eastAsia="黑体"/>
          <w:color w:val="auto"/>
          <w:sz w:val="24"/>
          <w:highlight w:val="none"/>
        </w:rPr>
        <w:t>作时</w:t>
      </w:r>
      <w:r>
        <w:rPr>
          <w:rFonts w:hint="eastAsia" w:eastAsia="黑体"/>
          <w:color w:val="auto"/>
          <w:sz w:val="24"/>
          <w:highlight w:val="none"/>
        </w:rPr>
        <w:t>间</w:t>
      </w:r>
      <w:r>
        <w:rPr>
          <w:rFonts w:eastAsia="黑体"/>
          <w:color w:val="auto"/>
          <w:sz w:val="24"/>
          <w:highlight w:val="none"/>
        </w:rPr>
        <w:t>的限制</w:t>
      </w:r>
    </w:p>
    <w:p>
      <w:pPr>
        <w:adjustRightInd w:val="0"/>
        <w:snapToGrid w:val="0"/>
        <w:spacing w:line="360" w:lineRule="auto"/>
        <w:ind w:firstLine="480" w:firstLineChars="200"/>
        <w:rPr>
          <w:color w:val="auto"/>
          <w:sz w:val="24"/>
          <w:highlight w:val="none"/>
        </w:rPr>
      </w:pPr>
      <w:r>
        <w:rPr>
          <w:color w:val="auto"/>
          <w:sz w:val="24"/>
          <w:highlight w:val="none"/>
        </w:rPr>
        <w:t>承包人在夜间或国家规定的节假日进行永久工程的施工，应向监理人报告，以便监理人履行监理职责和义务。</w:t>
      </w:r>
    </w:p>
    <w:p>
      <w:pPr>
        <w:adjustRightInd w:val="0"/>
        <w:snapToGrid w:val="0"/>
        <w:spacing w:line="360" w:lineRule="auto"/>
        <w:ind w:firstLine="480" w:firstLineChars="200"/>
        <w:rPr>
          <w:color w:val="auto"/>
          <w:sz w:val="24"/>
          <w:highlight w:val="none"/>
        </w:rPr>
      </w:pPr>
      <w:r>
        <w:rPr>
          <w:color w:val="auto"/>
          <w:sz w:val="24"/>
          <w:highlight w:val="none"/>
        </w:rPr>
        <w:t>但是，为了抢救生命或保护财产，或为了工程的安全、质量而不可避免地短暂作业，则不必事先向监理人报告。但承包人应在事后立即向监理人报告。</w:t>
      </w:r>
    </w:p>
    <w:p>
      <w:pPr>
        <w:adjustRightInd w:val="0"/>
        <w:snapToGrid w:val="0"/>
        <w:spacing w:line="360" w:lineRule="auto"/>
        <w:ind w:firstLine="480" w:firstLineChars="200"/>
        <w:rPr>
          <w:color w:val="auto"/>
          <w:sz w:val="24"/>
          <w:highlight w:val="none"/>
        </w:rPr>
      </w:pPr>
      <w:r>
        <w:rPr>
          <w:color w:val="auto"/>
          <w:sz w:val="24"/>
          <w:highlight w:val="none"/>
        </w:rPr>
        <w:t>本款规定不适用于习惯上或施工本身要求实行连续生产的作业。</w:t>
      </w:r>
    </w:p>
    <w:p>
      <w:pPr>
        <w:adjustRightInd w:val="0"/>
        <w:snapToGrid w:val="0"/>
        <w:spacing w:beforeLines="100" w:line="360" w:lineRule="auto"/>
        <w:rPr>
          <w:rFonts w:eastAsia="黑体"/>
          <w:color w:val="auto"/>
          <w:sz w:val="24"/>
          <w:highlight w:val="none"/>
        </w:rPr>
      </w:pPr>
      <w:r>
        <w:rPr>
          <w:rFonts w:eastAsia="黑体"/>
          <w:color w:val="auto"/>
          <w:sz w:val="24"/>
          <w:highlight w:val="none"/>
        </w:rPr>
        <w:t>12</w:t>
      </w:r>
      <w:r>
        <w:rPr>
          <w:rFonts w:hint="eastAsia" w:eastAsia="黑体"/>
          <w:color w:val="auto"/>
          <w:sz w:val="24"/>
          <w:highlight w:val="none"/>
        </w:rPr>
        <w:t>．</w:t>
      </w:r>
      <w:r>
        <w:rPr>
          <w:rFonts w:eastAsia="黑体"/>
          <w:color w:val="auto"/>
          <w:sz w:val="24"/>
          <w:highlight w:val="none"/>
        </w:rPr>
        <w:t>暂停施工</w:t>
      </w:r>
    </w:p>
    <w:p>
      <w:pPr>
        <w:adjustRightInd w:val="0"/>
        <w:snapToGrid w:val="0"/>
        <w:spacing w:line="360" w:lineRule="auto"/>
        <w:ind w:firstLine="480" w:firstLineChars="200"/>
        <w:rPr>
          <w:color w:val="auto"/>
          <w:sz w:val="24"/>
          <w:highlight w:val="none"/>
        </w:rPr>
      </w:pPr>
      <w:r>
        <w:rPr>
          <w:color w:val="auto"/>
          <w:sz w:val="24"/>
          <w:highlight w:val="none"/>
        </w:rPr>
        <w:t>12.1承包人暂停施工的责任</w:t>
      </w:r>
    </w:p>
    <w:p>
      <w:pPr>
        <w:adjustRightInd w:val="0"/>
        <w:snapToGrid w:val="0"/>
        <w:spacing w:line="360" w:lineRule="auto"/>
        <w:ind w:firstLine="480" w:firstLineChars="200"/>
        <w:rPr>
          <w:color w:val="auto"/>
          <w:sz w:val="24"/>
          <w:highlight w:val="none"/>
        </w:rPr>
      </w:pPr>
      <w:r>
        <w:rPr>
          <w:color w:val="auto"/>
          <w:sz w:val="24"/>
          <w:highlight w:val="none"/>
        </w:rPr>
        <w:t>12.1（5</w:t>
      </w:r>
      <w:r>
        <w:rPr>
          <w:rFonts w:hint="eastAsia"/>
          <w:color w:val="auto"/>
          <w:sz w:val="24"/>
          <w:highlight w:val="none"/>
        </w:rPr>
        <w:t>）</w:t>
      </w:r>
      <w:r>
        <w:rPr>
          <w:color w:val="auto"/>
          <w:sz w:val="24"/>
          <w:highlight w:val="none"/>
        </w:rPr>
        <w:t>项补充：</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现场气候条件导致的必要停工（第11.4款规定的异常恶劣的气候条件除外）；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项目专用合同条款约定由承包人承担的其他暂停施工。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13．工程质量</w:t>
      </w:r>
    </w:p>
    <w:p>
      <w:pPr>
        <w:adjustRightInd w:val="0"/>
        <w:snapToGrid w:val="0"/>
        <w:spacing w:line="360" w:lineRule="auto"/>
        <w:rPr>
          <w:rFonts w:eastAsia="黑体"/>
          <w:color w:val="auto"/>
          <w:sz w:val="24"/>
          <w:highlight w:val="none"/>
        </w:rPr>
      </w:pPr>
      <w:r>
        <w:rPr>
          <w:rFonts w:eastAsia="黑体"/>
          <w:color w:val="auto"/>
          <w:sz w:val="24"/>
          <w:highlight w:val="none"/>
        </w:rPr>
        <w:t>13.1工程质量要求</w:t>
      </w:r>
    </w:p>
    <w:p>
      <w:pPr>
        <w:adjustRightInd w:val="0"/>
        <w:snapToGrid w:val="0"/>
        <w:spacing w:line="360" w:lineRule="auto"/>
        <w:ind w:firstLine="480" w:firstLineChars="200"/>
        <w:rPr>
          <w:color w:val="auto"/>
          <w:sz w:val="24"/>
          <w:highlight w:val="none"/>
        </w:rPr>
      </w:pPr>
      <w:r>
        <w:rPr>
          <w:color w:val="auto"/>
          <w:sz w:val="24"/>
          <w:highlight w:val="none"/>
        </w:rPr>
        <w:t>13.1</w:t>
      </w:r>
      <w:r>
        <w:rPr>
          <w:rFonts w:hint="eastAsia"/>
          <w:color w:val="auto"/>
          <w:sz w:val="24"/>
          <w:highlight w:val="none"/>
        </w:rPr>
        <w:t>.</w:t>
      </w:r>
      <w:r>
        <w:rPr>
          <w:color w:val="auto"/>
          <w:sz w:val="24"/>
          <w:highlight w:val="none"/>
        </w:rPr>
        <w:t>1项约定为：</w:t>
      </w:r>
    </w:p>
    <w:p>
      <w:pPr>
        <w:adjustRightInd w:val="0"/>
        <w:snapToGrid w:val="0"/>
        <w:spacing w:line="360" w:lineRule="auto"/>
        <w:ind w:firstLine="480" w:firstLineChars="200"/>
        <w:rPr>
          <w:color w:val="auto"/>
          <w:sz w:val="24"/>
          <w:highlight w:val="none"/>
        </w:rPr>
      </w:pPr>
      <w:r>
        <w:rPr>
          <w:color w:val="auto"/>
          <w:sz w:val="24"/>
          <w:highlight w:val="none"/>
        </w:rPr>
        <w:t>工程质量验收按技术规范及交通部《公路工程质量验收评定标准》执行。本款增加第13．1.4至13．1.6项：</w:t>
      </w:r>
    </w:p>
    <w:p>
      <w:pPr>
        <w:adjustRightInd w:val="0"/>
        <w:snapToGrid w:val="0"/>
        <w:spacing w:line="360" w:lineRule="auto"/>
        <w:ind w:firstLine="480" w:firstLineChars="200"/>
        <w:rPr>
          <w:color w:val="auto"/>
          <w:sz w:val="24"/>
          <w:highlight w:val="none"/>
        </w:rPr>
      </w:pPr>
      <w:r>
        <w:rPr>
          <w:color w:val="auto"/>
          <w:sz w:val="24"/>
          <w:highlight w:val="none"/>
        </w:rPr>
        <w:t>13.1.4承包人对工程质量终身负责。</w:t>
      </w:r>
    </w:p>
    <w:p>
      <w:pPr>
        <w:adjustRightInd w:val="0"/>
        <w:snapToGrid w:val="0"/>
        <w:spacing w:line="360" w:lineRule="auto"/>
        <w:ind w:firstLine="480" w:firstLineChars="200"/>
        <w:rPr>
          <w:color w:val="auto"/>
          <w:sz w:val="24"/>
          <w:highlight w:val="none"/>
        </w:rPr>
      </w:pPr>
      <w:r>
        <w:rPr>
          <w:color w:val="auto"/>
          <w:sz w:val="24"/>
          <w:highlight w:val="none"/>
        </w:rPr>
        <w:t>13</w:t>
      </w:r>
      <w:r>
        <w:rPr>
          <w:rFonts w:hint="eastAsia"/>
          <w:color w:val="auto"/>
          <w:sz w:val="24"/>
          <w:highlight w:val="none"/>
        </w:rPr>
        <w:t>.</w:t>
      </w:r>
      <w:r>
        <w:rPr>
          <w:color w:val="auto"/>
          <w:sz w:val="24"/>
          <w:highlight w:val="none"/>
        </w:rPr>
        <w:t>1.5发包人应对工程质量、安全和环境保护、水土保持等建设全过程进行管理，对检查中发现的技术、质量和其他问题，应责令承包人返工或整改；对存在的隐患，有权责令承包人予以解决。</w:t>
      </w:r>
    </w:p>
    <w:p>
      <w:pPr>
        <w:adjustRightInd w:val="0"/>
        <w:snapToGrid w:val="0"/>
        <w:spacing w:line="360" w:lineRule="auto"/>
        <w:ind w:firstLine="480" w:firstLineChars="200"/>
        <w:rPr>
          <w:color w:val="auto"/>
          <w:sz w:val="24"/>
          <w:highlight w:val="none"/>
        </w:rPr>
      </w:pPr>
      <w:r>
        <w:rPr>
          <w:color w:val="auto"/>
          <w:sz w:val="24"/>
          <w:highlight w:val="none"/>
        </w:rPr>
        <w:t>13.1.6发包人对存在质量问题或质量隐患的工程有权直接发布或授权监理人发布停工令、复工令。</w:t>
      </w:r>
    </w:p>
    <w:p>
      <w:pPr>
        <w:adjustRightInd w:val="0"/>
        <w:snapToGrid w:val="0"/>
        <w:spacing w:beforeLines="100" w:line="360" w:lineRule="auto"/>
        <w:rPr>
          <w:rFonts w:eastAsia="黑体"/>
          <w:color w:val="auto"/>
          <w:sz w:val="24"/>
          <w:highlight w:val="none"/>
        </w:rPr>
      </w:pPr>
      <w:r>
        <w:rPr>
          <w:rFonts w:eastAsia="黑体"/>
          <w:color w:val="auto"/>
          <w:sz w:val="24"/>
          <w:highlight w:val="none"/>
        </w:rPr>
        <w:t>13.2承包人的质量管理</w:t>
      </w:r>
    </w:p>
    <w:p>
      <w:pPr>
        <w:adjustRightInd w:val="0"/>
        <w:snapToGrid w:val="0"/>
        <w:spacing w:line="360" w:lineRule="auto"/>
        <w:ind w:firstLine="480" w:firstLineChars="200"/>
        <w:rPr>
          <w:color w:val="auto"/>
          <w:sz w:val="24"/>
          <w:highlight w:val="none"/>
        </w:rPr>
      </w:pPr>
      <w:r>
        <w:rPr>
          <w:color w:val="auto"/>
          <w:sz w:val="24"/>
          <w:highlight w:val="none"/>
        </w:rPr>
        <w:t>13.2.1项补充：</w:t>
      </w:r>
    </w:p>
    <w:p>
      <w:pPr>
        <w:adjustRightInd w:val="0"/>
        <w:snapToGrid w:val="0"/>
        <w:spacing w:line="360" w:lineRule="auto"/>
        <w:ind w:firstLine="480" w:firstLineChars="200"/>
        <w:rPr>
          <w:color w:val="auto"/>
          <w:sz w:val="24"/>
          <w:highlight w:val="none"/>
        </w:rPr>
      </w:pPr>
      <w:r>
        <w:rPr>
          <w:color w:val="auto"/>
          <w:sz w:val="24"/>
          <w:highlight w:val="none"/>
        </w:rPr>
        <w:t>承包人提交工程质量保证措施文件的期限：</w:t>
      </w:r>
      <w:r>
        <w:rPr>
          <w:color w:val="auto"/>
          <w:sz w:val="24"/>
          <w:highlight w:val="none"/>
          <w:u w:val="single"/>
        </w:rPr>
        <w:t>签订合同协议书后28天之内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本款增加第13.2.3至13.2.5项：</w:t>
      </w:r>
    </w:p>
    <w:p>
      <w:pPr>
        <w:adjustRightInd w:val="0"/>
        <w:snapToGrid w:val="0"/>
        <w:spacing w:line="360" w:lineRule="auto"/>
        <w:ind w:firstLine="480" w:firstLineChars="200"/>
        <w:rPr>
          <w:color w:val="auto"/>
          <w:sz w:val="24"/>
          <w:highlight w:val="none"/>
        </w:rPr>
      </w:pPr>
      <w:r>
        <w:rPr>
          <w:color w:val="auto"/>
          <w:sz w:val="24"/>
          <w:highlight w:val="none"/>
        </w:rPr>
        <w:t>13.2.3承包人应加强质量监控，确保规范规定的检验、抽检频率，现场质检的原始资料必须真实、准确、可靠，不得追记，接受质量检查时必须出示原始资料。</w:t>
      </w:r>
    </w:p>
    <w:p>
      <w:pPr>
        <w:adjustRightInd w:val="0"/>
        <w:snapToGrid w:val="0"/>
        <w:spacing w:line="360" w:lineRule="auto"/>
        <w:ind w:firstLine="480" w:firstLineChars="200"/>
        <w:rPr>
          <w:color w:val="auto"/>
          <w:sz w:val="24"/>
          <w:highlight w:val="none"/>
        </w:rPr>
      </w:pPr>
      <w:r>
        <w:rPr>
          <w:color w:val="auto"/>
          <w:sz w:val="24"/>
          <w:highlight w:val="none"/>
        </w:rPr>
        <w:t>13.2.4承包人必须完善检验手段，根据技术规范的规定配齐检测和试验仪器、仪表，并应及时校正确保其精度；根据合同要求加强工地试验室的管理；加强标准计量基础工作和材料检验工作，不得违规计量，不合格材料严禁用于本工程。</w:t>
      </w:r>
    </w:p>
    <w:p>
      <w:pPr>
        <w:adjustRightInd w:val="0"/>
        <w:snapToGrid w:val="0"/>
        <w:spacing w:line="360" w:lineRule="auto"/>
        <w:ind w:firstLine="480" w:firstLineChars="200"/>
        <w:rPr>
          <w:color w:val="auto"/>
          <w:sz w:val="24"/>
          <w:highlight w:val="none"/>
        </w:rPr>
      </w:pPr>
      <w:r>
        <w:rPr>
          <w:color w:val="auto"/>
          <w:sz w:val="24"/>
          <w:highlight w:val="none"/>
        </w:rPr>
        <w:t>13.2.5承包人应建立质量奖罚制度，对质量事故要严肃处理，坚持三不放过：事故原因不明不放过，不分清责任不放过，没有改进措施不放过。</w:t>
      </w:r>
    </w:p>
    <w:p>
      <w:pPr>
        <w:adjustRightInd w:val="0"/>
        <w:snapToGrid w:val="0"/>
        <w:spacing w:beforeLines="100" w:line="360" w:lineRule="auto"/>
        <w:rPr>
          <w:rFonts w:eastAsia="黑体"/>
          <w:color w:val="auto"/>
          <w:sz w:val="24"/>
          <w:highlight w:val="none"/>
        </w:rPr>
      </w:pPr>
      <w:r>
        <w:rPr>
          <w:rFonts w:eastAsia="黑体"/>
          <w:color w:val="auto"/>
          <w:sz w:val="24"/>
          <w:highlight w:val="none"/>
        </w:rPr>
        <w:t>13.4监理人的质量检查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监理人及其委派的检验人员，应能进入工程现场，以及材料或工程设备的制造、加工或制配的车间和场所，包括不属于承包人的车间或场所进行检查，承包人应为此提供便利和协助。</w:t>
      </w:r>
    </w:p>
    <w:p>
      <w:pPr>
        <w:adjustRightInd w:val="0"/>
        <w:snapToGrid w:val="0"/>
        <w:spacing w:line="360" w:lineRule="auto"/>
        <w:ind w:firstLine="480" w:firstLineChars="200"/>
        <w:rPr>
          <w:color w:val="auto"/>
          <w:sz w:val="24"/>
          <w:highlight w:val="none"/>
        </w:rPr>
      </w:pPr>
      <w:r>
        <w:rPr>
          <w:color w:val="auto"/>
          <w:sz w:val="24"/>
          <w:highlight w:val="none"/>
        </w:rPr>
        <w:t>监理人可以将材料或工程设备的检查和检验委托给一家独立的检验单位。该独立检验单位的检验结果应视为监理人完成的。监理人应将这种委托的通知书不少于7天前交给承包人。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13.5工程隐蔽部位覆盖前的检查</w:t>
      </w:r>
    </w:p>
    <w:p>
      <w:pPr>
        <w:adjustRightInd w:val="0"/>
        <w:snapToGrid w:val="0"/>
        <w:spacing w:line="360" w:lineRule="auto"/>
        <w:ind w:firstLine="480" w:firstLineChars="200"/>
        <w:rPr>
          <w:color w:val="auto"/>
          <w:sz w:val="24"/>
          <w:highlight w:val="none"/>
        </w:rPr>
      </w:pPr>
      <w:r>
        <w:rPr>
          <w:color w:val="auto"/>
          <w:sz w:val="24"/>
          <w:highlight w:val="none"/>
        </w:rPr>
        <w:t>13.5.1通知监理人检查</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没有监理人的批准，任何工程均不得覆盖或掩蔽。当监理人有指令时，承包人应对重要隐蔽工程进行拍摄或照相并应保证监理人有充分的机会对将要覆盖或掩蔽的工程进行检查和量测，特别是在基础以上的任一部分工程修筑之前，对该基础进行检查。</w:t>
      </w:r>
    </w:p>
    <w:p>
      <w:pPr>
        <w:adjustRightInd w:val="0"/>
        <w:snapToGrid w:val="0"/>
        <w:spacing w:beforeLines="100" w:line="360" w:lineRule="auto"/>
        <w:rPr>
          <w:rFonts w:eastAsia="黑体"/>
          <w:color w:val="auto"/>
          <w:sz w:val="24"/>
          <w:highlight w:val="none"/>
        </w:rPr>
      </w:pPr>
      <w:r>
        <w:rPr>
          <w:rFonts w:eastAsia="黑体"/>
          <w:color w:val="auto"/>
          <w:sz w:val="24"/>
          <w:highlight w:val="none"/>
        </w:rPr>
        <w:t>13.6清除不合格工程</w:t>
      </w:r>
    </w:p>
    <w:p>
      <w:pPr>
        <w:adjustRightInd w:val="0"/>
        <w:snapToGrid w:val="0"/>
        <w:spacing w:line="360" w:lineRule="auto"/>
        <w:ind w:firstLine="480" w:firstLineChars="200"/>
        <w:rPr>
          <w:color w:val="auto"/>
          <w:sz w:val="24"/>
          <w:highlight w:val="none"/>
        </w:rPr>
      </w:pPr>
      <w:r>
        <w:rPr>
          <w:color w:val="auto"/>
          <w:sz w:val="24"/>
          <w:highlight w:val="none"/>
        </w:rPr>
        <w:t>13.6.1项细化为：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如果承包人未在规定时间内执行监理人的指示，发包人有权雇用他人执行，并向其支付有关费用。所有由此造成的或伴随产生的费用，由承包人负责承担。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14</w:t>
      </w:r>
      <w:r>
        <w:rPr>
          <w:rFonts w:hint="eastAsia" w:eastAsia="黑体"/>
          <w:color w:val="auto"/>
          <w:sz w:val="24"/>
          <w:highlight w:val="none"/>
        </w:rPr>
        <w:t>．</w:t>
      </w:r>
      <w:r>
        <w:rPr>
          <w:rFonts w:eastAsia="黑体"/>
          <w:color w:val="auto"/>
          <w:sz w:val="24"/>
          <w:highlight w:val="none"/>
        </w:rPr>
        <w:t>试验和检验</w:t>
      </w:r>
    </w:p>
    <w:p>
      <w:pPr>
        <w:adjustRightInd w:val="0"/>
        <w:snapToGrid w:val="0"/>
        <w:spacing w:line="360" w:lineRule="auto"/>
        <w:rPr>
          <w:color w:val="auto"/>
          <w:sz w:val="24"/>
          <w:highlight w:val="none"/>
        </w:rPr>
      </w:pPr>
      <w:r>
        <w:rPr>
          <w:rFonts w:hAnsi="宋体"/>
          <w:color w:val="auto"/>
          <w:sz w:val="24"/>
          <w:highlight w:val="none"/>
        </w:rPr>
        <w:t>增加第</w:t>
      </w:r>
      <w:r>
        <w:rPr>
          <w:color w:val="auto"/>
          <w:sz w:val="24"/>
          <w:highlight w:val="none"/>
        </w:rPr>
        <w:t>14.4</w:t>
      </w:r>
      <w:r>
        <w:rPr>
          <w:rFonts w:hAnsi="宋体"/>
          <w:color w:val="auto"/>
          <w:sz w:val="24"/>
          <w:highlight w:val="none"/>
        </w:rPr>
        <w:t>款：</w:t>
      </w:r>
    </w:p>
    <w:p>
      <w:pPr>
        <w:adjustRightInd w:val="0"/>
        <w:snapToGrid w:val="0"/>
        <w:spacing w:line="360" w:lineRule="auto"/>
        <w:rPr>
          <w:rFonts w:eastAsia="黑体"/>
          <w:color w:val="auto"/>
          <w:sz w:val="24"/>
          <w:highlight w:val="none"/>
        </w:rPr>
      </w:pPr>
      <w:r>
        <w:rPr>
          <w:rFonts w:eastAsia="黑体"/>
          <w:color w:val="auto"/>
          <w:sz w:val="24"/>
          <w:highlight w:val="none"/>
        </w:rPr>
        <w:t>14.4试验和检验费用</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承包人应负责提供进行试验和检验所需的全部样品，并承担其费用。</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在合同中明确规定的或在合同中列有可供报价的检（试）验子目或专项检（试）验子目，其试验和检验的费用由承包人负担。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如果监理人所要求做的检（试）验为合同未规定的或没有如上列出子目的，或是在该材料或工程设备的制造、加工、制配场地以外的场所进行的，则检验结束后，如表明操作工艺或材料、工程设备未能符合合同规定，其费用应由承包人承担，否则，由发包人另行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15</w:t>
      </w:r>
      <w:r>
        <w:rPr>
          <w:rFonts w:hint="eastAsia" w:eastAsia="黑体"/>
          <w:color w:val="auto"/>
          <w:sz w:val="24"/>
          <w:highlight w:val="none"/>
        </w:rPr>
        <w:t>．</w:t>
      </w:r>
      <w:r>
        <w:rPr>
          <w:rFonts w:eastAsia="黑体"/>
          <w:color w:val="auto"/>
          <w:sz w:val="24"/>
          <w:highlight w:val="none"/>
        </w:rPr>
        <w:t>变更</w:t>
      </w:r>
    </w:p>
    <w:p>
      <w:pPr>
        <w:adjustRightInd w:val="0"/>
        <w:snapToGrid w:val="0"/>
        <w:spacing w:line="360" w:lineRule="auto"/>
        <w:rPr>
          <w:rFonts w:eastAsia="黑体"/>
          <w:color w:val="auto"/>
          <w:sz w:val="24"/>
          <w:highlight w:val="none"/>
        </w:rPr>
      </w:pPr>
      <w:r>
        <w:rPr>
          <w:rFonts w:eastAsia="黑体"/>
          <w:color w:val="auto"/>
          <w:sz w:val="24"/>
          <w:highlight w:val="none"/>
        </w:rPr>
        <w:t>15.1变更的范围和内容</w:t>
      </w:r>
    </w:p>
    <w:p>
      <w:pPr>
        <w:adjustRightInd w:val="0"/>
        <w:snapToGrid w:val="0"/>
        <w:spacing w:line="360" w:lineRule="auto"/>
        <w:ind w:firstLine="480" w:firstLineChars="200"/>
        <w:rPr>
          <w:color w:val="auto"/>
          <w:sz w:val="24"/>
          <w:highlight w:val="none"/>
        </w:rPr>
      </w:pPr>
      <w:r>
        <w:rPr>
          <w:color w:val="auto"/>
          <w:sz w:val="24"/>
          <w:highlight w:val="none"/>
        </w:rPr>
        <w:t>15.1（1）项细化为：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取消合同中任何一项工作，但被取消的工作不能转由发包人或其他人实施，由于承包人违约造成的情况除外；</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设计变更程序应执行交通部《公路工程设计变更管理办法》的相关规定。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15.4变更的估价原则</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除项目专用合同条款另有约定外，因变更引起的价格调整按照本款约定处理。</w:t>
      </w:r>
    </w:p>
    <w:p>
      <w:pPr>
        <w:adjustRightInd w:val="0"/>
        <w:snapToGrid w:val="0"/>
        <w:spacing w:line="360" w:lineRule="auto"/>
        <w:ind w:firstLine="480" w:firstLineChars="200"/>
        <w:rPr>
          <w:color w:val="auto"/>
          <w:sz w:val="24"/>
          <w:highlight w:val="none"/>
        </w:rPr>
      </w:pPr>
      <w:r>
        <w:rPr>
          <w:color w:val="auto"/>
          <w:sz w:val="24"/>
          <w:highlight w:val="none"/>
        </w:rPr>
        <w:t>15.4.1如果取消某项工作，则该项工作的总额价不予支付；</w:t>
      </w:r>
    </w:p>
    <w:p>
      <w:pPr>
        <w:adjustRightInd w:val="0"/>
        <w:snapToGrid w:val="0"/>
        <w:spacing w:line="360" w:lineRule="auto"/>
        <w:ind w:firstLine="480" w:firstLineChars="200"/>
        <w:rPr>
          <w:color w:val="auto"/>
          <w:sz w:val="24"/>
          <w:highlight w:val="none"/>
        </w:rPr>
      </w:pPr>
      <w:r>
        <w:rPr>
          <w:color w:val="auto"/>
          <w:sz w:val="24"/>
          <w:highlight w:val="none"/>
        </w:rPr>
        <w:t>15.4.2已标价工程量清单中有适用于变更工作的子目的，采用该子目的单价。</w:t>
      </w:r>
    </w:p>
    <w:p>
      <w:pPr>
        <w:adjustRightInd w:val="0"/>
        <w:snapToGrid w:val="0"/>
        <w:spacing w:line="360" w:lineRule="auto"/>
        <w:ind w:firstLine="480" w:firstLineChars="200"/>
        <w:rPr>
          <w:color w:val="auto"/>
          <w:sz w:val="24"/>
          <w:highlight w:val="none"/>
        </w:rPr>
      </w:pPr>
      <w:r>
        <w:rPr>
          <w:color w:val="auto"/>
          <w:sz w:val="24"/>
          <w:highlight w:val="none"/>
        </w:rPr>
        <w:t>15.4.3已标价工程量清单中无适用于变更工作的子目，但有类似子目的，可在合理范围内参照类似子目的单价，由监理人按第3.5款商定或确定变更工作的单价。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15.4.4已标价工程量清单中无适用或类似子目的单价，可在综合考虑承包人在投标时所提供的单价分析表和单价组成表的基础上，由监理人按第3.5款商定或确定变更工作的单价：</w:t>
      </w:r>
    </w:p>
    <w:p>
      <w:pPr>
        <w:adjustRightInd w:val="0"/>
        <w:snapToGrid w:val="0"/>
        <w:spacing w:line="360" w:lineRule="auto"/>
        <w:ind w:firstLine="480" w:firstLineChars="200"/>
        <w:rPr>
          <w:color w:val="auto"/>
          <w:sz w:val="24"/>
          <w:highlight w:val="none"/>
        </w:rPr>
      </w:pPr>
      <w:r>
        <w:rPr>
          <w:color w:val="auto"/>
          <w:sz w:val="24"/>
          <w:highlight w:val="none"/>
        </w:rPr>
        <w:t>15.4.5如果本工程的变更指示是因承包人过错、承包人违反合同或承包人责任造成的，则这种违约引起的任何额外费用应由承包人承担。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15.5承包人的合理化建议</w:t>
      </w:r>
    </w:p>
    <w:p>
      <w:pPr>
        <w:adjustRightInd w:val="0"/>
        <w:snapToGrid w:val="0"/>
        <w:spacing w:line="360" w:lineRule="auto"/>
        <w:ind w:firstLine="480" w:firstLineChars="200"/>
        <w:rPr>
          <w:color w:val="auto"/>
          <w:sz w:val="24"/>
          <w:highlight w:val="none"/>
        </w:rPr>
      </w:pPr>
      <w:r>
        <w:rPr>
          <w:color w:val="auto"/>
          <w:sz w:val="24"/>
          <w:highlight w:val="none"/>
        </w:rPr>
        <w:t>15.5.2项约定为：</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承包人提出的合理化建议缩短了工期，发包人按专用合同条款第11.6款的规定给予奖励。</w:t>
      </w:r>
    </w:p>
    <w:p>
      <w:pPr>
        <w:adjustRightInd w:val="0"/>
        <w:snapToGrid w:val="0"/>
        <w:spacing w:line="360" w:lineRule="auto"/>
        <w:ind w:firstLine="480" w:firstLineChars="200"/>
        <w:rPr>
          <w:color w:val="auto"/>
          <w:sz w:val="24"/>
          <w:highlight w:val="none"/>
        </w:rPr>
      </w:pPr>
      <w:r>
        <w:rPr>
          <w:color w:val="auto"/>
          <w:sz w:val="24"/>
          <w:highlight w:val="none"/>
        </w:rPr>
        <w:t>承包人提出的合理化建议降低了合同价格或者提高了工程经济效益的，发包人按所节约成本或增加收益的</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（在项目专用条款数据表中约定）给予奖励。</w:t>
      </w:r>
    </w:p>
    <w:p>
      <w:pPr>
        <w:adjustRightInd w:val="0"/>
        <w:snapToGrid w:val="0"/>
        <w:spacing w:line="360" w:lineRule="auto"/>
        <w:ind w:firstLine="480" w:firstLineChars="200"/>
        <w:rPr>
          <w:color w:val="auto"/>
          <w:sz w:val="24"/>
          <w:highlight w:val="none"/>
        </w:rPr>
      </w:pPr>
      <w:r>
        <w:rPr>
          <w:color w:val="auto"/>
          <w:sz w:val="24"/>
          <w:highlight w:val="none"/>
        </w:rPr>
        <w:t>15.6暂列金额</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15.6.1暂列金额应由监理人报发包人批准后指令全部或部分地使用，或者根本不予动用。承包人有权得到的暂列金额仅限于监理人根据本款规定决定实施的，合同范围以外的工程施工、材料、工程设备、服务的提供等方面的金额。</w:t>
      </w:r>
    </w:p>
    <w:p>
      <w:pPr>
        <w:adjustRightInd w:val="0"/>
        <w:snapToGrid w:val="0"/>
        <w:spacing w:line="360" w:lineRule="auto"/>
        <w:ind w:firstLine="480" w:firstLineChars="200"/>
        <w:rPr>
          <w:color w:val="auto"/>
          <w:sz w:val="24"/>
          <w:highlight w:val="none"/>
        </w:rPr>
      </w:pPr>
      <w:r>
        <w:rPr>
          <w:color w:val="auto"/>
          <w:sz w:val="24"/>
          <w:highlight w:val="none"/>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adjustRightInd w:val="0"/>
        <w:snapToGrid w:val="0"/>
        <w:spacing w:line="360" w:lineRule="auto"/>
        <w:ind w:firstLine="480" w:firstLineChars="200"/>
        <w:rPr>
          <w:color w:val="auto"/>
          <w:sz w:val="24"/>
          <w:highlight w:val="none"/>
        </w:rPr>
      </w:pPr>
      <w:r>
        <w:rPr>
          <w:color w:val="auto"/>
          <w:sz w:val="24"/>
          <w:highlight w:val="none"/>
        </w:rPr>
        <w:t>15.6.3当监理人提出要求时，承包人应提供有关暂列金额支出的所有报价单、发票、凭证和账单或收据，除非该工作是根据已标价工程量清单列明的单价或总额价进行的估价。</w:t>
      </w:r>
    </w:p>
    <w:p>
      <w:pPr>
        <w:adjustRightInd w:val="0"/>
        <w:snapToGrid w:val="0"/>
        <w:spacing w:beforeLines="100" w:line="360" w:lineRule="auto"/>
        <w:rPr>
          <w:rFonts w:eastAsia="黑体"/>
          <w:color w:val="auto"/>
          <w:sz w:val="24"/>
          <w:highlight w:val="none"/>
        </w:rPr>
      </w:pPr>
      <w:r>
        <w:rPr>
          <w:rFonts w:eastAsia="黑体"/>
          <w:color w:val="auto"/>
          <w:sz w:val="24"/>
          <w:highlight w:val="none"/>
        </w:rPr>
        <w:t>15.8暂估价</w:t>
      </w:r>
    </w:p>
    <w:p>
      <w:pPr>
        <w:adjustRightInd w:val="0"/>
        <w:snapToGrid w:val="0"/>
        <w:spacing w:line="360" w:lineRule="auto"/>
        <w:ind w:firstLine="480" w:firstLineChars="200"/>
        <w:rPr>
          <w:color w:val="auto"/>
          <w:sz w:val="24"/>
          <w:highlight w:val="none"/>
        </w:rPr>
      </w:pPr>
      <w:r>
        <w:rPr>
          <w:color w:val="auto"/>
          <w:sz w:val="24"/>
          <w:highlight w:val="none"/>
        </w:rPr>
        <w:t>15.8.1项补充：</w:t>
      </w:r>
    </w:p>
    <w:p>
      <w:pPr>
        <w:adjustRightInd w:val="0"/>
        <w:snapToGrid w:val="0"/>
        <w:spacing w:line="360" w:lineRule="auto"/>
        <w:ind w:firstLine="480" w:firstLineChars="200"/>
        <w:rPr>
          <w:color w:val="auto"/>
          <w:sz w:val="24"/>
          <w:highlight w:val="none"/>
        </w:rPr>
      </w:pPr>
      <w:r>
        <w:rPr>
          <w:color w:val="auto"/>
          <w:sz w:val="24"/>
          <w:highlight w:val="none"/>
        </w:rPr>
        <w:t>按照本项规定由发包人和承包人以共同招标的方式选择的分包人或供应商，视为发包人的特殊分包人或供应商，发包人、承包人、特殊分包人（或供应商）三方之间的权利义务关系约定如下：</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承包人应与特殊分包人或供应商签订分包合同。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有关特殊分包的合同中，特殊分包人（或供应商）应独立地承担其合同责任和义务，不使承包人对发包人承担的合同责任和义务受到损害，也不使承包人承担因特殊分包人（或供应商）未能履行责任、义务而引起的索赔、赔偿、诉讼费用及其他开支。承包人对于特殊分包人（或供应商）及其职工的过失而造成的损失不承担任何责任；此外，特殊分包人（或供应商）对承包人的临时工程不能随意使用。</w:t>
      </w:r>
    </w:p>
    <w:p>
      <w:pPr>
        <w:adjustRightInd w:val="0"/>
        <w:snapToGrid w:val="0"/>
        <w:spacing w:line="360" w:lineRule="auto"/>
        <w:ind w:firstLine="480" w:firstLineChars="200"/>
        <w:rPr>
          <w:color w:val="auto"/>
          <w:sz w:val="24"/>
          <w:highlight w:val="none"/>
        </w:rPr>
      </w:pPr>
      <w:r>
        <w:rPr>
          <w:color w:val="auto"/>
          <w:sz w:val="24"/>
          <w:highlight w:val="none"/>
        </w:rPr>
        <w:t>如果特殊分包合同中含有与上述规定有悖的条款，承包人有权拒绝与此特殊分包人（或供应商）签订合同。</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如果要求特殊分包人为本工程或工程中设备提供设计或规范，则这种要求应在特殊的分包合同中写明，并明确：对于提供上述设计与编制规范的特殊分包人的设计错误或失职及引起的一切索赔、诉讼、赔偿，承包人概不负责。</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对于特殊分包人或供应商已完成的工程或已提供的货物、材料、设备，承包人应有权得到下述款项：</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按照监理人的指令，并根据特殊分包合同的约定，由承包人己支付或应支付的实际价款；</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向特殊分包人已提供的劳务费用，以及承包人对特殊分包人应收取的手续费、利润提成，其金额应按已支付或应支付给特殊分包人的实际价款的某一百分率计算。该百分率在特殊分包合同中由承包人与特殊分包人协商确定，并经监理人和发包人认可。</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w:t>
      </w:r>
      <w:r>
        <w:rPr>
          <w:rFonts w:hint="eastAsia"/>
          <w:color w:val="auto"/>
          <w:sz w:val="24"/>
          <w:highlight w:val="none"/>
        </w:rPr>
        <w:t>）</w:t>
      </w:r>
      <w:r>
        <w:rPr>
          <w:color w:val="auto"/>
          <w:sz w:val="24"/>
          <w:highlight w:val="none"/>
        </w:rPr>
        <w:t>对于特殊分包人或供应商己完成的工程或已提供的货物、材料或设备款额的支付，监理人在签发进度付款证书之前应要求承包人提供证明，确认先期的付款证书中包含的该特殊分包人的有关费用已由承包人支付；如果承包人未提供这样的证明，发包人亨权根据监理人签发的证书，直接向特殊分包人支付分包合同内规定而承包人未支付的一切款项（扣除质量保证金），并从应付给承包人的款项中将上述款额扣回。监理人在发给承包人下一期的进度付款证书时，应从该证书的支付款额中扣除已由发包人直接支付的款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16</w:t>
      </w:r>
      <w:r>
        <w:rPr>
          <w:rFonts w:hint="eastAsia" w:eastAsia="黑体"/>
          <w:color w:val="auto"/>
          <w:sz w:val="24"/>
          <w:highlight w:val="none"/>
        </w:rPr>
        <w:t>．</w:t>
      </w:r>
      <w:r>
        <w:rPr>
          <w:rFonts w:eastAsia="黑体"/>
          <w:color w:val="auto"/>
          <w:sz w:val="24"/>
          <w:highlight w:val="none"/>
        </w:rPr>
        <w:t>价格调整</w:t>
      </w:r>
    </w:p>
    <w:p>
      <w:pPr>
        <w:adjustRightInd w:val="0"/>
        <w:snapToGrid w:val="0"/>
        <w:spacing w:line="360" w:lineRule="auto"/>
        <w:rPr>
          <w:rFonts w:eastAsia="黑体"/>
          <w:color w:val="auto"/>
          <w:sz w:val="24"/>
          <w:highlight w:val="none"/>
        </w:rPr>
      </w:pPr>
      <w:r>
        <w:rPr>
          <w:rFonts w:eastAsia="黑体"/>
          <w:color w:val="auto"/>
          <w:sz w:val="24"/>
          <w:highlight w:val="none"/>
        </w:rPr>
        <w:t>16.1物价波动引起的价格调整</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因物价波动引起的价格调整按照</w:t>
      </w:r>
      <w:r>
        <w:rPr>
          <w:rFonts w:hint="eastAsia"/>
          <w:color w:val="auto"/>
          <w:sz w:val="24"/>
          <w:highlight w:val="none"/>
          <w:u w:val="single"/>
        </w:rPr>
        <w:t xml:space="preserve">  第16.1.1或16.1.2项  </w:t>
      </w:r>
      <w:r>
        <w:rPr>
          <w:color w:val="auto"/>
          <w:sz w:val="24"/>
          <w:highlight w:val="none"/>
        </w:rPr>
        <w:t>约定的原则处理；或者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承包人在合同在执行期间（包括工期拖延期间）人工、材料和设备价格的上涨而引起工程施工成本增加</w:t>
      </w:r>
      <w:r>
        <w:rPr>
          <w:rFonts w:hint="eastAsia"/>
          <w:color w:val="auto"/>
          <w:sz w:val="24"/>
          <w:highlight w:val="none"/>
        </w:rPr>
        <w:t>或减少</w:t>
      </w:r>
      <w:r>
        <w:rPr>
          <w:color w:val="auto"/>
          <w:sz w:val="24"/>
          <w:highlight w:val="none"/>
        </w:rPr>
        <w:t>的风险，</w:t>
      </w:r>
      <w:r>
        <w:rPr>
          <w:rFonts w:hint="eastAsia"/>
          <w:color w:val="auto"/>
          <w:sz w:val="24"/>
          <w:highlight w:val="none"/>
        </w:rPr>
        <w:t>由业主和承包商协商解决</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16.1.1采用价格指数调整价格差额</w:t>
      </w:r>
    </w:p>
    <w:p>
      <w:pPr>
        <w:adjustRightInd w:val="0"/>
        <w:snapToGrid w:val="0"/>
        <w:spacing w:line="360" w:lineRule="auto"/>
        <w:ind w:firstLine="480" w:firstLineChars="200"/>
        <w:rPr>
          <w:color w:val="auto"/>
          <w:sz w:val="24"/>
          <w:highlight w:val="none"/>
        </w:rPr>
      </w:pPr>
      <w:r>
        <w:rPr>
          <w:color w:val="auto"/>
          <w:sz w:val="24"/>
          <w:highlight w:val="none"/>
        </w:rPr>
        <w:t>16.1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1价格调整公式</w:t>
      </w:r>
    </w:p>
    <w:p>
      <w:pPr>
        <w:adjustRightInd w:val="0"/>
        <w:snapToGrid w:val="0"/>
        <w:spacing w:line="360" w:lineRule="auto"/>
        <w:ind w:firstLine="480" w:firstLineChars="200"/>
        <w:rPr>
          <w:color w:val="auto"/>
          <w:sz w:val="24"/>
          <w:highlight w:val="none"/>
        </w:rPr>
      </w:pPr>
      <w:r>
        <w:rPr>
          <w:color w:val="auto"/>
          <w:sz w:val="24"/>
          <w:highlight w:val="none"/>
        </w:rPr>
        <w:t>本目细化为：</w:t>
      </w:r>
    </w:p>
    <w:p>
      <w:pPr>
        <w:adjustRightInd w:val="0"/>
        <w:snapToGrid w:val="0"/>
        <w:spacing w:line="360" w:lineRule="auto"/>
        <w:ind w:firstLine="480" w:firstLineChars="200"/>
        <w:rPr>
          <w:color w:val="auto"/>
          <w:sz w:val="24"/>
          <w:highlight w:val="none"/>
        </w:rPr>
      </w:pPr>
      <w:r>
        <w:rPr>
          <w:color w:val="auto"/>
          <w:sz w:val="24"/>
          <w:highlight w:val="none"/>
        </w:rPr>
        <w:t>因人工、材料和设备等价格波动影响合同价格时，根据投标函附录中的价格指数和权重表约定的数据，按以下公式计算差额并调整合同价格。</w:t>
      </w:r>
    </w:p>
    <w:p>
      <w:pPr>
        <w:adjustRightInd w:val="0"/>
        <w:snapToGrid w:val="0"/>
        <w:spacing w:line="312" w:lineRule="auto"/>
        <w:ind w:firstLine="340" w:firstLineChars="100"/>
        <w:rPr>
          <w:rFonts w:ascii="黑体" w:eastAsia="黑体"/>
          <w:color w:val="auto"/>
          <w:sz w:val="40"/>
          <w:highlight w:val="none"/>
        </w:rPr>
      </w:pPr>
      <w:r>
        <w:rPr>
          <w:rFonts w:hint="eastAsia" w:ascii="黑体" w:eastAsia="黑体"/>
          <w:color w:val="auto"/>
          <w:sz w:val="34"/>
          <w:highlight w:val="none"/>
        </w:rPr>
        <w:t>△</w:t>
      </w:r>
      <w:r>
        <w:rPr>
          <w:rFonts w:eastAsia="黑体"/>
          <w:i/>
          <w:color w:val="auto"/>
          <w:sz w:val="34"/>
          <w:highlight w:val="none"/>
        </w:rPr>
        <w:t>P</w:t>
      </w:r>
      <w:r>
        <w:rPr>
          <w:rFonts w:hint="eastAsia" w:ascii="黑体" w:eastAsia="黑体"/>
          <w:color w:val="auto"/>
          <w:sz w:val="40"/>
          <w:highlight w:val="none"/>
        </w:rPr>
        <w:t>=</w:t>
      </w:r>
      <w:r>
        <w:rPr>
          <w:rFonts w:eastAsia="黑体"/>
          <w:i/>
          <w:color w:val="auto"/>
          <w:sz w:val="32"/>
          <w:highlight w:val="none"/>
        </w:rPr>
        <w:t>P</w:t>
      </w:r>
      <w:r>
        <w:rPr>
          <w:rFonts w:eastAsia="黑体"/>
          <w:color w:val="auto"/>
          <w:sz w:val="32"/>
          <w:highlight w:val="none"/>
          <w:vertAlign w:val="subscript"/>
        </w:rPr>
        <w:t>0</w:t>
      </w:r>
      <w:r>
        <w:rPr>
          <w:rFonts w:ascii="黑体" w:eastAsia="黑体"/>
          <w:color w:val="auto"/>
          <w:position w:val="-34"/>
          <w:sz w:val="40"/>
          <w:highlight w:val="none"/>
        </w:rPr>
        <w:object>
          <v:shape id="_x0000_i1025" o:spt="75" type="#_x0000_t75" style="height:40.1pt;width:277.8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adjustRightInd w:val="0"/>
        <w:snapToGrid w:val="0"/>
        <w:spacing w:line="360" w:lineRule="auto"/>
        <w:ind w:firstLine="480" w:firstLineChars="200"/>
        <w:rPr>
          <w:color w:val="auto"/>
          <w:sz w:val="24"/>
          <w:highlight w:val="none"/>
        </w:rPr>
      </w:pPr>
      <w:r>
        <w:rPr>
          <w:color w:val="auto"/>
          <w:sz w:val="24"/>
          <w:highlight w:val="none"/>
        </w:rPr>
        <w:t>式中：</w:t>
      </w:r>
      <w:r>
        <w:rPr>
          <w:rFonts w:hint="eastAsia" w:ascii="黑体" w:eastAsia="黑体"/>
          <w:color w:val="auto"/>
          <w:sz w:val="28"/>
          <w:szCs w:val="28"/>
          <w:highlight w:val="none"/>
        </w:rPr>
        <w:t>△</w:t>
      </w:r>
      <w:r>
        <w:rPr>
          <w:rFonts w:eastAsia="黑体"/>
          <w:i/>
          <w:color w:val="auto"/>
          <w:sz w:val="28"/>
          <w:szCs w:val="28"/>
          <w:highlight w:val="none"/>
        </w:rPr>
        <w:t>P</w:t>
      </w:r>
      <w:r>
        <w:rPr>
          <w:color w:val="auto"/>
          <w:sz w:val="24"/>
          <w:highlight w:val="none"/>
        </w:rPr>
        <w:t>一需调整的价格差额；</w:t>
      </w:r>
    </w:p>
    <w:p>
      <w:pPr>
        <w:adjustRightInd w:val="0"/>
        <w:snapToGrid w:val="0"/>
        <w:spacing w:line="360" w:lineRule="auto"/>
        <w:ind w:firstLine="480" w:firstLineChars="200"/>
        <w:rPr>
          <w:color w:val="auto"/>
          <w:sz w:val="24"/>
          <w:highlight w:val="none"/>
        </w:rPr>
      </w:pPr>
      <w:r>
        <w:rPr>
          <w:color w:val="auto"/>
          <w:sz w:val="24"/>
          <w:highlight w:val="none"/>
        </w:rPr>
        <w:t>P。一第17.3.3项、第17.5.2项和第17.6.2项约定的付款证书中承包人应得到的</w:t>
      </w:r>
      <w:r>
        <w:rPr>
          <w:rFonts w:hint="eastAsia"/>
          <w:color w:val="auto"/>
          <w:sz w:val="24"/>
          <w:highlight w:val="none"/>
        </w:rPr>
        <w:t>已</w:t>
      </w:r>
      <w:r>
        <w:rPr>
          <w:color w:val="auto"/>
          <w:sz w:val="24"/>
          <w:highlight w:val="none"/>
        </w:rPr>
        <w:t>完成工程量的金额。此项金额应不包括价格调整、不计质量保证金的扣留和支付、预付款的支付和扣回。第15条约定的变更及其他金额己按现行价格计价的，也不计在内；</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定值权重（即不调部分的权重）；</w:t>
      </w:r>
    </w:p>
    <w:p>
      <w:pPr>
        <w:adjustRightInd w:val="0"/>
        <w:snapToGrid w:val="0"/>
        <w:spacing w:line="360" w:lineRule="auto"/>
        <w:ind w:firstLine="480" w:firstLineChars="200"/>
        <w:rPr>
          <w:color w:val="auto"/>
          <w:sz w:val="24"/>
          <w:highlight w:val="none"/>
        </w:rPr>
      </w:pPr>
      <w:r>
        <w:rPr>
          <w:color w:val="auto"/>
          <w:sz w:val="24"/>
          <w:highlight w:val="none"/>
        </w:rPr>
        <w:t>B</w:t>
      </w:r>
      <w:r>
        <w:rPr>
          <w:color w:val="auto"/>
          <w:sz w:val="24"/>
          <w:highlight w:val="none"/>
          <w:vertAlign w:val="subscript"/>
        </w:rPr>
        <w:t>1</w:t>
      </w:r>
      <w:r>
        <w:rPr>
          <w:rFonts w:hint="eastAsia"/>
          <w:color w:val="auto"/>
          <w:sz w:val="24"/>
          <w:highlight w:val="none"/>
        </w:rPr>
        <w:t>；</w:t>
      </w:r>
      <w:r>
        <w:rPr>
          <w:color w:val="auto"/>
          <w:sz w:val="24"/>
          <w:highlight w:val="none"/>
        </w:rPr>
        <w:t>B</w:t>
      </w:r>
      <w:r>
        <w:rPr>
          <w:rFonts w:hint="eastAsia"/>
          <w:color w:val="auto"/>
          <w:sz w:val="24"/>
          <w:highlight w:val="none"/>
          <w:vertAlign w:val="subscript"/>
        </w:rPr>
        <w:t>2</w:t>
      </w:r>
      <w:r>
        <w:rPr>
          <w:rFonts w:hint="eastAsia"/>
          <w:color w:val="auto"/>
          <w:sz w:val="24"/>
          <w:highlight w:val="none"/>
        </w:rPr>
        <w:t>；</w:t>
      </w:r>
      <w:r>
        <w:rPr>
          <w:color w:val="auto"/>
          <w:sz w:val="24"/>
          <w:highlight w:val="none"/>
        </w:rPr>
        <w:t>B</w:t>
      </w:r>
      <w:r>
        <w:rPr>
          <w:rFonts w:hint="eastAsia"/>
          <w:color w:val="auto"/>
          <w:sz w:val="24"/>
          <w:highlight w:val="none"/>
          <w:vertAlign w:val="subscript"/>
        </w:rPr>
        <w:t>3</w:t>
      </w:r>
      <w:r>
        <w:rPr>
          <w:color w:val="auto"/>
          <w:sz w:val="24"/>
          <w:highlight w:val="none"/>
        </w:rPr>
        <w:t>...... B</w:t>
      </w:r>
      <w:r>
        <w:rPr>
          <w:rFonts w:hint="eastAsia"/>
          <w:color w:val="auto"/>
          <w:sz w:val="24"/>
          <w:highlight w:val="none"/>
          <w:vertAlign w:val="subscript"/>
        </w:rPr>
        <w:t>n</w:t>
      </w:r>
      <w:r>
        <w:rPr>
          <w:rFonts w:hint="eastAsia"/>
          <w:color w:val="auto"/>
          <w:sz w:val="24"/>
          <w:highlight w:val="none"/>
        </w:rPr>
        <w:t>--</w:t>
      </w:r>
      <w:r>
        <w:rPr>
          <w:color w:val="auto"/>
          <w:sz w:val="24"/>
          <w:highlight w:val="none"/>
        </w:rPr>
        <w:t>各可调因子的变值权重（即可调部分的权重）为各可调因子在投标函投标总报价中所占的比例；</w:t>
      </w:r>
    </w:p>
    <w:p>
      <w:pPr>
        <w:adjustRightInd w:val="0"/>
        <w:snapToGrid w:val="0"/>
        <w:spacing w:line="360" w:lineRule="auto"/>
        <w:ind w:firstLine="480" w:firstLineChars="200"/>
        <w:rPr>
          <w:color w:val="auto"/>
          <w:sz w:val="24"/>
          <w:highlight w:val="none"/>
        </w:rPr>
      </w:pPr>
      <w:r>
        <w:rPr>
          <w:color w:val="auto"/>
          <w:sz w:val="24"/>
          <w:highlight w:val="none"/>
        </w:rPr>
        <w:t>A=1</w:t>
      </w:r>
      <w:r>
        <w:rPr>
          <w:rFonts w:hint="eastAsia"/>
          <w:color w:val="auto"/>
          <w:sz w:val="24"/>
          <w:highlight w:val="none"/>
        </w:rPr>
        <w:t>－</w:t>
      </w:r>
      <w:r>
        <w:rPr>
          <w:color w:val="auto"/>
          <w:sz w:val="24"/>
          <w:highlight w:val="none"/>
        </w:rPr>
        <w:t>（B</w:t>
      </w:r>
      <w:r>
        <w:rPr>
          <w:color w:val="auto"/>
          <w:sz w:val="24"/>
          <w:highlight w:val="none"/>
          <w:vertAlign w:val="subscript"/>
        </w:rPr>
        <w:t>1</w:t>
      </w:r>
      <w:r>
        <w:rPr>
          <w:color w:val="auto"/>
          <w:sz w:val="24"/>
          <w:highlight w:val="none"/>
        </w:rPr>
        <w:t>＋B</w:t>
      </w:r>
      <w:r>
        <w:rPr>
          <w:rFonts w:hint="eastAsia"/>
          <w:color w:val="auto"/>
          <w:sz w:val="24"/>
          <w:highlight w:val="none"/>
          <w:vertAlign w:val="subscript"/>
        </w:rPr>
        <w:t>2</w:t>
      </w:r>
      <w:r>
        <w:rPr>
          <w:color w:val="auto"/>
          <w:sz w:val="24"/>
          <w:highlight w:val="none"/>
        </w:rPr>
        <w:t>＋B</w:t>
      </w:r>
      <w:r>
        <w:rPr>
          <w:rFonts w:hint="eastAsia"/>
          <w:color w:val="auto"/>
          <w:sz w:val="24"/>
          <w:highlight w:val="none"/>
          <w:vertAlign w:val="subscript"/>
        </w:rPr>
        <w:t>3</w:t>
      </w:r>
      <w:r>
        <w:rPr>
          <w:color w:val="auto"/>
          <w:sz w:val="24"/>
          <w:highlight w:val="none"/>
        </w:rPr>
        <w:t>＋……＋B</w:t>
      </w:r>
      <w:r>
        <w:rPr>
          <w:rFonts w:hint="eastAsia"/>
          <w:color w:val="auto"/>
          <w:sz w:val="24"/>
          <w:highlight w:val="none"/>
          <w:vertAlign w:val="subscript"/>
        </w:rPr>
        <w:t>n</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tl</w:t>
      </w:r>
      <w:r>
        <w:rPr>
          <w:rFonts w:hint="eastAsia"/>
          <w:color w:val="auto"/>
          <w:sz w:val="24"/>
          <w:highlight w:val="none"/>
        </w:rPr>
        <w:t>；</w:t>
      </w:r>
      <w:r>
        <w:rPr>
          <w:color w:val="auto"/>
          <w:sz w:val="24"/>
          <w:highlight w:val="none"/>
        </w:rPr>
        <w:t>F</w:t>
      </w:r>
      <w:r>
        <w:rPr>
          <w:color w:val="auto"/>
          <w:sz w:val="24"/>
          <w:highlight w:val="none"/>
          <w:vertAlign w:val="subscript"/>
        </w:rPr>
        <w:t>t2</w:t>
      </w:r>
      <w:r>
        <w:rPr>
          <w:rFonts w:hint="eastAsia"/>
          <w:color w:val="auto"/>
          <w:sz w:val="24"/>
          <w:highlight w:val="none"/>
        </w:rPr>
        <w:t>；</w:t>
      </w:r>
      <w:r>
        <w:rPr>
          <w:color w:val="auto"/>
          <w:sz w:val="24"/>
          <w:highlight w:val="none"/>
        </w:rPr>
        <w:t>F</w:t>
      </w:r>
      <w:r>
        <w:rPr>
          <w:color w:val="auto"/>
          <w:sz w:val="24"/>
          <w:highlight w:val="none"/>
          <w:vertAlign w:val="subscript"/>
        </w:rPr>
        <w:t>t3</w:t>
      </w:r>
      <w:r>
        <w:rPr>
          <w:color w:val="auto"/>
          <w:sz w:val="24"/>
          <w:highlight w:val="none"/>
        </w:rPr>
        <w:t>...... F</w:t>
      </w:r>
      <w:r>
        <w:rPr>
          <w:color w:val="auto"/>
          <w:sz w:val="24"/>
          <w:highlight w:val="none"/>
          <w:vertAlign w:val="subscript"/>
        </w:rPr>
        <w:t>tn</w:t>
      </w:r>
      <w:r>
        <w:rPr>
          <w:rFonts w:hint="eastAsia"/>
          <w:color w:val="auto"/>
          <w:sz w:val="24"/>
          <w:highlight w:val="none"/>
        </w:rPr>
        <w:t>--</w:t>
      </w:r>
      <w:r>
        <w:rPr>
          <w:color w:val="auto"/>
          <w:sz w:val="24"/>
          <w:highlight w:val="none"/>
        </w:rPr>
        <w:t>各可调因子的现行价格指数，指第17.3.3项、第17.5.2项和第17.6.2项约定的付款证书相关周期最后一天的前42天的各可调因子的价格指数；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F</w:t>
      </w:r>
      <w:r>
        <w:rPr>
          <w:color w:val="auto"/>
          <w:sz w:val="24"/>
          <w:highlight w:val="none"/>
          <w:vertAlign w:val="subscript"/>
        </w:rPr>
        <w:t>ol</w:t>
      </w:r>
      <w:r>
        <w:rPr>
          <w:color w:val="auto"/>
          <w:sz w:val="24"/>
          <w:highlight w:val="none"/>
        </w:rPr>
        <w:t>；F</w:t>
      </w:r>
      <w:r>
        <w:rPr>
          <w:color w:val="auto"/>
          <w:sz w:val="24"/>
          <w:highlight w:val="none"/>
          <w:vertAlign w:val="subscript"/>
        </w:rPr>
        <w:t>o</w:t>
      </w:r>
      <w:r>
        <w:rPr>
          <w:rFonts w:hint="eastAsia"/>
          <w:color w:val="auto"/>
          <w:sz w:val="24"/>
          <w:highlight w:val="none"/>
          <w:vertAlign w:val="subscript"/>
        </w:rPr>
        <w:t>2</w:t>
      </w:r>
      <w:r>
        <w:rPr>
          <w:color w:val="auto"/>
          <w:sz w:val="24"/>
          <w:highlight w:val="none"/>
        </w:rPr>
        <w:t>；F</w:t>
      </w:r>
      <w:r>
        <w:rPr>
          <w:color w:val="auto"/>
          <w:sz w:val="24"/>
          <w:highlight w:val="none"/>
          <w:vertAlign w:val="subscript"/>
        </w:rPr>
        <w:t>o3</w:t>
      </w:r>
      <w:r>
        <w:rPr>
          <w:color w:val="auto"/>
          <w:sz w:val="24"/>
          <w:highlight w:val="none"/>
        </w:rPr>
        <w:t>...... F</w:t>
      </w:r>
      <w:r>
        <w:rPr>
          <w:color w:val="auto"/>
          <w:sz w:val="24"/>
          <w:highlight w:val="none"/>
          <w:vertAlign w:val="subscript"/>
        </w:rPr>
        <w:t>on</w:t>
      </w:r>
      <w:r>
        <w:rPr>
          <w:rFonts w:hint="eastAsia"/>
          <w:color w:val="auto"/>
          <w:sz w:val="24"/>
          <w:highlight w:val="none"/>
        </w:rPr>
        <w:t>--</w:t>
      </w:r>
      <w:r>
        <w:rPr>
          <w:color w:val="auto"/>
          <w:sz w:val="24"/>
          <w:highlight w:val="none"/>
        </w:rPr>
        <w:t>各可调因子的基本价格指数，指基准日期的各可调因子的价格指数。</w:t>
      </w:r>
    </w:p>
    <w:p>
      <w:pPr>
        <w:adjustRightInd w:val="0"/>
        <w:snapToGrid w:val="0"/>
        <w:spacing w:line="360" w:lineRule="auto"/>
        <w:ind w:firstLine="480" w:firstLineChars="200"/>
        <w:rPr>
          <w:color w:val="auto"/>
          <w:sz w:val="24"/>
          <w:highlight w:val="none"/>
        </w:rPr>
      </w:pPr>
      <w:r>
        <w:rPr>
          <w:color w:val="auto"/>
          <w:sz w:val="24"/>
          <w:highlight w:val="none"/>
        </w:rPr>
        <w:t>在采用价格调整公式进行调价时，还应遵守以下规定：</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合同价格在投标所在年份不作调整，此后每年按价格调整公式调整一次。</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价格调整公式中的变值权重，由发包人根据项目实际情况测算确定范围，并在招标文件发出前填写；承包人应在投标时在此范围内填写各可调因子的权重，合同实施期间将按此权重进行调价。</w:t>
      </w:r>
    </w:p>
    <w:p>
      <w:pPr>
        <w:adjustRightInd w:val="0"/>
        <w:snapToGrid w:val="0"/>
        <w:spacing w:line="360" w:lineRule="auto"/>
        <w:ind w:firstLine="480" w:firstLineChars="200"/>
        <w:rPr>
          <w:color w:val="auto"/>
          <w:sz w:val="24"/>
          <w:highlight w:val="none"/>
        </w:rPr>
      </w:pPr>
      <w:r>
        <w:rPr>
          <w:color w:val="auto"/>
          <w:sz w:val="24"/>
          <w:highlight w:val="none"/>
        </w:rPr>
        <w:t>16.1.1.4承包人工期延误后的价格调整</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color w:val="auto"/>
          <w:sz w:val="24"/>
          <w:highlight w:val="none"/>
        </w:rPr>
        <w:t>但是，对于符合合同条款第11.3款和11．4款规定的合理工期延误，在约定竣工日期到期以后施工的工程，其价格调整计算应采用实际竣工日期所在年份的价格指数作为现行价格指数。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计量与支付</w:t>
      </w:r>
    </w:p>
    <w:p>
      <w:pPr>
        <w:adjustRightInd w:val="0"/>
        <w:snapToGrid w:val="0"/>
        <w:spacing w:line="360" w:lineRule="auto"/>
        <w:rPr>
          <w:rFonts w:eastAsia="黑体"/>
          <w:color w:val="auto"/>
          <w:sz w:val="24"/>
          <w:highlight w:val="none"/>
        </w:rPr>
      </w:pPr>
      <w:r>
        <w:rPr>
          <w:rFonts w:eastAsia="黑体"/>
          <w:color w:val="auto"/>
          <w:sz w:val="24"/>
          <w:highlight w:val="none"/>
        </w:rPr>
        <w:t>17</w:t>
      </w:r>
      <w:r>
        <w:rPr>
          <w:rFonts w:hint="eastAsia" w:eastAsia="黑体"/>
          <w:color w:val="auto"/>
          <w:sz w:val="24"/>
          <w:highlight w:val="none"/>
        </w:rPr>
        <w:t>.</w:t>
      </w:r>
      <w:r>
        <w:rPr>
          <w:rFonts w:eastAsia="黑体"/>
          <w:color w:val="auto"/>
          <w:sz w:val="24"/>
          <w:highlight w:val="none"/>
        </w:rPr>
        <w:t>1计量</w:t>
      </w:r>
    </w:p>
    <w:p>
      <w:pPr>
        <w:adjustRightInd w:val="0"/>
        <w:snapToGrid w:val="0"/>
        <w:spacing w:line="360" w:lineRule="auto"/>
        <w:ind w:firstLine="480" w:firstLineChars="200"/>
        <w:rPr>
          <w:color w:val="auto"/>
          <w:sz w:val="24"/>
          <w:highlight w:val="none"/>
        </w:rPr>
      </w:pPr>
      <w:r>
        <w:rPr>
          <w:color w:val="auto"/>
          <w:sz w:val="24"/>
          <w:highlight w:val="none"/>
        </w:rPr>
        <w:t>17.1.2计量方法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工程的计量应以净值为准，除非本合同另有约定。工程量清单中各个子目的具体计量方法按本合同文件技术标准与要求中的规定执行。</w:t>
      </w:r>
    </w:p>
    <w:p>
      <w:pPr>
        <w:adjustRightInd w:val="0"/>
        <w:snapToGrid w:val="0"/>
        <w:spacing w:line="360" w:lineRule="auto"/>
        <w:ind w:firstLine="480" w:firstLineChars="200"/>
        <w:rPr>
          <w:color w:val="auto"/>
          <w:sz w:val="24"/>
          <w:highlight w:val="none"/>
        </w:rPr>
      </w:pPr>
      <w:r>
        <w:rPr>
          <w:color w:val="auto"/>
          <w:sz w:val="24"/>
          <w:highlight w:val="none"/>
        </w:rPr>
        <w:t>17.1.4单价子目的计量</w:t>
      </w:r>
    </w:p>
    <w:p>
      <w:pPr>
        <w:adjustRightInd w:val="0"/>
        <w:snapToGrid w:val="0"/>
        <w:spacing w:line="360" w:lineRule="auto"/>
        <w:ind w:firstLine="480" w:firstLineChars="200"/>
        <w:rPr>
          <w:color w:val="auto"/>
          <w:sz w:val="24"/>
          <w:highlight w:val="none"/>
        </w:rPr>
      </w:pPr>
      <w:r>
        <w:rPr>
          <w:color w:val="auto"/>
          <w:sz w:val="24"/>
          <w:highlight w:val="none"/>
        </w:rPr>
        <w:t>本目补充：</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承包人未在已标价工程量清单中填入单价或总额价的工程子目，将被认为其己包含在本合同的其他子目的单价和总额价中，发包人将不另行支付。</w:t>
      </w:r>
    </w:p>
    <w:p>
      <w:pPr>
        <w:adjustRightInd w:val="0"/>
        <w:snapToGrid w:val="0"/>
        <w:spacing w:line="360" w:lineRule="auto"/>
        <w:ind w:firstLine="480" w:firstLineChars="200"/>
        <w:rPr>
          <w:color w:val="auto"/>
          <w:sz w:val="24"/>
          <w:highlight w:val="none"/>
        </w:rPr>
      </w:pPr>
      <w:r>
        <w:rPr>
          <w:rFonts w:hint="eastAsia"/>
          <w:color w:val="auto"/>
          <w:sz w:val="24"/>
          <w:highlight w:val="none"/>
        </w:rPr>
        <w:t>17.1.6 路面养护期计量方法</w:t>
      </w:r>
    </w:p>
    <w:p>
      <w:pPr>
        <w:adjustRightInd w:val="0"/>
        <w:snapToGrid w:val="0"/>
        <w:spacing w:line="360" w:lineRule="auto"/>
        <w:ind w:firstLine="480" w:firstLineChars="200"/>
        <w:rPr>
          <w:color w:val="auto"/>
          <w:sz w:val="24"/>
          <w:highlight w:val="none"/>
        </w:rPr>
      </w:pPr>
      <w:r>
        <w:rPr>
          <w:rFonts w:hint="eastAsia"/>
          <w:color w:val="auto"/>
          <w:sz w:val="24"/>
          <w:highlight w:val="none"/>
        </w:rPr>
        <w:t>（一）路面养护所有工作内容包含在综合报价中，不单独计量支付。</w:t>
      </w:r>
    </w:p>
    <w:p>
      <w:pPr>
        <w:adjustRightInd w:val="0"/>
        <w:snapToGrid w:val="0"/>
        <w:spacing w:line="360" w:lineRule="auto"/>
        <w:ind w:firstLine="480" w:firstLineChars="200"/>
        <w:rPr>
          <w:color w:val="auto"/>
          <w:sz w:val="24"/>
          <w:highlight w:val="none"/>
        </w:rPr>
      </w:pPr>
      <w:r>
        <w:rPr>
          <w:rFonts w:hint="eastAsia"/>
          <w:color w:val="auto"/>
          <w:sz w:val="24"/>
          <w:highlight w:val="none"/>
        </w:rPr>
        <w:t>（二</w:t>
      </w:r>
      <w:r>
        <w:rPr>
          <w:color w:val="auto"/>
          <w:sz w:val="24"/>
          <w:highlight w:val="none"/>
        </w:rPr>
        <w:t>）</w:t>
      </w:r>
      <w:r>
        <w:rPr>
          <w:rFonts w:hint="eastAsia"/>
          <w:color w:val="auto"/>
          <w:sz w:val="24"/>
          <w:highlight w:val="none"/>
        </w:rPr>
        <w:t>招标人将通过国际平整度指数（IRI）指标和综合养护指数（包括路面状况和日常管理状况）对承包人的养护施工行为进行控制（即“双控”）。自承包人进场之日起，每十二个月为一养护年度，每六个月为一计量周期。</w:t>
      </w:r>
    </w:p>
    <w:p>
      <w:pPr>
        <w:adjustRightInd w:val="0"/>
        <w:snapToGrid w:val="0"/>
        <w:spacing w:line="360" w:lineRule="auto"/>
        <w:ind w:firstLine="480" w:firstLineChars="200"/>
        <w:rPr>
          <w:color w:val="auto"/>
          <w:sz w:val="24"/>
          <w:highlight w:val="none"/>
        </w:rPr>
      </w:pPr>
      <w:r>
        <w:rPr>
          <w:rFonts w:hint="eastAsia"/>
          <w:color w:val="auto"/>
          <w:sz w:val="24"/>
          <w:highlight w:val="none"/>
        </w:rPr>
        <w:t>（1）除了合同另有规定外，所有计量单位均为公制；</w:t>
      </w:r>
    </w:p>
    <w:p>
      <w:pPr>
        <w:adjustRightInd w:val="0"/>
        <w:snapToGrid w:val="0"/>
        <w:spacing w:line="360" w:lineRule="auto"/>
        <w:ind w:firstLine="480" w:firstLineChars="200"/>
        <w:rPr>
          <w:color w:val="auto"/>
          <w:sz w:val="24"/>
          <w:highlight w:val="none"/>
        </w:rPr>
      </w:pPr>
      <w:r>
        <w:rPr>
          <w:rFonts w:hint="eastAsia"/>
          <w:color w:val="auto"/>
          <w:sz w:val="24"/>
          <w:highlight w:val="none"/>
        </w:rPr>
        <w:t>（2）工程的计量按计量周期进行支付，业主将按照合同规定对承包人标段的养护工作进行检评，检查评分标准及养护指标评定按照业主和监理工程师根据合同文件制订的细则执行；</w:t>
      </w:r>
    </w:p>
    <w:p>
      <w:pPr>
        <w:adjustRightInd w:val="0"/>
        <w:snapToGrid w:val="0"/>
        <w:spacing w:line="360" w:lineRule="auto"/>
        <w:ind w:firstLine="480" w:firstLineChars="200"/>
        <w:rPr>
          <w:color w:val="auto"/>
          <w:sz w:val="24"/>
          <w:highlight w:val="none"/>
        </w:rPr>
      </w:pPr>
      <w:r>
        <w:rPr>
          <w:rFonts w:hint="eastAsia"/>
          <w:color w:val="auto"/>
          <w:sz w:val="24"/>
          <w:highlight w:val="none"/>
        </w:rPr>
        <w:t>（3）每次计量支付基数为年度养护费用的百分比值，分别按照养护年度第一次计量40%，第二次计量60%；</w:t>
      </w:r>
    </w:p>
    <w:p>
      <w:pPr>
        <w:adjustRightInd w:val="0"/>
        <w:snapToGrid w:val="0"/>
        <w:spacing w:line="360" w:lineRule="auto"/>
        <w:ind w:firstLine="480" w:firstLineChars="200"/>
        <w:rPr>
          <w:color w:val="auto"/>
          <w:sz w:val="24"/>
          <w:highlight w:val="none"/>
        </w:rPr>
      </w:pPr>
      <w:r>
        <w:rPr>
          <w:rFonts w:hint="eastAsia"/>
          <w:color w:val="auto"/>
          <w:sz w:val="24"/>
          <w:highlight w:val="none"/>
        </w:rPr>
        <w:t>（4）按照有关规定，IRI指数每年检测两次，每次检测的IRI指数指标值作为本期和上期计量的控制指标，具体如下：（应该根据实际情况测算和预测，以下举例说明）</w:t>
      </w:r>
    </w:p>
    <w:p>
      <w:pPr>
        <w:adjustRightInd w:val="0"/>
        <w:snapToGrid w:val="0"/>
        <w:spacing w:line="360" w:lineRule="auto"/>
        <w:ind w:firstLine="480" w:firstLineChars="200"/>
        <w:rPr>
          <w:color w:val="auto"/>
          <w:sz w:val="24"/>
          <w:highlight w:val="none"/>
        </w:rPr>
      </w:pPr>
      <w:r>
        <w:rPr>
          <w:rFonts w:hint="eastAsia"/>
          <w:color w:val="auto"/>
          <w:sz w:val="24"/>
          <w:highlight w:val="none"/>
        </w:rPr>
        <w:t>第一养护年度，IRI指数须达到：IRI≤1.3</w:t>
      </w:r>
    </w:p>
    <w:p>
      <w:pPr>
        <w:adjustRightInd w:val="0"/>
        <w:snapToGrid w:val="0"/>
        <w:spacing w:line="360" w:lineRule="auto"/>
        <w:ind w:firstLine="480" w:firstLineChars="200"/>
        <w:rPr>
          <w:color w:val="auto"/>
          <w:sz w:val="24"/>
          <w:highlight w:val="none"/>
        </w:rPr>
      </w:pPr>
      <w:r>
        <w:rPr>
          <w:rFonts w:hint="eastAsia"/>
          <w:color w:val="auto"/>
          <w:sz w:val="24"/>
          <w:highlight w:val="none"/>
        </w:rPr>
        <w:t>a.当1.3＜IRI≤1.4时，扣除该期计量的10%；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b.当1.4＜IRI≤1.5时，以1.4为基数，再扣除该期计量的10%，责令承包人更换技术和质量负责人，并向其公司通报；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c.当IRI＞1.5时，将视为承包人违约，扣除该期计量，解除合同，并追究承包人的违约责任。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第二养护年度，IRI指数须≤1.4</w:t>
      </w:r>
    </w:p>
    <w:p>
      <w:pPr>
        <w:adjustRightInd w:val="0"/>
        <w:snapToGrid w:val="0"/>
        <w:spacing w:line="360" w:lineRule="auto"/>
        <w:ind w:firstLine="480" w:firstLineChars="200"/>
        <w:rPr>
          <w:color w:val="auto"/>
          <w:sz w:val="24"/>
          <w:highlight w:val="none"/>
        </w:rPr>
      </w:pPr>
      <w:r>
        <w:rPr>
          <w:rFonts w:hint="eastAsia"/>
          <w:color w:val="auto"/>
          <w:sz w:val="24"/>
          <w:highlight w:val="none"/>
        </w:rPr>
        <w:t>a.当1.4＜IRI≤1.5时，扣除该期计量的10%；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b.当1.5＜IRI≤1.6时，以1.5为基数，再扣除该期计量的10%，责令承包人更换技术和质量负责人，并向其公司通报；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c.当IRI＞1.6时，将视为承包人违约，扣除该期计量，解除合同，并追究承包人的违约责任。</w:t>
      </w:r>
    </w:p>
    <w:p>
      <w:pPr>
        <w:adjustRightInd w:val="0"/>
        <w:snapToGrid w:val="0"/>
        <w:spacing w:line="360" w:lineRule="auto"/>
        <w:ind w:firstLine="480" w:firstLineChars="200"/>
        <w:rPr>
          <w:color w:val="auto"/>
          <w:sz w:val="24"/>
          <w:highlight w:val="none"/>
        </w:rPr>
      </w:pPr>
      <w:r>
        <w:rPr>
          <w:rFonts w:hint="eastAsia"/>
          <w:color w:val="auto"/>
          <w:sz w:val="24"/>
          <w:highlight w:val="none"/>
        </w:rPr>
        <w:t>第三养护年度，IRI指数须达到：IRI≤1.5</w:t>
      </w:r>
    </w:p>
    <w:p>
      <w:pPr>
        <w:adjustRightInd w:val="0"/>
        <w:snapToGrid w:val="0"/>
        <w:spacing w:line="360" w:lineRule="auto"/>
        <w:ind w:firstLine="480" w:firstLineChars="200"/>
        <w:rPr>
          <w:color w:val="auto"/>
          <w:sz w:val="24"/>
          <w:highlight w:val="none"/>
        </w:rPr>
      </w:pPr>
      <w:r>
        <w:rPr>
          <w:rFonts w:hint="eastAsia"/>
          <w:color w:val="auto"/>
          <w:sz w:val="24"/>
          <w:highlight w:val="none"/>
        </w:rPr>
        <w:t>a.当1.5＜IRI≤1.6时，扣除该期计量的10%；</w:t>
      </w:r>
    </w:p>
    <w:p>
      <w:pPr>
        <w:adjustRightInd w:val="0"/>
        <w:snapToGrid w:val="0"/>
        <w:spacing w:line="360" w:lineRule="auto"/>
        <w:ind w:firstLine="480" w:firstLineChars="200"/>
        <w:rPr>
          <w:color w:val="auto"/>
          <w:sz w:val="24"/>
          <w:highlight w:val="none"/>
        </w:rPr>
      </w:pPr>
      <w:r>
        <w:rPr>
          <w:rFonts w:hint="eastAsia"/>
          <w:color w:val="auto"/>
          <w:sz w:val="24"/>
          <w:highlight w:val="none"/>
        </w:rPr>
        <w:t>b.当1.6＜IRI≤1.7时，以1.6为基数，再扣除该期计量的10%，责令承包人更换技术和质量负责人，并向其公司通报；</w:t>
      </w:r>
    </w:p>
    <w:p>
      <w:pPr>
        <w:adjustRightInd w:val="0"/>
        <w:snapToGrid w:val="0"/>
        <w:spacing w:line="360" w:lineRule="auto"/>
        <w:ind w:firstLine="480" w:firstLineChars="200"/>
        <w:rPr>
          <w:color w:val="auto"/>
          <w:sz w:val="24"/>
          <w:highlight w:val="none"/>
        </w:rPr>
      </w:pPr>
      <w:r>
        <w:rPr>
          <w:rFonts w:hint="eastAsia"/>
          <w:color w:val="auto"/>
          <w:sz w:val="24"/>
          <w:highlight w:val="none"/>
        </w:rPr>
        <w:t>c.当IRI＞1.7时，将视为承包人违约，扣除该期计量，解除合同，并追究承包人的违约责任。</w:t>
      </w:r>
    </w:p>
    <w:p>
      <w:pPr>
        <w:spacing w:line="360" w:lineRule="auto"/>
        <w:ind w:firstLine="470" w:firstLineChars="196"/>
        <w:rPr>
          <w:color w:val="auto"/>
          <w:sz w:val="24"/>
          <w:highlight w:val="none"/>
        </w:rPr>
      </w:pPr>
      <w:r>
        <w:rPr>
          <w:rFonts w:hint="eastAsia"/>
          <w:color w:val="auto"/>
          <w:sz w:val="24"/>
          <w:highlight w:val="none"/>
        </w:rPr>
        <w:t>每次检测IRI值小于规定值的，给予全额计量。</w:t>
      </w:r>
    </w:p>
    <w:p>
      <w:pPr>
        <w:spacing w:line="360" w:lineRule="auto"/>
        <w:ind w:firstLine="470" w:firstLineChars="196"/>
        <w:rPr>
          <w:color w:val="auto"/>
          <w:sz w:val="24"/>
          <w:highlight w:val="none"/>
        </w:rPr>
      </w:pPr>
      <w:r>
        <w:rPr>
          <w:rFonts w:hint="eastAsia"/>
          <w:color w:val="auto"/>
          <w:sz w:val="24"/>
          <w:highlight w:val="none"/>
        </w:rPr>
        <w:t>（5）在一个计量周期内，每一季度综合养护指数值均不低于96分的，给予全额计量；一个计量周期内，两次季度平均综合养护指数值低于96分的：</w:t>
      </w:r>
    </w:p>
    <w:p>
      <w:pPr>
        <w:spacing w:line="360" w:lineRule="auto"/>
        <w:ind w:firstLine="470" w:firstLineChars="196"/>
        <w:rPr>
          <w:color w:val="auto"/>
          <w:sz w:val="24"/>
          <w:highlight w:val="none"/>
        </w:rPr>
      </w:pPr>
      <w:r>
        <w:rPr>
          <w:rFonts w:hint="eastAsia"/>
          <w:color w:val="auto"/>
          <w:sz w:val="24"/>
          <w:highlight w:val="none"/>
        </w:rPr>
        <w:t>当96.0＞综合养护指数值≥94.0时，每降低0.5分，扣除当期计量的5％；</w:t>
      </w:r>
    </w:p>
    <w:p>
      <w:pPr>
        <w:spacing w:line="360" w:lineRule="auto"/>
        <w:ind w:firstLine="470" w:firstLineChars="196"/>
        <w:rPr>
          <w:color w:val="auto"/>
          <w:sz w:val="24"/>
          <w:highlight w:val="none"/>
        </w:rPr>
      </w:pPr>
      <w:r>
        <w:rPr>
          <w:rFonts w:hint="eastAsia"/>
          <w:color w:val="auto"/>
          <w:sz w:val="24"/>
          <w:highlight w:val="none"/>
        </w:rPr>
        <w:t>当94.0＞综合养护指数值≥92.0时，以94分为基数，每降低0.5分，再扣除当期计量的10％，并要求承包商在规定的时间内更换项目经理和技术负责人；</w:t>
      </w:r>
    </w:p>
    <w:p>
      <w:pPr>
        <w:spacing w:line="360" w:lineRule="auto"/>
        <w:ind w:firstLine="470" w:firstLineChars="196"/>
        <w:rPr>
          <w:color w:val="auto"/>
          <w:sz w:val="24"/>
          <w:highlight w:val="none"/>
        </w:rPr>
      </w:pPr>
      <w:r>
        <w:rPr>
          <w:rFonts w:hint="eastAsia"/>
          <w:color w:val="auto"/>
          <w:sz w:val="24"/>
          <w:highlight w:val="none"/>
        </w:rPr>
        <w:t>当任一季度综合养护指数值≤92时，将视为承包商违约，业主将扣除承包商本期所有计量，并予以解除合同。</w:t>
      </w:r>
    </w:p>
    <w:p>
      <w:pPr>
        <w:spacing w:line="360" w:lineRule="auto"/>
        <w:ind w:firstLine="470" w:firstLineChars="196"/>
        <w:rPr>
          <w:color w:val="auto"/>
          <w:sz w:val="24"/>
          <w:highlight w:val="none"/>
        </w:rPr>
      </w:pPr>
      <w:r>
        <w:rPr>
          <w:rFonts w:hint="eastAsia"/>
          <w:color w:val="auto"/>
          <w:sz w:val="24"/>
          <w:highlight w:val="none"/>
        </w:rPr>
        <w:t>（6）以上国际平整度指数（IRI</w:t>
      </w:r>
      <w:r>
        <w:rPr>
          <w:color w:val="auto"/>
          <w:sz w:val="24"/>
          <w:highlight w:val="none"/>
        </w:rPr>
        <w:t>）</w:t>
      </w:r>
      <w:r>
        <w:rPr>
          <w:rFonts w:hint="eastAsia"/>
          <w:color w:val="auto"/>
          <w:sz w:val="24"/>
          <w:highlight w:val="none"/>
        </w:rPr>
        <w:t>和综合养护指数实行双控，任一指标低于规定值，均按照上述要求处罚，并且实行以上处罚时不免除合同规定的其它处罚。</w:t>
      </w:r>
    </w:p>
    <w:p>
      <w:pPr>
        <w:spacing w:line="360" w:lineRule="auto"/>
        <w:ind w:firstLine="470" w:firstLineChars="196"/>
        <w:rPr>
          <w:color w:val="auto"/>
          <w:sz w:val="24"/>
          <w:highlight w:val="none"/>
        </w:rPr>
      </w:pPr>
      <w:r>
        <w:rPr>
          <w:rFonts w:hint="eastAsia"/>
          <w:color w:val="auto"/>
          <w:sz w:val="24"/>
          <w:highlight w:val="none"/>
        </w:rPr>
        <w:t>（7</w:t>
      </w:r>
      <w:r>
        <w:rPr>
          <w:color w:val="auto"/>
          <w:sz w:val="24"/>
          <w:highlight w:val="none"/>
        </w:rPr>
        <w:t>）</w:t>
      </w:r>
      <w:r>
        <w:rPr>
          <w:rFonts w:hint="eastAsia"/>
          <w:color w:val="auto"/>
          <w:sz w:val="24"/>
          <w:highlight w:val="none"/>
        </w:rPr>
        <w:t>以上国际平整度指数（IRI）以检测单位检测的数据为准，综合养护指数以业主和监理工程师按照合同规定汇总计算的数值为准。</w:t>
      </w:r>
    </w:p>
    <w:p>
      <w:pPr>
        <w:adjustRightInd w:val="0"/>
        <w:snapToGrid w:val="0"/>
        <w:spacing w:beforeLines="100" w:line="360" w:lineRule="auto"/>
        <w:rPr>
          <w:rFonts w:eastAsia="黑体"/>
          <w:color w:val="auto"/>
          <w:sz w:val="24"/>
          <w:highlight w:val="none"/>
        </w:rPr>
      </w:pPr>
      <w:r>
        <w:rPr>
          <w:rFonts w:eastAsia="黑体"/>
          <w:color w:val="auto"/>
          <w:sz w:val="24"/>
          <w:highlight w:val="none"/>
        </w:rPr>
        <w:t>17.2预付款</w:t>
      </w:r>
    </w:p>
    <w:p>
      <w:pPr>
        <w:adjustRightInd w:val="0"/>
        <w:snapToGrid w:val="0"/>
        <w:spacing w:line="360" w:lineRule="auto"/>
        <w:ind w:firstLine="480" w:firstLineChars="200"/>
        <w:rPr>
          <w:color w:val="auto"/>
          <w:sz w:val="24"/>
          <w:highlight w:val="none"/>
        </w:rPr>
      </w:pPr>
      <w:r>
        <w:rPr>
          <w:color w:val="auto"/>
          <w:sz w:val="24"/>
          <w:highlight w:val="none"/>
        </w:rPr>
        <w:t>17.2.1预付款</w:t>
      </w:r>
    </w:p>
    <w:p>
      <w:pPr>
        <w:adjustRightInd w:val="0"/>
        <w:snapToGrid w:val="0"/>
        <w:spacing w:line="360" w:lineRule="auto"/>
        <w:ind w:firstLine="480" w:firstLineChars="200"/>
        <w:rPr>
          <w:color w:val="auto"/>
          <w:sz w:val="24"/>
          <w:highlight w:val="none"/>
        </w:rPr>
      </w:pPr>
      <w:r>
        <w:rPr>
          <w:color w:val="auto"/>
          <w:sz w:val="24"/>
          <w:highlight w:val="none"/>
        </w:rPr>
        <w:t>本项约定的预付款包括开工预付款和材料、设备预付款。具体额度和预付办法如下：</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开工预付款的额度为签约合同价的</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color w:val="auto"/>
          <w:sz w:val="24"/>
          <w:highlight w:val="none"/>
        </w:rPr>
        <w:t>％（在项目专用合同条款中约定）。在承包人签订了合同协议书并提交了开工预付款保函后，监理人应在当期进度付款证书中向承包人支付开工预付款的</w:t>
      </w:r>
      <w:r>
        <w:rPr>
          <w:rFonts w:hint="eastAsia"/>
          <w:color w:val="auto"/>
          <w:sz w:val="24"/>
          <w:highlight w:val="none"/>
          <w:u w:val="single"/>
          <w:lang w:val="en-US" w:eastAsia="zh-CN"/>
        </w:rPr>
        <w:t xml:space="preserve">    </w:t>
      </w:r>
      <w:r>
        <w:rPr>
          <w:color w:val="auto"/>
          <w:sz w:val="24"/>
          <w:highlight w:val="none"/>
        </w:rPr>
        <w:t>%的价款；在投标文件载明的主要设备进场后，再支付预付款</w:t>
      </w:r>
      <w:r>
        <w:rPr>
          <w:rFonts w:hint="eastAsia"/>
          <w:color w:val="auto"/>
          <w:sz w:val="24"/>
          <w:highlight w:val="none"/>
          <w:u w:val="single"/>
          <w:lang w:val="en-US" w:eastAsia="zh-CN"/>
        </w:rPr>
        <w:t xml:space="preserve">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承包人不得将该预付款用于与本工程无关的支出，监理人有权监督承包人对该项费用的使用，如经查实承包人滥用开工预付款，发包人有权立即通过向银行发出通知收回开工预付款保函的方式，将该款收回。</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材料、设备预付款的额度为项目专用合同条款中所列主要材料、设备单据费用（进口的材料、设备为到岸价，国内采购的为出厂价或销售价，地方材料为堆场价）的</w:t>
      </w:r>
      <w:r>
        <w:rPr>
          <w:rFonts w:hint="eastAsia"/>
          <w:color w:val="auto"/>
          <w:sz w:val="24"/>
          <w:highlight w:val="none"/>
          <w:u w:val="single"/>
        </w:rPr>
        <w:t xml:space="preserve">   </w:t>
      </w:r>
      <w:r>
        <w:rPr>
          <w:color w:val="auto"/>
          <w:sz w:val="24"/>
          <w:highlight w:val="none"/>
        </w:rPr>
        <w:t>％（在项目专用条款数据表中约定）。其预付条件为：</w:t>
      </w:r>
    </w:p>
    <w:p>
      <w:pPr>
        <w:adjustRightInd w:val="0"/>
        <w:snapToGrid w:val="0"/>
        <w:spacing w:line="360" w:lineRule="auto"/>
        <w:ind w:firstLine="480" w:firstLineChars="200"/>
        <w:rPr>
          <w:color w:val="auto"/>
          <w:sz w:val="24"/>
          <w:highlight w:val="none"/>
        </w:rPr>
      </w:pPr>
      <w:r>
        <w:rPr>
          <w:color w:val="auto"/>
          <w:sz w:val="24"/>
          <w:highlight w:val="none"/>
        </w:rPr>
        <w:t>a</w:t>
      </w:r>
      <w:r>
        <w:rPr>
          <w:rFonts w:hint="eastAsia"/>
          <w:color w:val="auto"/>
          <w:sz w:val="24"/>
          <w:highlight w:val="none"/>
        </w:rPr>
        <w:t>．</w:t>
      </w:r>
      <w:r>
        <w:rPr>
          <w:color w:val="auto"/>
          <w:sz w:val="24"/>
          <w:highlight w:val="none"/>
        </w:rPr>
        <w:t>材料、设备符合规范要求并经监理人认可；</w:t>
      </w:r>
    </w:p>
    <w:p>
      <w:pPr>
        <w:adjustRightInd w:val="0"/>
        <w:snapToGrid w:val="0"/>
        <w:spacing w:line="360" w:lineRule="auto"/>
        <w:ind w:firstLine="480" w:firstLineChars="200"/>
        <w:rPr>
          <w:color w:val="auto"/>
          <w:sz w:val="24"/>
          <w:highlight w:val="none"/>
        </w:rPr>
      </w:pPr>
      <w:r>
        <w:rPr>
          <w:color w:val="auto"/>
          <w:sz w:val="24"/>
          <w:highlight w:val="none"/>
        </w:rPr>
        <w:t>b</w:t>
      </w:r>
      <w:r>
        <w:rPr>
          <w:rFonts w:hint="eastAsia"/>
          <w:color w:val="auto"/>
          <w:sz w:val="24"/>
          <w:highlight w:val="none"/>
        </w:rPr>
        <w:t>．</w:t>
      </w:r>
      <w:r>
        <w:rPr>
          <w:color w:val="auto"/>
          <w:sz w:val="24"/>
          <w:highlight w:val="none"/>
        </w:rPr>
        <w:t>承包人已出具材料、设备费用凭证或支付单据；以及</w:t>
      </w:r>
    </w:p>
    <w:p>
      <w:pPr>
        <w:adjustRightInd w:val="0"/>
        <w:snapToGrid w:val="0"/>
        <w:spacing w:line="360" w:lineRule="auto"/>
        <w:ind w:firstLine="480" w:firstLineChars="200"/>
        <w:rPr>
          <w:color w:val="auto"/>
          <w:sz w:val="24"/>
          <w:highlight w:val="none"/>
        </w:rPr>
      </w:pPr>
      <w:r>
        <w:rPr>
          <w:color w:val="auto"/>
          <w:sz w:val="24"/>
          <w:highlight w:val="none"/>
        </w:rPr>
        <w:t>c</w:t>
      </w:r>
      <w:r>
        <w:rPr>
          <w:rFonts w:hint="eastAsia"/>
          <w:color w:val="auto"/>
          <w:sz w:val="24"/>
          <w:highlight w:val="none"/>
        </w:rPr>
        <w:t>．</w:t>
      </w:r>
      <w:r>
        <w:rPr>
          <w:color w:val="auto"/>
          <w:sz w:val="24"/>
          <w:highlight w:val="none"/>
        </w:rPr>
        <w:t>材料、设备已在现场交货，且存储良好，监理人认为材料、设备的存储方法符合要求。</w:t>
      </w:r>
    </w:p>
    <w:p>
      <w:pPr>
        <w:adjustRightInd w:val="0"/>
        <w:snapToGrid w:val="0"/>
        <w:spacing w:line="360" w:lineRule="auto"/>
        <w:ind w:firstLine="480" w:firstLineChars="200"/>
        <w:rPr>
          <w:color w:val="auto"/>
          <w:sz w:val="24"/>
          <w:highlight w:val="none"/>
        </w:rPr>
      </w:pPr>
      <w:r>
        <w:rPr>
          <w:color w:val="auto"/>
          <w:sz w:val="24"/>
          <w:highlight w:val="none"/>
        </w:rPr>
        <w:t>则监理人应将此项金额作为材料、设备预付款计入下一次的进度付款证书中。在预计竣工前3个月，将不再支付材料、设备预付款。</w:t>
      </w:r>
    </w:p>
    <w:p>
      <w:pPr>
        <w:adjustRightInd w:val="0"/>
        <w:snapToGrid w:val="0"/>
        <w:spacing w:line="360" w:lineRule="auto"/>
        <w:ind w:firstLine="480" w:firstLineChars="200"/>
        <w:rPr>
          <w:color w:val="auto"/>
          <w:sz w:val="24"/>
          <w:highlight w:val="none"/>
        </w:rPr>
      </w:pPr>
      <w:r>
        <w:rPr>
          <w:color w:val="auto"/>
          <w:sz w:val="24"/>
          <w:highlight w:val="none"/>
        </w:rPr>
        <w:t>17.2.2预付款保函</w:t>
      </w:r>
    </w:p>
    <w:p>
      <w:pPr>
        <w:adjustRightInd w:val="0"/>
        <w:snapToGrid w:val="0"/>
        <w:spacing w:line="360" w:lineRule="auto"/>
        <w:ind w:firstLine="480" w:firstLineChars="200"/>
        <w:rPr>
          <w:color w:val="auto"/>
          <w:sz w:val="24"/>
          <w:highlight w:val="none"/>
        </w:rPr>
      </w:pPr>
      <w:r>
        <w:rPr>
          <w:color w:val="auto"/>
          <w:sz w:val="24"/>
          <w:highlight w:val="none"/>
        </w:rPr>
        <w:t>本项细化为：</w:t>
      </w:r>
    </w:p>
    <w:p>
      <w:pPr>
        <w:adjustRightInd w:val="0"/>
        <w:snapToGrid w:val="0"/>
        <w:spacing w:line="360" w:lineRule="auto"/>
        <w:ind w:firstLine="480" w:firstLineChars="200"/>
        <w:rPr>
          <w:color w:val="auto"/>
          <w:sz w:val="24"/>
          <w:highlight w:val="none"/>
        </w:rPr>
      </w:pPr>
      <w:r>
        <w:rPr>
          <w:color w:val="auto"/>
          <w:sz w:val="24"/>
          <w:highlight w:val="none"/>
        </w:rPr>
        <w:t>除项目专用合同条款另有约定外，承包人应在收到开工预付款前向发包人提交开工预付款保函，开工预付款保函的担保金额应与开工预付款金额相同。出具保函的银行须与前述第4.2款的要求相同，所需费用由承包人承担。银行保函的正本由发包人保存，该保函在发包人将开工预付款全部扣回之前一直有效，担保金额可根据开工预付款扣回的金额相应递减。</w:t>
      </w:r>
    </w:p>
    <w:p>
      <w:pPr>
        <w:adjustRightInd w:val="0"/>
        <w:snapToGrid w:val="0"/>
        <w:spacing w:line="360" w:lineRule="auto"/>
        <w:ind w:firstLine="480" w:firstLineChars="200"/>
        <w:rPr>
          <w:color w:val="auto"/>
          <w:sz w:val="24"/>
          <w:highlight w:val="none"/>
        </w:rPr>
      </w:pPr>
      <w:r>
        <w:rPr>
          <w:color w:val="auto"/>
          <w:sz w:val="24"/>
          <w:highlight w:val="none"/>
        </w:rPr>
        <w:t>17:2.3预付款的扣回与还清本项约定为：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开工预付款在进度付款证书的累计金额未达到合同价格的30%之前不予扣回，在达到合同价格30%之后，开始按工程进度以固定比例（即每完成合同价格的1％，扣回开工预付款的2%）分期从各月的进度付款证书中扣回，全部金额在进度付款证书的累计金额达到合同价格的80%时扣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当材料、设备已用于或安装在永久工程之中时，材料、设备预付款应从进度付款证书中扣回，扣回期不超过3个月。己经支付材料、设备预付款的材料、设备的所有权应属于发包人，工程竣工时所有剩余的材料、设备的所有权应属承包人。</w:t>
      </w:r>
    </w:p>
    <w:p>
      <w:pPr>
        <w:adjustRightInd w:val="0"/>
        <w:snapToGrid w:val="0"/>
        <w:spacing w:beforeLines="100" w:line="360" w:lineRule="auto"/>
        <w:rPr>
          <w:rFonts w:eastAsia="黑体"/>
          <w:color w:val="auto"/>
          <w:sz w:val="24"/>
          <w:highlight w:val="none"/>
        </w:rPr>
      </w:pPr>
      <w:r>
        <w:rPr>
          <w:rFonts w:eastAsia="黑体"/>
          <w:color w:val="auto"/>
          <w:sz w:val="24"/>
          <w:highlight w:val="none"/>
        </w:rPr>
        <w:t>17.3工程进度付款</w:t>
      </w:r>
    </w:p>
    <w:p>
      <w:pPr>
        <w:adjustRightInd w:val="0"/>
        <w:snapToGrid w:val="0"/>
        <w:spacing w:line="360" w:lineRule="auto"/>
        <w:ind w:firstLine="480" w:firstLineChars="200"/>
        <w:rPr>
          <w:color w:val="auto"/>
          <w:sz w:val="24"/>
          <w:highlight w:val="none"/>
        </w:rPr>
      </w:pPr>
      <w:r>
        <w:rPr>
          <w:color w:val="auto"/>
          <w:sz w:val="24"/>
          <w:highlight w:val="none"/>
        </w:rPr>
        <w:t>17.3.2进度付款申请单</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承包人在每个付款周期末，向监理人提交进度付款申请单的份数：</w:t>
      </w:r>
      <w:r>
        <w:rPr>
          <w:rFonts w:hint="eastAsia"/>
          <w:color w:val="auto"/>
          <w:sz w:val="24"/>
          <w:highlight w:val="none"/>
          <w:u w:val="single"/>
        </w:rPr>
        <w:t xml:space="preserve">     </w:t>
      </w:r>
      <w:r>
        <w:rPr>
          <w:color w:val="auto"/>
          <w:sz w:val="24"/>
          <w:highlight w:val="none"/>
        </w:rPr>
        <w:t>份（在项目专用条款数据表中约定）。</w:t>
      </w:r>
    </w:p>
    <w:p>
      <w:pPr>
        <w:adjustRightInd w:val="0"/>
        <w:snapToGrid w:val="0"/>
        <w:spacing w:line="360" w:lineRule="auto"/>
        <w:ind w:firstLine="480" w:firstLineChars="200"/>
        <w:rPr>
          <w:color w:val="auto"/>
          <w:sz w:val="24"/>
          <w:highlight w:val="none"/>
        </w:rPr>
      </w:pPr>
      <w:r>
        <w:rPr>
          <w:color w:val="auto"/>
          <w:sz w:val="24"/>
          <w:highlight w:val="none"/>
        </w:rPr>
        <w:t>本项（6）目细化为：</w:t>
      </w:r>
    </w:p>
    <w:p>
      <w:pPr>
        <w:adjustRightInd w:val="0"/>
        <w:snapToGrid w:val="0"/>
        <w:spacing w:line="360" w:lineRule="auto"/>
        <w:ind w:firstLine="480" w:firstLineChars="200"/>
        <w:rPr>
          <w:color w:val="auto"/>
          <w:sz w:val="24"/>
          <w:highlight w:val="none"/>
        </w:rPr>
      </w:pPr>
      <w:r>
        <w:rPr>
          <w:color w:val="auto"/>
          <w:sz w:val="24"/>
          <w:highlight w:val="none"/>
        </w:rPr>
        <w:t>（6）根据第16条应增加和扣减的价格调整金额；</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7）根据合同应增加和扣减的其他金额。</w:t>
      </w:r>
    </w:p>
    <w:p>
      <w:pPr>
        <w:adjustRightInd w:val="0"/>
        <w:snapToGrid w:val="0"/>
        <w:spacing w:line="360" w:lineRule="auto"/>
        <w:ind w:firstLine="480" w:firstLineChars="200"/>
        <w:rPr>
          <w:color w:val="auto"/>
          <w:sz w:val="24"/>
          <w:highlight w:val="none"/>
        </w:rPr>
      </w:pPr>
      <w:r>
        <w:rPr>
          <w:color w:val="auto"/>
          <w:sz w:val="24"/>
          <w:highlight w:val="none"/>
        </w:rPr>
        <w:t>17.3.3进度付款证书和支付时间</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目补充：</w:t>
      </w:r>
    </w:p>
    <w:p>
      <w:pPr>
        <w:adjustRightInd w:val="0"/>
        <w:snapToGrid w:val="0"/>
        <w:spacing w:line="360" w:lineRule="auto"/>
        <w:ind w:firstLine="480" w:firstLineChars="200"/>
        <w:rPr>
          <w:color w:val="auto"/>
          <w:sz w:val="24"/>
          <w:highlight w:val="none"/>
        </w:rPr>
      </w:pPr>
      <w:r>
        <w:rPr>
          <w:color w:val="auto"/>
          <w:sz w:val="24"/>
          <w:highlight w:val="none"/>
        </w:rPr>
        <w:t>如果该付款周期应结算的价款经扣留和扣回后的款额少于项目专用合同条款中列明的进度付款证书的最低金额，则该付款周期监理人可不核证支付，上述款额将按付款周期结转，直至累计应支付的款额达到项目专用合同条款中列明的进度付款证书的最低金额为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发包人不按期支付的，按</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color w:val="auto"/>
          <w:sz w:val="24"/>
          <w:highlight w:val="none"/>
        </w:rPr>
        <w:t>在项目专用条款数据表中约定）的利率向承包人支付逾期付款违约金。违约金计算基数为发包人的全部未付款额，时间从应付而未付该款额之日算起（不计复利）。</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目约定为：</w:t>
      </w:r>
    </w:p>
    <w:p>
      <w:pPr>
        <w:adjustRightInd w:val="0"/>
        <w:snapToGrid w:val="0"/>
        <w:spacing w:line="360" w:lineRule="auto"/>
        <w:ind w:firstLine="480" w:firstLineChars="200"/>
        <w:rPr>
          <w:color w:val="auto"/>
          <w:sz w:val="24"/>
          <w:highlight w:val="none"/>
        </w:rPr>
      </w:pPr>
      <w:r>
        <w:rPr>
          <w:color w:val="auto"/>
          <w:sz w:val="24"/>
          <w:highlight w:val="none"/>
        </w:rPr>
        <w:t>进度付款涉及政府投资资金的，按照以下规定办理：</w:t>
      </w:r>
      <w:r>
        <w:rPr>
          <w:rFonts w:hint="eastAsia"/>
          <w:color w:val="auto"/>
          <w:sz w:val="24"/>
          <w:highlight w:val="none"/>
          <w:u w:val="single"/>
        </w:rPr>
        <w:t xml:space="preserve">  （见项目专用合同条款</w:t>
      </w:r>
      <w:r>
        <w:rPr>
          <w:color w:val="auto"/>
          <w:sz w:val="24"/>
          <w:highlight w:val="none"/>
          <w:u w:val="single"/>
        </w:rPr>
        <w:t>）</w:t>
      </w:r>
      <w:r>
        <w:rPr>
          <w:rFonts w:hint="eastAsia"/>
          <w:color w:val="auto"/>
          <w:sz w:val="24"/>
          <w:highlight w:val="none"/>
          <w:u w:val="single"/>
        </w:rPr>
        <w:t xml:space="preserve">  </w:t>
      </w:r>
    </w:p>
    <w:p>
      <w:pPr>
        <w:adjustRightInd w:val="0"/>
        <w:snapToGrid w:val="0"/>
        <w:spacing w:beforeLines="100" w:line="360" w:lineRule="auto"/>
        <w:rPr>
          <w:rFonts w:eastAsia="黑体"/>
          <w:color w:val="auto"/>
          <w:sz w:val="24"/>
          <w:highlight w:val="none"/>
        </w:rPr>
      </w:pPr>
      <w:r>
        <w:rPr>
          <w:rFonts w:eastAsia="黑体"/>
          <w:color w:val="auto"/>
          <w:sz w:val="24"/>
          <w:highlight w:val="none"/>
        </w:rPr>
        <w:t>17.4质量保证金</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17.4.1项细化为：</w:t>
      </w:r>
    </w:p>
    <w:p>
      <w:pPr>
        <w:adjustRightInd w:val="0"/>
        <w:snapToGrid w:val="0"/>
        <w:spacing w:line="360" w:lineRule="auto"/>
        <w:ind w:firstLine="480" w:firstLineChars="200"/>
        <w:rPr>
          <w:color w:val="auto"/>
          <w:sz w:val="24"/>
          <w:highlight w:val="none"/>
        </w:rPr>
      </w:pPr>
      <w:r>
        <w:rPr>
          <w:color w:val="auto"/>
          <w:sz w:val="24"/>
          <w:highlight w:val="none"/>
        </w:rPr>
        <w:t>监理人应从第一个付款周期开始，在发包人的进度付款中，按10％或项目专用合同条款规定的其它比例扣留质量保证金，直至扣留的质量保证金总额达到合同价格的5%为止。质量保证金的计算额度不包括预付款的支付以及扣回的金额。</w:t>
      </w:r>
    </w:p>
    <w:p>
      <w:pPr>
        <w:adjustRightInd w:val="0"/>
        <w:snapToGrid w:val="0"/>
        <w:spacing w:beforeLines="100" w:line="360" w:lineRule="auto"/>
        <w:rPr>
          <w:rFonts w:eastAsia="黑体"/>
          <w:color w:val="auto"/>
          <w:sz w:val="24"/>
          <w:highlight w:val="none"/>
        </w:rPr>
      </w:pPr>
      <w:r>
        <w:rPr>
          <w:rFonts w:eastAsia="黑体"/>
          <w:color w:val="auto"/>
          <w:sz w:val="24"/>
          <w:highlight w:val="none"/>
        </w:rPr>
        <w:t>17.5竣工结算</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17.5.1竣工付款申请单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承包人向监理人提交竣工付款申请单（包括相关证明材料）的份数：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rFonts w:hint="eastAsia"/>
          <w:color w:val="auto"/>
          <w:sz w:val="24"/>
          <w:highlight w:val="none"/>
          <w:u w:val="single"/>
        </w:rPr>
        <w:t xml:space="preserve"> </w:t>
      </w:r>
      <w:r>
        <w:rPr>
          <w:color w:val="auto"/>
          <w:sz w:val="24"/>
          <w:highlight w:val="none"/>
          <w:u w:val="single"/>
        </w:rPr>
        <w:t>工程接收证书签发后42天内</w:t>
      </w:r>
      <w:r>
        <w:rPr>
          <w:rFonts w:hint="eastAsia"/>
          <w:color w:val="auto"/>
          <w:sz w:val="24"/>
          <w:highlight w:val="none"/>
          <w:u w:val="single"/>
        </w:rPr>
        <w:t xml:space="preserve"> </w:t>
      </w:r>
      <w:r>
        <w:rPr>
          <w:rFonts w:hint="eastAsia"/>
          <w:color w:val="auto"/>
          <w:sz w:val="24"/>
          <w:highlight w:val="none"/>
        </w:rPr>
        <w:t>。</w:t>
      </w:r>
    </w:p>
    <w:p>
      <w:pPr>
        <w:adjustRightInd w:val="0"/>
        <w:snapToGrid w:val="0"/>
        <w:spacing w:beforeLines="100" w:line="360" w:lineRule="auto"/>
        <w:rPr>
          <w:rFonts w:eastAsia="黑体"/>
          <w:color w:val="auto"/>
          <w:sz w:val="24"/>
          <w:highlight w:val="none"/>
        </w:rPr>
      </w:pPr>
      <w:r>
        <w:rPr>
          <w:rFonts w:eastAsia="黑体"/>
          <w:color w:val="auto"/>
          <w:sz w:val="24"/>
          <w:highlight w:val="none"/>
        </w:rPr>
        <w:t>17.6最终结清</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17.6.1最终结清申请单</w:t>
      </w:r>
    </w:p>
    <w:p>
      <w:pPr>
        <w:adjustRightInd w:val="0"/>
        <w:snapToGrid w:val="0"/>
        <w:spacing w:line="360" w:lineRule="auto"/>
        <w:ind w:firstLine="480" w:firstLineChars="200"/>
        <w:rPr>
          <w:color w:val="auto"/>
          <w:sz w:val="24"/>
          <w:highlight w:val="none"/>
        </w:rPr>
      </w:pPr>
      <w:r>
        <w:rPr>
          <w:color w:val="auto"/>
          <w:sz w:val="24"/>
          <w:highlight w:val="none"/>
        </w:rPr>
        <w:t>本项（1</w:t>
      </w:r>
      <w:r>
        <w:rPr>
          <w:rFonts w:hint="eastAsia"/>
          <w:color w:val="auto"/>
          <w:sz w:val="24"/>
          <w:highlight w:val="none"/>
        </w:rPr>
        <w:t>）</w:t>
      </w:r>
      <w:r>
        <w:rPr>
          <w:color w:val="auto"/>
          <w:sz w:val="24"/>
          <w:highlight w:val="none"/>
        </w:rPr>
        <w:t>目约定：</w:t>
      </w:r>
    </w:p>
    <w:p>
      <w:pPr>
        <w:adjustRightInd w:val="0"/>
        <w:snapToGrid w:val="0"/>
        <w:spacing w:line="360" w:lineRule="auto"/>
        <w:ind w:firstLine="480" w:firstLineChars="200"/>
        <w:rPr>
          <w:color w:val="auto"/>
          <w:sz w:val="24"/>
          <w:highlight w:val="none"/>
        </w:rPr>
      </w:pPr>
      <w:r>
        <w:rPr>
          <w:color w:val="auto"/>
          <w:sz w:val="24"/>
          <w:highlight w:val="none"/>
        </w:rPr>
        <w:t>承包人向监理人提交最终结清申请单（包括相关证明材料）的份数：</w:t>
      </w:r>
      <w:r>
        <w:rPr>
          <w:rFonts w:hint="eastAsia"/>
          <w:color w:val="auto"/>
          <w:sz w:val="24"/>
          <w:highlight w:val="none"/>
          <w:u w:val="single"/>
        </w:rPr>
        <w:t xml:space="preserve">     </w:t>
      </w:r>
      <w:r>
        <w:rPr>
          <w:color w:val="auto"/>
          <w:sz w:val="24"/>
          <w:highlight w:val="none"/>
        </w:rPr>
        <w:t>份（在项目专用条款数据表中约定）；期限：</w:t>
      </w:r>
      <w:r>
        <w:rPr>
          <w:color w:val="auto"/>
          <w:sz w:val="24"/>
          <w:highlight w:val="none"/>
          <w:u w:val="single"/>
        </w:rPr>
        <w:t>缺陷责任期终止证书签发后28天内</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最终结清申请单中的总金额应认为是代表了根据合同规定应付给承包人的全部款项的最后结算。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18．竣工验收</w:t>
      </w:r>
    </w:p>
    <w:p>
      <w:pPr>
        <w:adjustRightInd w:val="0"/>
        <w:snapToGrid w:val="0"/>
        <w:spacing w:line="360" w:lineRule="auto"/>
        <w:rPr>
          <w:rFonts w:eastAsia="黑体"/>
          <w:color w:val="auto"/>
          <w:sz w:val="24"/>
          <w:highlight w:val="none"/>
        </w:rPr>
      </w:pPr>
      <w:r>
        <w:rPr>
          <w:rFonts w:eastAsia="黑体"/>
          <w:color w:val="auto"/>
          <w:sz w:val="24"/>
          <w:highlight w:val="none"/>
        </w:rPr>
        <w:t>18.1竣工验收的含义</w:t>
      </w:r>
    </w:p>
    <w:p>
      <w:pPr>
        <w:adjustRightInd w:val="0"/>
        <w:snapToGrid w:val="0"/>
        <w:spacing w:line="360" w:lineRule="auto"/>
        <w:ind w:firstLine="480" w:firstLineChars="200"/>
        <w:rPr>
          <w:color w:val="auto"/>
          <w:sz w:val="24"/>
          <w:highlight w:val="none"/>
        </w:rPr>
      </w:pPr>
      <w:r>
        <w:rPr>
          <w:color w:val="auto"/>
          <w:sz w:val="24"/>
          <w:highlight w:val="none"/>
        </w:rPr>
        <w:t>本款增加第18.1.4项：</w:t>
      </w:r>
    </w:p>
    <w:p>
      <w:pPr>
        <w:adjustRightInd w:val="0"/>
        <w:snapToGrid w:val="0"/>
        <w:spacing w:line="360" w:lineRule="auto"/>
        <w:ind w:firstLine="480" w:firstLineChars="200"/>
        <w:rPr>
          <w:color w:val="auto"/>
          <w:sz w:val="24"/>
          <w:highlight w:val="none"/>
        </w:rPr>
      </w:pPr>
      <w:r>
        <w:rPr>
          <w:color w:val="auto"/>
          <w:sz w:val="24"/>
          <w:highlight w:val="none"/>
        </w:rPr>
        <w:t>18.1.4国家验收（包括竣工验收）按交通部《公路工程竣（交）工验收办法》等相关规定执行。本合同规定的竣工验收即交通部《公路工程竣（交）工验收办法》中指明的交工验收；国家验收即交通部《公路工程竣（交）工验收办法》中指明的竣工验收。</w:t>
      </w:r>
    </w:p>
    <w:p>
      <w:pPr>
        <w:adjustRightInd w:val="0"/>
        <w:snapToGrid w:val="0"/>
        <w:spacing w:beforeLines="100" w:line="360" w:lineRule="auto"/>
        <w:rPr>
          <w:rFonts w:eastAsia="黑体"/>
          <w:color w:val="auto"/>
          <w:sz w:val="24"/>
          <w:highlight w:val="none"/>
        </w:rPr>
      </w:pPr>
      <w:r>
        <w:rPr>
          <w:rFonts w:eastAsia="黑体"/>
          <w:color w:val="auto"/>
          <w:sz w:val="24"/>
          <w:highlight w:val="none"/>
        </w:rPr>
        <w:t>18.3验收</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18.3.2项补充：</w:t>
      </w:r>
    </w:p>
    <w:p>
      <w:pPr>
        <w:adjustRightInd w:val="0"/>
        <w:snapToGrid w:val="0"/>
        <w:spacing w:line="360" w:lineRule="auto"/>
        <w:ind w:firstLine="480" w:firstLineChars="200"/>
        <w:rPr>
          <w:color w:val="auto"/>
          <w:sz w:val="24"/>
          <w:highlight w:val="none"/>
        </w:rPr>
      </w:pPr>
      <w:r>
        <w:rPr>
          <w:color w:val="auto"/>
          <w:sz w:val="24"/>
          <w:highlight w:val="none"/>
        </w:rPr>
        <w:t>竣工验收由发包人主持，由发包人、监理人、质监、设计、施工、运营、管理养护等有关部门代表组成竣工验收委员会，对本项目的工程质量进行评定，并写出竣工验收报告报交通主管部门备案。承包人应按发包人的要求提交竣工资料，完成竣工验收准备工作。</w:t>
      </w:r>
    </w:p>
    <w:p>
      <w:pPr>
        <w:adjustRightInd w:val="0"/>
        <w:snapToGrid w:val="0"/>
        <w:spacing w:line="360" w:lineRule="auto"/>
        <w:ind w:firstLine="480" w:firstLineChars="200"/>
        <w:rPr>
          <w:color w:val="auto"/>
          <w:sz w:val="24"/>
          <w:highlight w:val="none"/>
        </w:rPr>
      </w:pPr>
      <w:r>
        <w:rPr>
          <w:color w:val="auto"/>
          <w:sz w:val="24"/>
          <w:highlight w:val="none"/>
        </w:rPr>
        <w:t>18.3.5项约定为：</w:t>
      </w:r>
    </w:p>
    <w:p>
      <w:pPr>
        <w:adjustRightInd w:val="0"/>
        <w:snapToGrid w:val="0"/>
        <w:spacing w:line="360" w:lineRule="auto"/>
        <w:ind w:firstLine="480" w:firstLineChars="200"/>
        <w:rPr>
          <w:color w:val="auto"/>
          <w:sz w:val="24"/>
          <w:highlight w:val="none"/>
        </w:rPr>
      </w:pPr>
      <w:r>
        <w:rPr>
          <w:color w:val="auto"/>
          <w:sz w:val="24"/>
          <w:highlight w:val="none"/>
        </w:rPr>
        <w:t>经验收合格工程的实际竣工日期，以最终提交竣工验收申请报告的日期为准，并在工程接收证书中写明。</w:t>
      </w:r>
    </w:p>
    <w:p>
      <w:pPr>
        <w:adjustRightInd w:val="0"/>
        <w:snapToGrid w:val="0"/>
        <w:spacing w:line="360" w:lineRule="auto"/>
        <w:ind w:firstLine="480" w:firstLineChars="200"/>
        <w:rPr>
          <w:color w:val="auto"/>
          <w:sz w:val="24"/>
          <w:highlight w:val="none"/>
        </w:rPr>
      </w:pPr>
      <w:r>
        <w:rPr>
          <w:color w:val="auto"/>
          <w:sz w:val="24"/>
          <w:highlight w:val="none"/>
        </w:rPr>
        <w:t>本款增加第18.3.7项：</w:t>
      </w:r>
    </w:p>
    <w:p>
      <w:pPr>
        <w:adjustRightInd w:val="0"/>
        <w:snapToGrid w:val="0"/>
        <w:spacing w:line="360" w:lineRule="auto"/>
        <w:ind w:firstLine="480" w:firstLineChars="200"/>
        <w:rPr>
          <w:color w:val="auto"/>
          <w:sz w:val="24"/>
          <w:highlight w:val="none"/>
        </w:rPr>
      </w:pPr>
      <w:r>
        <w:rPr>
          <w:color w:val="auto"/>
          <w:sz w:val="24"/>
          <w:highlight w:val="none"/>
        </w:rPr>
        <w:t>组织办理竣工验收和签发工程接收证书的费用由发包人承担。但按照18.3.4项规定达不到合格标准的竣工验收费用由承包人承担。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18.5施工期运行</w:t>
      </w:r>
    </w:p>
    <w:p>
      <w:pPr>
        <w:adjustRightInd w:val="0"/>
        <w:snapToGrid w:val="0"/>
        <w:spacing w:line="360" w:lineRule="auto"/>
        <w:ind w:firstLine="480" w:firstLineChars="200"/>
        <w:rPr>
          <w:color w:val="auto"/>
          <w:sz w:val="24"/>
          <w:highlight w:val="none"/>
        </w:rPr>
      </w:pPr>
      <w:r>
        <w:rPr>
          <w:color w:val="auto"/>
          <w:sz w:val="24"/>
          <w:highlight w:val="none"/>
        </w:rPr>
        <w:t>18.5.1项约定：</w:t>
      </w:r>
    </w:p>
    <w:p>
      <w:pPr>
        <w:adjustRightInd w:val="0"/>
        <w:snapToGrid w:val="0"/>
        <w:spacing w:line="360" w:lineRule="auto"/>
        <w:ind w:firstLine="480" w:firstLineChars="200"/>
        <w:rPr>
          <w:color w:val="auto"/>
          <w:sz w:val="24"/>
          <w:highlight w:val="none"/>
          <w:u w:val="single"/>
        </w:rPr>
      </w:pPr>
      <w:r>
        <w:rPr>
          <w:color w:val="auto"/>
          <w:sz w:val="24"/>
          <w:highlight w:val="none"/>
        </w:rPr>
        <w:t>单位工程或工程设备是否需投入施工期运行：</w:t>
      </w:r>
      <w:r>
        <w:rPr>
          <w:rFonts w:hint="eastAsia"/>
          <w:color w:val="auto"/>
          <w:sz w:val="24"/>
          <w:highlight w:val="none"/>
          <w:u w:val="single"/>
        </w:rPr>
        <w:t xml:space="preserve">  （见项目专用合同条款） </w:t>
      </w:r>
    </w:p>
    <w:p>
      <w:pPr>
        <w:adjustRightInd w:val="0"/>
        <w:snapToGrid w:val="0"/>
        <w:spacing w:beforeLines="100" w:line="360" w:lineRule="auto"/>
        <w:rPr>
          <w:rFonts w:eastAsia="黑体"/>
          <w:color w:val="auto"/>
          <w:sz w:val="24"/>
          <w:highlight w:val="none"/>
        </w:rPr>
      </w:pPr>
      <w:r>
        <w:rPr>
          <w:rFonts w:hint="eastAsia" w:eastAsia="黑体"/>
          <w:color w:val="auto"/>
          <w:sz w:val="24"/>
          <w:highlight w:val="none"/>
        </w:rPr>
        <w:t>18.6试运行</w:t>
      </w:r>
    </w:p>
    <w:p>
      <w:pPr>
        <w:adjustRightInd w:val="0"/>
        <w:snapToGrid w:val="0"/>
        <w:spacing w:line="360" w:lineRule="auto"/>
        <w:ind w:firstLine="480" w:firstLineChars="200"/>
        <w:rPr>
          <w:color w:val="auto"/>
          <w:sz w:val="24"/>
          <w:highlight w:val="none"/>
        </w:rPr>
      </w:pPr>
      <w:r>
        <w:rPr>
          <w:color w:val="auto"/>
          <w:sz w:val="24"/>
          <w:highlight w:val="none"/>
        </w:rPr>
        <w:t>18.6.1项约定：</w:t>
      </w:r>
    </w:p>
    <w:p>
      <w:pPr>
        <w:adjustRightInd w:val="0"/>
        <w:snapToGrid w:val="0"/>
        <w:spacing w:line="360" w:lineRule="auto"/>
        <w:ind w:firstLine="480" w:firstLineChars="200"/>
        <w:rPr>
          <w:color w:val="auto"/>
          <w:sz w:val="24"/>
          <w:highlight w:val="none"/>
          <w:u w:val="single"/>
        </w:rPr>
      </w:pPr>
      <w:r>
        <w:rPr>
          <w:color w:val="auto"/>
          <w:sz w:val="24"/>
          <w:highlight w:val="none"/>
        </w:rPr>
        <w:t>本工程及工程设备是否进行试运行：</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试运行的内容：</w:t>
      </w:r>
      <w:r>
        <w:rPr>
          <w:rFonts w:hint="eastAsia"/>
          <w:color w:val="auto"/>
          <w:sz w:val="24"/>
          <w:highlight w:val="none"/>
          <w:u w:val="single"/>
        </w:rPr>
        <w:t xml:space="preserve">  （见项目专用合同条款）</w:t>
      </w:r>
    </w:p>
    <w:p>
      <w:pPr>
        <w:adjustRightInd w:val="0"/>
        <w:snapToGrid w:val="0"/>
        <w:spacing w:line="360" w:lineRule="auto"/>
        <w:ind w:firstLine="480" w:firstLineChars="200"/>
        <w:rPr>
          <w:color w:val="auto"/>
          <w:sz w:val="24"/>
          <w:highlight w:val="none"/>
        </w:rPr>
      </w:pPr>
      <w:r>
        <w:rPr>
          <w:color w:val="auto"/>
          <w:sz w:val="24"/>
          <w:highlight w:val="none"/>
        </w:rPr>
        <w:t>试运行的费用约定：</w:t>
      </w:r>
      <w:r>
        <w:rPr>
          <w:rFonts w:hint="eastAsia"/>
          <w:color w:val="auto"/>
          <w:sz w:val="24"/>
          <w:highlight w:val="none"/>
          <w:u w:val="single"/>
        </w:rPr>
        <w:t xml:space="preserve">  （见项目专用合同条款）</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本条增加第18.9款：</w:t>
      </w:r>
    </w:p>
    <w:p>
      <w:pPr>
        <w:adjustRightInd w:val="0"/>
        <w:snapToGrid w:val="0"/>
        <w:spacing w:line="360" w:lineRule="auto"/>
        <w:rPr>
          <w:rFonts w:eastAsia="黑体"/>
          <w:color w:val="auto"/>
          <w:sz w:val="24"/>
          <w:highlight w:val="none"/>
        </w:rPr>
      </w:pPr>
      <w:r>
        <w:rPr>
          <w:rFonts w:eastAsia="黑体"/>
          <w:color w:val="auto"/>
          <w:sz w:val="24"/>
          <w:highlight w:val="none"/>
        </w:rPr>
        <w:t>18.9竣工文件</w:t>
      </w:r>
    </w:p>
    <w:p>
      <w:pPr>
        <w:adjustRightInd w:val="0"/>
        <w:snapToGrid w:val="0"/>
        <w:spacing w:line="360" w:lineRule="auto"/>
        <w:ind w:firstLine="480" w:firstLineChars="200"/>
        <w:rPr>
          <w:color w:val="auto"/>
          <w:sz w:val="24"/>
          <w:highlight w:val="none"/>
        </w:rPr>
      </w:pPr>
      <w:r>
        <w:rPr>
          <w:color w:val="auto"/>
          <w:sz w:val="24"/>
          <w:highlight w:val="none"/>
        </w:rPr>
        <w:t>承包人应按照交通部《公路工程竣（交）工验收办法》的规定编制竣工图表和施工文件。各分部（项）工程的竣工图须在有关工程完工后在发包人规定的时间内提交监理人审查，全部工程完工后，在全部工程的工程接收证书签发之前，承包人须向发包人提交6整套监理人认为完整、合格的竣工文件。在缺陷责任期内承包人应补充竣工资料，并在签发缺陷责任期终止证书之前提交。</w:t>
      </w: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w:t>
      </w:r>
      <w:r>
        <w:rPr>
          <w:rFonts w:eastAsia="黑体"/>
          <w:color w:val="auto"/>
          <w:sz w:val="24"/>
          <w:highlight w:val="none"/>
        </w:rPr>
        <w:t>缺陷责任与保修责任</w:t>
      </w:r>
    </w:p>
    <w:p>
      <w:pPr>
        <w:adjustRightInd w:val="0"/>
        <w:snapToGrid w:val="0"/>
        <w:spacing w:line="360" w:lineRule="auto"/>
        <w:rPr>
          <w:rFonts w:eastAsia="黑体"/>
          <w:color w:val="auto"/>
          <w:sz w:val="24"/>
          <w:highlight w:val="none"/>
        </w:rPr>
      </w:pPr>
      <w:r>
        <w:rPr>
          <w:rFonts w:eastAsia="黑体"/>
          <w:color w:val="auto"/>
          <w:sz w:val="24"/>
          <w:highlight w:val="none"/>
        </w:rPr>
        <w:t>19.2缺陷责任</w:t>
      </w:r>
    </w:p>
    <w:p>
      <w:pPr>
        <w:adjustRightInd w:val="0"/>
        <w:snapToGrid w:val="0"/>
        <w:spacing w:line="360" w:lineRule="auto"/>
        <w:ind w:firstLine="480" w:firstLineChars="200"/>
        <w:rPr>
          <w:color w:val="auto"/>
          <w:sz w:val="24"/>
          <w:highlight w:val="none"/>
        </w:rPr>
      </w:pPr>
      <w:r>
        <w:rPr>
          <w:color w:val="auto"/>
          <w:sz w:val="24"/>
          <w:highlight w:val="none"/>
        </w:rPr>
        <w:t>19.2.2项补充：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在缺陷责任期内，承包人应尽快完成在工程接收证书中写明的未完成工作，并完成对本工程缺陷的修复或监理人指令的修补工作。</w:t>
      </w:r>
    </w:p>
    <w:p>
      <w:pPr>
        <w:adjustRightInd w:val="0"/>
        <w:snapToGrid w:val="0"/>
        <w:spacing w:line="360" w:lineRule="auto"/>
        <w:ind w:firstLine="480" w:firstLineChars="200"/>
        <w:rPr>
          <w:color w:val="auto"/>
          <w:sz w:val="24"/>
          <w:highlight w:val="none"/>
        </w:rPr>
      </w:pPr>
      <w:r>
        <w:rPr>
          <w:color w:val="auto"/>
          <w:sz w:val="24"/>
          <w:highlight w:val="none"/>
        </w:rPr>
        <w:t>19.2.3项补充：</w:t>
      </w:r>
    </w:p>
    <w:p>
      <w:pPr>
        <w:adjustRightInd w:val="0"/>
        <w:snapToGrid w:val="0"/>
        <w:spacing w:line="360" w:lineRule="auto"/>
        <w:ind w:firstLine="480" w:firstLineChars="200"/>
        <w:rPr>
          <w:color w:val="auto"/>
          <w:sz w:val="24"/>
          <w:highlight w:val="none"/>
        </w:rPr>
      </w:pPr>
      <w:r>
        <w:rPr>
          <w:color w:val="auto"/>
          <w:sz w:val="24"/>
          <w:highlight w:val="none"/>
        </w:rPr>
        <w:t>在缺陷责任期内，下述原因造成的缺陷修复和查验费用应由承包人自行负责：</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承包人所用的材料、设备或操作工艺不符合合同要求；或</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承包人的疏忽或未遵守合同中对承包人规定的义务。</w:t>
      </w:r>
    </w:p>
    <w:p>
      <w:pPr>
        <w:adjustRightInd w:val="0"/>
        <w:snapToGrid w:val="0"/>
        <w:spacing w:beforeLines="100" w:line="360" w:lineRule="auto"/>
        <w:rPr>
          <w:rFonts w:eastAsia="黑体"/>
          <w:color w:val="auto"/>
          <w:sz w:val="24"/>
          <w:highlight w:val="none"/>
        </w:rPr>
      </w:pPr>
      <w:r>
        <w:rPr>
          <w:rFonts w:eastAsia="黑体"/>
          <w:color w:val="auto"/>
          <w:sz w:val="24"/>
          <w:highlight w:val="none"/>
        </w:rPr>
        <w:t>19.3缺陷责任期的延长</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由于承包人原因造成某项缺陷或损坏使某项工程或工程设备不能按原定目标使用而需要再次检查、检验和修复的，发包人有权要求承包人相应延长缺陷责任期，但缺陷责任期最长不超过2年，自该工程或工程设备修复之日起算。</w:t>
      </w:r>
    </w:p>
    <w:p>
      <w:pPr>
        <w:adjustRightInd w:val="0"/>
        <w:snapToGrid w:val="0"/>
        <w:spacing w:beforeLines="100" w:line="360" w:lineRule="auto"/>
        <w:rPr>
          <w:rFonts w:eastAsia="黑体"/>
          <w:color w:val="auto"/>
          <w:sz w:val="24"/>
          <w:highlight w:val="none"/>
        </w:rPr>
      </w:pPr>
      <w:r>
        <w:rPr>
          <w:rFonts w:eastAsia="黑体"/>
          <w:color w:val="auto"/>
          <w:sz w:val="24"/>
          <w:highlight w:val="none"/>
        </w:rPr>
        <w:t>19.5承包人的进入权</w:t>
      </w:r>
    </w:p>
    <w:p>
      <w:pPr>
        <w:adjustRightInd w:val="0"/>
        <w:snapToGrid w:val="0"/>
        <w:spacing w:line="360" w:lineRule="auto"/>
        <w:ind w:firstLine="480" w:firstLineChars="200"/>
        <w:rPr>
          <w:color w:val="auto"/>
          <w:sz w:val="24"/>
          <w:highlight w:val="none"/>
        </w:rPr>
      </w:pPr>
      <w:r>
        <w:rPr>
          <w:color w:val="auto"/>
          <w:sz w:val="24"/>
          <w:highlight w:val="none"/>
        </w:rPr>
        <w:t>本款补充：</w:t>
      </w:r>
    </w:p>
    <w:p>
      <w:pPr>
        <w:adjustRightInd w:val="0"/>
        <w:snapToGrid w:val="0"/>
        <w:spacing w:line="360" w:lineRule="auto"/>
        <w:ind w:firstLine="480" w:firstLineChars="200"/>
        <w:rPr>
          <w:color w:val="auto"/>
          <w:sz w:val="24"/>
          <w:highlight w:val="none"/>
        </w:rPr>
      </w:pPr>
      <w:r>
        <w:rPr>
          <w:color w:val="auto"/>
          <w:sz w:val="24"/>
          <w:highlight w:val="none"/>
        </w:rPr>
        <w:t>承包人在缺陷修复施工过程中，应服从管养单位的有关安全管理规定，由于承包人自身原因造成的人员伤亡、．设备和材料的损毁及罚款等责任由承包人自负。</w:t>
      </w:r>
    </w:p>
    <w:p>
      <w:pPr>
        <w:adjustRightInd w:val="0"/>
        <w:snapToGrid w:val="0"/>
        <w:spacing w:beforeLines="100" w:line="360" w:lineRule="auto"/>
        <w:rPr>
          <w:rFonts w:eastAsia="黑体"/>
          <w:color w:val="auto"/>
          <w:sz w:val="24"/>
          <w:highlight w:val="none"/>
        </w:rPr>
      </w:pPr>
      <w:r>
        <w:rPr>
          <w:rFonts w:eastAsia="黑体"/>
          <w:color w:val="auto"/>
          <w:sz w:val="24"/>
          <w:highlight w:val="none"/>
        </w:rPr>
        <w:t>19.7保修责任</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在缺陷责任期结束后，监理人签发缺陷责任期终止证书之日，工程进入五年的保修期，承包人可不在工地留有办事人员和机械设备，但必须随时与发包人保持联系，在保修期内承包人应对由于施工质量原因造成的损坏自费进行修复。若承包人不履行保修义务和责任，则承包人应承担由于违约造成的法律后果。</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在全部工程竣工验收前，已经发包人提前验收的单位工程，其保修期的起算日期相应提前。</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3</w:t>
      </w:r>
      <w:r>
        <w:rPr>
          <w:rFonts w:hint="eastAsia"/>
          <w:color w:val="auto"/>
          <w:sz w:val="24"/>
          <w:highlight w:val="none"/>
        </w:rPr>
        <w:t>）</w:t>
      </w:r>
      <w:r>
        <w:rPr>
          <w:color w:val="auto"/>
          <w:sz w:val="24"/>
          <w:highlight w:val="none"/>
        </w:rPr>
        <w:t>工程保修期终止后28天内，监理人签发保修期终止证书。</w:t>
      </w:r>
    </w:p>
    <w:p>
      <w:pPr>
        <w:adjustRightInd w:val="0"/>
        <w:snapToGrid w:val="0"/>
        <w:spacing w:beforeLines="100" w:line="360" w:lineRule="auto"/>
        <w:rPr>
          <w:rFonts w:eastAsia="黑体"/>
          <w:color w:val="auto"/>
          <w:sz w:val="24"/>
          <w:highlight w:val="none"/>
        </w:rPr>
      </w:pPr>
      <w:r>
        <w:rPr>
          <w:rFonts w:eastAsia="黑体"/>
          <w:color w:val="auto"/>
          <w:sz w:val="24"/>
          <w:highlight w:val="none"/>
        </w:rPr>
        <w:t>19.</w:t>
      </w:r>
      <w:r>
        <w:rPr>
          <w:rFonts w:hint="eastAsia" w:eastAsia="黑体"/>
          <w:color w:val="auto"/>
          <w:sz w:val="24"/>
          <w:highlight w:val="none"/>
        </w:rPr>
        <w:t>8路面保修</w:t>
      </w:r>
    </w:p>
    <w:p>
      <w:pPr>
        <w:adjustRightInd w:val="0"/>
        <w:snapToGrid w:val="0"/>
        <w:spacing w:line="360" w:lineRule="auto"/>
        <w:ind w:firstLine="480" w:firstLineChars="200"/>
        <w:rPr>
          <w:color w:val="auto"/>
          <w:sz w:val="24"/>
          <w:highlight w:val="none"/>
        </w:rPr>
      </w:pPr>
      <w:r>
        <w:rPr>
          <w:rFonts w:hint="eastAsia"/>
          <w:color w:val="auto"/>
          <w:sz w:val="24"/>
          <w:highlight w:val="none"/>
        </w:rPr>
        <w:t>路面工程招标在缺陷责任期（通车后两年）结束之后，再增加三年路面养护期，由原路面施工单位进行除日常保洁外的路面养护。</w:t>
      </w:r>
    </w:p>
    <w:p>
      <w:pPr>
        <w:adjustRightInd w:val="0"/>
        <w:snapToGrid w:val="0"/>
        <w:spacing w:beforeLines="100" w:line="360" w:lineRule="auto"/>
        <w:rPr>
          <w:rFonts w:eastAsia="黑体"/>
          <w:color w:val="auto"/>
          <w:sz w:val="24"/>
          <w:highlight w:val="none"/>
        </w:rPr>
      </w:pPr>
      <w:r>
        <w:rPr>
          <w:rFonts w:eastAsia="黑体"/>
          <w:color w:val="auto"/>
          <w:sz w:val="24"/>
          <w:highlight w:val="none"/>
        </w:rPr>
        <w:t>20</w:t>
      </w:r>
      <w:r>
        <w:rPr>
          <w:rFonts w:hint="eastAsia" w:eastAsia="黑体"/>
          <w:color w:val="auto"/>
          <w:sz w:val="24"/>
          <w:highlight w:val="none"/>
        </w:rPr>
        <w:t>．</w:t>
      </w:r>
      <w:r>
        <w:rPr>
          <w:rFonts w:eastAsia="黑体"/>
          <w:color w:val="auto"/>
          <w:sz w:val="24"/>
          <w:highlight w:val="none"/>
        </w:rPr>
        <w:t>保险</w:t>
      </w:r>
    </w:p>
    <w:p>
      <w:pPr>
        <w:adjustRightInd w:val="0"/>
        <w:snapToGrid w:val="0"/>
        <w:spacing w:line="360" w:lineRule="auto"/>
        <w:rPr>
          <w:rFonts w:eastAsia="黑体"/>
          <w:color w:val="auto"/>
          <w:sz w:val="24"/>
          <w:highlight w:val="none"/>
        </w:rPr>
      </w:pPr>
      <w:r>
        <w:rPr>
          <w:rFonts w:eastAsia="黑体"/>
          <w:color w:val="auto"/>
          <w:sz w:val="24"/>
          <w:highlight w:val="none"/>
        </w:rPr>
        <w:t>20.1工程保险</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建筑工程一切险的投保内容：为永久工程、临时工程和设备及</w:t>
      </w:r>
      <w:r>
        <w:rPr>
          <w:rFonts w:hint="eastAsia"/>
          <w:color w:val="auto"/>
          <w:sz w:val="24"/>
          <w:highlight w:val="none"/>
        </w:rPr>
        <w:t>已</w:t>
      </w:r>
      <w:r>
        <w:rPr>
          <w:color w:val="auto"/>
          <w:sz w:val="24"/>
          <w:highlight w:val="none"/>
        </w:rPr>
        <w:t>运至施工工地用于永久工程的材料和设备所投的保险。</w:t>
      </w:r>
    </w:p>
    <w:p>
      <w:pPr>
        <w:adjustRightInd w:val="0"/>
        <w:snapToGrid w:val="0"/>
        <w:spacing w:line="360" w:lineRule="auto"/>
        <w:ind w:firstLine="480" w:firstLineChars="200"/>
        <w:rPr>
          <w:color w:val="auto"/>
          <w:sz w:val="24"/>
          <w:highlight w:val="none"/>
        </w:rPr>
      </w:pPr>
      <w:r>
        <w:rPr>
          <w:color w:val="auto"/>
          <w:sz w:val="24"/>
          <w:highlight w:val="none"/>
        </w:rPr>
        <w:t>保险金额：工程量清单第100章（不含建筑工程一切险及第三者责任险的保险费）至700章的合计金额。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保险期限：开工日起直至本合同工程签发缺陷责任期终止证书止（即合同工期＋缺陷责任期）</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承包人应以发包人和承包人的共同名义投保建筑工程一切险。建筑工程一切险的保险费由承包人报价时列入工程量清单100章内。发包人在接到保险单后，将按照保险单的费用直接向承包人支付。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20.4第三者责任险</w:t>
      </w:r>
    </w:p>
    <w:p>
      <w:pPr>
        <w:adjustRightInd w:val="0"/>
        <w:snapToGrid w:val="0"/>
        <w:spacing w:line="360" w:lineRule="auto"/>
        <w:ind w:firstLine="480" w:firstLineChars="200"/>
        <w:rPr>
          <w:color w:val="auto"/>
          <w:sz w:val="24"/>
          <w:highlight w:val="none"/>
        </w:rPr>
      </w:pPr>
      <w:r>
        <w:rPr>
          <w:color w:val="auto"/>
          <w:sz w:val="24"/>
          <w:highlight w:val="none"/>
        </w:rPr>
        <w:t>20.4.2项约定为：</w:t>
      </w:r>
    </w:p>
    <w:p>
      <w:pPr>
        <w:adjustRightInd w:val="0"/>
        <w:snapToGrid w:val="0"/>
        <w:spacing w:line="360" w:lineRule="auto"/>
        <w:ind w:firstLine="480" w:firstLineChars="200"/>
        <w:rPr>
          <w:color w:val="auto"/>
          <w:sz w:val="24"/>
          <w:highlight w:val="none"/>
        </w:rPr>
      </w:pPr>
      <w:r>
        <w:rPr>
          <w:color w:val="auto"/>
          <w:sz w:val="24"/>
          <w:highlight w:val="none"/>
        </w:rPr>
        <w:t>第三者责任险的最低保险金额：</w:t>
      </w:r>
      <w:r>
        <w:rPr>
          <w:rFonts w:hint="eastAsia"/>
          <w:color w:val="auto"/>
          <w:sz w:val="24"/>
          <w:highlight w:val="none"/>
          <w:u w:val="single"/>
        </w:rPr>
        <w:t xml:space="preserve">    </w:t>
      </w:r>
      <w:r>
        <w:rPr>
          <w:color w:val="auto"/>
          <w:sz w:val="24"/>
          <w:highlight w:val="none"/>
        </w:rPr>
        <w:t>万元人民币，事故次数不限（不计免赔额）</w:t>
      </w:r>
    </w:p>
    <w:p>
      <w:pPr>
        <w:adjustRightInd w:val="0"/>
        <w:snapToGrid w:val="0"/>
        <w:spacing w:line="360" w:lineRule="auto"/>
        <w:ind w:firstLine="480" w:firstLineChars="200"/>
        <w:rPr>
          <w:color w:val="auto"/>
          <w:sz w:val="24"/>
          <w:highlight w:val="none"/>
        </w:rPr>
      </w:pPr>
      <w:r>
        <w:rPr>
          <w:color w:val="auto"/>
          <w:sz w:val="24"/>
          <w:highlight w:val="none"/>
        </w:rPr>
        <w:t>保险费率：</w:t>
      </w:r>
      <w:r>
        <w:rPr>
          <w:rFonts w:hint="eastAsia"/>
          <w:color w:val="auto"/>
          <w:sz w:val="24"/>
          <w:highlight w:val="none"/>
          <w:u w:val="single"/>
        </w:rPr>
        <w:t xml:space="preserve">     </w:t>
      </w:r>
      <w:r>
        <w:rPr>
          <w:color w:val="auto"/>
          <w:sz w:val="24"/>
          <w:highlight w:val="none"/>
        </w:rPr>
        <w:t>％。（在项目专用合同条款中约定）</w:t>
      </w:r>
    </w:p>
    <w:p>
      <w:pPr>
        <w:adjustRightInd w:val="0"/>
        <w:snapToGrid w:val="0"/>
        <w:spacing w:line="360" w:lineRule="auto"/>
        <w:ind w:firstLine="480" w:firstLineChars="200"/>
        <w:rPr>
          <w:color w:val="auto"/>
          <w:sz w:val="24"/>
          <w:highlight w:val="none"/>
        </w:rPr>
      </w:pPr>
      <w:r>
        <w:rPr>
          <w:color w:val="auto"/>
          <w:sz w:val="24"/>
          <w:highlight w:val="none"/>
        </w:rPr>
        <w:t>承包人应以发包人和承包人的共同名义投保第三者责任险。第三者责任险的保险费由承包人报价时列入工程量清单100章内。发包人在接到保险单后，将按照保险单的费用直接向承包人支付。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20.5其他保险</w:t>
      </w:r>
    </w:p>
    <w:p>
      <w:pPr>
        <w:adjustRightInd w:val="0"/>
        <w:snapToGrid w:val="0"/>
        <w:spacing w:line="360" w:lineRule="auto"/>
        <w:ind w:firstLine="480" w:firstLineChars="200"/>
        <w:rPr>
          <w:color w:val="auto"/>
          <w:sz w:val="24"/>
          <w:highlight w:val="none"/>
        </w:rPr>
      </w:pPr>
      <w:r>
        <w:rPr>
          <w:color w:val="auto"/>
          <w:sz w:val="24"/>
          <w:highlight w:val="none"/>
        </w:rPr>
        <w:t>本款细化为：</w:t>
      </w:r>
    </w:p>
    <w:p>
      <w:pPr>
        <w:adjustRightInd w:val="0"/>
        <w:snapToGrid w:val="0"/>
        <w:spacing w:line="360" w:lineRule="auto"/>
        <w:ind w:firstLine="480" w:firstLineChars="200"/>
        <w:rPr>
          <w:color w:val="auto"/>
          <w:sz w:val="24"/>
          <w:highlight w:val="none"/>
        </w:rPr>
      </w:pPr>
      <w:r>
        <w:rPr>
          <w:color w:val="auto"/>
          <w:sz w:val="24"/>
          <w:highlight w:val="none"/>
        </w:rPr>
        <w:t>承包人应为其施工设备等办理保险，其投保金额应足以现场重置。办理本款保险的一切费用均由承包人承担，并包括在工程量清单的单价及总额价中，发包人不单独支付。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20.6对各项保险的一般要求</w:t>
      </w:r>
    </w:p>
    <w:p>
      <w:pPr>
        <w:adjustRightInd w:val="0"/>
        <w:snapToGrid w:val="0"/>
        <w:spacing w:line="360" w:lineRule="auto"/>
        <w:ind w:firstLine="480" w:firstLineChars="200"/>
        <w:rPr>
          <w:color w:val="auto"/>
          <w:sz w:val="24"/>
          <w:highlight w:val="none"/>
        </w:rPr>
      </w:pPr>
      <w:r>
        <w:rPr>
          <w:color w:val="auto"/>
          <w:sz w:val="24"/>
          <w:highlight w:val="none"/>
        </w:rPr>
        <w:t>20.6.1保险凭证</w:t>
      </w:r>
    </w:p>
    <w:p>
      <w:pPr>
        <w:adjustRightInd w:val="0"/>
        <w:snapToGrid w:val="0"/>
        <w:spacing w:line="360" w:lineRule="auto"/>
        <w:ind w:firstLine="480" w:firstLineChars="200"/>
        <w:rPr>
          <w:color w:val="auto"/>
          <w:sz w:val="24"/>
          <w:highlight w:val="none"/>
        </w:rPr>
      </w:pPr>
      <w:r>
        <w:rPr>
          <w:color w:val="auto"/>
          <w:sz w:val="24"/>
          <w:highlight w:val="none"/>
        </w:rPr>
        <w:t>本项约定为：</w:t>
      </w:r>
    </w:p>
    <w:p>
      <w:pPr>
        <w:adjustRightInd w:val="0"/>
        <w:snapToGrid w:val="0"/>
        <w:spacing w:line="360" w:lineRule="auto"/>
        <w:ind w:firstLine="480" w:firstLineChars="200"/>
        <w:rPr>
          <w:color w:val="auto"/>
          <w:sz w:val="24"/>
          <w:highlight w:val="none"/>
        </w:rPr>
      </w:pPr>
      <w:r>
        <w:rPr>
          <w:color w:val="auto"/>
          <w:sz w:val="24"/>
          <w:highlight w:val="none"/>
        </w:rPr>
        <w:t>承包人向发包人提交各项保险生效的证据和保险单副本的期限：</w:t>
      </w:r>
      <w:r>
        <w:rPr>
          <w:rFonts w:hint="eastAsia"/>
          <w:color w:val="auto"/>
          <w:sz w:val="24"/>
          <w:highlight w:val="none"/>
          <w:u w:val="single"/>
        </w:rPr>
        <w:t xml:space="preserve">  开工后56天内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20.6.3持续保险</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在整个合同期内，承包人应按合同条款保证足够的保险额。</w:t>
      </w:r>
    </w:p>
    <w:p>
      <w:pPr>
        <w:adjustRightInd w:val="0"/>
        <w:snapToGrid w:val="0"/>
        <w:spacing w:line="360" w:lineRule="auto"/>
        <w:ind w:firstLine="480" w:firstLineChars="200"/>
        <w:rPr>
          <w:color w:val="auto"/>
          <w:sz w:val="24"/>
          <w:highlight w:val="none"/>
        </w:rPr>
      </w:pPr>
      <w:r>
        <w:rPr>
          <w:color w:val="auto"/>
          <w:sz w:val="24"/>
          <w:highlight w:val="none"/>
        </w:rPr>
        <w:t>20.6.4保险</w:t>
      </w:r>
      <w:r>
        <w:rPr>
          <w:rFonts w:hint="eastAsia"/>
          <w:color w:val="auto"/>
          <w:sz w:val="24"/>
          <w:highlight w:val="none"/>
        </w:rPr>
        <w:t>金</w:t>
      </w:r>
      <w:r>
        <w:rPr>
          <w:color w:val="auto"/>
          <w:sz w:val="24"/>
          <w:highlight w:val="none"/>
        </w:rPr>
        <w:t>不足的补偿</w:t>
      </w:r>
    </w:p>
    <w:p>
      <w:pPr>
        <w:adjustRightInd w:val="0"/>
        <w:snapToGrid w:val="0"/>
        <w:spacing w:line="360" w:lineRule="auto"/>
        <w:ind w:firstLine="480" w:firstLineChars="200"/>
        <w:rPr>
          <w:color w:val="auto"/>
          <w:sz w:val="24"/>
          <w:highlight w:val="none"/>
        </w:rPr>
      </w:pPr>
      <w:r>
        <w:rPr>
          <w:color w:val="auto"/>
          <w:sz w:val="24"/>
          <w:highlight w:val="none"/>
        </w:rPr>
        <w:t xml:space="preserve">本项细化为： </w:t>
      </w:r>
    </w:p>
    <w:p>
      <w:pPr>
        <w:adjustRightInd w:val="0"/>
        <w:snapToGrid w:val="0"/>
        <w:spacing w:line="360" w:lineRule="auto"/>
        <w:ind w:firstLine="480" w:firstLineChars="200"/>
        <w:rPr>
          <w:color w:val="auto"/>
          <w:sz w:val="24"/>
          <w:highlight w:val="none"/>
        </w:rPr>
      </w:pPr>
      <w:r>
        <w:rPr>
          <w:color w:val="auto"/>
          <w:sz w:val="24"/>
          <w:highlight w:val="none"/>
        </w:rPr>
        <w:t>保险金不足以补偿损失的（包括免赔额和超过赔偿限额的部分），应由承包人和（或）发包人按合同约定负责补偿。</w:t>
      </w:r>
    </w:p>
    <w:p>
      <w:pPr>
        <w:adjustRightInd w:val="0"/>
        <w:snapToGrid w:val="0"/>
        <w:spacing w:line="360" w:lineRule="auto"/>
        <w:ind w:firstLine="480" w:firstLineChars="200"/>
        <w:rPr>
          <w:color w:val="auto"/>
          <w:sz w:val="24"/>
          <w:highlight w:val="none"/>
        </w:rPr>
      </w:pPr>
      <w:r>
        <w:rPr>
          <w:color w:val="auto"/>
          <w:sz w:val="24"/>
          <w:highlight w:val="none"/>
        </w:rPr>
        <w:t>20.6.5未按约定投保的补救</w:t>
      </w:r>
    </w:p>
    <w:p>
      <w:pPr>
        <w:adjustRightInd w:val="0"/>
        <w:snapToGrid w:val="0"/>
        <w:spacing w:line="360" w:lineRule="auto"/>
        <w:ind w:firstLine="480" w:firstLineChars="200"/>
        <w:rPr>
          <w:color w:val="auto"/>
          <w:sz w:val="24"/>
          <w:highlight w:val="none"/>
        </w:rPr>
      </w:pPr>
      <w:r>
        <w:rPr>
          <w:color w:val="auto"/>
          <w:sz w:val="24"/>
          <w:highlight w:val="none"/>
        </w:rPr>
        <w:t>本项（2）目细化为：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adjustRightInd w:val="0"/>
        <w:snapToGrid w:val="0"/>
        <w:spacing w:beforeLines="100" w:line="360" w:lineRule="auto"/>
        <w:rPr>
          <w:rFonts w:eastAsia="黑体"/>
          <w:color w:val="auto"/>
          <w:sz w:val="24"/>
          <w:highlight w:val="none"/>
        </w:rPr>
      </w:pPr>
      <w:r>
        <w:rPr>
          <w:rFonts w:eastAsia="黑体"/>
          <w:color w:val="auto"/>
          <w:sz w:val="24"/>
          <w:highlight w:val="none"/>
        </w:rPr>
        <w:t>21．不可抗力</w:t>
      </w:r>
    </w:p>
    <w:p>
      <w:pPr>
        <w:adjustRightInd w:val="0"/>
        <w:snapToGrid w:val="0"/>
        <w:spacing w:line="360" w:lineRule="auto"/>
        <w:rPr>
          <w:rFonts w:eastAsia="黑体"/>
          <w:color w:val="auto"/>
          <w:sz w:val="24"/>
          <w:highlight w:val="none"/>
        </w:rPr>
      </w:pPr>
      <w:r>
        <w:rPr>
          <w:rFonts w:eastAsia="黑体"/>
          <w:color w:val="auto"/>
          <w:sz w:val="24"/>
          <w:highlight w:val="none"/>
        </w:rPr>
        <w:t>21.1不可抗力的确认</w:t>
      </w:r>
    </w:p>
    <w:p>
      <w:pPr>
        <w:adjustRightInd w:val="0"/>
        <w:snapToGrid w:val="0"/>
        <w:spacing w:line="360" w:lineRule="auto"/>
        <w:ind w:firstLine="480" w:firstLineChars="200"/>
        <w:rPr>
          <w:color w:val="auto"/>
          <w:sz w:val="24"/>
          <w:highlight w:val="none"/>
        </w:rPr>
      </w:pPr>
      <w:r>
        <w:rPr>
          <w:color w:val="auto"/>
          <w:sz w:val="24"/>
          <w:highlight w:val="none"/>
        </w:rPr>
        <w:t>21</w:t>
      </w: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1项细化为：</w:t>
      </w:r>
    </w:p>
    <w:p>
      <w:pPr>
        <w:adjustRightInd w:val="0"/>
        <w:snapToGrid w:val="0"/>
        <w:spacing w:line="360" w:lineRule="auto"/>
        <w:ind w:firstLine="480" w:firstLineChars="200"/>
        <w:rPr>
          <w:color w:val="auto"/>
          <w:sz w:val="24"/>
          <w:highlight w:val="none"/>
        </w:rPr>
      </w:pPr>
      <w:r>
        <w:rPr>
          <w:color w:val="auto"/>
          <w:sz w:val="24"/>
          <w:highlight w:val="none"/>
        </w:rPr>
        <w:t>不可抗力是指承包人和发包人在订立合同时不可预见，在工程施工过程中不可避免发生并不能克服的自然灾害和社会性突发事件。包括但不限于：</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地震、海啸、火山爆发、泥石流、暴雨（雪）、台风、龙卷风、水灾等自然灾害；</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战争、骚乱、暴动，但纯属承包人或其分包人派遣与雇用的人员由于本合同工程施工原因引起者除外；</w:t>
      </w:r>
    </w:p>
    <w:p>
      <w:pPr>
        <w:adjustRightInd w:val="0"/>
        <w:snapToGrid w:val="0"/>
        <w:spacing w:line="360" w:lineRule="auto"/>
        <w:ind w:firstLine="480" w:firstLineChars="200"/>
        <w:rPr>
          <w:color w:val="auto"/>
          <w:sz w:val="24"/>
          <w:highlight w:val="none"/>
        </w:rPr>
      </w:pPr>
      <w:r>
        <w:rPr>
          <w:color w:val="auto"/>
          <w:sz w:val="24"/>
          <w:highlight w:val="none"/>
        </w:rPr>
        <w:t>（3）核反应、辐射或放射性污染；</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空中飞行物体坠落或非发包人或承包人责任造成的爆炸、火灾；</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瘟疫；</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项目专用合同条款约定的其他情形。</w:t>
      </w:r>
    </w:p>
    <w:p>
      <w:pPr>
        <w:adjustRightInd w:val="0"/>
        <w:snapToGrid w:val="0"/>
        <w:spacing w:beforeLines="100" w:line="360" w:lineRule="auto"/>
        <w:rPr>
          <w:rFonts w:eastAsia="黑体"/>
          <w:color w:val="auto"/>
          <w:sz w:val="24"/>
          <w:highlight w:val="none"/>
        </w:rPr>
      </w:pPr>
      <w:r>
        <w:rPr>
          <w:rFonts w:eastAsia="黑体"/>
          <w:color w:val="auto"/>
          <w:sz w:val="24"/>
          <w:highlight w:val="none"/>
        </w:rPr>
        <w:t>21.3不可抗力后果及其处理</w:t>
      </w:r>
    </w:p>
    <w:p>
      <w:pPr>
        <w:adjustRightInd w:val="0"/>
        <w:snapToGrid w:val="0"/>
        <w:spacing w:line="360" w:lineRule="auto"/>
        <w:ind w:firstLine="480" w:firstLineChars="200"/>
        <w:rPr>
          <w:color w:val="auto"/>
          <w:sz w:val="24"/>
          <w:highlight w:val="none"/>
        </w:rPr>
      </w:pPr>
      <w:r>
        <w:rPr>
          <w:color w:val="auto"/>
          <w:sz w:val="24"/>
          <w:highlight w:val="none"/>
        </w:rPr>
        <w:t>21.3.4因不可抗力解除合同本项细化为：</w:t>
      </w:r>
    </w:p>
    <w:p>
      <w:pPr>
        <w:adjustRightInd w:val="0"/>
        <w:snapToGrid w:val="0"/>
        <w:spacing w:line="360" w:lineRule="auto"/>
        <w:ind w:firstLine="480" w:firstLineChars="200"/>
        <w:rPr>
          <w:color w:val="auto"/>
          <w:sz w:val="24"/>
          <w:highlight w:val="none"/>
        </w:rPr>
      </w:pPr>
      <w:r>
        <w:rPr>
          <w:color w:val="auto"/>
          <w:sz w:val="24"/>
          <w:highlight w:val="none"/>
        </w:rPr>
        <w:t>合同一方当事人因不可抗力不能履行合同的，应当及时通知对方解除合同。合同解除后，承包人应按照第22.2.5项约定撤离施工场地。己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w:t>
      </w:r>
      <w:r>
        <w:rPr>
          <w:rFonts w:hint="eastAsia" w:eastAsia="黑体"/>
          <w:color w:val="auto"/>
          <w:sz w:val="24"/>
          <w:highlight w:val="none"/>
        </w:rPr>
        <w:t>．</w:t>
      </w:r>
      <w:r>
        <w:rPr>
          <w:rFonts w:eastAsia="黑体"/>
          <w:color w:val="auto"/>
          <w:sz w:val="24"/>
          <w:highlight w:val="none"/>
        </w:rPr>
        <w:t>违约</w:t>
      </w:r>
    </w:p>
    <w:p>
      <w:pPr>
        <w:adjustRightInd w:val="0"/>
        <w:snapToGrid w:val="0"/>
        <w:spacing w:line="360" w:lineRule="auto"/>
        <w:rPr>
          <w:rFonts w:eastAsia="黑体"/>
          <w:color w:val="auto"/>
          <w:sz w:val="24"/>
          <w:highlight w:val="none"/>
        </w:rPr>
      </w:pPr>
      <w:r>
        <w:rPr>
          <w:rFonts w:eastAsia="黑体"/>
          <w:color w:val="auto"/>
          <w:sz w:val="24"/>
          <w:highlight w:val="none"/>
        </w:rPr>
        <w:t>22.1承包人违约</w:t>
      </w:r>
    </w:p>
    <w:p>
      <w:pPr>
        <w:adjustRightInd w:val="0"/>
        <w:snapToGrid w:val="0"/>
        <w:spacing w:line="360" w:lineRule="auto"/>
        <w:ind w:firstLine="480" w:firstLineChars="200"/>
        <w:rPr>
          <w:color w:val="auto"/>
          <w:sz w:val="24"/>
          <w:highlight w:val="none"/>
        </w:rPr>
      </w:pPr>
      <w:r>
        <w:rPr>
          <w:color w:val="auto"/>
          <w:sz w:val="24"/>
          <w:highlight w:val="none"/>
        </w:rPr>
        <w:t>22.1.1承包人违约的情形</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承包人违反第5.3款或第6.4款的约定，未经监理人批准，私自将已按合同约定进入施工场地的施工设备、临时设施、材料或工程设备撤离施工场地；</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承包人未能按期开工；</w:t>
      </w:r>
    </w:p>
    <w:p>
      <w:pPr>
        <w:adjustRightInd w:val="0"/>
        <w:snapToGrid w:val="0"/>
        <w:spacing w:line="360"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承包人违反第4.6款关于按投标文件及时配备称职的主要管理人员与技术骨干的规定，或违反第6.3款承包人承诺配备的关键施工设备；</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9</w:t>
      </w:r>
      <w:r>
        <w:rPr>
          <w:rFonts w:hint="eastAsia"/>
          <w:color w:val="auto"/>
          <w:sz w:val="24"/>
          <w:highlight w:val="none"/>
        </w:rPr>
        <w:t>）</w:t>
      </w:r>
      <w:r>
        <w:rPr>
          <w:color w:val="auto"/>
          <w:sz w:val="24"/>
          <w:highlight w:val="none"/>
        </w:rPr>
        <w:t>承包人不按合同约定履行义务的其他情况。</w:t>
      </w:r>
    </w:p>
    <w:p>
      <w:pPr>
        <w:adjustRightInd w:val="0"/>
        <w:snapToGrid w:val="0"/>
        <w:spacing w:line="360" w:lineRule="auto"/>
        <w:ind w:firstLine="480" w:firstLineChars="200"/>
        <w:rPr>
          <w:color w:val="auto"/>
          <w:sz w:val="24"/>
          <w:highlight w:val="none"/>
        </w:rPr>
      </w:pPr>
      <w:r>
        <w:rPr>
          <w:color w:val="auto"/>
          <w:sz w:val="24"/>
          <w:highlight w:val="none"/>
        </w:rPr>
        <w:t>22.1.2对承包人违约的处理</w:t>
      </w:r>
    </w:p>
    <w:p>
      <w:pPr>
        <w:adjustRightInd w:val="0"/>
        <w:snapToGrid w:val="0"/>
        <w:spacing w:line="360" w:lineRule="auto"/>
        <w:ind w:firstLine="480" w:firstLineChars="200"/>
        <w:rPr>
          <w:color w:val="auto"/>
          <w:sz w:val="24"/>
          <w:highlight w:val="none"/>
        </w:rPr>
      </w:pPr>
      <w:r>
        <w:rPr>
          <w:color w:val="auto"/>
          <w:sz w:val="24"/>
          <w:highlight w:val="none"/>
        </w:rPr>
        <w:t>本项补充：</w:t>
      </w:r>
    </w:p>
    <w:p>
      <w:pPr>
        <w:adjustRightInd w:val="0"/>
        <w:snapToGrid w:val="0"/>
        <w:spacing w:line="360" w:lineRule="auto"/>
        <w:ind w:firstLine="480" w:firstLineChars="200"/>
        <w:rPr>
          <w:color w:val="auto"/>
          <w:sz w:val="24"/>
          <w:highlight w:val="none"/>
        </w:rPr>
      </w:pPr>
      <w:r>
        <w:rPr>
          <w:color w:val="auto"/>
          <w:sz w:val="24"/>
          <w:highlight w:val="none"/>
        </w:rPr>
        <w:t>承包人发生第22.1.1项约定的违约情况时，无论发包人是否解除合同，发包人均有权向承包人课以项目专用合同条款中规定的违约金。</w:t>
      </w:r>
    </w:p>
    <w:p>
      <w:pPr>
        <w:adjustRightInd w:val="0"/>
        <w:snapToGrid w:val="0"/>
        <w:spacing w:beforeLines="100" w:line="360" w:lineRule="auto"/>
        <w:rPr>
          <w:rFonts w:eastAsia="黑体"/>
          <w:color w:val="auto"/>
          <w:sz w:val="24"/>
          <w:highlight w:val="none"/>
        </w:rPr>
      </w:pPr>
      <w:r>
        <w:rPr>
          <w:rFonts w:eastAsia="黑体"/>
          <w:color w:val="auto"/>
          <w:sz w:val="24"/>
          <w:highlight w:val="none"/>
        </w:rPr>
        <w:t>22.2发包人违约</w:t>
      </w:r>
    </w:p>
    <w:p>
      <w:pPr>
        <w:adjustRightInd w:val="0"/>
        <w:snapToGrid w:val="0"/>
        <w:spacing w:line="360" w:lineRule="auto"/>
        <w:ind w:firstLine="480" w:firstLineChars="200"/>
        <w:rPr>
          <w:color w:val="auto"/>
          <w:sz w:val="24"/>
          <w:highlight w:val="none"/>
        </w:rPr>
      </w:pPr>
      <w:r>
        <w:rPr>
          <w:color w:val="auto"/>
          <w:sz w:val="24"/>
          <w:highlight w:val="none"/>
        </w:rPr>
        <w:t>22.2.4解除合同后的付款</w:t>
      </w:r>
    </w:p>
    <w:p>
      <w:pPr>
        <w:adjustRightInd w:val="0"/>
        <w:snapToGrid w:val="0"/>
        <w:spacing w:line="360" w:lineRule="auto"/>
        <w:ind w:firstLine="480" w:firstLineChars="200"/>
        <w:rPr>
          <w:color w:val="auto"/>
          <w:sz w:val="24"/>
          <w:highlight w:val="none"/>
        </w:rPr>
      </w:pPr>
      <w:r>
        <w:rPr>
          <w:color w:val="auto"/>
          <w:sz w:val="24"/>
          <w:highlight w:val="none"/>
        </w:rPr>
        <w:t>本项</w:t>
      </w: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目细化为：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承包人为该工程施工订购并已付款的材料、工程设备和其他物品的金额。发包人付款后，该材料、工程设备和其他物品归发包人所有；</w:t>
      </w:r>
    </w:p>
    <w:p>
      <w:pPr>
        <w:adjustRightInd w:val="0"/>
        <w:snapToGrid w:val="0"/>
        <w:spacing w:beforeLines="100" w:line="360" w:lineRule="auto"/>
        <w:rPr>
          <w:rFonts w:eastAsia="黑体"/>
          <w:color w:val="auto"/>
          <w:sz w:val="24"/>
          <w:highlight w:val="none"/>
        </w:rPr>
      </w:pPr>
      <w:r>
        <w:rPr>
          <w:rFonts w:eastAsia="黑体"/>
          <w:color w:val="auto"/>
          <w:sz w:val="24"/>
          <w:highlight w:val="none"/>
        </w:rPr>
        <w:t>23</w:t>
      </w:r>
      <w:r>
        <w:rPr>
          <w:rFonts w:hint="eastAsia" w:eastAsia="黑体"/>
          <w:color w:val="auto"/>
          <w:sz w:val="24"/>
          <w:highlight w:val="none"/>
        </w:rPr>
        <w:t>．</w:t>
      </w:r>
      <w:r>
        <w:rPr>
          <w:rFonts w:eastAsia="黑体"/>
          <w:color w:val="auto"/>
          <w:sz w:val="24"/>
          <w:highlight w:val="none"/>
        </w:rPr>
        <w:t>索赔</w:t>
      </w:r>
    </w:p>
    <w:p>
      <w:pPr>
        <w:adjustRightInd w:val="0"/>
        <w:snapToGrid w:val="0"/>
        <w:spacing w:line="360" w:lineRule="auto"/>
        <w:rPr>
          <w:rFonts w:eastAsia="黑体"/>
          <w:color w:val="auto"/>
          <w:sz w:val="24"/>
          <w:highlight w:val="none"/>
        </w:rPr>
      </w:pPr>
      <w:r>
        <w:rPr>
          <w:rFonts w:eastAsia="黑体"/>
          <w:color w:val="auto"/>
          <w:sz w:val="24"/>
          <w:highlight w:val="none"/>
        </w:rPr>
        <w:t>23.1承包人索赔的提出</w:t>
      </w:r>
    </w:p>
    <w:p>
      <w:pPr>
        <w:adjustRightInd w:val="0"/>
        <w:snapToGrid w:val="0"/>
        <w:spacing w:line="360" w:lineRule="auto"/>
        <w:ind w:firstLine="480" w:firstLineChars="200"/>
        <w:rPr>
          <w:color w:val="auto"/>
          <w:sz w:val="24"/>
          <w:highlight w:val="none"/>
        </w:rPr>
      </w:pPr>
      <w:r>
        <w:rPr>
          <w:color w:val="auto"/>
          <w:sz w:val="24"/>
          <w:highlight w:val="none"/>
        </w:rPr>
        <w:t>本款</w:t>
      </w:r>
      <w:r>
        <w:rPr>
          <w:rFonts w:hint="eastAsia"/>
          <w:color w:val="auto"/>
          <w:sz w:val="24"/>
          <w:highlight w:val="none"/>
        </w:rPr>
        <w:t>（</w:t>
      </w:r>
      <w:r>
        <w:rPr>
          <w:color w:val="auto"/>
          <w:sz w:val="24"/>
          <w:highlight w:val="none"/>
        </w:rPr>
        <w:t>4）项细化为：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在索赔事件影响结束后的28天内，承包人应向监理人递交最终索赔通知’书，说明最终要求索赔的追加付款金额和（或）延长的工期，并附必要的记录和证明材料。</w:t>
      </w:r>
    </w:p>
    <w:p>
      <w:pPr>
        <w:adjustRightInd w:val="0"/>
        <w:snapToGrid w:val="0"/>
        <w:spacing w:line="360" w:lineRule="auto"/>
        <w:rPr>
          <w:rFonts w:eastAsia="黑体"/>
          <w:color w:val="auto"/>
          <w:sz w:val="24"/>
          <w:highlight w:val="none"/>
        </w:rPr>
      </w:pPr>
      <w:r>
        <w:rPr>
          <w:rFonts w:eastAsia="黑体"/>
          <w:color w:val="auto"/>
          <w:sz w:val="24"/>
          <w:highlight w:val="none"/>
        </w:rPr>
        <w:t>23.2承包人索赔处理程序</w:t>
      </w:r>
    </w:p>
    <w:p>
      <w:pPr>
        <w:adjustRightInd w:val="0"/>
        <w:snapToGrid w:val="0"/>
        <w:spacing w:line="360" w:lineRule="auto"/>
        <w:ind w:firstLine="480" w:firstLineChars="200"/>
        <w:rPr>
          <w:color w:val="auto"/>
          <w:sz w:val="24"/>
          <w:highlight w:val="none"/>
        </w:rPr>
      </w:pPr>
      <w:r>
        <w:rPr>
          <w:color w:val="auto"/>
          <w:sz w:val="24"/>
          <w:highlight w:val="none"/>
        </w:rPr>
        <w:t>本款（2</w:t>
      </w:r>
      <w:r>
        <w:rPr>
          <w:rFonts w:hint="eastAsia"/>
          <w:color w:val="auto"/>
          <w:sz w:val="24"/>
          <w:highlight w:val="none"/>
        </w:rPr>
        <w:t>）</w:t>
      </w:r>
      <w:r>
        <w:rPr>
          <w:color w:val="auto"/>
          <w:sz w:val="24"/>
          <w:highlight w:val="none"/>
        </w:rPr>
        <w:t>项细化为：</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监理人应按第3.5款商定或确定追加的付款和（或）延长的工期，并在收到上述索赔通知书或有关索赔的进一步证明材料后的42天内，将索赔处理结果报发包人批准后答复承包人。如果承包人提出的索赔要求未能遵守第23.1 （2）至（4）项的规定，则承包人只限于索赔由监理人按当时记录予以核实的那部分款额和（或）工期延长天数。</w:t>
      </w:r>
    </w:p>
    <w:p>
      <w:pPr>
        <w:adjustRightInd w:val="0"/>
        <w:snapToGrid w:val="0"/>
        <w:spacing w:beforeLines="100" w:line="360" w:lineRule="auto"/>
        <w:rPr>
          <w:rFonts w:eastAsia="黑体"/>
          <w:color w:val="auto"/>
          <w:sz w:val="24"/>
          <w:highlight w:val="none"/>
        </w:rPr>
      </w:pPr>
      <w:r>
        <w:rPr>
          <w:rFonts w:eastAsia="黑体"/>
          <w:color w:val="auto"/>
          <w:sz w:val="24"/>
          <w:highlight w:val="none"/>
        </w:rPr>
        <w:t>24</w:t>
      </w:r>
      <w:r>
        <w:rPr>
          <w:rFonts w:hint="eastAsia" w:eastAsia="黑体"/>
          <w:color w:val="auto"/>
          <w:sz w:val="24"/>
          <w:highlight w:val="none"/>
        </w:rPr>
        <w:t>．</w:t>
      </w:r>
      <w:r>
        <w:rPr>
          <w:rFonts w:eastAsia="黑体"/>
          <w:color w:val="auto"/>
          <w:sz w:val="24"/>
          <w:highlight w:val="none"/>
        </w:rPr>
        <w:t>争议的解决</w:t>
      </w:r>
    </w:p>
    <w:p>
      <w:pPr>
        <w:adjustRightInd w:val="0"/>
        <w:snapToGrid w:val="0"/>
        <w:spacing w:line="360" w:lineRule="auto"/>
        <w:rPr>
          <w:rFonts w:eastAsia="黑体"/>
          <w:color w:val="auto"/>
          <w:sz w:val="24"/>
          <w:highlight w:val="none"/>
        </w:rPr>
      </w:pPr>
      <w:r>
        <w:rPr>
          <w:rFonts w:eastAsia="黑体"/>
          <w:color w:val="auto"/>
          <w:sz w:val="24"/>
          <w:highlight w:val="none"/>
        </w:rPr>
        <w:t>24.1争议的解决方式</w:t>
      </w:r>
    </w:p>
    <w:p>
      <w:pPr>
        <w:adjustRightInd w:val="0"/>
        <w:snapToGrid w:val="0"/>
        <w:spacing w:line="360" w:lineRule="auto"/>
        <w:ind w:firstLine="480" w:firstLineChars="200"/>
        <w:rPr>
          <w:color w:val="auto"/>
          <w:sz w:val="24"/>
          <w:highlight w:val="none"/>
        </w:rPr>
      </w:pPr>
      <w:r>
        <w:rPr>
          <w:color w:val="auto"/>
          <w:sz w:val="24"/>
          <w:highlight w:val="none"/>
        </w:rPr>
        <w:t>本款约定为：</w:t>
      </w:r>
    </w:p>
    <w:p>
      <w:pPr>
        <w:adjustRightInd w:val="0"/>
        <w:snapToGrid w:val="0"/>
        <w:spacing w:line="360" w:lineRule="auto"/>
        <w:ind w:firstLine="480" w:firstLineChars="200"/>
        <w:rPr>
          <w:color w:val="auto"/>
          <w:sz w:val="24"/>
          <w:highlight w:val="none"/>
        </w:rPr>
      </w:pPr>
      <w:r>
        <w:rPr>
          <w:color w:val="auto"/>
          <w:sz w:val="24"/>
          <w:highlight w:val="none"/>
        </w:rPr>
        <w:t>争议的最终解决方式：</w:t>
      </w:r>
      <w:r>
        <w:rPr>
          <w:rFonts w:hint="eastAsia"/>
          <w:color w:val="auto"/>
          <w:sz w:val="24"/>
          <w:highlight w:val="none"/>
          <w:u w:val="single"/>
        </w:rPr>
        <w:t xml:space="preserve">   仲裁或诉讼   </w:t>
      </w:r>
      <w:r>
        <w:rPr>
          <w:color w:val="auto"/>
          <w:sz w:val="24"/>
          <w:highlight w:val="none"/>
        </w:rPr>
        <w:t>（在项目专用条款数据中约定）</w:t>
      </w:r>
    </w:p>
    <w:p>
      <w:pPr>
        <w:adjustRightInd w:val="0"/>
        <w:snapToGrid w:val="0"/>
        <w:spacing w:line="360" w:lineRule="auto"/>
        <w:ind w:firstLine="480" w:firstLineChars="200"/>
        <w:rPr>
          <w:color w:val="auto"/>
          <w:sz w:val="24"/>
          <w:highlight w:val="none"/>
        </w:rPr>
      </w:pPr>
      <w:r>
        <w:rPr>
          <w:color w:val="auto"/>
          <w:sz w:val="24"/>
          <w:highlight w:val="none"/>
        </w:rPr>
        <w:t>如采用仲裁，仲裁委员会名称：</w:t>
      </w:r>
      <w:r>
        <w:rPr>
          <w:color w:val="auto"/>
          <w:sz w:val="24"/>
          <w:highlight w:val="none"/>
          <w:u w:val="single"/>
        </w:rPr>
        <w:t>（在项目专用条款数据中约定）</w:t>
      </w:r>
    </w:p>
    <w:p>
      <w:pPr>
        <w:adjustRightInd w:val="0"/>
        <w:snapToGrid w:val="0"/>
        <w:spacing w:beforeLines="100" w:line="360" w:lineRule="auto"/>
        <w:rPr>
          <w:rFonts w:eastAsia="黑体"/>
          <w:color w:val="auto"/>
          <w:sz w:val="24"/>
          <w:highlight w:val="none"/>
        </w:rPr>
      </w:pPr>
      <w:r>
        <w:rPr>
          <w:rFonts w:eastAsia="黑体"/>
          <w:color w:val="auto"/>
          <w:sz w:val="24"/>
          <w:highlight w:val="none"/>
        </w:rPr>
        <w:t>24.3争议评审</w:t>
      </w:r>
    </w:p>
    <w:p>
      <w:pPr>
        <w:adjustRightInd w:val="0"/>
        <w:snapToGrid w:val="0"/>
        <w:spacing w:line="360" w:lineRule="auto"/>
        <w:ind w:firstLine="480" w:firstLineChars="200"/>
        <w:rPr>
          <w:color w:val="auto"/>
          <w:sz w:val="24"/>
          <w:highlight w:val="none"/>
        </w:rPr>
      </w:pPr>
      <w:r>
        <w:rPr>
          <w:color w:val="auto"/>
          <w:sz w:val="24"/>
          <w:highlight w:val="none"/>
        </w:rPr>
        <w:t>24.3</w:t>
      </w:r>
      <w:r>
        <w:rPr>
          <w:rFonts w:hint="eastAsia"/>
          <w:color w:val="auto"/>
          <w:sz w:val="24"/>
          <w:highlight w:val="none"/>
        </w:rPr>
        <w:t>.</w:t>
      </w:r>
      <w:r>
        <w:rPr>
          <w:color w:val="auto"/>
          <w:sz w:val="24"/>
          <w:highlight w:val="none"/>
        </w:rPr>
        <w:t>1项补充：</w:t>
      </w:r>
    </w:p>
    <w:p>
      <w:pPr>
        <w:adjustRightInd w:val="0"/>
        <w:snapToGrid w:val="0"/>
        <w:spacing w:line="360" w:lineRule="auto"/>
        <w:ind w:firstLine="480" w:firstLineChars="200"/>
        <w:rPr>
          <w:color w:val="auto"/>
          <w:sz w:val="24"/>
          <w:highlight w:val="none"/>
        </w:rPr>
      </w:pPr>
      <w:r>
        <w:rPr>
          <w:color w:val="auto"/>
          <w:sz w:val="24"/>
          <w:highlight w:val="none"/>
        </w:rPr>
        <w:t>争议评审组由3人或5人组成，专家的聘请方法可由发包人和承包人共同协商确定，亦可请政府主管部门推荐或通过行业合同争议调解机构聘请，并经双方认同。争议评审组成员应与合同双方均无利害关系。争议评审组的各项费用由发包人和承包人平均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本条增加第24.4</w:t>
      </w:r>
      <w:r>
        <w:rPr>
          <w:rFonts w:hint="eastAsia" w:eastAsia="黑体"/>
          <w:color w:val="auto"/>
          <w:sz w:val="24"/>
          <w:highlight w:val="none"/>
        </w:rPr>
        <w:t>、</w:t>
      </w:r>
      <w:r>
        <w:rPr>
          <w:rFonts w:eastAsia="黑体"/>
          <w:color w:val="auto"/>
          <w:sz w:val="24"/>
          <w:highlight w:val="none"/>
        </w:rPr>
        <w:t>24.5款（适用于采用仲裁方式最终解决争议的项目）：</w:t>
      </w:r>
    </w:p>
    <w:p>
      <w:pPr>
        <w:adjustRightInd w:val="0"/>
        <w:snapToGrid w:val="0"/>
        <w:spacing w:line="360" w:lineRule="auto"/>
        <w:rPr>
          <w:rFonts w:eastAsia="黑体"/>
          <w:color w:val="auto"/>
          <w:sz w:val="24"/>
          <w:highlight w:val="none"/>
        </w:rPr>
      </w:pPr>
      <w:r>
        <w:rPr>
          <w:rFonts w:eastAsia="黑体"/>
          <w:color w:val="auto"/>
          <w:sz w:val="24"/>
          <w:highlight w:val="none"/>
        </w:rPr>
        <w:t>24.4仲裁</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对于未能友好解决或通过争议评审解决的争议，发包人或承包人任一方均有权提交给第24.1款约定的仲裁委员会仲裁。</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仲裁可在竣工之前或之后进行，但发包人、监理人和承包人各自的义务不得因在工程实施期间进行仲裁而有所改变。如果仲裁是在终止合同的情况下进行，则对合同工程应采取保护措施，措施费由败诉方承担。</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仲裁裁决是终局性的并对发包人和承包人双方具有约束力。</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全部仲裁费用应由败诉方承担；或按仲裁委员会裁决的比例分担。</w:t>
      </w:r>
    </w:p>
    <w:p>
      <w:pPr>
        <w:adjustRightInd w:val="0"/>
        <w:snapToGrid w:val="0"/>
        <w:spacing w:beforeLines="100" w:line="360" w:lineRule="auto"/>
        <w:rPr>
          <w:rFonts w:eastAsia="黑体"/>
          <w:color w:val="auto"/>
          <w:sz w:val="24"/>
          <w:highlight w:val="none"/>
        </w:rPr>
      </w:pPr>
      <w:r>
        <w:rPr>
          <w:rFonts w:eastAsia="黑体"/>
          <w:color w:val="auto"/>
          <w:sz w:val="24"/>
          <w:highlight w:val="none"/>
        </w:rPr>
        <w:t>24.5诉讼</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任何一方不履行仲裁机构的裁决的，对方可以向有管辖权的人民法院申请执行。受申请的人民法院应当执行。</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一书面仲裁协议重新申请仲裁，也可以向人民法院起诉。</w:t>
      </w: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tabs>
          <w:tab w:val="left" w:pos="4500"/>
        </w:tabs>
        <w:spacing w:line="520" w:lineRule="exact"/>
        <w:jc w:val="center"/>
        <w:rPr>
          <w:rFonts w:hint="eastAsia" w:ascii="黑体" w:eastAsia="黑体"/>
          <w:bCs/>
          <w:color w:val="auto"/>
          <w:sz w:val="36"/>
          <w:szCs w:val="36"/>
          <w:highlight w:val="none"/>
        </w:rPr>
      </w:pPr>
    </w:p>
    <w:p>
      <w:pPr>
        <w:tabs>
          <w:tab w:val="left" w:pos="4500"/>
        </w:tabs>
        <w:spacing w:line="520" w:lineRule="exact"/>
        <w:jc w:val="center"/>
        <w:rPr>
          <w:rFonts w:hint="eastAsia" w:ascii="黑体" w:eastAsia="黑体"/>
          <w:bCs/>
          <w:color w:val="auto"/>
          <w:sz w:val="36"/>
          <w:szCs w:val="36"/>
          <w:highlight w:val="none"/>
        </w:rPr>
      </w:pPr>
    </w:p>
    <w:p>
      <w:pPr>
        <w:tabs>
          <w:tab w:val="left" w:pos="4500"/>
        </w:tabs>
        <w:spacing w:line="520" w:lineRule="exact"/>
        <w:jc w:val="center"/>
        <w:rPr>
          <w:rFonts w:ascii="黑体" w:eastAsia="黑体"/>
          <w:bCs/>
          <w:color w:val="auto"/>
          <w:sz w:val="36"/>
          <w:szCs w:val="36"/>
          <w:highlight w:val="none"/>
        </w:rPr>
      </w:pPr>
      <w:r>
        <w:rPr>
          <w:rFonts w:hint="eastAsia" w:ascii="黑体" w:eastAsia="黑体"/>
          <w:bCs/>
          <w:color w:val="auto"/>
          <w:sz w:val="36"/>
          <w:szCs w:val="36"/>
          <w:highlight w:val="none"/>
        </w:rPr>
        <w:t>B.项目专用合同条款</w:t>
      </w:r>
    </w:p>
    <w:p>
      <w:pPr>
        <w:tabs>
          <w:tab w:val="left" w:pos="4500"/>
        </w:tabs>
        <w:spacing w:line="520" w:lineRule="exact"/>
        <w:jc w:val="center"/>
        <w:rPr>
          <w:rFonts w:ascii="黑体" w:eastAsia="黑体"/>
          <w:bCs/>
          <w:color w:val="auto"/>
          <w:sz w:val="36"/>
          <w:szCs w:val="36"/>
          <w:highlight w:val="none"/>
        </w:rPr>
      </w:pP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1.1 考虑养护工程的特殊性，项目工程量增减变量难以去确定，因此项目清单单价杜绝不平衡报价。清单单价报价范围应在调整后的招标人清单报价的105％（含105％）至85％（含85％）之间，不在该范围的投标人清单报价作为废标处理。</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1.2施工过程中，对于施工质量差、进度严重滞后的施工单位，发包人可以将其驱逐出场，或者强行分割其承包工程。</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1.3本工程质量目标要求竣工为优良工程（以政府公路工程质量监督机构国家验收评定为依据），标段工程质量鉴定得分在90分以上（含90分）。经国家验收，标段工程质量鉴定得分在90分以下未达到优良等级的，质量保证金不予支付，同时在许昌交通建设市场给予通报批评，并上报省交通运输厅建议降低施工单位信用等级评价。</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2.1价格调整：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2.1.1调整材料种类：水泥、沥青、燃料油、中粗砂、碎石。</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2.1.2材料基准价格：招标人报价中材料价格。</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2.1.3材料数量：以当期计量工程量确定，燃料油数量按照部颁定额消耗量分析方法确定，延期计量的，以实际完成时间计算。材料价格涨、降超出10％的可进行价格调整。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1、当施工单位投标报价中可调材料价格低于基准价格（发包人公示价格）时，只对实际价格涨（降）幅度在基准价10%以外的部分进行调整；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2、当施工单位投标报价中可调材料价格高于基准价格时，只对实际价格涨（降）幅度在投标报价中可调价格10%以外的部分进行调整。</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3、双方承担比例：材料价格涨（降）幅度超过10％的部分，由承包人和业主进行协商解决。</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4、因施工单位原因造成工期延误的，在延误期间价格变化引起的增加费用由施工单位承担。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承包人安排在施工场地的主要管理人员和技术骨干应与投标文件（如承包人未在投标阶段对人员进行新增或更新，则以资格预审申请文件为准）所承诺的名单一致，并保持相对稳定，原则上不充许更换，如确需要更换人员，更换比例不得超出投标文件人员承诺书中人员总数的30%。合同签订时进场人员（拟投入关键人员承诺书所列人员）如需更换，更换人员须经监理、发包人审查同意后方可更换，同时给予处罚，承包人的主要人员（项目经理、项目副经理、项目总工程师、试验负责人、质检工程师）每更换一人次处罚10万元；合同中的其他人员（拟投入关键人员承诺书所列人员）每更换一人次处罚5万元。承包人的主要人员（项目经理、项目副经理、项目总工程师、试验负责人、质检工程师）一旦擅自更换，发包人对承包人处罚20万元/每人次；合同中的其他人员（拟投入关键人员承诺书所列人员）一旦擅自更换，发包人对承包人处罚5万元/每人次；同时要求承包人按合同承诺人员到位，并按照发包人下发的履约评价实施细则扣分。未经监理人批准，上述人员不应无故不到位或被替换；若确实无法到位或需替换，需经监理人审核并报发包人批准后，用同等资质和经历的人员替换。</w:t>
      </w: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color w:val="auto"/>
          <w:sz w:val="24"/>
          <w:highlight w:val="none"/>
        </w:rPr>
      </w:pPr>
    </w:p>
    <w:p>
      <w:pPr>
        <w:tabs>
          <w:tab w:val="left" w:pos="4500"/>
        </w:tabs>
        <w:spacing w:line="520" w:lineRule="exact"/>
        <w:jc w:val="center"/>
        <w:rPr>
          <w:rFonts w:ascii="黑体" w:eastAsia="黑体"/>
          <w:color w:val="auto"/>
          <w:sz w:val="32"/>
          <w:szCs w:val="32"/>
          <w:highlight w:val="none"/>
        </w:rPr>
      </w:pPr>
      <w:r>
        <w:rPr>
          <w:rFonts w:ascii="黑体" w:eastAsia="黑体"/>
          <w:bCs/>
          <w:color w:val="auto"/>
          <w:sz w:val="36"/>
          <w:szCs w:val="36"/>
          <w:highlight w:val="none"/>
        </w:rPr>
        <w:br w:type="page"/>
      </w:r>
      <w:r>
        <w:rPr>
          <w:rFonts w:hint="eastAsia" w:ascii="黑体" w:eastAsia="黑体"/>
          <w:color w:val="auto"/>
          <w:sz w:val="32"/>
          <w:szCs w:val="32"/>
          <w:highlight w:val="none"/>
        </w:rPr>
        <w:t>项目专用条款数据表</w:t>
      </w:r>
    </w:p>
    <w:p>
      <w:pPr>
        <w:adjustRightInd w:val="0"/>
        <w:snapToGrid w:val="0"/>
        <w:spacing w:line="360" w:lineRule="auto"/>
        <w:ind w:firstLine="480" w:firstLineChars="200"/>
        <w:rPr>
          <w:color w:val="auto"/>
          <w:sz w:val="24"/>
          <w:highlight w:val="none"/>
        </w:rPr>
      </w:pPr>
      <w:r>
        <w:rPr>
          <w:rFonts w:hint="eastAsia"/>
          <w:color w:val="auto"/>
          <w:sz w:val="24"/>
          <w:highlight w:val="none"/>
        </w:rPr>
        <w:t>说明：本数据表是项目专用合同条款中适用于本项目的信息和数据的归纳与提示，是项目专用合同条款的组成部分。第三卷投标函附录中的数据（供投标人确认）与本表所列有重复。编写招标文件的单位应仔细校核，不使数据出现差错或不一致。</w:t>
      </w:r>
    </w:p>
    <w:tbl>
      <w:tblPr>
        <w:tblStyle w:val="15"/>
        <w:tblW w:w="9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34"/>
        <w:gridCol w:w="7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序号</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条款号</w:t>
            </w:r>
          </w:p>
        </w:tc>
        <w:tc>
          <w:tcPr>
            <w:tcW w:w="7027" w:type="dxa"/>
            <w:vAlign w:val="center"/>
          </w:tcPr>
          <w:p>
            <w:pPr>
              <w:adjustRightInd w:val="0"/>
              <w:snapToGrid w:val="0"/>
              <w:spacing w:line="312"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1.1.2.2</w:t>
            </w:r>
          </w:p>
        </w:tc>
        <w:tc>
          <w:tcPr>
            <w:tcW w:w="7027" w:type="dxa"/>
          </w:tcPr>
          <w:p>
            <w:pPr>
              <w:adjustRightInd w:val="0"/>
              <w:snapToGrid w:val="0"/>
              <w:spacing w:line="312" w:lineRule="auto"/>
              <w:rPr>
                <w:color w:val="auto"/>
                <w:sz w:val="24"/>
                <w:highlight w:val="none"/>
              </w:rPr>
            </w:pPr>
            <w:r>
              <w:rPr>
                <w:rFonts w:hint="eastAsia"/>
                <w:color w:val="auto"/>
                <w:sz w:val="24"/>
                <w:highlight w:val="none"/>
              </w:rPr>
              <w:t>发包人：许昌市建安区交通运输局</w:t>
            </w:r>
          </w:p>
          <w:p>
            <w:pPr>
              <w:adjustRightInd w:val="0"/>
              <w:snapToGrid w:val="0"/>
              <w:spacing w:line="312" w:lineRule="auto"/>
              <w:rPr>
                <w:color w:val="auto"/>
                <w:sz w:val="24"/>
                <w:highlight w:val="none"/>
              </w:rPr>
            </w:pPr>
            <w:r>
              <w:rPr>
                <w:rFonts w:hint="eastAsia"/>
                <w:color w:val="auto"/>
                <w:sz w:val="24"/>
                <w:highlight w:val="none"/>
              </w:rPr>
              <w:t>地址： 许昌市建安区新元大道兴业大厦          邮编：461000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1.1.2.6</w:t>
            </w:r>
          </w:p>
        </w:tc>
        <w:tc>
          <w:tcPr>
            <w:tcW w:w="7027" w:type="dxa"/>
          </w:tcPr>
          <w:p>
            <w:pPr>
              <w:adjustRightInd w:val="0"/>
              <w:snapToGrid w:val="0"/>
              <w:spacing w:line="312" w:lineRule="auto"/>
              <w:rPr>
                <w:color w:val="auto"/>
                <w:sz w:val="24"/>
                <w:highlight w:val="none"/>
              </w:rPr>
            </w:pPr>
            <w:r>
              <w:rPr>
                <w:rFonts w:hint="eastAsia"/>
                <w:color w:val="auto"/>
                <w:sz w:val="24"/>
                <w:highlight w:val="none"/>
              </w:rPr>
              <w:t>监理人：</w:t>
            </w:r>
          </w:p>
          <w:p>
            <w:pPr>
              <w:adjustRightInd w:val="0"/>
              <w:snapToGrid w:val="0"/>
              <w:spacing w:line="312" w:lineRule="auto"/>
              <w:rPr>
                <w:color w:val="auto"/>
                <w:sz w:val="24"/>
                <w:highlight w:val="none"/>
              </w:rPr>
            </w:pPr>
            <w:r>
              <w:rPr>
                <w:rFonts w:hint="eastAsia"/>
                <w:color w:val="auto"/>
                <w:sz w:val="24"/>
                <w:highlight w:val="none"/>
              </w:rPr>
              <w:t>地  址：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1.1.4.3</w:t>
            </w:r>
          </w:p>
        </w:tc>
        <w:tc>
          <w:tcPr>
            <w:tcW w:w="7027" w:type="dxa"/>
          </w:tcPr>
          <w:p>
            <w:pPr>
              <w:adjustRightInd w:val="0"/>
              <w:snapToGrid w:val="0"/>
              <w:spacing w:line="312" w:lineRule="auto"/>
              <w:rPr>
                <w:color w:val="auto"/>
                <w:sz w:val="24"/>
                <w:highlight w:val="none"/>
              </w:rPr>
            </w:pPr>
            <w:r>
              <w:rPr>
                <w:rFonts w:hint="eastAsia"/>
                <w:color w:val="auto"/>
                <w:sz w:val="24"/>
                <w:highlight w:val="none"/>
              </w:rPr>
              <w:t>工期：</w:t>
            </w:r>
            <w:r>
              <w:rPr>
                <w:rFonts w:hint="eastAsia"/>
                <w:color w:val="auto"/>
                <w:sz w:val="24"/>
                <w:highlight w:val="none"/>
                <w:u w:val="single"/>
              </w:rPr>
              <w:t xml:space="preserve"> </w:t>
            </w:r>
            <w:r>
              <w:rPr>
                <w:rFonts w:hint="eastAsia"/>
                <w:color w:val="auto"/>
                <w:sz w:val="24"/>
                <w:highlight w:val="none"/>
                <w:u w:val="single"/>
                <w:lang w:val="en-US" w:eastAsia="zh-CN"/>
              </w:rPr>
              <w:t>30</w:t>
            </w:r>
            <w:r>
              <w:rPr>
                <w:rFonts w:hint="eastAsia"/>
                <w:color w:val="auto"/>
                <w:sz w:val="24"/>
                <w:highlight w:val="none"/>
                <w:u w:val="single"/>
              </w:rPr>
              <w:t xml:space="preserve"> </w:t>
            </w:r>
            <w:r>
              <w:rPr>
                <w:rFonts w:hint="eastAsia"/>
                <w:color w:val="auto"/>
                <w:sz w:val="24"/>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1.1.4.5</w:t>
            </w:r>
          </w:p>
        </w:tc>
        <w:tc>
          <w:tcPr>
            <w:tcW w:w="7027" w:type="dxa"/>
          </w:tcPr>
          <w:p>
            <w:pPr>
              <w:adjustRightInd w:val="0"/>
              <w:snapToGrid w:val="0"/>
              <w:spacing w:line="312" w:lineRule="auto"/>
              <w:rPr>
                <w:color w:val="auto"/>
                <w:sz w:val="24"/>
                <w:highlight w:val="none"/>
              </w:rPr>
            </w:pPr>
            <w:r>
              <w:rPr>
                <w:rFonts w:hint="eastAsia"/>
                <w:color w:val="auto"/>
                <w:sz w:val="24"/>
                <w:highlight w:val="none"/>
              </w:rPr>
              <w:t>缺陷责任期：</w:t>
            </w:r>
            <w:r>
              <w:rPr>
                <w:rFonts w:hint="eastAsia"/>
                <w:color w:val="auto"/>
                <w:sz w:val="24"/>
                <w:highlight w:val="none"/>
                <w:u w:val="single"/>
              </w:rPr>
              <w:t xml:space="preserve">  2  </w:t>
            </w:r>
            <w:r>
              <w:rPr>
                <w:rFonts w:hint="eastAsia"/>
                <w:color w:val="auto"/>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1.6.3</w:t>
            </w:r>
          </w:p>
        </w:tc>
        <w:tc>
          <w:tcPr>
            <w:tcW w:w="7027" w:type="dxa"/>
          </w:tcPr>
          <w:p>
            <w:pPr>
              <w:adjustRightInd w:val="0"/>
              <w:snapToGrid w:val="0"/>
              <w:spacing w:line="312" w:lineRule="auto"/>
              <w:rPr>
                <w:color w:val="auto"/>
                <w:sz w:val="24"/>
                <w:highlight w:val="none"/>
                <w:u w:val="single"/>
              </w:rPr>
            </w:pPr>
            <w:r>
              <w:rPr>
                <w:rFonts w:hint="eastAsia"/>
                <w:color w:val="auto"/>
                <w:sz w:val="24"/>
                <w:highlight w:val="none"/>
              </w:rPr>
              <w:t>图纸需要修改和补充的，应由监理人取得发包人同意后，在该工程或工程相应部位施工前</w:t>
            </w:r>
            <w:r>
              <w:rPr>
                <w:rFonts w:hint="eastAsia"/>
                <w:color w:val="auto"/>
                <w:sz w:val="24"/>
                <w:highlight w:val="none"/>
                <w:u w:val="single"/>
              </w:rPr>
              <w:t xml:space="preserve"> 7 </w:t>
            </w:r>
            <w:r>
              <w:rPr>
                <w:rFonts w:hint="eastAsia"/>
                <w:color w:val="auto"/>
                <w:sz w:val="24"/>
                <w:highlight w:val="none"/>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6</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3.1.1</w:t>
            </w:r>
          </w:p>
        </w:tc>
        <w:tc>
          <w:tcPr>
            <w:tcW w:w="7027" w:type="dxa"/>
          </w:tcPr>
          <w:p>
            <w:pPr>
              <w:adjustRightInd w:val="0"/>
              <w:snapToGrid w:val="0"/>
              <w:spacing w:line="312" w:lineRule="auto"/>
              <w:rPr>
                <w:color w:val="auto"/>
                <w:sz w:val="24"/>
                <w:highlight w:val="none"/>
              </w:rPr>
            </w:pPr>
            <w:r>
              <w:rPr>
                <w:rFonts w:hint="eastAsia"/>
                <w:color w:val="auto"/>
                <w:sz w:val="24"/>
                <w:highlight w:val="none"/>
              </w:rPr>
              <w:t>单项工程变更涉及的金额超过了该单项工程原合同价的</w:t>
            </w:r>
            <w:r>
              <w:rPr>
                <w:rFonts w:hint="eastAsia"/>
                <w:color w:val="auto"/>
                <w:sz w:val="24"/>
                <w:highlight w:val="none"/>
                <w:u w:val="single"/>
              </w:rPr>
              <w:t xml:space="preserve">   </w:t>
            </w:r>
            <w:r>
              <w:rPr>
                <w:rFonts w:hint="eastAsia"/>
                <w:color w:val="auto"/>
                <w:sz w:val="24"/>
                <w:highlight w:val="none"/>
              </w:rPr>
              <w:t>%或累计变更超过了原总合同的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7</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4.2</w:t>
            </w:r>
          </w:p>
        </w:tc>
        <w:tc>
          <w:tcPr>
            <w:tcW w:w="7027" w:type="dxa"/>
          </w:tcPr>
          <w:p>
            <w:pPr>
              <w:adjustRightInd w:val="0"/>
              <w:snapToGrid w:val="0"/>
              <w:spacing w:line="312" w:lineRule="auto"/>
              <w:rPr>
                <w:rFonts w:hint="eastAsia"/>
                <w:color w:val="auto"/>
                <w:sz w:val="24"/>
                <w:highlight w:val="none"/>
              </w:rPr>
            </w:pPr>
            <w:r>
              <w:rPr>
                <w:rFonts w:hint="eastAsia"/>
                <w:color w:val="auto"/>
                <w:sz w:val="24"/>
                <w:highlight w:val="none"/>
              </w:rPr>
              <w:t xml:space="preserve">履约担保金额：中标价的10% </w:t>
            </w:r>
          </w:p>
          <w:p>
            <w:pPr>
              <w:adjustRightInd w:val="0"/>
              <w:snapToGrid w:val="0"/>
              <w:spacing w:line="312" w:lineRule="auto"/>
              <w:rPr>
                <w:rFonts w:hint="eastAsia"/>
                <w:color w:val="auto"/>
                <w:sz w:val="24"/>
                <w:highlight w:val="none"/>
              </w:rPr>
            </w:pPr>
            <w:r>
              <w:rPr>
                <w:rFonts w:hint="eastAsia"/>
                <w:color w:val="auto"/>
                <w:sz w:val="24"/>
                <w:highlight w:val="none"/>
              </w:rPr>
              <w:t>提交履约担保的时间：在签订合同协议书之前</w:t>
            </w:r>
          </w:p>
          <w:p>
            <w:pPr>
              <w:adjustRightInd w:val="0"/>
              <w:snapToGrid w:val="0"/>
              <w:spacing w:line="312" w:lineRule="auto"/>
              <w:rPr>
                <w:color w:val="auto"/>
                <w:sz w:val="22"/>
                <w:highlight w:val="none"/>
              </w:rPr>
            </w:pPr>
            <w:r>
              <w:rPr>
                <w:rFonts w:hint="eastAsia"/>
                <w:color w:val="auto"/>
                <w:sz w:val="24"/>
                <w:highlight w:val="none"/>
              </w:rPr>
              <w:t>履约担保形式：中标人从基本账户转出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8</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10.1</w:t>
            </w:r>
          </w:p>
        </w:tc>
        <w:tc>
          <w:tcPr>
            <w:tcW w:w="7027" w:type="dxa"/>
          </w:tcPr>
          <w:p>
            <w:pPr>
              <w:adjustRightInd w:val="0"/>
              <w:snapToGrid w:val="0"/>
              <w:spacing w:line="312" w:lineRule="auto"/>
              <w:rPr>
                <w:color w:val="auto"/>
                <w:sz w:val="24"/>
                <w:highlight w:val="none"/>
              </w:rPr>
            </w:pPr>
            <w:r>
              <w:rPr>
                <w:rFonts w:hint="eastAsia"/>
                <w:color w:val="auto"/>
                <w:sz w:val="24"/>
                <w:highlight w:val="none"/>
              </w:rPr>
              <w:t>工程进度计划提交时间：承包人在与发包人签订合同协议后的28天内提交给监理人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9</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10.2</w:t>
            </w:r>
          </w:p>
        </w:tc>
        <w:tc>
          <w:tcPr>
            <w:tcW w:w="7027" w:type="dxa"/>
          </w:tcPr>
          <w:p>
            <w:pPr>
              <w:adjustRightInd w:val="0"/>
              <w:snapToGrid w:val="0"/>
              <w:spacing w:line="312" w:lineRule="auto"/>
              <w:rPr>
                <w:color w:val="auto"/>
                <w:sz w:val="24"/>
                <w:highlight w:val="none"/>
              </w:rPr>
            </w:pPr>
            <w:r>
              <w:rPr>
                <w:rFonts w:hint="eastAsia"/>
                <w:color w:val="auto"/>
                <w:sz w:val="24"/>
                <w:highlight w:val="none"/>
              </w:rPr>
              <w:t>工程进度计划修订提交时间：实际进度发生滞后的当月25日前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10</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10.4</w:t>
            </w:r>
          </w:p>
        </w:tc>
        <w:tc>
          <w:tcPr>
            <w:tcW w:w="7027" w:type="dxa"/>
          </w:tcPr>
          <w:p>
            <w:pPr>
              <w:adjustRightInd w:val="0"/>
              <w:snapToGrid w:val="0"/>
              <w:spacing w:line="312" w:lineRule="auto"/>
              <w:rPr>
                <w:color w:val="auto"/>
                <w:sz w:val="24"/>
                <w:highlight w:val="none"/>
              </w:rPr>
            </w:pPr>
            <w:r>
              <w:rPr>
                <w:rFonts w:hint="eastAsia"/>
                <w:color w:val="auto"/>
                <w:sz w:val="24"/>
                <w:highlight w:val="none"/>
              </w:rPr>
              <w:t>提交合同用款计划的时间：</w:t>
            </w:r>
          </w:p>
          <w:p>
            <w:pPr>
              <w:adjustRightInd w:val="0"/>
              <w:snapToGrid w:val="0"/>
              <w:spacing w:line="312" w:lineRule="auto"/>
              <w:rPr>
                <w:color w:val="auto"/>
                <w:sz w:val="24"/>
                <w:highlight w:val="none"/>
              </w:rPr>
            </w:pPr>
            <w:r>
              <w:rPr>
                <w:rFonts w:hint="eastAsia"/>
                <w:color w:val="auto"/>
                <w:sz w:val="24"/>
                <w:highlight w:val="none"/>
              </w:rPr>
              <w:t>承包人在与发包人签订合同协议书后的28天内提交给监理人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11</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11.1</w:t>
            </w:r>
          </w:p>
        </w:tc>
        <w:tc>
          <w:tcPr>
            <w:tcW w:w="7027" w:type="dxa"/>
          </w:tcPr>
          <w:p>
            <w:pPr>
              <w:adjustRightInd w:val="0"/>
              <w:snapToGrid w:val="0"/>
              <w:spacing w:line="312" w:lineRule="auto"/>
              <w:rPr>
                <w:color w:val="auto"/>
                <w:sz w:val="24"/>
                <w:highlight w:val="none"/>
              </w:rPr>
            </w:pPr>
            <w:r>
              <w:rPr>
                <w:rFonts w:hint="eastAsia"/>
                <w:color w:val="auto"/>
                <w:sz w:val="24"/>
                <w:highlight w:val="none"/>
              </w:rPr>
              <w:t>发出开工通知期限：开工日期7天前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12</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tcPr>
          <w:p>
            <w:pPr>
              <w:adjustRightInd w:val="0"/>
              <w:snapToGrid w:val="0"/>
              <w:spacing w:line="312" w:lineRule="auto"/>
              <w:rPr>
                <w:color w:val="auto"/>
                <w:sz w:val="24"/>
                <w:highlight w:val="none"/>
              </w:rPr>
            </w:pPr>
            <w:r>
              <w:rPr>
                <w:rFonts w:hint="eastAsia"/>
                <w:color w:val="auto"/>
                <w:sz w:val="24"/>
                <w:highlight w:val="none"/>
              </w:rPr>
              <w:t>逾期竣工违约金：人民币</w:t>
            </w:r>
            <w:r>
              <w:rPr>
                <w:rFonts w:hint="eastAsia"/>
                <w:color w:val="auto"/>
                <w:sz w:val="24"/>
                <w:highlight w:val="none"/>
                <w:u w:val="single"/>
              </w:rPr>
              <w:t xml:space="preserve">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13</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11.5</w:t>
            </w:r>
          </w:p>
        </w:tc>
        <w:tc>
          <w:tcPr>
            <w:tcW w:w="7027" w:type="dxa"/>
          </w:tcPr>
          <w:p>
            <w:pPr>
              <w:adjustRightInd w:val="0"/>
              <w:snapToGrid w:val="0"/>
              <w:spacing w:line="312" w:lineRule="auto"/>
              <w:rPr>
                <w:color w:val="auto"/>
                <w:sz w:val="24"/>
                <w:highlight w:val="none"/>
              </w:rPr>
            </w:pPr>
            <w:r>
              <w:rPr>
                <w:rFonts w:hint="eastAsia"/>
                <w:color w:val="auto"/>
                <w:sz w:val="24"/>
                <w:highlight w:val="none"/>
              </w:rPr>
              <w:t>逾期竣工违约金限额：签约合同价的10%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14</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tcPr>
          <w:p>
            <w:pPr>
              <w:adjustRightInd w:val="0"/>
              <w:snapToGrid w:val="0"/>
              <w:spacing w:line="312" w:lineRule="auto"/>
              <w:rPr>
                <w:color w:val="auto"/>
                <w:sz w:val="24"/>
                <w:highlight w:val="none"/>
              </w:rPr>
            </w:pPr>
            <w:r>
              <w:rPr>
                <w:rFonts w:hint="eastAsia"/>
                <w:color w:val="auto"/>
                <w:sz w:val="24"/>
                <w:highlight w:val="none"/>
              </w:rPr>
              <w:t>提前竣工的奖金：人民币</w:t>
            </w:r>
            <w:r>
              <w:rPr>
                <w:rFonts w:hint="eastAsia"/>
                <w:color w:val="auto"/>
                <w:sz w:val="24"/>
                <w:highlight w:val="none"/>
                <w:u w:val="single"/>
              </w:rPr>
              <w:t xml:space="preserve">  0 </w:t>
            </w:r>
            <w:r>
              <w:rPr>
                <w:rFonts w:hint="eastAsia"/>
                <w:color w:val="auto"/>
                <w:sz w:val="24"/>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12" w:lineRule="auto"/>
              <w:jc w:val="center"/>
              <w:rPr>
                <w:color w:val="auto"/>
                <w:sz w:val="24"/>
                <w:highlight w:val="none"/>
              </w:rPr>
            </w:pPr>
            <w:r>
              <w:rPr>
                <w:rFonts w:hint="eastAsia"/>
                <w:color w:val="auto"/>
                <w:sz w:val="24"/>
                <w:highlight w:val="none"/>
              </w:rPr>
              <w:t>15</w:t>
            </w:r>
          </w:p>
        </w:tc>
        <w:tc>
          <w:tcPr>
            <w:tcW w:w="1134" w:type="dxa"/>
            <w:vAlign w:val="center"/>
          </w:tcPr>
          <w:p>
            <w:pPr>
              <w:adjustRightInd w:val="0"/>
              <w:snapToGrid w:val="0"/>
              <w:spacing w:line="312" w:lineRule="auto"/>
              <w:jc w:val="center"/>
              <w:rPr>
                <w:color w:val="auto"/>
                <w:sz w:val="24"/>
                <w:highlight w:val="none"/>
              </w:rPr>
            </w:pPr>
            <w:r>
              <w:rPr>
                <w:rFonts w:hint="eastAsia"/>
                <w:color w:val="auto"/>
                <w:sz w:val="24"/>
                <w:highlight w:val="none"/>
              </w:rPr>
              <w:t>11.6</w:t>
            </w:r>
          </w:p>
        </w:tc>
        <w:tc>
          <w:tcPr>
            <w:tcW w:w="7027" w:type="dxa"/>
          </w:tcPr>
          <w:p>
            <w:pPr>
              <w:adjustRightInd w:val="0"/>
              <w:snapToGrid w:val="0"/>
              <w:spacing w:line="312" w:lineRule="auto"/>
              <w:rPr>
                <w:color w:val="auto"/>
                <w:sz w:val="24"/>
                <w:highlight w:val="none"/>
              </w:rPr>
            </w:pPr>
            <w:r>
              <w:rPr>
                <w:rFonts w:hint="eastAsia"/>
                <w:color w:val="auto"/>
                <w:sz w:val="24"/>
                <w:highlight w:val="none"/>
              </w:rPr>
              <w:t>提前竣工的奖金限额：签约合同价的</w:t>
            </w:r>
            <w:r>
              <w:rPr>
                <w:rFonts w:hint="eastAsia"/>
                <w:color w:val="auto"/>
                <w:sz w:val="24"/>
                <w:highlight w:val="none"/>
                <w:u w:val="single"/>
              </w:rPr>
              <w:t xml:space="preserve"> 0 </w:t>
            </w:r>
            <w:r>
              <w:rPr>
                <w:rFonts w:hint="eastAsia"/>
                <w:color w:val="auto"/>
                <w:sz w:val="24"/>
                <w:highlight w:val="none"/>
              </w:rPr>
              <w:t>%</w:t>
            </w:r>
          </w:p>
        </w:tc>
      </w:tr>
    </w:tbl>
    <w:p>
      <w:pPr>
        <w:rPr>
          <w:color w:val="auto"/>
          <w:sz w:val="18"/>
          <w:szCs w:val="18"/>
          <w:highlight w:val="none"/>
        </w:rPr>
      </w:pPr>
    </w:p>
    <w:p>
      <w:pPr>
        <w:rPr>
          <w:color w:val="auto"/>
          <w:sz w:val="18"/>
          <w:szCs w:val="18"/>
          <w:highlight w:val="none"/>
        </w:rPr>
      </w:pPr>
      <w:r>
        <w:rPr>
          <w:color w:val="auto"/>
          <w:sz w:val="18"/>
          <w:szCs w:val="18"/>
          <w:highlight w:val="none"/>
        </w:rPr>
        <w:br w:type="page"/>
      </w:r>
    </w:p>
    <w:tbl>
      <w:tblPr>
        <w:tblStyle w:val="15"/>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044"/>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序号</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条款号</w:t>
            </w:r>
          </w:p>
        </w:tc>
        <w:tc>
          <w:tcPr>
            <w:tcW w:w="7560" w:type="dxa"/>
            <w:vAlign w:val="center"/>
          </w:tcPr>
          <w:p>
            <w:pPr>
              <w:adjustRightInd w:val="0"/>
              <w:snapToGrid w:val="0"/>
              <w:spacing w:line="324" w:lineRule="auto"/>
              <w:jc w:val="center"/>
              <w:rPr>
                <w:color w:val="auto"/>
                <w:sz w:val="24"/>
                <w:highlight w:val="none"/>
              </w:rPr>
            </w:pPr>
            <w:r>
              <w:rPr>
                <w:rFonts w:hint="eastAsia"/>
                <w:color w:val="auto"/>
                <w:sz w:val="24"/>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15.2.2</w:t>
            </w:r>
          </w:p>
        </w:tc>
        <w:tc>
          <w:tcPr>
            <w:tcW w:w="7560" w:type="dxa"/>
          </w:tcPr>
          <w:p>
            <w:pPr>
              <w:adjustRightInd w:val="0"/>
              <w:snapToGrid w:val="0"/>
              <w:spacing w:line="324" w:lineRule="auto"/>
              <w:rPr>
                <w:color w:val="auto"/>
                <w:sz w:val="24"/>
                <w:highlight w:val="none"/>
              </w:rPr>
            </w:pPr>
            <w:r>
              <w:rPr>
                <w:rFonts w:hint="eastAsia"/>
                <w:color w:val="auto"/>
                <w:sz w:val="24"/>
                <w:highlight w:val="none"/>
              </w:rPr>
              <w:t>按所节约或增加收益的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16.1</w:t>
            </w:r>
          </w:p>
        </w:tc>
        <w:tc>
          <w:tcPr>
            <w:tcW w:w="7560" w:type="dxa"/>
          </w:tcPr>
          <w:p>
            <w:pPr>
              <w:adjustRightInd w:val="0"/>
              <w:snapToGrid w:val="0"/>
              <w:spacing w:line="324" w:lineRule="auto"/>
              <w:rPr>
                <w:color w:val="auto"/>
                <w:sz w:val="24"/>
                <w:highlight w:val="none"/>
              </w:rPr>
            </w:pPr>
            <w:r>
              <w:rPr>
                <w:rFonts w:hint="eastAsia"/>
                <w:color w:val="auto"/>
                <w:sz w:val="24"/>
                <w:highlight w:val="none"/>
              </w:rPr>
              <w:t>因物价波动引起的价格调整按照</w:t>
            </w:r>
            <w:r>
              <w:rPr>
                <w:rFonts w:hint="eastAsia"/>
                <w:color w:val="auto"/>
                <w:sz w:val="24"/>
                <w:highlight w:val="none"/>
                <w:u w:val="single"/>
              </w:rPr>
              <w:t>第16.1.1或16.1.2</w:t>
            </w:r>
            <w:r>
              <w:rPr>
                <w:rFonts w:hint="eastAsia"/>
                <w:color w:val="auto"/>
                <w:sz w:val="24"/>
                <w:highlight w:val="none"/>
              </w:rPr>
              <w:t>项约定的原则处理或合同期内不调价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18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tcPr>
          <w:p>
            <w:pPr>
              <w:adjustRightInd w:val="0"/>
              <w:snapToGrid w:val="0"/>
              <w:spacing w:line="324" w:lineRule="auto"/>
              <w:rPr>
                <w:color w:val="auto"/>
                <w:sz w:val="24"/>
                <w:highlight w:val="none"/>
              </w:rPr>
            </w:pPr>
            <w:r>
              <w:rPr>
                <w:rFonts w:hint="eastAsia"/>
                <w:color w:val="auto"/>
                <w:sz w:val="24"/>
                <w:highlight w:val="none"/>
              </w:rPr>
              <w:t>开工预付款比例：</w:t>
            </w:r>
            <w:r>
              <w:rPr>
                <w:rFonts w:hint="eastAsia"/>
                <w:color w:val="auto"/>
                <w:sz w:val="24"/>
                <w:highlight w:val="none"/>
                <w:u w:val="single"/>
              </w:rPr>
              <w:t xml:space="preserve">   </w:t>
            </w:r>
            <w:r>
              <w:rPr>
                <w:rFonts w:hint="eastAsia"/>
                <w:color w:val="auto"/>
                <w:sz w:val="24"/>
                <w:highlight w:val="none"/>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17.2.1</w:t>
            </w:r>
          </w:p>
        </w:tc>
        <w:tc>
          <w:tcPr>
            <w:tcW w:w="7560" w:type="dxa"/>
          </w:tcPr>
          <w:p>
            <w:pPr>
              <w:adjustRightInd w:val="0"/>
              <w:snapToGrid w:val="0"/>
              <w:spacing w:line="324" w:lineRule="auto"/>
              <w:rPr>
                <w:color w:val="auto"/>
                <w:sz w:val="24"/>
                <w:highlight w:val="none"/>
              </w:rPr>
            </w:pPr>
            <w:r>
              <w:rPr>
                <w:rFonts w:hint="eastAsia"/>
                <w:color w:val="auto"/>
                <w:sz w:val="24"/>
                <w:highlight w:val="none"/>
              </w:rPr>
              <w:t>材料、设备预付款比例：</w:t>
            </w:r>
            <w:r>
              <w:rPr>
                <w:rFonts w:hint="eastAsia"/>
                <w:color w:val="auto"/>
                <w:sz w:val="24"/>
                <w:highlight w:val="none"/>
                <w:u w:val="single"/>
              </w:rPr>
              <w:t xml:space="preserve">   </w:t>
            </w:r>
            <w:r>
              <w:rPr>
                <w:rFonts w:hint="eastAsia"/>
                <w:color w:val="auto"/>
                <w:sz w:val="24"/>
                <w:highlight w:val="none"/>
              </w:rPr>
              <w:t>等主要材料、设备单据所列费用的</w:t>
            </w:r>
            <w:r>
              <w:rPr>
                <w:rFonts w:hint="eastAsia"/>
                <w:color w:val="auto"/>
                <w:sz w:val="24"/>
                <w:highlight w:val="none"/>
                <w:u w:val="single"/>
              </w:rPr>
              <w:t xml:space="preserve">   </w:t>
            </w:r>
            <w:r>
              <w:rPr>
                <w:rFonts w:hint="eastAsia"/>
                <w:color w:val="auto"/>
                <w:sz w:val="24"/>
                <w:highlight w:val="none"/>
              </w:rPr>
              <w:t>%</w:t>
            </w:r>
            <w:r>
              <w:rPr>
                <w:rStyle w:val="14"/>
                <w:color w:val="auto"/>
                <w:sz w:val="24"/>
                <w:highlight w:val="none"/>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17.3.2</w:t>
            </w:r>
          </w:p>
        </w:tc>
        <w:tc>
          <w:tcPr>
            <w:tcW w:w="7560" w:type="dxa"/>
          </w:tcPr>
          <w:p>
            <w:pPr>
              <w:adjustRightInd w:val="0"/>
              <w:snapToGrid w:val="0"/>
              <w:spacing w:line="324" w:lineRule="auto"/>
              <w:rPr>
                <w:color w:val="auto"/>
                <w:sz w:val="24"/>
                <w:highlight w:val="none"/>
              </w:rPr>
            </w:pPr>
            <w:r>
              <w:rPr>
                <w:rFonts w:hint="eastAsia"/>
                <w:color w:val="auto"/>
                <w:sz w:val="24"/>
                <w:highlight w:val="none"/>
              </w:rPr>
              <w:t>进度付款申请单：向监理人提交进度付款申请单的份数：</w:t>
            </w:r>
            <w:r>
              <w:rPr>
                <w:rFonts w:hint="eastAsia"/>
                <w:color w:val="auto"/>
                <w:sz w:val="24"/>
                <w:highlight w:val="none"/>
                <w:u w:val="single"/>
              </w:rPr>
              <w:t xml:space="preserve">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tcPr>
          <w:p>
            <w:pPr>
              <w:adjustRightInd w:val="0"/>
              <w:snapToGrid w:val="0"/>
              <w:spacing w:line="324" w:lineRule="auto"/>
              <w:jc w:val="left"/>
              <w:rPr>
                <w:color w:val="auto"/>
                <w:sz w:val="24"/>
                <w:highlight w:val="none"/>
              </w:rPr>
            </w:pPr>
            <w:r>
              <w:rPr>
                <w:rFonts w:hint="eastAsia"/>
                <w:color w:val="auto"/>
                <w:sz w:val="24"/>
                <w:highlight w:val="none"/>
              </w:rPr>
              <w:t>进度付款申请证书最低限额：签约合同价的</w:t>
            </w:r>
            <w:r>
              <w:rPr>
                <w:rFonts w:hint="eastAsia"/>
                <w:color w:val="auto"/>
                <w:sz w:val="24"/>
                <w:highlight w:val="none"/>
                <w:u w:val="single"/>
              </w:rPr>
              <w:t xml:space="preserve">  </w:t>
            </w:r>
            <w:r>
              <w:rPr>
                <w:rFonts w:hint="eastAsia"/>
                <w:color w:val="auto"/>
                <w:sz w:val="24"/>
                <w:highlight w:val="none"/>
              </w:rPr>
              <w:t>%或人民币</w:t>
            </w:r>
            <w:r>
              <w:rPr>
                <w:rFonts w:hint="eastAsia"/>
                <w:color w:val="auto"/>
                <w:sz w:val="24"/>
                <w:highlight w:val="none"/>
                <w:u w:val="single"/>
              </w:rPr>
              <w:t xml:space="preserve">  </w:t>
            </w:r>
            <w:r>
              <w:rPr>
                <w:rFonts w:hint="eastAsia"/>
                <w:color w:val="auto"/>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tcPr>
          <w:p>
            <w:pPr>
              <w:adjustRightInd w:val="0"/>
              <w:snapToGrid w:val="0"/>
              <w:spacing w:line="324" w:lineRule="auto"/>
              <w:rPr>
                <w:color w:val="auto"/>
                <w:sz w:val="24"/>
                <w:highlight w:val="none"/>
              </w:rPr>
            </w:pPr>
            <w:r>
              <w:rPr>
                <w:rFonts w:hint="eastAsia"/>
                <w:color w:val="auto"/>
                <w:sz w:val="24"/>
                <w:highlight w:val="none"/>
              </w:rPr>
              <w:t>进度付款支付期限：</w:t>
            </w:r>
          </w:p>
          <w:p>
            <w:pPr>
              <w:adjustRightInd w:val="0"/>
              <w:snapToGrid w:val="0"/>
              <w:spacing w:line="324" w:lineRule="auto"/>
              <w:rPr>
                <w:color w:val="auto"/>
                <w:sz w:val="24"/>
                <w:highlight w:val="none"/>
              </w:rPr>
            </w:pPr>
            <w:r>
              <w:rPr>
                <w:rFonts w:hint="eastAsia"/>
                <w:color w:val="auto"/>
                <w:sz w:val="24"/>
                <w:highlight w:val="none"/>
              </w:rPr>
              <w:t>监理人收到进度付款申请单后</w:t>
            </w:r>
            <w:r>
              <w:rPr>
                <w:rFonts w:hint="eastAsia"/>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天</w:t>
            </w:r>
            <w:r>
              <w:rPr>
                <w:rFonts w:hint="eastAsia"/>
                <w:color w:val="auto"/>
                <w:sz w:val="24"/>
                <w:highlight w:val="none"/>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17.3.3</w:t>
            </w:r>
          </w:p>
        </w:tc>
        <w:tc>
          <w:tcPr>
            <w:tcW w:w="7560" w:type="dxa"/>
          </w:tcPr>
          <w:p>
            <w:pPr>
              <w:adjustRightInd w:val="0"/>
              <w:snapToGrid w:val="0"/>
              <w:spacing w:line="324" w:lineRule="auto"/>
              <w:rPr>
                <w:color w:val="auto"/>
                <w:sz w:val="24"/>
                <w:highlight w:val="none"/>
              </w:rPr>
            </w:pPr>
            <w:r>
              <w:rPr>
                <w:rFonts w:hint="eastAsia"/>
                <w:color w:val="auto"/>
                <w:sz w:val="24"/>
                <w:highlight w:val="none"/>
              </w:rPr>
              <w:t>逾期付款违约金：</w:t>
            </w:r>
            <w:r>
              <w:rPr>
                <w:rFonts w:hint="eastAsia"/>
                <w:color w:val="auto"/>
                <w:sz w:val="24"/>
                <w:highlight w:val="none"/>
                <w:u w:val="single"/>
              </w:rPr>
              <w:t xml:space="preserve">    </w:t>
            </w:r>
            <w:r>
              <w:rPr>
                <w:rFonts w:hint="eastAsia" w:ascii="宋体" w:hAnsi="宋体"/>
                <w:color w:val="auto"/>
                <w:sz w:val="24"/>
                <w:highlight w:val="none"/>
              </w:rPr>
              <w:t>‰/天</w:t>
            </w:r>
            <w:r>
              <w:rPr>
                <w:rStyle w:val="14"/>
                <w:color w:val="auto"/>
                <w:sz w:val="24"/>
                <w:highlight w:val="none"/>
              </w:rPr>
              <w:footnote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24</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tcPr>
          <w:p>
            <w:pPr>
              <w:adjustRightInd w:val="0"/>
              <w:snapToGrid w:val="0"/>
              <w:spacing w:line="324" w:lineRule="auto"/>
              <w:rPr>
                <w:color w:val="auto"/>
                <w:sz w:val="24"/>
                <w:highlight w:val="none"/>
              </w:rPr>
            </w:pPr>
            <w:r>
              <w:rPr>
                <w:rFonts w:hint="eastAsia"/>
                <w:color w:val="auto"/>
                <w:sz w:val="24"/>
                <w:highlight w:val="none"/>
              </w:rPr>
              <w:t>质量保证金百分比：月支付额的</w:t>
            </w:r>
            <w:r>
              <w:rPr>
                <w:rFonts w:hint="eastAsia"/>
                <w:color w:val="auto"/>
                <w:sz w:val="24"/>
                <w:highlight w:val="none"/>
                <w:u w:val="single"/>
              </w:rPr>
              <w:t xml:space="preserve">   </w:t>
            </w:r>
            <w:r>
              <w:rPr>
                <w:rFonts w:hint="eastAsia"/>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25</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17.4.1</w:t>
            </w:r>
          </w:p>
        </w:tc>
        <w:tc>
          <w:tcPr>
            <w:tcW w:w="7560" w:type="dxa"/>
          </w:tcPr>
          <w:p>
            <w:pPr>
              <w:adjustRightInd w:val="0"/>
              <w:snapToGrid w:val="0"/>
              <w:spacing w:line="324" w:lineRule="auto"/>
              <w:rPr>
                <w:color w:val="auto"/>
                <w:sz w:val="24"/>
                <w:highlight w:val="none"/>
              </w:rPr>
            </w:pPr>
            <w:r>
              <w:rPr>
                <w:rFonts w:hint="eastAsia"/>
                <w:color w:val="auto"/>
                <w:sz w:val="24"/>
                <w:highlight w:val="none"/>
              </w:rPr>
              <w:t>质量保证金限额：合同价格的5%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26</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17.5.1</w:t>
            </w:r>
          </w:p>
        </w:tc>
        <w:tc>
          <w:tcPr>
            <w:tcW w:w="7560" w:type="dxa"/>
          </w:tcPr>
          <w:p>
            <w:pPr>
              <w:adjustRightInd w:val="0"/>
              <w:snapToGrid w:val="0"/>
              <w:spacing w:line="324" w:lineRule="auto"/>
              <w:rPr>
                <w:color w:val="auto"/>
                <w:sz w:val="24"/>
                <w:highlight w:val="none"/>
              </w:rPr>
            </w:pPr>
            <w:r>
              <w:rPr>
                <w:rFonts w:hint="eastAsia"/>
                <w:color w:val="auto"/>
                <w:sz w:val="24"/>
                <w:highlight w:val="none"/>
              </w:rPr>
              <w:t>竣工付款申请单：承包人向监理人提交竣工付款申请单（包括相关证明材料）的份数：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27</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17.5.2</w:t>
            </w:r>
          </w:p>
        </w:tc>
        <w:tc>
          <w:tcPr>
            <w:tcW w:w="7560" w:type="dxa"/>
          </w:tcPr>
          <w:p>
            <w:pPr>
              <w:adjustRightInd w:val="0"/>
              <w:snapToGrid w:val="0"/>
              <w:spacing w:line="324" w:lineRule="auto"/>
              <w:rPr>
                <w:color w:val="auto"/>
                <w:sz w:val="24"/>
                <w:highlight w:val="none"/>
              </w:rPr>
            </w:pPr>
            <w:r>
              <w:rPr>
                <w:rFonts w:hint="eastAsia"/>
                <w:color w:val="auto"/>
                <w:sz w:val="24"/>
                <w:highlight w:val="none"/>
              </w:rPr>
              <w:t>竣工付款支付期限：</w:t>
            </w:r>
          </w:p>
          <w:p>
            <w:pPr>
              <w:adjustRightInd w:val="0"/>
              <w:snapToGrid w:val="0"/>
              <w:spacing w:line="324" w:lineRule="auto"/>
              <w:rPr>
                <w:color w:val="auto"/>
                <w:sz w:val="24"/>
                <w:highlight w:val="none"/>
              </w:rPr>
            </w:pPr>
            <w:r>
              <w:rPr>
                <w:rFonts w:hint="eastAsia"/>
                <w:color w:val="auto"/>
                <w:sz w:val="24"/>
                <w:highlight w:val="none"/>
              </w:rPr>
              <w:t>监理人出具工程竣工付款证书后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28</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17.6.1</w:t>
            </w:r>
          </w:p>
        </w:tc>
        <w:tc>
          <w:tcPr>
            <w:tcW w:w="7560" w:type="dxa"/>
          </w:tcPr>
          <w:p>
            <w:pPr>
              <w:adjustRightInd w:val="0"/>
              <w:snapToGrid w:val="0"/>
              <w:spacing w:line="324" w:lineRule="auto"/>
              <w:rPr>
                <w:color w:val="auto"/>
                <w:sz w:val="24"/>
                <w:highlight w:val="none"/>
              </w:rPr>
            </w:pPr>
            <w:r>
              <w:rPr>
                <w:rFonts w:hint="eastAsia"/>
                <w:color w:val="auto"/>
                <w:sz w:val="24"/>
                <w:highlight w:val="none"/>
              </w:rPr>
              <w:t>最终结清申请单：承包人向监理人提交终结清申请单（包括相关证明材料）的份数：</w:t>
            </w:r>
            <w:r>
              <w:rPr>
                <w:rFonts w:hint="eastAsia"/>
                <w:color w:val="auto"/>
                <w:sz w:val="24"/>
                <w:highlight w:val="none"/>
                <w:u w:val="single"/>
              </w:rPr>
              <w:t xml:space="preserve">  3  </w:t>
            </w:r>
            <w:r>
              <w:rPr>
                <w:rFonts w:hint="eastAsia"/>
                <w:color w:val="auto"/>
                <w:sz w:val="24"/>
                <w:highlight w:val="none"/>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29</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17.6.2</w:t>
            </w:r>
          </w:p>
        </w:tc>
        <w:tc>
          <w:tcPr>
            <w:tcW w:w="7560" w:type="dxa"/>
          </w:tcPr>
          <w:p>
            <w:pPr>
              <w:adjustRightInd w:val="0"/>
              <w:snapToGrid w:val="0"/>
              <w:spacing w:line="324" w:lineRule="auto"/>
              <w:rPr>
                <w:color w:val="auto"/>
                <w:sz w:val="24"/>
                <w:highlight w:val="none"/>
              </w:rPr>
            </w:pPr>
            <w:r>
              <w:rPr>
                <w:rFonts w:hint="eastAsia"/>
                <w:color w:val="auto"/>
                <w:sz w:val="24"/>
                <w:highlight w:val="none"/>
              </w:rPr>
              <w:t>最终付款支付期限：</w:t>
            </w:r>
          </w:p>
          <w:p>
            <w:pPr>
              <w:adjustRightInd w:val="0"/>
              <w:snapToGrid w:val="0"/>
              <w:spacing w:line="324" w:lineRule="auto"/>
              <w:rPr>
                <w:color w:val="auto"/>
                <w:sz w:val="24"/>
                <w:highlight w:val="none"/>
              </w:rPr>
            </w:pPr>
            <w:r>
              <w:rPr>
                <w:rFonts w:hint="eastAsia"/>
                <w:color w:val="auto"/>
                <w:sz w:val="24"/>
                <w:highlight w:val="none"/>
              </w:rPr>
              <w:t>监理人出具最终结清证书后</w:t>
            </w:r>
            <w:r>
              <w:rPr>
                <w:rFonts w:hint="eastAsia"/>
                <w:color w:val="auto"/>
                <w:sz w:val="24"/>
                <w:highlight w:val="none"/>
                <w:u w:val="single"/>
              </w:rPr>
              <w:t xml:space="preserve">    </w:t>
            </w:r>
            <w:r>
              <w:rPr>
                <w:rFonts w:hint="eastAsia"/>
                <w:color w:val="auto"/>
                <w:sz w:val="24"/>
                <w:highlight w:val="none"/>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30</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19.7</w:t>
            </w:r>
          </w:p>
        </w:tc>
        <w:tc>
          <w:tcPr>
            <w:tcW w:w="7560" w:type="dxa"/>
          </w:tcPr>
          <w:p>
            <w:pPr>
              <w:adjustRightInd w:val="0"/>
              <w:snapToGrid w:val="0"/>
              <w:spacing w:line="324" w:lineRule="auto"/>
              <w:rPr>
                <w:color w:val="auto"/>
                <w:sz w:val="24"/>
                <w:highlight w:val="none"/>
              </w:rPr>
            </w:pPr>
            <w:r>
              <w:rPr>
                <w:rFonts w:hint="eastAsia"/>
                <w:color w:val="auto"/>
                <w:sz w:val="24"/>
                <w:highlight w:val="none"/>
              </w:rPr>
              <w:t>保修期：</w:t>
            </w:r>
            <w:r>
              <w:rPr>
                <w:rFonts w:hint="eastAsia"/>
                <w:color w:val="auto"/>
                <w:sz w:val="24"/>
                <w:highlight w:val="none"/>
                <w:u w:val="single"/>
              </w:rPr>
              <w:t xml:space="preserve"> 5  </w:t>
            </w:r>
            <w:r>
              <w:rPr>
                <w:rFonts w:hint="eastAsia"/>
                <w:color w:val="auto"/>
                <w:sz w:val="24"/>
                <w:highlight w:val="none"/>
              </w:rPr>
              <w:t>年（保修期一般应为5年）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31</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20.1</w:t>
            </w:r>
          </w:p>
        </w:tc>
        <w:tc>
          <w:tcPr>
            <w:tcW w:w="7560" w:type="dxa"/>
          </w:tcPr>
          <w:p>
            <w:pPr>
              <w:adjustRightInd w:val="0"/>
              <w:snapToGrid w:val="0"/>
              <w:spacing w:line="324" w:lineRule="auto"/>
              <w:rPr>
                <w:color w:val="auto"/>
                <w:sz w:val="24"/>
                <w:highlight w:val="none"/>
              </w:rPr>
            </w:pPr>
            <w:r>
              <w:rPr>
                <w:rFonts w:hint="eastAsia"/>
                <w:color w:val="auto"/>
                <w:sz w:val="24"/>
                <w:highlight w:val="none"/>
              </w:rPr>
              <w:t>建筑工程一切险的保险费率：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32</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20.4.2</w:t>
            </w:r>
          </w:p>
        </w:tc>
        <w:tc>
          <w:tcPr>
            <w:tcW w:w="7560" w:type="dxa"/>
          </w:tcPr>
          <w:p>
            <w:pPr>
              <w:adjustRightInd w:val="0"/>
              <w:snapToGrid w:val="0"/>
              <w:spacing w:line="324" w:lineRule="auto"/>
              <w:rPr>
                <w:color w:val="auto"/>
                <w:sz w:val="24"/>
                <w:highlight w:val="none"/>
              </w:rPr>
            </w:pPr>
            <w:r>
              <w:rPr>
                <w:rFonts w:hint="eastAsia"/>
                <w:color w:val="auto"/>
                <w:sz w:val="24"/>
                <w:highlight w:val="none"/>
              </w:rPr>
              <w:t>第三者责任的最低投保金额：</w:t>
            </w:r>
            <w:r>
              <w:rPr>
                <w:rFonts w:hint="eastAsia"/>
                <w:color w:val="auto"/>
                <w:sz w:val="24"/>
                <w:highlight w:val="none"/>
                <w:u w:val="single"/>
              </w:rPr>
              <w:t xml:space="preserve">    </w:t>
            </w:r>
            <w:r>
              <w:rPr>
                <w:rFonts w:hint="eastAsia"/>
                <w:color w:val="auto"/>
                <w:sz w:val="24"/>
                <w:highlight w:val="none"/>
              </w:rPr>
              <w:t>万元人民币，事故次数不限（不计免赔额）     保险费率：</w:t>
            </w:r>
            <w:r>
              <w:rPr>
                <w:rFonts w:hint="eastAsia"/>
                <w:color w:val="auto"/>
                <w:sz w:val="24"/>
                <w:highlight w:val="none"/>
                <w:u w:val="single"/>
              </w:rPr>
              <w:t xml:space="preserve">   </w:t>
            </w:r>
            <w:r>
              <w:rPr>
                <w:rFonts w:hint="eastAsia" w:ascii="宋体" w:hAnsi="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864" w:type="dxa"/>
            <w:vAlign w:val="center"/>
          </w:tcPr>
          <w:p>
            <w:pPr>
              <w:adjustRightInd w:val="0"/>
              <w:snapToGrid w:val="0"/>
              <w:spacing w:line="324" w:lineRule="auto"/>
              <w:jc w:val="center"/>
              <w:rPr>
                <w:color w:val="auto"/>
                <w:sz w:val="24"/>
                <w:highlight w:val="none"/>
              </w:rPr>
            </w:pPr>
            <w:r>
              <w:rPr>
                <w:rFonts w:hint="eastAsia"/>
                <w:color w:val="auto"/>
                <w:sz w:val="24"/>
                <w:highlight w:val="none"/>
              </w:rPr>
              <w:t>33</w:t>
            </w:r>
          </w:p>
        </w:tc>
        <w:tc>
          <w:tcPr>
            <w:tcW w:w="1044" w:type="dxa"/>
            <w:vAlign w:val="center"/>
          </w:tcPr>
          <w:p>
            <w:pPr>
              <w:adjustRightInd w:val="0"/>
              <w:snapToGrid w:val="0"/>
              <w:spacing w:line="324" w:lineRule="auto"/>
              <w:jc w:val="center"/>
              <w:rPr>
                <w:color w:val="auto"/>
                <w:sz w:val="24"/>
                <w:highlight w:val="none"/>
              </w:rPr>
            </w:pPr>
            <w:r>
              <w:rPr>
                <w:rFonts w:hint="eastAsia"/>
                <w:color w:val="auto"/>
                <w:sz w:val="24"/>
                <w:highlight w:val="none"/>
              </w:rPr>
              <w:t>24.1</w:t>
            </w:r>
          </w:p>
        </w:tc>
        <w:tc>
          <w:tcPr>
            <w:tcW w:w="7560" w:type="dxa"/>
          </w:tcPr>
          <w:p>
            <w:pPr>
              <w:adjustRightInd w:val="0"/>
              <w:snapToGrid w:val="0"/>
              <w:spacing w:line="324" w:lineRule="auto"/>
              <w:rPr>
                <w:color w:val="auto"/>
                <w:sz w:val="24"/>
                <w:highlight w:val="none"/>
                <w:u w:val="single"/>
              </w:rPr>
            </w:pPr>
            <w:r>
              <w:rPr>
                <w:rFonts w:hint="eastAsia"/>
                <w:color w:val="auto"/>
                <w:sz w:val="24"/>
                <w:highlight w:val="none"/>
              </w:rPr>
              <w:t>争议的最终解决方式：</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诉讼</w:t>
            </w:r>
            <w:r>
              <w:rPr>
                <w:rFonts w:hint="eastAsia"/>
                <w:color w:val="auto"/>
                <w:sz w:val="24"/>
                <w:highlight w:val="none"/>
                <w:u w:val="none"/>
              </w:rPr>
              <w:t xml:space="preserve"> </w:t>
            </w:r>
            <w:r>
              <w:rPr>
                <w:rFonts w:hint="eastAsia"/>
                <w:color w:val="auto"/>
                <w:sz w:val="24"/>
                <w:highlight w:val="none"/>
                <w:u w:val="single"/>
              </w:rPr>
              <w:t xml:space="preserve">  </w:t>
            </w:r>
          </w:p>
          <w:p>
            <w:pPr>
              <w:adjustRightInd w:val="0"/>
              <w:snapToGrid w:val="0"/>
              <w:spacing w:line="324" w:lineRule="auto"/>
              <w:rPr>
                <w:color w:val="auto"/>
                <w:sz w:val="24"/>
                <w:highlight w:val="none"/>
              </w:rPr>
            </w:pPr>
            <w:r>
              <w:rPr>
                <w:rFonts w:hint="eastAsia"/>
                <w:color w:val="auto"/>
                <w:sz w:val="24"/>
                <w:highlight w:val="none"/>
              </w:rPr>
              <w:t>如采用仲裁，仲裁委员会名称</w:t>
            </w:r>
            <w:r>
              <w:rPr>
                <w:rFonts w:hint="eastAsia"/>
                <w:color w:val="auto"/>
                <w:sz w:val="24"/>
                <w:highlight w:val="none"/>
                <w:u w:val="none"/>
              </w:rPr>
              <w:t>：</w:t>
            </w:r>
            <w:r>
              <w:rPr>
                <w:rFonts w:hint="eastAsia"/>
                <w:color w:val="auto"/>
                <w:sz w:val="24"/>
                <w:highlight w:val="none"/>
                <w:u w:val="single"/>
              </w:rPr>
              <w:t xml:space="preserve">  许昌市中级人民法院</w:t>
            </w:r>
            <w:r>
              <w:rPr>
                <w:rFonts w:hint="eastAsia"/>
                <w:color w:val="auto"/>
                <w:sz w:val="24"/>
                <w:highlight w:val="none"/>
                <w:u w:val="none"/>
              </w:rPr>
              <w:t xml:space="preserve">  </w:t>
            </w:r>
          </w:p>
        </w:tc>
      </w:tr>
    </w:tbl>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160" w:lineRule="exact"/>
        <w:rPr>
          <w:rFonts w:ascii="宋体" w:hAnsi="宋体"/>
          <w:color w:val="auto"/>
          <w:sz w:val="15"/>
          <w:szCs w:val="15"/>
          <w:highlight w:val="none"/>
        </w:rPr>
      </w:pPr>
    </w:p>
    <w:p>
      <w:pPr>
        <w:adjustRightInd w:val="0"/>
        <w:snapToGrid w:val="0"/>
        <w:spacing w:beforeLines="50" w:afterLines="50" w:line="360" w:lineRule="auto"/>
        <w:jc w:val="center"/>
        <w:rPr>
          <w:rFonts w:ascii="黑体" w:eastAsia="黑体"/>
          <w:color w:val="auto"/>
          <w:sz w:val="30"/>
          <w:highlight w:val="none"/>
        </w:rPr>
      </w:pPr>
      <w:r>
        <w:rPr>
          <w:rFonts w:hint="eastAsia" w:ascii="黑体" w:eastAsia="黑体"/>
          <w:color w:val="auto"/>
          <w:sz w:val="30"/>
          <w:highlight w:val="none"/>
        </w:rPr>
        <w:t>项目专用条款</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1.4合同文件的优先顺序：</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1.7.2来往函件送达的期限：</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2.8发包人应履行的其他义务：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4.1.2依法纳税：</w:t>
      </w:r>
      <w:r>
        <w:rPr>
          <w:rFonts w:hint="eastAsia" w:ascii="黑体" w:eastAsia="黑体"/>
          <w:color w:val="auto"/>
          <w:sz w:val="24"/>
          <w:highlight w:val="none"/>
          <w:u w:val="single"/>
        </w:rPr>
        <w:t xml:space="preserve">     </w:t>
      </w:r>
      <w:r>
        <w:rPr>
          <w:rFonts w:hint="eastAsia" w:ascii="黑体" w:eastAsia="黑体"/>
          <w:color w:val="auto"/>
          <w:sz w:val="24"/>
          <w:highlight w:val="none"/>
          <w:u w:val="single"/>
        </w:rPr>
        <w:tab/>
      </w:r>
      <w:r>
        <w:rPr>
          <w:rFonts w:hint="eastAsia" w:ascii="黑体" w:eastAsia="黑体"/>
          <w:color w:val="auto"/>
          <w:sz w:val="24"/>
          <w:highlight w:val="none"/>
          <w:u w:val="singl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4.1.8为他人提供方便</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承包人为他人提供条件的内容：</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ind w:firstLine="672" w:firstLineChars="280"/>
        <w:rPr>
          <w:rFonts w:ascii="黑体" w:eastAsia="黑体"/>
          <w:color w:val="auto"/>
          <w:sz w:val="24"/>
          <w:highlight w:val="none"/>
        </w:rPr>
      </w:pPr>
      <w:r>
        <w:rPr>
          <w:rFonts w:hint="eastAsia" w:ascii="黑体" w:eastAsia="黑体"/>
          <w:color w:val="auto"/>
          <w:sz w:val="24"/>
          <w:highlight w:val="none"/>
        </w:rPr>
        <w:t>承包人为他人提供条件可能发生费用的处理方法：</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4.1.10其他义务：</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4.2履约担保：</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4.11.1不利物质条件的范围：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6.2发包人提供的施工设备和临时设施：</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8.1.1发包人向承包人提供测量准点、基准线和水准点及其书面资料的时间：</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。承包人监理人报送施工控制网资料的时间：</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rPr>
        <w:t xml:space="preserve"> </w:t>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9.2承包人的施工安全责任：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10.1合同进度计划</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承包人编制施工方案的内容：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11.4异常恶劣的气候条件：</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11.5承包人的工期延误：</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11.6工期提前：</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12.1承包人暂停停工的责任：</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15.4变更的佶价原则：</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17.3.3进度付款证书和支付时间：</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进度付款涉及政府投资资金的,按照以下规定办理：</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18.5施工期运行</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单位工程或工程设备是否需投入施工期运行：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18.6试运行</w:t>
      </w:r>
      <w:r>
        <w:rPr>
          <w:rFonts w:ascii="黑体" w:eastAsia="黑体"/>
          <w:color w:val="auto"/>
          <w:position w:val="-10"/>
          <w:sz w:val="24"/>
          <w:highlight w:val="none"/>
        </w:rPr>
        <w:object>
          <v:shape id="_x0000_i1026" o:spt="75" type="#_x0000_t75" style="height:17pt;width:8.8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18.6.1项约定：</w:t>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本工程及工程设备是否进行试运行：</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试运行的内容：</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ind w:firstLine="480" w:firstLineChars="200"/>
        <w:rPr>
          <w:rFonts w:ascii="宋体" w:hAnsi="宋体"/>
          <w:color w:val="auto"/>
          <w:sz w:val="24"/>
          <w:highlight w:val="none"/>
        </w:rPr>
      </w:pPr>
      <w:r>
        <w:rPr>
          <w:rFonts w:hint="eastAsia" w:ascii="宋体" w:hAnsi="宋体"/>
          <w:color w:val="auto"/>
          <w:sz w:val="24"/>
          <w:highlight w:val="none"/>
        </w:rPr>
        <w:t>试运行的费用约定：</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adjustRightInd w:val="0"/>
        <w:snapToGrid w:val="0"/>
        <w:spacing w:line="312" w:lineRule="auto"/>
        <w:rPr>
          <w:rFonts w:ascii="黑体" w:eastAsia="黑体"/>
          <w:color w:val="auto"/>
          <w:sz w:val="24"/>
          <w:highlight w:val="none"/>
        </w:rPr>
      </w:pPr>
      <w:r>
        <w:rPr>
          <w:rFonts w:hint="eastAsia" w:ascii="黑体" w:eastAsia="黑体"/>
          <w:color w:val="auto"/>
          <w:sz w:val="24"/>
          <w:highlight w:val="none"/>
        </w:rPr>
        <w:t>21.1不可抗力的确认：</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adjustRightInd w:val="0"/>
        <w:snapToGrid w:val="0"/>
        <w:spacing w:line="312" w:lineRule="auto"/>
        <w:rPr>
          <w:rFonts w:ascii="黑体" w:eastAsia="黑体"/>
          <w:color w:val="auto"/>
          <w:sz w:val="24"/>
          <w:highlight w:val="none"/>
          <w:u w:val="single"/>
        </w:rPr>
      </w:pPr>
      <w:r>
        <w:rPr>
          <w:rFonts w:hint="eastAsia" w:ascii="黑体" w:eastAsia="黑体"/>
          <w:color w:val="auto"/>
          <w:sz w:val="24"/>
          <w:highlight w:val="none"/>
        </w:rPr>
        <w:t>22.1.2对承包人违约的处理：</w:t>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r>
        <w:rPr>
          <w:rFonts w:hint="eastAsia" w:ascii="黑体" w:eastAsia="黑体"/>
          <w:color w:val="auto"/>
          <w:sz w:val="24"/>
          <w:highlight w:val="none"/>
          <w:u w:val="single"/>
        </w:rPr>
        <w:tab/>
      </w: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jc w:val="center"/>
        <w:rPr>
          <w:rFonts w:ascii="黑体" w:eastAsia="黑体"/>
          <w:bCs/>
          <w:color w:val="auto"/>
          <w:sz w:val="36"/>
          <w:szCs w:val="36"/>
          <w:highlight w:val="none"/>
        </w:rPr>
      </w:pPr>
      <w:r>
        <w:rPr>
          <w:rFonts w:ascii="黑体" w:eastAsia="黑体"/>
          <w:bCs/>
          <w:color w:val="auto"/>
          <w:sz w:val="36"/>
          <w:szCs w:val="36"/>
          <w:highlight w:val="none"/>
        </w:rPr>
        <w:t>第三节 合同附件格式</w:t>
      </w: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p>
      <w:pPr>
        <w:pStyle w:val="6"/>
        <w:snapToGrid w:val="0"/>
        <w:spacing w:line="300" w:lineRule="auto"/>
        <w:rPr>
          <w:b/>
          <w:bCs/>
          <w:color w:val="auto"/>
          <w:sz w:val="44"/>
          <w:highlight w:val="none"/>
        </w:rPr>
      </w:pPr>
    </w:p>
    <w:bookmarkEnd w:id="228"/>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p>
    <w:p>
      <w:pPr>
        <w:adjustRightInd w:val="0"/>
        <w:snapToGrid w:val="0"/>
        <w:spacing w:beforeLines="100" w:afterLines="100" w:line="360" w:lineRule="auto"/>
        <w:jc w:val="center"/>
        <w:rPr>
          <w:rFonts w:ascii="黑体" w:eastAsia="黑体"/>
          <w:color w:val="auto"/>
          <w:sz w:val="32"/>
          <w:szCs w:val="32"/>
          <w:highlight w:val="none"/>
        </w:rPr>
      </w:pPr>
      <w:r>
        <w:rPr>
          <w:rFonts w:hint="eastAsia" w:ascii="黑体" w:eastAsia="黑体"/>
          <w:color w:val="auto"/>
          <w:sz w:val="32"/>
          <w:szCs w:val="32"/>
          <w:highlight w:val="none"/>
        </w:rPr>
        <w:t>第三节  合同附件格式</w:t>
      </w: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附件一：合同协议书</w:t>
      </w:r>
    </w:p>
    <w:p>
      <w:pPr>
        <w:adjustRightInd w:val="0"/>
        <w:snapToGrid w:val="0"/>
        <w:spacing w:beforeLines="100" w:afterLines="100" w:line="360" w:lineRule="auto"/>
        <w:jc w:val="center"/>
        <w:rPr>
          <w:rFonts w:ascii="黑体" w:eastAsia="黑体"/>
          <w:color w:val="auto"/>
          <w:sz w:val="28"/>
          <w:szCs w:val="28"/>
          <w:highlight w:val="none"/>
        </w:rPr>
      </w:pPr>
      <w:r>
        <w:rPr>
          <w:rFonts w:hint="eastAsia" w:ascii="黑体" w:eastAsia="黑体"/>
          <w:color w:val="auto"/>
          <w:sz w:val="28"/>
          <w:szCs w:val="28"/>
          <w:highlight w:val="none"/>
        </w:rPr>
        <w:t>合 同 协 议 书</w:t>
      </w:r>
    </w:p>
    <w:p>
      <w:pPr>
        <w:adjustRightInd w:val="0"/>
        <w:snapToGrid w:val="0"/>
        <w:spacing w:line="360" w:lineRule="auto"/>
        <w:ind w:firstLine="600" w:firstLineChars="250"/>
        <w:rPr>
          <w:color w:val="auto"/>
          <w:sz w:val="24"/>
          <w:highlight w:val="none"/>
        </w:rPr>
      </w:pPr>
      <w:r>
        <w:rPr>
          <w:rFonts w:hint="eastAsia"/>
          <w:color w:val="auto"/>
          <w:sz w:val="24"/>
          <w:highlight w:val="none"/>
          <w:u w:val="single"/>
        </w:rPr>
        <w:t xml:space="preserve">                               </w:t>
      </w:r>
      <w:r>
        <w:rPr>
          <w:color w:val="auto"/>
          <w:sz w:val="24"/>
          <w:highlight w:val="none"/>
        </w:rPr>
        <w:t>（发包</w:t>
      </w:r>
      <w:r>
        <w:rPr>
          <w:rFonts w:hint="eastAsia"/>
          <w:color w:val="auto"/>
          <w:sz w:val="24"/>
          <w:highlight w:val="none"/>
        </w:rPr>
        <w:t>人名</w:t>
      </w:r>
      <w:r>
        <w:rPr>
          <w:color w:val="auto"/>
          <w:sz w:val="24"/>
          <w:highlight w:val="none"/>
        </w:rPr>
        <w:t>称，以下</w:t>
      </w:r>
      <w:r>
        <w:rPr>
          <w:rFonts w:hint="eastAsia"/>
          <w:color w:val="auto"/>
          <w:sz w:val="24"/>
          <w:highlight w:val="none"/>
        </w:rPr>
        <w:t>简称“发包</w:t>
      </w:r>
      <w:r>
        <w:rPr>
          <w:color w:val="auto"/>
          <w:sz w:val="24"/>
          <w:highlight w:val="none"/>
        </w:rPr>
        <w:t>人</w:t>
      </w:r>
      <w:r>
        <w:rPr>
          <w:rFonts w:hint="eastAsia"/>
          <w:color w:val="auto"/>
          <w:sz w:val="24"/>
          <w:highlight w:val="none"/>
        </w:rPr>
        <w:t>” ）</w:t>
      </w:r>
      <w:r>
        <w:rPr>
          <w:color w:val="auto"/>
          <w:sz w:val="24"/>
          <w:highlight w:val="none"/>
        </w:rPr>
        <w:t>为实施</w:t>
      </w:r>
      <w:r>
        <w:rPr>
          <w:rFonts w:hint="eastAsia"/>
          <w:color w:val="auto"/>
          <w:sz w:val="24"/>
          <w:highlight w:val="none"/>
          <w:u w:val="single"/>
        </w:rPr>
        <w:t xml:space="preserve">                 </w:t>
      </w:r>
      <w:r>
        <w:rPr>
          <w:color w:val="auto"/>
          <w:sz w:val="24"/>
          <w:highlight w:val="none"/>
        </w:rPr>
        <w:t>（项目名称），已接受</w:t>
      </w:r>
      <w:r>
        <w:rPr>
          <w:rFonts w:hint="eastAsia"/>
          <w:color w:val="auto"/>
          <w:sz w:val="24"/>
          <w:highlight w:val="none"/>
          <w:u w:val="single"/>
        </w:rPr>
        <w:t xml:space="preserve">             </w:t>
      </w:r>
      <w:r>
        <w:rPr>
          <w:color w:val="auto"/>
          <w:sz w:val="24"/>
          <w:highlight w:val="none"/>
        </w:rPr>
        <w:t>（承包人名称，以下简称“承包人”）对该项目</w:t>
      </w:r>
      <w:r>
        <w:rPr>
          <w:rFonts w:hint="eastAsia"/>
          <w:color w:val="auto"/>
          <w:sz w:val="24"/>
          <w:highlight w:val="none"/>
          <w:u w:val="single"/>
        </w:rPr>
        <w:t xml:space="preserve">         </w:t>
      </w:r>
      <w:r>
        <w:rPr>
          <w:color w:val="auto"/>
          <w:sz w:val="24"/>
          <w:highlight w:val="none"/>
        </w:rPr>
        <w:t>标段施工的投标。发包人和承包人共同达成如下协议。</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第</w:t>
      </w:r>
      <w:r>
        <w:rPr>
          <w:rFonts w:hint="eastAsia"/>
          <w:color w:val="auto"/>
          <w:sz w:val="24"/>
          <w:highlight w:val="none"/>
          <w:u w:val="single"/>
        </w:rPr>
        <w:t xml:space="preserve">    </w:t>
      </w:r>
      <w:r>
        <w:rPr>
          <w:color w:val="auto"/>
          <w:sz w:val="24"/>
          <w:highlight w:val="none"/>
        </w:rPr>
        <w:t>标段由K</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rPr>
        <w:t>至K</w:t>
      </w:r>
      <w:r>
        <w:rPr>
          <w:rFonts w:hint="eastAsia"/>
          <w:color w:val="auto"/>
          <w:sz w:val="24"/>
          <w:highlight w:val="none"/>
          <w:u w:val="single"/>
        </w:rPr>
        <w:t xml:space="preserve">   </w:t>
      </w:r>
      <w:r>
        <w:rPr>
          <w:color w:val="auto"/>
          <w:sz w:val="24"/>
          <w:highlight w:val="none"/>
        </w:rPr>
        <w:t>十</w:t>
      </w:r>
      <w:r>
        <w:rPr>
          <w:rFonts w:hint="eastAsia"/>
          <w:color w:val="auto"/>
          <w:sz w:val="24"/>
          <w:highlight w:val="none"/>
          <w:u w:val="single"/>
        </w:rPr>
        <w:t xml:space="preserve">   </w:t>
      </w:r>
      <w:r>
        <w:rPr>
          <w:color w:val="auto"/>
          <w:sz w:val="24"/>
          <w:highlight w:val="none"/>
        </w:rPr>
        <w:t>，长约</w:t>
      </w:r>
      <w:r>
        <w:rPr>
          <w:rFonts w:hint="eastAsia"/>
          <w:color w:val="auto"/>
          <w:sz w:val="24"/>
          <w:highlight w:val="none"/>
          <w:u w:val="single"/>
        </w:rPr>
        <w:t xml:space="preserve">   </w:t>
      </w:r>
      <w:r>
        <w:rPr>
          <w:color w:val="auto"/>
          <w:sz w:val="24"/>
          <w:highlight w:val="none"/>
        </w:rPr>
        <w:t>km，技术标准</w:t>
      </w:r>
      <w:r>
        <w:rPr>
          <w:rFonts w:hint="eastAsia"/>
          <w:color w:val="auto"/>
          <w:sz w:val="24"/>
          <w:highlight w:val="none"/>
          <w:u w:val="single"/>
        </w:rPr>
        <w:t xml:space="preserve">   </w:t>
      </w:r>
      <w:r>
        <w:rPr>
          <w:color w:val="auto"/>
          <w:sz w:val="24"/>
          <w:highlight w:val="none"/>
        </w:rPr>
        <w:t>级，</w:t>
      </w:r>
      <w:r>
        <w:rPr>
          <w:rFonts w:hint="eastAsia"/>
          <w:color w:val="auto"/>
          <w:sz w:val="24"/>
          <w:highlight w:val="none"/>
          <w:u w:val="single"/>
        </w:rPr>
        <w:t xml:space="preserve">   </w:t>
      </w:r>
      <w:r>
        <w:rPr>
          <w:color w:val="auto"/>
          <w:sz w:val="24"/>
          <w:highlight w:val="none"/>
        </w:rPr>
        <w:t>路面。有</w:t>
      </w:r>
      <w:r>
        <w:rPr>
          <w:rFonts w:hint="eastAsia"/>
          <w:color w:val="auto"/>
          <w:sz w:val="24"/>
          <w:highlight w:val="none"/>
          <w:u w:val="single"/>
        </w:rPr>
        <w:t xml:space="preserve">   </w:t>
      </w:r>
      <w:r>
        <w:rPr>
          <w:color w:val="auto"/>
          <w:sz w:val="24"/>
          <w:highlight w:val="none"/>
        </w:rPr>
        <w:t>立交</w:t>
      </w:r>
      <w:r>
        <w:rPr>
          <w:rFonts w:hint="eastAsia"/>
          <w:color w:val="auto"/>
          <w:sz w:val="24"/>
          <w:highlight w:val="none"/>
          <w:u w:val="single"/>
        </w:rPr>
        <w:t xml:space="preserve">   </w:t>
      </w:r>
      <w:r>
        <w:rPr>
          <w:color w:val="auto"/>
          <w:sz w:val="24"/>
          <w:highlight w:val="none"/>
        </w:rPr>
        <w:t>处；大中桥</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；隧道</w:t>
      </w:r>
      <w:r>
        <w:rPr>
          <w:rFonts w:hint="eastAsia"/>
          <w:color w:val="auto"/>
          <w:sz w:val="24"/>
          <w:highlight w:val="none"/>
          <w:u w:val="single"/>
        </w:rPr>
        <w:t xml:space="preserve">   </w:t>
      </w:r>
      <w:r>
        <w:rPr>
          <w:color w:val="auto"/>
          <w:sz w:val="24"/>
          <w:highlight w:val="none"/>
        </w:rPr>
        <w:t>座，计长</w:t>
      </w:r>
      <w:r>
        <w:rPr>
          <w:rFonts w:hint="eastAsia"/>
          <w:color w:val="auto"/>
          <w:sz w:val="24"/>
          <w:highlight w:val="none"/>
          <w:u w:val="single"/>
        </w:rPr>
        <w:t xml:space="preserve">    </w:t>
      </w:r>
      <w:r>
        <w:rPr>
          <w:rFonts w:hint="eastAsia"/>
          <w:color w:val="auto"/>
          <w:sz w:val="24"/>
          <w:highlight w:val="none"/>
        </w:rPr>
        <w:t>m</w:t>
      </w:r>
      <w:r>
        <w:rPr>
          <w:color w:val="auto"/>
          <w:sz w:val="24"/>
          <w:highlight w:val="none"/>
        </w:rPr>
        <w:t>以及其他构造物工程等。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下列文件应视为构成合同文件的组成部分：</w:t>
      </w:r>
    </w:p>
    <w:p>
      <w:pPr>
        <w:adjustRightInd w:val="0"/>
        <w:snapToGrid w:val="0"/>
        <w:spacing w:line="360" w:lineRule="auto"/>
        <w:ind w:left="1079" w:leftChars="228" w:hanging="600" w:hangingChars="25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本协议书及各种合同附件（含评标期间和合同谈判过程中的澄清文件和补充资料）；</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中标通知书；</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补遗书；</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4</w:t>
      </w:r>
      <w:r>
        <w:rPr>
          <w:rFonts w:hint="eastAsia"/>
          <w:color w:val="auto"/>
          <w:sz w:val="24"/>
          <w:highlight w:val="none"/>
        </w:rPr>
        <w:t>）</w:t>
      </w:r>
      <w:r>
        <w:rPr>
          <w:color w:val="auto"/>
          <w:sz w:val="24"/>
          <w:highlight w:val="none"/>
        </w:rPr>
        <w:t>投标函及投标函附录；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5）项目专用合同条款；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6</w:t>
      </w:r>
      <w:r>
        <w:rPr>
          <w:rFonts w:hint="eastAsia"/>
          <w:color w:val="auto"/>
          <w:sz w:val="24"/>
          <w:highlight w:val="none"/>
        </w:rPr>
        <w:t>）</w:t>
      </w:r>
      <w:r>
        <w:rPr>
          <w:color w:val="auto"/>
          <w:sz w:val="24"/>
          <w:highlight w:val="none"/>
        </w:rPr>
        <w:t>公路行业标准专用合同条款；</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7</w:t>
      </w:r>
      <w:r>
        <w:rPr>
          <w:rFonts w:hint="eastAsia"/>
          <w:color w:val="auto"/>
          <w:sz w:val="24"/>
          <w:highlight w:val="none"/>
        </w:rPr>
        <w:t>）</w:t>
      </w:r>
      <w:r>
        <w:rPr>
          <w:color w:val="auto"/>
          <w:sz w:val="24"/>
          <w:highlight w:val="none"/>
        </w:rPr>
        <w:t>通用合同条款；</w:t>
      </w:r>
    </w:p>
    <w:p>
      <w:pPr>
        <w:adjustRightInd w:val="0"/>
        <w:snapToGrid w:val="0"/>
        <w:spacing w:line="360" w:lineRule="auto"/>
        <w:ind w:firstLine="480" w:firstLineChars="200"/>
        <w:rPr>
          <w:color w:val="auto"/>
          <w:sz w:val="24"/>
          <w:highlight w:val="none"/>
        </w:rPr>
      </w:pPr>
      <w:r>
        <w:rPr>
          <w:color w:val="auto"/>
          <w:sz w:val="24"/>
          <w:highlight w:val="none"/>
        </w:rPr>
        <w:t>（8）技术规范；</w:t>
      </w:r>
    </w:p>
    <w:p>
      <w:pPr>
        <w:adjustRightInd w:val="0"/>
        <w:snapToGrid w:val="0"/>
        <w:spacing w:line="360" w:lineRule="auto"/>
        <w:ind w:firstLine="480" w:firstLineChars="200"/>
        <w:rPr>
          <w:color w:val="auto"/>
          <w:sz w:val="24"/>
          <w:highlight w:val="none"/>
        </w:rPr>
      </w:pPr>
      <w:r>
        <w:rPr>
          <w:color w:val="auto"/>
          <w:sz w:val="24"/>
          <w:highlight w:val="none"/>
        </w:rPr>
        <w:t>（9）图纸；</w:t>
      </w:r>
    </w:p>
    <w:p>
      <w:pPr>
        <w:adjustRightInd w:val="0"/>
        <w:snapToGrid w:val="0"/>
        <w:spacing w:line="360" w:lineRule="auto"/>
        <w:ind w:firstLine="480" w:firstLineChars="200"/>
        <w:rPr>
          <w:color w:val="auto"/>
          <w:sz w:val="24"/>
          <w:highlight w:val="none"/>
        </w:rPr>
      </w:pPr>
      <w:r>
        <w:rPr>
          <w:color w:val="auto"/>
          <w:sz w:val="24"/>
          <w:highlight w:val="none"/>
        </w:rPr>
        <w:t>（10）已标价工程量清单；</w:t>
      </w:r>
    </w:p>
    <w:p>
      <w:pPr>
        <w:adjustRightInd w:val="0"/>
        <w:snapToGrid w:val="0"/>
        <w:spacing w:line="360" w:lineRule="auto"/>
        <w:ind w:firstLine="480" w:firstLineChars="200"/>
        <w:rPr>
          <w:color w:val="auto"/>
          <w:sz w:val="24"/>
          <w:highlight w:val="none"/>
        </w:rPr>
      </w:pPr>
      <w:r>
        <w:rPr>
          <w:rFonts w:hint="eastAsia"/>
          <w:color w:val="auto"/>
          <w:sz w:val="24"/>
          <w:highlight w:val="none"/>
        </w:rPr>
        <w:t>（</w:t>
      </w:r>
      <w:r>
        <w:rPr>
          <w:color w:val="auto"/>
          <w:sz w:val="24"/>
          <w:highlight w:val="none"/>
        </w:rPr>
        <w:t>11</w:t>
      </w:r>
      <w:r>
        <w:rPr>
          <w:rFonts w:hint="eastAsia"/>
          <w:color w:val="auto"/>
          <w:sz w:val="24"/>
          <w:highlight w:val="none"/>
        </w:rPr>
        <w:t>）</w:t>
      </w:r>
      <w:r>
        <w:rPr>
          <w:color w:val="auto"/>
          <w:sz w:val="24"/>
          <w:highlight w:val="none"/>
        </w:rPr>
        <w:t>资格预审申请文件中有关人员、设备投入的承诺</w:t>
      </w:r>
      <w:r>
        <w:rPr>
          <w:rFonts w:hint="eastAsia"/>
          <w:color w:val="auto"/>
          <w:sz w:val="24"/>
          <w:highlight w:val="none"/>
        </w:rPr>
        <w:t>和目标承诺书；</w:t>
      </w:r>
    </w:p>
    <w:p>
      <w:pPr>
        <w:adjustRightInd w:val="0"/>
        <w:snapToGrid w:val="0"/>
        <w:spacing w:line="360" w:lineRule="auto"/>
        <w:ind w:firstLine="480" w:firstLineChars="200"/>
        <w:rPr>
          <w:color w:val="auto"/>
          <w:sz w:val="24"/>
          <w:highlight w:val="none"/>
        </w:rPr>
      </w:pPr>
      <w:r>
        <w:rPr>
          <w:rFonts w:hint="eastAsia"/>
          <w:color w:val="auto"/>
          <w:sz w:val="24"/>
          <w:highlight w:val="none"/>
        </w:rPr>
        <w:t>（12）根据承诺提供的详细人员、设备清单；</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3</w:t>
      </w:r>
      <w:r>
        <w:rPr>
          <w:color w:val="auto"/>
          <w:sz w:val="24"/>
          <w:highlight w:val="none"/>
        </w:rPr>
        <w:t>）施工组织设计安排；</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4</w:t>
      </w:r>
      <w:r>
        <w:rPr>
          <w:color w:val="auto"/>
          <w:sz w:val="24"/>
          <w:highlight w:val="none"/>
        </w:rPr>
        <w:t>）</w:t>
      </w:r>
      <w:r>
        <w:rPr>
          <w:rFonts w:hint="eastAsia"/>
          <w:color w:val="auto"/>
          <w:sz w:val="24"/>
          <w:highlight w:val="none"/>
        </w:rPr>
        <w:t>农民工工资支付承诺书</w:t>
      </w:r>
      <w:r>
        <w:rPr>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（15）扬尘治理专项承诺书；</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6</w:t>
      </w:r>
      <w:r>
        <w:rPr>
          <w:color w:val="auto"/>
          <w:sz w:val="24"/>
          <w:highlight w:val="none"/>
        </w:rPr>
        <w:t>）其他合同文件。</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上述文件互相补充和解释，如有不明确或不一致之处，以合同约定次序在先者为准。</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根据工程量清单所列的预计数量和单价或总额价计算的签约合同价：人民币（大写）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承包人项目经理：</w:t>
      </w:r>
      <w:r>
        <w:rPr>
          <w:rFonts w:hint="eastAsia"/>
          <w:color w:val="auto"/>
          <w:sz w:val="24"/>
          <w:highlight w:val="none"/>
          <w:u w:val="single"/>
        </w:rPr>
        <w:t xml:space="preserve">               </w:t>
      </w:r>
      <w:r>
        <w:rPr>
          <w:color w:val="auto"/>
          <w:sz w:val="24"/>
          <w:highlight w:val="none"/>
        </w:rPr>
        <w:t>。技术负责人：</w:t>
      </w:r>
      <w:r>
        <w:rPr>
          <w:rFonts w:hint="eastAsia"/>
          <w:color w:val="auto"/>
          <w:sz w:val="24"/>
          <w:highlight w:val="none"/>
          <w:u w:val="single"/>
        </w:rPr>
        <w:t xml:space="preserve">             </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工程质量符合</w:t>
      </w:r>
      <w:r>
        <w:rPr>
          <w:rFonts w:hint="eastAsia"/>
          <w:color w:val="auto"/>
          <w:sz w:val="24"/>
          <w:highlight w:val="none"/>
          <w:u w:val="single"/>
        </w:rPr>
        <w:t xml:space="preserve">              </w:t>
      </w:r>
      <w:r>
        <w:rPr>
          <w:color w:val="auto"/>
          <w:sz w:val="24"/>
          <w:highlight w:val="none"/>
        </w:rPr>
        <w:t>标准。</w:t>
      </w:r>
    </w:p>
    <w:p>
      <w:pPr>
        <w:adjustRightInd w:val="0"/>
        <w:snapToGrid w:val="0"/>
        <w:spacing w:line="360" w:lineRule="auto"/>
        <w:ind w:firstLine="480" w:firstLineChars="200"/>
        <w:rPr>
          <w:color w:val="auto"/>
          <w:sz w:val="24"/>
          <w:highlight w:val="none"/>
        </w:rPr>
      </w:pPr>
      <w:r>
        <w:rPr>
          <w:color w:val="auto"/>
          <w:sz w:val="24"/>
          <w:highlight w:val="none"/>
        </w:rPr>
        <w:t>7．承包人承诺按合同约定承担工程的实施、完成及缺陷修复。</w:t>
      </w:r>
    </w:p>
    <w:p>
      <w:pPr>
        <w:adjustRightInd w:val="0"/>
        <w:snapToGrid w:val="0"/>
        <w:spacing w:line="360" w:lineRule="auto"/>
        <w:ind w:firstLine="480" w:firstLineChars="200"/>
        <w:rPr>
          <w:color w:val="auto"/>
          <w:sz w:val="24"/>
          <w:highlight w:val="none"/>
        </w:rPr>
      </w:pPr>
      <w:r>
        <w:rPr>
          <w:rFonts w:hint="eastAsia"/>
          <w:color w:val="auto"/>
          <w:sz w:val="24"/>
          <w:highlight w:val="none"/>
        </w:rPr>
        <w:t>8．</w:t>
      </w:r>
      <w:r>
        <w:rPr>
          <w:color w:val="auto"/>
          <w:sz w:val="24"/>
          <w:highlight w:val="none"/>
        </w:rPr>
        <w:t>发包人承诺按合同约定的条件、时间和方式向承包人支付合同价款。</w:t>
      </w:r>
    </w:p>
    <w:p>
      <w:pPr>
        <w:adjustRightInd w:val="0"/>
        <w:snapToGrid w:val="0"/>
        <w:spacing w:line="360" w:lineRule="auto"/>
        <w:ind w:firstLine="480" w:firstLineChars="200"/>
        <w:rPr>
          <w:color w:val="auto"/>
          <w:sz w:val="24"/>
          <w:highlight w:val="none"/>
        </w:rPr>
      </w:pPr>
      <w:r>
        <w:rPr>
          <w:color w:val="auto"/>
          <w:sz w:val="24"/>
          <w:highlight w:val="none"/>
        </w:rPr>
        <w:t>9</w:t>
      </w:r>
      <w:r>
        <w:rPr>
          <w:rFonts w:hint="eastAsia"/>
          <w:color w:val="auto"/>
          <w:sz w:val="24"/>
          <w:highlight w:val="none"/>
        </w:rPr>
        <w:t>．</w:t>
      </w:r>
      <w:r>
        <w:rPr>
          <w:color w:val="auto"/>
          <w:sz w:val="24"/>
          <w:highlight w:val="none"/>
        </w:rPr>
        <w:t>承包人应按照监理人指示开工，工期为</w:t>
      </w:r>
      <w:r>
        <w:rPr>
          <w:rFonts w:hint="eastAsia"/>
          <w:color w:val="auto"/>
          <w:sz w:val="24"/>
          <w:highlight w:val="none"/>
          <w:u w:val="single"/>
        </w:rPr>
        <w:t xml:space="preserve">     </w:t>
      </w:r>
      <w:r>
        <w:rPr>
          <w:color w:val="auto"/>
          <w:sz w:val="24"/>
          <w:highlight w:val="none"/>
        </w:rPr>
        <w:t>日历天。</w:t>
      </w:r>
    </w:p>
    <w:p>
      <w:pPr>
        <w:adjustRightInd w:val="0"/>
        <w:snapToGrid w:val="0"/>
        <w:spacing w:line="360" w:lineRule="auto"/>
        <w:ind w:firstLine="480" w:firstLineChars="200"/>
        <w:rPr>
          <w:color w:val="auto"/>
          <w:sz w:val="24"/>
          <w:highlight w:val="none"/>
        </w:rPr>
      </w:pPr>
      <w:r>
        <w:rPr>
          <w:color w:val="auto"/>
          <w:sz w:val="24"/>
          <w:highlight w:val="none"/>
        </w:rPr>
        <w:t>10</w:t>
      </w:r>
      <w:r>
        <w:rPr>
          <w:rFonts w:hint="eastAsia"/>
          <w:color w:val="auto"/>
          <w:sz w:val="24"/>
          <w:highlight w:val="none"/>
        </w:rPr>
        <w:t>．</w:t>
      </w:r>
      <w:r>
        <w:rPr>
          <w:color w:val="auto"/>
          <w:sz w:val="24"/>
          <w:highlight w:val="none"/>
        </w:rPr>
        <w:t>本协议书在承包人提供履约担保后，由双方法定代表人或其委托代理人签署与加盖公章后生效。全部工程完工后经竣工验收合格、缺陷责任期满及保修期终止分别签发缺陷责任终止证书及保修期终止证书后失效。</w:t>
      </w:r>
    </w:p>
    <w:p>
      <w:pPr>
        <w:adjustRightInd w:val="0"/>
        <w:snapToGrid w:val="0"/>
        <w:spacing w:line="360" w:lineRule="auto"/>
        <w:ind w:firstLine="480" w:firstLineChars="200"/>
        <w:rPr>
          <w:color w:val="auto"/>
          <w:sz w:val="24"/>
          <w:highlight w:val="none"/>
        </w:rPr>
      </w:pPr>
      <w:r>
        <w:rPr>
          <w:color w:val="auto"/>
          <w:sz w:val="24"/>
          <w:highlight w:val="none"/>
        </w:rPr>
        <w:t>11．本协议书正本二份、副本</w:t>
      </w:r>
      <w:r>
        <w:rPr>
          <w:rFonts w:hint="eastAsia"/>
          <w:color w:val="auto"/>
          <w:sz w:val="24"/>
          <w:highlight w:val="none"/>
          <w:u w:val="single"/>
        </w:rPr>
        <w:t xml:space="preserve">     </w:t>
      </w:r>
      <w:r>
        <w:rPr>
          <w:color w:val="auto"/>
          <w:sz w:val="24"/>
          <w:highlight w:val="none"/>
        </w:rPr>
        <w:t>份，合同双方各执正本一份，副本</w:t>
      </w:r>
      <w:r>
        <w:rPr>
          <w:rFonts w:hint="eastAsia"/>
          <w:color w:val="auto"/>
          <w:sz w:val="24"/>
          <w:highlight w:val="none"/>
          <w:u w:val="single"/>
        </w:rPr>
        <w:t xml:space="preserve">     </w:t>
      </w:r>
      <w:r>
        <w:rPr>
          <w:color w:val="auto"/>
          <w:sz w:val="24"/>
          <w:highlight w:val="none"/>
        </w:rPr>
        <w:t>份，当正本与副本的内容不一致时，以正本为准。</w:t>
      </w:r>
    </w:p>
    <w:p>
      <w:pPr>
        <w:adjustRightInd w:val="0"/>
        <w:snapToGrid w:val="0"/>
        <w:spacing w:line="360" w:lineRule="auto"/>
        <w:ind w:firstLine="480" w:firstLineChars="200"/>
        <w:rPr>
          <w:color w:val="auto"/>
          <w:sz w:val="24"/>
          <w:highlight w:val="none"/>
        </w:rPr>
      </w:pPr>
      <w:r>
        <w:rPr>
          <w:color w:val="auto"/>
          <w:sz w:val="24"/>
          <w:highlight w:val="none"/>
        </w:rPr>
        <w:t>12</w:t>
      </w:r>
      <w:r>
        <w:rPr>
          <w:rFonts w:hint="eastAsia"/>
          <w:color w:val="auto"/>
          <w:sz w:val="24"/>
          <w:highlight w:val="none"/>
        </w:rPr>
        <w:t>．</w:t>
      </w:r>
      <w:r>
        <w:rPr>
          <w:color w:val="auto"/>
          <w:sz w:val="24"/>
          <w:highlight w:val="none"/>
        </w:rPr>
        <w:t>合同未尽事宜，双方另行签订补充协议。补充协议是合同的组成部分。</w:t>
      </w: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发包人：</w:t>
      </w:r>
      <w:r>
        <w:rPr>
          <w:rFonts w:hint="eastAsia"/>
          <w:color w:val="auto"/>
          <w:sz w:val="24"/>
          <w:highlight w:val="none"/>
          <w:u w:val="single"/>
        </w:rPr>
        <w:t xml:space="preserve">              </w:t>
      </w:r>
      <w:r>
        <w:rPr>
          <w:color w:val="auto"/>
          <w:sz w:val="24"/>
          <w:highlight w:val="none"/>
        </w:rPr>
        <w:t>（盖单位公章）</w:t>
      </w:r>
      <w:r>
        <w:rPr>
          <w:rFonts w:hint="eastAsia"/>
          <w:color w:val="auto"/>
          <w:sz w:val="24"/>
          <w:highlight w:val="none"/>
        </w:rPr>
        <w:t xml:space="preserve">    </w:t>
      </w:r>
      <w:r>
        <w:rPr>
          <w:color w:val="auto"/>
          <w:sz w:val="24"/>
          <w:highlight w:val="none"/>
        </w:rPr>
        <w:t>承包人：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r>
        <w:rPr>
          <w:rFonts w:hint="eastAsia"/>
          <w:color w:val="auto"/>
          <w:sz w:val="24"/>
          <w:highlight w:val="none"/>
        </w:rPr>
        <w:t xml:space="preserve">  </w:t>
      </w:r>
      <w:r>
        <w:rPr>
          <w:color w:val="auto"/>
          <w:sz w:val="24"/>
          <w:highlight w:val="none"/>
        </w:rPr>
        <w:t>法定代表人或其委托代理人：</w:t>
      </w:r>
      <w:r>
        <w:rPr>
          <w:rFonts w:hint="eastAsia"/>
          <w:color w:val="auto"/>
          <w:sz w:val="24"/>
          <w:highlight w:val="none"/>
          <w:u w:val="single"/>
        </w:rPr>
        <w:t xml:space="preserve">    </w:t>
      </w:r>
      <w:r>
        <w:rPr>
          <w:rFonts w:hint="eastAsia"/>
          <w:color w:val="auto"/>
          <w:sz w:val="24"/>
          <w:highlight w:val="none"/>
        </w:rPr>
        <w:t>（</w:t>
      </w:r>
      <w:r>
        <w:rPr>
          <w:color w:val="auto"/>
          <w:sz w:val="24"/>
          <w:highlight w:val="none"/>
        </w:rPr>
        <w:t>签字）</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pageBreakBefore/>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附件二：廉政合同</w:t>
      </w:r>
    </w:p>
    <w:p>
      <w:pPr>
        <w:adjustRightInd w:val="0"/>
        <w:snapToGrid w:val="0"/>
        <w:spacing w:afterLines="50" w:line="360" w:lineRule="auto"/>
        <w:jc w:val="center"/>
        <w:rPr>
          <w:rFonts w:ascii="黑体" w:eastAsia="黑体"/>
          <w:color w:val="auto"/>
          <w:sz w:val="28"/>
          <w:szCs w:val="28"/>
          <w:highlight w:val="none"/>
        </w:rPr>
      </w:pPr>
      <w:r>
        <w:rPr>
          <w:rFonts w:hint="eastAsia" w:ascii="黑体" w:eastAsia="黑体"/>
          <w:color w:val="auto"/>
          <w:sz w:val="28"/>
          <w:szCs w:val="28"/>
          <w:highlight w:val="none"/>
        </w:rPr>
        <w:t>廉 政 合 同</w:t>
      </w:r>
    </w:p>
    <w:p>
      <w:pPr>
        <w:adjustRightInd w:val="0"/>
        <w:snapToGrid w:val="0"/>
        <w:spacing w:line="360" w:lineRule="auto"/>
        <w:ind w:firstLine="480" w:firstLineChars="200"/>
        <w:rPr>
          <w:color w:val="auto"/>
          <w:sz w:val="24"/>
          <w:highlight w:val="none"/>
        </w:rPr>
      </w:pPr>
      <w:r>
        <w:rPr>
          <w:color w:val="auto"/>
          <w:sz w:val="24"/>
          <w:highlight w:val="none"/>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w:t>
      </w:r>
      <w:r>
        <w:rPr>
          <w:rFonts w:hint="eastAsia"/>
          <w:color w:val="auto"/>
          <w:sz w:val="24"/>
          <w:highlight w:val="none"/>
          <w:u w:val="single"/>
        </w:rPr>
        <w:t xml:space="preserve">    （全称）   </w:t>
      </w:r>
      <w:r>
        <w:rPr>
          <w:color w:val="auto"/>
          <w:sz w:val="24"/>
          <w:highlight w:val="none"/>
        </w:rPr>
        <w:t>（以下简称“甲方”）与施工单位</w:t>
      </w:r>
      <w:r>
        <w:rPr>
          <w:rFonts w:hint="eastAsia"/>
          <w:color w:val="auto"/>
          <w:sz w:val="24"/>
          <w:highlight w:val="none"/>
          <w:u w:val="single"/>
        </w:rPr>
        <w:t xml:space="preserve">    （全称）   </w:t>
      </w:r>
      <w:r>
        <w:rPr>
          <w:color w:val="auto"/>
          <w:sz w:val="24"/>
          <w:highlight w:val="none"/>
        </w:rPr>
        <w:t>（以下简称“乙方”），特订立如下合同。</w:t>
      </w:r>
    </w:p>
    <w:p>
      <w:pPr>
        <w:adjustRightInd w:val="0"/>
        <w:snapToGrid w:val="0"/>
        <w:spacing w:line="360" w:lineRule="auto"/>
        <w:ind w:firstLine="480" w:firstLineChars="200"/>
        <w:rPr>
          <w:rFonts w:eastAsia="黑体"/>
          <w:color w:val="auto"/>
          <w:sz w:val="24"/>
          <w:highlight w:val="none"/>
        </w:rPr>
      </w:pPr>
      <w:r>
        <w:rPr>
          <w:rFonts w:hint="eastAsia" w:eastAsia="黑体"/>
          <w:color w:val="auto"/>
          <w:sz w:val="24"/>
          <w:highlight w:val="none"/>
        </w:rPr>
        <w:t>1．甲乙双方的权利和义务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严格遵守党的政策规定和国家有关法律法规及交通部的有关规定。</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严格执行．（项目名称）工程的合同文件，自觉按合同办事。</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双方的业务活动坚持公开、公正、诚信、透明的原则（法律认定的商业秘密和合同文件另有规定除外），不得损害国家和集体利益，违反工程建设管理规章制度。</w:t>
      </w:r>
    </w:p>
    <w:p>
      <w:pPr>
        <w:adjustRightInd w:val="0"/>
        <w:snapToGrid w:val="0"/>
        <w:spacing w:line="360" w:lineRule="auto"/>
        <w:ind w:firstLine="480" w:firstLineChars="200"/>
        <w:rPr>
          <w:color w:val="auto"/>
          <w:sz w:val="24"/>
          <w:highlight w:val="none"/>
        </w:rPr>
      </w:pPr>
      <w:r>
        <w:rPr>
          <w:rFonts w:hint="eastAsia"/>
          <w:color w:val="auto"/>
          <w:sz w:val="24"/>
          <w:highlight w:val="none"/>
        </w:rPr>
        <w:t xml:space="preserve">（4） </w:t>
      </w:r>
      <w:r>
        <w:rPr>
          <w:color w:val="auto"/>
          <w:sz w:val="24"/>
          <w:highlight w:val="none"/>
        </w:rPr>
        <w:t>建立健全廉政制度，开展廉政教育，设立廉政告示牌，公布举报电话，监督并认真查处违法违纪行为。</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发现对方在业务活动中有违反廉政规定的行为，有及时提醒对方纠正的权利和义务。</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发现对方严重违反本合同义务条款的行为，有向其上级有关部门举报、建议给予处理并要求告知处理结果的权利；</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2．甲方的义务</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 xml:space="preserve"> </w:t>
      </w:r>
      <w:r>
        <w:rPr>
          <w:color w:val="auto"/>
          <w:sz w:val="24"/>
          <w:highlight w:val="none"/>
        </w:rPr>
        <w:t>甲方及其工作人员不得索要或接受乙方的礼金、有价证券和贵重物品，不得在乙方报销任何应由甲方或甲方工作人员个人支付的费用等。</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 xml:space="preserve">） </w:t>
      </w:r>
      <w:r>
        <w:rPr>
          <w:color w:val="auto"/>
          <w:sz w:val="24"/>
          <w:highlight w:val="none"/>
        </w:rPr>
        <w:t>甲方工作人员不得参加乙方安排的超标准宴请和娱乐活动；不得接受乙方提供的通讯工具、交通工具和高档办公用品等。</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 xml:space="preserve">） </w:t>
      </w:r>
      <w:r>
        <w:rPr>
          <w:color w:val="auto"/>
          <w:sz w:val="24"/>
          <w:highlight w:val="none"/>
        </w:rPr>
        <w:t>甲方及其工作人员不得要求或者接受乙方为其住房装修、婚丧嫁娶活动、配偶子女的工作安排以及出国出境、旅游等提供方便等。</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 xml:space="preserve"> </w:t>
      </w:r>
      <w:r>
        <w:rPr>
          <w:color w:val="auto"/>
          <w:sz w:val="24"/>
          <w:highlight w:val="none"/>
        </w:rPr>
        <w:t>甲方工作人员及其配偶、子女不得从事与甲方工程有关的材料设备供应、工程分包、劳务等经济活动等。</w:t>
      </w:r>
    </w:p>
    <w:p>
      <w:pPr>
        <w:adjustRightInd w:val="0"/>
        <w:snapToGrid w:val="0"/>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rPr>
        <w:t xml:space="preserve"> </w:t>
      </w:r>
      <w:r>
        <w:rPr>
          <w:color w:val="auto"/>
          <w:sz w:val="24"/>
          <w:highlight w:val="none"/>
        </w:rPr>
        <w:t>甲方及其工作人员不得以任何理由向乙方推荐分包单位或推销材料，不得要求乙方购买合同规定外的材料和设备。</w:t>
      </w:r>
    </w:p>
    <w:p>
      <w:pPr>
        <w:adjustRightInd w:val="0"/>
        <w:snapToGrid w:val="0"/>
        <w:spacing w:line="360" w:lineRule="auto"/>
        <w:ind w:firstLine="480" w:firstLineChars="200"/>
        <w:rPr>
          <w:color w:val="auto"/>
          <w:sz w:val="24"/>
          <w:highlight w:val="none"/>
        </w:rPr>
      </w:pPr>
      <w:r>
        <w:rPr>
          <w:color w:val="auto"/>
          <w:sz w:val="24"/>
          <w:highlight w:val="none"/>
        </w:rPr>
        <w:t>（6）</w:t>
      </w:r>
      <w:r>
        <w:rPr>
          <w:rFonts w:hint="eastAsia"/>
          <w:color w:val="auto"/>
          <w:sz w:val="24"/>
          <w:highlight w:val="none"/>
        </w:rPr>
        <w:t xml:space="preserve"> </w:t>
      </w:r>
      <w:r>
        <w:rPr>
          <w:color w:val="auto"/>
          <w:sz w:val="24"/>
          <w:highlight w:val="none"/>
        </w:rPr>
        <w:t>甲方工作人员要秉公办事，不准营私舞弊，不准利用职权从事各种个人有偿中介活动和安排个人施工队伍。</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3．乙方的义务</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w:t>
      </w:r>
      <w:r>
        <w:rPr>
          <w:rFonts w:hint="eastAsia"/>
          <w:color w:val="auto"/>
          <w:sz w:val="24"/>
          <w:highlight w:val="none"/>
        </w:rPr>
        <w:t>）</w:t>
      </w:r>
      <w:r>
        <w:rPr>
          <w:color w:val="auto"/>
          <w:sz w:val="24"/>
          <w:highlight w:val="none"/>
        </w:rPr>
        <w:t>乙方不得以任何理由向甲方及其工作人员行贿或馈赠礼金、有价证券、贵重礼品。</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2）乙方不得以任何名义为甲方及其工作人员报销应由甲方单位或个人支付的任何费用。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3）乙方不得以任何理由安排甲方工作人员参加超标准宴请及娱乐活动。</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4）乙方不得为甲方单位和个人购置或提供通讯工具、交通工具和高档办公用品等。</w:t>
      </w:r>
    </w:p>
    <w:p>
      <w:pPr>
        <w:adjustRightInd w:val="0"/>
        <w:snapToGrid w:val="0"/>
        <w:spacing w:line="360" w:lineRule="auto"/>
        <w:ind w:firstLine="480" w:firstLineChars="200"/>
        <w:rPr>
          <w:rFonts w:eastAsia="黑体"/>
          <w:color w:val="auto"/>
          <w:sz w:val="24"/>
          <w:highlight w:val="none"/>
        </w:rPr>
      </w:pPr>
      <w:r>
        <w:rPr>
          <w:rFonts w:eastAsia="黑体"/>
          <w:color w:val="auto"/>
          <w:sz w:val="24"/>
          <w:highlight w:val="none"/>
        </w:rPr>
        <w:t>4．违约责任</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1）甲方及其工作人员违反本合同第一、二条，按管理权限，依据有关规定给予党纪、政纪或组织处理；涉嫌犯罪的，移交司法机关追究刑事责任；给乙方单位造成经济损失的，应予以赔偿。</w:t>
      </w:r>
    </w:p>
    <w:p>
      <w:pPr>
        <w:adjustRightInd w:val="0"/>
        <w:snapToGrid w:val="0"/>
        <w:spacing w:line="324" w:lineRule="auto"/>
        <w:ind w:firstLine="480" w:firstLineChars="200"/>
        <w:rPr>
          <w:color w:val="auto"/>
          <w:sz w:val="24"/>
          <w:highlight w:val="none"/>
        </w:rPr>
      </w:pPr>
      <w:r>
        <w:rPr>
          <w:rFonts w:hint="eastAsia"/>
          <w:color w:val="auto"/>
          <w:sz w:val="24"/>
          <w:highlight w:val="none"/>
        </w:rPr>
        <w:t>（</w:t>
      </w:r>
      <w:r>
        <w:rPr>
          <w:color w:val="auto"/>
          <w:sz w:val="24"/>
          <w:highlight w:val="none"/>
        </w:rPr>
        <w:t>2</w:t>
      </w:r>
      <w:r>
        <w:rPr>
          <w:rFonts w:hint="eastAsia"/>
          <w:color w:val="auto"/>
          <w:sz w:val="24"/>
          <w:highlight w:val="none"/>
        </w:rPr>
        <w:t>）</w:t>
      </w:r>
      <w:r>
        <w:rPr>
          <w:color w:val="auto"/>
          <w:sz w:val="24"/>
          <w:highlight w:val="none"/>
        </w:rPr>
        <w:t>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adjustRightInd w:val="0"/>
        <w:snapToGrid w:val="0"/>
        <w:spacing w:line="324" w:lineRule="auto"/>
        <w:ind w:firstLine="480" w:firstLineChars="200"/>
        <w:rPr>
          <w:color w:val="auto"/>
          <w:sz w:val="24"/>
          <w:highlight w:val="none"/>
        </w:rPr>
      </w:pPr>
      <w:r>
        <w:rPr>
          <w:color w:val="auto"/>
          <w:sz w:val="24"/>
          <w:highlight w:val="none"/>
        </w:rPr>
        <w:t>5</w:t>
      </w:r>
      <w:r>
        <w:rPr>
          <w:rFonts w:hint="eastAsia"/>
          <w:color w:val="auto"/>
          <w:sz w:val="24"/>
          <w:highlight w:val="none"/>
        </w:rPr>
        <w:t>．</w:t>
      </w:r>
      <w:r>
        <w:rPr>
          <w:color w:val="auto"/>
          <w:sz w:val="24"/>
          <w:highlight w:val="none"/>
        </w:rPr>
        <w:t>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adjustRightInd w:val="0"/>
        <w:snapToGrid w:val="0"/>
        <w:spacing w:line="324" w:lineRule="auto"/>
        <w:ind w:firstLine="480" w:firstLineChars="200"/>
        <w:rPr>
          <w:color w:val="auto"/>
          <w:sz w:val="24"/>
          <w:highlight w:val="none"/>
        </w:rPr>
      </w:pPr>
      <w:r>
        <w:rPr>
          <w:color w:val="auto"/>
          <w:sz w:val="24"/>
          <w:highlight w:val="none"/>
        </w:rPr>
        <w:t>6</w:t>
      </w:r>
      <w:r>
        <w:rPr>
          <w:rFonts w:hint="eastAsia"/>
          <w:color w:val="auto"/>
          <w:sz w:val="24"/>
          <w:highlight w:val="none"/>
        </w:rPr>
        <w:t>．</w:t>
      </w:r>
      <w:r>
        <w:rPr>
          <w:color w:val="auto"/>
          <w:sz w:val="24"/>
          <w:highlight w:val="none"/>
        </w:rPr>
        <w:t>本合同有效期为甲乙双方签署之日起至该工程项目国家验收后止。</w:t>
      </w:r>
    </w:p>
    <w:p>
      <w:pPr>
        <w:adjustRightInd w:val="0"/>
        <w:snapToGrid w:val="0"/>
        <w:spacing w:line="324" w:lineRule="auto"/>
        <w:ind w:firstLine="480" w:firstLineChars="200"/>
        <w:rPr>
          <w:color w:val="auto"/>
          <w:sz w:val="24"/>
          <w:highlight w:val="none"/>
        </w:rPr>
      </w:pPr>
      <w:r>
        <w:rPr>
          <w:color w:val="auto"/>
          <w:sz w:val="24"/>
          <w:highlight w:val="none"/>
        </w:rPr>
        <w:t>7</w:t>
      </w:r>
      <w:r>
        <w:rPr>
          <w:rFonts w:hint="eastAsia"/>
          <w:color w:val="auto"/>
          <w:sz w:val="24"/>
          <w:highlight w:val="none"/>
        </w:rPr>
        <w:t>．</w:t>
      </w:r>
      <w:r>
        <w:rPr>
          <w:color w:val="auto"/>
          <w:sz w:val="24"/>
          <w:highlight w:val="none"/>
        </w:rPr>
        <w:t>本合同作为</w:t>
      </w:r>
      <w:r>
        <w:rPr>
          <w:rFonts w:hint="eastAsia"/>
          <w:color w:val="auto"/>
          <w:sz w:val="24"/>
          <w:highlight w:val="none"/>
          <w:u w:val="single"/>
        </w:rPr>
        <w:t xml:space="preserve">    （项目名称）    </w:t>
      </w:r>
      <w:r>
        <w:rPr>
          <w:color w:val="auto"/>
          <w:sz w:val="24"/>
          <w:highlight w:val="none"/>
        </w:rPr>
        <w:t>工程施工合同的附件，与工程施工合同具有同等的法律效力，经合同双方签署立即生效。</w:t>
      </w:r>
    </w:p>
    <w:p>
      <w:pPr>
        <w:adjustRightInd w:val="0"/>
        <w:snapToGrid w:val="0"/>
        <w:spacing w:line="324" w:lineRule="auto"/>
        <w:ind w:firstLine="480" w:firstLineChars="200"/>
        <w:rPr>
          <w:color w:val="auto"/>
          <w:sz w:val="24"/>
          <w:highlight w:val="none"/>
        </w:rPr>
      </w:pPr>
      <w:r>
        <w:rPr>
          <w:color w:val="auto"/>
          <w:sz w:val="24"/>
          <w:highlight w:val="none"/>
        </w:rPr>
        <w:t>8</w:t>
      </w:r>
      <w:r>
        <w:rPr>
          <w:rFonts w:hint="eastAsia"/>
          <w:color w:val="auto"/>
          <w:sz w:val="24"/>
          <w:highlight w:val="none"/>
        </w:rPr>
        <w:t>．</w:t>
      </w:r>
      <w:r>
        <w:rPr>
          <w:color w:val="auto"/>
          <w:sz w:val="24"/>
          <w:highlight w:val="none"/>
        </w:rPr>
        <w:t>本合同一式四份，由甲乙双方各执一份，送交甲乙双方的监督单位各一份。</w:t>
      </w:r>
    </w:p>
    <w:p>
      <w:pPr>
        <w:adjustRightInd w:val="0"/>
        <w:snapToGrid w:val="0"/>
        <w:spacing w:beforeLines="100" w:line="324"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24"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24" w:lineRule="auto"/>
        <w:rPr>
          <w:color w:val="auto"/>
          <w:sz w:val="24"/>
          <w:highlight w:val="none"/>
        </w:rPr>
      </w:pPr>
      <w:r>
        <w:rPr>
          <w:color w:val="auto"/>
          <w:sz w:val="24"/>
          <w:highlight w:val="none"/>
        </w:rPr>
        <w:t>或或其授权的代理人</w:t>
      </w:r>
      <w:r>
        <w:rPr>
          <w:rFonts w:hint="eastAsia"/>
          <w:color w:val="auto"/>
          <w:sz w:val="24"/>
          <w:highlight w:val="none"/>
          <w:u w:val="single"/>
        </w:rPr>
        <w:t xml:space="preserve">   （职务） </w:t>
      </w:r>
      <w:r>
        <w:rPr>
          <w:rFonts w:hint="eastAsia"/>
          <w:color w:val="auto"/>
          <w:sz w:val="24"/>
          <w:highlight w:val="none"/>
          <w:u w:val="none"/>
        </w:rPr>
        <w:t xml:space="preserve">  </w:t>
      </w:r>
      <w:r>
        <w:rPr>
          <w:rFonts w:hint="eastAsia"/>
          <w:color w:val="auto"/>
          <w:sz w:val="24"/>
          <w:highlight w:val="none"/>
          <w:u w:val="none"/>
          <w:lang w:val="en-US" w:eastAsia="zh-CN"/>
        </w:rPr>
        <w:t xml:space="preserve">      </w:t>
      </w:r>
      <w:r>
        <w:rPr>
          <w:rFonts w:hint="eastAsia"/>
          <w:color w:val="auto"/>
          <w:sz w:val="24"/>
          <w:highlight w:val="none"/>
          <w:u w:val="none"/>
          <w:lang w:eastAsia="zh-CN"/>
        </w:rPr>
        <w:t>或</w:t>
      </w:r>
      <w:r>
        <w:rPr>
          <w:color w:val="auto"/>
          <w:sz w:val="24"/>
          <w:highlight w:val="none"/>
        </w:rPr>
        <w:t>其授权的代理人</w:t>
      </w:r>
      <w:r>
        <w:rPr>
          <w:rFonts w:hint="eastAsia"/>
          <w:color w:val="auto"/>
          <w:sz w:val="24"/>
          <w:highlight w:val="none"/>
          <w:u w:val="single"/>
        </w:rPr>
        <w:t xml:space="preserve">   （职务）</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adjustRightInd w:val="0"/>
        <w:snapToGrid w:val="0"/>
        <w:spacing w:line="324" w:lineRule="auto"/>
        <w:ind w:firstLine="2160" w:firstLineChars="9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24" w:lineRule="auto"/>
        <w:ind w:firstLine="2160" w:firstLineChars="9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24"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24"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24"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24" w:lineRule="auto"/>
        <w:rPr>
          <w:color w:val="auto"/>
          <w:sz w:val="24"/>
          <w:highlight w:val="none"/>
          <w:u w:val="single"/>
        </w:rPr>
      </w:pPr>
      <w:r>
        <w:rPr>
          <w:color w:val="auto"/>
          <w:sz w:val="24"/>
          <w:highlight w:val="none"/>
        </w:rPr>
        <w:t>甲方监督单位：</w:t>
      </w:r>
      <w:r>
        <w:rPr>
          <w:rFonts w:hint="eastAsia"/>
          <w:color w:val="auto"/>
          <w:sz w:val="24"/>
          <w:highlight w:val="none"/>
          <w:u w:val="single"/>
        </w:rPr>
        <w:t xml:space="preserve"> （全称）  （盖章）</w:t>
      </w:r>
      <w:r>
        <w:rPr>
          <w:rFonts w:hint="eastAsia"/>
          <w:color w:val="auto"/>
          <w:sz w:val="24"/>
          <w:highlight w:val="none"/>
        </w:rPr>
        <w:t xml:space="preserve">      </w:t>
      </w:r>
      <w:r>
        <w:rPr>
          <w:color w:val="auto"/>
          <w:sz w:val="24"/>
          <w:highlight w:val="none"/>
        </w:rPr>
        <w:t>乙方监督单位</w:t>
      </w:r>
      <w:r>
        <w:rPr>
          <w:rFonts w:hint="eastAsia"/>
          <w:color w:val="auto"/>
          <w:sz w:val="24"/>
          <w:highlight w:val="none"/>
        </w:rPr>
        <w:t>：</w:t>
      </w:r>
      <w:r>
        <w:rPr>
          <w:rFonts w:hint="eastAsia"/>
          <w:color w:val="auto"/>
          <w:sz w:val="24"/>
          <w:highlight w:val="none"/>
          <w:u w:val="single"/>
        </w:rPr>
        <w:t>（全称）  （盖章）</w:t>
      </w:r>
    </w:p>
    <w:p>
      <w:pPr>
        <w:adjustRightInd w:val="0"/>
        <w:snapToGrid w:val="0"/>
        <w:spacing w:line="343" w:lineRule="auto"/>
        <w:rPr>
          <w:rFonts w:hint="eastAsia" w:ascii="黑体" w:eastAsia="黑体"/>
          <w:color w:val="auto"/>
          <w:sz w:val="24"/>
          <w:highlight w:val="none"/>
        </w:rPr>
      </w:pPr>
    </w:p>
    <w:p>
      <w:pPr>
        <w:adjustRightInd w:val="0"/>
        <w:snapToGrid w:val="0"/>
        <w:spacing w:line="343" w:lineRule="auto"/>
        <w:rPr>
          <w:rFonts w:ascii="黑体" w:eastAsia="黑体"/>
          <w:color w:val="auto"/>
          <w:sz w:val="24"/>
          <w:highlight w:val="none"/>
        </w:rPr>
      </w:pPr>
      <w:r>
        <w:rPr>
          <w:rFonts w:hint="eastAsia" w:ascii="黑体" w:eastAsia="黑体"/>
          <w:color w:val="auto"/>
          <w:sz w:val="24"/>
          <w:highlight w:val="none"/>
        </w:rPr>
        <w:t>附件三：安全生产合同</w:t>
      </w:r>
    </w:p>
    <w:p>
      <w:pPr>
        <w:adjustRightInd w:val="0"/>
        <w:snapToGrid w:val="0"/>
        <w:spacing w:afterLines="50" w:line="343" w:lineRule="auto"/>
        <w:jc w:val="center"/>
        <w:rPr>
          <w:rFonts w:ascii="黑体" w:eastAsia="黑体"/>
          <w:color w:val="auto"/>
          <w:sz w:val="28"/>
          <w:szCs w:val="28"/>
          <w:highlight w:val="none"/>
        </w:rPr>
      </w:pPr>
      <w:r>
        <w:rPr>
          <w:rFonts w:hint="eastAsia" w:ascii="黑体" w:eastAsia="黑体"/>
          <w:color w:val="auto"/>
          <w:sz w:val="28"/>
          <w:szCs w:val="28"/>
          <w:highlight w:val="none"/>
        </w:rPr>
        <w:t>安全生产合同</w:t>
      </w:r>
    </w:p>
    <w:p>
      <w:pPr>
        <w:adjustRightInd w:val="0"/>
        <w:snapToGrid w:val="0"/>
        <w:spacing w:line="343" w:lineRule="auto"/>
        <w:ind w:firstLine="480" w:firstLineChars="200"/>
        <w:rPr>
          <w:color w:val="auto"/>
          <w:sz w:val="24"/>
          <w:highlight w:val="none"/>
        </w:rPr>
      </w:pPr>
      <w:r>
        <w:rPr>
          <w:color w:val="auto"/>
          <w:sz w:val="24"/>
          <w:highlight w:val="none"/>
        </w:rPr>
        <w:t>为在</w:t>
      </w:r>
      <w:r>
        <w:rPr>
          <w:rFonts w:hint="eastAsia"/>
          <w:color w:val="auto"/>
          <w:sz w:val="24"/>
          <w:highlight w:val="none"/>
          <w:u w:val="single"/>
        </w:rPr>
        <w:t xml:space="preserve">               </w:t>
      </w:r>
      <w:r>
        <w:rPr>
          <w:color w:val="auto"/>
          <w:sz w:val="24"/>
          <w:highlight w:val="none"/>
        </w:rPr>
        <w:t>施工合同的实施过程中创造安全、高效的施工环境，切实搞好本项目的安全管理工作，本项目发包人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rFonts w:hint="eastAsia"/>
          <w:color w:val="auto"/>
          <w:sz w:val="24"/>
          <w:highlight w:val="none"/>
        </w:rPr>
        <w:t xml:space="preserve"> </w:t>
      </w:r>
      <w:r>
        <w:rPr>
          <w:color w:val="auto"/>
          <w:sz w:val="24"/>
          <w:highlight w:val="none"/>
        </w:rPr>
        <w:t>（以下简称“甲方</w:t>
      </w:r>
      <w:r>
        <w:rPr>
          <w:rFonts w:hint="eastAsia"/>
          <w:color w:val="auto"/>
          <w:sz w:val="24"/>
          <w:highlight w:val="none"/>
        </w:rPr>
        <w:t xml:space="preserve">” </w:t>
      </w:r>
      <w:r>
        <w:rPr>
          <w:color w:val="auto"/>
          <w:sz w:val="24"/>
          <w:highlight w:val="none"/>
        </w:rPr>
        <w:t>）与承包人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（以下简称“乙方</w:t>
      </w:r>
      <w:r>
        <w:rPr>
          <w:rFonts w:hint="eastAsia"/>
          <w:color w:val="auto"/>
          <w:sz w:val="24"/>
          <w:highlight w:val="none"/>
        </w:rPr>
        <w:t xml:space="preserve">” </w:t>
      </w:r>
      <w:r>
        <w:rPr>
          <w:color w:val="auto"/>
          <w:sz w:val="24"/>
          <w:highlight w:val="none"/>
        </w:rPr>
        <w:t>）特此签订安全生产合同：</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一、甲方职责</w:t>
      </w:r>
    </w:p>
    <w:p>
      <w:pPr>
        <w:adjustRightInd w:val="0"/>
        <w:snapToGrid w:val="0"/>
        <w:spacing w:line="343" w:lineRule="auto"/>
        <w:ind w:firstLine="480" w:firstLineChars="200"/>
        <w:rPr>
          <w:color w:val="auto"/>
          <w:sz w:val="24"/>
          <w:highlight w:val="none"/>
        </w:rPr>
      </w:pPr>
      <w:r>
        <w:rPr>
          <w:color w:val="auto"/>
          <w:sz w:val="24"/>
          <w:highlight w:val="none"/>
        </w:rPr>
        <w:t>1、严格遵守国家有关安全生产的法律法规，认真执行工程承包合同中的有关安全要求。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2、按照“安全第一、预防为主”和坚持“管生产必须管安全”的原则进行安全生产管理，做到生产与安全工作同时计划、布置、检查、总结和评比。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3、重要的安全设施必须坚持与主体工程“三同时”的原则，即：同时设计、审批，同时施工，一同时验收，投入使用。</w:t>
      </w:r>
    </w:p>
    <w:p>
      <w:pPr>
        <w:adjustRightInd w:val="0"/>
        <w:snapToGrid w:val="0"/>
        <w:spacing w:line="343" w:lineRule="auto"/>
        <w:ind w:firstLine="480" w:firstLineChars="200"/>
        <w:rPr>
          <w:color w:val="auto"/>
          <w:sz w:val="24"/>
          <w:highlight w:val="none"/>
        </w:rPr>
      </w:pPr>
      <w:r>
        <w:rPr>
          <w:color w:val="auto"/>
          <w:sz w:val="24"/>
          <w:highlight w:val="none"/>
        </w:rPr>
        <w:t>4、定期召开安全生产调度会，及时传达中央及地方有关安全生产的精神。</w:t>
      </w:r>
    </w:p>
    <w:p>
      <w:pPr>
        <w:adjustRightInd w:val="0"/>
        <w:snapToGrid w:val="0"/>
        <w:spacing w:line="343" w:lineRule="auto"/>
        <w:ind w:firstLine="480" w:firstLineChars="200"/>
        <w:rPr>
          <w:color w:val="auto"/>
          <w:sz w:val="24"/>
          <w:highlight w:val="none"/>
        </w:rPr>
      </w:pPr>
      <w:r>
        <w:rPr>
          <w:color w:val="auto"/>
          <w:sz w:val="24"/>
          <w:highlight w:val="none"/>
        </w:rPr>
        <w:t>5、组织对乙方施工现场安全生产检查，监督乙方及时处理发现的各种安全隐患。</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二、乙方职责</w:t>
      </w:r>
    </w:p>
    <w:p>
      <w:pPr>
        <w:adjustRightInd w:val="0"/>
        <w:snapToGrid w:val="0"/>
        <w:spacing w:line="343" w:lineRule="auto"/>
        <w:ind w:firstLine="480" w:firstLineChars="200"/>
        <w:rPr>
          <w:color w:val="auto"/>
          <w:sz w:val="24"/>
          <w:highlight w:val="none"/>
        </w:rPr>
      </w:pPr>
      <w:r>
        <w:rPr>
          <w:color w:val="auto"/>
          <w:sz w:val="24"/>
          <w:highlight w:val="none"/>
        </w:rPr>
        <w:t>1、严格遵守《中华人民共和国安全生产法》、《建设工程安全生产管理条例》等国家有关安全生产的法律法规、交通部颁发的《公路水运工程安全生产监督管理办法》、《公路工程施工安全技术规程））和《公路筑养路机械操作规程》等有关安全生产的规定。认真执行工程承包合同中的有关安全要求。</w:t>
      </w:r>
    </w:p>
    <w:p>
      <w:pPr>
        <w:adjustRightInd w:val="0"/>
        <w:snapToGrid w:val="0"/>
        <w:spacing w:line="343" w:lineRule="auto"/>
        <w:ind w:firstLine="480" w:firstLineChars="200"/>
        <w:rPr>
          <w:color w:val="auto"/>
          <w:sz w:val="24"/>
          <w:highlight w:val="none"/>
        </w:rPr>
      </w:pPr>
      <w:r>
        <w:rPr>
          <w:color w:val="auto"/>
          <w:sz w:val="24"/>
          <w:highlight w:val="none"/>
        </w:rPr>
        <w:t>2、坚持</w:t>
      </w:r>
      <w:r>
        <w:rPr>
          <w:rFonts w:hint="eastAsia"/>
          <w:color w:val="auto"/>
          <w:sz w:val="24"/>
          <w:highlight w:val="none"/>
        </w:rPr>
        <w:t>“</w:t>
      </w:r>
      <w:r>
        <w:rPr>
          <w:color w:val="auto"/>
          <w:sz w:val="24"/>
          <w:highlight w:val="none"/>
        </w:rPr>
        <w:t>安全第一、预防为主</w:t>
      </w:r>
      <w:r>
        <w:rPr>
          <w:rFonts w:hint="eastAsia"/>
          <w:color w:val="auto"/>
          <w:sz w:val="24"/>
          <w:highlight w:val="none"/>
        </w:rPr>
        <w:t>”</w:t>
      </w:r>
      <w:r>
        <w:rPr>
          <w:color w:val="auto"/>
          <w:sz w:val="24"/>
          <w:highlight w:val="none"/>
        </w:rPr>
        <w:t>和</w:t>
      </w:r>
      <w:r>
        <w:rPr>
          <w:rFonts w:hint="eastAsia"/>
          <w:color w:val="auto"/>
          <w:sz w:val="24"/>
          <w:highlight w:val="none"/>
        </w:rPr>
        <w:t>“</w:t>
      </w:r>
      <w:r>
        <w:rPr>
          <w:color w:val="auto"/>
          <w:sz w:val="24"/>
          <w:highlight w:val="none"/>
        </w:rPr>
        <w:t>管生产必须管安全</w:t>
      </w:r>
      <w:r>
        <w:rPr>
          <w:rFonts w:hint="eastAsia"/>
          <w:color w:val="auto"/>
          <w:sz w:val="24"/>
          <w:highlight w:val="none"/>
        </w:rPr>
        <w:t>”</w:t>
      </w:r>
      <w:r>
        <w:rPr>
          <w:color w:val="auto"/>
          <w:sz w:val="24"/>
          <w:highlight w:val="none"/>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adjustRightInd w:val="0"/>
        <w:snapToGrid w:val="0"/>
        <w:spacing w:line="343" w:lineRule="auto"/>
        <w:ind w:firstLine="480" w:firstLineChars="200"/>
        <w:rPr>
          <w:color w:val="auto"/>
          <w:sz w:val="24"/>
          <w:highlight w:val="none"/>
        </w:rPr>
      </w:pPr>
      <w:r>
        <w:rPr>
          <w:color w:val="auto"/>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adjustRightInd w:val="0"/>
        <w:snapToGrid w:val="0"/>
        <w:spacing w:line="343" w:lineRule="auto"/>
        <w:ind w:firstLine="480" w:firstLineChars="200"/>
        <w:rPr>
          <w:color w:val="auto"/>
          <w:sz w:val="24"/>
          <w:highlight w:val="none"/>
        </w:rPr>
      </w:pPr>
      <w:r>
        <w:rPr>
          <w:color w:val="auto"/>
          <w:sz w:val="24"/>
          <w:highlight w:val="none"/>
        </w:rPr>
        <w:t>4、乙方在任何时候都应采取各种合理的预防措施，防止其员工发生任何违法、违禁、暴力或妨碍治安的行为。</w:t>
      </w:r>
    </w:p>
    <w:p>
      <w:pPr>
        <w:adjustRightInd w:val="0"/>
        <w:snapToGrid w:val="0"/>
        <w:spacing w:line="343" w:lineRule="auto"/>
        <w:ind w:firstLine="480" w:firstLineChars="200"/>
        <w:rPr>
          <w:color w:val="auto"/>
          <w:sz w:val="24"/>
          <w:highlight w:val="none"/>
        </w:rPr>
      </w:pPr>
      <w:r>
        <w:rPr>
          <w:color w:val="auto"/>
          <w:sz w:val="24"/>
          <w:highlight w:val="none"/>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43" w:lineRule="auto"/>
        <w:ind w:firstLine="480" w:firstLineChars="200"/>
        <w:rPr>
          <w:color w:val="auto"/>
          <w:sz w:val="24"/>
          <w:highlight w:val="none"/>
        </w:rPr>
      </w:pPr>
      <w:r>
        <w:rPr>
          <w:color w:val="auto"/>
          <w:sz w:val="24"/>
          <w:highlight w:val="none"/>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43" w:lineRule="auto"/>
        <w:ind w:firstLine="480" w:firstLineChars="200"/>
        <w:rPr>
          <w:color w:val="auto"/>
          <w:sz w:val="24"/>
          <w:highlight w:val="none"/>
        </w:rPr>
      </w:pPr>
      <w:r>
        <w:rPr>
          <w:color w:val="auto"/>
          <w:sz w:val="24"/>
          <w:highlight w:val="none"/>
        </w:rPr>
        <w:t>7、操作人员上岗，必须按规定穿戴防护用品。施工负责人和安全检查员应随时检查劳动防护用品的穿戴情况，不按规定穿戴防护用品的人员不得上岗。</w:t>
      </w:r>
    </w:p>
    <w:p>
      <w:pPr>
        <w:adjustRightInd w:val="0"/>
        <w:snapToGrid w:val="0"/>
        <w:spacing w:line="343" w:lineRule="auto"/>
        <w:ind w:firstLine="480" w:firstLineChars="200"/>
        <w:rPr>
          <w:color w:val="auto"/>
          <w:sz w:val="24"/>
          <w:highlight w:val="none"/>
        </w:rPr>
      </w:pPr>
      <w:r>
        <w:rPr>
          <w:color w:val="auto"/>
          <w:sz w:val="24"/>
          <w:highlight w:val="none"/>
        </w:rPr>
        <w:t>8、所有施工机具设备和高空作业的设备均应定期检查，并有安全员的签字记录，保证其经常处于完好状态；不合格的机具、设备和劳动保护用品严禁使用。</w:t>
      </w:r>
    </w:p>
    <w:p>
      <w:pPr>
        <w:adjustRightInd w:val="0"/>
        <w:snapToGrid w:val="0"/>
        <w:spacing w:line="343" w:lineRule="auto"/>
        <w:ind w:firstLine="480" w:firstLineChars="200"/>
        <w:rPr>
          <w:color w:val="auto"/>
          <w:sz w:val="24"/>
          <w:highlight w:val="none"/>
        </w:rPr>
      </w:pPr>
      <w:r>
        <w:rPr>
          <w:color w:val="auto"/>
          <w:sz w:val="24"/>
          <w:highlight w:val="none"/>
        </w:rPr>
        <w:t>9、施工中采用新技术、新工艺、新设备、新材料时，必须制定相应的安全技术措施，施工现场必须具有相关的安全标志牌。</w:t>
      </w:r>
    </w:p>
    <w:p>
      <w:pPr>
        <w:adjustRightInd w:val="0"/>
        <w:snapToGrid w:val="0"/>
        <w:spacing w:line="343" w:lineRule="auto"/>
        <w:ind w:firstLine="480" w:firstLineChars="200"/>
        <w:rPr>
          <w:color w:val="auto"/>
          <w:sz w:val="24"/>
          <w:highlight w:val="none"/>
        </w:rPr>
      </w:pPr>
      <w:r>
        <w:rPr>
          <w:color w:val="auto"/>
          <w:sz w:val="24"/>
          <w:highlight w:val="none"/>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adjustRightInd w:val="0"/>
        <w:snapToGrid w:val="0"/>
        <w:spacing w:line="343" w:lineRule="auto"/>
        <w:ind w:firstLine="480" w:firstLineChars="200"/>
        <w:rPr>
          <w:color w:val="auto"/>
          <w:sz w:val="24"/>
          <w:highlight w:val="none"/>
        </w:rPr>
      </w:pPr>
      <w:r>
        <w:rPr>
          <w:color w:val="auto"/>
          <w:sz w:val="24"/>
          <w:highlight w:val="none"/>
        </w:rPr>
        <w:t>11、安全生产费用按照交通部有关规定使用和管理。</w:t>
      </w:r>
    </w:p>
    <w:p>
      <w:pPr>
        <w:adjustRightInd w:val="0"/>
        <w:snapToGrid w:val="0"/>
        <w:spacing w:line="343" w:lineRule="auto"/>
        <w:ind w:firstLine="480" w:firstLineChars="200"/>
        <w:rPr>
          <w:rFonts w:eastAsia="黑体"/>
          <w:color w:val="auto"/>
          <w:sz w:val="24"/>
          <w:highlight w:val="none"/>
        </w:rPr>
      </w:pPr>
      <w:r>
        <w:rPr>
          <w:rFonts w:eastAsia="黑体"/>
          <w:color w:val="auto"/>
          <w:sz w:val="24"/>
          <w:highlight w:val="none"/>
        </w:rPr>
        <w:t>三、违约责任</w:t>
      </w:r>
    </w:p>
    <w:p>
      <w:pPr>
        <w:adjustRightInd w:val="0"/>
        <w:snapToGrid w:val="0"/>
        <w:spacing w:line="343" w:lineRule="auto"/>
        <w:ind w:firstLine="480" w:firstLineChars="200"/>
        <w:rPr>
          <w:color w:val="auto"/>
          <w:sz w:val="24"/>
          <w:highlight w:val="none"/>
        </w:rPr>
      </w:pPr>
      <w:r>
        <w:rPr>
          <w:color w:val="auto"/>
          <w:sz w:val="24"/>
          <w:highlight w:val="none"/>
        </w:rPr>
        <w:t>如因甲方或乙方违约造成安全事故，将依法追究责任。</w:t>
      </w:r>
    </w:p>
    <w:p>
      <w:pPr>
        <w:adjustRightInd w:val="0"/>
        <w:snapToGrid w:val="0"/>
        <w:spacing w:line="343" w:lineRule="auto"/>
        <w:ind w:firstLine="480" w:firstLineChars="200"/>
        <w:rPr>
          <w:color w:val="auto"/>
          <w:sz w:val="24"/>
          <w:highlight w:val="none"/>
        </w:rPr>
      </w:pPr>
      <w:r>
        <w:rPr>
          <w:color w:val="auto"/>
          <w:sz w:val="24"/>
          <w:highlight w:val="none"/>
        </w:rPr>
        <w:t>四、本合同正本一式二份，副本八份，合同双方各执正本一份，副本四份。由双方法定代表人或其授权的代理人签署与加盖公章后生效，全部工程国家验收后失效。</w:t>
      </w:r>
    </w:p>
    <w:p>
      <w:pPr>
        <w:adjustRightInd w:val="0"/>
        <w:snapToGrid w:val="0"/>
        <w:spacing w:beforeLines="100" w:line="343" w:lineRule="auto"/>
        <w:rPr>
          <w:color w:val="auto"/>
          <w:sz w:val="24"/>
          <w:highlight w:val="none"/>
        </w:rPr>
      </w:pPr>
      <w:r>
        <w:rPr>
          <w:color w:val="auto"/>
          <w:sz w:val="24"/>
          <w:highlight w:val="none"/>
        </w:rPr>
        <w:t>甲</w:t>
      </w:r>
      <w:r>
        <w:rPr>
          <w:rFonts w:hint="eastAsia"/>
          <w:color w:val="auto"/>
          <w:sz w:val="24"/>
          <w:highlight w:val="none"/>
        </w:rPr>
        <w:t xml:space="preserve">  </w:t>
      </w:r>
      <w:r>
        <w:rPr>
          <w:color w:val="auto"/>
          <w:sz w:val="24"/>
          <w:highlight w:val="none"/>
        </w:rPr>
        <w:t>方：</w:t>
      </w:r>
      <w:r>
        <w:rPr>
          <w:rFonts w:hint="eastAsia"/>
          <w:color w:val="auto"/>
          <w:sz w:val="24"/>
          <w:highlight w:val="none"/>
          <w:u w:val="single"/>
        </w:rPr>
        <w:t xml:space="preserve">  单位全称    （盖章）</w:t>
      </w:r>
      <w:r>
        <w:rPr>
          <w:rFonts w:hint="eastAsia"/>
          <w:color w:val="auto"/>
          <w:sz w:val="24"/>
          <w:highlight w:val="none"/>
        </w:rPr>
        <w:t xml:space="preserve">         乙  </w:t>
      </w:r>
      <w:r>
        <w:rPr>
          <w:color w:val="auto"/>
          <w:sz w:val="24"/>
          <w:highlight w:val="none"/>
        </w:rPr>
        <w:t>方：</w:t>
      </w:r>
      <w:r>
        <w:rPr>
          <w:rFonts w:hint="eastAsia"/>
          <w:color w:val="auto"/>
          <w:sz w:val="24"/>
          <w:highlight w:val="none"/>
          <w:u w:val="single"/>
        </w:rPr>
        <w:t xml:space="preserve">  单位全称    （盖章）</w:t>
      </w:r>
    </w:p>
    <w:p>
      <w:pPr>
        <w:adjustRightInd w:val="0"/>
        <w:snapToGrid w:val="0"/>
        <w:spacing w:line="343" w:lineRule="auto"/>
        <w:rPr>
          <w:color w:val="auto"/>
          <w:sz w:val="24"/>
          <w:highlight w:val="none"/>
        </w:rPr>
      </w:pPr>
      <w:r>
        <w:rPr>
          <w:color w:val="auto"/>
          <w:sz w:val="24"/>
          <w:highlight w:val="none"/>
        </w:rPr>
        <w:t>法定代表人</w:t>
      </w:r>
      <w:r>
        <w:rPr>
          <w:rFonts w:hint="eastAsia"/>
          <w:color w:val="auto"/>
          <w:sz w:val="24"/>
          <w:highlight w:val="none"/>
        </w:rPr>
        <w:t xml:space="preserve">                             </w:t>
      </w:r>
      <w:r>
        <w:rPr>
          <w:color w:val="auto"/>
          <w:sz w:val="24"/>
          <w:highlight w:val="none"/>
        </w:rPr>
        <w:t>法定代表人</w:t>
      </w:r>
    </w:p>
    <w:p>
      <w:pPr>
        <w:adjustRightInd w:val="0"/>
        <w:snapToGrid w:val="0"/>
        <w:spacing w:line="343" w:lineRule="auto"/>
        <w:rPr>
          <w:color w:val="auto"/>
          <w:sz w:val="24"/>
          <w:highlight w:val="none"/>
        </w:rPr>
      </w:pPr>
      <w:r>
        <w:rPr>
          <w:color w:val="auto"/>
          <w:sz w:val="24"/>
          <w:highlight w:val="none"/>
        </w:rPr>
        <w:t>或其授权的代理人</w:t>
      </w:r>
      <w:r>
        <w:rPr>
          <w:rFonts w:hint="eastAsia"/>
          <w:color w:val="auto"/>
          <w:sz w:val="24"/>
          <w:highlight w:val="none"/>
          <w:u w:val="single"/>
        </w:rPr>
        <w:t xml:space="preserve">   （职务）   </w:t>
      </w:r>
      <w:r>
        <w:rPr>
          <w:rFonts w:hint="eastAsia"/>
          <w:color w:val="auto"/>
          <w:sz w:val="24"/>
          <w:highlight w:val="none"/>
        </w:rPr>
        <w:t xml:space="preserve">         </w:t>
      </w:r>
      <w:r>
        <w:rPr>
          <w:rFonts w:hint="eastAsia"/>
          <w:color w:val="auto"/>
          <w:sz w:val="24"/>
          <w:highlight w:val="none"/>
          <w:lang w:eastAsia="zh-CN"/>
        </w:rPr>
        <w:t>或</w:t>
      </w:r>
      <w:r>
        <w:rPr>
          <w:color w:val="auto"/>
          <w:sz w:val="24"/>
          <w:highlight w:val="none"/>
        </w:rPr>
        <w:t>其授权的代理人</w:t>
      </w:r>
      <w:r>
        <w:rPr>
          <w:rFonts w:hint="eastAsia"/>
          <w:color w:val="auto"/>
          <w:sz w:val="24"/>
          <w:highlight w:val="none"/>
          <w:u w:val="single"/>
        </w:rPr>
        <w:t xml:space="preserve">   （职务）   </w:t>
      </w:r>
    </w:p>
    <w:p>
      <w:pPr>
        <w:adjustRightInd w:val="0"/>
        <w:snapToGrid w:val="0"/>
        <w:spacing w:line="343" w:lineRule="auto"/>
        <w:ind w:firstLine="1920" w:firstLineChars="8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43" w:lineRule="auto"/>
        <w:ind w:firstLine="1920" w:firstLineChars="8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r>
        <w:rPr>
          <w:rFonts w:hint="eastAsia"/>
          <w:color w:val="auto"/>
          <w:sz w:val="24"/>
          <w:highlight w:val="none"/>
          <w:u w:val="none"/>
        </w:rPr>
        <w:t xml:space="preserve"> </w:t>
      </w:r>
      <w:r>
        <w:rPr>
          <w:rFonts w:hint="eastAsia"/>
          <w:color w:val="auto"/>
          <w:sz w:val="24"/>
          <w:highlight w:val="none"/>
        </w:rPr>
        <w:t xml:space="preserve">                        </w:t>
      </w: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43" w:lineRule="auto"/>
        <w:rPr>
          <w:color w:val="auto"/>
          <w:sz w:val="24"/>
          <w:highlight w:val="none"/>
        </w:rPr>
      </w:pPr>
      <w:r>
        <w:rPr>
          <w:color w:val="auto"/>
          <w:sz w:val="24"/>
          <w:highlight w:val="none"/>
        </w:rPr>
        <w:t>地址：</w:t>
      </w:r>
      <w:r>
        <w:rPr>
          <w:rFonts w:hint="eastAsia"/>
          <w:color w:val="auto"/>
          <w:sz w:val="24"/>
          <w:highlight w:val="none"/>
        </w:rPr>
        <w:t xml:space="preserve">                                 </w:t>
      </w:r>
      <w:r>
        <w:rPr>
          <w:color w:val="auto"/>
          <w:sz w:val="24"/>
          <w:highlight w:val="none"/>
        </w:rPr>
        <w:t>地址：</w:t>
      </w:r>
    </w:p>
    <w:p>
      <w:pPr>
        <w:adjustRightInd w:val="0"/>
        <w:snapToGrid w:val="0"/>
        <w:spacing w:line="343" w:lineRule="auto"/>
        <w:rPr>
          <w:color w:val="auto"/>
          <w:sz w:val="24"/>
          <w:highlight w:val="none"/>
        </w:rPr>
      </w:pPr>
      <w:r>
        <w:rPr>
          <w:color w:val="auto"/>
          <w:sz w:val="24"/>
          <w:highlight w:val="none"/>
        </w:rPr>
        <w:t>电话：</w:t>
      </w:r>
      <w:r>
        <w:rPr>
          <w:rFonts w:hint="eastAsia"/>
          <w:color w:val="auto"/>
          <w:sz w:val="24"/>
          <w:highlight w:val="none"/>
        </w:rPr>
        <w:t xml:space="preserve">                                 </w:t>
      </w:r>
      <w:r>
        <w:rPr>
          <w:color w:val="auto"/>
          <w:sz w:val="24"/>
          <w:highlight w:val="none"/>
        </w:rPr>
        <w:t>电话：</w:t>
      </w:r>
    </w:p>
    <w:p>
      <w:pPr>
        <w:adjustRightInd w:val="0"/>
        <w:snapToGrid w:val="0"/>
        <w:spacing w:line="343" w:lineRule="auto"/>
        <w:rPr>
          <w:color w:val="auto"/>
          <w:sz w:val="24"/>
          <w:highlight w:val="none"/>
        </w:rPr>
      </w:pPr>
      <w:r>
        <w:rPr>
          <w:color w:val="auto"/>
          <w:sz w:val="24"/>
          <w:highlight w:val="none"/>
        </w:rPr>
        <w:t>日期：</w:t>
      </w:r>
      <w:r>
        <w:rPr>
          <w:rFonts w:hint="eastAsia"/>
          <w:color w:val="auto"/>
          <w:sz w:val="24"/>
          <w:highlight w:val="none"/>
        </w:rPr>
        <w:t xml:space="preserve">                                 </w:t>
      </w:r>
      <w:r>
        <w:rPr>
          <w:color w:val="auto"/>
          <w:sz w:val="24"/>
          <w:highlight w:val="none"/>
        </w:rPr>
        <w:t>日期：</w:t>
      </w: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43" w:lineRule="auto"/>
        <w:rPr>
          <w:color w:val="auto"/>
          <w:sz w:val="24"/>
          <w:highlight w:val="none"/>
        </w:rPr>
      </w:pPr>
    </w:p>
    <w:p>
      <w:pPr>
        <w:adjustRightInd w:val="0"/>
        <w:snapToGrid w:val="0"/>
        <w:spacing w:line="360" w:lineRule="auto"/>
        <w:rPr>
          <w:rFonts w:ascii="黑体" w:eastAsia="黑体"/>
          <w:color w:val="auto"/>
          <w:sz w:val="24"/>
          <w:highlight w:val="none"/>
        </w:rPr>
      </w:pPr>
      <w:r>
        <w:rPr>
          <w:rFonts w:hint="eastAsia" w:ascii="黑体" w:eastAsia="黑体"/>
          <w:color w:val="auto"/>
          <w:sz w:val="24"/>
          <w:highlight w:val="none"/>
        </w:rPr>
        <w:t>附件四：农民工工资支付承诺书</w:t>
      </w:r>
    </w:p>
    <w:p>
      <w:pPr>
        <w:adjustRightInd w:val="0"/>
        <w:snapToGrid w:val="0"/>
        <w:spacing w:afterLines="50" w:line="343" w:lineRule="auto"/>
        <w:rPr>
          <w:rFonts w:ascii="黑体" w:eastAsia="黑体"/>
          <w:color w:val="auto"/>
          <w:sz w:val="18"/>
          <w:szCs w:val="18"/>
          <w:highlight w:val="none"/>
        </w:rPr>
      </w:pP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u w:val="single"/>
        </w:rPr>
        <w:t>（合同工程名称）</w:t>
      </w:r>
      <w:r>
        <w:rPr>
          <w:rFonts w:ascii="黑体" w:eastAsia="黑体"/>
          <w:color w:val="auto"/>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50" w:line="344" w:lineRule="auto"/>
        <w:ind w:left="479" w:leftChars="228" w:right="0" w:rightChars="0" w:firstLine="0" w:firstLineChars="0"/>
        <w:jc w:val="both"/>
        <w:textAlignment w:val="auto"/>
        <w:outlineLvl w:val="9"/>
        <w:rPr>
          <w:color w:val="auto"/>
          <w:sz w:val="24"/>
          <w:highlight w:val="none"/>
        </w:rPr>
      </w:pPr>
      <w:r>
        <w:rPr>
          <w:rFonts w:hint="eastAsia"/>
          <w:color w:val="auto"/>
          <w:sz w:val="24"/>
          <w:highlight w:val="none"/>
          <w:lang w:eastAsia="zh-CN"/>
        </w:rPr>
        <w:t>一、</w:t>
      </w:r>
      <w:r>
        <w:rPr>
          <w:color w:val="auto"/>
          <w:sz w:val="24"/>
          <w:highlight w:val="none"/>
        </w:rPr>
        <w:t>开工前与农民工签定劳动合同</w:t>
      </w:r>
      <w:r>
        <w:rPr>
          <w:color w:val="auto"/>
          <w:sz w:val="24"/>
          <w:highlight w:val="none"/>
        </w:rPr>
        <w:br w:type="textWrapping"/>
      </w:r>
      <w:r>
        <w:rPr>
          <w:color w:val="auto"/>
          <w:sz w:val="24"/>
          <w:highlight w:val="none"/>
        </w:rPr>
        <w:t>二、按时支付农民工工资、加班加点工资。</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50" w:line="344" w:lineRule="auto"/>
        <w:ind w:left="479" w:leftChars="228" w:right="0" w:rightChars="0" w:firstLine="0" w:firstLineChars="0"/>
        <w:jc w:val="both"/>
        <w:textAlignment w:val="auto"/>
        <w:outlineLvl w:val="9"/>
        <w:rPr>
          <w:color w:val="auto"/>
          <w:sz w:val="24"/>
          <w:highlight w:val="none"/>
        </w:rPr>
      </w:pPr>
      <w:r>
        <w:rPr>
          <w:color w:val="auto"/>
          <w:sz w:val="24"/>
          <w:highlight w:val="none"/>
        </w:rPr>
        <w:t>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四、不无故拖欠、克扣农民工工资。</w:t>
      </w:r>
      <w:r>
        <w:rPr>
          <w:color w:val="auto"/>
          <w:sz w:val="24"/>
          <w:highlight w:val="none"/>
        </w:rPr>
        <w:br w:type="textWrapping"/>
      </w:r>
      <w:r>
        <w:rPr>
          <w:color w:val="auto"/>
          <w:sz w:val="24"/>
          <w:highlight w:val="none"/>
        </w:rPr>
        <w:t>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六、若有拖欠、克扣农民工工资、加班加点工资及侵害农民工劳动报酬权益的行为，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afterLines="50" w:line="344" w:lineRule="auto"/>
        <w:ind w:right="0" w:rightChars="0"/>
        <w:jc w:val="both"/>
        <w:textAlignment w:val="auto"/>
        <w:outlineLvl w:val="9"/>
        <w:rPr>
          <w:color w:val="auto"/>
          <w:sz w:val="24"/>
          <w:highlight w:val="none"/>
        </w:rPr>
      </w:pP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center"/>
        <w:rPr>
          <w:color w:val="auto"/>
          <w:sz w:val="24"/>
          <w:highlight w:val="none"/>
          <w:u w:val="single"/>
        </w:rPr>
      </w:pPr>
      <w:r>
        <w:rPr>
          <w:rFonts w:hint="eastAsia"/>
          <w:color w:val="auto"/>
          <w:sz w:val="24"/>
          <w:highlight w:val="none"/>
          <w:lang w:val="en-US" w:eastAsia="zh-CN"/>
        </w:rPr>
        <w:t xml:space="preserve">                                      </w:t>
      </w:r>
      <w:r>
        <w:rPr>
          <w:rFonts w:hint="eastAsia"/>
          <w:color w:val="auto"/>
          <w:sz w:val="24"/>
          <w:highlight w:val="none"/>
        </w:rPr>
        <w:t>承诺人：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adjustRightInd w:val="0"/>
        <w:snapToGrid w:val="0"/>
        <w:spacing w:line="360" w:lineRule="auto"/>
        <w:rPr>
          <w:rFonts w:ascii="黑体" w:eastAsia="黑体"/>
          <w:color w:val="auto"/>
          <w:sz w:val="24"/>
          <w:highlight w:val="none"/>
        </w:rPr>
      </w:pPr>
      <w:r>
        <w:rPr>
          <w:rFonts w:ascii="黑体" w:eastAsia="黑体"/>
          <w:color w:val="auto"/>
          <w:sz w:val="24"/>
          <w:highlight w:val="none"/>
        </w:rPr>
        <w:br w:type="page"/>
      </w:r>
      <w:r>
        <w:rPr>
          <w:rFonts w:hint="eastAsia" w:ascii="黑体" w:eastAsia="黑体"/>
          <w:color w:val="auto"/>
          <w:sz w:val="24"/>
          <w:highlight w:val="none"/>
        </w:rPr>
        <w:t>附件五：项目经理委任书</w:t>
      </w:r>
    </w:p>
    <w:p>
      <w:pPr>
        <w:adjustRightInd w:val="0"/>
        <w:snapToGrid w:val="0"/>
        <w:spacing w:line="360" w:lineRule="auto"/>
        <w:jc w:val="center"/>
        <w:rPr>
          <w:rFonts w:ascii="黑体" w:eastAsia="黑体"/>
          <w:color w:val="auto"/>
          <w:sz w:val="30"/>
          <w:szCs w:val="30"/>
          <w:highlight w:val="none"/>
          <w:u w:val="single"/>
        </w:rPr>
      </w:pPr>
      <w:r>
        <w:rPr>
          <w:rFonts w:hint="eastAsia" w:ascii="黑体" w:eastAsia="黑体"/>
          <w:color w:val="auto"/>
          <w:sz w:val="30"/>
          <w:szCs w:val="30"/>
          <w:highlight w:val="none"/>
          <w:u w:val="single"/>
        </w:rPr>
        <w:t>（承包人全称）</w:t>
      </w:r>
    </w:p>
    <w:p>
      <w:pPr>
        <w:adjustRightInd w:val="0"/>
        <w:snapToGrid w:val="0"/>
        <w:spacing w:line="360" w:lineRule="auto"/>
        <w:jc w:val="center"/>
        <w:rPr>
          <w:color w:val="auto"/>
          <w:sz w:val="24"/>
          <w:highlight w:val="none"/>
        </w:rPr>
      </w:pPr>
      <w:r>
        <w:rPr>
          <w:rFonts w:hint="eastAsia" w:ascii="黑体" w:eastAsia="黑体"/>
          <w:color w:val="auto"/>
          <w:sz w:val="30"/>
          <w:szCs w:val="30"/>
          <w:highlight w:val="none"/>
          <w:u w:val="single"/>
        </w:rPr>
        <w:t>（合同工程名称）</w:t>
      </w:r>
      <w:r>
        <w:rPr>
          <w:rFonts w:hint="eastAsia" w:ascii="黑体" w:eastAsia="黑体"/>
          <w:color w:val="auto"/>
          <w:sz w:val="30"/>
          <w:szCs w:val="30"/>
          <w:highlight w:val="none"/>
        </w:rPr>
        <w:t>项目经理委</w:t>
      </w:r>
      <w:r>
        <w:rPr>
          <w:rFonts w:ascii="黑体" w:eastAsia="黑体"/>
          <w:color w:val="auto"/>
          <w:sz w:val="30"/>
          <w:szCs w:val="30"/>
          <w:highlight w:val="none"/>
        </w:rPr>
        <w:t>任书</w:t>
      </w:r>
    </w:p>
    <w:p>
      <w:pPr>
        <w:adjustRightInd w:val="0"/>
        <w:snapToGrid w:val="0"/>
        <w:spacing w:line="360" w:lineRule="auto"/>
        <w:jc w:val="center"/>
        <w:rPr>
          <w:color w:val="auto"/>
          <w:sz w:val="24"/>
          <w:highlight w:val="none"/>
        </w:rPr>
      </w:pPr>
    </w:p>
    <w:p>
      <w:pPr>
        <w:adjustRightInd w:val="0"/>
        <w:snapToGrid w:val="0"/>
        <w:spacing w:line="360" w:lineRule="auto"/>
        <w:jc w:val="left"/>
        <w:rPr>
          <w:color w:val="auto"/>
          <w:sz w:val="24"/>
          <w:highlight w:val="none"/>
        </w:rPr>
      </w:pPr>
      <w:r>
        <w:rPr>
          <w:color w:val="auto"/>
          <w:sz w:val="24"/>
          <w:highlight w:val="none"/>
        </w:rPr>
        <w:t>致：</w:t>
      </w:r>
      <w:r>
        <w:rPr>
          <w:color w:val="auto"/>
          <w:sz w:val="24"/>
          <w:highlight w:val="none"/>
          <w:u w:val="single"/>
        </w:rPr>
        <w:t>（发包人全称）</w:t>
      </w:r>
    </w:p>
    <w:p>
      <w:pPr>
        <w:adjustRightInd w:val="0"/>
        <w:snapToGrid w:val="0"/>
        <w:spacing w:line="360" w:lineRule="auto"/>
        <w:ind w:firstLine="480" w:firstLineChars="200"/>
        <w:rPr>
          <w:color w:val="auto"/>
          <w:sz w:val="24"/>
          <w:highlight w:val="none"/>
        </w:rPr>
      </w:pPr>
      <w:r>
        <w:rPr>
          <w:rFonts w:hint="eastAsia"/>
          <w:color w:val="auto"/>
          <w:sz w:val="24"/>
          <w:highlight w:val="none"/>
          <w:u w:val="single"/>
        </w:rPr>
        <w:t xml:space="preserve">  </w:t>
      </w:r>
      <w:r>
        <w:rPr>
          <w:color w:val="auto"/>
          <w:sz w:val="24"/>
          <w:highlight w:val="none"/>
          <w:u w:val="single"/>
        </w:rPr>
        <w:t>（承包人全称）</w:t>
      </w:r>
      <w:r>
        <w:rPr>
          <w:rFonts w:hint="eastAsia"/>
          <w:color w:val="auto"/>
          <w:sz w:val="24"/>
          <w:highlight w:val="none"/>
          <w:u w:val="single"/>
        </w:rPr>
        <w:t xml:space="preserve">  </w:t>
      </w:r>
      <w:r>
        <w:rPr>
          <w:color w:val="auto"/>
          <w:sz w:val="24"/>
          <w:highlight w:val="none"/>
        </w:rPr>
        <w:t>法定代表人</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代表本单位委任</w:t>
      </w:r>
      <w:r>
        <w:rPr>
          <w:rFonts w:hint="eastAsia"/>
          <w:color w:val="auto"/>
          <w:sz w:val="24"/>
          <w:highlight w:val="none"/>
          <w:u w:val="single"/>
        </w:rPr>
        <w:t xml:space="preserve">  </w:t>
      </w:r>
      <w:r>
        <w:rPr>
          <w:color w:val="auto"/>
          <w:sz w:val="24"/>
          <w:highlight w:val="none"/>
          <w:u w:val="single"/>
        </w:rPr>
        <w:t>（职务、姓名）</w:t>
      </w:r>
      <w:r>
        <w:rPr>
          <w:rFonts w:hint="eastAsia"/>
          <w:color w:val="auto"/>
          <w:sz w:val="24"/>
          <w:highlight w:val="none"/>
          <w:u w:val="single"/>
        </w:rPr>
        <w:t xml:space="preserve">  </w:t>
      </w:r>
      <w:r>
        <w:rPr>
          <w:color w:val="auto"/>
          <w:sz w:val="24"/>
          <w:highlight w:val="none"/>
        </w:rPr>
        <w:t>为</w:t>
      </w:r>
      <w:r>
        <w:rPr>
          <w:rFonts w:hint="eastAsia"/>
          <w:color w:val="auto"/>
          <w:sz w:val="24"/>
          <w:highlight w:val="none"/>
          <w:u w:val="single"/>
        </w:rPr>
        <w:t xml:space="preserve">  </w:t>
      </w:r>
      <w:r>
        <w:rPr>
          <w:color w:val="auto"/>
          <w:sz w:val="24"/>
          <w:highlight w:val="none"/>
          <w:u w:val="single"/>
        </w:rPr>
        <w:t>（合同工程名称）</w:t>
      </w:r>
      <w:r>
        <w:rPr>
          <w:rFonts w:hint="eastAsia"/>
          <w:color w:val="auto"/>
          <w:sz w:val="24"/>
          <w:highlight w:val="none"/>
          <w:u w:val="single"/>
        </w:rPr>
        <w:t xml:space="preserve">  </w:t>
      </w:r>
      <w:r>
        <w:rPr>
          <w:color w:val="auto"/>
          <w:sz w:val="24"/>
          <w:highlight w:val="none"/>
        </w:rPr>
        <w:t>的项目经理。凡本合同执行中的有关技术、工程进度、现场管理、质量检验、结算与支付等方面工作，由</w:t>
      </w:r>
      <w:r>
        <w:rPr>
          <w:rFonts w:hint="eastAsia"/>
          <w:color w:val="auto"/>
          <w:sz w:val="24"/>
          <w:highlight w:val="none"/>
          <w:u w:val="single"/>
        </w:rPr>
        <w:t xml:space="preserve">   （姓名）  </w:t>
      </w:r>
      <w:r>
        <w:rPr>
          <w:color w:val="auto"/>
          <w:sz w:val="24"/>
          <w:highlight w:val="none"/>
        </w:rPr>
        <w:t>代表本单位全面负</w:t>
      </w:r>
      <w:r>
        <w:rPr>
          <w:rFonts w:hint="eastAsia"/>
          <w:color w:val="auto"/>
          <w:sz w:val="24"/>
          <w:highlight w:val="none"/>
        </w:rPr>
        <w:t>责。</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080" w:firstLineChars="1700"/>
        <w:rPr>
          <w:color w:val="auto"/>
          <w:sz w:val="24"/>
          <w:highlight w:val="none"/>
        </w:rPr>
      </w:pPr>
      <w:r>
        <w:rPr>
          <w:color w:val="auto"/>
          <w:sz w:val="24"/>
          <w:highlight w:val="none"/>
        </w:rPr>
        <w:t>承</w:t>
      </w:r>
      <w:r>
        <w:rPr>
          <w:rFonts w:hint="eastAsia"/>
          <w:color w:val="auto"/>
          <w:sz w:val="24"/>
          <w:highlight w:val="none"/>
        </w:rPr>
        <w:t xml:space="preserve"> </w:t>
      </w:r>
      <w:r>
        <w:rPr>
          <w:color w:val="auto"/>
          <w:sz w:val="24"/>
          <w:highlight w:val="none"/>
        </w:rPr>
        <w:t>包</w:t>
      </w:r>
      <w:r>
        <w:rPr>
          <w:rFonts w:hint="eastAsia"/>
          <w:color w:val="auto"/>
          <w:sz w:val="24"/>
          <w:highlight w:val="none"/>
        </w:rPr>
        <w:t xml:space="preserve"> </w:t>
      </w:r>
      <w:r>
        <w:rPr>
          <w:color w:val="auto"/>
          <w:sz w:val="24"/>
          <w:highlight w:val="none"/>
        </w:rPr>
        <w:t>人：</w:t>
      </w:r>
      <w:r>
        <w:rPr>
          <w:rFonts w:hint="eastAsia"/>
          <w:color w:val="auto"/>
          <w:sz w:val="24"/>
          <w:highlight w:val="none"/>
          <w:u w:val="single"/>
        </w:rPr>
        <w:t xml:space="preserve">    </w:t>
      </w:r>
      <w:r>
        <w:rPr>
          <w:color w:val="auto"/>
          <w:sz w:val="24"/>
          <w:highlight w:val="none"/>
          <w:u w:val="single"/>
        </w:rPr>
        <w:t>（全称）</w:t>
      </w:r>
      <w:r>
        <w:rPr>
          <w:rFonts w:hint="eastAsia"/>
          <w:color w:val="auto"/>
          <w:sz w:val="24"/>
          <w:highlight w:val="none"/>
          <w:u w:val="single"/>
        </w:rPr>
        <w:t xml:space="preserve">    </w:t>
      </w:r>
      <w:r>
        <w:rPr>
          <w:color w:val="auto"/>
          <w:sz w:val="24"/>
          <w:highlight w:val="none"/>
        </w:rPr>
        <w:t>…</w:t>
      </w:r>
      <w:r>
        <w:rPr>
          <w:rFonts w:hint="eastAsia"/>
          <w:color w:val="auto"/>
          <w:sz w:val="24"/>
          <w:highlight w:val="none"/>
          <w:u w:val="single"/>
        </w:rPr>
        <w:t xml:space="preserve">    </w:t>
      </w:r>
      <w:r>
        <w:rPr>
          <w:color w:val="auto"/>
          <w:sz w:val="24"/>
          <w:highlight w:val="none"/>
          <w:u w:val="single"/>
        </w:rPr>
        <w:t>（盖章）</w:t>
      </w:r>
      <w:r>
        <w:rPr>
          <w:rFonts w:hint="eastAsia"/>
          <w:color w:val="auto"/>
          <w:sz w:val="24"/>
          <w:highlight w:val="none"/>
          <w:u w:val="single"/>
        </w:rPr>
        <w:t xml:space="preserve"> </w:t>
      </w:r>
    </w:p>
    <w:p>
      <w:pPr>
        <w:adjustRightInd w:val="0"/>
        <w:snapToGrid w:val="0"/>
        <w:spacing w:line="360" w:lineRule="auto"/>
        <w:ind w:firstLine="4800" w:firstLineChars="2000"/>
        <w:rPr>
          <w:color w:val="auto"/>
          <w:sz w:val="24"/>
          <w:highlight w:val="none"/>
        </w:rPr>
      </w:pPr>
      <w:r>
        <w:rPr>
          <w:color w:val="auto"/>
          <w:sz w:val="24"/>
          <w:highlight w:val="none"/>
        </w:rPr>
        <w:t>法定代表人：</w:t>
      </w:r>
      <w:r>
        <w:rPr>
          <w:rFonts w:hint="eastAsia"/>
          <w:color w:val="auto"/>
          <w:sz w:val="24"/>
          <w:highlight w:val="none"/>
          <w:u w:val="single"/>
        </w:rPr>
        <w:t xml:space="preserve">     （职务）     </w:t>
      </w:r>
    </w:p>
    <w:p>
      <w:pPr>
        <w:adjustRightInd w:val="0"/>
        <w:snapToGrid w:val="0"/>
        <w:spacing w:line="360" w:lineRule="auto"/>
        <w:ind w:firstLine="6240" w:firstLineChars="2600"/>
        <w:rPr>
          <w:color w:val="auto"/>
          <w:sz w:val="24"/>
          <w:highlight w:val="none"/>
          <w:u w:val="single"/>
        </w:rPr>
      </w:pPr>
      <w:r>
        <w:rPr>
          <w:rFonts w:hint="eastAsia"/>
          <w:color w:val="auto"/>
          <w:sz w:val="24"/>
          <w:highlight w:val="none"/>
          <w:u w:val="single"/>
        </w:rPr>
        <w:t xml:space="preserve">     </w:t>
      </w:r>
      <w:r>
        <w:rPr>
          <w:color w:val="auto"/>
          <w:sz w:val="24"/>
          <w:highlight w:val="none"/>
          <w:u w:val="single"/>
        </w:rPr>
        <w:t>（姓名）</w:t>
      </w:r>
      <w:r>
        <w:rPr>
          <w:rFonts w:hint="eastAsia"/>
          <w:color w:val="auto"/>
          <w:sz w:val="24"/>
          <w:highlight w:val="none"/>
          <w:u w:val="single"/>
        </w:rPr>
        <w:t xml:space="preserve">     </w:t>
      </w:r>
    </w:p>
    <w:p>
      <w:pPr>
        <w:adjustRightInd w:val="0"/>
        <w:snapToGrid w:val="0"/>
        <w:spacing w:line="360" w:lineRule="auto"/>
        <w:ind w:firstLine="6240" w:firstLineChars="2600"/>
        <w:rPr>
          <w:color w:val="auto"/>
          <w:sz w:val="24"/>
          <w:highlight w:val="none"/>
        </w:rPr>
      </w:pPr>
      <w:r>
        <w:rPr>
          <w:rFonts w:hint="eastAsia"/>
          <w:color w:val="auto"/>
          <w:sz w:val="24"/>
          <w:highlight w:val="none"/>
          <w:u w:val="single"/>
        </w:rPr>
        <w:t xml:space="preserve">     </w:t>
      </w:r>
      <w:r>
        <w:rPr>
          <w:color w:val="auto"/>
          <w:sz w:val="24"/>
          <w:highlight w:val="none"/>
          <w:u w:val="single"/>
        </w:rPr>
        <w:t>（</w:t>
      </w:r>
      <w:r>
        <w:rPr>
          <w:rFonts w:hint="eastAsia"/>
          <w:color w:val="auto"/>
          <w:sz w:val="24"/>
          <w:highlight w:val="none"/>
          <w:u w:val="single"/>
        </w:rPr>
        <w:t>签字</w:t>
      </w:r>
      <w:r>
        <w:rPr>
          <w:color w:val="auto"/>
          <w:sz w:val="24"/>
          <w:highlight w:val="none"/>
          <w:u w:val="single"/>
        </w:rPr>
        <w:t>）</w:t>
      </w:r>
      <w:r>
        <w:rPr>
          <w:rFonts w:hint="eastAsia"/>
          <w:color w:val="auto"/>
          <w:sz w:val="24"/>
          <w:highlight w:val="none"/>
          <w:u w:val="single"/>
        </w:rPr>
        <w:t xml:space="preserve">     </w:t>
      </w:r>
    </w:p>
    <w:p>
      <w:pPr>
        <w:adjustRightInd w:val="0"/>
        <w:snapToGrid w:val="0"/>
        <w:spacing w:line="360" w:lineRule="auto"/>
        <w:ind w:firstLine="5760" w:firstLineChars="2400"/>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rPr>
          <w:color w:val="auto"/>
          <w:sz w:val="24"/>
          <w:highlight w:val="none"/>
        </w:rPr>
      </w:pPr>
      <w:r>
        <w:rPr>
          <w:color w:val="auto"/>
          <w:sz w:val="24"/>
          <w:highlight w:val="none"/>
        </w:rPr>
        <w:t>抄送：</w:t>
      </w:r>
      <w:r>
        <w:rPr>
          <w:rFonts w:hint="eastAsia"/>
          <w:color w:val="auto"/>
          <w:sz w:val="24"/>
          <w:highlight w:val="none"/>
          <w:u w:val="single"/>
        </w:rPr>
        <w:t xml:space="preserve">   </w:t>
      </w:r>
      <w:r>
        <w:rPr>
          <w:color w:val="auto"/>
          <w:sz w:val="24"/>
          <w:highlight w:val="none"/>
          <w:u w:val="single"/>
        </w:rPr>
        <w:t>（监理人）</w:t>
      </w:r>
      <w:r>
        <w:rPr>
          <w:rFonts w:hint="eastAsia"/>
          <w:color w:val="auto"/>
          <w:sz w:val="24"/>
          <w:highlight w:val="none"/>
          <w:u w:val="single"/>
        </w:rPr>
        <w:t xml:space="preserve">   </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附件六：履约担保格式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履 约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鉴于</w:t>
      </w:r>
      <w:r>
        <w:rPr>
          <w:rFonts w:hint="eastAsia"/>
          <w:color w:val="auto"/>
          <w:sz w:val="24"/>
          <w:highlight w:val="none"/>
          <w:u w:val="single"/>
        </w:rPr>
        <w:t xml:space="preserve">                    </w:t>
      </w:r>
      <w:r>
        <w:rPr>
          <w:color w:val="auto"/>
          <w:sz w:val="24"/>
          <w:highlight w:val="none"/>
        </w:rPr>
        <w:t>（发包人名称，以下简称“发包人”）接受</w:t>
      </w:r>
      <w:r>
        <w:rPr>
          <w:rFonts w:hint="eastAsia"/>
          <w:color w:val="auto"/>
          <w:sz w:val="24"/>
          <w:highlight w:val="none"/>
          <w:u w:val="single"/>
        </w:rPr>
        <w:t xml:space="preserve">          </w:t>
      </w:r>
      <w:r>
        <w:rPr>
          <w:color w:val="auto"/>
          <w:sz w:val="24"/>
          <w:highlight w:val="none"/>
        </w:rPr>
        <w:t>（承包人名称）（以下称“承包人”）于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日参加</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标段施工的投标。我方愿意无条件地、不可撤销地就承包人履行与你方订立的合同，向你方提供担保。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担保有效期自发包人与承包人签订的合同生效之日起至发包人签发工程接收证书之日止。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在本担保有效期内，因承包人违反合同约定的义务给你方造成经济损失时，我方在收到你方以书面形式提出的在担保金额内的赔偿要求后，在7天内无条件支付，无须你方出具证明或陈述理由。</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发包人和承包人按合同条款第15条变更合同时，我方承担本担保规定的义务不变。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sz w:val="24"/>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adjustRightInd w:val="0"/>
        <w:snapToGrid w:val="0"/>
        <w:spacing w:line="360" w:lineRule="auto"/>
        <w:rPr>
          <w:rFonts w:ascii="黑体" w:eastAsia="黑体"/>
          <w:color w:val="auto"/>
          <w:sz w:val="24"/>
          <w:highlight w:val="none"/>
        </w:rPr>
      </w:pPr>
      <w:r>
        <w:rPr>
          <w:color w:val="auto"/>
          <w:sz w:val="24"/>
          <w:highlight w:val="none"/>
        </w:rPr>
        <w:br w:type="page"/>
      </w:r>
      <w:r>
        <w:rPr>
          <w:rFonts w:hint="eastAsia" w:ascii="黑体" w:eastAsia="黑体"/>
          <w:color w:val="auto"/>
          <w:sz w:val="24"/>
          <w:highlight w:val="none"/>
        </w:rPr>
        <w:t>附件七：预付款担保格式</w:t>
      </w:r>
    </w:p>
    <w:p>
      <w:pPr>
        <w:adjustRightInd w:val="0"/>
        <w:snapToGrid w:val="0"/>
        <w:spacing w:beforeLines="100" w:afterLines="100" w:line="360" w:lineRule="auto"/>
        <w:jc w:val="center"/>
        <w:rPr>
          <w:rFonts w:ascii="黑体" w:eastAsia="黑体"/>
          <w:color w:val="auto"/>
          <w:sz w:val="30"/>
          <w:szCs w:val="30"/>
          <w:highlight w:val="none"/>
        </w:rPr>
      </w:pPr>
      <w:r>
        <w:rPr>
          <w:rFonts w:hint="eastAsia" w:ascii="黑体" w:eastAsia="黑体"/>
          <w:color w:val="auto"/>
          <w:sz w:val="30"/>
          <w:szCs w:val="30"/>
          <w:highlight w:val="none"/>
        </w:rPr>
        <w:t>预 付 款 担 保</w:t>
      </w:r>
    </w:p>
    <w:p>
      <w:pPr>
        <w:adjustRightInd w:val="0"/>
        <w:snapToGrid w:val="0"/>
        <w:spacing w:line="360" w:lineRule="auto"/>
        <w:rPr>
          <w:color w:val="auto"/>
          <w:sz w:val="24"/>
          <w:highlight w:val="none"/>
        </w:rPr>
      </w:pPr>
      <w:r>
        <w:rPr>
          <w:rFonts w:hint="eastAsia"/>
          <w:color w:val="auto"/>
          <w:sz w:val="24"/>
          <w:highlight w:val="none"/>
          <w:u w:val="single"/>
        </w:rPr>
        <w:t xml:space="preserve">                      </w:t>
      </w:r>
      <w:r>
        <w:rPr>
          <w:color w:val="auto"/>
          <w:sz w:val="24"/>
          <w:highlight w:val="none"/>
        </w:rPr>
        <w:t>（发包人名称）：</w:t>
      </w:r>
    </w:p>
    <w:p>
      <w:pPr>
        <w:adjustRightInd w:val="0"/>
        <w:snapToGrid w:val="0"/>
        <w:spacing w:line="360" w:lineRule="auto"/>
        <w:rPr>
          <w:color w:val="auto"/>
          <w:sz w:val="24"/>
          <w:highlight w:val="none"/>
        </w:rPr>
      </w:pPr>
    </w:p>
    <w:p>
      <w:pPr>
        <w:adjustRightInd w:val="0"/>
        <w:snapToGrid w:val="0"/>
        <w:spacing w:line="360" w:lineRule="auto"/>
        <w:ind w:firstLine="480" w:firstLineChars="200"/>
        <w:rPr>
          <w:color w:val="auto"/>
          <w:sz w:val="24"/>
          <w:highlight w:val="none"/>
        </w:rPr>
      </w:pPr>
      <w:r>
        <w:rPr>
          <w:color w:val="auto"/>
          <w:sz w:val="24"/>
          <w:highlight w:val="none"/>
        </w:rPr>
        <w:t>根据</w:t>
      </w:r>
      <w:r>
        <w:rPr>
          <w:rFonts w:hint="eastAsia"/>
          <w:color w:val="auto"/>
          <w:sz w:val="24"/>
          <w:highlight w:val="none"/>
          <w:u w:val="single"/>
        </w:rPr>
        <w:t xml:space="preserve">          </w:t>
      </w:r>
      <w:r>
        <w:rPr>
          <w:color w:val="auto"/>
          <w:sz w:val="24"/>
          <w:highlight w:val="none"/>
        </w:rPr>
        <w:t>（承包人名称）（以下称“承包人”）与</w:t>
      </w:r>
      <w:r>
        <w:rPr>
          <w:rFonts w:hint="eastAsia"/>
          <w:color w:val="auto"/>
          <w:sz w:val="24"/>
          <w:highlight w:val="none"/>
          <w:u w:val="single"/>
        </w:rPr>
        <w:t xml:space="preserve">                 </w:t>
      </w:r>
      <w:r>
        <w:rPr>
          <w:color w:val="auto"/>
          <w:sz w:val="24"/>
          <w:highlight w:val="none"/>
        </w:rPr>
        <w:t>（发包人名称）（以下简称“发包人”）于</w:t>
      </w: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日签订的</w:t>
      </w:r>
      <w:r>
        <w:rPr>
          <w:rFonts w:hint="eastAsia"/>
          <w:color w:val="auto"/>
          <w:sz w:val="24"/>
          <w:highlight w:val="none"/>
          <w:u w:val="single"/>
        </w:rPr>
        <w:t xml:space="preserve">          </w:t>
      </w:r>
      <w:r>
        <w:rPr>
          <w:color w:val="auto"/>
          <w:sz w:val="24"/>
          <w:highlight w:val="none"/>
        </w:rPr>
        <w:t>（项目名称）</w:t>
      </w:r>
      <w:r>
        <w:rPr>
          <w:rFonts w:hint="eastAsia"/>
          <w:color w:val="auto"/>
          <w:sz w:val="24"/>
          <w:highlight w:val="none"/>
          <w:u w:val="single"/>
        </w:rPr>
        <w:t xml:space="preserve">         </w:t>
      </w:r>
      <w:r>
        <w:rPr>
          <w:color w:val="auto"/>
          <w:sz w:val="24"/>
          <w:highlight w:val="none"/>
        </w:rPr>
        <w:t>标段施工承包合同，承包人按约定的金额向发包人提交一份预付款担保，即有权得到发包人支付相等金额的预付款。我方愿意就你方提供给承包人的预付款提供担保。</w:t>
      </w:r>
    </w:p>
    <w:p>
      <w:pPr>
        <w:adjustRightInd w:val="0"/>
        <w:snapToGrid w:val="0"/>
        <w:spacing w:line="360" w:lineRule="auto"/>
        <w:ind w:firstLine="480" w:firstLineChars="200"/>
        <w:rPr>
          <w:color w:val="auto"/>
          <w:sz w:val="24"/>
          <w:highlight w:val="none"/>
        </w:rPr>
      </w:pPr>
      <w:r>
        <w:rPr>
          <w:color w:val="auto"/>
          <w:sz w:val="24"/>
          <w:highlight w:val="none"/>
        </w:rPr>
        <w:t>1</w:t>
      </w:r>
      <w:r>
        <w:rPr>
          <w:rFonts w:hint="eastAsia"/>
          <w:color w:val="auto"/>
          <w:sz w:val="24"/>
          <w:highlight w:val="none"/>
        </w:rPr>
        <w:t>．</w:t>
      </w:r>
      <w:r>
        <w:rPr>
          <w:color w:val="auto"/>
          <w:sz w:val="24"/>
          <w:highlight w:val="none"/>
        </w:rPr>
        <w:t>担保金额人民币（大写）</w:t>
      </w:r>
      <w:r>
        <w:rPr>
          <w:rFonts w:hint="eastAsia"/>
          <w:color w:val="auto"/>
          <w:sz w:val="24"/>
          <w:highlight w:val="none"/>
          <w:u w:val="single"/>
        </w:rPr>
        <w:t xml:space="preserve">              </w:t>
      </w:r>
      <w:r>
        <w:rPr>
          <w:color w:val="auto"/>
          <w:sz w:val="24"/>
          <w:highlight w:val="none"/>
        </w:rPr>
        <w:t>元（￥</w:t>
      </w:r>
      <w:r>
        <w:rPr>
          <w:rFonts w:hint="eastAsia"/>
          <w:color w:val="auto"/>
          <w:sz w:val="24"/>
          <w:highlight w:val="none"/>
          <w:u w:val="single"/>
        </w:rPr>
        <w:t xml:space="preserve">            </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2</w:t>
      </w:r>
      <w:r>
        <w:rPr>
          <w:rFonts w:hint="eastAsia"/>
          <w:color w:val="auto"/>
          <w:sz w:val="24"/>
          <w:highlight w:val="none"/>
        </w:rPr>
        <w:t>．</w:t>
      </w:r>
      <w:r>
        <w:rPr>
          <w:color w:val="auto"/>
          <w:sz w:val="24"/>
          <w:highlight w:val="none"/>
        </w:rPr>
        <w:t>担保有效期自预付款支付给承包人起生效，至发包人签发的进度付款证书说明</w:t>
      </w:r>
      <w:r>
        <w:rPr>
          <w:rFonts w:hint="eastAsia"/>
          <w:color w:val="auto"/>
          <w:sz w:val="24"/>
          <w:highlight w:val="none"/>
        </w:rPr>
        <w:t>已</w:t>
      </w:r>
      <w:r>
        <w:rPr>
          <w:color w:val="auto"/>
          <w:sz w:val="24"/>
          <w:highlight w:val="none"/>
        </w:rPr>
        <w:t>完全扣清止。</w:t>
      </w:r>
    </w:p>
    <w:p>
      <w:pPr>
        <w:adjustRightInd w:val="0"/>
        <w:snapToGrid w:val="0"/>
        <w:spacing w:line="360" w:lineRule="auto"/>
        <w:ind w:firstLine="480" w:firstLineChars="200"/>
        <w:rPr>
          <w:color w:val="auto"/>
          <w:sz w:val="24"/>
          <w:highlight w:val="none"/>
        </w:rPr>
      </w:pPr>
      <w:r>
        <w:rPr>
          <w:color w:val="auto"/>
          <w:sz w:val="24"/>
          <w:highlight w:val="none"/>
        </w:rPr>
        <w:t>3</w:t>
      </w:r>
      <w:r>
        <w:rPr>
          <w:rFonts w:hint="eastAsia"/>
          <w:color w:val="auto"/>
          <w:sz w:val="24"/>
          <w:highlight w:val="none"/>
        </w:rPr>
        <w:t>．</w:t>
      </w:r>
      <w:r>
        <w:rPr>
          <w:color w:val="auto"/>
          <w:sz w:val="24"/>
          <w:highlight w:val="none"/>
        </w:rPr>
        <w:t>在本保函有效期内，因承包人违反合同约定的义务而要求收回预付款时，我方在收到你方的书面通知后，在7天内无条件支付，无须你方出具证明或陈述理由。但本保函的担保金额，在任何时候不应超过预付款金额减去发包人按合同约定在向承包人签发的进度付款证书中扣除的金额。</w:t>
      </w:r>
    </w:p>
    <w:p>
      <w:pPr>
        <w:adjustRightInd w:val="0"/>
        <w:snapToGrid w:val="0"/>
        <w:spacing w:line="360" w:lineRule="auto"/>
        <w:ind w:firstLine="480" w:firstLineChars="200"/>
        <w:rPr>
          <w:color w:val="auto"/>
          <w:sz w:val="24"/>
          <w:highlight w:val="none"/>
        </w:rPr>
      </w:pPr>
      <w:r>
        <w:rPr>
          <w:color w:val="auto"/>
          <w:sz w:val="24"/>
          <w:highlight w:val="none"/>
        </w:rPr>
        <w:t>4</w:t>
      </w:r>
      <w:r>
        <w:rPr>
          <w:rFonts w:hint="eastAsia"/>
          <w:color w:val="auto"/>
          <w:sz w:val="24"/>
          <w:highlight w:val="none"/>
        </w:rPr>
        <w:t>．</w:t>
      </w:r>
      <w:r>
        <w:rPr>
          <w:color w:val="auto"/>
          <w:sz w:val="24"/>
          <w:highlight w:val="none"/>
        </w:rPr>
        <w:t>发包人和承包人按《通用合同条款》第15条变更合同时，我方承担本保函规定的义务不变。</w:t>
      </w:r>
    </w:p>
    <w:p>
      <w:pPr>
        <w:adjustRightInd w:val="0"/>
        <w:snapToGrid w:val="0"/>
        <w:spacing w:line="360" w:lineRule="auto"/>
        <w:ind w:firstLine="480" w:firstLineChars="200"/>
        <w:rPr>
          <w:color w:val="auto"/>
          <w:sz w:val="24"/>
          <w:highlight w:val="none"/>
        </w:rPr>
      </w:pPr>
    </w:p>
    <w:p>
      <w:pPr>
        <w:adjustRightInd w:val="0"/>
        <w:snapToGrid w:val="0"/>
        <w:spacing w:line="360" w:lineRule="auto"/>
        <w:ind w:firstLine="3840" w:firstLineChars="1600"/>
        <w:rPr>
          <w:color w:val="auto"/>
          <w:sz w:val="24"/>
          <w:highlight w:val="none"/>
        </w:rPr>
      </w:pPr>
      <w:r>
        <w:rPr>
          <w:color w:val="auto"/>
          <w:sz w:val="24"/>
          <w:highlight w:val="none"/>
        </w:rPr>
        <w:t>担保人：</w:t>
      </w:r>
      <w:r>
        <w:rPr>
          <w:rFonts w:hint="eastAsia"/>
          <w:color w:val="auto"/>
          <w:sz w:val="24"/>
          <w:highlight w:val="none"/>
          <w:u w:val="single"/>
        </w:rPr>
        <w:t xml:space="preserve">                   </w:t>
      </w:r>
      <w:r>
        <w:rPr>
          <w:color w:val="auto"/>
          <w:sz w:val="24"/>
          <w:highlight w:val="none"/>
        </w:rPr>
        <w:t>（盖单位公章）</w:t>
      </w:r>
    </w:p>
    <w:p>
      <w:pPr>
        <w:adjustRightInd w:val="0"/>
        <w:snapToGrid w:val="0"/>
        <w:spacing w:line="360" w:lineRule="auto"/>
        <w:ind w:firstLine="3835" w:firstLineChars="1598"/>
        <w:rPr>
          <w:color w:val="auto"/>
          <w:sz w:val="24"/>
          <w:highlight w:val="none"/>
        </w:rPr>
      </w:pPr>
      <w:r>
        <w:rPr>
          <w:color w:val="auto"/>
          <w:sz w:val="24"/>
          <w:highlight w:val="none"/>
        </w:rPr>
        <w:t>法定代表人或其委托代理人：</w:t>
      </w:r>
      <w:r>
        <w:rPr>
          <w:rFonts w:hint="eastAsia"/>
          <w:color w:val="auto"/>
          <w:sz w:val="24"/>
          <w:highlight w:val="none"/>
          <w:u w:val="single"/>
        </w:rPr>
        <w:t xml:space="preserve">         </w:t>
      </w:r>
      <w:r>
        <w:rPr>
          <w:color w:val="auto"/>
          <w:sz w:val="24"/>
          <w:highlight w:val="none"/>
        </w:rPr>
        <w:t>（签字）</w:t>
      </w:r>
    </w:p>
    <w:p>
      <w:pPr>
        <w:adjustRightInd w:val="0"/>
        <w:snapToGrid w:val="0"/>
        <w:spacing w:line="360" w:lineRule="auto"/>
        <w:ind w:firstLine="3835" w:firstLineChars="1598"/>
        <w:rPr>
          <w:color w:val="auto"/>
          <w:sz w:val="24"/>
          <w:highlight w:val="none"/>
        </w:rPr>
      </w:pPr>
      <w:r>
        <w:rPr>
          <w:color w:val="auto"/>
          <w:sz w:val="24"/>
          <w:highlight w:val="none"/>
        </w:rPr>
        <w:t>地</w:t>
      </w:r>
      <w:r>
        <w:rPr>
          <w:rFonts w:hint="eastAsia"/>
          <w:color w:val="auto"/>
          <w:sz w:val="24"/>
          <w:highlight w:val="none"/>
        </w:rPr>
        <w:t xml:space="preserve">    </w:t>
      </w:r>
      <w:r>
        <w:rPr>
          <w:color w:val="auto"/>
          <w:sz w:val="24"/>
          <w:highlight w:val="none"/>
        </w:rPr>
        <w:t>址：</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邮政编码：</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电</w:t>
      </w:r>
      <w:r>
        <w:rPr>
          <w:rFonts w:hint="eastAsia"/>
          <w:color w:val="auto"/>
          <w:sz w:val="24"/>
          <w:highlight w:val="none"/>
        </w:rPr>
        <w:t xml:space="preserve">    </w:t>
      </w:r>
      <w:r>
        <w:rPr>
          <w:color w:val="auto"/>
          <w:sz w:val="24"/>
          <w:highlight w:val="none"/>
        </w:rPr>
        <w:t>话：</w:t>
      </w:r>
      <w:r>
        <w:rPr>
          <w:rFonts w:hint="eastAsia"/>
          <w:color w:val="auto"/>
          <w:sz w:val="24"/>
          <w:highlight w:val="none"/>
          <w:u w:val="single"/>
        </w:rPr>
        <w:t xml:space="preserve">                       </w:t>
      </w:r>
    </w:p>
    <w:p>
      <w:pPr>
        <w:adjustRightInd w:val="0"/>
        <w:snapToGrid w:val="0"/>
        <w:spacing w:line="360" w:lineRule="auto"/>
        <w:ind w:firstLine="3835" w:firstLineChars="1598"/>
        <w:rPr>
          <w:color w:val="auto"/>
          <w:sz w:val="24"/>
          <w:highlight w:val="none"/>
          <w:u w:val="single"/>
        </w:rPr>
      </w:pPr>
      <w:r>
        <w:rPr>
          <w:color w:val="auto"/>
          <w:sz w:val="24"/>
          <w:highlight w:val="none"/>
        </w:rPr>
        <w:t>传</w:t>
      </w:r>
      <w:r>
        <w:rPr>
          <w:rFonts w:hint="eastAsia"/>
          <w:color w:val="auto"/>
          <w:sz w:val="24"/>
          <w:highlight w:val="none"/>
        </w:rPr>
        <w:t xml:space="preserve">    </w:t>
      </w:r>
      <w:r>
        <w:rPr>
          <w:color w:val="auto"/>
          <w:sz w:val="24"/>
          <w:highlight w:val="none"/>
        </w:rPr>
        <w:t>真：</w:t>
      </w:r>
      <w:r>
        <w:rPr>
          <w:rFonts w:hint="eastAsia"/>
          <w:color w:val="auto"/>
          <w:sz w:val="24"/>
          <w:highlight w:val="none"/>
          <w:u w:val="single"/>
        </w:rPr>
        <w:t xml:space="preserve">                       </w:t>
      </w:r>
    </w:p>
    <w:p>
      <w:pPr>
        <w:adjustRightInd w:val="0"/>
        <w:snapToGrid w:val="0"/>
        <w:spacing w:line="360" w:lineRule="auto"/>
        <w:ind w:firstLine="5032" w:firstLineChars="2097"/>
        <w:rPr>
          <w:color w:val="auto"/>
          <w:highlight w:val="none"/>
        </w:rPr>
      </w:pPr>
      <w:r>
        <w:rPr>
          <w:rFonts w:hint="eastAsia"/>
          <w:color w:val="auto"/>
          <w:sz w:val="24"/>
          <w:highlight w:val="none"/>
          <w:u w:val="single"/>
        </w:rPr>
        <w:t xml:space="preserve">         </w:t>
      </w:r>
      <w:r>
        <w:rPr>
          <w:color w:val="auto"/>
          <w:sz w:val="24"/>
          <w:highlight w:val="none"/>
        </w:rPr>
        <w:t>年</w:t>
      </w:r>
      <w:r>
        <w:rPr>
          <w:rFonts w:hint="eastAsia"/>
          <w:color w:val="auto"/>
          <w:sz w:val="24"/>
          <w:highlight w:val="none"/>
          <w:u w:val="single"/>
        </w:rPr>
        <w:t xml:space="preserve">     </w:t>
      </w:r>
      <w:r>
        <w:rPr>
          <w:color w:val="auto"/>
          <w:sz w:val="24"/>
          <w:highlight w:val="none"/>
        </w:rPr>
        <w:t>月</w:t>
      </w:r>
      <w:r>
        <w:rPr>
          <w:rFonts w:hint="eastAsia"/>
          <w:color w:val="auto"/>
          <w:sz w:val="24"/>
          <w:highlight w:val="none"/>
          <w:u w:val="single"/>
        </w:rPr>
        <w:t xml:space="preserve">     </w:t>
      </w:r>
      <w:r>
        <w:rPr>
          <w:color w:val="auto"/>
          <w:sz w:val="24"/>
          <w:highlight w:val="none"/>
        </w:rPr>
        <w:t>日</w:t>
      </w:r>
    </w:p>
    <w:p>
      <w:pPr>
        <w:spacing w:line="400" w:lineRule="exact"/>
        <w:ind w:firstLine="480" w:firstLineChars="200"/>
        <w:rPr>
          <w:rFonts w:ascii="宋体" w:hAnsi="宋体"/>
          <w:color w:val="auto"/>
          <w:sz w:val="24"/>
          <w:highlight w:val="none"/>
        </w:rPr>
      </w:pPr>
    </w:p>
    <w:p>
      <w:pPr>
        <w:rPr>
          <w:rFonts w:ascii="宋体" w:hAnsi="宋体"/>
          <w:color w:val="auto"/>
          <w:sz w:val="24"/>
          <w:highlight w:val="none"/>
        </w:rPr>
      </w:pPr>
    </w:p>
    <w:p>
      <w:pPr>
        <w:spacing w:line="400" w:lineRule="exact"/>
        <w:rPr>
          <w:rFonts w:ascii="隶书" w:hAnsi="宋体" w:eastAsia="隶书"/>
          <w:color w:val="auto"/>
          <w:sz w:val="24"/>
          <w:highlight w:val="none"/>
        </w:rPr>
      </w:pPr>
    </w:p>
    <w:p>
      <w:pPr>
        <w:rPr>
          <w:rFonts w:ascii="宋体" w:hAnsi="宋体"/>
          <w:color w:val="auto"/>
          <w:sz w:val="44"/>
          <w:szCs w:val="44"/>
          <w:highlight w:val="none"/>
        </w:rPr>
      </w:pPr>
    </w:p>
    <w:p>
      <w:pPr>
        <w:jc w:val="center"/>
        <w:outlineLvl w:val="0"/>
        <w:rPr>
          <w:rFonts w:ascii="黑体" w:eastAsia="黑体"/>
          <w:color w:val="auto"/>
          <w:sz w:val="44"/>
          <w:szCs w:val="44"/>
          <w:highlight w:val="none"/>
        </w:rPr>
      </w:pPr>
      <w:bookmarkStart w:id="229" w:name="_Toc5321"/>
      <w:r>
        <w:rPr>
          <w:rFonts w:ascii="黑体" w:eastAsia="黑体"/>
          <w:color w:val="auto"/>
          <w:sz w:val="44"/>
          <w:szCs w:val="44"/>
          <w:highlight w:val="none"/>
        </w:rPr>
        <w:t>第五章</w:t>
      </w:r>
      <w:r>
        <w:rPr>
          <w:rFonts w:hint="eastAsia" w:ascii="黑体" w:eastAsia="黑体"/>
          <w:color w:val="auto"/>
          <w:sz w:val="44"/>
          <w:szCs w:val="44"/>
          <w:highlight w:val="none"/>
        </w:rPr>
        <w:t xml:space="preserve"> </w:t>
      </w:r>
      <w:r>
        <w:rPr>
          <w:rFonts w:ascii="黑体" w:eastAsia="黑体"/>
          <w:color w:val="auto"/>
          <w:sz w:val="44"/>
          <w:szCs w:val="44"/>
          <w:highlight w:val="none"/>
        </w:rPr>
        <w:t>工程量清单</w:t>
      </w:r>
      <w:bookmarkEnd w:id="229"/>
    </w:p>
    <w:p>
      <w:pPr>
        <w:rPr>
          <w:rFonts w:ascii="宋体" w:hAnsi="宋体"/>
          <w:color w:val="auto"/>
          <w:sz w:val="24"/>
          <w:highlight w:val="none"/>
        </w:rPr>
      </w:pPr>
    </w:p>
    <w:p>
      <w:pPr>
        <w:spacing w:before="120" w:after="120"/>
        <w:rPr>
          <w:rFonts w:ascii="黑体" w:eastAsia="黑体"/>
          <w:color w:val="auto"/>
          <w:sz w:val="28"/>
          <w:szCs w:val="28"/>
          <w:highlight w:val="none"/>
        </w:rPr>
      </w:pPr>
      <w:r>
        <w:rPr>
          <w:rFonts w:hint="eastAsia" w:ascii="黑体" w:eastAsia="黑体"/>
          <w:color w:val="auto"/>
          <w:sz w:val="28"/>
          <w:szCs w:val="28"/>
          <w:highlight w:val="none"/>
        </w:rPr>
        <w:t>1.工程量清单说明</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1.2 本工程量清单应与招标文件中的投标人须知、通用合同条款、专用合同条款、技术规范及图纸等一起阅读和理解。</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w:t>
      </w:r>
      <w:r>
        <w:rPr>
          <w:rFonts w:hint="eastAsia" w:ascii="宋体" w:hAnsi="宋体"/>
          <w:color w:val="auto"/>
          <w:sz w:val="24"/>
          <w:highlight w:val="none"/>
          <w:lang w:val="en-US" w:eastAsia="zh-CN"/>
        </w:rPr>
        <w:t>.</w:t>
      </w:r>
      <w:r>
        <w:rPr>
          <w:rFonts w:hint="eastAsia" w:ascii="宋体" w:hAnsi="宋体"/>
          <w:color w:val="auto"/>
          <w:sz w:val="24"/>
          <w:highlight w:val="none"/>
        </w:rPr>
        <w:t>4款的规定，由监理人确定的单价或总额价计算支付额，</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1.4 工程量清单各章是按第七章“技术规范”的相应章次编号的，因此，工程量清单中各章的工程子目的范围与计量等应与“技术规范”相应章节的范围、计量与支付条款结合起来理解或解释。</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1.5 对作业和材料的—般说明或规定，未重复写入工程量清单内，在给工程量清单各子目标价前，应参阅第七章“技术规范”的有关内容。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1.6 工程量清单中所列工程量的变动，丝毫不会降低或影响合同条款的效力，也不免除承包人按规定的标准进行施工和修复缺陷的责任。</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1.7 图纸中所列的工程数量表及数量汇总表仅是提供资料，不是工程量清单的外延。当图纸与工程量清单所列数量不一致时，以工程量清单所列数量作为报价的依据。</w:t>
      </w:r>
    </w:p>
    <w:p>
      <w:pPr>
        <w:spacing w:before="240" w:after="120"/>
        <w:rPr>
          <w:rFonts w:ascii="黑体" w:eastAsia="黑体"/>
          <w:color w:val="auto"/>
          <w:sz w:val="28"/>
          <w:szCs w:val="28"/>
          <w:highlight w:val="none"/>
        </w:rPr>
      </w:pPr>
      <w:r>
        <w:rPr>
          <w:rFonts w:hint="eastAsia" w:ascii="黑体" w:eastAsia="黑体"/>
          <w:color w:val="auto"/>
          <w:sz w:val="28"/>
          <w:szCs w:val="28"/>
          <w:highlight w:val="none"/>
        </w:rPr>
        <w:t>2．投标报价说明</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2.1 工程量清单中的每一子目须填入单价或价格，且只允许有一个报价。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2.4 符合合同条款规定的全部费用应认为已被计入有标价的工程量清单所列各子目之中，未列子目不予计量的工作，其费用应视为已分摊在本合同工程的有关子目的单价或总额价之中。</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2.5承包人用于本合同工程的各类装备的提供、运输、维护、拆卸、拼装等支付的费用，已包括在工程量清单的单价与总额价之中。</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2.6 工程量清单中各项金额均以人民币（元）结算。</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7</w:t>
      </w:r>
      <w:r>
        <w:rPr>
          <w:rFonts w:hint="eastAsia" w:ascii="宋体" w:hAnsi="宋体"/>
          <w:color w:val="auto"/>
          <w:sz w:val="24"/>
          <w:highlight w:val="none"/>
        </w:rPr>
        <w:t xml:space="preserve"> 暂列金额（不含计日工总额）的数量及拟用子目的说明：</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val="en-US" w:eastAsia="zh-CN"/>
        </w:rPr>
        <w:t>8</w:t>
      </w:r>
      <w:r>
        <w:rPr>
          <w:rFonts w:hint="eastAsia" w:ascii="宋体" w:hAnsi="宋体"/>
          <w:color w:val="auto"/>
          <w:sz w:val="24"/>
          <w:highlight w:val="none"/>
        </w:rPr>
        <w:t xml:space="preserve"> 暂估价的数量及拟用子目的说明：</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before="240" w:after="120"/>
        <w:rPr>
          <w:rFonts w:ascii="黑体" w:eastAsia="黑体"/>
          <w:color w:val="auto"/>
          <w:sz w:val="28"/>
          <w:szCs w:val="28"/>
          <w:highlight w:val="none"/>
        </w:rPr>
      </w:pPr>
      <w:r>
        <w:rPr>
          <w:rFonts w:hint="eastAsia" w:ascii="黑体" w:eastAsia="黑体"/>
          <w:color w:val="auto"/>
          <w:sz w:val="28"/>
          <w:szCs w:val="28"/>
          <w:highlight w:val="none"/>
        </w:rPr>
        <w:t>3．计日工说明</w:t>
      </w:r>
    </w:p>
    <w:p>
      <w:pPr>
        <w:spacing w:line="400" w:lineRule="exact"/>
        <w:rPr>
          <w:rFonts w:ascii="宋体" w:hAnsi="宋体"/>
          <w:color w:val="auto"/>
          <w:sz w:val="24"/>
          <w:highlight w:val="none"/>
        </w:rPr>
      </w:pPr>
      <w:r>
        <w:rPr>
          <w:rFonts w:hint="eastAsia" w:ascii="宋体" w:hAnsi="宋体"/>
          <w:color w:val="auto"/>
          <w:sz w:val="24"/>
          <w:highlight w:val="none"/>
        </w:rPr>
        <w:t xml:space="preserve">    3.1 总则</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（l）本说明应参照通用合同条款第15.7款一并理解。</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（2）未经监理人书面指令，任何工程不得按计日工施工；接到监理人按计日工施工的书面指令，承包人也不得拒绝。</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（4）计日工不调价。</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3.2 计日工劳务</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（2）承包人可以得到用于计日工劳务的全部工时的支付，此支付按承包人填报的“计日工劳务单价表”所列单价计算，该单价应包括基本单价及承包人的管理费、税费、利润等所有附加费，说明如下：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a.劳务基本单价包括：承包人劳务的全部直接费用，如：工资、加班费、津贴、福利费及劳动保护费等。</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b.承包人的利润、管理、质检、保险、税费；易耗品的使用、水电及照明费，工作台、脚手架、临时设施费，手动机具与工具的使用及维修，以及上述各项伴随而来的费用。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3.3 计日工材料</w:t>
      </w:r>
    </w:p>
    <w:p>
      <w:pPr>
        <w:spacing w:line="400" w:lineRule="exact"/>
        <w:ind w:firstLine="360" w:firstLineChars="150"/>
        <w:rPr>
          <w:rFonts w:ascii="宋体" w:hAnsi="宋体"/>
          <w:color w:val="auto"/>
          <w:sz w:val="24"/>
          <w:highlight w:val="none"/>
        </w:rPr>
      </w:pPr>
      <w:r>
        <w:rPr>
          <w:rFonts w:hint="eastAsia" w:ascii="宋体" w:hAnsi="宋体"/>
          <w:color w:val="auto"/>
          <w:sz w:val="24"/>
          <w:highlight w:val="none"/>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a．材料基本单价按供货价加运杂费（到达承包人现场仓库）、保险费、仓库管理费以及运输损耗等计算。</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b. 承包人的利润、管理、质检、保险、税费及其他附加费：</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c．从现场运至使用地点的人工费和施工机械使用费不包括在上述基本单价内。</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3.4 计日工施工机械</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spacing w:before="240" w:after="120"/>
        <w:rPr>
          <w:rFonts w:ascii="黑体" w:eastAsia="黑体"/>
          <w:color w:val="auto"/>
          <w:sz w:val="28"/>
          <w:szCs w:val="28"/>
          <w:highlight w:val="none"/>
        </w:rPr>
      </w:pPr>
      <w:r>
        <w:rPr>
          <w:rFonts w:hint="eastAsia" w:ascii="黑体" w:eastAsia="黑体"/>
          <w:color w:val="auto"/>
          <w:sz w:val="28"/>
          <w:szCs w:val="28"/>
          <w:highlight w:val="none"/>
        </w:rPr>
        <w:t>4．其他说明</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rPr>
        <w:t>编制说明：</w:t>
      </w:r>
      <w:r>
        <w:rPr>
          <w:rFonts w:hint="eastAsia" w:ascii="宋体" w:hAnsi="宋体"/>
          <w:color w:val="auto"/>
          <w:sz w:val="24"/>
          <w:highlight w:val="none"/>
          <w:lang w:val="en-US" w:eastAsia="zh-CN"/>
        </w:rPr>
        <w:t>1、定额套用（2007）版《公路工程预算定额》（JTG/TB06-02-2007)、《08公路工程量清单计价依据》（2009范本）相关计价文件及其配套的省市有关文件。</w:t>
      </w:r>
    </w:p>
    <w:p>
      <w:p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2、人工费调整为53.87元/工日；</w:t>
      </w:r>
    </w:p>
    <w:p>
      <w:pPr>
        <w:numPr>
          <w:ilvl w:val="0"/>
          <w:numId w:val="0"/>
        </w:num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3、税金调整依据豫建设标【2016】13号文件规定，按11%计取；</w:t>
      </w:r>
    </w:p>
    <w:p>
      <w:pPr>
        <w:numPr>
          <w:ilvl w:val="0"/>
          <w:numId w:val="0"/>
        </w:numPr>
        <w:spacing w:line="400" w:lineRule="exact"/>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4、材料参考2017年《许昌工程造价信息》第三期信息价及现行市场价格。</w:t>
      </w:r>
    </w:p>
    <w:p>
      <w:pPr>
        <w:spacing w:before="240" w:after="120"/>
        <w:rPr>
          <w:rFonts w:ascii="隶书" w:eastAsia="隶书"/>
          <w:color w:val="auto"/>
          <w:sz w:val="24"/>
          <w:highlight w:val="none"/>
        </w:rPr>
      </w:pPr>
      <w:r>
        <w:rPr>
          <w:rFonts w:hint="eastAsia" w:ascii="黑体" w:eastAsia="黑体"/>
          <w:color w:val="auto"/>
          <w:sz w:val="28"/>
          <w:szCs w:val="28"/>
          <w:highlight w:val="none"/>
        </w:rPr>
        <w:t>5．工程量清单</w:t>
      </w:r>
    </w:p>
    <w:p>
      <w:pPr>
        <w:ind w:firstLine="480" w:firstLineChars="200"/>
        <w:rPr>
          <w:rFonts w:ascii="宋体" w:hAnsi="宋体"/>
          <w:color w:val="auto"/>
          <w:sz w:val="24"/>
          <w:highlight w:val="none"/>
        </w:rPr>
      </w:pPr>
      <w:r>
        <w:rPr>
          <w:rFonts w:hint="eastAsia" w:ascii="宋体" w:hAnsi="宋体"/>
          <w:color w:val="auto"/>
          <w:sz w:val="24"/>
          <w:highlight w:val="none"/>
        </w:rPr>
        <w:t>5.l工程量清单表</w:t>
      </w:r>
    </w:p>
    <w:p>
      <w:pPr>
        <w:rPr>
          <w:rFonts w:ascii="隶书" w:eastAsia="隶书"/>
          <w:color w:val="auto"/>
          <w:sz w:val="24"/>
          <w:highlight w:val="none"/>
        </w:rPr>
      </w:pPr>
    </w:p>
    <w:p>
      <w:pPr>
        <w:spacing w:after="240"/>
        <w:rPr>
          <w:rFonts w:ascii="黑体" w:eastAsia="黑体"/>
          <w:color w:val="auto"/>
          <w:sz w:val="18"/>
          <w:szCs w:val="18"/>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tbl>
      <w:tblPr>
        <w:tblStyle w:val="15"/>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616"/>
        <w:gridCol w:w="1568"/>
        <w:gridCol w:w="870"/>
        <w:gridCol w:w="885"/>
        <w:gridCol w:w="910"/>
        <w:gridCol w:w="910"/>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jc w:val="left"/>
              <w:rPr>
                <w:rFonts w:hint="eastAsia" w:ascii="宋体" w:hAnsi="宋体" w:eastAsia="宋体" w:cs="宋体"/>
                <w:i w:val="0"/>
                <w:color w:val="000000"/>
                <w:sz w:val="18"/>
                <w:szCs w:val="18"/>
                <w:u w:val="none"/>
              </w:rPr>
            </w:pP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529" w:type="dxa"/>
            <w:gridSpan w:val="8"/>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工程量清单表（招标）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合同段：许昌市建安区张潘镇陶庄村道路工程</w:t>
            </w: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529"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第100章 总则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子目名称</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102-3</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安全生产费</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529" w:type="dxa"/>
            <w:gridSpan w:val="8"/>
            <w:tcBorders>
              <w:top w:val="single" w:color="000000" w:sz="4" w:space="0"/>
              <w:left w:val="single" w:color="000000" w:sz="12" w:space="0"/>
              <w:bottom w:val="single" w:color="000000" w:sz="12"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第100章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jc w:val="left"/>
              <w:rPr>
                <w:rFonts w:hint="eastAsia" w:ascii="宋体" w:hAnsi="宋体" w:eastAsia="宋体" w:cs="宋体"/>
                <w:i w:val="0"/>
                <w:color w:val="000000"/>
                <w:sz w:val="18"/>
                <w:szCs w:val="18"/>
                <w:u w:val="none"/>
              </w:rPr>
            </w:pP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清单 第  1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jc w:val="left"/>
              <w:rPr>
                <w:rFonts w:hint="eastAsia" w:ascii="宋体" w:hAnsi="宋体" w:eastAsia="宋体" w:cs="宋体"/>
                <w:i w:val="0"/>
                <w:color w:val="000000"/>
                <w:sz w:val="18"/>
                <w:szCs w:val="18"/>
                <w:u w:val="none"/>
              </w:rPr>
            </w:pP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529" w:type="dxa"/>
            <w:gridSpan w:val="8"/>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工程量清单表（招标）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合同段：许昌市建安区张潘镇陶庄村道路工程</w:t>
            </w: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529"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第200章 路基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子目名称</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清理与掘除</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清理表土</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2529.5</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砍伐树木</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棵</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垃圾清理</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1204.1</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204-1</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填前压实</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25294.5</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填前压实</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25294.5</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204-1</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借土填方</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3796.4</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借土填方</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3796.4</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529" w:type="dxa"/>
            <w:gridSpan w:val="8"/>
            <w:tcBorders>
              <w:top w:val="single" w:color="000000" w:sz="4" w:space="0"/>
              <w:left w:val="single" w:color="000000" w:sz="12" w:space="0"/>
              <w:bottom w:val="single" w:color="000000" w:sz="12"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第200章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jc w:val="left"/>
              <w:rPr>
                <w:rFonts w:hint="eastAsia" w:ascii="宋体" w:hAnsi="宋体" w:eastAsia="宋体" w:cs="宋体"/>
                <w:i w:val="0"/>
                <w:color w:val="000000"/>
                <w:sz w:val="18"/>
                <w:szCs w:val="18"/>
                <w:u w:val="none"/>
              </w:rPr>
            </w:pP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清单 第  2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jc w:val="left"/>
              <w:rPr>
                <w:rFonts w:hint="eastAsia" w:ascii="宋体" w:hAnsi="宋体" w:eastAsia="宋体" w:cs="宋体"/>
                <w:i w:val="0"/>
                <w:color w:val="000000"/>
                <w:sz w:val="18"/>
                <w:szCs w:val="18"/>
                <w:u w:val="none"/>
              </w:rPr>
            </w:pP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529" w:type="dxa"/>
            <w:gridSpan w:val="8"/>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工程量清单表（招标）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合同段：许昌市建安区张潘镇陶庄村道路工程</w:t>
            </w: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529"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第300章 路面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子目名称</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303-1</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石灰稳定土底基层</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15cm厚6%石灰稳定土</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9402.5</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石灰稳定土垫层</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15cm厚10%石灰稳定土</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12830</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304-3</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水泥混凝土基层</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10cm厚C20水泥混凝土</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2509.5</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312-1</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水泥混凝土面板</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18cm厚C25水泥混凝土,传力杆钢筋</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26670.5</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313-1</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培土路肩</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2668.6</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529" w:type="dxa"/>
            <w:gridSpan w:val="8"/>
            <w:tcBorders>
              <w:top w:val="single" w:color="000000" w:sz="4" w:space="0"/>
              <w:left w:val="single" w:color="000000" w:sz="12" w:space="0"/>
              <w:bottom w:val="single" w:color="000000" w:sz="12"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第300章 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jc w:val="left"/>
              <w:rPr>
                <w:rFonts w:hint="eastAsia" w:ascii="宋体" w:hAnsi="宋体" w:eastAsia="宋体" w:cs="宋体"/>
                <w:i w:val="0"/>
                <w:color w:val="000000"/>
                <w:sz w:val="18"/>
                <w:szCs w:val="18"/>
                <w:u w:val="none"/>
              </w:rPr>
            </w:pP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清单 第  3  页  共  4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jc w:val="left"/>
              <w:rPr>
                <w:rFonts w:hint="eastAsia" w:ascii="宋体" w:hAnsi="宋体" w:eastAsia="宋体" w:cs="宋体"/>
                <w:i w:val="0"/>
                <w:color w:val="000000"/>
                <w:sz w:val="18"/>
                <w:szCs w:val="18"/>
                <w:u w:val="none"/>
              </w:rPr>
            </w:pP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8529" w:type="dxa"/>
            <w:gridSpan w:val="8"/>
            <w:shd w:val="clear" w:color="FFFFFF" w:fill="FFFFFF"/>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工程量清单表（招标）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合同段：许昌市建安区张潘镇陶庄村道路工程</w:t>
            </w: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8529" w:type="dxa"/>
            <w:gridSpan w:val="8"/>
            <w:tcBorders>
              <w:top w:val="single" w:color="000000" w:sz="12" w:space="0"/>
              <w:left w:val="single" w:color="000000" w:sz="12"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交叉工程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子目号</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子目名称</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石灰稳定土垫层</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15cm厚10%石灰稳定土</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264.5</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312-1</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水泥混凝土面板</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18cm厚C25水泥混凝土</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616" w:type="dxa"/>
            <w:tcBorders>
              <w:top w:val="single" w:color="000000" w:sz="4" w:space="0"/>
              <w:left w:val="single" w:color="000000" w:sz="12"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2438"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color w:val="000000"/>
                <w:sz w:val="18"/>
                <w:szCs w:val="18"/>
                <w:u w:val="none"/>
              </w:rPr>
            </w:pPr>
          </w:p>
        </w:tc>
        <w:tc>
          <w:tcPr>
            <w:tcW w:w="18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12" w:space="0"/>
            </w:tcBorders>
            <w:shd w:val="clear" w:color="FFFFFF" w:fill="FFFFFF"/>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529" w:type="dxa"/>
            <w:gridSpan w:val="8"/>
            <w:tcBorders>
              <w:top w:val="single" w:color="000000" w:sz="4" w:space="0"/>
              <w:left w:val="single" w:color="000000" w:sz="12" w:space="0"/>
              <w:bottom w:val="single" w:color="000000" w:sz="12" w:space="0"/>
              <w:right w:val="single" w:color="000000" w:sz="12"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 人民币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3184" w:type="dxa"/>
            <w:gridSpan w:val="2"/>
            <w:shd w:val="clear" w:color="FFFFFF" w:fill="FFFFFF"/>
            <w:vAlign w:val="center"/>
          </w:tcPr>
          <w:p>
            <w:pPr>
              <w:jc w:val="left"/>
              <w:rPr>
                <w:rFonts w:hint="eastAsia" w:ascii="宋体" w:hAnsi="宋体" w:eastAsia="宋体" w:cs="宋体"/>
                <w:i w:val="0"/>
                <w:color w:val="000000"/>
                <w:sz w:val="18"/>
                <w:szCs w:val="18"/>
                <w:u w:val="none"/>
              </w:rPr>
            </w:pPr>
          </w:p>
        </w:tc>
        <w:tc>
          <w:tcPr>
            <w:tcW w:w="2665" w:type="dxa"/>
            <w:gridSpan w:val="3"/>
            <w:shd w:val="clear" w:color="FFFFFF" w:fill="FFFFFF"/>
            <w:vAlign w:val="center"/>
          </w:tcPr>
          <w:p>
            <w:pPr>
              <w:jc w:val="center"/>
              <w:rPr>
                <w:rFonts w:hint="eastAsia" w:ascii="宋体" w:hAnsi="宋体" w:eastAsia="宋体" w:cs="宋体"/>
                <w:i w:val="0"/>
                <w:color w:val="000000"/>
                <w:sz w:val="18"/>
                <w:szCs w:val="18"/>
                <w:u w:val="none"/>
              </w:rPr>
            </w:pPr>
          </w:p>
        </w:tc>
        <w:tc>
          <w:tcPr>
            <w:tcW w:w="2680" w:type="dxa"/>
            <w:gridSpan w:val="3"/>
            <w:shd w:val="clear" w:color="FFFFFF"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清单 第  4  页  共  4  页</w:t>
            </w:r>
          </w:p>
        </w:tc>
      </w:tr>
    </w:tbl>
    <w:p>
      <w:pPr>
        <w:jc w:val="center"/>
        <w:rPr>
          <w:rFonts w:ascii="黑体" w:eastAsia="黑体"/>
          <w:color w:val="auto"/>
          <w:sz w:val="52"/>
          <w:szCs w:val="52"/>
          <w:highlight w:val="yellow"/>
        </w:rPr>
      </w:pPr>
    </w:p>
    <w:p>
      <w:pPr>
        <w:jc w:val="both"/>
        <w:rPr>
          <w:rFonts w:ascii="黑体" w:eastAsia="黑体"/>
          <w:color w:val="auto"/>
          <w:sz w:val="52"/>
          <w:szCs w:val="52"/>
          <w:highlight w:val="yellow"/>
        </w:rPr>
      </w:pPr>
    </w:p>
    <w:p>
      <w:pPr>
        <w:jc w:val="both"/>
        <w:outlineLvl w:val="0"/>
        <w:rPr>
          <w:rFonts w:hint="eastAsia" w:ascii="黑体" w:eastAsia="黑体"/>
          <w:bCs/>
          <w:color w:val="auto"/>
          <w:sz w:val="44"/>
          <w:szCs w:val="44"/>
          <w:highlight w:val="yellow"/>
          <w:lang w:eastAsia="zh-CN"/>
        </w:rPr>
      </w:pPr>
      <w:bookmarkStart w:id="230" w:name="_Toc20155"/>
    </w:p>
    <w:p>
      <w:pPr>
        <w:jc w:val="both"/>
        <w:outlineLvl w:val="0"/>
        <w:rPr>
          <w:rFonts w:hint="eastAsia" w:ascii="黑体" w:eastAsia="黑体"/>
          <w:bCs/>
          <w:color w:val="auto"/>
          <w:sz w:val="44"/>
          <w:szCs w:val="44"/>
          <w:highlight w:val="yellow"/>
          <w:lang w:eastAsia="zh-CN"/>
        </w:rPr>
      </w:pPr>
    </w:p>
    <w:p>
      <w:pPr>
        <w:jc w:val="both"/>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第六章</w:t>
      </w:r>
      <w:r>
        <w:rPr>
          <w:rFonts w:ascii="黑体" w:eastAsia="黑体"/>
          <w:bCs/>
          <w:color w:val="auto"/>
          <w:sz w:val="44"/>
          <w:szCs w:val="44"/>
          <w:highlight w:val="none"/>
        </w:rPr>
        <w:tab/>
      </w:r>
      <w:r>
        <w:rPr>
          <w:rFonts w:ascii="黑体" w:eastAsia="黑体"/>
          <w:bCs/>
          <w:color w:val="auto"/>
          <w:sz w:val="44"/>
          <w:szCs w:val="44"/>
          <w:highlight w:val="none"/>
        </w:rPr>
        <w:t>图纸</w:t>
      </w:r>
      <w:r>
        <w:rPr>
          <w:rFonts w:hint="eastAsia" w:ascii="黑体" w:eastAsia="黑体"/>
          <w:bCs/>
          <w:color w:val="auto"/>
          <w:sz w:val="44"/>
          <w:szCs w:val="44"/>
          <w:highlight w:val="none"/>
        </w:rPr>
        <w:t>（另附）</w:t>
      </w:r>
      <w:bookmarkEnd w:id="230"/>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rPr>
          <w:rFonts w:ascii="宋体" w:hAnsi="宋体"/>
          <w:bCs/>
          <w:color w:val="auto"/>
          <w:sz w:val="44"/>
          <w:szCs w:val="44"/>
          <w:highlight w:val="none"/>
        </w:rPr>
      </w:pPr>
    </w:p>
    <w:p>
      <w:pPr>
        <w:jc w:val="center"/>
        <w:outlineLvl w:val="0"/>
        <w:rPr>
          <w:rFonts w:ascii="黑体" w:eastAsia="黑体"/>
          <w:bCs/>
          <w:color w:val="auto"/>
          <w:sz w:val="44"/>
          <w:szCs w:val="44"/>
          <w:highlight w:val="none"/>
        </w:rPr>
      </w:pPr>
      <w:bookmarkStart w:id="231" w:name="_Toc18036"/>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第七章</w:t>
      </w:r>
      <w:r>
        <w:rPr>
          <w:rFonts w:ascii="黑体" w:eastAsia="黑体"/>
          <w:bCs/>
          <w:color w:val="auto"/>
          <w:sz w:val="44"/>
          <w:szCs w:val="44"/>
          <w:highlight w:val="none"/>
        </w:rPr>
        <w:tab/>
      </w:r>
      <w:r>
        <w:rPr>
          <w:rFonts w:ascii="黑体" w:eastAsia="黑体"/>
          <w:bCs/>
          <w:color w:val="auto"/>
          <w:sz w:val="44"/>
          <w:szCs w:val="44"/>
          <w:highlight w:val="none"/>
        </w:rPr>
        <w:t>技术</w:t>
      </w:r>
      <w:r>
        <w:rPr>
          <w:rFonts w:hint="eastAsia" w:ascii="黑体" w:eastAsia="黑体"/>
          <w:bCs/>
          <w:color w:val="auto"/>
          <w:sz w:val="44"/>
          <w:szCs w:val="44"/>
          <w:highlight w:val="none"/>
        </w:rPr>
        <w:t>规范（另册出版）</w:t>
      </w:r>
      <w:bookmarkEnd w:id="231"/>
    </w:p>
    <w:p>
      <w:pPr>
        <w:rPr>
          <w:rFonts w:ascii="宋体" w:hAnsi="宋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rPr>
          <w:rFonts w:ascii="黑体" w:eastAsia="黑体"/>
          <w:color w:val="auto"/>
          <w:sz w:val="52"/>
          <w:szCs w:val="52"/>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p>
    <w:p>
      <w:pPr>
        <w:jc w:val="center"/>
        <w:outlineLvl w:val="0"/>
        <w:rPr>
          <w:rFonts w:ascii="黑体" w:eastAsia="黑体"/>
          <w:bCs/>
          <w:color w:val="auto"/>
          <w:sz w:val="44"/>
          <w:szCs w:val="44"/>
          <w:highlight w:val="none"/>
        </w:rPr>
      </w:pPr>
      <w:bookmarkStart w:id="232" w:name="_Toc27978"/>
    </w:p>
    <w:p>
      <w:pPr>
        <w:jc w:val="center"/>
        <w:outlineLvl w:val="0"/>
        <w:rPr>
          <w:rFonts w:ascii="黑体" w:eastAsia="黑体"/>
          <w:bCs/>
          <w:color w:val="auto"/>
          <w:sz w:val="44"/>
          <w:szCs w:val="44"/>
          <w:highlight w:val="none"/>
        </w:rPr>
      </w:pPr>
      <w:r>
        <w:rPr>
          <w:rFonts w:ascii="黑体" w:eastAsia="黑体"/>
          <w:bCs/>
          <w:color w:val="auto"/>
          <w:sz w:val="44"/>
          <w:szCs w:val="44"/>
          <w:highlight w:val="none"/>
        </w:rPr>
        <w:t>第八章</w:t>
      </w:r>
      <w:r>
        <w:rPr>
          <w:rFonts w:ascii="黑体" w:eastAsia="黑体"/>
          <w:bCs/>
          <w:color w:val="auto"/>
          <w:sz w:val="44"/>
          <w:szCs w:val="44"/>
          <w:highlight w:val="none"/>
        </w:rPr>
        <w:tab/>
      </w:r>
      <w:r>
        <w:rPr>
          <w:rFonts w:ascii="黑体" w:eastAsia="黑体"/>
          <w:bCs/>
          <w:color w:val="auto"/>
          <w:sz w:val="44"/>
          <w:szCs w:val="44"/>
          <w:highlight w:val="none"/>
        </w:rPr>
        <w:t>投标文件格式</w:t>
      </w:r>
      <w:bookmarkEnd w:id="232"/>
    </w:p>
    <w:p>
      <w:pPr>
        <w:jc w:val="center"/>
        <w:outlineLvl w:val="0"/>
        <w:rPr>
          <w:rFonts w:ascii="黑体" w:eastAsia="黑体"/>
          <w:bCs/>
          <w:color w:val="auto"/>
          <w:sz w:val="44"/>
          <w:szCs w:val="4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jc w:val="right"/>
        <w:rPr>
          <w:rFonts w:hint="eastAsia" w:ascii="宋体" w:hAnsi="宋体"/>
          <w:color w:val="auto"/>
          <w:sz w:val="24"/>
          <w:highlight w:val="none"/>
          <w:lang w:val="en-US" w:eastAsia="zh-CN"/>
        </w:rPr>
      </w:pPr>
      <w:r>
        <w:rPr>
          <w:rFonts w:ascii="宋体" w:hAnsi="宋体"/>
          <w:color w:val="auto"/>
          <w:sz w:val="24"/>
          <w:highlight w:val="none"/>
        </w:rPr>
        <w:br w:type="page"/>
      </w:r>
      <w:r>
        <w:rPr>
          <w:rFonts w:hint="eastAsia" w:ascii="黑体" w:hAnsi="宋体" w:eastAsia="黑体"/>
          <w:b w:val="0"/>
          <w:bCs/>
          <w:color w:val="auto"/>
          <w:sz w:val="36"/>
          <w:szCs w:val="36"/>
          <w:highlight w:val="none"/>
          <w:lang w:val="en-US" w:eastAsia="zh-CN"/>
        </w:rPr>
        <w:t>正（副）本</w:t>
      </w:r>
    </w:p>
    <w:p>
      <w:pPr>
        <w:jc w:val="center"/>
        <w:rPr>
          <w:rFonts w:ascii="黑体" w:hAnsi="华文中宋" w:eastAsia="黑体"/>
          <w:b w:val="0"/>
          <w:bCs/>
          <w:color w:val="auto"/>
          <w:sz w:val="36"/>
          <w:szCs w:val="36"/>
          <w:highlight w:val="none"/>
        </w:rPr>
      </w:pPr>
      <w:r>
        <w:rPr>
          <w:rFonts w:hint="eastAsia" w:ascii="黑体" w:hAnsi="黑体" w:eastAsia="黑体" w:cs="黑体"/>
          <w:sz w:val="52"/>
          <w:szCs w:val="52"/>
          <w:u w:val="none"/>
          <w:lang w:eastAsia="zh-CN"/>
        </w:rPr>
        <w:t>张潘镇陶庄村道路工程</w:t>
      </w:r>
      <w:r>
        <w:rPr>
          <w:rFonts w:hint="eastAsia" w:ascii="黑体" w:hAnsi="宋体" w:eastAsia="黑体"/>
          <w:bCs/>
          <w:color w:val="auto"/>
          <w:sz w:val="52"/>
          <w:szCs w:val="52"/>
          <w:highlight w:val="none"/>
          <w:lang w:val="en-US" w:eastAsia="zh-CN"/>
        </w:rPr>
        <w:t xml:space="preserve">  </w:t>
      </w:r>
    </w:p>
    <w:p>
      <w:pPr>
        <w:spacing w:line="360" w:lineRule="auto"/>
        <w:rPr>
          <w:rFonts w:ascii="黑体" w:hAnsi="华文中宋" w:eastAsia="黑体"/>
          <w:color w:val="auto"/>
          <w:sz w:val="36"/>
          <w:szCs w:val="36"/>
          <w:highlight w:val="none"/>
        </w:rPr>
      </w:pP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建安建工公字〔2017〕</w:t>
      </w:r>
      <w:r>
        <w:rPr>
          <w:rFonts w:hint="eastAsia" w:ascii="黑体" w:hAnsi="华文中宋" w:eastAsia="黑体"/>
          <w:color w:val="auto"/>
          <w:sz w:val="36"/>
          <w:szCs w:val="36"/>
          <w:highlight w:val="none"/>
          <w:lang w:val="en-US" w:eastAsia="zh-CN"/>
        </w:rPr>
        <w:t>198</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（商务及技术文件）</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jc w:val="center"/>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jc w:val="center"/>
        <w:rPr>
          <w:rFonts w:ascii="黑体" w:hAnsi="宋体" w:eastAsia="黑体"/>
          <w:b/>
          <w:color w:val="auto"/>
          <w:sz w:val="36"/>
          <w:szCs w:val="36"/>
          <w:highlight w:val="none"/>
        </w:rPr>
      </w:pPr>
    </w:p>
    <w:p>
      <w:pPr>
        <w:rPr>
          <w:rFonts w:ascii="黑体" w:hAnsi="宋体" w:eastAsia="黑体"/>
          <w:b/>
          <w:color w:val="auto"/>
          <w:sz w:val="36"/>
          <w:szCs w:val="36"/>
          <w:highlight w:val="none"/>
        </w:rPr>
      </w:pPr>
    </w:p>
    <w:p>
      <w:pPr>
        <w:pageBreakBefore/>
        <w:jc w:val="center"/>
        <w:rPr>
          <w:rFonts w:ascii="黑体" w:hAnsi="宋体" w:eastAsia="黑体"/>
          <w:b/>
          <w:color w:val="auto"/>
          <w:sz w:val="36"/>
          <w:szCs w:val="36"/>
          <w:highlight w:val="none"/>
        </w:rPr>
      </w:pPr>
      <w:r>
        <w:rPr>
          <w:rFonts w:hint="eastAsia" w:ascii="黑体" w:hAnsi="宋体" w:eastAsia="黑体"/>
          <w:b/>
          <w:color w:val="auto"/>
          <w:sz w:val="36"/>
          <w:szCs w:val="36"/>
          <w:highlight w:val="none"/>
        </w:rPr>
        <w:t>目</w:t>
      </w:r>
      <w:r>
        <w:rPr>
          <w:rFonts w:hint="eastAsia" w:ascii="黑体" w:hAnsi="宋体" w:eastAsia="黑体"/>
          <w:b/>
          <w:color w:val="auto"/>
          <w:sz w:val="36"/>
          <w:szCs w:val="36"/>
          <w:highlight w:val="none"/>
        </w:rPr>
        <w:tab/>
      </w:r>
      <w:r>
        <w:rPr>
          <w:rFonts w:hint="eastAsia" w:ascii="黑体" w:hAnsi="宋体" w:eastAsia="黑体"/>
          <w:b/>
          <w:color w:val="auto"/>
          <w:sz w:val="36"/>
          <w:szCs w:val="36"/>
          <w:highlight w:val="none"/>
        </w:rPr>
        <w:t>录</w:t>
      </w:r>
    </w:p>
    <w:p>
      <w:pPr>
        <w:rPr>
          <w:rFonts w:ascii="宋体" w:hAnsi="宋体"/>
          <w:color w:val="auto"/>
          <w:sz w:val="24"/>
          <w:highlight w:val="none"/>
        </w:rPr>
      </w:pPr>
    </w:p>
    <w:p>
      <w:pPr>
        <w:spacing w:line="440" w:lineRule="exact"/>
        <w:rPr>
          <w:rFonts w:ascii="宋体" w:hAnsi="宋体"/>
          <w:color w:val="auto"/>
          <w:sz w:val="24"/>
          <w:highlight w:val="none"/>
        </w:rPr>
      </w:pPr>
      <w:r>
        <w:rPr>
          <w:rFonts w:hint="eastAsia" w:ascii="宋体" w:hAnsi="宋体"/>
          <w:color w:val="auto"/>
          <w:sz w:val="24"/>
          <w:highlight w:val="none"/>
        </w:rPr>
        <w:t>一、</w:t>
      </w:r>
      <w:r>
        <w:rPr>
          <w:rFonts w:ascii="宋体" w:hAnsi="宋体"/>
          <w:color w:val="auto"/>
          <w:sz w:val="24"/>
          <w:highlight w:val="none"/>
        </w:rPr>
        <w:t>投标函及投标函附录；</w:t>
      </w:r>
    </w:p>
    <w:p>
      <w:pPr>
        <w:spacing w:line="440" w:lineRule="exact"/>
        <w:rPr>
          <w:rFonts w:ascii="宋体" w:hAnsi="宋体"/>
          <w:color w:val="auto"/>
          <w:sz w:val="24"/>
          <w:highlight w:val="none"/>
        </w:rPr>
      </w:pPr>
      <w:r>
        <w:rPr>
          <w:rFonts w:hint="eastAsia" w:ascii="宋体" w:hAnsi="宋体"/>
          <w:color w:val="auto"/>
          <w:sz w:val="24"/>
          <w:highlight w:val="none"/>
        </w:rPr>
        <w:t>二、</w:t>
      </w:r>
      <w:r>
        <w:rPr>
          <w:rFonts w:ascii="宋体" w:hAnsi="宋体"/>
          <w:color w:val="auto"/>
          <w:sz w:val="24"/>
          <w:highlight w:val="none"/>
        </w:rPr>
        <w:t>法定代表人身份证明</w:t>
      </w:r>
      <w:r>
        <w:rPr>
          <w:rFonts w:hint="eastAsia" w:ascii="宋体" w:hAnsi="宋体"/>
          <w:color w:val="auto"/>
          <w:sz w:val="24"/>
          <w:highlight w:val="none"/>
        </w:rPr>
        <w:t>及</w:t>
      </w:r>
      <w:r>
        <w:rPr>
          <w:rFonts w:ascii="宋体" w:hAnsi="宋体"/>
          <w:color w:val="auto"/>
          <w:sz w:val="24"/>
          <w:highlight w:val="none"/>
        </w:rPr>
        <w:t>授权委托书</w:t>
      </w:r>
      <w:r>
        <w:rPr>
          <w:rFonts w:hint="eastAsia" w:ascii="宋体" w:hAnsi="宋体"/>
          <w:color w:val="auto"/>
          <w:sz w:val="24"/>
          <w:highlight w:val="none"/>
        </w:rPr>
        <w:t>；</w:t>
      </w:r>
    </w:p>
    <w:p>
      <w:pPr>
        <w:spacing w:line="440" w:lineRule="exact"/>
        <w:rPr>
          <w:rFonts w:ascii="宋体" w:hAnsi="宋体"/>
          <w:color w:val="auto"/>
          <w:sz w:val="24"/>
          <w:highlight w:val="none"/>
        </w:rPr>
      </w:pPr>
      <w:r>
        <w:rPr>
          <w:rFonts w:hint="eastAsia" w:ascii="宋体" w:hAnsi="宋体"/>
          <w:color w:val="auto"/>
          <w:sz w:val="24"/>
          <w:highlight w:val="none"/>
        </w:rPr>
        <w:t>三、</w:t>
      </w:r>
      <w:r>
        <w:rPr>
          <w:rFonts w:ascii="宋体" w:hAnsi="宋体"/>
          <w:color w:val="auto"/>
          <w:sz w:val="24"/>
          <w:highlight w:val="none"/>
        </w:rPr>
        <w:t>投标保证金；</w:t>
      </w:r>
    </w:p>
    <w:p>
      <w:pPr>
        <w:spacing w:line="440" w:lineRule="exact"/>
        <w:rPr>
          <w:rFonts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施工组织设计；</w:t>
      </w:r>
    </w:p>
    <w:p>
      <w:pPr>
        <w:spacing w:line="440" w:lineRule="exact"/>
        <w:rPr>
          <w:rFonts w:ascii="宋体" w:hAnsi="宋体"/>
          <w:color w:val="auto"/>
          <w:sz w:val="24"/>
          <w:highlight w:val="none"/>
        </w:rPr>
      </w:pPr>
      <w:r>
        <w:rPr>
          <w:rFonts w:hint="eastAsia" w:ascii="宋体" w:hAnsi="宋体"/>
          <w:color w:val="auto"/>
          <w:sz w:val="24"/>
          <w:highlight w:val="none"/>
        </w:rPr>
        <w:t>五、</w:t>
      </w:r>
      <w:r>
        <w:rPr>
          <w:rFonts w:ascii="宋体" w:hAnsi="宋体"/>
          <w:color w:val="auto"/>
          <w:sz w:val="24"/>
          <w:highlight w:val="none"/>
        </w:rPr>
        <w:t>项目管理机构；</w:t>
      </w:r>
    </w:p>
    <w:p>
      <w:pPr>
        <w:spacing w:line="440" w:lineRule="exact"/>
        <w:rPr>
          <w:rFonts w:ascii="宋体" w:hAnsi="宋体"/>
          <w:color w:val="auto"/>
          <w:sz w:val="24"/>
          <w:highlight w:val="none"/>
        </w:rPr>
      </w:pPr>
      <w:r>
        <w:rPr>
          <w:rFonts w:hint="eastAsia" w:ascii="宋体" w:hAnsi="宋体"/>
          <w:color w:val="auto"/>
          <w:sz w:val="24"/>
          <w:highlight w:val="none"/>
        </w:rPr>
        <w:t>六、</w:t>
      </w:r>
      <w:r>
        <w:rPr>
          <w:rFonts w:ascii="宋体" w:hAnsi="宋体"/>
          <w:color w:val="auto"/>
          <w:sz w:val="24"/>
          <w:highlight w:val="none"/>
        </w:rPr>
        <w:t>资格审查资料；</w:t>
      </w:r>
    </w:p>
    <w:p>
      <w:pPr>
        <w:spacing w:line="440" w:lineRule="exact"/>
        <w:rPr>
          <w:rFonts w:ascii="宋体" w:hAnsi="宋体"/>
          <w:color w:val="auto"/>
          <w:sz w:val="24"/>
          <w:highlight w:val="none"/>
        </w:rPr>
      </w:pPr>
      <w:r>
        <w:rPr>
          <w:rFonts w:hint="eastAsia" w:ascii="宋体" w:hAnsi="宋体"/>
          <w:color w:val="auto"/>
          <w:sz w:val="24"/>
          <w:highlight w:val="none"/>
        </w:rPr>
        <w:t>七、主要进场管理人员和技术人员最低要求；</w:t>
      </w:r>
    </w:p>
    <w:p>
      <w:pPr>
        <w:spacing w:line="440" w:lineRule="exact"/>
        <w:rPr>
          <w:rFonts w:ascii="宋体" w:hAnsi="宋体"/>
          <w:color w:val="auto"/>
          <w:sz w:val="24"/>
          <w:highlight w:val="none"/>
        </w:rPr>
      </w:pPr>
      <w:r>
        <w:rPr>
          <w:rFonts w:hint="eastAsia" w:ascii="宋体" w:hAnsi="宋体"/>
          <w:color w:val="auto"/>
          <w:sz w:val="24"/>
          <w:highlight w:val="none"/>
        </w:rPr>
        <w:t>八、关键设备最低条件；</w:t>
      </w:r>
    </w:p>
    <w:p>
      <w:pPr>
        <w:spacing w:line="440" w:lineRule="exact"/>
        <w:rPr>
          <w:rFonts w:ascii="宋体" w:hAnsi="宋体"/>
          <w:color w:val="auto"/>
          <w:sz w:val="24"/>
          <w:highlight w:val="none"/>
        </w:rPr>
      </w:pPr>
      <w:r>
        <w:rPr>
          <w:rFonts w:hint="eastAsia" w:ascii="宋体" w:hAnsi="宋体"/>
          <w:color w:val="auto"/>
          <w:sz w:val="24"/>
          <w:highlight w:val="none"/>
        </w:rPr>
        <w:t>九、农民工工资支付承诺书；</w:t>
      </w:r>
    </w:p>
    <w:p>
      <w:pPr>
        <w:spacing w:line="440" w:lineRule="exact"/>
        <w:rPr>
          <w:rFonts w:ascii="宋体" w:hAnsi="宋体"/>
          <w:color w:val="auto"/>
          <w:sz w:val="24"/>
          <w:highlight w:val="none"/>
        </w:rPr>
      </w:pPr>
      <w:r>
        <w:rPr>
          <w:rFonts w:hint="eastAsia" w:ascii="宋体" w:hAnsi="宋体"/>
          <w:color w:val="auto"/>
          <w:sz w:val="24"/>
          <w:highlight w:val="none"/>
        </w:rPr>
        <w:t>十、扬尘治理专项承诺书；</w:t>
      </w:r>
    </w:p>
    <w:p>
      <w:pPr>
        <w:spacing w:line="440" w:lineRule="exact"/>
        <w:rPr>
          <w:rFonts w:ascii="宋体" w:hAnsi="宋体"/>
          <w:color w:val="auto"/>
          <w:sz w:val="24"/>
          <w:highlight w:val="none"/>
        </w:rPr>
      </w:pPr>
      <w:r>
        <w:rPr>
          <w:rFonts w:hint="eastAsia" w:ascii="宋体" w:hAnsi="宋体"/>
          <w:color w:val="auto"/>
          <w:sz w:val="24"/>
          <w:highlight w:val="none"/>
        </w:rPr>
        <w:t>十一、其他材料。</w:t>
      </w:r>
    </w:p>
    <w:p>
      <w:pPr>
        <w:spacing w:line="440" w:lineRule="exact"/>
        <w:rPr>
          <w:rFonts w:ascii="宋体" w:hAnsi="宋体"/>
          <w:color w:val="auto"/>
          <w:sz w:val="24"/>
          <w:highlight w:val="none"/>
        </w:rPr>
      </w:pPr>
    </w:p>
    <w:p>
      <w:pPr>
        <w:spacing w:line="44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sectPr>
          <w:headerReference r:id="rId6" w:type="default"/>
          <w:footerReference r:id="rId7" w:type="default"/>
          <w:footnotePr>
            <w:numFmt w:val="decimalEnclosedCircleChinese"/>
            <w:numRestart w:val="eachPage"/>
          </w:footnotePr>
          <w:pgSz w:w="11907" w:h="16840"/>
          <w:pgMar w:top="1440" w:right="1304" w:bottom="1440" w:left="1304" w:header="720" w:footer="907" w:gutter="0"/>
          <w:pgNumType w:start="1"/>
          <w:cols w:space="720" w:num="1"/>
        </w:sectPr>
      </w:pPr>
    </w:p>
    <w:p>
      <w:pPr>
        <w:pStyle w:val="4"/>
        <w:spacing w:beforeLines="50" w:after="0" w:line="360" w:lineRule="exact"/>
        <w:jc w:val="center"/>
        <w:rPr>
          <w:rFonts w:ascii="黑体" w:hAnsi="宋体" w:eastAsia="黑体"/>
          <w:color w:val="auto"/>
          <w:sz w:val="28"/>
          <w:szCs w:val="28"/>
          <w:highlight w:val="none"/>
        </w:rPr>
      </w:pPr>
      <w:bookmarkStart w:id="233" w:name="_Toc485889055"/>
      <w:bookmarkStart w:id="234" w:name="_Toc486277922"/>
      <w:bookmarkStart w:id="235" w:name="_Toc234382957"/>
      <w:bookmarkStart w:id="236" w:name="_Toc4791"/>
      <w:r>
        <w:rPr>
          <w:rFonts w:hint="eastAsia" w:ascii="黑体" w:hAnsi="宋体" w:eastAsia="黑体"/>
          <w:color w:val="auto"/>
          <w:sz w:val="28"/>
          <w:szCs w:val="28"/>
          <w:highlight w:val="none"/>
        </w:rPr>
        <w:t>一、投标函及投标函附录</w:t>
      </w:r>
      <w:bookmarkEnd w:id="233"/>
      <w:bookmarkEnd w:id="234"/>
      <w:bookmarkEnd w:id="235"/>
      <w:bookmarkEnd w:id="236"/>
    </w:p>
    <w:p>
      <w:pPr>
        <w:pStyle w:val="4"/>
        <w:spacing w:beforeLines="50" w:after="0" w:line="360" w:lineRule="exact"/>
        <w:jc w:val="center"/>
        <w:rPr>
          <w:rFonts w:ascii="黑体" w:hAnsi="宋体" w:eastAsia="黑体"/>
          <w:color w:val="auto"/>
          <w:sz w:val="28"/>
          <w:szCs w:val="28"/>
          <w:highlight w:val="none"/>
        </w:rPr>
      </w:pPr>
      <w:bookmarkStart w:id="237" w:name="_Toc486277923"/>
      <w:bookmarkStart w:id="238" w:name="_Toc234382958"/>
      <w:bookmarkStart w:id="239" w:name="_Toc18643"/>
      <w:bookmarkStart w:id="240" w:name="_Toc485889056"/>
      <w:r>
        <w:rPr>
          <w:rFonts w:hint="eastAsia" w:ascii="黑体" w:hAnsi="宋体" w:eastAsia="黑体"/>
          <w:color w:val="auto"/>
          <w:sz w:val="28"/>
          <w:szCs w:val="28"/>
          <w:highlight w:val="none"/>
        </w:rPr>
        <w:t>（一）投标函</w:t>
      </w:r>
      <w:bookmarkEnd w:id="237"/>
      <w:bookmarkEnd w:id="238"/>
      <w:bookmarkEnd w:id="239"/>
      <w:bookmarkEnd w:id="240"/>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u w:val="single"/>
        </w:rPr>
        <w:t xml:space="preserve">            </w:t>
      </w:r>
      <w:r>
        <w:rPr>
          <w:rFonts w:ascii="宋体" w:hAnsi="宋体"/>
          <w:color w:val="auto"/>
          <w:sz w:val="24"/>
          <w:highlight w:val="none"/>
        </w:rPr>
        <w:t>（招标人名称）：</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1．我方已仔细研究___________________________________(项目名称) 标段施工招标文件的全部内容(含补遗书第___号至第___号)，在考察工程现场后，愿意以第二个信封（报价文件）中的投标总报价(或根据招标文件规定修正核实后确定的另一金额)，工期______日历天，按合同约定实施和完成承包工程，修补工程中的任何缺陷，工程质量达到_________，安全目标达到_________。</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我方承诺在投标有效期内不修改、撤销投标文件。</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w:t>
      </w:r>
      <w:r>
        <w:rPr>
          <w:rFonts w:ascii="宋体" w:hAnsi="宋体"/>
          <w:color w:val="auto"/>
          <w:sz w:val="24"/>
          <w:highlight w:val="none"/>
        </w:rPr>
        <w:t>随同本投标函提交投标保证金一份，金额为人民币（大写）</w:t>
      </w:r>
      <w:r>
        <w:rPr>
          <w:rFonts w:hint="eastAsia"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u w:val="single"/>
        </w:rPr>
        <w:t xml:space="preserve">        </w:t>
      </w:r>
      <w:r>
        <w:rPr>
          <w:rFonts w:ascii="宋体" w:hAnsi="宋体"/>
          <w:color w:val="auto"/>
          <w:sz w:val="24"/>
          <w:highlight w:val="none"/>
        </w:rPr>
        <w:t>）。</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ascii="宋体" w:hAnsi="宋体"/>
          <w:color w:val="auto"/>
          <w:sz w:val="24"/>
          <w:highlight w:val="none"/>
        </w:rPr>
        <w:t>如我方中标：</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（1）我方承诺在收到中标通知书后，在中标通知书规定的期限内与你方签订合同。</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（2）随同本投标函递交的投标函附录属于合同文件的组成部分。</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（3）我方承诺按照招标文件规定向你方递交履约担保。</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（4）我方承诺在合同约定的期限内完成并移交全部合同工程。</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w:t>
      </w:r>
      <w:r>
        <w:rPr>
          <w:rFonts w:ascii="宋体" w:hAnsi="宋体"/>
          <w:color w:val="auto"/>
          <w:sz w:val="24"/>
          <w:highlight w:val="none"/>
        </w:rPr>
        <w:t>我方在此声明，所递交的投标文件及有关资料内容完整、真实和准确，且不存在第二章“投标人须知”第1.4.3项规定的任何一种情形。</w:t>
      </w:r>
    </w:p>
    <w:p>
      <w:pPr>
        <w:spacing w:line="36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.在合同协议书正式签署生效之前，本投标函连同你方的中标通知书将构成我们双方之间共同遵守的文件，对双方具有约束力。</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u w:val="single"/>
        </w:rPr>
        <w:t xml:space="preserve">                              </w:t>
      </w:r>
      <w:r>
        <w:rPr>
          <w:rFonts w:ascii="宋体" w:hAnsi="宋体"/>
          <w:color w:val="auto"/>
          <w:sz w:val="24"/>
          <w:highlight w:val="none"/>
        </w:rPr>
        <w:t>（其他补充说明）。</w:t>
      </w:r>
    </w:p>
    <w:p>
      <w:pPr>
        <w:spacing w:line="360" w:lineRule="exact"/>
        <w:rPr>
          <w:rFonts w:ascii="宋体" w:hAnsi="宋体"/>
          <w:color w:val="auto"/>
          <w:sz w:val="18"/>
          <w:szCs w:val="18"/>
          <w:highlight w:val="none"/>
        </w:rPr>
      </w:pPr>
    </w:p>
    <w:p>
      <w:pPr>
        <w:spacing w:line="360" w:lineRule="exact"/>
        <w:rPr>
          <w:rFonts w:ascii="宋体" w:hAnsi="宋体"/>
          <w:color w:val="auto"/>
          <w:sz w:val="18"/>
          <w:szCs w:val="18"/>
          <w:highlight w:val="none"/>
        </w:rPr>
      </w:pPr>
    </w:p>
    <w:p>
      <w:pPr>
        <w:tabs>
          <w:tab w:val="left" w:pos="2977"/>
          <w:tab w:val="left" w:pos="3261"/>
        </w:tabs>
        <w:spacing w:line="360" w:lineRule="exact"/>
        <w:rPr>
          <w:rFonts w:ascii="宋体" w:hAnsi="宋体"/>
          <w:color w:val="auto"/>
          <w:sz w:val="24"/>
          <w:highlight w:val="none"/>
        </w:rPr>
      </w:pPr>
      <w:r>
        <w:rPr>
          <w:rFonts w:hint="eastAsia" w:ascii="宋体" w:hAnsi="宋体"/>
          <w:color w:val="auto"/>
          <w:sz w:val="18"/>
          <w:szCs w:val="18"/>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投</w:t>
      </w:r>
      <w:r>
        <w:rPr>
          <w:rFonts w:hint="eastAsia" w:ascii="宋体" w:hAnsi="宋体"/>
          <w:color w:val="auto"/>
          <w:sz w:val="24"/>
          <w:highlight w:val="none"/>
        </w:rPr>
        <w:t xml:space="preserve"> </w:t>
      </w:r>
      <w:r>
        <w:rPr>
          <w:rFonts w:ascii="宋体" w:hAnsi="宋体"/>
          <w:color w:val="auto"/>
          <w:sz w:val="24"/>
          <w:highlight w:val="none"/>
        </w:rPr>
        <w:t>标</w:t>
      </w:r>
      <w:r>
        <w:rPr>
          <w:rFonts w:hint="eastAsia" w:ascii="宋体" w:hAnsi="宋体"/>
          <w:color w:val="auto"/>
          <w:sz w:val="24"/>
          <w:highlight w:val="none"/>
        </w:rPr>
        <w:t xml:space="preserve"> </w:t>
      </w:r>
      <w:r>
        <w:rPr>
          <w:rFonts w:ascii="宋体" w:hAnsi="宋体"/>
          <w:color w:val="auto"/>
          <w:sz w:val="24"/>
          <w:highlight w:val="none"/>
        </w:rPr>
        <w:t>人：</w:t>
      </w:r>
      <w:r>
        <w:rPr>
          <w:rFonts w:hint="eastAsia" w:ascii="宋体" w:hAnsi="宋体"/>
          <w:color w:val="auto"/>
          <w:sz w:val="24"/>
          <w:highlight w:val="none"/>
          <w:u w:val="single"/>
        </w:rPr>
        <w:t xml:space="preserve">                       </w:t>
      </w:r>
      <w:r>
        <w:rPr>
          <w:rFonts w:ascii="宋体" w:hAnsi="宋体"/>
          <w:color w:val="auto"/>
          <w:sz w:val="24"/>
          <w:highlight w:val="none"/>
        </w:rPr>
        <w:t>（盖单位章）</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ascii="宋体" w:hAnsi="宋体"/>
          <w:color w:val="auto"/>
          <w:sz w:val="24"/>
          <w:highlight w:val="none"/>
        </w:rPr>
        <w:t>（签字）</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地址：</w:t>
      </w:r>
      <w:r>
        <w:rPr>
          <w:rFonts w:hint="eastAsia" w:ascii="宋体" w:hAnsi="宋体"/>
          <w:color w:val="auto"/>
          <w:sz w:val="24"/>
          <w:highlight w:val="none"/>
        </w:rPr>
        <w:t>____________________________</w:t>
      </w:r>
    </w:p>
    <w:p>
      <w:pPr>
        <w:spacing w:line="360" w:lineRule="exact"/>
        <w:ind w:firstLine="3120" w:firstLineChars="1300"/>
        <w:rPr>
          <w:rFonts w:ascii="宋体" w:hAnsi="宋体"/>
          <w:color w:val="auto"/>
          <w:sz w:val="24"/>
          <w:highlight w:val="none"/>
        </w:rPr>
      </w:pPr>
      <w:r>
        <w:rPr>
          <w:rFonts w:ascii="宋体" w:hAnsi="宋体"/>
          <w:color w:val="auto"/>
          <w:sz w:val="24"/>
          <w:highlight w:val="none"/>
        </w:rPr>
        <w:t>网址：</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电话：</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传真：</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ascii="宋体" w:hAnsi="宋体"/>
          <w:color w:val="auto"/>
          <w:sz w:val="24"/>
          <w:highlight w:val="none"/>
        </w:rPr>
        <w:t>邮政编码：</w:t>
      </w:r>
      <w:r>
        <w:rPr>
          <w:rFonts w:hint="eastAsia" w:ascii="宋体" w:hAnsi="宋体"/>
          <w:color w:val="auto"/>
          <w:sz w:val="24"/>
          <w:highlight w:val="none"/>
        </w:rPr>
        <w:t>____________________________</w:t>
      </w: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rPr>
        <w:t>日</w:t>
      </w:r>
    </w:p>
    <w:p>
      <w:pPr>
        <w:pStyle w:val="4"/>
        <w:spacing w:beforeLines="50" w:afterLines="100" w:line="360" w:lineRule="exact"/>
        <w:jc w:val="center"/>
        <w:rPr>
          <w:color w:val="auto"/>
          <w:sz w:val="24"/>
          <w:highlight w:val="none"/>
        </w:rPr>
      </w:pPr>
      <w:r>
        <w:rPr>
          <w:rFonts w:ascii="宋体" w:hAnsi="宋体"/>
          <w:color w:val="auto"/>
          <w:sz w:val="24"/>
          <w:highlight w:val="none"/>
        </w:rPr>
        <w:br w:type="page"/>
      </w:r>
      <w:bookmarkStart w:id="241" w:name="_Toc234382959"/>
      <w:bookmarkStart w:id="242" w:name="_Toc485889057"/>
      <w:bookmarkStart w:id="243" w:name="_Toc486277924"/>
      <w:bookmarkStart w:id="244" w:name="_Toc5832"/>
      <w:r>
        <w:rPr>
          <w:rFonts w:hint="eastAsia" w:ascii="黑体" w:hAnsi="宋体" w:eastAsia="黑体"/>
          <w:color w:val="auto"/>
          <w:sz w:val="28"/>
          <w:szCs w:val="28"/>
          <w:highlight w:val="none"/>
        </w:rPr>
        <w:t>（二）投标函附录</w:t>
      </w:r>
      <w:bookmarkEnd w:id="241"/>
      <w:bookmarkEnd w:id="242"/>
      <w:bookmarkEnd w:id="243"/>
      <w:bookmarkEnd w:id="244"/>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条款名称</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合同条目号</w:t>
            </w:r>
          </w:p>
        </w:tc>
        <w:tc>
          <w:tcPr>
            <w:tcW w:w="3686" w:type="dxa"/>
            <w:vAlign w:val="center"/>
          </w:tcPr>
          <w:p>
            <w:pPr>
              <w:jc w:val="center"/>
              <w:rPr>
                <w:rFonts w:ascii="宋体" w:hAnsi="宋体"/>
                <w:color w:val="auto"/>
                <w:szCs w:val="21"/>
                <w:highlight w:val="none"/>
              </w:rPr>
            </w:pPr>
            <w:r>
              <w:rPr>
                <w:rFonts w:hint="eastAsia" w:ascii="宋体" w:hAnsi="宋体"/>
                <w:color w:val="auto"/>
                <w:szCs w:val="21"/>
                <w:highlight w:val="none"/>
              </w:rPr>
              <w:t>约定内容</w:t>
            </w:r>
          </w:p>
        </w:tc>
        <w:tc>
          <w:tcPr>
            <w:tcW w:w="119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2"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1417" w:type="dxa"/>
            <w:vAlign w:val="center"/>
          </w:tcPr>
          <w:p>
            <w:pPr>
              <w:jc w:val="center"/>
              <w:rPr>
                <w:rFonts w:ascii="宋体" w:hAnsi="宋体"/>
                <w:color w:val="auto"/>
                <w:szCs w:val="21"/>
                <w:highlight w:val="none"/>
              </w:rPr>
            </w:pP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姓名：</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5"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1.1.4.3</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天数：</w:t>
            </w:r>
            <w:r>
              <w:rPr>
                <w:rFonts w:hint="eastAsia" w:ascii="宋体" w:hAnsi="宋体"/>
                <w:color w:val="auto"/>
                <w:szCs w:val="21"/>
                <w:highlight w:val="none"/>
                <w:u w:val="single"/>
              </w:rPr>
              <w:t xml:space="preserve">       日历天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269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4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1.1.4.5</w:t>
            </w:r>
          </w:p>
        </w:tc>
        <w:tc>
          <w:tcPr>
            <w:tcW w:w="3686"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2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83"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逾期交工违约金限额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11.5</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2" w:hRule="exact"/>
          <w:jc w:val="center"/>
        </w:trPr>
        <w:tc>
          <w:tcPr>
            <w:tcW w:w="653" w:type="dxa"/>
            <w:vAlign w:val="center"/>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元/天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提前交工的奖金限额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11.6</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8</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价格调整的差额计算</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16.1.1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见价格指数和权重表</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9</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开工预付款金额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7"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10</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材料、设备预付款</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17.2.1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等主要材料、设备单据所列费用的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11</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进度付款证书最低限额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%签约合同价或</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12</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逾期付款违约金的利率</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17.3.3(2)</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‰/天</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3</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质量保证金百分比</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月支付额的</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27"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质量保证金限额</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17.4.1</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%合同价格，若交工验收时承包人具备被招标项目所在地省级交通主管部门评定的最高信用等级，发包人给予 </w:t>
            </w:r>
            <w:r>
              <w:rPr>
                <w:rFonts w:hint="eastAsia" w:ascii="宋体" w:hAnsi="宋体"/>
                <w:color w:val="auto"/>
                <w:szCs w:val="21"/>
                <w:highlight w:val="none"/>
                <w:u w:val="single"/>
              </w:rPr>
              <w:t xml:space="preserve">  </w:t>
            </w:r>
            <w:r>
              <w:rPr>
                <w:rFonts w:hint="eastAsia" w:ascii="宋体" w:hAnsi="宋体"/>
                <w:color w:val="auto"/>
                <w:szCs w:val="21"/>
                <w:highlight w:val="none"/>
              </w:rPr>
              <w:t>%合同价格质量保证金的优惠，并在交工验收时向承包人返还质量保证金优惠的金额</w:t>
            </w:r>
          </w:p>
        </w:tc>
        <w:tc>
          <w:tcPr>
            <w:tcW w:w="1190"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653" w:type="dxa"/>
            <w:vAlign w:val="center"/>
          </w:tcPr>
          <w:p>
            <w:pPr>
              <w:jc w:val="center"/>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p>
        </w:tc>
        <w:tc>
          <w:tcPr>
            <w:tcW w:w="2693" w:type="dxa"/>
            <w:vAlign w:val="center"/>
          </w:tcPr>
          <w:p>
            <w:pPr>
              <w:jc w:val="center"/>
              <w:rPr>
                <w:rFonts w:ascii="宋体" w:hAnsi="宋体"/>
                <w:color w:val="auto"/>
                <w:szCs w:val="21"/>
                <w:highlight w:val="none"/>
              </w:rPr>
            </w:pPr>
            <w:r>
              <w:rPr>
                <w:rFonts w:hint="eastAsia" w:ascii="宋体" w:hAnsi="宋体"/>
                <w:color w:val="auto"/>
                <w:szCs w:val="21"/>
                <w:highlight w:val="none"/>
              </w:rPr>
              <w:t>保修期</w:t>
            </w:r>
          </w:p>
        </w:tc>
        <w:tc>
          <w:tcPr>
            <w:tcW w:w="1417" w:type="dxa"/>
            <w:vAlign w:val="center"/>
          </w:tcPr>
          <w:p>
            <w:pPr>
              <w:jc w:val="center"/>
              <w:rPr>
                <w:rFonts w:ascii="宋体" w:hAnsi="宋体"/>
                <w:color w:val="auto"/>
                <w:szCs w:val="21"/>
                <w:highlight w:val="none"/>
              </w:rPr>
            </w:pPr>
            <w:r>
              <w:rPr>
                <w:rFonts w:hint="eastAsia" w:ascii="宋体" w:hAnsi="宋体"/>
                <w:color w:val="auto"/>
                <w:szCs w:val="21"/>
                <w:highlight w:val="none"/>
              </w:rPr>
              <w:t>19.7</w:t>
            </w:r>
          </w:p>
        </w:tc>
        <w:tc>
          <w:tcPr>
            <w:tcW w:w="3686"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自实际交工日期起计算</w:t>
            </w:r>
            <w:r>
              <w:rPr>
                <w:rFonts w:hint="eastAsia" w:ascii="宋体" w:hAnsi="宋体"/>
                <w:color w:val="auto"/>
                <w:szCs w:val="21"/>
                <w:highlight w:val="none"/>
                <w:u w:val="single"/>
              </w:rPr>
              <w:t xml:space="preserve"> 5 </w:t>
            </w:r>
            <w:r>
              <w:rPr>
                <w:rFonts w:hint="eastAsia" w:ascii="宋体" w:hAnsi="宋体"/>
                <w:color w:val="auto"/>
                <w:szCs w:val="21"/>
                <w:highlight w:val="none"/>
              </w:rPr>
              <w:t>年</w:t>
            </w:r>
          </w:p>
        </w:tc>
        <w:tc>
          <w:tcPr>
            <w:tcW w:w="1190" w:type="dxa"/>
            <w:vAlign w:val="center"/>
          </w:tcPr>
          <w:p>
            <w:pPr>
              <w:jc w:val="center"/>
              <w:rPr>
                <w:rFonts w:ascii="宋体" w:hAnsi="宋体"/>
                <w:color w:val="auto"/>
                <w:szCs w:val="21"/>
                <w:highlight w:val="none"/>
              </w:rPr>
            </w:pPr>
          </w:p>
        </w:tc>
      </w:tr>
    </w:tbl>
    <w:p>
      <w:pPr>
        <w:spacing w:beforeLines="100" w:line="500" w:lineRule="exact"/>
        <w:rPr>
          <w:rFonts w:ascii="宋体" w:hAnsi="宋体"/>
          <w:color w:val="auto"/>
          <w:sz w:val="24"/>
          <w:highlight w:val="none"/>
        </w:rPr>
      </w:pPr>
      <w:r>
        <w:rPr>
          <w:rFonts w:hint="eastAsia" w:ascii="宋体" w:hAnsi="宋体"/>
          <w:color w:val="auto"/>
          <w:sz w:val="24"/>
          <w:highlight w:val="none"/>
        </w:rPr>
        <w:t xml:space="preserve">                             投 标 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ind w:right="480" w:firstLine="3480" w:firstLineChars="1450"/>
        <w:rPr>
          <w:rFonts w:ascii="宋体" w:hAnsi="宋体"/>
          <w:color w:val="auto"/>
          <w:sz w:val="24"/>
          <w:highlight w:val="none"/>
        </w:rPr>
      </w:pPr>
      <w:r>
        <w:rPr>
          <w:rFonts w:hint="eastAsia" w:ascii="宋体" w:hAnsi="宋体"/>
          <w:color w:val="auto"/>
          <w:sz w:val="24"/>
          <w:highlight w:val="none"/>
        </w:rPr>
        <w:t>投标文件签署人签名: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240" w:lineRule="exact"/>
        <w:ind w:right="480" w:firstLine="3480" w:firstLineChars="1450"/>
        <w:rPr>
          <w:rFonts w:ascii="宋体" w:hAnsi="宋体"/>
          <w:color w:val="auto"/>
          <w:sz w:val="24"/>
          <w:highlight w:val="none"/>
        </w:rPr>
      </w:pPr>
    </w:p>
    <w:p>
      <w:pPr>
        <w:pStyle w:val="4"/>
        <w:spacing w:beforeLines="50" w:after="0" w:line="360" w:lineRule="exact"/>
        <w:jc w:val="center"/>
        <w:rPr>
          <w:rFonts w:ascii="黑体" w:hAnsi="宋体" w:eastAsia="黑体"/>
          <w:color w:val="auto"/>
          <w:sz w:val="28"/>
          <w:szCs w:val="28"/>
          <w:highlight w:val="none"/>
        </w:rPr>
      </w:pPr>
      <w:bookmarkStart w:id="245" w:name="_Toc485889059"/>
      <w:bookmarkStart w:id="246" w:name="_Toc29117"/>
      <w:bookmarkStart w:id="247" w:name="_Toc486277926"/>
      <w:bookmarkStart w:id="248" w:name="_Toc234382961"/>
      <w:r>
        <w:rPr>
          <w:rFonts w:hint="eastAsia" w:ascii="黑体" w:hAnsi="宋体" w:eastAsia="黑体"/>
          <w:color w:val="auto"/>
          <w:sz w:val="28"/>
          <w:szCs w:val="28"/>
          <w:highlight w:val="none"/>
        </w:rPr>
        <w:t>二</w:t>
      </w:r>
      <w:r>
        <w:rPr>
          <w:rFonts w:ascii="黑体" w:hAnsi="宋体" w:eastAsia="黑体"/>
          <w:color w:val="auto"/>
          <w:sz w:val="28"/>
          <w:szCs w:val="28"/>
          <w:highlight w:val="none"/>
        </w:rPr>
        <w:t>、法定代表人身份证明</w:t>
      </w:r>
      <w:r>
        <w:rPr>
          <w:rFonts w:hint="eastAsia" w:ascii="黑体" w:hAnsi="宋体" w:eastAsia="黑体"/>
          <w:color w:val="auto"/>
          <w:sz w:val="28"/>
          <w:szCs w:val="28"/>
          <w:highlight w:val="none"/>
        </w:rPr>
        <w:t>及授权委托书</w:t>
      </w:r>
      <w:bookmarkEnd w:id="245"/>
      <w:bookmarkEnd w:id="246"/>
      <w:bookmarkEnd w:id="247"/>
      <w:bookmarkEnd w:id="248"/>
    </w:p>
    <w:p>
      <w:pPr>
        <w:pStyle w:val="4"/>
        <w:spacing w:beforeLines="100" w:afterLines="150" w:line="360" w:lineRule="exact"/>
        <w:jc w:val="center"/>
        <w:rPr>
          <w:rFonts w:ascii="黑体" w:hAnsi="宋体" w:eastAsia="黑体"/>
          <w:color w:val="auto"/>
          <w:sz w:val="28"/>
          <w:szCs w:val="28"/>
          <w:highlight w:val="none"/>
        </w:rPr>
      </w:pPr>
      <w:bookmarkStart w:id="249" w:name="_Toc486277927"/>
      <w:bookmarkStart w:id="250" w:name="_Toc4437"/>
      <w:bookmarkStart w:id="251" w:name="_Toc234382962"/>
      <w:bookmarkStart w:id="252" w:name="_Toc485889060"/>
      <w:r>
        <w:rPr>
          <w:rFonts w:hint="eastAsia" w:ascii="黑体" w:hAnsi="宋体" w:eastAsia="黑体"/>
          <w:color w:val="auto"/>
          <w:sz w:val="28"/>
          <w:szCs w:val="28"/>
          <w:highlight w:val="none"/>
        </w:rPr>
        <w:t>（一）法定代表人身份证明</w:t>
      </w:r>
      <w:bookmarkEnd w:id="249"/>
      <w:bookmarkEnd w:id="250"/>
      <w:bookmarkEnd w:id="251"/>
      <w:bookmarkEnd w:id="252"/>
    </w:p>
    <w:p>
      <w:pPr>
        <w:rPr>
          <w:rFonts w:ascii="宋体" w:hAnsi="宋体"/>
          <w:color w:val="auto"/>
          <w:sz w:val="24"/>
          <w:highlight w:val="none"/>
        </w:rPr>
      </w:pPr>
    </w:p>
    <w:p>
      <w:pPr>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投标人名称：____________________________</w:t>
      </w:r>
    </w:p>
    <w:p>
      <w:pPr>
        <w:spacing w:line="500" w:lineRule="exact"/>
        <w:rPr>
          <w:rFonts w:ascii="宋体" w:hAnsi="宋体"/>
          <w:color w:val="auto"/>
          <w:sz w:val="24"/>
          <w:highlight w:val="none"/>
          <w:u w:val="single"/>
        </w:rPr>
      </w:pPr>
      <w:r>
        <w:rPr>
          <w:rFonts w:hint="eastAsia" w:ascii="宋体" w:hAnsi="宋体"/>
          <w:color w:val="auto"/>
          <w:spacing w:val="40"/>
          <w:kern w:val="0"/>
          <w:sz w:val="24"/>
          <w:highlight w:val="none"/>
        </w:rPr>
        <w:t>单位性</w:t>
      </w:r>
      <w:r>
        <w:rPr>
          <w:rFonts w:hint="eastAsia" w:ascii="宋体" w:hAnsi="宋体"/>
          <w:color w:val="auto"/>
          <w:kern w:val="0"/>
          <w:sz w:val="24"/>
          <w:highlight w:val="none"/>
        </w:rPr>
        <w:t>质</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pacing w:val="360"/>
          <w:kern w:val="0"/>
          <w:sz w:val="24"/>
          <w:highlight w:val="none"/>
        </w:rPr>
        <w:t>地</w:t>
      </w:r>
      <w:r>
        <w:rPr>
          <w:rFonts w:hint="eastAsia" w:ascii="宋体" w:hAnsi="宋体"/>
          <w:color w:val="auto"/>
          <w:kern w:val="0"/>
          <w:sz w:val="24"/>
          <w:highlight w:val="none"/>
        </w:rPr>
        <w:t>址</w:t>
      </w:r>
      <w:r>
        <w:rPr>
          <w:rFonts w:hint="eastAsia" w:ascii="宋体" w:hAnsi="宋体"/>
          <w:color w:val="auto"/>
          <w:sz w:val="24"/>
          <w:highlight w:val="none"/>
        </w:rPr>
        <w:t>：____________________________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r>
        <w:rPr>
          <w:rFonts w:hint="eastAsia" w:ascii="宋体" w:hAnsi="宋体"/>
          <w:color w:val="auto"/>
          <w:sz w:val="24"/>
          <w:highlight w:val="none"/>
        </w:rPr>
        <w:t>经营期限：____________________________</w:t>
      </w:r>
    </w:p>
    <w:p>
      <w:pPr>
        <w:spacing w:line="500" w:lineRule="exact"/>
        <w:rPr>
          <w:rFonts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（法定代表人亲笔签名） </w:t>
      </w:r>
      <w:r>
        <w:rPr>
          <w:rFonts w:hint="eastAsia" w:ascii="宋体" w:hAnsi="宋体"/>
          <w:color w:val="auto"/>
          <w:sz w:val="24"/>
          <w:highlight w:val="none"/>
        </w:rPr>
        <w:t xml:space="preserve">  性别：</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rPr>
        <w:t>_________</w:t>
      </w:r>
    </w:p>
    <w:p>
      <w:pPr>
        <w:spacing w:line="500" w:lineRule="exact"/>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w:t>
      </w:r>
    </w:p>
    <w:p>
      <w:pPr>
        <w:spacing w:line="500" w:lineRule="exact"/>
        <w:ind w:firstLine="480" w:firstLineChars="200"/>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特此证明。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p>
    <w:p>
      <w:pPr>
        <w:spacing w:line="4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00" w:lineRule="exact"/>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p>
    <w:p>
      <w:pPr>
        <w:rPr>
          <w:rFonts w:ascii="宋体" w:hAnsi="宋体"/>
          <w:color w:val="auto"/>
          <w:sz w:val="24"/>
          <w:highlight w:val="none"/>
        </w:rPr>
      </w:pPr>
      <w:r>
        <w:rPr>
          <w:rFonts w:hint="eastAsia" w:ascii="宋体" w:hAnsi="宋体"/>
          <w:color w:val="auto"/>
          <w:sz w:val="24"/>
          <w:highlight w:val="none"/>
        </w:rPr>
        <w:t>注：法定代表人的签字必须是亲笔签名，不得使用印章、签名章或其他电子制版签名。</w:t>
      </w:r>
    </w:p>
    <w:p>
      <w:pPr>
        <w:rPr>
          <w:rFonts w:ascii="宋体" w:hAnsi="宋体"/>
          <w:color w:val="auto"/>
          <w:sz w:val="24"/>
          <w:highlight w:val="none"/>
        </w:rPr>
      </w:pPr>
    </w:p>
    <w:p>
      <w:pPr>
        <w:jc w:val="center"/>
        <w:rPr>
          <w:b/>
          <w:color w:val="auto"/>
          <w:sz w:val="32"/>
          <w:szCs w:val="32"/>
          <w:highlight w:val="none"/>
        </w:rPr>
      </w:pPr>
      <w:r>
        <w:rPr>
          <w:rFonts w:ascii="宋体" w:hAnsi="宋体"/>
          <w:color w:val="auto"/>
          <w:sz w:val="24"/>
          <w:highlight w:val="none"/>
        </w:rPr>
        <w:br w:type="page"/>
      </w:r>
      <w:r>
        <w:rPr>
          <w:rFonts w:hint="eastAsia" w:ascii="黑体" w:hAnsi="宋体" w:eastAsia="黑体"/>
          <w:b/>
          <w:bCs/>
          <w:color w:val="auto"/>
          <w:kern w:val="44"/>
          <w:sz w:val="28"/>
          <w:szCs w:val="28"/>
          <w:highlight w:val="none"/>
        </w:rPr>
        <w:t>（二）授权委托书</w:t>
      </w:r>
    </w:p>
    <w:p>
      <w:pPr>
        <w:spacing w:line="500" w:lineRule="exact"/>
        <w:rPr>
          <w:rFonts w:ascii="宋体" w:hAnsi="宋体"/>
          <w:color w:val="auto"/>
          <w:sz w:val="24"/>
          <w:highlight w:val="none"/>
        </w:rPr>
      </w:pP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r>
        <w:rPr>
          <w:rFonts w:hint="eastAsia" w:ascii="宋体" w:hAnsi="宋体"/>
          <w:color w:val="auto"/>
          <w:sz w:val="24"/>
          <w:highlight w:val="none"/>
        </w:rPr>
        <w:t>。</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r>
        <w:rPr>
          <w:rFonts w:ascii="宋体" w:hAnsi="宋体"/>
          <w:color w:val="auto"/>
          <w:sz w:val="24"/>
          <w:highlight w:val="none"/>
        </w:rPr>
        <w:t xml:space="preserve"> </w:t>
      </w:r>
    </w:p>
    <w:p>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附：法定代表人身份证明</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pacing w:val="121"/>
          <w:kern w:val="0"/>
          <w:sz w:val="24"/>
          <w:highlight w:val="none"/>
        </w:rPr>
        <w:t>申请</w:t>
      </w:r>
      <w:r>
        <w:rPr>
          <w:rFonts w:hint="eastAsia" w:ascii="宋体" w:hAnsi="宋体"/>
          <w:color w:val="auto"/>
          <w:spacing w:val="-1"/>
          <w:kern w:val="0"/>
          <w:sz w:val="24"/>
          <w:highlight w:val="none"/>
        </w:rPr>
        <w:t>人</w:t>
      </w:r>
      <w:r>
        <w:rPr>
          <w:rFonts w:hint="eastAsia" w:ascii="宋体" w:hAnsi="宋体"/>
          <w:color w:val="auto"/>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pPr>
        <w:spacing w:line="500" w:lineRule="exact"/>
        <w:rPr>
          <w:rFonts w:ascii="宋体" w:hAnsi="宋体"/>
          <w:color w:val="auto"/>
          <w:sz w:val="24"/>
          <w:highlight w:val="none"/>
        </w:rPr>
      </w:pP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r>
        <w:rPr>
          <w:rFonts w:hint="eastAsia" w:ascii="宋体" w:hAnsi="宋体"/>
          <w:color w:val="auto"/>
          <w:sz w:val="24"/>
          <w:highlight w:val="none"/>
        </w:rPr>
        <w:t xml:space="preserve">                                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p>
    <w:p>
      <w:pPr>
        <w:spacing w:line="500" w:lineRule="exact"/>
        <w:rPr>
          <w:rFonts w:ascii="宋体" w:hAnsi="宋体"/>
          <w:color w:val="auto"/>
          <w:sz w:val="24"/>
          <w:highlight w:val="none"/>
        </w:rPr>
      </w:pPr>
      <w:r>
        <w:rPr>
          <w:rFonts w:hint="eastAsia" w:ascii="宋体" w:hAnsi="宋体"/>
          <w:color w:val="auto"/>
          <w:sz w:val="24"/>
          <w:highlight w:val="none"/>
        </w:rPr>
        <w:t xml:space="preserve">                                身份证号码：</w:t>
      </w:r>
      <w:r>
        <w:rPr>
          <w:rFonts w:hint="eastAsia" w:ascii="宋体" w:hAnsi="宋体"/>
          <w:color w:val="auto"/>
          <w:sz w:val="24"/>
          <w:highlight w:val="none"/>
          <w:u w:val="single"/>
        </w:rPr>
        <w:t xml:space="preserve">                           </w:t>
      </w:r>
    </w:p>
    <w:p>
      <w:pPr>
        <w:spacing w:line="500" w:lineRule="exact"/>
        <w:rPr>
          <w:rFonts w:ascii="宋体" w:hAnsi="宋体"/>
          <w:color w:val="auto"/>
          <w:sz w:val="24"/>
          <w:highlight w:val="none"/>
        </w:rPr>
      </w:pPr>
    </w:p>
    <w:p>
      <w:pPr>
        <w:spacing w:line="500" w:lineRule="exact"/>
        <w:rPr>
          <w:rFonts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500" w:lineRule="exact"/>
        <w:rPr>
          <w:rFonts w:ascii="宋体" w:hAnsi="宋体"/>
          <w:color w:val="auto"/>
          <w:sz w:val="24"/>
          <w:highlight w:val="none"/>
        </w:rPr>
      </w:pPr>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注：</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1.法定代表人和委托代理人必须在授权书上亲笔签名，不得使用印章、签名章或其他电子制版签名；</w:t>
      </w:r>
    </w:p>
    <w:p>
      <w:pPr>
        <w:spacing w:line="400" w:lineRule="exact"/>
        <w:ind w:firstLine="480" w:firstLineChars="200"/>
        <w:rPr>
          <w:rFonts w:ascii="宋体" w:hAnsi="宋体"/>
          <w:color w:val="auto"/>
          <w:sz w:val="24"/>
          <w:highlight w:val="none"/>
        </w:rPr>
      </w:pPr>
      <w:r>
        <w:rPr>
          <w:rFonts w:hint="eastAsia" w:ascii="宋体" w:hAnsi="宋体"/>
          <w:color w:val="auto"/>
          <w:sz w:val="24"/>
          <w:highlight w:val="none"/>
        </w:rPr>
        <w:t>2.以联合体形式投标的，本授权委托书应由联合体牵头人的法定代表人按上述规定签署。</w:t>
      </w:r>
    </w:p>
    <w:p>
      <w:pPr>
        <w:rPr>
          <w:rFonts w:ascii="宋体" w:hAnsi="宋体"/>
          <w:color w:val="auto"/>
          <w:sz w:val="24"/>
          <w:highlight w:val="none"/>
        </w:rPr>
      </w:pPr>
    </w:p>
    <w:p>
      <w:pPr>
        <w:pStyle w:val="4"/>
        <w:spacing w:beforeLines="100" w:afterLines="150" w:line="360" w:lineRule="exact"/>
        <w:jc w:val="center"/>
        <w:rPr>
          <w:rFonts w:ascii="黑体" w:hAnsi="宋体" w:eastAsia="黑体"/>
          <w:color w:val="auto"/>
          <w:sz w:val="28"/>
          <w:szCs w:val="28"/>
          <w:highlight w:val="none"/>
        </w:rPr>
      </w:pPr>
      <w:bookmarkStart w:id="253" w:name="_Toc234382964"/>
      <w:r>
        <w:rPr>
          <w:rFonts w:ascii="黑体" w:hAnsi="宋体" w:eastAsia="黑体"/>
          <w:color w:val="auto"/>
          <w:sz w:val="28"/>
          <w:szCs w:val="28"/>
          <w:highlight w:val="none"/>
        </w:rPr>
        <w:br w:type="page"/>
      </w:r>
      <w:bookmarkStart w:id="254" w:name="_Toc485889061"/>
      <w:bookmarkStart w:id="255" w:name="_Toc25686"/>
      <w:bookmarkStart w:id="256" w:name="_Toc486277928"/>
      <w:r>
        <w:rPr>
          <w:rFonts w:hint="eastAsia" w:ascii="黑体" w:hAnsi="宋体" w:eastAsia="黑体"/>
          <w:color w:val="auto"/>
          <w:sz w:val="28"/>
          <w:szCs w:val="28"/>
          <w:highlight w:val="none"/>
        </w:rPr>
        <w:t>三</w:t>
      </w:r>
      <w:r>
        <w:rPr>
          <w:rFonts w:ascii="黑体" w:hAnsi="宋体" w:eastAsia="黑体"/>
          <w:color w:val="auto"/>
          <w:sz w:val="28"/>
          <w:szCs w:val="28"/>
          <w:highlight w:val="none"/>
        </w:rPr>
        <w:t>、投标保证金</w:t>
      </w:r>
      <w:bookmarkEnd w:id="253"/>
      <w:bookmarkEnd w:id="254"/>
      <w:bookmarkEnd w:id="255"/>
      <w:bookmarkEnd w:id="256"/>
    </w:p>
    <w:p>
      <w:pPr>
        <w:rPr>
          <w:rFonts w:ascii="宋体" w:hAnsi="宋体"/>
          <w:color w:val="auto"/>
          <w:sz w:val="24"/>
          <w:highlight w:val="none"/>
        </w:rPr>
      </w:pPr>
      <w:r>
        <w:rPr>
          <w:rFonts w:hint="eastAsia" w:ascii="宋体" w:hAnsi="宋体"/>
          <w:color w:val="auto"/>
          <w:sz w:val="24"/>
          <w:highlight w:val="none"/>
        </w:rPr>
        <w:t xml:space="preserve">     此处附投标人递交投标保证金的银行转账证明复印件。</w:t>
      </w:r>
    </w:p>
    <w:p>
      <w:pPr>
        <w:pStyle w:val="4"/>
        <w:spacing w:beforeLines="100" w:afterLines="150" w:line="360" w:lineRule="exact"/>
        <w:jc w:val="center"/>
        <w:rPr>
          <w:color w:val="auto"/>
          <w:highlight w:val="none"/>
        </w:rPr>
      </w:pPr>
      <w:r>
        <w:rPr>
          <w:rFonts w:ascii="宋体"/>
          <w:color w:val="auto"/>
          <w:highlight w:val="none"/>
        </w:rPr>
        <w:br w:type="page"/>
      </w:r>
      <w:bookmarkStart w:id="257" w:name="_Toc19556"/>
      <w:bookmarkStart w:id="258" w:name="_Toc485889062"/>
      <w:bookmarkStart w:id="259" w:name="_Toc486277929"/>
      <w:bookmarkStart w:id="260" w:name="_Toc234382966"/>
      <w:r>
        <w:rPr>
          <w:rFonts w:hint="eastAsia" w:ascii="黑体" w:hAnsi="宋体" w:eastAsia="黑体"/>
          <w:color w:val="auto"/>
          <w:sz w:val="28"/>
          <w:szCs w:val="28"/>
          <w:highlight w:val="none"/>
        </w:rPr>
        <w:t>四</w:t>
      </w:r>
      <w:r>
        <w:rPr>
          <w:rFonts w:ascii="黑体" w:hAnsi="宋体" w:eastAsia="黑体"/>
          <w:color w:val="auto"/>
          <w:sz w:val="28"/>
          <w:szCs w:val="28"/>
          <w:highlight w:val="none"/>
        </w:rPr>
        <w:t>、施工组织设计</w:t>
      </w:r>
      <w:bookmarkEnd w:id="257"/>
      <w:bookmarkEnd w:id="258"/>
      <w:bookmarkEnd w:id="259"/>
      <w:bookmarkEnd w:id="260"/>
    </w:p>
    <w:p>
      <w:pPr>
        <w:spacing w:line="440" w:lineRule="exact"/>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1、投标人应按以下要点编制施工组织设计；</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（1）总体施工组织布置及规划</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（2）主要工程项目的施工方案、方法与技术措施（尤其对重点、关键和难点工程的施工方案、方法及其措施）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（3）工期的保证体系及保证措施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（4）工程质量管理体系及保证措施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（5）安全生产管理体系及保证措施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（6）环境保护、水土保持保证体系及保证措施</w:t>
      </w:r>
      <w:r>
        <w:rPr>
          <w:rFonts w:hint="eastAsia" w:ascii="宋体" w:hAnsi="宋体"/>
          <w:b/>
          <w:bCs/>
          <w:color w:val="auto"/>
          <w:sz w:val="24"/>
          <w:highlight w:val="none"/>
        </w:rPr>
        <w:t>（含扬尘治理措施）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（7）文明施工、文物保护保证体系及保证措施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（8）项目风险预测与防范，事故应急预案</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（9）其他应说明的事项</w:t>
      </w:r>
    </w:p>
    <w:p>
      <w:pPr>
        <w:spacing w:line="40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w:t>
      </w:r>
      <w:r>
        <w:rPr>
          <w:rFonts w:ascii="宋体" w:hAnsi="宋体"/>
          <w:color w:val="auto"/>
          <w:sz w:val="24"/>
          <w:highlight w:val="none"/>
        </w:rPr>
        <w:t>施工组织设计除采用文字表述外可附下列图表，图表及格式要求附后。</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附表一  施工总体计划表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附表二  分项工程进度率计划（斜率图） </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附表三  工程管理曲线</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附表四  分项工程生产率和施工周期表</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附表五  施工总平面图</w:t>
      </w:r>
    </w:p>
    <w:p>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附表六  劳动力计划表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附表七  临时用地计划表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附表八  外供电力需求计划表</w:t>
      </w:r>
    </w:p>
    <w:p>
      <w:pPr>
        <w:spacing w:line="400" w:lineRule="exact"/>
        <w:ind w:firstLine="840" w:firstLineChars="350"/>
        <w:rPr>
          <w:rFonts w:hint="eastAsia" w:ascii="宋体" w:hAnsi="宋体"/>
          <w:color w:val="auto"/>
          <w:sz w:val="24"/>
          <w:highlight w:val="none"/>
        </w:rPr>
      </w:pPr>
      <w:r>
        <w:rPr>
          <w:rFonts w:hint="eastAsia" w:ascii="宋体" w:hAnsi="宋体"/>
          <w:color w:val="auto"/>
          <w:sz w:val="24"/>
          <w:highlight w:val="none"/>
        </w:rPr>
        <w:t>附表九  合同用款估算表</w:t>
      </w:r>
    </w:p>
    <w:p>
      <w:pPr>
        <w:spacing w:line="440" w:lineRule="exact"/>
        <w:ind w:firstLine="480" w:firstLineChars="200"/>
        <w:rPr>
          <w:rFonts w:ascii="宋体" w:hAnsi="宋体"/>
          <w:color w:val="auto"/>
          <w:sz w:val="24"/>
          <w:highlight w:val="none"/>
        </w:rPr>
      </w:pPr>
    </w:p>
    <w:p>
      <w:pPr>
        <w:spacing w:line="440" w:lineRule="exact"/>
        <w:ind w:firstLine="480" w:firstLineChars="200"/>
        <w:rPr>
          <w:rFonts w:ascii="宋体" w:hAnsi="宋体"/>
          <w:color w:val="auto"/>
          <w:sz w:val="24"/>
          <w:highlight w:val="none"/>
        </w:rPr>
      </w:pPr>
    </w:p>
    <w:p>
      <w:pPr>
        <w:pStyle w:val="4"/>
        <w:keepNext w:val="0"/>
        <w:keepLines w:val="0"/>
        <w:pageBreakBefore/>
        <w:spacing w:beforeLines="100" w:afterLines="150" w:line="360" w:lineRule="exact"/>
        <w:jc w:val="center"/>
        <w:rPr>
          <w:rFonts w:hint="eastAsia" w:ascii="黑体" w:hAnsi="宋体" w:eastAsia="黑体"/>
          <w:color w:val="auto"/>
          <w:sz w:val="28"/>
          <w:szCs w:val="28"/>
          <w:highlight w:val="none"/>
        </w:rPr>
        <w:sectPr>
          <w:footnotePr>
            <w:numFmt w:val="decimalEnclosedCircleChinese"/>
            <w:numRestart w:val="eachPage"/>
          </w:footnotePr>
          <w:pgSz w:w="11907" w:h="16840"/>
          <w:pgMar w:top="1440" w:right="1361" w:bottom="1440" w:left="1361" w:header="720" w:footer="907" w:gutter="0"/>
          <w:cols w:space="720" w:num="1"/>
        </w:sectPr>
      </w:pPr>
      <w:bookmarkStart w:id="261" w:name="_Toc486277936"/>
      <w:bookmarkStart w:id="262" w:name="_Toc485889070"/>
      <w:bookmarkStart w:id="263" w:name="_Toc19898"/>
      <w:bookmarkStart w:id="264" w:name="_Toc234382974"/>
    </w:p>
    <w:p>
      <w:pPr>
        <w:pStyle w:val="5"/>
        <w:spacing w:before="120" w:after="120" w:line="377" w:lineRule="auto"/>
        <w:rPr>
          <w:rFonts w:hint="eastAsia"/>
          <w:color w:val="auto"/>
          <w:highlight w:val="none"/>
        </w:rPr>
      </w:pPr>
      <w:r>
        <w:rPr>
          <w:rFonts w:hint="eastAsia"/>
          <w:color w:val="auto"/>
          <w:highlight w:val="none"/>
        </w:rPr>
        <w:t>附表一   施工总体计划表</w:t>
      </w:r>
    </w:p>
    <w:tbl>
      <w:tblPr>
        <w:tblStyle w:val="15"/>
        <w:tblW w:w="148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66"/>
        <w:gridCol w:w="403"/>
        <w:gridCol w:w="403"/>
        <w:gridCol w:w="405"/>
        <w:gridCol w:w="405"/>
        <w:gridCol w:w="405"/>
        <w:gridCol w:w="405"/>
        <w:gridCol w:w="405"/>
        <w:gridCol w:w="405"/>
        <w:gridCol w:w="405"/>
        <w:gridCol w:w="426"/>
        <w:gridCol w:w="426"/>
        <w:gridCol w:w="429"/>
        <w:gridCol w:w="405"/>
        <w:gridCol w:w="405"/>
        <w:gridCol w:w="406"/>
        <w:gridCol w:w="406"/>
        <w:gridCol w:w="406"/>
        <w:gridCol w:w="406"/>
        <w:gridCol w:w="406"/>
        <w:gridCol w:w="406"/>
        <w:gridCol w:w="406"/>
        <w:gridCol w:w="427"/>
        <w:gridCol w:w="427"/>
        <w:gridCol w:w="450"/>
        <w:gridCol w:w="406"/>
        <w:gridCol w:w="406"/>
        <w:gridCol w:w="406"/>
        <w:gridCol w:w="406"/>
        <w:gridCol w:w="435"/>
        <w:gridCol w:w="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9" w:type="dxa"/>
          <w:trHeight w:val="613" w:hRule="exact"/>
          <w:jc w:val="center"/>
        </w:trPr>
        <w:tc>
          <w:tcPr>
            <w:tcW w:w="2866" w:type="dxa"/>
            <w:tcBorders>
              <w:bottom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年度</w:t>
            </w:r>
          </w:p>
        </w:tc>
        <w:tc>
          <w:tcPr>
            <w:tcW w:w="4922"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956" w:type="dxa"/>
            <w:gridSpan w:val="12"/>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059" w:type="dxa"/>
            <w:gridSpan w:val="5"/>
            <w:vAlign w:val="center"/>
          </w:tcPr>
          <w:p>
            <w:pPr>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jc w:val="center"/>
        </w:trPr>
        <w:tc>
          <w:tcPr>
            <w:tcW w:w="2866" w:type="dxa"/>
            <w:tcBorders>
              <w:top w:val="single" w:color="auto" w:sz="6" w:space="0"/>
              <w:bottom w:val="single" w:color="auto" w:sz="6" w:space="0"/>
              <w:tl2br w:val="single" w:color="auto" w:sz="6" w:space="0"/>
            </w:tcBorders>
            <w:vAlign w:val="center"/>
          </w:tcPr>
          <w:p>
            <w:pPr>
              <w:jc w:val="center"/>
              <w:rPr>
                <w:rFonts w:hint="eastAsia" w:ascii="宋体" w:hAnsi="宋体"/>
                <w:color w:val="auto"/>
                <w:szCs w:val="21"/>
                <w:highlight w:val="none"/>
              </w:rPr>
            </w:pPr>
            <w:r>
              <w:rPr>
                <w:rFonts w:hint="eastAsia" w:ascii="宋体" w:hAnsi="宋体"/>
                <w:color w:val="auto"/>
                <w:szCs w:val="21"/>
                <w:highlight w:val="none"/>
              </w:rPr>
              <w:t xml:space="preserve">                    月份</w:t>
            </w:r>
          </w:p>
          <w:p>
            <w:pPr>
              <w:jc w:val="left"/>
              <w:rPr>
                <w:rFonts w:hint="eastAsia" w:ascii="宋体" w:hAnsi="宋体"/>
                <w:color w:val="auto"/>
                <w:szCs w:val="21"/>
                <w:highlight w:val="none"/>
              </w:rPr>
            </w:pPr>
          </w:p>
          <w:p>
            <w:pPr>
              <w:jc w:val="left"/>
              <w:rPr>
                <w:rFonts w:hint="eastAsia" w:ascii="宋体" w:hAnsi="宋体"/>
                <w:color w:val="auto"/>
                <w:szCs w:val="21"/>
                <w:highlight w:val="none"/>
              </w:rPr>
            </w:pPr>
            <w:r>
              <w:rPr>
                <w:rFonts w:hint="eastAsia" w:ascii="宋体" w:hAnsi="宋体"/>
                <w:color w:val="auto"/>
                <w:szCs w:val="21"/>
                <w:highlight w:val="none"/>
              </w:rPr>
              <w:t>主要工程项目</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29"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5</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6</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7</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8</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9</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w:t>
            </w:r>
          </w:p>
        </w:tc>
        <w:tc>
          <w:tcPr>
            <w:tcW w:w="42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11</w:t>
            </w:r>
          </w:p>
        </w:tc>
        <w:tc>
          <w:tcPr>
            <w:tcW w:w="450"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2</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3</w:t>
            </w:r>
          </w:p>
        </w:tc>
        <w:tc>
          <w:tcPr>
            <w:tcW w:w="4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4</w:t>
            </w:r>
          </w:p>
        </w:tc>
        <w:tc>
          <w:tcPr>
            <w:tcW w:w="44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tcBorders>
              <w:top w:val="single" w:color="auto" w:sz="6" w:space="0"/>
            </w:tcBorders>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1.施工准备</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2.下部结构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3.上部结构</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9" w:hRule="exact"/>
          <w:jc w:val="center"/>
        </w:trPr>
        <w:tc>
          <w:tcPr>
            <w:tcW w:w="2866" w:type="dxa"/>
            <w:vAlign w:val="center"/>
          </w:tcPr>
          <w:p>
            <w:pPr>
              <w:ind w:left="105" w:leftChars="50"/>
              <w:rPr>
                <w:rFonts w:hint="eastAsia" w:ascii="宋体" w:hAnsi="宋体"/>
                <w:color w:val="auto"/>
                <w:szCs w:val="21"/>
                <w:highlight w:val="none"/>
              </w:rPr>
            </w:pPr>
            <w:r>
              <w:rPr>
                <w:rFonts w:hint="eastAsia" w:ascii="宋体" w:hAnsi="宋体"/>
                <w:color w:val="auto"/>
                <w:szCs w:val="21"/>
                <w:highlight w:val="none"/>
              </w:rPr>
              <w:t>4.附属工程</w:t>
            </w:r>
          </w:p>
        </w:tc>
        <w:tc>
          <w:tcPr>
            <w:tcW w:w="403" w:type="dxa"/>
            <w:vAlign w:val="center"/>
          </w:tcPr>
          <w:p>
            <w:pPr>
              <w:jc w:val="center"/>
              <w:rPr>
                <w:rFonts w:hint="eastAsia" w:ascii="宋体" w:hAnsi="宋体"/>
                <w:color w:val="auto"/>
                <w:szCs w:val="21"/>
                <w:highlight w:val="none"/>
              </w:rPr>
            </w:pPr>
          </w:p>
        </w:tc>
        <w:tc>
          <w:tcPr>
            <w:tcW w:w="403"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6" w:type="dxa"/>
            <w:vAlign w:val="center"/>
          </w:tcPr>
          <w:p>
            <w:pPr>
              <w:jc w:val="center"/>
              <w:rPr>
                <w:rFonts w:hint="eastAsia" w:ascii="宋体" w:hAnsi="宋体"/>
                <w:color w:val="auto"/>
                <w:szCs w:val="21"/>
                <w:highlight w:val="none"/>
              </w:rPr>
            </w:pPr>
          </w:p>
        </w:tc>
        <w:tc>
          <w:tcPr>
            <w:tcW w:w="429"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5"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27" w:type="dxa"/>
            <w:vAlign w:val="center"/>
          </w:tcPr>
          <w:p>
            <w:pPr>
              <w:jc w:val="center"/>
              <w:rPr>
                <w:rFonts w:hint="eastAsia" w:ascii="宋体" w:hAnsi="宋体"/>
                <w:color w:val="auto"/>
                <w:szCs w:val="21"/>
                <w:highlight w:val="none"/>
              </w:rPr>
            </w:pPr>
          </w:p>
        </w:tc>
        <w:tc>
          <w:tcPr>
            <w:tcW w:w="450"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06" w:type="dxa"/>
            <w:vAlign w:val="center"/>
          </w:tcPr>
          <w:p>
            <w:pPr>
              <w:jc w:val="center"/>
              <w:rPr>
                <w:rFonts w:hint="eastAsia" w:ascii="宋体" w:hAnsi="宋体"/>
                <w:color w:val="auto"/>
                <w:szCs w:val="21"/>
                <w:highlight w:val="none"/>
              </w:rPr>
            </w:pPr>
          </w:p>
        </w:tc>
        <w:tc>
          <w:tcPr>
            <w:tcW w:w="444" w:type="dxa"/>
            <w:gridSpan w:val="2"/>
            <w:vAlign w:val="center"/>
          </w:tcPr>
          <w:p>
            <w:pPr>
              <w:jc w:val="center"/>
              <w:rPr>
                <w:rFonts w:hint="eastAsia" w:ascii="宋体" w:hAnsi="宋体"/>
                <w:color w:val="auto"/>
                <w:szCs w:val="21"/>
                <w:highlight w:val="none"/>
              </w:rPr>
            </w:pPr>
          </w:p>
        </w:tc>
      </w:tr>
    </w:tbl>
    <w:p>
      <w:pPr>
        <w:pStyle w:val="5"/>
        <w:spacing w:before="120" w:after="0" w:line="240" w:lineRule="auto"/>
        <w:rPr>
          <w:color w:val="auto"/>
          <w:highlight w:val="none"/>
        </w:rPr>
      </w:pPr>
    </w:p>
    <w:p>
      <w:pPr>
        <w:pStyle w:val="5"/>
        <w:spacing w:before="120" w:after="0" w:line="240" w:lineRule="auto"/>
        <w:rPr>
          <w:rFonts w:hint="eastAsia"/>
          <w:color w:val="auto"/>
          <w:highlight w:val="none"/>
        </w:rPr>
      </w:pPr>
      <w:r>
        <w:rPr>
          <w:color w:val="auto"/>
          <w:highlight w:val="none"/>
        </w:rPr>
        <w:br w:type="page"/>
      </w:r>
      <w:r>
        <w:rPr>
          <w:rFonts w:hint="eastAsia"/>
          <w:color w:val="auto"/>
          <w:highlight w:val="none"/>
        </w:rPr>
        <w:t>附表二   分项工程进度率计划（斜率图）</w:t>
      </w:r>
    </w:p>
    <w:tbl>
      <w:tblPr>
        <w:tblStyle w:val="15"/>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年  度</w:t>
            </w:r>
          </w:p>
        </w:tc>
        <w:tc>
          <w:tcPr>
            <w:tcW w:w="5605" w:type="dxa"/>
            <w:gridSpan w:val="12"/>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5139" w:type="dxa"/>
            <w:gridSpan w:val="11"/>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季  度</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四</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一</w:t>
            </w:r>
          </w:p>
        </w:tc>
        <w:tc>
          <w:tcPr>
            <w:tcW w:w="1402"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二</w:t>
            </w:r>
          </w:p>
        </w:tc>
        <w:tc>
          <w:tcPr>
            <w:tcW w:w="1401"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三</w:t>
            </w:r>
          </w:p>
        </w:tc>
        <w:tc>
          <w:tcPr>
            <w:tcW w:w="935"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color w:val="auto"/>
                <w:szCs w:val="21"/>
                <w:highlight w:val="none"/>
              </w:rPr>
            </w:pPr>
            <w:r>
              <w:rPr>
                <w:rFonts w:hint="eastAsia" w:ascii="宋体" w:hAnsi="宋体"/>
                <w:color w:val="auto"/>
                <w:szCs w:val="21"/>
                <w:highlight w:val="none"/>
              </w:rPr>
              <w:t>月  份</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468"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8</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9</w:t>
            </w:r>
          </w:p>
        </w:tc>
        <w:tc>
          <w:tcPr>
            <w:tcW w:w="467" w:type="dxa"/>
            <w:vAlign w:val="center"/>
          </w:tcPr>
          <w:p>
            <w:pPr>
              <w:jc w:val="center"/>
              <w:rPr>
                <w:rFonts w:ascii="宋体" w:hAnsi="宋体"/>
                <w:color w:val="auto"/>
                <w:szCs w:val="21"/>
                <w:highlight w:val="none"/>
              </w:rPr>
            </w:pPr>
            <w:r>
              <w:rPr>
                <w:rFonts w:hint="eastAsia" w:ascii="宋体" w:hAnsi="宋体"/>
                <w:color w:val="auto"/>
                <w:szCs w:val="21"/>
                <w:highlight w:val="none"/>
              </w:rPr>
              <w:t>10</w:t>
            </w:r>
          </w:p>
        </w:tc>
        <w:tc>
          <w:tcPr>
            <w:tcW w:w="468" w:type="dxa"/>
            <w:vAlign w:val="center"/>
          </w:tcPr>
          <w:p>
            <w:pPr>
              <w:jc w:val="center"/>
              <w:rPr>
                <w:rFonts w:ascii="宋体" w:hAnsi="宋体"/>
                <w:color w:val="auto"/>
                <w:szCs w:val="21"/>
                <w:highlight w:val="none"/>
              </w:rPr>
            </w:pPr>
            <w:r>
              <w:rPr>
                <w:rFonts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jc w:val="left"/>
              <w:rPr>
                <w:rFonts w:ascii="宋体" w:hAnsi="宋体"/>
                <w:color w:val="auto"/>
                <w:szCs w:val="21"/>
                <w:highlight w:val="none"/>
              </w:rPr>
            </w:pPr>
            <w:r>
              <w:rPr>
                <w:rFonts w:hint="eastAsia" w:ascii="宋体" w:hAnsi="宋体"/>
                <w:color w:val="auto"/>
                <w:szCs w:val="21"/>
                <w:highlight w:val="none"/>
              </w:rPr>
              <w:t>图例：</w:t>
            </w:r>
          </w:p>
        </w:tc>
        <w:tc>
          <w:tcPr>
            <w:tcW w:w="1276" w:type="dxa"/>
            <w:tcBorders>
              <w:top w:val="single" w:color="auto" w:sz="6" w:space="0"/>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100（%）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施工准备</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90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下部结构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80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上部结构</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70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color w:val="auto"/>
                <w:szCs w:val="21"/>
                <w:highlight w:val="none"/>
              </w:rPr>
            </w:pPr>
            <w:r>
              <w:rPr>
                <w:rFonts w:hint="eastAsia" w:ascii="宋体" w:hAnsi="宋体"/>
                <w:color w:val="auto"/>
                <w:szCs w:val="21"/>
                <w:highlight w:val="none"/>
              </w:rPr>
              <w:t>附属工程</w:t>
            </w:r>
          </w:p>
        </w:tc>
        <w:tc>
          <w:tcPr>
            <w:tcW w:w="1276" w:type="dxa"/>
            <w:tcBorders>
              <w:top w:val="nil"/>
              <w:left w:val="nil"/>
              <w:bottom w:val="nil"/>
            </w:tcBorders>
            <w:vAlign w:val="center"/>
          </w:tcPr>
          <w:p>
            <w:pPr>
              <w:jc w:val="right"/>
              <w:rPr>
                <w:rFonts w:ascii="宋体" w:hAnsi="宋体"/>
                <w:color w:val="auto"/>
                <w:szCs w:val="21"/>
                <w:highlight w:val="none"/>
              </w:rPr>
            </w:pPr>
            <w:r>
              <w:rPr>
                <w:rFonts w:hint="eastAsia" w:ascii="宋体" w:hAnsi="宋体"/>
                <w:color w:val="auto"/>
                <w:szCs w:val="21"/>
                <w:highlight w:val="none"/>
              </w:rPr>
              <w:t>60</w:t>
            </w: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color w:val="auto"/>
                <w:szCs w:val="21"/>
                <w:highlight w:val="none"/>
              </w:rPr>
            </w:pPr>
          </w:p>
        </w:tc>
        <w:tc>
          <w:tcPr>
            <w:tcW w:w="1276" w:type="dxa"/>
            <w:tcBorders>
              <w:top w:val="nil"/>
              <w:left w:val="nil"/>
              <w:bottom w:val="nil"/>
            </w:tcBorders>
            <w:vAlign w:val="center"/>
          </w:tcPr>
          <w:p>
            <w:pPr>
              <w:jc w:val="right"/>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color w:val="auto"/>
                <w:szCs w:val="21"/>
                <w:highlight w:val="none"/>
              </w:rPr>
            </w:pPr>
          </w:p>
        </w:tc>
        <w:tc>
          <w:tcPr>
            <w:tcW w:w="1276" w:type="dxa"/>
            <w:tcBorders>
              <w:top w:val="nil"/>
              <w:left w:val="nil"/>
              <w:bottom w:val="single" w:color="auto" w:sz="12" w:space="0"/>
            </w:tcBorders>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7" w:type="dxa"/>
            <w:vAlign w:val="center"/>
          </w:tcPr>
          <w:p>
            <w:pPr>
              <w:jc w:val="center"/>
              <w:rPr>
                <w:rFonts w:ascii="宋体" w:hAnsi="宋体"/>
                <w:color w:val="auto"/>
                <w:szCs w:val="21"/>
                <w:highlight w:val="none"/>
              </w:rPr>
            </w:pPr>
          </w:p>
        </w:tc>
        <w:tc>
          <w:tcPr>
            <w:tcW w:w="468"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注：1.应按各标段实际工程内容填写。</w:t>
      </w:r>
    </w:p>
    <w:p>
      <w:pPr>
        <w:rPr>
          <w:rFonts w:hint="eastAsia"/>
          <w:color w:val="auto"/>
          <w:highlight w:val="none"/>
        </w:rPr>
        <w:sectPr>
          <w:footnotePr>
            <w:numFmt w:val="decimalEnclosedCircleChinese"/>
            <w:numRestart w:val="eachPage"/>
          </w:footnotePr>
          <w:pgSz w:w="16840" w:h="11907" w:orient="landscape"/>
          <w:pgMar w:top="1361" w:right="1440" w:bottom="1361" w:left="1440" w:header="720" w:footer="907" w:gutter="0"/>
          <w:cols w:space="720" w:num="1"/>
        </w:sectPr>
      </w:pPr>
      <w:r>
        <w:rPr>
          <w:rFonts w:hint="eastAsia" w:ascii="宋体" w:hAnsi="宋体"/>
          <w:color w:val="auto"/>
          <w:szCs w:val="21"/>
          <w:highlight w:val="none"/>
        </w:rPr>
        <w:t xml:space="preserve">    2.各个项目的进程可用线条的长短来表示。</w:t>
      </w:r>
    </w:p>
    <w:p>
      <w:pPr>
        <w:pStyle w:val="4"/>
        <w:spacing w:before="120" w:beforeLines="50" w:after="0" w:line="400" w:lineRule="exact"/>
        <w:rPr>
          <w:rFonts w:ascii="Arial" w:hAnsi="Arial" w:eastAsia="黑体"/>
          <w:color w:val="auto"/>
          <w:kern w:val="2"/>
          <w:sz w:val="28"/>
          <w:szCs w:val="28"/>
          <w:highlight w:val="none"/>
        </w:rPr>
      </w:pPr>
      <w:bookmarkStart w:id="265" w:name="_Toc234382967"/>
      <w:r>
        <w:rPr>
          <w:rFonts w:ascii="Arial" w:hAnsi="Arial" w:eastAsia="黑体"/>
          <w:color w:val="auto"/>
          <w:kern w:val="2"/>
          <w:sz w:val="28"/>
          <w:szCs w:val="28"/>
          <w:highlight w:val="none"/>
        </w:rPr>
        <w:t>附表三</w:t>
      </w:r>
      <w:r>
        <w:rPr>
          <w:rFonts w:hint="eastAsia" w:ascii="Arial" w:hAnsi="Arial" w:eastAsia="黑体"/>
          <w:color w:val="auto"/>
          <w:kern w:val="2"/>
          <w:sz w:val="28"/>
          <w:szCs w:val="28"/>
          <w:highlight w:val="none"/>
        </w:rPr>
        <w:t xml:space="preserve">   工程管理曲线</w:t>
      </w:r>
      <w:bookmarkEnd w:id="265"/>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rPr>
                <w:rFonts w:hint="eastAsia"/>
                <w:color w:val="auto"/>
                <w:highlight w:val="none"/>
              </w:rPr>
            </w:pPr>
            <w:r>
              <w:rPr>
                <w:rFonts w:hint="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-3810</wp:posOffset>
                      </wp:positionV>
                      <wp:extent cx="1397000" cy="563245"/>
                      <wp:effectExtent l="1905" t="4445" r="10795" b="22860"/>
                      <wp:wrapNone/>
                      <wp:docPr id="16" name="自选图形 3"/>
                      <wp:cNvGraphicFramePr/>
                      <a:graphic xmlns:a="http://schemas.openxmlformats.org/drawingml/2006/main">
                        <a:graphicData uri="http://schemas.microsoft.com/office/word/2010/wordprocessingShape">
                          <wps:wsp>
                            <wps:cNvCnPr/>
                            <wps:spPr>
                              <a:xfrm>
                                <a:off x="0" y="0"/>
                                <a:ext cx="1397000" cy="5632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5.9pt;margin-top:-0.3pt;height:44.35pt;width:110pt;z-index:251659264;mso-width-relative:page;mso-height-relative:page;" filled="f" stroked="t"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3YzWtcAAAAIAQAADwAA&#10;AAAAAAABACAAAAAiAAAAZHJzL2Rvd25yZXYueG1sUEsBAhQAFAAAAAgAh07iQNjpJLneAQAAmwMA&#10;AA4AAAAAAAAAAQAgAAAAJgEAAGRycy9lMm9Eb2MueG1sUEsFBgAAAAAGAAYAWQEAAHYFAAAAAA==&#10;">
                      <v:fill on="f" focussize="0,0"/>
                      <v:stroke color="#000000" joinstyle="round"/>
                      <v:imagedata o:title=""/>
                      <o:lock v:ext="edit" aspectratio="f"/>
                    </v:shape>
                  </w:pict>
                </mc:Fallback>
              </mc:AlternateContent>
            </w:r>
            <w:r>
              <w:rPr>
                <w:rFonts w:hint="eastAsia"/>
                <w:color w:val="auto"/>
                <w:highlight w:val="none"/>
              </w:rPr>
              <w:t xml:space="preserve">            年  度</w:t>
            </w:r>
          </w:p>
          <w:p>
            <w:pPr>
              <w:jc w:val="center"/>
              <w:rPr>
                <w:rFonts w:hint="eastAsia"/>
                <w:color w:val="auto"/>
                <w:highlight w:val="none"/>
              </w:rPr>
            </w:pP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781050</wp:posOffset>
                      </wp:positionH>
                      <wp:positionV relativeFrom="paragraph">
                        <wp:posOffset>20320</wp:posOffset>
                      </wp:positionV>
                      <wp:extent cx="217805" cy="273685"/>
                      <wp:effectExtent l="0" t="0" r="0" b="0"/>
                      <wp:wrapNone/>
                      <wp:docPr id="18" name="矩形 4"/>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wps:spPr>
                            <wps:txbx>
                              <w:txbxContent>
                                <w:p>
                                  <w:r>
                                    <w:rPr>
                                      <w:rFonts w:hint="eastAsia"/>
                                    </w:rPr>
                                    <w:t>季</w:t>
                                  </w:r>
                                </w:p>
                              </w:txbxContent>
                            </wps:txbx>
                            <wps:bodyPr upright="1"/>
                          </wps:wsp>
                        </a:graphicData>
                      </a:graphic>
                    </wp:anchor>
                  </w:drawing>
                </mc:Choice>
                <mc:Fallback>
                  <w:pict>
                    <v:rect id="矩形 4" o:spid="_x0000_s1026" o:spt="1" style="position:absolute;left:0pt;margin-left:61.5pt;margin-top:1.6pt;height:21.55pt;width:17.15pt;z-index:251660288;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CcTgbZAAAACAEAAA8AAAAAAAAAAQAgAAAAIgAAAGRycy9kb3du&#10;cmV2LnhtbFBLAQIUABQAAAAIAIdO4kCYJtYijAEAAPwCAAAOAAAAAAAAAAEAIAAAACgBAABkcnMv&#10;ZTJvRG9jLnhtbFBLBQYAAAAABgAGAFkBAAAmBQAAAAA=&#10;">
                      <v:fill on="f" focussize="0,0"/>
                      <v:stroke on="f"/>
                      <v:imagedata o:title=""/>
                      <o:lock v:ext="edit" aspectratio="f"/>
                      <v:textbox>
                        <w:txbxContent>
                          <w:p>
                            <w:r>
                              <w:rPr>
                                <w:rFonts w:hint="eastAsia"/>
                              </w:rPr>
                              <w:t>季</w:t>
                            </w:r>
                          </w:p>
                        </w:txbxContent>
                      </v:textbox>
                    </v:rect>
                  </w:pict>
                </mc:Fallback>
              </mc:AlternateContent>
            </w:r>
            <w:r>
              <w:rPr>
                <w:rFonts w:hint="eastAsia"/>
                <w:color w:val="auto"/>
                <w:highlight w:val="none"/>
              </w:rPr>
              <w:t xml:space="preserve">        </w:t>
            </w:r>
          </w:p>
          <w:p>
            <w:pPr>
              <w:jc w:val="center"/>
              <w:rPr>
                <w:color w:val="auto"/>
                <w:highlight w:val="none"/>
              </w:rPr>
            </w:pPr>
          </w:p>
        </w:tc>
        <w:tc>
          <w:tcPr>
            <w:tcW w:w="4537" w:type="dxa"/>
            <w:gridSpan w:val="12"/>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2896" w:type="dxa"/>
            <w:gridSpan w:val="8"/>
            <w:vAlign w:val="center"/>
          </w:tcPr>
          <w:p>
            <w:pPr>
              <w:jc w:val="center"/>
              <w:rPr>
                <w:color w:val="auto"/>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rPr>
                <w:rFonts w:hint="eastAsia"/>
                <w:color w:val="auto"/>
                <w:highlight w:val="none"/>
              </w:rPr>
            </w:pPr>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1066800</wp:posOffset>
                      </wp:positionH>
                      <wp:positionV relativeFrom="paragraph">
                        <wp:posOffset>-5715</wp:posOffset>
                      </wp:positionV>
                      <wp:extent cx="217805" cy="273685"/>
                      <wp:effectExtent l="0" t="0" r="0" b="0"/>
                      <wp:wrapNone/>
                      <wp:docPr id="15" name="矩形 5"/>
                      <wp:cNvGraphicFramePr/>
                      <a:graphic xmlns:a="http://schemas.openxmlformats.org/drawingml/2006/main">
                        <a:graphicData uri="http://schemas.microsoft.com/office/word/2010/wordprocessingShape">
                          <wps:wsp>
                            <wps:cNvSpPr/>
                            <wps:spPr>
                              <a:xfrm>
                                <a:off x="0" y="0"/>
                                <a:ext cx="217805" cy="273685"/>
                              </a:xfrm>
                              <a:prstGeom prst="rect">
                                <a:avLst/>
                              </a:prstGeom>
                              <a:noFill/>
                              <a:ln w="9525">
                                <a:noFill/>
                              </a:ln>
                            </wps:spPr>
                            <wps:txbx>
                              <w:txbxContent>
                                <w:p>
                                  <w:r>
                                    <w:rPr>
                                      <w:rFonts w:hint="eastAsia"/>
                                    </w:rPr>
                                    <w:t>度</w:t>
                                  </w:r>
                                </w:p>
                              </w:txbxContent>
                            </wps:txbx>
                            <wps:bodyPr upright="1"/>
                          </wps:wsp>
                        </a:graphicData>
                      </a:graphic>
                    </wp:anchor>
                  </w:drawing>
                </mc:Choice>
                <mc:Fallback>
                  <w:pict>
                    <v:rect id="矩形 5" o:spid="_x0000_s1026" o:spt="1" style="position:absolute;left:0pt;margin-left:84pt;margin-top:-0.45pt;height:21.55pt;width:17.15pt;z-index:251661312;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wgNw4dkAAAAIAQAADwAAAAAAAAABACAAAAAiAAAAZHJzL2Rvd25y&#10;ZXYueG1sUEsBAhQAFAAAAAgAh07iQMyABriLAQAA/AIAAA4AAAAAAAAAAQAgAAAAKAEAAGRycy9l&#10;Mm9Eb2MueG1sUEsFBgAAAAAGAAYAWQEAACUFAAAAAA==&#10;">
                      <v:fill on="f" focussize="0,0"/>
                      <v:stroke on="f"/>
                      <v:imagedata o:title=""/>
                      <o:lock v:ext="edit" aspectratio="f"/>
                      <v:textbox>
                        <w:txbxContent>
                          <w:p>
                            <w:r>
                              <w:rPr>
                                <w:rFonts w:hint="eastAsia"/>
                              </w:rPr>
                              <w:t>度</w:t>
                            </w:r>
                          </w:p>
                        </w:txbxContent>
                      </v:textbox>
                    </v:rect>
                  </w:pict>
                </mc:Fallback>
              </mc:AlternateContent>
            </w:r>
            <w:r>
              <w:rPr>
                <w:rFonts w:hint="eastAsia"/>
                <w:color w:val="auto"/>
                <w:highlight w:val="none"/>
              </w:rPr>
              <w:t xml:space="preserve">     </w:t>
            </w:r>
          </w:p>
          <w:p>
            <w:pPr>
              <w:jc w:val="left"/>
              <w:rPr>
                <w:rFonts w:hint="eastAsia"/>
                <w:color w:val="auto"/>
                <w:highlight w:val="none"/>
              </w:rPr>
            </w:pPr>
          </w:p>
          <w:p>
            <w:pPr>
              <w:jc w:val="left"/>
              <w:rPr>
                <w:color w:val="auto"/>
                <w:highlight w:val="none"/>
              </w:rPr>
            </w:pPr>
            <w:r>
              <w:rPr>
                <w:rFonts w:hint="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245745</wp:posOffset>
                      </wp:positionV>
                      <wp:extent cx="1141730" cy="5772150"/>
                      <wp:effectExtent l="0" t="0" r="0" b="0"/>
                      <wp:wrapNone/>
                      <wp:docPr id="17" name="矩形 6"/>
                      <wp:cNvGraphicFramePr/>
                      <a:graphic xmlns:a="http://schemas.openxmlformats.org/drawingml/2006/main">
                        <a:graphicData uri="http://schemas.microsoft.com/office/word/2010/wordprocessingShape">
                          <wps:wsp>
                            <wps:cNvSpPr/>
                            <wps:spPr>
                              <a:xfrm>
                                <a:off x="0" y="0"/>
                                <a:ext cx="1141730" cy="5772150"/>
                              </a:xfrm>
                              <a:prstGeom prst="rect">
                                <a:avLst/>
                              </a:prstGeom>
                              <a:noFill/>
                              <a:ln w="9525">
                                <a:noFill/>
                              </a:ln>
                            </wps:spPr>
                            <wps:txb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240" w:lineRule="exact"/>
                                    <w:jc w:val="center"/>
                                    <w:rPr>
                                      <w:rFonts w:hint="eastAsia"/>
                                    </w:rPr>
                                  </w:pPr>
                                  <w:r>
                                    <w:rPr>
                                      <w:rFonts w:hint="eastAsia"/>
                                    </w:rPr>
                                    <w:t>工</w:t>
                                  </w:r>
                                </w:p>
                                <w:p>
                                  <w:pPr>
                                    <w:spacing w:line="240" w:lineRule="exact"/>
                                    <w:jc w:val="center"/>
                                    <w:rPr>
                                      <w:rFonts w:hint="eastAsia"/>
                                    </w:rPr>
                                  </w:pPr>
                                </w:p>
                                <w:p>
                                  <w:pPr>
                                    <w:spacing w:line="240" w:lineRule="exact"/>
                                    <w:jc w:val="center"/>
                                    <w:rPr>
                                      <w:rFonts w:hint="eastAsia"/>
                                    </w:rPr>
                                  </w:pPr>
                                  <w:r>
                                    <w:rPr>
                                      <w:rFonts w:hint="eastAsia"/>
                                    </w:rPr>
                                    <w:t>程</w:t>
                                  </w:r>
                                </w:p>
                                <w:p>
                                  <w:pPr>
                                    <w:spacing w:line="240" w:lineRule="exact"/>
                                    <w:jc w:val="center"/>
                                    <w:rPr>
                                      <w:rFonts w:hint="eastAsia"/>
                                    </w:rPr>
                                  </w:pPr>
                                </w:p>
                                <w:p>
                                  <w:pPr>
                                    <w:spacing w:line="240" w:lineRule="exact"/>
                                    <w:jc w:val="center"/>
                                    <w:rPr>
                                      <w:rFonts w:hint="eastAsia"/>
                                    </w:rPr>
                                  </w:pPr>
                                  <w:r>
                                    <w:rPr>
                                      <w:rFonts w:hint="eastAsia"/>
                                    </w:rPr>
                                    <w:t>完</w:t>
                                  </w:r>
                                </w:p>
                                <w:p>
                                  <w:pPr>
                                    <w:spacing w:line="240" w:lineRule="exact"/>
                                    <w:jc w:val="center"/>
                                    <w:rPr>
                                      <w:rFonts w:hint="eastAsia"/>
                                    </w:rPr>
                                  </w:pPr>
                                </w:p>
                                <w:p>
                                  <w:pPr>
                                    <w:spacing w:line="240" w:lineRule="exact"/>
                                    <w:jc w:val="center"/>
                                    <w:rPr>
                                      <w:rFonts w:hint="eastAsia"/>
                                    </w:rPr>
                                  </w:pPr>
                                  <w:r>
                                    <w:rPr>
                                      <w:rFonts w:hint="eastAsia"/>
                                    </w:rPr>
                                    <w:t>成</w:t>
                                  </w:r>
                                </w:p>
                                <w:p>
                                  <w:pPr>
                                    <w:spacing w:line="240" w:lineRule="exact"/>
                                    <w:jc w:val="center"/>
                                    <w:rPr>
                                      <w:rFonts w:hint="eastAsia"/>
                                    </w:rPr>
                                  </w:pPr>
                                </w:p>
                                <w:p>
                                  <w:pPr>
                                    <w:spacing w:line="240" w:lineRule="exact"/>
                                    <w:jc w:val="center"/>
                                    <w:rPr>
                                      <w:rFonts w:hint="eastAsia"/>
                                    </w:rPr>
                                  </w:pPr>
                                  <w:r>
                                    <w:rPr>
                                      <w:rFonts w:hint="eastAsia"/>
                                    </w:rPr>
                                    <w:t>的</w:t>
                                  </w:r>
                                </w:p>
                                <w:p>
                                  <w:pPr>
                                    <w:spacing w:line="240" w:lineRule="exact"/>
                                    <w:jc w:val="center"/>
                                    <w:rPr>
                                      <w:rFonts w:hint="eastAsia"/>
                                    </w:rPr>
                                  </w:pPr>
                                </w:p>
                                <w:p>
                                  <w:pPr>
                                    <w:spacing w:line="240" w:lineRule="exact"/>
                                    <w:jc w:val="center"/>
                                    <w:rPr>
                                      <w:rFonts w:hint="eastAsia"/>
                                    </w:rPr>
                                  </w:pPr>
                                  <w:r>
                                    <w:rPr>
                                      <w:rFonts w:hint="eastAsia"/>
                                    </w:rPr>
                                    <w:t>百</w:t>
                                  </w:r>
                                </w:p>
                                <w:p>
                                  <w:pPr>
                                    <w:spacing w:line="240" w:lineRule="exact"/>
                                    <w:jc w:val="center"/>
                                    <w:rPr>
                                      <w:rFonts w:hint="eastAsia"/>
                                    </w:rPr>
                                  </w:pPr>
                                </w:p>
                                <w:p>
                                  <w:pPr>
                                    <w:spacing w:line="240" w:lineRule="exact"/>
                                    <w:jc w:val="center"/>
                                    <w:rPr>
                                      <w:rFonts w:hint="eastAsia"/>
                                    </w:rPr>
                                  </w:pPr>
                                  <w:r>
                                    <w:rPr>
                                      <w:rFonts w:hint="eastAsia"/>
                                    </w:rPr>
                                    <w:t>分</w:t>
                                  </w:r>
                                </w:p>
                                <w:p>
                                  <w:pPr>
                                    <w:spacing w:line="240" w:lineRule="exact"/>
                                    <w:jc w:val="center"/>
                                    <w:rPr>
                                      <w:rFonts w:hint="eastAsia"/>
                                    </w:rPr>
                                  </w:pPr>
                                </w:p>
                                <w:p>
                                  <w:pPr>
                                    <w:spacing w:line="240" w:lineRule="exact"/>
                                    <w:jc w:val="center"/>
                                    <w:rPr>
                                      <w:rFonts w:hint="eastAsia"/>
                                    </w:rPr>
                                  </w:pPr>
                                  <w:r>
                                    <w:rPr>
                                      <w:rFonts w:hint="eastAsia"/>
                                    </w:rPr>
                                    <w:t>比</w:t>
                                  </w:r>
                                </w:p>
                                <w:p>
                                  <w:pPr>
                                    <w:spacing w:line="240" w:lineRule="exact"/>
                                    <w:jc w:val="center"/>
                                    <w:rPr>
                                      <w:rFonts w:hint="eastAsia"/>
                                    </w:rPr>
                                  </w:pPr>
                                </w:p>
                                <w:p>
                                  <w:pPr>
                                    <w:spacing w:line="240" w:lineRule="exact"/>
                                    <w:jc w:val="center"/>
                                  </w:pPr>
                                  <w:r>
                                    <w:rPr>
                                      <w:rFonts w:hint="eastAsia"/>
                                    </w:rPr>
                                    <w:t>（%）</w:t>
                                  </w:r>
                                </w:p>
                              </w:txbxContent>
                            </wps:txbx>
                            <wps:bodyPr upright="1"/>
                          </wps:wsp>
                        </a:graphicData>
                      </a:graphic>
                    </wp:anchor>
                  </w:drawing>
                </mc:Choice>
                <mc:Fallback>
                  <w:pict>
                    <v:rect id="矩形 6" o:spid="_x0000_s1026" o:spt="1" style="position:absolute;left:0pt;margin-left:-5.55pt;margin-top:19.35pt;height:454.5pt;width:89.9pt;z-index:251662336;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OdH3DjaAAAACgEAAA8AAAAAAAAAAQAgAAAAIgAAAGRycy9k&#10;b3ducmV2LnhtbFBLAQIUABQAAAAIAIdO4kBJQMRIjgEAAP4CAAAOAAAAAAAAAAEAIAAAACkBAABk&#10;cnMvZTJvRG9jLnhtbFBLBQYAAAAABgAGAFkBAAApBQAAAAA=&#10;">
                      <v:fill on="f" focussize="0,0"/>
                      <v:stroke on="f"/>
                      <v:imagedata o:title=""/>
                      <o:lock v:ext="edit" aspectratio="f"/>
                      <v:textbox>
                        <w:txbxContent>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spacing w:line="240" w:lineRule="exact"/>
                              <w:jc w:val="center"/>
                              <w:rPr>
                                <w:rFonts w:hint="eastAsia"/>
                              </w:rPr>
                            </w:pPr>
                            <w:r>
                              <w:rPr>
                                <w:rFonts w:hint="eastAsia"/>
                              </w:rPr>
                              <w:t>工</w:t>
                            </w:r>
                          </w:p>
                          <w:p>
                            <w:pPr>
                              <w:spacing w:line="240" w:lineRule="exact"/>
                              <w:jc w:val="center"/>
                              <w:rPr>
                                <w:rFonts w:hint="eastAsia"/>
                              </w:rPr>
                            </w:pPr>
                          </w:p>
                          <w:p>
                            <w:pPr>
                              <w:spacing w:line="240" w:lineRule="exact"/>
                              <w:jc w:val="center"/>
                              <w:rPr>
                                <w:rFonts w:hint="eastAsia"/>
                              </w:rPr>
                            </w:pPr>
                            <w:r>
                              <w:rPr>
                                <w:rFonts w:hint="eastAsia"/>
                              </w:rPr>
                              <w:t>程</w:t>
                            </w:r>
                          </w:p>
                          <w:p>
                            <w:pPr>
                              <w:spacing w:line="240" w:lineRule="exact"/>
                              <w:jc w:val="center"/>
                              <w:rPr>
                                <w:rFonts w:hint="eastAsia"/>
                              </w:rPr>
                            </w:pPr>
                          </w:p>
                          <w:p>
                            <w:pPr>
                              <w:spacing w:line="240" w:lineRule="exact"/>
                              <w:jc w:val="center"/>
                              <w:rPr>
                                <w:rFonts w:hint="eastAsia"/>
                              </w:rPr>
                            </w:pPr>
                            <w:r>
                              <w:rPr>
                                <w:rFonts w:hint="eastAsia"/>
                              </w:rPr>
                              <w:t>完</w:t>
                            </w:r>
                          </w:p>
                          <w:p>
                            <w:pPr>
                              <w:spacing w:line="240" w:lineRule="exact"/>
                              <w:jc w:val="center"/>
                              <w:rPr>
                                <w:rFonts w:hint="eastAsia"/>
                              </w:rPr>
                            </w:pPr>
                          </w:p>
                          <w:p>
                            <w:pPr>
                              <w:spacing w:line="240" w:lineRule="exact"/>
                              <w:jc w:val="center"/>
                              <w:rPr>
                                <w:rFonts w:hint="eastAsia"/>
                              </w:rPr>
                            </w:pPr>
                            <w:r>
                              <w:rPr>
                                <w:rFonts w:hint="eastAsia"/>
                              </w:rPr>
                              <w:t>成</w:t>
                            </w:r>
                          </w:p>
                          <w:p>
                            <w:pPr>
                              <w:spacing w:line="240" w:lineRule="exact"/>
                              <w:jc w:val="center"/>
                              <w:rPr>
                                <w:rFonts w:hint="eastAsia"/>
                              </w:rPr>
                            </w:pPr>
                          </w:p>
                          <w:p>
                            <w:pPr>
                              <w:spacing w:line="240" w:lineRule="exact"/>
                              <w:jc w:val="center"/>
                              <w:rPr>
                                <w:rFonts w:hint="eastAsia"/>
                              </w:rPr>
                            </w:pPr>
                            <w:r>
                              <w:rPr>
                                <w:rFonts w:hint="eastAsia"/>
                              </w:rPr>
                              <w:t>的</w:t>
                            </w:r>
                          </w:p>
                          <w:p>
                            <w:pPr>
                              <w:spacing w:line="240" w:lineRule="exact"/>
                              <w:jc w:val="center"/>
                              <w:rPr>
                                <w:rFonts w:hint="eastAsia"/>
                              </w:rPr>
                            </w:pPr>
                          </w:p>
                          <w:p>
                            <w:pPr>
                              <w:spacing w:line="240" w:lineRule="exact"/>
                              <w:jc w:val="center"/>
                              <w:rPr>
                                <w:rFonts w:hint="eastAsia"/>
                              </w:rPr>
                            </w:pPr>
                            <w:r>
                              <w:rPr>
                                <w:rFonts w:hint="eastAsia"/>
                              </w:rPr>
                              <w:t>百</w:t>
                            </w:r>
                          </w:p>
                          <w:p>
                            <w:pPr>
                              <w:spacing w:line="240" w:lineRule="exact"/>
                              <w:jc w:val="center"/>
                              <w:rPr>
                                <w:rFonts w:hint="eastAsia"/>
                              </w:rPr>
                            </w:pPr>
                          </w:p>
                          <w:p>
                            <w:pPr>
                              <w:spacing w:line="240" w:lineRule="exact"/>
                              <w:jc w:val="center"/>
                              <w:rPr>
                                <w:rFonts w:hint="eastAsia"/>
                              </w:rPr>
                            </w:pPr>
                            <w:r>
                              <w:rPr>
                                <w:rFonts w:hint="eastAsia"/>
                              </w:rPr>
                              <w:t>分</w:t>
                            </w:r>
                          </w:p>
                          <w:p>
                            <w:pPr>
                              <w:spacing w:line="240" w:lineRule="exact"/>
                              <w:jc w:val="center"/>
                              <w:rPr>
                                <w:rFonts w:hint="eastAsia"/>
                              </w:rPr>
                            </w:pPr>
                          </w:p>
                          <w:p>
                            <w:pPr>
                              <w:spacing w:line="240" w:lineRule="exact"/>
                              <w:jc w:val="center"/>
                              <w:rPr>
                                <w:rFonts w:hint="eastAsia"/>
                              </w:rPr>
                            </w:pPr>
                            <w:r>
                              <w:rPr>
                                <w:rFonts w:hint="eastAsia"/>
                              </w:rPr>
                              <w:t>比</w:t>
                            </w:r>
                          </w:p>
                          <w:p>
                            <w:pPr>
                              <w:spacing w:line="240" w:lineRule="exact"/>
                              <w:jc w:val="center"/>
                              <w:rPr>
                                <w:rFonts w:hint="eastAsia"/>
                              </w:rPr>
                            </w:pPr>
                          </w:p>
                          <w:p>
                            <w:pPr>
                              <w:spacing w:line="240" w:lineRule="exact"/>
                              <w:jc w:val="center"/>
                            </w:pPr>
                            <w:r>
                              <w:rPr>
                                <w:rFonts w:hint="eastAsia"/>
                              </w:rPr>
                              <w:t>（%）</w:t>
                            </w:r>
                          </w:p>
                        </w:txbxContent>
                      </v:textbox>
                    </v:rect>
                  </w:pict>
                </mc:Fallback>
              </mc:AlternateContent>
            </w:r>
            <w:r>
              <w:rPr>
                <w:rFonts w:hint="eastAsia"/>
                <w:color w:val="auto"/>
                <w:highlight w:val="none"/>
              </w:rPr>
              <w:t>进  度</w:t>
            </w:r>
          </w:p>
        </w:tc>
        <w:tc>
          <w:tcPr>
            <w:tcW w:w="1093" w:type="dxa"/>
            <w:gridSpan w:val="3"/>
            <w:vAlign w:val="center"/>
          </w:tcPr>
          <w:p>
            <w:pPr>
              <w:jc w:val="center"/>
              <w:rPr>
                <w:color w:val="auto"/>
                <w:highlight w:val="none"/>
              </w:rPr>
            </w:pPr>
            <w:r>
              <w:rPr>
                <w:rFonts w:hint="eastAsia"/>
                <w:color w:val="auto"/>
                <w:highlight w:val="none"/>
              </w:rPr>
              <w:t>一</w:t>
            </w:r>
          </w:p>
        </w:tc>
        <w:tc>
          <w:tcPr>
            <w:tcW w:w="1089" w:type="dxa"/>
            <w:gridSpan w:val="3"/>
            <w:vAlign w:val="center"/>
          </w:tcPr>
          <w:p>
            <w:pPr>
              <w:jc w:val="center"/>
              <w:rPr>
                <w:color w:val="auto"/>
                <w:highlight w:val="none"/>
              </w:rPr>
            </w:pPr>
            <w:r>
              <w:rPr>
                <w:rFonts w:hint="eastAsia"/>
                <w:color w:val="auto"/>
                <w:highlight w:val="none"/>
              </w:rPr>
              <w:t>二</w:t>
            </w:r>
          </w:p>
        </w:tc>
        <w:tc>
          <w:tcPr>
            <w:tcW w:w="1084" w:type="dxa"/>
            <w:gridSpan w:val="3"/>
            <w:vAlign w:val="center"/>
          </w:tcPr>
          <w:p>
            <w:pPr>
              <w:jc w:val="center"/>
              <w:rPr>
                <w:color w:val="auto"/>
                <w:highlight w:val="none"/>
              </w:rPr>
            </w:pPr>
            <w:r>
              <w:rPr>
                <w:rFonts w:hint="eastAsia"/>
                <w:color w:val="auto"/>
                <w:highlight w:val="none"/>
              </w:rPr>
              <w:t>三</w:t>
            </w:r>
          </w:p>
        </w:tc>
        <w:tc>
          <w:tcPr>
            <w:tcW w:w="1271" w:type="dxa"/>
            <w:gridSpan w:val="3"/>
            <w:vAlign w:val="center"/>
          </w:tcPr>
          <w:p>
            <w:pPr>
              <w:jc w:val="center"/>
              <w:rPr>
                <w:color w:val="auto"/>
                <w:highlight w:val="none"/>
              </w:rPr>
            </w:pPr>
            <w:r>
              <w:rPr>
                <w:rFonts w:hint="eastAsia"/>
                <w:color w:val="auto"/>
                <w:highlight w:val="none"/>
              </w:rPr>
              <w:t>四</w:t>
            </w:r>
          </w:p>
        </w:tc>
        <w:tc>
          <w:tcPr>
            <w:tcW w:w="1084" w:type="dxa"/>
            <w:gridSpan w:val="3"/>
            <w:vAlign w:val="center"/>
          </w:tcPr>
          <w:p>
            <w:pPr>
              <w:jc w:val="center"/>
              <w:rPr>
                <w:color w:val="auto"/>
                <w:highlight w:val="none"/>
              </w:rPr>
            </w:pPr>
            <w:r>
              <w:rPr>
                <w:rFonts w:hint="eastAsia"/>
                <w:color w:val="auto"/>
                <w:highlight w:val="none"/>
              </w:rPr>
              <w:t>一</w:t>
            </w:r>
          </w:p>
        </w:tc>
        <w:tc>
          <w:tcPr>
            <w:tcW w:w="1088" w:type="dxa"/>
            <w:gridSpan w:val="3"/>
            <w:vAlign w:val="center"/>
          </w:tcPr>
          <w:p>
            <w:pPr>
              <w:jc w:val="center"/>
              <w:rPr>
                <w:color w:val="auto"/>
                <w:highlight w:val="none"/>
              </w:rPr>
            </w:pPr>
            <w:r>
              <w:rPr>
                <w:rFonts w:hint="eastAsia"/>
                <w:color w:val="auto"/>
                <w:highlight w:val="none"/>
              </w:rPr>
              <w:t>二</w:t>
            </w:r>
          </w:p>
        </w:tc>
        <w:tc>
          <w:tcPr>
            <w:tcW w:w="724" w:type="dxa"/>
            <w:gridSpan w:val="2"/>
            <w:vAlign w:val="center"/>
          </w:tcPr>
          <w:p>
            <w:pPr>
              <w:jc w:val="center"/>
              <w:rPr>
                <w:color w:val="auto"/>
                <w:highlight w:val="none"/>
              </w:rPr>
            </w:pPr>
            <w:r>
              <w:rPr>
                <w:rFonts w:ascii="宋体" w:hAnsi="宋体"/>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rPr>
                <w:color w:val="auto"/>
                <w:highlight w:val="none"/>
              </w:rPr>
            </w:pPr>
          </w:p>
        </w:tc>
        <w:tc>
          <w:tcPr>
            <w:tcW w:w="361" w:type="dxa"/>
            <w:vAlign w:val="center"/>
          </w:tcPr>
          <w:p>
            <w:pPr>
              <w:jc w:val="center"/>
              <w:rPr>
                <w:color w:val="auto"/>
                <w:highlight w:val="none"/>
              </w:rPr>
            </w:pPr>
            <w:r>
              <w:rPr>
                <w:rFonts w:hint="eastAsia"/>
                <w:color w:val="auto"/>
                <w:highlight w:val="none"/>
              </w:rPr>
              <w:t>1</w:t>
            </w:r>
          </w:p>
        </w:tc>
        <w:tc>
          <w:tcPr>
            <w:tcW w:w="361" w:type="dxa"/>
            <w:vAlign w:val="center"/>
          </w:tcPr>
          <w:p>
            <w:pPr>
              <w:jc w:val="center"/>
              <w:rPr>
                <w:color w:val="auto"/>
                <w:highlight w:val="none"/>
              </w:rPr>
            </w:pPr>
            <w:r>
              <w:rPr>
                <w:rFonts w:hint="eastAsia"/>
                <w:color w:val="auto"/>
                <w:highlight w:val="none"/>
              </w:rPr>
              <w:t>2</w:t>
            </w:r>
          </w:p>
        </w:tc>
        <w:tc>
          <w:tcPr>
            <w:tcW w:w="371" w:type="dxa"/>
            <w:vAlign w:val="center"/>
          </w:tcPr>
          <w:p>
            <w:pPr>
              <w:jc w:val="center"/>
              <w:rPr>
                <w:color w:val="auto"/>
                <w:highlight w:val="none"/>
              </w:rPr>
            </w:pPr>
            <w:r>
              <w:rPr>
                <w:rFonts w:hint="eastAsia"/>
                <w:color w:val="auto"/>
                <w:highlight w:val="none"/>
              </w:rPr>
              <w:t>3</w:t>
            </w:r>
          </w:p>
        </w:tc>
        <w:tc>
          <w:tcPr>
            <w:tcW w:w="361" w:type="dxa"/>
            <w:vAlign w:val="center"/>
          </w:tcPr>
          <w:p>
            <w:pPr>
              <w:jc w:val="center"/>
              <w:rPr>
                <w:color w:val="auto"/>
                <w:highlight w:val="none"/>
              </w:rPr>
            </w:pPr>
            <w:r>
              <w:rPr>
                <w:rFonts w:hint="eastAsia"/>
                <w:color w:val="auto"/>
                <w:highlight w:val="none"/>
              </w:rPr>
              <w:t>4</w:t>
            </w:r>
          </w:p>
        </w:tc>
        <w:tc>
          <w:tcPr>
            <w:tcW w:w="361" w:type="dxa"/>
            <w:vAlign w:val="center"/>
          </w:tcPr>
          <w:p>
            <w:pPr>
              <w:jc w:val="center"/>
              <w:rPr>
                <w:color w:val="auto"/>
                <w:highlight w:val="none"/>
              </w:rPr>
            </w:pPr>
            <w:r>
              <w:rPr>
                <w:rFonts w:hint="eastAsia"/>
                <w:color w:val="auto"/>
                <w:highlight w:val="none"/>
              </w:rPr>
              <w:t>5</w:t>
            </w:r>
          </w:p>
        </w:tc>
        <w:tc>
          <w:tcPr>
            <w:tcW w:w="367" w:type="dxa"/>
            <w:vAlign w:val="center"/>
          </w:tcPr>
          <w:p>
            <w:pPr>
              <w:jc w:val="center"/>
              <w:rPr>
                <w:color w:val="auto"/>
                <w:highlight w:val="none"/>
              </w:rPr>
            </w:pPr>
            <w:r>
              <w:rPr>
                <w:rFonts w:hint="eastAsia"/>
                <w:color w:val="auto"/>
                <w:highlight w:val="none"/>
              </w:rPr>
              <w:t>6</w:t>
            </w:r>
          </w:p>
        </w:tc>
        <w:tc>
          <w:tcPr>
            <w:tcW w:w="360" w:type="dxa"/>
            <w:vAlign w:val="center"/>
          </w:tcPr>
          <w:p>
            <w:pPr>
              <w:jc w:val="center"/>
              <w:rPr>
                <w:color w:val="auto"/>
                <w:highlight w:val="none"/>
              </w:rPr>
            </w:pPr>
            <w:r>
              <w:rPr>
                <w:rFonts w:hint="eastAsia"/>
                <w:color w:val="auto"/>
                <w:highlight w:val="none"/>
              </w:rPr>
              <w:t>7</w:t>
            </w:r>
          </w:p>
        </w:tc>
        <w:tc>
          <w:tcPr>
            <w:tcW w:w="360" w:type="dxa"/>
            <w:vAlign w:val="center"/>
          </w:tcPr>
          <w:p>
            <w:pPr>
              <w:jc w:val="center"/>
              <w:rPr>
                <w:color w:val="auto"/>
                <w:highlight w:val="none"/>
              </w:rPr>
            </w:pPr>
            <w:r>
              <w:rPr>
                <w:rFonts w:hint="eastAsia"/>
                <w:color w:val="auto"/>
                <w:highlight w:val="none"/>
              </w:rPr>
              <w:t>8</w:t>
            </w:r>
          </w:p>
        </w:tc>
        <w:tc>
          <w:tcPr>
            <w:tcW w:w="364" w:type="dxa"/>
            <w:vAlign w:val="center"/>
          </w:tcPr>
          <w:p>
            <w:pPr>
              <w:jc w:val="center"/>
              <w:rPr>
                <w:color w:val="auto"/>
                <w:highlight w:val="none"/>
              </w:rPr>
            </w:pPr>
            <w:r>
              <w:rPr>
                <w:rFonts w:hint="eastAsia"/>
                <w:color w:val="auto"/>
                <w:highlight w:val="none"/>
              </w:rPr>
              <w:t>9</w:t>
            </w:r>
          </w:p>
        </w:tc>
        <w:tc>
          <w:tcPr>
            <w:tcW w:w="426" w:type="dxa"/>
            <w:vAlign w:val="center"/>
          </w:tcPr>
          <w:p>
            <w:pPr>
              <w:jc w:val="center"/>
              <w:rPr>
                <w:color w:val="auto"/>
                <w:highlight w:val="none"/>
              </w:rPr>
            </w:pPr>
            <w:r>
              <w:rPr>
                <w:rFonts w:hint="eastAsia"/>
                <w:color w:val="auto"/>
                <w:highlight w:val="none"/>
              </w:rPr>
              <w:t>10</w:t>
            </w:r>
          </w:p>
        </w:tc>
        <w:tc>
          <w:tcPr>
            <w:tcW w:w="419" w:type="dxa"/>
            <w:vAlign w:val="center"/>
          </w:tcPr>
          <w:p>
            <w:pPr>
              <w:jc w:val="center"/>
              <w:rPr>
                <w:color w:val="auto"/>
                <w:highlight w:val="none"/>
              </w:rPr>
            </w:pPr>
            <w:r>
              <w:rPr>
                <w:rFonts w:hint="eastAsia"/>
                <w:color w:val="auto"/>
                <w:highlight w:val="none"/>
              </w:rPr>
              <w:t>11</w:t>
            </w:r>
          </w:p>
        </w:tc>
        <w:tc>
          <w:tcPr>
            <w:tcW w:w="426" w:type="dxa"/>
            <w:vAlign w:val="center"/>
          </w:tcPr>
          <w:p>
            <w:pPr>
              <w:jc w:val="center"/>
              <w:rPr>
                <w:color w:val="auto"/>
                <w:highlight w:val="none"/>
              </w:rPr>
            </w:pPr>
            <w:r>
              <w:rPr>
                <w:rFonts w:hint="eastAsia"/>
                <w:color w:val="auto"/>
                <w:highlight w:val="none"/>
              </w:rPr>
              <w:t>12</w:t>
            </w:r>
          </w:p>
        </w:tc>
        <w:tc>
          <w:tcPr>
            <w:tcW w:w="360" w:type="dxa"/>
            <w:vAlign w:val="center"/>
          </w:tcPr>
          <w:p>
            <w:pPr>
              <w:jc w:val="center"/>
              <w:rPr>
                <w:color w:val="auto"/>
                <w:highlight w:val="none"/>
              </w:rPr>
            </w:pPr>
            <w:r>
              <w:rPr>
                <w:rFonts w:hint="eastAsia"/>
                <w:color w:val="auto"/>
                <w:highlight w:val="none"/>
              </w:rPr>
              <w:t>1</w:t>
            </w:r>
          </w:p>
        </w:tc>
        <w:tc>
          <w:tcPr>
            <w:tcW w:w="360" w:type="dxa"/>
            <w:vAlign w:val="center"/>
          </w:tcPr>
          <w:p>
            <w:pPr>
              <w:jc w:val="center"/>
              <w:rPr>
                <w:color w:val="auto"/>
                <w:highlight w:val="none"/>
              </w:rPr>
            </w:pPr>
            <w:r>
              <w:rPr>
                <w:rFonts w:hint="eastAsia"/>
                <w:color w:val="auto"/>
                <w:highlight w:val="none"/>
              </w:rPr>
              <w:t>2</w:t>
            </w:r>
          </w:p>
        </w:tc>
        <w:tc>
          <w:tcPr>
            <w:tcW w:w="364" w:type="dxa"/>
            <w:vAlign w:val="center"/>
          </w:tcPr>
          <w:p>
            <w:pPr>
              <w:jc w:val="center"/>
              <w:rPr>
                <w:color w:val="auto"/>
                <w:highlight w:val="none"/>
              </w:rPr>
            </w:pPr>
            <w:r>
              <w:rPr>
                <w:rFonts w:hint="eastAsia"/>
                <w:color w:val="auto"/>
                <w:highlight w:val="none"/>
              </w:rPr>
              <w:t>3</w:t>
            </w:r>
          </w:p>
        </w:tc>
        <w:tc>
          <w:tcPr>
            <w:tcW w:w="362" w:type="dxa"/>
            <w:vAlign w:val="center"/>
          </w:tcPr>
          <w:p>
            <w:pPr>
              <w:jc w:val="center"/>
              <w:rPr>
                <w:color w:val="auto"/>
                <w:highlight w:val="none"/>
              </w:rPr>
            </w:pPr>
            <w:r>
              <w:rPr>
                <w:rFonts w:hint="eastAsia"/>
                <w:color w:val="auto"/>
                <w:highlight w:val="none"/>
              </w:rPr>
              <w:t>4</w:t>
            </w:r>
          </w:p>
        </w:tc>
        <w:tc>
          <w:tcPr>
            <w:tcW w:w="362" w:type="dxa"/>
            <w:vAlign w:val="center"/>
          </w:tcPr>
          <w:p>
            <w:pPr>
              <w:jc w:val="center"/>
              <w:rPr>
                <w:color w:val="auto"/>
                <w:highlight w:val="none"/>
              </w:rPr>
            </w:pPr>
            <w:r>
              <w:rPr>
                <w:rFonts w:hint="eastAsia"/>
                <w:color w:val="auto"/>
                <w:highlight w:val="none"/>
              </w:rPr>
              <w:t>5</w:t>
            </w:r>
          </w:p>
        </w:tc>
        <w:tc>
          <w:tcPr>
            <w:tcW w:w="364" w:type="dxa"/>
            <w:vAlign w:val="center"/>
          </w:tcPr>
          <w:p>
            <w:pPr>
              <w:jc w:val="center"/>
              <w:rPr>
                <w:color w:val="auto"/>
                <w:highlight w:val="none"/>
              </w:rPr>
            </w:pPr>
            <w:r>
              <w:rPr>
                <w:rFonts w:hint="eastAsia"/>
                <w:color w:val="auto"/>
                <w:highlight w:val="none"/>
              </w:rPr>
              <w:t>6</w:t>
            </w:r>
          </w:p>
        </w:tc>
        <w:tc>
          <w:tcPr>
            <w:tcW w:w="724" w:type="dxa"/>
            <w:gridSpan w:val="2"/>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rPr>
                <w:color w:val="auto"/>
                <w:highlight w:val="none"/>
              </w:rPr>
            </w:pPr>
            <w:r>
              <w:rPr>
                <w:rFonts w:hint="eastAsia"/>
                <w:color w:val="auto"/>
                <w:highlight w:val="none"/>
              </w:rPr>
              <w:t>100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90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80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70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60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50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40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30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20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rPr>
                <w:color w:val="auto"/>
                <w:highlight w:val="none"/>
              </w:rPr>
            </w:pPr>
            <w:r>
              <w:rPr>
                <w:rFonts w:hint="eastAsia"/>
                <w:color w:val="auto"/>
                <w:highlight w:val="none"/>
              </w:rPr>
              <w:t>10</w:t>
            </w: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71" w:type="dxa"/>
            <w:vAlign w:val="center"/>
          </w:tcPr>
          <w:p>
            <w:pPr>
              <w:jc w:val="center"/>
              <w:rPr>
                <w:color w:val="auto"/>
                <w:highlight w:val="none"/>
              </w:rPr>
            </w:pPr>
          </w:p>
        </w:tc>
        <w:tc>
          <w:tcPr>
            <w:tcW w:w="361" w:type="dxa"/>
            <w:vAlign w:val="center"/>
          </w:tcPr>
          <w:p>
            <w:pPr>
              <w:jc w:val="center"/>
              <w:rPr>
                <w:color w:val="auto"/>
                <w:highlight w:val="none"/>
              </w:rPr>
            </w:pPr>
          </w:p>
        </w:tc>
        <w:tc>
          <w:tcPr>
            <w:tcW w:w="361" w:type="dxa"/>
            <w:vAlign w:val="center"/>
          </w:tcPr>
          <w:p>
            <w:pPr>
              <w:jc w:val="center"/>
              <w:rPr>
                <w:color w:val="auto"/>
                <w:highlight w:val="none"/>
              </w:rPr>
            </w:pPr>
          </w:p>
        </w:tc>
        <w:tc>
          <w:tcPr>
            <w:tcW w:w="367"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426" w:type="dxa"/>
            <w:vAlign w:val="center"/>
          </w:tcPr>
          <w:p>
            <w:pPr>
              <w:jc w:val="center"/>
              <w:rPr>
                <w:color w:val="auto"/>
                <w:highlight w:val="none"/>
              </w:rPr>
            </w:pPr>
          </w:p>
        </w:tc>
        <w:tc>
          <w:tcPr>
            <w:tcW w:w="419" w:type="dxa"/>
            <w:vAlign w:val="center"/>
          </w:tcPr>
          <w:p>
            <w:pPr>
              <w:jc w:val="center"/>
              <w:rPr>
                <w:color w:val="auto"/>
                <w:highlight w:val="none"/>
              </w:rPr>
            </w:pPr>
          </w:p>
        </w:tc>
        <w:tc>
          <w:tcPr>
            <w:tcW w:w="426" w:type="dxa"/>
            <w:vAlign w:val="center"/>
          </w:tcPr>
          <w:p>
            <w:pPr>
              <w:jc w:val="center"/>
              <w:rPr>
                <w:color w:val="auto"/>
                <w:highlight w:val="none"/>
              </w:rPr>
            </w:pPr>
          </w:p>
        </w:tc>
        <w:tc>
          <w:tcPr>
            <w:tcW w:w="360" w:type="dxa"/>
            <w:vAlign w:val="center"/>
          </w:tcPr>
          <w:p>
            <w:pPr>
              <w:jc w:val="center"/>
              <w:rPr>
                <w:color w:val="auto"/>
                <w:highlight w:val="none"/>
              </w:rPr>
            </w:pPr>
          </w:p>
        </w:tc>
        <w:tc>
          <w:tcPr>
            <w:tcW w:w="360"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c>
          <w:tcPr>
            <w:tcW w:w="364" w:type="dxa"/>
            <w:vAlign w:val="center"/>
          </w:tcPr>
          <w:p>
            <w:pPr>
              <w:jc w:val="center"/>
              <w:rPr>
                <w:color w:val="auto"/>
                <w:highlight w:val="none"/>
              </w:rPr>
            </w:pPr>
          </w:p>
        </w:tc>
        <w:tc>
          <w:tcPr>
            <w:tcW w:w="362" w:type="dxa"/>
            <w:vAlign w:val="center"/>
          </w:tcPr>
          <w:p>
            <w:pPr>
              <w:jc w:val="center"/>
              <w:rPr>
                <w:color w:val="auto"/>
                <w:highlight w:val="none"/>
              </w:rPr>
            </w:pPr>
          </w:p>
        </w:tc>
        <w:tc>
          <w:tcPr>
            <w:tcW w:w="362" w:type="dxa"/>
            <w:vAlign w:val="center"/>
          </w:tcPr>
          <w:p>
            <w:pPr>
              <w:jc w:val="center"/>
              <w:rPr>
                <w:color w:val="auto"/>
                <w:highlight w:val="none"/>
              </w:rPr>
            </w:pPr>
          </w:p>
        </w:tc>
      </w:tr>
    </w:tbl>
    <w:p>
      <w:pPr>
        <w:rPr>
          <w:rFonts w:hint="eastAsia"/>
          <w:color w:val="auto"/>
          <w:highlight w:val="none"/>
        </w:rPr>
      </w:pPr>
      <w:r>
        <w:rPr>
          <w:rFonts w:hint="eastAsia" w:ascii="隶书" w:eastAsia="隶书"/>
          <w:color w:val="auto"/>
          <w:sz w:val="24"/>
          <w:highlight w:val="none"/>
        </w:rPr>
        <mc:AlternateContent>
          <mc:Choice Requires="wps">
            <w:drawing>
              <wp:anchor distT="0" distB="0" distL="114300" distR="114300" simplePos="0" relativeHeight="251658240" behindDoc="0" locked="0" layoutInCell="1" allowOverlap="1">
                <wp:simplePos x="0" y="0"/>
                <wp:positionH relativeFrom="column">
                  <wp:posOffset>918845</wp:posOffset>
                </wp:positionH>
                <wp:positionV relativeFrom="paragraph">
                  <wp:posOffset>379095</wp:posOffset>
                </wp:positionV>
                <wp:extent cx="3657600" cy="292100"/>
                <wp:effectExtent l="0" t="0" r="0" b="0"/>
                <wp:wrapNone/>
                <wp:docPr id="20" name="文本框 2"/>
                <wp:cNvGraphicFramePr/>
                <a:graphic xmlns:a="http://schemas.openxmlformats.org/drawingml/2006/main">
                  <a:graphicData uri="http://schemas.microsoft.com/office/word/2010/wordprocessingShape">
                    <wps:wsp>
                      <wps:cNvSpPr txBox="1"/>
                      <wps:spPr>
                        <a:xfrm>
                          <a:off x="0" y="0"/>
                          <a:ext cx="3657600" cy="292100"/>
                        </a:xfrm>
                        <a:prstGeom prst="rect">
                          <a:avLst/>
                        </a:prstGeom>
                        <a:noFill/>
                        <a:ln w="9525">
                          <a:noFill/>
                        </a:ln>
                      </wps:spPr>
                      <wps:txbx>
                        <w:txbxContent>
                          <w:p>
                            <w:pPr>
                              <w:jc w:val="center"/>
                              <w:rPr>
                                <w:rFonts w:hint="eastAsia" w:ascii="宋体" w:hAnsi="宋体"/>
                              </w:rPr>
                            </w:pPr>
                            <w:r>
                              <w:rPr>
                                <w:rFonts w:hint="eastAsia" w:ascii="宋体" w:hAnsi="宋体"/>
                              </w:rPr>
                              <w:t>工期历程的百分比（%）</w:t>
                            </w:r>
                          </w:p>
                        </w:txbxContent>
                      </wps:txbx>
                      <wps:bodyPr upright="1"/>
                    </wps:wsp>
                  </a:graphicData>
                </a:graphic>
              </wp:anchor>
            </w:drawing>
          </mc:Choice>
          <mc:Fallback>
            <w:pict>
              <v:shape id="文本框 2" o:spid="_x0000_s1026" o:spt="202" type="#_x0000_t202" style="position:absolute;left:0pt;margin-left:72.35pt;margin-top:29.85pt;height:23pt;width:288pt;z-index:251658240;mso-width-relative:page;mso-height-relative:page;" filled="f" stroked="f" coordsize="21600,21600" o:gfxdata="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LO2ftYAAAAKAQAADwAAAAAAAAABACAAAAAiAAAA&#10;ZHJzL2Rvd25yZXYueG1sUEsBAhQAFAAAAAgAh07iQOEgKOyXAQAACgMAAA4AAAAAAAAAAQAgAAAA&#10;JQEAAGRycy9lMm9Eb2MueG1sUEsFBgAAAAAGAAYAWQEAAC4FAAAAAA==&#10;">
                <v:fill on="f" focussize="0,0"/>
                <v:stroke on="f"/>
                <v:imagedata o:title=""/>
                <o:lock v:ext="edit" aspectratio="f"/>
                <v:textbox>
                  <w:txbxContent>
                    <w:p>
                      <w:pPr>
                        <w:jc w:val="center"/>
                        <w:rPr>
                          <w:rFonts w:hint="eastAsia" w:ascii="宋体" w:hAnsi="宋体"/>
                        </w:rPr>
                      </w:pPr>
                      <w:r>
                        <w:rPr>
                          <w:rFonts w:hint="eastAsia" w:ascii="宋体" w:hAnsi="宋体"/>
                        </w:rPr>
                        <w:t>工期历程的百分比（%）</w:t>
                      </w:r>
                    </w:p>
                  </w:txbxContent>
                </v:textbox>
              </v:shap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1149350</wp:posOffset>
                </wp:positionH>
                <wp:positionV relativeFrom="paragraph">
                  <wp:posOffset>20955</wp:posOffset>
                </wp:positionV>
                <wp:extent cx="5218430" cy="267335"/>
                <wp:effectExtent l="0" t="0" r="0" b="0"/>
                <wp:wrapNone/>
                <wp:docPr id="19" name="矩形 19"/>
                <wp:cNvGraphicFramePr/>
                <a:graphic xmlns:a="http://schemas.openxmlformats.org/drawingml/2006/main">
                  <a:graphicData uri="http://schemas.microsoft.com/office/word/2010/wordprocessingShape">
                    <wps:wsp>
                      <wps:cNvSpPr/>
                      <wps:spPr>
                        <a:xfrm>
                          <a:off x="0" y="0"/>
                          <a:ext cx="5218430" cy="267335"/>
                        </a:xfrm>
                        <a:prstGeom prst="rect">
                          <a:avLst/>
                        </a:prstGeom>
                        <a:noFill/>
                        <a:ln w="9525">
                          <a:noFill/>
                        </a:ln>
                      </wps:spPr>
                      <wps:txbx>
                        <w:txbxContent>
                          <w:p>
                            <w:r>
                              <w:rPr>
                                <w:rFonts w:hint="eastAsia"/>
                              </w:rPr>
                              <w:t>0     10     20     30     40      50     60     70     80     90    100</w:t>
                            </w:r>
                          </w:p>
                        </w:txbxContent>
                      </wps:txbx>
                      <wps:bodyPr upright="1"/>
                    </wps:wsp>
                  </a:graphicData>
                </a:graphic>
              </wp:anchor>
            </w:drawing>
          </mc:Choice>
          <mc:Fallback>
            <w:pict>
              <v:rect id="_x0000_s1026" o:spid="_x0000_s1026" o:spt="1" style="position:absolute;left:0pt;margin-left:90.5pt;margin-top:1.65pt;height:21.05pt;width:410.9pt;z-index:251663360;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sP1AndkAAAAJAQAADwAAAAAAAAABACAAAAAiAAAAZHJzL2Rv&#10;d25yZXYueG1sUEsBAhQAFAAAAAgAh07iQJCzCcGOAQAA/gIAAA4AAAAAAAAAAQAgAAAAKAEAAGRy&#10;cy9lMm9Eb2MueG1sUEsFBgAAAAAGAAYAWQEAACgFAAAAAA==&#10;">
                <v:fill on="f" focussize="0,0"/>
                <v:stroke on="f"/>
                <v:imagedata o:title=""/>
                <o:lock v:ext="edit" aspectratio="f"/>
                <v:textbox>
                  <w:txbxContent>
                    <w:p>
                      <w:r>
                        <w:rPr>
                          <w:rFonts w:hint="eastAsia"/>
                        </w:rPr>
                        <w:t>0     10     20     30     40      50     60     70     80     90    100</w:t>
                      </w:r>
                    </w:p>
                  </w:txbxContent>
                </v:textbox>
              </v:rect>
            </w:pict>
          </mc:Fallback>
        </mc:AlternateContent>
      </w:r>
      <w:r>
        <w:rPr>
          <w:rFonts w:hint="eastAsia"/>
          <w:color w:val="auto"/>
          <w:highlight w:val="none"/>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4"/>
        <w:keepNext w:val="0"/>
        <w:keepLines w:val="0"/>
        <w:pageBreakBefore/>
        <w:spacing w:beforeLines="100" w:afterLines="150" w:line="360" w:lineRule="exact"/>
        <w:jc w:val="center"/>
        <w:rPr>
          <w:rFonts w:hint="eastAsia" w:ascii="黑体" w:hAnsi="宋体" w:eastAsia="黑体"/>
          <w:color w:val="auto"/>
          <w:sz w:val="28"/>
          <w:szCs w:val="28"/>
          <w:highlight w:val="none"/>
        </w:rPr>
        <w:sectPr>
          <w:footnotePr>
            <w:numFmt w:val="decimalEnclosedCircleChinese"/>
            <w:numRestart w:val="eachPage"/>
          </w:footnotePr>
          <w:pgSz w:w="11907" w:h="16840"/>
          <w:pgMar w:top="1440" w:right="1361" w:bottom="1440" w:left="1361" w:header="720" w:footer="907" w:gutter="0"/>
          <w:cols w:space="720" w:num="1"/>
        </w:sectPr>
      </w:pPr>
    </w:p>
    <w:p>
      <w:pPr>
        <w:pStyle w:val="4"/>
        <w:spacing w:before="120" w:beforeLines="50" w:after="240" w:line="400" w:lineRule="exact"/>
        <w:rPr>
          <w:rFonts w:ascii="Arial" w:hAnsi="Arial" w:eastAsia="黑体"/>
          <w:color w:val="auto"/>
          <w:kern w:val="2"/>
          <w:sz w:val="28"/>
          <w:szCs w:val="28"/>
          <w:highlight w:val="none"/>
        </w:rPr>
      </w:pPr>
      <w:bookmarkStart w:id="266" w:name="_Toc234382968"/>
      <w:r>
        <w:rPr>
          <w:rFonts w:ascii="Arial" w:hAnsi="Arial" w:eastAsia="黑体"/>
          <w:color w:val="auto"/>
          <w:kern w:val="2"/>
          <w:sz w:val="28"/>
          <w:szCs w:val="28"/>
          <w:highlight w:val="none"/>
        </w:rPr>
        <w:t>附表四</w:t>
      </w:r>
      <w:r>
        <w:rPr>
          <w:rFonts w:hint="eastAsia" w:ascii="Arial" w:hAnsi="Arial" w:eastAsia="黑体"/>
          <w:color w:val="auto"/>
          <w:kern w:val="2"/>
          <w:sz w:val="28"/>
          <w:szCs w:val="28"/>
          <w:highlight w:val="none"/>
        </w:rPr>
        <w:t xml:space="preserve">   分项工程生产率和施工周期表</w:t>
      </w:r>
      <w:bookmarkEnd w:id="266"/>
    </w:p>
    <w:tbl>
      <w:tblPr>
        <w:tblStyle w:val="15"/>
        <w:tblW w:w="1474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2125" w:type="dxa"/>
            <w:vAlign w:val="center"/>
          </w:tcPr>
          <w:p>
            <w:pPr>
              <w:jc w:val="center"/>
              <w:rPr>
                <w:rFonts w:ascii="宋体" w:hAnsi="宋体"/>
                <w:color w:val="auto"/>
                <w:szCs w:val="21"/>
                <w:highlight w:val="none"/>
              </w:rPr>
            </w:pPr>
            <w:r>
              <w:rPr>
                <w:rFonts w:hint="eastAsia" w:ascii="宋体" w:hAnsi="宋体"/>
                <w:color w:val="auto"/>
                <w:szCs w:val="21"/>
                <w:highlight w:val="none"/>
              </w:rPr>
              <w:t>工程项目</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数量</w:t>
            </w:r>
          </w:p>
        </w:tc>
        <w:tc>
          <w:tcPr>
            <w:tcW w:w="3400"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平均每生产单位规模（</w:t>
            </w:r>
            <w:r>
              <w:rPr>
                <w:rFonts w:hint="eastAsia" w:ascii="宋体" w:hAnsi="宋体"/>
                <w:color w:val="auto"/>
                <w:szCs w:val="21"/>
                <w:highlight w:val="none"/>
                <w:u w:val="single"/>
              </w:rPr>
              <w:t xml:space="preserve">    </w:t>
            </w:r>
            <w:r>
              <w:rPr>
                <w:rFonts w:hint="eastAsia" w:ascii="宋体" w:hAnsi="宋体"/>
                <w:color w:val="auto"/>
                <w:szCs w:val="21"/>
                <w:highlight w:val="none"/>
              </w:rPr>
              <w:t>人，各种机械</w:t>
            </w:r>
            <w:r>
              <w:rPr>
                <w:rFonts w:hint="eastAsia" w:ascii="宋体" w:hAnsi="宋体"/>
                <w:color w:val="auto"/>
                <w:szCs w:val="21"/>
                <w:highlight w:val="none"/>
                <w:u w:val="single"/>
              </w:rPr>
              <w:t xml:space="preserve">    </w:t>
            </w:r>
            <w:r>
              <w:rPr>
                <w:rFonts w:hint="eastAsia" w:ascii="宋体" w:hAnsi="宋体"/>
                <w:color w:val="auto"/>
                <w:szCs w:val="21"/>
                <w:highlight w:val="none"/>
              </w:rPr>
              <w:t>台）</w:t>
            </w:r>
          </w:p>
        </w:tc>
        <w:tc>
          <w:tcPr>
            <w:tcW w:w="2185" w:type="dxa"/>
            <w:vAlign w:val="center"/>
          </w:tcPr>
          <w:p>
            <w:pPr>
              <w:jc w:val="center"/>
              <w:rPr>
                <w:rFonts w:ascii="宋体" w:hAnsi="宋体"/>
                <w:color w:val="auto"/>
                <w:szCs w:val="21"/>
                <w:highlight w:val="none"/>
              </w:rPr>
            </w:pPr>
            <w:r>
              <w:rPr>
                <w:rFonts w:hint="eastAsia" w:ascii="宋体" w:hAnsi="宋体"/>
                <w:color w:val="auto"/>
                <w:szCs w:val="21"/>
                <w:highlight w:val="none"/>
              </w:rPr>
              <w:t>平均每生产单位生产率（数量，每周）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每生产单位</w:t>
            </w:r>
          </w:p>
          <w:p>
            <w:pPr>
              <w:jc w:val="center"/>
              <w:rPr>
                <w:rFonts w:ascii="宋体" w:hAnsi="宋体"/>
                <w:color w:val="auto"/>
                <w:szCs w:val="21"/>
                <w:highlight w:val="none"/>
              </w:rPr>
            </w:pPr>
            <w:r>
              <w:rPr>
                <w:rFonts w:hint="eastAsia" w:ascii="宋体" w:hAnsi="宋体"/>
                <w:color w:val="auto"/>
                <w:szCs w:val="21"/>
                <w:highlight w:val="none"/>
              </w:rPr>
              <w:t>平均施工时间（周）</w:t>
            </w:r>
          </w:p>
        </w:tc>
        <w:tc>
          <w:tcPr>
            <w:tcW w:w="218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生产单位总数</w:t>
            </w:r>
          </w:p>
          <w:p>
            <w:pPr>
              <w:jc w:val="center"/>
              <w:rPr>
                <w:rFonts w:ascii="宋体" w:hAnsi="宋体"/>
                <w:color w:val="auto"/>
                <w:szCs w:val="21"/>
                <w:highlight w:val="none"/>
              </w:rPr>
            </w:pPr>
            <w:r>
              <w:rPr>
                <w:rFonts w:hint="eastAsia" w:ascii="宋体" w:hAnsi="宋体"/>
                <w:color w:val="auto"/>
                <w:szCs w:val="21"/>
                <w:highlight w:val="none"/>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下部结构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3</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125" w:type="dxa"/>
            <w:vAlign w:val="center"/>
          </w:tcPr>
          <w:p>
            <w:pPr>
              <w:ind w:left="113"/>
              <w:rPr>
                <w:rFonts w:hint="eastAsia" w:ascii="宋体" w:hAnsi="宋体"/>
                <w:color w:val="auto"/>
                <w:szCs w:val="21"/>
                <w:highlight w:val="none"/>
              </w:rPr>
            </w:pPr>
            <w:r>
              <w:rPr>
                <w:rFonts w:hint="eastAsia" w:ascii="宋体" w:hAnsi="宋体"/>
                <w:color w:val="auto"/>
                <w:szCs w:val="21"/>
                <w:highlight w:val="none"/>
              </w:rPr>
              <w:t>上部结构</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125" w:type="dxa"/>
            <w:vAlign w:val="center"/>
          </w:tcPr>
          <w:p>
            <w:pPr>
              <w:ind w:left="113"/>
              <w:rPr>
                <w:rFonts w:ascii="宋体" w:hAnsi="宋体"/>
                <w:color w:val="auto"/>
                <w:szCs w:val="21"/>
                <w:highlight w:val="none"/>
              </w:rPr>
            </w:pPr>
            <w:r>
              <w:rPr>
                <w:rFonts w:hint="eastAsia" w:ascii="宋体" w:hAnsi="宋体"/>
                <w:color w:val="auto"/>
                <w:szCs w:val="21"/>
                <w:highlight w:val="none"/>
              </w:rPr>
              <w:t>附属工程</w:t>
            </w:r>
          </w:p>
        </w:tc>
        <w:tc>
          <w:tcPr>
            <w:tcW w:w="923" w:type="dxa"/>
            <w:vAlign w:val="center"/>
          </w:tcPr>
          <w:p>
            <w:pPr>
              <w:jc w:val="center"/>
              <w:rPr>
                <w:rFonts w:ascii="宋体" w:hAnsi="宋体"/>
                <w:color w:val="auto"/>
                <w:szCs w:val="21"/>
                <w:highlight w:val="none"/>
              </w:rPr>
            </w:pPr>
            <w:r>
              <w:rPr>
                <w:rFonts w:hint="eastAsia" w:ascii="宋体" w:hAnsi="宋体"/>
                <w:color w:val="auto"/>
                <w:szCs w:val="21"/>
                <w:highlight w:val="none"/>
              </w:rPr>
              <w:t>万m</w:t>
            </w:r>
            <w:r>
              <w:rPr>
                <w:rFonts w:hint="eastAsia" w:ascii="宋体" w:hAnsi="宋体"/>
                <w:color w:val="auto"/>
                <w:szCs w:val="21"/>
                <w:highlight w:val="none"/>
                <w:vertAlign w:val="superscript"/>
              </w:rPr>
              <w:t>2</w:t>
            </w:r>
          </w:p>
        </w:tc>
        <w:tc>
          <w:tcPr>
            <w:tcW w:w="923" w:type="dxa"/>
            <w:vAlign w:val="center"/>
          </w:tcPr>
          <w:p>
            <w:pPr>
              <w:jc w:val="center"/>
              <w:rPr>
                <w:rFonts w:ascii="宋体" w:hAnsi="宋体"/>
                <w:color w:val="auto"/>
                <w:szCs w:val="21"/>
                <w:highlight w:val="none"/>
              </w:rPr>
            </w:pPr>
          </w:p>
        </w:tc>
        <w:tc>
          <w:tcPr>
            <w:tcW w:w="3400"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c>
          <w:tcPr>
            <w:tcW w:w="2185" w:type="dxa"/>
            <w:vAlign w:val="center"/>
          </w:tcPr>
          <w:p>
            <w:pPr>
              <w:jc w:val="center"/>
              <w:rPr>
                <w:rFonts w:ascii="宋体" w:hAnsi="宋体"/>
                <w:color w:val="auto"/>
                <w:szCs w:val="21"/>
                <w:highlight w:val="none"/>
              </w:rPr>
            </w:pPr>
          </w:p>
        </w:tc>
      </w:tr>
    </w:tbl>
    <w:p>
      <w:pPr>
        <w:rPr>
          <w:rFonts w:hint="eastAsia"/>
          <w:color w:val="auto"/>
          <w:highlight w:val="none"/>
        </w:rPr>
        <w:sectPr>
          <w:footnotePr>
            <w:numFmt w:val="decimalEnclosedCircleChinese"/>
            <w:numRestart w:val="eachPage"/>
          </w:footnotePr>
          <w:type w:val="continuous"/>
          <w:pgSz w:w="16840" w:h="11907" w:orient="landscape"/>
          <w:pgMar w:top="1361" w:right="1440" w:bottom="1361" w:left="1440" w:header="720" w:footer="907" w:gutter="0"/>
          <w:cols w:space="720" w:num="1"/>
        </w:sectPr>
      </w:pPr>
    </w:p>
    <w:p>
      <w:pPr>
        <w:pStyle w:val="4"/>
        <w:spacing w:before="120" w:beforeLines="50" w:after="240" w:line="400" w:lineRule="exact"/>
        <w:rPr>
          <w:rFonts w:ascii="Arial" w:hAnsi="Arial" w:eastAsia="黑体"/>
          <w:color w:val="auto"/>
          <w:kern w:val="2"/>
          <w:sz w:val="28"/>
          <w:szCs w:val="28"/>
          <w:highlight w:val="none"/>
        </w:rPr>
      </w:pPr>
      <w:bookmarkStart w:id="267" w:name="_Toc234382969"/>
      <w:r>
        <w:rPr>
          <w:rFonts w:ascii="Arial" w:hAnsi="Arial" w:eastAsia="黑体"/>
          <w:color w:val="auto"/>
          <w:kern w:val="2"/>
          <w:sz w:val="28"/>
          <w:szCs w:val="28"/>
          <w:highlight w:val="none"/>
        </w:rPr>
        <w:t>附表五</w:t>
      </w:r>
      <w:r>
        <w:rPr>
          <w:rFonts w:hint="eastAsia" w:ascii="Arial" w:hAnsi="Arial" w:eastAsia="黑体"/>
          <w:color w:val="auto"/>
          <w:kern w:val="2"/>
          <w:sz w:val="28"/>
          <w:szCs w:val="28"/>
          <w:highlight w:val="none"/>
        </w:rPr>
        <w:t xml:space="preserve">   </w:t>
      </w:r>
      <w:r>
        <w:rPr>
          <w:rFonts w:ascii="Arial" w:hAnsi="Arial" w:eastAsia="黑体"/>
          <w:color w:val="auto"/>
          <w:kern w:val="2"/>
          <w:sz w:val="28"/>
          <w:szCs w:val="28"/>
          <w:highlight w:val="none"/>
        </w:rPr>
        <w:t>施工总平面图</w:t>
      </w:r>
      <w:bookmarkEnd w:id="267"/>
    </w:p>
    <w:p>
      <w:pPr>
        <w:rPr>
          <w:rFonts w:ascii="宋体" w:hAnsi="宋体"/>
          <w:color w:val="auto"/>
          <w:sz w:val="24"/>
          <w:highlight w:val="none"/>
        </w:rPr>
      </w:pPr>
    </w:p>
    <w:p>
      <w:pPr>
        <w:spacing w:line="400" w:lineRule="exact"/>
        <w:ind w:firstLine="480" w:firstLineChars="200"/>
        <w:rPr>
          <w:rFonts w:ascii="宋体" w:hAnsi="宋体"/>
          <w:color w:val="auto"/>
          <w:sz w:val="24"/>
          <w:highlight w:val="none"/>
        </w:rPr>
      </w:pPr>
      <w:r>
        <w:rPr>
          <w:rFonts w:ascii="宋体" w:hAnsi="宋体"/>
          <w:color w:val="auto"/>
          <w:sz w:val="24"/>
          <w:highlight w:val="none"/>
        </w:rPr>
        <w:t>投标人应递交一份施工总平面图，绘出现场临时设施布置图表并附文字说明，说明</w:t>
      </w:r>
      <w:r>
        <w:rPr>
          <w:rFonts w:hint="eastAsia" w:ascii="宋体" w:hAnsi="宋体"/>
          <w:color w:val="auto"/>
          <w:sz w:val="24"/>
          <w:highlight w:val="none"/>
        </w:rPr>
        <w:t>施工营地、料场、</w:t>
      </w:r>
      <w:r>
        <w:rPr>
          <w:rFonts w:ascii="宋体" w:hAnsi="宋体"/>
          <w:color w:val="auto"/>
          <w:sz w:val="24"/>
          <w:highlight w:val="none"/>
        </w:rPr>
        <w:t>临时设施、加工车间、现场办公、设备及仓储、供电、供水、卫生、生活、道路、消防等设施的情况和布置。</w:t>
      </w:r>
    </w:p>
    <w:p>
      <w:pPr>
        <w:rPr>
          <w:rFonts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rPr>
          <w:rFonts w:hint="eastAsia" w:ascii="宋体" w:hAnsi="宋体"/>
          <w:color w:val="auto"/>
          <w:sz w:val="24"/>
          <w:highlight w:val="none"/>
        </w:rPr>
      </w:pPr>
    </w:p>
    <w:p>
      <w:pPr>
        <w:pStyle w:val="4"/>
        <w:spacing w:before="120" w:beforeLines="50" w:after="240" w:line="400" w:lineRule="exact"/>
        <w:rPr>
          <w:rFonts w:ascii="Arial" w:hAnsi="Arial" w:eastAsia="黑体"/>
          <w:color w:val="auto"/>
          <w:kern w:val="2"/>
          <w:sz w:val="28"/>
          <w:szCs w:val="28"/>
          <w:highlight w:val="none"/>
        </w:rPr>
      </w:pPr>
      <w:bookmarkStart w:id="268" w:name="_Toc234382970"/>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六   劳动力计划表</w:t>
      </w:r>
      <w:bookmarkEnd w:id="268"/>
    </w:p>
    <w:p>
      <w:pPr>
        <w:jc w:val="right"/>
        <w:rPr>
          <w:rFonts w:hint="eastAsia" w:ascii="宋体" w:hAnsi="宋体"/>
          <w:color w:val="auto"/>
          <w:sz w:val="24"/>
          <w:highlight w:val="none"/>
        </w:rPr>
      </w:pPr>
      <w:r>
        <w:rPr>
          <w:rFonts w:hint="eastAsia" w:ascii="宋体" w:hAnsi="宋体"/>
          <w:color w:val="auto"/>
          <w:sz w:val="24"/>
          <w:highlight w:val="none"/>
        </w:rPr>
        <w:t>单位：人</w:t>
      </w:r>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工种</w:t>
            </w:r>
          </w:p>
        </w:tc>
        <w:tc>
          <w:tcPr>
            <w:tcW w:w="8434" w:type="dxa"/>
            <w:gridSpan w:val="7"/>
            <w:vAlign w:val="center"/>
          </w:tcPr>
          <w:p>
            <w:pPr>
              <w:jc w:val="center"/>
              <w:rPr>
                <w:rFonts w:hint="eastAsia" w:ascii="宋体" w:hAnsi="宋体"/>
                <w:color w:val="auto"/>
                <w:szCs w:val="21"/>
                <w:highlight w:val="none"/>
              </w:rPr>
            </w:pPr>
            <w:r>
              <w:rPr>
                <w:rFonts w:hint="eastAsia" w:ascii="宋体" w:hAnsi="宋体"/>
                <w:color w:val="auto"/>
                <w:szCs w:val="21"/>
                <w:highlight w:val="none"/>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4"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c>
          <w:tcPr>
            <w:tcW w:w="1205" w:type="dxa"/>
            <w:vAlign w:val="center"/>
          </w:tcPr>
          <w:p>
            <w:pPr>
              <w:jc w:val="center"/>
              <w:rPr>
                <w:rFonts w:hint="eastAsia" w:ascii="隶书" w:hAnsi="宋体" w:eastAsia="隶书"/>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3"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jc w:val="center"/>
        </w:trPr>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4"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c>
          <w:tcPr>
            <w:tcW w:w="1205" w:type="dxa"/>
            <w:vAlign w:val="center"/>
          </w:tcPr>
          <w:p>
            <w:pPr>
              <w:jc w:val="center"/>
              <w:rPr>
                <w:rFonts w:hint="eastAsia" w:ascii="宋体" w:hAnsi="宋体"/>
                <w:color w:val="auto"/>
                <w:sz w:val="24"/>
                <w:highlight w:val="none"/>
              </w:rPr>
            </w:pPr>
          </w:p>
        </w:tc>
      </w:tr>
    </w:tbl>
    <w:p>
      <w:pPr>
        <w:ind w:firstLine="6600" w:firstLineChars="2750"/>
        <w:rPr>
          <w:rFonts w:hint="eastAsia" w:ascii="宋体" w:hAnsi="宋体"/>
          <w:color w:val="auto"/>
          <w:sz w:val="24"/>
          <w:highlight w:val="none"/>
        </w:rPr>
      </w:pPr>
    </w:p>
    <w:p>
      <w:pPr>
        <w:pStyle w:val="4"/>
        <w:spacing w:before="120" w:beforeLines="50" w:after="240" w:line="400" w:lineRule="exact"/>
        <w:rPr>
          <w:rFonts w:ascii="Arial" w:hAnsi="Arial" w:eastAsia="黑体"/>
          <w:color w:val="auto"/>
          <w:kern w:val="2"/>
          <w:sz w:val="28"/>
          <w:szCs w:val="28"/>
          <w:highlight w:val="none"/>
        </w:rPr>
      </w:pPr>
      <w:r>
        <w:rPr>
          <w:rFonts w:ascii="宋体"/>
          <w:color w:val="auto"/>
          <w:sz w:val="24"/>
          <w:highlight w:val="none"/>
        </w:rPr>
        <w:br w:type="page"/>
      </w:r>
      <w:bookmarkStart w:id="269" w:name="_Toc234382971"/>
      <w:r>
        <w:rPr>
          <w:rFonts w:ascii="Arial" w:hAnsi="Arial" w:eastAsia="黑体"/>
          <w:color w:val="auto"/>
          <w:kern w:val="2"/>
          <w:sz w:val="28"/>
          <w:szCs w:val="28"/>
          <w:highlight w:val="none"/>
        </w:rPr>
        <w:t>附表</w:t>
      </w:r>
      <w:r>
        <w:rPr>
          <w:rFonts w:hint="eastAsia" w:ascii="Arial" w:hAnsi="Arial" w:eastAsia="黑体"/>
          <w:color w:val="auto"/>
          <w:kern w:val="2"/>
          <w:sz w:val="28"/>
          <w:szCs w:val="28"/>
          <w:highlight w:val="none"/>
        </w:rPr>
        <w:t>七  临时占地计划表</w:t>
      </w:r>
      <w:bookmarkEnd w:id="269"/>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用   途</w:t>
            </w:r>
          </w:p>
        </w:tc>
        <w:tc>
          <w:tcPr>
            <w:tcW w:w="3507" w:type="dxa"/>
            <w:gridSpan w:val="5"/>
            <w:vAlign w:val="center"/>
          </w:tcPr>
          <w:p>
            <w:pPr>
              <w:jc w:val="center"/>
              <w:rPr>
                <w:rFonts w:ascii="宋体" w:hAnsi="宋体"/>
                <w:color w:val="auto"/>
                <w:szCs w:val="21"/>
                <w:highlight w:val="none"/>
              </w:rPr>
            </w:pPr>
            <w:r>
              <w:rPr>
                <w:rFonts w:hint="eastAsia" w:ascii="宋体" w:hAnsi="宋体"/>
                <w:color w:val="auto"/>
                <w:szCs w:val="21"/>
                <w:highlight w:val="none"/>
              </w:rPr>
              <w:t>面积（m</w:t>
            </w:r>
            <w:r>
              <w:rPr>
                <w:rFonts w:hint="eastAsia" w:ascii="宋体" w:hAnsi="宋体"/>
                <w:color w:val="auto"/>
                <w:szCs w:val="21"/>
                <w:highlight w:val="none"/>
                <w:vertAlign w:val="superscript"/>
              </w:rPr>
              <w:t>2</w:t>
            </w:r>
            <w:r>
              <w:rPr>
                <w:rFonts w:hint="eastAsia" w:ascii="宋体" w:hAnsi="宋体"/>
                <w:color w:val="auto"/>
                <w:szCs w:val="21"/>
                <w:highlight w:val="none"/>
              </w:rPr>
              <w:t>）</w:t>
            </w:r>
          </w:p>
        </w:tc>
        <w:tc>
          <w:tcPr>
            <w:tcW w:w="1779"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需用时间</w:t>
            </w:r>
          </w:p>
          <w:p>
            <w:pPr>
              <w:ind w:firstLine="5"/>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2156"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color w:val="auto"/>
                <w:szCs w:val="21"/>
                <w:highlight w:val="none"/>
              </w:rPr>
            </w:pPr>
          </w:p>
        </w:tc>
        <w:tc>
          <w:tcPr>
            <w:tcW w:w="699" w:type="dxa"/>
            <w:vAlign w:val="center"/>
          </w:tcPr>
          <w:p>
            <w:pPr>
              <w:jc w:val="center"/>
              <w:rPr>
                <w:rFonts w:ascii="宋体" w:hAnsi="宋体"/>
                <w:color w:val="auto"/>
                <w:szCs w:val="21"/>
                <w:highlight w:val="none"/>
              </w:rPr>
            </w:pPr>
            <w:r>
              <w:rPr>
                <w:rFonts w:hint="eastAsia" w:ascii="宋体" w:hAnsi="宋体"/>
                <w:color w:val="auto"/>
                <w:szCs w:val="21"/>
                <w:highlight w:val="none"/>
              </w:rPr>
              <w:t>菜地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水田</w:t>
            </w:r>
          </w:p>
        </w:tc>
        <w:tc>
          <w:tcPr>
            <w:tcW w:w="702" w:type="dxa"/>
            <w:vAlign w:val="center"/>
          </w:tcPr>
          <w:p>
            <w:pPr>
              <w:jc w:val="center"/>
              <w:rPr>
                <w:rFonts w:ascii="宋体" w:hAnsi="宋体"/>
                <w:color w:val="auto"/>
                <w:szCs w:val="21"/>
                <w:highlight w:val="none"/>
              </w:rPr>
            </w:pPr>
            <w:r>
              <w:rPr>
                <w:rFonts w:hint="eastAsia" w:ascii="宋体" w:hAnsi="宋体"/>
                <w:color w:val="auto"/>
                <w:szCs w:val="21"/>
                <w:highlight w:val="none"/>
              </w:rPr>
              <w:t>旱地</w:t>
            </w:r>
          </w:p>
        </w:tc>
        <w:tc>
          <w:tcPr>
            <w:tcW w:w="700" w:type="dxa"/>
            <w:vAlign w:val="center"/>
          </w:tcPr>
          <w:p>
            <w:pPr>
              <w:jc w:val="center"/>
              <w:rPr>
                <w:rFonts w:ascii="宋体" w:hAnsi="宋体"/>
                <w:color w:val="auto"/>
                <w:szCs w:val="21"/>
                <w:highlight w:val="none"/>
              </w:rPr>
            </w:pPr>
            <w:r>
              <w:rPr>
                <w:rFonts w:hint="eastAsia" w:ascii="宋体" w:hAnsi="宋体"/>
                <w:color w:val="auto"/>
                <w:szCs w:val="21"/>
                <w:highlight w:val="none"/>
              </w:rPr>
              <w:t>果园</w:t>
            </w:r>
          </w:p>
        </w:tc>
        <w:tc>
          <w:tcPr>
            <w:tcW w:w="706" w:type="dxa"/>
            <w:vAlign w:val="center"/>
          </w:tcPr>
          <w:p>
            <w:pPr>
              <w:jc w:val="center"/>
              <w:rPr>
                <w:rFonts w:ascii="宋体" w:hAnsi="宋体"/>
                <w:color w:val="auto"/>
                <w:szCs w:val="21"/>
                <w:highlight w:val="none"/>
              </w:rPr>
            </w:pPr>
            <w:r>
              <w:rPr>
                <w:rFonts w:hint="eastAsia" w:ascii="宋体" w:hAnsi="宋体"/>
                <w:color w:val="auto"/>
                <w:szCs w:val="21"/>
                <w:highlight w:val="none"/>
              </w:rPr>
              <w:t>荒地</w:t>
            </w:r>
          </w:p>
        </w:tc>
        <w:tc>
          <w:tcPr>
            <w:tcW w:w="1779" w:type="dxa"/>
            <w:vMerge w:val="continue"/>
            <w:vAlign w:val="center"/>
          </w:tcPr>
          <w:p>
            <w:pPr>
              <w:jc w:val="center"/>
              <w:rPr>
                <w:rFonts w:ascii="宋体" w:hAnsi="宋体"/>
                <w:color w:val="auto"/>
                <w:szCs w:val="21"/>
                <w:highlight w:val="none"/>
              </w:rPr>
            </w:pPr>
          </w:p>
        </w:tc>
        <w:tc>
          <w:tcPr>
            <w:tcW w:w="673"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w:t>
            </w:r>
          </w:p>
          <w:p>
            <w:pPr>
              <w:jc w:val="center"/>
              <w:rPr>
                <w:rFonts w:ascii="宋体" w:hAnsi="宋体"/>
                <w:color w:val="auto"/>
                <w:szCs w:val="21"/>
                <w:highlight w:val="none"/>
              </w:rPr>
            </w:pPr>
            <w:r>
              <w:rPr>
                <w:rFonts w:hint="eastAsia" w:ascii="宋体" w:hAnsi="宋体"/>
                <w:color w:val="auto"/>
                <w:szCs w:val="21"/>
                <w:highlight w:val="none"/>
              </w:rPr>
              <w:t>号</w:t>
            </w:r>
          </w:p>
        </w:tc>
        <w:tc>
          <w:tcPr>
            <w:tcW w:w="741" w:type="dxa"/>
            <w:vAlign w:val="center"/>
          </w:tcPr>
          <w:p>
            <w:pPr>
              <w:jc w:val="center"/>
              <w:rPr>
                <w:rFonts w:ascii="宋体" w:hAnsi="宋体"/>
                <w:color w:val="auto"/>
                <w:szCs w:val="21"/>
                <w:highlight w:val="none"/>
              </w:rPr>
            </w:pPr>
            <w:r>
              <w:rPr>
                <w:rFonts w:hint="eastAsia" w:ascii="宋体" w:hAnsi="宋体"/>
                <w:color w:val="auto"/>
                <w:szCs w:val="21"/>
                <w:highlight w:val="none"/>
              </w:rPr>
              <w:t>左侧（m）</w:t>
            </w:r>
          </w:p>
        </w:tc>
        <w:tc>
          <w:tcPr>
            <w:tcW w:w="74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一、临时工程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1.便道</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color w:val="auto"/>
                <w:szCs w:val="21"/>
                <w:highlight w:val="none"/>
              </w:rPr>
            </w:pPr>
            <w:r>
              <w:rPr>
                <w:rFonts w:hint="eastAsia" w:ascii="宋体" w:hAnsi="宋体"/>
                <w:color w:val="auto"/>
                <w:szCs w:val="21"/>
                <w:highlight w:val="none"/>
              </w:rPr>
              <w:t>二、生产及生活临时设施</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1.临时住房</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2.办公等公用房屋</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color w:val="auto"/>
                <w:szCs w:val="21"/>
                <w:highlight w:val="none"/>
              </w:rPr>
            </w:pPr>
            <w:r>
              <w:rPr>
                <w:rFonts w:hint="eastAsia" w:ascii="宋体" w:hAnsi="宋体"/>
                <w:color w:val="auto"/>
                <w:szCs w:val="21"/>
                <w:highlight w:val="none"/>
              </w:rPr>
              <w:t>3.料场</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r>
              <w:rPr>
                <w:rFonts w:hint="eastAsia" w:ascii="宋体" w:hAnsi="宋体"/>
                <w:color w:val="auto"/>
                <w:szCs w:val="21"/>
                <w:highlight w:val="none"/>
              </w:rPr>
              <w:t>……</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hint="eastAsia" w:ascii="宋体" w:hAnsi="宋体"/>
                <w:color w:val="auto"/>
                <w:szCs w:val="21"/>
                <w:highlight w:val="none"/>
              </w:rPr>
            </w:pPr>
            <w:r>
              <w:rPr>
                <w:rFonts w:hint="eastAsia" w:ascii="宋体" w:hAnsi="宋体"/>
                <w:color w:val="auto"/>
                <w:szCs w:val="21"/>
                <w:highlight w:val="none"/>
              </w:rPr>
              <w:t>租用面积合计</w:t>
            </w:r>
          </w:p>
        </w:tc>
        <w:tc>
          <w:tcPr>
            <w:tcW w:w="699"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2" w:type="dxa"/>
            <w:vAlign w:val="center"/>
          </w:tcPr>
          <w:p>
            <w:pPr>
              <w:jc w:val="center"/>
              <w:rPr>
                <w:rFonts w:ascii="宋体" w:hAnsi="宋体"/>
                <w:color w:val="auto"/>
                <w:szCs w:val="21"/>
                <w:highlight w:val="none"/>
              </w:rPr>
            </w:pPr>
          </w:p>
        </w:tc>
        <w:tc>
          <w:tcPr>
            <w:tcW w:w="700" w:type="dxa"/>
            <w:vAlign w:val="center"/>
          </w:tcPr>
          <w:p>
            <w:pPr>
              <w:jc w:val="center"/>
              <w:rPr>
                <w:rFonts w:ascii="宋体" w:hAnsi="宋体"/>
                <w:color w:val="auto"/>
                <w:szCs w:val="21"/>
                <w:highlight w:val="none"/>
              </w:rPr>
            </w:pPr>
          </w:p>
        </w:tc>
        <w:tc>
          <w:tcPr>
            <w:tcW w:w="706" w:type="dxa"/>
            <w:vAlign w:val="center"/>
          </w:tcPr>
          <w:p>
            <w:pPr>
              <w:jc w:val="center"/>
              <w:rPr>
                <w:rFonts w:ascii="宋体" w:hAnsi="宋体"/>
                <w:color w:val="auto"/>
                <w:szCs w:val="21"/>
                <w:highlight w:val="none"/>
              </w:rPr>
            </w:pPr>
          </w:p>
        </w:tc>
        <w:tc>
          <w:tcPr>
            <w:tcW w:w="1779" w:type="dxa"/>
            <w:vAlign w:val="center"/>
          </w:tcPr>
          <w:p>
            <w:pPr>
              <w:jc w:val="center"/>
              <w:rPr>
                <w:rFonts w:ascii="宋体" w:hAnsi="宋体"/>
                <w:color w:val="auto"/>
                <w:szCs w:val="21"/>
                <w:highlight w:val="none"/>
              </w:rPr>
            </w:pPr>
          </w:p>
        </w:tc>
        <w:tc>
          <w:tcPr>
            <w:tcW w:w="673" w:type="dxa"/>
            <w:vAlign w:val="center"/>
          </w:tcPr>
          <w:p>
            <w:pPr>
              <w:jc w:val="center"/>
              <w:rPr>
                <w:rFonts w:ascii="宋体" w:hAnsi="宋体"/>
                <w:color w:val="auto"/>
                <w:szCs w:val="21"/>
                <w:highlight w:val="none"/>
              </w:rPr>
            </w:pPr>
          </w:p>
        </w:tc>
        <w:tc>
          <w:tcPr>
            <w:tcW w:w="741" w:type="dxa"/>
            <w:vAlign w:val="center"/>
          </w:tcPr>
          <w:p>
            <w:pPr>
              <w:jc w:val="center"/>
              <w:rPr>
                <w:rFonts w:ascii="宋体" w:hAnsi="宋体"/>
                <w:color w:val="auto"/>
                <w:szCs w:val="21"/>
                <w:highlight w:val="none"/>
              </w:rPr>
            </w:pPr>
          </w:p>
        </w:tc>
        <w:tc>
          <w:tcPr>
            <w:tcW w:w="742" w:type="dxa"/>
            <w:vAlign w:val="center"/>
          </w:tcPr>
          <w:p>
            <w:pPr>
              <w:jc w:val="center"/>
              <w:rPr>
                <w:rFonts w:ascii="宋体" w:hAnsi="宋体"/>
                <w:color w:val="auto"/>
                <w:szCs w:val="21"/>
                <w:highlight w:val="none"/>
              </w:rPr>
            </w:pPr>
          </w:p>
        </w:tc>
      </w:tr>
    </w:tbl>
    <w:p>
      <w:pPr>
        <w:pStyle w:val="4"/>
        <w:spacing w:before="120" w:beforeLines="50" w:after="240" w:line="400" w:lineRule="exact"/>
        <w:rPr>
          <w:rFonts w:hint="eastAsia" w:ascii="隶书" w:hAnsi="宋体" w:eastAsia="隶书"/>
          <w:color w:val="auto"/>
          <w:sz w:val="30"/>
          <w:szCs w:val="30"/>
          <w:highlight w:val="none"/>
        </w:rPr>
      </w:pPr>
      <w:r>
        <w:rPr>
          <w:rFonts w:ascii="宋体" w:hAnsi="宋体"/>
          <w:color w:val="auto"/>
          <w:sz w:val="24"/>
          <w:highlight w:val="none"/>
        </w:rPr>
        <w:br w:type="page"/>
      </w:r>
      <w:bookmarkStart w:id="270" w:name="_Toc234382972"/>
      <w:r>
        <w:rPr>
          <w:rFonts w:hint="eastAsia" w:ascii="Arial" w:hAnsi="Arial" w:eastAsia="黑体"/>
          <w:color w:val="auto"/>
          <w:kern w:val="2"/>
          <w:sz w:val="28"/>
          <w:szCs w:val="28"/>
          <w:highlight w:val="none"/>
        </w:rPr>
        <w:t>附表八  外供电力需求计划表</w:t>
      </w:r>
      <w:bookmarkEnd w:id="270"/>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用电位置</w:t>
            </w:r>
          </w:p>
        </w:tc>
        <w:tc>
          <w:tcPr>
            <w:tcW w:w="1984"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计划用电数量（KW·h）</w:t>
            </w:r>
          </w:p>
        </w:tc>
        <w:tc>
          <w:tcPr>
            <w:tcW w:w="1701"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用  途</w:t>
            </w:r>
          </w:p>
        </w:tc>
        <w:tc>
          <w:tcPr>
            <w:tcW w:w="2552"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需 用 时 间</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p>
            <w:pPr>
              <w:ind w:left="735" w:hanging="735" w:hangingChars="350"/>
              <w:jc w:val="center"/>
              <w:rPr>
                <w:rFonts w:hint="eastAsia" w:ascii="宋体" w:hAnsi="宋体"/>
                <w:color w:val="auto"/>
                <w:szCs w:val="21"/>
                <w:highlight w:val="none"/>
              </w:rPr>
            </w:pPr>
            <w:r>
              <w:rPr>
                <w:rFonts w:hint="eastAsia" w:ascii="宋体" w:hAnsi="宋体"/>
                <w:color w:val="auto"/>
                <w:szCs w:val="21"/>
                <w:highlight w:val="none"/>
              </w:rPr>
              <w:t>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p>
        </w:tc>
        <w:tc>
          <w:tcPr>
            <w:tcW w:w="1190" w:type="dxa"/>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7" w:hRule="atLeast"/>
          <w:jc w:val="center"/>
        </w:trPr>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桩号</w:t>
            </w:r>
          </w:p>
        </w:tc>
        <w:tc>
          <w:tcPr>
            <w:tcW w:w="1106"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左或右（m）</w:t>
            </w:r>
          </w:p>
        </w:tc>
        <w:tc>
          <w:tcPr>
            <w:tcW w:w="1984" w:type="dxa"/>
            <w:vMerge w:val="continue"/>
            <w:vAlign w:val="center"/>
          </w:tcPr>
          <w:p>
            <w:pPr>
              <w:jc w:val="center"/>
              <w:rPr>
                <w:rFonts w:hint="eastAsia" w:ascii="宋体" w:hAnsi="宋体"/>
                <w:color w:val="auto"/>
                <w:szCs w:val="21"/>
                <w:highlight w:val="none"/>
              </w:rPr>
            </w:pPr>
          </w:p>
        </w:tc>
        <w:tc>
          <w:tcPr>
            <w:tcW w:w="1701" w:type="dxa"/>
            <w:vMerge w:val="continue"/>
            <w:vAlign w:val="center"/>
          </w:tcPr>
          <w:p>
            <w:pPr>
              <w:jc w:val="center"/>
              <w:rPr>
                <w:rFonts w:hint="eastAsia" w:ascii="宋体" w:hAnsi="宋体"/>
                <w:color w:val="auto"/>
                <w:szCs w:val="21"/>
                <w:highlight w:val="none"/>
              </w:rPr>
            </w:pPr>
          </w:p>
        </w:tc>
        <w:tc>
          <w:tcPr>
            <w:tcW w:w="2552" w:type="dxa"/>
            <w:vMerge w:val="continue"/>
            <w:vAlign w:val="center"/>
          </w:tcPr>
          <w:p>
            <w:pPr>
              <w:jc w:val="center"/>
              <w:rPr>
                <w:rFonts w:hint="eastAsia" w:ascii="宋体" w:hAnsi="宋体"/>
                <w:color w:val="auto"/>
                <w:szCs w:val="21"/>
                <w:highlight w:val="none"/>
              </w:rPr>
            </w:pPr>
          </w:p>
        </w:tc>
        <w:tc>
          <w:tcPr>
            <w:tcW w:w="1190" w:type="dxa"/>
            <w:vMerge w:val="continue"/>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1106" w:type="dxa"/>
            <w:vAlign w:val="center"/>
          </w:tcPr>
          <w:p>
            <w:pPr>
              <w:jc w:val="center"/>
              <w:rPr>
                <w:rFonts w:hint="eastAsia" w:ascii="宋体" w:hAnsi="宋体"/>
                <w:color w:val="auto"/>
                <w:szCs w:val="21"/>
                <w:highlight w:val="none"/>
              </w:rPr>
            </w:pPr>
          </w:p>
        </w:tc>
        <w:tc>
          <w:tcPr>
            <w:tcW w:w="1106" w:type="dxa"/>
            <w:vAlign w:val="center"/>
          </w:tcPr>
          <w:p>
            <w:pPr>
              <w:jc w:val="center"/>
              <w:rPr>
                <w:rFonts w:hint="eastAsia" w:ascii="宋体" w:hAnsi="宋体"/>
                <w:color w:val="auto"/>
                <w:szCs w:val="21"/>
                <w:highlight w:val="none"/>
              </w:rPr>
            </w:pPr>
          </w:p>
        </w:tc>
        <w:tc>
          <w:tcPr>
            <w:tcW w:w="1984" w:type="dxa"/>
            <w:vAlign w:val="center"/>
          </w:tcPr>
          <w:p>
            <w:pPr>
              <w:jc w:val="center"/>
              <w:rPr>
                <w:rFonts w:hint="eastAsia" w:ascii="宋体" w:hAnsi="宋体"/>
                <w:color w:val="auto"/>
                <w:szCs w:val="21"/>
                <w:highlight w:val="none"/>
              </w:rPr>
            </w:pPr>
          </w:p>
        </w:tc>
        <w:tc>
          <w:tcPr>
            <w:tcW w:w="1701" w:type="dxa"/>
            <w:vAlign w:val="center"/>
          </w:tcPr>
          <w:p>
            <w:pPr>
              <w:jc w:val="center"/>
              <w:rPr>
                <w:rFonts w:hint="eastAsia" w:ascii="宋体" w:hAnsi="宋体"/>
                <w:color w:val="auto"/>
                <w:szCs w:val="21"/>
                <w:highlight w:val="none"/>
              </w:rPr>
            </w:pPr>
          </w:p>
        </w:tc>
        <w:tc>
          <w:tcPr>
            <w:tcW w:w="2552" w:type="dxa"/>
            <w:vAlign w:val="center"/>
          </w:tcPr>
          <w:p>
            <w:pPr>
              <w:jc w:val="center"/>
              <w:rPr>
                <w:rFonts w:hint="eastAsia" w:ascii="宋体" w:hAnsi="宋体"/>
                <w:color w:val="auto"/>
                <w:szCs w:val="21"/>
                <w:highlight w:val="none"/>
              </w:rPr>
            </w:pPr>
          </w:p>
        </w:tc>
        <w:tc>
          <w:tcPr>
            <w:tcW w:w="1190" w:type="dxa"/>
            <w:vAlign w:val="center"/>
          </w:tcPr>
          <w:p>
            <w:pPr>
              <w:jc w:val="center"/>
              <w:rPr>
                <w:rFonts w:hint="eastAsia" w:ascii="宋体" w:hAnsi="宋体"/>
                <w:color w:val="auto"/>
                <w:szCs w:val="21"/>
                <w:highlight w:val="none"/>
              </w:rPr>
            </w:pPr>
          </w:p>
        </w:tc>
      </w:tr>
    </w:tbl>
    <w:p>
      <w:pPr>
        <w:pStyle w:val="4"/>
        <w:spacing w:before="120" w:beforeLines="50" w:after="240" w:line="400" w:lineRule="exact"/>
        <w:rPr>
          <w:rFonts w:hint="eastAsia" w:ascii="Arial" w:hAnsi="Arial" w:eastAsia="黑体"/>
          <w:color w:val="auto"/>
          <w:kern w:val="2"/>
          <w:sz w:val="28"/>
          <w:szCs w:val="28"/>
          <w:highlight w:val="none"/>
        </w:rPr>
      </w:pPr>
      <w:r>
        <w:rPr>
          <w:rFonts w:hint="eastAsia" w:ascii="Arial" w:hAnsi="Arial" w:eastAsia="黑体"/>
          <w:color w:val="auto"/>
          <w:kern w:val="2"/>
          <w:sz w:val="28"/>
          <w:szCs w:val="28"/>
          <w:highlight w:val="none"/>
        </w:rPr>
        <w:t>附表九   合同用款估算表</w:t>
      </w:r>
    </w:p>
    <w:tbl>
      <w:tblPr>
        <w:tblStyle w:val="15"/>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hint="eastAsia" w:ascii="宋体" w:hAnsi="宋体"/>
                <w:color w:val="auto"/>
                <w:szCs w:val="21"/>
                <w:highlight w:val="none"/>
              </w:rPr>
            </w:pPr>
            <w:r>
              <w:rPr>
                <w:rFonts w:hint="eastAsia" w:ascii="宋体" w:hAnsi="宋体"/>
                <w:color w:val="auto"/>
                <w:szCs w:val="21"/>
                <w:highlight w:val="none"/>
              </w:rPr>
              <w:t>从开工月算起的时间（月）</w:t>
            </w:r>
          </w:p>
        </w:tc>
        <w:tc>
          <w:tcPr>
            <w:tcW w:w="6925" w:type="dxa"/>
            <w:gridSpan w:val="4"/>
            <w:vAlign w:val="center"/>
          </w:tcPr>
          <w:p>
            <w:pPr>
              <w:jc w:val="center"/>
              <w:rPr>
                <w:rFonts w:hint="eastAsia" w:ascii="宋体" w:hAnsi="宋体"/>
                <w:color w:val="auto"/>
                <w:szCs w:val="21"/>
                <w:highlight w:val="none"/>
              </w:rPr>
            </w:pPr>
            <w:r>
              <w:rPr>
                <w:rFonts w:hint="eastAsia" w:ascii="宋体" w:hAnsi="宋体"/>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3462"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分  期</w:t>
            </w:r>
          </w:p>
        </w:tc>
        <w:tc>
          <w:tcPr>
            <w:tcW w:w="3463" w:type="dxa"/>
            <w:gridSpan w:val="2"/>
            <w:vAlign w:val="center"/>
          </w:tcPr>
          <w:p>
            <w:pPr>
              <w:tabs>
                <w:tab w:val="left" w:pos="4863"/>
              </w:tabs>
              <w:jc w:val="center"/>
              <w:rPr>
                <w:rFonts w:hint="eastAsia" w:ascii="宋体" w:hAnsi="宋体"/>
                <w:color w:val="auto"/>
                <w:szCs w:val="21"/>
                <w:highlight w:val="none"/>
              </w:rPr>
            </w:pPr>
            <w:r>
              <w:rPr>
                <w:rFonts w:hint="eastAsia" w:ascii="宋体" w:hAnsi="宋体"/>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金额（元）</w:t>
            </w:r>
          </w:p>
        </w:tc>
        <w:tc>
          <w:tcPr>
            <w:tcW w:w="1732"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第一次开工预付款</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4～6</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7～9</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10～12</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13～15</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缺陷责任期</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hint="eastAsia" w:ascii="宋体" w:hAnsi="宋体"/>
                <w:color w:val="auto"/>
                <w:szCs w:val="21"/>
                <w:highlight w:val="none"/>
              </w:rPr>
            </w:pPr>
            <w:r>
              <w:rPr>
                <w:rFonts w:hint="eastAsia" w:ascii="宋体" w:hAnsi="宋体"/>
                <w:color w:val="auto"/>
                <w:szCs w:val="21"/>
                <w:highlight w:val="none"/>
              </w:rPr>
              <w:t>小计</w:t>
            </w:r>
          </w:p>
        </w:tc>
        <w:tc>
          <w:tcPr>
            <w:tcW w:w="1731" w:type="dxa"/>
            <w:vAlign w:val="center"/>
          </w:tcPr>
          <w:p>
            <w:pPr>
              <w:jc w:val="center"/>
              <w:rPr>
                <w:rFonts w:hint="eastAsia" w:ascii="宋体" w:hAnsi="宋体"/>
                <w:color w:val="auto"/>
                <w:szCs w:val="21"/>
                <w:highlight w:val="none"/>
              </w:rPr>
            </w:pPr>
          </w:p>
        </w:tc>
        <w:tc>
          <w:tcPr>
            <w:tcW w:w="1731"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100．00</w:t>
            </w:r>
          </w:p>
        </w:tc>
        <w:tc>
          <w:tcPr>
            <w:tcW w:w="1731" w:type="dxa"/>
            <w:vAlign w:val="center"/>
          </w:tcPr>
          <w:p>
            <w:pPr>
              <w:jc w:val="center"/>
              <w:rPr>
                <w:rFonts w:hint="eastAsia" w:ascii="宋体" w:hAnsi="宋体"/>
                <w:color w:val="auto"/>
                <w:szCs w:val="21"/>
                <w:highlight w:val="none"/>
              </w:rPr>
            </w:pPr>
          </w:p>
        </w:tc>
        <w:tc>
          <w:tcPr>
            <w:tcW w:w="1732" w:type="dxa"/>
            <w:vAlign w:val="center"/>
          </w:tcPr>
          <w:p>
            <w:pPr>
              <w:jc w:val="center"/>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hint="eastAsia" w:ascii="宋体" w:hAnsi="宋体"/>
                <w:color w:val="auto"/>
                <w:szCs w:val="21"/>
                <w:highlight w:val="none"/>
              </w:rPr>
            </w:pPr>
            <w:r>
              <w:rPr>
                <w:rFonts w:hint="eastAsia" w:ascii="宋体" w:hAnsi="宋体"/>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hint="eastAsia" w:ascii="宋体" w:hAnsi="宋体"/>
                <w:color w:val="auto"/>
                <w:szCs w:val="21"/>
                <w:highlight w:val="none"/>
              </w:rPr>
            </w:pPr>
            <w:r>
              <w:rPr>
                <w:rFonts w:hint="eastAsia" w:ascii="宋体" w:hAnsi="宋体"/>
                <w:color w:val="auto"/>
                <w:szCs w:val="21"/>
                <w:highlight w:val="none"/>
              </w:rPr>
              <w:t>说</w:t>
            </w: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p>
          <w:p>
            <w:pPr>
              <w:jc w:val="center"/>
              <w:rPr>
                <w:rFonts w:hint="eastAsia" w:ascii="宋体" w:hAnsi="宋体"/>
                <w:color w:val="auto"/>
                <w:szCs w:val="21"/>
                <w:highlight w:val="none"/>
              </w:rPr>
            </w:pPr>
            <w:r>
              <w:rPr>
                <w:rFonts w:hint="eastAsia" w:ascii="宋体" w:hAnsi="宋体"/>
                <w:color w:val="auto"/>
                <w:szCs w:val="21"/>
                <w:highlight w:val="none"/>
              </w:rPr>
              <w:t>明</w:t>
            </w:r>
          </w:p>
        </w:tc>
        <w:tc>
          <w:tcPr>
            <w:tcW w:w="8922" w:type="dxa"/>
            <w:gridSpan w:val="5"/>
            <w:vAlign w:val="center"/>
          </w:tcPr>
          <w:p>
            <w:pPr>
              <w:widowControl/>
              <w:jc w:val="center"/>
              <w:rPr>
                <w:rFonts w:hint="eastAsia" w:ascii="宋体" w:hAnsi="宋体"/>
                <w:color w:val="auto"/>
                <w:szCs w:val="21"/>
                <w:highlight w:val="none"/>
              </w:rPr>
            </w:pPr>
          </w:p>
          <w:p>
            <w:pPr>
              <w:jc w:val="center"/>
              <w:rPr>
                <w:rFonts w:hint="eastAsia" w:ascii="宋体" w:hAnsi="宋体"/>
                <w:color w:val="auto"/>
                <w:szCs w:val="21"/>
                <w:highlight w:val="none"/>
              </w:rPr>
            </w:pPr>
          </w:p>
        </w:tc>
      </w:tr>
    </w:tbl>
    <w:p>
      <w:pPr>
        <w:jc w:val="center"/>
        <w:rPr>
          <w:rFonts w:hint="eastAsia" w:ascii="隶书" w:hAnsi="宋体" w:eastAsia="隶书"/>
          <w:color w:val="auto"/>
          <w:sz w:val="24"/>
          <w:highlight w:val="none"/>
        </w:rPr>
      </w:pPr>
    </w:p>
    <w:p>
      <w:pPr>
        <w:rPr>
          <w:rFonts w:hint="eastAsia" w:ascii="宋体" w:hAnsi="宋体"/>
          <w:color w:val="auto"/>
          <w:szCs w:val="21"/>
          <w:highlight w:val="none"/>
        </w:rPr>
      </w:pPr>
      <w:r>
        <w:rPr>
          <w:rFonts w:hint="eastAsia" w:ascii="宋体" w:hAnsi="宋体"/>
          <w:color w:val="auto"/>
          <w:szCs w:val="21"/>
          <w:highlight w:val="none"/>
        </w:rPr>
        <w:t>注：1.投标人可按附表一的工程进度估算并填写本表。</w:t>
      </w:r>
    </w:p>
    <w:p>
      <w:pPr>
        <w:ind w:left="630" w:hanging="630"/>
        <w:rPr>
          <w:rFonts w:hint="eastAsia" w:ascii="宋体" w:hAnsi="宋体"/>
          <w:color w:val="auto"/>
          <w:szCs w:val="21"/>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rPr>
          <w:rFonts w:hint="eastAsia" w:ascii="宋体" w:hAnsi="宋体"/>
          <w:color w:val="auto"/>
          <w:sz w:val="24"/>
          <w:highlight w:val="none"/>
        </w:rPr>
      </w:pPr>
    </w:p>
    <w:p>
      <w:pPr>
        <w:pStyle w:val="4"/>
        <w:keepNext w:val="0"/>
        <w:keepLines w:val="0"/>
        <w:pageBreakBefore/>
        <w:spacing w:beforeLines="100" w:afterLines="150" w:line="360" w:lineRule="exact"/>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五</w:t>
      </w:r>
      <w:r>
        <w:rPr>
          <w:rFonts w:ascii="黑体" w:hAnsi="宋体" w:eastAsia="黑体"/>
          <w:color w:val="auto"/>
          <w:sz w:val="28"/>
          <w:szCs w:val="28"/>
          <w:highlight w:val="none"/>
        </w:rPr>
        <w:t>、项目管理机构</w:t>
      </w:r>
      <w:bookmarkEnd w:id="261"/>
      <w:bookmarkEnd w:id="262"/>
      <w:bookmarkEnd w:id="263"/>
      <w:bookmarkEnd w:id="264"/>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73" w:hRule="atLeast"/>
          <w:jc w:val="center"/>
        </w:trPr>
        <w:tc>
          <w:tcPr>
            <w:tcW w:w="9639" w:type="dxa"/>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拟为承包本标段工程设立的组织机构以框图方式表示</w:t>
            </w:r>
            <w:r>
              <w:rPr>
                <w:rFonts w:hint="eastAsia" w:ascii="宋体" w:hAnsi="宋体"/>
                <w:color w:val="auto"/>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68" w:hRule="atLeast"/>
          <w:jc w:val="center"/>
        </w:trPr>
        <w:tc>
          <w:tcPr>
            <w:tcW w:w="9639" w:type="dxa"/>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说明</w:t>
            </w:r>
          </w:p>
        </w:tc>
      </w:tr>
    </w:tbl>
    <w:p>
      <w:pPr>
        <w:rPr>
          <w:color w:val="auto"/>
          <w:highlight w:val="none"/>
        </w:rPr>
      </w:pPr>
    </w:p>
    <w:p>
      <w:pPr>
        <w:pStyle w:val="4"/>
        <w:spacing w:beforeLines="100" w:afterLines="150" w:line="360" w:lineRule="exact"/>
        <w:jc w:val="center"/>
        <w:rPr>
          <w:rFonts w:ascii="黑体" w:hAnsi="宋体" w:eastAsia="黑体"/>
          <w:color w:val="auto"/>
          <w:sz w:val="28"/>
          <w:szCs w:val="28"/>
          <w:highlight w:val="none"/>
        </w:rPr>
      </w:pPr>
      <w:bookmarkStart w:id="271" w:name="_Toc486277938"/>
      <w:bookmarkStart w:id="272" w:name="_Toc18211"/>
      <w:bookmarkStart w:id="273" w:name="_Toc485889072"/>
      <w:bookmarkStart w:id="274" w:name="_Toc234382977"/>
      <w:r>
        <w:rPr>
          <w:rFonts w:hint="eastAsia" w:ascii="黑体" w:hAnsi="宋体" w:eastAsia="黑体"/>
          <w:color w:val="auto"/>
          <w:sz w:val="28"/>
          <w:szCs w:val="28"/>
          <w:highlight w:val="none"/>
        </w:rPr>
        <w:t>六、资格审查资料</w:t>
      </w:r>
      <w:bookmarkEnd w:id="271"/>
      <w:bookmarkEnd w:id="272"/>
      <w:bookmarkEnd w:id="273"/>
      <w:bookmarkEnd w:id="274"/>
    </w:p>
    <w:p>
      <w:pPr>
        <w:pStyle w:val="4"/>
        <w:spacing w:beforeLines="100" w:afterLines="150" w:line="360" w:lineRule="exact"/>
        <w:jc w:val="center"/>
        <w:rPr>
          <w:rFonts w:ascii="黑体" w:hAnsi="宋体" w:eastAsia="黑体"/>
          <w:color w:val="auto"/>
          <w:sz w:val="28"/>
          <w:szCs w:val="28"/>
          <w:highlight w:val="none"/>
        </w:rPr>
      </w:pPr>
      <w:bookmarkStart w:id="275" w:name="_Toc234382978"/>
      <w:bookmarkStart w:id="276" w:name="_Toc9432"/>
      <w:bookmarkStart w:id="277" w:name="_Toc485889073"/>
      <w:bookmarkStart w:id="278" w:name="_Toc486277939"/>
      <w:r>
        <w:rPr>
          <w:rFonts w:hint="eastAsia" w:ascii="黑体" w:hAnsi="宋体" w:eastAsia="黑体"/>
          <w:color w:val="auto"/>
          <w:sz w:val="28"/>
          <w:szCs w:val="28"/>
          <w:highlight w:val="none"/>
        </w:rPr>
        <w:t>（一）投标人基本情况表</w:t>
      </w:r>
      <w:bookmarkEnd w:id="275"/>
      <w:bookmarkEnd w:id="276"/>
      <w:bookmarkEnd w:id="277"/>
      <w:bookmarkEnd w:id="278"/>
    </w:p>
    <w:tbl>
      <w:tblPr>
        <w:tblStyle w:val="15"/>
        <w:tblW w:w="963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846" w:type="dxa"/>
            <w:gridSpan w:val="4"/>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话</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Merge w:val="continue"/>
            <w:vAlign w:val="center"/>
          </w:tcPr>
          <w:p>
            <w:pPr>
              <w:autoSpaceDE w:val="0"/>
              <w:autoSpaceDN w:val="0"/>
              <w:adjustRightInd w:val="0"/>
              <w:jc w:val="center"/>
              <w:rPr>
                <w:rFonts w:ascii="宋体" w:hAnsi="宋体"/>
                <w:color w:val="auto"/>
                <w:kern w:val="0"/>
                <w:szCs w:val="21"/>
                <w:highlight w:val="none"/>
              </w:rPr>
            </w:pPr>
          </w:p>
        </w:tc>
        <w:tc>
          <w:tcPr>
            <w:tcW w:w="1010" w:type="dxa"/>
            <w:vAlign w:val="center"/>
          </w:tcPr>
          <w:p>
            <w:pPr>
              <w:tabs>
                <w:tab w:val="left" w:pos="540"/>
              </w:tabs>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传</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真</w:t>
            </w:r>
          </w:p>
        </w:tc>
        <w:tc>
          <w:tcPr>
            <w:tcW w:w="2836" w:type="dxa"/>
            <w:gridSpan w:val="3"/>
            <w:vAlign w:val="center"/>
          </w:tcPr>
          <w:p>
            <w:pPr>
              <w:autoSpaceDE w:val="0"/>
              <w:autoSpaceDN w:val="0"/>
              <w:adjustRightInd w:val="0"/>
              <w:jc w:val="center"/>
              <w:rPr>
                <w:rFonts w:ascii="宋体" w:hAnsi="宋体"/>
                <w:color w:val="auto"/>
                <w:kern w:val="0"/>
                <w:szCs w:val="21"/>
                <w:highlight w:val="none"/>
              </w:rPr>
            </w:pPr>
          </w:p>
        </w:tc>
        <w:tc>
          <w:tcPr>
            <w:tcW w:w="121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电子邮件</w:t>
            </w:r>
          </w:p>
        </w:tc>
        <w:tc>
          <w:tcPr>
            <w:tcW w:w="2639" w:type="dxa"/>
            <w:gridSpan w:val="3"/>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1010"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1070" w:type="dxa"/>
            <w:vAlign w:val="center"/>
          </w:tcPr>
          <w:p>
            <w:pPr>
              <w:autoSpaceDE w:val="0"/>
              <w:autoSpaceDN w:val="0"/>
              <w:adjustRightInd w:val="0"/>
              <w:jc w:val="center"/>
              <w:rPr>
                <w:rFonts w:ascii="宋体" w:hAnsi="宋体"/>
                <w:color w:val="auto"/>
                <w:kern w:val="0"/>
                <w:szCs w:val="21"/>
                <w:highlight w:val="none"/>
              </w:rPr>
            </w:pPr>
          </w:p>
        </w:tc>
        <w:tc>
          <w:tcPr>
            <w:tcW w:w="141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119" w:type="dxa"/>
            <w:gridSpan w:val="3"/>
            <w:vAlign w:val="center"/>
          </w:tcPr>
          <w:p>
            <w:pPr>
              <w:autoSpaceDE w:val="0"/>
              <w:autoSpaceDN w:val="0"/>
              <w:adjustRightInd w:val="0"/>
              <w:jc w:val="center"/>
              <w:rPr>
                <w:rFonts w:ascii="宋体" w:hAnsi="宋体"/>
                <w:color w:val="auto"/>
                <w:kern w:val="0"/>
                <w:szCs w:val="21"/>
                <w:highlight w:val="none"/>
              </w:rPr>
            </w:pPr>
          </w:p>
        </w:tc>
        <w:tc>
          <w:tcPr>
            <w:tcW w:w="966"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1116" w:type="dxa"/>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5617" w:type="dxa"/>
            <w:gridSpan w:val="6"/>
            <w:vAlign w:val="center"/>
          </w:tcPr>
          <w:p>
            <w:pPr>
              <w:autoSpaceDE w:val="0"/>
              <w:autoSpaceDN w:val="0"/>
              <w:adjustRightInd w:val="0"/>
              <w:ind w:left="105" w:leftChars="50"/>
              <w:jc w:val="center"/>
              <w:rPr>
                <w:rFonts w:ascii="宋体" w:hAnsi="宋体"/>
                <w:color w:val="auto"/>
                <w:kern w:val="0"/>
                <w:szCs w:val="21"/>
                <w:highlight w:val="none"/>
                <w:u w:val="single"/>
              </w:rPr>
            </w:pPr>
            <w:r>
              <w:rPr>
                <w:rFonts w:hint="eastAsia" w:ascii="宋体" w:hAnsi="宋体" w:cs="MingLiU"/>
                <w:color w:val="auto"/>
                <w:kern w:val="0"/>
                <w:szCs w:val="21"/>
                <w:highlight w:val="none"/>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restart"/>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基本账户开户银行</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基本账户账号</w:t>
            </w:r>
          </w:p>
        </w:tc>
        <w:tc>
          <w:tcPr>
            <w:tcW w:w="2080" w:type="dxa"/>
            <w:gridSpan w:val="2"/>
            <w:vAlign w:val="center"/>
          </w:tcPr>
          <w:p>
            <w:pPr>
              <w:autoSpaceDE w:val="0"/>
              <w:autoSpaceDN w:val="0"/>
              <w:adjustRightInd w:val="0"/>
              <w:jc w:val="center"/>
              <w:rPr>
                <w:rFonts w:ascii="宋体" w:hAnsi="宋体"/>
                <w:color w:val="auto"/>
                <w:kern w:val="0"/>
                <w:szCs w:val="21"/>
                <w:highlight w:val="none"/>
              </w:rPr>
            </w:pPr>
          </w:p>
        </w:tc>
        <w:tc>
          <w:tcPr>
            <w:tcW w:w="1416" w:type="dxa"/>
            <w:vMerge w:val="continue"/>
            <w:vAlign w:val="center"/>
          </w:tcPr>
          <w:p>
            <w:pPr>
              <w:autoSpaceDE w:val="0"/>
              <w:autoSpaceDN w:val="0"/>
              <w:adjustRightInd w:val="0"/>
              <w:jc w:val="center"/>
              <w:rPr>
                <w:rFonts w:ascii="宋体" w:hAnsi="宋体"/>
                <w:color w:val="auto"/>
                <w:kern w:val="0"/>
                <w:szCs w:val="21"/>
                <w:highlight w:val="none"/>
              </w:rPr>
            </w:pPr>
          </w:p>
        </w:tc>
        <w:tc>
          <w:tcPr>
            <w:tcW w:w="2119" w:type="dxa"/>
            <w:gridSpan w:val="3"/>
            <w:vAlign w:val="center"/>
          </w:tcPr>
          <w:p>
            <w:pPr>
              <w:tabs>
                <w:tab w:val="left" w:pos="1240"/>
              </w:tabs>
              <w:autoSpaceDE w:val="0"/>
              <w:autoSpaceDN w:val="0"/>
              <w:adjustRightInd w:val="0"/>
              <w:spacing w:before="98"/>
              <w:jc w:val="center"/>
              <w:rPr>
                <w:rFonts w:ascii="宋体" w:hAnsi="宋体"/>
                <w:color w:val="auto"/>
                <w:kern w:val="0"/>
                <w:szCs w:val="21"/>
                <w:highlight w:val="none"/>
              </w:rPr>
            </w:pPr>
            <w:r>
              <w:rPr>
                <w:rFonts w:hint="eastAsia" w:ascii="宋体" w:hAnsi="宋体" w:cs="MingLiU"/>
                <w:color w:val="auto"/>
                <w:kern w:val="0"/>
                <w:szCs w:val="21"/>
                <w:highlight w:val="none"/>
              </w:rPr>
              <w:t>技工</w:t>
            </w:r>
          </w:p>
        </w:tc>
        <w:tc>
          <w:tcPr>
            <w:tcW w:w="2082" w:type="dxa"/>
            <w:gridSpan w:val="2"/>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58"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1423" w:hRule="exact"/>
          <w:jc w:val="center"/>
        </w:trPr>
        <w:tc>
          <w:tcPr>
            <w:tcW w:w="1942" w:type="dxa"/>
            <w:vAlign w:val="center"/>
          </w:tcPr>
          <w:p>
            <w:pPr>
              <w:autoSpaceDE w:val="0"/>
              <w:autoSpaceDN w:val="0"/>
              <w:adjustRightInd w:val="0"/>
              <w:jc w:val="center"/>
              <w:rPr>
                <w:rFonts w:ascii="宋体" w:hAnsi="宋体" w:cs="MingLiU"/>
                <w:color w:val="auto"/>
                <w:kern w:val="0"/>
                <w:szCs w:val="21"/>
                <w:highlight w:val="none"/>
              </w:rPr>
            </w:pPr>
            <w:r>
              <w:rPr>
                <w:rFonts w:hint="eastAsia" w:ascii="宋体" w:hAnsi="宋体" w:cs="MingLiU"/>
                <w:color w:val="auto"/>
                <w:kern w:val="0"/>
                <w:szCs w:val="21"/>
                <w:highlight w:val="none"/>
              </w:rPr>
              <w:t>资产构成情况及申请人投资参股的关联企业情况</w:t>
            </w:r>
          </w:p>
        </w:tc>
        <w:tc>
          <w:tcPr>
            <w:tcW w:w="7697" w:type="dxa"/>
            <w:gridSpan w:val="8"/>
            <w:vAlign w:val="center"/>
          </w:tcPr>
          <w:p>
            <w:pPr>
              <w:autoSpaceDE w:val="0"/>
              <w:autoSpaceDN w:val="0"/>
              <w:adjustRightInd w:val="0"/>
              <w:jc w:val="both"/>
              <w:rPr>
                <w:rFonts w:ascii="宋体" w:hAnsi="宋体"/>
                <w:color w:val="auto"/>
                <w:kern w:val="0"/>
                <w:szCs w:val="21"/>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Ex>
        <w:trPr>
          <w:trHeight w:val="567" w:hRule="exact"/>
          <w:jc w:val="center"/>
        </w:trPr>
        <w:tc>
          <w:tcPr>
            <w:tcW w:w="1942" w:type="dxa"/>
            <w:vAlign w:val="center"/>
          </w:tcPr>
          <w:p>
            <w:pPr>
              <w:autoSpaceDE w:val="0"/>
              <w:autoSpaceDN w:val="0"/>
              <w:adjustRightInd w:val="0"/>
              <w:jc w:val="center"/>
              <w:rPr>
                <w:rFonts w:ascii="宋体" w:hAnsi="宋体"/>
                <w:color w:val="auto"/>
                <w:kern w:val="0"/>
                <w:szCs w:val="21"/>
                <w:highlight w:val="none"/>
              </w:rPr>
            </w:pPr>
            <w:r>
              <w:rPr>
                <w:rFonts w:hint="eastAsia" w:ascii="宋体" w:hAnsi="宋体" w:cs="MingLiU"/>
                <w:color w:val="auto"/>
                <w:kern w:val="0"/>
                <w:szCs w:val="21"/>
                <w:highlight w:val="none"/>
              </w:rPr>
              <w:t>备    注</w:t>
            </w:r>
          </w:p>
        </w:tc>
        <w:tc>
          <w:tcPr>
            <w:tcW w:w="7697" w:type="dxa"/>
            <w:gridSpan w:val="8"/>
            <w:vAlign w:val="center"/>
          </w:tcPr>
          <w:p>
            <w:pPr>
              <w:autoSpaceDE w:val="0"/>
              <w:autoSpaceDN w:val="0"/>
              <w:adjustRightInd w:val="0"/>
              <w:jc w:val="center"/>
              <w:rPr>
                <w:rFonts w:ascii="宋体" w:hAnsi="宋体"/>
                <w:color w:val="auto"/>
                <w:kern w:val="0"/>
                <w:szCs w:val="21"/>
                <w:highlight w:val="none"/>
              </w:rPr>
            </w:pPr>
          </w:p>
        </w:tc>
      </w:tr>
    </w:tbl>
    <w:p>
      <w:pPr>
        <w:rPr>
          <w:color w:val="auto"/>
          <w:highlight w:val="none"/>
        </w:rPr>
      </w:pPr>
      <w:r>
        <w:rPr>
          <w:rFonts w:hint="eastAsia" w:ascii="宋体" w:hAnsi="宋体"/>
          <w:color w:val="auto"/>
          <w:szCs w:val="21"/>
          <w:highlight w:val="none"/>
        </w:rPr>
        <w:t>注：1.企业法人营业执照副本（全本）、施工资质证书副本（全本）、安全生产许可证副本（全本）</w:t>
      </w:r>
      <w:r>
        <w:rPr>
          <w:rFonts w:hint="eastAsia" w:ascii="宋体" w:hAnsi="宋体"/>
          <w:color w:val="auto"/>
          <w:szCs w:val="21"/>
          <w:highlight w:val="none"/>
          <w:lang w:eastAsia="zh-CN"/>
        </w:rPr>
        <w:t>、</w:t>
      </w:r>
      <w:r>
        <w:rPr>
          <w:rFonts w:hint="eastAsia" w:ascii="宋体" w:hAnsi="宋体"/>
          <w:color w:val="auto"/>
          <w:szCs w:val="21"/>
          <w:highlight w:val="none"/>
        </w:rPr>
        <w:t>基本账户开户许可证和</w:t>
      </w:r>
      <w:r>
        <w:rPr>
          <w:rFonts w:hint="eastAsia" w:ascii="宋体" w:hAnsi="宋体"/>
          <w:color w:val="auto"/>
          <w:szCs w:val="21"/>
          <w:highlight w:val="none"/>
          <w:lang w:eastAsia="zh-CN"/>
        </w:rPr>
        <w:t>行贿犯罪档案查询结果告知函</w:t>
      </w:r>
      <w:r>
        <w:rPr>
          <w:rFonts w:hint="eastAsia" w:ascii="宋体" w:hAnsi="宋体"/>
          <w:color w:val="auto"/>
          <w:szCs w:val="21"/>
          <w:highlight w:val="none"/>
        </w:rPr>
        <w:t>的</w:t>
      </w:r>
      <w:r>
        <w:rPr>
          <w:rFonts w:hint="eastAsia" w:ascii="宋体" w:hAnsi="宋体"/>
          <w:color w:val="auto"/>
          <w:szCs w:val="21"/>
          <w:highlight w:val="none"/>
          <w:lang w:eastAsia="zh-CN"/>
        </w:rPr>
        <w:t>彩色</w:t>
      </w:r>
      <w:r>
        <w:rPr>
          <w:rFonts w:hint="eastAsia" w:ascii="宋体" w:hAnsi="宋体"/>
          <w:color w:val="auto"/>
          <w:szCs w:val="21"/>
          <w:highlight w:val="none"/>
        </w:rPr>
        <w:t>扫描</w:t>
      </w:r>
      <w:r>
        <w:rPr>
          <w:rFonts w:hint="eastAsia" w:ascii="宋体" w:hAnsi="宋体"/>
          <w:color w:val="auto"/>
          <w:szCs w:val="21"/>
          <w:highlight w:val="none"/>
          <w:lang w:eastAsia="zh-CN"/>
        </w:rPr>
        <w:t>件</w:t>
      </w:r>
      <w:r>
        <w:rPr>
          <w:rFonts w:hint="eastAsia" w:ascii="宋体" w:hAnsi="宋体"/>
          <w:color w:val="auto"/>
          <w:szCs w:val="21"/>
          <w:highlight w:val="none"/>
        </w:rPr>
        <w:t>并加盖单位章。</w:t>
      </w:r>
    </w:p>
    <w:p>
      <w:pPr>
        <w:pStyle w:val="4"/>
        <w:spacing w:beforeLines="100" w:afterLines="150" w:line="360" w:lineRule="exact"/>
        <w:jc w:val="center"/>
        <w:rPr>
          <w:rFonts w:ascii="黑体" w:hAnsi="宋体" w:eastAsia="黑体"/>
          <w:color w:val="auto"/>
          <w:sz w:val="28"/>
          <w:szCs w:val="28"/>
          <w:highlight w:val="none"/>
        </w:rPr>
      </w:pPr>
      <w:bookmarkStart w:id="279" w:name="_Toc10076"/>
      <w:bookmarkStart w:id="280" w:name="_Toc234382979"/>
      <w:bookmarkStart w:id="281" w:name="_Toc485889074"/>
      <w:bookmarkStart w:id="282" w:name="_Toc486277940"/>
      <w:r>
        <w:rPr>
          <w:rFonts w:hint="eastAsia" w:ascii="黑体" w:hAnsi="宋体" w:eastAsia="黑体"/>
          <w:color w:val="auto"/>
          <w:sz w:val="28"/>
          <w:szCs w:val="28"/>
          <w:highlight w:val="none"/>
        </w:rPr>
        <w:t>（二）投标人企业组织结构框图</w:t>
      </w:r>
      <w:bookmarkEnd w:id="279"/>
      <w:bookmarkEnd w:id="280"/>
      <w:bookmarkEnd w:id="281"/>
      <w:bookmarkEnd w:id="282"/>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76" w:hRule="atLeast"/>
          <w:jc w:val="center"/>
        </w:trPr>
        <w:tc>
          <w:tcPr>
            <w:tcW w:w="9639" w:type="dxa"/>
          </w:tcPr>
          <w:p>
            <w:pPr>
              <w:rPr>
                <w:rFonts w:hint="eastAsia" w:cs="宋体"/>
                <w:color w:val="auto"/>
                <w:sz w:val="24"/>
                <w:szCs w:val="21"/>
                <w:highlight w:val="none"/>
              </w:rPr>
            </w:pPr>
          </w:p>
          <w:p>
            <w:pPr>
              <w:rPr>
                <w:rFonts w:cs="宋体"/>
                <w:color w:val="auto"/>
                <w:szCs w:val="21"/>
                <w:highlight w:val="none"/>
              </w:rPr>
            </w:pPr>
            <w:r>
              <w:rPr>
                <w:rFonts w:hint="eastAsia" w:cs="宋体"/>
                <w:color w:val="auto"/>
                <w:sz w:val="24"/>
                <w:szCs w:val="21"/>
                <w:highlight w:val="none"/>
              </w:rPr>
              <w:t>以框图方式表示</w:t>
            </w:r>
            <w:r>
              <w:rPr>
                <w:rFonts w:hint="eastAsia" w:cs="宋体"/>
                <w:color w:val="auto"/>
                <w:sz w:val="24"/>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813" w:hRule="atLeast"/>
          <w:jc w:val="center"/>
        </w:trPr>
        <w:tc>
          <w:tcPr>
            <w:tcW w:w="9639" w:type="dxa"/>
          </w:tcPr>
          <w:p>
            <w:pPr>
              <w:rPr>
                <w:rFonts w:cs="宋体"/>
                <w:color w:val="auto"/>
                <w:sz w:val="24"/>
                <w:highlight w:val="none"/>
              </w:rPr>
            </w:pPr>
          </w:p>
          <w:p>
            <w:pPr>
              <w:rPr>
                <w:rFonts w:cs="宋体"/>
                <w:color w:val="auto"/>
                <w:szCs w:val="21"/>
                <w:highlight w:val="none"/>
              </w:rPr>
            </w:pPr>
            <w:r>
              <w:rPr>
                <w:rFonts w:hint="eastAsia" w:cs="宋体"/>
                <w:color w:val="auto"/>
                <w:szCs w:val="21"/>
                <w:highlight w:val="none"/>
              </w:rPr>
              <w:t>说明</w:t>
            </w:r>
          </w:p>
        </w:tc>
      </w:tr>
    </w:tbl>
    <w:p>
      <w:pPr>
        <w:pStyle w:val="4"/>
        <w:spacing w:beforeLines="100" w:afterLines="150" w:line="360" w:lineRule="exact"/>
        <w:jc w:val="center"/>
        <w:rPr>
          <w:color w:val="auto"/>
          <w:highlight w:val="none"/>
        </w:rPr>
      </w:pPr>
      <w:r>
        <w:rPr>
          <w:color w:val="auto"/>
          <w:highlight w:val="none"/>
        </w:rPr>
        <w:br w:type="page"/>
      </w:r>
      <w:bookmarkStart w:id="283" w:name="_Toc486277941"/>
      <w:bookmarkStart w:id="284" w:name="_Toc8347"/>
      <w:bookmarkStart w:id="285" w:name="_Toc485889075"/>
      <w:bookmarkStart w:id="286" w:name="_Toc234382980"/>
      <w:r>
        <w:rPr>
          <w:rFonts w:hint="eastAsia" w:ascii="黑体" w:hAnsi="宋体" w:eastAsia="黑体"/>
          <w:color w:val="auto"/>
          <w:sz w:val="28"/>
          <w:szCs w:val="28"/>
          <w:highlight w:val="none"/>
        </w:rPr>
        <w:t>（三）拟委任的项目经理和项目总工资历表</w:t>
      </w:r>
      <w:bookmarkEnd w:id="283"/>
      <w:bookmarkEnd w:id="284"/>
      <w:bookmarkEnd w:id="285"/>
      <w:bookmarkEnd w:id="286"/>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54"/>
        <w:gridCol w:w="1645"/>
        <w:gridCol w:w="1516"/>
        <w:gridCol w:w="862"/>
        <w:gridCol w:w="616"/>
        <w:gridCol w:w="776"/>
        <w:gridCol w:w="1393"/>
        <w:gridCol w:w="14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姓</w:t>
            </w:r>
            <w:r>
              <w:rPr>
                <w:rFonts w:hint="eastAsia" w:ascii="宋体" w:hAnsi="宋体"/>
                <w:color w:val="auto"/>
                <w:kern w:val="0"/>
                <w:szCs w:val="21"/>
                <w:highlight w:val="none"/>
              </w:rPr>
              <w:tab/>
            </w:r>
            <w:r>
              <w:rPr>
                <w:rFonts w:hint="eastAsia" w:ascii="宋体" w:hAnsi="宋体" w:cs="MingLiU"/>
                <w:color w:val="auto"/>
                <w:kern w:val="0"/>
                <w:szCs w:val="21"/>
                <w:highlight w:val="none"/>
              </w:rPr>
              <w:t>名</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年</w:t>
            </w:r>
            <w:r>
              <w:rPr>
                <w:rFonts w:hint="eastAsia" w:ascii="宋体" w:hAnsi="宋体"/>
                <w:color w:val="auto"/>
                <w:kern w:val="0"/>
                <w:szCs w:val="21"/>
                <w:highlight w:val="none"/>
              </w:rPr>
              <w:t xml:space="preserve">  </w:t>
            </w:r>
            <w:r>
              <w:rPr>
                <w:rFonts w:hint="eastAsia" w:ascii="宋体" w:hAnsi="宋体" w:cs="MingLiU"/>
                <w:color w:val="auto"/>
                <w:kern w:val="0"/>
                <w:szCs w:val="21"/>
                <w:highlight w:val="none"/>
              </w:rPr>
              <w:t>龄</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专  业</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tabs>
                <w:tab w:val="left" w:pos="680"/>
              </w:tabs>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w:t>
            </w:r>
            <w:r>
              <w:rPr>
                <w:rFonts w:hint="eastAsia" w:ascii="宋体" w:hAnsi="宋体"/>
                <w:color w:val="auto"/>
                <w:kern w:val="0"/>
                <w:szCs w:val="21"/>
                <w:highlight w:val="none"/>
              </w:rPr>
              <w:tab/>
            </w:r>
            <w:r>
              <w:rPr>
                <w:rFonts w:hint="eastAsia" w:ascii="宋体" w:hAnsi="宋体" w:cs="MingLiU"/>
                <w:color w:val="auto"/>
                <w:kern w:val="0"/>
                <w:szCs w:val="21"/>
                <w:highlight w:val="none"/>
              </w:rPr>
              <w:t>称</w:t>
            </w:r>
          </w:p>
        </w:tc>
        <w:tc>
          <w:tcPr>
            <w:tcW w:w="1645" w:type="dxa"/>
            <w:vAlign w:val="center"/>
          </w:tcPr>
          <w:p>
            <w:pPr>
              <w:autoSpaceDE w:val="0"/>
              <w:autoSpaceDN w:val="0"/>
              <w:adjustRightInd w:val="0"/>
              <w:jc w:val="center"/>
              <w:rPr>
                <w:rFonts w:ascii="宋体" w:hAnsi="宋体"/>
                <w:color w:val="auto"/>
                <w:kern w:val="0"/>
                <w:szCs w:val="21"/>
                <w:highlight w:val="none"/>
              </w:rPr>
            </w:pPr>
          </w:p>
        </w:tc>
        <w:tc>
          <w:tcPr>
            <w:tcW w:w="1516" w:type="dxa"/>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公司单位</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职    务</w:t>
            </w:r>
          </w:p>
        </w:tc>
        <w:tc>
          <w:tcPr>
            <w:tcW w:w="1478" w:type="dxa"/>
            <w:gridSpan w:val="2"/>
            <w:vAlign w:val="center"/>
          </w:tcPr>
          <w:p>
            <w:pPr>
              <w:autoSpaceDE w:val="0"/>
              <w:autoSpaceDN w:val="0"/>
              <w:adjustRightInd w:val="0"/>
              <w:jc w:val="center"/>
              <w:rPr>
                <w:rFonts w:ascii="宋体" w:hAnsi="宋体"/>
                <w:color w:val="auto"/>
                <w:kern w:val="0"/>
                <w:szCs w:val="21"/>
                <w:highlight w:val="none"/>
              </w:rPr>
            </w:pPr>
          </w:p>
        </w:tc>
        <w:tc>
          <w:tcPr>
            <w:tcW w:w="2169" w:type="dxa"/>
            <w:gridSpan w:val="2"/>
            <w:vAlign w:val="center"/>
          </w:tcPr>
          <w:p>
            <w:pPr>
              <w:autoSpaceDE w:val="0"/>
              <w:autoSpaceDN w:val="0"/>
              <w:adjustRightInd w:val="0"/>
              <w:spacing w:before="73"/>
              <w:jc w:val="center"/>
              <w:rPr>
                <w:rFonts w:ascii="宋体" w:hAnsi="宋体" w:cs="MingLiU"/>
                <w:color w:val="auto"/>
                <w:kern w:val="0"/>
                <w:szCs w:val="21"/>
                <w:highlight w:val="none"/>
              </w:rPr>
            </w:pPr>
            <w:r>
              <w:rPr>
                <w:rFonts w:hint="eastAsia" w:ascii="宋体" w:hAnsi="宋体" w:cs="MingLiU"/>
                <w:color w:val="auto"/>
                <w:kern w:val="0"/>
                <w:szCs w:val="21"/>
                <w:highlight w:val="none"/>
              </w:rPr>
              <w:t>拟在本标段</w:t>
            </w:r>
          </w:p>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工程担任职务</w:t>
            </w:r>
          </w:p>
        </w:tc>
        <w:tc>
          <w:tcPr>
            <w:tcW w:w="1477"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autoSpaceDE w:val="0"/>
              <w:autoSpaceDN w:val="0"/>
              <w:adjustRightInd w:val="0"/>
              <w:spacing w:before="73"/>
              <w:jc w:val="center"/>
              <w:rPr>
                <w:rFonts w:ascii="宋体" w:hAnsi="宋体"/>
                <w:color w:val="auto"/>
                <w:kern w:val="0"/>
                <w:szCs w:val="21"/>
                <w:highlight w:val="none"/>
              </w:rPr>
            </w:pPr>
            <w:r>
              <w:rPr>
                <w:rFonts w:hint="eastAsia" w:ascii="宋体" w:hAnsi="宋体" w:cs="MingLiU"/>
                <w:color w:val="auto"/>
                <w:kern w:val="0"/>
                <w:szCs w:val="21"/>
                <w:highlight w:val="none"/>
              </w:rPr>
              <w:t>毕业学校</w:t>
            </w:r>
          </w:p>
        </w:tc>
        <w:tc>
          <w:tcPr>
            <w:tcW w:w="8285" w:type="dxa"/>
            <w:gridSpan w:val="7"/>
            <w:vAlign w:val="center"/>
          </w:tcPr>
          <w:p>
            <w:pPr>
              <w:tabs>
                <w:tab w:val="left" w:pos="2820"/>
                <w:tab w:val="left" w:pos="4080"/>
              </w:tabs>
              <w:autoSpaceDE w:val="0"/>
              <w:autoSpaceDN w:val="0"/>
              <w:adjustRightInd w:val="0"/>
              <w:spacing w:before="73"/>
              <w:ind w:left="-1291" w:leftChars="-615" w:firstLine="1260" w:firstLineChars="600"/>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月毕业于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学校</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专业，学制</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9639" w:type="dxa"/>
            <w:gridSpan w:val="8"/>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经     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p>
            <w:pPr>
              <w:jc w:val="center"/>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p>
        </w:tc>
        <w:tc>
          <w:tcPr>
            <w:tcW w:w="4023" w:type="dxa"/>
            <w:gridSpan w:val="3"/>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参加过的工程项目名称</w:t>
            </w:r>
          </w:p>
        </w:tc>
        <w:tc>
          <w:tcPr>
            <w:tcW w:w="1392" w:type="dxa"/>
            <w:gridSpan w:val="2"/>
            <w:vAlign w:val="center"/>
          </w:tcPr>
          <w:p>
            <w:pPr>
              <w:jc w:val="center"/>
              <w:rPr>
                <w:rFonts w:ascii="宋体" w:hAnsi="宋体"/>
                <w:color w:val="auto"/>
                <w:szCs w:val="21"/>
                <w:highlight w:val="none"/>
              </w:rPr>
            </w:pPr>
            <w:r>
              <w:rPr>
                <w:rFonts w:hint="eastAsia" w:ascii="宋体" w:hAnsi="宋体" w:cs="MingLiU"/>
                <w:color w:val="auto"/>
                <w:kern w:val="0"/>
                <w:szCs w:val="21"/>
                <w:highlight w:val="none"/>
              </w:rPr>
              <w:t>担任何职</w:t>
            </w:r>
          </w:p>
        </w:tc>
        <w:tc>
          <w:tcPr>
            <w:tcW w:w="2870" w:type="dxa"/>
            <w:gridSpan w:val="2"/>
            <w:vAlign w:val="center"/>
          </w:tcPr>
          <w:p>
            <w:pPr>
              <w:jc w:val="center"/>
              <w:rPr>
                <w:rFonts w:ascii="宋体" w:hAnsi="宋体" w:cs="MingLiU"/>
                <w:color w:val="auto"/>
                <w:kern w:val="0"/>
                <w:szCs w:val="21"/>
                <w:highlight w:val="none"/>
              </w:rPr>
            </w:pPr>
            <w:r>
              <w:rPr>
                <w:rFonts w:hint="eastAsia" w:ascii="宋体" w:hAnsi="宋体" w:cs="MingLiU"/>
                <w:color w:val="auto"/>
                <w:kern w:val="0"/>
                <w:szCs w:val="21"/>
                <w:highlight w:val="none"/>
              </w:rPr>
              <w:t>发包人及</w:t>
            </w:r>
          </w:p>
          <w:p>
            <w:pPr>
              <w:jc w:val="center"/>
              <w:rPr>
                <w:rFonts w:ascii="宋体" w:hAnsi="宋体"/>
                <w:color w:val="auto"/>
                <w:szCs w:val="21"/>
                <w:highlight w:val="none"/>
              </w:rPr>
            </w:pPr>
            <w:r>
              <w:rPr>
                <w:rFonts w:hint="eastAsia" w:ascii="宋体" w:hAnsi="宋体" w:cs="MingLiU"/>
                <w:color w:val="auto"/>
                <w:kern w:val="0"/>
                <w:szCs w:val="21"/>
                <w:highlight w:val="none"/>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377"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获奖情况</w:t>
            </w:r>
          </w:p>
        </w:tc>
        <w:tc>
          <w:tcPr>
            <w:tcW w:w="1392" w:type="dxa"/>
            <w:gridSpan w:val="2"/>
            <w:vAlign w:val="center"/>
          </w:tcPr>
          <w:p>
            <w:pPr>
              <w:jc w:val="center"/>
              <w:rPr>
                <w:rFonts w:ascii="宋体" w:hAnsi="宋体"/>
                <w:color w:val="auto"/>
                <w:szCs w:val="21"/>
                <w:highlight w:val="none"/>
              </w:rPr>
            </w:pPr>
          </w:p>
        </w:tc>
        <w:tc>
          <w:tcPr>
            <w:tcW w:w="2870" w:type="dxa"/>
            <w:gridSpan w:val="2"/>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目前任职</w:t>
            </w:r>
          </w:p>
          <w:p>
            <w:pPr>
              <w:jc w:val="center"/>
              <w:rPr>
                <w:rFonts w:ascii="宋体" w:hAnsi="宋体"/>
                <w:color w:val="auto"/>
                <w:szCs w:val="21"/>
                <w:highlight w:val="none"/>
              </w:rPr>
            </w:pPr>
            <w:r>
              <w:rPr>
                <w:rFonts w:hint="eastAsia" w:ascii="宋体" w:hAnsi="宋体"/>
                <w:color w:val="auto"/>
                <w:szCs w:val="21"/>
                <w:highlight w:val="none"/>
              </w:rPr>
              <w:t>项目状况</w:t>
            </w: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担任职位</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1354" w:type="dxa"/>
            <w:vMerge w:val="continue"/>
            <w:vAlign w:val="center"/>
          </w:tcPr>
          <w:p>
            <w:pPr>
              <w:jc w:val="center"/>
              <w:rPr>
                <w:rFonts w:ascii="宋体" w:hAnsi="宋体"/>
                <w:color w:val="auto"/>
                <w:szCs w:val="21"/>
                <w:highlight w:val="none"/>
              </w:rPr>
            </w:pPr>
          </w:p>
        </w:tc>
        <w:tc>
          <w:tcPr>
            <w:tcW w:w="4023"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可以调离日期</w:t>
            </w:r>
          </w:p>
        </w:tc>
        <w:tc>
          <w:tcPr>
            <w:tcW w:w="4262" w:type="dxa"/>
            <w:gridSpan w:val="4"/>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168" w:hRule="atLeast"/>
          <w:jc w:val="center"/>
        </w:trPr>
        <w:tc>
          <w:tcPr>
            <w:tcW w:w="1354"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8285" w:type="dxa"/>
            <w:gridSpan w:val="7"/>
            <w:vAlign w:val="center"/>
          </w:tcPr>
          <w:p>
            <w:pPr>
              <w:jc w:val="center"/>
              <w:rPr>
                <w:rFonts w:ascii="宋体" w:hAnsi="宋体"/>
                <w:color w:val="auto"/>
                <w:szCs w:val="21"/>
                <w:highlight w:val="none"/>
              </w:rPr>
            </w:pPr>
          </w:p>
        </w:tc>
      </w:tr>
    </w:tbl>
    <w:p>
      <w:pPr>
        <w:ind w:left="735" w:hanging="735" w:hangingChars="350"/>
        <w:rPr>
          <w:rFonts w:hint="eastAsia" w:ascii="宋体" w:hAnsi="宋体"/>
          <w:color w:val="auto"/>
          <w:szCs w:val="21"/>
          <w:highlight w:val="none"/>
        </w:rPr>
      </w:pPr>
      <w:r>
        <w:rPr>
          <w:rFonts w:hint="eastAsia" w:ascii="宋体" w:hAnsi="宋体"/>
          <w:color w:val="auto"/>
          <w:szCs w:val="21"/>
          <w:highlight w:val="none"/>
        </w:rPr>
        <w:t>注：1、本表后项目经理和项目总工的身份证、职称资格证书以及资格预审条件所要求其他相关证书</w:t>
      </w:r>
    </w:p>
    <w:p>
      <w:pPr>
        <w:ind w:left="735" w:hanging="735" w:hangingChars="350"/>
        <w:rPr>
          <w:rFonts w:hint="eastAsia" w:ascii="宋体" w:hAnsi="宋体"/>
          <w:color w:val="auto"/>
          <w:szCs w:val="21"/>
          <w:highlight w:val="none"/>
        </w:rPr>
      </w:pPr>
      <w:r>
        <w:rPr>
          <w:rFonts w:hint="eastAsia" w:ascii="宋体" w:hAnsi="宋体"/>
          <w:color w:val="auto"/>
          <w:szCs w:val="21"/>
          <w:highlight w:val="none"/>
        </w:rPr>
        <w:t>（如建造师注册证书、安全生产考核合格证书等）的复印件，并应提供其担任类似项目的项目经理和</w:t>
      </w:r>
    </w:p>
    <w:p>
      <w:pPr>
        <w:ind w:left="735" w:hanging="735" w:hangingChars="350"/>
        <w:rPr>
          <w:rFonts w:ascii="宋体" w:hAnsi="宋体"/>
          <w:color w:val="auto"/>
          <w:szCs w:val="21"/>
          <w:highlight w:val="none"/>
        </w:rPr>
      </w:pPr>
      <w:r>
        <w:rPr>
          <w:rFonts w:hint="eastAsia" w:ascii="宋体" w:hAnsi="宋体"/>
          <w:color w:val="auto"/>
          <w:szCs w:val="21"/>
          <w:highlight w:val="none"/>
        </w:rPr>
        <w:t>项目总工的相关业绩证明材料复印件。</w:t>
      </w:r>
    </w:p>
    <w:p>
      <w:pPr>
        <w:ind w:left="105" w:firstLine="315"/>
        <w:rPr>
          <w:rFonts w:ascii="宋体" w:hAnsi="宋体"/>
          <w:color w:val="auto"/>
          <w:szCs w:val="21"/>
          <w:highlight w:val="none"/>
        </w:rPr>
      </w:pPr>
      <w:r>
        <w:rPr>
          <w:rFonts w:hint="eastAsia" w:ascii="宋体" w:hAnsi="宋体"/>
          <w:color w:val="auto"/>
          <w:szCs w:val="21"/>
          <w:highlight w:val="none"/>
        </w:rPr>
        <w:t>2、目前未在具体项目上任职的，请在备注栏说明现在负责的工作内容。</w:t>
      </w:r>
      <w:bookmarkStart w:id="287" w:name="_Toc234242180"/>
      <w:bookmarkStart w:id="288" w:name="_Toc234382981"/>
      <w:bookmarkStart w:id="289" w:name="_Toc193904176"/>
    </w:p>
    <w:p>
      <w:pPr>
        <w:ind w:left="105" w:firstLine="315"/>
        <w:jc w:val="center"/>
        <w:rPr>
          <w:rFonts w:ascii="宋体" w:hAnsi="宋体"/>
          <w:color w:val="auto"/>
          <w:szCs w:val="21"/>
          <w:highlight w:val="none"/>
        </w:rPr>
      </w:pPr>
      <w:r>
        <w:rPr>
          <w:rFonts w:hint="eastAsia" w:ascii="黑体" w:hAnsi="宋体" w:eastAsia="黑体"/>
          <w:color w:val="auto"/>
          <w:sz w:val="28"/>
          <w:szCs w:val="28"/>
          <w:highlight w:val="none"/>
        </w:rPr>
        <w:br w:type="page"/>
      </w:r>
      <w:bookmarkStart w:id="290" w:name="_Toc485889076"/>
      <w:r>
        <w:rPr>
          <w:rFonts w:hint="eastAsia" w:ascii="黑体" w:hAnsi="宋体" w:eastAsia="黑体"/>
          <w:b/>
          <w:bCs/>
          <w:color w:val="auto"/>
          <w:kern w:val="44"/>
          <w:sz w:val="28"/>
          <w:szCs w:val="28"/>
          <w:highlight w:val="none"/>
        </w:rPr>
        <w:t>（四）近年财务状况表</w:t>
      </w:r>
      <w:bookmarkEnd w:id="287"/>
      <w:bookmarkEnd w:id="288"/>
      <w:bookmarkEnd w:id="289"/>
      <w:bookmarkEnd w:id="290"/>
    </w:p>
    <w:p>
      <w:pPr>
        <w:spacing w:after="120"/>
        <w:jc w:val="center"/>
        <w:rPr>
          <w:rFonts w:ascii="黑体" w:eastAsia="黑体"/>
          <w:b/>
          <w:color w:val="auto"/>
          <w:sz w:val="24"/>
          <w:highlight w:val="none"/>
        </w:rPr>
      </w:pPr>
      <w:r>
        <w:rPr>
          <w:rFonts w:hint="eastAsia" w:ascii="黑体" w:eastAsia="黑体"/>
          <w:b/>
          <w:color w:val="auto"/>
          <w:sz w:val="24"/>
          <w:highlight w:val="none"/>
        </w:rPr>
        <w:t>财务状况表</w:t>
      </w:r>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3"/>
        <w:gridCol w:w="990"/>
        <w:gridCol w:w="1258"/>
        <w:gridCol w:w="1259"/>
        <w:gridCol w:w="12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jc w:val="center"/>
              <w:rPr>
                <w:rFonts w:ascii="宋体" w:hAnsi="宋体"/>
                <w:color w:val="auto"/>
                <w:szCs w:val="21"/>
                <w:highlight w:val="none"/>
              </w:rPr>
            </w:pPr>
            <w:r>
              <w:rPr>
                <w:rFonts w:hint="eastAsia" w:ascii="宋体" w:hAnsi="宋体"/>
                <w:color w:val="auto"/>
                <w:szCs w:val="21"/>
                <w:highlight w:val="none"/>
              </w:rPr>
              <w:t>项目或指标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258"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c>
          <w:tcPr>
            <w:tcW w:w="1259" w:type="dxa"/>
            <w:vAlign w:val="center"/>
          </w:tcPr>
          <w:p>
            <w:pPr>
              <w:jc w:val="center"/>
              <w:rPr>
                <w:rFonts w:ascii="宋体" w:hAnsi="宋体"/>
                <w:color w:val="auto"/>
                <w:szCs w:val="21"/>
                <w:highlight w:val="none"/>
              </w:rPr>
            </w:pPr>
            <w:r>
              <w:rPr>
                <w:rFonts w:hint="eastAsia" w:ascii="宋体" w:hAnsi="宋体"/>
                <w:color w:val="auto"/>
                <w:szCs w:val="21"/>
                <w:highlight w:val="none"/>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一、注册资金</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二、净资产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三、总资产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四、固定资产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五、流动资产</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六、流动负债</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七、负债合计</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八、营业收入</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九、净利润</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万元</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十、现金流量净额</w:t>
            </w:r>
          </w:p>
        </w:tc>
        <w:tc>
          <w:tcPr>
            <w:tcW w:w="990" w:type="dxa"/>
            <w:vAlign w:val="center"/>
          </w:tcPr>
          <w:p>
            <w:pPr>
              <w:jc w:val="center"/>
              <w:rPr>
                <w:rFonts w:ascii="宋体" w:hAnsi="宋体"/>
                <w:color w:val="auto"/>
                <w:szCs w:val="21"/>
                <w:highlight w:val="none"/>
              </w:rPr>
            </w:pP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rPr>
                <w:rFonts w:ascii="宋体" w:hAnsi="宋体"/>
                <w:color w:val="auto"/>
                <w:szCs w:val="21"/>
                <w:highlight w:val="none"/>
              </w:rPr>
            </w:pPr>
            <w:r>
              <w:rPr>
                <w:rFonts w:hint="eastAsia" w:ascii="宋体" w:hAnsi="宋体"/>
                <w:color w:val="auto"/>
                <w:szCs w:val="21"/>
                <w:highlight w:val="none"/>
              </w:rPr>
              <w:t>十一、主要财务指标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1．净资产收益率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2．总资产报酬</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3．主营业务利润率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4．资产负债率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5、流动比率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4873" w:type="dxa"/>
            <w:vAlign w:val="center"/>
          </w:tcPr>
          <w:p>
            <w:pPr>
              <w:ind w:firstLine="525" w:firstLineChars="250"/>
              <w:rPr>
                <w:rFonts w:ascii="宋体" w:hAnsi="宋体"/>
                <w:color w:val="auto"/>
                <w:szCs w:val="21"/>
                <w:highlight w:val="none"/>
              </w:rPr>
            </w:pPr>
            <w:r>
              <w:rPr>
                <w:rFonts w:hint="eastAsia" w:ascii="宋体" w:hAnsi="宋体"/>
                <w:color w:val="auto"/>
                <w:szCs w:val="21"/>
                <w:highlight w:val="none"/>
              </w:rPr>
              <w:t>6、速动比率</w:t>
            </w:r>
          </w:p>
        </w:tc>
        <w:tc>
          <w:tcPr>
            <w:tcW w:w="9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258"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c>
          <w:tcPr>
            <w:tcW w:w="1259" w:type="dxa"/>
            <w:vAlign w:val="center"/>
          </w:tcPr>
          <w:p>
            <w:pPr>
              <w:jc w:val="center"/>
              <w:rPr>
                <w:rFonts w:ascii="宋体" w:hAnsi="宋体"/>
                <w:color w:val="auto"/>
                <w:szCs w:val="21"/>
                <w:highlight w:val="none"/>
              </w:rPr>
            </w:pPr>
          </w:p>
        </w:tc>
      </w:tr>
    </w:tbl>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hint="eastAsia" w:ascii="宋体" w:hAnsi="宋体"/>
          <w:color w:val="auto"/>
          <w:szCs w:val="21"/>
          <w:highlight w:val="none"/>
        </w:rPr>
      </w:pPr>
    </w:p>
    <w:p>
      <w:pPr>
        <w:spacing w:line="400" w:lineRule="exact"/>
        <w:rPr>
          <w:rFonts w:ascii="宋体" w:hAnsi="宋体"/>
          <w:color w:val="auto"/>
          <w:szCs w:val="21"/>
          <w:highlight w:val="none"/>
        </w:rPr>
      </w:pPr>
    </w:p>
    <w:p>
      <w:pPr>
        <w:jc w:val="center"/>
        <w:rPr>
          <w:rFonts w:ascii="隶书" w:eastAsia="隶书"/>
          <w:color w:val="auto"/>
          <w:sz w:val="24"/>
          <w:highlight w:val="none"/>
        </w:rPr>
      </w:pPr>
    </w:p>
    <w:p>
      <w:pPr>
        <w:jc w:val="center"/>
        <w:rPr>
          <w:rFonts w:ascii="隶书" w:eastAsia="隶书"/>
          <w:color w:val="auto"/>
          <w:sz w:val="24"/>
          <w:highlight w:val="none"/>
        </w:rPr>
      </w:pPr>
    </w:p>
    <w:p>
      <w:pPr>
        <w:pStyle w:val="4"/>
        <w:spacing w:beforeLines="100" w:afterLines="100" w:line="360" w:lineRule="exact"/>
        <w:jc w:val="center"/>
        <w:rPr>
          <w:rFonts w:ascii="黑体" w:hAnsi="宋体" w:eastAsia="黑体"/>
          <w:color w:val="auto"/>
          <w:sz w:val="28"/>
          <w:szCs w:val="28"/>
          <w:highlight w:val="none"/>
        </w:rPr>
      </w:pPr>
      <w:bookmarkStart w:id="291" w:name="_Toc486277942"/>
      <w:bookmarkStart w:id="292" w:name="_Toc30568"/>
      <w:bookmarkStart w:id="293" w:name="_Toc234242181"/>
      <w:bookmarkStart w:id="294" w:name="_Toc485889077"/>
      <w:bookmarkStart w:id="295" w:name="_Toc234382982"/>
      <w:r>
        <w:rPr>
          <w:rFonts w:hint="eastAsia" w:ascii="黑体" w:hAnsi="宋体" w:eastAsia="黑体"/>
          <w:color w:val="auto"/>
          <w:sz w:val="28"/>
          <w:szCs w:val="28"/>
          <w:highlight w:val="none"/>
        </w:rPr>
        <w:t>（五）近年完成的类似项目汇总表</w:t>
      </w:r>
      <w:bookmarkEnd w:id="291"/>
      <w:bookmarkEnd w:id="292"/>
      <w:bookmarkEnd w:id="293"/>
      <w:bookmarkEnd w:id="294"/>
      <w:bookmarkEnd w:id="295"/>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合同价格</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r>
        <w:rPr>
          <w:rFonts w:hint="eastAsia" w:ascii="宋体" w:hAnsi="宋体"/>
          <w:color w:val="auto"/>
          <w:szCs w:val="21"/>
          <w:highlight w:val="none"/>
        </w:rPr>
        <w:t>注：1.本汇总表必须与近年（自2014年1月1日以来）完成的类似项目情况表中的内容相对应。</w:t>
      </w:r>
    </w:p>
    <w:p>
      <w:pPr>
        <w:ind w:firstLine="420" w:firstLineChars="200"/>
        <w:rPr>
          <w:rFonts w:hint="eastAsia" w:ascii="宋体" w:hAnsi="宋体"/>
          <w:color w:val="auto"/>
          <w:szCs w:val="21"/>
          <w:highlight w:val="none"/>
        </w:rPr>
      </w:pPr>
      <w:r>
        <w:rPr>
          <w:rFonts w:hint="eastAsia" w:ascii="宋体" w:hAnsi="宋体"/>
          <w:color w:val="auto"/>
          <w:szCs w:val="21"/>
          <w:highlight w:val="none"/>
        </w:rPr>
        <w:t>2.当本表内容与所附证据材料不一致时，应以所附证据材料为准。</w:t>
      </w: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p>
    <w:p>
      <w:pPr>
        <w:rPr>
          <w:rFonts w:ascii="宋体" w:hAnsi="宋体"/>
          <w:color w:val="auto"/>
          <w:szCs w:val="21"/>
          <w:highlight w:val="none"/>
        </w:rPr>
      </w:pPr>
    </w:p>
    <w:p>
      <w:pPr>
        <w:pStyle w:val="4"/>
        <w:spacing w:beforeLines="100" w:afterLines="100" w:line="360" w:lineRule="exact"/>
        <w:jc w:val="center"/>
        <w:rPr>
          <w:rFonts w:ascii="黑体" w:hAnsi="宋体" w:eastAsia="黑体"/>
          <w:color w:val="auto"/>
          <w:sz w:val="28"/>
          <w:szCs w:val="28"/>
          <w:highlight w:val="none"/>
        </w:rPr>
      </w:pPr>
      <w:bookmarkStart w:id="296" w:name="_Toc234242182"/>
      <w:bookmarkStart w:id="297" w:name="_Toc193904177"/>
      <w:bookmarkStart w:id="298" w:name="_Toc234382983"/>
      <w:bookmarkStart w:id="299" w:name="_Toc486277943"/>
      <w:bookmarkStart w:id="300" w:name="_Toc485889078"/>
      <w:bookmarkStart w:id="301" w:name="_Toc7313"/>
      <w:r>
        <w:rPr>
          <w:rFonts w:hint="eastAsia" w:ascii="黑体" w:hAnsi="宋体" w:eastAsia="黑体"/>
          <w:color w:val="auto"/>
          <w:sz w:val="28"/>
          <w:szCs w:val="28"/>
          <w:highlight w:val="none"/>
        </w:rPr>
        <w:t>（六）正在施工和新承接的项目情况表</w:t>
      </w:r>
      <w:bookmarkEnd w:id="296"/>
      <w:bookmarkEnd w:id="297"/>
      <w:bookmarkEnd w:id="298"/>
      <w:bookmarkEnd w:id="299"/>
      <w:bookmarkEnd w:id="300"/>
      <w:bookmarkEnd w:id="301"/>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70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项目所在地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发包人名称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发包人地址</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发包人电话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签约合同价</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计划交工日期</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承担的工作</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工程质量要求</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项目经理</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项目总工</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总监理工程师及电话</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项目描述</w:t>
            </w:r>
          </w:p>
        </w:tc>
        <w:tc>
          <w:tcPr>
            <w:tcW w:w="7029"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9" w:hRule="atLeast"/>
          <w:jc w:val="center"/>
        </w:trPr>
        <w:tc>
          <w:tcPr>
            <w:tcW w:w="2610" w:type="dxa"/>
            <w:vAlign w:val="center"/>
          </w:tcPr>
          <w:p>
            <w:pPr>
              <w:jc w:val="center"/>
              <w:rPr>
                <w:rFonts w:ascii="宋体" w:hAnsi="宋体"/>
                <w:color w:val="auto"/>
                <w:szCs w:val="21"/>
                <w:highlight w:val="none"/>
              </w:rPr>
            </w:pPr>
            <w:r>
              <w:rPr>
                <w:rFonts w:hint="eastAsia" w:ascii="宋体" w:hAnsi="宋体"/>
                <w:color w:val="auto"/>
                <w:szCs w:val="21"/>
                <w:highlight w:val="none"/>
              </w:rPr>
              <w:t>备注</w:t>
            </w:r>
          </w:p>
        </w:tc>
        <w:tc>
          <w:tcPr>
            <w:tcW w:w="7029" w:type="dxa"/>
            <w:vAlign w:val="center"/>
          </w:tcPr>
          <w:p>
            <w:pPr>
              <w:jc w:val="center"/>
              <w:rPr>
                <w:rFonts w:ascii="宋体" w:hAnsi="宋体"/>
                <w:color w:val="auto"/>
                <w:szCs w:val="21"/>
                <w:highlight w:val="none"/>
              </w:rPr>
            </w:pPr>
          </w:p>
        </w:tc>
      </w:tr>
    </w:tbl>
    <w:p>
      <w:pPr>
        <w:autoSpaceDE w:val="0"/>
        <w:autoSpaceDN w:val="0"/>
        <w:adjustRightInd w:val="0"/>
        <w:spacing w:before="4" w:line="100" w:lineRule="exact"/>
        <w:jc w:val="left"/>
        <w:rPr>
          <w:color w:val="auto"/>
          <w:kern w:val="0"/>
          <w:sz w:val="10"/>
          <w:szCs w:val="10"/>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pStyle w:val="4"/>
        <w:spacing w:beforeLines="100" w:afterLines="100" w:line="360" w:lineRule="exact"/>
        <w:jc w:val="center"/>
        <w:rPr>
          <w:rFonts w:ascii="黑体" w:hAnsi="宋体" w:eastAsia="黑体"/>
          <w:color w:val="auto"/>
          <w:sz w:val="28"/>
          <w:szCs w:val="28"/>
          <w:highlight w:val="none"/>
        </w:rPr>
      </w:pPr>
      <w:bookmarkStart w:id="302" w:name="_Toc7381"/>
      <w:bookmarkStart w:id="303" w:name="_Toc234382984"/>
      <w:bookmarkStart w:id="304" w:name="_Toc485889079"/>
      <w:bookmarkStart w:id="305" w:name="_Toc486277944"/>
      <w:r>
        <w:rPr>
          <w:rFonts w:hint="eastAsia" w:ascii="黑体" w:hAnsi="宋体" w:eastAsia="黑体"/>
          <w:color w:val="auto"/>
          <w:sz w:val="28"/>
          <w:szCs w:val="28"/>
          <w:highlight w:val="none"/>
        </w:rPr>
        <w:t>（七）近年发生的诉讼及仲裁情况</w:t>
      </w:r>
      <w:bookmarkEnd w:id="302"/>
      <w:bookmarkEnd w:id="303"/>
      <w:bookmarkEnd w:id="304"/>
      <w:bookmarkEnd w:id="305"/>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9"/>
        <w:gridCol w:w="48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Cs w:val="21"/>
                <w:highlight w:val="none"/>
              </w:rPr>
            </w:pPr>
            <w:r>
              <w:rPr>
                <w:rFonts w:hint="eastAsia" w:ascii="宋体" w:hAnsi="宋体"/>
                <w:color w:val="auto"/>
                <w:szCs w:val="21"/>
                <w:highlight w:val="none"/>
              </w:rPr>
              <w:t>项目</w:t>
            </w:r>
          </w:p>
        </w:tc>
        <w:tc>
          <w:tcPr>
            <w:tcW w:w="4820" w:type="dxa"/>
            <w:vAlign w:val="center"/>
          </w:tcPr>
          <w:p>
            <w:pPr>
              <w:jc w:val="center"/>
              <w:rPr>
                <w:rFonts w:ascii="宋体" w:hAnsi="宋体"/>
                <w:color w:val="auto"/>
                <w:szCs w:val="21"/>
                <w:highlight w:val="none"/>
              </w:rPr>
            </w:pPr>
            <w:r>
              <w:rPr>
                <w:rFonts w:hint="eastAsia" w:ascii="宋体" w:hAnsi="宋体"/>
                <w:color w:val="auto"/>
                <w:szCs w:val="21"/>
                <w:highlight w:val="none"/>
              </w:rPr>
              <w:t>投标人情况说明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4" w:hRule="exact"/>
          <w:jc w:val="center"/>
        </w:trPr>
        <w:tc>
          <w:tcPr>
            <w:tcW w:w="4819" w:type="dxa"/>
            <w:vAlign w:val="center"/>
          </w:tcPr>
          <w:p>
            <w:pPr>
              <w:jc w:val="center"/>
              <w:rPr>
                <w:rFonts w:ascii="宋体" w:hAnsi="宋体"/>
                <w:color w:val="auto"/>
                <w:sz w:val="24"/>
                <w:highlight w:val="none"/>
              </w:rPr>
            </w:pPr>
          </w:p>
        </w:tc>
        <w:tc>
          <w:tcPr>
            <w:tcW w:w="4820" w:type="dxa"/>
            <w:vAlign w:val="center"/>
          </w:tcPr>
          <w:p>
            <w:pPr>
              <w:jc w:val="center"/>
              <w:rPr>
                <w:rFonts w:ascii="宋体" w:hAnsi="宋体"/>
                <w:color w:val="auto"/>
                <w:sz w:val="24"/>
                <w:highlight w:val="none"/>
              </w:rPr>
            </w:pPr>
          </w:p>
        </w:tc>
      </w:tr>
    </w:tbl>
    <w:p>
      <w:pPr>
        <w:spacing w:line="400" w:lineRule="exact"/>
        <w:ind w:firstLine="420"/>
        <w:rPr>
          <w:rFonts w:ascii="宋体" w:hAnsi="宋体"/>
          <w:color w:val="auto"/>
          <w:szCs w:val="21"/>
          <w:highlight w:val="none"/>
        </w:rPr>
      </w:pPr>
    </w:p>
    <w:p>
      <w:pPr>
        <w:rPr>
          <w:color w:val="auto"/>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rPr>
          <w:color w:val="auto"/>
          <w:sz w:val="24"/>
          <w:highlight w:val="non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七、主要进场管理人员和技术人员最低要求</w:t>
      </w:r>
    </w:p>
    <w:tbl>
      <w:tblPr>
        <w:tblStyle w:val="15"/>
        <w:tblW w:w="93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6" w:hRule="atLeast"/>
        </w:trPr>
        <w:tc>
          <w:tcPr>
            <w:tcW w:w="2250" w:type="dxa"/>
            <w:vAlign w:val="center"/>
          </w:tcPr>
          <w:p>
            <w:pPr>
              <w:jc w:val="center"/>
              <w:rPr>
                <w:rFonts w:ascii="宋体" w:hAnsi="宋体"/>
                <w:color w:val="auto"/>
                <w:sz w:val="24"/>
                <w:highlight w:val="none"/>
              </w:rPr>
            </w:pPr>
            <w:bookmarkStart w:id="306" w:name="_Toc234382989"/>
            <w:r>
              <w:rPr>
                <w:rFonts w:hint="eastAsia" w:ascii="宋体" w:hAnsi="宋体"/>
                <w:color w:val="auto"/>
                <w:sz w:val="24"/>
                <w:highlight w:val="none"/>
              </w:rPr>
              <w:t>人  员</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数  量</w:t>
            </w:r>
          </w:p>
        </w:tc>
        <w:tc>
          <w:tcPr>
            <w:tcW w:w="5053" w:type="dxa"/>
            <w:vAlign w:val="center"/>
          </w:tcPr>
          <w:p>
            <w:pPr>
              <w:jc w:val="center"/>
              <w:rPr>
                <w:rFonts w:ascii="宋体" w:hAnsi="宋体"/>
                <w:color w:val="auto"/>
                <w:sz w:val="24"/>
                <w:highlight w:val="none"/>
              </w:rPr>
            </w:pPr>
            <w:r>
              <w:rPr>
                <w:rFonts w:hint="eastAsia" w:ascii="宋体" w:hAnsi="宋体"/>
                <w:color w:val="auto"/>
                <w:sz w:val="24"/>
                <w:highlight w:val="none"/>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5"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项目经理</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tcPr>
          <w:p>
            <w:pPr>
              <w:rPr>
                <w:color w:val="auto"/>
                <w:szCs w:val="21"/>
                <w:highlight w:val="none"/>
              </w:rPr>
            </w:pPr>
            <w:r>
              <w:rPr>
                <w:rFonts w:hint="eastAsia"/>
                <w:color w:val="auto"/>
                <w:szCs w:val="21"/>
                <w:highlight w:val="none"/>
              </w:rPr>
              <w:t>具备贰级及以上公路工程专业注册建造师执业资格，具备有效的安全生产考核合格证书，且未担任其他在施建设项目的项目经理。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trPr>
        <w:tc>
          <w:tcPr>
            <w:tcW w:w="2250" w:type="dxa"/>
            <w:vAlign w:val="center"/>
          </w:tcPr>
          <w:p>
            <w:pPr>
              <w:jc w:val="center"/>
              <w:rPr>
                <w:rFonts w:ascii="宋体" w:hAnsi="宋体"/>
                <w:color w:val="auto"/>
                <w:sz w:val="24"/>
                <w:highlight w:val="none"/>
              </w:rPr>
            </w:pPr>
            <w:r>
              <w:rPr>
                <w:rFonts w:hint="eastAsia" w:ascii="宋体" w:hAnsi="宋体"/>
                <w:color w:val="auto"/>
                <w:sz w:val="24"/>
                <w:highlight w:val="none"/>
              </w:rPr>
              <w:t>项目总工程师</w:t>
            </w:r>
          </w:p>
        </w:tc>
        <w:tc>
          <w:tcPr>
            <w:tcW w:w="1997" w:type="dxa"/>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5053" w:type="dxa"/>
          </w:tcPr>
          <w:p>
            <w:pPr>
              <w:rPr>
                <w:color w:val="auto"/>
                <w:szCs w:val="21"/>
                <w:highlight w:val="none"/>
              </w:rPr>
            </w:pPr>
            <w:r>
              <w:rPr>
                <w:rFonts w:hint="eastAsia"/>
                <w:color w:val="auto"/>
                <w:szCs w:val="21"/>
                <w:highlight w:val="none"/>
              </w:rPr>
              <w:t>中级及以上相关专业技术职称。</w:t>
            </w:r>
            <w:r>
              <w:rPr>
                <w:color w:val="auto"/>
                <w:szCs w:val="21"/>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财务负责人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会计师，工程经验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质检工程师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年以上，从事类似工程</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路基</w:t>
            </w:r>
            <w:r>
              <w:rPr>
                <w:rFonts w:hint="eastAsia"/>
                <w:color w:val="auto"/>
                <w:szCs w:val="21"/>
                <w:highlight w:val="none"/>
              </w:rPr>
              <w:t>、路面</w:t>
            </w:r>
            <w:r>
              <w:rPr>
                <w:color w:val="auto"/>
                <w:szCs w:val="21"/>
                <w:highlight w:val="none"/>
              </w:rPr>
              <w:t>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测量工程师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试验负责人</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机械工程师</w:t>
            </w:r>
          </w:p>
        </w:tc>
        <w:tc>
          <w:tcPr>
            <w:tcW w:w="1997" w:type="dxa"/>
            <w:vAlign w:val="center"/>
          </w:tcPr>
          <w:p>
            <w:pPr>
              <w:jc w:val="center"/>
              <w:rPr>
                <w:color w:val="auto"/>
                <w:szCs w:val="21"/>
                <w:highlight w:val="none"/>
              </w:rPr>
            </w:pPr>
            <w:r>
              <w:rPr>
                <w:color w:val="auto"/>
                <w:szCs w:val="21"/>
                <w:highlight w:val="none"/>
              </w:rPr>
              <w:t>1</w:t>
            </w:r>
          </w:p>
        </w:tc>
        <w:tc>
          <w:tcPr>
            <w:tcW w:w="5053" w:type="dxa"/>
            <w:vAlign w:val="center"/>
          </w:tcPr>
          <w:p>
            <w:pPr>
              <w:rPr>
                <w:color w:val="auto"/>
                <w:szCs w:val="21"/>
                <w:highlight w:val="none"/>
              </w:rPr>
            </w:pPr>
            <w:r>
              <w:rPr>
                <w:color w:val="auto"/>
                <w:szCs w:val="21"/>
                <w:highlight w:val="none"/>
              </w:rPr>
              <w:t>工程师，工程经验</w:t>
            </w:r>
            <w:r>
              <w:rPr>
                <w:rFonts w:hint="eastAsia"/>
                <w:color w:val="auto"/>
                <w:szCs w:val="21"/>
                <w:highlight w:val="none"/>
              </w:rPr>
              <w:t>3</w:t>
            </w:r>
            <w:r>
              <w:rPr>
                <w:color w:val="auto"/>
                <w:szCs w:val="21"/>
                <w:highlight w:val="none"/>
              </w:rPr>
              <w:t>年以上，从事类似工作</w:t>
            </w:r>
            <w:r>
              <w:rPr>
                <w:rFonts w:hint="eastAsia"/>
                <w:color w:val="auto"/>
                <w:szCs w:val="21"/>
                <w:highlight w:val="none"/>
              </w:rPr>
              <w:t>2</w:t>
            </w:r>
            <w:r>
              <w:rPr>
                <w:color w:val="auto"/>
                <w:szCs w:val="21"/>
                <w:highlight w:val="none"/>
              </w:rPr>
              <w:t>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r>
              <w:rPr>
                <w:color w:val="auto"/>
                <w:szCs w:val="21"/>
                <w:highlight w:val="none"/>
              </w:rPr>
              <w:t>专职安全员</w:t>
            </w:r>
          </w:p>
        </w:tc>
        <w:tc>
          <w:tcPr>
            <w:tcW w:w="1997" w:type="dxa"/>
            <w:vAlign w:val="center"/>
          </w:tcPr>
          <w:p>
            <w:pPr>
              <w:jc w:val="center"/>
              <w:rPr>
                <w:color w:val="auto"/>
                <w:szCs w:val="21"/>
                <w:highlight w:val="none"/>
              </w:rPr>
            </w:pPr>
            <w:r>
              <w:rPr>
                <w:rFonts w:hint="eastAsia"/>
                <w:color w:val="auto"/>
                <w:szCs w:val="21"/>
                <w:highlight w:val="none"/>
              </w:rPr>
              <w:t>1</w:t>
            </w:r>
          </w:p>
        </w:tc>
        <w:tc>
          <w:tcPr>
            <w:tcW w:w="5053" w:type="dxa"/>
            <w:vAlign w:val="center"/>
          </w:tcPr>
          <w:p>
            <w:pPr>
              <w:rPr>
                <w:color w:val="auto"/>
                <w:szCs w:val="21"/>
                <w:highlight w:val="none"/>
              </w:rPr>
            </w:pPr>
            <w:r>
              <w:rPr>
                <w:color w:val="auto"/>
                <w:szCs w:val="21"/>
                <w:highlight w:val="none"/>
              </w:rPr>
              <w:t>从事类似工作3年以上</w:t>
            </w:r>
            <w:r>
              <w:rPr>
                <w:color w:val="auto"/>
                <w:szCs w:val="21"/>
                <w:highlight w:val="none"/>
                <w:lang w:val="zh-CN"/>
              </w:rPr>
              <w:t>，</w:t>
            </w:r>
            <w:r>
              <w:rPr>
                <w:color w:val="auto"/>
                <w:szCs w:val="21"/>
                <w:highlight w:val="none"/>
              </w:rPr>
              <w:t>具</w:t>
            </w:r>
            <w:r>
              <w:rPr>
                <w:rFonts w:hint="eastAsia"/>
                <w:color w:val="auto"/>
                <w:szCs w:val="21"/>
                <w:highlight w:val="none"/>
              </w:rPr>
              <w:t>有有效</w:t>
            </w:r>
            <w:r>
              <w:rPr>
                <w:color w:val="auto"/>
                <w:szCs w:val="21"/>
                <w:highlight w:val="none"/>
              </w:rPr>
              <w:t>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spacing w:line="400" w:lineRule="exact"/>
              <w:jc w:val="left"/>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color w:val="auto"/>
                <w:szCs w:val="21"/>
                <w:highlight w:val="none"/>
              </w:rPr>
            </w:pPr>
          </w:p>
        </w:tc>
        <w:tc>
          <w:tcPr>
            <w:tcW w:w="1997" w:type="dxa"/>
            <w:vAlign w:val="center"/>
          </w:tcPr>
          <w:p>
            <w:pPr>
              <w:jc w:val="center"/>
              <w:rPr>
                <w:color w:val="auto"/>
                <w:szCs w:val="21"/>
                <w:highlight w:val="none"/>
              </w:rPr>
            </w:pPr>
          </w:p>
        </w:tc>
        <w:tc>
          <w:tcPr>
            <w:tcW w:w="5053" w:type="dxa"/>
            <w:vAlign w:val="center"/>
          </w:tcPr>
          <w:p>
            <w:pP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2" w:hRule="atLeast"/>
        </w:trPr>
        <w:tc>
          <w:tcPr>
            <w:tcW w:w="2250" w:type="dxa"/>
            <w:vAlign w:val="center"/>
          </w:tcPr>
          <w:p>
            <w:pPr>
              <w:jc w:val="center"/>
              <w:rPr>
                <w:rFonts w:ascii="宋体" w:hAnsi="宋体"/>
                <w:color w:val="auto"/>
                <w:sz w:val="24"/>
                <w:highlight w:val="none"/>
              </w:rPr>
            </w:pPr>
          </w:p>
        </w:tc>
        <w:tc>
          <w:tcPr>
            <w:tcW w:w="1997" w:type="dxa"/>
            <w:vAlign w:val="center"/>
          </w:tcPr>
          <w:p>
            <w:pPr>
              <w:jc w:val="center"/>
              <w:rPr>
                <w:rFonts w:ascii="宋体" w:hAnsi="宋体"/>
                <w:color w:val="auto"/>
                <w:sz w:val="24"/>
                <w:highlight w:val="none"/>
              </w:rPr>
            </w:pPr>
          </w:p>
        </w:tc>
        <w:tc>
          <w:tcPr>
            <w:tcW w:w="5053" w:type="dxa"/>
            <w:vAlign w:val="center"/>
          </w:tcPr>
          <w:p>
            <w:pPr>
              <w:jc w:val="center"/>
              <w:rPr>
                <w:rFonts w:ascii="宋体" w:hAnsi="宋体"/>
                <w:color w:val="auto"/>
                <w:sz w:val="24"/>
                <w:highlight w:val="none"/>
              </w:rPr>
            </w:pPr>
          </w:p>
        </w:tc>
      </w:tr>
    </w:tbl>
    <w:p>
      <w:pPr>
        <w:spacing w:line="500" w:lineRule="exact"/>
        <w:ind w:firstLine="420" w:firstLineChars="200"/>
        <w:rPr>
          <w:rFonts w:ascii="宋体" w:hAnsi="宋体"/>
          <w:color w:val="auto"/>
          <w:szCs w:val="21"/>
          <w:highlight w:val="none"/>
        </w:rPr>
      </w:pP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我方在此承诺：若我方中标，我方将严格按照在投标文件中填报的主要管理人员和技术人员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center"/>
        <w:rPr>
          <w:rFonts w:ascii="黑体" w:eastAsia="黑体"/>
          <w:color w:val="auto"/>
          <w:sz w:val="30"/>
          <w:szCs w:val="30"/>
          <w:highlight w:val="none"/>
          <w:u w:val="singl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before="120" w:after="120"/>
        <w:jc w:val="center"/>
        <w:rPr>
          <w:rFonts w:ascii="黑体" w:eastAsia="黑体"/>
          <w:b/>
          <w:bCs/>
          <w:color w:val="auto"/>
          <w:kern w:val="44"/>
          <w:sz w:val="30"/>
          <w:szCs w:val="30"/>
          <w:highlight w:val="none"/>
        </w:rPr>
      </w:pPr>
    </w:p>
    <w:p>
      <w:pPr>
        <w:spacing w:before="120" w:after="120"/>
        <w:jc w:val="center"/>
        <w:rPr>
          <w:rFonts w:ascii="黑体" w:eastAsia="黑体"/>
          <w:b/>
          <w:bCs/>
          <w:color w:val="auto"/>
          <w:kern w:val="44"/>
          <w:sz w:val="30"/>
          <w:szCs w:val="30"/>
          <w:highlight w:val="none"/>
        </w:rPr>
      </w:pPr>
    </w:p>
    <w:p>
      <w:pPr>
        <w:pageBreakBefore/>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八、关键设备最低条件</w:t>
      </w:r>
    </w:p>
    <w:tbl>
      <w:tblPr>
        <w:tblStyle w:val="15"/>
        <w:tblW w:w="930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0"/>
        <w:gridCol w:w="2048"/>
        <w:gridCol w:w="784"/>
        <w:gridCol w:w="1476"/>
        <w:gridCol w:w="2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jc w:val="center"/>
              <w:rPr>
                <w:rFonts w:ascii="宋体" w:hAnsi="宋体"/>
                <w:color w:val="auto"/>
                <w:szCs w:val="21"/>
                <w:highlight w:val="none"/>
              </w:rPr>
            </w:pPr>
            <w:r>
              <w:rPr>
                <w:rFonts w:hint="eastAsia" w:ascii="宋体" w:hAnsi="宋体"/>
                <w:color w:val="auto"/>
                <w:szCs w:val="21"/>
                <w:highlight w:val="none"/>
              </w:rPr>
              <w:t>设备名称</w:t>
            </w:r>
          </w:p>
        </w:tc>
        <w:tc>
          <w:tcPr>
            <w:tcW w:w="2048" w:type="dxa"/>
            <w:vAlign w:val="center"/>
          </w:tcPr>
          <w:p>
            <w:pPr>
              <w:jc w:val="center"/>
              <w:rPr>
                <w:rFonts w:ascii="宋体" w:hAnsi="宋体"/>
                <w:color w:val="auto"/>
                <w:szCs w:val="21"/>
                <w:highlight w:val="none"/>
              </w:rPr>
            </w:pPr>
            <w:r>
              <w:rPr>
                <w:rFonts w:hint="eastAsia" w:ascii="宋体" w:hAnsi="宋体"/>
                <w:color w:val="auto"/>
                <w:szCs w:val="21"/>
                <w:highlight w:val="none"/>
              </w:rPr>
              <w:t>规格、功率及容量</w:t>
            </w:r>
          </w:p>
        </w:tc>
        <w:tc>
          <w:tcPr>
            <w:tcW w:w="784" w:type="dxa"/>
            <w:vAlign w:val="center"/>
          </w:tcPr>
          <w:p>
            <w:pPr>
              <w:jc w:val="center"/>
              <w:rPr>
                <w:rFonts w:ascii="宋体" w:hAnsi="宋体"/>
                <w:color w:val="auto"/>
                <w:szCs w:val="21"/>
                <w:highlight w:val="none"/>
              </w:rPr>
            </w:pPr>
            <w:r>
              <w:rPr>
                <w:rFonts w:hint="eastAsia" w:ascii="宋体" w:hAnsi="宋体"/>
                <w:color w:val="auto"/>
                <w:szCs w:val="21"/>
                <w:highlight w:val="none"/>
              </w:rPr>
              <w:t>单位</w:t>
            </w:r>
          </w:p>
        </w:tc>
        <w:tc>
          <w:tcPr>
            <w:tcW w:w="1476" w:type="dxa"/>
            <w:vAlign w:val="center"/>
          </w:tcPr>
          <w:p>
            <w:pPr>
              <w:jc w:val="center"/>
              <w:rPr>
                <w:rFonts w:ascii="宋体" w:hAnsi="宋体"/>
                <w:color w:val="auto"/>
                <w:szCs w:val="21"/>
                <w:highlight w:val="none"/>
              </w:rPr>
            </w:pPr>
            <w:r>
              <w:rPr>
                <w:rFonts w:hint="eastAsia" w:ascii="宋体" w:hAnsi="宋体"/>
                <w:color w:val="auto"/>
                <w:szCs w:val="21"/>
                <w:highlight w:val="none"/>
              </w:rPr>
              <w:t>最低数量要求</w:t>
            </w:r>
          </w:p>
        </w:tc>
        <w:tc>
          <w:tcPr>
            <w:tcW w:w="2375" w:type="dxa"/>
            <w:vAlign w:val="center"/>
          </w:tcPr>
          <w:p>
            <w:pPr>
              <w:jc w:val="center"/>
              <w:rPr>
                <w:rFonts w:ascii="宋体" w:hAnsi="宋体"/>
                <w:color w:val="auto"/>
                <w:szCs w:val="21"/>
                <w:highlight w:val="none"/>
              </w:rPr>
            </w:pPr>
            <w:r>
              <w:rPr>
                <w:color w:val="auto"/>
                <w:szCs w:val="21"/>
                <w:highlight w:val="none"/>
              </w:rPr>
              <w:t>要</w:t>
            </w:r>
            <w:r>
              <w:rPr>
                <w:rFonts w:hint="eastAsia"/>
                <w:color w:val="auto"/>
                <w:szCs w:val="21"/>
                <w:highlight w:val="none"/>
              </w:rPr>
              <w:t xml:space="preserve">  </w:t>
            </w:r>
            <w:r>
              <w:rPr>
                <w:color w:val="auto"/>
                <w:szCs w:val="21"/>
                <w:highlight w:val="none"/>
              </w:rPr>
              <w:t>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水泥砼搅拌站</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color w:val="auto"/>
                <w:szCs w:val="21"/>
                <w:highlight w:val="none"/>
              </w:rPr>
            </w:pPr>
            <w:r>
              <w:rPr>
                <w:color w:val="auto"/>
                <w:szCs w:val="21"/>
                <w:highlight w:val="none"/>
              </w:rPr>
              <w:t>1</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钻机</w:t>
            </w:r>
          </w:p>
        </w:tc>
        <w:tc>
          <w:tcPr>
            <w:tcW w:w="2048" w:type="dxa"/>
            <w:vAlign w:val="center"/>
          </w:tcPr>
          <w:p>
            <w:pPr>
              <w:spacing w:line="400" w:lineRule="exact"/>
              <w:jc w:val="center"/>
              <w:rPr>
                <w:color w:val="auto"/>
                <w:szCs w:val="21"/>
                <w:highlight w:val="none"/>
              </w:rPr>
            </w:pPr>
            <w:r>
              <w:rPr>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color w:val="auto"/>
                <w:szCs w:val="21"/>
                <w:highlight w:val="none"/>
              </w:rPr>
            </w:pPr>
            <w:r>
              <w:rPr>
                <w:rFonts w:hint="eastAsia"/>
                <w:color w:val="auto"/>
                <w:szCs w:val="21"/>
                <w:highlight w:val="none"/>
              </w:rPr>
              <w:t>2</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架桥机</w:t>
            </w:r>
          </w:p>
        </w:tc>
        <w:tc>
          <w:tcPr>
            <w:tcW w:w="2048" w:type="dxa"/>
            <w:vAlign w:val="center"/>
          </w:tcPr>
          <w:p>
            <w:pPr>
              <w:jc w:val="center"/>
              <w:rPr>
                <w:rFonts w:ascii="宋体" w:hAnsi="宋体"/>
                <w:color w:val="auto"/>
                <w:szCs w:val="21"/>
                <w:highlight w:val="none"/>
              </w:rPr>
            </w:pPr>
            <w:r>
              <w:rPr>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color w:val="auto"/>
                <w:szCs w:val="21"/>
                <w:highlight w:val="none"/>
              </w:rPr>
            </w:pPr>
            <w:r>
              <w:rPr>
                <w:rFonts w:hint="eastAsia"/>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水泥砼搅拌运输车</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台</w:t>
            </w:r>
          </w:p>
        </w:tc>
        <w:tc>
          <w:tcPr>
            <w:tcW w:w="1476" w:type="dxa"/>
            <w:vAlign w:val="center"/>
          </w:tcPr>
          <w:p>
            <w:pPr>
              <w:spacing w:line="440" w:lineRule="exact"/>
              <w:jc w:val="center"/>
              <w:rPr>
                <w:color w:val="auto"/>
                <w:szCs w:val="21"/>
                <w:highlight w:val="none"/>
              </w:rPr>
            </w:pPr>
            <w:r>
              <w:rPr>
                <w:rFonts w:hint="eastAsia"/>
                <w:color w:val="auto"/>
                <w:szCs w:val="21"/>
                <w:highlight w:val="none"/>
              </w:rPr>
              <w:t>3</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水泥砼输送泵</w:t>
            </w:r>
          </w:p>
        </w:tc>
        <w:tc>
          <w:tcPr>
            <w:tcW w:w="2048" w:type="dxa"/>
            <w:vAlign w:val="center"/>
          </w:tcPr>
          <w:p>
            <w:pPr>
              <w:spacing w:line="400" w:lineRule="exact"/>
              <w:jc w:val="center"/>
              <w:rPr>
                <w:color w:val="auto"/>
                <w:szCs w:val="21"/>
                <w:highlight w:val="none"/>
              </w:rPr>
            </w:pPr>
            <w:r>
              <w:rPr>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台</w:t>
            </w:r>
          </w:p>
        </w:tc>
        <w:tc>
          <w:tcPr>
            <w:tcW w:w="1476" w:type="dxa"/>
            <w:vAlign w:val="center"/>
          </w:tcPr>
          <w:p>
            <w:pPr>
              <w:spacing w:line="440" w:lineRule="exact"/>
              <w:jc w:val="center"/>
              <w:rPr>
                <w:color w:val="auto"/>
                <w:szCs w:val="21"/>
                <w:highlight w:val="none"/>
              </w:rPr>
            </w:pPr>
            <w:r>
              <w:rPr>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auto"/>
                <w:szCs w:val="21"/>
                <w:highlight w:val="none"/>
              </w:rPr>
            </w:pPr>
            <w:r>
              <w:rPr>
                <w:rFonts w:hint="eastAsia"/>
                <w:color w:val="auto"/>
                <w:szCs w:val="21"/>
                <w:highlight w:val="none"/>
              </w:rPr>
              <w:t>风镐</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color w:val="auto"/>
                <w:szCs w:val="21"/>
                <w:highlight w:val="none"/>
              </w:rPr>
            </w:pPr>
            <w:r>
              <w:rPr>
                <w:rFonts w:hint="eastAsia"/>
                <w:color w:val="auto"/>
                <w:szCs w:val="21"/>
                <w:highlight w:val="none"/>
              </w:rPr>
              <w:t>4</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00" w:lineRule="exact"/>
              <w:jc w:val="center"/>
              <w:rPr>
                <w:color w:val="auto"/>
                <w:szCs w:val="21"/>
                <w:highlight w:val="none"/>
              </w:rPr>
            </w:pPr>
            <w:r>
              <w:rPr>
                <w:color w:val="auto"/>
                <w:szCs w:val="21"/>
                <w:highlight w:val="none"/>
              </w:rPr>
              <w:t>水泥混凝土路面振捣设备</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套</w:t>
            </w:r>
          </w:p>
        </w:tc>
        <w:tc>
          <w:tcPr>
            <w:tcW w:w="1476" w:type="dxa"/>
            <w:vAlign w:val="center"/>
          </w:tcPr>
          <w:p>
            <w:pPr>
              <w:spacing w:line="440" w:lineRule="exact"/>
              <w:jc w:val="center"/>
              <w:rPr>
                <w:color w:val="auto"/>
                <w:szCs w:val="21"/>
                <w:highlight w:val="none"/>
              </w:rPr>
            </w:pPr>
            <w:r>
              <w:rPr>
                <w:rFonts w:hint="eastAsia"/>
                <w:color w:val="auto"/>
                <w:szCs w:val="21"/>
                <w:highlight w:val="none"/>
              </w:rPr>
              <w:t>4</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adjustRightInd w:val="0"/>
              <w:snapToGrid w:val="0"/>
              <w:spacing w:line="360" w:lineRule="auto"/>
              <w:jc w:val="center"/>
              <w:rPr>
                <w:color w:val="auto"/>
                <w:szCs w:val="21"/>
                <w:highlight w:val="none"/>
              </w:rPr>
            </w:pPr>
            <w:r>
              <w:rPr>
                <w:rFonts w:hint="eastAsia"/>
                <w:color w:val="auto"/>
                <w:szCs w:val="21"/>
                <w:highlight w:val="none"/>
              </w:rPr>
              <w:t>吊车</w:t>
            </w:r>
          </w:p>
        </w:tc>
        <w:tc>
          <w:tcPr>
            <w:tcW w:w="2048" w:type="dxa"/>
            <w:vAlign w:val="center"/>
          </w:tcPr>
          <w:p>
            <w:pPr>
              <w:spacing w:line="400" w:lineRule="exact"/>
              <w:jc w:val="center"/>
              <w:rPr>
                <w:color w:val="auto"/>
                <w:szCs w:val="21"/>
                <w:highlight w:val="none"/>
              </w:rPr>
            </w:pPr>
            <w:r>
              <w:rPr>
                <w:color w:val="auto"/>
                <w:szCs w:val="21"/>
                <w:highlight w:val="none"/>
              </w:rPr>
              <w:t>满足施工需要</w:t>
            </w:r>
          </w:p>
        </w:tc>
        <w:tc>
          <w:tcPr>
            <w:tcW w:w="784" w:type="dxa"/>
            <w:vAlign w:val="center"/>
          </w:tcPr>
          <w:p>
            <w:pPr>
              <w:jc w:val="center"/>
              <w:rPr>
                <w:rFonts w:ascii="宋体" w:hAnsi="宋体"/>
                <w:color w:val="auto"/>
                <w:szCs w:val="21"/>
                <w:highlight w:val="none"/>
              </w:rPr>
            </w:pPr>
            <w:r>
              <w:rPr>
                <w:rFonts w:hint="eastAsia" w:ascii="宋体" w:hAnsi="宋体"/>
                <w:color w:val="auto"/>
                <w:szCs w:val="21"/>
                <w:highlight w:val="none"/>
              </w:rPr>
              <w:t>台</w:t>
            </w:r>
          </w:p>
        </w:tc>
        <w:tc>
          <w:tcPr>
            <w:tcW w:w="1476"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jc w:val="center"/>
              <w:rPr>
                <w:rFonts w:ascii="宋体" w:hAnsi="宋体"/>
                <w:color w:val="auto"/>
                <w:szCs w:val="21"/>
                <w:highlight w:val="none"/>
              </w:rPr>
            </w:pPr>
            <w:r>
              <w:rPr>
                <w:rFonts w:hint="eastAsia" w:ascii="宋体" w:hAnsi="宋体"/>
                <w:color w:val="auto"/>
                <w:szCs w:val="21"/>
                <w:highlight w:val="none"/>
              </w:rPr>
              <w:t>挖掘机</w:t>
            </w:r>
          </w:p>
        </w:tc>
        <w:tc>
          <w:tcPr>
            <w:tcW w:w="2048" w:type="dxa"/>
            <w:vAlign w:val="center"/>
          </w:tcPr>
          <w:p>
            <w:pPr>
              <w:jc w:val="center"/>
              <w:rPr>
                <w:rFonts w:ascii="宋体" w:hAnsi="宋体"/>
                <w:color w:val="auto"/>
                <w:szCs w:val="21"/>
                <w:highlight w:val="none"/>
              </w:rPr>
            </w:pPr>
            <w:r>
              <w:rPr>
                <w:color w:val="auto"/>
                <w:szCs w:val="21"/>
                <w:highlight w:val="none"/>
              </w:rPr>
              <w:t>满足施工需要</w:t>
            </w:r>
          </w:p>
        </w:tc>
        <w:tc>
          <w:tcPr>
            <w:tcW w:w="784" w:type="dxa"/>
            <w:vAlign w:val="center"/>
          </w:tcPr>
          <w:p>
            <w:pPr>
              <w:spacing w:line="400" w:lineRule="exact"/>
              <w:jc w:val="center"/>
              <w:rPr>
                <w:color w:val="auto"/>
                <w:szCs w:val="21"/>
                <w:highlight w:val="none"/>
              </w:rPr>
            </w:pPr>
            <w:r>
              <w:rPr>
                <w:color w:val="auto"/>
                <w:szCs w:val="21"/>
                <w:highlight w:val="none"/>
              </w:rPr>
              <w:t>台</w:t>
            </w:r>
          </w:p>
        </w:tc>
        <w:tc>
          <w:tcPr>
            <w:tcW w:w="1476" w:type="dxa"/>
            <w:vAlign w:val="center"/>
          </w:tcPr>
          <w:p>
            <w:pPr>
              <w:spacing w:line="400" w:lineRule="exact"/>
              <w:jc w:val="center"/>
              <w:rPr>
                <w:color w:val="auto"/>
                <w:szCs w:val="21"/>
                <w:highlight w:val="none"/>
              </w:rPr>
            </w:pPr>
            <w:r>
              <w:rPr>
                <w:rFonts w:hint="eastAsia"/>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jc w:val="center"/>
              <w:rPr>
                <w:rFonts w:ascii="宋体" w:hAnsi="宋体"/>
                <w:color w:val="auto"/>
                <w:szCs w:val="21"/>
                <w:highlight w:val="none"/>
              </w:rPr>
            </w:pPr>
            <w:r>
              <w:rPr>
                <w:rFonts w:hint="eastAsia" w:ascii="宋体" w:hAnsi="宋体"/>
                <w:color w:val="auto"/>
                <w:szCs w:val="21"/>
                <w:highlight w:val="none"/>
              </w:rPr>
              <w:t>装载机</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00" w:lineRule="exact"/>
              <w:jc w:val="center"/>
              <w:rPr>
                <w:color w:val="auto"/>
                <w:szCs w:val="21"/>
                <w:highlight w:val="none"/>
              </w:rPr>
            </w:pPr>
            <w:r>
              <w:rPr>
                <w:color w:val="auto"/>
                <w:szCs w:val="21"/>
                <w:highlight w:val="none"/>
              </w:rPr>
              <w:t>套</w:t>
            </w:r>
          </w:p>
        </w:tc>
        <w:tc>
          <w:tcPr>
            <w:tcW w:w="1476" w:type="dxa"/>
            <w:vAlign w:val="center"/>
          </w:tcPr>
          <w:p>
            <w:pPr>
              <w:spacing w:line="400" w:lineRule="exact"/>
              <w:jc w:val="center"/>
              <w:rPr>
                <w:color w:val="auto"/>
                <w:szCs w:val="21"/>
                <w:highlight w:val="none"/>
              </w:rPr>
            </w:pPr>
            <w:r>
              <w:rPr>
                <w:rFonts w:hint="eastAsia"/>
                <w:color w:val="auto"/>
                <w:szCs w:val="21"/>
                <w:highlight w:val="none"/>
              </w:rPr>
              <w:t>2</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2000KN压力试验机</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60KN万能材料试验机</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水泥试验设备</w:t>
            </w:r>
          </w:p>
        </w:tc>
        <w:tc>
          <w:tcPr>
            <w:tcW w:w="2048" w:type="dxa"/>
            <w:vAlign w:val="center"/>
          </w:tcPr>
          <w:p>
            <w:pPr>
              <w:spacing w:line="400" w:lineRule="exact"/>
              <w:jc w:val="center"/>
              <w:rPr>
                <w:color w:val="auto"/>
                <w:szCs w:val="21"/>
                <w:highlight w:val="none"/>
              </w:rPr>
            </w:pPr>
            <w:r>
              <w:rPr>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标准养护箱</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全站仪及附件</w:t>
            </w:r>
          </w:p>
        </w:tc>
        <w:tc>
          <w:tcPr>
            <w:tcW w:w="2048" w:type="dxa"/>
            <w:vAlign w:val="center"/>
          </w:tcPr>
          <w:p>
            <w:pPr>
              <w:spacing w:line="400" w:lineRule="exact"/>
              <w:jc w:val="center"/>
              <w:rPr>
                <w:color w:val="auto"/>
                <w:szCs w:val="21"/>
                <w:highlight w:val="none"/>
              </w:rPr>
            </w:pPr>
            <w:r>
              <w:rPr>
                <w:rFonts w:hint="eastAsia"/>
                <w:color w:val="auto"/>
                <w:szCs w:val="21"/>
                <w:highlight w:val="none"/>
              </w:rPr>
              <w:t>满足施工需要</w:t>
            </w:r>
          </w:p>
        </w:tc>
        <w:tc>
          <w:tcPr>
            <w:tcW w:w="784" w:type="dxa"/>
            <w:vAlign w:val="center"/>
          </w:tcPr>
          <w:p>
            <w:pPr>
              <w:spacing w:line="440" w:lineRule="exact"/>
              <w:jc w:val="center"/>
              <w:rPr>
                <w:color w:val="auto"/>
                <w:szCs w:val="21"/>
                <w:highlight w:val="none"/>
              </w:rPr>
            </w:pPr>
            <w:r>
              <w:rPr>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1</w:t>
            </w:r>
          </w:p>
        </w:tc>
        <w:tc>
          <w:tcPr>
            <w:tcW w:w="2375" w:type="dxa"/>
            <w:vAlign w:val="center"/>
          </w:tcPr>
          <w:p>
            <w:pPr>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自动安平水准仪</w:t>
            </w:r>
          </w:p>
        </w:tc>
        <w:tc>
          <w:tcPr>
            <w:tcW w:w="2048" w:type="dxa"/>
            <w:vAlign w:val="center"/>
          </w:tcPr>
          <w:p>
            <w:pPr>
              <w:spacing w:line="400" w:lineRule="exact"/>
              <w:jc w:val="center"/>
              <w:rPr>
                <w:color w:val="auto"/>
                <w:szCs w:val="21"/>
                <w:highlight w:val="none"/>
              </w:rPr>
            </w:pPr>
            <w:r>
              <w:rPr>
                <w:color w:val="auto"/>
                <w:szCs w:val="21"/>
                <w:highlight w:val="none"/>
              </w:rPr>
              <w:t>满足施工需要</w:t>
            </w:r>
          </w:p>
        </w:tc>
        <w:tc>
          <w:tcPr>
            <w:tcW w:w="784" w:type="dxa"/>
            <w:vAlign w:val="center"/>
          </w:tcPr>
          <w:p>
            <w:pPr>
              <w:spacing w:line="440" w:lineRule="exact"/>
              <w:jc w:val="center"/>
              <w:rPr>
                <w:color w:val="auto"/>
                <w:szCs w:val="21"/>
                <w:highlight w:val="none"/>
              </w:rPr>
            </w:pPr>
            <w:r>
              <w:rPr>
                <w:rFonts w:hint="eastAsia"/>
                <w:color w:val="auto"/>
                <w:szCs w:val="21"/>
                <w:highlight w:val="none"/>
              </w:rPr>
              <w:t>台</w:t>
            </w:r>
          </w:p>
        </w:tc>
        <w:tc>
          <w:tcPr>
            <w:tcW w:w="1476" w:type="dxa"/>
            <w:vAlign w:val="center"/>
          </w:tcPr>
          <w:p>
            <w:pPr>
              <w:spacing w:line="440" w:lineRule="exact"/>
              <w:jc w:val="center"/>
              <w:rPr>
                <w:rFonts w:ascii="宋体" w:hAnsi="宋体"/>
                <w:color w:val="auto"/>
                <w:szCs w:val="21"/>
                <w:highlight w:val="none"/>
              </w:rPr>
            </w:pPr>
            <w:r>
              <w:rPr>
                <w:rFonts w:hint="eastAsia" w:ascii="宋体" w:hAnsi="宋体"/>
                <w:color w:val="auto"/>
                <w:szCs w:val="21"/>
                <w:highlight w:val="none"/>
              </w:rPr>
              <w:t>2</w:t>
            </w:r>
          </w:p>
        </w:tc>
        <w:tc>
          <w:tcPr>
            <w:tcW w:w="2375" w:type="dxa"/>
            <w:vAlign w:val="center"/>
          </w:tcPr>
          <w:p>
            <w:pPr>
              <w:spacing w:line="440" w:lineRule="exact"/>
              <w:jc w:val="center"/>
              <w:rPr>
                <w:color w:val="auto"/>
                <w:szCs w:val="21"/>
                <w:highlight w:val="none"/>
              </w:rPr>
            </w:pPr>
            <w:r>
              <w:rPr>
                <w:color w:val="auto"/>
                <w:szCs w:val="21"/>
                <w:highlight w:val="none"/>
              </w:rPr>
              <w:t>近5年内购置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2620" w:type="dxa"/>
            <w:vAlign w:val="center"/>
          </w:tcPr>
          <w:p>
            <w:pPr>
              <w:spacing w:line="440" w:lineRule="exact"/>
              <w:jc w:val="center"/>
              <w:rPr>
                <w:rFonts w:ascii="宋体" w:hAnsi="宋体"/>
                <w:color w:val="auto"/>
                <w:szCs w:val="21"/>
                <w:highlight w:val="none"/>
              </w:rPr>
            </w:pPr>
          </w:p>
        </w:tc>
        <w:tc>
          <w:tcPr>
            <w:tcW w:w="2048" w:type="dxa"/>
            <w:vAlign w:val="center"/>
          </w:tcPr>
          <w:p>
            <w:pPr>
              <w:spacing w:line="440" w:lineRule="exact"/>
              <w:jc w:val="center"/>
              <w:rPr>
                <w:rFonts w:ascii="宋体" w:hAnsi="宋体"/>
                <w:color w:val="auto"/>
                <w:szCs w:val="21"/>
                <w:highlight w:val="none"/>
              </w:rPr>
            </w:pPr>
          </w:p>
        </w:tc>
        <w:tc>
          <w:tcPr>
            <w:tcW w:w="784" w:type="dxa"/>
            <w:vAlign w:val="center"/>
          </w:tcPr>
          <w:p>
            <w:pPr>
              <w:spacing w:line="440" w:lineRule="exact"/>
              <w:jc w:val="center"/>
              <w:rPr>
                <w:color w:val="auto"/>
                <w:szCs w:val="21"/>
                <w:highlight w:val="none"/>
              </w:rPr>
            </w:pPr>
          </w:p>
        </w:tc>
        <w:tc>
          <w:tcPr>
            <w:tcW w:w="1476" w:type="dxa"/>
            <w:vAlign w:val="center"/>
          </w:tcPr>
          <w:p>
            <w:pPr>
              <w:jc w:val="center"/>
              <w:rPr>
                <w:rFonts w:ascii="宋体" w:hAnsi="宋体"/>
                <w:color w:val="auto"/>
                <w:szCs w:val="21"/>
                <w:highlight w:val="none"/>
              </w:rPr>
            </w:pPr>
          </w:p>
        </w:tc>
        <w:tc>
          <w:tcPr>
            <w:tcW w:w="2375"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exact"/>
        </w:trPr>
        <w:tc>
          <w:tcPr>
            <w:tcW w:w="2620" w:type="dxa"/>
            <w:vAlign w:val="center"/>
          </w:tcPr>
          <w:p>
            <w:pPr>
              <w:spacing w:line="440" w:lineRule="exact"/>
              <w:jc w:val="center"/>
              <w:rPr>
                <w:rFonts w:ascii="宋体" w:hAnsi="宋体"/>
                <w:color w:val="auto"/>
                <w:szCs w:val="21"/>
                <w:highlight w:val="none"/>
              </w:rPr>
            </w:pPr>
          </w:p>
        </w:tc>
        <w:tc>
          <w:tcPr>
            <w:tcW w:w="2048" w:type="dxa"/>
            <w:vAlign w:val="center"/>
          </w:tcPr>
          <w:p>
            <w:pPr>
              <w:spacing w:line="440" w:lineRule="exact"/>
              <w:jc w:val="center"/>
              <w:rPr>
                <w:rFonts w:ascii="宋体" w:hAnsi="宋体"/>
                <w:color w:val="auto"/>
                <w:szCs w:val="21"/>
                <w:highlight w:val="none"/>
              </w:rPr>
            </w:pPr>
          </w:p>
        </w:tc>
        <w:tc>
          <w:tcPr>
            <w:tcW w:w="784" w:type="dxa"/>
            <w:vAlign w:val="center"/>
          </w:tcPr>
          <w:p>
            <w:pPr>
              <w:spacing w:line="440" w:lineRule="exact"/>
              <w:jc w:val="center"/>
              <w:rPr>
                <w:color w:val="auto"/>
                <w:szCs w:val="21"/>
                <w:highlight w:val="none"/>
              </w:rPr>
            </w:pPr>
          </w:p>
        </w:tc>
        <w:tc>
          <w:tcPr>
            <w:tcW w:w="1476" w:type="dxa"/>
            <w:vAlign w:val="center"/>
          </w:tcPr>
          <w:p>
            <w:pPr>
              <w:jc w:val="center"/>
              <w:rPr>
                <w:rFonts w:ascii="宋体" w:hAnsi="宋体"/>
                <w:color w:val="auto"/>
                <w:szCs w:val="21"/>
                <w:highlight w:val="none"/>
              </w:rPr>
            </w:pPr>
          </w:p>
        </w:tc>
        <w:tc>
          <w:tcPr>
            <w:tcW w:w="2375" w:type="dxa"/>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5" w:hRule="exact"/>
        </w:trPr>
        <w:tc>
          <w:tcPr>
            <w:tcW w:w="2620" w:type="dxa"/>
            <w:vAlign w:val="center"/>
          </w:tcPr>
          <w:p>
            <w:pPr>
              <w:spacing w:line="440" w:lineRule="exact"/>
              <w:jc w:val="center"/>
              <w:rPr>
                <w:rFonts w:ascii="宋体" w:hAnsi="宋体"/>
                <w:color w:val="auto"/>
                <w:szCs w:val="21"/>
                <w:highlight w:val="none"/>
              </w:rPr>
            </w:pPr>
          </w:p>
        </w:tc>
        <w:tc>
          <w:tcPr>
            <w:tcW w:w="2048" w:type="dxa"/>
            <w:vAlign w:val="center"/>
          </w:tcPr>
          <w:p>
            <w:pPr>
              <w:spacing w:line="440" w:lineRule="exact"/>
              <w:jc w:val="center"/>
              <w:rPr>
                <w:rFonts w:ascii="宋体" w:hAnsi="宋体"/>
                <w:color w:val="auto"/>
                <w:szCs w:val="21"/>
                <w:highlight w:val="none"/>
              </w:rPr>
            </w:pPr>
          </w:p>
        </w:tc>
        <w:tc>
          <w:tcPr>
            <w:tcW w:w="784" w:type="dxa"/>
            <w:vAlign w:val="center"/>
          </w:tcPr>
          <w:p>
            <w:pPr>
              <w:jc w:val="center"/>
              <w:rPr>
                <w:rFonts w:ascii="宋体" w:hAnsi="宋体"/>
                <w:color w:val="auto"/>
                <w:szCs w:val="21"/>
                <w:highlight w:val="none"/>
              </w:rPr>
            </w:pPr>
          </w:p>
        </w:tc>
        <w:tc>
          <w:tcPr>
            <w:tcW w:w="1476" w:type="dxa"/>
            <w:vAlign w:val="center"/>
          </w:tcPr>
          <w:p>
            <w:pPr>
              <w:jc w:val="center"/>
              <w:rPr>
                <w:rFonts w:ascii="宋体" w:hAnsi="宋体"/>
                <w:color w:val="auto"/>
                <w:szCs w:val="21"/>
                <w:highlight w:val="none"/>
              </w:rPr>
            </w:pPr>
          </w:p>
        </w:tc>
        <w:tc>
          <w:tcPr>
            <w:tcW w:w="2375" w:type="dxa"/>
            <w:vAlign w:val="center"/>
          </w:tcPr>
          <w:p>
            <w:pPr>
              <w:jc w:val="center"/>
              <w:rPr>
                <w:rFonts w:ascii="宋体" w:hAnsi="宋体"/>
                <w:color w:val="auto"/>
                <w:szCs w:val="21"/>
                <w:highlight w:val="none"/>
              </w:rPr>
            </w:pPr>
          </w:p>
        </w:tc>
      </w:tr>
      <w:bookmarkEnd w:id="306"/>
    </w:tbl>
    <w:p>
      <w:pPr>
        <w:spacing w:line="500" w:lineRule="exact"/>
        <w:ind w:firstLine="420" w:firstLineChars="200"/>
        <w:rPr>
          <w:rFonts w:ascii="宋体" w:hAnsi="宋体"/>
          <w:color w:val="auto"/>
          <w:szCs w:val="21"/>
          <w:highlight w:val="none"/>
        </w:rPr>
      </w:pPr>
      <w:bookmarkStart w:id="307" w:name="_Toc234382990"/>
      <w:r>
        <w:rPr>
          <w:rFonts w:hint="eastAsia" w:ascii="宋体" w:hAnsi="宋体"/>
          <w:color w:val="auto"/>
          <w:szCs w:val="21"/>
          <w:highlight w:val="none"/>
        </w:rPr>
        <w:t>我方在此承诺：若我方中标，我方将严格按照在投标文件中填报的主要机械设备和试验检测设备组织进场施工，且不进行更换。如我方违背了上述承诺，本项目招标人有权取消我方的中标资格，并由招标人将我方的违约行为上报省级交通主管部门，作为不良记录纳入公路建设市场信息管理系统。</w:t>
      </w:r>
    </w:p>
    <w:p>
      <w:pPr>
        <w:spacing w:line="5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kern w:val="0"/>
          <w:szCs w:val="21"/>
          <w:highlight w:val="none"/>
        </w:rPr>
        <w:t>投  标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adjustRightInd w:val="0"/>
        <w:snapToGrid w:val="0"/>
        <w:spacing w:line="360" w:lineRule="auto"/>
        <w:jc w:val="center"/>
        <w:rPr>
          <w:rFonts w:ascii="宋体" w:hAnsi="宋体"/>
          <w:color w:val="auto"/>
          <w:szCs w:val="21"/>
          <w:highlight w:val="none"/>
        </w:rPr>
      </w:pPr>
      <w:r>
        <w:rPr>
          <w:rFonts w:hint="eastAsia" w:ascii="宋体" w:hAnsi="宋体"/>
          <w:color w:val="auto"/>
          <w:szCs w:val="21"/>
          <w:highlight w:val="none"/>
        </w:rPr>
        <w:t xml:space="preserve">                                </w:t>
      </w:r>
    </w:p>
    <w:p>
      <w:pPr>
        <w:adjustRightInd w:val="0"/>
        <w:snapToGrid w:val="0"/>
        <w:spacing w:line="360" w:lineRule="auto"/>
        <w:jc w:val="center"/>
        <w:rPr>
          <w:rFonts w:ascii="黑体" w:eastAsia="黑体"/>
          <w:color w:val="auto"/>
          <w:sz w:val="30"/>
          <w:szCs w:val="30"/>
          <w:highlight w:val="none"/>
          <w:u w:val="single"/>
        </w:rPr>
      </w:pPr>
      <w:r>
        <w:rPr>
          <w:rFonts w:hint="eastAsia" w:ascii="宋体" w:hAnsi="宋体"/>
          <w:color w:val="auto"/>
          <w:szCs w:val="21"/>
          <w:highlight w:val="none"/>
        </w:rPr>
        <w:t xml:space="preserve">                                 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adjustRightInd w:val="0"/>
        <w:snapToGrid w:val="0"/>
        <w:spacing w:line="360" w:lineRule="auto"/>
        <w:jc w:val="center"/>
        <w:rPr>
          <w:rFonts w:ascii="黑体" w:eastAsia="黑体"/>
          <w:color w:val="auto"/>
          <w:sz w:val="30"/>
          <w:szCs w:val="30"/>
          <w:highlight w:val="none"/>
          <w:u w:val="single"/>
        </w:rPr>
      </w:pPr>
    </w:p>
    <w:p>
      <w:pPr>
        <w:adjustRightInd w:val="0"/>
        <w:snapToGrid w:val="0"/>
        <w:spacing w:line="360" w:lineRule="auto"/>
        <w:jc w:val="center"/>
        <w:rPr>
          <w:rFonts w:ascii="黑体" w:eastAsia="黑体"/>
          <w:color w:val="auto"/>
          <w:sz w:val="30"/>
          <w:szCs w:val="30"/>
          <w:highlight w:val="none"/>
          <w:u w:val="single"/>
        </w:rPr>
      </w:pPr>
    </w:p>
    <w:p>
      <w:pPr>
        <w:adjustRightInd w:val="0"/>
        <w:snapToGrid w:val="0"/>
        <w:spacing w:line="360" w:lineRule="auto"/>
        <w:jc w:val="center"/>
        <w:rPr>
          <w:rFonts w:ascii="黑体" w:eastAsia="黑体"/>
          <w:color w:val="auto"/>
          <w:sz w:val="30"/>
          <w:szCs w:val="30"/>
          <w:highlight w:val="none"/>
          <w:u w:val="single"/>
        </w:rPr>
      </w:pPr>
    </w:p>
    <w:p>
      <w:pPr>
        <w:spacing w:before="120" w:after="120"/>
        <w:jc w:val="center"/>
        <w:rPr>
          <w:rFonts w:ascii="黑体" w:eastAsia="黑体"/>
          <w:b/>
          <w:bCs/>
          <w:color w:val="auto"/>
          <w:kern w:val="44"/>
          <w:sz w:val="30"/>
          <w:szCs w:val="30"/>
          <w:highlight w:val="none"/>
        </w:rPr>
      </w:pPr>
      <w:r>
        <w:rPr>
          <w:rFonts w:hint="eastAsia" w:ascii="黑体" w:eastAsia="黑体"/>
          <w:b/>
          <w:bCs/>
          <w:color w:val="auto"/>
          <w:kern w:val="44"/>
          <w:sz w:val="30"/>
          <w:szCs w:val="30"/>
          <w:highlight w:val="none"/>
        </w:rPr>
        <w:t>九、</w:t>
      </w:r>
      <w:r>
        <w:rPr>
          <w:rFonts w:ascii="黑体" w:eastAsia="黑体"/>
          <w:b/>
          <w:bCs/>
          <w:color w:val="auto"/>
          <w:kern w:val="44"/>
          <w:sz w:val="30"/>
          <w:szCs w:val="30"/>
          <w:highlight w:val="none"/>
        </w:rPr>
        <w:t>农民工工资支付承诺书</w:t>
      </w:r>
    </w:p>
    <w:p>
      <w:pPr>
        <w:adjustRightInd w:val="0"/>
        <w:snapToGrid w:val="0"/>
        <w:spacing w:afterLines="50" w:line="343" w:lineRule="auto"/>
        <w:ind w:firstLine="360" w:firstLineChars="150"/>
        <w:rPr>
          <w:color w:val="auto"/>
          <w:sz w:val="24"/>
          <w:highlight w:val="none"/>
        </w:rPr>
      </w:pPr>
      <w:r>
        <w:rPr>
          <w:rFonts w:hint="eastAsia"/>
          <w:color w:val="auto"/>
          <w:sz w:val="24"/>
          <w:highlight w:val="none"/>
        </w:rPr>
        <w:t>我单位在此郑重承诺：</w:t>
      </w:r>
      <w:r>
        <w:rPr>
          <w:color w:val="auto"/>
          <w:sz w:val="24"/>
          <w:highlight w:val="none"/>
        </w:rPr>
        <w:t xml:space="preserve"> </w:t>
      </w:r>
    </w:p>
    <w:p>
      <w:pPr>
        <w:adjustRightInd w:val="0"/>
        <w:snapToGrid w:val="0"/>
        <w:spacing w:afterLines="50" w:line="343" w:lineRule="auto"/>
        <w:ind w:firstLine="360" w:firstLineChars="150"/>
        <w:rPr>
          <w:color w:val="auto"/>
          <w:sz w:val="24"/>
          <w:highlight w:val="none"/>
        </w:rPr>
      </w:pPr>
      <w:r>
        <w:rPr>
          <w:color w:val="auto"/>
          <w:sz w:val="24"/>
          <w:highlight w:val="none"/>
        </w:rPr>
        <w:t>一、开工前与农民工签定劳动合同</w:t>
      </w:r>
      <w:r>
        <w:rPr>
          <w:color w:val="auto"/>
          <w:sz w:val="24"/>
          <w:highlight w:val="none"/>
        </w:rPr>
        <w:br w:type="textWrapping"/>
      </w:r>
      <w:r>
        <w:rPr>
          <w:color w:val="auto"/>
          <w:sz w:val="24"/>
          <w:highlight w:val="none"/>
        </w:rPr>
        <w:t>     二、按时支付农民工工资、加班加点工资。</w:t>
      </w:r>
      <w:r>
        <w:rPr>
          <w:color w:val="auto"/>
          <w:sz w:val="24"/>
          <w:highlight w:val="none"/>
        </w:rPr>
        <w:br w:type="textWrapping"/>
      </w:r>
      <w:r>
        <w:rPr>
          <w:color w:val="auto"/>
          <w:sz w:val="24"/>
          <w:highlight w:val="none"/>
        </w:rPr>
        <w:t>  </w:t>
      </w:r>
      <w:r>
        <w:rPr>
          <w:rFonts w:hint="eastAsia"/>
          <w:color w:val="auto"/>
          <w:sz w:val="24"/>
          <w:highlight w:val="none"/>
          <w:lang w:val="en-US" w:eastAsia="zh-CN"/>
        </w:rPr>
        <w:t xml:space="preserve"> </w:t>
      </w:r>
      <w:r>
        <w:rPr>
          <w:color w:val="auto"/>
          <w:sz w:val="24"/>
          <w:highlight w:val="none"/>
        </w:rPr>
        <w:t>   三、支付农民工工资不低于</w:t>
      </w:r>
      <w:r>
        <w:rPr>
          <w:rFonts w:hint="eastAsia"/>
          <w:color w:val="auto"/>
          <w:sz w:val="24"/>
          <w:highlight w:val="none"/>
        </w:rPr>
        <w:t>河南</w:t>
      </w:r>
      <w:r>
        <w:rPr>
          <w:color w:val="auto"/>
          <w:sz w:val="24"/>
          <w:highlight w:val="none"/>
        </w:rPr>
        <w:t>省最低工资标准</w:t>
      </w:r>
      <w:r>
        <w:rPr>
          <w:color w:val="auto"/>
          <w:sz w:val="24"/>
          <w:highlight w:val="none"/>
          <w:u w:val="single"/>
        </w:rPr>
        <w:t xml:space="preserve">    </w:t>
      </w:r>
      <w:r>
        <w:rPr>
          <w:color w:val="auto"/>
          <w:sz w:val="24"/>
          <w:highlight w:val="none"/>
        </w:rPr>
        <w:t>元。</w:t>
      </w:r>
      <w:r>
        <w:rPr>
          <w:color w:val="auto"/>
          <w:sz w:val="24"/>
          <w:highlight w:val="none"/>
        </w:rPr>
        <w:br w:type="textWrapping"/>
      </w:r>
      <w:r>
        <w:rPr>
          <w:color w:val="auto"/>
          <w:sz w:val="24"/>
          <w:highlight w:val="none"/>
        </w:rPr>
        <w:t>     四、不无故拖欠、克扣农民工工资。</w:t>
      </w:r>
      <w:r>
        <w:rPr>
          <w:color w:val="auto"/>
          <w:sz w:val="24"/>
          <w:highlight w:val="none"/>
        </w:rPr>
        <w:br w:type="textWrapping"/>
      </w:r>
      <w:r>
        <w:rPr>
          <w:color w:val="auto"/>
          <w:sz w:val="24"/>
          <w:highlight w:val="none"/>
        </w:rPr>
        <w:t>     五、</w:t>
      </w:r>
      <w:r>
        <w:rPr>
          <w:rFonts w:hint="eastAsia"/>
          <w:color w:val="auto"/>
          <w:sz w:val="24"/>
          <w:highlight w:val="none"/>
        </w:rPr>
        <w:t>坚决不</w:t>
      </w:r>
      <w:r>
        <w:rPr>
          <w:color w:val="auto"/>
          <w:sz w:val="24"/>
          <w:highlight w:val="none"/>
        </w:rPr>
        <w:t>侵害农民工劳动报酬的合法权益。</w:t>
      </w:r>
      <w:r>
        <w:rPr>
          <w:color w:val="auto"/>
          <w:sz w:val="24"/>
          <w:highlight w:val="none"/>
        </w:rPr>
        <w:br w:type="textWrapping"/>
      </w:r>
      <w:r>
        <w:rPr>
          <w:color w:val="auto"/>
          <w:sz w:val="24"/>
          <w:highlight w:val="none"/>
        </w:rPr>
        <w:t>      六、若有拖欠、克扣农民工工资、加班加点工资及侵害农民工劳动报酬权益的行为，</w:t>
      </w:r>
      <w:r>
        <w:rPr>
          <w:rFonts w:hint="eastAsia"/>
          <w:color w:val="auto"/>
          <w:sz w:val="24"/>
          <w:highlight w:val="none"/>
        </w:rPr>
        <w:t>经有关部门</w:t>
      </w:r>
      <w:r>
        <w:rPr>
          <w:color w:val="auto"/>
          <w:sz w:val="24"/>
          <w:highlight w:val="none"/>
        </w:rPr>
        <w:t>查证属实后，</w:t>
      </w:r>
      <w:r>
        <w:rPr>
          <w:rFonts w:hint="eastAsia"/>
          <w:color w:val="auto"/>
          <w:sz w:val="24"/>
          <w:highlight w:val="none"/>
        </w:rPr>
        <w:t>自愿</w:t>
      </w:r>
      <w:r>
        <w:rPr>
          <w:color w:val="auto"/>
          <w:sz w:val="24"/>
          <w:highlight w:val="none"/>
        </w:rPr>
        <w:t>从工资保</w:t>
      </w:r>
      <w:r>
        <w:rPr>
          <w:rFonts w:hint="eastAsia"/>
          <w:color w:val="auto"/>
          <w:sz w:val="24"/>
          <w:highlight w:val="none"/>
        </w:rPr>
        <w:t>障</w:t>
      </w:r>
      <w:r>
        <w:rPr>
          <w:color w:val="auto"/>
          <w:sz w:val="24"/>
          <w:highlight w:val="none"/>
        </w:rPr>
        <w:t>金中支付，</w:t>
      </w:r>
      <w:r>
        <w:rPr>
          <w:rFonts w:hint="eastAsia"/>
          <w:color w:val="auto"/>
          <w:sz w:val="24"/>
          <w:highlight w:val="none"/>
        </w:rPr>
        <w:t>且</w:t>
      </w:r>
      <w:r>
        <w:rPr>
          <w:color w:val="auto"/>
          <w:sz w:val="24"/>
          <w:highlight w:val="none"/>
        </w:rPr>
        <w:t>在一个星期内补足保</w:t>
      </w:r>
      <w:r>
        <w:rPr>
          <w:rFonts w:hint="eastAsia"/>
          <w:color w:val="auto"/>
          <w:sz w:val="24"/>
          <w:highlight w:val="none"/>
        </w:rPr>
        <w:t>障</w:t>
      </w:r>
      <w:r>
        <w:rPr>
          <w:color w:val="auto"/>
          <w:sz w:val="24"/>
          <w:highlight w:val="none"/>
        </w:rPr>
        <w:t>金。</w:t>
      </w:r>
      <w:r>
        <w:rPr>
          <w:color w:val="auto"/>
          <w:sz w:val="24"/>
          <w:highlight w:val="none"/>
        </w:rPr>
        <w:br w:type="textWrapping"/>
      </w: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rPr>
          <w:color w:val="auto"/>
          <w:sz w:val="24"/>
          <w:highlight w:val="none"/>
        </w:rPr>
      </w:pPr>
    </w:p>
    <w:p>
      <w:pPr>
        <w:adjustRightInd w:val="0"/>
        <w:snapToGrid w:val="0"/>
        <w:spacing w:afterLines="50" w:line="343" w:lineRule="auto"/>
        <w:ind w:firstLine="360" w:firstLineChars="150"/>
        <w:jc w:val="right"/>
        <w:rPr>
          <w:color w:val="auto"/>
          <w:sz w:val="24"/>
          <w:highlight w:val="none"/>
          <w:u w:val="single"/>
        </w:rPr>
      </w:pPr>
      <w:r>
        <w:rPr>
          <w:rFonts w:hint="eastAsia"/>
          <w:color w:val="auto"/>
          <w:sz w:val="24"/>
          <w:highlight w:val="none"/>
        </w:rPr>
        <w:t xml:space="preserve"> 承 诺 人：</w:t>
      </w:r>
      <w:r>
        <w:rPr>
          <w:rFonts w:hint="eastAsia"/>
          <w:color w:val="auto"/>
          <w:sz w:val="24"/>
          <w:highlight w:val="none"/>
          <w:u w:val="single"/>
        </w:rPr>
        <w:t xml:space="preserve">    （单位全称）（盖章）</w:t>
      </w:r>
    </w:p>
    <w:p>
      <w:pPr>
        <w:adjustRightInd w:val="0"/>
        <w:snapToGrid w:val="0"/>
        <w:spacing w:afterLines="50" w:line="343" w:lineRule="auto"/>
        <w:ind w:firstLine="5160" w:firstLineChars="2150"/>
        <w:rPr>
          <w:color w:val="auto"/>
          <w:sz w:val="24"/>
          <w:highlight w:val="none"/>
        </w:rPr>
      </w:pPr>
      <w:r>
        <w:rPr>
          <w:rFonts w:hint="eastAsia"/>
          <w:color w:val="auto"/>
          <w:sz w:val="24"/>
          <w:highlight w:val="none"/>
        </w:rPr>
        <w:t>法定代表人：</w:t>
      </w:r>
      <w:r>
        <w:rPr>
          <w:rFonts w:hint="eastAsia"/>
          <w:color w:val="auto"/>
          <w:sz w:val="24"/>
          <w:highlight w:val="none"/>
          <w:u w:val="single"/>
        </w:rPr>
        <w:t xml:space="preserve">                     </w:t>
      </w:r>
    </w:p>
    <w:p>
      <w:pPr>
        <w:adjustRightInd w:val="0"/>
        <w:snapToGrid w:val="0"/>
        <w:spacing w:afterLines="50" w:line="343" w:lineRule="auto"/>
        <w:ind w:firstLine="360" w:firstLineChars="150"/>
        <w:rPr>
          <w:color w:val="auto"/>
          <w:sz w:val="24"/>
          <w:highlight w:val="none"/>
          <w:u w:val="single"/>
        </w:rPr>
      </w:pPr>
    </w:p>
    <w:p>
      <w:pPr>
        <w:adjustRightInd w:val="0"/>
        <w:snapToGrid w:val="0"/>
        <w:spacing w:afterLines="50" w:line="343" w:lineRule="auto"/>
        <w:rPr>
          <w:rFonts w:ascii="黑体" w:eastAsia="黑体"/>
          <w:color w:val="auto"/>
          <w:sz w:val="28"/>
          <w:szCs w:val="28"/>
          <w:highlight w:val="none"/>
        </w:rPr>
      </w:pPr>
    </w:p>
    <w:p>
      <w:pPr>
        <w:pStyle w:val="4"/>
        <w:spacing w:beforeLines="100" w:afterLines="150" w:line="360" w:lineRule="exact"/>
        <w:jc w:val="center"/>
        <w:rPr>
          <w:rFonts w:ascii="黑体" w:eastAsia="黑体"/>
          <w:color w:val="auto"/>
          <w:sz w:val="30"/>
          <w:szCs w:val="30"/>
          <w:highlight w:val="none"/>
        </w:rPr>
      </w:pPr>
      <w:bookmarkStart w:id="308" w:name="_Toc18302"/>
      <w:bookmarkStart w:id="309" w:name="_Toc486277945"/>
      <w:bookmarkStart w:id="310" w:name="_Toc485889080"/>
      <w:r>
        <w:rPr>
          <w:rFonts w:hint="eastAsia" w:ascii="黑体" w:eastAsia="黑体"/>
          <w:color w:val="auto"/>
          <w:sz w:val="30"/>
          <w:szCs w:val="30"/>
          <w:highlight w:val="none"/>
        </w:rPr>
        <w:t>十、扬尘治理专项承诺书</w:t>
      </w:r>
      <w:bookmarkEnd w:id="308"/>
      <w:bookmarkEnd w:id="309"/>
      <w:bookmarkEnd w:id="310"/>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24"/>
          <w:highlight w:val="none"/>
        </w:rPr>
      </w:pPr>
    </w:p>
    <w:p>
      <w:pPr>
        <w:pStyle w:val="4"/>
        <w:spacing w:beforeLines="100" w:afterLines="150" w:line="360" w:lineRule="exact"/>
        <w:jc w:val="center"/>
        <w:rPr>
          <w:rFonts w:ascii="黑体" w:eastAsia="黑体"/>
          <w:color w:val="auto"/>
          <w:sz w:val="30"/>
          <w:szCs w:val="30"/>
          <w:highlight w:val="none"/>
        </w:rPr>
      </w:pPr>
    </w:p>
    <w:p>
      <w:pPr>
        <w:pStyle w:val="4"/>
        <w:spacing w:beforeLines="100" w:afterLines="150" w:line="360" w:lineRule="exact"/>
        <w:jc w:val="center"/>
        <w:rPr>
          <w:rFonts w:ascii="黑体" w:hAnsi="宋体" w:eastAsia="黑体"/>
          <w:color w:val="auto"/>
          <w:sz w:val="30"/>
          <w:szCs w:val="30"/>
          <w:highlight w:val="none"/>
        </w:rPr>
      </w:pPr>
      <w:bookmarkStart w:id="311" w:name="_Toc485889081"/>
      <w:bookmarkStart w:id="312" w:name="_Toc5401"/>
      <w:bookmarkStart w:id="313" w:name="_Toc486277946"/>
      <w:r>
        <w:rPr>
          <w:rFonts w:hint="eastAsia" w:ascii="黑体" w:hAnsi="宋体" w:eastAsia="黑体"/>
          <w:color w:val="auto"/>
          <w:sz w:val="30"/>
          <w:szCs w:val="30"/>
          <w:highlight w:val="none"/>
        </w:rPr>
        <w:t>十一、其 他 材 料</w:t>
      </w:r>
      <w:bookmarkEnd w:id="307"/>
      <w:bookmarkEnd w:id="311"/>
      <w:bookmarkEnd w:id="312"/>
      <w:bookmarkEnd w:id="313"/>
    </w:p>
    <w:p>
      <w:pPr>
        <w:rPr>
          <w:color w:val="auto"/>
          <w:highlight w:val="none"/>
        </w:rPr>
      </w:pPr>
    </w:p>
    <w:p>
      <w:pPr>
        <w:rPr>
          <w:color w:val="auto"/>
          <w:highlight w:val="none"/>
        </w:rPr>
      </w:pPr>
    </w:p>
    <w:p>
      <w:pPr>
        <w:pStyle w:val="4"/>
        <w:spacing w:beforeLines="100" w:afterLines="150" w:line="360" w:lineRule="exact"/>
        <w:jc w:val="center"/>
        <w:rPr>
          <w:color w:val="auto"/>
          <w:highlight w:val="none"/>
        </w:rPr>
      </w:pPr>
    </w:p>
    <w:p>
      <w:pPr>
        <w:pStyle w:val="4"/>
        <w:spacing w:beforeLines="100" w:afterLines="150" w:line="360" w:lineRule="exact"/>
        <w:jc w:val="cente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jc w:val="right"/>
        <w:rPr>
          <w:rFonts w:hint="eastAsia" w:ascii="黑体" w:hAnsi="宋体" w:eastAsia="黑体"/>
          <w:b w:val="0"/>
          <w:bCs/>
          <w:color w:val="auto"/>
          <w:sz w:val="36"/>
          <w:szCs w:val="36"/>
          <w:highlight w:val="none"/>
          <w:lang w:eastAsia="zh-CN"/>
        </w:rPr>
      </w:pPr>
      <w:r>
        <w:rPr>
          <w:rFonts w:hint="eastAsia" w:ascii="黑体" w:hAnsi="宋体" w:eastAsia="黑体"/>
          <w:b w:val="0"/>
          <w:bCs/>
          <w:color w:val="auto"/>
          <w:sz w:val="36"/>
          <w:szCs w:val="36"/>
          <w:highlight w:val="none"/>
          <w:lang w:eastAsia="zh-CN"/>
        </w:rPr>
        <w:t>正（副）本</w:t>
      </w:r>
    </w:p>
    <w:p>
      <w:pPr>
        <w:spacing w:line="360" w:lineRule="auto"/>
        <w:jc w:val="center"/>
        <w:rPr>
          <w:rFonts w:ascii="黑体" w:hAnsi="华文中宋" w:eastAsia="黑体"/>
          <w:color w:val="auto"/>
          <w:sz w:val="36"/>
          <w:szCs w:val="36"/>
          <w:highlight w:val="none"/>
        </w:rPr>
      </w:pPr>
      <w:r>
        <w:rPr>
          <w:rFonts w:hint="eastAsia" w:ascii="黑体" w:hAnsi="黑体" w:eastAsia="黑体" w:cs="黑体"/>
          <w:sz w:val="52"/>
          <w:szCs w:val="52"/>
          <w:u w:val="none"/>
          <w:lang w:eastAsia="zh-CN"/>
        </w:rPr>
        <w:t>张潘镇陶庄村道路工程</w:t>
      </w:r>
    </w:p>
    <w:p>
      <w:pPr>
        <w:spacing w:line="360" w:lineRule="auto"/>
        <w:jc w:val="center"/>
        <w:rPr>
          <w:rFonts w:ascii="黑体" w:hAnsi="宋体" w:eastAsia="黑体"/>
          <w:b/>
          <w:color w:val="auto"/>
          <w:sz w:val="52"/>
          <w:szCs w:val="52"/>
          <w:highlight w:val="none"/>
        </w:rPr>
      </w:pPr>
      <w:r>
        <w:rPr>
          <w:rFonts w:hint="eastAsia" w:ascii="黑体" w:hAnsi="华文中宋" w:eastAsia="黑体"/>
          <w:color w:val="auto"/>
          <w:sz w:val="36"/>
          <w:szCs w:val="36"/>
          <w:highlight w:val="none"/>
          <w:lang w:eastAsia="zh-CN"/>
        </w:rPr>
        <w:t>建安建工公字〔2017〕</w:t>
      </w:r>
      <w:r>
        <w:rPr>
          <w:rFonts w:hint="eastAsia" w:ascii="黑体" w:hAnsi="华文中宋" w:eastAsia="黑体"/>
          <w:color w:val="auto"/>
          <w:sz w:val="36"/>
          <w:szCs w:val="36"/>
          <w:highlight w:val="none"/>
          <w:lang w:val="en-US" w:eastAsia="zh-CN"/>
        </w:rPr>
        <w:t>198</w:t>
      </w:r>
      <w:r>
        <w:rPr>
          <w:rFonts w:hint="eastAsia" w:ascii="黑体" w:hAnsi="华文中宋" w:eastAsia="黑体"/>
          <w:color w:val="auto"/>
          <w:sz w:val="36"/>
          <w:szCs w:val="36"/>
          <w:highlight w:val="none"/>
          <w:lang w:eastAsia="zh-CN"/>
        </w:rPr>
        <w:t>号</w:t>
      </w:r>
      <w:r>
        <w:rPr>
          <w:rFonts w:hint="eastAsia" w:ascii="黑体" w:hAnsi="华文中宋" w:eastAsia="黑体"/>
          <w:color w:val="auto"/>
          <w:sz w:val="36"/>
          <w:szCs w:val="36"/>
          <w:highlight w:val="none"/>
        </w:rPr>
        <w:t xml:space="preserve">   </w:t>
      </w:r>
    </w:p>
    <w:p>
      <w:pPr>
        <w:spacing w:line="360" w:lineRule="auto"/>
        <w:jc w:val="center"/>
        <w:rPr>
          <w:rFonts w:ascii="黑体" w:hAnsi="宋体" w:eastAsia="黑体"/>
          <w:b/>
          <w:color w:val="auto"/>
          <w:sz w:val="52"/>
          <w:szCs w:val="52"/>
          <w:highlight w:val="none"/>
        </w:rPr>
      </w:pPr>
    </w:p>
    <w:p>
      <w:pPr>
        <w:spacing w:line="360"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投 标 文 件</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 xml:space="preserve">第二信封  </w:t>
      </w:r>
    </w:p>
    <w:p>
      <w:pPr>
        <w:spacing w:line="360" w:lineRule="auto"/>
        <w:jc w:val="center"/>
        <w:rPr>
          <w:rFonts w:ascii="黑体" w:hAnsi="宋体" w:eastAsia="黑体"/>
          <w:b/>
          <w:color w:val="auto"/>
          <w:sz w:val="52"/>
          <w:szCs w:val="52"/>
          <w:highlight w:val="none"/>
        </w:rPr>
      </w:pPr>
      <w:r>
        <w:rPr>
          <w:rFonts w:hint="eastAsia" w:ascii="黑体" w:hAnsi="宋体" w:eastAsia="黑体"/>
          <w:b/>
          <w:color w:val="auto"/>
          <w:sz w:val="52"/>
          <w:szCs w:val="52"/>
          <w:highlight w:val="none"/>
        </w:rPr>
        <w:t>（投标报价</w:t>
      </w:r>
      <w:r>
        <w:rPr>
          <w:rFonts w:hint="eastAsia" w:ascii="黑体" w:hAnsi="宋体" w:eastAsia="黑体"/>
          <w:b/>
          <w:color w:val="auto"/>
          <w:sz w:val="52"/>
          <w:szCs w:val="52"/>
          <w:highlight w:val="none"/>
          <w:lang w:eastAsia="zh-CN"/>
        </w:rPr>
        <w:t>和</w:t>
      </w:r>
      <w:r>
        <w:rPr>
          <w:rFonts w:hint="eastAsia" w:ascii="黑体" w:hAnsi="宋体" w:eastAsia="黑体"/>
          <w:b/>
          <w:color w:val="auto"/>
          <w:sz w:val="52"/>
          <w:szCs w:val="52"/>
          <w:highlight w:val="none"/>
        </w:rPr>
        <w:t>工程量清单）</w:t>
      </w: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360" w:lineRule="auto"/>
        <w:rPr>
          <w:rFonts w:ascii="黑体" w:hAnsi="宋体" w:eastAsia="黑体"/>
          <w:b/>
          <w:color w:val="auto"/>
          <w:sz w:val="32"/>
          <w:szCs w:val="32"/>
          <w:highlight w:val="none"/>
        </w:rPr>
      </w:pP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投标人：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（盖单位章）</w:t>
      </w:r>
    </w:p>
    <w:p>
      <w:pPr>
        <w:spacing w:line="800" w:lineRule="exact"/>
        <w:rPr>
          <w:rFonts w:ascii="黑体" w:hAnsi="宋体" w:eastAsia="黑体"/>
          <w:b/>
          <w:color w:val="auto"/>
          <w:sz w:val="32"/>
          <w:szCs w:val="32"/>
          <w:highlight w:val="none"/>
        </w:rPr>
      </w:pPr>
      <w:r>
        <w:rPr>
          <w:rFonts w:hint="eastAsia" w:ascii="黑体" w:hAnsi="宋体" w:eastAsia="黑体"/>
          <w:b/>
          <w:color w:val="auto"/>
          <w:sz w:val="32"/>
          <w:szCs w:val="32"/>
          <w:highlight w:val="none"/>
        </w:rPr>
        <w:t xml:space="preserve">            法定代表人或其委托代理人</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（签字）</w:t>
      </w:r>
    </w:p>
    <w:p>
      <w:pPr>
        <w:spacing w:line="800" w:lineRule="exact"/>
        <w:ind w:firstLine="2570" w:firstLineChars="800"/>
        <w:rPr>
          <w:rFonts w:ascii="黑体" w:hAnsi="宋体" w:eastAsia="黑体"/>
          <w:b/>
          <w:color w:val="auto"/>
          <w:sz w:val="32"/>
          <w:szCs w:val="32"/>
          <w:highlight w:val="none"/>
        </w:rPr>
      </w:pP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年</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月</w:t>
      </w:r>
      <w:r>
        <w:rPr>
          <w:rFonts w:hint="eastAsia" w:ascii="黑体" w:hAnsi="宋体" w:eastAsia="黑体"/>
          <w:b/>
          <w:color w:val="auto"/>
          <w:sz w:val="32"/>
          <w:szCs w:val="32"/>
          <w:highlight w:val="none"/>
          <w:u w:val="single"/>
        </w:rPr>
        <w:t xml:space="preserve">    </w:t>
      </w:r>
      <w:r>
        <w:rPr>
          <w:rFonts w:hint="eastAsia" w:ascii="黑体" w:hAnsi="宋体" w:eastAsia="黑体"/>
          <w:b/>
          <w:color w:val="auto"/>
          <w:sz w:val="32"/>
          <w:szCs w:val="32"/>
          <w:highlight w:val="none"/>
        </w:rPr>
        <w:t>日</w:t>
      </w:r>
    </w:p>
    <w:p>
      <w:pPr>
        <w:jc w:val="center"/>
        <w:rPr>
          <w:rFonts w:ascii="黑体" w:hAnsi="宋体" w:eastAsia="黑体"/>
          <w:b/>
          <w:color w:val="auto"/>
          <w:sz w:val="36"/>
          <w:szCs w:val="36"/>
          <w:highlight w:val="none"/>
        </w:rPr>
      </w:pPr>
    </w:p>
    <w:p>
      <w:pPr>
        <w:rPr>
          <w:rFonts w:asciiTheme="minorEastAsia" w:hAnsiTheme="minorEastAsia" w:eastAsiaTheme="minorEastAsia"/>
          <w:color w:val="auto"/>
          <w:highlight w:val="none"/>
        </w:rPr>
      </w:pPr>
    </w:p>
    <w:p>
      <w:pPr>
        <w:pageBreakBefore/>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目 录</w:t>
      </w:r>
    </w:p>
    <w:p>
      <w:pPr>
        <w:spacing w:line="360" w:lineRule="auto"/>
        <w:jc w:val="center"/>
        <w:rPr>
          <w:rFonts w:asciiTheme="minorEastAsia" w:hAnsiTheme="minorEastAsia" w:eastAsiaTheme="minorEastAsia"/>
          <w:b/>
          <w:color w:val="auto"/>
          <w:sz w:val="32"/>
          <w:szCs w:val="32"/>
          <w:highlight w:val="none"/>
        </w:rPr>
      </w:pPr>
    </w:p>
    <w:p>
      <w:pPr>
        <w:spacing w:line="360"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一、投标函</w:t>
      </w:r>
    </w:p>
    <w:p>
      <w:pPr>
        <w:spacing w:line="360"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二、已标价工程量清单</w:t>
      </w:r>
    </w:p>
    <w:p>
      <w:pPr>
        <w:spacing w:line="360"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三、拟分包项目情况表</w:t>
      </w:r>
    </w:p>
    <w:p>
      <w:pPr>
        <w:spacing w:line="360" w:lineRule="auto"/>
        <w:jc w:val="left"/>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四、合同用款估算表</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一、投标函</w:t>
      </w:r>
    </w:p>
    <w:p>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 标 函</w:t>
      </w:r>
    </w:p>
    <w:p>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_________________________(招标人名称)：</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1．我方已仔细研究________________(项目名称)施工招标文件的全部内容</w:t>
      </w:r>
      <w:r>
        <w:rPr>
          <w:rFonts w:hint="eastAsia" w:ascii="宋体" w:hAnsi="宋体"/>
          <w:color w:val="auto"/>
          <w:sz w:val="24"/>
          <w:highlight w:val="none"/>
        </w:rPr>
        <w:t>（含补遗书第</w:t>
      </w:r>
      <w:r>
        <w:rPr>
          <w:rFonts w:hint="eastAsia" w:ascii="宋体" w:hAnsi="宋体"/>
          <w:color w:val="auto"/>
          <w:sz w:val="24"/>
          <w:highlight w:val="none"/>
          <w:u w:val="single"/>
        </w:rPr>
        <w:t xml:space="preserve">  </w:t>
      </w:r>
      <w:r>
        <w:rPr>
          <w:rFonts w:hint="eastAsia" w:ascii="宋体" w:hAnsi="宋体"/>
          <w:color w:val="auto"/>
          <w:sz w:val="24"/>
          <w:highlight w:val="none"/>
        </w:rPr>
        <w:t>号至第</w:t>
      </w:r>
      <w:r>
        <w:rPr>
          <w:rFonts w:hint="eastAsia" w:ascii="宋体" w:hAnsi="宋体"/>
          <w:color w:val="auto"/>
          <w:sz w:val="24"/>
          <w:highlight w:val="none"/>
          <w:u w:val="single"/>
        </w:rPr>
        <w:t xml:space="preserve">  </w:t>
      </w:r>
      <w:r>
        <w:rPr>
          <w:rFonts w:hint="eastAsia" w:ascii="宋体" w:hAnsi="宋体"/>
          <w:color w:val="auto"/>
          <w:sz w:val="24"/>
          <w:highlight w:val="none"/>
        </w:rPr>
        <w:t>号）</w:t>
      </w:r>
      <w:r>
        <w:rPr>
          <w:rFonts w:hint="eastAsia" w:asciiTheme="minorEastAsia" w:hAnsiTheme="minorEastAsia" w:eastAsiaTheme="minorEastAsia"/>
          <w:color w:val="auto"/>
          <w:sz w:val="24"/>
          <w:highlight w:val="none"/>
        </w:rPr>
        <w:t>，在考察工程现场后，愿意以人民币(大写)________元(¥________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2．在合同协议书正式签署生效之前，本投标函连同你方的中标通知书将构成我们双方之间共同遵守的文件，对双方具有约束力。</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3．__________________________________(其他补充说明)。</w:t>
      </w:r>
    </w:p>
    <w:p>
      <w:pPr>
        <w:spacing w:line="360" w:lineRule="auto"/>
        <w:ind w:firstLine="480" w:firstLineChars="200"/>
        <w:jc w:val="left"/>
        <w:rPr>
          <w:rFonts w:asciiTheme="minorEastAsia" w:hAnsiTheme="minorEastAsia" w:eastAsiaTheme="minorEastAsia"/>
          <w:color w:val="auto"/>
          <w:sz w:val="24"/>
          <w:highlight w:val="none"/>
        </w:rPr>
      </w:pPr>
    </w:p>
    <w:p>
      <w:pPr>
        <w:spacing w:line="360" w:lineRule="auto"/>
        <w:ind w:firstLine="480" w:firstLineChars="200"/>
        <w:jc w:val="left"/>
        <w:rPr>
          <w:rFonts w:asciiTheme="minorEastAsia" w:hAnsiTheme="minorEastAsia" w:eastAsiaTheme="minorEastAsia"/>
          <w:color w:val="auto"/>
          <w:sz w:val="24"/>
          <w:highlight w:val="none"/>
        </w:rPr>
      </w:pP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 标 人：___________________(盖单位章)</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法定代表人或其委托代理人:____________(签字)</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地址：________________________________</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网址：________________________________</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电话：________________________________</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传真：________________________________</w:t>
      </w:r>
    </w:p>
    <w:p>
      <w:pPr>
        <w:spacing w:line="360" w:lineRule="auto"/>
        <w:ind w:left="3543" w:leftChars="1687"/>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邮政编码：____________________________</w:t>
      </w:r>
    </w:p>
    <w:p>
      <w:pPr>
        <w:spacing w:line="360" w:lineRule="auto"/>
        <w:ind w:left="3543" w:leftChars="1687"/>
        <w:jc w:val="left"/>
        <w:rPr>
          <w:rFonts w:asciiTheme="minorEastAsia" w:hAnsiTheme="minorEastAsia" w:eastAsiaTheme="minorEastAsia"/>
          <w:color w:val="auto"/>
          <w:sz w:val="24"/>
          <w:highlight w:val="none"/>
        </w:rPr>
      </w:pPr>
    </w:p>
    <w:p>
      <w:pPr>
        <w:spacing w:line="360" w:lineRule="auto"/>
        <w:ind w:left="3543" w:leftChars="1687" w:firstLine="720" w:firstLineChars="3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________年______月_______日</w:t>
      </w:r>
    </w:p>
    <w:p>
      <w:pPr>
        <w:spacing w:line="360" w:lineRule="auto"/>
        <w:ind w:left="1"/>
        <w:jc w:val="left"/>
        <w:rPr>
          <w:rFonts w:asciiTheme="minorEastAsia" w:hAnsiTheme="minorEastAsia" w:eastAsiaTheme="minorEastAsia"/>
          <w:color w:val="auto"/>
          <w:sz w:val="24"/>
          <w:highlight w:val="none"/>
        </w:rPr>
      </w:pPr>
    </w:p>
    <w:p>
      <w:pPr>
        <w:spacing w:line="360" w:lineRule="auto"/>
        <w:jc w:val="left"/>
        <w:rPr>
          <w:rFonts w:asciiTheme="minorEastAsia" w:hAnsiTheme="minorEastAsia" w:eastAsiaTheme="minorEastAsia"/>
          <w:color w:val="auto"/>
          <w:sz w:val="24"/>
          <w:highlight w:val="none"/>
        </w:rPr>
      </w:pPr>
    </w:p>
    <w:p>
      <w:pPr>
        <w:spacing w:line="360" w:lineRule="auto"/>
        <w:jc w:val="left"/>
        <w:rPr>
          <w:rFonts w:asciiTheme="minorEastAsia" w:hAnsiTheme="minorEastAsia" w:eastAsiaTheme="minorEastAsia"/>
          <w:color w:val="auto"/>
          <w:sz w:val="24"/>
          <w:highlight w:val="none"/>
        </w:rPr>
      </w:pPr>
    </w:p>
    <w:p>
      <w:pPr>
        <w:spacing w:line="360" w:lineRule="auto"/>
        <w:jc w:val="left"/>
        <w:rPr>
          <w:rFonts w:asciiTheme="minorEastAsia" w:hAnsiTheme="minorEastAsia" w:eastAsiaTheme="minorEastAsia"/>
          <w:color w:val="auto"/>
          <w:sz w:val="24"/>
          <w:highlight w:val="none"/>
        </w:rPr>
      </w:pPr>
    </w:p>
    <w:p>
      <w:pPr>
        <w:spacing w:line="360" w:lineRule="auto"/>
        <w:jc w:val="left"/>
        <w:rPr>
          <w:rFonts w:asciiTheme="minorEastAsia" w:hAnsiTheme="minorEastAsia" w:eastAsiaTheme="minorEastAsia"/>
          <w:color w:val="auto"/>
          <w:sz w:val="24"/>
          <w:highlight w:val="none"/>
        </w:rPr>
      </w:pPr>
    </w:p>
    <w:p>
      <w:pPr>
        <w:spacing w:line="360" w:lineRule="auto"/>
        <w:jc w:val="left"/>
        <w:rPr>
          <w:rFonts w:asciiTheme="minorEastAsia" w:hAnsiTheme="minorEastAsia" w:eastAsiaTheme="minorEastAsia"/>
          <w:color w:val="auto"/>
          <w:sz w:val="24"/>
          <w:highlight w:val="none"/>
        </w:rPr>
      </w:pPr>
    </w:p>
    <w:p>
      <w:pPr>
        <w:spacing w:line="360" w:lineRule="auto"/>
        <w:ind w:left="1"/>
        <w:jc w:val="left"/>
        <w:rPr>
          <w:rFonts w:asciiTheme="minorEastAsia" w:hAnsiTheme="minorEastAsia" w:eastAsiaTheme="minorEastAsia"/>
          <w:color w:val="auto"/>
          <w:sz w:val="24"/>
          <w:highlight w:val="none"/>
        </w:rPr>
      </w:pPr>
    </w:p>
    <w:p>
      <w:pPr>
        <w:spacing w:line="360" w:lineRule="auto"/>
        <w:ind w:left="3543" w:leftChars="1687" w:firstLine="720" w:firstLineChars="300"/>
        <w:jc w:val="left"/>
        <w:rPr>
          <w:rFonts w:asciiTheme="minorEastAsia" w:hAnsiTheme="minorEastAsia" w:eastAsiaTheme="minorEastAsia"/>
          <w:color w:val="auto"/>
          <w:sz w:val="24"/>
          <w:highlight w:val="none"/>
        </w:rPr>
      </w:pPr>
    </w:p>
    <w:p>
      <w:pPr>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二、已标价工程量清单</w:t>
      </w:r>
    </w:p>
    <w:p>
      <w:pPr>
        <w:spacing w:line="360" w:lineRule="auto"/>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投标人应按照第五章“工程量清单”的要求逐项填报工程量清单，包括工程量清</w:t>
      </w:r>
    </w:p>
    <w:p>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单说明、投标报价说明、计日工说明、其他说明及工程量清单各项表格（工程量清</w:t>
      </w:r>
    </w:p>
    <w:p>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单表5.1）</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jc w:val="center"/>
        <w:rPr>
          <w:rFonts w:asciiTheme="minorEastAsia" w:hAnsiTheme="minorEastAsia" w:eastAsiaTheme="minorEastAsia"/>
          <w:b/>
          <w:color w:val="auto"/>
          <w:sz w:val="32"/>
          <w:szCs w:val="32"/>
          <w:highlight w:val="none"/>
        </w:rPr>
      </w:pPr>
    </w:p>
    <w:p>
      <w:pPr>
        <w:spacing w:line="360" w:lineRule="auto"/>
        <w:jc w:val="center"/>
        <w:rPr>
          <w:rFonts w:asciiTheme="minorEastAsia" w:hAnsiTheme="minorEastAsia" w:eastAsiaTheme="minorEastAsia"/>
          <w:b/>
          <w:color w:val="auto"/>
          <w:sz w:val="32"/>
          <w:szCs w:val="32"/>
          <w:highlight w:val="none"/>
        </w:rPr>
      </w:pPr>
    </w:p>
    <w:p>
      <w:pPr>
        <w:pageBreakBefore/>
        <w:spacing w:line="360" w:lineRule="auto"/>
        <w:jc w:val="center"/>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三、拟分包项目情况表</w:t>
      </w:r>
    </w:p>
    <w:p>
      <w:pPr>
        <w:rPr>
          <w:rFonts w:ascii="宋体" w:hAnsi="宋体" w:cs="宋体"/>
          <w:color w:val="auto"/>
          <w:highlight w:val="none"/>
        </w:rPr>
      </w:pPr>
    </w:p>
    <w:tbl>
      <w:tblPr>
        <w:tblStyle w:val="15"/>
        <w:tblW w:w="96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分包人名称</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w:t>
            </w: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2410" w:type="dxa"/>
            <w:vAlign w:val="center"/>
          </w:tcPr>
          <w:p>
            <w:pPr>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拟分包的工程项目</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主要内容</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预计造价（万元）</w:t>
            </w:r>
          </w:p>
        </w:tc>
        <w:tc>
          <w:tcPr>
            <w:tcW w:w="241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Align w:val="center"/>
          </w:tcPr>
          <w:p>
            <w:pPr>
              <w:jc w:val="center"/>
              <w:rPr>
                <w:rFonts w:hint="eastAsia" w:ascii="宋体" w:hAnsi="宋体" w:eastAsia="宋体" w:cs="宋体"/>
                <w:color w:val="auto"/>
                <w:sz w:val="21"/>
                <w:szCs w:val="21"/>
                <w:highlight w:val="none"/>
              </w:rPr>
            </w:pPr>
          </w:p>
        </w:tc>
        <w:tc>
          <w:tcPr>
            <w:tcW w:w="2410" w:type="dxa"/>
            <w:vMerge w:val="restart"/>
          </w:tcPr>
          <w:p>
            <w:pPr>
              <w:ind w:firstLine="210" w:firstLineChars="100"/>
              <w:rPr>
                <w:rFonts w:hint="eastAsia" w:ascii="宋体" w:hAnsi="宋体" w:eastAsia="宋体" w:cs="宋体"/>
                <w:color w:val="auto"/>
                <w:sz w:val="21"/>
                <w:szCs w:val="21"/>
                <w:highlight w:val="none"/>
              </w:rPr>
            </w:pP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1.本栏应写明分包人以往做过的类似工程，包括工程名称、地点、造价、工期、交工年份和其发包人与总监理工程师的姓名和地址。</w:t>
            </w:r>
          </w:p>
          <w:p>
            <w:pPr>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2.若无分包人，则投标人应填写“无”</w:t>
            </w:r>
            <w:r>
              <w:rPr>
                <w:rFonts w:hint="eastAsia" w:ascii="宋体" w:hAnsi="宋体" w:cs="宋体"/>
                <w:color w:val="auto"/>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2409"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分包值合计（万元）</w:t>
            </w:r>
          </w:p>
        </w:tc>
        <w:tc>
          <w:tcPr>
            <w:tcW w:w="2410" w:type="dxa"/>
            <w:vAlign w:val="center"/>
          </w:tcPr>
          <w:p>
            <w:pPr>
              <w:jc w:val="center"/>
              <w:rPr>
                <w:rFonts w:hint="eastAsia" w:ascii="宋体" w:hAnsi="宋体" w:eastAsia="宋体" w:cs="宋体"/>
                <w:color w:val="auto"/>
                <w:szCs w:val="21"/>
                <w:highlight w:val="none"/>
              </w:rPr>
            </w:pPr>
          </w:p>
        </w:tc>
        <w:tc>
          <w:tcPr>
            <w:tcW w:w="2410" w:type="dxa"/>
            <w:vMerge w:val="continue"/>
            <w:vAlign w:val="center"/>
          </w:tcPr>
          <w:p>
            <w:pPr>
              <w:jc w:val="center"/>
              <w:rPr>
                <w:rFonts w:ascii="宋体" w:hAnsi="宋体" w:cs="宋体"/>
                <w:color w:val="auto"/>
                <w:sz w:val="28"/>
                <w:szCs w:val="28"/>
                <w:highlight w:val="none"/>
              </w:rPr>
            </w:pPr>
          </w:p>
        </w:tc>
      </w:tr>
    </w:tbl>
    <w:p>
      <w:pPr>
        <w:spacing w:line="360" w:lineRule="auto"/>
        <w:rPr>
          <w:color w:val="auto"/>
          <w:highlight w:val="none"/>
        </w:rPr>
      </w:pPr>
    </w:p>
    <w:p>
      <w:pPr>
        <w:spacing w:line="360" w:lineRule="auto"/>
        <w:rPr>
          <w:color w:val="auto"/>
          <w:highlight w:val="none"/>
        </w:rPr>
      </w:pPr>
    </w:p>
    <w:p>
      <w:pPr>
        <w:pStyle w:val="4"/>
        <w:keepNext w:val="0"/>
        <w:keepLines w:val="0"/>
        <w:spacing w:beforeLines="50" w:after="240" w:line="400" w:lineRule="exact"/>
        <w:jc w:val="center"/>
        <w:rPr>
          <w:rFonts w:asciiTheme="minorEastAsia" w:hAnsiTheme="minorEastAsia" w:eastAsiaTheme="minorEastAsia"/>
          <w:color w:val="auto"/>
          <w:kern w:val="2"/>
          <w:sz w:val="28"/>
          <w:szCs w:val="28"/>
          <w:highlight w:val="none"/>
        </w:rPr>
      </w:pPr>
      <w:bookmarkStart w:id="314" w:name="_Toc486277947"/>
      <w:bookmarkStart w:id="315" w:name="_Toc485889069"/>
      <w:bookmarkStart w:id="316" w:name="_Toc234382973"/>
    </w:p>
    <w:p>
      <w:pPr>
        <w:pStyle w:val="4"/>
        <w:keepNext w:val="0"/>
        <w:keepLines w:val="0"/>
        <w:spacing w:beforeLines="50" w:after="240" w:line="400" w:lineRule="exact"/>
        <w:jc w:val="center"/>
        <w:rPr>
          <w:rFonts w:asciiTheme="minorEastAsia" w:hAnsiTheme="minorEastAsia" w:eastAsiaTheme="minorEastAsia"/>
          <w:color w:val="auto"/>
          <w:kern w:val="2"/>
          <w:sz w:val="32"/>
          <w:szCs w:val="28"/>
          <w:highlight w:val="none"/>
        </w:rPr>
      </w:pPr>
      <w:bookmarkStart w:id="317" w:name="_Toc5044"/>
      <w:r>
        <w:rPr>
          <w:rFonts w:hint="eastAsia" w:asciiTheme="minorEastAsia" w:hAnsiTheme="minorEastAsia" w:eastAsiaTheme="minorEastAsia"/>
          <w:color w:val="auto"/>
          <w:kern w:val="2"/>
          <w:sz w:val="32"/>
          <w:szCs w:val="28"/>
          <w:highlight w:val="none"/>
        </w:rPr>
        <w:t>四、合同用款估算表</w:t>
      </w:r>
      <w:bookmarkEnd w:id="314"/>
      <w:bookmarkEnd w:id="315"/>
      <w:bookmarkEnd w:id="316"/>
      <w:bookmarkEnd w:id="317"/>
    </w:p>
    <w:tbl>
      <w:tblPr>
        <w:tblStyle w:val="15"/>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color w:val="auto"/>
                <w:szCs w:val="21"/>
                <w:highlight w:val="none"/>
              </w:rPr>
            </w:pPr>
            <w:r>
              <w:rPr>
                <w:rFonts w:hint="eastAsia" w:ascii="宋体" w:hAnsi="宋体"/>
                <w:color w:val="auto"/>
                <w:szCs w:val="21"/>
                <w:highlight w:val="none"/>
              </w:rPr>
              <w:t>从开工月算起的时间（月）</w:t>
            </w:r>
          </w:p>
        </w:tc>
        <w:tc>
          <w:tcPr>
            <w:tcW w:w="6925" w:type="dxa"/>
            <w:gridSpan w:val="4"/>
            <w:vAlign w:val="center"/>
          </w:tcPr>
          <w:p>
            <w:pPr>
              <w:jc w:val="center"/>
              <w:rPr>
                <w:rFonts w:ascii="宋体" w:hAnsi="宋体"/>
                <w:color w:val="auto"/>
                <w:szCs w:val="21"/>
                <w:highlight w:val="none"/>
              </w:rPr>
            </w:pPr>
            <w:r>
              <w:rPr>
                <w:rFonts w:hint="eastAsia" w:ascii="宋体" w:hAnsi="宋体"/>
                <w:color w:val="auto"/>
                <w:szCs w:val="21"/>
                <w:highlight w:val="none"/>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color w:val="auto"/>
                <w:szCs w:val="21"/>
                <w:highlight w:val="none"/>
              </w:rPr>
            </w:pPr>
          </w:p>
        </w:tc>
        <w:tc>
          <w:tcPr>
            <w:tcW w:w="3462" w:type="dxa"/>
            <w:gridSpan w:val="2"/>
            <w:vAlign w:val="center"/>
          </w:tcPr>
          <w:p>
            <w:pPr>
              <w:tabs>
                <w:tab w:val="left" w:pos="4863"/>
              </w:tabs>
              <w:jc w:val="center"/>
              <w:rPr>
                <w:rFonts w:ascii="宋体" w:hAnsi="宋体"/>
                <w:color w:val="auto"/>
                <w:szCs w:val="21"/>
                <w:highlight w:val="none"/>
              </w:rPr>
            </w:pPr>
            <w:r>
              <w:rPr>
                <w:rFonts w:hint="eastAsia" w:ascii="宋体" w:hAnsi="宋体"/>
                <w:color w:val="auto"/>
                <w:szCs w:val="21"/>
                <w:highlight w:val="none"/>
              </w:rPr>
              <w:t>分  期</w:t>
            </w:r>
          </w:p>
        </w:tc>
        <w:tc>
          <w:tcPr>
            <w:tcW w:w="3463" w:type="dxa"/>
            <w:gridSpan w:val="2"/>
            <w:vAlign w:val="center"/>
          </w:tcPr>
          <w:p>
            <w:pPr>
              <w:tabs>
                <w:tab w:val="left" w:pos="4863"/>
              </w:tabs>
              <w:jc w:val="center"/>
              <w:rPr>
                <w:rFonts w:ascii="宋体" w:hAnsi="宋体"/>
                <w:color w:val="auto"/>
                <w:szCs w:val="21"/>
                <w:highlight w:val="none"/>
              </w:rPr>
            </w:pPr>
            <w:r>
              <w:rPr>
                <w:rFonts w:hint="eastAsia" w:ascii="宋体" w:hAnsi="宋体"/>
                <w:color w:val="auto"/>
                <w:szCs w:val="21"/>
                <w:highlight w:val="none"/>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金额（元）</w:t>
            </w: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金额（元）</w:t>
            </w:r>
          </w:p>
        </w:tc>
        <w:tc>
          <w:tcPr>
            <w:tcW w:w="1732"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第一次开工预付款</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1～3</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4～6</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7～9</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10～12</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13～15</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缺陷责任期</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小计</w:t>
            </w:r>
          </w:p>
        </w:tc>
        <w:tc>
          <w:tcPr>
            <w:tcW w:w="1731" w:type="dxa"/>
            <w:vAlign w:val="center"/>
          </w:tcPr>
          <w:p>
            <w:pPr>
              <w:jc w:val="center"/>
              <w:rPr>
                <w:rFonts w:ascii="宋体" w:hAnsi="宋体"/>
                <w:color w:val="auto"/>
                <w:szCs w:val="21"/>
                <w:highlight w:val="none"/>
              </w:rPr>
            </w:pPr>
          </w:p>
        </w:tc>
        <w:tc>
          <w:tcPr>
            <w:tcW w:w="1731" w:type="dxa"/>
            <w:vAlign w:val="center"/>
          </w:tcPr>
          <w:p>
            <w:pPr>
              <w:jc w:val="center"/>
              <w:rPr>
                <w:rFonts w:ascii="宋体" w:hAnsi="宋体"/>
                <w:color w:val="auto"/>
                <w:szCs w:val="21"/>
                <w:highlight w:val="none"/>
              </w:rPr>
            </w:pPr>
            <w:r>
              <w:rPr>
                <w:rFonts w:hint="eastAsia" w:ascii="宋体" w:hAnsi="宋体"/>
                <w:color w:val="auto"/>
                <w:szCs w:val="21"/>
                <w:highlight w:val="none"/>
              </w:rPr>
              <w:t>100．00</w:t>
            </w:r>
          </w:p>
        </w:tc>
        <w:tc>
          <w:tcPr>
            <w:tcW w:w="1731" w:type="dxa"/>
            <w:vAlign w:val="center"/>
          </w:tcPr>
          <w:p>
            <w:pPr>
              <w:jc w:val="center"/>
              <w:rPr>
                <w:rFonts w:ascii="宋体" w:hAnsi="宋体"/>
                <w:color w:val="auto"/>
                <w:szCs w:val="21"/>
                <w:highlight w:val="none"/>
              </w:rPr>
            </w:pPr>
          </w:p>
        </w:tc>
        <w:tc>
          <w:tcPr>
            <w:tcW w:w="1732" w:type="dxa"/>
            <w:vAlign w:val="center"/>
          </w:tcPr>
          <w:p>
            <w:pPr>
              <w:jc w:val="center"/>
              <w:rPr>
                <w:rFonts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9639" w:type="dxa"/>
            <w:gridSpan w:val="6"/>
            <w:vAlign w:val="center"/>
          </w:tcPr>
          <w:p>
            <w:pPr>
              <w:jc w:val="left"/>
              <w:rPr>
                <w:rFonts w:ascii="宋体" w:hAnsi="宋体"/>
                <w:color w:val="auto"/>
                <w:szCs w:val="21"/>
                <w:highlight w:val="none"/>
              </w:rPr>
            </w:pPr>
            <w:r>
              <w:rPr>
                <w:rFonts w:hint="eastAsia" w:ascii="宋体" w:hAnsi="宋体"/>
                <w:color w:val="auto"/>
                <w:szCs w:val="21"/>
                <w:highlight w:val="none"/>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87" w:hRule="atLeast"/>
        </w:trPr>
        <w:tc>
          <w:tcPr>
            <w:tcW w:w="717" w:type="dxa"/>
            <w:vAlign w:val="center"/>
          </w:tcPr>
          <w:p>
            <w:pPr>
              <w:jc w:val="center"/>
              <w:rPr>
                <w:rFonts w:ascii="宋体" w:hAnsi="宋体"/>
                <w:color w:val="auto"/>
                <w:szCs w:val="21"/>
                <w:highlight w:val="none"/>
              </w:rPr>
            </w:pPr>
            <w:r>
              <w:rPr>
                <w:rFonts w:hint="eastAsia" w:ascii="宋体" w:hAnsi="宋体"/>
                <w:color w:val="auto"/>
                <w:szCs w:val="21"/>
                <w:highlight w:val="none"/>
              </w:rPr>
              <w:t>说</w:t>
            </w: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明</w:t>
            </w:r>
          </w:p>
        </w:tc>
        <w:tc>
          <w:tcPr>
            <w:tcW w:w="8922" w:type="dxa"/>
            <w:gridSpan w:val="5"/>
            <w:vAlign w:val="center"/>
          </w:tcPr>
          <w:p>
            <w:pPr>
              <w:widowControl/>
              <w:jc w:val="center"/>
              <w:rPr>
                <w:rFonts w:ascii="宋体" w:hAnsi="宋体"/>
                <w:color w:val="auto"/>
                <w:szCs w:val="21"/>
                <w:highlight w:val="none"/>
              </w:rPr>
            </w:pPr>
          </w:p>
          <w:p>
            <w:pPr>
              <w:jc w:val="center"/>
              <w:rPr>
                <w:rFonts w:ascii="宋体" w:hAnsi="宋体"/>
                <w:color w:val="auto"/>
                <w:szCs w:val="21"/>
                <w:highlight w:val="none"/>
              </w:rPr>
            </w:pPr>
          </w:p>
        </w:tc>
      </w:tr>
    </w:tbl>
    <w:p>
      <w:pPr>
        <w:jc w:val="center"/>
        <w:rPr>
          <w:rFonts w:ascii="隶书" w:hAnsi="宋体" w:eastAsia="隶书"/>
          <w:color w:val="auto"/>
          <w:sz w:val="24"/>
          <w:highlight w:val="none"/>
        </w:rPr>
      </w:pPr>
    </w:p>
    <w:p>
      <w:pPr>
        <w:rPr>
          <w:rFonts w:ascii="宋体" w:hAnsi="宋体"/>
          <w:color w:val="auto"/>
          <w:szCs w:val="21"/>
          <w:highlight w:val="none"/>
        </w:rPr>
      </w:pPr>
      <w:r>
        <w:rPr>
          <w:rFonts w:hint="eastAsia" w:ascii="宋体" w:hAnsi="宋体"/>
          <w:color w:val="auto"/>
          <w:szCs w:val="21"/>
          <w:highlight w:val="none"/>
        </w:rPr>
        <w:t>注：1.投标人可按附表一的工程进度估算并填写本表。</w:t>
      </w:r>
    </w:p>
    <w:p>
      <w:pPr>
        <w:ind w:left="630" w:hanging="630"/>
        <w:rPr>
          <w:rFonts w:ascii="宋体" w:hAnsi="宋体"/>
          <w:color w:val="auto"/>
          <w:szCs w:val="21"/>
          <w:highlight w:val="none"/>
        </w:rPr>
      </w:pPr>
      <w:r>
        <w:rPr>
          <w:rFonts w:hint="eastAsia" w:ascii="宋体" w:hAnsi="宋体"/>
          <w:color w:val="auto"/>
          <w:szCs w:val="21"/>
          <w:highlight w:val="none"/>
        </w:rPr>
        <w:t xml:space="preserve">    2.用款额按所报单价和总额价估算，不包括价格调整和暂列金额、暂估价，但应考虑开工预付款的扣回、质量保证金的扣留以及签发付款证书后到实际支付的时间间隔。</w:t>
      </w:r>
    </w:p>
    <w:p>
      <w:pPr>
        <w:spacing w:line="360" w:lineRule="auto"/>
        <w:rPr>
          <w:color w:val="auto"/>
          <w:highlight w:val="none"/>
        </w:rPr>
      </w:pPr>
    </w:p>
    <w:p>
      <w:pPr>
        <w:jc w:val="center"/>
        <w:outlineLvl w:val="0"/>
        <w:rPr>
          <w:rFonts w:ascii="黑体" w:eastAsia="黑体"/>
          <w:bCs/>
          <w:color w:val="auto"/>
          <w:sz w:val="44"/>
          <w:szCs w:val="44"/>
          <w:highlight w:val="none"/>
        </w:rPr>
      </w:pPr>
      <w:bookmarkStart w:id="318" w:name="_Toc12556"/>
      <w:r>
        <w:rPr>
          <w:rFonts w:hint="eastAsia" w:ascii="黑体" w:eastAsia="黑体"/>
          <w:bCs/>
          <w:color w:val="auto"/>
          <w:sz w:val="44"/>
          <w:szCs w:val="44"/>
          <w:highlight w:val="none"/>
        </w:rPr>
        <w:t>第九章 投标人须知前附表规定的其他材料</w:t>
      </w:r>
      <w:bookmarkEnd w:id="318"/>
    </w:p>
    <w:p>
      <w:pPr>
        <w:rPr>
          <w:color w:val="auto"/>
          <w:highlight w:val="none"/>
        </w:rPr>
      </w:pPr>
    </w:p>
    <w:sectPr>
      <w:footnotePr>
        <w:numFmt w:val="decimalEnclosedCircleChinese"/>
        <w:numRestart w:val="eachPage"/>
      </w:footnotePr>
      <w:pgSz w:w="11907" w:h="16840"/>
      <w:pgMar w:top="1440" w:right="1361" w:bottom="1440" w:left="1361" w:header="720" w:footer="90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隶书">
    <w:altName w:val="宋体"/>
    <w:panose1 w:val="0201050906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auto"/>
    <w:pitch w:val="default"/>
    <w:sig w:usb0="00000000" w:usb1="00000000" w:usb2="00000010" w:usb3="00000000" w:csb0="00040001" w:csb1="00000000"/>
  </w:font>
  <w:font w:name="MingLiU">
    <w:panose1 w:val="02020509000000000000"/>
    <w:charset w:val="88"/>
    <w:family w:val="moder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细黑">
    <w:altName w:val="宋体"/>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auto"/>
    <w:pitch w:val="default"/>
    <w:sig w:usb0="00000000" w:usb1="00000000" w:usb2="00000000" w:usb3="00000000" w:csb0="2000009F" w:csb1="DFD70000"/>
  </w:font>
  <w:font w:name="smartSimSun">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SansSerif">
    <w:altName w:val="Segoe Print"/>
    <w:panose1 w:val="000004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_5b8b_4f53">
    <w:altName w:val="Times New Roman"/>
    <w:panose1 w:val="00000000000000000000"/>
    <w:charset w:val="00"/>
    <w:family w:val="roman"/>
    <w:pitch w:val="default"/>
    <w:sig w:usb0="00000000" w:usb1="00000000" w:usb2="00000000"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MingLiU_HKSCS">
    <w:panose1 w:val="02020500000000000000"/>
    <w:charset w:val="88"/>
    <w:family w:val="modern"/>
    <w:pitch w:val="default"/>
    <w:sig w:usb0="A00002FF" w:usb1="38CFFCFA" w:usb2="00000016" w:usb3="00000000" w:csb0="00100001" w:csb1="00000000"/>
  </w:font>
  <w:font w:name="叶根友毛笔行书2.0版">
    <w:panose1 w:val="02010601030101010101"/>
    <w:charset w:val="86"/>
    <w:family w:val="auto"/>
    <w:pitch w:val="default"/>
    <w:sig w:usb0="00000001" w:usb1="080E0000" w:usb2="00000000" w:usb3="00000000" w:csb0="00040000" w:csb1="00000000"/>
  </w:font>
  <w:font w:name="Latha">
    <w:panose1 w:val="020B0604020202020204"/>
    <w:charset w:val="00"/>
    <w:family w:val="auto"/>
    <w:pitch w:val="default"/>
    <w:sig w:usb0="00100003"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宋体-PUA">
    <w:altName w:val="宋体"/>
    <w:panose1 w:val="02010600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2"/>
      </w:rPr>
    </w:pPr>
  </w:p>
  <w:p>
    <w:pPr>
      <w:pStyle w:val="7"/>
      <w:ind w:right="360"/>
      <w:jc w:val="both"/>
    </w:pPr>
    <w:r>
      <w:rPr>
        <w:rFonts w:hint="eastAsia"/>
      </w:rPr>
      <w:t xml:space="preserve">                                                       </w:t>
    </w:r>
  </w:p>
  <w:p>
    <w:pPr>
      <w:pStyle w:val="7"/>
      <w:jc w:val="center"/>
    </w:pP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2"/>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131</w:t>
                    </w:r>
                    <w:r>
                      <w:rPr>
                        <w:rFonts w:hint="eastAsia"/>
                        <w:sz w:val="18"/>
                      </w:rPr>
                      <w:fldChar w:fldCharType="end"/>
                    </w:r>
                  </w:p>
                </w:txbxContent>
              </v:textbox>
            </v:shape>
          </w:pict>
        </mc:Fallback>
      </mc:AlternateContent>
    </w:r>
  </w:p>
  <w:p>
    <w:pPr>
      <w:pStyle w:val="7"/>
      <w:ind w:right="360"/>
      <w:jc w:val="both"/>
    </w:pPr>
    <w:r>
      <w:rPr>
        <w:rFonts w:hint="eastAsia"/>
      </w:rPr>
      <w:t xml:space="preserve">                                                       </w:t>
    </w:r>
  </w:p>
  <w:p>
    <w:pPr>
      <w:pStyle w:val="7"/>
      <w:jc w:val="center"/>
    </w:pPr>
    <w:r>
      <w:rPr>
        <w:rFonts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pPr>
      <w:r>
        <w:rPr>
          <w:rStyle w:val="14"/>
        </w:rPr>
        <w:footnoteRef/>
      </w:r>
      <w:r>
        <w:rPr>
          <w:rFonts w:hint="eastAsia" w:ascii="宋体" w:hAnsi="宋体"/>
          <w:sz w:val="15"/>
          <w:szCs w:val="15"/>
        </w:rPr>
        <w:t xml:space="preserve"> 指主要材料，一般应为70％-75%，最低不少于60％。</w:t>
      </w:r>
    </w:p>
  </w:footnote>
  <w:footnote w:id="1">
    <w:p>
      <w:pPr>
        <w:pStyle w:val="10"/>
      </w:pPr>
      <w:r>
        <w:rPr>
          <w:rStyle w:val="14"/>
        </w:rPr>
        <w:footnoteRef/>
      </w:r>
      <w:r>
        <w:rPr>
          <w:rFonts w:hint="eastAsia" w:ascii="宋体" w:hAnsi="宋体"/>
          <w:sz w:val="15"/>
          <w:szCs w:val="15"/>
        </w:rPr>
        <w:t xml:space="preserve"> 相当于中国人民银行短期贷款利率加手续费。招标人不能自行取消本项内容或降低利率。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华文中宋" w:eastAsia="黑体"/>
        <w:sz w:val="18"/>
        <w:szCs w:val="18"/>
        <w:u w:val="single"/>
      </w:rPr>
    </w:pPr>
    <w:r>
      <w:rPr>
        <w:rFonts w:hint="eastAsia" w:ascii="仿宋_GB2312" w:hAnsi="宋体" w:eastAsia="仿宋_GB2312"/>
        <w:u w:val="single"/>
        <w:lang w:eastAsia="zh-CN"/>
      </w:rPr>
      <w:t>张潘镇陶庄村道路工程</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u w:val="single"/>
        <w:lang w:val="en-US" w:eastAsia="zh-CN"/>
      </w:rPr>
      <w:t xml:space="preserve">  </w:t>
    </w:r>
    <w:r>
      <w:rPr>
        <w:rFonts w:hint="eastAsia"/>
        <w:u w:val="single"/>
      </w:rPr>
      <w:t xml:space="preserve">招标文件 </w:t>
    </w:r>
  </w:p>
  <w:p>
    <w:pPr>
      <w:pStyle w:val="8"/>
      <w:pBdr>
        <w:bottom w:val="none" w:color="auto" w:sz="0" w:space="0"/>
      </w:pBdr>
      <w:jc w:val="both"/>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5B0E7"/>
    <w:multiLevelType w:val="singleLevel"/>
    <w:tmpl w:val="5975B0E7"/>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1576D"/>
    <w:rsid w:val="000E2C40"/>
    <w:rsid w:val="002E22B9"/>
    <w:rsid w:val="00905A12"/>
    <w:rsid w:val="019375E7"/>
    <w:rsid w:val="01D66BBF"/>
    <w:rsid w:val="01F30AA1"/>
    <w:rsid w:val="026C0898"/>
    <w:rsid w:val="027B6A50"/>
    <w:rsid w:val="0319073F"/>
    <w:rsid w:val="0430754E"/>
    <w:rsid w:val="05552C27"/>
    <w:rsid w:val="063A2468"/>
    <w:rsid w:val="06A439C9"/>
    <w:rsid w:val="07C978EF"/>
    <w:rsid w:val="08087A54"/>
    <w:rsid w:val="084A5963"/>
    <w:rsid w:val="0A864B32"/>
    <w:rsid w:val="0B8766CE"/>
    <w:rsid w:val="0CEC7F65"/>
    <w:rsid w:val="0DB36279"/>
    <w:rsid w:val="0DD023F4"/>
    <w:rsid w:val="0E0247CE"/>
    <w:rsid w:val="0E104203"/>
    <w:rsid w:val="0E7208AF"/>
    <w:rsid w:val="0EAF3CD4"/>
    <w:rsid w:val="0FC861B7"/>
    <w:rsid w:val="0FE26C00"/>
    <w:rsid w:val="109F433E"/>
    <w:rsid w:val="11C26F2E"/>
    <w:rsid w:val="11F96875"/>
    <w:rsid w:val="120159AD"/>
    <w:rsid w:val="12371667"/>
    <w:rsid w:val="12830A27"/>
    <w:rsid w:val="13B669CB"/>
    <w:rsid w:val="13C34587"/>
    <w:rsid w:val="13E2363B"/>
    <w:rsid w:val="13F70A39"/>
    <w:rsid w:val="151A7CE8"/>
    <w:rsid w:val="15BD7427"/>
    <w:rsid w:val="17D44981"/>
    <w:rsid w:val="180604B6"/>
    <w:rsid w:val="18F1576D"/>
    <w:rsid w:val="1A33274E"/>
    <w:rsid w:val="1ABE2487"/>
    <w:rsid w:val="1C3A427F"/>
    <w:rsid w:val="1C483F39"/>
    <w:rsid w:val="1C6F407F"/>
    <w:rsid w:val="1CB07B2F"/>
    <w:rsid w:val="1DFF76E3"/>
    <w:rsid w:val="1E6E2A60"/>
    <w:rsid w:val="206901C6"/>
    <w:rsid w:val="210534AC"/>
    <w:rsid w:val="23642980"/>
    <w:rsid w:val="25FF3E4B"/>
    <w:rsid w:val="266467AC"/>
    <w:rsid w:val="27EB5C4D"/>
    <w:rsid w:val="28E95BA2"/>
    <w:rsid w:val="29193EEC"/>
    <w:rsid w:val="29302CCA"/>
    <w:rsid w:val="293E056A"/>
    <w:rsid w:val="295E243E"/>
    <w:rsid w:val="2A8068B6"/>
    <w:rsid w:val="2C083186"/>
    <w:rsid w:val="2C8D23A0"/>
    <w:rsid w:val="2D8565B4"/>
    <w:rsid w:val="2DE57BE9"/>
    <w:rsid w:val="2DF93F57"/>
    <w:rsid w:val="2E2352CC"/>
    <w:rsid w:val="2EAB17AE"/>
    <w:rsid w:val="2EF6629B"/>
    <w:rsid w:val="2F3D4D47"/>
    <w:rsid w:val="308A3321"/>
    <w:rsid w:val="31F41A3C"/>
    <w:rsid w:val="31FA5B1B"/>
    <w:rsid w:val="32557B08"/>
    <w:rsid w:val="330C73AC"/>
    <w:rsid w:val="34B436ED"/>
    <w:rsid w:val="35D35CFA"/>
    <w:rsid w:val="39581B3D"/>
    <w:rsid w:val="3AB36C57"/>
    <w:rsid w:val="3B077D3B"/>
    <w:rsid w:val="3C0F7F88"/>
    <w:rsid w:val="3C297D99"/>
    <w:rsid w:val="3CCD2DBE"/>
    <w:rsid w:val="3CCD34DA"/>
    <w:rsid w:val="3D3923FF"/>
    <w:rsid w:val="3D620125"/>
    <w:rsid w:val="3FA74842"/>
    <w:rsid w:val="416749EF"/>
    <w:rsid w:val="425175C5"/>
    <w:rsid w:val="430025BF"/>
    <w:rsid w:val="44367002"/>
    <w:rsid w:val="44B400FD"/>
    <w:rsid w:val="463F679A"/>
    <w:rsid w:val="465B5638"/>
    <w:rsid w:val="46DD12B0"/>
    <w:rsid w:val="46E736AD"/>
    <w:rsid w:val="471E49D8"/>
    <w:rsid w:val="47FC03C7"/>
    <w:rsid w:val="480D3668"/>
    <w:rsid w:val="485C117A"/>
    <w:rsid w:val="495E67F0"/>
    <w:rsid w:val="4994313F"/>
    <w:rsid w:val="49ED0D02"/>
    <w:rsid w:val="4A705849"/>
    <w:rsid w:val="4B263BB2"/>
    <w:rsid w:val="4E9E727D"/>
    <w:rsid w:val="4EC66BD3"/>
    <w:rsid w:val="4F3D4048"/>
    <w:rsid w:val="4F780E3A"/>
    <w:rsid w:val="4FA95B0E"/>
    <w:rsid w:val="4FEC3F1C"/>
    <w:rsid w:val="50575F99"/>
    <w:rsid w:val="52A63164"/>
    <w:rsid w:val="53A5355B"/>
    <w:rsid w:val="53DC697D"/>
    <w:rsid w:val="53FA4F9B"/>
    <w:rsid w:val="540833E8"/>
    <w:rsid w:val="555D4189"/>
    <w:rsid w:val="565207A6"/>
    <w:rsid w:val="56DB467F"/>
    <w:rsid w:val="5A1212DF"/>
    <w:rsid w:val="5A745F8A"/>
    <w:rsid w:val="5B650FF7"/>
    <w:rsid w:val="5C7B3A23"/>
    <w:rsid w:val="5D784F51"/>
    <w:rsid w:val="5E8873A0"/>
    <w:rsid w:val="5EB018FD"/>
    <w:rsid w:val="5F561E80"/>
    <w:rsid w:val="61CB5B65"/>
    <w:rsid w:val="64C81E12"/>
    <w:rsid w:val="64D651DB"/>
    <w:rsid w:val="655B1163"/>
    <w:rsid w:val="65D951D7"/>
    <w:rsid w:val="68885346"/>
    <w:rsid w:val="69283236"/>
    <w:rsid w:val="6A5D066F"/>
    <w:rsid w:val="6E5B7D21"/>
    <w:rsid w:val="6F505105"/>
    <w:rsid w:val="6FF72F87"/>
    <w:rsid w:val="700225F6"/>
    <w:rsid w:val="701145C5"/>
    <w:rsid w:val="7027463D"/>
    <w:rsid w:val="703220A0"/>
    <w:rsid w:val="71E10C85"/>
    <w:rsid w:val="734B2E38"/>
    <w:rsid w:val="74345D0E"/>
    <w:rsid w:val="75D31C48"/>
    <w:rsid w:val="76593629"/>
    <w:rsid w:val="76B023DA"/>
    <w:rsid w:val="76B35C32"/>
    <w:rsid w:val="76C47DE9"/>
    <w:rsid w:val="76E8445B"/>
    <w:rsid w:val="77645D25"/>
    <w:rsid w:val="77BA0C4B"/>
    <w:rsid w:val="782D29A7"/>
    <w:rsid w:val="782E559F"/>
    <w:rsid w:val="78D307E0"/>
    <w:rsid w:val="79296446"/>
    <w:rsid w:val="7A1B1492"/>
    <w:rsid w:val="7CA32416"/>
    <w:rsid w:val="7DDE5080"/>
    <w:rsid w:val="7EAE7248"/>
    <w:rsid w:val="7ECB4383"/>
    <w:rsid w:val="7F407E41"/>
    <w:rsid w:val="7F606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4"/>
    <w:basedOn w:val="1"/>
    <w:next w:val="1"/>
    <w:unhideWhenUsed/>
    <w:qFormat/>
    <w:uiPriority w:val="0"/>
    <w:pPr>
      <w:keepNext/>
      <w:keepLines/>
      <w:spacing w:before="280" w:beforeLines="0" w:after="290" w:afterLines="0" w:line="376" w:lineRule="auto"/>
      <w:outlineLvl w:val="3"/>
    </w:pPr>
    <w:rPr>
      <w:rFonts w:ascii="Arial" w:hAnsi="Arial" w:eastAsia="黑体"/>
      <w:b/>
      <w:bCs/>
      <w:kern w:val="2"/>
      <w:sz w:val="28"/>
      <w:szCs w:val="28"/>
      <w:lang w:val="en-US" w:eastAsia="zh-CN" w:bidi="ar-SA"/>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rFonts w:ascii="宋体"/>
      <w:kern w:val="0"/>
      <w:sz w:val="34"/>
    </w:rPr>
  </w:style>
  <w:style w:type="paragraph" w:styleId="6">
    <w:name w:val="Plain Text"/>
    <w:basedOn w:val="1"/>
    <w:qFormat/>
    <w:uiPriority w:val="0"/>
    <w:rPr>
      <w:rFonts w:ascii="宋体" w:hAnsi="Courier New"/>
      <w:color w:val="00000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rPr>
      <w:szCs w:val="20"/>
    </w:rPr>
  </w:style>
  <w:style w:type="paragraph" w:styleId="10">
    <w:name w:val="footnote text"/>
    <w:basedOn w:val="1"/>
    <w:qFormat/>
    <w:uiPriority w:val="0"/>
    <w:pPr>
      <w:snapToGrid w:val="0"/>
      <w:jc w:val="left"/>
    </w:pPr>
    <w:rPr>
      <w:sz w:val="18"/>
      <w:szCs w:val="18"/>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footnote reference"/>
    <w:qFormat/>
    <w:uiPriority w:val="0"/>
    <w:rPr>
      <w:vertAlign w:val="superscript"/>
    </w:rPr>
  </w:style>
  <w:style w:type="character" w:customStyle="1" w:styleId="16">
    <w:name w:val="font01"/>
    <w:basedOn w:val="11"/>
    <w:qFormat/>
    <w:uiPriority w:val="0"/>
    <w:rPr>
      <w:rFonts w:ascii="smartSimSun" w:hAnsi="smartSimSun" w:eastAsia="smartSimSun" w:cs="smartSimSun"/>
      <w:color w:val="000000"/>
      <w:sz w:val="18"/>
      <w:szCs w:val="18"/>
      <w:u w:val="none"/>
    </w:rPr>
  </w:style>
  <w:style w:type="character" w:customStyle="1" w:styleId="17">
    <w:name w:val="font2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2017-07-25T08:53:00Z</dcterms:created>
  <dc:creator>Administrator</dc:creator>
  <cp:lastModifiedBy>小宇</cp:lastModifiedBy>
  <cp:lastPrinted>2017-12-21T02:33:00Z</cp:lastPrinted>
  <dcterms:modified xsi:type="dcterms:W3CDTF">2018-01-05T07:11:31Z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