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5" w:lineRule="atLeast"/>
        <w:jc w:val="center"/>
        <w:rPr>
          <w:rFonts w:cs="黑体" w:asciiTheme="minorEastAsia" w:hAnsiTheme="minorEastAsia"/>
          <w:b/>
          <w:color w:val="0C0C0C" w:themeColor="text1" w:themeTint="F2"/>
          <w:kern w:val="0"/>
          <w:sz w:val="44"/>
          <w:szCs w:val="44"/>
        </w:rPr>
      </w:pPr>
      <w:r>
        <w:rPr>
          <w:rFonts w:hint="eastAsia" w:cs="黑体" w:asciiTheme="minorEastAsia" w:hAnsiTheme="minorEastAsia"/>
          <w:b/>
          <w:color w:val="0C0C0C" w:themeColor="text1" w:themeTint="F2"/>
          <w:kern w:val="0"/>
          <w:sz w:val="44"/>
          <w:szCs w:val="44"/>
        </w:rPr>
        <w:t>许昌市中级人民法院“中心机房辅助设备系统升级”项目需求</w:t>
      </w:r>
    </w:p>
    <w:p>
      <w:pPr>
        <w:widowControl/>
        <w:shd w:val="clear" w:color="auto" w:fill="FFFFFF"/>
        <w:wordWrap w:val="0"/>
        <w:spacing w:line="525" w:lineRule="atLeast"/>
        <w:ind w:firstLine="645"/>
        <w:jc w:val="left"/>
        <w:rPr>
          <w:rFonts w:cs="Arial" w:asciiTheme="minorEastAsia" w:hAnsiTheme="minorEastAsia"/>
          <w:color w:val="0C0C0C" w:themeColor="text1" w:themeTint="F2"/>
          <w:kern w:val="0"/>
          <w:sz w:val="24"/>
          <w:szCs w:val="24"/>
        </w:rPr>
      </w:pPr>
      <w:r>
        <w:rPr>
          <w:rFonts w:hint="eastAsia" w:cs="黑体" w:asciiTheme="minorEastAsia" w:hAnsiTheme="minorEastAsia"/>
          <w:color w:val="0C0C0C" w:themeColor="text1" w:themeTint="F2"/>
          <w:kern w:val="0"/>
          <w:sz w:val="24"/>
          <w:szCs w:val="24"/>
        </w:rPr>
        <w:t>（一）</w:t>
      </w:r>
      <w:r>
        <w:rPr>
          <w:rFonts w:hint="eastAsia" w:cs="Arial" w:asciiTheme="minorEastAsia" w:hAnsiTheme="minorEastAsia"/>
          <w:color w:val="0C0C0C" w:themeColor="text1" w:themeTint="F2"/>
          <w:kern w:val="0"/>
          <w:sz w:val="24"/>
          <w:szCs w:val="24"/>
        </w:rPr>
        <w:t>项目概况</w:t>
      </w:r>
    </w:p>
    <w:p>
      <w:pPr>
        <w:widowControl/>
        <w:shd w:val="clear" w:color="auto" w:fill="FFFFFF"/>
        <w:wordWrap w:val="0"/>
        <w:spacing w:line="525" w:lineRule="atLeast"/>
        <w:ind w:firstLine="555"/>
        <w:jc w:val="left"/>
        <w:rPr>
          <w:rFonts w:cs="Arial" w:asciiTheme="minorEastAsia" w:hAnsiTheme="minorEastAsia"/>
          <w:color w:val="0C0C0C" w:themeColor="text1" w:themeTint="F2"/>
          <w:kern w:val="0"/>
          <w:sz w:val="24"/>
          <w:szCs w:val="24"/>
        </w:rPr>
      </w:pPr>
      <w:r>
        <w:rPr>
          <w:rFonts w:hint="eastAsia" w:cs="Arial" w:asciiTheme="minorEastAsia" w:hAnsiTheme="minorEastAsia"/>
          <w:color w:val="0C0C0C" w:themeColor="text1" w:themeTint="F2"/>
          <w:kern w:val="0"/>
          <w:sz w:val="24"/>
          <w:szCs w:val="24"/>
        </w:rPr>
        <w:t>（1）项目名称：中心机房辅助设备系统升级</w:t>
      </w:r>
    </w:p>
    <w:p>
      <w:pPr>
        <w:widowControl/>
        <w:shd w:val="clear" w:color="auto" w:fill="FFFFFF"/>
        <w:wordWrap w:val="0"/>
        <w:spacing w:line="525" w:lineRule="atLeast"/>
        <w:ind w:firstLine="555"/>
        <w:jc w:val="left"/>
        <w:rPr>
          <w:rFonts w:cs="Arial" w:asciiTheme="minorEastAsia" w:hAnsiTheme="minorEastAsia"/>
          <w:color w:val="0C0C0C" w:themeColor="text1" w:themeTint="F2"/>
          <w:kern w:val="0"/>
          <w:sz w:val="24"/>
          <w:szCs w:val="24"/>
        </w:rPr>
      </w:pPr>
      <w:r>
        <w:rPr>
          <w:rFonts w:hint="eastAsia" w:cs="Arial" w:asciiTheme="minorEastAsia" w:hAnsiTheme="minorEastAsia"/>
          <w:color w:val="0C0C0C" w:themeColor="text1" w:themeTint="F2"/>
          <w:kern w:val="0"/>
          <w:sz w:val="24"/>
          <w:szCs w:val="24"/>
        </w:rPr>
        <w:t>（2）项目需求：中心机房辅助设备系统升级</w:t>
      </w:r>
    </w:p>
    <w:p>
      <w:pPr>
        <w:widowControl/>
        <w:shd w:val="clear" w:color="auto" w:fill="FFFFFF"/>
        <w:wordWrap w:val="0"/>
        <w:spacing w:line="525" w:lineRule="atLeast"/>
        <w:ind w:firstLine="555"/>
        <w:jc w:val="left"/>
        <w:rPr>
          <w:rFonts w:cs="Arial" w:asciiTheme="minorEastAsia" w:hAnsiTheme="minorEastAsia"/>
          <w:color w:val="0C0C0C" w:themeColor="text1" w:themeTint="F2"/>
          <w:kern w:val="0"/>
          <w:sz w:val="24"/>
          <w:szCs w:val="24"/>
        </w:rPr>
      </w:pPr>
      <w:r>
        <w:rPr>
          <w:rFonts w:hint="eastAsia" w:cs="Arial" w:asciiTheme="minorEastAsia" w:hAnsiTheme="minorEastAsia"/>
          <w:color w:val="0C0C0C" w:themeColor="text1" w:themeTint="F2"/>
          <w:kern w:val="0"/>
          <w:sz w:val="24"/>
          <w:szCs w:val="24"/>
        </w:rPr>
        <w:t>（3）采购预算：70万元，最高限价70万元。</w:t>
      </w:r>
    </w:p>
    <w:p>
      <w:pPr>
        <w:widowControl/>
        <w:shd w:val="clear" w:color="auto" w:fill="FFFFFF"/>
        <w:wordWrap w:val="0"/>
        <w:spacing w:line="525" w:lineRule="atLeast"/>
        <w:ind w:firstLine="555"/>
        <w:jc w:val="left"/>
        <w:rPr>
          <w:rFonts w:cs="Arial" w:asciiTheme="minorEastAsia" w:hAnsiTheme="minorEastAsia"/>
          <w:color w:val="0C0C0C" w:themeColor="text1" w:themeTint="F2"/>
          <w:kern w:val="0"/>
          <w:sz w:val="24"/>
          <w:szCs w:val="24"/>
        </w:rPr>
      </w:pPr>
      <w:r>
        <w:rPr>
          <w:rFonts w:hint="eastAsia" w:cs="Arial" w:asciiTheme="minorEastAsia" w:hAnsiTheme="minorEastAsia"/>
          <w:color w:val="0C0C0C" w:themeColor="text1" w:themeTint="F2"/>
          <w:kern w:val="0"/>
          <w:sz w:val="24"/>
          <w:szCs w:val="24"/>
        </w:rPr>
        <w:t>（4）招标方式：公开招标</w:t>
      </w:r>
    </w:p>
    <w:p>
      <w:pPr>
        <w:widowControl/>
        <w:shd w:val="clear" w:color="auto" w:fill="FFFFFF"/>
        <w:wordWrap w:val="0"/>
        <w:spacing w:line="525" w:lineRule="atLeast"/>
        <w:ind w:firstLine="645"/>
        <w:jc w:val="left"/>
        <w:rPr>
          <w:rFonts w:cs="Arial" w:asciiTheme="minorEastAsia" w:hAnsiTheme="minorEastAsia"/>
          <w:color w:val="0C0C0C" w:themeColor="text1" w:themeTint="F2"/>
          <w:kern w:val="0"/>
          <w:sz w:val="24"/>
          <w:szCs w:val="24"/>
        </w:rPr>
      </w:pPr>
      <w:r>
        <w:rPr>
          <w:rFonts w:hint="eastAsia" w:cs="Arial" w:asciiTheme="minorEastAsia" w:hAnsiTheme="minorEastAsia"/>
          <w:color w:val="0C0C0C" w:themeColor="text1" w:themeTint="F2"/>
          <w:kern w:val="0"/>
          <w:sz w:val="24"/>
          <w:szCs w:val="24"/>
        </w:rPr>
        <w:t>（二）投标条件</w:t>
      </w:r>
    </w:p>
    <w:p>
      <w:pPr>
        <w:widowControl/>
        <w:shd w:val="clear" w:color="auto" w:fill="FFFFFF"/>
        <w:wordWrap w:val="0"/>
        <w:spacing w:line="525" w:lineRule="atLeast"/>
        <w:ind w:firstLine="555"/>
        <w:jc w:val="left"/>
        <w:rPr>
          <w:rFonts w:cs="Arial" w:asciiTheme="minorEastAsia" w:hAnsiTheme="minorEastAsia"/>
          <w:color w:val="0C0C0C" w:themeColor="text1" w:themeTint="F2"/>
          <w:kern w:val="0"/>
          <w:sz w:val="24"/>
          <w:szCs w:val="24"/>
        </w:rPr>
      </w:pPr>
      <w:r>
        <w:rPr>
          <w:rFonts w:hint="eastAsia" w:cs="Arial" w:asciiTheme="minorEastAsia" w:hAnsiTheme="minorEastAsia"/>
          <w:color w:val="0C0C0C" w:themeColor="text1" w:themeTint="F2"/>
          <w:kern w:val="0"/>
          <w:sz w:val="24"/>
          <w:szCs w:val="24"/>
        </w:rPr>
        <w:t>（1）符合《政府采购法》第二十二条之规定；</w:t>
      </w:r>
    </w:p>
    <w:p>
      <w:pPr>
        <w:widowControl/>
        <w:shd w:val="clear" w:color="auto" w:fill="FFFFFF"/>
        <w:wordWrap w:val="0"/>
        <w:spacing w:line="525" w:lineRule="atLeast"/>
        <w:ind w:firstLine="645"/>
        <w:jc w:val="left"/>
        <w:rPr>
          <w:rFonts w:cs="Arial" w:asciiTheme="minorEastAsia" w:hAnsiTheme="minorEastAsia"/>
          <w:color w:val="0C0C0C" w:themeColor="text1" w:themeTint="F2"/>
          <w:kern w:val="0"/>
          <w:sz w:val="24"/>
          <w:szCs w:val="24"/>
        </w:rPr>
      </w:pPr>
      <w:r>
        <w:rPr>
          <w:rFonts w:hint="eastAsia" w:cs="Arial" w:asciiTheme="minorEastAsia" w:hAnsiTheme="minorEastAsia"/>
          <w:color w:val="0C0C0C" w:themeColor="text1" w:themeTint="F2"/>
          <w:kern w:val="0"/>
          <w:sz w:val="24"/>
          <w:szCs w:val="24"/>
        </w:rPr>
        <w:t>（三）货物需求或者项目需求</w:t>
      </w:r>
    </w:p>
    <w:p>
      <w:pPr>
        <w:widowControl/>
        <w:shd w:val="clear" w:color="auto" w:fill="FFFFFF"/>
        <w:wordWrap w:val="0"/>
        <w:spacing w:line="525" w:lineRule="atLeast"/>
        <w:ind w:firstLine="645"/>
        <w:jc w:val="left"/>
        <w:rPr>
          <w:rFonts w:cs="Arial" w:asciiTheme="minorEastAsia" w:hAnsiTheme="minorEastAsia"/>
          <w:color w:val="0C0C0C" w:themeColor="text1" w:themeTint="F2"/>
          <w:kern w:val="0"/>
          <w:sz w:val="24"/>
          <w:szCs w:val="24"/>
        </w:rPr>
      </w:pPr>
      <w:r>
        <w:rPr>
          <w:rFonts w:hint="eastAsia" w:cs="Arial" w:asciiTheme="minorEastAsia" w:hAnsiTheme="minorEastAsia"/>
          <w:b/>
          <w:color w:val="0C0C0C" w:themeColor="text1" w:themeTint="F2"/>
          <w:kern w:val="0"/>
          <w:sz w:val="24"/>
          <w:szCs w:val="24"/>
        </w:rPr>
        <w:t>（1）许昌市中级人民法院货物需求</w:t>
      </w:r>
    </w:p>
    <w:tbl>
      <w:tblPr>
        <w:tblStyle w:val="8"/>
        <w:tblW w:w="9134"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326"/>
        <w:gridCol w:w="5444"/>
        <w:gridCol w:w="789"/>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89" w:type="dxa"/>
            <w:shd w:val="clear" w:color="auto" w:fill="auto"/>
            <w:vAlign w:val="center"/>
          </w:tcPr>
          <w:p>
            <w:pPr>
              <w:widowControl/>
              <w:jc w:val="center"/>
              <w:rPr>
                <w:rFonts w:ascii="宋体" w:hAnsi="宋体" w:eastAsia="宋体" w:cs="宋体"/>
                <w:b/>
                <w:bCs/>
                <w:color w:val="0C0C0C" w:themeColor="text1" w:themeTint="F2"/>
                <w:kern w:val="0"/>
                <w:sz w:val="24"/>
                <w:szCs w:val="24"/>
              </w:rPr>
            </w:pPr>
            <w:r>
              <w:rPr>
                <w:rFonts w:hint="eastAsia" w:ascii="宋体" w:hAnsi="宋体" w:eastAsia="宋体" w:cs="宋体"/>
                <w:b/>
                <w:bCs/>
                <w:color w:val="0C0C0C" w:themeColor="text1" w:themeTint="F2"/>
                <w:kern w:val="0"/>
                <w:sz w:val="24"/>
                <w:szCs w:val="24"/>
              </w:rPr>
              <w:t>序号</w:t>
            </w:r>
          </w:p>
        </w:tc>
        <w:tc>
          <w:tcPr>
            <w:tcW w:w="1326" w:type="dxa"/>
            <w:shd w:val="clear" w:color="auto" w:fill="auto"/>
            <w:vAlign w:val="center"/>
          </w:tcPr>
          <w:p>
            <w:pPr>
              <w:widowControl/>
              <w:jc w:val="center"/>
              <w:rPr>
                <w:rFonts w:ascii="宋体" w:hAnsi="宋体" w:eastAsia="宋体" w:cs="宋体"/>
                <w:b/>
                <w:bCs/>
                <w:color w:val="0C0C0C" w:themeColor="text1" w:themeTint="F2"/>
                <w:kern w:val="0"/>
                <w:sz w:val="24"/>
                <w:szCs w:val="24"/>
              </w:rPr>
            </w:pPr>
            <w:r>
              <w:rPr>
                <w:rFonts w:hint="eastAsia" w:ascii="宋体" w:hAnsi="宋体" w:eastAsia="宋体" w:cs="宋体"/>
                <w:b/>
                <w:bCs/>
                <w:color w:val="0C0C0C" w:themeColor="text1" w:themeTint="F2"/>
                <w:kern w:val="0"/>
                <w:sz w:val="24"/>
                <w:szCs w:val="24"/>
              </w:rPr>
              <w:t>名称</w:t>
            </w:r>
          </w:p>
        </w:tc>
        <w:tc>
          <w:tcPr>
            <w:tcW w:w="5444" w:type="dxa"/>
            <w:shd w:val="clear" w:color="auto" w:fill="auto"/>
            <w:vAlign w:val="center"/>
          </w:tcPr>
          <w:p>
            <w:pPr>
              <w:widowControl/>
              <w:jc w:val="center"/>
              <w:rPr>
                <w:rFonts w:ascii="宋体" w:hAnsi="宋体" w:eastAsia="宋体" w:cs="宋体"/>
                <w:b/>
                <w:bCs/>
                <w:color w:val="0C0C0C" w:themeColor="text1" w:themeTint="F2"/>
                <w:kern w:val="0"/>
                <w:sz w:val="24"/>
                <w:szCs w:val="24"/>
              </w:rPr>
            </w:pPr>
            <w:r>
              <w:rPr>
                <w:rFonts w:hint="eastAsia" w:ascii="宋体" w:hAnsi="宋体" w:eastAsia="宋体" w:cs="宋体"/>
                <w:b/>
                <w:bCs/>
                <w:color w:val="0C0C0C" w:themeColor="text1" w:themeTint="F2"/>
                <w:kern w:val="0"/>
                <w:sz w:val="24"/>
                <w:szCs w:val="24"/>
              </w:rPr>
              <w:t>技术参数指标要求</w:t>
            </w:r>
          </w:p>
        </w:tc>
        <w:tc>
          <w:tcPr>
            <w:tcW w:w="789" w:type="dxa"/>
            <w:shd w:val="clear" w:color="auto" w:fill="auto"/>
            <w:vAlign w:val="center"/>
          </w:tcPr>
          <w:p>
            <w:pPr>
              <w:widowControl/>
              <w:rPr>
                <w:rFonts w:ascii="宋体" w:hAnsi="宋体" w:eastAsia="宋体" w:cs="宋体"/>
                <w:b/>
                <w:bCs/>
                <w:color w:val="0C0C0C" w:themeColor="text1" w:themeTint="F2"/>
                <w:kern w:val="0"/>
                <w:sz w:val="24"/>
                <w:szCs w:val="24"/>
              </w:rPr>
            </w:pPr>
            <w:r>
              <w:rPr>
                <w:rFonts w:hint="eastAsia" w:ascii="宋体" w:hAnsi="宋体" w:eastAsia="宋体" w:cs="宋体"/>
                <w:b/>
                <w:bCs/>
                <w:color w:val="0C0C0C" w:themeColor="text1" w:themeTint="F2"/>
                <w:kern w:val="0"/>
                <w:sz w:val="24"/>
                <w:szCs w:val="24"/>
              </w:rPr>
              <w:t>单位</w:t>
            </w:r>
          </w:p>
        </w:tc>
        <w:tc>
          <w:tcPr>
            <w:tcW w:w="786" w:type="dxa"/>
            <w:shd w:val="clear" w:color="auto" w:fill="auto"/>
            <w:vAlign w:val="center"/>
          </w:tcPr>
          <w:p>
            <w:pPr>
              <w:widowControl/>
              <w:jc w:val="center"/>
              <w:rPr>
                <w:rFonts w:ascii="宋体" w:hAnsi="宋体" w:eastAsia="宋体" w:cs="宋体"/>
                <w:b/>
                <w:bCs/>
                <w:color w:val="0C0C0C" w:themeColor="text1" w:themeTint="F2"/>
                <w:kern w:val="0"/>
                <w:sz w:val="24"/>
                <w:szCs w:val="24"/>
              </w:rPr>
            </w:pPr>
            <w:r>
              <w:rPr>
                <w:rFonts w:hint="eastAsia" w:ascii="宋体" w:hAnsi="宋体" w:eastAsia="宋体" w:cs="宋体"/>
                <w:b/>
                <w:bCs/>
                <w:color w:val="0C0C0C" w:themeColor="text1" w:themeTint="F2"/>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134" w:type="dxa"/>
            <w:gridSpan w:val="5"/>
            <w:shd w:val="clear" w:color="auto" w:fill="auto"/>
            <w:vAlign w:val="center"/>
          </w:tcPr>
          <w:p>
            <w:pPr>
              <w:widowControl/>
              <w:jc w:val="left"/>
              <w:rPr>
                <w:rFonts w:ascii="宋体" w:hAnsi="宋体" w:eastAsia="宋体" w:cs="宋体"/>
                <w:b/>
                <w:bCs/>
                <w:color w:val="0C0C0C" w:themeColor="text1" w:themeTint="F2"/>
                <w:kern w:val="0"/>
                <w:sz w:val="24"/>
                <w:szCs w:val="24"/>
              </w:rPr>
            </w:pPr>
            <w:r>
              <w:rPr>
                <w:rFonts w:hint="eastAsia" w:ascii="宋体" w:hAnsi="宋体" w:eastAsia="宋体" w:cs="宋体"/>
                <w:b/>
                <w:bCs/>
                <w:color w:val="0C0C0C" w:themeColor="text1" w:themeTint="F2"/>
                <w:kern w:val="0"/>
                <w:sz w:val="24"/>
                <w:szCs w:val="24"/>
              </w:rPr>
              <w:t>中心机房精密空调系统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w:t>
            </w:r>
          </w:p>
        </w:tc>
        <w:tc>
          <w:tcPr>
            <w:tcW w:w="1326" w:type="dxa"/>
            <w:shd w:val="clear" w:color="auto" w:fill="auto"/>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机房精密空调室内机</w:t>
            </w:r>
          </w:p>
        </w:tc>
        <w:tc>
          <w:tcPr>
            <w:tcW w:w="5444" w:type="dxa"/>
            <w:shd w:val="clear" w:color="auto" w:fill="auto"/>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1、系统功能：双系统机房精密空调1台，下送风上回风，24℃dB 50％RH工况下，每台空调的系统总冷量≥60KW，显冷量≥53KW；风量≥16000m3/H。</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2、电气性能：机房专用空调机组的电气性能应符合IEC标准输入电压允许波动范围：220/380V +10%~-15%频率：50HZ±2HZ。</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3、适应环境：室内温度:-10℃~+30℃室外温度：-15℃~+45℃湿度:≤95%RH。</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4、温度、湿度控制性能：应能按要求自动调节室内温、湿度，具有制冷、加热、加湿、除湿等功能；温度调节范围：+5℃~+40℃；温度调节精度：±1℃,温度变化率&lt;5℃/小时；湿度调节范围：20%~80%RH。</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5、机组性能：采用高效节能、高能效比的谷轮（Copeland）涡旋压缩机，压缩机数量≥2。机组室内机应选用“V”型大面积换热器，保障换热效率，增强制冷效果，降低在高温天气报警次数，延长设备使用寿命机组。</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6、加湿性能：加湿系统采用新型节能加湿器，加湿器的加湿能力≥10Kg/H，加湿迅速，适合各种水质（自来水和纯净水），不易结垢、维护简单；</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7、过滤器应符合ASHRAE52-76或Eurovent4-5标准，空气过滤器应便于更换。</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8、采用智能控制器，具有分组联动功能，支持备份、轮询、避免竞争运行；具有LCD大屏幕多行中文显示器，通过控制器选定即可，能记录并显示过去30日以上温湿度曲线，具有图形显示机组内各组件的运行状态的功能；应具有带日期和时间故障报警记录储存的功能；机组供电电源故障重新来电时，可自动和人工启动机组；机组应具有过压、欠压等报警及故障诊断，告警记录功能，以及自动保护，自动恢复，自动重启动等功能；每台机组都应具有独立的控制系统、显示器、加热器、加湿器、独立的温湿度传感器，以保证每台机组的正常运行及高精度运行；机组平均无故障时间MTBF≥15万小时。</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9、配备漏水检测系统。</w:t>
            </w:r>
          </w:p>
        </w:tc>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台</w:t>
            </w:r>
          </w:p>
        </w:tc>
        <w:tc>
          <w:tcPr>
            <w:tcW w:w="786"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2</w:t>
            </w:r>
          </w:p>
        </w:tc>
        <w:tc>
          <w:tcPr>
            <w:tcW w:w="1326" w:type="dxa"/>
            <w:shd w:val="clear" w:color="auto" w:fill="auto"/>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机房精密空调室外机</w:t>
            </w:r>
          </w:p>
        </w:tc>
        <w:tc>
          <w:tcPr>
            <w:tcW w:w="5444" w:type="dxa"/>
            <w:shd w:val="clear" w:color="auto" w:fill="auto"/>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1、室外机应具有良好的刚性和防腐性能，适应多种环境条件。</w:t>
            </w:r>
          </w:p>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2、冷凝器出厂时应保压，管路端口应有防止异物进入的措施。</w:t>
            </w:r>
          </w:p>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3、采用风冷的冷却方式，风冷冷凝器可水平或垂直安装。风冷冷凝器的风机电机、风机调速器、压力控制器等应有良好的防水性能。</w:t>
            </w:r>
          </w:p>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4、室外风机支持无级调速，根据室内机组冷量输出情况动态调整风机转速。</w:t>
            </w:r>
          </w:p>
        </w:tc>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台</w:t>
            </w:r>
          </w:p>
        </w:tc>
        <w:tc>
          <w:tcPr>
            <w:tcW w:w="786"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jc w:val="center"/>
        </w:trPr>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3</w:t>
            </w:r>
          </w:p>
        </w:tc>
        <w:tc>
          <w:tcPr>
            <w:tcW w:w="1326" w:type="dxa"/>
            <w:shd w:val="clear" w:color="auto" w:fill="auto"/>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监控性能</w:t>
            </w:r>
          </w:p>
        </w:tc>
        <w:tc>
          <w:tcPr>
            <w:tcW w:w="5444" w:type="dxa"/>
            <w:shd w:val="clear" w:color="auto" w:fill="auto"/>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1、应具有方便的现场监控及远程监控能力。可以通过RS232或RS485通讯接口将空调状态参数和报警参数接入机房环境监控系统中。</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2、每台机组应具有独立的全中文图形化控制器对机组进行自动控制，最大支持32台机组联动与群控。</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3、系统应具有完善的三遥性能，即遥测项目：送风温度、回风温度、送风湿度、回风温度、显示机组工作状态等；遥信项目：开/关机，电压，回风温度过高/过低，过滤器正常/堵塞，风机正常/故障，压缩机正常/故障等；遥控项目：空调开/关机。</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4、设备运行参数的设置：设备应具有智能判断功能，对于超常规的参数设置（错误命令），应能自动拒绝；</w:t>
            </w:r>
          </w:p>
        </w:tc>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套</w:t>
            </w:r>
          </w:p>
        </w:tc>
        <w:tc>
          <w:tcPr>
            <w:tcW w:w="786"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4</w:t>
            </w:r>
          </w:p>
        </w:tc>
        <w:tc>
          <w:tcPr>
            <w:tcW w:w="1326" w:type="dxa"/>
            <w:shd w:val="clear" w:color="auto" w:fill="auto"/>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空调级群控</w:t>
            </w:r>
          </w:p>
        </w:tc>
        <w:tc>
          <w:tcPr>
            <w:tcW w:w="5444" w:type="dxa"/>
            <w:shd w:val="clear" w:color="auto" w:fill="auto"/>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一、配置要求：</w:t>
            </w:r>
          </w:p>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1、使用PACC或Icom控制器实现群控功能；</w:t>
            </w:r>
          </w:p>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2、组网群控后，可实现主备、轮巡、层叠、主机故障备机启动等功能；</w:t>
            </w:r>
          </w:p>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3、群控提供4种组网运行模式，可根据机房环境需求灵活解决；</w:t>
            </w:r>
          </w:p>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4、群控后，组内空调集中进行控制，制冷需求统一分配，控制精度高；</w:t>
            </w:r>
          </w:p>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5、不占用空调智能通信接口，不改变原有集中监控方式。</w:t>
            </w:r>
          </w:p>
        </w:tc>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套</w:t>
            </w:r>
          </w:p>
        </w:tc>
        <w:tc>
          <w:tcPr>
            <w:tcW w:w="786"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5</w:t>
            </w:r>
          </w:p>
        </w:tc>
        <w:tc>
          <w:tcPr>
            <w:tcW w:w="1326" w:type="dxa"/>
            <w:shd w:val="clear" w:color="auto" w:fill="auto"/>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软水化系统</w:t>
            </w:r>
          </w:p>
        </w:tc>
        <w:tc>
          <w:tcPr>
            <w:tcW w:w="5444" w:type="dxa"/>
            <w:shd w:val="clear" w:color="auto" w:fill="auto"/>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软化水≥1吨，可实现给原有空调与现有空调加湿软化供水功能。</w:t>
            </w:r>
          </w:p>
        </w:tc>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台</w:t>
            </w:r>
          </w:p>
        </w:tc>
        <w:tc>
          <w:tcPr>
            <w:tcW w:w="786"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6</w:t>
            </w:r>
          </w:p>
        </w:tc>
        <w:tc>
          <w:tcPr>
            <w:tcW w:w="1326" w:type="dxa"/>
            <w:shd w:val="clear" w:color="auto" w:fill="auto"/>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安装及材料要求</w:t>
            </w:r>
          </w:p>
        </w:tc>
        <w:tc>
          <w:tcPr>
            <w:tcW w:w="5444" w:type="dxa"/>
            <w:shd w:val="clear" w:color="auto" w:fill="auto"/>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1、按照机房设计方案进行标准。</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2、安装计算管线长度和高差，有利于机组节能运行，所用材料必须是国标。</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3、室内机下面需安装防漏水槽及承重支架。</w:t>
            </w:r>
          </w:p>
        </w:tc>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批</w:t>
            </w:r>
          </w:p>
        </w:tc>
        <w:tc>
          <w:tcPr>
            <w:tcW w:w="786"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134" w:type="dxa"/>
            <w:gridSpan w:val="5"/>
            <w:shd w:val="clear" w:color="auto" w:fill="auto"/>
            <w:vAlign w:val="center"/>
          </w:tcPr>
          <w:p>
            <w:pPr>
              <w:widowControl/>
              <w:jc w:val="left"/>
              <w:rPr>
                <w:rFonts w:ascii="宋体" w:hAnsi="宋体" w:eastAsia="宋体" w:cs="宋体"/>
                <w:b/>
                <w:bCs/>
                <w:color w:val="0C0C0C" w:themeColor="text1" w:themeTint="F2"/>
                <w:kern w:val="0"/>
                <w:sz w:val="24"/>
                <w:szCs w:val="24"/>
              </w:rPr>
            </w:pPr>
            <w:r>
              <w:rPr>
                <w:rFonts w:hint="eastAsia" w:ascii="宋体" w:hAnsi="宋体" w:eastAsia="宋体" w:cs="宋体"/>
                <w:b/>
                <w:bCs/>
                <w:color w:val="0C0C0C" w:themeColor="text1" w:themeTint="F2"/>
                <w:kern w:val="0"/>
                <w:sz w:val="24"/>
                <w:szCs w:val="24"/>
              </w:rPr>
              <w:t>UPS电源系统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8" w:hRule="atLeast"/>
          <w:jc w:val="center"/>
        </w:trPr>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w:t>
            </w:r>
          </w:p>
        </w:tc>
        <w:tc>
          <w:tcPr>
            <w:tcW w:w="1326" w:type="dxa"/>
            <w:shd w:val="clear" w:color="auto" w:fill="auto"/>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UPS电源</w:t>
            </w:r>
          </w:p>
        </w:tc>
        <w:tc>
          <w:tcPr>
            <w:tcW w:w="5444" w:type="dxa"/>
            <w:shd w:val="clear" w:color="auto" w:fill="auto"/>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一、 配置要求：</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1、UPS采用模块化设计总功率可达120KVA，系统包括：功率模块，集中旁路模块、液晶显示模块、通讯模块、外部电池监控模块、RS232接口模块、RJ45网卡模块等，以保障系统的整体可维护性和可用性，所有模块均可热插拔(在线)更换。</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2、单模块功率(20)KVA，单机柜最大可容纳6个功率模块，前期配置4个(20)KVA功率模块，三进三出双变换在线式，支持380/400/415V,50/60Hz电网体系，提供最佳的供电质量与负载保护。后备时间：2 小时；</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二、输入指标</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1、 输入频率范围40～70HZ；</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2、 输入电压范围208～480VAC；</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3、 整流器采用IGBT，具有PFC功能，输入功率因素0.99；</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4、输入电流谐波THDi&lt;3% @满载；THDi&lt;5% @半载；全负载低谐波电流；</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三、输出指标</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1、 输出动态响应，&lt;5%(0%-100%-0%阶跃负载）；</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2、 输出总谐波失真(THDU),≤2%(线性负载),4%(非线性负载)；</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3、系统效率96%@双变换模式；ECO效率高达99%；</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四、通信协议要求</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1、遥测、遥信性能：每台UPS应具备一个RS232或RS485/422、USB等标准通信接口，通过该通信接口可获取UPS的各类监控信息。UPS设备的监控内容和通信协议应满足《通信局(站)电源、空调及环境集中监控管理系统》YD/T1363.1-2005～1363.4的要求。</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2、UPS应具备RS232或RS485/422、USB等标准通信接口，并提供与通信接口配套使用的通信线缆和各种告警信号输出端子。</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3、遥测：三相输入电压、直流输入电压、三相输出电压、三相输出电流、输出频率、标示蓄电池电压、标示蓄电池温度。</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4、遥信：同步/不同步状态、UPS/旁路供电、过载、蓄电池放电电压低、市电故障、整流器故障、逆变器故障、旁路故障、电池开关状态、运行状态记录。</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五、功能要求</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1、并机扩容系统可以支持共用电池组；</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2、 电池组节数可以在30-40节之间现场随意调整，不影响系统的运行；</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3、正面维护，大幅降低维护时间；</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4、功率模块需要采用独立的数字化双DSP、32处理器，模块独立自主控制，避免单点故障风险；</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5、过载能力；110%1小时后转旁路，125%10分钟后转旁路，150%1分钟后转旁路，&gt;150%200ms后转旁路；</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6、提供上下进线方式，方便用户接线；</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7、所有电路板均采用三防工艺；</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8、监控系统可以存储2000条以上历史记录；</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9、机柜进风口配置防尘网，保证多灰尘环境的应用；</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10 提供远程EPO接口及6个干接点接口；</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11、UPS主机框应安装公用铜排背板，各模块后部配置连接器，可直接插到背板上；</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12、UPS能够自动监测功率模块的增加和拔除；</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13、具备均浮充手动或自动转换功能及电池测试功能按钮；</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14、具备均充/浮充电压、电流设置功能；</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15、具备电池组智能管理系统；</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16、功率模块间环流小于3%；</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17、旁路电流不平衡度为零；</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18、标配TCP/IP接口，匹配动环监控。</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power-work-in 1-5默认5秒功能（使用并机系统时，UPS由电池供电切换到发电机供电时，为了保护发电机，防止发电机受冲击）；</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六、其它指标</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UPS电源和蓄电池必须同一品牌；</w:t>
            </w:r>
          </w:p>
        </w:tc>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台</w:t>
            </w:r>
          </w:p>
        </w:tc>
        <w:tc>
          <w:tcPr>
            <w:tcW w:w="786"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2</w:t>
            </w:r>
          </w:p>
        </w:tc>
        <w:tc>
          <w:tcPr>
            <w:tcW w:w="1326" w:type="dxa"/>
            <w:shd w:val="clear" w:color="auto" w:fill="auto"/>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蓄电池</w:t>
            </w:r>
          </w:p>
        </w:tc>
        <w:tc>
          <w:tcPr>
            <w:tcW w:w="5444" w:type="dxa"/>
            <w:shd w:val="clear" w:color="auto" w:fill="auto"/>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1、电池安全性能，放电性能及抗震性能良好，正常使用年限内，无电解液漏出，无电池膨胀及破裂；放电电压平稳，放电曲线平缓，涓流性能好。</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2、电池有较强的过放电能力，常温下，完全充电状态的电池以1CA放电结束，存放3星期后，重新充电，容量恢复在75%以上。</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3、电池容量不小于20小时率100AH</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4、电池净重大于等于30KG/只，电池内部无填充其它杂物</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5、本工程备用时长120分钟的全密封免维护蓄电池（单机）配置电池120只，</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6、蓄电池和UPS电源必须同一品牌；</w:t>
            </w:r>
          </w:p>
        </w:tc>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块</w:t>
            </w:r>
          </w:p>
        </w:tc>
        <w:tc>
          <w:tcPr>
            <w:tcW w:w="786"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3</w:t>
            </w:r>
          </w:p>
        </w:tc>
        <w:tc>
          <w:tcPr>
            <w:tcW w:w="1326" w:type="dxa"/>
            <w:shd w:val="clear" w:color="auto" w:fill="auto"/>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电池柜</w:t>
            </w:r>
          </w:p>
        </w:tc>
        <w:tc>
          <w:tcPr>
            <w:tcW w:w="5444" w:type="dxa"/>
            <w:shd w:val="clear" w:color="auto" w:fill="auto"/>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定制</w:t>
            </w:r>
          </w:p>
        </w:tc>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个</w:t>
            </w:r>
          </w:p>
        </w:tc>
        <w:tc>
          <w:tcPr>
            <w:tcW w:w="786"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134" w:type="dxa"/>
            <w:gridSpan w:val="5"/>
            <w:shd w:val="clear" w:color="auto" w:fill="auto"/>
            <w:vAlign w:val="center"/>
          </w:tcPr>
          <w:p>
            <w:pPr>
              <w:widowControl/>
              <w:jc w:val="left"/>
              <w:rPr>
                <w:rFonts w:ascii="宋体" w:hAnsi="宋体" w:eastAsia="宋体" w:cs="宋体"/>
                <w:b/>
                <w:bCs/>
                <w:color w:val="0C0C0C" w:themeColor="text1" w:themeTint="F2"/>
                <w:kern w:val="0"/>
                <w:sz w:val="24"/>
                <w:szCs w:val="24"/>
              </w:rPr>
            </w:pPr>
            <w:r>
              <w:rPr>
                <w:rFonts w:hint="eastAsia" w:ascii="宋体" w:hAnsi="宋体" w:eastAsia="宋体" w:cs="宋体"/>
                <w:b/>
                <w:bCs/>
                <w:color w:val="0C0C0C" w:themeColor="text1" w:themeTint="F2"/>
                <w:kern w:val="0"/>
                <w:sz w:val="24"/>
                <w:szCs w:val="24"/>
              </w:rPr>
              <w:t>动力环境监测系统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w:t>
            </w:r>
          </w:p>
        </w:tc>
        <w:tc>
          <w:tcPr>
            <w:tcW w:w="1326" w:type="dxa"/>
            <w:shd w:val="clear" w:color="auto" w:fill="auto"/>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机房动环监控系统平台软件</w:t>
            </w:r>
          </w:p>
        </w:tc>
        <w:tc>
          <w:tcPr>
            <w:tcW w:w="5444" w:type="dxa"/>
            <w:shd w:val="clear" w:color="auto" w:fill="auto"/>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实现集中监控、数据展示、报警管理、统计分析、远程控制等功能，支持图形界面组态设计、仿真仪表、3D动画、报表自定义设计，支持短信、语音（电话）、声光、邮件、界面报警，分析工具支持甘特图、饼图、曲线图、散点图，支持温度场云图分析，支持电子地图导航功能，支持OPC接入，支持SQL大型数据库，可支持微信公众号移动端访问。</w:t>
            </w:r>
          </w:p>
        </w:tc>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套</w:t>
            </w:r>
          </w:p>
        </w:tc>
        <w:tc>
          <w:tcPr>
            <w:tcW w:w="786"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2</w:t>
            </w:r>
          </w:p>
        </w:tc>
        <w:tc>
          <w:tcPr>
            <w:tcW w:w="1326" w:type="dxa"/>
            <w:shd w:val="clear" w:color="auto" w:fill="auto"/>
            <w:vAlign w:val="center"/>
          </w:tcPr>
          <w:p>
            <w:pPr>
              <w:widowControl/>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机房动环监控系统管理平台</w:t>
            </w:r>
          </w:p>
        </w:tc>
        <w:tc>
          <w:tcPr>
            <w:tcW w:w="5444" w:type="dxa"/>
            <w:shd w:val="clear" w:color="auto" w:fill="auto"/>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1、支持8路光电隔离开关量输入（0-24V电平，准确度：99.999%），支持干湿节点接入；</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2、支持8路光电隔离开关量输出（300mA 0-24V电平，准确度：99.999%），支持内部输出和外部输出接入；</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3、支持8路带ESD保护串口RS485/232接入；</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4、支出2路带ESD保护串口RS232接入；</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5、支持2路带ESD保护CAN-BUS接入；</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6、支持1个10M/100M自适应以太口（物理接口： RJ-45插座）接入；</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7、支持2个USB接口，可进行RTU数据下载或上传；</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8、内置Web，提供参数配置、数据展示、本地处理功能；</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9、内置WatchDog软件狗，支持系统自恢复功能；</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10、支持独立短信、声光报警，可完全独立脱机运行；</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b/>
                <w:bCs/>
                <w:color w:val="0C0C0C" w:themeColor="text1" w:themeTint="F2"/>
                <w:kern w:val="0"/>
                <w:sz w:val="24"/>
                <w:szCs w:val="24"/>
              </w:rPr>
              <w:t>技术特点：</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 xml:space="preserve">    强大的硬件支撑平台，产品基于国产龙芯技术架构，采用龙芯1B高性能处理器，全系器件达到或超过工业级水准，智能端口RS232/RS485支持软件配置，无需转换模块；</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 xml:space="preserve">    自主研发系统平台，重新优化Linux源代码，开发专用驱动软件，最大限度发挥硬件资源优势，形成本产品独特的操作系统，达到效率与安全的完美统一；</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 xml:space="preserve">    嵌入式Web服务能力，采用C++开发的高效率Web服务器，减少了对系统资源的依赖性，实现IP地址管理、DHCP服务、参数设置、协议配置、软件狗等基础功能，以及项目管理、报警管理、数据管理等业务功能；</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开放的协议接口，灵活的协议动态解析能力，实现同一物理层上异种设备的通信兼容；Web服务器支持窗口尺寸自适应，能方便嵌入宿主应用；提供WebService接口，方便集成至第三方平台；</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 xml:space="preserve">    强大的本地运行能力，支持脱机运行，能独立进行数据采集、协议封装、策略配置、通信转发以及短信、声光报警；支持TCP透明传输，后台软件可直接发送命令进行设备控制和参数设定。</w:t>
            </w:r>
          </w:p>
        </w:tc>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套</w:t>
            </w:r>
          </w:p>
        </w:tc>
        <w:tc>
          <w:tcPr>
            <w:tcW w:w="786"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3</w:t>
            </w:r>
          </w:p>
        </w:tc>
        <w:tc>
          <w:tcPr>
            <w:tcW w:w="1326" w:type="dxa"/>
            <w:shd w:val="clear" w:color="auto" w:fill="auto"/>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多功能监测系统</w:t>
            </w:r>
          </w:p>
        </w:tc>
        <w:tc>
          <w:tcPr>
            <w:tcW w:w="5444" w:type="dxa"/>
            <w:shd w:val="clear" w:color="auto" w:fill="auto"/>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 xml:space="preserve">对多功能模块配套使用，主要采集电流大小、采集剩余电流、采集线路的温度、采集防雷器的雷击次数、对多功能模块与嵌入式智能网关通信协议软件进行转换； </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1路带ESD保护的RS232端口；1路带ESD保护的485端口；</w:t>
            </w:r>
          </w:p>
        </w:tc>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套</w:t>
            </w:r>
          </w:p>
        </w:tc>
        <w:tc>
          <w:tcPr>
            <w:tcW w:w="786"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4</w:t>
            </w:r>
          </w:p>
        </w:tc>
        <w:tc>
          <w:tcPr>
            <w:tcW w:w="1326" w:type="dxa"/>
            <w:shd w:val="clear" w:color="auto" w:fill="auto"/>
            <w:vAlign w:val="center"/>
          </w:tcPr>
          <w:p>
            <w:pPr>
              <w:widowControl/>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UPS通讯协议软件</w:t>
            </w:r>
          </w:p>
        </w:tc>
        <w:tc>
          <w:tcPr>
            <w:tcW w:w="5444" w:type="dxa"/>
            <w:shd w:val="clear" w:color="auto" w:fill="auto"/>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对UPS通信协议软件（串口协议）进行转换(需提供UPS原厂及对应该型号设备的通讯协议及通讯卡)</w:t>
            </w:r>
          </w:p>
        </w:tc>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套</w:t>
            </w:r>
          </w:p>
        </w:tc>
        <w:tc>
          <w:tcPr>
            <w:tcW w:w="786"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5</w:t>
            </w:r>
          </w:p>
        </w:tc>
        <w:tc>
          <w:tcPr>
            <w:tcW w:w="1326" w:type="dxa"/>
            <w:shd w:val="clear" w:color="auto" w:fill="auto"/>
            <w:vAlign w:val="center"/>
          </w:tcPr>
          <w:p>
            <w:pPr>
              <w:widowControl/>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智能遥控器通讯协议软件</w:t>
            </w:r>
          </w:p>
        </w:tc>
        <w:tc>
          <w:tcPr>
            <w:tcW w:w="5444" w:type="dxa"/>
            <w:shd w:val="clear" w:color="000000" w:fill="FFFFFF"/>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对智能遥控器模块的通信协议进行转换</w:t>
            </w:r>
          </w:p>
        </w:tc>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套</w:t>
            </w:r>
          </w:p>
        </w:tc>
        <w:tc>
          <w:tcPr>
            <w:tcW w:w="786"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6</w:t>
            </w:r>
          </w:p>
        </w:tc>
        <w:tc>
          <w:tcPr>
            <w:tcW w:w="1326" w:type="dxa"/>
            <w:shd w:val="clear" w:color="auto" w:fill="auto"/>
            <w:vAlign w:val="center"/>
          </w:tcPr>
          <w:p>
            <w:pPr>
              <w:widowControl/>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温湿度协议软件</w:t>
            </w:r>
          </w:p>
        </w:tc>
        <w:tc>
          <w:tcPr>
            <w:tcW w:w="5444" w:type="dxa"/>
            <w:shd w:val="clear" w:color="000000" w:fill="FFFFFF"/>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RS485接口、12VDC电源、-20℃～80℃ 或 -4°F～176°F测温范围、0～100%RH测湿范围、温度误差&lt;±0.5℃（在25℃时测试）、测湿误差&lt;±5%RH（在25℃时测试），对温湿度传感仪与嵌入式智能网关的通信协议进行转换。</w:t>
            </w:r>
          </w:p>
        </w:tc>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套</w:t>
            </w:r>
          </w:p>
        </w:tc>
        <w:tc>
          <w:tcPr>
            <w:tcW w:w="786"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7</w:t>
            </w:r>
          </w:p>
        </w:tc>
        <w:tc>
          <w:tcPr>
            <w:tcW w:w="1326" w:type="dxa"/>
            <w:shd w:val="clear" w:color="auto" w:fill="auto"/>
            <w:vAlign w:val="center"/>
          </w:tcPr>
          <w:p>
            <w:pPr>
              <w:widowControl/>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烟感智能监测系统</w:t>
            </w:r>
          </w:p>
        </w:tc>
        <w:tc>
          <w:tcPr>
            <w:tcW w:w="5444" w:type="dxa"/>
            <w:shd w:val="clear" w:color="000000" w:fill="FFFFFF"/>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静态电流： ≤200uA、报警电流： ≤20mA、工作温度： -10℃- +55℃、工作湿度： 10%-95%RH（无凝结）、抗风能力: 20m/s(不误报)，对烟感系统的通信协议进行转换检测。</w:t>
            </w:r>
          </w:p>
        </w:tc>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套</w:t>
            </w:r>
          </w:p>
        </w:tc>
        <w:tc>
          <w:tcPr>
            <w:tcW w:w="786"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8</w:t>
            </w:r>
          </w:p>
        </w:tc>
        <w:tc>
          <w:tcPr>
            <w:tcW w:w="1326" w:type="dxa"/>
            <w:shd w:val="clear" w:color="auto" w:fill="auto"/>
            <w:vAlign w:val="center"/>
          </w:tcPr>
          <w:p>
            <w:pPr>
              <w:widowControl/>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漏水检测仪协议软件</w:t>
            </w:r>
          </w:p>
        </w:tc>
        <w:tc>
          <w:tcPr>
            <w:tcW w:w="5444" w:type="dxa"/>
            <w:shd w:val="clear" w:color="auto" w:fill="auto"/>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带485智能端口，并支持干节点输出，输出形式常开常闭可选、12VDC电源、带指示灯告警，，包含双极检测探头，短路时阻抗&lt;50Ω，负载电压＜60V，负载电流＜30mA；静态电流：&lt;30mA；告警电流：&lt;65mA；</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工作环境：-10 ~ 55°C，10~98%RH；与MS-LKWATER-485-A定位式漏水监测仪配套使用，对漏水检测仪与嵌入式智能网关的通信协议进行转换；</w:t>
            </w:r>
          </w:p>
        </w:tc>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套</w:t>
            </w:r>
          </w:p>
        </w:tc>
        <w:tc>
          <w:tcPr>
            <w:tcW w:w="786"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9</w:t>
            </w:r>
          </w:p>
        </w:tc>
        <w:tc>
          <w:tcPr>
            <w:tcW w:w="1326" w:type="dxa"/>
            <w:shd w:val="clear" w:color="auto" w:fill="auto"/>
            <w:vAlign w:val="center"/>
          </w:tcPr>
          <w:p>
            <w:pPr>
              <w:widowControl/>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入侵智能监测系统</w:t>
            </w:r>
          </w:p>
        </w:tc>
        <w:tc>
          <w:tcPr>
            <w:tcW w:w="5444" w:type="dxa"/>
            <w:shd w:val="clear" w:color="000000" w:fill="FFFFFF"/>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工作电压：6-9VDC、消耗电流：18mA、探测距离：12m、探测角度：110 度，对入侵系统的通信协议进行转换检测。</w:t>
            </w:r>
          </w:p>
        </w:tc>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套</w:t>
            </w:r>
          </w:p>
        </w:tc>
        <w:tc>
          <w:tcPr>
            <w:tcW w:w="786"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10</w:t>
            </w:r>
          </w:p>
        </w:tc>
        <w:tc>
          <w:tcPr>
            <w:tcW w:w="1326" w:type="dxa"/>
            <w:shd w:val="clear" w:color="auto" w:fill="auto"/>
            <w:vAlign w:val="center"/>
          </w:tcPr>
          <w:p>
            <w:pPr>
              <w:widowControl/>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视频协议软件</w:t>
            </w:r>
          </w:p>
        </w:tc>
        <w:tc>
          <w:tcPr>
            <w:tcW w:w="5444" w:type="dxa"/>
            <w:shd w:val="clear" w:color="auto" w:fill="auto"/>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对网络摄像机SDK协议进行转换，支持200万高清监控摄像头 夜视红外高清网络摄像头、 4盘位NVR 1080P高清（机架式）4TB企业级监控录像专用硬盘  4路高清网络硬盘录像机的接入；</w:t>
            </w:r>
          </w:p>
        </w:tc>
        <w:tc>
          <w:tcPr>
            <w:tcW w:w="78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套</w:t>
            </w:r>
          </w:p>
        </w:tc>
        <w:tc>
          <w:tcPr>
            <w:tcW w:w="786"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w:t>
            </w:r>
          </w:p>
        </w:tc>
      </w:tr>
    </w:tbl>
    <w:p>
      <w:pPr>
        <w:widowControl/>
        <w:shd w:val="clear" w:color="auto" w:fill="FFFFFF"/>
        <w:wordWrap w:val="0"/>
        <w:spacing w:line="480" w:lineRule="auto"/>
        <w:ind w:firstLine="645"/>
        <w:jc w:val="left"/>
        <w:rPr>
          <w:rFonts w:cs="Arial" w:asciiTheme="minorEastAsia" w:hAnsiTheme="minorEastAsia"/>
          <w:color w:val="0C0C0C" w:themeColor="text1" w:themeTint="F2"/>
          <w:kern w:val="0"/>
          <w:sz w:val="24"/>
          <w:szCs w:val="24"/>
        </w:rPr>
      </w:pPr>
      <w:r>
        <w:rPr>
          <w:rFonts w:hint="eastAsia" w:cs="Arial" w:asciiTheme="minorEastAsia" w:hAnsiTheme="minorEastAsia"/>
          <w:color w:val="0C0C0C" w:themeColor="text1" w:themeTint="F2"/>
          <w:kern w:val="0"/>
          <w:sz w:val="24"/>
          <w:szCs w:val="24"/>
        </w:rPr>
        <w:t>（四）相关要求</w:t>
      </w:r>
    </w:p>
    <w:p>
      <w:pPr>
        <w:pStyle w:val="11"/>
        <w:widowControl/>
        <w:numPr>
          <w:ilvl w:val="0"/>
          <w:numId w:val="1"/>
        </w:numPr>
        <w:shd w:val="clear" w:color="auto" w:fill="FFFFFF"/>
        <w:spacing w:line="360" w:lineRule="auto"/>
        <w:ind w:left="0" w:firstLine="851" w:firstLineChars="0"/>
        <w:jc w:val="left"/>
        <w:rPr>
          <w:rFonts w:cs="Arial" w:asciiTheme="minorEastAsia" w:hAnsiTheme="minorEastAsia"/>
          <w:color w:val="0C0C0C" w:themeColor="text1" w:themeTint="F2"/>
          <w:kern w:val="0"/>
          <w:sz w:val="24"/>
          <w:szCs w:val="24"/>
        </w:rPr>
      </w:pPr>
      <w:r>
        <w:rPr>
          <w:rFonts w:hint="eastAsia" w:cs="Arial" w:asciiTheme="minorEastAsia" w:hAnsiTheme="minorEastAsia"/>
          <w:color w:val="0C0C0C" w:themeColor="text1" w:themeTint="F2"/>
          <w:kern w:val="0"/>
          <w:sz w:val="24"/>
          <w:szCs w:val="24"/>
        </w:rPr>
        <w:t>投标人所投产品需提供免费3年质保。</w:t>
      </w:r>
    </w:p>
    <w:p>
      <w:pPr>
        <w:pStyle w:val="11"/>
        <w:widowControl/>
        <w:numPr>
          <w:ilvl w:val="0"/>
          <w:numId w:val="1"/>
        </w:numPr>
        <w:shd w:val="clear" w:color="auto" w:fill="FFFFFF"/>
        <w:spacing w:line="360" w:lineRule="auto"/>
        <w:ind w:left="0" w:firstLine="851" w:firstLineChars="0"/>
        <w:jc w:val="left"/>
        <w:rPr>
          <w:rFonts w:cs="Arial" w:asciiTheme="minorEastAsia" w:hAnsiTheme="minorEastAsia"/>
          <w:color w:val="0C0C0C" w:themeColor="text1" w:themeTint="F2"/>
          <w:kern w:val="0"/>
          <w:sz w:val="24"/>
          <w:szCs w:val="24"/>
        </w:rPr>
      </w:pPr>
      <w:r>
        <w:rPr>
          <w:rFonts w:hint="eastAsia" w:cs="Arial" w:asciiTheme="minorEastAsia" w:hAnsiTheme="minorEastAsia"/>
          <w:color w:val="0C0C0C" w:themeColor="text1" w:themeTint="F2"/>
          <w:kern w:val="0"/>
          <w:sz w:val="24"/>
          <w:szCs w:val="24"/>
        </w:rPr>
        <w:t>投标人所投产品必须保证能与机房现有系统无缝对接，接受现有数据应用管理平台管理控制，实现统一管理、统一操作，互联互通互控。</w:t>
      </w:r>
    </w:p>
    <w:p>
      <w:pPr>
        <w:pStyle w:val="11"/>
        <w:widowControl/>
        <w:numPr>
          <w:ilvl w:val="0"/>
          <w:numId w:val="1"/>
        </w:numPr>
        <w:shd w:val="clear" w:color="auto" w:fill="FFFFFF"/>
        <w:spacing w:line="360" w:lineRule="auto"/>
        <w:ind w:left="0" w:firstLine="851" w:firstLineChars="0"/>
        <w:jc w:val="left"/>
        <w:rPr>
          <w:rFonts w:cs="Arial" w:asciiTheme="minorEastAsia" w:hAnsiTheme="minorEastAsia"/>
          <w:color w:val="0C0C0C" w:themeColor="text1" w:themeTint="F2"/>
          <w:kern w:val="0"/>
          <w:sz w:val="24"/>
          <w:szCs w:val="24"/>
        </w:rPr>
      </w:pPr>
      <w:r>
        <w:rPr>
          <w:rFonts w:hint="eastAsia" w:cs="Arial" w:asciiTheme="minorEastAsia" w:hAnsiTheme="minorEastAsia"/>
          <w:color w:val="0C0C0C" w:themeColor="text1" w:themeTint="F2"/>
          <w:kern w:val="0"/>
          <w:sz w:val="24"/>
          <w:szCs w:val="24"/>
          <w:lang w:eastAsia="zh-CN"/>
        </w:rPr>
        <w:t>核心产品：</w:t>
      </w:r>
      <w:r>
        <w:rPr>
          <w:rFonts w:hint="eastAsia" w:cs="Arial" w:asciiTheme="minorEastAsia" w:hAnsiTheme="minorEastAsia"/>
          <w:color w:val="0C0C0C" w:themeColor="text1" w:themeTint="F2"/>
          <w:kern w:val="0"/>
          <w:sz w:val="24"/>
          <w:szCs w:val="24"/>
        </w:rPr>
        <w:t>招标清单中</w:t>
      </w:r>
      <w:r>
        <w:rPr>
          <w:rFonts w:hint="eastAsia" w:ascii="宋体" w:hAnsi="宋体" w:eastAsia="宋体" w:cs="宋体"/>
          <w:color w:val="0C0C0C" w:themeColor="text1" w:themeTint="F2"/>
          <w:kern w:val="0"/>
          <w:sz w:val="24"/>
          <w:szCs w:val="24"/>
        </w:rPr>
        <w:t>机房精密空调室内机</w:t>
      </w:r>
      <w:r>
        <w:rPr>
          <w:rFonts w:hint="eastAsia" w:cs="Arial" w:asciiTheme="minorEastAsia" w:hAnsiTheme="minorEastAsia"/>
          <w:color w:val="0C0C0C" w:themeColor="text1" w:themeTint="F2"/>
          <w:kern w:val="0"/>
          <w:sz w:val="24"/>
          <w:szCs w:val="24"/>
        </w:rPr>
        <w:t>、</w:t>
      </w:r>
      <w:r>
        <w:rPr>
          <w:rFonts w:hint="eastAsia" w:ascii="宋体" w:hAnsi="宋体" w:eastAsia="宋体" w:cs="宋体"/>
          <w:color w:val="0C0C0C" w:themeColor="text1" w:themeTint="F2"/>
          <w:kern w:val="0"/>
          <w:sz w:val="24"/>
          <w:szCs w:val="24"/>
        </w:rPr>
        <w:t>机房精密空调室外机</w:t>
      </w:r>
      <w:r>
        <w:rPr>
          <w:rFonts w:hint="eastAsia" w:cs="Arial" w:asciiTheme="minorEastAsia" w:hAnsiTheme="minorEastAsia"/>
          <w:color w:val="0C0C0C" w:themeColor="text1" w:themeTint="F2"/>
          <w:kern w:val="0"/>
          <w:sz w:val="24"/>
          <w:szCs w:val="24"/>
        </w:rPr>
        <w:t>、</w:t>
      </w:r>
      <w:r>
        <w:rPr>
          <w:rFonts w:hint="eastAsia" w:ascii="宋体" w:hAnsi="宋体" w:eastAsia="宋体" w:cs="宋体"/>
          <w:color w:val="0C0C0C" w:themeColor="text1" w:themeTint="F2"/>
          <w:kern w:val="0"/>
          <w:sz w:val="24"/>
          <w:szCs w:val="24"/>
        </w:rPr>
        <w:t>UPS电源</w:t>
      </w:r>
      <w:r>
        <w:rPr>
          <w:rFonts w:hint="eastAsia" w:cs="Arial" w:asciiTheme="minorEastAsia" w:hAnsiTheme="minorEastAsia"/>
          <w:color w:val="0C0C0C" w:themeColor="text1" w:themeTint="F2"/>
          <w:kern w:val="0"/>
          <w:sz w:val="24"/>
          <w:szCs w:val="24"/>
        </w:rPr>
        <w:t>为核心产品。</w:t>
      </w:r>
    </w:p>
    <w:p>
      <w:pPr>
        <w:pStyle w:val="11"/>
        <w:widowControl/>
        <w:numPr>
          <w:ilvl w:val="0"/>
          <w:numId w:val="1"/>
        </w:numPr>
        <w:shd w:val="clear" w:color="auto" w:fill="FFFFFF"/>
        <w:spacing w:line="360" w:lineRule="auto"/>
        <w:ind w:left="0" w:firstLine="849" w:firstLineChars="354"/>
        <w:jc w:val="left"/>
        <w:rPr>
          <w:rFonts w:cs="Arial" w:asciiTheme="minorEastAsia" w:hAnsiTheme="minorEastAsia"/>
          <w:color w:val="0C0C0C" w:themeColor="text1" w:themeTint="F2"/>
          <w:kern w:val="0"/>
          <w:sz w:val="24"/>
          <w:szCs w:val="24"/>
        </w:rPr>
      </w:pPr>
      <w:r>
        <w:rPr>
          <w:rFonts w:hint="eastAsia" w:cs="Arial" w:asciiTheme="minorEastAsia" w:hAnsiTheme="minorEastAsia"/>
          <w:color w:val="0C0C0C" w:themeColor="text1" w:themeTint="F2"/>
          <w:kern w:val="0"/>
          <w:sz w:val="24"/>
          <w:szCs w:val="24"/>
        </w:rPr>
        <w:t>验收标准：达到验收标准后，采购人经办部门及纪检部门邀请相关专家评委联合验收。</w:t>
      </w:r>
    </w:p>
    <w:p>
      <w:pPr>
        <w:widowControl/>
        <w:shd w:val="clear" w:color="auto" w:fill="FFFFFF"/>
        <w:spacing w:line="525" w:lineRule="atLeast"/>
        <w:ind w:firstLine="645"/>
        <w:rPr>
          <w:rFonts w:cs="Arial" w:asciiTheme="minorEastAsia" w:hAnsiTheme="minorEastAsia"/>
          <w:color w:val="0C0C0C" w:themeColor="text1" w:themeTint="F2"/>
          <w:kern w:val="0"/>
          <w:sz w:val="24"/>
          <w:szCs w:val="24"/>
        </w:rPr>
      </w:pPr>
      <w:r>
        <w:rPr>
          <w:rFonts w:hint="eastAsia" w:cs="Arial" w:asciiTheme="minorEastAsia" w:hAnsiTheme="minorEastAsia"/>
          <w:color w:val="0C0C0C" w:themeColor="text1" w:themeTint="F2"/>
          <w:kern w:val="0"/>
          <w:sz w:val="24"/>
          <w:szCs w:val="24"/>
        </w:rPr>
        <w:t>（六）付款方式</w:t>
      </w:r>
    </w:p>
    <w:p>
      <w:pPr>
        <w:widowControl/>
        <w:shd w:val="clear" w:color="auto" w:fill="FFFFFF"/>
        <w:wordWrap w:val="0"/>
        <w:spacing w:line="525" w:lineRule="atLeast"/>
        <w:ind w:firstLine="555"/>
        <w:jc w:val="left"/>
        <w:rPr>
          <w:rFonts w:cs="Arial" w:asciiTheme="minorEastAsia" w:hAnsiTheme="minorEastAsia"/>
          <w:color w:val="0C0C0C" w:themeColor="text1" w:themeTint="F2"/>
          <w:kern w:val="0"/>
          <w:sz w:val="24"/>
          <w:szCs w:val="24"/>
        </w:rPr>
      </w:pPr>
      <w:r>
        <w:rPr>
          <w:rFonts w:hint="eastAsia" w:cs="Arial" w:asciiTheme="minorEastAsia" w:hAnsiTheme="minorEastAsia"/>
          <w:color w:val="0C0C0C" w:themeColor="text1" w:themeTint="F2"/>
          <w:kern w:val="0"/>
          <w:sz w:val="24"/>
          <w:szCs w:val="24"/>
        </w:rPr>
        <w:t>经验收合格付合同总价款的95%，剩余5%满半年无质量问题一次付清。</w:t>
      </w:r>
    </w:p>
    <w:p>
      <w:pPr>
        <w:widowControl/>
        <w:shd w:val="clear" w:color="auto" w:fill="FFFFFF"/>
        <w:wordWrap w:val="0"/>
        <w:spacing w:line="525" w:lineRule="atLeast"/>
        <w:ind w:left="420"/>
        <w:jc w:val="left"/>
        <w:rPr>
          <w:rFonts w:cs="Arial" w:asciiTheme="minorEastAsia" w:hAnsiTheme="minorEastAsia"/>
          <w:color w:val="0C0C0C" w:themeColor="text1" w:themeTint="F2"/>
          <w:kern w:val="0"/>
          <w:sz w:val="24"/>
          <w:szCs w:val="24"/>
        </w:rPr>
      </w:pPr>
      <w:r>
        <w:rPr>
          <w:rFonts w:cs="Arial" w:asciiTheme="minorEastAsia" w:hAnsiTheme="minorEastAsia"/>
          <w:color w:val="0C0C0C" w:themeColor="text1" w:themeTint="F2"/>
          <w:kern w:val="0"/>
          <w:sz w:val="24"/>
          <w:szCs w:val="24"/>
        </w:rPr>
        <w:t> </w:t>
      </w:r>
      <w:r>
        <w:rPr>
          <w:rFonts w:hint="eastAsia" w:cs="Arial" w:asciiTheme="minorEastAsia" w:hAnsiTheme="minorEastAsia"/>
          <w:color w:val="0C0C0C" w:themeColor="text1" w:themeTint="F2"/>
          <w:kern w:val="0"/>
          <w:sz w:val="24"/>
          <w:szCs w:val="24"/>
        </w:rPr>
        <w:t>（七）采购单位联系方式及地址</w:t>
      </w:r>
    </w:p>
    <w:p>
      <w:pPr>
        <w:widowControl/>
        <w:shd w:val="clear" w:color="auto" w:fill="FFFFFF"/>
        <w:spacing w:line="525"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     联系人：陈先生        联系电话：0374-2929015</w:t>
      </w:r>
    </w:p>
    <w:p>
      <w:pPr>
        <w:rPr>
          <w:rFonts w:asciiTheme="minorEastAsia" w:hAnsiTheme="minorEastAsia"/>
          <w:color w:val="0C0C0C" w:themeColor="text1" w:themeTint="F2"/>
          <w:sz w:val="24"/>
          <w:szCs w:val="24"/>
        </w:rPr>
      </w:pPr>
    </w:p>
    <w:p>
      <w:pPr>
        <w:widowControl/>
        <w:shd w:val="clear" w:color="auto" w:fill="FFFFFF"/>
        <w:spacing w:line="360" w:lineRule="auto"/>
        <w:ind w:firstLine="645"/>
        <w:jc w:val="left"/>
        <w:rPr>
          <w:rFonts w:cs="Arial" w:asciiTheme="minorEastAsia" w:hAnsiTheme="minorEastAsia"/>
          <w:color w:val="0C0C0C" w:themeColor="text1" w:themeTint="F2"/>
          <w:kern w:val="0"/>
          <w:sz w:val="24"/>
          <w:szCs w:val="24"/>
        </w:rPr>
      </w:pPr>
      <w:r>
        <w:rPr>
          <w:rFonts w:hint="eastAsia" w:cs="Arial" w:asciiTheme="minorEastAsia" w:hAnsiTheme="minorEastAsia"/>
          <w:color w:val="0C0C0C" w:themeColor="text1" w:themeTint="F2"/>
          <w:kern w:val="0"/>
          <w:sz w:val="24"/>
          <w:szCs w:val="24"/>
        </w:rPr>
        <w:t>（五）评分标准</w:t>
      </w:r>
    </w:p>
    <w:p>
      <w:pPr>
        <w:widowControl/>
        <w:shd w:val="clear" w:color="auto" w:fill="FFFFFF"/>
        <w:wordWrap w:val="0"/>
        <w:spacing w:line="480" w:lineRule="auto"/>
        <w:ind w:firstLine="645"/>
        <w:jc w:val="left"/>
        <w:rPr>
          <w:rFonts w:cs="Arial" w:asciiTheme="minorEastAsia" w:hAnsiTheme="minorEastAsia"/>
          <w:color w:val="0C0C0C" w:themeColor="text1" w:themeTint="F2"/>
          <w:kern w:val="0"/>
          <w:sz w:val="24"/>
          <w:szCs w:val="24"/>
        </w:rPr>
      </w:pPr>
      <w:r>
        <w:rPr>
          <w:rFonts w:hint="eastAsia" w:cs="Arial" w:asciiTheme="minorEastAsia" w:hAnsiTheme="minorEastAsia"/>
          <w:color w:val="0C0C0C" w:themeColor="text1" w:themeTint="F2"/>
          <w:kern w:val="0"/>
          <w:sz w:val="24"/>
          <w:szCs w:val="24"/>
        </w:rPr>
        <w:t>采用综合评分法。</w:t>
      </w:r>
    </w:p>
    <w:tbl>
      <w:tblPr>
        <w:tblStyle w:val="8"/>
        <w:tblW w:w="9069" w:type="dxa"/>
        <w:jc w:val="center"/>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048"/>
        <w:gridCol w:w="791"/>
        <w:gridCol w:w="6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129" w:type="dxa"/>
            <w:gridSpan w:val="2"/>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评分内容</w:t>
            </w:r>
          </w:p>
        </w:tc>
        <w:tc>
          <w:tcPr>
            <w:tcW w:w="791"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分值</w:t>
            </w:r>
          </w:p>
        </w:tc>
        <w:tc>
          <w:tcPr>
            <w:tcW w:w="614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1081"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价格部分（30分）</w:t>
            </w:r>
          </w:p>
        </w:tc>
        <w:tc>
          <w:tcPr>
            <w:tcW w:w="1048"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投标报价</w:t>
            </w:r>
          </w:p>
        </w:tc>
        <w:tc>
          <w:tcPr>
            <w:tcW w:w="791"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30</w:t>
            </w:r>
          </w:p>
        </w:tc>
        <w:tc>
          <w:tcPr>
            <w:tcW w:w="6149" w:type="dxa"/>
            <w:shd w:val="clear" w:color="auto" w:fill="auto"/>
            <w:vAlign w:val="center"/>
          </w:tcPr>
          <w:p>
            <w:pPr>
              <w:widowControl/>
              <w:wordWrap w:val="0"/>
              <w:jc w:val="left"/>
              <w:rPr>
                <w:rFonts w:cs="仿宋_GB2312" w:asciiTheme="minorEastAsia" w:hAnsiTheme="minorEastAsia"/>
                <w:color w:val="0C0C0C" w:themeColor="text1" w:themeTint="F2"/>
                <w:kern w:val="0"/>
                <w:sz w:val="24"/>
                <w:szCs w:val="24"/>
              </w:rPr>
            </w:pPr>
            <w:r>
              <w:rPr>
                <w:rFonts w:hint="eastAsia" w:cs="仿宋_GB2312" w:asciiTheme="minorEastAsia" w:hAnsiTheme="minorEastAsia"/>
                <w:color w:val="0C0C0C" w:themeColor="text1" w:themeTint="F2"/>
                <w:kern w:val="0"/>
                <w:sz w:val="24"/>
                <w:szCs w:val="24"/>
              </w:rPr>
              <w:t>（1）以进入评标的最低的评标报价为30分</w:t>
            </w:r>
          </w:p>
          <w:p>
            <w:pPr>
              <w:widowControl/>
              <w:wordWrap w:val="0"/>
              <w:jc w:val="left"/>
              <w:rPr>
                <w:rFonts w:cs="仿宋_GB2312" w:asciiTheme="minorEastAsia" w:hAnsiTheme="minorEastAsia"/>
                <w:color w:val="0C0C0C" w:themeColor="text1" w:themeTint="F2"/>
                <w:kern w:val="0"/>
                <w:sz w:val="24"/>
                <w:szCs w:val="24"/>
              </w:rPr>
            </w:pPr>
            <w:r>
              <w:rPr>
                <w:rFonts w:hint="eastAsia" w:cs="仿宋_GB2312" w:asciiTheme="minorEastAsia" w:hAnsiTheme="minorEastAsia"/>
                <w:color w:val="0C0C0C" w:themeColor="text1" w:themeTint="F2"/>
                <w:kern w:val="0"/>
                <w:sz w:val="24"/>
                <w:szCs w:val="24"/>
              </w:rPr>
              <w:t>（2）评标基准价=有效投标人的最低报价</w:t>
            </w:r>
          </w:p>
          <w:p>
            <w:pPr>
              <w:widowControl/>
              <w:jc w:val="left"/>
              <w:rPr>
                <w:rFonts w:ascii="宋体" w:hAnsi="宋体" w:eastAsia="宋体" w:cs="宋体"/>
                <w:color w:val="0C0C0C" w:themeColor="text1" w:themeTint="F2"/>
                <w:kern w:val="0"/>
                <w:sz w:val="24"/>
                <w:szCs w:val="24"/>
              </w:rPr>
            </w:pPr>
            <w:r>
              <w:rPr>
                <w:rFonts w:hint="eastAsia" w:cs="仿宋_GB2312" w:asciiTheme="minorEastAsia" w:hAnsiTheme="minorEastAsia"/>
                <w:color w:val="0C0C0C" w:themeColor="text1" w:themeTint="F2"/>
                <w:kern w:val="0"/>
                <w:sz w:val="24"/>
                <w:szCs w:val="24"/>
              </w:rPr>
              <w:t>（3）价格得分＝（最低投标人评标价格/投标人评标价格）×30（小数点后保留两位）。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081" w:type="dxa"/>
            <w:vMerge w:val="restart"/>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商务部分（38分）</w:t>
            </w:r>
          </w:p>
        </w:tc>
        <w:tc>
          <w:tcPr>
            <w:tcW w:w="1048"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信誉</w:t>
            </w:r>
          </w:p>
        </w:tc>
        <w:tc>
          <w:tcPr>
            <w:tcW w:w="791"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5</w:t>
            </w:r>
          </w:p>
        </w:tc>
        <w:tc>
          <w:tcPr>
            <w:tcW w:w="6149" w:type="dxa"/>
            <w:shd w:val="clear" w:color="auto" w:fill="auto"/>
            <w:vAlign w:val="center"/>
          </w:tcPr>
          <w:p>
            <w:pPr>
              <w:widowControl/>
              <w:jc w:val="left"/>
              <w:rPr>
                <w:rFonts w:ascii="宋体" w:hAnsi="宋体" w:eastAsia="宋体" w:cs="宋体"/>
                <w:color w:val="0C0C0C" w:themeColor="text1" w:themeTint="F2"/>
                <w:kern w:val="0"/>
                <w:sz w:val="24"/>
                <w:szCs w:val="24"/>
              </w:rPr>
            </w:pPr>
            <w:r>
              <w:rPr>
                <w:rFonts w:ascii="宋体" w:hAnsi="宋体" w:eastAsia="宋体" w:cs="Times New Roman"/>
                <w:color w:val="0C0C0C" w:themeColor="text1" w:themeTint="F2"/>
                <w:kern w:val="0"/>
                <w:sz w:val="24"/>
                <w:szCs w:val="24"/>
              </w:rPr>
              <w:t>1.</w:t>
            </w:r>
            <w:r>
              <w:rPr>
                <w:rFonts w:hint="eastAsia" w:ascii="宋体" w:hAnsi="宋体" w:eastAsia="宋体" w:cs="宋体"/>
                <w:color w:val="0C0C0C" w:themeColor="text1" w:themeTint="F2"/>
                <w:kern w:val="0"/>
                <w:sz w:val="24"/>
                <w:szCs w:val="24"/>
              </w:rPr>
              <w:t>投标人须提供工商企业信用信息公示报告【国家企业信用信息公示系统</w:t>
            </w:r>
            <w:r>
              <w:rPr>
                <w:rFonts w:ascii="宋体" w:hAnsi="宋体" w:eastAsia="宋体" w:cs="Times New Roman"/>
                <w:color w:val="0C0C0C" w:themeColor="text1" w:themeTint="F2"/>
                <w:kern w:val="0"/>
                <w:sz w:val="24"/>
                <w:szCs w:val="24"/>
              </w:rPr>
              <w:t>http://www.gsxt.gov.cn</w:t>
            </w:r>
            <w:r>
              <w:rPr>
                <w:rFonts w:hint="eastAsia" w:ascii="宋体" w:hAnsi="宋体" w:eastAsia="宋体" w:cs="宋体"/>
                <w:color w:val="0C0C0C" w:themeColor="text1" w:themeTint="F2"/>
                <w:kern w:val="0"/>
                <w:sz w:val="24"/>
                <w:szCs w:val="24"/>
              </w:rPr>
              <w:t>，包括基础信息、行政许可信息、行政处罚信息、列入经营异常名录信息、列入严重违法失信企业名单（黑名单））信息】、企业所在地税务主管部门出具的纳税情况证明等信用情况（加盖企业所在地税务主管部门公章），无不良信息者每项得</w:t>
            </w:r>
            <w:r>
              <w:rPr>
                <w:rFonts w:ascii="宋体" w:hAnsi="宋体" w:eastAsia="宋体" w:cs="Times New Roman"/>
                <w:color w:val="0C0C0C" w:themeColor="text1" w:themeTint="F2"/>
                <w:kern w:val="0"/>
                <w:sz w:val="24"/>
                <w:szCs w:val="24"/>
              </w:rPr>
              <w:t>1</w:t>
            </w:r>
            <w:r>
              <w:rPr>
                <w:rFonts w:hint="eastAsia" w:ascii="宋体" w:hAnsi="宋体" w:eastAsia="宋体" w:cs="宋体"/>
                <w:color w:val="0C0C0C" w:themeColor="text1" w:themeTint="F2"/>
                <w:kern w:val="0"/>
                <w:sz w:val="24"/>
                <w:szCs w:val="24"/>
              </w:rPr>
              <w:t>分，未提供或有不良信息者不得分。此项最高得</w:t>
            </w:r>
            <w:r>
              <w:rPr>
                <w:rFonts w:ascii="宋体" w:hAnsi="宋体" w:eastAsia="宋体" w:cs="Times New Roman"/>
                <w:color w:val="0C0C0C" w:themeColor="text1" w:themeTint="F2"/>
                <w:kern w:val="0"/>
                <w:sz w:val="24"/>
                <w:szCs w:val="24"/>
              </w:rPr>
              <w:t>2</w:t>
            </w:r>
            <w:r>
              <w:rPr>
                <w:rFonts w:hint="eastAsia" w:ascii="宋体" w:hAnsi="宋体" w:eastAsia="宋体" w:cs="宋体"/>
                <w:color w:val="0C0C0C" w:themeColor="text1" w:themeTint="F2"/>
                <w:kern w:val="0"/>
                <w:sz w:val="24"/>
                <w:szCs w:val="24"/>
              </w:rPr>
              <w:t>分；</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2.投标人取得</w:t>
            </w:r>
            <w:r>
              <w:rPr>
                <w:rFonts w:hint="eastAsia" w:cs="仿宋_GB2312" w:asciiTheme="minorEastAsia" w:hAnsiTheme="minorEastAsia"/>
                <w:color w:val="0C0C0C" w:themeColor="text1" w:themeTint="F2"/>
                <w:kern w:val="0"/>
                <w:sz w:val="24"/>
                <w:szCs w:val="24"/>
              </w:rPr>
              <w:t>省级及以上主管部门</w:t>
            </w:r>
            <w:bookmarkStart w:id="0" w:name="_GoBack"/>
            <w:bookmarkEnd w:id="0"/>
            <w:r>
              <w:rPr>
                <w:rFonts w:hint="eastAsia" w:ascii="宋体" w:hAnsi="宋体" w:eastAsia="宋体" w:cs="宋体"/>
                <w:color w:val="0C0C0C" w:themeColor="text1" w:themeTint="F2"/>
                <w:kern w:val="0"/>
                <w:sz w:val="24"/>
                <w:szCs w:val="24"/>
              </w:rPr>
              <w:t>或认证机构颁发的的</w:t>
            </w:r>
            <w:r>
              <w:rPr>
                <w:rFonts w:hint="eastAsia" w:cs="仿宋_GB2312" w:asciiTheme="minorEastAsia" w:hAnsiTheme="minorEastAsia"/>
                <w:color w:val="0C0C0C" w:themeColor="text1" w:themeTint="F2"/>
                <w:kern w:val="0"/>
                <w:sz w:val="24"/>
                <w:szCs w:val="24"/>
              </w:rPr>
              <w:t>信用等级为AAA</w:t>
            </w:r>
            <w:r>
              <w:rPr>
                <w:rFonts w:hint="eastAsia" w:ascii="宋体" w:hAnsi="宋体" w:eastAsia="宋体" w:cs="宋体"/>
                <w:color w:val="0C0C0C" w:themeColor="text1" w:themeTint="F2"/>
                <w:kern w:val="0"/>
                <w:sz w:val="24"/>
                <w:szCs w:val="24"/>
              </w:rPr>
              <w:t>级信用企业的得3分；为AA级的得2分；为A级的得1分。投标人须在投标文件中附信用等级证书复印件。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1081" w:type="dxa"/>
            <w:vMerge w:val="continue"/>
            <w:vAlign w:val="center"/>
          </w:tcPr>
          <w:p>
            <w:pPr>
              <w:widowControl/>
              <w:jc w:val="left"/>
              <w:rPr>
                <w:rFonts w:ascii="宋体" w:hAnsi="宋体" w:eastAsia="宋体" w:cs="宋体"/>
                <w:color w:val="0C0C0C" w:themeColor="text1" w:themeTint="F2"/>
                <w:kern w:val="0"/>
                <w:sz w:val="24"/>
                <w:szCs w:val="24"/>
              </w:rPr>
            </w:pPr>
          </w:p>
        </w:tc>
        <w:tc>
          <w:tcPr>
            <w:tcW w:w="1048"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要求</w:t>
            </w:r>
          </w:p>
        </w:tc>
        <w:tc>
          <w:tcPr>
            <w:tcW w:w="791"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9</w:t>
            </w:r>
          </w:p>
        </w:tc>
        <w:tc>
          <w:tcPr>
            <w:tcW w:w="6149" w:type="dxa"/>
            <w:shd w:val="clear" w:color="auto" w:fill="auto"/>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1.所投空调设备与现有空调进行联动备份，提供专业的联动方案和联动方式的得3分，没有提供的不得分。（提供技术彩页资料，否则不得分）</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2.所投空调级群控可实现与现有空调进行空调群控服务联动备份功能的得3分，不能实现空调级群控功能的不得分；(提供彩页资料，否则不得分)</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3. 所投动力环境监测系统按照机房系统升级的要求，投标人提供现场环境及设备进行升级化方案设计，出具机房系统升级的现场设备布局图（3D平面图），及机房动环监控系统平台软件实现集中监控的功能界面图；提供以上界面图的得3分，不是按照现场环境提供的界面图不得分。(提供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081" w:type="dxa"/>
            <w:vMerge w:val="continue"/>
            <w:vAlign w:val="center"/>
          </w:tcPr>
          <w:p>
            <w:pPr>
              <w:widowControl/>
              <w:jc w:val="left"/>
              <w:rPr>
                <w:rFonts w:ascii="宋体" w:hAnsi="宋体" w:eastAsia="宋体" w:cs="宋体"/>
                <w:color w:val="0C0C0C" w:themeColor="text1" w:themeTint="F2"/>
                <w:kern w:val="0"/>
                <w:sz w:val="24"/>
                <w:szCs w:val="24"/>
              </w:rPr>
            </w:pPr>
          </w:p>
        </w:tc>
        <w:tc>
          <w:tcPr>
            <w:tcW w:w="1048"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认证证书</w:t>
            </w:r>
          </w:p>
        </w:tc>
        <w:tc>
          <w:tcPr>
            <w:tcW w:w="791"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12</w:t>
            </w:r>
          </w:p>
        </w:tc>
        <w:tc>
          <w:tcPr>
            <w:tcW w:w="6149" w:type="dxa"/>
            <w:shd w:val="clear" w:color="auto" w:fill="auto"/>
            <w:vAlign w:val="center"/>
          </w:tcPr>
          <w:p>
            <w:pPr>
              <w:widowControl/>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1.投标人具有质量管理体系认证证书、环境管理体系认证证书、职业健康安全管理体系认证证书的每有一项得1分，最高得3分；</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2.根据投标人在本项目以前社会对其认可度以及行政主管部门、工商、银行、行业部门颁发的荣誉证书等情况评定，基本分1分，每提供一份证书加1分，满分3分；</w:t>
            </w:r>
            <w:r>
              <w:rPr>
                <w:rFonts w:hint="eastAsia" w:ascii="宋体" w:hAnsi="宋体" w:eastAsia="宋体" w:cs="宋体"/>
                <w:color w:val="0C0C0C" w:themeColor="text1" w:themeTint="F2"/>
                <w:kern w:val="0"/>
                <w:sz w:val="24"/>
                <w:szCs w:val="24"/>
              </w:rPr>
              <w:br w:type="textWrapping"/>
            </w:r>
            <w:r>
              <w:rPr>
                <w:rFonts w:hint="eastAsia" w:ascii="宋体" w:hAnsi="宋体" w:eastAsia="宋体" w:cs="宋体"/>
                <w:color w:val="0C0C0C" w:themeColor="text1" w:themeTint="F2"/>
                <w:kern w:val="0"/>
                <w:sz w:val="24"/>
                <w:szCs w:val="24"/>
              </w:rPr>
              <w:t>3.投标人具有中华人民共和国国家版权局颁发的“智慧法院信息化管理平台软件”的得3分；</w:t>
            </w:r>
          </w:p>
          <w:p>
            <w:pPr>
              <w:widowControl/>
              <w:jc w:val="left"/>
              <w:rPr>
                <w:rFonts w:ascii="宋体" w:hAnsi="宋体" w:eastAsia="宋体" w:cs="宋体"/>
                <w:color w:val="FF0000"/>
                <w:kern w:val="0"/>
                <w:sz w:val="24"/>
                <w:szCs w:val="24"/>
              </w:rPr>
            </w:pPr>
            <w:r>
              <w:rPr>
                <w:rFonts w:hint="eastAsia" w:ascii="宋体" w:hAnsi="宋体" w:eastAsia="宋体" w:cs="宋体"/>
                <w:color w:val="0C0C0C" w:themeColor="text1" w:themeTint="F2"/>
                <w:kern w:val="0"/>
                <w:sz w:val="24"/>
                <w:szCs w:val="24"/>
              </w:rPr>
              <w:t>4.投标人具有中华人民共和国国家版权局颁发的“智慧机房管理平台软件”的得3分；</w:t>
            </w:r>
          </w:p>
          <w:p>
            <w:pPr>
              <w:widowControl/>
              <w:jc w:val="left"/>
              <w:rPr>
                <w:rFonts w:ascii="宋体" w:hAnsi="宋体" w:eastAsia="宋体" w:cs="宋体"/>
                <w:color w:val="0C0C0C" w:themeColor="text1" w:themeTint="F2"/>
                <w:kern w:val="0"/>
                <w:sz w:val="24"/>
                <w:szCs w:val="24"/>
              </w:rPr>
            </w:pPr>
            <w:r>
              <w:rPr>
                <w:rFonts w:hint="eastAsia" w:ascii="宋体" w:hAnsi="宋体" w:eastAsia="宋体" w:cs="宋体"/>
                <w:b/>
                <w:color w:val="0C0C0C" w:themeColor="text1" w:themeTint="F2"/>
                <w:kern w:val="0"/>
                <w:sz w:val="24"/>
                <w:szCs w:val="24"/>
              </w:rPr>
              <w:t>备注：以上证明资料必须清晰、完整，否则不得分。投标人须在投标文件中附证书复印件加盖投标企业公章，并在评标时出具相应的原件查验，否则不得分。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081" w:type="dxa"/>
            <w:vMerge w:val="continue"/>
            <w:vAlign w:val="center"/>
          </w:tcPr>
          <w:p>
            <w:pPr>
              <w:widowControl/>
              <w:jc w:val="left"/>
              <w:rPr>
                <w:rFonts w:ascii="宋体" w:hAnsi="宋体" w:eastAsia="宋体" w:cs="宋体"/>
                <w:color w:val="0C0C0C" w:themeColor="text1" w:themeTint="F2"/>
                <w:kern w:val="0"/>
                <w:sz w:val="24"/>
                <w:szCs w:val="24"/>
              </w:rPr>
            </w:pPr>
          </w:p>
        </w:tc>
        <w:tc>
          <w:tcPr>
            <w:tcW w:w="1048" w:type="dxa"/>
            <w:shd w:val="clear" w:color="auto" w:fill="auto"/>
            <w:vAlign w:val="center"/>
          </w:tcPr>
          <w:p>
            <w:pPr>
              <w:widowControl/>
              <w:wordWrap w:val="0"/>
              <w:jc w:val="center"/>
              <w:rPr>
                <w:rFonts w:cs="仿宋_GB2312" w:asciiTheme="minorEastAsia" w:hAnsiTheme="minorEastAsia"/>
                <w:color w:val="0C0C0C" w:themeColor="text1" w:themeTint="F2"/>
                <w:kern w:val="0"/>
                <w:sz w:val="24"/>
                <w:szCs w:val="24"/>
              </w:rPr>
            </w:pPr>
            <w:r>
              <w:rPr>
                <w:rFonts w:hint="eastAsia" w:cs="仿宋_GB2312" w:asciiTheme="minorEastAsia" w:hAnsiTheme="minorEastAsia"/>
                <w:color w:val="0C0C0C" w:themeColor="text1" w:themeTint="F2"/>
                <w:kern w:val="0"/>
                <w:sz w:val="24"/>
                <w:szCs w:val="24"/>
              </w:rPr>
              <w:t>业绩</w:t>
            </w:r>
          </w:p>
        </w:tc>
        <w:tc>
          <w:tcPr>
            <w:tcW w:w="791" w:type="dxa"/>
            <w:shd w:val="clear" w:color="auto" w:fill="auto"/>
            <w:vAlign w:val="center"/>
          </w:tcPr>
          <w:p>
            <w:pPr>
              <w:widowControl/>
              <w:wordWrap w:val="0"/>
              <w:jc w:val="center"/>
              <w:rPr>
                <w:rFonts w:cs="仿宋_GB2312" w:asciiTheme="minorEastAsia" w:hAnsiTheme="minorEastAsia"/>
                <w:color w:val="0C0C0C" w:themeColor="text1" w:themeTint="F2"/>
                <w:kern w:val="0"/>
                <w:sz w:val="24"/>
                <w:szCs w:val="24"/>
              </w:rPr>
            </w:pPr>
            <w:r>
              <w:rPr>
                <w:rFonts w:hint="eastAsia" w:cs="仿宋_GB2312" w:asciiTheme="minorEastAsia" w:hAnsiTheme="minorEastAsia"/>
                <w:color w:val="0C0C0C" w:themeColor="text1" w:themeTint="F2"/>
                <w:kern w:val="0"/>
                <w:sz w:val="24"/>
                <w:szCs w:val="24"/>
              </w:rPr>
              <w:t>12</w:t>
            </w:r>
          </w:p>
        </w:tc>
        <w:tc>
          <w:tcPr>
            <w:tcW w:w="6149" w:type="dxa"/>
            <w:shd w:val="clear" w:color="auto" w:fill="auto"/>
            <w:vAlign w:val="center"/>
          </w:tcPr>
          <w:p>
            <w:pPr>
              <w:pStyle w:val="11"/>
              <w:widowControl/>
              <w:wordWrap w:val="0"/>
              <w:ind w:firstLine="0" w:firstLineChars="0"/>
              <w:jc w:val="left"/>
              <w:rPr>
                <w:rFonts w:cs="仿宋_GB2312" w:asciiTheme="minorEastAsia" w:hAnsiTheme="minorEastAsia"/>
                <w:color w:val="0C0C0C" w:themeColor="text1" w:themeTint="F2"/>
                <w:kern w:val="0"/>
                <w:sz w:val="24"/>
                <w:szCs w:val="24"/>
              </w:rPr>
            </w:pPr>
            <w:r>
              <w:rPr>
                <w:rFonts w:hint="eastAsia" w:cs="仿宋_GB2312" w:asciiTheme="minorEastAsia" w:hAnsiTheme="minorEastAsia"/>
                <w:color w:val="0C0C0C" w:themeColor="text1" w:themeTint="F2"/>
                <w:kern w:val="0"/>
                <w:sz w:val="24"/>
                <w:szCs w:val="24"/>
              </w:rPr>
              <w:t>投标人具有2014年1月1日以来类似项目</w:t>
            </w:r>
            <w:r>
              <w:rPr>
                <w:rFonts w:hint="eastAsia" w:cs="仿宋_GB2312" w:asciiTheme="minorEastAsia" w:hAnsiTheme="minorEastAsia"/>
                <w:color w:val="000000" w:themeColor="text1"/>
                <w:kern w:val="0"/>
                <w:sz w:val="24"/>
                <w:szCs w:val="24"/>
              </w:rPr>
              <w:t>且合同金额40万元以上的业绩的</w:t>
            </w:r>
            <w:r>
              <w:rPr>
                <w:rFonts w:hint="eastAsia" w:cs="仿宋_GB2312" w:asciiTheme="minorEastAsia" w:hAnsiTheme="minorEastAsia"/>
                <w:color w:val="0C0C0C" w:themeColor="text1" w:themeTint="F2"/>
                <w:kern w:val="0"/>
                <w:sz w:val="24"/>
                <w:szCs w:val="24"/>
              </w:rPr>
              <w:t>，每提供一个得3分，最高得分12分，以合同签订日期为准。</w:t>
            </w:r>
          </w:p>
          <w:p>
            <w:pPr>
              <w:pStyle w:val="11"/>
              <w:widowControl/>
              <w:wordWrap w:val="0"/>
              <w:ind w:firstLine="240" w:firstLineChars="100"/>
              <w:jc w:val="left"/>
              <w:rPr>
                <w:rFonts w:cs="仿宋_GB2312" w:asciiTheme="minorEastAsia" w:hAnsiTheme="minorEastAsia"/>
                <w:color w:val="0C0C0C" w:themeColor="text1" w:themeTint="F2"/>
                <w:kern w:val="0"/>
                <w:sz w:val="24"/>
                <w:szCs w:val="24"/>
              </w:rPr>
            </w:pPr>
            <w:r>
              <w:rPr>
                <w:rFonts w:hint="eastAsia" w:cs="仿宋_GB2312" w:asciiTheme="minorEastAsia" w:hAnsiTheme="minorEastAsia"/>
                <w:color w:val="0C0C0C" w:themeColor="text1" w:themeTint="F2"/>
                <w:kern w:val="0"/>
                <w:sz w:val="24"/>
                <w:szCs w:val="24"/>
              </w:rPr>
              <w:t>投标人须在投标文件中附合同及中标通知书复印件，并在评标时出具相应的原件查验，否则不得分。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81"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响应程度（27分）</w:t>
            </w:r>
          </w:p>
        </w:tc>
        <w:tc>
          <w:tcPr>
            <w:tcW w:w="1048"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产品响应程度</w:t>
            </w:r>
          </w:p>
        </w:tc>
        <w:tc>
          <w:tcPr>
            <w:tcW w:w="791"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27</w:t>
            </w:r>
          </w:p>
        </w:tc>
        <w:tc>
          <w:tcPr>
            <w:tcW w:w="6149" w:type="dxa"/>
            <w:shd w:val="clear" w:color="auto" w:fill="auto"/>
            <w:vAlign w:val="center"/>
          </w:tcPr>
          <w:p>
            <w:pPr>
              <w:pStyle w:val="12"/>
              <w:widowControl/>
              <w:numPr>
                <w:ilvl w:val="0"/>
                <w:numId w:val="2"/>
              </w:numPr>
              <w:ind w:firstLineChars="0"/>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所投空调设备加湿系统具有先进节能的红外加湿系统得3分，不具备的不得分。（提供产品彩页资料，否则不得分）</w:t>
            </w:r>
          </w:p>
          <w:p>
            <w:pPr>
              <w:pStyle w:val="12"/>
              <w:widowControl/>
              <w:numPr>
                <w:ilvl w:val="0"/>
                <w:numId w:val="2"/>
              </w:numPr>
              <w:ind w:firstLineChars="0"/>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所投UPS电源为保证产品的安全性能，生产厂商具有市级及以上安全生产管理协会颁发的“安全生产标准化三级企业”证书的得3分，二级企业证书的得2分，一级企业证书的得1分，没有的不得分；(提供证明资料复印件)</w:t>
            </w:r>
          </w:p>
          <w:p>
            <w:pPr>
              <w:pStyle w:val="12"/>
              <w:widowControl/>
              <w:numPr>
                <w:ilvl w:val="0"/>
                <w:numId w:val="2"/>
              </w:numPr>
              <w:ind w:firstLineChars="0"/>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所投UPS电源具有泰尔认证中心颁发的“TLC产品认证证书”、中国质量认证中心颁发的“中国节能产品认证证书”、信息产业通信设备抗震性能质量监督检验中心颁发的“电信设备抗震性能检测合格证”每有一项认证得1分，满分3分；（提供证明资料复印件）</w:t>
            </w:r>
          </w:p>
          <w:p>
            <w:pPr>
              <w:pStyle w:val="12"/>
              <w:widowControl/>
              <w:numPr>
                <w:ilvl w:val="0"/>
                <w:numId w:val="2"/>
              </w:numPr>
              <w:ind w:firstLineChars="0"/>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所投UPS电源具备电子负载功能，自老化输出电流百分比达到100的范围值（提供体现此功能设置界面截图）的得3分，百分比达到90-100的范围值的得2分，百分比达到90以下的范围值的得1分，没有的不得分；(提供证明资料复印件)</w:t>
            </w:r>
          </w:p>
          <w:p>
            <w:pPr>
              <w:pStyle w:val="12"/>
              <w:widowControl/>
              <w:numPr>
                <w:ilvl w:val="0"/>
                <w:numId w:val="2"/>
              </w:numPr>
              <w:ind w:firstLineChars="0"/>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所投UPS电源整机配置属性设置支持“单机、并机”模式（提供体现此功能设置界面截图）得3分，没有的不得分；(提供证明资料复印件)</w:t>
            </w:r>
          </w:p>
          <w:p>
            <w:pPr>
              <w:pStyle w:val="12"/>
              <w:widowControl/>
              <w:numPr>
                <w:ilvl w:val="0"/>
                <w:numId w:val="2"/>
              </w:numPr>
              <w:ind w:firstLineChars="0"/>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所投UPS电源为了满足后期扩容需求，并机基本台数可实现“4台及以上（包含4台）”并机（提供体现此功能设置界面截图）得3分，没有的不得分；(提供证明资料复印件)</w:t>
            </w:r>
          </w:p>
          <w:p>
            <w:pPr>
              <w:pStyle w:val="12"/>
              <w:widowControl/>
              <w:numPr>
                <w:ilvl w:val="0"/>
                <w:numId w:val="2"/>
              </w:numPr>
              <w:ind w:firstLineChars="0"/>
              <w:jc w:val="left"/>
              <w:rPr>
                <w:rFonts w:ascii="宋体" w:hAnsi="宋体" w:eastAsia="宋体" w:cs="宋体"/>
                <w:color w:val="0C0C0C" w:themeColor="text1" w:themeTint="F2"/>
                <w:kern w:val="0"/>
                <w:sz w:val="24"/>
                <w:szCs w:val="24"/>
              </w:rPr>
            </w:pPr>
            <w:r>
              <w:rPr>
                <w:rFonts w:hint="eastAsia" w:ascii="宋体" w:hAnsi="宋体" w:eastAsia="宋体" w:cs="宋体"/>
                <w:kern w:val="0"/>
                <w:sz w:val="24"/>
                <w:szCs w:val="24"/>
              </w:rPr>
              <w:t>所</w:t>
            </w:r>
            <w:r>
              <w:rPr>
                <w:rFonts w:hint="eastAsia" w:ascii="宋体" w:hAnsi="宋体" w:eastAsia="宋体" w:cs="宋体"/>
                <w:color w:val="0C0C0C" w:themeColor="text1" w:themeTint="F2"/>
                <w:kern w:val="0"/>
                <w:sz w:val="24"/>
                <w:szCs w:val="24"/>
              </w:rPr>
              <w:t>投 UPS电源标配铅酸蓄电池，兼容“铁锂电池”应用（提供体现此功能设置界面截图）的得3分，没有的不得分；(提供证明资料复印件)</w:t>
            </w:r>
          </w:p>
          <w:p>
            <w:pPr>
              <w:pStyle w:val="12"/>
              <w:widowControl/>
              <w:numPr>
                <w:ilvl w:val="0"/>
                <w:numId w:val="2"/>
              </w:numPr>
              <w:ind w:firstLineChars="0"/>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所投 UPS电源贮存试验环境温度：-40℃低温～70℃高温；工作试验环境温度：-5℃低温～40℃高温（提供市级及以上产品质量监督检验院出具的检测报告）的得3分，没有的不得分；(提供证明资料复印件)</w:t>
            </w:r>
          </w:p>
          <w:p>
            <w:pPr>
              <w:pStyle w:val="12"/>
              <w:widowControl/>
              <w:numPr>
                <w:ilvl w:val="0"/>
                <w:numId w:val="2"/>
              </w:numPr>
              <w:ind w:firstLineChars="0"/>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所投蓄电池为了保证电池质量，提供泰尔认证中心颁发的“TLC产品认证证书”及检测报告的得3分，没有的不得分；(提供证明资料复印件)</w:t>
            </w:r>
          </w:p>
          <w:p>
            <w:pPr>
              <w:widowControl/>
              <w:jc w:val="left"/>
              <w:rPr>
                <w:rFonts w:ascii="宋体" w:hAnsi="宋体" w:eastAsia="宋体" w:cs="宋体"/>
                <w:b/>
                <w:color w:val="0C0C0C" w:themeColor="text1" w:themeTint="F2"/>
                <w:kern w:val="0"/>
                <w:sz w:val="24"/>
                <w:szCs w:val="24"/>
              </w:rPr>
            </w:pPr>
            <w:r>
              <w:rPr>
                <w:rFonts w:hint="eastAsia" w:ascii="宋体" w:hAnsi="宋体" w:eastAsia="宋体" w:cs="宋体"/>
                <w:b/>
                <w:color w:val="0C0C0C" w:themeColor="text1" w:themeTint="F2"/>
                <w:kern w:val="0"/>
                <w:sz w:val="24"/>
                <w:szCs w:val="24"/>
              </w:rPr>
              <w:t>备注：以上证明资料必须清晰、完整，否则不得分。加盖投标企业公章，若存在伪造材料，企业承担法律责任。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081" w:type="dxa"/>
            <w:vMerge w:val="restart"/>
            <w:shd w:val="clear" w:color="auto" w:fill="auto"/>
            <w:vAlign w:val="center"/>
          </w:tcPr>
          <w:p>
            <w:pPr>
              <w:widowControl/>
              <w:wordWrap w:val="0"/>
              <w:jc w:val="center"/>
              <w:rPr>
                <w:rFonts w:cs="仿宋_GB2312" w:asciiTheme="minorEastAsia" w:hAnsiTheme="minorEastAsia"/>
                <w:color w:val="0C0C0C" w:themeColor="text1" w:themeTint="F2"/>
                <w:kern w:val="0"/>
                <w:sz w:val="24"/>
                <w:szCs w:val="24"/>
              </w:rPr>
            </w:pPr>
            <w:r>
              <w:rPr>
                <w:rFonts w:hint="eastAsia" w:cs="仿宋_GB2312" w:asciiTheme="minorEastAsia" w:hAnsiTheme="minorEastAsia"/>
                <w:color w:val="0C0C0C" w:themeColor="text1" w:themeTint="F2"/>
                <w:kern w:val="0"/>
                <w:sz w:val="24"/>
                <w:szCs w:val="24"/>
              </w:rPr>
              <w:t>实施和服务</w:t>
            </w:r>
            <w:r>
              <w:rPr>
                <w:rFonts w:hint="eastAsia" w:ascii="宋体" w:hAnsi="宋体" w:eastAsia="宋体" w:cs="宋体"/>
                <w:color w:val="0C0C0C" w:themeColor="text1" w:themeTint="F2"/>
                <w:kern w:val="0"/>
                <w:sz w:val="24"/>
                <w:szCs w:val="24"/>
              </w:rPr>
              <w:t>（5分）</w:t>
            </w:r>
          </w:p>
        </w:tc>
        <w:tc>
          <w:tcPr>
            <w:tcW w:w="1048" w:type="dxa"/>
            <w:shd w:val="clear" w:color="auto" w:fill="auto"/>
            <w:vAlign w:val="center"/>
          </w:tcPr>
          <w:p>
            <w:pPr>
              <w:widowControl/>
              <w:wordWrap w:val="0"/>
              <w:jc w:val="center"/>
              <w:rPr>
                <w:rFonts w:cs="仿宋_GB2312" w:asciiTheme="minorEastAsia" w:hAnsiTheme="minorEastAsia"/>
                <w:color w:val="0C0C0C" w:themeColor="text1" w:themeTint="F2"/>
                <w:kern w:val="0"/>
                <w:sz w:val="24"/>
                <w:szCs w:val="24"/>
              </w:rPr>
            </w:pPr>
            <w:r>
              <w:rPr>
                <w:rFonts w:hint="eastAsia" w:cs="仿宋_GB2312" w:asciiTheme="minorEastAsia" w:hAnsiTheme="minorEastAsia"/>
                <w:color w:val="0C0C0C" w:themeColor="text1" w:themeTint="F2"/>
                <w:kern w:val="0"/>
                <w:sz w:val="24"/>
                <w:szCs w:val="24"/>
              </w:rPr>
              <w:t>实施</w:t>
            </w:r>
          </w:p>
        </w:tc>
        <w:tc>
          <w:tcPr>
            <w:tcW w:w="791" w:type="dxa"/>
            <w:shd w:val="clear" w:color="auto" w:fill="auto"/>
            <w:vAlign w:val="center"/>
          </w:tcPr>
          <w:p>
            <w:pPr>
              <w:widowControl/>
              <w:wordWrap w:val="0"/>
              <w:jc w:val="center"/>
              <w:rPr>
                <w:rFonts w:cs="仿宋_GB2312" w:asciiTheme="minorEastAsia" w:hAnsiTheme="minorEastAsia"/>
                <w:color w:val="0C0C0C" w:themeColor="text1" w:themeTint="F2"/>
                <w:kern w:val="0"/>
                <w:sz w:val="24"/>
                <w:szCs w:val="24"/>
              </w:rPr>
            </w:pPr>
            <w:r>
              <w:rPr>
                <w:rFonts w:hint="eastAsia" w:cs="仿宋_GB2312" w:asciiTheme="minorEastAsia" w:hAnsiTheme="minorEastAsia"/>
                <w:color w:val="0C0C0C" w:themeColor="text1" w:themeTint="F2"/>
                <w:kern w:val="0"/>
                <w:sz w:val="24"/>
                <w:szCs w:val="24"/>
              </w:rPr>
              <w:t>3</w:t>
            </w:r>
          </w:p>
        </w:tc>
        <w:tc>
          <w:tcPr>
            <w:tcW w:w="6149" w:type="dxa"/>
            <w:shd w:val="clear" w:color="auto" w:fill="auto"/>
            <w:vAlign w:val="center"/>
          </w:tcPr>
          <w:p>
            <w:pPr>
              <w:widowControl/>
              <w:wordWrap w:val="0"/>
              <w:jc w:val="left"/>
              <w:rPr>
                <w:rFonts w:cs="仿宋_GB2312" w:asciiTheme="minorEastAsia" w:hAnsiTheme="minorEastAsia"/>
                <w:color w:val="0C0C0C" w:themeColor="text1" w:themeTint="F2"/>
                <w:kern w:val="0"/>
                <w:sz w:val="24"/>
                <w:szCs w:val="24"/>
              </w:rPr>
            </w:pPr>
            <w:r>
              <w:rPr>
                <w:rFonts w:hint="eastAsia" w:ascii="宋体" w:hAnsi="宋体" w:eastAsia="宋体" w:cs="宋体"/>
                <w:color w:val="0C0C0C" w:themeColor="text1" w:themeTint="F2"/>
                <w:kern w:val="0"/>
                <w:sz w:val="24"/>
                <w:szCs w:val="24"/>
              </w:rPr>
              <w:t>投标人提供参与本项目的工程人员自</w:t>
            </w:r>
            <w:r>
              <w:rPr>
                <w:rFonts w:hint="eastAsia" w:cs="仿宋_GB2312" w:asciiTheme="minorEastAsia" w:hAnsiTheme="minorEastAsia"/>
                <w:color w:val="0C0C0C" w:themeColor="text1" w:themeTint="F2"/>
                <w:kern w:val="0"/>
                <w:sz w:val="24"/>
                <w:szCs w:val="24"/>
              </w:rPr>
              <w:t>2015年1月1日以来曾</w:t>
            </w:r>
            <w:r>
              <w:rPr>
                <w:rFonts w:hint="eastAsia" w:ascii="宋体" w:hAnsi="宋体" w:eastAsia="宋体" w:cs="宋体"/>
                <w:color w:val="0C0C0C" w:themeColor="text1" w:themeTint="F2"/>
                <w:kern w:val="0"/>
                <w:sz w:val="24"/>
                <w:szCs w:val="24"/>
              </w:rPr>
              <w:t>获得过系统集成工程项目经理壹级证书得3分，贰级证书得2分，叁级证书得1分（</w:t>
            </w:r>
            <w:r>
              <w:rPr>
                <w:rFonts w:hint="eastAsia" w:cs="仿宋_GB2312" w:asciiTheme="minorEastAsia" w:hAnsiTheme="minorEastAsia"/>
                <w:color w:val="0C0C0C" w:themeColor="text1" w:themeTint="F2"/>
                <w:kern w:val="0"/>
                <w:sz w:val="24"/>
                <w:szCs w:val="24"/>
              </w:rPr>
              <w:t>提供项目人员在本公司的社保缴纳证明）</w:t>
            </w:r>
            <w:r>
              <w:rPr>
                <w:rFonts w:hint="eastAsia" w:ascii="宋体" w:hAnsi="宋体" w:eastAsia="宋体" w:cs="宋体"/>
                <w:color w:val="0C0C0C" w:themeColor="text1" w:themeTint="F2"/>
                <w:kern w:val="0"/>
                <w:sz w:val="24"/>
                <w:szCs w:val="24"/>
              </w:rPr>
              <w:t>，</w:t>
            </w:r>
            <w:r>
              <w:rPr>
                <w:rFonts w:hint="eastAsia" w:cs="仿宋_GB2312" w:asciiTheme="minorEastAsia" w:hAnsiTheme="minorEastAsia"/>
                <w:color w:val="0C0C0C" w:themeColor="text1" w:themeTint="F2"/>
                <w:kern w:val="0"/>
                <w:sz w:val="24"/>
                <w:szCs w:val="24"/>
              </w:rPr>
              <w:t>投标人须在投标文件中附证书复印件，并在评标时出具相应的原件查验。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81" w:type="dxa"/>
            <w:vMerge w:val="continue"/>
            <w:vAlign w:val="center"/>
          </w:tcPr>
          <w:p>
            <w:pPr>
              <w:widowControl/>
              <w:jc w:val="left"/>
              <w:rPr>
                <w:rFonts w:ascii="宋体" w:hAnsi="宋体" w:eastAsia="宋体" w:cs="宋体"/>
                <w:color w:val="0C0C0C" w:themeColor="text1" w:themeTint="F2"/>
                <w:kern w:val="0"/>
                <w:sz w:val="24"/>
                <w:szCs w:val="24"/>
              </w:rPr>
            </w:pPr>
          </w:p>
        </w:tc>
        <w:tc>
          <w:tcPr>
            <w:tcW w:w="1048" w:type="dxa"/>
            <w:vMerge w:val="restart"/>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售后时间</w:t>
            </w:r>
          </w:p>
        </w:tc>
        <w:tc>
          <w:tcPr>
            <w:tcW w:w="791" w:type="dxa"/>
            <w:vMerge w:val="restart"/>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2</w:t>
            </w:r>
          </w:p>
        </w:tc>
        <w:tc>
          <w:tcPr>
            <w:tcW w:w="6149" w:type="dxa"/>
            <w:vMerge w:val="restart"/>
            <w:shd w:val="clear" w:color="auto" w:fill="auto"/>
            <w:vAlign w:val="center"/>
          </w:tcPr>
          <w:p>
            <w:pPr>
              <w:widowControl/>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免费售后保修时间以年为单位，以3年为起点，每增加1年加1分，满分2分。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81" w:type="dxa"/>
            <w:vMerge w:val="continue"/>
            <w:vAlign w:val="center"/>
          </w:tcPr>
          <w:p>
            <w:pPr>
              <w:widowControl/>
              <w:jc w:val="left"/>
              <w:rPr>
                <w:rFonts w:ascii="宋体" w:hAnsi="宋体" w:eastAsia="宋体" w:cs="宋体"/>
                <w:color w:val="0C0C0C" w:themeColor="text1" w:themeTint="F2"/>
                <w:kern w:val="0"/>
                <w:sz w:val="24"/>
                <w:szCs w:val="24"/>
              </w:rPr>
            </w:pPr>
          </w:p>
        </w:tc>
        <w:tc>
          <w:tcPr>
            <w:tcW w:w="1048" w:type="dxa"/>
            <w:vMerge w:val="continue"/>
            <w:vAlign w:val="center"/>
          </w:tcPr>
          <w:p>
            <w:pPr>
              <w:widowControl/>
              <w:jc w:val="left"/>
              <w:rPr>
                <w:rFonts w:ascii="宋体" w:hAnsi="宋体" w:eastAsia="宋体" w:cs="宋体"/>
                <w:color w:val="0C0C0C" w:themeColor="text1" w:themeTint="F2"/>
                <w:kern w:val="0"/>
                <w:sz w:val="24"/>
                <w:szCs w:val="24"/>
              </w:rPr>
            </w:pPr>
          </w:p>
        </w:tc>
        <w:tc>
          <w:tcPr>
            <w:tcW w:w="791" w:type="dxa"/>
            <w:vMerge w:val="continue"/>
            <w:vAlign w:val="center"/>
          </w:tcPr>
          <w:p>
            <w:pPr>
              <w:widowControl/>
              <w:jc w:val="left"/>
              <w:rPr>
                <w:rFonts w:ascii="宋体" w:hAnsi="宋体" w:eastAsia="宋体" w:cs="宋体"/>
                <w:color w:val="0C0C0C" w:themeColor="text1" w:themeTint="F2"/>
                <w:kern w:val="0"/>
                <w:sz w:val="24"/>
                <w:szCs w:val="24"/>
              </w:rPr>
            </w:pPr>
          </w:p>
        </w:tc>
        <w:tc>
          <w:tcPr>
            <w:tcW w:w="6149" w:type="dxa"/>
            <w:vMerge w:val="continue"/>
            <w:vAlign w:val="center"/>
          </w:tcPr>
          <w:p>
            <w:pPr>
              <w:widowControl/>
              <w:jc w:val="left"/>
              <w:rPr>
                <w:rFonts w:ascii="宋体" w:hAnsi="宋体" w:eastAsia="宋体" w:cs="宋体"/>
                <w:color w:val="0C0C0C" w:themeColor="text1" w:themeTint="F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129" w:type="dxa"/>
            <w:gridSpan w:val="2"/>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总计</w:t>
            </w:r>
          </w:p>
        </w:tc>
        <w:tc>
          <w:tcPr>
            <w:tcW w:w="791"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100</w:t>
            </w:r>
          </w:p>
        </w:tc>
        <w:tc>
          <w:tcPr>
            <w:tcW w:w="6149" w:type="dxa"/>
            <w:shd w:val="clear" w:color="auto" w:fill="auto"/>
            <w:vAlign w:val="center"/>
          </w:tcPr>
          <w:p>
            <w:pPr>
              <w:widowControl/>
              <w:jc w:val="center"/>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　</w:t>
            </w:r>
          </w:p>
        </w:tc>
      </w:tr>
    </w:tbl>
    <w:p>
      <w:pPr>
        <w:widowControl/>
        <w:shd w:val="clear" w:color="auto" w:fill="FFFFFF"/>
        <w:wordWrap w:val="0"/>
        <w:spacing w:line="480" w:lineRule="auto"/>
        <w:ind w:firstLine="645"/>
        <w:jc w:val="left"/>
        <w:rPr>
          <w:rFonts w:cs="Arial" w:asciiTheme="minorEastAsia" w:hAnsiTheme="minorEastAsia"/>
          <w:color w:val="0C0C0C" w:themeColor="text1" w:themeTint="F2"/>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06628"/>
    <w:multiLevelType w:val="multilevel"/>
    <w:tmpl w:val="14A06628"/>
    <w:lvl w:ilvl="0" w:tentative="0">
      <w:start w:val="1"/>
      <w:numFmt w:val="decimal"/>
      <w:lvlText w:val="%1、"/>
      <w:lvlJc w:val="left"/>
      <w:pPr>
        <w:ind w:left="1353" w:hanging="36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1">
    <w:nsid w:val="35D90A80"/>
    <w:multiLevelType w:val="multilevel"/>
    <w:tmpl w:val="35D90A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3D1D"/>
    <w:rsid w:val="00007FB2"/>
    <w:rsid w:val="0001308F"/>
    <w:rsid w:val="0004033D"/>
    <w:rsid w:val="00043FF9"/>
    <w:rsid w:val="00091FC1"/>
    <w:rsid w:val="000C3D20"/>
    <w:rsid w:val="000E57C2"/>
    <w:rsid w:val="000E68EC"/>
    <w:rsid w:val="000E794A"/>
    <w:rsid w:val="000F55E0"/>
    <w:rsid w:val="00166E8C"/>
    <w:rsid w:val="00183D1D"/>
    <w:rsid w:val="001948B9"/>
    <w:rsid w:val="001A64D2"/>
    <w:rsid w:val="001C2BBA"/>
    <w:rsid w:val="001E3455"/>
    <w:rsid w:val="00200434"/>
    <w:rsid w:val="00231BD3"/>
    <w:rsid w:val="00241D34"/>
    <w:rsid w:val="00303332"/>
    <w:rsid w:val="00316973"/>
    <w:rsid w:val="0033168D"/>
    <w:rsid w:val="00336458"/>
    <w:rsid w:val="00344823"/>
    <w:rsid w:val="00363816"/>
    <w:rsid w:val="003641AE"/>
    <w:rsid w:val="003711A2"/>
    <w:rsid w:val="003848E7"/>
    <w:rsid w:val="003B2509"/>
    <w:rsid w:val="00442926"/>
    <w:rsid w:val="00462428"/>
    <w:rsid w:val="00462952"/>
    <w:rsid w:val="0046487B"/>
    <w:rsid w:val="00483657"/>
    <w:rsid w:val="00506FEE"/>
    <w:rsid w:val="00514693"/>
    <w:rsid w:val="00531209"/>
    <w:rsid w:val="005426CB"/>
    <w:rsid w:val="00580C66"/>
    <w:rsid w:val="0058650E"/>
    <w:rsid w:val="0058758A"/>
    <w:rsid w:val="005D41A6"/>
    <w:rsid w:val="005F650D"/>
    <w:rsid w:val="0066240E"/>
    <w:rsid w:val="00667B98"/>
    <w:rsid w:val="006B0BF9"/>
    <w:rsid w:val="006B5479"/>
    <w:rsid w:val="007007CE"/>
    <w:rsid w:val="00707F5C"/>
    <w:rsid w:val="0074304A"/>
    <w:rsid w:val="00755EB6"/>
    <w:rsid w:val="007671BB"/>
    <w:rsid w:val="007C6F3D"/>
    <w:rsid w:val="007E1AA1"/>
    <w:rsid w:val="00821B4A"/>
    <w:rsid w:val="00824D8D"/>
    <w:rsid w:val="00841CC1"/>
    <w:rsid w:val="008842DF"/>
    <w:rsid w:val="008936F3"/>
    <w:rsid w:val="008A2823"/>
    <w:rsid w:val="008D44A8"/>
    <w:rsid w:val="009108AA"/>
    <w:rsid w:val="00917D48"/>
    <w:rsid w:val="00936E8C"/>
    <w:rsid w:val="0094792D"/>
    <w:rsid w:val="00976D72"/>
    <w:rsid w:val="00995F9A"/>
    <w:rsid w:val="009B6F82"/>
    <w:rsid w:val="009D7081"/>
    <w:rsid w:val="009F1CEA"/>
    <w:rsid w:val="00A15358"/>
    <w:rsid w:val="00A22533"/>
    <w:rsid w:val="00A23950"/>
    <w:rsid w:val="00A525FB"/>
    <w:rsid w:val="00AA1249"/>
    <w:rsid w:val="00B17850"/>
    <w:rsid w:val="00B36C66"/>
    <w:rsid w:val="00B61EA4"/>
    <w:rsid w:val="00BA5EA2"/>
    <w:rsid w:val="00BC0F6A"/>
    <w:rsid w:val="00BC4287"/>
    <w:rsid w:val="00BC6418"/>
    <w:rsid w:val="00BE7FEA"/>
    <w:rsid w:val="00BF7E4B"/>
    <w:rsid w:val="00C64213"/>
    <w:rsid w:val="00C904C5"/>
    <w:rsid w:val="00CA08EF"/>
    <w:rsid w:val="00CB1B87"/>
    <w:rsid w:val="00CB5DF1"/>
    <w:rsid w:val="00CC3532"/>
    <w:rsid w:val="00CC5DA4"/>
    <w:rsid w:val="00CC6D56"/>
    <w:rsid w:val="00CD05AF"/>
    <w:rsid w:val="00CF2520"/>
    <w:rsid w:val="00D30488"/>
    <w:rsid w:val="00D56A1F"/>
    <w:rsid w:val="00D64CE1"/>
    <w:rsid w:val="00DC375F"/>
    <w:rsid w:val="00DD3E06"/>
    <w:rsid w:val="00DD6FEA"/>
    <w:rsid w:val="00DE1025"/>
    <w:rsid w:val="00DF08B4"/>
    <w:rsid w:val="00DF1E0C"/>
    <w:rsid w:val="00E04673"/>
    <w:rsid w:val="00E11AC9"/>
    <w:rsid w:val="00E548E7"/>
    <w:rsid w:val="00EA633A"/>
    <w:rsid w:val="00EC5661"/>
    <w:rsid w:val="00EC7FF1"/>
    <w:rsid w:val="00F52955"/>
    <w:rsid w:val="00F61FFA"/>
    <w:rsid w:val="00F6700C"/>
    <w:rsid w:val="00F74769"/>
    <w:rsid w:val="00F93ED2"/>
    <w:rsid w:val="00FA0DF6"/>
    <w:rsid w:val="00FB62B3"/>
    <w:rsid w:val="00FC4F47"/>
    <w:rsid w:val="00FE4F72"/>
    <w:rsid w:val="49323E32"/>
    <w:rsid w:val="666F6C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unhideWhenUsed/>
    <w:uiPriority w:val="99"/>
    <w:rPr>
      <w:color w:val="0000FF" w:themeColor="hyperlink"/>
      <w:u w:val="single"/>
    </w:rPr>
  </w:style>
  <w:style w:type="character" w:customStyle="1" w:styleId="9">
    <w:name w:val="页眉 Char"/>
    <w:basedOn w:val="5"/>
    <w:link w:val="3"/>
    <w:uiPriority w:val="99"/>
    <w:rPr>
      <w:sz w:val="18"/>
      <w:szCs w:val="18"/>
    </w:rPr>
  </w:style>
  <w:style w:type="character" w:customStyle="1" w:styleId="10">
    <w:name w:val="页脚 Char"/>
    <w:basedOn w:val="5"/>
    <w:link w:val="2"/>
    <w:qFormat/>
    <w:uiPriority w:val="99"/>
    <w:rPr>
      <w:sz w:val="18"/>
      <w:szCs w:val="18"/>
    </w:rPr>
  </w:style>
  <w:style w:type="paragraph" w:customStyle="1" w:styleId="11">
    <w:name w:val="列出段落2"/>
    <w:basedOn w:val="1"/>
    <w:unhideWhenUsed/>
    <w:qFormat/>
    <w:uiPriority w:val="99"/>
    <w:pPr>
      <w:ind w:firstLine="420" w:firstLineChars="200"/>
    </w:p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1158</Words>
  <Characters>6604</Characters>
  <Lines>55</Lines>
  <Paragraphs>15</Paragraphs>
  <TotalTime>0</TotalTime>
  <ScaleCrop>false</ScaleCrop>
  <LinksUpToDate>false</LinksUpToDate>
  <CharactersWithSpaces>7747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2017-12-04T09:20:00Z</dcterms:created>
  <dc:creator>Microsoft</dc:creator>
  <cp:lastModifiedBy>许昌市公共资源交易中心:杨丹丹</cp:lastModifiedBy>
  <cp:lastPrinted>2017-12-07T06:30:32Z</cp:lastPrinted>
  <dcterms:modified xsi:type="dcterms:W3CDTF">2017-12-07T06:33:46Z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