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964" w:firstLineChars="300"/>
        <w:contextualSpacing/>
        <w:jc w:val="left"/>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u w:val="single"/>
        </w:rPr>
        <w:t>许昌市中心血站设备平台应急服务</w:t>
      </w:r>
      <w:r>
        <w:rPr>
          <w:rFonts w:hint="eastAsia" w:ascii="仿宋" w:hAnsi="仿宋" w:eastAsia="仿宋" w:cs="Times New Roman"/>
          <w:b/>
          <w:color w:val="000000"/>
          <w:kern w:val="0"/>
          <w:sz w:val="32"/>
          <w:szCs w:val="32"/>
        </w:rPr>
        <w:t>采购需求、评标标准等说明</w:t>
      </w:r>
    </w:p>
    <w:p>
      <w:pPr>
        <w:widowControl/>
        <w:shd w:val="clear" w:color="auto" w:fill="FFFFFF"/>
        <w:spacing w:line="360" w:lineRule="auto"/>
        <w:ind w:firstLine="562" w:firstLineChars="200"/>
        <w:contextualSpacing/>
        <w:jc w:val="left"/>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28"/>
          <w:szCs w:val="28"/>
        </w:rPr>
        <w:t>对于不允许偏离的实质性要求和条件，以</w:t>
      </w:r>
      <w:r>
        <w:rPr>
          <w:rFonts w:hint="eastAsia" w:ascii="Times New Roman" w:hAnsi="Times New Roman" w:eastAsia="仿宋_GB2312" w:cs="Times New Roman"/>
          <w:b/>
          <w:color w:val="FF0000"/>
          <w:kern w:val="0"/>
          <w:sz w:val="32"/>
          <w:szCs w:val="32"/>
        </w:rPr>
        <w:t>★</w:t>
      </w:r>
      <w:r>
        <w:rPr>
          <w:rFonts w:hint="eastAsia" w:ascii="Times New Roman" w:hAnsi="Times New Roman" w:eastAsia="仿宋_GB2312" w:cs="Times New Roman"/>
          <w:b/>
          <w:color w:val="000000"/>
          <w:kern w:val="0"/>
          <w:sz w:val="28"/>
          <w:szCs w:val="28"/>
        </w:rPr>
        <w:t>标明。</w:t>
      </w:r>
    </w:p>
    <w:p>
      <w:pPr>
        <w:widowControl/>
        <w:shd w:val="clear" w:color="auto" w:fill="FFFFFF"/>
        <w:spacing w:line="360" w:lineRule="auto"/>
        <w:ind w:firstLine="560" w:firstLineChars="200"/>
        <w:contextualSpacing/>
        <w:jc w:val="left"/>
        <w:rPr>
          <w:rFonts w:ascii="仿宋" w:hAnsi="仿宋" w:eastAsia="仿宋" w:cs="Arial"/>
          <w:color w:val="000000"/>
          <w:kern w:val="0"/>
          <w:sz w:val="28"/>
          <w:szCs w:val="28"/>
        </w:rPr>
      </w:pPr>
      <w:r>
        <w:rPr>
          <w:rFonts w:hint="eastAsia" w:ascii="仿宋" w:hAnsi="仿宋" w:eastAsia="仿宋" w:cs="黑体"/>
          <w:color w:val="000000"/>
          <w:sz w:val="28"/>
          <w:szCs w:val="28"/>
          <w:lang w:val="zh-CN"/>
        </w:rPr>
        <w:t>一、</w:t>
      </w:r>
      <w:r>
        <w:rPr>
          <w:rFonts w:hint="eastAsia" w:ascii="仿宋" w:hAnsi="仿宋" w:eastAsia="仿宋" w:cs="Arial"/>
          <w:color w:val="000000"/>
          <w:sz w:val="28"/>
          <w:szCs w:val="28"/>
          <w:lang w:val="zh-CN"/>
        </w:rPr>
        <w:t>项目概况</w:t>
      </w:r>
    </w:p>
    <w:p>
      <w:pPr>
        <w:widowControl/>
        <w:shd w:val="clear" w:color="auto" w:fill="FFFFFF"/>
        <w:spacing w:line="360" w:lineRule="auto"/>
        <w:contextualSpacing/>
        <w:jc w:val="left"/>
        <w:rPr>
          <w:rFonts w:ascii="仿宋" w:hAnsi="仿宋" w:eastAsia="仿宋" w:cs="Arial"/>
          <w:color w:val="000000"/>
          <w:kern w:val="0"/>
          <w:sz w:val="28"/>
          <w:szCs w:val="28"/>
        </w:rPr>
      </w:pPr>
      <w:r>
        <w:rPr>
          <w:rFonts w:hint="eastAsia" w:ascii="宋体" w:hAnsi="宋体" w:eastAsia="宋体" w:cs="宋体"/>
          <w:color w:val="000000"/>
          <w:kern w:val="0"/>
          <w:sz w:val="32"/>
          <w:szCs w:val="32"/>
          <w:shd w:val="clear" w:color="auto" w:fill="FFFFFF"/>
        </w:rPr>
        <w:t xml:space="preserve">   </w:t>
      </w:r>
      <w:r>
        <w:rPr>
          <w:rFonts w:hint="eastAsia" w:ascii="仿宋" w:hAnsi="仿宋" w:eastAsia="仿宋" w:cs="Arial"/>
          <w:color w:val="000000"/>
          <w:kern w:val="0"/>
          <w:sz w:val="28"/>
          <w:szCs w:val="28"/>
          <w:lang w:val="zh-CN"/>
        </w:rPr>
        <w:t>（一）项目名称：许昌市中心血站灾备平台应急服务</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二</w:t>
      </w:r>
      <w:r>
        <w:rPr>
          <w:rFonts w:hint="eastAsia" w:ascii="仿宋" w:hAnsi="仿宋" w:eastAsia="仿宋" w:cs="宋体"/>
          <w:color w:val="000000"/>
          <w:kern w:val="0"/>
          <w:sz w:val="28"/>
          <w:szCs w:val="28"/>
          <w:lang w:val="zh-CN"/>
        </w:rPr>
        <w:t>）采购方式：公开招标</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三</w:t>
      </w:r>
      <w:r>
        <w:rPr>
          <w:rFonts w:hint="eastAsia" w:ascii="仿宋" w:hAnsi="仿宋" w:eastAsia="仿宋" w:cs="宋体"/>
          <w:color w:val="000000"/>
          <w:kern w:val="0"/>
          <w:sz w:val="28"/>
          <w:szCs w:val="28"/>
          <w:lang w:val="zh-CN"/>
        </w:rPr>
        <w:t>）主要内容、数量及要求：血站云数据备份与容灾系统一套</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四</w:t>
      </w:r>
      <w:r>
        <w:rPr>
          <w:rFonts w:hint="eastAsia" w:ascii="仿宋" w:hAnsi="仿宋" w:eastAsia="仿宋" w:cs="宋体"/>
          <w:color w:val="000000"/>
          <w:kern w:val="0"/>
          <w:sz w:val="28"/>
          <w:szCs w:val="28"/>
          <w:lang w:val="zh-CN"/>
        </w:rPr>
        <w:t>）预算金额： 50万元；最高限价：50万元</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（五）交付（服务、完工）时间：3天</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（六）交付（服务、施工）地点：许昌市中心血站</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（七）进口产品：允许□不允许</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r>
        <w:rPr>
          <w:rFonts w:hint="eastAsia" w:ascii="仿宋" w:hAnsi="仿宋" w:eastAsia="仿宋" w:cs="宋体"/>
          <w:color w:val="000000"/>
          <w:kern w:val="0"/>
          <w:sz w:val="28"/>
          <w:szCs w:val="28"/>
          <w:lang w:val="zh-CN"/>
        </w:rPr>
        <w:t>。</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（八）分包：允许□不允许</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仿宋" w:hAnsi="仿宋" w:eastAsia="仿宋" w:cs="宋体"/>
          <w:color w:val="000000"/>
          <w:sz w:val="28"/>
          <w:szCs w:val="28"/>
          <w:lang w:val="zh-CN"/>
        </w:rPr>
      </w:pPr>
      <w:r>
        <w:rPr>
          <w:rFonts w:hint="eastAsia" w:ascii="仿宋" w:hAnsi="仿宋" w:eastAsia="仿宋"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本项目落实节能环保</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r>
        <w:rPr>
          <w:rFonts w:hint="eastAsia" w:ascii="仿宋" w:hAnsi="仿宋" w:eastAsia="仿宋" w:cs="宋体"/>
          <w:color w:val="000000"/>
          <w:kern w:val="0"/>
          <w:sz w:val="28"/>
          <w:szCs w:val="28"/>
          <w:lang w:val="zh-CN"/>
        </w:rPr>
        <w:t>、中小微型企业扶持</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r>
        <w:rPr>
          <w:rFonts w:hint="eastAsia" w:ascii="仿宋" w:hAnsi="仿宋" w:eastAsia="仿宋" w:cs="宋体"/>
          <w:color w:val="000000"/>
          <w:kern w:val="0"/>
          <w:sz w:val="28"/>
          <w:szCs w:val="28"/>
          <w:lang w:val="zh-CN"/>
        </w:rPr>
        <w:t>、支持监狱企业发展□、残疾人福利性单位扶持</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r>
        <w:rPr>
          <w:rFonts w:hint="eastAsia" w:ascii="仿宋" w:hAnsi="仿宋" w:eastAsia="仿宋"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rPr>
      </w:pPr>
      <w:r>
        <w:rPr>
          <w:rFonts w:hint="eastAsia" w:ascii="仿宋" w:hAnsi="仿宋" w:eastAsia="仿宋" w:cs="黑体"/>
          <w:color w:val="000000"/>
          <w:kern w:val="0"/>
          <w:sz w:val="28"/>
          <w:szCs w:val="28"/>
          <w:lang w:val="zh-CN"/>
        </w:rPr>
        <w:t>三、</w:t>
      </w:r>
      <w:r>
        <w:rPr>
          <w:rFonts w:hint="eastAsia" w:ascii="仿宋" w:hAnsi="仿宋" w:eastAsia="仿宋"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（二）本次招标接受□不接受</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hint="eastAsia" w:ascii="仿宋" w:hAnsi="仿宋" w:eastAsia="仿宋" w:cs="宋体"/>
          <w:color w:val="000000"/>
          <w:kern w:val="0"/>
          <w:position w:val="2"/>
          <w:sz w:val="19"/>
          <w:szCs w:val="28"/>
          <w:lang w:val="zh-CN"/>
        </w:rPr>
        <w:instrText xml:space="preserve">√</w:instrText>
      </w:r>
      <w:r>
        <w:rPr>
          <w:rFonts w:hint="eastAsia" w:ascii="仿宋" w:hAnsi="仿宋" w:eastAsia="仿宋" w:cs="宋体"/>
          <w:color w:val="000000"/>
          <w:kern w:val="0"/>
          <w:sz w:val="28"/>
          <w:szCs w:val="28"/>
          <w:lang w:val="zh-CN"/>
        </w:rPr>
        <w:instrText xml:space="preserve">)</w:instrText>
      </w:r>
      <w:r>
        <w:rPr>
          <w:rFonts w:ascii="仿宋" w:hAnsi="仿宋" w:eastAsia="仿宋" w:cs="宋体"/>
          <w:color w:val="000000"/>
          <w:kern w:val="0"/>
          <w:sz w:val="28"/>
          <w:szCs w:val="28"/>
          <w:lang w:val="zh-CN"/>
        </w:rPr>
        <w:fldChar w:fldCharType="end"/>
      </w:r>
      <w:r>
        <w:rPr>
          <w:rFonts w:hint="eastAsia" w:ascii="仿宋" w:hAnsi="仿宋" w:eastAsia="仿宋"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黑体"/>
          <w:color w:val="000000"/>
          <w:kern w:val="0"/>
          <w:sz w:val="28"/>
          <w:szCs w:val="28"/>
          <w:lang w:val="zh-CN"/>
        </w:rPr>
        <w:t>四、采购需求</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（一）本项目需实现的功能或者目标</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一、整体技术要求</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许昌市中心血站灾备平台应急服务项目要求满足《血站管理办法》、《血站质量管理规范》和《血站实验室质量管理规范》等法律法规的要求。要求系统以“一法两规”等法律法规和标准为基础，符合许昌市中心血站实际情况以及完全满足许昌市中心血站业务管理系统安全性、适应性需求，投标产品要求利用先进技术，提供成熟的服务，要求投标人提供先进成熟可靠的产品和服务，保障信息系统数据、信息传递和应用安全。</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本次采购维护服务的主要内容要求不得改变现阶段站内业务管理系统SHINOW9.0要求涵盖许昌市中心血站数据和业务应用系统云备份服务及云运行服务等。维护方的现场维护人员需对启奥SHINOW9.0系统熟知。</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二、分项技术要求</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随着许昌市中心血站信息化建设逐步完善，采供血业务管理升级为全面管理，切实保障了血液质量和输血安全。为进一步保障数据安全和业务连续性，维护系统安全和稳定，在许昌市中心血站现有设施的基础上，建设血站应用级“云”灾备系统，要求投标人提供的产品和服务能够保证血站数据信息安全和应用服务安全。</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1、“云”数据备份系统：</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要求在许昌市中心血站目前备份系统的基础上，建设异地“云”数据备份中心，构建与生产库相同的数据库，中心数据库结构升级和血站业务运行时产生的数据可以实时同步更新到“云”数据中心，保障“云”端数据库与生产端数据库结构和业务数据一致， 数据同步实效性精确到亚秒级；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（2）生产端与容灾中心数据实时同步，非正常情况下数据恢复控制在 30 分钟以内。</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 xml:space="preserve"> </w:t>
      </w: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2、“云”数据恢复系统：</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（1）完善数据恢复机制，要求如数据中心发生灾难性事故，及时协助许昌市中心血站将核心业务、医院输血、实验室 LIS、招募等系统切换到备机，并现场安排技术工程师指导实施应急预案，保障许昌市中心血站的业务连续性。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8小时以内数据恢复：根据生产库具体情况，对数据中心故障进行修复，重新构建数据库和应用系统，帮助许昌市中心血站将数据从备份节点迁移到主节点，进行性能调优，针对出现的问题进行修正，直到数据中心恢复正常。</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3、“云”应用容灾应急系统：</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建设异地“云”应用容灾中心，必须根据许昌市中心血站应用系统的资源需求，分配相关资源，对应建立应用容灾节点，构建与许昌市中心血站一致的应用系统，要求包括：核心业务系统、招募系统、实验室 Lis 系统、任务计划和移动外采、短信平台、招募接口 等应用系统。在数据安全的基础上，主节点发生灾难时，能够接替主节点的核心应用，保障核心业务的连续性；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（2）在生产环境无法修复的情况或者生产环境出现非正常停机超过中心可接受范围的情况下，容灾环境能够替代生产环境对许昌市中心血站提供正常业务服务；</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（3）数据中心完全不可用的情况下，立即启用容灾应用中心，核心业务系统切换 须在 30 分钟内可完成。</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4、应急演练与持续服务：</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（1）能够提供模拟各种灾难、故障场景，进行应急演练，保障应急系统的有效性，同时提升在灾难发生时各环节的应急处理能力；</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（2）必须具有专业化服务团队支持，提供持续服务，日常对容灾库备份状态进行监控和验证，保障备库有效可用；</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（3）提供相关安全服务咨询和安全解决方案，提升许昌市中心血站信息安全意识与防护能力；</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（4）提供一站式容灾系统建设服务，对许昌市中心血站应用系统、数据库系统进行分析，制定可行的技术方案和实施计划，提供规划、设计、建设一站式服务，构建容灾系统， 并不断跟进容灾技术的发展，保障平台的稳定性和先进性，持续改进生产库和备库的性能，不断进行调优，保障数据的安全性和可用性；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（5）专业备份状态监控、预警，每天安排专业技术人员，针对备库状态进行监控， 对数据可用性进行验证，每月向许昌市中心血站提供备库的监控及验证记录，保障备库的可用性；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（6）24小时应急服务：如数据中心发生灾难性事故，及时协助许昌市中心血站将核心业务、医院输血、实验室 LIS、招募等系统切换到备机，并现场安排技术工程师指导实施应急预案，保障许昌市中心血站的业务连续性：持续跟进服务：安排专业数据库工程师，针对备库和主库的数据一致性进行整库比对验证，协助客户对故障发生的原因进行分析，并针对故障具体情况提出纠正和预防措施，最终避免数据和应用灾难发生。</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（二）采购清单</w:t>
      </w:r>
    </w:p>
    <w:tbl>
      <w:tblPr>
        <w:tblStyle w:val="8"/>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血站“云”灾备应急系统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left"/>
              <w:rPr>
                <w:rFonts w:ascii="仿宋" w:hAnsi="仿宋" w:eastAsia="仿宋" w:cs="Times New Roman"/>
                <w:color w:val="000000"/>
                <w:kern w:val="0"/>
                <w:sz w:val="24"/>
                <w:szCs w:val="24"/>
              </w:rPr>
            </w:pPr>
            <w:r>
              <w:rPr>
                <w:rFonts w:hint="eastAsia" w:ascii="仿宋" w:hAnsi="仿宋" w:eastAsia="仿宋" w:cs="Times New Roman"/>
                <w:b/>
                <w:color w:val="FF0000"/>
                <w:kern w:val="0"/>
                <w:sz w:val="32"/>
                <w:szCs w:val="32"/>
              </w:rPr>
              <w:t>★</w:t>
            </w:r>
            <w:r>
              <w:rPr>
                <w:rFonts w:hint="eastAsia" w:ascii="仿宋" w:hAnsi="仿宋" w:eastAsia="仿宋" w:cs="Times New Roman"/>
                <w:color w:val="000000"/>
                <w:kern w:val="0"/>
                <w:sz w:val="24"/>
                <w:szCs w:val="24"/>
              </w:rPr>
              <w:t>（1）建设异地“云”应用容灾中心，根据许昌市中心血站应用系统的资源需求，分配相关资源，对应建立应用容灾节点，构建与许昌市中心血站一致的应用系统，要求包括：核心业务系统、招募系统、实验室 Lis 系统、任务计划和移动外采、短信平台、招募接口 等应用系统。在数据安全的基础上，主节点发生灾难时，能够接替主节点的核心应用，保障核心业务的连续性；</w:t>
            </w:r>
          </w:p>
          <w:p>
            <w:pPr>
              <w:widowControl/>
              <w:spacing w:line="360" w:lineRule="auto"/>
              <w:jc w:val="left"/>
              <w:rPr>
                <w:rFonts w:ascii="仿宋" w:hAnsi="仿宋" w:eastAsia="仿宋" w:cs="Times New Roman"/>
                <w:color w:val="000000"/>
                <w:kern w:val="0"/>
                <w:sz w:val="24"/>
                <w:szCs w:val="24"/>
              </w:rPr>
            </w:pPr>
            <w:r>
              <w:rPr>
                <w:rFonts w:hint="eastAsia" w:ascii="仿宋" w:hAnsi="仿宋" w:eastAsia="仿宋" w:cs="Times New Roman"/>
                <w:b/>
                <w:color w:val="FF0000"/>
                <w:kern w:val="0"/>
                <w:sz w:val="32"/>
                <w:szCs w:val="32"/>
              </w:rPr>
              <w:t>★</w:t>
            </w:r>
            <w:r>
              <w:rPr>
                <w:rFonts w:hint="eastAsia" w:ascii="仿宋" w:hAnsi="仿宋" w:eastAsia="仿宋" w:cs="Times New Roman"/>
                <w:color w:val="000000"/>
                <w:kern w:val="0"/>
                <w:sz w:val="24"/>
                <w:szCs w:val="24"/>
              </w:rPr>
              <w:t>（2）在生产环境无法修复的情况或者生产环境出现非正常停机超过中心可接受范围的情况下，容灾环境能够替代生产环境对许昌市中心血站提供正常业务服务；</w:t>
            </w:r>
          </w:p>
          <w:p>
            <w:pPr>
              <w:widowControl/>
              <w:spacing w:line="360" w:lineRule="auto"/>
              <w:jc w:val="left"/>
              <w:rPr>
                <w:rFonts w:ascii="仿宋" w:hAnsi="仿宋" w:eastAsia="仿宋" w:cs="Times New Roman"/>
                <w:color w:val="000000"/>
                <w:kern w:val="0"/>
                <w:sz w:val="24"/>
                <w:szCs w:val="24"/>
              </w:rPr>
            </w:pPr>
            <w:r>
              <w:rPr>
                <w:rFonts w:hint="eastAsia" w:ascii="仿宋" w:hAnsi="仿宋" w:eastAsia="仿宋" w:cs="Times New Roman"/>
                <w:b/>
                <w:color w:val="FF0000"/>
                <w:kern w:val="0"/>
                <w:sz w:val="32"/>
                <w:szCs w:val="32"/>
              </w:rPr>
              <w:t>★</w:t>
            </w:r>
            <w:r>
              <w:rPr>
                <w:rFonts w:hint="eastAsia" w:ascii="仿宋" w:hAnsi="仿宋" w:eastAsia="仿宋" w:cs="Times New Roman"/>
                <w:color w:val="000000"/>
                <w:kern w:val="0"/>
                <w:sz w:val="24"/>
                <w:szCs w:val="24"/>
              </w:rPr>
              <w:t>（3）数据中心完全不可用的情况下，立即启用容灾应用中心，核心业务系统切换 须在 30 分钟内可完成。</w:t>
            </w:r>
          </w:p>
          <w:p>
            <w:pPr>
              <w:widowControl/>
              <w:spacing w:line="360" w:lineRule="auto"/>
              <w:jc w:val="left"/>
              <w:rPr>
                <w:rFonts w:ascii="仿宋" w:hAnsi="仿宋" w:eastAsia="仿宋" w:cs="Times New Roman"/>
                <w:color w:val="000000"/>
                <w:kern w:val="0"/>
                <w:sz w:val="24"/>
                <w:szCs w:val="24"/>
              </w:rPr>
            </w:pPr>
            <w:r>
              <w:rPr>
                <w:rFonts w:hint="eastAsia" w:ascii="仿宋" w:hAnsi="仿宋" w:eastAsia="仿宋" w:cs="Times New Roman"/>
                <w:b/>
                <w:color w:val="FF0000"/>
                <w:kern w:val="0"/>
                <w:sz w:val="32"/>
                <w:szCs w:val="32"/>
              </w:rPr>
              <w:t>★</w:t>
            </w:r>
            <w:r>
              <w:rPr>
                <w:rFonts w:hint="eastAsia" w:ascii="仿宋" w:hAnsi="仿宋" w:eastAsia="仿宋" w:cs="Times New Roman"/>
                <w:color w:val="000000"/>
                <w:kern w:val="0"/>
                <w:sz w:val="24"/>
                <w:szCs w:val="24"/>
              </w:rPr>
              <w:t>（4）该系统平台与和许昌市中心血站采供血业务管理系统实现无缝对接。</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是</w:t>
            </w:r>
          </w:p>
        </w:tc>
      </w:tr>
    </w:tbl>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 xml:space="preserve">（三）采购标的执行标准    </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许昌市中心血站灾备平台应急服务项目要求满足《血站管理办法》、《血站质量管理规范》和《血站实验室质量管理规范》等法律法规的要求。要求系统以“一法两规”等法律法规和标准为基础，符合许昌市中心血站实际情况以及完全满足许昌市中心血站业务管理系统安全性、适应性需求，投标产品要求利用先进技术，提供成熟的服务，要求投标人提供先进成熟可靠的产品和服务，保障信息系统数据、信息传递和应用安全。</w:t>
      </w:r>
    </w:p>
    <w:p>
      <w:pPr>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（四）服务标准、期限、效率等要求</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服务期限：5年</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（五）验收标准</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由</w:t>
      </w:r>
      <w:r>
        <w:rPr>
          <w:rFonts w:ascii="仿宋" w:hAnsi="仿宋" w:eastAsia="仿宋" w:cs="宋体"/>
          <w:color w:val="000000"/>
          <w:kern w:val="0"/>
          <w:sz w:val="28"/>
          <w:szCs w:val="28"/>
          <w:lang w:val="zh-CN"/>
        </w:rPr>
        <w:t>采购人成立验收小组,按照采购合同的约定对</w:t>
      </w:r>
      <w:r>
        <w:rPr>
          <w:rFonts w:hint="eastAsia" w:ascii="仿宋" w:hAnsi="仿宋" w:eastAsia="仿宋" w:cs="宋体"/>
          <w:color w:val="000000"/>
          <w:kern w:val="0"/>
          <w:sz w:val="28"/>
          <w:szCs w:val="28"/>
          <w:lang w:val="zh-CN"/>
        </w:rPr>
        <w:t>中标人</w:t>
      </w:r>
      <w:r>
        <w:rPr>
          <w:rFonts w:ascii="仿宋" w:hAnsi="仿宋" w:eastAsia="仿宋" w:cs="宋体"/>
          <w:color w:val="000000"/>
          <w:kern w:val="0"/>
          <w:sz w:val="28"/>
          <w:szCs w:val="28"/>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1、按照招标文件要求、投标文件响应和承诺验收；</w:t>
      </w:r>
    </w:p>
    <w:p>
      <w:pPr>
        <w:widowControl/>
        <w:shd w:val="clear" w:color="auto" w:fill="FFFFFF"/>
        <w:spacing w:line="360" w:lineRule="auto"/>
        <w:ind w:firstLine="643" w:firstLineChars="200"/>
        <w:contextualSpacing/>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color w:val="000000"/>
          <w:kern w:val="0"/>
          <w:sz w:val="28"/>
          <w:szCs w:val="28"/>
          <w:lang w:val="zh-CN"/>
        </w:rPr>
        <w:t>2、许昌市中心血站专家验收。实现许昌市中心血站业务管理系统（启奥SHINOW9.0系统）数据和应用级异地灾备，如主业务系统产生灾难性问题，系统切换到备机，保障核心业务系统的连续性。</w:t>
      </w:r>
    </w:p>
    <w:p>
      <w:pPr>
        <w:widowControl/>
        <w:shd w:val="clear" w:color="auto" w:fill="FFFFFF"/>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（六）采购标的的其他技术、服务等要求</w:t>
      </w:r>
    </w:p>
    <w:p>
      <w:pPr>
        <w:widowControl/>
        <w:shd w:val="clear" w:color="auto" w:fill="FFFFFF"/>
        <w:spacing w:line="360" w:lineRule="auto"/>
        <w:ind w:firstLine="643" w:firstLineChars="200"/>
        <w:jc w:val="left"/>
        <w:rPr>
          <w:rFonts w:ascii="仿宋" w:hAnsi="仿宋" w:eastAsia="仿宋" w:cs="宋体"/>
          <w:color w:val="000000"/>
          <w:kern w:val="0"/>
          <w:sz w:val="28"/>
          <w:szCs w:val="28"/>
          <w:lang w:val="zh-CN"/>
        </w:rPr>
      </w:pPr>
      <w:r>
        <w:rPr>
          <w:rFonts w:hint="eastAsia" w:ascii="仿宋" w:hAnsi="仿宋" w:eastAsia="仿宋" w:cs="Times New Roman"/>
          <w:b/>
          <w:color w:val="FF0000"/>
          <w:kern w:val="0"/>
          <w:sz w:val="32"/>
          <w:szCs w:val="32"/>
        </w:rPr>
        <w:t>★</w:t>
      </w:r>
      <w:r>
        <w:rPr>
          <w:rFonts w:hint="eastAsia" w:ascii="仿宋" w:hAnsi="仿宋" w:eastAsia="仿宋" w:cs="宋体"/>
          <w:b/>
          <w:color w:val="000000"/>
          <w:kern w:val="0"/>
          <w:sz w:val="28"/>
          <w:szCs w:val="28"/>
          <w:lang w:val="zh-CN"/>
        </w:rPr>
        <w:t>3天内交付完工通过验收，如产生与许昌市中心血站采供血业务管理系统（启奥SHINOW9.0）对接费用或其他费用由中标投标人承担</w:t>
      </w:r>
      <w:r>
        <w:rPr>
          <w:rFonts w:hint="eastAsia" w:ascii="仿宋" w:hAnsi="仿宋" w:eastAsia="仿宋" w:cs="宋体"/>
          <w:color w:val="000000"/>
          <w:kern w:val="0"/>
          <w:sz w:val="28"/>
          <w:szCs w:val="28"/>
          <w:lang w:val="zh-CN"/>
        </w:rPr>
        <w:t>。</w:t>
      </w: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（一）评标方法：最低评标价法□ 综合评分法</w:t>
      </w:r>
      <w:r>
        <w:rPr>
          <w:rFonts w:ascii="仿宋" w:hAnsi="仿宋" w:eastAsia="仿宋" w:cs="宋体"/>
          <w:color w:val="000000"/>
          <w:kern w:val="0"/>
          <w:sz w:val="28"/>
          <w:szCs w:val="28"/>
          <w:lang w:val="zh-CN"/>
        </w:rPr>
        <w:fldChar w:fldCharType="begin"/>
      </w:r>
      <w:r>
        <w:rPr>
          <w:rFonts w:ascii="仿宋" w:hAnsi="仿宋" w:eastAsia="仿宋" w:cs="宋体"/>
          <w:color w:val="000000"/>
          <w:kern w:val="0"/>
          <w:sz w:val="28"/>
          <w:szCs w:val="28"/>
          <w:lang w:val="zh-CN"/>
        </w:rPr>
        <w:instrText xml:space="preserve"> </w:instrText>
      </w:r>
      <w:r>
        <w:rPr>
          <w:rFonts w:hint="eastAsia" w:ascii="仿宋" w:hAnsi="仿宋" w:eastAsia="仿宋" w:cs="宋体"/>
          <w:color w:val="000000"/>
          <w:kern w:val="0"/>
          <w:sz w:val="28"/>
          <w:szCs w:val="28"/>
          <w:lang w:val="zh-CN"/>
        </w:rPr>
        <w:instrText xml:space="preserve">eq \o\ac(□,√)</w:instrText>
      </w:r>
      <w:r>
        <w:rPr>
          <w:rFonts w:ascii="仿宋" w:hAnsi="仿宋" w:eastAsia="仿宋" w:cs="宋体"/>
          <w:color w:val="000000"/>
          <w:kern w:val="0"/>
          <w:sz w:val="28"/>
          <w:szCs w:val="28"/>
          <w:lang w:val="zh-CN"/>
        </w:rPr>
        <w:fldChar w:fldCharType="end"/>
      </w:r>
    </w:p>
    <w:p>
      <w:pPr>
        <w:widowControl/>
        <w:shd w:val="clear" w:color="auto" w:fill="FFFFFF"/>
        <w:spacing w:line="360" w:lineRule="auto"/>
        <w:ind w:firstLine="560" w:firstLineChars="200"/>
        <w:jc w:val="left"/>
        <w:rPr>
          <w:rFonts w:ascii="仿宋" w:hAnsi="仿宋" w:eastAsia="仿宋" w:cs="宋体"/>
          <w:color w:val="000000"/>
          <w:kern w:val="0"/>
          <w:sz w:val="28"/>
          <w:szCs w:val="28"/>
          <w:lang w:val="zh-CN"/>
        </w:rPr>
      </w:pPr>
      <w:bookmarkStart w:id="0" w:name="_GoBack"/>
      <w:bookmarkEnd w:id="0"/>
      <w:r>
        <w:rPr>
          <w:rFonts w:hint="eastAsia" w:ascii="仿宋" w:hAnsi="仿宋" w:eastAsia="仿宋" w:cs="宋体"/>
          <w:color w:val="000000"/>
          <w:kern w:val="0"/>
          <w:sz w:val="28"/>
          <w:szCs w:val="28"/>
          <w:lang w:val="zh-CN"/>
        </w:rPr>
        <w:t>（二）综合评分法评标标准：</w:t>
      </w:r>
    </w:p>
    <w:tbl>
      <w:tblPr>
        <w:tblStyle w:val="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分值构成</w:t>
            </w:r>
          </w:p>
          <w:p>
            <w:pPr>
              <w:jc w:val="center"/>
              <w:rPr>
                <w:rFonts w:ascii="仿宋" w:hAnsi="仿宋" w:eastAsia="仿宋"/>
                <w:sz w:val="24"/>
                <w:szCs w:val="24"/>
              </w:rPr>
            </w:pPr>
            <w:r>
              <w:rPr>
                <w:rFonts w:hint="eastAsia" w:ascii="仿宋" w:hAnsi="仿宋" w:eastAsia="仿宋"/>
                <w:sz w:val="24"/>
                <w:szCs w:val="24"/>
              </w:rPr>
              <w:t>(总分100分)</w:t>
            </w:r>
          </w:p>
        </w:tc>
        <w:tc>
          <w:tcPr>
            <w:tcW w:w="6920" w:type="dxa"/>
            <w:gridSpan w:val="2"/>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价格分值：</w:t>
            </w:r>
            <w:r>
              <w:rPr>
                <w:rFonts w:hint="eastAsia" w:ascii="仿宋" w:hAnsi="仿宋" w:eastAsia="仿宋"/>
                <w:color w:val="FF0000"/>
                <w:sz w:val="24"/>
                <w:szCs w:val="24"/>
                <w:u w:val="single"/>
              </w:rPr>
              <w:t xml:space="preserve">  30    </w:t>
            </w:r>
            <w:r>
              <w:rPr>
                <w:rFonts w:hint="eastAsia" w:ascii="仿宋" w:hAnsi="仿宋" w:eastAsia="仿宋"/>
                <w:sz w:val="24"/>
                <w:szCs w:val="24"/>
              </w:rPr>
              <w:t>分</w:t>
            </w:r>
            <w:r>
              <w:rPr>
                <w:rFonts w:hint="eastAsia" w:ascii="仿宋" w:hAnsi="仿宋" w:eastAsia="仿宋"/>
                <w:sz w:val="24"/>
                <w:szCs w:val="24"/>
                <w:lang w:val="en-US" w:eastAsia="zh-CN"/>
              </w:rPr>
              <w:t xml:space="preserve">     </w:t>
            </w:r>
            <w:r>
              <w:rPr>
                <w:rFonts w:hint="eastAsia" w:ascii="仿宋" w:hAnsi="仿宋" w:eastAsia="仿宋"/>
                <w:sz w:val="24"/>
                <w:szCs w:val="24"/>
              </w:rPr>
              <w:t>商务部分：</w:t>
            </w:r>
            <w:r>
              <w:rPr>
                <w:rFonts w:hint="eastAsia" w:ascii="仿宋" w:hAnsi="仿宋" w:eastAsia="仿宋"/>
                <w:color w:val="FF0000"/>
                <w:sz w:val="24"/>
                <w:szCs w:val="24"/>
                <w:u w:val="single"/>
              </w:rPr>
              <w:t xml:space="preserve">  35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技术部分：</w:t>
            </w:r>
            <w:r>
              <w:rPr>
                <w:rFonts w:hint="eastAsia" w:ascii="仿宋" w:hAnsi="仿宋" w:eastAsia="仿宋"/>
                <w:color w:val="FF0000"/>
                <w:sz w:val="24"/>
                <w:szCs w:val="24"/>
                <w:u w:val="single"/>
              </w:rPr>
              <w:t xml:space="preserve">   35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66" w:type="dxa"/>
            <w:gridSpan w:val="3"/>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一、价格部分（满分</w:t>
            </w:r>
            <w:r>
              <w:rPr>
                <w:rFonts w:hint="eastAsia" w:ascii="仿宋" w:hAnsi="仿宋" w:eastAsia="仿宋"/>
                <w:b/>
                <w:color w:val="FF0000"/>
                <w:sz w:val="24"/>
                <w:szCs w:val="24"/>
                <w:u w:val="single"/>
              </w:rPr>
              <w:t xml:space="preserve"> 30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46"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046"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投标报价</w:t>
            </w:r>
          </w:p>
          <w:p>
            <w:pPr>
              <w:jc w:val="center"/>
              <w:rPr>
                <w:rFonts w:ascii="仿宋" w:hAnsi="仿宋" w:eastAsia="仿宋"/>
                <w:sz w:val="24"/>
                <w:szCs w:val="24"/>
              </w:rPr>
            </w:pPr>
            <w:r>
              <w:rPr>
                <w:rFonts w:hint="eastAsia" w:ascii="仿宋" w:hAnsi="仿宋" w:eastAsia="仿宋"/>
                <w:sz w:val="24"/>
                <w:szCs w:val="24"/>
              </w:rPr>
              <w:t>评分标准</w:t>
            </w:r>
          </w:p>
        </w:tc>
        <w:tc>
          <w:tcPr>
            <w:tcW w:w="5953" w:type="dxa"/>
            <w:tcBorders>
              <w:top w:val="single" w:color="auto" w:sz="4" w:space="0"/>
            </w:tcBorders>
            <w:vAlign w:val="center"/>
          </w:tcPr>
          <w:p>
            <w:pPr>
              <w:rPr>
                <w:rFonts w:ascii="仿宋" w:hAnsi="仿宋" w:eastAsia="仿宋"/>
                <w:sz w:val="24"/>
                <w:szCs w:val="24"/>
              </w:rPr>
            </w:pPr>
            <w:r>
              <w:rPr>
                <w:rFonts w:hint="eastAsia" w:ascii="仿宋" w:hAnsi="仿宋" w:eastAsia="仿宋"/>
                <w:sz w:val="24"/>
                <w:szCs w:val="24"/>
              </w:rPr>
              <w:t>评标基准价：满足招标文件要求的有效投标报价中，最低的投标报价为评标基准价。</w:t>
            </w:r>
          </w:p>
          <w:p>
            <w:pPr>
              <w:rPr>
                <w:rFonts w:ascii="仿宋" w:hAnsi="仿宋" w:eastAsia="仿宋"/>
                <w:sz w:val="24"/>
                <w:szCs w:val="24"/>
              </w:rPr>
            </w:pPr>
            <w:r>
              <w:rPr>
                <w:rFonts w:hint="eastAsia" w:ascii="仿宋" w:hAnsi="仿宋" w:eastAsia="仿宋"/>
                <w:sz w:val="24"/>
                <w:szCs w:val="24"/>
              </w:rPr>
              <w:t>投标报价得分=（评标基准价/投标报价）×</w:t>
            </w:r>
            <w:r>
              <w:rPr>
                <w:rFonts w:hint="eastAsia" w:ascii="仿宋" w:hAnsi="仿宋" w:eastAsia="仿宋"/>
                <w:color w:val="FF0000"/>
                <w:sz w:val="24"/>
                <w:szCs w:val="24"/>
                <w:u w:val="single"/>
              </w:rPr>
              <w:t xml:space="preserve"> 30 </w:t>
            </w:r>
          </w:p>
        </w:tc>
        <w:tc>
          <w:tcPr>
            <w:tcW w:w="967"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30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二、商务部分（满分</w:t>
            </w:r>
            <w:r>
              <w:rPr>
                <w:rFonts w:hint="eastAsia" w:ascii="仿宋" w:hAnsi="仿宋" w:eastAsia="仿宋"/>
                <w:b/>
                <w:color w:val="FF0000"/>
                <w:sz w:val="24"/>
                <w:szCs w:val="24"/>
                <w:u w:val="single"/>
              </w:rPr>
              <w:t xml:space="preserve"> 35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046"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信誉</w:t>
            </w:r>
          </w:p>
        </w:tc>
        <w:tc>
          <w:tcPr>
            <w:tcW w:w="5953" w:type="dxa"/>
            <w:vAlign w:val="center"/>
          </w:tcPr>
          <w:p>
            <w:pPr>
              <w:rPr>
                <w:rFonts w:ascii="仿宋" w:hAnsi="仿宋" w:eastAsia="仿宋" w:cs="Times New Roman"/>
                <w:b/>
                <w:i/>
                <w:color w:val="548DD4" w:themeColor="text2" w:themeTint="99"/>
                <w:kern w:val="0"/>
                <w:sz w:val="24"/>
                <w:szCs w:val="24"/>
              </w:rPr>
            </w:pPr>
            <w:r>
              <w:rPr>
                <w:rFonts w:hint="eastAsia" w:ascii="仿宋" w:hAnsi="仿宋" w:eastAsia="仿宋"/>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企业实力</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1、投标人具有国家级测评或认证机构颁发的信息安全服务资质的得2分，没有不得分；</w:t>
            </w:r>
          </w:p>
          <w:p>
            <w:pPr>
              <w:spacing w:line="360" w:lineRule="exact"/>
              <w:rPr>
                <w:rFonts w:ascii="仿宋" w:hAnsi="仿宋" w:eastAsia="仿宋"/>
                <w:sz w:val="24"/>
                <w:szCs w:val="24"/>
              </w:rPr>
            </w:pPr>
            <w:r>
              <w:rPr>
                <w:rFonts w:hint="eastAsia" w:ascii="仿宋" w:hAnsi="仿宋" w:eastAsia="仿宋"/>
                <w:sz w:val="24"/>
                <w:szCs w:val="24"/>
              </w:rPr>
              <w:t>2、投标人具有国际认证的ISO9001质量管理体系认证证书的2分，没有不得分；</w:t>
            </w:r>
          </w:p>
          <w:p>
            <w:pPr>
              <w:spacing w:line="360" w:lineRule="exact"/>
              <w:rPr>
                <w:rFonts w:ascii="仿宋" w:hAnsi="仿宋" w:eastAsia="仿宋"/>
                <w:sz w:val="24"/>
                <w:szCs w:val="24"/>
              </w:rPr>
            </w:pPr>
            <w:r>
              <w:rPr>
                <w:rFonts w:hint="eastAsia" w:ascii="仿宋" w:hAnsi="仿宋" w:eastAsia="仿宋"/>
                <w:sz w:val="24"/>
                <w:szCs w:val="24"/>
              </w:rPr>
              <w:t>3、投标人具有有信息系统及服务集成三级及以上证书的3分，没有不得分；</w:t>
            </w:r>
          </w:p>
          <w:p>
            <w:pPr>
              <w:spacing w:line="360" w:lineRule="exact"/>
              <w:rPr>
                <w:rFonts w:ascii="仿宋" w:hAnsi="仿宋" w:eastAsia="仿宋"/>
                <w:sz w:val="24"/>
                <w:szCs w:val="24"/>
              </w:rPr>
            </w:pPr>
            <w:r>
              <w:rPr>
                <w:rFonts w:hint="eastAsia" w:ascii="仿宋" w:hAnsi="仿宋" w:eastAsia="仿宋"/>
                <w:sz w:val="24"/>
                <w:szCs w:val="24"/>
              </w:rPr>
              <w:t>4、投标人具有投标产品的著作权登记证书的3分，没有不得分；</w:t>
            </w:r>
          </w:p>
          <w:p>
            <w:pPr>
              <w:spacing w:line="360" w:lineRule="exact"/>
              <w:rPr>
                <w:rFonts w:ascii="仿宋" w:hAnsi="仿宋" w:eastAsia="仿宋"/>
                <w:sz w:val="24"/>
                <w:szCs w:val="24"/>
              </w:rPr>
            </w:pPr>
            <w:r>
              <w:rPr>
                <w:rFonts w:hint="eastAsia" w:ascii="仿宋" w:hAnsi="仿宋" w:eastAsia="仿宋"/>
                <w:sz w:val="24"/>
                <w:szCs w:val="24"/>
              </w:rPr>
              <w:t>以上证书要求在响应文件中均须提供复印件加盖公章。开标时提供原件</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10</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业绩</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投标人提供类似项目合同，每提供一份得2分，最多10分。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10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投标文件编制</w:t>
            </w:r>
          </w:p>
        </w:tc>
        <w:tc>
          <w:tcPr>
            <w:tcW w:w="5953" w:type="dxa"/>
            <w:vAlign w:val="center"/>
          </w:tcPr>
          <w:p>
            <w:pPr>
              <w:spacing w:line="400" w:lineRule="exact"/>
              <w:rPr>
                <w:rFonts w:ascii="仿宋" w:hAnsi="仿宋" w:eastAsia="仿宋"/>
                <w:sz w:val="24"/>
                <w:szCs w:val="24"/>
              </w:rPr>
            </w:pPr>
            <w:r>
              <w:rPr>
                <w:rFonts w:hint="eastAsia" w:ascii="仿宋" w:hAnsi="仿宋" w:eastAsia="仿宋"/>
                <w:sz w:val="24"/>
                <w:szCs w:val="24"/>
              </w:rPr>
              <w:t>投标文件编制完整，结构清晰，查阅方便。好6分，较好4分，一般2分。</w:t>
            </w:r>
          </w:p>
        </w:tc>
        <w:tc>
          <w:tcPr>
            <w:tcW w:w="967" w:type="dxa"/>
            <w:vAlign w:val="center"/>
          </w:tcPr>
          <w:p>
            <w:pPr>
              <w:jc w:val="center"/>
              <w:rPr>
                <w:rFonts w:ascii="仿宋" w:hAnsi="仿宋" w:eastAsia="仿宋" w:cs="宋体"/>
                <w:sz w:val="24"/>
                <w:szCs w:val="24"/>
              </w:rPr>
            </w:pPr>
            <w:r>
              <w:rPr>
                <w:rFonts w:hint="eastAsia" w:ascii="仿宋" w:hAnsi="仿宋" w:eastAsia="仿宋"/>
                <w:color w:val="FF0000"/>
                <w:sz w:val="24"/>
                <w:szCs w:val="24"/>
                <w:u w:val="single"/>
              </w:rPr>
              <w:t>6</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拟派驻</w:t>
            </w:r>
          </w:p>
          <w:p>
            <w:pPr>
              <w:jc w:val="center"/>
              <w:rPr>
                <w:rFonts w:ascii="仿宋" w:hAnsi="仿宋" w:eastAsia="仿宋"/>
                <w:sz w:val="24"/>
                <w:szCs w:val="24"/>
              </w:rPr>
            </w:pPr>
            <w:r>
              <w:rPr>
                <w:rFonts w:hint="eastAsia" w:ascii="仿宋" w:hAnsi="仿宋" w:eastAsia="仿宋"/>
                <w:sz w:val="24"/>
                <w:szCs w:val="24"/>
              </w:rPr>
              <w:t>工程技术人员</w:t>
            </w:r>
          </w:p>
        </w:tc>
        <w:tc>
          <w:tcPr>
            <w:tcW w:w="5953" w:type="dxa"/>
            <w:vAlign w:val="center"/>
          </w:tcPr>
          <w:p>
            <w:pPr>
              <w:spacing w:line="400" w:lineRule="exact"/>
              <w:rPr>
                <w:rFonts w:ascii="仿宋" w:hAnsi="仿宋" w:eastAsia="仿宋"/>
                <w:sz w:val="24"/>
                <w:szCs w:val="24"/>
              </w:rPr>
            </w:pPr>
            <w:r>
              <w:rPr>
                <w:rFonts w:hint="eastAsia" w:ascii="仿宋" w:hAnsi="仿宋" w:eastAsia="仿宋"/>
                <w:sz w:val="24"/>
                <w:szCs w:val="24"/>
              </w:rPr>
              <w:t>投标人拟派专业技术人员具有相关专业（计算机网络相关）中级及其以上技术资格的，每提供1人得2分，最多得4分。提供国家人社部门颁发证书</w:t>
            </w:r>
          </w:p>
          <w:p>
            <w:pPr>
              <w:spacing w:line="400" w:lineRule="exact"/>
              <w:rPr>
                <w:rFonts w:ascii="仿宋" w:hAnsi="仿宋" w:eastAsia="仿宋"/>
                <w:sz w:val="24"/>
                <w:szCs w:val="24"/>
              </w:rPr>
            </w:pPr>
            <w:r>
              <w:rPr>
                <w:rFonts w:hint="eastAsia" w:ascii="仿宋" w:hAnsi="仿宋" w:eastAsia="仿宋"/>
                <w:sz w:val="24"/>
                <w:szCs w:val="24"/>
              </w:rPr>
              <w:t>投标人拟派专业技术人员中具有CISP认证证书的得3分。</w:t>
            </w:r>
          </w:p>
          <w:p>
            <w:pPr>
              <w:spacing w:line="400" w:lineRule="exact"/>
              <w:rPr>
                <w:rFonts w:ascii="仿宋" w:hAnsi="仿宋" w:eastAsia="仿宋"/>
                <w:sz w:val="24"/>
                <w:szCs w:val="24"/>
              </w:rPr>
            </w:pPr>
            <w:r>
              <w:rPr>
                <w:rFonts w:hint="eastAsia" w:ascii="仿宋" w:hAnsi="仿宋" w:eastAsia="仿宋"/>
                <w:sz w:val="24"/>
                <w:szCs w:val="24"/>
              </w:rPr>
              <w:t>（提供工程技术人员名单及资质证书复印件加盖公章，开标时提供原件）</w:t>
            </w:r>
          </w:p>
        </w:tc>
        <w:tc>
          <w:tcPr>
            <w:tcW w:w="967" w:type="dxa"/>
            <w:vAlign w:val="center"/>
          </w:tcPr>
          <w:p>
            <w:pPr>
              <w:jc w:val="center"/>
              <w:rPr>
                <w:rFonts w:ascii="仿宋" w:hAnsi="仿宋" w:eastAsia="仿宋"/>
                <w:color w:val="FF0000"/>
                <w:sz w:val="24"/>
                <w:szCs w:val="24"/>
                <w:u w:val="single"/>
              </w:rPr>
            </w:pPr>
            <w:r>
              <w:rPr>
                <w:rFonts w:hint="eastAsia" w:ascii="仿宋" w:hAnsi="仿宋" w:eastAsia="仿宋"/>
                <w:color w:val="FF0000"/>
                <w:sz w:val="24"/>
                <w:szCs w:val="24"/>
                <w:u w:val="single"/>
              </w:rPr>
              <w:t>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三、技术部分（满分</w:t>
            </w:r>
            <w:r>
              <w:rPr>
                <w:rFonts w:hint="eastAsia" w:ascii="仿宋" w:hAnsi="仿宋" w:eastAsia="仿宋"/>
                <w:b/>
                <w:color w:val="FF0000"/>
                <w:sz w:val="24"/>
                <w:szCs w:val="24"/>
                <w:u w:val="single"/>
              </w:rPr>
              <w:t xml:space="preserve"> 35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left"/>
              <w:rPr>
                <w:rFonts w:ascii="仿宋" w:hAnsi="仿宋" w:eastAsia="仿宋"/>
                <w:sz w:val="24"/>
                <w:szCs w:val="24"/>
              </w:rPr>
            </w:pPr>
            <w:r>
              <w:rPr>
                <w:rFonts w:hint="eastAsia" w:ascii="仿宋" w:hAnsi="仿宋" w:eastAsia="仿宋"/>
                <w:sz w:val="24"/>
                <w:szCs w:val="24"/>
              </w:rPr>
              <w:t>需求理解</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对项目背景现状、实际需求、运维要求、未来发展等理解到位、分析全面深入。根据投标文件综合打分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left"/>
              <w:rPr>
                <w:rFonts w:ascii="仿宋" w:hAnsi="仿宋" w:eastAsia="仿宋"/>
                <w:sz w:val="24"/>
                <w:szCs w:val="24"/>
              </w:rPr>
            </w:pPr>
            <w:r>
              <w:rPr>
                <w:rFonts w:hint="eastAsia" w:ascii="仿宋" w:hAnsi="仿宋" w:eastAsia="仿宋"/>
                <w:sz w:val="24"/>
                <w:szCs w:val="24"/>
              </w:rPr>
              <w:t>方案设计</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根据项目理解，设计相应建设方案，在充分满足招标文件要求的前提下，方案合理、重点突出、兼顾全局、高效可行。根据投标文件综合打分。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rPr>
                <w:rFonts w:ascii="仿宋" w:hAnsi="仿宋" w:eastAsia="仿宋"/>
                <w:sz w:val="24"/>
                <w:szCs w:val="24"/>
              </w:rPr>
            </w:pPr>
            <w:r>
              <w:rPr>
                <w:rFonts w:hint="eastAsia" w:ascii="仿宋" w:hAnsi="仿宋" w:eastAsia="仿宋"/>
                <w:sz w:val="24"/>
                <w:szCs w:val="24"/>
              </w:rPr>
              <w:t>数据对接</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投标人提供许昌市中心血站管理信息系统（业务管理系统）承建单位出具的关于投标产品兼容性测试报告（提供原件）。如有得分5，没有不得分。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 xml:space="preserve"> 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2046"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培对方案</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根据建设方案，提供系统、全面、可行的培训方案，多维度、多层次提供系统培训。根据投标文件综合打分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color w:val="FF0000"/>
                <w:sz w:val="24"/>
                <w:szCs w:val="24"/>
                <w:u w:val="single"/>
              </w:rPr>
            </w:pPr>
            <w:r>
              <w:rPr>
                <w:rFonts w:hint="eastAsia" w:ascii="仿宋" w:hAnsi="仿宋" w:eastAsia="仿宋"/>
                <w:color w:val="FF0000"/>
                <w:sz w:val="24"/>
                <w:szCs w:val="24"/>
                <w:u w:val="single"/>
              </w:rPr>
              <w:t xml:space="preserve">5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2046"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售后服务</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根据建设方案，搭建科学合理的售后服务体系，组织结构合理、施工质量优秀、协同机制完备、服务流程科学、质量保障充分。根据投标文件综合打分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color w:val="FF0000"/>
                <w:sz w:val="24"/>
                <w:szCs w:val="24"/>
                <w:u w:val="single"/>
              </w:rPr>
            </w:pPr>
            <w:r>
              <w:rPr>
                <w:rFonts w:hint="eastAsia" w:ascii="仿宋" w:hAnsi="仿宋" w:eastAsia="仿宋"/>
                <w:color w:val="FF0000"/>
                <w:sz w:val="24"/>
                <w:szCs w:val="24"/>
                <w:u w:val="single"/>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2046"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项目人员安排</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对拟投入本项目的人员配置方案、人员层级结构、职称、专业技术水平、行业了解情况进行综合比较打分。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color w:val="FF0000"/>
                <w:sz w:val="24"/>
                <w:szCs w:val="24"/>
                <w:u w:val="single"/>
              </w:rPr>
            </w:pPr>
            <w:r>
              <w:rPr>
                <w:rFonts w:hint="eastAsia" w:ascii="仿宋" w:hAnsi="仿宋" w:eastAsia="仿宋"/>
                <w:color w:val="FF0000"/>
                <w:sz w:val="24"/>
                <w:szCs w:val="24"/>
                <w:u w:val="single"/>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46"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交货计划以及实</w:t>
            </w:r>
          </w:p>
          <w:p>
            <w:pPr>
              <w:spacing w:line="360" w:lineRule="exact"/>
              <w:jc w:val="left"/>
              <w:rPr>
                <w:rFonts w:ascii="仿宋" w:hAnsi="仿宋" w:eastAsia="仿宋"/>
                <w:sz w:val="24"/>
                <w:szCs w:val="24"/>
              </w:rPr>
            </w:pPr>
          </w:p>
          <w:p>
            <w:pPr>
              <w:spacing w:line="360" w:lineRule="exact"/>
              <w:jc w:val="left"/>
              <w:rPr>
                <w:rFonts w:ascii="仿宋" w:hAnsi="仿宋" w:eastAsia="仿宋"/>
                <w:sz w:val="24"/>
                <w:szCs w:val="24"/>
              </w:rPr>
            </w:pPr>
            <w:r>
              <w:rPr>
                <w:rFonts w:hint="eastAsia" w:ascii="仿宋" w:hAnsi="仿宋" w:eastAsia="仿宋"/>
                <w:sz w:val="24"/>
                <w:szCs w:val="24"/>
              </w:rPr>
              <w:t>施方案</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对提供的产品和服务按照投标文件要求期限内完工、并</w:t>
            </w:r>
          </w:p>
          <w:p>
            <w:pPr>
              <w:spacing w:line="360" w:lineRule="exact"/>
              <w:rPr>
                <w:rFonts w:ascii="仿宋" w:hAnsi="仿宋" w:eastAsia="仿宋"/>
                <w:sz w:val="24"/>
                <w:szCs w:val="24"/>
              </w:rPr>
            </w:pPr>
            <w:r>
              <w:rPr>
                <w:rFonts w:hint="eastAsia" w:ascii="仿宋" w:hAnsi="仿宋" w:eastAsia="仿宋"/>
                <w:sz w:val="24"/>
                <w:szCs w:val="24"/>
              </w:rPr>
              <w:t>且制定具体、详细、可行，科学、合理，符合国家相关标准及规定的实施计划根据情况进行综合打分。</w:t>
            </w:r>
          </w:p>
          <w:p>
            <w:pPr>
              <w:spacing w:line="360" w:lineRule="exact"/>
              <w:rPr>
                <w:rFonts w:ascii="仿宋" w:hAnsi="仿宋" w:eastAsia="仿宋"/>
                <w:sz w:val="24"/>
                <w:szCs w:val="24"/>
              </w:rPr>
            </w:pPr>
            <w:r>
              <w:rPr>
                <w:rFonts w:hint="eastAsia" w:ascii="仿宋" w:hAnsi="仿宋" w:eastAsia="仿宋"/>
                <w:sz w:val="24"/>
                <w:szCs w:val="24"/>
              </w:rPr>
              <w:t>优秀5分，较好4分，一般3分，较差2,差或者不提供不得分。</w:t>
            </w:r>
          </w:p>
        </w:tc>
        <w:tc>
          <w:tcPr>
            <w:tcW w:w="967" w:type="dxa"/>
            <w:vAlign w:val="center"/>
          </w:tcPr>
          <w:p>
            <w:pPr>
              <w:jc w:val="center"/>
              <w:rPr>
                <w:rFonts w:ascii="仿宋" w:hAnsi="仿宋" w:eastAsia="仿宋"/>
                <w:color w:val="FF0000"/>
                <w:sz w:val="24"/>
                <w:szCs w:val="24"/>
                <w:u w:val="single"/>
              </w:rPr>
            </w:pPr>
            <w:r>
              <w:rPr>
                <w:rFonts w:hint="eastAsia" w:ascii="仿宋" w:hAnsi="仿宋" w:eastAsia="仿宋"/>
                <w:color w:val="FF0000"/>
                <w:sz w:val="24"/>
                <w:szCs w:val="24"/>
                <w:u w:val="single"/>
              </w:rPr>
              <w:t>5 分</w:t>
            </w:r>
          </w:p>
        </w:tc>
      </w:tr>
    </w:tbl>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六、采购资金支付</w:t>
      </w:r>
    </w:p>
    <w:p>
      <w:pPr>
        <w:widowControl/>
        <w:shd w:val="clear" w:color="auto" w:fill="FFFFFF"/>
        <w:spacing w:line="360" w:lineRule="auto"/>
        <w:ind w:firstLine="560" w:firstLineChars="200"/>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（一）支付方式：银行转账</w:t>
      </w: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r>
        <w:rPr>
          <w:rFonts w:hint="eastAsia" w:ascii="仿宋" w:hAnsi="仿宋" w:eastAsia="仿宋" w:cs="宋体"/>
          <w:color w:val="000000"/>
          <w:kern w:val="0"/>
          <w:sz w:val="28"/>
          <w:szCs w:val="28"/>
          <w:lang w:val="zh-CN"/>
        </w:rPr>
        <w:t>（二）支付时间及条件：经验收合格付合同总价款的90%，剩余10%满半年无质量问题一次付清</w:t>
      </w: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七</w:t>
      </w:r>
      <w:r>
        <w:rPr>
          <w:rFonts w:ascii="仿宋" w:hAnsi="仿宋" w:eastAsia="仿宋" w:cs="黑体"/>
          <w:color w:val="000000"/>
          <w:kern w:val="0"/>
          <w:sz w:val="28"/>
          <w:szCs w:val="28"/>
          <w:lang w:val="zh-CN"/>
        </w:rPr>
        <w:t>、联系方式</w:t>
      </w:r>
    </w:p>
    <w:p>
      <w:pPr>
        <w:widowControl/>
        <w:shd w:val="clear" w:color="auto" w:fill="FFFFFF"/>
        <w:spacing w:line="525" w:lineRule="atLeast"/>
        <w:ind w:firstLine="795"/>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联系人姓名：张先生</w:t>
      </w:r>
      <w:r>
        <w:rPr>
          <w:rFonts w:hint="eastAsia" w:ascii="宋体" w:hAnsi="宋体" w:eastAsia="宋体" w:cs="宋体"/>
          <w:color w:val="000000"/>
          <w:kern w:val="0"/>
          <w:sz w:val="28"/>
          <w:szCs w:val="28"/>
          <w:lang w:val="zh-CN"/>
        </w:rPr>
        <w:t>   </w:t>
      </w:r>
      <w:r>
        <w:rPr>
          <w:rFonts w:hint="eastAsia" w:ascii="仿宋" w:hAnsi="仿宋" w:eastAsia="仿宋" w:cs="宋体"/>
          <w:color w:val="000000"/>
          <w:kern w:val="0"/>
          <w:sz w:val="28"/>
          <w:szCs w:val="28"/>
          <w:lang w:val="zh-CN"/>
        </w:rPr>
        <w:t xml:space="preserve">  联系电话：</w:t>
      </w:r>
      <w:r>
        <w:rPr>
          <w:rFonts w:ascii="仿宋" w:hAnsi="仿宋" w:eastAsia="仿宋" w:cs="宋体"/>
          <w:color w:val="000000"/>
          <w:kern w:val="0"/>
          <w:sz w:val="28"/>
          <w:szCs w:val="28"/>
          <w:lang w:val="zh-CN"/>
        </w:rPr>
        <w:t>18539030368</w:t>
      </w:r>
    </w:p>
    <w:p>
      <w:pPr>
        <w:widowControl/>
        <w:shd w:val="clear" w:color="auto" w:fill="FFFFFF"/>
        <w:spacing w:line="525" w:lineRule="atLeast"/>
        <w:ind w:firstLine="795"/>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单位</w:t>
      </w:r>
      <w:r>
        <w:rPr>
          <w:rFonts w:ascii="仿宋" w:hAnsi="仿宋" w:eastAsia="仿宋" w:cs="宋体"/>
          <w:color w:val="000000"/>
          <w:kern w:val="0"/>
          <w:sz w:val="28"/>
          <w:szCs w:val="28"/>
          <w:lang w:val="zh-CN"/>
        </w:rPr>
        <w:t>地址：</w:t>
      </w:r>
      <w:r>
        <w:rPr>
          <w:rFonts w:hint="eastAsia" w:ascii="仿宋" w:hAnsi="仿宋" w:eastAsia="仿宋" w:cs="宋体"/>
          <w:color w:val="000000"/>
          <w:kern w:val="0"/>
          <w:sz w:val="28"/>
          <w:szCs w:val="28"/>
          <w:lang w:val="zh-CN"/>
        </w:rPr>
        <w:t>许昌市学院路和前进路交叉口许昌市中心血站</w:t>
      </w:r>
    </w:p>
    <w:p>
      <w:pPr>
        <w:widowControl/>
        <w:shd w:val="clear" w:color="auto" w:fill="FFFFFF"/>
        <w:spacing w:line="525" w:lineRule="atLeast"/>
        <w:ind w:firstLine="795"/>
        <w:jc w:val="left"/>
        <w:rPr>
          <w:rFonts w:ascii="仿宋" w:hAnsi="仿宋" w:eastAsia="仿宋" w:cs="宋体"/>
          <w:color w:val="000000"/>
          <w:kern w:val="0"/>
          <w:sz w:val="28"/>
          <w:szCs w:val="28"/>
          <w:lang w:val="zh-CN"/>
        </w:rPr>
      </w:pP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0482"/>
    <w:rsid w:val="0000284D"/>
    <w:rsid w:val="00002F95"/>
    <w:rsid w:val="0002708B"/>
    <w:rsid w:val="00046E4A"/>
    <w:rsid w:val="000501BD"/>
    <w:rsid w:val="00061420"/>
    <w:rsid w:val="00062A08"/>
    <w:rsid w:val="00083A52"/>
    <w:rsid w:val="00085457"/>
    <w:rsid w:val="000865AF"/>
    <w:rsid w:val="00091F26"/>
    <w:rsid w:val="000C3E42"/>
    <w:rsid w:val="00104B97"/>
    <w:rsid w:val="0010608C"/>
    <w:rsid w:val="0012093A"/>
    <w:rsid w:val="00140654"/>
    <w:rsid w:val="001526BA"/>
    <w:rsid w:val="00152C81"/>
    <w:rsid w:val="0015680F"/>
    <w:rsid w:val="00164B80"/>
    <w:rsid w:val="00194152"/>
    <w:rsid w:val="00194FB4"/>
    <w:rsid w:val="001A26DC"/>
    <w:rsid w:val="001B4975"/>
    <w:rsid w:val="001D184E"/>
    <w:rsid w:val="001D4268"/>
    <w:rsid w:val="001D6998"/>
    <w:rsid w:val="001E1665"/>
    <w:rsid w:val="00224656"/>
    <w:rsid w:val="0025065A"/>
    <w:rsid w:val="002643E8"/>
    <w:rsid w:val="00274B19"/>
    <w:rsid w:val="0028010A"/>
    <w:rsid w:val="00280D0D"/>
    <w:rsid w:val="002822E0"/>
    <w:rsid w:val="00293CDD"/>
    <w:rsid w:val="002A5800"/>
    <w:rsid w:val="002D1BFE"/>
    <w:rsid w:val="002E065E"/>
    <w:rsid w:val="00313A24"/>
    <w:rsid w:val="0034060F"/>
    <w:rsid w:val="00341433"/>
    <w:rsid w:val="00355EC5"/>
    <w:rsid w:val="00356FEB"/>
    <w:rsid w:val="00357598"/>
    <w:rsid w:val="00366769"/>
    <w:rsid w:val="0038357E"/>
    <w:rsid w:val="00385A2E"/>
    <w:rsid w:val="003A49D6"/>
    <w:rsid w:val="003A4CD4"/>
    <w:rsid w:val="003B14FA"/>
    <w:rsid w:val="003B74EF"/>
    <w:rsid w:val="003F1F8A"/>
    <w:rsid w:val="003F5CBC"/>
    <w:rsid w:val="004063D5"/>
    <w:rsid w:val="00413079"/>
    <w:rsid w:val="00417A1A"/>
    <w:rsid w:val="004522E6"/>
    <w:rsid w:val="0046107D"/>
    <w:rsid w:val="0046293F"/>
    <w:rsid w:val="00486EC7"/>
    <w:rsid w:val="00493E7F"/>
    <w:rsid w:val="004A30AF"/>
    <w:rsid w:val="004B0679"/>
    <w:rsid w:val="004B7075"/>
    <w:rsid w:val="004C7898"/>
    <w:rsid w:val="004D071E"/>
    <w:rsid w:val="004D2CFD"/>
    <w:rsid w:val="004F1685"/>
    <w:rsid w:val="0051066D"/>
    <w:rsid w:val="00510760"/>
    <w:rsid w:val="00531C42"/>
    <w:rsid w:val="005348DB"/>
    <w:rsid w:val="00550FB5"/>
    <w:rsid w:val="0058224A"/>
    <w:rsid w:val="005A44AE"/>
    <w:rsid w:val="005B6AAB"/>
    <w:rsid w:val="005E4046"/>
    <w:rsid w:val="005F03A1"/>
    <w:rsid w:val="006019EC"/>
    <w:rsid w:val="00602B26"/>
    <w:rsid w:val="006053CC"/>
    <w:rsid w:val="00610E32"/>
    <w:rsid w:val="0061311D"/>
    <w:rsid w:val="00624297"/>
    <w:rsid w:val="0062595E"/>
    <w:rsid w:val="006321D5"/>
    <w:rsid w:val="00636AAD"/>
    <w:rsid w:val="00637675"/>
    <w:rsid w:val="0063793C"/>
    <w:rsid w:val="0066168C"/>
    <w:rsid w:val="006764D0"/>
    <w:rsid w:val="00682E0D"/>
    <w:rsid w:val="00685EBE"/>
    <w:rsid w:val="00686D69"/>
    <w:rsid w:val="006942C8"/>
    <w:rsid w:val="0069586C"/>
    <w:rsid w:val="006A53F0"/>
    <w:rsid w:val="006B0733"/>
    <w:rsid w:val="006C3302"/>
    <w:rsid w:val="006C4E17"/>
    <w:rsid w:val="00706CA9"/>
    <w:rsid w:val="00715FB5"/>
    <w:rsid w:val="007230B6"/>
    <w:rsid w:val="00731A27"/>
    <w:rsid w:val="00752A7A"/>
    <w:rsid w:val="00762A60"/>
    <w:rsid w:val="007635BC"/>
    <w:rsid w:val="0077342A"/>
    <w:rsid w:val="00786524"/>
    <w:rsid w:val="007A1988"/>
    <w:rsid w:val="007A28F1"/>
    <w:rsid w:val="007B1388"/>
    <w:rsid w:val="007B3EC7"/>
    <w:rsid w:val="007B564F"/>
    <w:rsid w:val="007C4D77"/>
    <w:rsid w:val="007C60A8"/>
    <w:rsid w:val="007E409B"/>
    <w:rsid w:val="008005F4"/>
    <w:rsid w:val="00800AFE"/>
    <w:rsid w:val="00812432"/>
    <w:rsid w:val="00813265"/>
    <w:rsid w:val="008162BA"/>
    <w:rsid w:val="00822C76"/>
    <w:rsid w:val="008274F5"/>
    <w:rsid w:val="00863B55"/>
    <w:rsid w:val="00883D20"/>
    <w:rsid w:val="00891A49"/>
    <w:rsid w:val="008A0F34"/>
    <w:rsid w:val="008A7892"/>
    <w:rsid w:val="008B358E"/>
    <w:rsid w:val="008B5105"/>
    <w:rsid w:val="008D2DA5"/>
    <w:rsid w:val="008D598D"/>
    <w:rsid w:val="00921FD4"/>
    <w:rsid w:val="00940AC7"/>
    <w:rsid w:val="00957F59"/>
    <w:rsid w:val="00964B47"/>
    <w:rsid w:val="009970C6"/>
    <w:rsid w:val="009A1EE0"/>
    <w:rsid w:val="009B718A"/>
    <w:rsid w:val="009C12AB"/>
    <w:rsid w:val="009C5BF8"/>
    <w:rsid w:val="009E027F"/>
    <w:rsid w:val="009E12ED"/>
    <w:rsid w:val="00A01417"/>
    <w:rsid w:val="00A14E66"/>
    <w:rsid w:val="00A16EAB"/>
    <w:rsid w:val="00A27230"/>
    <w:rsid w:val="00A40CCF"/>
    <w:rsid w:val="00A5252A"/>
    <w:rsid w:val="00A55D17"/>
    <w:rsid w:val="00A7118E"/>
    <w:rsid w:val="00A85EF1"/>
    <w:rsid w:val="00AB233D"/>
    <w:rsid w:val="00AB5016"/>
    <w:rsid w:val="00AC1A9A"/>
    <w:rsid w:val="00AE1303"/>
    <w:rsid w:val="00B00167"/>
    <w:rsid w:val="00B0070F"/>
    <w:rsid w:val="00B13D7A"/>
    <w:rsid w:val="00B21731"/>
    <w:rsid w:val="00B342D6"/>
    <w:rsid w:val="00B513EE"/>
    <w:rsid w:val="00B62D14"/>
    <w:rsid w:val="00B779AB"/>
    <w:rsid w:val="00B87208"/>
    <w:rsid w:val="00B94134"/>
    <w:rsid w:val="00BA02EC"/>
    <w:rsid w:val="00BA2EEE"/>
    <w:rsid w:val="00BD01B9"/>
    <w:rsid w:val="00BD0C02"/>
    <w:rsid w:val="00BE28BB"/>
    <w:rsid w:val="00BE2F8B"/>
    <w:rsid w:val="00BE4130"/>
    <w:rsid w:val="00BE4393"/>
    <w:rsid w:val="00BE5571"/>
    <w:rsid w:val="00BF3564"/>
    <w:rsid w:val="00BF5438"/>
    <w:rsid w:val="00C13A23"/>
    <w:rsid w:val="00C14450"/>
    <w:rsid w:val="00C61FD8"/>
    <w:rsid w:val="00C83940"/>
    <w:rsid w:val="00C9475D"/>
    <w:rsid w:val="00CA0796"/>
    <w:rsid w:val="00CB102A"/>
    <w:rsid w:val="00CC7077"/>
    <w:rsid w:val="00CE436B"/>
    <w:rsid w:val="00CE5C5F"/>
    <w:rsid w:val="00CE6EFF"/>
    <w:rsid w:val="00D031FB"/>
    <w:rsid w:val="00D110AB"/>
    <w:rsid w:val="00D3075A"/>
    <w:rsid w:val="00D33579"/>
    <w:rsid w:val="00D356E3"/>
    <w:rsid w:val="00D37D8E"/>
    <w:rsid w:val="00D42FEA"/>
    <w:rsid w:val="00D465D3"/>
    <w:rsid w:val="00D67372"/>
    <w:rsid w:val="00D70482"/>
    <w:rsid w:val="00D75D50"/>
    <w:rsid w:val="00D85F12"/>
    <w:rsid w:val="00D91F99"/>
    <w:rsid w:val="00D94556"/>
    <w:rsid w:val="00DA071F"/>
    <w:rsid w:val="00DA235B"/>
    <w:rsid w:val="00DA319C"/>
    <w:rsid w:val="00DA733B"/>
    <w:rsid w:val="00DB009F"/>
    <w:rsid w:val="00DC4F63"/>
    <w:rsid w:val="00DE6F65"/>
    <w:rsid w:val="00E019F5"/>
    <w:rsid w:val="00E0384D"/>
    <w:rsid w:val="00E073BB"/>
    <w:rsid w:val="00E16898"/>
    <w:rsid w:val="00E2408B"/>
    <w:rsid w:val="00E33DA9"/>
    <w:rsid w:val="00E37FEF"/>
    <w:rsid w:val="00E70D49"/>
    <w:rsid w:val="00E8547C"/>
    <w:rsid w:val="00E903BD"/>
    <w:rsid w:val="00EA16EA"/>
    <w:rsid w:val="00EA3391"/>
    <w:rsid w:val="00EB249D"/>
    <w:rsid w:val="00EC0C81"/>
    <w:rsid w:val="00EC1448"/>
    <w:rsid w:val="00EC5CC8"/>
    <w:rsid w:val="00ED2A87"/>
    <w:rsid w:val="00EE3DC0"/>
    <w:rsid w:val="00EE58F7"/>
    <w:rsid w:val="00F00174"/>
    <w:rsid w:val="00FA1B54"/>
    <w:rsid w:val="00FA5B73"/>
    <w:rsid w:val="00FA7BC5"/>
    <w:rsid w:val="00FB0053"/>
    <w:rsid w:val="00FB2526"/>
    <w:rsid w:val="037F1B8E"/>
    <w:rsid w:val="07BA4B79"/>
    <w:rsid w:val="0FEC7FB5"/>
    <w:rsid w:val="260313E5"/>
    <w:rsid w:val="29545D2C"/>
    <w:rsid w:val="2D7E54B9"/>
    <w:rsid w:val="30204FBA"/>
    <w:rsid w:val="42E70D65"/>
    <w:rsid w:val="4A176017"/>
    <w:rsid w:val="554F12C2"/>
    <w:rsid w:val="5CDE06B8"/>
    <w:rsid w:val="6478000B"/>
    <w:rsid w:val="67FF4C3C"/>
    <w:rsid w:val="7D10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00"/>
      <w:u w:val="none"/>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82C91-B78B-458E-88AF-AE5EEB271467}">
  <ds:schemaRefs/>
</ds:datastoreItem>
</file>

<file path=docProps/app.xml><?xml version="1.0" encoding="utf-8"?>
<Properties xmlns="http://schemas.openxmlformats.org/officeDocument/2006/extended-properties" xmlns:vt="http://schemas.openxmlformats.org/officeDocument/2006/docPropsVTypes">
  <Template>Normal</Template>
  <Pages>10</Pages>
  <Words>726</Words>
  <Characters>4141</Characters>
  <Lines>34</Lines>
  <Paragraphs>9</Paragraphs>
  <TotalTime>0</TotalTime>
  <ScaleCrop>false</ScaleCrop>
  <LinksUpToDate>false</LinksUpToDate>
  <CharactersWithSpaces>4858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许昌市公共资源交易中心:杨丹丹</cp:lastModifiedBy>
  <cp:lastPrinted>2017-12-11T01:38:19Z</cp:lastPrinted>
  <dcterms:modified xsi:type="dcterms:W3CDTF">2017-12-11T01:39:05Z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