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开标一览表</w:t>
      </w:r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3"/>
        <w:tblpPr w:leftFromText="180" w:rightFromText="180" w:vertAnchor="text" w:horzAnchor="page" w:tblpX="647" w:tblpY="747"/>
        <w:tblOverlap w:val="never"/>
        <w:tblW w:w="10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50"/>
        <w:gridCol w:w="3960"/>
        <w:gridCol w:w="1395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1标段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购置数控车床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　陆拾叁万贰仟元整　　　　　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632000.00元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30天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FANUC oi-TF(5)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付款方式：</w:t>
            </w:r>
            <w:r>
              <w:rPr>
                <w:rFonts w:hint="eastAsia" w:ascii="宋体" w:hAnsi="宋体"/>
                <w:color w:val="000000"/>
                <w:sz w:val="24"/>
              </w:rPr>
              <w:t>经验收合格付合同总价款的90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，剩余10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满一年无质量问题一次付清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投标分项报价</w:t>
      </w:r>
      <w:r>
        <w:rPr>
          <w:rFonts w:hint="eastAsia"/>
          <w:b/>
          <w:bCs/>
          <w:sz w:val="28"/>
          <w:szCs w:val="28"/>
        </w:rPr>
        <w:t>一</w:t>
      </w:r>
      <w:r>
        <w:rPr>
          <w:rFonts w:hint="eastAsia" w:ascii="宋体" w:cs="宋体"/>
          <w:b/>
          <w:bCs/>
          <w:sz w:val="28"/>
          <w:szCs w:val="28"/>
          <w:lang w:val="zh-CN"/>
        </w:rPr>
        <w:t>览表</w:t>
      </w:r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3"/>
        <w:tblpPr w:leftFromText="180" w:rightFromText="180" w:vertAnchor="text" w:horzAnchor="page" w:tblpXSpec="center" w:tblpY="271"/>
        <w:tblOverlap w:val="never"/>
        <w:tblW w:w="10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15"/>
        <w:gridCol w:w="2700"/>
        <w:gridCol w:w="1080"/>
        <w:gridCol w:w="1158"/>
        <w:gridCol w:w="1232"/>
        <w:gridCol w:w="1108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名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规格及型号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技术参数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位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单价</w:t>
            </w:r>
            <w:r>
              <w:rPr>
                <w:rFonts w:hint="eastAsia" w:ascii="宋体" w:cs="宋体"/>
                <w:sz w:val="24"/>
                <w:lang w:val="en-US" w:eastAsia="zh-CN"/>
              </w:rPr>
              <w:t>/元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总价</w:t>
            </w:r>
            <w:r>
              <w:rPr>
                <w:rFonts w:hint="eastAsia" w:ascii="宋体" w:cs="宋体"/>
                <w:sz w:val="24"/>
                <w:lang w:val="en-US" w:eastAsia="zh-CN"/>
              </w:rPr>
              <w:t>/元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数控车床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CKA6150i/1000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FANUC oi-TF(5)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台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158000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632000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大连机床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运费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免运费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增值税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此报价包含</w:t>
            </w:r>
            <w:r>
              <w:rPr>
                <w:rFonts w:hint="eastAsia"/>
                <w:sz w:val="24"/>
                <w:lang w:val="en-US" w:eastAsia="zh-CN"/>
              </w:rPr>
              <w:t>17%增值税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调试安装费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免费指导安装</w:t>
            </w:r>
          </w:p>
        </w:tc>
      </w:tr>
      <w:tr>
        <w:tblPrEx>
          <w:tblLayout w:type="fixed"/>
        </w:tblPrEx>
        <w:trPr>
          <w:trHeight w:val="91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售后维修费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三包一年质保，免费延保</w:t>
            </w:r>
            <w:r>
              <w:rPr>
                <w:rFonts w:hint="eastAsia"/>
                <w:sz w:val="24"/>
                <w:lang w:val="en-US" w:eastAsia="zh-CN"/>
              </w:rPr>
              <w:t>1年，共2年。质保期内因正常使用发生的零部件损坏由供方免费更换，质保过后，供方按合同以优惠价提供维修需要更换的零、部件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  <w:lang w:val="zh-CN"/>
              </w:rPr>
              <w:t>计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　陆拾叁万贰仟元整　　　　　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632000.00元</w:t>
            </w:r>
          </w:p>
        </w:tc>
      </w:tr>
    </w:tbl>
    <w:p>
      <w:pPr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3A0E"/>
    <w:rsid w:val="163B3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2017-12-25T06:59:00Z</dcterms:created>
  <dc:creator>Administrator</dc:creator>
  <cp:lastModifiedBy>Administrator</cp:lastModifiedBy>
  <dcterms:modified xsi:type="dcterms:W3CDTF">2017-12-25T07:00:34Z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